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213773BA" w14:textId="77777777" w:rsidTr="002B29B2">
        <w:tc>
          <w:tcPr>
            <w:tcW w:w="8720" w:type="dxa"/>
          </w:tcPr>
          <w:p w14:paraId="3E00011C" w14:textId="1682DDDC" w:rsidR="00F401EF" w:rsidRPr="00215D48" w:rsidRDefault="00433339" w:rsidP="002B29B2">
            <w:pPr>
              <w:pStyle w:val="Title"/>
            </w:pPr>
            <w:r>
              <w:rPr>
                <w:color w:val="002C47"/>
              </w:rPr>
              <w:t>The TGA’s approach to delays in medical device conformity assessment recertification</w:t>
            </w:r>
          </w:p>
        </w:tc>
      </w:tr>
      <w:tr w:rsidR="002B29B2" w:rsidRPr="00215D48" w14:paraId="546F5D98" w14:textId="77777777" w:rsidTr="002B29B2">
        <w:trPr>
          <w:trHeight w:val="1916"/>
        </w:trPr>
        <w:tc>
          <w:tcPr>
            <w:tcW w:w="8720" w:type="dxa"/>
          </w:tcPr>
          <w:p w14:paraId="675F7744" w14:textId="04AF4D53" w:rsidR="00F401EF" w:rsidRPr="00215D48" w:rsidRDefault="00433339" w:rsidP="00391475">
            <w:pPr>
              <w:spacing w:before="119"/>
              <w:ind w:right="347"/>
            </w:pPr>
            <w:r>
              <w:rPr>
                <w:color w:val="006DA7"/>
                <w:sz w:val="40"/>
              </w:rPr>
              <w:t>Due</w:t>
            </w:r>
            <w:r>
              <w:rPr>
                <w:color w:val="006DA7"/>
                <w:spacing w:val="-5"/>
                <w:sz w:val="40"/>
              </w:rPr>
              <w:t xml:space="preserve"> </w:t>
            </w:r>
            <w:r>
              <w:rPr>
                <w:color w:val="006DA7"/>
                <w:sz w:val="40"/>
              </w:rPr>
              <w:t>to</w:t>
            </w:r>
            <w:r>
              <w:rPr>
                <w:color w:val="006DA7"/>
                <w:spacing w:val="-5"/>
                <w:sz w:val="40"/>
              </w:rPr>
              <w:t xml:space="preserve"> </w:t>
            </w:r>
            <w:r>
              <w:rPr>
                <w:color w:val="006DA7"/>
                <w:sz w:val="40"/>
              </w:rPr>
              <w:t>COVID-19</w:t>
            </w:r>
            <w:r>
              <w:rPr>
                <w:color w:val="006DA7"/>
                <w:spacing w:val="-5"/>
                <w:sz w:val="40"/>
              </w:rPr>
              <w:t xml:space="preserve"> </w:t>
            </w:r>
            <w:r>
              <w:rPr>
                <w:color w:val="006DA7"/>
                <w:sz w:val="40"/>
              </w:rPr>
              <w:t>pandemic</w:t>
            </w:r>
            <w:r>
              <w:rPr>
                <w:color w:val="006DA7"/>
                <w:spacing w:val="-4"/>
                <w:sz w:val="40"/>
              </w:rPr>
              <w:t xml:space="preserve"> </w:t>
            </w:r>
            <w:r>
              <w:rPr>
                <w:color w:val="006DA7"/>
                <w:sz w:val="40"/>
              </w:rPr>
              <w:t>and</w:t>
            </w:r>
            <w:r>
              <w:rPr>
                <w:color w:val="006DA7"/>
                <w:spacing w:val="-5"/>
                <w:sz w:val="40"/>
              </w:rPr>
              <w:t xml:space="preserve"> </w:t>
            </w:r>
            <w:r w:rsidR="00062978">
              <w:rPr>
                <w:color w:val="006DA7"/>
                <w:sz w:val="40"/>
              </w:rPr>
              <w:t>implementation of</w:t>
            </w:r>
            <w:r>
              <w:rPr>
                <w:color w:val="006DA7"/>
                <w:spacing w:val="-5"/>
                <w:sz w:val="40"/>
              </w:rPr>
              <w:t xml:space="preserve"> </w:t>
            </w:r>
            <w:r>
              <w:rPr>
                <w:color w:val="006DA7"/>
                <w:sz w:val="40"/>
              </w:rPr>
              <w:t>EU MDR</w:t>
            </w:r>
            <w:r w:rsidR="00062978">
              <w:rPr>
                <w:color w:val="006DA7"/>
                <w:sz w:val="40"/>
              </w:rPr>
              <w:t>/IVDR</w:t>
            </w:r>
          </w:p>
        </w:tc>
      </w:tr>
      <w:tr w:rsidR="002B29B2" w:rsidRPr="00215D48" w14:paraId="27898CEA" w14:textId="77777777" w:rsidTr="002B29B2">
        <w:tc>
          <w:tcPr>
            <w:tcW w:w="8720" w:type="dxa"/>
          </w:tcPr>
          <w:p w14:paraId="4F666DA7" w14:textId="1958543A" w:rsidR="002B29B2" w:rsidRPr="00215D48" w:rsidRDefault="002B29B2" w:rsidP="00F54CA9">
            <w:pPr>
              <w:pStyle w:val="Date"/>
            </w:pPr>
            <w:r w:rsidRPr="00215D48">
              <w:t>Version 1.</w:t>
            </w:r>
            <w:r w:rsidR="00652704">
              <w:t>3</w:t>
            </w:r>
            <w:r w:rsidRPr="00215D48">
              <w:t xml:space="preserve">, </w:t>
            </w:r>
            <w:r w:rsidR="00652704">
              <w:t>June 2023</w:t>
            </w:r>
          </w:p>
        </w:tc>
      </w:tr>
    </w:tbl>
    <w:p w14:paraId="62EFC067" w14:textId="77777777" w:rsidR="00B24FF5" w:rsidRPr="00215D48" w:rsidRDefault="00B24FF5" w:rsidP="00B24FF5">
      <w:pPr>
        <w:pStyle w:val="ListBullet"/>
        <w:numPr>
          <w:ilvl w:val="0"/>
          <w:numId w:val="0"/>
        </w:numPr>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22B50FA1" w14:textId="77777777" w:rsidR="005D1689" w:rsidRPr="00E1198B" w:rsidRDefault="005D1689" w:rsidP="00BA0DFC">
      <w:pPr>
        <w:pStyle w:val="LegalSubheading"/>
      </w:pPr>
      <w:r w:rsidRPr="00BA0DFC">
        <w:lastRenderedPageBreak/>
        <w:t>Copyright</w:t>
      </w:r>
    </w:p>
    <w:p w14:paraId="17254FA9" w14:textId="7D61FDB9" w:rsidR="00F274A2" w:rsidRDefault="005D1689" w:rsidP="0029069E">
      <w:pPr>
        <w:pStyle w:val="LegalCopy"/>
        <w:rPr>
          <w:rFonts w:cs="Arial"/>
        </w:rPr>
      </w:pPr>
      <w:r w:rsidRPr="00215D48">
        <w:rPr>
          <w:rFonts w:cs="Arial"/>
        </w:rPr>
        <w:t xml:space="preserve">© Commonwealth of Australia </w:t>
      </w:r>
      <w:r w:rsidR="00391475" w:rsidRPr="00215D48">
        <w:rPr>
          <w:rFonts w:cs="Arial"/>
        </w:rPr>
        <w:t>20</w:t>
      </w:r>
      <w:r w:rsidR="00391475">
        <w:rPr>
          <w:rFonts w:cs="Arial"/>
        </w:rPr>
        <w:t>23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0D6DB467" w14:textId="77777777" w:rsidR="00F401EF" w:rsidRPr="00215D48" w:rsidRDefault="00F401EF" w:rsidP="00035110">
          <w:pPr>
            <w:pStyle w:val="NonTOCheading2"/>
          </w:pPr>
          <w:r w:rsidRPr="00215D48">
            <w:t>Contents</w:t>
          </w:r>
        </w:p>
        <w:p w14:paraId="3FBC89CD" w14:textId="3EF1FBBC" w:rsidR="00160F71" w:rsidRDefault="00F859D2">
          <w:pPr>
            <w:pStyle w:val="TOC1"/>
            <w:rPr>
              <w:rFonts w:asciiTheme="minorHAnsi" w:eastAsiaTheme="minorEastAsia" w:hAnsiTheme="minorHAnsi" w:cstheme="minorBidi"/>
              <w:b w:val="0"/>
              <w:noProof/>
              <w:color w:val="auto"/>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14495451" w:history="1">
            <w:r w:rsidR="00160F71" w:rsidRPr="007F4A95">
              <w:rPr>
                <w:rStyle w:val="Hyperlink"/>
                <w:noProof/>
              </w:rPr>
              <w:t>Background</w:t>
            </w:r>
            <w:r w:rsidR="00160F71">
              <w:rPr>
                <w:noProof/>
                <w:webHidden/>
              </w:rPr>
              <w:tab/>
            </w:r>
            <w:r w:rsidR="00160F71">
              <w:rPr>
                <w:noProof/>
                <w:webHidden/>
              </w:rPr>
              <w:fldChar w:fldCharType="begin"/>
            </w:r>
            <w:r w:rsidR="00160F71">
              <w:rPr>
                <w:noProof/>
                <w:webHidden/>
              </w:rPr>
              <w:instrText xml:space="preserve"> PAGEREF _Toc114495451 \h </w:instrText>
            </w:r>
            <w:r w:rsidR="00160F71">
              <w:rPr>
                <w:noProof/>
                <w:webHidden/>
              </w:rPr>
            </w:r>
            <w:r w:rsidR="00160F71">
              <w:rPr>
                <w:noProof/>
                <w:webHidden/>
              </w:rPr>
              <w:fldChar w:fldCharType="separate"/>
            </w:r>
            <w:r w:rsidR="004A4FB2">
              <w:rPr>
                <w:noProof/>
                <w:webHidden/>
              </w:rPr>
              <w:t>4</w:t>
            </w:r>
            <w:r w:rsidR="00160F71">
              <w:rPr>
                <w:noProof/>
                <w:webHidden/>
              </w:rPr>
              <w:fldChar w:fldCharType="end"/>
            </w:r>
          </w:hyperlink>
        </w:p>
        <w:p w14:paraId="3EFF4867" w14:textId="04C210B4" w:rsidR="00160F71" w:rsidRDefault="004A4FB2">
          <w:pPr>
            <w:pStyle w:val="TOC1"/>
            <w:rPr>
              <w:rFonts w:asciiTheme="minorHAnsi" w:eastAsiaTheme="minorEastAsia" w:hAnsiTheme="minorHAnsi" w:cstheme="minorBidi"/>
              <w:b w:val="0"/>
              <w:noProof/>
              <w:color w:val="auto"/>
              <w:sz w:val="22"/>
              <w:szCs w:val="22"/>
              <w:lang w:eastAsia="en-AU"/>
            </w:rPr>
          </w:pPr>
          <w:hyperlink w:anchor="_Toc114495452" w:history="1">
            <w:r w:rsidR="00160F71" w:rsidRPr="007F4A95">
              <w:rPr>
                <w:rStyle w:val="Hyperlink"/>
                <w:noProof/>
              </w:rPr>
              <w:t>Purpose and scope of this guidance document</w:t>
            </w:r>
            <w:r w:rsidR="00160F71">
              <w:rPr>
                <w:noProof/>
                <w:webHidden/>
              </w:rPr>
              <w:tab/>
            </w:r>
            <w:r w:rsidR="00160F71">
              <w:rPr>
                <w:noProof/>
                <w:webHidden/>
              </w:rPr>
              <w:fldChar w:fldCharType="begin"/>
            </w:r>
            <w:r w:rsidR="00160F71">
              <w:rPr>
                <w:noProof/>
                <w:webHidden/>
              </w:rPr>
              <w:instrText xml:space="preserve"> PAGEREF _Toc114495452 \h </w:instrText>
            </w:r>
            <w:r w:rsidR="00160F71">
              <w:rPr>
                <w:noProof/>
                <w:webHidden/>
              </w:rPr>
            </w:r>
            <w:r w:rsidR="00160F71">
              <w:rPr>
                <w:noProof/>
                <w:webHidden/>
              </w:rPr>
              <w:fldChar w:fldCharType="separate"/>
            </w:r>
            <w:r>
              <w:rPr>
                <w:noProof/>
                <w:webHidden/>
              </w:rPr>
              <w:t>4</w:t>
            </w:r>
            <w:r w:rsidR="00160F71">
              <w:rPr>
                <w:noProof/>
                <w:webHidden/>
              </w:rPr>
              <w:fldChar w:fldCharType="end"/>
            </w:r>
          </w:hyperlink>
        </w:p>
        <w:p w14:paraId="62896378" w14:textId="262A25DC" w:rsidR="00160F71" w:rsidRDefault="004A4FB2">
          <w:pPr>
            <w:pStyle w:val="TOC2"/>
            <w:rPr>
              <w:rFonts w:asciiTheme="minorHAnsi" w:eastAsiaTheme="minorEastAsia" w:hAnsiTheme="minorHAnsi" w:cstheme="minorBidi"/>
              <w:b w:val="0"/>
              <w:noProof/>
              <w:color w:val="auto"/>
              <w:sz w:val="22"/>
              <w:szCs w:val="22"/>
              <w:lang w:eastAsia="en-AU"/>
            </w:rPr>
          </w:pPr>
          <w:hyperlink w:anchor="_Toc114495453" w:history="1">
            <w:r w:rsidR="00160F71" w:rsidRPr="007F4A95">
              <w:rPr>
                <w:rStyle w:val="Hyperlink"/>
                <w:noProof/>
              </w:rPr>
              <w:t>How does this guidance relate to the legislative timeframe?</w:t>
            </w:r>
            <w:r w:rsidR="00160F71">
              <w:rPr>
                <w:noProof/>
                <w:webHidden/>
              </w:rPr>
              <w:tab/>
            </w:r>
            <w:r w:rsidR="00160F71">
              <w:rPr>
                <w:noProof/>
                <w:webHidden/>
              </w:rPr>
              <w:fldChar w:fldCharType="begin"/>
            </w:r>
            <w:r w:rsidR="00160F71">
              <w:rPr>
                <w:noProof/>
                <w:webHidden/>
              </w:rPr>
              <w:instrText xml:space="preserve"> PAGEREF _Toc114495453 \h </w:instrText>
            </w:r>
            <w:r w:rsidR="00160F71">
              <w:rPr>
                <w:noProof/>
                <w:webHidden/>
              </w:rPr>
            </w:r>
            <w:r w:rsidR="00160F71">
              <w:rPr>
                <w:noProof/>
                <w:webHidden/>
              </w:rPr>
              <w:fldChar w:fldCharType="separate"/>
            </w:r>
            <w:r>
              <w:rPr>
                <w:noProof/>
                <w:webHidden/>
              </w:rPr>
              <w:t>4</w:t>
            </w:r>
            <w:r w:rsidR="00160F71">
              <w:rPr>
                <w:noProof/>
                <w:webHidden/>
              </w:rPr>
              <w:fldChar w:fldCharType="end"/>
            </w:r>
          </w:hyperlink>
        </w:p>
        <w:p w14:paraId="4BB9DA72" w14:textId="1AC68D49" w:rsidR="00160F71" w:rsidRDefault="004A4FB2">
          <w:pPr>
            <w:pStyle w:val="TOC1"/>
            <w:rPr>
              <w:rFonts w:asciiTheme="minorHAnsi" w:eastAsiaTheme="minorEastAsia" w:hAnsiTheme="minorHAnsi" w:cstheme="minorBidi"/>
              <w:b w:val="0"/>
              <w:noProof/>
              <w:color w:val="auto"/>
              <w:sz w:val="22"/>
              <w:szCs w:val="22"/>
              <w:lang w:eastAsia="en-AU"/>
            </w:rPr>
          </w:pPr>
          <w:hyperlink w:anchor="_Toc114495454" w:history="1">
            <w:r w:rsidR="00160F71" w:rsidRPr="007F4A95">
              <w:rPr>
                <w:rStyle w:val="Hyperlink"/>
                <w:noProof/>
              </w:rPr>
              <w:t>Terminology</w:t>
            </w:r>
            <w:r w:rsidR="00160F71">
              <w:rPr>
                <w:noProof/>
                <w:webHidden/>
              </w:rPr>
              <w:tab/>
            </w:r>
            <w:r w:rsidR="00160F71">
              <w:rPr>
                <w:noProof/>
                <w:webHidden/>
              </w:rPr>
              <w:fldChar w:fldCharType="begin"/>
            </w:r>
            <w:r w:rsidR="00160F71">
              <w:rPr>
                <w:noProof/>
                <w:webHidden/>
              </w:rPr>
              <w:instrText xml:space="preserve"> PAGEREF _Toc114495454 \h </w:instrText>
            </w:r>
            <w:r w:rsidR="00160F71">
              <w:rPr>
                <w:noProof/>
                <w:webHidden/>
              </w:rPr>
            </w:r>
            <w:r w:rsidR="00160F71">
              <w:rPr>
                <w:noProof/>
                <w:webHidden/>
              </w:rPr>
              <w:fldChar w:fldCharType="separate"/>
            </w:r>
            <w:r>
              <w:rPr>
                <w:noProof/>
                <w:webHidden/>
              </w:rPr>
              <w:t>5</w:t>
            </w:r>
            <w:r w:rsidR="00160F71">
              <w:rPr>
                <w:noProof/>
                <w:webHidden/>
              </w:rPr>
              <w:fldChar w:fldCharType="end"/>
            </w:r>
          </w:hyperlink>
        </w:p>
        <w:p w14:paraId="33FE17D0" w14:textId="30531083" w:rsidR="00160F71" w:rsidRDefault="004A4FB2">
          <w:pPr>
            <w:pStyle w:val="TOC1"/>
            <w:rPr>
              <w:rFonts w:asciiTheme="minorHAnsi" w:eastAsiaTheme="minorEastAsia" w:hAnsiTheme="minorHAnsi" w:cstheme="minorBidi"/>
              <w:b w:val="0"/>
              <w:noProof/>
              <w:color w:val="auto"/>
              <w:sz w:val="22"/>
              <w:szCs w:val="22"/>
              <w:lang w:eastAsia="en-AU"/>
            </w:rPr>
          </w:pPr>
          <w:hyperlink w:anchor="_Toc114495455" w:history="1">
            <w:r w:rsidR="00160F71" w:rsidRPr="007F4A95">
              <w:rPr>
                <w:rStyle w:val="Hyperlink"/>
                <w:noProof/>
              </w:rPr>
              <w:t>Lapsing of CADs</w:t>
            </w:r>
            <w:r w:rsidR="00160F71">
              <w:rPr>
                <w:noProof/>
                <w:webHidden/>
              </w:rPr>
              <w:tab/>
            </w:r>
            <w:r w:rsidR="00160F71">
              <w:rPr>
                <w:noProof/>
                <w:webHidden/>
              </w:rPr>
              <w:fldChar w:fldCharType="begin"/>
            </w:r>
            <w:r w:rsidR="00160F71">
              <w:rPr>
                <w:noProof/>
                <w:webHidden/>
              </w:rPr>
              <w:instrText xml:space="preserve"> PAGEREF _Toc114495455 \h </w:instrText>
            </w:r>
            <w:r w:rsidR="00160F71">
              <w:rPr>
                <w:noProof/>
                <w:webHidden/>
              </w:rPr>
            </w:r>
            <w:r w:rsidR="00160F71">
              <w:rPr>
                <w:noProof/>
                <w:webHidden/>
              </w:rPr>
              <w:fldChar w:fldCharType="separate"/>
            </w:r>
            <w:r>
              <w:rPr>
                <w:noProof/>
                <w:webHidden/>
              </w:rPr>
              <w:t>5</w:t>
            </w:r>
            <w:r w:rsidR="00160F71">
              <w:rPr>
                <w:noProof/>
                <w:webHidden/>
              </w:rPr>
              <w:fldChar w:fldCharType="end"/>
            </w:r>
          </w:hyperlink>
        </w:p>
        <w:p w14:paraId="35E45C95" w14:textId="168E6D4A" w:rsidR="00160F71" w:rsidRDefault="004A4FB2">
          <w:pPr>
            <w:pStyle w:val="TOC1"/>
            <w:rPr>
              <w:rFonts w:asciiTheme="minorHAnsi" w:eastAsiaTheme="minorEastAsia" w:hAnsiTheme="minorHAnsi" w:cstheme="minorBidi"/>
              <w:b w:val="0"/>
              <w:noProof/>
              <w:color w:val="auto"/>
              <w:sz w:val="22"/>
              <w:szCs w:val="22"/>
              <w:lang w:eastAsia="en-AU"/>
            </w:rPr>
          </w:pPr>
          <w:hyperlink w:anchor="_Toc114495456" w:history="1">
            <w:r w:rsidR="00160F71" w:rsidRPr="007F4A95">
              <w:rPr>
                <w:rStyle w:val="Hyperlink"/>
                <w:noProof/>
              </w:rPr>
              <w:t>Suspension/cancellation/revocation of a CAD (rather than lapsing)</w:t>
            </w:r>
            <w:r w:rsidR="00160F71">
              <w:rPr>
                <w:noProof/>
                <w:webHidden/>
              </w:rPr>
              <w:tab/>
            </w:r>
            <w:r w:rsidR="00160F71">
              <w:rPr>
                <w:noProof/>
                <w:webHidden/>
              </w:rPr>
              <w:fldChar w:fldCharType="begin"/>
            </w:r>
            <w:r w:rsidR="00160F71">
              <w:rPr>
                <w:noProof/>
                <w:webHidden/>
              </w:rPr>
              <w:instrText xml:space="preserve"> PAGEREF _Toc114495456 \h </w:instrText>
            </w:r>
            <w:r w:rsidR="00160F71">
              <w:rPr>
                <w:noProof/>
                <w:webHidden/>
              </w:rPr>
            </w:r>
            <w:r w:rsidR="00160F71">
              <w:rPr>
                <w:noProof/>
                <w:webHidden/>
              </w:rPr>
              <w:fldChar w:fldCharType="separate"/>
            </w:r>
            <w:r>
              <w:rPr>
                <w:noProof/>
                <w:webHidden/>
              </w:rPr>
              <w:t>6</w:t>
            </w:r>
            <w:r w:rsidR="00160F71">
              <w:rPr>
                <w:noProof/>
                <w:webHidden/>
              </w:rPr>
              <w:fldChar w:fldCharType="end"/>
            </w:r>
          </w:hyperlink>
        </w:p>
        <w:p w14:paraId="14C087B0" w14:textId="798995B3" w:rsidR="00160F71" w:rsidRDefault="004A4FB2">
          <w:pPr>
            <w:pStyle w:val="TOC1"/>
            <w:rPr>
              <w:rFonts w:asciiTheme="minorHAnsi" w:eastAsiaTheme="minorEastAsia" w:hAnsiTheme="minorHAnsi" w:cstheme="minorBidi"/>
              <w:b w:val="0"/>
              <w:noProof/>
              <w:color w:val="auto"/>
              <w:sz w:val="22"/>
              <w:szCs w:val="22"/>
              <w:lang w:eastAsia="en-AU"/>
            </w:rPr>
          </w:pPr>
          <w:hyperlink w:anchor="_Toc114495457" w:history="1">
            <w:r w:rsidR="00160F71" w:rsidRPr="007F4A95">
              <w:rPr>
                <w:rStyle w:val="Hyperlink"/>
                <w:noProof/>
              </w:rPr>
              <w:t>What the TGA expects from sponsors in relation to lapsing conformity assessment certification</w:t>
            </w:r>
            <w:r w:rsidR="00160F71">
              <w:rPr>
                <w:noProof/>
                <w:webHidden/>
              </w:rPr>
              <w:tab/>
            </w:r>
            <w:r w:rsidR="00160F71">
              <w:rPr>
                <w:noProof/>
                <w:webHidden/>
              </w:rPr>
              <w:fldChar w:fldCharType="begin"/>
            </w:r>
            <w:r w:rsidR="00160F71">
              <w:rPr>
                <w:noProof/>
                <w:webHidden/>
              </w:rPr>
              <w:instrText xml:space="preserve"> PAGEREF _Toc114495457 \h </w:instrText>
            </w:r>
            <w:r w:rsidR="00160F71">
              <w:rPr>
                <w:noProof/>
                <w:webHidden/>
              </w:rPr>
            </w:r>
            <w:r w:rsidR="00160F71">
              <w:rPr>
                <w:noProof/>
                <w:webHidden/>
              </w:rPr>
              <w:fldChar w:fldCharType="separate"/>
            </w:r>
            <w:r>
              <w:rPr>
                <w:noProof/>
                <w:webHidden/>
              </w:rPr>
              <w:t>6</w:t>
            </w:r>
            <w:r w:rsidR="00160F71">
              <w:rPr>
                <w:noProof/>
                <w:webHidden/>
              </w:rPr>
              <w:fldChar w:fldCharType="end"/>
            </w:r>
          </w:hyperlink>
        </w:p>
        <w:p w14:paraId="3CC5FDCA" w14:textId="24C95694" w:rsidR="00F401EF" w:rsidRPr="00215D48" w:rsidRDefault="00F859D2" w:rsidP="00F401EF">
          <w:r w:rsidRPr="00215D48">
            <w:fldChar w:fldCharType="end"/>
          </w:r>
        </w:p>
      </w:sdtContent>
    </w:sdt>
    <w:p w14:paraId="12A5FE42" w14:textId="77777777" w:rsidR="00AA3EB9" w:rsidRPr="00215D48" w:rsidRDefault="001525B4" w:rsidP="0055653F">
      <w:r w:rsidRPr="00215D48">
        <w:br w:type="page"/>
      </w:r>
    </w:p>
    <w:p w14:paraId="0517F595" w14:textId="2894E2B7" w:rsidR="001525B4" w:rsidRDefault="00433339" w:rsidP="0078745C">
      <w:pPr>
        <w:pStyle w:val="Heading2"/>
      </w:pPr>
      <w:bookmarkStart w:id="0" w:name="_Toc114495451"/>
      <w:r>
        <w:lastRenderedPageBreak/>
        <w:t>Background</w:t>
      </w:r>
      <w:bookmarkEnd w:id="0"/>
    </w:p>
    <w:p w14:paraId="5811E4A4" w14:textId="77777777" w:rsidR="00433339" w:rsidRPr="00433339" w:rsidRDefault="00433339" w:rsidP="00FC0552">
      <w:r w:rsidRPr="00433339">
        <w:t>Changes to the medical device directive (93/42/EEC) and the IVD Directive (98/79/EC) along with the current COVID-19 pandemic, limiting international travel, have resulted in the potential inability of medical device manufacturers to maintain the currency of their conformity assessment document supporting their Australian Register of Therapeutic Goods (ARTG) inclusions for medical devices supplied in Australia.</w:t>
      </w:r>
    </w:p>
    <w:p w14:paraId="417D5918" w14:textId="77777777" w:rsidR="00433339" w:rsidRDefault="00433339" w:rsidP="00FC0552">
      <w:pPr>
        <w:rPr>
          <w:b/>
          <w:bCs/>
        </w:rPr>
      </w:pPr>
      <w:r w:rsidRPr="00433339">
        <w:t>Under the Australian legislation, medical devices included in the ARTG must have the appropriate conformity assessment procedures applied to the medical device, and sponsors must ensure the manufacturer holds the appropriate conformity assessment document for their devices.</w:t>
      </w:r>
    </w:p>
    <w:p w14:paraId="6A7B5FBA" w14:textId="77777777" w:rsidR="00433339" w:rsidRDefault="00433339" w:rsidP="00433339">
      <w:pPr>
        <w:pStyle w:val="Heading2"/>
      </w:pPr>
      <w:bookmarkStart w:id="1" w:name="_Toc114495452"/>
      <w:r>
        <w:t>Purpose and scope of this guidance document</w:t>
      </w:r>
      <w:bookmarkEnd w:id="1"/>
    </w:p>
    <w:p w14:paraId="1A144C39" w14:textId="77777777" w:rsidR="00433339" w:rsidRDefault="00433339" w:rsidP="00FC0552">
      <w:r>
        <w:t>The Therapeutic Goods Administration (TGA) is issuing this guidance to inform sponsors (and, where relevant, manufacturers) about the general approach the TGA will take to the lapsing of conformity assessment documents due to delays in audits due to COVID-19 and the limitations on the current number of notified bodies designated under the European Medical Devices Regulation (MDR).</w:t>
      </w:r>
    </w:p>
    <w:p w14:paraId="0335132C" w14:textId="21A4BBA3" w:rsidR="001525B4" w:rsidRDefault="00433339" w:rsidP="00FC0552">
      <w:r>
        <w:t>This guidance applies to both overseas and Australian conformity assessment documents. However, where there is a need to distinguish between the two, we use more specific terms – see below under Terminology.</w:t>
      </w:r>
    </w:p>
    <w:p w14:paraId="40648178" w14:textId="77777777" w:rsidR="00433339" w:rsidRDefault="00433339" w:rsidP="00433339">
      <w:pPr>
        <w:pStyle w:val="Heading3"/>
      </w:pPr>
      <w:bookmarkStart w:id="2" w:name="_Toc114495453"/>
      <w:r>
        <w:t>How does this guidance relate to the legislative timeframe?</w:t>
      </w:r>
      <w:bookmarkEnd w:id="2"/>
    </w:p>
    <w:p w14:paraId="6AC7A698" w14:textId="77777777" w:rsidR="00433339" w:rsidRDefault="00433339" w:rsidP="00433339">
      <w:r>
        <w:t xml:space="preserve">This document explains how sponsors’ conduct, </w:t>
      </w:r>
      <w:proofErr w:type="gramStart"/>
      <w:r>
        <w:t>with regard to</w:t>
      </w:r>
      <w:proofErr w:type="gramEnd"/>
      <w:r>
        <w:t xml:space="preserve"> notifying the TGA about conformity assessment lapsing, will affect the TGA’s consideration of </w:t>
      </w:r>
      <w:r w:rsidRPr="00433339">
        <w:rPr>
          <w:b/>
          <w:bCs/>
        </w:rPr>
        <w:t>whether it is necessary to suspend or cancel the device to which the documentation relates from the ARTG.</w:t>
      </w:r>
    </w:p>
    <w:p w14:paraId="084EF26F" w14:textId="334FA5C8" w:rsidR="00433339" w:rsidRDefault="00433339" w:rsidP="00433339">
      <w:r>
        <w:t xml:space="preserve">Separately, there are criminal and civil penalty sanctions if a sponsor fails to notify the TGA within 60 days of becoming aware that a </w:t>
      </w:r>
      <w:r w:rsidR="007C4B2E" w:rsidRPr="007C4B2E">
        <w:t>conformity assessment certificate used to support the application for inclusion in the ARTG</w:t>
      </w:r>
      <w:r>
        <w:t xml:space="preserve"> (other than a conformity assessment certificate issued by the TGA) has been restricted, suspended, revoked or is no longer in effect</w:t>
      </w:r>
      <w:r w:rsidRPr="00433339">
        <w:rPr>
          <w:vertAlign w:val="superscript"/>
        </w:rPr>
        <w:t>1</w:t>
      </w:r>
      <w:r>
        <w:t>.</w:t>
      </w:r>
    </w:p>
    <w:p w14:paraId="57B73E4D" w14:textId="686B28D7" w:rsidR="00433339" w:rsidRDefault="00433339" w:rsidP="00433339">
      <w:r>
        <w:t xml:space="preserve">However, in terms of whether a device should remain in the ARTG, </w:t>
      </w:r>
      <w:r w:rsidR="00062978">
        <w:t>the TGA will take a risk-based approach</w:t>
      </w:r>
      <w:r>
        <w:t>. This document explains how sponsors giving proactive and early notice to the TGA of lapsing, as well as other relevant information, will reduce the risk of their devices being suspended or cancelled from the ARTG.</w:t>
      </w:r>
    </w:p>
    <w:p w14:paraId="24185694" w14:textId="1D4F2E7F" w:rsidR="00433339" w:rsidRDefault="00433339" w:rsidP="00433339">
      <w:r>
        <w:t>This guidance is not legislative in nature and is subject to the requirements of the therapeutic goods legislation. The exact approach taken by the TGA will depend on the facts of the case and the relevant legislative provisions.</w:t>
      </w:r>
    </w:p>
    <w:p w14:paraId="01B79103" w14:textId="214B3C33" w:rsidR="00433339" w:rsidRDefault="00433339" w:rsidP="00433339"/>
    <w:p w14:paraId="5BF84D79" w14:textId="79DA7E19" w:rsidR="00433339" w:rsidRDefault="00433339" w:rsidP="00433339"/>
    <w:p w14:paraId="20FB59D0" w14:textId="77777777" w:rsidR="00640316" w:rsidRDefault="00640316" w:rsidP="00433339"/>
    <w:p w14:paraId="5EAB19C9" w14:textId="4A365442" w:rsidR="00433339" w:rsidRDefault="00433339" w:rsidP="00433339">
      <w:r>
        <w:t>__________________________________________________</w:t>
      </w:r>
    </w:p>
    <w:p w14:paraId="26EB451A" w14:textId="77777777" w:rsidR="00433339" w:rsidRDefault="00433339" w:rsidP="00433339">
      <w:pPr>
        <w:spacing w:before="100"/>
        <w:ind w:left="158"/>
        <w:rPr>
          <w:i/>
          <w:spacing w:val="-2"/>
          <w:sz w:val="18"/>
          <w:szCs w:val="18"/>
        </w:rPr>
        <w:sectPr w:rsidR="00433339" w:rsidSect="00AE7C6A">
          <w:headerReference w:type="default" r:id="rId13"/>
          <w:footerReference w:type="default" r:id="rId14"/>
          <w:pgSz w:w="11906" w:h="16838" w:code="9"/>
          <w:pgMar w:top="1134" w:right="1418" w:bottom="1361" w:left="1418" w:header="573" w:footer="567" w:gutter="0"/>
          <w:cols w:space="708"/>
          <w:docGrid w:linePitch="360"/>
        </w:sectPr>
      </w:pPr>
      <w:r>
        <w:rPr>
          <w:position w:val="5"/>
          <w:sz w:val="13"/>
        </w:rPr>
        <w:t>1</w:t>
      </w:r>
      <w:r>
        <w:rPr>
          <w:spacing w:val="6"/>
          <w:position w:val="5"/>
          <w:sz w:val="13"/>
        </w:rPr>
        <w:t xml:space="preserve"> </w:t>
      </w:r>
      <w:hyperlink r:id="rId15">
        <w:r w:rsidRPr="00433339">
          <w:rPr>
            <w:i/>
            <w:color w:val="0000FF"/>
            <w:sz w:val="18"/>
            <w:szCs w:val="18"/>
            <w:u w:val="single" w:color="0000FF"/>
          </w:rPr>
          <w:t>Therapeutic</w:t>
        </w:r>
        <w:r w:rsidRPr="00433339">
          <w:rPr>
            <w:i/>
            <w:color w:val="0000FF"/>
            <w:spacing w:val="-7"/>
            <w:sz w:val="18"/>
            <w:szCs w:val="18"/>
            <w:u w:val="single" w:color="0000FF"/>
          </w:rPr>
          <w:t xml:space="preserve"> </w:t>
        </w:r>
        <w:r w:rsidRPr="00433339">
          <w:rPr>
            <w:i/>
            <w:color w:val="0000FF"/>
            <w:sz w:val="18"/>
            <w:szCs w:val="18"/>
            <w:u w:val="single" w:color="0000FF"/>
          </w:rPr>
          <w:t>Goods</w:t>
        </w:r>
        <w:r w:rsidRPr="00433339">
          <w:rPr>
            <w:i/>
            <w:color w:val="0000FF"/>
            <w:spacing w:val="-8"/>
            <w:sz w:val="18"/>
            <w:szCs w:val="18"/>
            <w:u w:val="single" w:color="0000FF"/>
          </w:rPr>
          <w:t xml:space="preserve"> </w:t>
        </w:r>
        <w:r w:rsidRPr="00433339">
          <w:rPr>
            <w:i/>
            <w:color w:val="0000FF"/>
            <w:sz w:val="18"/>
            <w:szCs w:val="18"/>
            <w:u w:val="single" w:color="0000FF"/>
          </w:rPr>
          <w:t>Act</w:t>
        </w:r>
        <w:r w:rsidRPr="00433339">
          <w:rPr>
            <w:i/>
            <w:color w:val="0000FF"/>
            <w:spacing w:val="-8"/>
            <w:sz w:val="18"/>
            <w:szCs w:val="18"/>
            <w:u w:val="single" w:color="0000FF"/>
          </w:rPr>
          <w:t xml:space="preserve"> </w:t>
        </w:r>
        <w:r w:rsidRPr="00433339">
          <w:rPr>
            <w:i/>
            <w:color w:val="0000FF"/>
            <w:sz w:val="18"/>
            <w:szCs w:val="18"/>
            <w:u w:val="single" w:color="0000FF"/>
          </w:rPr>
          <w:t>1989</w:t>
        </w:r>
        <w:r w:rsidRPr="00433339">
          <w:rPr>
            <w:sz w:val="18"/>
            <w:szCs w:val="18"/>
          </w:rPr>
          <w:t>,</w:t>
        </w:r>
      </w:hyperlink>
      <w:r w:rsidRPr="00433339">
        <w:rPr>
          <w:spacing w:val="-7"/>
          <w:sz w:val="18"/>
          <w:szCs w:val="18"/>
        </w:rPr>
        <w:t xml:space="preserve"> </w:t>
      </w:r>
      <w:r w:rsidRPr="00433339">
        <w:rPr>
          <w:sz w:val="18"/>
          <w:szCs w:val="18"/>
        </w:rPr>
        <w:t>sections</w:t>
      </w:r>
      <w:r w:rsidRPr="00433339">
        <w:rPr>
          <w:spacing w:val="-8"/>
          <w:sz w:val="18"/>
          <w:szCs w:val="18"/>
        </w:rPr>
        <w:t xml:space="preserve"> </w:t>
      </w:r>
      <w:r w:rsidRPr="00433339">
        <w:rPr>
          <w:sz w:val="18"/>
          <w:szCs w:val="18"/>
        </w:rPr>
        <w:t>41MP(2)(d)(ii)</w:t>
      </w:r>
      <w:r w:rsidRPr="00433339">
        <w:rPr>
          <w:spacing w:val="-8"/>
          <w:sz w:val="18"/>
          <w:szCs w:val="18"/>
        </w:rPr>
        <w:t xml:space="preserve"> </w:t>
      </w:r>
      <w:r w:rsidRPr="00433339">
        <w:rPr>
          <w:sz w:val="18"/>
          <w:szCs w:val="18"/>
        </w:rPr>
        <w:t>and</w:t>
      </w:r>
      <w:r w:rsidRPr="00433339">
        <w:rPr>
          <w:spacing w:val="-7"/>
          <w:sz w:val="18"/>
          <w:szCs w:val="18"/>
        </w:rPr>
        <w:t xml:space="preserve"> </w:t>
      </w:r>
      <w:r w:rsidRPr="00433339">
        <w:rPr>
          <w:sz w:val="18"/>
          <w:szCs w:val="18"/>
        </w:rPr>
        <w:t>41MPA(2)(d)(ii)</w:t>
      </w:r>
      <w:r w:rsidRPr="00433339">
        <w:rPr>
          <w:spacing w:val="-8"/>
          <w:sz w:val="18"/>
          <w:szCs w:val="18"/>
        </w:rPr>
        <w:t xml:space="preserve"> </w:t>
      </w:r>
      <w:r w:rsidRPr="00433339">
        <w:rPr>
          <w:sz w:val="18"/>
          <w:szCs w:val="18"/>
        </w:rPr>
        <w:t>and</w:t>
      </w:r>
      <w:r w:rsidRPr="00433339">
        <w:rPr>
          <w:spacing w:val="-7"/>
          <w:sz w:val="18"/>
          <w:szCs w:val="18"/>
        </w:rPr>
        <w:t xml:space="preserve"> </w:t>
      </w:r>
      <w:r w:rsidRPr="00433339">
        <w:rPr>
          <w:sz w:val="18"/>
          <w:szCs w:val="18"/>
        </w:rPr>
        <w:t>regulation</w:t>
      </w:r>
      <w:r w:rsidRPr="00433339">
        <w:rPr>
          <w:spacing w:val="-8"/>
          <w:sz w:val="18"/>
          <w:szCs w:val="18"/>
        </w:rPr>
        <w:t xml:space="preserve"> </w:t>
      </w:r>
      <w:r w:rsidRPr="00433339">
        <w:rPr>
          <w:sz w:val="18"/>
          <w:szCs w:val="18"/>
        </w:rPr>
        <w:t>5.7(1)(d)</w:t>
      </w:r>
      <w:r w:rsidRPr="00433339">
        <w:rPr>
          <w:spacing w:val="-8"/>
          <w:sz w:val="18"/>
          <w:szCs w:val="18"/>
        </w:rPr>
        <w:t xml:space="preserve"> </w:t>
      </w:r>
      <w:r w:rsidRPr="00433339">
        <w:rPr>
          <w:sz w:val="18"/>
          <w:szCs w:val="18"/>
        </w:rPr>
        <w:t>of</w:t>
      </w:r>
      <w:r w:rsidRPr="00433339">
        <w:rPr>
          <w:spacing w:val="-7"/>
          <w:sz w:val="18"/>
          <w:szCs w:val="18"/>
        </w:rPr>
        <w:t xml:space="preserve"> </w:t>
      </w:r>
      <w:r w:rsidRPr="00433339">
        <w:rPr>
          <w:spacing w:val="-5"/>
          <w:sz w:val="18"/>
          <w:szCs w:val="18"/>
        </w:rPr>
        <w:t>the</w:t>
      </w:r>
      <w:r w:rsidRPr="00433339">
        <w:rPr>
          <w:sz w:val="18"/>
          <w:szCs w:val="18"/>
        </w:rPr>
        <w:t xml:space="preserve"> </w:t>
      </w:r>
      <w:hyperlink r:id="rId16">
        <w:r w:rsidRPr="00433339">
          <w:rPr>
            <w:i/>
            <w:color w:val="0000FF"/>
            <w:sz w:val="18"/>
            <w:szCs w:val="18"/>
            <w:u w:val="single" w:color="0000FF"/>
          </w:rPr>
          <w:t>Therapeutic</w:t>
        </w:r>
        <w:r w:rsidRPr="00433339">
          <w:rPr>
            <w:i/>
            <w:color w:val="0000FF"/>
            <w:spacing w:val="-10"/>
            <w:sz w:val="18"/>
            <w:szCs w:val="18"/>
            <w:u w:val="single" w:color="0000FF"/>
          </w:rPr>
          <w:t xml:space="preserve"> </w:t>
        </w:r>
        <w:r w:rsidRPr="00433339">
          <w:rPr>
            <w:i/>
            <w:color w:val="0000FF"/>
            <w:sz w:val="18"/>
            <w:szCs w:val="18"/>
            <w:u w:val="single" w:color="0000FF"/>
          </w:rPr>
          <w:t>Goods</w:t>
        </w:r>
        <w:r w:rsidRPr="00433339">
          <w:rPr>
            <w:i/>
            <w:color w:val="0000FF"/>
            <w:spacing w:val="-9"/>
            <w:sz w:val="18"/>
            <w:szCs w:val="18"/>
            <w:u w:val="single" w:color="0000FF"/>
          </w:rPr>
          <w:t xml:space="preserve"> </w:t>
        </w:r>
        <w:r w:rsidRPr="00433339">
          <w:rPr>
            <w:i/>
            <w:color w:val="0000FF"/>
            <w:sz w:val="18"/>
            <w:szCs w:val="18"/>
            <w:u w:val="single" w:color="0000FF"/>
          </w:rPr>
          <w:t>(Medical</w:t>
        </w:r>
        <w:r w:rsidRPr="00433339">
          <w:rPr>
            <w:i/>
            <w:color w:val="0000FF"/>
            <w:spacing w:val="-8"/>
            <w:sz w:val="18"/>
            <w:szCs w:val="18"/>
            <w:u w:val="single" w:color="0000FF"/>
          </w:rPr>
          <w:t xml:space="preserve"> </w:t>
        </w:r>
        <w:r w:rsidRPr="00433339">
          <w:rPr>
            <w:i/>
            <w:color w:val="0000FF"/>
            <w:sz w:val="18"/>
            <w:szCs w:val="18"/>
            <w:u w:val="single" w:color="0000FF"/>
          </w:rPr>
          <w:t>Devices)</w:t>
        </w:r>
        <w:r w:rsidRPr="00433339">
          <w:rPr>
            <w:i/>
            <w:color w:val="0000FF"/>
            <w:spacing w:val="-10"/>
            <w:sz w:val="18"/>
            <w:szCs w:val="18"/>
            <w:u w:val="single" w:color="0000FF"/>
          </w:rPr>
          <w:t xml:space="preserve"> </w:t>
        </w:r>
        <w:r w:rsidRPr="00433339">
          <w:rPr>
            <w:i/>
            <w:color w:val="0000FF"/>
            <w:sz w:val="18"/>
            <w:szCs w:val="18"/>
            <w:u w:val="single" w:color="0000FF"/>
          </w:rPr>
          <w:t>Regulations</w:t>
        </w:r>
        <w:r w:rsidRPr="00433339">
          <w:rPr>
            <w:i/>
            <w:color w:val="0000FF"/>
            <w:spacing w:val="-10"/>
            <w:sz w:val="18"/>
            <w:szCs w:val="18"/>
            <w:u w:val="single" w:color="0000FF"/>
          </w:rPr>
          <w:t xml:space="preserve"> </w:t>
        </w:r>
        <w:r w:rsidRPr="00433339">
          <w:rPr>
            <w:i/>
            <w:color w:val="0000FF"/>
            <w:spacing w:val="-2"/>
            <w:sz w:val="18"/>
            <w:szCs w:val="18"/>
            <w:u w:val="single" w:color="0000FF"/>
          </w:rPr>
          <w:t>2002</w:t>
        </w:r>
        <w:r w:rsidRPr="00433339">
          <w:rPr>
            <w:i/>
            <w:spacing w:val="-2"/>
            <w:sz w:val="18"/>
            <w:szCs w:val="18"/>
          </w:rPr>
          <w:t>.</w:t>
        </w:r>
      </w:hyperlink>
    </w:p>
    <w:tbl>
      <w:tblPr>
        <w:tblW w:w="9038" w:type="dxa"/>
        <w:tblLayout w:type="fixed"/>
        <w:tblCellMar>
          <w:left w:w="0" w:type="dxa"/>
          <w:right w:w="0" w:type="dxa"/>
        </w:tblCellMar>
        <w:tblLook w:val="04A0" w:firstRow="1" w:lastRow="0" w:firstColumn="1" w:lastColumn="0" w:noHBand="0" w:noVBand="1"/>
      </w:tblPr>
      <w:tblGrid>
        <w:gridCol w:w="1276"/>
        <w:gridCol w:w="7762"/>
      </w:tblGrid>
      <w:tr w:rsidR="00FF108C" w:rsidRPr="00215D48" w14:paraId="1CF42939" w14:textId="77777777" w:rsidTr="0028163F">
        <w:tc>
          <w:tcPr>
            <w:tcW w:w="1276" w:type="dxa"/>
            <w:vAlign w:val="center"/>
          </w:tcPr>
          <w:p w14:paraId="73DD29E9" w14:textId="77777777" w:rsidR="00FF108C" w:rsidRPr="00215D48" w:rsidRDefault="00FF108C" w:rsidP="00442D43">
            <w:pPr>
              <w:spacing w:before="0"/>
              <w:rPr>
                <w:sz w:val="20"/>
              </w:rPr>
            </w:pPr>
            <w:r w:rsidRPr="00215D48">
              <w:rPr>
                <w:noProof/>
                <w:sz w:val="20"/>
                <w:lang w:eastAsia="en-AU"/>
              </w:rPr>
              <w:lastRenderedPageBreak/>
              <w:drawing>
                <wp:inline distT="0" distB="0" distL="0" distR="0" wp14:anchorId="5DDE27AD" wp14:editId="2EA50BFD">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7" cstate="print"/>
                          <a:stretch>
                            <a:fillRect/>
                          </a:stretch>
                        </pic:blipFill>
                        <pic:spPr>
                          <a:xfrm>
                            <a:off x="0" y="0"/>
                            <a:ext cx="487681" cy="487681"/>
                          </a:xfrm>
                          <a:prstGeom prst="rect">
                            <a:avLst/>
                          </a:prstGeom>
                        </pic:spPr>
                      </pic:pic>
                    </a:graphicData>
                  </a:graphic>
                </wp:inline>
              </w:drawing>
            </w:r>
          </w:p>
        </w:tc>
        <w:tc>
          <w:tcPr>
            <w:tcW w:w="7762" w:type="dxa"/>
            <w:shd w:val="clear" w:color="auto" w:fill="DADADA" w:themeFill="background2" w:themeFillShade="E6"/>
            <w:tcMar>
              <w:top w:w="170" w:type="dxa"/>
              <w:left w:w="170" w:type="dxa"/>
              <w:bottom w:w="170" w:type="dxa"/>
              <w:right w:w="170" w:type="dxa"/>
            </w:tcMar>
            <w:vAlign w:val="center"/>
          </w:tcPr>
          <w:p w14:paraId="069DD3E6" w14:textId="2D425727" w:rsidR="00FF108C" w:rsidRPr="00FF108C" w:rsidRDefault="00FF108C" w:rsidP="00442D43">
            <w:pPr>
              <w:rPr>
                <w:b/>
                <w:bCs/>
              </w:rPr>
            </w:pPr>
            <w:r w:rsidRPr="00FF108C">
              <w:rPr>
                <w:b/>
                <w:bCs/>
              </w:rPr>
              <w:t>Note</w:t>
            </w:r>
          </w:p>
          <w:p w14:paraId="6FD6C298" w14:textId="3BF84ADE" w:rsidR="00FF108C" w:rsidRPr="00215D48" w:rsidRDefault="00FF108C" w:rsidP="00442D43">
            <w:r w:rsidRPr="00FF108C">
              <w:t>Given the circumstances that have led to the changes outlined in this document, the TGA will continue to monitor developments relating to COVID- 19 and its effect on the processes for conformity assessment in both Australia and internationally. As those circumstances change, the TGA will consider whether changes to the processes outlined in this guidance are necessary and will update this guidance accordingly.</w:t>
            </w:r>
          </w:p>
        </w:tc>
      </w:tr>
    </w:tbl>
    <w:p w14:paraId="46620A8A" w14:textId="77777777" w:rsidR="00FF108C" w:rsidRDefault="00FF108C" w:rsidP="00FF108C">
      <w:pPr>
        <w:pStyle w:val="Heading2"/>
      </w:pPr>
      <w:bookmarkStart w:id="3" w:name="_Toc114495454"/>
      <w:r>
        <w:t>Terminology</w:t>
      </w:r>
      <w:bookmarkEnd w:id="3"/>
    </w:p>
    <w:p w14:paraId="3A3B3C1B" w14:textId="77777777" w:rsidR="00FF108C" w:rsidRDefault="00FF108C" w:rsidP="00FF108C">
      <w:r>
        <w:t>In this guidance, the following terms are used:</w:t>
      </w:r>
    </w:p>
    <w:p w14:paraId="0D7DA7D6" w14:textId="3F0C7D19" w:rsidR="00FF108C" w:rsidRDefault="00FF108C" w:rsidP="00FF108C">
      <w:pPr>
        <w:pStyle w:val="ListBullet"/>
      </w:pPr>
      <w:r w:rsidRPr="00FF108C">
        <w:rPr>
          <w:b/>
          <w:bCs/>
        </w:rPr>
        <w:t xml:space="preserve">a conformity assessment document </w:t>
      </w:r>
      <w:r w:rsidRPr="00FF108C">
        <w:t>(CAD):</w:t>
      </w:r>
      <w:r>
        <w:t xml:space="preserve"> is a reference to a certificate issued by the TGA, an Australian conformity assessment body certificate, or an overseas comparable regulator conformity assessment document (see below</w:t>
      </w:r>
      <w:proofErr w:type="gramStart"/>
      <w:r>
        <w:t>);</w:t>
      </w:r>
      <w:proofErr w:type="gramEnd"/>
    </w:p>
    <w:p w14:paraId="289C6FEC" w14:textId="3125358F" w:rsidR="00FF108C" w:rsidRDefault="00FF108C" w:rsidP="00FF108C">
      <w:pPr>
        <w:pStyle w:val="ListBullet"/>
      </w:pPr>
      <w:r w:rsidRPr="00FF108C">
        <w:rPr>
          <w:b/>
          <w:bCs/>
        </w:rPr>
        <w:t xml:space="preserve">a conformity assessment certificate </w:t>
      </w:r>
      <w:r w:rsidRPr="00FF108C">
        <w:t>(CAC):</w:t>
      </w:r>
      <w:r>
        <w:t xml:space="preserve"> is a reference to a certificate issued by the TGA under s</w:t>
      </w:r>
      <w:r w:rsidR="00062978">
        <w:t>ection</w:t>
      </w:r>
      <w:r>
        <w:t xml:space="preserve"> 41EE of the </w:t>
      </w:r>
      <w:r w:rsidRPr="00652704">
        <w:rPr>
          <w:i/>
          <w:iCs/>
        </w:rPr>
        <w:t>Therapeutic Goods Act 1989</w:t>
      </w:r>
      <w:r>
        <w:t xml:space="preserve"> (the Act</w:t>
      </w:r>
      <w:proofErr w:type="gramStart"/>
      <w:r>
        <w:t>);</w:t>
      </w:r>
      <w:proofErr w:type="gramEnd"/>
    </w:p>
    <w:p w14:paraId="147E6689" w14:textId="04494409" w:rsidR="00FF108C" w:rsidRDefault="00FF108C" w:rsidP="00FF108C">
      <w:pPr>
        <w:pStyle w:val="ListBullet"/>
      </w:pPr>
      <w:r w:rsidRPr="00FF108C">
        <w:rPr>
          <w:b/>
          <w:bCs/>
        </w:rPr>
        <w:t xml:space="preserve">an overseas regulator conformity assessment document </w:t>
      </w:r>
      <w:r w:rsidRPr="00FF108C">
        <w:t xml:space="preserve">(ORCAD): </w:t>
      </w:r>
      <w:r>
        <w:t xml:space="preserve">certificate or other evidence of conformity assessment issued by an overseas regulator after that regulator is satisfied that requirements, comparable to the conformity assessment procedures, have been applied to a medical device by the manufacturer of that </w:t>
      </w:r>
      <w:proofErr w:type="gramStart"/>
      <w:r>
        <w:t>device;</w:t>
      </w:r>
      <w:proofErr w:type="gramEnd"/>
    </w:p>
    <w:p w14:paraId="657A6437" w14:textId="2C2EF530" w:rsidR="00433339" w:rsidRDefault="00FF108C" w:rsidP="00FF108C">
      <w:pPr>
        <w:pStyle w:val="ListBullet"/>
      </w:pPr>
      <w:r w:rsidRPr="00FF108C">
        <w:rPr>
          <w:b/>
          <w:bCs/>
        </w:rPr>
        <w:t>an overseas regulator</w:t>
      </w:r>
      <w:r>
        <w:t>: is a reference to an overseas regulator determined by the Secretary to be an overseas regulator under s 41BIB of the Act.</w:t>
      </w:r>
    </w:p>
    <w:p w14:paraId="42386681" w14:textId="77777777" w:rsidR="00FF108C" w:rsidRDefault="00FF108C" w:rsidP="00FF108C">
      <w:pPr>
        <w:pStyle w:val="Heading2"/>
      </w:pPr>
      <w:bookmarkStart w:id="4" w:name="_Toc114495455"/>
      <w:r>
        <w:t>Lapsing of CADs</w:t>
      </w:r>
      <w:bookmarkEnd w:id="4"/>
    </w:p>
    <w:p w14:paraId="08C139DC" w14:textId="77777777" w:rsidR="00FF108C" w:rsidRDefault="00FF108C" w:rsidP="00FF108C">
      <w:r>
        <w:t xml:space="preserve">Where a CAD has </w:t>
      </w:r>
      <w:r w:rsidRPr="00FF108C">
        <w:rPr>
          <w:b/>
          <w:bCs/>
        </w:rPr>
        <w:t>lapsed</w:t>
      </w:r>
      <w:r>
        <w:t xml:space="preserve"> (that is, has expired solely because of passage of time and not because of regulatory action</w:t>
      </w:r>
      <w:r w:rsidRPr="00FF108C">
        <w:rPr>
          <w:vertAlign w:val="superscript"/>
        </w:rPr>
        <w:t>2</w:t>
      </w:r>
      <w:r>
        <w:t>), this will not result in automatic cancellation of a device entry in the ARTG. The TGA will consider, in deciding whether suspension or cancellation of a device entry is warranted, whether the sponsor has taken reasonable steps to mitigate the problem. In doing so, the TGA will consider the following matters:</w:t>
      </w:r>
    </w:p>
    <w:p w14:paraId="77D55BF9" w14:textId="4BD29958" w:rsidR="00FF108C" w:rsidRDefault="00FF108C" w:rsidP="00FF108C">
      <w:pPr>
        <w:pStyle w:val="ListBullet"/>
      </w:pPr>
      <w:r w:rsidRPr="00FF108C">
        <w:rPr>
          <w:b/>
          <w:bCs/>
        </w:rPr>
        <w:t>the steps which the sponsor has taken to mitigate the situation</w:t>
      </w:r>
      <w:r>
        <w:t xml:space="preserve">: for example, approaching their manufacturer to ensure they are seeking an extension or renewal of a CAD, and organising inspections, or seeking permission from the relevant overseas regulator to continue to manufacture the devices pending renewal of the </w:t>
      </w:r>
      <w:proofErr w:type="gramStart"/>
      <w:r>
        <w:t>CAD;</w:t>
      </w:r>
      <w:proofErr w:type="gramEnd"/>
    </w:p>
    <w:p w14:paraId="4F36625B" w14:textId="7E3D1ABA" w:rsidR="00FF108C" w:rsidRDefault="00FF108C" w:rsidP="00FF108C">
      <w:pPr>
        <w:pStyle w:val="ListBullet"/>
      </w:pPr>
      <w:r w:rsidRPr="00FF108C">
        <w:rPr>
          <w:b/>
          <w:bCs/>
        </w:rPr>
        <w:t>the timeliness of the sponsor’s actions</w:t>
      </w:r>
      <w:r>
        <w:t xml:space="preserve">: for example, did the sponsor act in advance of the expiry of the CAD to ensure their manufacturer would seek an extension (in the case of a CAC), or to seek recertification/renewal/extension (in the case of an ORCAD) including scheduling of manufacturer </w:t>
      </w:r>
      <w:proofErr w:type="gramStart"/>
      <w:r>
        <w:t>inspections?;</w:t>
      </w:r>
      <w:proofErr w:type="gramEnd"/>
    </w:p>
    <w:p w14:paraId="2080ED1C" w14:textId="3C31B366" w:rsidR="00FF108C" w:rsidRDefault="00FF108C" w:rsidP="00FF108C">
      <w:pPr>
        <w:pStyle w:val="ListBullet"/>
      </w:pPr>
      <w:r w:rsidRPr="00FF108C">
        <w:rPr>
          <w:b/>
          <w:bCs/>
        </w:rPr>
        <w:t>the extent to which the sponsor has kept the TGA informed</w:t>
      </w:r>
      <w:r>
        <w:t xml:space="preserve">, proactively, of actions the sponsor and/or its manufacturers are taking, for example, informing the TGA promptly of the pending expiry of CADs, and of the proposed actions by the manufacturer and/or the </w:t>
      </w:r>
      <w:r w:rsidRPr="00FF108C">
        <w:t>sponsor, together with relevant supporting evidence (</w:t>
      </w:r>
      <w:proofErr w:type="gramStart"/>
      <w:r w:rsidRPr="00FF108C">
        <w:t>e.g.</w:t>
      </w:r>
      <w:proofErr w:type="gramEnd"/>
      <w:r w:rsidRPr="00FF108C">
        <w:t xml:space="preserve"> correspondence between the manufacturer and the sponsor);</w:t>
      </w:r>
    </w:p>
    <w:p w14:paraId="391EB0AB" w14:textId="77777777" w:rsidR="00FF108C" w:rsidRDefault="00FF108C" w:rsidP="00FF108C">
      <w:pPr>
        <w:pStyle w:val="ListBullet"/>
      </w:pPr>
      <w:r>
        <w:t>where applicable</w:t>
      </w:r>
      <w:r w:rsidRPr="00FF108C">
        <w:rPr>
          <w:vertAlign w:val="superscript"/>
        </w:rPr>
        <w:t>3</w:t>
      </w:r>
      <w:r>
        <w:t xml:space="preserve">, whether the sponsor in the absence of a CAD has provided information to the TGA to substantiate that the devices have had the conformity </w:t>
      </w:r>
      <w:r>
        <w:lastRenderedPageBreak/>
        <w:t>assessment procedures, or requirements comparable to the conformity assessment procedures</w:t>
      </w:r>
      <w:r w:rsidRPr="004A4FB2">
        <w:rPr>
          <w:vertAlign w:val="superscript"/>
        </w:rPr>
        <w:t>4</w:t>
      </w:r>
      <w:r>
        <w:t xml:space="preserve"> to the satisfaction of an overseas regulator, applied to them; and</w:t>
      </w:r>
    </w:p>
    <w:p w14:paraId="696C7400" w14:textId="494D1B15" w:rsidR="00FF108C" w:rsidRDefault="00FF108C" w:rsidP="00FF108C">
      <w:pPr>
        <w:pStyle w:val="ListBullet"/>
      </w:pPr>
      <w:r w:rsidRPr="00FF108C">
        <w:rPr>
          <w:b/>
          <w:bCs/>
        </w:rPr>
        <w:t>the presence or absence of other reasons for the lack of a current CAD</w:t>
      </w:r>
      <w:r>
        <w:t xml:space="preserve">: that is, where the loss of the CAD was not due solely to the delays in audits because of COVID-19 but was due to some compliance issue on the part of the sponsor. Where the CAD was </w:t>
      </w:r>
      <w:r w:rsidRPr="00FF108C">
        <w:rPr>
          <w:b/>
          <w:bCs/>
        </w:rPr>
        <w:t>suspended, cancelled, or revoked</w:t>
      </w:r>
      <w:r>
        <w:t>, rather than lapsed, see below.</w:t>
      </w:r>
    </w:p>
    <w:p w14:paraId="59BC1BF5" w14:textId="362A842D" w:rsidR="00FF108C" w:rsidRDefault="00FF108C" w:rsidP="00FF108C">
      <w:r w:rsidRPr="00FF108C">
        <w:t>If a sponsor does not provide satisfactory evidence to the TGA that it has taken reasonable steps to mitigate the expiry of the CAD, the TGA may exercise its powers of suspension or cancellation of entries in the ARTG in accordance with the Act.</w:t>
      </w:r>
    </w:p>
    <w:p w14:paraId="456255AF" w14:textId="77777777" w:rsidR="00FF108C" w:rsidRDefault="00FF108C" w:rsidP="00FF108C">
      <w:pPr>
        <w:pStyle w:val="Heading2"/>
      </w:pPr>
      <w:bookmarkStart w:id="5" w:name="_Toc114495456"/>
      <w:r>
        <w:t>Suspension/cancellation/revocation of a CAD (rather than lapsing)</w:t>
      </w:r>
      <w:bookmarkEnd w:id="5"/>
    </w:p>
    <w:p w14:paraId="687DE679" w14:textId="77777777" w:rsidR="00FF108C" w:rsidRDefault="00FF108C" w:rsidP="00FF108C">
      <w:r>
        <w:t xml:space="preserve">Where the CAD has been suspended, cancelled, </w:t>
      </w:r>
      <w:proofErr w:type="gramStart"/>
      <w:r>
        <w:t>revoked</w:t>
      </w:r>
      <w:proofErr w:type="gramEnd"/>
      <w:r>
        <w:t xml:space="preserve"> or otherwise terminated due to non- compliance issues on the part of the manufacturer, the TGA will apply the terms of the Act. That is, the TGA will consider suspension or cancellation of the relevant device entries in accordance with the Act. (But note that where a CAC is revoked, the TGA must cancel the entry in the ARTG – see s 41GK of the Act).</w:t>
      </w:r>
    </w:p>
    <w:p w14:paraId="181D75F0" w14:textId="60B95C2A" w:rsidR="00FF108C" w:rsidRDefault="00FF108C" w:rsidP="00FF108C">
      <w:r>
        <w:t>Supply of devices that have not had conformity assessment procedures, or comparable overseas ones, applied to them, is in breach of the conditions of inclusion of the device in the ARTG. Where the relevant conformity assessment document is a CAC, the TGA may revoke or suspend the CAC in accordance with the Act.</w:t>
      </w:r>
    </w:p>
    <w:p w14:paraId="2DD2D960" w14:textId="72AA9698" w:rsidR="00FF108C" w:rsidRDefault="00FF108C" w:rsidP="00FC0552">
      <w:pPr>
        <w:pStyle w:val="Heading2"/>
      </w:pPr>
      <w:bookmarkStart w:id="6" w:name="_Toc114495457"/>
      <w:r>
        <w:t>What the TGA expects from sponsors in relation to lapsing</w:t>
      </w:r>
      <w:r w:rsidR="0028163F">
        <w:t xml:space="preserve"> conformity assessment certification</w:t>
      </w:r>
      <w:bookmarkEnd w:id="6"/>
    </w:p>
    <w:p w14:paraId="0CE9F89E" w14:textId="77777777" w:rsidR="00FF108C" w:rsidRDefault="00FF108C" w:rsidP="00FF108C">
      <w:r>
        <w:t>Sponsors (and manufacturers, if the document is a CAC) are strongly advised to notify the TGA promptly:</w:t>
      </w:r>
    </w:p>
    <w:p w14:paraId="06F3767B" w14:textId="4B0229D5" w:rsidR="00FF108C" w:rsidRDefault="00FF108C" w:rsidP="00FC0552">
      <w:pPr>
        <w:pStyle w:val="ListBullet"/>
      </w:pPr>
      <w:r>
        <w:t xml:space="preserve">if their CADs are pending expiry and there may be issues with obtaining extensions or new CADs, outlining what steps they are taking to address the </w:t>
      </w:r>
      <w:proofErr w:type="gramStart"/>
      <w:r>
        <w:t>problem;</w:t>
      </w:r>
      <w:proofErr w:type="gramEnd"/>
    </w:p>
    <w:p w14:paraId="4514FF2F" w14:textId="31467245" w:rsidR="00FF108C" w:rsidRDefault="00FF108C" w:rsidP="00FC0552">
      <w:pPr>
        <w:pStyle w:val="ListBullet"/>
      </w:pPr>
      <w:r>
        <w:t xml:space="preserve">in the case of CACs: submitting an extension application to the TGA at least 6 months prior to expiry of the current </w:t>
      </w:r>
      <w:proofErr w:type="gramStart"/>
      <w:r>
        <w:t>CAC;</w:t>
      </w:r>
      <w:proofErr w:type="gramEnd"/>
    </w:p>
    <w:p w14:paraId="518E983F" w14:textId="2307B589" w:rsidR="00FF108C" w:rsidRDefault="00FF108C" w:rsidP="00FC0552">
      <w:pPr>
        <w:pStyle w:val="ListBullet"/>
      </w:pPr>
      <w:r>
        <w:t>if their CADs have already lapsed, the reasons for the lapse, and what action they are taking to address this issue.</w:t>
      </w:r>
    </w:p>
    <w:p w14:paraId="6673917C" w14:textId="77777777" w:rsidR="00FF108C" w:rsidRDefault="00FF108C" w:rsidP="00FF108C"/>
    <w:p w14:paraId="7AA131C3" w14:textId="65B144AC" w:rsidR="00FF108C" w:rsidRDefault="00FF108C" w:rsidP="00FF108C"/>
    <w:p w14:paraId="7BB69CCE" w14:textId="77777777" w:rsidR="00640316" w:rsidRDefault="00640316" w:rsidP="00FF108C"/>
    <w:p w14:paraId="1597D155" w14:textId="4DD40E76" w:rsidR="00FF108C" w:rsidRDefault="00FC0552" w:rsidP="00FF108C">
      <w:r>
        <w:t>________________________________</w:t>
      </w:r>
    </w:p>
    <w:p w14:paraId="7C4659FB" w14:textId="77777777" w:rsidR="00FF108C" w:rsidRPr="00FC0552" w:rsidRDefault="00FF108C" w:rsidP="00FC0552">
      <w:pPr>
        <w:spacing w:before="0" w:after="0"/>
        <w:rPr>
          <w:sz w:val="18"/>
          <w:szCs w:val="16"/>
        </w:rPr>
      </w:pPr>
      <w:r w:rsidRPr="00FC0552">
        <w:rPr>
          <w:sz w:val="18"/>
          <w:szCs w:val="16"/>
          <w:vertAlign w:val="superscript"/>
        </w:rPr>
        <w:t>3</w:t>
      </w:r>
      <w:r w:rsidRPr="00FC0552">
        <w:rPr>
          <w:sz w:val="18"/>
          <w:szCs w:val="16"/>
        </w:rPr>
        <w:t xml:space="preserve"> Note that some devices must have a CAC: see regulation 4.1 of the </w:t>
      </w:r>
      <w:r w:rsidRPr="00FC0552">
        <w:rPr>
          <w:i/>
          <w:iCs/>
          <w:sz w:val="18"/>
          <w:szCs w:val="16"/>
        </w:rPr>
        <w:t>Therapeutic Goods (Medical Devices) Regulations 2002.</w:t>
      </w:r>
    </w:p>
    <w:p w14:paraId="519CBF62" w14:textId="29B4D678" w:rsidR="00640316" w:rsidRDefault="00FF108C" w:rsidP="00FC0552">
      <w:pPr>
        <w:spacing w:before="0" w:after="0"/>
        <w:rPr>
          <w:sz w:val="18"/>
          <w:szCs w:val="16"/>
        </w:rPr>
        <w:sectPr w:rsidR="00640316" w:rsidSect="00AE7C6A">
          <w:pgSz w:w="11906" w:h="16838" w:code="9"/>
          <w:pgMar w:top="1134" w:right="1418" w:bottom="1361" w:left="1418" w:header="573" w:footer="567" w:gutter="0"/>
          <w:cols w:space="708"/>
          <w:docGrid w:linePitch="360"/>
        </w:sectPr>
      </w:pPr>
      <w:r w:rsidRPr="00FC0552">
        <w:rPr>
          <w:sz w:val="18"/>
          <w:szCs w:val="16"/>
          <w:vertAlign w:val="superscript"/>
        </w:rPr>
        <w:t>4</w:t>
      </w:r>
      <w:r w:rsidRPr="00FC0552">
        <w:rPr>
          <w:sz w:val="18"/>
          <w:szCs w:val="16"/>
        </w:rPr>
        <w:t xml:space="preserve"> Under s 41FN(3)(b)(</w:t>
      </w:r>
      <w:proofErr w:type="spellStart"/>
      <w:r w:rsidRPr="00FC0552">
        <w:rPr>
          <w:sz w:val="18"/>
          <w:szCs w:val="16"/>
        </w:rPr>
        <w:t>i</w:t>
      </w:r>
      <w:proofErr w:type="spellEnd"/>
      <w:r w:rsidRPr="00FC0552">
        <w:rPr>
          <w:sz w:val="18"/>
          <w:szCs w:val="16"/>
        </w:rPr>
        <w:t>) of the Act, it is a condition of inclusion in the ARTG that the sponsor have available sufficient information to substantiate that the conformity assessment procedures have been applied to the kind of device or that requirements, comparable to those procedures, have been applied to the kind of device to the satisfaction of an overseas regulator</w:t>
      </w:r>
    </w:p>
    <w:p w14:paraId="21200987" w14:textId="1BE08A54" w:rsidR="00640316" w:rsidRDefault="00FF108C" w:rsidP="00FF108C">
      <w:r>
        <w:lastRenderedPageBreak/>
        <w:t xml:space="preserve">Sponsors (or if relevant, manufacturers) should notify the </w:t>
      </w:r>
      <w:r w:rsidR="00640316">
        <w:t xml:space="preserve">TGA </w:t>
      </w:r>
      <w:r>
        <w:t xml:space="preserve">of the above matters, together with relevant supporting documents, </w:t>
      </w:r>
      <w:r w:rsidR="00640316">
        <w:t xml:space="preserve">by completing the notification form hosted on the TGA Consultation Hub using the link below: </w:t>
      </w:r>
    </w:p>
    <w:p w14:paraId="5E15ED1F" w14:textId="37B8723E" w:rsidR="00FF108C" w:rsidRDefault="004A4FB2" w:rsidP="00FF108C">
      <w:hyperlink r:id="rId18" w:history="1">
        <w:r w:rsidR="00640316" w:rsidRPr="00640316">
          <w:rPr>
            <w:rStyle w:val="Hyperlink"/>
          </w:rPr>
          <w:t>https://consultations.tga.gov.au/tga/notification-form-lapses-in-conformity-assessment/</w:t>
        </w:r>
      </w:hyperlink>
      <w:r w:rsidR="00640316">
        <w:t xml:space="preserve"> </w:t>
      </w:r>
    </w:p>
    <w:p w14:paraId="2B490D81" w14:textId="6514D735" w:rsidR="00640316" w:rsidRDefault="00640316" w:rsidP="00FF108C">
      <w:r>
        <w:t xml:space="preserve">There is no fee associated with notification and a guidance document </w:t>
      </w:r>
      <w:r w:rsidR="00DB20FD">
        <w:t>is available</w:t>
      </w:r>
      <w:r>
        <w:t xml:space="preserve"> to assist sponsors </w:t>
      </w:r>
      <w:r w:rsidR="006B731E">
        <w:t xml:space="preserve">with </w:t>
      </w:r>
      <w:r>
        <w:t>complet</w:t>
      </w:r>
      <w:r w:rsidR="006B731E">
        <w:t>ing</w:t>
      </w:r>
      <w:r>
        <w:t xml:space="preserve"> and submit</w:t>
      </w:r>
      <w:r w:rsidR="006B731E">
        <w:t>ting</w:t>
      </w:r>
      <w:r>
        <w:t xml:space="preserve"> the notification form. The guidance document is available on the </w:t>
      </w:r>
      <w:hyperlink r:id="rId19" w:history="1">
        <w:r w:rsidRPr="007632DF">
          <w:rPr>
            <w:rStyle w:val="Hyperlink"/>
          </w:rPr>
          <w:t>TGA website</w:t>
        </w:r>
      </w:hyperlink>
      <w:r>
        <w:t xml:space="preserve"> and </w:t>
      </w:r>
      <w:r w:rsidR="006B731E">
        <w:t xml:space="preserve">with the </w:t>
      </w:r>
      <w:r w:rsidR="00F6623F">
        <w:t xml:space="preserve">notification </w:t>
      </w:r>
      <w:r w:rsidR="00697D57">
        <w:t xml:space="preserve">form </w:t>
      </w:r>
      <w:r>
        <w:t xml:space="preserve">on the </w:t>
      </w:r>
      <w:hyperlink r:id="rId20" w:history="1">
        <w:r w:rsidRPr="009B6130">
          <w:rPr>
            <w:rStyle w:val="Hyperlink"/>
          </w:rPr>
          <w:t xml:space="preserve">TGA </w:t>
        </w:r>
        <w:r w:rsidR="006B731E" w:rsidRPr="009B6130">
          <w:rPr>
            <w:rStyle w:val="Hyperlink"/>
          </w:rPr>
          <w:t>Consultation</w:t>
        </w:r>
        <w:r w:rsidRPr="009B6130">
          <w:rPr>
            <w:rStyle w:val="Hyperlink"/>
          </w:rPr>
          <w:t xml:space="preserve"> Hub.</w:t>
        </w:r>
      </w:hyperlink>
      <w:r>
        <w:t xml:space="preserve"> </w:t>
      </w:r>
    </w:p>
    <w:p w14:paraId="42118FD3" w14:textId="3A038D3D" w:rsidR="00FF108C" w:rsidRPr="00433339" w:rsidRDefault="006B731E" w:rsidP="00FF108C">
      <w:r>
        <w:rPr>
          <w:rFonts w:cstheme="minorHAnsi"/>
        </w:rPr>
        <w:t xml:space="preserve">If you have any questions regarding the notification form, please email the TGA at </w:t>
      </w:r>
      <w:hyperlink r:id="rId21" w:history="1">
        <w:r w:rsidR="00C933B2" w:rsidRPr="008D3FC1">
          <w:rPr>
            <w:rStyle w:val="Hyperlink"/>
            <w:rFonts w:cstheme="minorHAnsi"/>
          </w:rPr>
          <w:t>dvs@health.gov.au</w:t>
        </w:r>
      </w:hyperlink>
      <w:r>
        <w:rPr>
          <w:rFonts w:cstheme="minorHAnsi"/>
        </w:rPr>
        <w:t xml:space="preserve"> </w:t>
      </w:r>
      <w:r w:rsidR="00FF108C">
        <w:t>The TGA will take failure to inform it promptly of the above matters into account in deciding whether device entries should be suspended or cancelled.</w:t>
      </w:r>
    </w:p>
    <w:p w14:paraId="71BC841A" w14:textId="77777777"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0F24E3D8" w14:textId="77777777"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6824CB1C" w14:textId="77777777" w:rsidR="001A3190" w:rsidRPr="00215D48" w:rsidRDefault="001A3190" w:rsidP="00B33C56">
            <w:bookmarkStart w:id="7" w:name="ColumnTitle_4"/>
            <w:r w:rsidRPr="00215D48">
              <w:t>Version</w:t>
            </w:r>
          </w:p>
        </w:tc>
        <w:tc>
          <w:tcPr>
            <w:tcW w:w="3242" w:type="dxa"/>
          </w:tcPr>
          <w:p w14:paraId="6690E023"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5EF39F4A"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4332CE65" w14:textId="77777777"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7"/>
      <w:tr w:rsidR="00FC0552" w:rsidRPr="00215D48" w14:paraId="61C51C4C"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5457F35" w14:textId="08D4BE54" w:rsidR="00FC0552" w:rsidRPr="00215D48" w:rsidRDefault="00FC0552" w:rsidP="00FC0552">
            <w:r>
              <w:rPr>
                <w:spacing w:val="-4"/>
              </w:rPr>
              <w:t>V1.0</w:t>
            </w:r>
          </w:p>
        </w:tc>
        <w:tc>
          <w:tcPr>
            <w:tcW w:w="3242" w:type="dxa"/>
          </w:tcPr>
          <w:p w14:paraId="262DCE66" w14:textId="77EBD965" w:rsidR="00FC0552" w:rsidRPr="00215D48" w:rsidRDefault="00FC0552" w:rsidP="00FC0552">
            <w:pPr>
              <w:cnfStyle w:val="000000000000" w:firstRow="0" w:lastRow="0" w:firstColumn="0" w:lastColumn="0" w:oddVBand="0" w:evenVBand="0" w:oddHBand="0" w:evenHBand="0" w:firstRowFirstColumn="0" w:firstRowLastColumn="0" w:lastRowFirstColumn="0" w:lastRowLastColumn="0"/>
            </w:pPr>
            <w:r>
              <w:t>Original</w:t>
            </w:r>
            <w:r>
              <w:rPr>
                <w:spacing w:val="-4"/>
              </w:rPr>
              <w:t xml:space="preserve"> </w:t>
            </w:r>
            <w:r>
              <w:rPr>
                <w:spacing w:val="-2"/>
              </w:rPr>
              <w:t>publication</w:t>
            </w:r>
          </w:p>
        </w:tc>
        <w:tc>
          <w:tcPr>
            <w:tcW w:w="2712" w:type="dxa"/>
          </w:tcPr>
          <w:p w14:paraId="4653F718" w14:textId="5073F6E6" w:rsidR="00FC0552" w:rsidRPr="00215D48" w:rsidRDefault="00FC0552" w:rsidP="00FC0552">
            <w:pPr>
              <w:cnfStyle w:val="000000000000" w:firstRow="0" w:lastRow="0" w:firstColumn="0" w:lastColumn="0" w:oddVBand="0" w:evenVBand="0" w:oddHBand="0" w:evenHBand="0" w:firstRowFirstColumn="0" w:firstRowLastColumn="0" w:lastRowFirstColumn="0" w:lastRowLastColumn="0"/>
            </w:pPr>
            <w:r>
              <w:t>Devices Post Market Reforms and Reviews Section/Medical</w:t>
            </w:r>
            <w:r>
              <w:rPr>
                <w:spacing w:val="-13"/>
              </w:rPr>
              <w:t xml:space="preserve"> </w:t>
            </w:r>
            <w:r>
              <w:t xml:space="preserve">Devices </w:t>
            </w:r>
            <w:r>
              <w:rPr>
                <w:spacing w:val="-2"/>
              </w:rPr>
              <w:t>Branch</w:t>
            </w:r>
          </w:p>
        </w:tc>
        <w:tc>
          <w:tcPr>
            <w:tcW w:w="1808" w:type="dxa"/>
          </w:tcPr>
          <w:p w14:paraId="1E3B3DF8" w14:textId="55890A01" w:rsidR="00FC0552" w:rsidRPr="00215D48" w:rsidRDefault="00FC0552" w:rsidP="00FC0552">
            <w:pPr>
              <w:cnfStyle w:val="000000000000" w:firstRow="0" w:lastRow="0" w:firstColumn="0" w:lastColumn="0" w:oddVBand="0" w:evenVBand="0" w:oddHBand="0" w:evenHBand="0" w:firstRowFirstColumn="0" w:firstRowLastColumn="0" w:lastRowFirstColumn="0" w:lastRowLastColumn="0"/>
            </w:pPr>
            <w:r>
              <w:t>October</w:t>
            </w:r>
            <w:r>
              <w:rPr>
                <w:spacing w:val="-3"/>
              </w:rPr>
              <w:t xml:space="preserve"> </w:t>
            </w:r>
            <w:r>
              <w:rPr>
                <w:spacing w:val="-4"/>
              </w:rPr>
              <w:t>2020</w:t>
            </w:r>
          </w:p>
        </w:tc>
      </w:tr>
      <w:tr w:rsidR="00FC0552" w:rsidRPr="00215D48" w14:paraId="4613DE07"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0E09C40" w14:textId="6395E321" w:rsidR="00FC0552" w:rsidRDefault="00FC0552" w:rsidP="00FC0552">
            <w:pPr>
              <w:rPr>
                <w:spacing w:val="-4"/>
              </w:rPr>
            </w:pPr>
            <w:r>
              <w:t xml:space="preserve">V </w:t>
            </w:r>
            <w:r>
              <w:rPr>
                <w:spacing w:val="-5"/>
              </w:rPr>
              <w:t>1.1</w:t>
            </w:r>
          </w:p>
        </w:tc>
        <w:tc>
          <w:tcPr>
            <w:tcW w:w="3242" w:type="dxa"/>
          </w:tcPr>
          <w:p w14:paraId="13D6F11C" w14:textId="53BAED72" w:rsidR="00FC0552" w:rsidRDefault="00FC0552" w:rsidP="00FC0552">
            <w:pPr>
              <w:cnfStyle w:val="000000000000" w:firstRow="0" w:lastRow="0" w:firstColumn="0" w:lastColumn="0" w:oddVBand="0" w:evenVBand="0" w:oddHBand="0" w:evenHBand="0" w:firstRowFirstColumn="0" w:firstRowLastColumn="0" w:lastRowFirstColumn="0" w:lastRowLastColumn="0"/>
            </w:pPr>
            <w:r>
              <w:t>Updating to refer to relevance of 60-day legislated timeframe for criminal and civil penalty sanctions (MD regulation</w:t>
            </w:r>
            <w:r>
              <w:rPr>
                <w:spacing w:val="40"/>
              </w:rPr>
              <w:t xml:space="preserve"> </w:t>
            </w:r>
            <w:r>
              <w:t>5.7 and s 41MP/MPA of the Therapeutic Goods Act) to subject</w:t>
            </w:r>
            <w:r>
              <w:rPr>
                <w:spacing w:val="-11"/>
              </w:rPr>
              <w:t xml:space="preserve"> </w:t>
            </w:r>
            <w:r>
              <w:t>matter</w:t>
            </w:r>
            <w:r>
              <w:rPr>
                <w:spacing w:val="-10"/>
              </w:rPr>
              <w:t xml:space="preserve"> </w:t>
            </w:r>
            <w:r>
              <w:t>of</w:t>
            </w:r>
            <w:r>
              <w:rPr>
                <w:spacing w:val="-8"/>
              </w:rPr>
              <w:t xml:space="preserve"> </w:t>
            </w:r>
            <w:r>
              <w:t>this</w:t>
            </w:r>
            <w:r>
              <w:rPr>
                <w:spacing w:val="-7"/>
              </w:rPr>
              <w:t xml:space="preserve"> </w:t>
            </w:r>
            <w:r>
              <w:t>document</w:t>
            </w:r>
          </w:p>
        </w:tc>
        <w:tc>
          <w:tcPr>
            <w:tcW w:w="2712" w:type="dxa"/>
          </w:tcPr>
          <w:p w14:paraId="37EC78F1" w14:textId="4CD49C20" w:rsidR="00FC0552" w:rsidRDefault="00FC0552" w:rsidP="00FC0552">
            <w:pPr>
              <w:cnfStyle w:val="000000000000" w:firstRow="0" w:lastRow="0" w:firstColumn="0" w:lastColumn="0" w:oddVBand="0" w:evenVBand="0" w:oddHBand="0" w:evenHBand="0" w:firstRowFirstColumn="0" w:firstRowLastColumn="0" w:lastRowFirstColumn="0" w:lastRowLastColumn="0"/>
            </w:pPr>
            <w:r>
              <w:t>Devices Post Market Reforms and Reviews Section/Medical</w:t>
            </w:r>
            <w:r>
              <w:rPr>
                <w:spacing w:val="-13"/>
              </w:rPr>
              <w:t xml:space="preserve"> </w:t>
            </w:r>
            <w:r>
              <w:t xml:space="preserve">Devices </w:t>
            </w:r>
            <w:r>
              <w:rPr>
                <w:spacing w:val="-2"/>
              </w:rPr>
              <w:t>Branch</w:t>
            </w:r>
          </w:p>
        </w:tc>
        <w:tc>
          <w:tcPr>
            <w:tcW w:w="1808" w:type="dxa"/>
          </w:tcPr>
          <w:p w14:paraId="05E8911E" w14:textId="13764DF2" w:rsidR="00FC0552" w:rsidRDefault="00FC0552" w:rsidP="00FC0552">
            <w:pPr>
              <w:cnfStyle w:val="000000000000" w:firstRow="0" w:lastRow="0" w:firstColumn="0" w:lastColumn="0" w:oddVBand="0" w:evenVBand="0" w:oddHBand="0" w:evenHBand="0" w:firstRowFirstColumn="0" w:firstRowLastColumn="0" w:lastRowFirstColumn="0" w:lastRowLastColumn="0"/>
            </w:pPr>
            <w:r>
              <w:t>January</w:t>
            </w:r>
            <w:r>
              <w:rPr>
                <w:spacing w:val="-7"/>
              </w:rPr>
              <w:t xml:space="preserve"> </w:t>
            </w:r>
            <w:r>
              <w:rPr>
                <w:spacing w:val="-4"/>
              </w:rPr>
              <w:t>2021</w:t>
            </w:r>
          </w:p>
        </w:tc>
      </w:tr>
      <w:tr w:rsidR="00FC0552" w:rsidRPr="00215D48" w14:paraId="6B45FD6F"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86AB5A6" w14:textId="640C1CA0" w:rsidR="00FC0552" w:rsidRDefault="00FC0552" w:rsidP="00FC0552">
            <w:r>
              <w:t>V 1.2</w:t>
            </w:r>
          </w:p>
        </w:tc>
        <w:tc>
          <w:tcPr>
            <w:tcW w:w="3242" w:type="dxa"/>
          </w:tcPr>
          <w:p w14:paraId="30C7A1A8" w14:textId="30DD3FC0" w:rsidR="00FC0552" w:rsidRDefault="00FC0552" w:rsidP="00FC0552">
            <w:pPr>
              <w:cnfStyle w:val="000000000000" w:firstRow="0" w:lastRow="0" w:firstColumn="0" w:lastColumn="0" w:oddVBand="0" w:evenVBand="0" w:oddHBand="0" w:evenHBand="0" w:firstRowFirstColumn="0" w:firstRowLastColumn="0" w:lastRowFirstColumn="0" w:lastRowLastColumn="0"/>
            </w:pPr>
            <w:r>
              <w:t>Updating to include link to Conformity Assessment certification lapse notification form on TGA Consultation Hub</w:t>
            </w:r>
          </w:p>
        </w:tc>
        <w:tc>
          <w:tcPr>
            <w:tcW w:w="2712" w:type="dxa"/>
          </w:tcPr>
          <w:p w14:paraId="759189B6" w14:textId="47CECAF1" w:rsidR="00FC0552" w:rsidRDefault="00FC0552" w:rsidP="00FC0552">
            <w:pPr>
              <w:cnfStyle w:val="000000000000" w:firstRow="0" w:lastRow="0" w:firstColumn="0" w:lastColumn="0" w:oddVBand="0" w:evenVBand="0" w:oddHBand="0" w:evenHBand="0" w:firstRowFirstColumn="0" w:firstRowLastColumn="0" w:lastRowFirstColumn="0" w:lastRowLastColumn="0"/>
            </w:pPr>
            <w:r>
              <w:t>Devices Post Market Reforms and Reviews Section</w:t>
            </w:r>
          </w:p>
        </w:tc>
        <w:tc>
          <w:tcPr>
            <w:tcW w:w="1808" w:type="dxa"/>
          </w:tcPr>
          <w:p w14:paraId="6B5D0998" w14:textId="6B69656E" w:rsidR="00FC0552" w:rsidRDefault="00FC0552" w:rsidP="00FC0552">
            <w:pPr>
              <w:cnfStyle w:val="000000000000" w:firstRow="0" w:lastRow="0" w:firstColumn="0" w:lastColumn="0" w:oddVBand="0" w:evenVBand="0" w:oddHBand="0" w:evenHBand="0" w:firstRowFirstColumn="0" w:firstRowLastColumn="0" w:lastRowFirstColumn="0" w:lastRowLastColumn="0"/>
            </w:pPr>
            <w:r>
              <w:t>September 2022</w:t>
            </w:r>
          </w:p>
        </w:tc>
      </w:tr>
      <w:tr w:rsidR="004C14C6" w:rsidRPr="00215D48" w14:paraId="0EB344CA"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3E0CD8B" w14:textId="517490DF" w:rsidR="004C14C6" w:rsidRDefault="004C14C6" w:rsidP="00FC0552">
            <w:r>
              <w:t>V.1.3</w:t>
            </w:r>
          </w:p>
        </w:tc>
        <w:tc>
          <w:tcPr>
            <w:tcW w:w="3242" w:type="dxa"/>
          </w:tcPr>
          <w:p w14:paraId="023A14AF" w14:textId="4D1E30B5" w:rsidR="004C14C6" w:rsidRDefault="00D939D3" w:rsidP="00FC0552">
            <w:pPr>
              <w:cnfStyle w:val="000000000000" w:firstRow="0" w:lastRow="0" w:firstColumn="0" w:lastColumn="0" w:oddVBand="0" w:evenVBand="0" w:oddHBand="0" w:evenHBand="0" w:firstRowFirstColumn="0" w:firstRowLastColumn="0" w:lastRowFirstColumn="0" w:lastRowLastColumn="0"/>
            </w:pPr>
            <w:r>
              <w:t xml:space="preserve">Minor </w:t>
            </w:r>
            <w:r w:rsidR="00D02F0D">
              <w:t>update in text to clarify</w:t>
            </w:r>
            <w:r w:rsidR="00E63CC9">
              <w:t xml:space="preserve"> legislated requirements</w:t>
            </w:r>
          </w:p>
        </w:tc>
        <w:tc>
          <w:tcPr>
            <w:tcW w:w="2712" w:type="dxa"/>
          </w:tcPr>
          <w:p w14:paraId="0938201F" w14:textId="2AD7E1F5" w:rsidR="004C14C6" w:rsidRDefault="004C14C6" w:rsidP="00FC0552">
            <w:pPr>
              <w:cnfStyle w:val="000000000000" w:firstRow="0" w:lastRow="0" w:firstColumn="0" w:lastColumn="0" w:oddVBand="0" w:evenVBand="0" w:oddHBand="0" w:evenHBand="0" w:firstRowFirstColumn="0" w:firstRowLastColumn="0" w:lastRowFirstColumn="0" w:lastRowLastColumn="0"/>
            </w:pPr>
            <w:r>
              <w:t>Devices Post Market Reforms and Reviews Section</w:t>
            </w:r>
          </w:p>
        </w:tc>
        <w:tc>
          <w:tcPr>
            <w:tcW w:w="1808" w:type="dxa"/>
          </w:tcPr>
          <w:p w14:paraId="4934EEA0" w14:textId="3C51D6AD" w:rsidR="004C14C6" w:rsidRDefault="004C14C6" w:rsidP="00FC0552">
            <w:pPr>
              <w:cnfStyle w:val="000000000000" w:firstRow="0" w:lastRow="0" w:firstColumn="0" w:lastColumn="0" w:oddVBand="0" w:evenVBand="0" w:oddHBand="0" w:evenHBand="0" w:firstRowFirstColumn="0" w:firstRowLastColumn="0" w:lastRowFirstColumn="0" w:lastRowLastColumn="0"/>
            </w:pPr>
            <w:r>
              <w:t>June 2023</w:t>
            </w:r>
          </w:p>
        </w:tc>
      </w:tr>
    </w:tbl>
    <w:p w14:paraId="61DB7B34" w14:textId="77777777" w:rsidR="00F401EF" w:rsidRPr="00215D48" w:rsidRDefault="00F401EF" w:rsidP="00706634">
      <w:pPr>
        <w:spacing w:before="0" w:after="0" w:line="240" w:lineRule="auto"/>
        <w:rPr>
          <w:sz w:val="20"/>
        </w:rPr>
        <w:sectPr w:rsidR="00F401EF" w:rsidRPr="00215D48" w:rsidSect="00AE7C6A">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2AF14741" w14:textId="77777777" w:rsidTr="00564BBE">
        <w:trPr>
          <w:trHeight w:hRule="exact" w:val="565"/>
          <w:jc w:val="center"/>
        </w:trPr>
        <w:tc>
          <w:tcPr>
            <w:tcW w:w="9145" w:type="dxa"/>
          </w:tcPr>
          <w:p w14:paraId="3C1273CD" w14:textId="77777777" w:rsidR="00C50E5C" w:rsidRPr="00215D48" w:rsidRDefault="00C50E5C" w:rsidP="00564BBE">
            <w:pPr>
              <w:pStyle w:val="TGASignoff"/>
            </w:pPr>
            <w:r w:rsidRPr="00215D48">
              <w:lastRenderedPageBreak/>
              <w:t>Therapeutic Goods Administration</w:t>
            </w:r>
          </w:p>
        </w:tc>
      </w:tr>
      <w:tr w:rsidR="00C50E5C" w:rsidRPr="00215D48" w14:paraId="5EE2A915" w14:textId="77777777" w:rsidTr="00564BBE">
        <w:trPr>
          <w:trHeight w:val="963"/>
          <w:jc w:val="center"/>
        </w:trPr>
        <w:tc>
          <w:tcPr>
            <w:tcW w:w="9145" w:type="dxa"/>
            <w:tcMar>
              <w:top w:w="28" w:type="dxa"/>
            </w:tcMar>
          </w:tcPr>
          <w:p w14:paraId="054762E8" w14:textId="77777777" w:rsidR="00C50E5C" w:rsidRPr="00215D48" w:rsidRDefault="00C50E5C" w:rsidP="00EB5622">
            <w:pPr>
              <w:pStyle w:val="Address"/>
              <w:jc w:val="center"/>
            </w:pPr>
            <w:r w:rsidRPr="00215D48">
              <w:t>PO Box 100 Woden ACT 2606 Australia</w:t>
            </w:r>
          </w:p>
          <w:p w14:paraId="1EAA0D0A" w14:textId="77777777" w:rsidR="001A3190" w:rsidRDefault="00C50E5C">
            <w:pPr>
              <w:pStyle w:val="Address"/>
              <w:jc w:val="center"/>
              <w:rPr>
                <w:sz w:val="22"/>
                <w:szCs w:val="22"/>
              </w:rPr>
            </w:pPr>
            <w:r w:rsidRPr="00215D48">
              <w:t xml:space="preserve">Email: </w:t>
            </w:r>
            <w:hyperlink r:id="rId22"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001A3190" w:rsidRPr="00BA0DFC">
              <w:t>02 6203 1605</w:t>
            </w:r>
          </w:p>
          <w:p w14:paraId="7CC2F94B" w14:textId="77777777" w:rsidR="00C50E5C" w:rsidRPr="00215D48" w:rsidRDefault="004A4FB2">
            <w:pPr>
              <w:pStyle w:val="Address"/>
              <w:jc w:val="center"/>
              <w:rPr>
                <w:rStyle w:val="Hyperlink"/>
                <w:b/>
                <w:color w:val="auto"/>
                <w:sz w:val="22"/>
                <w:u w:val="none"/>
              </w:rPr>
            </w:pPr>
            <w:hyperlink r:id="rId23" w:history="1">
              <w:r w:rsidR="00215D48" w:rsidRPr="00C4721A">
                <w:rPr>
                  <w:rStyle w:val="Hyperlink"/>
                  <w:b/>
                </w:rPr>
                <w:t>https://www.tga.gov.au</w:t>
              </w:r>
            </w:hyperlink>
          </w:p>
        </w:tc>
      </w:tr>
      <w:tr w:rsidR="00C50E5C" w:rsidRPr="00215D48" w14:paraId="3E029B93" w14:textId="77777777" w:rsidTr="00564BBE">
        <w:trPr>
          <w:trHeight w:val="251"/>
          <w:jc w:val="center"/>
        </w:trPr>
        <w:tc>
          <w:tcPr>
            <w:tcW w:w="9145" w:type="dxa"/>
            <w:tcMar>
              <w:top w:w="28" w:type="dxa"/>
            </w:tcMar>
          </w:tcPr>
          <w:p w14:paraId="387D67C4" w14:textId="77777777" w:rsidR="00C50E5C" w:rsidRPr="00215D48" w:rsidRDefault="00C50E5C" w:rsidP="00EB5622">
            <w:pPr>
              <w:pStyle w:val="Address"/>
              <w:jc w:val="center"/>
            </w:pPr>
            <w:r w:rsidRPr="00215D48">
              <w:t>Reference/Publication #</w:t>
            </w:r>
          </w:p>
        </w:tc>
      </w:tr>
    </w:tbl>
    <w:p w14:paraId="05173A49" w14:textId="77777777" w:rsidR="00706634" w:rsidRPr="00215D48" w:rsidRDefault="00706634" w:rsidP="004A3084">
      <w:pPr>
        <w:rPr>
          <w:sz w:val="20"/>
        </w:rPr>
      </w:pPr>
    </w:p>
    <w:sectPr w:rsidR="00706634" w:rsidRPr="00215D48" w:rsidSect="00AE7C6A">
      <w:headerReference w:type="first" r:id="rId24"/>
      <w:footerReference w:type="first" r:id="rId25"/>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15F24" w14:textId="77777777" w:rsidR="00C7230A" w:rsidRDefault="00C7230A" w:rsidP="00C40A36">
      <w:pPr>
        <w:spacing w:after="0"/>
      </w:pPr>
      <w:r>
        <w:separator/>
      </w:r>
    </w:p>
  </w:endnote>
  <w:endnote w:type="continuationSeparator" w:id="0">
    <w:p w14:paraId="03070B5B" w14:textId="77777777" w:rsidR="00C7230A" w:rsidRDefault="00C7230A"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68C40DE4" w14:textId="77777777" w:rsidTr="000B30E5">
      <w:trPr>
        <w:trHeight w:val="423"/>
      </w:trPr>
      <w:tc>
        <w:tcPr>
          <w:tcW w:w="4360" w:type="dxa"/>
          <w:tcBorders>
            <w:top w:val="single" w:sz="4" w:space="0" w:color="auto"/>
          </w:tcBorders>
        </w:tcPr>
        <w:p w14:paraId="733AA038" w14:textId="77777777" w:rsidR="00A77452" w:rsidRDefault="00A77452" w:rsidP="000B30E5">
          <w:pPr>
            <w:pStyle w:val="Footer"/>
          </w:pPr>
        </w:p>
        <w:p w14:paraId="2B2188D2"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408A9929" w14:textId="77777777" w:rsidR="00A77452" w:rsidRDefault="00A77452" w:rsidP="000B30E5">
              <w:pPr>
                <w:pStyle w:val="Footer"/>
                <w:jc w:val="right"/>
              </w:pPr>
            </w:p>
            <w:p w14:paraId="20228E91"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fldSimple w:instr=" NUMPAGES  ">
                <w:r w:rsidR="00EB6CAF">
                  <w:rPr>
                    <w:noProof/>
                  </w:rPr>
                  <w:t>2</w:t>
                </w:r>
              </w:fldSimple>
            </w:p>
          </w:sdtContent>
        </w:sdt>
      </w:tc>
    </w:tr>
    <w:tr w:rsidR="00A77452" w:rsidRPr="00257138" w14:paraId="722582B8" w14:textId="77777777" w:rsidTr="000B30E5">
      <w:trPr>
        <w:trHeight w:val="263"/>
      </w:trPr>
      <w:tc>
        <w:tcPr>
          <w:tcW w:w="4360" w:type="dxa"/>
        </w:tcPr>
        <w:p w14:paraId="4455CD07"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2AA76048" w14:textId="77777777" w:rsidR="00A77452" w:rsidRPr="00257138" w:rsidRDefault="00A77452" w:rsidP="000B30E5">
          <w:pPr>
            <w:pStyle w:val="Footer"/>
            <w:jc w:val="right"/>
          </w:pPr>
        </w:p>
      </w:tc>
    </w:tr>
  </w:tbl>
  <w:p w14:paraId="2414C182"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7989"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75C5CC60" w14:textId="77777777" w:rsidTr="00030D34">
      <w:trPr>
        <w:trHeight w:val="423"/>
      </w:trPr>
      <w:tc>
        <w:tcPr>
          <w:tcW w:w="7338" w:type="dxa"/>
          <w:tcBorders>
            <w:top w:val="single" w:sz="4" w:space="0" w:color="auto"/>
          </w:tcBorders>
        </w:tcPr>
        <w:p w14:paraId="382C7FAE" w14:textId="1FB22F01" w:rsidR="00A77452" w:rsidRPr="004A3084" w:rsidRDefault="00C7230A" w:rsidP="00F54CA9">
          <w:pPr>
            <w:pStyle w:val="Footer"/>
          </w:pPr>
          <w:fldSimple w:instr=" FILENAME \* MERGEFORMAT ">
            <w:r w:rsidR="00640316">
              <w:rPr>
                <w:noProof/>
              </w:rPr>
              <w:t xml:space="preserve">TGA's Approach to delays in medical device conformity assessment recertification </w:t>
            </w:r>
          </w:fldSimple>
          <w:r w:rsidR="00A77452">
            <w:br/>
          </w:r>
          <w:r w:rsidR="00640316">
            <w:rPr>
              <w:noProof/>
            </w:rPr>
            <w:t>V 1.</w:t>
          </w:r>
          <w:r w:rsidR="00652704">
            <w:rPr>
              <w:noProof/>
            </w:rPr>
            <w:t>3 June 2023</w:t>
          </w:r>
        </w:p>
      </w:tc>
      <w:tc>
        <w:tcPr>
          <w:tcW w:w="1734" w:type="dxa"/>
          <w:tcBorders>
            <w:top w:val="single" w:sz="4" w:space="0" w:color="auto"/>
          </w:tcBorders>
        </w:tcPr>
        <w:sdt>
          <w:sdtPr>
            <w:id w:val="11571659"/>
            <w:docPartObj>
              <w:docPartGallery w:val="Page Numbers (Top of Page)"/>
              <w:docPartUnique/>
            </w:docPartObj>
          </w:sdtPr>
          <w:sdtEndPr/>
          <w:sdtContent>
            <w:p w14:paraId="1E2B14B3" w14:textId="77777777"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5165">
                <w:rPr>
                  <w:noProof/>
                </w:rPr>
                <w:t>6</w:t>
              </w:r>
              <w:r w:rsidR="003361D1">
                <w:rPr>
                  <w:noProof/>
                </w:rPr>
                <w:fldChar w:fldCharType="end"/>
              </w:r>
              <w:r w:rsidRPr="004A3084">
                <w:t xml:space="preserve"> of </w:t>
              </w:r>
              <w:fldSimple w:instr=" NUMPAGES  ">
                <w:r w:rsidR="00525165">
                  <w:rPr>
                    <w:noProof/>
                  </w:rPr>
                  <w:t>7</w:t>
                </w:r>
              </w:fldSimple>
            </w:p>
          </w:sdtContent>
        </w:sdt>
      </w:tc>
    </w:tr>
  </w:tbl>
  <w:p w14:paraId="403E654D"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035F"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B8075" w14:textId="77777777" w:rsidR="00C7230A" w:rsidRDefault="00C7230A" w:rsidP="00C40A36">
      <w:pPr>
        <w:spacing w:after="0"/>
      </w:pPr>
      <w:r>
        <w:separator/>
      </w:r>
    </w:p>
  </w:footnote>
  <w:footnote w:type="continuationSeparator" w:id="0">
    <w:p w14:paraId="38D525E0" w14:textId="77777777" w:rsidR="00C7230A" w:rsidRDefault="00C7230A"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56FB" w14:textId="77777777" w:rsidR="00A77452" w:rsidRDefault="004A4FB2" w:rsidP="00C3408D">
    <w:pPr>
      <w:pStyle w:val="Header"/>
    </w:pPr>
    <w:sdt>
      <w:sdtPr>
        <w:id w:val="-203553135"/>
        <w:docPartObj>
          <w:docPartGallery w:val="Watermarks"/>
          <w:docPartUnique/>
        </w:docPartObj>
      </w:sdtPr>
      <w:sdtEndPr/>
      <w:sdtContent>
        <w:r>
          <w:rPr>
            <w:noProof/>
          </w:rPr>
          <w:pict w14:anchorId="47987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4E08C780" w14:textId="77777777" w:rsidTr="00F71E1E">
      <w:trPr>
        <w:trHeight w:hRule="exact" w:val="8845"/>
      </w:trPr>
      <w:tc>
        <w:tcPr>
          <w:tcW w:w="11964" w:type="dxa"/>
          <w:vAlign w:val="center"/>
        </w:tcPr>
        <w:p w14:paraId="67269401" w14:textId="77777777" w:rsidR="00A77452" w:rsidRPr="002B29B2" w:rsidRDefault="004A4FB2"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3F6429B7" wp14:editId="00A11BF7">
                    <wp:extent cx="7631430" cy="5523865"/>
                    <wp:effectExtent l="0" t="0" r="7620" b="635"/>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41DA4ADF" w14:textId="77777777" w:rsidR="00A77452" w:rsidRDefault="0078745C" w:rsidP="006D03E5">
    <w:pPr>
      <w:rPr>
        <w:noProof/>
      </w:rPr>
    </w:pPr>
    <w:r w:rsidRPr="002B29B2">
      <w:rPr>
        <w:noProof/>
        <w:lang w:eastAsia="en-AU"/>
      </w:rPr>
      <w:drawing>
        <wp:anchor distT="0" distB="0" distL="114300" distR="114300" simplePos="0" relativeHeight="251662336" behindDoc="0" locked="0" layoutInCell="0" allowOverlap="1" wp14:anchorId="3FBA74F9" wp14:editId="6F264EAB">
          <wp:simplePos x="0" y="0"/>
          <wp:positionH relativeFrom="page">
            <wp:align>left</wp:align>
          </wp:positionH>
          <wp:positionV relativeFrom="page">
            <wp:posOffset>3239495</wp:posOffset>
          </wp:positionV>
          <wp:extent cx="7663815" cy="4323091"/>
          <wp:effectExtent l="0" t="0" r="0" b="127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2BA4F61A" wp14:editId="72820036">
          <wp:simplePos x="0" y="0"/>
          <wp:positionH relativeFrom="column">
            <wp:posOffset>-186055</wp:posOffset>
          </wp:positionH>
          <wp:positionV relativeFrom="paragraph">
            <wp:posOffset>136525</wp:posOffset>
          </wp:positionV>
          <wp:extent cx="3524250" cy="819150"/>
          <wp:effectExtent l="0" t="0" r="0" b="0"/>
          <wp:wrapTopAndBottom/>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491B" w14:textId="77777777"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AD0F"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382A1E"/>
    <w:multiLevelType w:val="hybridMultilevel"/>
    <w:tmpl w:val="8C2CD7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8"/>
  </w:num>
  <w:num w:numId="20">
    <w:abstractNumId w:val="6"/>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39"/>
    <w:rsid w:val="0000160F"/>
    <w:rsid w:val="00002031"/>
    <w:rsid w:val="000040BA"/>
    <w:rsid w:val="00004734"/>
    <w:rsid w:val="00006B22"/>
    <w:rsid w:val="00010E4D"/>
    <w:rsid w:val="0001276A"/>
    <w:rsid w:val="00013AEB"/>
    <w:rsid w:val="00016BEB"/>
    <w:rsid w:val="000246AE"/>
    <w:rsid w:val="00025C67"/>
    <w:rsid w:val="00030D34"/>
    <w:rsid w:val="00032FFB"/>
    <w:rsid w:val="0005559E"/>
    <w:rsid w:val="00062978"/>
    <w:rsid w:val="000703AB"/>
    <w:rsid w:val="000724FC"/>
    <w:rsid w:val="00074CAE"/>
    <w:rsid w:val="00077775"/>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0F71"/>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B64CC"/>
    <w:rsid w:val="001C3A9E"/>
    <w:rsid w:val="001D7224"/>
    <w:rsid w:val="001E07CF"/>
    <w:rsid w:val="001E275A"/>
    <w:rsid w:val="001E59F1"/>
    <w:rsid w:val="001F124F"/>
    <w:rsid w:val="001F20F9"/>
    <w:rsid w:val="001F49EB"/>
    <w:rsid w:val="001F6CBA"/>
    <w:rsid w:val="00201D4E"/>
    <w:rsid w:val="00215D48"/>
    <w:rsid w:val="00217091"/>
    <w:rsid w:val="00220B8A"/>
    <w:rsid w:val="002257F3"/>
    <w:rsid w:val="00231E8D"/>
    <w:rsid w:val="00233456"/>
    <w:rsid w:val="002339A5"/>
    <w:rsid w:val="00237691"/>
    <w:rsid w:val="00247FB9"/>
    <w:rsid w:val="00251A51"/>
    <w:rsid w:val="00257138"/>
    <w:rsid w:val="00257848"/>
    <w:rsid w:val="0027084A"/>
    <w:rsid w:val="0028163F"/>
    <w:rsid w:val="00285213"/>
    <w:rsid w:val="00286434"/>
    <w:rsid w:val="00286C59"/>
    <w:rsid w:val="0029069E"/>
    <w:rsid w:val="00290795"/>
    <w:rsid w:val="002942D1"/>
    <w:rsid w:val="002A0556"/>
    <w:rsid w:val="002A592C"/>
    <w:rsid w:val="002A5B3A"/>
    <w:rsid w:val="002A706C"/>
    <w:rsid w:val="002B1638"/>
    <w:rsid w:val="002B25CB"/>
    <w:rsid w:val="002B29B2"/>
    <w:rsid w:val="002C376C"/>
    <w:rsid w:val="002C6E9C"/>
    <w:rsid w:val="002E193A"/>
    <w:rsid w:val="002E364F"/>
    <w:rsid w:val="002E4C9A"/>
    <w:rsid w:val="002F11F8"/>
    <w:rsid w:val="002F260A"/>
    <w:rsid w:val="002F3F56"/>
    <w:rsid w:val="002F44B5"/>
    <w:rsid w:val="00300350"/>
    <w:rsid w:val="00301FA3"/>
    <w:rsid w:val="00311AC0"/>
    <w:rsid w:val="00317AD2"/>
    <w:rsid w:val="00323F14"/>
    <w:rsid w:val="003252DE"/>
    <w:rsid w:val="00325399"/>
    <w:rsid w:val="00331DBB"/>
    <w:rsid w:val="00335C3B"/>
    <w:rsid w:val="003361D1"/>
    <w:rsid w:val="00350236"/>
    <w:rsid w:val="0035146C"/>
    <w:rsid w:val="003521E8"/>
    <w:rsid w:val="00357700"/>
    <w:rsid w:val="0036361E"/>
    <w:rsid w:val="003664BF"/>
    <w:rsid w:val="00367F70"/>
    <w:rsid w:val="003728F3"/>
    <w:rsid w:val="00376793"/>
    <w:rsid w:val="003843F6"/>
    <w:rsid w:val="00390900"/>
    <w:rsid w:val="00391475"/>
    <w:rsid w:val="00393398"/>
    <w:rsid w:val="003A2DDF"/>
    <w:rsid w:val="003B362C"/>
    <w:rsid w:val="003B7E39"/>
    <w:rsid w:val="003C58DC"/>
    <w:rsid w:val="003D3B63"/>
    <w:rsid w:val="003D6B56"/>
    <w:rsid w:val="003E0A89"/>
    <w:rsid w:val="003E3208"/>
    <w:rsid w:val="003F0B04"/>
    <w:rsid w:val="003F282B"/>
    <w:rsid w:val="003F2E95"/>
    <w:rsid w:val="0040134E"/>
    <w:rsid w:val="00404B57"/>
    <w:rsid w:val="00406DB9"/>
    <w:rsid w:val="00416BCB"/>
    <w:rsid w:val="00433339"/>
    <w:rsid w:val="00440A2D"/>
    <w:rsid w:val="00442DA9"/>
    <w:rsid w:val="0045040C"/>
    <w:rsid w:val="004564A7"/>
    <w:rsid w:val="004617BF"/>
    <w:rsid w:val="00473864"/>
    <w:rsid w:val="00483D37"/>
    <w:rsid w:val="004923FF"/>
    <w:rsid w:val="004927EC"/>
    <w:rsid w:val="00494CA4"/>
    <w:rsid w:val="00494E60"/>
    <w:rsid w:val="0049734C"/>
    <w:rsid w:val="004A3084"/>
    <w:rsid w:val="004A4FB2"/>
    <w:rsid w:val="004B7B76"/>
    <w:rsid w:val="004C0070"/>
    <w:rsid w:val="004C100A"/>
    <w:rsid w:val="004C14C6"/>
    <w:rsid w:val="004C4096"/>
    <w:rsid w:val="004C6E9B"/>
    <w:rsid w:val="004D51A6"/>
    <w:rsid w:val="004F0F38"/>
    <w:rsid w:val="004F1240"/>
    <w:rsid w:val="004F40D8"/>
    <w:rsid w:val="004F484B"/>
    <w:rsid w:val="00501921"/>
    <w:rsid w:val="00523FB1"/>
    <w:rsid w:val="00525165"/>
    <w:rsid w:val="00526B28"/>
    <w:rsid w:val="00530354"/>
    <w:rsid w:val="00531B69"/>
    <w:rsid w:val="00535D83"/>
    <w:rsid w:val="0054053C"/>
    <w:rsid w:val="00541FD8"/>
    <w:rsid w:val="005423EF"/>
    <w:rsid w:val="005434C6"/>
    <w:rsid w:val="00543B39"/>
    <w:rsid w:val="00550096"/>
    <w:rsid w:val="0055653F"/>
    <w:rsid w:val="00557FF9"/>
    <w:rsid w:val="00560037"/>
    <w:rsid w:val="005640AC"/>
    <w:rsid w:val="00567A2E"/>
    <w:rsid w:val="0057564C"/>
    <w:rsid w:val="00576378"/>
    <w:rsid w:val="00577E38"/>
    <w:rsid w:val="00584285"/>
    <w:rsid w:val="00585322"/>
    <w:rsid w:val="0059345B"/>
    <w:rsid w:val="00593AD1"/>
    <w:rsid w:val="005A1131"/>
    <w:rsid w:val="005C5570"/>
    <w:rsid w:val="005C5FD4"/>
    <w:rsid w:val="005C79A4"/>
    <w:rsid w:val="005D1689"/>
    <w:rsid w:val="005D248B"/>
    <w:rsid w:val="005D5442"/>
    <w:rsid w:val="005D55A3"/>
    <w:rsid w:val="005E5568"/>
    <w:rsid w:val="005F458A"/>
    <w:rsid w:val="005F5830"/>
    <w:rsid w:val="00610D73"/>
    <w:rsid w:val="00625015"/>
    <w:rsid w:val="0062573C"/>
    <w:rsid w:val="00640316"/>
    <w:rsid w:val="00640FC3"/>
    <w:rsid w:val="00642020"/>
    <w:rsid w:val="0065200D"/>
    <w:rsid w:val="00652704"/>
    <w:rsid w:val="0065337B"/>
    <w:rsid w:val="0065419D"/>
    <w:rsid w:val="006604D8"/>
    <w:rsid w:val="00664A5B"/>
    <w:rsid w:val="00667942"/>
    <w:rsid w:val="00680C08"/>
    <w:rsid w:val="0068344F"/>
    <w:rsid w:val="0068741A"/>
    <w:rsid w:val="006931B1"/>
    <w:rsid w:val="006974FD"/>
    <w:rsid w:val="00697D57"/>
    <w:rsid w:val="006A15C0"/>
    <w:rsid w:val="006A2426"/>
    <w:rsid w:val="006A2A31"/>
    <w:rsid w:val="006A38E4"/>
    <w:rsid w:val="006B731E"/>
    <w:rsid w:val="006C1F3B"/>
    <w:rsid w:val="006C3E2A"/>
    <w:rsid w:val="006C43B5"/>
    <w:rsid w:val="006C642F"/>
    <w:rsid w:val="006D03E5"/>
    <w:rsid w:val="006D5D3E"/>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23BF8"/>
    <w:rsid w:val="00724E0E"/>
    <w:rsid w:val="00732FEE"/>
    <w:rsid w:val="0074253D"/>
    <w:rsid w:val="0074429B"/>
    <w:rsid w:val="007477F8"/>
    <w:rsid w:val="00751EBD"/>
    <w:rsid w:val="00753687"/>
    <w:rsid w:val="00753A56"/>
    <w:rsid w:val="0075524A"/>
    <w:rsid w:val="00756C9D"/>
    <w:rsid w:val="007615BC"/>
    <w:rsid w:val="007622D7"/>
    <w:rsid w:val="00762F05"/>
    <w:rsid w:val="007632DF"/>
    <w:rsid w:val="00764FC4"/>
    <w:rsid w:val="007652FF"/>
    <w:rsid w:val="00771329"/>
    <w:rsid w:val="00773EF7"/>
    <w:rsid w:val="00774E1D"/>
    <w:rsid w:val="0077675A"/>
    <w:rsid w:val="00780355"/>
    <w:rsid w:val="00785721"/>
    <w:rsid w:val="00785B06"/>
    <w:rsid w:val="0078745C"/>
    <w:rsid w:val="00793A59"/>
    <w:rsid w:val="00795DC5"/>
    <w:rsid w:val="007A2162"/>
    <w:rsid w:val="007B3C16"/>
    <w:rsid w:val="007C0F3D"/>
    <w:rsid w:val="007C1AF7"/>
    <w:rsid w:val="007C4B2E"/>
    <w:rsid w:val="007D2AAF"/>
    <w:rsid w:val="007E175B"/>
    <w:rsid w:val="007F17AF"/>
    <w:rsid w:val="007F2054"/>
    <w:rsid w:val="00816164"/>
    <w:rsid w:val="00821776"/>
    <w:rsid w:val="00826007"/>
    <w:rsid w:val="008320C3"/>
    <w:rsid w:val="008321F5"/>
    <w:rsid w:val="00832369"/>
    <w:rsid w:val="00834660"/>
    <w:rsid w:val="00836BC2"/>
    <w:rsid w:val="0085641B"/>
    <w:rsid w:val="00857136"/>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47BE9"/>
    <w:rsid w:val="0096319D"/>
    <w:rsid w:val="00963C08"/>
    <w:rsid w:val="00964F68"/>
    <w:rsid w:val="009707B8"/>
    <w:rsid w:val="00974DBB"/>
    <w:rsid w:val="0099110E"/>
    <w:rsid w:val="00994189"/>
    <w:rsid w:val="009A4CED"/>
    <w:rsid w:val="009A5BC7"/>
    <w:rsid w:val="009A62F6"/>
    <w:rsid w:val="009B1D12"/>
    <w:rsid w:val="009B3475"/>
    <w:rsid w:val="009B416B"/>
    <w:rsid w:val="009B6130"/>
    <w:rsid w:val="009B68A6"/>
    <w:rsid w:val="009C4BD5"/>
    <w:rsid w:val="009D059A"/>
    <w:rsid w:val="009D2E04"/>
    <w:rsid w:val="009D7B77"/>
    <w:rsid w:val="009E0BB0"/>
    <w:rsid w:val="009E3FBB"/>
    <w:rsid w:val="009E45E7"/>
    <w:rsid w:val="009F018D"/>
    <w:rsid w:val="009F0B33"/>
    <w:rsid w:val="00A1235B"/>
    <w:rsid w:val="00A14DF7"/>
    <w:rsid w:val="00A26E24"/>
    <w:rsid w:val="00A3246D"/>
    <w:rsid w:val="00A36FA7"/>
    <w:rsid w:val="00A4235C"/>
    <w:rsid w:val="00A43741"/>
    <w:rsid w:val="00A47459"/>
    <w:rsid w:val="00A475B7"/>
    <w:rsid w:val="00A47AF7"/>
    <w:rsid w:val="00A47C3E"/>
    <w:rsid w:val="00A50226"/>
    <w:rsid w:val="00A60BAD"/>
    <w:rsid w:val="00A644D1"/>
    <w:rsid w:val="00A73A8D"/>
    <w:rsid w:val="00A77452"/>
    <w:rsid w:val="00A87334"/>
    <w:rsid w:val="00AA3EB9"/>
    <w:rsid w:val="00AC2B40"/>
    <w:rsid w:val="00AC2BB2"/>
    <w:rsid w:val="00AC2C3C"/>
    <w:rsid w:val="00AC3BD9"/>
    <w:rsid w:val="00AC3D45"/>
    <w:rsid w:val="00AC6E0B"/>
    <w:rsid w:val="00AD5831"/>
    <w:rsid w:val="00AE5AB2"/>
    <w:rsid w:val="00AE65EB"/>
    <w:rsid w:val="00AE7C6A"/>
    <w:rsid w:val="00AF1D94"/>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175E"/>
    <w:rsid w:val="00B510E1"/>
    <w:rsid w:val="00B54C25"/>
    <w:rsid w:val="00B5532D"/>
    <w:rsid w:val="00B76B91"/>
    <w:rsid w:val="00B87BB7"/>
    <w:rsid w:val="00B946A9"/>
    <w:rsid w:val="00B9484C"/>
    <w:rsid w:val="00B94CFB"/>
    <w:rsid w:val="00BA0DFC"/>
    <w:rsid w:val="00BA7BA5"/>
    <w:rsid w:val="00BC0B14"/>
    <w:rsid w:val="00BC1CAB"/>
    <w:rsid w:val="00BC622A"/>
    <w:rsid w:val="00BD0B28"/>
    <w:rsid w:val="00BE0A78"/>
    <w:rsid w:val="00BE243C"/>
    <w:rsid w:val="00BE79F0"/>
    <w:rsid w:val="00BF046D"/>
    <w:rsid w:val="00BF43F2"/>
    <w:rsid w:val="00BF5D04"/>
    <w:rsid w:val="00C13563"/>
    <w:rsid w:val="00C14835"/>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230A"/>
    <w:rsid w:val="00C7475B"/>
    <w:rsid w:val="00C76805"/>
    <w:rsid w:val="00C772FF"/>
    <w:rsid w:val="00C801AF"/>
    <w:rsid w:val="00C80256"/>
    <w:rsid w:val="00C85953"/>
    <w:rsid w:val="00C87DC4"/>
    <w:rsid w:val="00C933B2"/>
    <w:rsid w:val="00CA7F9C"/>
    <w:rsid w:val="00CB6BC0"/>
    <w:rsid w:val="00CB73C5"/>
    <w:rsid w:val="00CC1B7C"/>
    <w:rsid w:val="00CC727F"/>
    <w:rsid w:val="00CD1F02"/>
    <w:rsid w:val="00CD30CC"/>
    <w:rsid w:val="00CD6FCC"/>
    <w:rsid w:val="00CE5067"/>
    <w:rsid w:val="00CE5BB0"/>
    <w:rsid w:val="00CF15C3"/>
    <w:rsid w:val="00CF2B6F"/>
    <w:rsid w:val="00CF4791"/>
    <w:rsid w:val="00D017ED"/>
    <w:rsid w:val="00D02F0D"/>
    <w:rsid w:val="00D11F5C"/>
    <w:rsid w:val="00D153B1"/>
    <w:rsid w:val="00D20C54"/>
    <w:rsid w:val="00D224FE"/>
    <w:rsid w:val="00D229BA"/>
    <w:rsid w:val="00D25F22"/>
    <w:rsid w:val="00D27857"/>
    <w:rsid w:val="00D30526"/>
    <w:rsid w:val="00D3646E"/>
    <w:rsid w:val="00D55652"/>
    <w:rsid w:val="00D64401"/>
    <w:rsid w:val="00D6493E"/>
    <w:rsid w:val="00D66AA9"/>
    <w:rsid w:val="00D744BD"/>
    <w:rsid w:val="00D85417"/>
    <w:rsid w:val="00D9141E"/>
    <w:rsid w:val="00D939D3"/>
    <w:rsid w:val="00DA1124"/>
    <w:rsid w:val="00DA24C7"/>
    <w:rsid w:val="00DA381C"/>
    <w:rsid w:val="00DA4CD9"/>
    <w:rsid w:val="00DB20FD"/>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10C"/>
    <w:rsid w:val="00E46DA3"/>
    <w:rsid w:val="00E47660"/>
    <w:rsid w:val="00E63CC9"/>
    <w:rsid w:val="00E67774"/>
    <w:rsid w:val="00EA16DE"/>
    <w:rsid w:val="00EA1F09"/>
    <w:rsid w:val="00EA406B"/>
    <w:rsid w:val="00EA7E1D"/>
    <w:rsid w:val="00EB0798"/>
    <w:rsid w:val="00EB40AD"/>
    <w:rsid w:val="00EB5622"/>
    <w:rsid w:val="00EB586E"/>
    <w:rsid w:val="00EB5FC8"/>
    <w:rsid w:val="00EB6CAF"/>
    <w:rsid w:val="00ED555A"/>
    <w:rsid w:val="00ED5A41"/>
    <w:rsid w:val="00ED6A67"/>
    <w:rsid w:val="00EE510E"/>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6145C"/>
    <w:rsid w:val="00F640B6"/>
    <w:rsid w:val="00F6623F"/>
    <w:rsid w:val="00F71E1E"/>
    <w:rsid w:val="00F80E40"/>
    <w:rsid w:val="00F859D2"/>
    <w:rsid w:val="00F8709D"/>
    <w:rsid w:val="00F9022D"/>
    <w:rsid w:val="00FA2B8E"/>
    <w:rsid w:val="00FA43E5"/>
    <w:rsid w:val="00FA5B82"/>
    <w:rsid w:val="00FA639E"/>
    <w:rsid w:val="00FA7C37"/>
    <w:rsid w:val="00FC03C8"/>
    <w:rsid w:val="00FC0552"/>
    <w:rsid w:val="00FC1750"/>
    <w:rsid w:val="00FC25E4"/>
    <w:rsid w:val="00FC4EF7"/>
    <w:rsid w:val="00FE1DEE"/>
    <w:rsid w:val="00FE206C"/>
    <w:rsid w:val="00FE501F"/>
    <w:rsid w:val="00FE6716"/>
    <w:rsid w:val="00FF108C"/>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6CBD0D4A"/>
  <w15:docId w15:val="{C47DE4C7-5071-477E-A219-9E71EAB6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610C"/>
    <w:pPr>
      <w:spacing w:before="120" w:after="180" w:line="240" w:lineRule="atLeast"/>
    </w:pPr>
    <w:rPr>
      <w:rFonts w:ascii="Arial" w:hAnsi="Arial"/>
      <w:color w:val="333F48"/>
      <w:sz w:val="22"/>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qFormat/>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paragraph" w:styleId="ListParagraph">
    <w:name w:val="List Paragraph"/>
    <w:basedOn w:val="Normal"/>
    <w:uiPriority w:val="34"/>
    <w:rsid w:val="00FF108C"/>
    <w:pPr>
      <w:ind w:left="720"/>
      <w:contextualSpacing/>
    </w:pPr>
  </w:style>
  <w:style w:type="character" w:styleId="UnresolvedMention">
    <w:name w:val="Unresolved Mention"/>
    <w:basedOn w:val="DefaultParagraphFont"/>
    <w:uiPriority w:val="99"/>
    <w:semiHidden/>
    <w:unhideWhenUsed/>
    <w:rsid w:val="00FC0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consultations.tga.gov.au/tga/notification-form-lapses-in-conformity-assessme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vs@health.gov.au"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image" Target="media/image4.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legislation.gov.au/Details/F2020C00822" TargetMode="External"/><Relationship Id="rId20" Type="http://schemas.openxmlformats.org/officeDocument/2006/relationships/hyperlink" Target="https://consultations.tga.gov.au/tga/notification-form-lapses-in-conformity-assess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legislation.gov.au/Details/C2020C00267" TargetMode="External"/><Relationship Id="rId23" Type="http://schemas.openxmlformats.org/officeDocument/2006/relationships/hyperlink" Target="https://www.tga.gov.au" TargetMode="External"/><Relationship Id="rId10" Type="http://schemas.openxmlformats.org/officeDocument/2006/relationships/header" Target="header2.xml"/><Relationship Id="rId19" Type="http://schemas.openxmlformats.org/officeDocument/2006/relationships/hyperlink" Target="https://www.tga.gov.au/how-we-regulate/manufacturing/medical-devices/conformity-assessment/conformity-assessment-bodies/tga-conformity-assessment-certification/tgas-approach-delays-medical-device-conformity-assessment-recertific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mailto:info@tga.gov.au"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96</TotalTime>
  <Pages>9</Pages>
  <Words>1923</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TGA's approach to delays in medical device conformity assessment recertification</dc:title>
  <dc:creator>Therapeutic Goods Administration</dc:creator>
  <cp:lastModifiedBy>PITKIN, Brendan</cp:lastModifiedBy>
  <cp:revision>10</cp:revision>
  <cp:lastPrinted>2010-12-20T22:59:00Z</cp:lastPrinted>
  <dcterms:created xsi:type="dcterms:W3CDTF">2023-06-01T23:58:00Z</dcterms:created>
  <dcterms:modified xsi:type="dcterms:W3CDTF">2023-06-27T23:44:00Z</dcterms:modified>
</cp:coreProperties>
</file>