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33AB" w:rsidRPr="00215D48" w14:paraId="657A2C46" w14:textId="77777777" w:rsidTr="002B29B2">
        <w:tc>
          <w:tcPr>
            <w:tcW w:w="8720" w:type="dxa"/>
          </w:tcPr>
          <w:p w14:paraId="3C3F5A5B" w14:textId="01F114BE" w:rsidR="00DD33AB" w:rsidRPr="00EE07B9" w:rsidRDefault="00436BA0" w:rsidP="00EE07B9">
            <w:pPr>
              <w:pStyle w:val="Title"/>
            </w:pPr>
            <w:r w:rsidRPr="00EE07B9">
              <w:t xml:space="preserve">Standard for </w:t>
            </w:r>
            <w:r w:rsidR="00266FD6">
              <w:t>s</w:t>
            </w:r>
            <w:r w:rsidRPr="00EE07B9">
              <w:t xml:space="preserve">erialisation and </w:t>
            </w:r>
            <w:r w:rsidR="00266FD6">
              <w:t>d</w:t>
            </w:r>
            <w:r w:rsidRPr="00EE07B9">
              <w:t xml:space="preserve">ata </w:t>
            </w:r>
            <w:r w:rsidR="00266FD6">
              <w:t>m</w:t>
            </w:r>
            <w:r w:rsidRPr="00EE07B9">
              <w:t xml:space="preserve">atrix </w:t>
            </w:r>
            <w:r w:rsidR="00266FD6">
              <w:t>c</w:t>
            </w:r>
            <w:r w:rsidRPr="00EE07B9">
              <w:t>odes</w:t>
            </w:r>
            <w:r w:rsidR="000834BE" w:rsidRPr="00EE07B9">
              <w:t xml:space="preserve"> on medicines</w:t>
            </w:r>
          </w:p>
        </w:tc>
      </w:tr>
      <w:tr w:rsidR="00DD33AB" w:rsidRPr="00215D48" w14:paraId="1F5CB34A" w14:textId="77777777" w:rsidTr="002B29B2">
        <w:trPr>
          <w:trHeight w:val="1916"/>
        </w:trPr>
        <w:tc>
          <w:tcPr>
            <w:tcW w:w="8720" w:type="dxa"/>
          </w:tcPr>
          <w:p w14:paraId="1B0163C1" w14:textId="30D8EF8B" w:rsidR="00DD33AB" w:rsidRPr="00EE07B9" w:rsidRDefault="00EE07B9" w:rsidP="005758D2">
            <w:pPr>
              <w:pStyle w:val="Subtitle"/>
              <w:ind w:left="0"/>
            </w:pPr>
            <w:r w:rsidRPr="00EE07B9">
              <w:t>Guidance for TGO 106</w:t>
            </w:r>
          </w:p>
        </w:tc>
      </w:tr>
      <w:tr w:rsidR="002B29B2" w:rsidRPr="00215D48" w14:paraId="19B5B08F" w14:textId="77777777" w:rsidTr="002B29B2">
        <w:tc>
          <w:tcPr>
            <w:tcW w:w="8720" w:type="dxa"/>
          </w:tcPr>
          <w:p w14:paraId="4256DEFF" w14:textId="16C0C356" w:rsidR="002B29B2" w:rsidRPr="00215D48" w:rsidRDefault="002B29B2" w:rsidP="007B1EC2">
            <w:pPr>
              <w:pStyle w:val="Date"/>
            </w:pPr>
            <w:r w:rsidRPr="00215D48">
              <w:t xml:space="preserve">Version 1.0, </w:t>
            </w:r>
            <w:r w:rsidR="00BF4582">
              <w:t>March</w:t>
            </w:r>
            <w:r w:rsidR="007A6DC8">
              <w:t xml:space="preserve"> </w:t>
            </w:r>
            <w:r w:rsidR="007B1EC2">
              <w:t>202</w:t>
            </w:r>
            <w:r w:rsidR="007A6DC8">
              <w:t>1</w:t>
            </w:r>
          </w:p>
        </w:tc>
      </w:tr>
    </w:tbl>
    <w:p w14:paraId="6A432235" w14:textId="77777777" w:rsidR="00B24FF5" w:rsidRPr="00215D48" w:rsidRDefault="00B24FF5" w:rsidP="00B24FF5">
      <w:pPr>
        <w:pStyle w:val="ListBullet"/>
        <w:numPr>
          <w:ilvl w:val="0"/>
          <w:numId w:val="0"/>
        </w:numPr>
        <w:sectPr w:rsidR="00B24FF5" w:rsidRPr="00215D48" w:rsidSect="00F401E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486" w:right="1418" w:bottom="0" w:left="1418" w:header="992" w:footer="335" w:gutter="0"/>
          <w:cols w:space="708"/>
          <w:titlePg/>
          <w:docGrid w:linePitch="360"/>
        </w:sectPr>
      </w:pPr>
    </w:p>
    <w:p w14:paraId="2C84374D" w14:textId="77777777" w:rsidR="005D1689" w:rsidRPr="00E1198B" w:rsidRDefault="005D1689" w:rsidP="00BA0DFC">
      <w:pPr>
        <w:pStyle w:val="LegalSubheading"/>
      </w:pPr>
      <w:r w:rsidRPr="00BA0DFC">
        <w:lastRenderedPageBreak/>
        <w:t>Copyright</w:t>
      </w:r>
    </w:p>
    <w:p w14:paraId="674A5BF6" w14:textId="6CB4A8F2" w:rsidR="00F274A2" w:rsidRDefault="005D1689" w:rsidP="0029069E">
      <w:pPr>
        <w:pStyle w:val="LegalCopy"/>
        <w:rPr>
          <w:rFonts w:cs="Arial"/>
        </w:rPr>
      </w:pPr>
      <w:r w:rsidRPr="00215D48">
        <w:rPr>
          <w:rFonts w:cs="Arial"/>
        </w:rPr>
        <w:t>© Commonwealth of Australia 20</w:t>
      </w:r>
      <w:r w:rsidR="009074DB">
        <w:rPr>
          <w:rFonts w:cs="Arial"/>
        </w:rPr>
        <w:t>2</w:t>
      </w:r>
      <w:r w:rsidR="007A6DC8">
        <w:rPr>
          <w:rFonts w:cs="Arial"/>
        </w:rPr>
        <w:t>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rPr>
          <w:b/>
          <w:sz w:val="25"/>
        </w:rPr>
      </w:sdtEndPr>
      <w:sdtContent>
        <w:p w14:paraId="2AB6E826" w14:textId="77777777" w:rsidR="00F401EF" w:rsidRPr="00215D48" w:rsidRDefault="00F401EF" w:rsidP="00DB3B3F">
          <w:pPr>
            <w:pStyle w:val="NonTOCheading2"/>
          </w:pPr>
          <w:r w:rsidRPr="00215D48">
            <w:t>Contents</w:t>
          </w:r>
        </w:p>
        <w:p w14:paraId="1BB3EB08" w14:textId="120FD563" w:rsidR="002D46C6"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67398296" w:history="1">
            <w:r w:rsidR="002D46C6" w:rsidRPr="009F06D5">
              <w:rPr>
                <w:rStyle w:val="Hyperlink"/>
                <w:noProof/>
              </w:rPr>
              <w:t>About this guidance</w:t>
            </w:r>
            <w:r w:rsidR="002D46C6">
              <w:rPr>
                <w:noProof/>
                <w:webHidden/>
              </w:rPr>
              <w:tab/>
            </w:r>
            <w:r w:rsidR="002D46C6">
              <w:rPr>
                <w:noProof/>
                <w:webHidden/>
              </w:rPr>
              <w:fldChar w:fldCharType="begin"/>
            </w:r>
            <w:r w:rsidR="002D46C6">
              <w:rPr>
                <w:noProof/>
                <w:webHidden/>
              </w:rPr>
              <w:instrText xml:space="preserve"> PAGEREF _Toc67398296 \h </w:instrText>
            </w:r>
            <w:r w:rsidR="002D46C6">
              <w:rPr>
                <w:noProof/>
                <w:webHidden/>
              </w:rPr>
            </w:r>
            <w:r w:rsidR="002D46C6">
              <w:rPr>
                <w:noProof/>
                <w:webHidden/>
              </w:rPr>
              <w:fldChar w:fldCharType="separate"/>
            </w:r>
            <w:r w:rsidR="002D46C6">
              <w:rPr>
                <w:noProof/>
                <w:webHidden/>
              </w:rPr>
              <w:t>4</w:t>
            </w:r>
            <w:r w:rsidR="002D46C6">
              <w:rPr>
                <w:noProof/>
                <w:webHidden/>
              </w:rPr>
              <w:fldChar w:fldCharType="end"/>
            </w:r>
          </w:hyperlink>
        </w:p>
        <w:p w14:paraId="604C4CCC" w14:textId="7A0037FE" w:rsidR="002D46C6" w:rsidRDefault="00434D80">
          <w:pPr>
            <w:pStyle w:val="TOC1"/>
            <w:rPr>
              <w:rFonts w:asciiTheme="minorHAnsi" w:eastAsiaTheme="minorEastAsia" w:hAnsiTheme="minorHAnsi" w:cstheme="minorBidi"/>
              <w:b w:val="0"/>
              <w:noProof/>
              <w:sz w:val="22"/>
              <w:szCs w:val="22"/>
              <w:lang w:eastAsia="en-AU"/>
            </w:rPr>
          </w:pPr>
          <w:hyperlink w:anchor="_Toc67398297" w:history="1">
            <w:r w:rsidR="002D46C6" w:rsidRPr="009F06D5">
              <w:rPr>
                <w:rStyle w:val="Hyperlink"/>
                <w:noProof/>
              </w:rPr>
              <w:t>About TGO 106</w:t>
            </w:r>
            <w:r w:rsidR="002D46C6">
              <w:rPr>
                <w:noProof/>
                <w:webHidden/>
              </w:rPr>
              <w:tab/>
            </w:r>
            <w:r w:rsidR="002D46C6">
              <w:rPr>
                <w:noProof/>
                <w:webHidden/>
              </w:rPr>
              <w:fldChar w:fldCharType="begin"/>
            </w:r>
            <w:r w:rsidR="002D46C6">
              <w:rPr>
                <w:noProof/>
                <w:webHidden/>
              </w:rPr>
              <w:instrText xml:space="preserve"> PAGEREF _Toc67398297 \h </w:instrText>
            </w:r>
            <w:r w:rsidR="002D46C6">
              <w:rPr>
                <w:noProof/>
                <w:webHidden/>
              </w:rPr>
            </w:r>
            <w:r w:rsidR="002D46C6">
              <w:rPr>
                <w:noProof/>
                <w:webHidden/>
              </w:rPr>
              <w:fldChar w:fldCharType="separate"/>
            </w:r>
            <w:r w:rsidR="002D46C6">
              <w:rPr>
                <w:noProof/>
                <w:webHidden/>
              </w:rPr>
              <w:t>4</w:t>
            </w:r>
            <w:r w:rsidR="002D46C6">
              <w:rPr>
                <w:noProof/>
                <w:webHidden/>
              </w:rPr>
              <w:fldChar w:fldCharType="end"/>
            </w:r>
          </w:hyperlink>
        </w:p>
        <w:p w14:paraId="6A2B2578" w14:textId="161D3320" w:rsidR="002D46C6" w:rsidRDefault="00434D80">
          <w:pPr>
            <w:pStyle w:val="TOC2"/>
            <w:rPr>
              <w:rFonts w:asciiTheme="minorHAnsi" w:eastAsiaTheme="minorEastAsia" w:hAnsiTheme="minorHAnsi" w:cstheme="minorBidi"/>
              <w:b w:val="0"/>
              <w:noProof/>
              <w:sz w:val="22"/>
              <w:szCs w:val="22"/>
              <w:lang w:eastAsia="en-AU"/>
            </w:rPr>
          </w:pPr>
          <w:hyperlink w:anchor="_Toc67398298" w:history="1">
            <w:r w:rsidR="002D46C6" w:rsidRPr="009F06D5">
              <w:rPr>
                <w:rStyle w:val="Hyperlink"/>
                <w:noProof/>
              </w:rPr>
              <w:t>Commencement date</w:t>
            </w:r>
            <w:r w:rsidR="002D46C6">
              <w:rPr>
                <w:noProof/>
                <w:webHidden/>
              </w:rPr>
              <w:tab/>
            </w:r>
            <w:r w:rsidR="002D46C6">
              <w:rPr>
                <w:noProof/>
                <w:webHidden/>
              </w:rPr>
              <w:fldChar w:fldCharType="begin"/>
            </w:r>
            <w:r w:rsidR="002D46C6">
              <w:rPr>
                <w:noProof/>
                <w:webHidden/>
              </w:rPr>
              <w:instrText xml:space="preserve"> PAGEREF _Toc67398298 \h </w:instrText>
            </w:r>
            <w:r w:rsidR="002D46C6">
              <w:rPr>
                <w:noProof/>
                <w:webHidden/>
              </w:rPr>
            </w:r>
            <w:r w:rsidR="002D46C6">
              <w:rPr>
                <w:noProof/>
                <w:webHidden/>
              </w:rPr>
              <w:fldChar w:fldCharType="separate"/>
            </w:r>
            <w:r w:rsidR="002D46C6">
              <w:rPr>
                <w:noProof/>
                <w:webHidden/>
              </w:rPr>
              <w:t>4</w:t>
            </w:r>
            <w:r w:rsidR="002D46C6">
              <w:rPr>
                <w:noProof/>
                <w:webHidden/>
              </w:rPr>
              <w:fldChar w:fldCharType="end"/>
            </w:r>
          </w:hyperlink>
        </w:p>
        <w:p w14:paraId="144953FF" w14:textId="634C6A04" w:rsidR="002D46C6" w:rsidRDefault="00434D80">
          <w:pPr>
            <w:pStyle w:val="TOC1"/>
            <w:rPr>
              <w:rFonts w:asciiTheme="minorHAnsi" w:eastAsiaTheme="minorEastAsia" w:hAnsiTheme="minorHAnsi" w:cstheme="minorBidi"/>
              <w:b w:val="0"/>
              <w:noProof/>
              <w:sz w:val="22"/>
              <w:szCs w:val="22"/>
              <w:lang w:eastAsia="en-AU"/>
            </w:rPr>
          </w:pPr>
          <w:hyperlink w:anchor="_Toc67398299" w:history="1">
            <w:r w:rsidR="002D46C6" w:rsidRPr="009F06D5">
              <w:rPr>
                <w:rStyle w:val="Hyperlink"/>
                <w:noProof/>
              </w:rPr>
              <w:t>Medicines that are subject to TGO 106 requirements</w:t>
            </w:r>
            <w:r w:rsidR="002D46C6">
              <w:rPr>
                <w:noProof/>
                <w:webHidden/>
              </w:rPr>
              <w:tab/>
            </w:r>
            <w:r w:rsidR="002D46C6">
              <w:rPr>
                <w:noProof/>
                <w:webHidden/>
              </w:rPr>
              <w:fldChar w:fldCharType="begin"/>
            </w:r>
            <w:r w:rsidR="002D46C6">
              <w:rPr>
                <w:noProof/>
                <w:webHidden/>
              </w:rPr>
              <w:instrText xml:space="preserve"> PAGEREF _Toc67398299 \h </w:instrText>
            </w:r>
            <w:r w:rsidR="002D46C6">
              <w:rPr>
                <w:noProof/>
                <w:webHidden/>
              </w:rPr>
            </w:r>
            <w:r w:rsidR="002D46C6">
              <w:rPr>
                <w:noProof/>
                <w:webHidden/>
              </w:rPr>
              <w:fldChar w:fldCharType="separate"/>
            </w:r>
            <w:r w:rsidR="002D46C6">
              <w:rPr>
                <w:noProof/>
                <w:webHidden/>
              </w:rPr>
              <w:t>4</w:t>
            </w:r>
            <w:r w:rsidR="002D46C6">
              <w:rPr>
                <w:noProof/>
                <w:webHidden/>
              </w:rPr>
              <w:fldChar w:fldCharType="end"/>
            </w:r>
          </w:hyperlink>
        </w:p>
        <w:p w14:paraId="5C282A96" w14:textId="568CC2E7" w:rsidR="002D46C6" w:rsidRDefault="00434D80">
          <w:pPr>
            <w:pStyle w:val="TOC1"/>
            <w:rPr>
              <w:rFonts w:asciiTheme="minorHAnsi" w:eastAsiaTheme="minorEastAsia" w:hAnsiTheme="minorHAnsi" w:cstheme="minorBidi"/>
              <w:b w:val="0"/>
              <w:noProof/>
              <w:sz w:val="22"/>
              <w:szCs w:val="22"/>
              <w:lang w:eastAsia="en-AU"/>
            </w:rPr>
          </w:pPr>
          <w:hyperlink w:anchor="_Toc67398300" w:history="1">
            <w:r w:rsidR="002D46C6" w:rsidRPr="009F06D5">
              <w:rPr>
                <w:rStyle w:val="Hyperlink"/>
                <w:noProof/>
              </w:rPr>
              <w:t>Medicines that are exempt from TGO 106</w:t>
            </w:r>
            <w:r w:rsidR="002D46C6">
              <w:rPr>
                <w:noProof/>
                <w:webHidden/>
              </w:rPr>
              <w:tab/>
            </w:r>
            <w:r w:rsidR="002D46C6">
              <w:rPr>
                <w:noProof/>
                <w:webHidden/>
              </w:rPr>
              <w:fldChar w:fldCharType="begin"/>
            </w:r>
            <w:r w:rsidR="002D46C6">
              <w:rPr>
                <w:noProof/>
                <w:webHidden/>
              </w:rPr>
              <w:instrText xml:space="preserve"> PAGEREF _Toc67398300 \h </w:instrText>
            </w:r>
            <w:r w:rsidR="002D46C6">
              <w:rPr>
                <w:noProof/>
                <w:webHidden/>
              </w:rPr>
            </w:r>
            <w:r w:rsidR="002D46C6">
              <w:rPr>
                <w:noProof/>
                <w:webHidden/>
              </w:rPr>
              <w:fldChar w:fldCharType="separate"/>
            </w:r>
            <w:r w:rsidR="002D46C6">
              <w:rPr>
                <w:noProof/>
                <w:webHidden/>
              </w:rPr>
              <w:t>5</w:t>
            </w:r>
            <w:r w:rsidR="002D46C6">
              <w:rPr>
                <w:noProof/>
                <w:webHidden/>
              </w:rPr>
              <w:fldChar w:fldCharType="end"/>
            </w:r>
          </w:hyperlink>
        </w:p>
        <w:p w14:paraId="0BF6AB3D" w14:textId="322C9100" w:rsidR="002D46C6" w:rsidRDefault="00434D80">
          <w:pPr>
            <w:pStyle w:val="TOC2"/>
            <w:rPr>
              <w:rFonts w:asciiTheme="minorHAnsi" w:eastAsiaTheme="minorEastAsia" w:hAnsiTheme="minorHAnsi" w:cstheme="minorBidi"/>
              <w:b w:val="0"/>
              <w:noProof/>
              <w:sz w:val="22"/>
              <w:szCs w:val="22"/>
              <w:lang w:eastAsia="en-AU"/>
            </w:rPr>
          </w:pPr>
          <w:hyperlink w:anchor="_Toc67398301" w:history="1">
            <w:r w:rsidR="002D46C6" w:rsidRPr="009F06D5">
              <w:rPr>
                <w:rStyle w:val="Hyperlink"/>
                <w:noProof/>
              </w:rPr>
              <w:t>Export only medicines</w:t>
            </w:r>
            <w:r w:rsidR="002D46C6">
              <w:rPr>
                <w:noProof/>
                <w:webHidden/>
              </w:rPr>
              <w:tab/>
            </w:r>
            <w:r w:rsidR="002D46C6">
              <w:rPr>
                <w:noProof/>
                <w:webHidden/>
              </w:rPr>
              <w:fldChar w:fldCharType="begin"/>
            </w:r>
            <w:r w:rsidR="002D46C6">
              <w:rPr>
                <w:noProof/>
                <w:webHidden/>
              </w:rPr>
              <w:instrText xml:space="preserve"> PAGEREF _Toc67398301 \h </w:instrText>
            </w:r>
            <w:r w:rsidR="002D46C6">
              <w:rPr>
                <w:noProof/>
                <w:webHidden/>
              </w:rPr>
            </w:r>
            <w:r w:rsidR="002D46C6">
              <w:rPr>
                <w:noProof/>
                <w:webHidden/>
              </w:rPr>
              <w:fldChar w:fldCharType="separate"/>
            </w:r>
            <w:r w:rsidR="002D46C6">
              <w:rPr>
                <w:noProof/>
                <w:webHidden/>
              </w:rPr>
              <w:t>6</w:t>
            </w:r>
            <w:r w:rsidR="002D46C6">
              <w:rPr>
                <w:noProof/>
                <w:webHidden/>
              </w:rPr>
              <w:fldChar w:fldCharType="end"/>
            </w:r>
          </w:hyperlink>
        </w:p>
        <w:p w14:paraId="11140879" w14:textId="79AE21C1" w:rsidR="002D46C6" w:rsidRDefault="00434D80">
          <w:pPr>
            <w:pStyle w:val="TOC2"/>
            <w:rPr>
              <w:rFonts w:asciiTheme="minorHAnsi" w:eastAsiaTheme="minorEastAsia" w:hAnsiTheme="minorHAnsi" w:cstheme="minorBidi"/>
              <w:b w:val="0"/>
              <w:noProof/>
              <w:sz w:val="22"/>
              <w:szCs w:val="22"/>
              <w:lang w:eastAsia="en-AU"/>
            </w:rPr>
          </w:pPr>
          <w:hyperlink w:anchor="_Toc67398302" w:history="1">
            <w:r w:rsidR="002D46C6" w:rsidRPr="009F06D5">
              <w:rPr>
                <w:rStyle w:val="Hyperlink"/>
                <w:noProof/>
              </w:rPr>
              <w:t>Blood or blood product</w:t>
            </w:r>
            <w:r w:rsidR="002D46C6">
              <w:rPr>
                <w:noProof/>
                <w:webHidden/>
              </w:rPr>
              <w:tab/>
            </w:r>
            <w:r w:rsidR="002D46C6">
              <w:rPr>
                <w:noProof/>
                <w:webHidden/>
              </w:rPr>
              <w:fldChar w:fldCharType="begin"/>
            </w:r>
            <w:r w:rsidR="002D46C6">
              <w:rPr>
                <w:noProof/>
                <w:webHidden/>
              </w:rPr>
              <w:instrText xml:space="preserve"> PAGEREF _Toc67398302 \h </w:instrText>
            </w:r>
            <w:r w:rsidR="002D46C6">
              <w:rPr>
                <w:noProof/>
                <w:webHidden/>
              </w:rPr>
            </w:r>
            <w:r w:rsidR="002D46C6">
              <w:rPr>
                <w:noProof/>
                <w:webHidden/>
              </w:rPr>
              <w:fldChar w:fldCharType="separate"/>
            </w:r>
            <w:r w:rsidR="002D46C6">
              <w:rPr>
                <w:noProof/>
                <w:webHidden/>
              </w:rPr>
              <w:t>6</w:t>
            </w:r>
            <w:r w:rsidR="002D46C6">
              <w:rPr>
                <w:noProof/>
                <w:webHidden/>
              </w:rPr>
              <w:fldChar w:fldCharType="end"/>
            </w:r>
          </w:hyperlink>
        </w:p>
        <w:p w14:paraId="4895BE1B" w14:textId="40B224A4" w:rsidR="002D46C6" w:rsidRDefault="00434D80">
          <w:pPr>
            <w:pStyle w:val="TOC2"/>
            <w:rPr>
              <w:rFonts w:asciiTheme="minorHAnsi" w:eastAsiaTheme="minorEastAsia" w:hAnsiTheme="minorHAnsi" w:cstheme="minorBidi"/>
              <w:b w:val="0"/>
              <w:noProof/>
              <w:sz w:val="22"/>
              <w:szCs w:val="22"/>
              <w:lang w:eastAsia="en-AU"/>
            </w:rPr>
          </w:pPr>
          <w:hyperlink w:anchor="_Toc67398303" w:history="1">
            <w:r w:rsidR="002D46C6" w:rsidRPr="009F06D5">
              <w:rPr>
                <w:rStyle w:val="Hyperlink"/>
                <w:noProof/>
              </w:rPr>
              <w:t>Medicines supplied under special circumstances</w:t>
            </w:r>
            <w:r w:rsidR="002D46C6">
              <w:rPr>
                <w:noProof/>
                <w:webHidden/>
              </w:rPr>
              <w:tab/>
            </w:r>
            <w:r w:rsidR="002D46C6">
              <w:rPr>
                <w:noProof/>
                <w:webHidden/>
              </w:rPr>
              <w:fldChar w:fldCharType="begin"/>
            </w:r>
            <w:r w:rsidR="002D46C6">
              <w:rPr>
                <w:noProof/>
                <w:webHidden/>
              </w:rPr>
              <w:instrText xml:space="preserve"> PAGEREF _Toc67398303 \h </w:instrText>
            </w:r>
            <w:r w:rsidR="002D46C6">
              <w:rPr>
                <w:noProof/>
                <w:webHidden/>
              </w:rPr>
            </w:r>
            <w:r w:rsidR="002D46C6">
              <w:rPr>
                <w:noProof/>
                <w:webHidden/>
              </w:rPr>
              <w:fldChar w:fldCharType="separate"/>
            </w:r>
            <w:r w:rsidR="002D46C6">
              <w:rPr>
                <w:noProof/>
                <w:webHidden/>
              </w:rPr>
              <w:t>6</w:t>
            </w:r>
            <w:r w:rsidR="002D46C6">
              <w:rPr>
                <w:noProof/>
                <w:webHidden/>
              </w:rPr>
              <w:fldChar w:fldCharType="end"/>
            </w:r>
          </w:hyperlink>
        </w:p>
        <w:p w14:paraId="33AAFBD5" w14:textId="2399EBA1" w:rsidR="002D46C6" w:rsidRDefault="00434D80">
          <w:pPr>
            <w:pStyle w:val="TOC2"/>
            <w:rPr>
              <w:rFonts w:asciiTheme="minorHAnsi" w:eastAsiaTheme="minorEastAsia" w:hAnsiTheme="minorHAnsi" w:cstheme="minorBidi"/>
              <w:b w:val="0"/>
              <w:noProof/>
              <w:sz w:val="22"/>
              <w:szCs w:val="22"/>
              <w:lang w:eastAsia="en-AU"/>
            </w:rPr>
          </w:pPr>
          <w:hyperlink w:anchor="_Toc67398304" w:history="1">
            <w:r w:rsidR="002D46C6" w:rsidRPr="009F06D5">
              <w:rPr>
                <w:rStyle w:val="Hyperlink"/>
                <w:noProof/>
              </w:rPr>
              <w:t>Medicines imported for use by immediate family</w:t>
            </w:r>
            <w:r w:rsidR="002D46C6">
              <w:rPr>
                <w:noProof/>
                <w:webHidden/>
              </w:rPr>
              <w:tab/>
            </w:r>
            <w:r w:rsidR="002D46C6">
              <w:rPr>
                <w:noProof/>
                <w:webHidden/>
              </w:rPr>
              <w:fldChar w:fldCharType="begin"/>
            </w:r>
            <w:r w:rsidR="002D46C6">
              <w:rPr>
                <w:noProof/>
                <w:webHidden/>
              </w:rPr>
              <w:instrText xml:space="preserve"> PAGEREF _Toc67398304 \h </w:instrText>
            </w:r>
            <w:r w:rsidR="002D46C6">
              <w:rPr>
                <w:noProof/>
                <w:webHidden/>
              </w:rPr>
            </w:r>
            <w:r w:rsidR="002D46C6">
              <w:rPr>
                <w:noProof/>
                <w:webHidden/>
              </w:rPr>
              <w:fldChar w:fldCharType="separate"/>
            </w:r>
            <w:r w:rsidR="002D46C6">
              <w:rPr>
                <w:noProof/>
                <w:webHidden/>
              </w:rPr>
              <w:t>6</w:t>
            </w:r>
            <w:r w:rsidR="002D46C6">
              <w:rPr>
                <w:noProof/>
                <w:webHidden/>
              </w:rPr>
              <w:fldChar w:fldCharType="end"/>
            </w:r>
          </w:hyperlink>
        </w:p>
        <w:p w14:paraId="418BF50B" w14:textId="1224784C" w:rsidR="002D46C6" w:rsidRDefault="00434D80">
          <w:pPr>
            <w:pStyle w:val="TOC1"/>
            <w:rPr>
              <w:rFonts w:asciiTheme="minorHAnsi" w:eastAsiaTheme="minorEastAsia" w:hAnsiTheme="minorHAnsi" w:cstheme="minorBidi"/>
              <w:b w:val="0"/>
              <w:noProof/>
              <w:sz w:val="22"/>
              <w:szCs w:val="22"/>
              <w:lang w:eastAsia="en-AU"/>
            </w:rPr>
          </w:pPr>
          <w:hyperlink w:anchor="_Toc67398305" w:history="1">
            <w:r w:rsidR="002D46C6" w:rsidRPr="009F06D5">
              <w:rPr>
                <w:rStyle w:val="Hyperlink"/>
                <w:noProof/>
              </w:rPr>
              <w:t>Machine-readable codes</w:t>
            </w:r>
            <w:r w:rsidR="002D46C6">
              <w:rPr>
                <w:noProof/>
                <w:webHidden/>
              </w:rPr>
              <w:tab/>
            </w:r>
            <w:r w:rsidR="002D46C6">
              <w:rPr>
                <w:noProof/>
                <w:webHidden/>
              </w:rPr>
              <w:fldChar w:fldCharType="begin"/>
            </w:r>
            <w:r w:rsidR="002D46C6">
              <w:rPr>
                <w:noProof/>
                <w:webHidden/>
              </w:rPr>
              <w:instrText xml:space="preserve"> PAGEREF _Toc67398305 \h </w:instrText>
            </w:r>
            <w:r w:rsidR="002D46C6">
              <w:rPr>
                <w:noProof/>
                <w:webHidden/>
              </w:rPr>
            </w:r>
            <w:r w:rsidR="002D46C6">
              <w:rPr>
                <w:noProof/>
                <w:webHidden/>
              </w:rPr>
              <w:fldChar w:fldCharType="separate"/>
            </w:r>
            <w:r w:rsidR="002D46C6">
              <w:rPr>
                <w:noProof/>
                <w:webHidden/>
              </w:rPr>
              <w:t>6</w:t>
            </w:r>
            <w:r w:rsidR="002D46C6">
              <w:rPr>
                <w:noProof/>
                <w:webHidden/>
              </w:rPr>
              <w:fldChar w:fldCharType="end"/>
            </w:r>
          </w:hyperlink>
        </w:p>
        <w:p w14:paraId="31447898" w14:textId="6B557AA1" w:rsidR="002D46C6" w:rsidRDefault="00434D80">
          <w:pPr>
            <w:pStyle w:val="TOC2"/>
            <w:rPr>
              <w:rFonts w:asciiTheme="minorHAnsi" w:eastAsiaTheme="minorEastAsia" w:hAnsiTheme="minorHAnsi" w:cstheme="minorBidi"/>
              <w:b w:val="0"/>
              <w:noProof/>
              <w:sz w:val="22"/>
              <w:szCs w:val="22"/>
              <w:lang w:eastAsia="en-AU"/>
            </w:rPr>
          </w:pPr>
          <w:hyperlink w:anchor="_Toc67398306" w:history="1">
            <w:r w:rsidR="002D46C6" w:rsidRPr="009F06D5">
              <w:rPr>
                <w:rStyle w:val="Hyperlink"/>
                <w:noProof/>
              </w:rPr>
              <w:t>Data matrix code</w:t>
            </w:r>
            <w:r w:rsidR="002D46C6">
              <w:rPr>
                <w:noProof/>
                <w:webHidden/>
              </w:rPr>
              <w:tab/>
            </w:r>
            <w:r w:rsidR="002D46C6">
              <w:rPr>
                <w:noProof/>
                <w:webHidden/>
              </w:rPr>
              <w:fldChar w:fldCharType="begin"/>
            </w:r>
            <w:r w:rsidR="002D46C6">
              <w:rPr>
                <w:noProof/>
                <w:webHidden/>
              </w:rPr>
              <w:instrText xml:space="preserve"> PAGEREF _Toc67398306 \h </w:instrText>
            </w:r>
            <w:r w:rsidR="002D46C6">
              <w:rPr>
                <w:noProof/>
                <w:webHidden/>
              </w:rPr>
            </w:r>
            <w:r w:rsidR="002D46C6">
              <w:rPr>
                <w:noProof/>
                <w:webHidden/>
              </w:rPr>
              <w:fldChar w:fldCharType="separate"/>
            </w:r>
            <w:r w:rsidR="002D46C6">
              <w:rPr>
                <w:noProof/>
                <w:webHidden/>
              </w:rPr>
              <w:t>7</w:t>
            </w:r>
            <w:r w:rsidR="002D46C6">
              <w:rPr>
                <w:noProof/>
                <w:webHidden/>
              </w:rPr>
              <w:fldChar w:fldCharType="end"/>
            </w:r>
          </w:hyperlink>
        </w:p>
        <w:p w14:paraId="2AD331A4" w14:textId="7D229396" w:rsidR="002D46C6" w:rsidRDefault="00434D80">
          <w:pPr>
            <w:pStyle w:val="TOC2"/>
            <w:rPr>
              <w:rFonts w:asciiTheme="minorHAnsi" w:eastAsiaTheme="minorEastAsia" w:hAnsiTheme="minorHAnsi" w:cstheme="minorBidi"/>
              <w:b w:val="0"/>
              <w:noProof/>
              <w:sz w:val="22"/>
              <w:szCs w:val="22"/>
              <w:lang w:eastAsia="en-AU"/>
            </w:rPr>
          </w:pPr>
          <w:hyperlink w:anchor="_Toc67398307" w:history="1">
            <w:r w:rsidR="002D46C6" w:rsidRPr="009F06D5">
              <w:rPr>
                <w:rStyle w:val="Hyperlink"/>
                <w:noProof/>
              </w:rPr>
              <w:t>DataMatrix</w:t>
            </w:r>
            <w:r w:rsidR="002D46C6">
              <w:rPr>
                <w:noProof/>
                <w:webHidden/>
              </w:rPr>
              <w:tab/>
            </w:r>
            <w:r w:rsidR="002D46C6">
              <w:rPr>
                <w:noProof/>
                <w:webHidden/>
              </w:rPr>
              <w:fldChar w:fldCharType="begin"/>
            </w:r>
            <w:r w:rsidR="002D46C6">
              <w:rPr>
                <w:noProof/>
                <w:webHidden/>
              </w:rPr>
              <w:instrText xml:space="preserve"> PAGEREF _Toc67398307 \h </w:instrText>
            </w:r>
            <w:r w:rsidR="002D46C6">
              <w:rPr>
                <w:noProof/>
                <w:webHidden/>
              </w:rPr>
            </w:r>
            <w:r w:rsidR="002D46C6">
              <w:rPr>
                <w:noProof/>
                <w:webHidden/>
              </w:rPr>
              <w:fldChar w:fldCharType="separate"/>
            </w:r>
            <w:r w:rsidR="002D46C6">
              <w:rPr>
                <w:noProof/>
                <w:webHidden/>
              </w:rPr>
              <w:t>7</w:t>
            </w:r>
            <w:r w:rsidR="002D46C6">
              <w:rPr>
                <w:noProof/>
                <w:webHidden/>
              </w:rPr>
              <w:fldChar w:fldCharType="end"/>
            </w:r>
          </w:hyperlink>
        </w:p>
        <w:p w14:paraId="032432EE" w14:textId="6A127205" w:rsidR="002D46C6" w:rsidRDefault="00434D80">
          <w:pPr>
            <w:pStyle w:val="TOC1"/>
            <w:rPr>
              <w:rFonts w:asciiTheme="minorHAnsi" w:eastAsiaTheme="minorEastAsia" w:hAnsiTheme="minorHAnsi" w:cstheme="minorBidi"/>
              <w:b w:val="0"/>
              <w:noProof/>
              <w:sz w:val="22"/>
              <w:szCs w:val="22"/>
              <w:lang w:eastAsia="en-AU"/>
            </w:rPr>
          </w:pPr>
          <w:hyperlink w:anchor="_Toc67398308" w:history="1">
            <w:r w:rsidR="002D46C6" w:rsidRPr="009F06D5">
              <w:rPr>
                <w:rStyle w:val="Hyperlink"/>
                <w:noProof/>
              </w:rPr>
              <w:t>Serialised medicines</w:t>
            </w:r>
            <w:r w:rsidR="002D46C6">
              <w:rPr>
                <w:noProof/>
                <w:webHidden/>
              </w:rPr>
              <w:tab/>
            </w:r>
            <w:r w:rsidR="002D46C6">
              <w:rPr>
                <w:noProof/>
                <w:webHidden/>
              </w:rPr>
              <w:fldChar w:fldCharType="begin"/>
            </w:r>
            <w:r w:rsidR="002D46C6">
              <w:rPr>
                <w:noProof/>
                <w:webHidden/>
              </w:rPr>
              <w:instrText xml:space="preserve"> PAGEREF _Toc67398308 \h </w:instrText>
            </w:r>
            <w:r w:rsidR="002D46C6">
              <w:rPr>
                <w:noProof/>
                <w:webHidden/>
              </w:rPr>
            </w:r>
            <w:r w:rsidR="002D46C6">
              <w:rPr>
                <w:noProof/>
                <w:webHidden/>
              </w:rPr>
              <w:fldChar w:fldCharType="separate"/>
            </w:r>
            <w:r w:rsidR="002D46C6">
              <w:rPr>
                <w:noProof/>
                <w:webHidden/>
              </w:rPr>
              <w:t>7</w:t>
            </w:r>
            <w:r w:rsidR="002D46C6">
              <w:rPr>
                <w:noProof/>
                <w:webHidden/>
              </w:rPr>
              <w:fldChar w:fldCharType="end"/>
            </w:r>
          </w:hyperlink>
        </w:p>
        <w:p w14:paraId="1EC2797A" w14:textId="4E010BBB" w:rsidR="002D46C6" w:rsidRDefault="00434D80">
          <w:pPr>
            <w:pStyle w:val="TOC1"/>
            <w:rPr>
              <w:rFonts w:asciiTheme="minorHAnsi" w:eastAsiaTheme="minorEastAsia" w:hAnsiTheme="minorHAnsi" w:cstheme="minorBidi"/>
              <w:b w:val="0"/>
              <w:noProof/>
              <w:sz w:val="22"/>
              <w:szCs w:val="22"/>
              <w:lang w:eastAsia="en-AU"/>
            </w:rPr>
          </w:pPr>
          <w:hyperlink w:anchor="_Toc67398309" w:history="1">
            <w:r w:rsidR="002D46C6" w:rsidRPr="009F06D5">
              <w:rPr>
                <w:rStyle w:val="Hyperlink"/>
                <w:noProof/>
              </w:rPr>
              <w:t>Relevant level of packaging</w:t>
            </w:r>
            <w:r w:rsidR="002D46C6">
              <w:rPr>
                <w:noProof/>
                <w:webHidden/>
              </w:rPr>
              <w:tab/>
            </w:r>
            <w:r w:rsidR="002D46C6">
              <w:rPr>
                <w:noProof/>
                <w:webHidden/>
              </w:rPr>
              <w:fldChar w:fldCharType="begin"/>
            </w:r>
            <w:r w:rsidR="002D46C6">
              <w:rPr>
                <w:noProof/>
                <w:webHidden/>
              </w:rPr>
              <w:instrText xml:space="preserve"> PAGEREF _Toc67398309 \h </w:instrText>
            </w:r>
            <w:r w:rsidR="002D46C6">
              <w:rPr>
                <w:noProof/>
                <w:webHidden/>
              </w:rPr>
            </w:r>
            <w:r w:rsidR="002D46C6">
              <w:rPr>
                <w:noProof/>
                <w:webHidden/>
              </w:rPr>
              <w:fldChar w:fldCharType="separate"/>
            </w:r>
            <w:r w:rsidR="002D46C6">
              <w:rPr>
                <w:noProof/>
                <w:webHidden/>
              </w:rPr>
              <w:t>7</w:t>
            </w:r>
            <w:r w:rsidR="002D46C6">
              <w:rPr>
                <w:noProof/>
                <w:webHidden/>
              </w:rPr>
              <w:fldChar w:fldCharType="end"/>
            </w:r>
          </w:hyperlink>
        </w:p>
        <w:p w14:paraId="25BB0CD3" w14:textId="1A38632F" w:rsidR="002D46C6" w:rsidRDefault="00434D80">
          <w:pPr>
            <w:pStyle w:val="TOC2"/>
            <w:rPr>
              <w:rFonts w:asciiTheme="minorHAnsi" w:eastAsiaTheme="minorEastAsia" w:hAnsiTheme="minorHAnsi" w:cstheme="minorBidi"/>
              <w:b w:val="0"/>
              <w:noProof/>
              <w:sz w:val="22"/>
              <w:szCs w:val="22"/>
              <w:lang w:eastAsia="en-AU"/>
            </w:rPr>
          </w:pPr>
          <w:hyperlink w:anchor="_Toc67398310" w:history="1">
            <w:r w:rsidR="002D46C6" w:rsidRPr="009F06D5">
              <w:rPr>
                <w:rStyle w:val="Hyperlink"/>
                <w:noProof/>
              </w:rPr>
              <w:t>Primary pack</w:t>
            </w:r>
            <w:r w:rsidR="002D46C6">
              <w:rPr>
                <w:noProof/>
                <w:webHidden/>
              </w:rPr>
              <w:tab/>
            </w:r>
            <w:r w:rsidR="002D46C6">
              <w:rPr>
                <w:noProof/>
                <w:webHidden/>
              </w:rPr>
              <w:fldChar w:fldCharType="begin"/>
            </w:r>
            <w:r w:rsidR="002D46C6">
              <w:rPr>
                <w:noProof/>
                <w:webHidden/>
              </w:rPr>
              <w:instrText xml:space="preserve"> PAGEREF _Toc67398310 \h </w:instrText>
            </w:r>
            <w:r w:rsidR="002D46C6">
              <w:rPr>
                <w:noProof/>
                <w:webHidden/>
              </w:rPr>
            </w:r>
            <w:r w:rsidR="002D46C6">
              <w:rPr>
                <w:noProof/>
                <w:webHidden/>
              </w:rPr>
              <w:fldChar w:fldCharType="separate"/>
            </w:r>
            <w:r w:rsidR="002D46C6">
              <w:rPr>
                <w:noProof/>
                <w:webHidden/>
              </w:rPr>
              <w:t>7</w:t>
            </w:r>
            <w:r w:rsidR="002D46C6">
              <w:rPr>
                <w:noProof/>
                <w:webHidden/>
              </w:rPr>
              <w:fldChar w:fldCharType="end"/>
            </w:r>
          </w:hyperlink>
        </w:p>
        <w:p w14:paraId="13E7BA6B" w14:textId="7F85A0A3" w:rsidR="002D46C6" w:rsidRDefault="00434D80">
          <w:pPr>
            <w:pStyle w:val="TOC2"/>
            <w:rPr>
              <w:rFonts w:asciiTheme="minorHAnsi" w:eastAsiaTheme="minorEastAsia" w:hAnsiTheme="minorHAnsi" w:cstheme="minorBidi"/>
              <w:b w:val="0"/>
              <w:noProof/>
              <w:sz w:val="22"/>
              <w:szCs w:val="22"/>
              <w:lang w:eastAsia="en-AU"/>
            </w:rPr>
          </w:pPr>
          <w:hyperlink w:anchor="_Toc67398311" w:history="1">
            <w:r w:rsidR="002D46C6" w:rsidRPr="009F06D5">
              <w:rPr>
                <w:rStyle w:val="Hyperlink"/>
                <w:noProof/>
              </w:rPr>
              <w:t>Primary packaging</w:t>
            </w:r>
            <w:r w:rsidR="002D46C6">
              <w:rPr>
                <w:noProof/>
                <w:webHidden/>
              </w:rPr>
              <w:tab/>
            </w:r>
            <w:r w:rsidR="002D46C6">
              <w:rPr>
                <w:noProof/>
                <w:webHidden/>
              </w:rPr>
              <w:fldChar w:fldCharType="begin"/>
            </w:r>
            <w:r w:rsidR="002D46C6">
              <w:rPr>
                <w:noProof/>
                <w:webHidden/>
              </w:rPr>
              <w:instrText xml:space="preserve"> PAGEREF _Toc67398311 \h </w:instrText>
            </w:r>
            <w:r w:rsidR="002D46C6">
              <w:rPr>
                <w:noProof/>
                <w:webHidden/>
              </w:rPr>
            </w:r>
            <w:r w:rsidR="002D46C6">
              <w:rPr>
                <w:noProof/>
                <w:webHidden/>
              </w:rPr>
              <w:fldChar w:fldCharType="separate"/>
            </w:r>
            <w:r w:rsidR="002D46C6">
              <w:rPr>
                <w:noProof/>
                <w:webHidden/>
              </w:rPr>
              <w:t>8</w:t>
            </w:r>
            <w:r w:rsidR="002D46C6">
              <w:rPr>
                <w:noProof/>
                <w:webHidden/>
              </w:rPr>
              <w:fldChar w:fldCharType="end"/>
            </w:r>
          </w:hyperlink>
        </w:p>
        <w:p w14:paraId="3BE76474" w14:textId="07B5CF7E" w:rsidR="002D46C6" w:rsidRDefault="00434D80">
          <w:pPr>
            <w:pStyle w:val="TOC2"/>
            <w:rPr>
              <w:rFonts w:asciiTheme="minorHAnsi" w:eastAsiaTheme="minorEastAsia" w:hAnsiTheme="minorHAnsi" w:cstheme="minorBidi"/>
              <w:b w:val="0"/>
              <w:noProof/>
              <w:sz w:val="22"/>
              <w:szCs w:val="22"/>
              <w:lang w:eastAsia="en-AU"/>
            </w:rPr>
          </w:pPr>
          <w:hyperlink w:anchor="_Toc67398312" w:history="1">
            <w:r w:rsidR="002D46C6" w:rsidRPr="009F06D5">
              <w:rPr>
                <w:rStyle w:val="Hyperlink"/>
                <w:noProof/>
              </w:rPr>
              <w:t>Container</w:t>
            </w:r>
            <w:r w:rsidR="002D46C6">
              <w:rPr>
                <w:noProof/>
                <w:webHidden/>
              </w:rPr>
              <w:tab/>
            </w:r>
            <w:r w:rsidR="002D46C6">
              <w:rPr>
                <w:noProof/>
                <w:webHidden/>
              </w:rPr>
              <w:fldChar w:fldCharType="begin"/>
            </w:r>
            <w:r w:rsidR="002D46C6">
              <w:rPr>
                <w:noProof/>
                <w:webHidden/>
              </w:rPr>
              <w:instrText xml:space="preserve"> PAGEREF _Toc67398312 \h </w:instrText>
            </w:r>
            <w:r w:rsidR="002D46C6">
              <w:rPr>
                <w:noProof/>
                <w:webHidden/>
              </w:rPr>
            </w:r>
            <w:r w:rsidR="002D46C6">
              <w:rPr>
                <w:noProof/>
                <w:webHidden/>
              </w:rPr>
              <w:fldChar w:fldCharType="separate"/>
            </w:r>
            <w:r w:rsidR="002D46C6">
              <w:rPr>
                <w:noProof/>
                <w:webHidden/>
              </w:rPr>
              <w:t>9</w:t>
            </w:r>
            <w:r w:rsidR="002D46C6">
              <w:rPr>
                <w:noProof/>
                <w:webHidden/>
              </w:rPr>
              <w:fldChar w:fldCharType="end"/>
            </w:r>
          </w:hyperlink>
        </w:p>
        <w:p w14:paraId="370577DB" w14:textId="6A270C92" w:rsidR="002D46C6" w:rsidRDefault="00434D80">
          <w:pPr>
            <w:pStyle w:val="TOC2"/>
            <w:rPr>
              <w:rFonts w:asciiTheme="minorHAnsi" w:eastAsiaTheme="minorEastAsia" w:hAnsiTheme="minorHAnsi" w:cstheme="minorBidi"/>
              <w:b w:val="0"/>
              <w:noProof/>
              <w:sz w:val="22"/>
              <w:szCs w:val="22"/>
              <w:lang w:eastAsia="en-AU"/>
            </w:rPr>
          </w:pPr>
          <w:hyperlink w:anchor="_Toc67398313" w:history="1">
            <w:r w:rsidR="002D46C6" w:rsidRPr="009F06D5">
              <w:rPr>
                <w:rStyle w:val="Hyperlink"/>
                <w:noProof/>
              </w:rPr>
              <w:t>Single unit packaging within a container</w:t>
            </w:r>
            <w:r w:rsidR="002D46C6">
              <w:rPr>
                <w:noProof/>
                <w:webHidden/>
              </w:rPr>
              <w:tab/>
            </w:r>
            <w:r w:rsidR="002D46C6">
              <w:rPr>
                <w:noProof/>
                <w:webHidden/>
              </w:rPr>
              <w:fldChar w:fldCharType="begin"/>
            </w:r>
            <w:r w:rsidR="002D46C6">
              <w:rPr>
                <w:noProof/>
                <w:webHidden/>
              </w:rPr>
              <w:instrText xml:space="preserve"> PAGEREF _Toc67398313 \h </w:instrText>
            </w:r>
            <w:r w:rsidR="002D46C6">
              <w:rPr>
                <w:noProof/>
                <w:webHidden/>
              </w:rPr>
            </w:r>
            <w:r w:rsidR="002D46C6">
              <w:rPr>
                <w:noProof/>
                <w:webHidden/>
              </w:rPr>
              <w:fldChar w:fldCharType="separate"/>
            </w:r>
            <w:r w:rsidR="002D46C6">
              <w:rPr>
                <w:noProof/>
                <w:webHidden/>
              </w:rPr>
              <w:t>9</w:t>
            </w:r>
            <w:r w:rsidR="002D46C6">
              <w:rPr>
                <w:noProof/>
                <w:webHidden/>
              </w:rPr>
              <w:fldChar w:fldCharType="end"/>
            </w:r>
          </w:hyperlink>
        </w:p>
        <w:p w14:paraId="67D3CB7F" w14:textId="48F27460" w:rsidR="002D46C6" w:rsidRDefault="00434D80">
          <w:pPr>
            <w:pStyle w:val="TOC1"/>
            <w:rPr>
              <w:rFonts w:asciiTheme="minorHAnsi" w:eastAsiaTheme="minorEastAsia" w:hAnsiTheme="minorHAnsi" w:cstheme="minorBidi"/>
              <w:b w:val="0"/>
              <w:noProof/>
              <w:sz w:val="22"/>
              <w:szCs w:val="22"/>
              <w:lang w:eastAsia="en-AU"/>
            </w:rPr>
          </w:pPr>
          <w:hyperlink w:anchor="_Toc67398314" w:history="1">
            <w:r w:rsidR="002D46C6" w:rsidRPr="009F06D5">
              <w:rPr>
                <w:rStyle w:val="Hyperlink"/>
                <w:noProof/>
              </w:rPr>
              <w:t>Requirements of TGO 106</w:t>
            </w:r>
            <w:r w:rsidR="002D46C6">
              <w:rPr>
                <w:noProof/>
                <w:webHidden/>
              </w:rPr>
              <w:tab/>
            </w:r>
            <w:r w:rsidR="002D46C6">
              <w:rPr>
                <w:noProof/>
                <w:webHidden/>
              </w:rPr>
              <w:fldChar w:fldCharType="begin"/>
            </w:r>
            <w:r w:rsidR="002D46C6">
              <w:rPr>
                <w:noProof/>
                <w:webHidden/>
              </w:rPr>
              <w:instrText xml:space="preserve"> PAGEREF _Toc67398314 \h </w:instrText>
            </w:r>
            <w:r w:rsidR="002D46C6">
              <w:rPr>
                <w:noProof/>
                <w:webHidden/>
              </w:rPr>
            </w:r>
            <w:r w:rsidR="002D46C6">
              <w:rPr>
                <w:noProof/>
                <w:webHidden/>
              </w:rPr>
              <w:fldChar w:fldCharType="separate"/>
            </w:r>
            <w:r w:rsidR="002D46C6">
              <w:rPr>
                <w:noProof/>
                <w:webHidden/>
              </w:rPr>
              <w:t>9</w:t>
            </w:r>
            <w:r w:rsidR="002D46C6">
              <w:rPr>
                <w:noProof/>
                <w:webHidden/>
              </w:rPr>
              <w:fldChar w:fldCharType="end"/>
            </w:r>
          </w:hyperlink>
        </w:p>
        <w:p w14:paraId="4332B728" w14:textId="13DC72B2" w:rsidR="002D46C6" w:rsidRDefault="00434D80">
          <w:pPr>
            <w:pStyle w:val="TOC2"/>
            <w:rPr>
              <w:rFonts w:asciiTheme="minorHAnsi" w:eastAsiaTheme="minorEastAsia" w:hAnsiTheme="minorHAnsi" w:cstheme="minorBidi"/>
              <w:b w:val="0"/>
              <w:noProof/>
              <w:sz w:val="22"/>
              <w:szCs w:val="22"/>
              <w:lang w:eastAsia="en-AU"/>
            </w:rPr>
          </w:pPr>
          <w:hyperlink w:anchor="_Toc67398315" w:history="1">
            <w:r w:rsidR="002D46C6" w:rsidRPr="009F06D5">
              <w:rPr>
                <w:rStyle w:val="Hyperlink"/>
                <w:noProof/>
              </w:rPr>
              <w:t>Serialised medicines and application of data matrix codes</w:t>
            </w:r>
            <w:r w:rsidR="002D46C6">
              <w:rPr>
                <w:noProof/>
                <w:webHidden/>
              </w:rPr>
              <w:tab/>
            </w:r>
            <w:r w:rsidR="002D46C6">
              <w:rPr>
                <w:noProof/>
                <w:webHidden/>
              </w:rPr>
              <w:fldChar w:fldCharType="begin"/>
            </w:r>
            <w:r w:rsidR="002D46C6">
              <w:rPr>
                <w:noProof/>
                <w:webHidden/>
              </w:rPr>
              <w:instrText xml:space="preserve"> PAGEREF _Toc67398315 \h </w:instrText>
            </w:r>
            <w:r w:rsidR="002D46C6">
              <w:rPr>
                <w:noProof/>
                <w:webHidden/>
              </w:rPr>
            </w:r>
            <w:r w:rsidR="002D46C6">
              <w:rPr>
                <w:noProof/>
                <w:webHidden/>
              </w:rPr>
              <w:fldChar w:fldCharType="separate"/>
            </w:r>
            <w:r w:rsidR="002D46C6">
              <w:rPr>
                <w:noProof/>
                <w:webHidden/>
              </w:rPr>
              <w:t>9</w:t>
            </w:r>
            <w:r w:rsidR="002D46C6">
              <w:rPr>
                <w:noProof/>
                <w:webHidden/>
              </w:rPr>
              <w:fldChar w:fldCharType="end"/>
            </w:r>
          </w:hyperlink>
        </w:p>
        <w:p w14:paraId="0BA94237" w14:textId="5CE69D7D" w:rsidR="002D46C6" w:rsidRDefault="00434D80">
          <w:pPr>
            <w:pStyle w:val="TOC3"/>
            <w:rPr>
              <w:rFonts w:asciiTheme="minorHAnsi" w:eastAsiaTheme="minorEastAsia" w:hAnsiTheme="minorHAnsi" w:cstheme="minorBidi"/>
              <w:b w:val="0"/>
              <w:noProof/>
              <w:szCs w:val="22"/>
              <w:lang w:eastAsia="en-AU"/>
            </w:rPr>
          </w:pPr>
          <w:hyperlink w:anchor="_Toc67398316" w:history="1">
            <w:r w:rsidR="002D46C6" w:rsidRPr="009F06D5">
              <w:rPr>
                <w:rStyle w:val="Hyperlink"/>
                <w:noProof/>
              </w:rPr>
              <w:t>Serial Numbers</w:t>
            </w:r>
            <w:r w:rsidR="002D46C6">
              <w:rPr>
                <w:noProof/>
                <w:webHidden/>
              </w:rPr>
              <w:tab/>
            </w:r>
            <w:r w:rsidR="002D46C6">
              <w:rPr>
                <w:noProof/>
                <w:webHidden/>
              </w:rPr>
              <w:fldChar w:fldCharType="begin"/>
            </w:r>
            <w:r w:rsidR="002D46C6">
              <w:rPr>
                <w:noProof/>
                <w:webHidden/>
              </w:rPr>
              <w:instrText xml:space="preserve"> PAGEREF _Toc67398316 \h </w:instrText>
            </w:r>
            <w:r w:rsidR="002D46C6">
              <w:rPr>
                <w:noProof/>
                <w:webHidden/>
              </w:rPr>
            </w:r>
            <w:r w:rsidR="002D46C6">
              <w:rPr>
                <w:noProof/>
                <w:webHidden/>
              </w:rPr>
              <w:fldChar w:fldCharType="separate"/>
            </w:r>
            <w:r w:rsidR="002D46C6">
              <w:rPr>
                <w:noProof/>
                <w:webHidden/>
              </w:rPr>
              <w:t>9</w:t>
            </w:r>
            <w:r w:rsidR="002D46C6">
              <w:rPr>
                <w:noProof/>
                <w:webHidden/>
              </w:rPr>
              <w:fldChar w:fldCharType="end"/>
            </w:r>
          </w:hyperlink>
        </w:p>
        <w:p w14:paraId="775DF2CC" w14:textId="4E0A7311" w:rsidR="002D46C6" w:rsidRDefault="00434D80">
          <w:pPr>
            <w:pStyle w:val="TOC3"/>
            <w:rPr>
              <w:rFonts w:asciiTheme="minorHAnsi" w:eastAsiaTheme="minorEastAsia" w:hAnsiTheme="minorHAnsi" w:cstheme="minorBidi"/>
              <w:b w:val="0"/>
              <w:noProof/>
              <w:szCs w:val="22"/>
              <w:lang w:eastAsia="en-AU"/>
            </w:rPr>
          </w:pPr>
          <w:hyperlink w:anchor="_Toc67398317" w:history="1">
            <w:r w:rsidR="002D46C6" w:rsidRPr="009F06D5">
              <w:rPr>
                <w:rStyle w:val="Hyperlink"/>
                <w:noProof/>
              </w:rPr>
              <w:t>Data elements</w:t>
            </w:r>
            <w:r w:rsidR="002D46C6">
              <w:rPr>
                <w:noProof/>
                <w:webHidden/>
              </w:rPr>
              <w:tab/>
            </w:r>
            <w:r w:rsidR="002D46C6">
              <w:rPr>
                <w:noProof/>
                <w:webHidden/>
              </w:rPr>
              <w:fldChar w:fldCharType="begin"/>
            </w:r>
            <w:r w:rsidR="002D46C6">
              <w:rPr>
                <w:noProof/>
                <w:webHidden/>
              </w:rPr>
              <w:instrText xml:space="preserve"> PAGEREF _Toc67398317 \h </w:instrText>
            </w:r>
            <w:r w:rsidR="002D46C6">
              <w:rPr>
                <w:noProof/>
                <w:webHidden/>
              </w:rPr>
            </w:r>
            <w:r w:rsidR="002D46C6">
              <w:rPr>
                <w:noProof/>
                <w:webHidden/>
              </w:rPr>
              <w:fldChar w:fldCharType="separate"/>
            </w:r>
            <w:r w:rsidR="002D46C6">
              <w:rPr>
                <w:noProof/>
                <w:webHidden/>
              </w:rPr>
              <w:t>10</w:t>
            </w:r>
            <w:r w:rsidR="002D46C6">
              <w:rPr>
                <w:noProof/>
                <w:webHidden/>
              </w:rPr>
              <w:fldChar w:fldCharType="end"/>
            </w:r>
          </w:hyperlink>
        </w:p>
        <w:p w14:paraId="6A386C80" w14:textId="03B22542" w:rsidR="002D46C6" w:rsidRDefault="00434D80">
          <w:pPr>
            <w:pStyle w:val="TOC2"/>
            <w:rPr>
              <w:rFonts w:asciiTheme="minorHAnsi" w:eastAsiaTheme="minorEastAsia" w:hAnsiTheme="minorHAnsi" w:cstheme="minorBidi"/>
              <w:b w:val="0"/>
              <w:noProof/>
              <w:sz w:val="22"/>
              <w:szCs w:val="22"/>
              <w:lang w:eastAsia="en-AU"/>
            </w:rPr>
          </w:pPr>
          <w:hyperlink w:anchor="_Toc67398318" w:history="1">
            <w:r w:rsidR="002D46C6" w:rsidRPr="009F06D5">
              <w:rPr>
                <w:rStyle w:val="Hyperlink"/>
                <w:noProof/>
              </w:rPr>
              <w:t>Formatting and durability of data matrix codes</w:t>
            </w:r>
            <w:r w:rsidR="002D46C6">
              <w:rPr>
                <w:noProof/>
                <w:webHidden/>
              </w:rPr>
              <w:tab/>
            </w:r>
            <w:r w:rsidR="002D46C6">
              <w:rPr>
                <w:noProof/>
                <w:webHidden/>
              </w:rPr>
              <w:fldChar w:fldCharType="begin"/>
            </w:r>
            <w:r w:rsidR="002D46C6">
              <w:rPr>
                <w:noProof/>
                <w:webHidden/>
              </w:rPr>
              <w:instrText xml:space="preserve"> PAGEREF _Toc67398318 \h </w:instrText>
            </w:r>
            <w:r w:rsidR="002D46C6">
              <w:rPr>
                <w:noProof/>
                <w:webHidden/>
              </w:rPr>
            </w:r>
            <w:r w:rsidR="002D46C6">
              <w:rPr>
                <w:noProof/>
                <w:webHidden/>
              </w:rPr>
              <w:fldChar w:fldCharType="separate"/>
            </w:r>
            <w:r w:rsidR="002D46C6">
              <w:rPr>
                <w:noProof/>
                <w:webHidden/>
              </w:rPr>
              <w:t>11</w:t>
            </w:r>
            <w:r w:rsidR="002D46C6">
              <w:rPr>
                <w:noProof/>
                <w:webHidden/>
              </w:rPr>
              <w:fldChar w:fldCharType="end"/>
            </w:r>
          </w:hyperlink>
        </w:p>
        <w:p w14:paraId="11A75606" w14:textId="68215A23" w:rsidR="002D46C6" w:rsidRDefault="00434D80">
          <w:pPr>
            <w:pStyle w:val="TOC3"/>
            <w:rPr>
              <w:rFonts w:asciiTheme="minorHAnsi" w:eastAsiaTheme="minorEastAsia" w:hAnsiTheme="minorHAnsi" w:cstheme="minorBidi"/>
              <w:b w:val="0"/>
              <w:noProof/>
              <w:szCs w:val="22"/>
              <w:lang w:eastAsia="en-AU"/>
            </w:rPr>
          </w:pPr>
          <w:hyperlink w:anchor="_Toc67398319" w:history="1">
            <w:r w:rsidR="002D46C6" w:rsidRPr="009F06D5">
              <w:rPr>
                <w:rStyle w:val="Hyperlink"/>
                <w:noProof/>
              </w:rPr>
              <w:t>Durability of data matrix codes</w:t>
            </w:r>
            <w:r w:rsidR="002D46C6">
              <w:rPr>
                <w:noProof/>
                <w:webHidden/>
              </w:rPr>
              <w:tab/>
            </w:r>
            <w:r w:rsidR="002D46C6">
              <w:rPr>
                <w:noProof/>
                <w:webHidden/>
              </w:rPr>
              <w:fldChar w:fldCharType="begin"/>
            </w:r>
            <w:r w:rsidR="002D46C6">
              <w:rPr>
                <w:noProof/>
                <w:webHidden/>
              </w:rPr>
              <w:instrText xml:space="preserve"> PAGEREF _Toc67398319 \h </w:instrText>
            </w:r>
            <w:r w:rsidR="002D46C6">
              <w:rPr>
                <w:noProof/>
                <w:webHidden/>
              </w:rPr>
            </w:r>
            <w:r w:rsidR="002D46C6">
              <w:rPr>
                <w:noProof/>
                <w:webHidden/>
              </w:rPr>
              <w:fldChar w:fldCharType="separate"/>
            </w:r>
            <w:r w:rsidR="002D46C6">
              <w:rPr>
                <w:noProof/>
                <w:webHidden/>
              </w:rPr>
              <w:t>11</w:t>
            </w:r>
            <w:r w:rsidR="002D46C6">
              <w:rPr>
                <w:noProof/>
                <w:webHidden/>
              </w:rPr>
              <w:fldChar w:fldCharType="end"/>
            </w:r>
          </w:hyperlink>
        </w:p>
        <w:p w14:paraId="5B9BF0C1" w14:textId="28D6D458" w:rsidR="002D46C6" w:rsidRDefault="00434D80">
          <w:pPr>
            <w:pStyle w:val="TOC2"/>
            <w:rPr>
              <w:rFonts w:asciiTheme="minorHAnsi" w:eastAsiaTheme="minorEastAsia" w:hAnsiTheme="minorHAnsi" w:cstheme="minorBidi"/>
              <w:b w:val="0"/>
              <w:noProof/>
              <w:sz w:val="22"/>
              <w:szCs w:val="22"/>
              <w:lang w:eastAsia="en-AU"/>
            </w:rPr>
          </w:pPr>
          <w:hyperlink w:anchor="_Toc67398320" w:history="1">
            <w:r w:rsidR="002D46C6" w:rsidRPr="009F06D5">
              <w:rPr>
                <w:rStyle w:val="Hyperlink"/>
                <w:noProof/>
              </w:rPr>
              <w:t>Information in a data matrix code</w:t>
            </w:r>
            <w:r w:rsidR="002D46C6">
              <w:rPr>
                <w:noProof/>
                <w:webHidden/>
              </w:rPr>
              <w:tab/>
            </w:r>
            <w:r w:rsidR="002D46C6">
              <w:rPr>
                <w:noProof/>
                <w:webHidden/>
              </w:rPr>
              <w:fldChar w:fldCharType="begin"/>
            </w:r>
            <w:r w:rsidR="002D46C6">
              <w:rPr>
                <w:noProof/>
                <w:webHidden/>
              </w:rPr>
              <w:instrText xml:space="preserve"> PAGEREF _Toc67398320 \h </w:instrText>
            </w:r>
            <w:r w:rsidR="002D46C6">
              <w:rPr>
                <w:noProof/>
                <w:webHidden/>
              </w:rPr>
            </w:r>
            <w:r w:rsidR="002D46C6">
              <w:rPr>
                <w:noProof/>
                <w:webHidden/>
              </w:rPr>
              <w:fldChar w:fldCharType="separate"/>
            </w:r>
            <w:r w:rsidR="002D46C6">
              <w:rPr>
                <w:noProof/>
                <w:webHidden/>
              </w:rPr>
              <w:t>11</w:t>
            </w:r>
            <w:r w:rsidR="002D46C6">
              <w:rPr>
                <w:noProof/>
                <w:webHidden/>
              </w:rPr>
              <w:fldChar w:fldCharType="end"/>
            </w:r>
          </w:hyperlink>
        </w:p>
        <w:p w14:paraId="08700E62" w14:textId="25919CA3" w:rsidR="002D46C6" w:rsidRDefault="00434D80">
          <w:pPr>
            <w:pStyle w:val="TOC3"/>
            <w:rPr>
              <w:rFonts w:asciiTheme="minorHAnsi" w:eastAsiaTheme="minorEastAsia" w:hAnsiTheme="minorHAnsi" w:cstheme="minorBidi"/>
              <w:b w:val="0"/>
              <w:noProof/>
              <w:szCs w:val="22"/>
              <w:lang w:eastAsia="en-AU"/>
            </w:rPr>
          </w:pPr>
          <w:hyperlink w:anchor="_Toc67398321" w:history="1">
            <w:r w:rsidR="002D46C6" w:rsidRPr="009F06D5">
              <w:rPr>
                <w:rStyle w:val="Hyperlink"/>
                <w:noProof/>
              </w:rPr>
              <w:t>Human-readability</w:t>
            </w:r>
            <w:r w:rsidR="002D46C6">
              <w:rPr>
                <w:noProof/>
                <w:webHidden/>
              </w:rPr>
              <w:tab/>
            </w:r>
            <w:r w:rsidR="002D46C6">
              <w:rPr>
                <w:noProof/>
                <w:webHidden/>
              </w:rPr>
              <w:fldChar w:fldCharType="begin"/>
            </w:r>
            <w:r w:rsidR="002D46C6">
              <w:rPr>
                <w:noProof/>
                <w:webHidden/>
              </w:rPr>
              <w:instrText xml:space="preserve"> PAGEREF _Toc67398321 \h </w:instrText>
            </w:r>
            <w:r w:rsidR="002D46C6">
              <w:rPr>
                <w:noProof/>
                <w:webHidden/>
              </w:rPr>
            </w:r>
            <w:r w:rsidR="002D46C6">
              <w:rPr>
                <w:noProof/>
                <w:webHidden/>
              </w:rPr>
              <w:fldChar w:fldCharType="separate"/>
            </w:r>
            <w:r w:rsidR="002D46C6">
              <w:rPr>
                <w:noProof/>
                <w:webHidden/>
              </w:rPr>
              <w:t>12</w:t>
            </w:r>
            <w:r w:rsidR="002D46C6">
              <w:rPr>
                <w:noProof/>
                <w:webHidden/>
              </w:rPr>
              <w:fldChar w:fldCharType="end"/>
            </w:r>
          </w:hyperlink>
        </w:p>
        <w:p w14:paraId="4DE47927" w14:textId="3EB43185" w:rsidR="002D46C6" w:rsidRDefault="00434D80">
          <w:pPr>
            <w:pStyle w:val="TOC3"/>
            <w:rPr>
              <w:rFonts w:asciiTheme="minorHAnsi" w:eastAsiaTheme="minorEastAsia" w:hAnsiTheme="minorHAnsi" w:cstheme="minorBidi"/>
              <w:b w:val="0"/>
              <w:noProof/>
              <w:szCs w:val="22"/>
              <w:lang w:eastAsia="en-AU"/>
            </w:rPr>
          </w:pPr>
          <w:hyperlink w:anchor="_Toc67398322" w:history="1">
            <w:r w:rsidR="002D46C6" w:rsidRPr="009F06D5">
              <w:rPr>
                <w:rStyle w:val="Hyperlink"/>
                <w:noProof/>
              </w:rPr>
              <w:t>Multiple machine-readable codes</w:t>
            </w:r>
            <w:r w:rsidR="002D46C6">
              <w:rPr>
                <w:noProof/>
                <w:webHidden/>
              </w:rPr>
              <w:tab/>
            </w:r>
            <w:r w:rsidR="002D46C6">
              <w:rPr>
                <w:noProof/>
                <w:webHidden/>
              </w:rPr>
              <w:fldChar w:fldCharType="begin"/>
            </w:r>
            <w:r w:rsidR="002D46C6">
              <w:rPr>
                <w:noProof/>
                <w:webHidden/>
              </w:rPr>
              <w:instrText xml:space="preserve"> PAGEREF _Toc67398322 \h </w:instrText>
            </w:r>
            <w:r w:rsidR="002D46C6">
              <w:rPr>
                <w:noProof/>
                <w:webHidden/>
              </w:rPr>
            </w:r>
            <w:r w:rsidR="002D46C6">
              <w:rPr>
                <w:noProof/>
                <w:webHidden/>
              </w:rPr>
              <w:fldChar w:fldCharType="separate"/>
            </w:r>
            <w:r w:rsidR="002D46C6">
              <w:rPr>
                <w:noProof/>
                <w:webHidden/>
              </w:rPr>
              <w:t>13</w:t>
            </w:r>
            <w:r w:rsidR="002D46C6">
              <w:rPr>
                <w:noProof/>
                <w:webHidden/>
              </w:rPr>
              <w:fldChar w:fldCharType="end"/>
            </w:r>
          </w:hyperlink>
        </w:p>
        <w:p w14:paraId="5108A5CF" w14:textId="4ED8DB96" w:rsidR="002D46C6" w:rsidRDefault="00434D80">
          <w:pPr>
            <w:pStyle w:val="TOC2"/>
            <w:rPr>
              <w:rFonts w:asciiTheme="minorHAnsi" w:eastAsiaTheme="minorEastAsia" w:hAnsiTheme="minorHAnsi" w:cstheme="minorBidi"/>
              <w:b w:val="0"/>
              <w:noProof/>
              <w:sz w:val="22"/>
              <w:szCs w:val="22"/>
              <w:lang w:eastAsia="en-AU"/>
            </w:rPr>
          </w:pPr>
          <w:hyperlink w:anchor="_Toc67398323" w:history="1">
            <w:r w:rsidR="002D46C6" w:rsidRPr="009F06D5">
              <w:rPr>
                <w:rStyle w:val="Hyperlink"/>
                <w:noProof/>
              </w:rPr>
              <w:t>Data matrix code on a primary pack</w:t>
            </w:r>
            <w:r w:rsidR="002D46C6">
              <w:rPr>
                <w:noProof/>
                <w:webHidden/>
              </w:rPr>
              <w:tab/>
            </w:r>
            <w:r w:rsidR="002D46C6">
              <w:rPr>
                <w:noProof/>
                <w:webHidden/>
              </w:rPr>
              <w:fldChar w:fldCharType="begin"/>
            </w:r>
            <w:r w:rsidR="002D46C6">
              <w:rPr>
                <w:noProof/>
                <w:webHidden/>
              </w:rPr>
              <w:instrText xml:space="preserve"> PAGEREF _Toc67398323 \h </w:instrText>
            </w:r>
            <w:r w:rsidR="002D46C6">
              <w:rPr>
                <w:noProof/>
                <w:webHidden/>
              </w:rPr>
            </w:r>
            <w:r w:rsidR="002D46C6">
              <w:rPr>
                <w:noProof/>
                <w:webHidden/>
              </w:rPr>
              <w:fldChar w:fldCharType="separate"/>
            </w:r>
            <w:r w:rsidR="002D46C6">
              <w:rPr>
                <w:noProof/>
                <w:webHidden/>
              </w:rPr>
              <w:t>15</w:t>
            </w:r>
            <w:r w:rsidR="002D46C6">
              <w:rPr>
                <w:noProof/>
                <w:webHidden/>
              </w:rPr>
              <w:fldChar w:fldCharType="end"/>
            </w:r>
          </w:hyperlink>
        </w:p>
        <w:p w14:paraId="53CDCB77" w14:textId="3A478FF3" w:rsidR="002D46C6" w:rsidRDefault="00434D80">
          <w:pPr>
            <w:pStyle w:val="TOC3"/>
            <w:rPr>
              <w:rFonts w:asciiTheme="minorHAnsi" w:eastAsiaTheme="minorEastAsia" w:hAnsiTheme="minorHAnsi" w:cstheme="minorBidi"/>
              <w:b w:val="0"/>
              <w:noProof/>
              <w:szCs w:val="22"/>
              <w:lang w:eastAsia="en-AU"/>
            </w:rPr>
          </w:pPr>
          <w:hyperlink w:anchor="_Toc67398324" w:history="1">
            <w:r w:rsidR="002D46C6" w:rsidRPr="009F06D5">
              <w:rPr>
                <w:rStyle w:val="Hyperlink"/>
                <w:noProof/>
              </w:rPr>
              <w:t>Serialised primary pack</w:t>
            </w:r>
            <w:r w:rsidR="002D46C6">
              <w:rPr>
                <w:noProof/>
                <w:webHidden/>
              </w:rPr>
              <w:tab/>
            </w:r>
            <w:r w:rsidR="002D46C6">
              <w:rPr>
                <w:noProof/>
                <w:webHidden/>
              </w:rPr>
              <w:fldChar w:fldCharType="begin"/>
            </w:r>
            <w:r w:rsidR="002D46C6">
              <w:rPr>
                <w:noProof/>
                <w:webHidden/>
              </w:rPr>
              <w:instrText xml:space="preserve"> PAGEREF _Toc67398324 \h </w:instrText>
            </w:r>
            <w:r w:rsidR="002D46C6">
              <w:rPr>
                <w:noProof/>
                <w:webHidden/>
              </w:rPr>
            </w:r>
            <w:r w:rsidR="002D46C6">
              <w:rPr>
                <w:noProof/>
                <w:webHidden/>
              </w:rPr>
              <w:fldChar w:fldCharType="separate"/>
            </w:r>
            <w:r w:rsidR="002D46C6">
              <w:rPr>
                <w:noProof/>
                <w:webHidden/>
              </w:rPr>
              <w:t>15</w:t>
            </w:r>
            <w:r w:rsidR="002D46C6">
              <w:rPr>
                <w:noProof/>
                <w:webHidden/>
              </w:rPr>
              <w:fldChar w:fldCharType="end"/>
            </w:r>
          </w:hyperlink>
        </w:p>
        <w:p w14:paraId="59F87964" w14:textId="67DA852D" w:rsidR="00F401EF" w:rsidRPr="00215D48" w:rsidRDefault="00434D80" w:rsidP="00B513A4">
          <w:pPr>
            <w:pStyle w:val="TOC2"/>
          </w:pPr>
          <w:hyperlink w:anchor="_Toc67398325" w:history="1">
            <w:r w:rsidR="002D46C6" w:rsidRPr="009F06D5">
              <w:rPr>
                <w:rStyle w:val="Hyperlink"/>
                <w:noProof/>
              </w:rPr>
              <w:t>Labelling of logistic units</w:t>
            </w:r>
            <w:r w:rsidR="002D46C6">
              <w:rPr>
                <w:noProof/>
                <w:webHidden/>
              </w:rPr>
              <w:tab/>
            </w:r>
            <w:r w:rsidR="002D46C6">
              <w:rPr>
                <w:noProof/>
                <w:webHidden/>
              </w:rPr>
              <w:fldChar w:fldCharType="begin"/>
            </w:r>
            <w:r w:rsidR="002D46C6">
              <w:rPr>
                <w:noProof/>
                <w:webHidden/>
              </w:rPr>
              <w:instrText xml:space="preserve"> PAGEREF _Toc67398325 \h </w:instrText>
            </w:r>
            <w:r w:rsidR="002D46C6">
              <w:rPr>
                <w:noProof/>
                <w:webHidden/>
              </w:rPr>
            </w:r>
            <w:r w:rsidR="002D46C6">
              <w:rPr>
                <w:noProof/>
                <w:webHidden/>
              </w:rPr>
              <w:fldChar w:fldCharType="separate"/>
            </w:r>
            <w:r w:rsidR="002D46C6">
              <w:rPr>
                <w:noProof/>
                <w:webHidden/>
              </w:rPr>
              <w:t>16</w:t>
            </w:r>
            <w:r w:rsidR="002D46C6">
              <w:rPr>
                <w:noProof/>
                <w:webHidden/>
              </w:rPr>
              <w:fldChar w:fldCharType="end"/>
            </w:r>
          </w:hyperlink>
          <w:r w:rsidR="00F859D2" w:rsidRPr="00215D48">
            <w:fldChar w:fldCharType="end"/>
          </w:r>
        </w:p>
      </w:sdtContent>
    </w:sdt>
    <w:p w14:paraId="1C73407E" w14:textId="266A9B91" w:rsidR="00DB3B3F" w:rsidRPr="00EE07B9" w:rsidRDefault="00DB3B3F" w:rsidP="00B513A4">
      <w:pPr>
        <w:pStyle w:val="Heading2"/>
        <w:spacing w:before="0"/>
      </w:pPr>
      <w:bookmarkStart w:id="0" w:name="_Toc55492356"/>
      <w:bookmarkStart w:id="1" w:name="_Toc67398296"/>
      <w:bookmarkStart w:id="2" w:name="_Toc53664578"/>
      <w:bookmarkStart w:id="3" w:name="_Toc323739590"/>
      <w:bookmarkStart w:id="4" w:name="_Toc356305217"/>
      <w:r w:rsidRPr="00EE07B9">
        <w:lastRenderedPageBreak/>
        <w:t>About this guidance</w:t>
      </w:r>
      <w:bookmarkEnd w:id="0"/>
      <w:bookmarkEnd w:id="1"/>
    </w:p>
    <w:bookmarkEnd w:id="2"/>
    <w:p w14:paraId="56AC05D6" w14:textId="6AC9206F" w:rsidR="00DD33AB" w:rsidRDefault="002B3E3C" w:rsidP="00EE07B9">
      <w:r>
        <w:t xml:space="preserve">This guidance </w:t>
      </w:r>
      <w:r w:rsidR="00DF035B">
        <w:t xml:space="preserve">is for sponsors and manufacturers supplying medicines in Australia that are serialised or have </w:t>
      </w:r>
      <w:hyperlink w:anchor="_Data_matrix_code_2" w:history="1">
        <w:r w:rsidR="00DF035B" w:rsidRPr="006D36EB">
          <w:rPr>
            <w:rStyle w:val="Hyperlink"/>
          </w:rPr>
          <w:t>data matrix codes</w:t>
        </w:r>
      </w:hyperlink>
      <w:r w:rsidR="003628F6">
        <w:t>.</w:t>
      </w:r>
      <w:r w:rsidR="00DF035B">
        <w:t xml:space="preserve"> </w:t>
      </w:r>
      <w:r w:rsidR="003628F6">
        <w:t>It</w:t>
      </w:r>
      <w:r w:rsidR="00DF035B">
        <w:t xml:space="preserve"> </w:t>
      </w:r>
      <w:r>
        <w:t>describes the</w:t>
      </w:r>
      <w:r w:rsidR="00E446D8">
        <w:t xml:space="preserve"> </w:t>
      </w:r>
      <w:r>
        <w:t xml:space="preserve">requirements in the </w:t>
      </w:r>
      <w:hyperlink r:id="rId15" w:history="1">
        <w:r w:rsidR="00DD33AB" w:rsidRPr="00B513A4">
          <w:rPr>
            <w:rStyle w:val="Hyperlink"/>
          </w:rPr>
          <w:t>Therapeutic Goods (Medicines – Standard for Serialisation and Data Matrix Codes)</w:t>
        </w:r>
        <w:r w:rsidR="000141FC" w:rsidRPr="00B513A4">
          <w:rPr>
            <w:rStyle w:val="Hyperlink"/>
          </w:rPr>
          <w:t xml:space="preserve"> </w:t>
        </w:r>
        <w:r w:rsidR="00DD33AB" w:rsidRPr="00B513A4">
          <w:rPr>
            <w:rStyle w:val="Hyperlink"/>
          </w:rPr>
          <w:t xml:space="preserve">(TGO 106) Order </w:t>
        </w:r>
        <w:r w:rsidR="00C762B8" w:rsidRPr="00B513A4">
          <w:rPr>
            <w:rStyle w:val="Hyperlink"/>
          </w:rPr>
          <w:t>2021</w:t>
        </w:r>
      </w:hyperlink>
      <w:r>
        <w:t>.</w:t>
      </w:r>
    </w:p>
    <w:p w14:paraId="51B2DBB2" w14:textId="53F153BC" w:rsidR="003628F6" w:rsidRDefault="003628F6" w:rsidP="00EE07B9">
      <w:r>
        <w:t>To understand the meaning of terms used in this guidance r</w:t>
      </w:r>
      <w:r w:rsidR="00762F15">
        <w:t>efer to</w:t>
      </w:r>
      <w:r>
        <w:t>:</w:t>
      </w:r>
      <w:r w:rsidR="00762F15">
        <w:t xml:space="preserve"> </w:t>
      </w:r>
    </w:p>
    <w:p w14:paraId="7B65BF22" w14:textId="43D88D3B" w:rsidR="003628F6" w:rsidRDefault="00434D80" w:rsidP="00734DA9">
      <w:pPr>
        <w:pStyle w:val="ListBullet"/>
      </w:pPr>
      <w:hyperlink w:anchor="_Machine-readable_codes_1" w:history="1">
        <w:r w:rsidR="004E6D47">
          <w:rPr>
            <w:rStyle w:val="Hyperlink"/>
          </w:rPr>
          <w:t>machine-</w:t>
        </w:r>
        <w:r w:rsidR="004C12CF">
          <w:rPr>
            <w:rStyle w:val="Hyperlink"/>
          </w:rPr>
          <w:t>readable codes</w:t>
        </w:r>
      </w:hyperlink>
    </w:p>
    <w:p w14:paraId="1D7AA24C" w14:textId="6922F505" w:rsidR="003628F6" w:rsidRDefault="00434D80" w:rsidP="00734DA9">
      <w:pPr>
        <w:pStyle w:val="ListBullet"/>
      </w:pPr>
      <w:hyperlink w:anchor="_Serialised_medicines_1" w:history="1">
        <w:r w:rsidR="004E6D47">
          <w:rPr>
            <w:rStyle w:val="Hyperlink"/>
          </w:rPr>
          <w:t>s</w:t>
        </w:r>
        <w:r w:rsidR="00762F15" w:rsidRPr="000141FC">
          <w:rPr>
            <w:rStyle w:val="Hyperlink"/>
          </w:rPr>
          <w:t>erialised medicines</w:t>
        </w:r>
      </w:hyperlink>
    </w:p>
    <w:p w14:paraId="4EA5BB04" w14:textId="0ECF72B4" w:rsidR="00762F15" w:rsidRDefault="00434D80" w:rsidP="00734DA9">
      <w:pPr>
        <w:pStyle w:val="ListBullet"/>
      </w:pPr>
      <w:hyperlink w:anchor="_Relevant_level_of" w:history="1">
        <w:r w:rsidR="004E6D47" w:rsidRPr="004E6D47">
          <w:rPr>
            <w:rStyle w:val="Hyperlink"/>
          </w:rPr>
          <w:t>relevant level of packaging</w:t>
        </w:r>
      </w:hyperlink>
      <w:r w:rsidR="00762F15">
        <w:t>.</w:t>
      </w:r>
    </w:p>
    <w:p w14:paraId="1EFF93FE" w14:textId="77777777" w:rsidR="004A01DB" w:rsidRPr="00EE07B9" w:rsidRDefault="004A01DB" w:rsidP="00B513A4">
      <w:pPr>
        <w:pStyle w:val="Heading2"/>
      </w:pPr>
      <w:bookmarkStart w:id="5" w:name="_Toc55492358"/>
      <w:bookmarkStart w:id="6" w:name="_Toc67398297"/>
      <w:r w:rsidRPr="00EE07B9">
        <w:t>About TGO 106</w:t>
      </w:r>
      <w:bookmarkEnd w:id="5"/>
      <w:bookmarkEnd w:id="6"/>
    </w:p>
    <w:p w14:paraId="4E08671E" w14:textId="7B136DF2" w:rsidR="00AD33C7" w:rsidRDefault="00AD33C7" w:rsidP="00EE07B9">
      <w:r>
        <w:t>The purpose of TGO 106 is to provide clarity for adopters of serialisation and data matrix codes on medicines supplied in Australia. It is the first step in establishing requirements that support all systems relying on the codes.</w:t>
      </w:r>
    </w:p>
    <w:p w14:paraId="6DC3A2F4" w14:textId="26E8DA38" w:rsidR="00762F15" w:rsidRDefault="004A01DB" w:rsidP="00EE07B9">
      <w:r>
        <w:t>TGO 106 sets out the requirements for medicines supplied in Australia where:</w:t>
      </w:r>
    </w:p>
    <w:p w14:paraId="2068CB58" w14:textId="40927BFA" w:rsidR="00DD33AB" w:rsidRDefault="00DD33AB" w:rsidP="00DD33AB">
      <w:pPr>
        <w:pStyle w:val="ListBullet"/>
      </w:pPr>
      <w:r>
        <w:t>a medicine is serialised</w:t>
      </w:r>
    </w:p>
    <w:p w14:paraId="6F4DB852" w14:textId="71BB965B" w:rsidR="00DD33AB" w:rsidRDefault="00DD33AB" w:rsidP="00DD33AB">
      <w:pPr>
        <w:pStyle w:val="ListBullet"/>
      </w:pPr>
      <w:r>
        <w:t xml:space="preserve">a data matrix code containing a </w:t>
      </w:r>
      <w:hyperlink r:id="rId16" w:history="1">
        <w:r w:rsidR="004A01DB" w:rsidRPr="00936916">
          <w:rPr>
            <w:rStyle w:val="Hyperlink"/>
          </w:rPr>
          <w:t>Global Trade Item Number (GTIN)</w:t>
        </w:r>
      </w:hyperlink>
      <w:r w:rsidR="00B513A4">
        <w:t xml:space="preserve"> is applied to a medicine.</w:t>
      </w:r>
    </w:p>
    <w:p w14:paraId="13A51B53" w14:textId="204BA4FF" w:rsidR="00DD33AB" w:rsidRDefault="004A01DB" w:rsidP="00DD33AB">
      <w:r>
        <w:t>Where possible</w:t>
      </w:r>
      <w:r w:rsidR="00036AA6">
        <w:t xml:space="preserve"> TGO 106 </w:t>
      </w:r>
      <w:r w:rsidR="00DD33AB">
        <w:t>requirements align with global standards to provide consistency for sponsors and manufacturers operating in multiple jurisdictions and to ensure global interoperability.</w:t>
      </w:r>
    </w:p>
    <w:p w14:paraId="287BF89A" w14:textId="74992643" w:rsidR="00B0488A" w:rsidRDefault="009F3C09" w:rsidP="00DD33AB">
      <w:r>
        <w:t>TGO 106</w:t>
      </w:r>
      <w:r w:rsidR="00DD33AB">
        <w:t xml:space="preserve"> does not set out any </w:t>
      </w:r>
      <w:r w:rsidR="00DD33AB" w:rsidRPr="00440EFC">
        <w:t>requirements regarding reporting</w:t>
      </w:r>
      <w:r w:rsidR="00DD33AB">
        <w:t>, storage</w:t>
      </w:r>
      <w:r w:rsidR="00DD33AB" w:rsidRPr="00440EFC">
        <w:t xml:space="preserve"> </w:t>
      </w:r>
      <w:r w:rsidR="00DD33AB">
        <w:t>and verification of serialisation data.</w:t>
      </w:r>
    </w:p>
    <w:p w14:paraId="35D3045F" w14:textId="26653604" w:rsidR="003628F6" w:rsidRDefault="003628F6" w:rsidP="00D477B7">
      <w:r>
        <w:t xml:space="preserve">TGO 106 is a standard made under section 10 of the </w:t>
      </w:r>
      <w:hyperlink r:id="rId17" w:history="1">
        <w:r w:rsidRPr="00B8208C">
          <w:rPr>
            <w:rStyle w:val="Hyperlink"/>
            <w:i/>
          </w:rPr>
          <w:t>Therapeutic Goods Act 1989</w:t>
        </w:r>
      </w:hyperlink>
      <w:r>
        <w:t>.</w:t>
      </w:r>
    </w:p>
    <w:p w14:paraId="5AA50664" w14:textId="77777777" w:rsidR="00966276" w:rsidRPr="00AC140F" w:rsidRDefault="00966276" w:rsidP="00AC140F">
      <w:pPr>
        <w:pStyle w:val="Heading3"/>
      </w:pPr>
      <w:bookmarkStart w:id="7" w:name="_Toc67398298"/>
      <w:r w:rsidRPr="00AC140F">
        <w:t>Commencement date</w:t>
      </w:r>
      <w:bookmarkEnd w:id="7"/>
    </w:p>
    <w:p w14:paraId="07F3104F" w14:textId="77777777" w:rsidR="00966276" w:rsidRPr="00E73F90" w:rsidRDefault="00966276" w:rsidP="00966276">
      <w:r>
        <w:t xml:space="preserve">Medicines subject to TGO 106 that are released for supply from </w:t>
      </w:r>
      <w:r w:rsidRPr="00436BA0">
        <w:rPr>
          <w:b/>
        </w:rPr>
        <w:t>1 January 2023</w:t>
      </w:r>
      <w:r>
        <w:t xml:space="preserve"> must comply with TGO 106.</w:t>
      </w:r>
    </w:p>
    <w:p w14:paraId="2AE706C9" w14:textId="77777777" w:rsidR="00966276" w:rsidRPr="00966276" w:rsidRDefault="00966276" w:rsidP="00AC140F">
      <w:pPr>
        <w:pStyle w:val="Heading2"/>
      </w:pPr>
      <w:bookmarkStart w:id="8" w:name="_Machine-readable_codes"/>
      <w:bookmarkStart w:id="9" w:name="_Toc67398299"/>
      <w:bookmarkEnd w:id="8"/>
      <w:r w:rsidRPr="00966276">
        <w:t>Medicines that are subject to TGO 106 requirements</w:t>
      </w:r>
      <w:bookmarkEnd w:id="9"/>
    </w:p>
    <w:p w14:paraId="7BFC1A58" w14:textId="2A295B8F" w:rsidR="00966276" w:rsidRDefault="00966276" w:rsidP="00966276">
      <w:r>
        <w:t>Medicines supplied in Australia are subject t</w:t>
      </w:r>
      <w:r w:rsidR="00726250">
        <w:t>o TGO 106 requirements if they:</w:t>
      </w:r>
    </w:p>
    <w:p w14:paraId="118B8D32" w14:textId="0E7FF0A1" w:rsidR="00966276" w:rsidRDefault="00966276" w:rsidP="00966276">
      <w:pPr>
        <w:pStyle w:val="ListBullet"/>
      </w:pPr>
      <w:r>
        <w:t xml:space="preserve">are </w:t>
      </w:r>
      <w:hyperlink w:anchor="_Serialised_medicines_1" w:history="1">
        <w:r w:rsidRPr="00CB7E51">
          <w:rPr>
            <w:rStyle w:val="Hyperlink"/>
          </w:rPr>
          <w:t>serialised</w:t>
        </w:r>
      </w:hyperlink>
    </w:p>
    <w:p w14:paraId="31B467F2" w14:textId="7757EF7C" w:rsidR="00966276" w:rsidRDefault="00966276" w:rsidP="00966276">
      <w:pPr>
        <w:pStyle w:val="ListBullet"/>
      </w:pPr>
      <w:r>
        <w:t xml:space="preserve">include a </w:t>
      </w:r>
      <w:hyperlink w:anchor="_Data_matrix_code_2" w:history="1">
        <w:r w:rsidRPr="00CB7E51">
          <w:rPr>
            <w:rStyle w:val="Hyperlink"/>
          </w:rPr>
          <w:t>data matrix code</w:t>
        </w:r>
      </w:hyperlink>
      <w:r>
        <w:t xml:space="preserve"> which encodes the </w:t>
      </w:r>
      <w:hyperlink r:id="rId18" w:history="1">
        <w:r w:rsidRPr="00170EC8">
          <w:rPr>
            <w:rStyle w:val="Hyperlink"/>
          </w:rPr>
          <w:t>GTIN</w:t>
        </w:r>
      </w:hyperlink>
      <w:r>
        <w:t>.</w:t>
      </w:r>
    </w:p>
    <w:p w14:paraId="71046BE7" w14:textId="2DD1399B" w:rsidR="00966276" w:rsidRDefault="00966276" w:rsidP="00966276">
      <w:r w:rsidRPr="00D40EC3">
        <w:t xml:space="preserve">Refer to </w:t>
      </w:r>
      <w:hyperlink w:anchor="_Medicines_that_are_1" w:history="1">
        <w:r w:rsidR="00BB7994">
          <w:rPr>
            <w:rStyle w:val="Hyperlink"/>
          </w:rPr>
          <w:t>medicines that are exempt from TGO 106</w:t>
        </w:r>
      </w:hyperlink>
      <w:r w:rsidRPr="00D40EC3">
        <w:t xml:space="preserve"> </w:t>
      </w:r>
      <w:r>
        <w:t xml:space="preserve">for information on </w:t>
      </w:r>
      <w:r w:rsidRPr="00D40EC3">
        <w:t>medicines that do not need to comply with TGO 106</w:t>
      </w:r>
      <w:r w:rsidRPr="00170EC8">
        <w:t>.</w:t>
      </w:r>
    </w:p>
    <w:p w14:paraId="51AC7793" w14:textId="747FD21C" w:rsidR="00966276" w:rsidRDefault="00966276" w:rsidP="00966276">
      <w:r>
        <w:t xml:space="preserve">The </w:t>
      </w:r>
      <w:r w:rsidR="00537401">
        <w:t>flowchart</w:t>
      </w:r>
      <w:r>
        <w:t xml:space="preserve"> below illustrates when the requirements of TGO </w:t>
      </w:r>
      <w:r w:rsidR="00726250">
        <w:t>106 apply and when they do not.</w:t>
      </w:r>
    </w:p>
    <w:p w14:paraId="204E4EF0" w14:textId="4E28C93F" w:rsidR="00B31CD6" w:rsidRPr="00B31CD6" w:rsidRDefault="00966276" w:rsidP="004B1C7A">
      <w:pPr>
        <w:pStyle w:val="Figuretitle"/>
        <w:keepNext/>
      </w:pPr>
      <w:r w:rsidRPr="00966276">
        <w:lastRenderedPageBreak/>
        <w:t xml:space="preserve">When requirements of </w:t>
      </w:r>
      <w:r w:rsidRPr="000834BE">
        <w:t>TGO 106 apply</w:t>
      </w:r>
    </w:p>
    <w:p w14:paraId="57CE4402" w14:textId="00269A80" w:rsidR="00B31CD6" w:rsidRPr="001821B6" w:rsidRDefault="004B1C7A" w:rsidP="00966276">
      <w:r w:rsidRPr="004B1C7A">
        <w:rPr>
          <w:noProof/>
          <w:lang w:eastAsia="en-AU"/>
        </w:rPr>
        <w:drawing>
          <wp:inline distT="0" distB="0" distL="0" distR="0" wp14:anchorId="11DE8ADA" wp14:editId="73A19F39">
            <wp:extent cx="5759450" cy="5638919"/>
            <wp:effectExtent l="0" t="0" r="0" b="0"/>
            <wp:docPr id="1" name="Picture 1" descr="Flow chart to determine if the Order makes requirements. If the medicine is serialised at the primary pack, container or single unit packaging within a container, or if the medicine has a data matrix that encodes the GTIN, then the medicine must comply with the requirements of the order. If the medicine is not serialised, does not have a data matrix code that includes a GTIN, or those features are only on a packing level higher than the primary packaging (e.g. a shipper), then the order makes no further requirements. " title="When requirements of TGO 106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01\Higgdo\Desktop\TGO 106 flowchart jpg v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5638919"/>
                    </a:xfrm>
                    <a:prstGeom prst="rect">
                      <a:avLst/>
                    </a:prstGeom>
                    <a:noFill/>
                    <a:ln>
                      <a:noFill/>
                    </a:ln>
                  </pic:spPr>
                </pic:pic>
              </a:graphicData>
            </a:graphic>
          </wp:inline>
        </w:drawing>
      </w:r>
    </w:p>
    <w:p w14:paraId="4E59A19B" w14:textId="29D0247D" w:rsidR="00B513C7" w:rsidRDefault="00966276" w:rsidP="00966276">
      <w:r>
        <w:t>Data matrix codes that do not encode the medicine’s GTIN (and where the medicine is not serialised) have no further requirements. That is, they can be in any format and a human-readable transcription is not required.</w:t>
      </w:r>
    </w:p>
    <w:p w14:paraId="29120EFF" w14:textId="51769C5E" w:rsidR="00966276" w:rsidRDefault="00426503" w:rsidP="00966276">
      <w:r>
        <w:t xml:space="preserve">See also: </w:t>
      </w:r>
      <w:hyperlink w:anchor="_Primary_pack" w:history="1">
        <w:r w:rsidRPr="00426503">
          <w:rPr>
            <w:rStyle w:val="Hyperlink"/>
          </w:rPr>
          <w:t>Example primary pack that is compliant with TGO 106</w:t>
        </w:r>
      </w:hyperlink>
      <w:r>
        <w:t>.</w:t>
      </w:r>
    </w:p>
    <w:p w14:paraId="35C2ACC9" w14:textId="77777777" w:rsidR="00966276" w:rsidRPr="00966276" w:rsidRDefault="00966276" w:rsidP="00966276">
      <w:pPr>
        <w:pStyle w:val="Heading2"/>
      </w:pPr>
      <w:bookmarkStart w:id="10" w:name="_Medicines_that_are_1"/>
      <w:bookmarkStart w:id="11" w:name="_Toc67398300"/>
      <w:bookmarkEnd w:id="10"/>
      <w:r w:rsidRPr="00966276">
        <w:t>Medicines that are exempt from TGO 106</w:t>
      </w:r>
      <w:bookmarkEnd w:id="11"/>
    </w:p>
    <w:p w14:paraId="086B7743" w14:textId="386D9C6A" w:rsidR="00966276" w:rsidRDefault="00966276" w:rsidP="00966276">
      <w:r>
        <w:t>Section 6 of TGO 106 identifies medicines that are not required to comply with TGO 106</w:t>
      </w:r>
      <w:r w:rsidR="00726250">
        <w:t xml:space="preserve"> and these are described below.</w:t>
      </w:r>
    </w:p>
    <w:tbl>
      <w:tblPr>
        <w:tblW w:w="5000" w:type="pct"/>
        <w:tblCellMar>
          <w:left w:w="0" w:type="dxa"/>
          <w:right w:w="0" w:type="dxa"/>
        </w:tblCellMar>
        <w:tblLook w:val="04A0" w:firstRow="1" w:lastRow="0" w:firstColumn="1" w:lastColumn="0" w:noHBand="0" w:noVBand="1"/>
      </w:tblPr>
      <w:tblGrid>
        <w:gridCol w:w="9070"/>
      </w:tblGrid>
      <w:tr w:rsidR="00966276" w:rsidRPr="00215D48" w14:paraId="7A61620A" w14:textId="77777777" w:rsidTr="00966276">
        <w:tc>
          <w:tcPr>
            <w:tcW w:w="5000" w:type="pct"/>
            <w:shd w:val="clear" w:color="auto" w:fill="EAEAEA"/>
            <w:tcMar>
              <w:top w:w="170" w:type="dxa"/>
              <w:left w:w="170" w:type="dxa"/>
              <w:bottom w:w="170" w:type="dxa"/>
              <w:right w:w="170" w:type="dxa"/>
            </w:tcMar>
            <w:vAlign w:val="center"/>
          </w:tcPr>
          <w:p w14:paraId="14BEE4EF" w14:textId="39263C14" w:rsidR="00966276" w:rsidRPr="00215D48" w:rsidRDefault="00966276" w:rsidP="00537401">
            <w:r w:rsidRPr="00966276">
              <w:t>TGO 106 does not preclude these medicines from complying if the medicine manufacturer or sponsor chooses to do so.</w:t>
            </w:r>
          </w:p>
        </w:tc>
      </w:tr>
    </w:tbl>
    <w:p w14:paraId="0C6AF61D" w14:textId="77777777" w:rsidR="00966276" w:rsidRPr="00966276" w:rsidRDefault="00966276" w:rsidP="00966276">
      <w:pPr>
        <w:pStyle w:val="Heading3"/>
      </w:pPr>
      <w:bookmarkStart w:id="12" w:name="_Toc67398301"/>
      <w:r w:rsidRPr="00966276">
        <w:lastRenderedPageBreak/>
        <w:t>Export only medicines</w:t>
      </w:r>
      <w:bookmarkEnd w:id="12"/>
    </w:p>
    <w:p w14:paraId="7E706A62" w14:textId="77777777" w:rsidR="00966276" w:rsidRDefault="00966276" w:rsidP="00966276">
      <w:r w:rsidRPr="00E32299">
        <w:t>Medicines</w:t>
      </w:r>
      <w:r w:rsidRPr="00D140DD">
        <w:t xml:space="preserve"> that are manufactured in Australia</w:t>
      </w:r>
      <w:r w:rsidRPr="00E32299">
        <w:t xml:space="preserve"> </w:t>
      </w:r>
      <w:r w:rsidRPr="00A90942">
        <w:t>for export o</w:t>
      </w:r>
      <w:r>
        <w:t>r</w:t>
      </w:r>
      <w:r w:rsidRPr="00D140DD">
        <w:t xml:space="preserve"> imported into Australia for the purposes of exp</w:t>
      </w:r>
      <w:r>
        <w:t>ort</w:t>
      </w:r>
      <w:r w:rsidRPr="00D140DD">
        <w:t xml:space="preserve"> as per </w:t>
      </w:r>
      <w:r w:rsidRPr="00E32299">
        <w:t xml:space="preserve">Section 3 of the </w:t>
      </w:r>
      <w:hyperlink r:id="rId20" w:history="1">
        <w:r w:rsidRPr="00E32299">
          <w:rPr>
            <w:rStyle w:val="Hyperlink"/>
            <w:i/>
          </w:rPr>
          <w:t>Therapeutic Goods Act 1989</w:t>
        </w:r>
      </w:hyperlink>
      <w:r w:rsidRPr="00E32299">
        <w:t>.</w:t>
      </w:r>
    </w:p>
    <w:p w14:paraId="1F48D2A7" w14:textId="77777777" w:rsidR="009165EB" w:rsidRPr="00966276" w:rsidRDefault="009165EB" w:rsidP="009165EB">
      <w:pPr>
        <w:pStyle w:val="Heading3"/>
      </w:pPr>
      <w:bookmarkStart w:id="13" w:name="_Toc67398302"/>
      <w:r w:rsidRPr="00966276">
        <w:t>Blood or blood product</w:t>
      </w:r>
      <w:bookmarkEnd w:id="13"/>
    </w:p>
    <w:p w14:paraId="47C61634" w14:textId="247DD8E1" w:rsidR="009165EB" w:rsidRDefault="009165EB" w:rsidP="009165EB">
      <w:r>
        <w:t xml:space="preserve">Medicines that are funded under the national blood arrangements are required to bear a </w:t>
      </w:r>
      <w:r w:rsidRPr="00675C11">
        <w:t xml:space="preserve">GS1 DataMatrix </w:t>
      </w:r>
      <w:r w:rsidRPr="00CC6827">
        <w:t>or ISBT 128 barcode</w:t>
      </w:r>
      <w:r>
        <w:t xml:space="preserve">. Where the </w:t>
      </w:r>
      <w:hyperlink r:id="rId21" w:history="1">
        <w:r w:rsidRPr="009E314A">
          <w:rPr>
            <w:rStyle w:val="Hyperlink"/>
          </w:rPr>
          <w:t>barcode specifications</w:t>
        </w:r>
      </w:hyperlink>
      <w:r>
        <w:t xml:space="preserve"> are met, TGO 106 is </w:t>
      </w:r>
      <w:r w:rsidR="00726250">
        <w:t>considered to be complied with.</w:t>
      </w:r>
    </w:p>
    <w:p w14:paraId="2D23A2A6" w14:textId="154E91F3" w:rsidR="00B01AF7" w:rsidRDefault="009165EB" w:rsidP="009165EB">
      <w:r>
        <w:t>If the National Blood Authority ceases to prescribe barcoding requirements, these medicines must then comply with TGO 106.</w:t>
      </w:r>
    </w:p>
    <w:p w14:paraId="362B168B" w14:textId="77777777" w:rsidR="00966276" w:rsidRPr="00966276" w:rsidRDefault="00966276" w:rsidP="00966276">
      <w:pPr>
        <w:pStyle w:val="Heading3"/>
      </w:pPr>
      <w:bookmarkStart w:id="14" w:name="_Toc67398303"/>
      <w:r w:rsidRPr="00966276">
        <w:t>Medicines supplied under special circumstances</w:t>
      </w:r>
      <w:bookmarkEnd w:id="14"/>
    </w:p>
    <w:p w14:paraId="2E0CAEE2" w14:textId="52745079" w:rsidR="00966276" w:rsidRDefault="00966276" w:rsidP="00966276">
      <w:r>
        <w:t xml:space="preserve">Medicines supplied with an approval under Section 19 or 19A of the </w:t>
      </w:r>
      <w:hyperlink r:id="rId22" w:history="1">
        <w:r w:rsidRPr="000223E9">
          <w:rPr>
            <w:rStyle w:val="Hyperlink"/>
            <w:i/>
          </w:rPr>
          <w:t>Therapeutic Goods Act 1989</w:t>
        </w:r>
      </w:hyperlink>
      <w:r>
        <w:t xml:space="preserve"> include medicines for </w:t>
      </w:r>
      <w:hyperlink r:id="rId23" w:history="1">
        <w:r w:rsidRPr="000F389D">
          <w:rPr>
            <w:rStyle w:val="Hyperlink"/>
          </w:rPr>
          <w:t>clinical trials</w:t>
        </w:r>
      </w:hyperlink>
      <w:r>
        <w:t xml:space="preserve">, those supplied under the </w:t>
      </w:r>
      <w:hyperlink r:id="rId24" w:history="1">
        <w:r w:rsidRPr="00074F53">
          <w:rPr>
            <w:rStyle w:val="Hyperlink"/>
          </w:rPr>
          <w:t>special access scheme</w:t>
        </w:r>
      </w:hyperlink>
      <w:r>
        <w:t>, or are supplied due to unavailability or sh</w:t>
      </w:r>
      <w:r w:rsidR="00726250">
        <w:t>ortage of registered medicines.</w:t>
      </w:r>
    </w:p>
    <w:tbl>
      <w:tblPr>
        <w:tblW w:w="5000" w:type="pct"/>
        <w:tblCellMar>
          <w:left w:w="0" w:type="dxa"/>
          <w:right w:w="0" w:type="dxa"/>
        </w:tblCellMar>
        <w:tblLook w:val="04A0" w:firstRow="1" w:lastRow="0" w:firstColumn="1" w:lastColumn="0" w:noHBand="0" w:noVBand="1"/>
      </w:tblPr>
      <w:tblGrid>
        <w:gridCol w:w="9070"/>
      </w:tblGrid>
      <w:tr w:rsidR="00966276" w:rsidRPr="00215D48" w14:paraId="2614702D" w14:textId="77777777" w:rsidTr="00966276">
        <w:tc>
          <w:tcPr>
            <w:tcW w:w="5000" w:type="pct"/>
            <w:shd w:val="clear" w:color="auto" w:fill="EAEAEA"/>
            <w:tcMar>
              <w:top w:w="170" w:type="dxa"/>
              <w:left w:w="170" w:type="dxa"/>
              <w:bottom w:w="170" w:type="dxa"/>
              <w:right w:w="170" w:type="dxa"/>
            </w:tcMar>
            <w:vAlign w:val="center"/>
          </w:tcPr>
          <w:p w14:paraId="40876AAE" w14:textId="77777777" w:rsidR="00966276" w:rsidRPr="00215D48" w:rsidRDefault="00966276" w:rsidP="00537401">
            <w:r>
              <w:t xml:space="preserve">GS1 provides a standard for the identification of </w:t>
            </w:r>
            <w:hyperlink r:id="rId25" w:history="1">
              <w:r w:rsidRPr="00205B4A">
                <w:rPr>
                  <w:rStyle w:val="Hyperlink"/>
                </w:rPr>
                <w:t>investigational</w:t>
              </w:r>
              <w:r>
                <w:rPr>
                  <w:rStyle w:val="Hyperlink"/>
                </w:rPr>
                <w:t xml:space="preserve"> </w:t>
              </w:r>
              <w:r w:rsidRPr="00205B4A">
                <w:rPr>
                  <w:rStyle w:val="Hyperlink"/>
                </w:rPr>
                <w:t>products</w:t>
              </w:r>
            </w:hyperlink>
            <w:r>
              <w:t xml:space="preserve"> in healthcare clinical trial processes.</w:t>
            </w:r>
          </w:p>
        </w:tc>
      </w:tr>
    </w:tbl>
    <w:p w14:paraId="52261258" w14:textId="77777777" w:rsidR="00F83F96" w:rsidRPr="00966276" w:rsidRDefault="00F83F96" w:rsidP="00F83F96">
      <w:pPr>
        <w:pStyle w:val="Heading3"/>
      </w:pPr>
      <w:bookmarkStart w:id="15" w:name="_Machine-readable_codes_1"/>
      <w:bookmarkStart w:id="16" w:name="_Toc67398304"/>
      <w:bookmarkEnd w:id="15"/>
      <w:r w:rsidRPr="00966276">
        <w:t>Medicines imported for use by immediate family</w:t>
      </w:r>
      <w:bookmarkEnd w:id="16"/>
    </w:p>
    <w:p w14:paraId="199A8A25" w14:textId="64A3A275" w:rsidR="00F83F96" w:rsidRPr="00C04013" w:rsidRDefault="00F83F96" w:rsidP="00F83F96">
      <w:r>
        <w:t xml:space="preserve">Medicines mentioned in </w:t>
      </w:r>
      <w:r w:rsidRPr="007F40EE">
        <w:t>Item 1 of Schedu</w:t>
      </w:r>
      <w:r>
        <w:t xml:space="preserve">le 5 to the </w:t>
      </w:r>
      <w:hyperlink r:id="rId26" w:history="1">
        <w:r w:rsidRPr="000D512A">
          <w:rPr>
            <w:rStyle w:val="Hyperlink"/>
            <w:i/>
          </w:rPr>
          <w:t>Therapeutic Goods Regulations 1990</w:t>
        </w:r>
      </w:hyperlink>
      <w:r>
        <w:t xml:space="preserve"> refers </w:t>
      </w:r>
      <w:r w:rsidRPr="007F40EE">
        <w:t>to therapeutic goods that are imported for use in the treatment of the importer or the importer’s immediate family in certain circumstances</w:t>
      </w:r>
      <w:r w:rsidR="00726250">
        <w:t>.</w:t>
      </w:r>
    </w:p>
    <w:p w14:paraId="1736E964" w14:textId="2FBC039D" w:rsidR="003F5D3D" w:rsidRDefault="003F5D3D" w:rsidP="00AC140F">
      <w:pPr>
        <w:pStyle w:val="Heading2"/>
      </w:pPr>
      <w:bookmarkStart w:id="17" w:name="_Toc67398305"/>
      <w:r>
        <w:t>Machine-readable codes</w:t>
      </w:r>
      <w:bookmarkEnd w:id="17"/>
    </w:p>
    <w:p w14:paraId="30A4569A" w14:textId="77777777" w:rsidR="003F5D3D" w:rsidRDefault="003F5D3D" w:rsidP="003F5D3D">
      <w:r>
        <w:t xml:space="preserve">A </w:t>
      </w:r>
      <w:r w:rsidRPr="00F00E1F">
        <w:t>machine-readable code</w:t>
      </w:r>
      <w:r>
        <w:t xml:space="preserve"> is data encoded into a format that can be read by an electronic device. Examples include linear barcodes, 2D-barcodes (such as QR codes, Aztec and data matrix codes) and radio-frequency identification (RFID) tags.</w:t>
      </w:r>
    </w:p>
    <w:p w14:paraId="2B9B3168" w14:textId="59090C18" w:rsidR="003F5D3D" w:rsidRDefault="003F5D3D" w:rsidP="00AC140F">
      <w:pPr>
        <w:pStyle w:val="Figuretitle"/>
      </w:pPr>
      <w:r>
        <w:t>E</w:t>
      </w:r>
      <w:r w:rsidRPr="009A0EAA">
        <w:t>xamples of machine-readable codes</w:t>
      </w:r>
      <w:r w:rsidR="00106DA0">
        <w:t>:</w:t>
      </w:r>
    </w:p>
    <w:p w14:paraId="7BC325FD" w14:textId="77777777" w:rsidR="003F5D3D" w:rsidRDefault="003F5D3D" w:rsidP="003F5D3D">
      <w:pPr>
        <w:tabs>
          <w:tab w:val="left" w:pos="1911"/>
          <w:tab w:val="left" w:pos="3714"/>
          <w:tab w:val="left" w:pos="5517"/>
          <w:tab w:val="left" w:pos="7320"/>
        </w:tabs>
        <w:ind w:left="108"/>
      </w:pPr>
      <w:r>
        <w:rPr>
          <w:noProof/>
          <w:lang w:eastAsia="en-AU"/>
        </w:rPr>
        <w:drawing>
          <wp:inline distT="0" distB="0" distL="0" distR="0" wp14:anchorId="2D0E0E78" wp14:editId="0F4DDD33">
            <wp:extent cx="971550" cy="685800"/>
            <wp:effectExtent l="0" t="0" r="0" b="0"/>
            <wp:docPr id="18" name="Picture 18" descr="Linear barcode" title="Image of a GS1 linear 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arlam\AppData\Local\Microsoft\Windows\INetCache\Content.Word\linear barcod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1550" cy="685800"/>
                    </a:xfrm>
                    <a:prstGeom prst="rect">
                      <a:avLst/>
                    </a:prstGeom>
                    <a:noFill/>
                    <a:ln>
                      <a:noFill/>
                    </a:ln>
                  </pic:spPr>
                </pic:pic>
              </a:graphicData>
            </a:graphic>
          </wp:inline>
        </w:drawing>
      </w:r>
      <w:r>
        <w:tab/>
        <w:t xml:space="preserve">  </w:t>
      </w:r>
      <w:r w:rsidRPr="009A0EAA">
        <w:rPr>
          <w:noProof/>
          <w:lang w:eastAsia="en-AU"/>
        </w:rPr>
        <w:drawing>
          <wp:inline distT="0" distB="0" distL="0" distR="0" wp14:anchorId="392BAB92" wp14:editId="5B61C2CC">
            <wp:extent cx="704850" cy="704850"/>
            <wp:effectExtent l="0" t="0" r="0" b="0"/>
            <wp:docPr id="31" name="Picture 31" descr="Data matrix" title="Image of a data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ntral.health\DFSUserENV\Users\User_30\carlam\Downloads\barcode (19).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tab/>
      </w:r>
      <w:r w:rsidRPr="0051014A">
        <w:rPr>
          <w:noProof/>
          <w:lang w:eastAsia="en-AU"/>
        </w:rPr>
        <w:drawing>
          <wp:inline distT="0" distB="0" distL="0" distR="0" wp14:anchorId="507B063E" wp14:editId="1AAB5536">
            <wp:extent cx="695325" cy="695325"/>
            <wp:effectExtent l="0" t="0" r="9525" b="9525"/>
            <wp:docPr id="224" name="Picture 224" descr="QR code" title="Image of 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entral.health\DFSUserENV\Users\User_30\carlam\Downloads\barcode (3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tab/>
      </w:r>
      <w:r w:rsidRPr="009226A3">
        <w:rPr>
          <w:noProof/>
          <w:lang w:eastAsia="en-AU"/>
        </w:rPr>
        <w:drawing>
          <wp:inline distT="0" distB="0" distL="0" distR="0" wp14:anchorId="39F0C68B" wp14:editId="64FD98BD">
            <wp:extent cx="704850" cy="704850"/>
            <wp:effectExtent l="0" t="0" r="0" b="0"/>
            <wp:docPr id="227" name="Picture 227" descr="Aztec code" title="Image of an Aztec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entral.health\DFSUserENV\Users\User_30\carlam\Downloads\barcode (32).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tab/>
      </w:r>
      <w:r w:rsidRPr="00903FE2">
        <w:rPr>
          <w:noProof/>
          <w:lang w:eastAsia="en-AU"/>
        </w:rPr>
        <w:t xml:space="preserve"> </w:t>
      </w:r>
      <w:r>
        <w:rPr>
          <w:noProof/>
          <w:lang w:eastAsia="en-AU"/>
        </w:rPr>
        <w:drawing>
          <wp:inline distT="0" distB="0" distL="0" distR="0" wp14:anchorId="6FD9671E" wp14:editId="0255EFA6">
            <wp:extent cx="676275" cy="695325"/>
            <wp:effectExtent l="0" t="0" r="9525" b="9525"/>
            <wp:docPr id="236" name="Picture 236" descr="RFID tag" title="Image of RFID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arlam\AppData\Local\Microsoft\Windows\INetCache\Content.Word\GS1au-diagram-RFID-tag-698x25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6275" cy="695325"/>
                    </a:xfrm>
                    <a:prstGeom prst="rect">
                      <a:avLst/>
                    </a:prstGeom>
                    <a:noFill/>
                    <a:ln>
                      <a:noFill/>
                    </a:ln>
                  </pic:spPr>
                </pic:pic>
              </a:graphicData>
            </a:graphic>
          </wp:inline>
        </w:drawing>
      </w:r>
    </w:p>
    <w:p w14:paraId="0895587E" w14:textId="77777777" w:rsidR="003F5D3D" w:rsidRPr="009A0EAA" w:rsidRDefault="003F5D3D" w:rsidP="003F5D3D">
      <w:pPr>
        <w:tabs>
          <w:tab w:val="left" w:pos="1911"/>
          <w:tab w:val="left" w:pos="3714"/>
          <w:tab w:val="left" w:pos="5517"/>
          <w:tab w:val="left" w:pos="7320"/>
        </w:tabs>
        <w:ind w:left="108"/>
        <w:rPr>
          <w:rFonts w:asciiTheme="minorHAnsi" w:hAnsiTheme="minorHAnsi" w:cstheme="minorHAnsi"/>
        </w:rPr>
      </w:pPr>
      <w:r>
        <w:rPr>
          <w:rFonts w:asciiTheme="minorHAnsi" w:hAnsiTheme="minorHAnsi" w:cstheme="minorHAnsi"/>
        </w:rPr>
        <w:t>Linear barcode</w:t>
      </w:r>
      <w:r w:rsidRPr="009A0EAA">
        <w:rPr>
          <w:rFonts w:asciiTheme="minorHAnsi" w:hAnsiTheme="minorHAnsi" w:cstheme="minorHAnsi"/>
        </w:rPr>
        <w:tab/>
      </w:r>
      <w:r>
        <w:rPr>
          <w:rFonts w:asciiTheme="minorHAnsi" w:hAnsiTheme="minorHAnsi" w:cstheme="minorHAnsi"/>
        </w:rPr>
        <w:t xml:space="preserve">  Data matrix</w:t>
      </w:r>
      <w:r w:rsidRPr="009A0EAA">
        <w:rPr>
          <w:rFonts w:asciiTheme="minorHAnsi" w:hAnsiTheme="minorHAnsi" w:cstheme="minorHAnsi"/>
        </w:rPr>
        <w:tab/>
      </w:r>
      <w:r>
        <w:rPr>
          <w:rFonts w:asciiTheme="minorHAnsi" w:hAnsiTheme="minorHAnsi" w:cstheme="minorHAnsi"/>
        </w:rPr>
        <w:t xml:space="preserve">    QR code</w:t>
      </w:r>
      <w:r w:rsidRPr="009A0EAA">
        <w:rPr>
          <w:rFonts w:asciiTheme="minorHAnsi" w:hAnsiTheme="minorHAnsi" w:cstheme="minorHAnsi"/>
        </w:rPr>
        <w:tab/>
      </w:r>
      <w:r>
        <w:rPr>
          <w:rFonts w:asciiTheme="minorHAnsi" w:hAnsiTheme="minorHAnsi" w:cstheme="minorHAnsi"/>
        </w:rPr>
        <w:t xml:space="preserve"> Aztec Code</w:t>
      </w:r>
      <w:r w:rsidRPr="009A0EAA">
        <w:rPr>
          <w:rFonts w:asciiTheme="minorHAnsi" w:hAnsiTheme="minorHAnsi" w:cstheme="minorHAnsi"/>
        </w:rPr>
        <w:tab/>
      </w:r>
      <w:r>
        <w:rPr>
          <w:rFonts w:asciiTheme="minorHAnsi" w:hAnsiTheme="minorHAnsi" w:cstheme="minorHAnsi"/>
        </w:rPr>
        <w:t xml:space="preserve">    RFID tag</w:t>
      </w:r>
    </w:p>
    <w:p w14:paraId="64709DBB" w14:textId="77777777" w:rsidR="003F5D3D" w:rsidRDefault="003F5D3D" w:rsidP="00AC140F">
      <w:pPr>
        <w:pStyle w:val="Heading3"/>
      </w:pPr>
      <w:bookmarkStart w:id="18" w:name="_Data_matrix_code_2"/>
      <w:bookmarkStart w:id="19" w:name="_Toc67398306"/>
      <w:bookmarkEnd w:id="18"/>
      <w:r>
        <w:t>Data matrix code</w:t>
      </w:r>
      <w:bookmarkEnd w:id="19"/>
    </w:p>
    <w:p w14:paraId="2AD88886" w14:textId="491E5471" w:rsidR="001541D3" w:rsidRDefault="003F5D3D" w:rsidP="003F5D3D">
      <w:r>
        <w:t xml:space="preserve">A </w:t>
      </w:r>
      <w:r w:rsidRPr="00DF0839">
        <w:t>data matrix code</w:t>
      </w:r>
      <w:r>
        <w:t xml:space="preserve"> is a type of two-dimensional code that can be read by a scanner. It is a small square or rectangle with two solid edges, two dotted edges and pixelated light and dark areas within the matrix. There are no </w:t>
      </w:r>
      <w:r w:rsidR="00726250">
        <w:t>fixed shapes within the matrix.</w:t>
      </w:r>
    </w:p>
    <w:p w14:paraId="4F600578" w14:textId="6679AFAF" w:rsidR="003F5D3D" w:rsidRDefault="003F5D3D" w:rsidP="000E7176">
      <w:pPr>
        <w:spacing w:before="180"/>
      </w:pPr>
      <w:r>
        <w:lastRenderedPageBreak/>
        <w:t>For the purposes of TGO 106 and this guidance, QR codes are not considered data matrix codes.</w:t>
      </w:r>
      <w:r w:rsidR="00D80F7B">
        <w:t xml:space="preserve"> </w:t>
      </w:r>
      <w:r w:rsidR="00D80F7B" w:rsidRPr="00E65D82">
        <w:rPr>
          <w:rFonts w:cstheme="minorBidi"/>
          <w:szCs w:val="22"/>
        </w:rPr>
        <w:t>QR codes are another type of two-dimensional code with some similarities in appearance to data matrix codes. However, unlike data matrix codes, QR codes have large squares in the corners of the code.</w:t>
      </w:r>
    </w:p>
    <w:p w14:paraId="31BEB412" w14:textId="77777777" w:rsidR="003F5D3D" w:rsidRPr="00DF0839" w:rsidRDefault="003F5D3D" w:rsidP="00AC140F">
      <w:pPr>
        <w:pStyle w:val="Heading3"/>
      </w:pPr>
      <w:bookmarkStart w:id="20" w:name="_DataMatrix_1"/>
      <w:bookmarkStart w:id="21" w:name="_Toc67398307"/>
      <w:bookmarkEnd w:id="20"/>
      <w:r w:rsidRPr="00A67E9D">
        <w:t>DataMatrix</w:t>
      </w:r>
      <w:bookmarkEnd w:id="21"/>
    </w:p>
    <w:p w14:paraId="7C0EEA75" w14:textId="48D70A2B" w:rsidR="003F5D3D" w:rsidRDefault="003F5D3D" w:rsidP="003F5D3D">
      <w:r>
        <w:t xml:space="preserve">A </w:t>
      </w:r>
      <w:r w:rsidRPr="00DF0839">
        <w:t>DataMatrix</w:t>
      </w:r>
      <w:r>
        <w:t xml:space="preserve"> is data matrix code formatted in accordance with the </w:t>
      </w:r>
      <w:hyperlink r:id="rId32" w:history="1">
        <w:r w:rsidR="00D02021" w:rsidRPr="00D02021">
          <w:rPr>
            <w:rStyle w:val="Hyperlink"/>
          </w:rPr>
          <w:t>Global Standards 1 (GS1) General Specifications</w:t>
        </w:r>
      </w:hyperlink>
      <w:r>
        <w:t>.</w:t>
      </w:r>
    </w:p>
    <w:p w14:paraId="06E8380A" w14:textId="7A92FB12" w:rsidR="0055366E" w:rsidRPr="0055366E" w:rsidRDefault="0055366E" w:rsidP="004A2574">
      <w:pPr>
        <w:keepNext/>
        <w:rPr>
          <w:b/>
        </w:rPr>
      </w:pPr>
      <w:r w:rsidRPr="0055366E">
        <w:rPr>
          <w:b/>
        </w:rPr>
        <w:t>Example DataMatrix encoding four data elements</w:t>
      </w:r>
      <w:r>
        <w:rPr>
          <w:b/>
        </w:rPr>
        <w:t>:</w:t>
      </w:r>
    </w:p>
    <w:p w14:paraId="63457520" w14:textId="323DC62B" w:rsidR="003F5D3D" w:rsidRPr="00D83280" w:rsidRDefault="003F5D3D" w:rsidP="004A2574">
      <w:pPr>
        <w:keepNext/>
      </w:pPr>
      <w:r w:rsidRPr="00AC140F">
        <w:t>Below is an example of a DataMatrix encoding four data elements - GTIN, batch number, expiry date and serial number</w:t>
      </w:r>
      <w:r w:rsidR="00BB0F9B" w:rsidRPr="00AC140F">
        <w:t>:</w:t>
      </w:r>
      <w:r w:rsidRPr="00D83280">
        <w:t xml:space="preserve"> </w:t>
      </w:r>
    </w:p>
    <w:p w14:paraId="7AAB38BE" w14:textId="77777777" w:rsidR="003F5D3D" w:rsidRPr="003F7F1A" w:rsidRDefault="003F5D3D" w:rsidP="003F5D3D">
      <w:pPr>
        <w:spacing w:before="0" w:after="0" w:line="240" w:lineRule="auto"/>
        <w:rPr>
          <w:rFonts w:ascii="Arial" w:hAnsi="Arial" w:cs="Arial"/>
          <w:sz w:val="20"/>
        </w:rPr>
      </w:pPr>
      <w:r w:rsidRPr="003F7F1A">
        <w:rPr>
          <w:noProof/>
          <w:sz w:val="20"/>
          <w:lang w:eastAsia="en-AU"/>
        </w:rPr>
        <w:drawing>
          <wp:anchor distT="0" distB="0" distL="114300" distR="114300" simplePos="0" relativeHeight="251678720" behindDoc="1" locked="0" layoutInCell="1" allowOverlap="1" wp14:anchorId="35D76F9F" wp14:editId="24E20912">
            <wp:simplePos x="0" y="0"/>
            <wp:positionH relativeFrom="column">
              <wp:posOffset>-3810</wp:posOffset>
            </wp:positionH>
            <wp:positionV relativeFrom="paragraph">
              <wp:posOffset>-3175</wp:posOffset>
            </wp:positionV>
            <wp:extent cx="609600" cy="609600"/>
            <wp:effectExtent l="0" t="0" r="0" b="0"/>
            <wp:wrapSquare wrapText="bothSides"/>
            <wp:docPr id="238" name="Picture 238" descr="DataMatrx code" title="Image of a data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entral.health\DFSUserENV\Users\User_30\carlam\Downloads\barcode (31).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Pr="003F7F1A">
        <w:rPr>
          <w:rFonts w:ascii="Arial" w:hAnsi="Arial" w:cs="Arial"/>
          <w:sz w:val="20"/>
        </w:rPr>
        <w:t>GTIN: 01234567890000</w:t>
      </w:r>
    </w:p>
    <w:p w14:paraId="15ACD55A" w14:textId="77777777" w:rsidR="003F5D3D" w:rsidRPr="003F7F1A" w:rsidRDefault="003F5D3D" w:rsidP="003F5D3D">
      <w:pPr>
        <w:spacing w:before="0" w:after="0" w:line="240" w:lineRule="auto"/>
        <w:rPr>
          <w:rFonts w:ascii="Arial" w:hAnsi="Arial" w:cs="Arial"/>
          <w:sz w:val="20"/>
        </w:rPr>
      </w:pPr>
      <w:r w:rsidRPr="003F7F1A">
        <w:rPr>
          <w:rFonts w:ascii="Arial" w:hAnsi="Arial" w:cs="Arial"/>
          <w:sz w:val="20"/>
        </w:rPr>
        <w:t>LOT: XC2312</w:t>
      </w:r>
    </w:p>
    <w:p w14:paraId="228188C8" w14:textId="77777777" w:rsidR="003F5D3D" w:rsidRPr="003F7F1A" w:rsidRDefault="003F5D3D" w:rsidP="003F5D3D">
      <w:pPr>
        <w:spacing w:before="0" w:after="0" w:line="240" w:lineRule="auto"/>
        <w:rPr>
          <w:rFonts w:ascii="Arial" w:hAnsi="Arial" w:cs="Arial"/>
          <w:sz w:val="20"/>
        </w:rPr>
      </w:pPr>
      <w:r w:rsidRPr="003F7F1A">
        <w:rPr>
          <w:rFonts w:ascii="Arial" w:hAnsi="Arial" w:cs="Arial"/>
          <w:sz w:val="20"/>
        </w:rPr>
        <w:t>EXP: 31/01/2020</w:t>
      </w:r>
    </w:p>
    <w:p w14:paraId="5E692524" w14:textId="77777777" w:rsidR="003F5D3D" w:rsidRPr="003F7F1A" w:rsidRDefault="003F5D3D" w:rsidP="003F5D3D">
      <w:pPr>
        <w:spacing w:before="0" w:after="0" w:line="240" w:lineRule="auto"/>
        <w:rPr>
          <w:rFonts w:ascii="Arial" w:hAnsi="Arial" w:cs="Arial"/>
          <w:sz w:val="20"/>
        </w:rPr>
      </w:pPr>
      <w:r w:rsidRPr="003F7F1A">
        <w:rPr>
          <w:rFonts w:ascii="Arial" w:hAnsi="Arial" w:cs="Arial"/>
          <w:sz w:val="20"/>
        </w:rPr>
        <w:t>S/N: 555643225C</w:t>
      </w:r>
    </w:p>
    <w:p w14:paraId="02005AC1" w14:textId="2E9F96C7" w:rsidR="003F5D3D" w:rsidRDefault="003F5D3D" w:rsidP="003F5D3D">
      <w:pPr>
        <w:spacing w:before="0" w:after="0" w:line="240" w:lineRule="auto"/>
        <w:rPr>
          <w:rFonts w:ascii="Arial" w:hAnsi="Arial" w:cs="Arial"/>
          <w:szCs w:val="22"/>
        </w:rPr>
      </w:pPr>
    </w:p>
    <w:p w14:paraId="21167C38" w14:textId="7AC49A33" w:rsidR="003F5D3D" w:rsidRPr="00966276" w:rsidRDefault="003F5D3D" w:rsidP="00AC140F">
      <w:pPr>
        <w:pStyle w:val="Heading2"/>
      </w:pPr>
      <w:bookmarkStart w:id="22" w:name="_Serialised_medicines_1"/>
      <w:bookmarkStart w:id="23" w:name="_Toc67398308"/>
      <w:bookmarkEnd w:id="22"/>
      <w:r w:rsidRPr="00966276">
        <w:t>Serialised medicines</w:t>
      </w:r>
      <w:bookmarkEnd w:id="23"/>
    </w:p>
    <w:p w14:paraId="71AEA3DE" w14:textId="32B5A747" w:rsidR="001821B6" w:rsidRDefault="003F5D3D" w:rsidP="00BA38FF">
      <w:r>
        <w:t xml:space="preserve">A </w:t>
      </w:r>
      <w:r w:rsidRPr="00DF0839">
        <w:t>serialised medicine</w:t>
      </w:r>
      <w:r>
        <w:t xml:space="preserve"> is one where each unit bears a unique identifier, allowing the unit to be identified</w:t>
      </w:r>
      <w:r w:rsidRPr="00EA527B">
        <w:t xml:space="preserve"> </w:t>
      </w:r>
      <w:r>
        <w:t>distinctly within its batch. This typically is achieved through a serial number applied to the unit. The combination of product number (</w:t>
      </w:r>
      <w:hyperlink r:id="rId34" w:history="1">
        <w:r w:rsidRPr="00436BA0">
          <w:rPr>
            <w:rStyle w:val="Hyperlink"/>
          </w:rPr>
          <w:t>GTIN</w:t>
        </w:r>
      </w:hyperlink>
      <w:r>
        <w:t>) and serial number creates a globally unique character chain for the unit</w:t>
      </w:r>
      <w:r w:rsidR="00726250">
        <w:t>.</w:t>
      </w:r>
    </w:p>
    <w:p w14:paraId="133B5191" w14:textId="3A93F078" w:rsidR="001821B6" w:rsidRDefault="001821B6" w:rsidP="00BA38FF">
      <w:r>
        <w:t>A definition of serialisation is provided in Section 4 of TGO 106.</w:t>
      </w:r>
    </w:p>
    <w:p w14:paraId="2E8D085A" w14:textId="77777777" w:rsidR="00917026" w:rsidRDefault="00917026" w:rsidP="00AC140F">
      <w:pPr>
        <w:pStyle w:val="Heading2"/>
      </w:pPr>
      <w:bookmarkStart w:id="24" w:name="_Relevant_level_of"/>
      <w:bookmarkStart w:id="25" w:name="_Toc67398309"/>
      <w:bookmarkEnd w:id="24"/>
      <w:r>
        <w:t>Relevant level of packaging</w:t>
      </w:r>
      <w:bookmarkEnd w:id="25"/>
    </w:p>
    <w:p w14:paraId="738632D8" w14:textId="6B93D5F8" w:rsidR="00917026" w:rsidRDefault="00917026" w:rsidP="00917026">
      <w:r>
        <w:t>Relevant level of packaging is a term included in TGO 106 to explain that the requirements relate to the level at which a medicine is serialised or has a data matrix code. If</w:t>
      </w:r>
      <w:r w:rsidR="009165EB">
        <w:t>,</w:t>
      </w:r>
      <w:r>
        <w:t xml:space="preserve"> for example</w:t>
      </w:r>
      <w:r w:rsidR="009165EB">
        <w:t>,</w:t>
      </w:r>
      <w:r>
        <w:t xml:space="preserve"> the</w:t>
      </w:r>
      <w:r w:rsidR="002B7F47">
        <w:t xml:space="preserve"> medicine</w:t>
      </w:r>
      <w:r>
        <w:t xml:space="preserve"> is serialised</w:t>
      </w:r>
      <w:r w:rsidR="004F4720">
        <w:t xml:space="preserve"> at the </w:t>
      </w:r>
      <w:hyperlink w:anchor="_Primary_pack" w:history="1">
        <w:r w:rsidR="004F4720" w:rsidRPr="002B7F47">
          <w:rPr>
            <w:rStyle w:val="Hyperlink"/>
          </w:rPr>
          <w:t>primary pack</w:t>
        </w:r>
      </w:hyperlink>
      <w:r>
        <w:t>, the requirements relate to the primary pack.</w:t>
      </w:r>
      <w:r w:rsidR="002F57E9">
        <w:t xml:space="preserve"> It would not relate to packaging contained within the primary pack.</w:t>
      </w:r>
    </w:p>
    <w:p w14:paraId="7E59739D" w14:textId="48250143" w:rsidR="00917026" w:rsidRDefault="00917026" w:rsidP="00917026">
      <w:r>
        <w:t xml:space="preserve">There are </w:t>
      </w:r>
      <w:r w:rsidRPr="00BB6DA2">
        <w:t>differences in how Australia refers to packaging compared to other standards about packaging levels</w:t>
      </w:r>
      <w:r w:rsidRPr="004D29A9">
        <w:t>.</w:t>
      </w:r>
      <w:r>
        <w:t xml:space="preserve"> Details and examples of packaging terminology can be found at </w:t>
      </w:r>
      <w:hyperlink r:id="rId35" w:history="1">
        <w:r w:rsidRPr="00726250">
          <w:rPr>
            <w:rStyle w:val="Hyperlink"/>
          </w:rPr>
          <w:t xml:space="preserve">Medicine packaging </w:t>
        </w:r>
        <w:r w:rsidR="009342CB" w:rsidRPr="00726250">
          <w:rPr>
            <w:rStyle w:val="Hyperlink"/>
          </w:rPr>
          <w:t>definitions for sponsors</w:t>
        </w:r>
      </w:hyperlink>
      <w:r>
        <w:t>.</w:t>
      </w:r>
    </w:p>
    <w:p w14:paraId="48B544A5" w14:textId="77777777" w:rsidR="00917026" w:rsidRDefault="00917026" w:rsidP="00AC140F">
      <w:pPr>
        <w:pStyle w:val="Heading3"/>
      </w:pPr>
      <w:bookmarkStart w:id="26" w:name="_Primary_pack"/>
      <w:bookmarkStart w:id="27" w:name="_Toc67398310"/>
      <w:bookmarkEnd w:id="26"/>
      <w:r>
        <w:t>Primary pack</w:t>
      </w:r>
      <w:bookmarkEnd w:id="27"/>
    </w:p>
    <w:p w14:paraId="6D175C75" w14:textId="46C89D2D" w:rsidR="00917026" w:rsidRDefault="00917026" w:rsidP="00505EF7">
      <w:r w:rsidRPr="00DF0839">
        <w:t xml:space="preserve">Primary </w:t>
      </w:r>
      <w:r>
        <w:t>p</w:t>
      </w:r>
      <w:r w:rsidRPr="00DF0839">
        <w:t>ack</w:t>
      </w:r>
      <w:r>
        <w:t xml:space="preserve"> has the same meaning as in the </w:t>
      </w:r>
      <w:hyperlink r:id="rId36" w:history="1">
        <w:r w:rsidRPr="00B8208C">
          <w:rPr>
            <w:rStyle w:val="Hyperlink"/>
            <w:i/>
          </w:rPr>
          <w:t>Therapeutic Goods Act 1989</w:t>
        </w:r>
      </w:hyperlink>
      <w:r>
        <w:t xml:space="preserve"> where it is defined as ‘the complete pack in which the goods, or the goods and their container, ar</w:t>
      </w:r>
      <w:r w:rsidR="00726250">
        <w:t>e to be supplied to consumers.’</w:t>
      </w:r>
    </w:p>
    <w:tbl>
      <w:tblPr>
        <w:tblW w:w="5000" w:type="pct"/>
        <w:tblCellMar>
          <w:left w:w="0" w:type="dxa"/>
          <w:right w:w="0" w:type="dxa"/>
        </w:tblCellMar>
        <w:tblLook w:val="04A0" w:firstRow="1" w:lastRow="0" w:firstColumn="1" w:lastColumn="0" w:noHBand="0" w:noVBand="1"/>
      </w:tblPr>
      <w:tblGrid>
        <w:gridCol w:w="9070"/>
      </w:tblGrid>
      <w:tr w:rsidR="004E355B" w:rsidRPr="00215D48" w14:paraId="295E5FA4" w14:textId="77777777" w:rsidTr="004E355B">
        <w:tc>
          <w:tcPr>
            <w:tcW w:w="5000" w:type="pct"/>
            <w:shd w:val="clear" w:color="auto" w:fill="EAEAEA"/>
            <w:tcMar>
              <w:top w:w="170" w:type="dxa"/>
              <w:left w:w="170" w:type="dxa"/>
              <w:bottom w:w="170" w:type="dxa"/>
              <w:right w:w="170" w:type="dxa"/>
            </w:tcMar>
            <w:vAlign w:val="center"/>
          </w:tcPr>
          <w:p w14:paraId="5B9FF895" w14:textId="33C1A5B6" w:rsidR="00A4792F" w:rsidRDefault="00633096" w:rsidP="00EE07B9">
            <w:r>
              <w:t>P</w:t>
            </w:r>
            <w:r w:rsidR="004E355B">
              <w:t xml:space="preserve">rimary pack is </w:t>
            </w:r>
            <w:r>
              <w:t xml:space="preserve">different to </w:t>
            </w:r>
            <w:hyperlink w:anchor="_Primary_packaging_1" w:history="1">
              <w:r w:rsidRPr="0025559C">
                <w:rPr>
                  <w:rStyle w:val="Hyperlink"/>
                </w:rPr>
                <w:t>primary packagin</w:t>
              </w:r>
              <w:r w:rsidR="0025559C" w:rsidRPr="0025559C">
                <w:rPr>
                  <w:rStyle w:val="Hyperlink"/>
                </w:rPr>
                <w:t>g</w:t>
              </w:r>
            </w:hyperlink>
            <w:r w:rsidR="00726250">
              <w:t>.</w:t>
            </w:r>
          </w:p>
          <w:p w14:paraId="5B49FB57" w14:textId="092B426D" w:rsidR="004E355B" w:rsidRDefault="00C338D6" w:rsidP="00EE07B9">
            <w:r>
              <w:t xml:space="preserve">The primary pack </w:t>
            </w:r>
            <w:r w:rsidR="004E355B">
              <w:t xml:space="preserve">may be what others refer to as </w:t>
            </w:r>
            <w:r w:rsidR="0025559C">
              <w:t>‘</w:t>
            </w:r>
            <w:r w:rsidR="004E355B" w:rsidRPr="0025559C">
              <w:t>primary packaging</w:t>
            </w:r>
            <w:r w:rsidR="0025559C">
              <w:t>’</w:t>
            </w:r>
            <w:r w:rsidR="004E355B">
              <w:t xml:space="preserve"> or </w:t>
            </w:r>
            <w:r>
              <w:t>‘</w:t>
            </w:r>
            <w:r w:rsidR="004E355B">
              <w:t>secondary packaging</w:t>
            </w:r>
            <w:r>
              <w:t>’</w:t>
            </w:r>
            <w:r w:rsidR="00633096">
              <w:t>, depending on the product</w:t>
            </w:r>
            <w:r w:rsidR="004E355B">
              <w:t>.</w:t>
            </w:r>
          </w:p>
          <w:p w14:paraId="2495265C" w14:textId="7E5B6C6F" w:rsidR="00505EF7" w:rsidRDefault="004E355B" w:rsidP="00505EF7">
            <w:r>
              <w:lastRenderedPageBreak/>
              <w:t xml:space="preserve">The primary pack as defined in the Act is usually </w:t>
            </w:r>
            <w:r w:rsidRPr="00E5006C">
              <w:t>secondary packaging</w:t>
            </w:r>
            <w:r>
              <w:t xml:space="preserve"> in </w:t>
            </w:r>
            <w:hyperlink r:id="rId37" w:history="1">
              <w:r w:rsidRPr="00C447EB">
                <w:rPr>
                  <w:rStyle w:val="Hyperlink"/>
                </w:rPr>
                <w:t>GS1</w:t>
              </w:r>
            </w:hyperlink>
            <w:r>
              <w:t xml:space="preserve"> and </w:t>
            </w:r>
            <w:hyperlink r:id="rId38" w:history="1">
              <w:r w:rsidRPr="00C447EB">
                <w:rPr>
                  <w:rStyle w:val="Hyperlink"/>
                </w:rPr>
                <w:t>Good Manufacturing Practice (GMP)</w:t>
              </w:r>
            </w:hyperlink>
            <w:r>
              <w:t xml:space="preserve"> guid</w:t>
            </w:r>
            <w:r w:rsidR="00726250">
              <w:t>ance.</w:t>
            </w:r>
          </w:p>
          <w:p w14:paraId="073C24D9" w14:textId="00EF6127" w:rsidR="004E355B" w:rsidRPr="00215D48" w:rsidRDefault="00505EF7" w:rsidP="00EE07B9">
            <w:r w:rsidRPr="004A2574">
              <w:t>Sometimes the primary pack is also primary packagin</w:t>
            </w:r>
            <w:r>
              <w:t xml:space="preserve">g, such as a bottle of </w:t>
            </w:r>
            <w:r w:rsidRPr="004A2574">
              <w:t>capsule</w:t>
            </w:r>
            <w:r>
              <w:t>s with no further packaging.</w:t>
            </w:r>
          </w:p>
        </w:tc>
      </w:tr>
    </w:tbl>
    <w:p w14:paraId="7236B289" w14:textId="55C94A6E" w:rsidR="00A7643D" w:rsidRPr="00966276" w:rsidRDefault="00A7643D" w:rsidP="00742DAD">
      <w:pPr>
        <w:rPr>
          <w:b/>
        </w:rPr>
      </w:pPr>
      <w:bookmarkStart w:id="28" w:name="_Primary_packaging"/>
      <w:bookmarkEnd w:id="28"/>
      <w:r w:rsidRPr="00966276">
        <w:rPr>
          <w:b/>
        </w:rPr>
        <w:lastRenderedPageBreak/>
        <w:t xml:space="preserve">Example </w:t>
      </w:r>
      <w:r w:rsidR="00411D15">
        <w:rPr>
          <w:b/>
        </w:rPr>
        <w:t>p</w:t>
      </w:r>
      <w:r w:rsidRPr="00966276">
        <w:rPr>
          <w:b/>
        </w:rPr>
        <w:t>rimary pack that is compliant with TGO 106</w:t>
      </w:r>
      <w:r w:rsidR="00411D15">
        <w:rPr>
          <w:b/>
        </w:rPr>
        <w:t>:</w:t>
      </w:r>
    </w:p>
    <w:p w14:paraId="376C3498" w14:textId="3C0DA89D" w:rsidR="00A7643D" w:rsidRDefault="00A7643D" w:rsidP="00A7643D">
      <w:r>
        <w:t xml:space="preserve">The example </w:t>
      </w:r>
      <w:r w:rsidR="00BC1E00" w:rsidRPr="00BC1E00">
        <w:t>primary pack</w:t>
      </w:r>
      <w:r>
        <w:t xml:space="preserve"> label below contains a </w:t>
      </w:r>
      <w:hyperlink w:anchor="_Machine-readable_codes" w:history="1">
        <w:r w:rsidRPr="00D40EC3">
          <w:rPr>
            <w:rStyle w:val="Hyperlink"/>
          </w:rPr>
          <w:t>linear barcode</w:t>
        </w:r>
      </w:hyperlink>
      <w:r>
        <w:t xml:space="preserve"> encoding the </w:t>
      </w:r>
      <w:hyperlink r:id="rId39" w:history="1">
        <w:r w:rsidRPr="00170EC8">
          <w:rPr>
            <w:rStyle w:val="Hyperlink"/>
          </w:rPr>
          <w:t>GTIN</w:t>
        </w:r>
      </w:hyperlink>
      <w:r>
        <w:t xml:space="preserve"> and a data matrix code on a flap. The </w:t>
      </w:r>
      <w:hyperlink w:anchor="_Data_matrix_code_2" w:history="1">
        <w:r>
          <w:rPr>
            <w:rStyle w:val="Hyperlink"/>
          </w:rPr>
          <w:t>data matrix</w:t>
        </w:r>
      </w:hyperlink>
      <w:r>
        <w:t xml:space="preserve"> encodes a reference number for the label which is common to all labels for the product and is not unique to the pack. It does not encode the medicine’s GTIN.</w:t>
      </w:r>
    </w:p>
    <w:p w14:paraId="4D2A8AC0" w14:textId="0FE20239" w:rsidR="00A7643D" w:rsidRDefault="009165EB" w:rsidP="00A7643D">
      <w:r>
        <w:t xml:space="preserve">This </w:t>
      </w:r>
      <w:r w:rsidR="00A7643D">
        <w:t xml:space="preserve">pack is not serialised and the data matrix does not encode the GTIN, </w:t>
      </w:r>
      <w:r>
        <w:t xml:space="preserve">therefore </w:t>
      </w:r>
      <w:r w:rsidR="00A7643D">
        <w:t>no changes to the packaging are required under TGO 106.</w:t>
      </w:r>
    </w:p>
    <w:p w14:paraId="7419D84A" w14:textId="77777777" w:rsidR="00A7643D" w:rsidRDefault="00A7643D" w:rsidP="00A7643D">
      <w:r>
        <w:rPr>
          <w:b/>
          <w:noProof/>
          <w:lang w:eastAsia="en-AU"/>
        </w:rPr>
        <w:drawing>
          <wp:inline distT="0" distB="0" distL="0" distR="0" wp14:anchorId="1E8B8858" wp14:editId="69FA5C60">
            <wp:extent cx="3462655" cy="4292600"/>
            <wp:effectExtent l="0" t="0" r="4445" b="0"/>
            <wp:docPr id="7" name="Picture 7" descr="This depicts a compliant presciption medicine primary pack bearing machine-readable codes that does not have to make any changes to comply with the order." title="Exploded medicine primary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ofol primary label no changes requir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62655" cy="4292600"/>
                    </a:xfrm>
                    <a:prstGeom prst="rect">
                      <a:avLst/>
                    </a:prstGeom>
                    <a:noFill/>
                    <a:ln>
                      <a:noFill/>
                    </a:ln>
                  </pic:spPr>
                </pic:pic>
              </a:graphicData>
            </a:graphic>
          </wp:inline>
        </w:drawing>
      </w:r>
      <w:r>
        <w:t xml:space="preserve"> </w:t>
      </w:r>
    </w:p>
    <w:p w14:paraId="65B2BD66" w14:textId="3FF1D4CF" w:rsidR="00917026" w:rsidRDefault="00917026" w:rsidP="00AC140F">
      <w:pPr>
        <w:pStyle w:val="Heading3"/>
      </w:pPr>
      <w:bookmarkStart w:id="29" w:name="_Primary_packaging_1"/>
      <w:bookmarkStart w:id="30" w:name="_Toc67398311"/>
      <w:bookmarkEnd w:id="29"/>
      <w:r>
        <w:t>Primary packaging</w:t>
      </w:r>
      <w:bookmarkEnd w:id="30"/>
    </w:p>
    <w:p w14:paraId="1518E9B8" w14:textId="77777777" w:rsidR="00917026" w:rsidRPr="001821B6" w:rsidRDefault="00917026" w:rsidP="00917026">
      <w:pPr>
        <w:spacing w:before="0" w:after="0" w:line="240" w:lineRule="auto"/>
      </w:pPr>
      <w:r>
        <w:t xml:space="preserve">Primary packaging, as used in GS1 and GMP guidance, is the packaging which directly contacts the medicine (injection vial, tablet blister and so forth). </w:t>
      </w:r>
      <w:r w:rsidRPr="00B8208C">
        <w:t>The</w:t>
      </w:r>
      <w:r w:rsidRPr="00C5337D">
        <w:rPr>
          <w:i/>
        </w:rPr>
        <w:t xml:space="preserve"> </w:t>
      </w:r>
      <w:hyperlink r:id="rId41" w:history="1">
        <w:r w:rsidRPr="00C5337D">
          <w:rPr>
            <w:rStyle w:val="Hyperlink"/>
            <w:i/>
          </w:rPr>
          <w:t>Therapeutic Goods Act 1989</w:t>
        </w:r>
      </w:hyperlink>
      <w:r>
        <w:t xml:space="preserve"> refers to this as the </w:t>
      </w:r>
      <w:hyperlink w:anchor="_Container" w:history="1">
        <w:r w:rsidRPr="00E5006C">
          <w:rPr>
            <w:rStyle w:val="Hyperlink"/>
          </w:rPr>
          <w:t>container</w:t>
        </w:r>
      </w:hyperlink>
      <w:r>
        <w:rPr>
          <w:i/>
        </w:rPr>
        <w:t>.</w:t>
      </w:r>
    </w:p>
    <w:p w14:paraId="77CAEE63" w14:textId="77777777" w:rsidR="00917026" w:rsidRDefault="00917026" w:rsidP="00AC140F">
      <w:pPr>
        <w:pStyle w:val="Heading3"/>
      </w:pPr>
      <w:bookmarkStart w:id="31" w:name="_Container"/>
      <w:bookmarkStart w:id="32" w:name="_Toc67398312"/>
      <w:bookmarkEnd w:id="31"/>
      <w:r>
        <w:t>Container</w:t>
      </w:r>
      <w:bookmarkEnd w:id="32"/>
    </w:p>
    <w:p w14:paraId="3F285529" w14:textId="77777777" w:rsidR="00917026" w:rsidRDefault="00917026" w:rsidP="00917026">
      <w:pPr>
        <w:spacing w:before="0" w:after="0" w:line="240" w:lineRule="auto"/>
      </w:pPr>
      <w:r w:rsidRPr="00D019E5">
        <w:t>Container</w:t>
      </w:r>
      <w:r>
        <w:t xml:space="preserve"> has the same meaning as in the </w:t>
      </w:r>
      <w:hyperlink r:id="rId42" w:history="1">
        <w:r w:rsidRPr="00B8208C">
          <w:rPr>
            <w:rStyle w:val="Hyperlink"/>
            <w:i/>
          </w:rPr>
          <w:t>Therapeutic Goods Act 1989</w:t>
        </w:r>
      </w:hyperlink>
      <w:r>
        <w:t xml:space="preserve"> where it is defined as ‘</w:t>
      </w:r>
      <w:r w:rsidRPr="00A80FED">
        <w:t xml:space="preserve">the vessel, bottle, tube, ampoule, syringe, vial, sachet, strip pack, blister pack, wrapper, cover or </w:t>
      </w:r>
      <w:r w:rsidRPr="00A80FED">
        <w:lastRenderedPageBreak/>
        <w:t>other similar article that immediately covers the goods, but does not include an article intended for ingestion.</w:t>
      </w:r>
      <w:r>
        <w:t>’</w:t>
      </w:r>
    </w:p>
    <w:p w14:paraId="0957CFDA" w14:textId="77777777" w:rsidR="00917026" w:rsidRDefault="00917026" w:rsidP="00AC140F">
      <w:pPr>
        <w:pStyle w:val="Heading3"/>
      </w:pPr>
      <w:bookmarkStart w:id="33" w:name="_Single_unit_packaging"/>
      <w:bookmarkStart w:id="34" w:name="_Toc67398313"/>
      <w:bookmarkEnd w:id="33"/>
      <w:r>
        <w:t>Single unit packaging within a container</w:t>
      </w:r>
      <w:bookmarkEnd w:id="34"/>
    </w:p>
    <w:p w14:paraId="08CD9C64" w14:textId="3D89EF7C" w:rsidR="00917026" w:rsidRDefault="00917026" w:rsidP="00917026">
      <w:pPr>
        <w:spacing w:before="0" w:after="0" w:line="240" w:lineRule="auto"/>
      </w:pPr>
      <w:r>
        <w:t>An example of single unit packaging within a container is the segment of a blister pack containing a capsule where it can be readily detached.</w:t>
      </w:r>
    </w:p>
    <w:p w14:paraId="6619CFB0" w14:textId="231F958C" w:rsidR="00DD33AB" w:rsidRPr="00966276" w:rsidRDefault="00DD33AB" w:rsidP="00966276">
      <w:pPr>
        <w:pStyle w:val="Heading2"/>
      </w:pPr>
      <w:bookmarkStart w:id="35" w:name="_Medicines_that_must"/>
      <w:bookmarkStart w:id="36" w:name="_Medicines_that_are"/>
      <w:bookmarkStart w:id="37" w:name="_Toc53664590"/>
      <w:bookmarkStart w:id="38" w:name="_Toc67398314"/>
      <w:bookmarkEnd w:id="35"/>
      <w:bookmarkEnd w:id="36"/>
      <w:r w:rsidRPr="00966276">
        <w:t xml:space="preserve">Requirements of </w:t>
      </w:r>
      <w:bookmarkEnd w:id="37"/>
      <w:r w:rsidR="004C4642" w:rsidRPr="00966276">
        <w:t>TGO 106</w:t>
      </w:r>
      <w:bookmarkEnd w:id="38"/>
    </w:p>
    <w:p w14:paraId="4DE82FE5" w14:textId="3B2270B5" w:rsidR="00342D99" w:rsidRDefault="00342D99" w:rsidP="00342D99">
      <w:r>
        <w:t xml:space="preserve">Part 2 of TGO 106 outlines the requirements </w:t>
      </w:r>
      <w:r w:rsidR="00675C11">
        <w:t>for</w:t>
      </w:r>
      <w:r>
        <w:t xml:space="preserve"> medicines subject to TGO 106.</w:t>
      </w:r>
    </w:p>
    <w:p w14:paraId="31085A9F" w14:textId="13F4D126" w:rsidR="009D1E2B" w:rsidRDefault="00891004" w:rsidP="00D151B8">
      <w:r>
        <w:t xml:space="preserve">Medicines that are </w:t>
      </w:r>
      <w:hyperlink w:anchor="_Serialised_medicines_1" w:history="1">
        <w:r w:rsidRPr="00F57522">
          <w:rPr>
            <w:rStyle w:val="Hyperlink"/>
          </w:rPr>
          <w:t>serialised</w:t>
        </w:r>
      </w:hyperlink>
      <w:r>
        <w:t xml:space="preserve"> are subject to the requirements outlined in </w:t>
      </w:r>
      <w:r w:rsidR="00726250">
        <w:t>Section 8, 9 and 10 of TGO 106.</w:t>
      </w:r>
    </w:p>
    <w:p w14:paraId="193063CA" w14:textId="57C7C7A6" w:rsidR="00891004" w:rsidRDefault="00891004" w:rsidP="00D151B8">
      <w:r>
        <w:t xml:space="preserve">Medicines that are </w:t>
      </w:r>
      <w:r w:rsidRPr="005055F1">
        <w:rPr>
          <w:b/>
        </w:rPr>
        <w:t>not</w:t>
      </w:r>
      <w:r>
        <w:t xml:space="preserve"> serialised but </w:t>
      </w:r>
      <w:r w:rsidRPr="00742DAD">
        <w:t>have a</w:t>
      </w:r>
      <w:r w:rsidRPr="005055F1">
        <w:rPr>
          <w:b/>
        </w:rPr>
        <w:t xml:space="preserve"> </w:t>
      </w:r>
      <w:hyperlink w:anchor="_Data_matrix_code_2" w:history="1">
        <w:r w:rsidRPr="00F57522">
          <w:rPr>
            <w:rStyle w:val="Hyperlink"/>
          </w:rPr>
          <w:t>data matrix code</w:t>
        </w:r>
      </w:hyperlink>
      <w:r w:rsidRPr="005055F1">
        <w:rPr>
          <w:b/>
        </w:rPr>
        <w:t xml:space="preserve"> </w:t>
      </w:r>
      <w:r w:rsidRPr="00F57522">
        <w:t xml:space="preserve">that contains a </w:t>
      </w:r>
      <w:hyperlink r:id="rId43" w:history="1">
        <w:r w:rsidRPr="00F57522">
          <w:rPr>
            <w:rStyle w:val="Hyperlink"/>
          </w:rPr>
          <w:t>GTIN</w:t>
        </w:r>
      </w:hyperlink>
      <w:r>
        <w:t xml:space="preserve"> must comply with Sections 9 and 10.</w:t>
      </w:r>
    </w:p>
    <w:p w14:paraId="29ACA046" w14:textId="36F2D69A" w:rsidR="00E70972" w:rsidRDefault="00471FE3" w:rsidP="00E70972">
      <w:r>
        <w:t xml:space="preserve">Section 8 and 10 include specific requirements for the </w:t>
      </w:r>
      <w:hyperlink w:anchor="_Primary_pack" w:history="1">
        <w:r w:rsidRPr="00471FE3">
          <w:rPr>
            <w:rStyle w:val="Hyperlink"/>
          </w:rPr>
          <w:t>primary pack</w:t>
        </w:r>
      </w:hyperlink>
      <w:r>
        <w:t>.</w:t>
      </w:r>
      <w:r w:rsidR="00E70972">
        <w:t xml:space="preserve"> Primary pack has a different meaning to </w:t>
      </w:r>
      <w:hyperlink w:anchor="_Primary_packaging_1" w:history="1">
        <w:r w:rsidR="00E70972" w:rsidRPr="00E70972">
          <w:rPr>
            <w:rStyle w:val="Hyperlink"/>
          </w:rPr>
          <w:t>primary packaging</w:t>
        </w:r>
      </w:hyperlink>
      <w:r w:rsidR="00E70972">
        <w:t>.</w:t>
      </w:r>
    </w:p>
    <w:p w14:paraId="026FDDDE" w14:textId="4B3003C8" w:rsidR="00BE383A" w:rsidRDefault="004472D8" w:rsidP="00BE383A">
      <w:r>
        <w:t>Dispensed</w:t>
      </w:r>
      <w:r w:rsidR="00BE383A">
        <w:t xml:space="preserve"> or extemporaneously compounded medicines </w:t>
      </w:r>
      <w:r>
        <w:t xml:space="preserve">as </w:t>
      </w:r>
      <w:r w:rsidR="00BE383A">
        <w:t>outlined in subsection 7(2)</w:t>
      </w:r>
      <w:r>
        <w:t xml:space="preserve"> and 7(3)</w:t>
      </w:r>
      <w:r w:rsidR="00BE383A">
        <w:t xml:space="preserve"> that are serialised using a method other than the application of data matrix codes are not subject to the requirements in Section 8.</w:t>
      </w:r>
      <w:r w:rsidR="00BE383A" w:rsidRPr="009023E5">
        <w:t xml:space="preserve"> </w:t>
      </w:r>
      <w:r w:rsidR="00BE383A">
        <w:t xml:space="preserve">If these medicines have a data matrix code with a GTIN for another purpose (that is, the code does not contain the serial number) then they are subject to the requirements in Sections 9 and 10. The intention is that if these medicines are serialised then you do </w:t>
      </w:r>
      <w:r w:rsidR="00BE383A" w:rsidRPr="00314F19">
        <w:t>not</w:t>
      </w:r>
      <w:r w:rsidR="00BE383A">
        <w:t xml:space="preserve"> have to add a data matrix code. </w:t>
      </w:r>
      <w:r w:rsidR="00AB69D3">
        <w:t xml:space="preserve">However, application of data matrix codes </w:t>
      </w:r>
      <w:r w:rsidR="00240166">
        <w:t xml:space="preserve">as outlined in TGO 106 </w:t>
      </w:r>
      <w:r w:rsidR="00AB69D3">
        <w:t xml:space="preserve">is the recommended method for </w:t>
      </w:r>
      <w:r w:rsidR="00240166">
        <w:t>serialising</w:t>
      </w:r>
      <w:r w:rsidR="00726250">
        <w:t xml:space="preserve"> medicines.</w:t>
      </w:r>
    </w:p>
    <w:p w14:paraId="5C8D5F01" w14:textId="79A295F4" w:rsidR="00EC3079" w:rsidRDefault="00CC73AC" w:rsidP="00966276">
      <w:pPr>
        <w:pStyle w:val="Heading3"/>
      </w:pPr>
      <w:bookmarkStart w:id="39" w:name="_Application_of_the"/>
      <w:bookmarkStart w:id="40" w:name="_Toc67398315"/>
      <w:bookmarkStart w:id="41" w:name="_Toc53664591"/>
      <w:bookmarkEnd w:id="39"/>
      <w:r>
        <w:t>Serialised medicines and a</w:t>
      </w:r>
      <w:r w:rsidR="00CF7E30">
        <w:t xml:space="preserve">pplication of </w:t>
      </w:r>
      <w:r w:rsidR="00033904">
        <w:t>data matrix code</w:t>
      </w:r>
      <w:r w:rsidR="00CF7E30">
        <w:t>s</w:t>
      </w:r>
      <w:bookmarkEnd w:id="40"/>
    </w:p>
    <w:bookmarkEnd w:id="41"/>
    <w:p w14:paraId="17B12F32" w14:textId="630462B2" w:rsidR="00DD33AB" w:rsidRDefault="00DD33AB" w:rsidP="00DD33AB">
      <w:r>
        <w:t xml:space="preserve">Where a medicine is </w:t>
      </w:r>
      <w:hyperlink w:anchor="_Serialised_medicines_1" w:history="1">
        <w:r w:rsidR="00A23F61" w:rsidRPr="00F57522">
          <w:rPr>
            <w:rStyle w:val="Hyperlink"/>
          </w:rPr>
          <w:t>serialised</w:t>
        </w:r>
      </w:hyperlink>
      <w:r>
        <w:t xml:space="preserve"> this must be represented by a serial number encoded into a </w:t>
      </w:r>
      <w:hyperlink w:anchor="_Data_matrix_code_2" w:history="1">
        <w:r w:rsidR="00105834" w:rsidRPr="00A23F61">
          <w:rPr>
            <w:rStyle w:val="Hyperlink"/>
          </w:rPr>
          <w:t>d</w:t>
        </w:r>
        <w:r w:rsidRPr="00A23F61">
          <w:rPr>
            <w:rStyle w:val="Hyperlink"/>
          </w:rPr>
          <w:t>ata</w:t>
        </w:r>
        <w:r w:rsidR="00105834" w:rsidRPr="00A23F61">
          <w:rPr>
            <w:rStyle w:val="Hyperlink"/>
          </w:rPr>
          <w:t xml:space="preserve"> m</w:t>
        </w:r>
        <w:r w:rsidRPr="00A23F61">
          <w:rPr>
            <w:rStyle w:val="Hyperlink"/>
          </w:rPr>
          <w:t xml:space="preserve">atrix </w:t>
        </w:r>
        <w:r w:rsidR="00A23F61" w:rsidRPr="00A23F61">
          <w:rPr>
            <w:rStyle w:val="Hyperlink"/>
          </w:rPr>
          <w:t>code</w:t>
        </w:r>
      </w:hyperlink>
      <w:r w:rsidR="00A23F61">
        <w:t xml:space="preserve"> </w:t>
      </w:r>
      <w:r>
        <w:t xml:space="preserve">that complies with the </w:t>
      </w:r>
      <w:hyperlink r:id="rId44" w:history="1">
        <w:r w:rsidR="00140654">
          <w:rPr>
            <w:rStyle w:val="Hyperlink"/>
          </w:rPr>
          <w:t>GS1 General Specifications</w:t>
        </w:r>
      </w:hyperlink>
      <w:r w:rsidR="00140654">
        <w:t xml:space="preserve"> for a </w:t>
      </w:r>
      <w:hyperlink w:anchor="_DataMatrix_1" w:history="1">
        <w:r w:rsidR="00140654" w:rsidRPr="00140654">
          <w:rPr>
            <w:rStyle w:val="Hyperlink"/>
          </w:rPr>
          <w:t>DataMatrix</w:t>
        </w:r>
      </w:hyperlink>
      <w:r w:rsidR="00140654">
        <w:t xml:space="preserve">. </w:t>
      </w:r>
      <w:r>
        <w:t>No other method of serialising complies with the standard.</w:t>
      </w:r>
      <w:r w:rsidR="00C87D1E">
        <w:t xml:space="preserve"> </w:t>
      </w:r>
      <w:r>
        <w:t xml:space="preserve">Batches </w:t>
      </w:r>
      <w:r w:rsidRPr="00C87D1E">
        <w:t>cannot</w:t>
      </w:r>
      <w:r>
        <w:t xml:space="preserve"> be partially serialised.</w:t>
      </w:r>
    </w:p>
    <w:p w14:paraId="2B286E18" w14:textId="1270A8B8" w:rsidR="00342D99" w:rsidRDefault="00DD33AB" w:rsidP="00342D99">
      <w:r>
        <w:t xml:space="preserve">The </w:t>
      </w:r>
      <w:hyperlink r:id="rId45" w:history="1">
        <w:r w:rsidR="00A23F61" w:rsidRPr="00F57522">
          <w:rPr>
            <w:rStyle w:val="Hyperlink"/>
          </w:rPr>
          <w:t>GTIN</w:t>
        </w:r>
      </w:hyperlink>
      <w:r>
        <w:t xml:space="preserve"> and serial number should combine to afford a globally unique number for the unit. </w:t>
      </w:r>
      <w:r w:rsidR="00C86117" w:rsidRPr="00C86117">
        <w:t>GS1 General Specifications state that serial numbers should not be duplicated</w:t>
      </w:r>
      <w:r w:rsidR="000112C2">
        <w:t xml:space="preserve"> for a GTIN</w:t>
      </w:r>
      <w:r w:rsidR="00C86117">
        <w:t xml:space="preserve">. </w:t>
      </w:r>
    </w:p>
    <w:p w14:paraId="5D3622E2" w14:textId="37D1F65B" w:rsidR="001A59CA" w:rsidRDefault="00904171" w:rsidP="00DD33AB">
      <w:r>
        <w:t>Where a medicine has</w:t>
      </w:r>
      <w:r w:rsidR="00D971D5">
        <w:t xml:space="preserve"> a data matrix</w:t>
      </w:r>
      <w:r w:rsidR="008D1238">
        <w:t xml:space="preserve"> code</w:t>
      </w:r>
      <w:r w:rsidR="003D576C">
        <w:t xml:space="preserve"> that contains a GTIN</w:t>
      </w:r>
      <w:r>
        <w:t xml:space="preserve">, but is not serialised, it must </w:t>
      </w:r>
      <w:r w:rsidR="00984F25">
        <w:t xml:space="preserve">also </w:t>
      </w:r>
      <w:r>
        <w:t>comply with the GS1 General Specifications for a DataMatrix.</w:t>
      </w:r>
      <w:r w:rsidR="005777D7">
        <w:t xml:space="preserve"> See also: </w:t>
      </w:r>
      <w:hyperlink w:anchor="_Formatting_of_data" w:history="1">
        <w:r w:rsidR="005777D7" w:rsidRPr="005777D7">
          <w:rPr>
            <w:rStyle w:val="Hyperlink"/>
          </w:rPr>
          <w:t>Formatting of data matrix codes</w:t>
        </w:r>
      </w:hyperlink>
      <w:r w:rsidR="005777D7">
        <w:t>.</w:t>
      </w:r>
    </w:p>
    <w:p w14:paraId="0CE4D488" w14:textId="6026720E" w:rsidR="00BE383A" w:rsidRDefault="00BE383A" w:rsidP="00DD33AB">
      <w:r w:rsidRPr="00BE383A">
        <w:t xml:space="preserve">See also </w:t>
      </w:r>
      <w:hyperlink w:anchor="_Requirements_of_TGO" w:history="1">
        <w:r w:rsidRPr="00BE383A">
          <w:rPr>
            <w:rStyle w:val="Hyperlink"/>
          </w:rPr>
          <w:t>Requirements of TGO 106</w:t>
        </w:r>
      </w:hyperlink>
      <w:r w:rsidRPr="00BE383A">
        <w:t xml:space="preserve"> for information about </w:t>
      </w:r>
      <w:r w:rsidR="00D83825">
        <w:t>dispensed or</w:t>
      </w:r>
      <w:r w:rsidRPr="00BE383A">
        <w:t xml:space="preserve"> extemporaneously compounded medicines</w:t>
      </w:r>
      <w:r w:rsidR="00D83825">
        <w:t xml:space="preserve"> that are serialised</w:t>
      </w:r>
      <w:r w:rsidRPr="00BE383A">
        <w:t>.</w:t>
      </w:r>
    </w:p>
    <w:p w14:paraId="6B24DE29" w14:textId="77777777" w:rsidR="00DD33AB" w:rsidRPr="00966276" w:rsidRDefault="00DD33AB" w:rsidP="00966276">
      <w:pPr>
        <w:pStyle w:val="Heading4"/>
      </w:pPr>
      <w:bookmarkStart w:id="42" w:name="_Toc53664592"/>
      <w:bookmarkStart w:id="43" w:name="_Toc67398316"/>
      <w:r w:rsidRPr="00966276">
        <w:t>Serial Numbers</w:t>
      </w:r>
      <w:bookmarkEnd w:id="42"/>
      <w:bookmarkEnd w:id="43"/>
    </w:p>
    <w:p w14:paraId="3ABE98A3" w14:textId="14D5E404" w:rsidR="001A59CA" w:rsidRDefault="00434D80" w:rsidP="00DD33AB">
      <w:hyperlink r:id="rId46" w:history="1">
        <w:r w:rsidR="00DD33AB" w:rsidRPr="00EF0829">
          <w:rPr>
            <w:rStyle w:val="Hyperlink"/>
          </w:rPr>
          <w:t xml:space="preserve">GS1 </w:t>
        </w:r>
        <w:r w:rsidR="000112C2" w:rsidRPr="00EF0829">
          <w:rPr>
            <w:rStyle w:val="Hyperlink"/>
          </w:rPr>
          <w:t>General S</w:t>
        </w:r>
        <w:r w:rsidR="00DD33AB" w:rsidRPr="00EF0829">
          <w:rPr>
            <w:rStyle w:val="Hyperlink"/>
          </w:rPr>
          <w:t>pecifications</w:t>
        </w:r>
      </w:hyperlink>
      <w:r w:rsidR="00DD33AB">
        <w:t xml:space="preserve"> limit the serial number to 20 alphanumeric characters.</w:t>
      </w:r>
    </w:p>
    <w:p w14:paraId="343CFBBF" w14:textId="77777777" w:rsidR="000531DF" w:rsidRDefault="00693421" w:rsidP="00DD33AB">
      <w:r>
        <w:t xml:space="preserve">Serial numbers </w:t>
      </w:r>
      <w:r w:rsidR="00F8446E">
        <w:t>are recommended to</w:t>
      </w:r>
      <w:r>
        <w:t xml:space="preserve"> be randomised.</w:t>
      </w:r>
    </w:p>
    <w:p w14:paraId="622F496A" w14:textId="1F87530C" w:rsidR="001A59CA" w:rsidRDefault="001A59CA" w:rsidP="00DD33AB">
      <w:r>
        <w:t>A</w:t>
      </w:r>
      <w:r w:rsidR="00DD33AB">
        <w:t xml:space="preserve">ll alphanumeric characters allowed for use in serial numbers as listed in the GS1 </w:t>
      </w:r>
      <w:r w:rsidR="00CC16EF">
        <w:t xml:space="preserve">General </w:t>
      </w:r>
      <w:r w:rsidR="00DD33AB" w:rsidRPr="002E795F">
        <w:t xml:space="preserve">Specifications </w:t>
      </w:r>
      <w:r w:rsidR="00DD33AB">
        <w:t xml:space="preserve">are acceptable. </w:t>
      </w:r>
      <w:r>
        <w:t>However, we recommend that serial numbers contain only numerical digits.</w:t>
      </w:r>
    </w:p>
    <w:p w14:paraId="0C4B0C16" w14:textId="25851E75" w:rsidR="001A59CA" w:rsidRDefault="001A59CA" w:rsidP="001A59CA">
      <w:r>
        <w:lastRenderedPageBreak/>
        <w:t xml:space="preserve">To assist with </w:t>
      </w:r>
      <w:hyperlink w:anchor="_Human-readability" w:history="1">
        <w:r w:rsidR="002E048E">
          <w:rPr>
            <w:rStyle w:val="Hyperlink"/>
          </w:rPr>
          <w:t>human-readability</w:t>
        </w:r>
      </w:hyperlink>
      <w:r>
        <w:t xml:space="preserve"> </w:t>
      </w:r>
      <w:r w:rsidR="002E048E">
        <w:t xml:space="preserve">of transcribed information </w:t>
      </w:r>
      <w:r>
        <w:t xml:space="preserve">we </w:t>
      </w:r>
      <w:r w:rsidRPr="00FC59B6">
        <w:t>recommend</w:t>
      </w:r>
      <w:r w:rsidR="00EF0829" w:rsidRPr="00FC59B6">
        <w:t xml:space="preserve"> </w:t>
      </w:r>
      <w:r w:rsidR="009165EB">
        <w:t>that if using</w:t>
      </w:r>
      <w:r w:rsidR="00E32F75" w:rsidRPr="00FC59B6">
        <w:t xml:space="preserve"> characters that</w:t>
      </w:r>
      <w:r w:rsidR="00FC59B6" w:rsidRPr="00FC59B6">
        <w:t xml:space="preserve"> are not num</w:t>
      </w:r>
      <w:r w:rsidR="00FC59B6">
        <w:t>bers</w:t>
      </w:r>
      <w:r w:rsidR="009165EB">
        <w:t>,</w:t>
      </w:r>
      <w:r w:rsidR="00EF0829" w:rsidRPr="00FC59B6">
        <w:t xml:space="preserve"> to</w:t>
      </w:r>
      <w:r w:rsidRPr="00FC59B6">
        <w:t>:</w:t>
      </w:r>
    </w:p>
    <w:p w14:paraId="2BC4F674" w14:textId="6AC627BF" w:rsidR="001A59CA" w:rsidRDefault="00DD33AB" w:rsidP="001A59CA">
      <w:pPr>
        <w:pStyle w:val="ListBullet"/>
      </w:pPr>
      <w:r>
        <w:t>exclud</w:t>
      </w:r>
      <w:r w:rsidR="00EF0829">
        <w:t>e</w:t>
      </w:r>
      <w:r>
        <w:t xml:space="preserve"> letters that may cause confusion with similarly shaped characters, for example o, </w:t>
      </w:r>
      <w:r w:rsidR="006D47B4">
        <w:t xml:space="preserve">and </w:t>
      </w:r>
      <w:r>
        <w:t>O</w:t>
      </w:r>
    </w:p>
    <w:p w14:paraId="2612C6DB" w14:textId="4861FA39" w:rsidR="00FC59B6" w:rsidRDefault="00FC59B6" w:rsidP="001A59CA">
      <w:pPr>
        <w:pStyle w:val="ListBullet"/>
      </w:pPr>
      <w:r>
        <w:t xml:space="preserve">avoid mixtures </w:t>
      </w:r>
      <w:r w:rsidR="00726250">
        <w:t>of upper and lower case letters</w:t>
      </w:r>
    </w:p>
    <w:p w14:paraId="42C2CB2C" w14:textId="62484808" w:rsidR="00DD33AB" w:rsidRDefault="00DD33AB" w:rsidP="00FC59B6">
      <w:pPr>
        <w:pStyle w:val="ListBullet"/>
      </w:pPr>
      <w:r>
        <w:t>avoid symbols if possible.</w:t>
      </w:r>
    </w:p>
    <w:p w14:paraId="6E111D9A" w14:textId="6D3BAF59" w:rsidR="00C954B6" w:rsidRPr="00966276" w:rsidRDefault="00C954B6" w:rsidP="00966276">
      <w:pPr>
        <w:pStyle w:val="Heading4"/>
      </w:pPr>
      <w:bookmarkStart w:id="44" w:name="_Data_elements"/>
      <w:bookmarkStart w:id="45" w:name="_Toc67398317"/>
      <w:bookmarkEnd w:id="44"/>
      <w:r w:rsidRPr="00966276">
        <w:t>Data element</w:t>
      </w:r>
      <w:r w:rsidR="0019288D" w:rsidRPr="00966276">
        <w:t>s</w:t>
      </w:r>
      <w:bookmarkEnd w:id="45"/>
    </w:p>
    <w:p w14:paraId="35FDD350" w14:textId="0A4DFCA7" w:rsidR="0019288D" w:rsidRDefault="002E3C1D" w:rsidP="002E3C1D">
      <w:r>
        <w:t xml:space="preserve">The minimum data elements required to be encoded in the </w:t>
      </w:r>
      <w:hyperlink w:anchor="_DataMatrix_1" w:history="1">
        <w:r w:rsidRPr="008D1238">
          <w:rPr>
            <w:rStyle w:val="Hyperlink"/>
          </w:rPr>
          <w:t>DataMatrix</w:t>
        </w:r>
      </w:hyperlink>
      <w:r>
        <w:t xml:space="preserve"> under TGO 106 vary depending if the medicine is </w:t>
      </w:r>
      <w:hyperlink w:anchor="_Serialised_medicines_1" w:history="1">
        <w:r w:rsidRPr="008D1238">
          <w:rPr>
            <w:rStyle w:val="Hyperlink"/>
          </w:rPr>
          <w:t>serialised</w:t>
        </w:r>
      </w:hyperlink>
      <w:r>
        <w:t xml:space="preserve"> and on the </w:t>
      </w:r>
      <w:hyperlink w:anchor="_Relevant_level_of" w:history="1">
        <w:r w:rsidRPr="008D1238">
          <w:rPr>
            <w:rStyle w:val="Hyperlink"/>
          </w:rPr>
          <w:t>relevant level of packaging</w:t>
        </w:r>
      </w:hyperlink>
      <w:r w:rsidR="00726250">
        <w:t>.</w:t>
      </w:r>
    </w:p>
    <w:p w14:paraId="1AD92C79" w14:textId="7AC9BDD3" w:rsidR="000B7C2D" w:rsidRDefault="0019288D" w:rsidP="002E3C1D">
      <w:r>
        <w:t xml:space="preserve">Section 8 of TGO 106 outlines the data elements required in a </w:t>
      </w:r>
      <w:hyperlink w:anchor="_Data_matrix_code_2" w:history="1">
        <w:r w:rsidRPr="00A23F61">
          <w:rPr>
            <w:rStyle w:val="Hyperlink"/>
          </w:rPr>
          <w:t>data matrix code</w:t>
        </w:r>
      </w:hyperlink>
      <w:r>
        <w:t xml:space="preserve"> when a medicine is serialised.</w:t>
      </w:r>
      <w:r w:rsidRPr="0019288D">
        <w:t xml:space="preserve"> </w:t>
      </w:r>
    </w:p>
    <w:p w14:paraId="45693447" w14:textId="3A1B7475" w:rsidR="000B7C2D" w:rsidRPr="000B7C2D" w:rsidRDefault="000B7C2D" w:rsidP="000B7C2D">
      <w:pPr>
        <w:spacing w:before="0" w:after="160" w:line="259" w:lineRule="auto"/>
      </w:pPr>
      <w:r w:rsidRPr="000B7C2D">
        <w:t xml:space="preserve">If a medicine </w:t>
      </w:r>
      <w:hyperlink w:anchor="_Primary_pack" w:history="1">
        <w:r w:rsidRPr="000B7C2D">
          <w:rPr>
            <w:color w:val="0000FF"/>
            <w:u w:val="single"/>
          </w:rPr>
          <w:t>primary pack</w:t>
        </w:r>
      </w:hyperlink>
      <w:r w:rsidRPr="000B7C2D">
        <w:t xml:space="preserve"> is serialised, a DataMatrix must be applied with the following data elements:</w:t>
      </w:r>
    </w:p>
    <w:p w14:paraId="700761EE" w14:textId="72FCDA29" w:rsidR="000B7C2D" w:rsidRPr="000B7C2D" w:rsidRDefault="00434D80" w:rsidP="002E048E">
      <w:pPr>
        <w:pStyle w:val="ListBullet"/>
      </w:pPr>
      <w:hyperlink r:id="rId47" w:history="1">
        <w:r w:rsidR="00760DCF" w:rsidRPr="00F57522">
          <w:rPr>
            <w:rStyle w:val="Hyperlink"/>
          </w:rPr>
          <w:t>GTIN</w:t>
        </w:r>
      </w:hyperlink>
    </w:p>
    <w:p w14:paraId="6644D501" w14:textId="77777777" w:rsidR="000B7C2D" w:rsidRPr="000B7C2D" w:rsidRDefault="000B7C2D" w:rsidP="002E048E">
      <w:pPr>
        <w:pStyle w:val="ListBullet"/>
      </w:pPr>
      <w:r w:rsidRPr="000B7C2D">
        <w:t>batch number</w:t>
      </w:r>
    </w:p>
    <w:p w14:paraId="79AC76C7" w14:textId="77777777" w:rsidR="000B7C2D" w:rsidRPr="000B7C2D" w:rsidRDefault="000B7C2D" w:rsidP="002E048E">
      <w:pPr>
        <w:pStyle w:val="ListBullet"/>
      </w:pPr>
      <w:r w:rsidRPr="000B7C2D">
        <w:t>expiry date</w:t>
      </w:r>
    </w:p>
    <w:p w14:paraId="4C0D0D0E" w14:textId="353EF6CE" w:rsidR="000B7C2D" w:rsidRDefault="000B7C2D" w:rsidP="002E048E">
      <w:pPr>
        <w:pStyle w:val="ListBullet"/>
      </w:pPr>
      <w:r w:rsidRPr="000B7C2D">
        <w:t>serial number.</w:t>
      </w:r>
    </w:p>
    <w:p w14:paraId="2F8A8015" w14:textId="01CE2732" w:rsidR="002E3C1D" w:rsidRDefault="0019288D" w:rsidP="002E3C1D">
      <w:r>
        <w:t xml:space="preserve">See also </w:t>
      </w:r>
      <w:hyperlink w:anchor="_Data_matrix_code" w:history="1">
        <w:r w:rsidRPr="00391086">
          <w:rPr>
            <w:rStyle w:val="Hyperlink"/>
          </w:rPr>
          <w:t>data matrix code on a primary pack</w:t>
        </w:r>
      </w:hyperlink>
      <w:r>
        <w:t>.</w:t>
      </w:r>
    </w:p>
    <w:p w14:paraId="6F1091A0" w14:textId="0225A44A" w:rsidR="00804326" w:rsidRDefault="00804326" w:rsidP="002E3C1D">
      <w:r>
        <w:t xml:space="preserve">If a medicine </w:t>
      </w:r>
      <w:hyperlink w:anchor="_Container" w:history="1">
        <w:r w:rsidRPr="00804326">
          <w:rPr>
            <w:rStyle w:val="Hyperlink"/>
          </w:rPr>
          <w:t>container</w:t>
        </w:r>
      </w:hyperlink>
      <w:r>
        <w:t xml:space="preserve"> or </w:t>
      </w:r>
      <w:hyperlink w:anchor="_Single_unit_packaging" w:history="1">
        <w:r w:rsidRPr="00A66E5C">
          <w:rPr>
            <w:rStyle w:val="Hyperlink"/>
          </w:rPr>
          <w:t>sing</w:t>
        </w:r>
        <w:r w:rsidR="00A66E5C" w:rsidRPr="00A66E5C">
          <w:rPr>
            <w:rStyle w:val="Hyperlink"/>
          </w:rPr>
          <w:t>l</w:t>
        </w:r>
        <w:r w:rsidRPr="00A66E5C">
          <w:rPr>
            <w:rStyle w:val="Hyperlink"/>
          </w:rPr>
          <w:t>e unit packaging within a container</w:t>
        </w:r>
      </w:hyperlink>
      <w:r>
        <w:t xml:space="preserve"> is serialised, the following data elements must be encoded in the data matrix code:</w:t>
      </w:r>
    </w:p>
    <w:p w14:paraId="488A6DDF" w14:textId="090E30FF" w:rsidR="00804326" w:rsidRDefault="00804326" w:rsidP="00804326">
      <w:pPr>
        <w:pStyle w:val="ListBullet"/>
      </w:pPr>
      <w:r>
        <w:t>GTIN</w:t>
      </w:r>
    </w:p>
    <w:p w14:paraId="47F80BF2" w14:textId="70396A7C" w:rsidR="00804326" w:rsidRDefault="00804326" w:rsidP="002E048E">
      <w:pPr>
        <w:pStyle w:val="ListBullet"/>
      </w:pPr>
      <w:r>
        <w:t>serial number.</w:t>
      </w:r>
    </w:p>
    <w:p w14:paraId="0D854387" w14:textId="1FD3C4CD" w:rsidR="00D213B3" w:rsidRDefault="00D213B3" w:rsidP="002E048E">
      <w:r>
        <w:t>If a</w:t>
      </w:r>
      <w:r w:rsidRPr="00D213B3">
        <w:t xml:space="preserve"> medicine is </w:t>
      </w:r>
      <w:r w:rsidRPr="00785A8A">
        <w:rPr>
          <w:b/>
        </w:rPr>
        <w:t>not</w:t>
      </w:r>
      <w:r w:rsidRPr="00D213B3">
        <w:t xml:space="preserve"> serialised, there are no requirements for additional data elements to be included within the DataMatrix</w:t>
      </w:r>
      <w:r>
        <w:t>.</w:t>
      </w:r>
    </w:p>
    <w:p w14:paraId="027B7C5F" w14:textId="0880A6F0" w:rsidR="00D213B3" w:rsidRPr="002E3C1D" w:rsidRDefault="00D213B3" w:rsidP="002E048E">
      <w:r>
        <w:t xml:space="preserve">Other data elements can be included subject to </w:t>
      </w:r>
      <w:hyperlink r:id="rId48" w:history="1">
        <w:r w:rsidRPr="00760DCF">
          <w:rPr>
            <w:rStyle w:val="Hyperlink"/>
          </w:rPr>
          <w:t>GS1 General Specifications</w:t>
        </w:r>
      </w:hyperlink>
      <w:r w:rsidR="00726250">
        <w:t xml:space="preserve"> and TGO 106.</w:t>
      </w:r>
    </w:p>
    <w:p w14:paraId="21A99A3A" w14:textId="4EBDC0A2" w:rsidR="00C954B6" w:rsidRPr="00E51E43" w:rsidRDefault="00804326" w:rsidP="00AC140F">
      <w:pPr>
        <w:pStyle w:val="Tabletitle"/>
      </w:pPr>
      <w:r>
        <w:t xml:space="preserve">Data </w:t>
      </w:r>
      <w:r w:rsidR="00A66E5C">
        <w:t xml:space="preserve">elements </w:t>
      </w:r>
      <w:r>
        <w:t xml:space="preserve">required to </w:t>
      </w:r>
      <w:r w:rsidR="00505E7A">
        <w:t>be included in a DataMatrix</w:t>
      </w:r>
      <w:r w:rsidR="00C954B6" w:rsidRPr="00E51E43">
        <w:t xml:space="preserve"> under TGO 106</w:t>
      </w:r>
    </w:p>
    <w:tbl>
      <w:tblPr>
        <w:tblStyle w:val="TableTGAblue1"/>
        <w:tblW w:w="0" w:type="auto"/>
        <w:tblLook w:val="04A0" w:firstRow="1" w:lastRow="0" w:firstColumn="1" w:lastColumn="0" w:noHBand="0" w:noVBand="1"/>
        <w:tblCaption w:val="Actions at different packaging levels and requirements under TGO 106"/>
        <w:tblDescription w:val="Table that sets out the minimum data elements required to be encoded in a data matrix code depending on action and the packaging level. If a medicine is serialised at the primary pack, the GTIN, batch, expiry and serial number are required to be encoded in the data matrix code. If the medicine is serialised at a container or unit dose level, the GTIN, SN and batch are required to be encoded in the data matrix. If a data matrix code which encodes the GTIN is applied to a medicine that is not serialised, no other data elements are required."/>
      </w:tblPr>
      <w:tblGrid>
        <w:gridCol w:w="3016"/>
        <w:gridCol w:w="3017"/>
        <w:gridCol w:w="3017"/>
      </w:tblGrid>
      <w:tr w:rsidR="00C954B6" w:rsidRPr="00E51E43" w14:paraId="1F472C56" w14:textId="77777777" w:rsidTr="00C954B6">
        <w:trPr>
          <w:cnfStyle w:val="100000000000" w:firstRow="1" w:lastRow="0" w:firstColumn="0" w:lastColumn="0" w:oddVBand="0" w:evenVBand="0" w:oddHBand="0" w:evenHBand="0" w:firstRowFirstColumn="0" w:firstRowLastColumn="0" w:lastRowFirstColumn="0" w:lastRowLastColumn="0"/>
        </w:trPr>
        <w:tc>
          <w:tcPr>
            <w:tcW w:w="3016" w:type="dxa"/>
          </w:tcPr>
          <w:p w14:paraId="028E7186" w14:textId="77777777" w:rsidR="00C954B6" w:rsidRPr="00E51E43" w:rsidRDefault="00C954B6" w:rsidP="00C954B6">
            <w:pPr>
              <w:spacing w:before="180"/>
              <w:rPr>
                <w:lang w:eastAsia="en-AU"/>
              </w:rPr>
            </w:pPr>
            <w:r w:rsidRPr="00E51E43">
              <w:rPr>
                <w:lang w:eastAsia="en-AU"/>
              </w:rPr>
              <w:t>Action</w:t>
            </w:r>
          </w:p>
        </w:tc>
        <w:tc>
          <w:tcPr>
            <w:tcW w:w="3017" w:type="dxa"/>
          </w:tcPr>
          <w:p w14:paraId="2DA5DBFA" w14:textId="77777777" w:rsidR="00C954B6" w:rsidRPr="00E51E43" w:rsidRDefault="00C954B6" w:rsidP="00C954B6">
            <w:pPr>
              <w:spacing w:before="180"/>
              <w:rPr>
                <w:lang w:eastAsia="en-AU"/>
              </w:rPr>
            </w:pPr>
            <w:r>
              <w:rPr>
                <w:lang w:eastAsia="en-AU"/>
              </w:rPr>
              <w:t>Minimum d</w:t>
            </w:r>
            <w:r w:rsidRPr="00E51E43">
              <w:rPr>
                <w:lang w:eastAsia="en-AU"/>
              </w:rPr>
              <w:t>ata elements required</w:t>
            </w:r>
            <w:r>
              <w:rPr>
                <w:lang w:eastAsia="en-AU"/>
              </w:rPr>
              <w:t xml:space="preserve"> (and GS1 Application Identifier)</w:t>
            </w:r>
          </w:p>
        </w:tc>
        <w:tc>
          <w:tcPr>
            <w:tcW w:w="3017" w:type="dxa"/>
          </w:tcPr>
          <w:p w14:paraId="4EF4C570" w14:textId="77777777" w:rsidR="00C954B6" w:rsidRPr="00E51E43" w:rsidRDefault="00C954B6" w:rsidP="00C954B6">
            <w:pPr>
              <w:spacing w:before="180"/>
              <w:rPr>
                <w:lang w:eastAsia="en-AU"/>
              </w:rPr>
            </w:pPr>
            <w:r w:rsidRPr="00E51E43">
              <w:rPr>
                <w:lang w:eastAsia="en-AU"/>
              </w:rPr>
              <w:t>Where in TGO 106</w:t>
            </w:r>
          </w:p>
        </w:tc>
      </w:tr>
      <w:tr w:rsidR="00C954B6" w:rsidRPr="00E51E43" w14:paraId="204D37DD" w14:textId="77777777" w:rsidTr="00C954B6">
        <w:tc>
          <w:tcPr>
            <w:tcW w:w="3016" w:type="dxa"/>
          </w:tcPr>
          <w:p w14:paraId="087CA022" w14:textId="77777777" w:rsidR="00C954B6" w:rsidRPr="00E51E43" w:rsidRDefault="00C954B6" w:rsidP="00C954B6">
            <w:pPr>
              <w:spacing w:before="180"/>
              <w:rPr>
                <w:lang w:eastAsia="en-AU"/>
              </w:rPr>
            </w:pPr>
            <w:r w:rsidRPr="00E51E43">
              <w:rPr>
                <w:lang w:eastAsia="en-AU"/>
              </w:rPr>
              <w:t xml:space="preserve">Serialise medicine at primary pack </w:t>
            </w:r>
          </w:p>
        </w:tc>
        <w:tc>
          <w:tcPr>
            <w:tcW w:w="3017" w:type="dxa"/>
          </w:tcPr>
          <w:p w14:paraId="3017F75E" w14:textId="77777777" w:rsidR="00C954B6" w:rsidRPr="00E51E43" w:rsidRDefault="00C954B6" w:rsidP="00C954B6">
            <w:pPr>
              <w:spacing w:before="180"/>
              <w:rPr>
                <w:lang w:eastAsia="en-AU"/>
              </w:rPr>
            </w:pPr>
            <w:r w:rsidRPr="00E51E43">
              <w:rPr>
                <w:lang w:eastAsia="en-AU"/>
              </w:rPr>
              <w:t>GTIN</w:t>
            </w:r>
            <w:r>
              <w:rPr>
                <w:lang w:eastAsia="en-AU"/>
              </w:rPr>
              <w:t xml:space="preserve"> (01)</w:t>
            </w:r>
          </w:p>
          <w:p w14:paraId="2279A1C6" w14:textId="77777777" w:rsidR="00C954B6" w:rsidRPr="00E51E43" w:rsidRDefault="00C954B6" w:rsidP="00C954B6">
            <w:pPr>
              <w:spacing w:before="180"/>
              <w:rPr>
                <w:lang w:eastAsia="en-AU"/>
              </w:rPr>
            </w:pPr>
            <w:r w:rsidRPr="00E51E43">
              <w:rPr>
                <w:lang w:eastAsia="en-AU"/>
              </w:rPr>
              <w:t>Batch number</w:t>
            </w:r>
            <w:r>
              <w:rPr>
                <w:lang w:eastAsia="en-AU"/>
              </w:rPr>
              <w:t xml:space="preserve"> (10)</w:t>
            </w:r>
          </w:p>
          <w:p w14:paraId="2F3FED7E" w14:textId="77777777" w:rsidR="00C954B6" w:rsidRPr="00E51E43" w:rsidRDefault="00C954B6" w:rsidP="00C954B6">
            <w:pPr>
              <w:spacing w:before="180"/>
              <w:rPr>
                <w:lang w:eastAsia="en-AU"/>
              </w:rPr>
            </w:pPr>
            <w:r w:rsidRPr="00E51E43">
              <w:rPr>
                <w:lang w:eastAsia="en-AU"/>
              </w:rPr>
              <w:t>Expiry date</w:t>
            </w:r>
            <w:r>
              <w:rPr>
                <w:lang w:eastAsia="en-AU"/>
              </w:rPr>
              <w:t xml:space="preserve"> (17)</w:t>
            </w:r>
          </w:p>
          <w:p w14:paraId="4286B5F8" w14:textId="77777777" w:rsidR="00C954B6" w:rsidRPr="00E51E43" w:rsidRDefault="00C954B6" w:rsidP="00C954B6">
            <w:pPr>
              <w:spacing w:before="180"/>
              <w:rPr>
                <w:lang w:eastAsia="en-AU"/>
              </w:rPr>
            </w:pPr>
            <w:r w:rsidRPr="00E51E43">
              <w:rPr>
                <w:lang w:eastAsia="en-AU"/>
              </w:rPr>
              <w:t>Serial number</w:t>
            </w:r>
            <w:r>
              <w:rPr>
                <w:lang w:eastAsia="en-AU"/>
              </w:rPr>
              <w:t xml:space="preserve"> (21)</w:t>
            </w:r>
          </w:p>
        </w:tc>
        <w:tc>
          <w:tcPr>
            <w:tcW w:w="3017" w:type="dxa"/>
          </w:tcPr>
          <w:p w14:paraId="44FFB19A" w14:textId="638F6ED2" w:rsidR="00C954B6" w:rsidRPr="00E51E43" w:rsidRDefault="00C954B6" w:rsidP="00C954B6">
            <w:pPr>
              <w:spacing w:before="180"/>
              <w:rPr>
                <w:lang w:eastAsia="en-AU"/>
              </w:rPr>
            </w:pPr>
            <w:r w:rsidRPr="00E51E43">
              <w:rPr>
                <w:lang w:eastAsia="en-AU"/>
              </w:rPr>
              <w:t xml:space="preserve">Section </w:t>
            </w:r>
            <w:r w:rsidR="00D93246">
              <w:rPr>
                <w:lang w:eastAsia="en-AU"/>
              </w:rPr>
              <w:t>8</w:t>
            </w:r>
          </w:p>
        </w:tc>
      </w:tr>
      <w:tr w:rsidR="00C954B6" w:rsidRPr="00E51E43" w14:paraId="0964CFDB" w14:textId="77777777" w:rsidTr="00C954B6">
        <w:tc>
          <w:tcPr>
            <w:tcW w:w="3016" w:type="dxa"/>
          </w:tcPr>
          <w:p w14:paraId="4D64E7BC" w14:textId="7B87C85A" w:rsidR="00C954B6" w:rsidRPr="00E51E43" w:rsidRDefault="00C954B6" w:rsidP="00C954B6">
            <w:pPr>
              <w:spacing w:before="180"/>
              <w:rPr>
                <w:lang w:eastAsia="en-AU"/>
              </w:rPr>
            </w:pPr>
            <w:r w:rsidRPr="00E51E43">
              <w:rPr>
                <w:lang w:eastAsia="en-AU"/>
              </w:rPr>
              <w:lastRenderedPageBreak/>
              <w:t xml:space="preserve">Serialise medicine at container </w:t>
            </w:r>
            <w:r>
              <w:rPr>
                <w:lang w:eastAsia="en-AU"/>
              </w:rPr>
              <w:t xml:space="preserve">or </w:t>
            </w:r>
            <w:r w:rsidR="00D93246">
              <w:rPr>
                <w:lang w:eastAsia="en-AU"/>
              </w:rPr>
              <w:t xml:space="preserve">single unit packaging within a container </w:t>
            </w:r>
          </w:p>
        </w:tc>
        <w:tc>
          <w:tcPr>
            <w:tcW w:w="3017" w:type="dxa"/>
          </w:tcPr>
          <w:p w14:paraId="331AF7F5" w14:textId="77777777" w:rsidR="00C954B6" w:rsidRPr="00E51E43" w:rsidRDefault="00C954B6" w:rsidP="00C954B6">
            <w:pPr>
              <w:spacing w:before="180"/>
              <w:rPr>
                <w:lang w:eastAsia="en-AU"/>
              </w:rPr>
            </w:pPr>
            <w:r w:rsidRPr="00E51E43">
              <w:rPr>
                <w:lang w:eastAsia="en-AU"/>
              </w:rPr>
              <w:t>GTIN</w:t>
            </w:r>
            <w:r>
              <w:rPr>
                <w:lang w:eastAsia="en-AU"/>
              </w:rPr>
              <w:t xml:space="preserve"> (01)</w:t>
            </w:r>
          </w:p>
          <w:p w14:paraId="25275C68" w14:textId="77777777" w:rsidR="00C954B6" w:rsidRPr="00E51E43" w:rsidRDefault="00C954B6" w:rsidP="00C954B6">
            <w:pPr>
              <w:spacing w:before="180"/>
              <w:rPr>
                <w:lang w:eastAsia="en-AU"/>
              </w:rPr>
            </w:pPr>
            <w:r w:rsidRPr="00E51E43">
              <w:rPr>
                <w:lang w:eastAsia="en-AU"/>
              </w:rPr>
              <w:t>Serial number</w:t>
            </w:r>
            <w:r>
              <w:rPr>
                <w:lang w:eastAsia="en-AU"/>
              </w:rPr>
              <w:t xml:space="preserve"> (21)</w:t>
            </w:r>
          </w:p>
        </w:tc>
        <w:tc>
          <w:tcPr>
            <w:tcW w:w="3017" w:type="dxa"/>
          </w:tcPr>
          <w:p w14:paraId="7210CBBC" w14:textId="77777777" w:rsidR="00C954B6" w:rsidRPr="00E51E43" w:rsidRDefault="00C954B6" w:rsidP="00C954B6">
            <w:pPr>
              <w:spacing w:before="180"/>
              <w:rPr>
                <w:lang w:eastAsia="en-AU"/>
              </w:rPr>
            </w:pPr>
            <w:r w:rsidRPr="00E51E43">
              <w:rPr>
                <w:lang w:eastAsia="en-AU"/>
              </w:rPr>
              <w:t>Section 8</w:t>
            </w:r>
          </w:p>
        </w:tc>
      </w:tr>
      <w:tr w:rsidR="00C954B6" w:rsidRPr="00E51E43" w14:paraId="4C26EC6B" w14:textId="77777777" w:rsidTr="00C954B6">
        <w:tc>
          <w:tcPr>
            <w:tcW w:w="3016" w:type="dxa"/>
          </w:tcPr>
          <w:p w14:paraId="7B86AF0A" w14:textId="1DC4B06C" w:rsidR="00C954B6" w:rsidRPr="00E51E43" w:rsidRDefault="00C954B6" w:rsidP="00C954B6">
            <w:pPr>
              <w:spacing w:before="180"/>
              <w:rPr>
                <w:lang w:eastAsia="en-AU"/>
              </w:rPr>
            </w:pPr>
            <w:r w:rsidRPr="00E51E43">
              <w:rPr>
                <w:lang w:eastAsia="en-AU"/>
              </w:rPr>
              <w:t xml:space="preserve">Apply a data matrix </w:t>
            </w:r>
            <w:r w:rsidR="004B7F31">
              <w:rPr>
                <w:lang w:eastAsia="en-AU"/>
              </w:rPr>
              <w:t xml:space="preserve">code </w:t>
            </w:r>
            <w:r w:rsidRPr="00E51E43">
              <w:rPr>
                <w:lang w:eastAsia="en-AU"/>
              </w:rPr>
              <w:t xml:space="preserve">with a GTIN </w:t>
            </w:r>
            <w:r>
              <w:rPr>
                <w:lang w:eastAsia="en-AU"/>
              </w:rPr>
              <w:t>to a medicine (medicine is not serialised)</w:t>
            </w:r>
          </w:p>
        </w:tc>
        <w:tc>
          <w:tcPr>
            <w:tcW w:w="3017" w:type="dxa"/>
          </w:tcPr>
          <w:p w14:paraId="132F0E37" w14:textId="5A87510B" w:rsidR="00C954B6" w:rsidRPr="00E51E43" w:rsidRDefault="00D93246" w:rsidP="0081779A">
            <w:pPr>
              <w:spacing w:before="180"/>
              <w:rPr>
                <w:lang w:eastAsia="en-AU"/>
              </w:rPr>
            </w:pPr>
            <w:r>
              <w:rPr>
                <w:lang w:eastAsia="en-AU"/>
              </w:rPr>
              <w:t>GTIN</w:t>
            </w:r>
            <w:r w:rsidR="00C954B6">
              <w:rPr>
                <w:lang w:eastAsia="en-AU"/>
              </w:rPr>
              <w:t xml:space="preserve"> (01)</w:t>
            </w:r>
          </w:p>
        </w:tc>
        <w:tc>
          <w:tcPr>
            <w:tcW w:w="3017" w:type="dxa"/>
          </w:tcPr>
          <w:p w14:paraId="0F410343" w14:textId="1A84CDAE" w:rsidR="00C954B6" w:rsidRPr="00E51E43" w:rsidRDefault="00A66E5C" w:rsidP="00C954B6">
            <w:pPr>
              <w:spacing w:before="180"/>
              <w:rPr>
                <w:lang w:eastAsia="en-AU"/>
              </w:rPr>
            </w:pPr>
            <w:r>
              <w:rPr>
                <w:lang w:eastAsia="en-AU"/>
              </w:rPr>
              <w:t>No additional data elements required under TGO 106</w:t>
            </w:r>
          </w:p>
        </w:tc>
      </w:tr>
    </w:tbl>
    <w:p w14:paraId="0C9D9DA3" w14:textId="77777777" w:rsidR="00AC004D" w:rsidRDefault="00AC004D" w:rsidP="00AC004D">
      <w:bookmarkStart w:id="46" w:name="_Human_readability"/>
      <w:bookmarkStart w:id="47" w:name="_Formatting_of_data"/>
      <w:bookmarkStart w:id="48" w:name="_Formatting_and_durability"/>
      <w:bookmarkEnd w:id="46"/>
      <w:bookmarkEnd w:id="47"/>
      <w:bookmarkEnd w:id="48"/>
    </w:p>
    <w:tbl>
      <w:tblPr>
        <w:tblW w:w="9038" w:type="dxa"/>
        <w:tblLayout w:type="fixed"/>
        <w:tblCellMar>
          <w:left w:w="0" w:type="dxa"/>
          <w:right w:w="0" w:type="dxa"/>
        </w:tblCellMar>
        <w:tblLook w:val="04A0" w:firstRow="1" w:lastRow="0" w:firstColumn="1" w:lastColumn="0" w:noHBand="0" w:noVBand="1"/>
        <w:tblCaption w:val="Actions at different packaging levels and requirements under TGO 106"/>
        <w:tblDescription w:val="Table that sets out the minimum data elements required to be encoded in a data matrix code depending on action and the packaging level. If a medicine is serialised at the primary pack, the GTIN, batch, expiry and serial number are required to be encoded in the data matrix code. If the medicine is serialised at a container or unit dose level, the GTIN, SN and batch are required to be encoded in the data matrix. If a data matrix code which encodes the GTIN is applied to a medicine that is not serialised, no other data elements are required."/>
      </w:tblPr>
      <w:tblGrid>
        <w:gridCol w:w="20"/>
        <w:gridCol w:w="9018"/>
      </w:tblGrid>
      <w:tr w:rsidR="00AC004D" w:rsidRPr="00215D48" w14:paraId="71111DA8" w14:textId="77777777" w:rsidTr="00B513C7">
        <w:tc>
          <w:tcPr>
            <w:tcW w:w="20" w:type="dxa"/>
            <w:vAlign w:val="center"/>
          </w:tcPr>
          <w:p w14:paraId="397B2990" w14:textId="309A05FB" w:rsidR="00AC004D" w:rsidRPr="00215D48" w:rsidRDefault="00AC004D" w:rsidP="00B31CD6">
            <w:pPr>
              <w:spacing w:before="0"/>
              <w:rPr>
                <w:sz w:val="20"/>
              </w:rPr>
            </w:pPr>
          </w:p>
        </w:tc>
        <w:tc>
          <w:tcPr>
            <w:tcW w:w="9018" w:type="dxa"/>
            <w:shd w:val="clear" w:color="auto" w:fill="EAEAEA"/>
            <w:tcMar>
              <w:top w:w="170" w:type="dxa"/>
              <w:left w:w="170" w:type="dxa"/>
              <w:bottom w:w="170" w:type="dxa"/>
              <w:right w:w="170" w:type="dxa"/>
            </w:tcMar>
            <w:vAlign w:val="center"/>
          </w:tcPr>
          <w:p w14:paraId="44F644C4" w14:textId="77777777" w:rsidR="00AC004D" w:rsidRPr="00856A61" w:rsidRDefault="00AC004D" w:rsidP="00B31CD6">
            <w:pPr>
              <w:rPr>
                <w:b/>
              </w:rPr>
            </w:pPr>
            <w:r w:rsidRPr="00856A61">
              <w:rPr>
                <w:b/>
              </w:rPr>
              <w:t xml:space="preserve">GS1 Application Identifiers </w:t>
            </w:r>
          </w:p>
          <w:p w14:paraId="36B8F80F" w14:textId="77777777" w:rsidR="00AC004D" w:rsidRPr="00215D48" w:rsidRDefault="00AC004D" w:rsidP="00B31CD6">
            <w:r>
              <w:t>GS1 Application Identifiers (AIs) are prefixes used to identify data in barcodes as outlined in the GS1 General Specifications.</w:t>
            </w:r>
          </w:p>
        </w:tc>
      </w:tr>
    </w:tbl>
    <w:p w14:paraId="3FD9399C" w14:textId="5890CFDD" w:rsidR="00C954B6" w:rsidRPr="000834BE" w:rsidRDefault="00C954B6" w:rsidP="000834BE">
      <w:pPr>
        <w:pStyle w:val="Heading3"/>
      </w:pPr>
      <w:bookmarkStart w:id="49" w:name="_Toc67398318"/>
      <w:r w:rsidRPr="000834BE">
        <w:t>Formatting</w:t>
      </w:r>
      <w:r w:rsidR="00804326" w:rsidRPr="000834BE">
        <w:t xml:space="preserve"> and durability o</w:t>
      </w:r>
      <w:r w:rsidR="0001288A" w:rsidRPr="000834BE">
        <w:t>f data matrix codes</w:t>
      </w:r>
      <w:bookmarkEnd w:id="49"/>
    </w:p>
    <w:p w14:paraId="7EE84B20" w14:textId="003755A2" w:rsidR="00C954B6" w:rsidRDefault="00C954B6" w:rsidP="002E048E">
      <w:r>
        <w:t xml:space="preserve">If a </w:t>
      </w:r>
      <w:hyperlink w:anchor="_Data_matrix_code_2" w:history="1">
        <w:r w:rsidRPr="004B7F31">
          <w:rPr>
            <w:rStyle w:val="Hyperlink"/>
          </w:rPr>
          <w:t>data matrix code</w:t>
        </w:r>
      </w:hyperlink>
      <w:r>
        <w:t xml:space="preserve"> </w:t>
      </w:r>
      <w:r w:rsidR="005F7E55">
        <w:t xml:space="preserve">containing a GTIN </w:t>
      </w:r>
      <w:r>
        <w:t xml:space="preserve">is applied to a unit of a medicine, this must be formatted as a GS1 DataMatrix </w:t>
      </w:r>
      <w:r w:rsidRPr="00C954B6">
        <w:t xml:space="preserve">that complies with the </w:t>
      </w:r>
      <w:hyperlink r:id="rId49" w:history="1">
        <w:r w:rsidRPr="00760DCF">
          <w:rPr>
            <w:rStyle w:val="Hyperlink"/>
          </w:rPr>
          <w:t>GS1 General Specifications</w:t>
        </w:r>
      </w:hyperlink>
      <w:r>
        <w:t>.</w:t>
      </w:r>
    </w:p>
    <w:p w14:paraId="1105202B" w14:textId="1A30F812" w:rsidR="0001288A" w:rsidRDefault="005777D7" w:rsidP="002E048E">
      <w:r>
        <w:t xml:space="preserve">Section 9 of TGO 106 also outlines requirements for </w:t>
      </w:r>
      <w:r w:rsidR="00357D6E">
        <w:t xml:space="preserve">the </w:t>
      </w:r>
      <w:hyperlink w:anchor="_Placement_of_machine-readable" w:history="1">
        <w:r w:rsidRPr="00ED13B5">
          <w:rPr>
            <w:rStyle w:val="Hyperlink"/>
          </w:rPr>
          <w:t>p</w:t>
        </w:r>
        <w:r w:rsidR="00357D6E" w:rsidRPr="00ED13B5">
          <w:rPr>
            <w:rStyle w:val="Hyperlink"/>
          </w:rPr>
          <w:t>lacement of data matrix</w:t>
        </w:r>
        <w:r w:rsidR="002E3C1D" w:rsidRPr="00ED13B5">
          <w:rPr>
            <w:rStyle w:val="Hyperlink"/>
          </w:rPr>
          <w:t xml:space="preserve"> codes</w:t>
        </w:r>
      </w:hyperlink>
      <w:r w:rsidR="002E3C1D">
        <w:t>. See</w:t>
      </w:r>
      <w:r>
        <w:t xml:space="preserve">: </w:t>
      </w:r>
      <w:hyperlink w:anchor="_Multiple_machine_-readable" w:history="1">
        <w:r w:rsidRPr="00ED13B5">
          <w:rPr>
            <w:rStyle w:val="Hyperlink"/>
          </w:rPr>
          <w:t>Multiple machine-</w:t>
        </w:r>
        <w:r w:rsidR="0001288A" w:rsidRPr="00ED13B5">
          <w:rPr>
            <w:rStyle w:val="Hyperlink"/>
          </w:rPr>
          <w:t>readable codes</w:t>
        </w:r>
      </w:hyperlink>
      <w:r w:rsidR="002E3C1D">
        <w:t>.</w:t>
      </w:r>
    </w:p>
    <w:p w14:paraId="18E8C89B" w14:textId="77777777" w:rsidR="00357D6E" w:rsidRPr="000834BE" w:rsidRDefault="00357D6E" w:rsidP="000834BE">
      <w:pPr>
        <w:pStyle w:val="Heading4"/>
      </w:pPr>
      <w:bookmarkStart w:id="50" w:name="_Toc67398319"/>
      <w:r w:rsidRPr="000834BE">
        <w:t>Durability of data matrix codes</w:t>
      </w:r>
      <w:bookmarkEnd w:id="50"/>
    </w:p>
    <w:p w14:paraId="3564A12D" w14:textId="6511EDD2" w:rsidR="00357D6E" w:rsidRDefault="004B7F31" w:rsidP="00357D6E">
      <w:r>
        <w:t xml:space="preserve">A </w:t>
      </w:r>
      <w:hyperlink w:anchor="_DataMatrix_1" w:history="1">
        <w:r w:rsidR="00357D6E" w:rsidRPr="00760DCF">
          <w:rPr>
            <w:rStyle w:val="Hyperlink"/>
          </w:rPr>
          <w:t>DataMatrix</w:t>
        </w:r>
      </w:hyperlink>
      <w:r w:rsidR="00357D6E">
        <w:t xml:space="preserve"> must be machine-readab</w:t>
      </w:r>
      <w:r w:rsidR="0081779A">
        <w:t>le for the life of the product.</w:t>
      </w:r>
    </w:p>
    <w:p w14:paraId="7087FE08" w14:textId="01E135C7" w:rsidR="00357D6E" w:rsidRDefault="00357D6E" w:rsidP="00357D6E">
      <w:r>
        <w:t>Where a code is smudged, faded or otherwise unreadable, the medicine</w:t>
      </w:r>
      <w:r w:rsidR="0081779A">
        <w:t xml:space="preserve"> is not compliant with TGO 106.</w:t>
      </w:r>
    </w:p>
    <w:p w14:paraId="58697EF9" w14:textId="205C63EB" w:rsidR="00357D6E" w:rsidRDefault="00357D6E" w:rsidP="00ED13B5">
      <w:r>
        <w:t>We recommend you consider measuring machine-readability in your medicines stability studies</w:t>
      </w:r>
      <w:r w:rsidR="00B005B5">
        <w:t xml:space="preserve"> in the same way as batch and expiry printing</w:t>
      </w:r>
      <w:r>
        <w:t>.</w:t>
      </w:r>
    </w:p>
    <w:p w14:paraId="49E44278" w14:textId="18C16D2E" w:rsidR="00C954B6" w:rsidRPr="000834BE" w:rsidRDefault="00C954B6" w:rsidP="000834BE">
      <w:pPr>
        <w:pStyle w:val="Heading3"/>
      </w:pPr>
      <w:bookmarkStart w:id="51" w:name="_Information_in_a"/>
      <w:bookmarkStart w:id="52" w:name="_Toc67398320"/>
      <w:bookmarkEnd w:id="51"/>
      <w:r w:rsidRPr="000834BE">
        <w:t>Information in a data matrix code</w:t>
      </w:r>
      <w:bookmarkEnd w:id="52"/>
    </w:p>
    <w:p w14:paraId="3D065193" w14:textId="3212CAAE" w:rsidR="007C1920" w:rsidRDefault="007C1920" w:rsidP="007C1920">
      <w:r w:rsidRPr="00666E58">
        <w:t xml:space="preserve">The information in </w:t>
      </w:r>
      <w:r>
        <w:t xml:space="preserve">the </w:t>
      </w:r>
      <w:hyperlink w:anchor="_DataMatrix_1" w:history="1">
        <w:r w:rsidRPr="004B7F31">
          <w:rPr>
            <w:rStyle w:val="Hyperlink"/>
          </w:rPr>
          <w:t>DataMatrix</w:t>
        </w:r>
      </w:hyperlink>
      <w:r w:rsidRPr="00666E58">
        <w:t xml:space="preserve"> must agree with all machine-readable and human</w:t>
      </w:r>
      <w:r>
        <w:t>-</w:t>
      </w:r>
      <w:r w:rsidRPr="00666E58">
        <w:t>readable information on the label</w:t>
      </w:r>
      <w:r>
        <w:t xml:space="preserve"> as well as any relevant content of the </w:t>
      </w:r>
      <w:hyperlink r:id="rId50" w:anchor="id_1219" w:history="1">
        <w:r w:rsidRPr="00584CE5">
          <w:rPr>
            <w:rStyle w:val="Hyperlink"/>
          </w:rPr>
          <w:t>Product Information (PI)</w:t>
        </w:r>
      </w:hyperlink>
      <w:r>
        <w:t xml:space="preserve"> or </w:t>
      </w:r>
      <w:hyperlink r:id="rId51" w:anchor="id_989" w:history="1">
        <w:r w:rsidRPr="00584CE5">
          <w:rPr>
            <w:rStyle w:val="Hyperlink"/>
          </w:rPr>
          <w:t>Consumer Medicine Information (CMI)</w:t>
        </w:r>
      </w:hyperlink>
      <w:r w:rsidRPr="00666E58">
        <w:t>.</w:t>
      </w:r>
      <w:r>
        <w:t xml:space="preserve"> If for example the expiry date encoded in the DataMatrix does not agree with the human-readable expiry on the label, the medicine is not compliant with TGO 106. </w:t>
      </w:r>
      <w:r w:rsidR="00740043">
        <w:t xml:space="preserve">See also: </w:t>
      </w:r>
      <w:hyperlink w:anchor="_GTINs_in_multiple" w:history="1">
        <w:r w:rsidR="00740043" w:rsidRPr="00740043">
          <w:rPr>
            <w:rStyle w:val="Hyperlink"/>
          </w:rPr>
          <w:t>GTINs in multiple machine-readable codes</w:t>
        </w:r>
      </w:hyperlink>
      <w:r w:rsidR="00740043">
        <w:t>.</w:t>
      </w:r>
    </w:p>
    <w:p w14:paraId="128A59E7" w14:textId="0ECD6FDE" w:rsidR="007C1920" w:rsidRDefault="007C1920" w:rsidP="00ED13B5">
      <w:r>
        <w:t>A DataMatrix may be formatted to enable retrieval of data from a remote location. This may allow other material such as the medicine’s PI or CMI to be accessed via a remote database. Where this capability is included in the DataMatrix, the documents accessed must be the current and/or approv</w:t>
      </w:r>
      <w:r w:rsidR="00A66E5C">
        <w:t>ed versions of those documents.</w:t>
      </w:r>
    </w:p>
    <w:p w14:paraId="7A495529" w14:textId="40F4449A" w:rsidR="00DD78C6" w:rsidRPr="00AC5CD3" w:rsidRDefault="00DD78C6" w:rsidP="00AC5CD3">
      <w:pPr>
        <w:pStyle w:val="CommentText"/>
        <w:rPr>
          <w:sz w:val="22"/>
          <w:szCs w:val="22"/>
        </w:rPr>
      </w:pPr>
      <w:r w:rsidRPr="00DD78C6">
        <w:rPr>
          <w:sz w:val="22"/>
          <w:szCs w:val="22"/>
        </w:rPr>
        <w:lastRenderedPageBreak/>
        <w:t xml:space="preserve">Any information must be linked to or provided in accordance with TGA legislation including the </w:t>
      </w:r>
      <w:hyperlink r:id="rId52" w:history="1">
        <w:r w:rsidRPr="00DD78C6">
          <w:rPr>
            <w:rStyle w:val="Hyperlink"/>
            <w:i/>
            <w:sz w:val="22"/>
            <w:szCs w:val="22"/>
          </w:rPr>
          <w:t>Therapeutic Goods Act 1989</w:t>
        </w:r>
      </w:hyperlink>
      <w:r w:rsidRPr="00DD78C6">
        <w:rPr>
          <w:sz w:val="22"/>
          <w:szCs w:val="22"/>
        </w:rPr>
        <w:t xml:space="preserve"> and the </w:t>
      </w:r>
      <w:hyperlink r:id="rId53" w:history="1">
        <w:r w:rsidRPr="00DD78C6">
          <w:rPr>
            <w:rStyle w:val="Hyperlink"/>
            <w:sz w:val="22"/>
            <w:szCs w:val="22"/>
          </w:rPr>
          <w:t>Therapeutic goods advertising code</w:t>
        </w:r>
      </w:hyperlink>
      <w:r w:rsidR="00AC5CD3">
        <w:rPr>
          <w:sz w:val="22"/>
          <w:szCs w:val="22"/>
        </w:rPr>
        <w:t>.</w:t>
      </w:r>
    </w:p>
    <w:p w14:paraId="1CA81033" w14:textId="131A9737" w:rsidR="00FF692D" w:rsidRPr="000834BE" w:rsidRDefault="00FF692D" w:rsidP="000834BE">
      <w:pPr>
        <w:pStyle w:val="Heading4"/>
      </w:pPr>
      <w:bookmarkStart w:id="53" w:name="_Human-readability"/>
      <w:bookmarkStart w:id="54" w:name="_Toc67398321"/>
      <w:bookmarkEnd w:id="53"/>
      <w:r w:rsidRPr="000834BE">
        <w:t>Human</w:t>
      </w:r>
      <w:r w:rsidR="002E048E" w:rsidRPr="000834BE">
        <w:t>-</w:t>
      </w:r>
      <w:r w:rsidRPr="000834BE">
        <w:t>readability</w:t>
      </w:r>
      <w:bookmarkEnd w:id="54"/>
    </w:p>
    <w:p w14:paraId="7003456A" w14:textId="205E86F8" w:rsidR="00DD33AB" w:rsidRDefault="00E12D29" w:rsidP="00FF692D">
      <w:r>
        <w:t>I</w:t>
      </w:r>
      <w:r w:rsidR="00FF692D" w:rsidRPr="008814A5">
        <w:t xml:space="preserve">nformation contained in a DataMatrix should be transcribed on the label in human-readable format as prescribed by the </w:t>
      </w:r>
      <w:hyperlink r:id="rId54" w:history="1">
        <w:r w:rsidR="00FF692D" w:rsidRPr="00582EFC">
          <w:rPr>
            <w:rStyle w:val="Hyperlink"/>
          </w:rPr>
          <w:t>GS1</w:t>
        </w:r>
        <w:r w:rsidR="00582EFC" w:rsidRPr="00582EFC">
          <w:rPr>
            <w:rStyle w:val="Hyperlink"/>
          </w:rPr>
          <w:t>General</w:t>
        </w:r>
        <w:r w:rsidR="00FF692D" w:rsidRPr="00582EFC">
          <w:rPr>
            <w:rStyle w:val="Hyperlink"/>
          </w:rPr>
          <w:t xml:space="preserve"> </w:t>
        </w:r>
        <w:r w:rsidR="00582EFC" w:rsidRPr="00582EFC">
          <w:rPr>
            <w:rStyle w:val="Hyperlink"/>
          </w:rPr>
          <w:t>S</w:t>
        </w:r>
        <w:r w:rsidR="00FF692D" w:rsidRPr="00582EFC">
          <w:rPr>
            <w:rStyle w:val="Hyperlink"/>
          </w:rPr>
          <w:t>pecifications</w:t>
        </w:r>
      </w:hyperlink>
      <w:r w:rsidR="0081779A">
        <w:t>.</w:t>
      </w:r>
    </w:p>
    <w:p w14:paraId="222AA500" w14:textId="562BC1EC" w:rsidR="00ED13B5" w:rsidRDefault="00ED13B5" w:rsidP="00FF692D">
      <w:r>
        <w:t xml:space="preserve">There may be other labelling requirements that apply to some human readable information for example, where </w:t>
      </w:r>
      <w:hyperlink w:anchor="_Medicines_subject_to" w:history="1">
        <w:r w:rsidRPr="008434E0">
          <w:rPr>
            <w:rStyle w:val="Hyperlink"/>
          </w:rPr>
          <w:t>medicines must comply with TGO 91</w:t>
        </w:r>
        <w:r>
          <w:rPr>
            <w:rStyle w:val="Hyperlink"/>
          </w:rPr>
          <w:t xml:space="preserve"> </w:t>
        </w:r>
        <w:r w:rsidRPr="008434E0">
          <w:rPr>
            <w:rStyle w:val="Hyperlink"/>
          </w:rPr>
          <w:t>or TGO 92</w:t>
        </w:r>
      </w:hyperlink>
      <w:r w:rsidR="0081779A">
        <w:t>.</w:t>
      </w:r>
    </w:p>
    <w:p w14:paraId="6E1E27FE" w14:textId="77777777" w:rsidR="00E12D29" w:rsidRPr="000834BE" w:rsidRDefault="00E12D29" w:rsidP="000834BE">
      <w:pPr>
        <w:pStyle w:val="Heading5"/>
      </w:pPr>
      <w:bookmarkStart w:id="55" w:name="_Toc55384193"/>
      <w:bookmarkStart w:id="56" w:name="_Toc55492370"/>
      <w:r w:rsidRPr="000834BE">
        <w:t>Ordering of human-readable data elements</w:t>
      </w:r>
      <w:bookmarkEnd w:id="55"/>
      <w:bookmarkEnd w:id="56"/>
    </w:p>
    <w:p w14:paraId="40BCD1BF" w14:textId="461B791E" w:rsidR="002D1BAA" w:rsidRDefault="002D1BAA" w:rsidP="002D1BAA">
      <w:r w:rsidRPr="00D376BB">
        <w:t>The human-readable data element fields do not have to be presented in any specific order</w:t>
      </w:r>
      <w:r w:rsidR="0081779A">
        <w:t>.</w:t>
      </w:r>
    </w:p>
    <w:p w14:paraId="1FCC4861" w14:textId="0212E50D" w:rsidR="002D1BAA" w:rsidRDefault="002D1BAA" w:rsidP="002D1BAA">
      <w:r>
        <w:t>Human-readable prefixes or headers do not have to be placed in any specific location</w:t>
      </w:r>
      <w:r w:rsidR="00D66832">
        <w:t xml:space="preserve">. However, when applied to a </w:t>
      </w:r>
      <w:hyperlink w:anchor="_Primary_pack" w:history="1">
        <w:r w:rsidR="00D66832" w:rsidRPr="00D66832">
          <w:rPr>
            <w:rStyle w:val="Hyperlink"/>
          </w:rPr>
          <w:t>primary pack</w:t>
        </w:r>
      </w:hyperlink>
      <w:r w:rsidR="00D66832">
        <w:t xml:space="preserve"> they must</w:t>
      </w:r>
      <w:r>
        <w:t xml:space="preserve"> allow the data to be interpreted without knowledge of the GS1 </w:t>
      </w:r>
      <w:r w:rsidR="00582EFC">
        <w:t xml:space="preserve">General </w:t>
      </w:r>
      <w:r>
        <w:t>Specifications</w:t>
      </w:r>
      <w:r w:rsidR="00B005B5">
        <w:t>.</w:t>
      </w:r>
      <w:r w:rsidR="00D66832">
        <w:t xml:space="preserve"> See: </w:t>
      </w:r>
      <w:hyperlink w:anchor="_Human-readable_information_on" w:history="1">
        <w:r w:rsidR="00D66832" w:rsidRPr="00D66832">
          <w:rPr>
            <w:rStyle w:val="Hyperlink"/>
          </w:rPr>
          <w:t>Human-readable information on primary packs</w:t>
        </w:r>
      </w:hyperlink>
      <w:r w:rsidR="00D66832">
        <w:t>.</w:t>
      </w:r>
    </w:p>
    <w:p w14:paraId="6C06C110" w14:textId="5C4F3BE6" w:rsidR="00E12D29" w:rsidRPr="000834BE" w:rsidRDefault="00ED13B5" w:rsidP="000834BE">
      <w:pPr>
        <w:pStyle w:val="Heading5"/>
      </w:pPr>
      <w:bookmarkStart w:id="57" w:name="_Human-readable_information_on"/>
      <w:bookmarkStart w:id="58" w:name="_Toc55384194"/>
      <w:bookmarkStart w:id="59" w:name="_Toc55492371"/>
      <w:bookmarkEnd w:id="57"/>
      <w:r w:rsidRPr="000834BE">
        <w:t xml:space="preserve">Human-readable information on </w:t>
      </w:r>
      <w:r w:rsidR="00E12D29" w:rsidRPr="000834BE">
        <w:t>primary packs</w:t>
      </w:r>
      <w:bookmarkEnd w:id="58"/>
      <w:bookmarkEnd w:id="59"/>
    </w:p>
    <w:p w14:paraId="09914DB6" w14:textId="5ED137B8" w:rsidR="00240166" w:rsidRDefault="00ED13B5" w:rsidP="00E12D29">
      <w:r>
        <w:t>TGO 106 mandates how human-</w:t>
      </w:r>
      <w:r w:rsidR="00E12D29">
        <w:t xml:space="preserve">readable information is to be applied to a </w:t>
      </w:r>
      <w:hyperlink w:anchor="_Primary_pack" w:history="1">
        <w:r w:rsidR="00E12D29" w:rsidRPr="00930A16">
          <w:rPr>
            <w:rStyle w:val="Hyperlink"/>
          </w:rPr>
          <w:t>primary pack</w:t>
        </w:r>
      </w:hyperlink>
      <w:r w:rsidR="00E12D29">
        <w:t>.</w:t>
      </w:r>
    </w:p>
    <w:p w14:paraId="5A297873" w14:textId="63591498" w:rsidR="00E12D29" w:rsidRDefault="003D35AF" w:rsidP="00E12D29">
      <w:r>
        <w:t>Human-readable information must be located adjacent to the DataMatrix, where space permits</w:t>
      </w:r>
      <w:r w:rsidR="007A274E">
        <w:t>,</w:t>
      </w:r>
      <w:r>
        <w:t xml:space="preserve"> in accordance with </w:t>
      </w:r>
      <w:hyperlink r:id="rId55" w:history="1">
        <w:r w:rsidRPr="00760DCF">
          <w:rPr>
            <w:rStyle w:val="Hyperlink"/>
          </w:rPr>
          <w:t>GS1 General Specifications</w:t>
        </w:r>
      </w:hyperlink>
      <w:r w:rsidRPr="0081779A">
        <w:rPr>
          <w:rStyle w:val="Hyperlink"/>
          <w:color w:val="002C47" w:themeColor="text1"/>
          <w:u w:val="none"/>
        </w:rPr>
        <w:t>.</w:t>
      </w:r>
    </w:p>
    <w:p w14:paraId="03FEB484" w14:textId="4AE333BD" w:rsidR="00E12D29" w:rsidRDefault="00E12D29" w:rsidP="00E12D29">
      <w:r w:rsidRPr="008814A5">
        <w:t xml:space="preserve">In addition to the </w:t>
      </w:r>
      <w:r w:rsidRPr="007A274E">
        <w:t>GS1 General Specifications</w:t>
      </w:r>
      <w:r w:rsidRPr="008814A5">
        <w:t>, when a DataMatrix is applied to a primary pack, the human-readable information must be presented such that no knowledge of GS1 formatting is required for the information to be understood.</w:t>
      </w:r>
    </w:p>
    <w:p w14:paraId="04CF36F9" w14:textId="0EB6FB4D" w:rsidR="0055366E" w:rsidRPr="0055366E" w:rsidRDefault="0055366E" w:rsidP="00E12D29">
      <w:pPr>
        <w:rPr>
          <w:b/>
        </w:rPr>
      </w:pPr>
      <w:r w:rsidRPr="0055366E">
        <w:rPr>
          <w:b/>
        </w:rPr>
        <w:t>Human</w:t>
      </w:r>
      <w:r w:rsidR="00CC73AC">
        <w:rPr>
          <w:b/>
        </w:rPr>
        <w:t>-</w:t>
      </w:r>
      <w:r w:rsidRPr="0055366E">
        <w:rPr>
          <w:b/>
        </w:rPr>
        <w:t>readable example:</w:t>
      </w:r>
    </w:p>
    <w:p w14:paraId="5D5FCC2C" w14:textId="127A9C6A" w:rsidR="00E12D29" w:rsidRDefault="00E12D29" w:rsidP="00E12D29">
      <w:r w:rsidRPr="00AC004D">
        <w:t>The DataMatrix example belo</w:t>
      </w:r>
      <w:r w:rsidR="00505E7A" w:rsidRPr="00AC004D">
        <w:t xml:space="preserve">w is </w:t>
      </w:r>
      <w:r w:rsidR="00505E7A" w:rsidRPr="0008344B">
        <w:rPr>
          <w:b/>
        </w:rPr>
        <w:t>not compliant</w:t>
      </w:r>
      <w:r w:rsidR="00505E7A" w:rsidRPr="00AC004D">
        <w:t xml:space="preserve"> with human-</w:t>
      </w:r>
      <w:r w:rsidRPr="00AC004D">
        <w:t>readability requirements.</w:t>
      </w:r>
      <w:r>
        <w:t xml:space="preserve"> While the human-readable data accurately reflects the encoded data, which includes the GTIN, </w:t>
      </w:r>
      <w:r w:rsidR="00505E7A">
        <w:t xml:space="preserve">expiry, batch and serial number, </w:t>
      </w:r>
      <w:r>
        <w:t>it is essentially meaningless to anyone unfamiliar with GS1 DataMatrix formatting.</w:t>
      </w:r>
    </w:p>
    <w:p w14:paraId="3F2891DF" w14:textId="28BE7C01" w:rsidR="00E12D29" w:rsidRPr="00AC004D" w:rsidRDefault="00E12D29" w:rsidP="00E12D29">
      <w:pPr>
        <w:spacing w:before="0" w:after="0" w:line="240" w:lineRule="auto"/>
        <w:rPr>
          <w:rFonts w:ascii="Arial" w:hAnsi="Arial" w:cs="Arial"/>
          <w:sz w:val="18"/>
          <w:szCs w:val="18"/>
        </w:rPr>
      </w:pPr>
      <w:r w:rsidRPr="00AC004D">
        <w:rPr>
          <w:noProof/>
          <w:sz w:val="18"/>
          <w:szCs w:val="18"/>
          <w:lang w:eastAsia="en-AU"/>
        </w:rPr>
        <w:drawing>
          <wp:anchor distT="0" distB="0" distL="114300" distR="114300" simplePos="0" relativeHeight="251669504" behindDoc="1" locked="1" layoutInCell="1" allowOverlap="1" wp14:anchorId="120185B7" wp14:editId="5F7372FA">
            <wp:simplePos x="0" y="0"/>
            <wp:positionH relativeFrom="column">
              <wp:posOffset>5715</wp:posOffset>
            </wp:positionH>
            <wp:positionV relativeFrom="paragraph">
              <wp:posOffset>-7620</wp:posOffset>
            </wp:positionV>
            <wp:extent cx="508635" cy="485775"/>
            <wp:effectExtent l="0" t="0" r="5715" b="9525"/>
            <wp:wrapSquare wrapText="bothSides"/>
            <wp:docPr id="225" name="Picture 225" descr="Data matrix" title="Image of Data matrix that is not compliant with human readability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entral.health\DFSUserENV\Users\User_30\carlam\Downloads\barcode (31).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863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004D">
        <w:rPr>
          <w:rFonts w:ascii="Arial" w:hAnsi="Arial" w:cs="Arial"/>
          <w:sz w:val="18"/>
          <w:szCs w:val="18"/>
        </w:rPr>
        <w:t>(01)01234567890000</w:t>
      </w:r>
    </w:p>
    <w:p w14:paraId="1270E258" w14:textId="77777777" w:rsidR="00E12D29" w:rsidRPr="00AC004D" w:rsidRDefault="00E12D29" w:rsidP="00E12D29">
      <w:pPr>
        <w:spacing w:before="0" w:after="0" w:line="240" w:lineRule="auto"/>
        <w:rPr>
          <w:rFonts w:ascii="Arial" w:hAnsi="Arial" w:cs="Arial"/>
          <w:sz w:val="18"/>
          <w:szCs w:val="18"/>
        </w:rPr>
      </w:pPr>
      <w:r w:rsidRPr="00AC004D">
        <w:rPr>
          <w:rFonts w:ascii="Arial" w:hAnsi="Arial" w:cs="Arial"/>
          <w:sz w:val="18"/>
          <w:szCs w:val="18"/>
        </w:rPr>
        <w:t>(17)200131(10)XC2312</w:t>
      </w:r>
    </w:p>
    <w:p w14:paraId="1FE1208D" w14:textId="77777777" w:rsidR="00AC004D" w:rsidRDefault="00E12D29" w:rsidP="00E12D29">
      <w:pPr>
        <w:spacing w:before="0" w:after="0" w:line="240" w:lineRule="auto"/>
        <w:rPr>
          <w:rFonts w:ascii="Arial" w:hAnsi="Arial" w:cs="Arial"/>
          <w:sz w:val="18"/>
          <w:szCs w:val="18"/>
        </w:rPr>
      </w:pPr>
      <w:r w:rsidRPr="00AC004D">
        <w:rPr>
          <w:rFonts w:ascii="Arial" w:hAnsi="Arial" w:cs="Arial"/>
          <w:sz w:val="18"/>
          <w:szCs w:val="18"/>
        </w:rPr>
        <w:t>(21)555643225C</w:t>
      </w:r>
    </w:p>
    <w:p w14:paraId="0FA804A4" w14:textId="3153A863" w:rsidR="00E12D29" w:rsidRPr="005E7153" w:rsidRDefault="00E12D29" w:rsidP="00E12D29">
      <w:pPr>
        <w:spacing w:before="0" w:after="0" w:line="240" w:lineRule="auto"/>
        <w:rPr>
          <w:rFonts w:ascii="Arial" w:hAnsi="Arial" w:cs="Arial"/>
          <w:sz w:val="16"/>
          <w:szCs w:val="16"/>
        </w:rPr>
      </w:pPr>
    </w:p>
    <w:p w14:paraId="534D6AE2" w14:textId="63DD5611" w:rsidR="00E12D29" w:rsidRPr="00A60A7C" w:rsidRDefault="00E12D29" w:rsidP="00E12D29">
      <w:r w:rsidRPr="00AC004D">
        <w:t xml:space="preserve">Shown below is the same DataMatrix amended to be </w:t>
      </w:r>
      <w:r w:rsidRPr="0008344B">
        <w:rPr>
          <w:b/>
        </w:rPr>
        <w:t>compliant</w:t>
      </w:r>
      <w:r w:rsidRPr="00AC004D">
        <w:t xml:space="preserve"> with human-readability requirements</w:t>
      </w:r>
      <w:r w:rsidRPr="0008344B">
        <w:t>. The human-readable information is presented to allow the data to be readily</w:t>
      </w:r>
      <w:r>
        <w:t xml:space="preserve"> understood. Parenthesised prefixes have been replaced with abbreviations. Each field is on a separate line and the expiry date has been formatted for easy interpretation.</w:t>
      </w:r>
    </w:p>
    <w:p w14:paraId="5C0A524A" w14:textId="77777777" w:rsidR="00E12D29" w:rsidRPr="00AC004D" w:rsidRDefault="00E12D29" w:rsidP="00E12D29">
      <w:pPr>
        <w:spacing w:before="0" w:after="0" w:line="240" w:lineRule="auto"/>
        <w:rPr>
          <w:rFonts w:ascii="Arial" w:hAnsi="Arial" w:cs="Arial"/>
          <w:sz w:val="18"/>
          <w:szCs w:val="18"/>
        </w:rPr>
      </w:pPr>
      <w:r w:rsidRPr="00AC004D">
        <w:rPr>
          <w:noProof/>
          <w:sz w:val="18"/>
          <w:szCs w:val="18"/>
          <w:lang w:eastAsia="en-AU"/>
        </w:rPr>
        <w:drawing>
          <wp:anchor distT="0" distB="0" distL="114300" distR="114300" simplePos="0" relativeHeight="251670528" behindDoc="1" locked="0" layoutInCell="1" allowOverlap="1" wp14:anchorId="6B0ED52F" wp14:editId="1F9FD725">
            <wp:simplePos x="0" y="0"/>
            <wp:positionH relativeFrom="column">
              <wp:posOffset>30328</wp:posOffset>
            </wp:positionH>
            <wp:positionV relativeFrom="paragraph">
              <wp:posOffset>-4113</wp:posOffset>
            </wp:positionV>
            <wp:extent cx="485775" cy="485775"/>
            <wp:effectExtent l="0" t="0" r="9525" b="9525"/>
            <wp:wrapSquare wrapText="bothSides"/>
            <wp:docPr id="226" name="Picture 226" descr="Data matrix" title="Image of a Data matrix that meets human readability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entral.health\DFSUserENV\Users\User_30\carlam\Downloads\barcode (31).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004D">
        <w:rPr>
          <w:rFonts w:ascii="Arial" w:hAnsi="Arial" w:cs="Arial"/>
          <w:sz w:val="18"/>
          <w:szCs w:val="18"/>
        </w:rPr>
        <w:t>GTIN: 01234567890000</w:t>
      </w:r>
    </w:p>
    <w:p w14:paraId="1303DA32" w14:textId="77777777" w:rsidR="00E12D29" w:rsidRPr="00AC004D" w:rsidRDefault="00E12D29" w:rsidP="00E12D29">
      <w:pPr>
        <w:spacing w:before="0" w:after="0" w:line="240" w:lineRule="auto"/>
        <w:rPr>
          <w:rFonts w:ascii="Arial" w:hAnsi="Arial" w:cs="Arial"/>
          <w:sz w:val="18"/>
          <w:szCs w:val="18"/>
        </w:rPr>
      </w:pPr>
      <w:r w:rsidRPr="00AC004D">
        <w:rPr>
          <w:rFonts w:ascii="Arial" w:hAnsi="Arial" w:cs="Arial"/>
          <w:sz w:val="18"/>
          <w:szCs w:val="18"/>
        </w:rPr>
        <w:t>LOT: XC2312</w:t>
      </w:r>
    </w:p>
    <w:p w14:paraId="15D66691" w14:textId="77777777" w:rsidR="00E12D29" w:rsidRPr="00AC004D" w:rsidRDefault="00E12D29" w:rsidP="00E12D29">
      <w:pPr>
        <w:spacing w:before="0" w:after="0" w:line="240" w:lineRule="auto"/>
        <w:rPr>
          <w:rFonts w:ascii="Arial" w:hAnsi="Arial" w:cs="Arial"/>
          <w:sz w:val="18"/>
          <w:szCs w:val="18"/>
        </w:rPr>
      </w:pPr>
      <w:r w:rsidRPr="00AC004D">
        <w:rPr>
          <w:rFonts w:ascii="Arial" w:hAnsi="Arial" w:cs="Arial"/>
          <w:sz w:val="18"/>
          <w:szCs w:val="18"/>
        </w:rPr>
        <w:t>EXP: 31/01/2020</w:t>
      </w:r>
    </w:p>
    <w:p w14:paraId="5D297734" w14:textId="77777777" w:rsidR="00E12D29" w:rsidRPr="00AC004D" w:rsidRDefault="00E12D29" w:rsidP="00E12D29">
      <w:pPr>
        <w:spacing w:before="0" w:after="0" w:line="240" w:lineRule="auto"/>
        <w:rPr>
          <w:rFonts w:ascii="Arial" w:hAnsi="Arial" w:cs="Arial"/>
          <w:sz w:val="18"/>
          <w:szCs w:val="18"/>
        </w:rPr>
      </w:pPr>
      <w:r w:rsidRPr="00AC004D">
        <w:rPr>
          <w:rFonts w:ascii="Arial" w:hAnsi="Arial" w:cs="Arial"/>
          <w:sz w:val="18"/>
          <w:szCs w:val="18"/>
        </w:rPr>
        <w:t>S/N: 555643225C</w:t>
      </w:r>
    </w:p>
    <w:p w14:paraId="5B1306B1" w14:textId="77777777" w:rsidR="00E12D29" w:rsidRPr="000834BE" w:rsidRDefault="00E12D29" w:rsidP="000834BE">
      <w:pPr>
        <w:pStyle w:val="Heading5"/>
      </w:pPr>
      <w:bookmarkStart w:id="60" w:name="_Medicines_subject_to"/>
      <w:bookmarkStart w:id="61" w:name="_Toc55492372"/>
      <w:bookmarkEnd w:id="60"/>
      <w:r w:rsidRPr="000834BE">
        <w:t>Medicines subject to TGO 91 or TGO 92</w:t>
      </w:r>
      <w:bookmarkEnd w:id="61"/>
    </w:p>
    <w:p w14:paraId="49489A73" w14:textId="601E1673" w:rsidR="00E12D29" w:rsidRDefault="00E12D29" w:rsidP="00E12D29">
      <w:r>
        <w:t xml:space="preserve">The </w:t>
      </w:r>
      <w:hyperlink r:id="rId56" w:history="1">
        <w:r w:rsidRPr="00760DCF">
          <w:rPr>
            <w:rStyle w:val="Hyperlink"/>
          </w:rPr>
          <w:t>GS1 General Specifications</w:t>
        </w:r>
      </w:hyperlink>
      <w:r>
        <w:t xml:space="preserve"> set out human readable interpretation rules including requirements for font and text size. Medicine labelling requirements may also apply to some of this information as outlined in </w:t>
      </w:r>
      <w:hyperlink r:id="rId57" w:history="1">
        <w:r w:rsidRPr="009A61AD">
          <w:rPr>
            <w:rStyle w:val="Hyperlink"/>
          </w:rPr>
          <w:t>Therapeutic Goods Order No. 91 – Standard for labels of prescription and related medicines</w:t>
        </w:r>
      </w:hyperlink>
      <w:r>
        <w:t xml:space="preserve"> </w:t>
      </w:r>
      <w:r w:rsidR="00505E7A">
        <w:t xml:space="preserve">(TGO 91) </w:t>
      </w:r>
      <w:r>
        <w:t xml:space="preserve">and </w:t>
      </w:r>
      <w:hyperlink r:id="rId58" w:history="1">
        <w:r w:rsidRPr="009A61AD">
          <w:rPr>
            <w:rStyle w:val="Hyperlink"/>
          </w:rPr>
          <w:t>Therapeutic Goods Order No. 92 – Standard for labels of non-prescription medicines</w:t>
        </w:r>
      </w:hyperlink>
      <w:r>
        <w:t xml:space="preserve"> </w:t>
      </w:r>
      <w:r w:rsidR="00505E7A">
        <w:t xml:space="preserve">(TGO 92) </w:t>
      </w:r>
      <w:r>
        <w:t xml:space="preserve">and associated </w:t>
      </w:r>
      <w:hyperlink r:id="rId59" w:history="1">
        <w:r w:rsidRPr="00494E0F">
          <w:rPr>
            <w:rStyle w:val="Hyperlink"/>
          </w:rPr>
          <w:t>guidance</w:t>
        </w:r>
      </w:hyperlink>
      <w:r>
        <w:t>.</w:t>
      </w:r>
    </w:p>
    <w:p w14:paraId="20B589E0" w14:textId="4C65CC8F" w:rsidR="00551137" w:rsidRDefault="00E12D29" w:rsidP="00E12D29">
      <w:r>
        <w:lastRenderedPageBreak/>
        <w:t>If for examp</w:t>
      </w:r>
      <w:r w:rsidR="00505E7A">
        <w:t>le the expiry date in the human-</w:t>
      </w:r>
      <w:r>
        <w:t xml:space="preserve">readable interpretation of the </w:t>
      </w:r>
      <w:hyperlink w:anchor="_Data_matrix_code_2" w:history="1">
        <w:r w:rsidRPr="00760DCF">
          <w:rPr>
            <w:rStyle w:val="Hyperlink"/>
          </w:rPr>
          <w:t>data matrix code</w:t>
        </w:r>
      </w:hyperlink>
      <w:r>
        <w:t xml:space="preserve"> is the only version of the expiry date on the medicine label, this will need to comply with the requirements for text size and prefixes set out in TGO 91/92.</w:t>
      </w:r>
    </w:p>
    <w:p w14:paraId="015A090B" w14:textId="38CCB7D7" w:rsidR="00E12D29" w:rsidRDefault="00B005B5" w:rsidP="00E12D29">
      <w:r w:rsidRPr="00B005B5">
        <w:t>TGO 91 and TGO 92 always requires the medicine expiry to be present on the container.</w:t>
      </w:r>
    </w:p>
    <w:p w14:paraId="675861D5" w14:textId="58627510" w:rsidR="00F5215B" w:rsidRPr="000834BE" w:rsidRDefault="00F5215B" w:rsidP="000834BE">
      <w:pPr>
        <w:pStyle w:val="Heading4"/>
      </w:pPr>
      <w:bookmarkStart w:id="62" w:name="_Multiple_machine_-readable"/>
      <w:bookmarkStart w:id="63" w:name="_Toc67398322"/>
      <w:bookmarkEnd w:id="62"/>
      <w:r w:rsidRPr="000834BE">
        <w:t>Multiple machine</w:t>
      </w:r>
      <w:r w:rsidR="00390432" w:rsidRPr="000834BE">
        <w:t>-</w:t>
      </w:r>
      <w:r w:rsidRPr="000834BE">
        <w:t>readable codes</w:t>
      </w:r>
      <w:bookmarkEnd w:id="63"/>
    </w:p>
    <w:p w14:paraId="44AE1CF8" w14:textId="38FB22D8" w:rsidR="00F5215B" w:rsidRDefault="00F5215B" w:rsidP="00F5215B">
      <w:r w:rsidRPr="00F0598A">
        <w:t xml:space="preserve">Medicines may include more than one </w:t>
      </w:r>
      <w:hyperlink w:anchor="_Machine-readable_codes_1" w:history="1">
        <w:r w:rsidRPr="00760DCF">
          <w:rPr>
            <w:rStyle w:val="Hyperlink"/>
          </w:rPr>
          <w:t>machine</w:t>
        </w:r>
        <w:r w:rsidR="00EF0C8B" w:rsidRPr="00760DCF">
          <w:rPr>
            <w:rStyle w:val="Hyperlink"/>
          </w:rPr>
          <w:t>-</w:t>
        </w:r>
        <w:r w:rsidRPr="00760DCF">
          <w:rPr>
            <w:rStyle w:val="Hyperlink"/>
          </w:rPr>
          <w:t>readable code</w:t>
        </w:r>
      </w:hyperlink>
      <w:r w:rsidRPr="00F0598A">
        <w:t xml:space="preserve"> on their packaging </w:t>
      </w:r>
      <w:r w:rsidR="004E11BF">
        <w:t>for a variety of</w:t>
      </w:r>
      <w:r w:rsidRPr="00F0598A">
        <w:t xml:space="preserve"> reasons includ</w:t>
      </w:r>
      <w:r w:rsidR="004E11BF">
        <w:t>ing:</w:t>
      </w:r>
    </w:p>
    <w:p w14:paraId="669A21D8" w14:textId="5B83D3F4" w:rsidR="00F5215B" w:rsidRDefault="00F5215B" w:rsidP="00F5215B">
      <w:pPr>
        <w:pStyle w:val="ListBullet"/>
      </w:pPr>
      <w:r w:rsidRPr="00F0598A">
        <w:t xml:space="preserve">transitioning to </w:t>
      </w:r>
      <w:r w:rsidR="00760DCF">
        <w:t xml:space="preserve">a </w:t>
      </w:r>
      <w:r w:rsidRPr="00F0598A">
        <w:t xml:space="preserve">GS1 </w:t>
      </w:r>
      <w:hyperlink w:anchor="_DataMatrix_1" w:history="1">
        <w:r w:rsidRPr="00760DCF">
          <w:rPr>
            <w:rStyle w:val="Hyperlink"/>
          </w:rPr>
          <w:t>DataMatrix</w:t>
        </w:r>
      </w:hyperlink>
      <w:r w:rsidRPr="00F0598A">
        <w:t xml:space="preserve"> but still requiring linear </w:t>
      </w:r>
      <w:hyperlink r:id="rId60" w:history="1">
        <w:r w:rsidRPr="00752756">
          <w:rPr>
            <w:rStyle w:val="Hyperlink"/>
          </w:rPr>
          <w:t>EAN barcodes</w:t>
        </w:r>
      </w:hyperlink>
      <w:r w:rsidRPr="00F0598A">
        <w:t xml:space="preserve"> t</w:t>
      </w:r>
      <w:r>
        <w:t>o support existing technology</w:t>
      </w:r>
    </w:p>
    <w:p w14:paraId="42114DCF" w14:textId="7ADF497E" w:rsidR="00F5215B" w:rsidRDefault="00F5215B" w:rsidP="00F5215B">
      <w:pPr>
        <w:pStyle w:val="ListBullet"/>
      </w:pPr>
      <w:r w:rsidRPr="00F0598A">
        <w:t>regulatory requi</w:t>
      </w:r>
      <w:r>
        <w:t xml:space="preserve">rement for a </w:t>
      </w:r>
      <w:r w:rsidRPr="00F0598A">
        <w:t>code from the country of manufacture</w:t>
      </w:r>
    </w:p>
    <w:p w14:paraId="2CE2DF15" w14:textId="706411A8" w:rsidR="00F5215B" w:rsidRDefault="00F5215B" w:rsidP="00F5215B">
      <w:pPr>
        <w:pStyle w:val="ListBullet"/>
      </w:pPr>
      <w:r>
        <w:t xml:space="preserve">the label contains a </w:t>
      </w:r>
      <w:hyperlink w:anchor="_QR_Codes_1" w:history="1">
        <w:r w:rsidRPr="001F21F0">
          <w:rPr>
            <w:rStyle w:val="Hyperlink"/>
          </w:rPr>
          <w:t>QR code</w:t>
        </w:r>
      </w:hyperlink>
      <w:r>
        <w:t xml:space="preserve"> for c</w:t>
      </w:r>
      <w:r w:rsidR="00B005B5">
        <w:t>on</w:t>
      </w:r>
      <w:r>
        <w:t>s</w:t>
      </w:r>
      <w:r w:rsidR="00B005B5">
        <w:t xml:space="preserve">umer </w:t>
      </w:r>
      <w:r>
        <w:t>or healthcare practitioner reference.</w:t>
      </w:r>
    </w:p>
    <w:p w14:paraId="7C77ED12" w14:textId="1990D7A0" w:rsidR="00F5215B" w:rsidRPr="000834BE" w:rsidRDefault="00BD20C8" w:rsidP="000834BE">
      <w:pPr>
        <w:pStyle w:val="Heading5"/>
      </w:pPr>
      <w:bookmarkStart w:id="64" w:name="_GTINs_in_multiple"/>
      <w:bookmarkStart w:id="65" w:name="_Toc55492375"/>
      <w:bookmarkEnd w:id="64"/>
      <w:r w:rsidRPr="000834BE">
        <w:t>GTIN</w:t>
      </w:r>
      <w:r w:rsidR="00D754E4" w:rsidRPr="000834BE">
        <w:t xml:space="preserve">s </w:t>
      </w:r>
      <w:r w:rsidRPr="000834BE">
        <w:t>in multiple</w:t>
      </w:r>
      <w:r w:rsidR="004E6D47" w:rsidRPr="000834BE">
        <w:t xml:space="preserve"> machine-</w:t>
      </w:r>
      <w:r w:rsidR="00F5215B" w:rsidRPr="000834BE">
        <w:t>readable codes</w:t>
      </w:r>
      <w:bookmarkEnd w:id="65"/>
    </w:p>
    <w:p w14:paraId="3E32371D" w14:textId="72AA1C92" w:rsidR="00295568" w:rsidRDefault="00295568" w:rsidP="00F5215B">
      <w:r w:rsidRPr="00F0598A">
        <w:t xml:space="preserve">Where multiple machine-readable codes </w:t>
      </w:r>
      <w:r w:rsidR="00962518">
        <w:t xml:space="preserve">containing a </w:t>
      </w:r>
      <w:hyperlink r:id="rId61" w:history="1">
        <w:r w:rsidR="00962518" w:rsidRPr="00962518">
          <w:rPr>
            <w:rStyle w:val="Hyperlink"/>
          </w:rPr>
          <w:t>GTIN</w:t>
        </w:r>
      </w:hyperlink>
      <w:r w:rsidR="00962518">
        <w:t xml:space="preserve"> </w:t>
      </w:r>
      <w:r w:rsidRPr="00F0598A">
        <w:t xml:space="preserve">are printed on a medicine package, all codes must encode the same </w:t>
      </w:r>
      <w:r w:rsidR="00962518" w:rsidRPr="00962518">
        <w:t>GTIN</w:t>
      </w:r>
      <w:r w:rsidRPr="00F0598A">
        <w:t>.</w:t>
      </w:r>
    </w:p>
    <w:p w14:paraId="488AE553" w14:textId="7545CF7A" w:rsidR="00DD33AB" w:rsidRDefault="00295568" w:rsidP="00DD33AB">
      <w:r>
        <w:t xml:space="preserve">If a linear barcode (EAN-13) is on a pack containing a GTIN-13 </w:t>
      </w:r>
      <w:r w:rsidRPr="00BE699D">
        <w:t>identification number</w:t>
      </w:r>
      <w:r>
        <w:t xml:space="preserve">, the </w:t>
      </w:r>
      <w:hyperlink r:id="rId62" w:history="1">
        <w:r w:rsidRPr="00736F99">
          <w:rPr>
            <w:rStyle w:val="Hyperlink"/>
          </w:rPr>
          <w:t>GTIN-14 for the GS1 DataMatrix</w:t>
        </w:r>
      </w:hyperlink>
      <w:r>
        <w:t xml:space="preserve"> is created by adding a leading 0 (zero) to the GTIN-13 in the original barcode to ensure that the number remains the same.</w:t>
      </w:r>
    </w:p>
    <w:p w14:paraId="120C1500" w14:textId="0B4D0D67" w:rsidR="002161FC" w:rsidRPr="000834BE" w:rsidRDefault="00390432" w:rsidP="000834BE">
      <w:pPr>
        <w:pStyle w:val="Heading5"/>
      </w:pPr>
      <w:bookmarkStart w:id="66" w:name="_Placement_of_machine"/>
      <w:bookmarkStart w:id="67" w:name="_Placement_of_machine-readable"/>
      <w:bookmarkStart w:id="68" w:name="_Toc55492376"/>
      <w:bookmarkEnd w:id="66"/>
      <w:bookmarkEnd w:id="67"/>
      <w:r w:rsidRPr="000834BE">
        <w:t>Placement of machine-</w:t>
      </w:r>
      <w:r w:rsidR="002161FC" w:rsidRPr="000834BE">
        <w:t>readable codes on packaging</w:t>
      </w:r>
      <w:bookmarkEnd w:id="68"/>
    </w:p>
    <w:p w14:paraId="4D7351E1" w14:textId="6B141B75" w:rsidR="002161FC" w:rsidRDefault="002161FC" w:rsidP="002161FC">
      <w:r>
        <w:t>To minimise the risk of reading the wrong code, machine-readable codes should be physic</w:t>
      </w:r>
      <w:r w:rsidR="0081779A">
        <w:t>ally distanced from each other.</w:t>
      </w:r>
    </w:p>
    <w:p w14:paraId="5C18FE6D" w14:textId="25203B6C" w:rsidR="002161FC" w:rsidRDefault="002161FC" w:rsidP="002161FC">
      <w:r>
        <w:t xml:space="preserve">In the case of </w:t>
      </w:r>
      <w:hyperlink w:anchor="_Primary_pack" w:history="1">
        <w:r w:rsidRPr="00760DCF">
          <w:rPr>
            <w:rStyle w:val="Hyperlink"/>
          </w:rPr>
          <w:t>primary packs</w:t>
        </w:r>
      </w:hyperlink>
      <w:r>
        <w:t xml:space="preserve">, where possible print the </w:t>
      </w:r>
      <w:hyperlink w:anchor="_DataMatrix_1" w:history="1">
        <w:r w:rsidRPr="00760DCF">
          <w:rPr>
            <w:rStyle w:val="Hyperlink"/>
          </w:rPr>
          <w:t>DataMatrix</w:t>
        </w:r>
      </w:hyperlink>
      <w:r>
        <w:t xml:space="preserve"> on a side of the pack devoid o</w:t>
      </w:r>
      <w:r w:rsidR="0081779A">
        <w:t>f other machine-readable codes.</w:t>
      </w:r>
    </w:p>
    <w:p w14:paraId="45E585B2" w14:textId="00CD134A" w:rsidR="002161FC" w:rsidRDefault="002161FC" w:rsidP="002161FC">
      <w:r>
        <w:t xml:space="preserve">On round surfaces, </w:t>
      </w:r>
      <w:r w:rsidR="00D66832">
        <w:t xml:space="preserve">where possible </w:t>
      </w:r>
      <w:r w:rsidR="009A2D9B">
        <w:t>separate</w:t>
      </w:r>
      <w:r>
        <w:t xml:space="preserve"> the DataMatrix </w:t>
      </w:r>
      <w:r w:rsidR="009A2D9B">
        <w:t xml:space="preserve">by </w:t>
      </w:r>
      <w:r>
        <w:t>at least 60 degrees from any other machine-readable code.</w:t>
      </w:r>
    </w:p>
    <w:p w14:paraId="52C79422" w14:textId="77777777" w:rsidR="008A1DE4" w:rsidRPr="000834BE" w:rsidRDefault="002161FC" w:rsidP="000834BE">
      <w:pPr>
        <w:rPr>
          <w:b/>
        </w:rPr>
      </w:pPr>
      <w:r w:rsidRPr="000834BE">
        <w:rPr>
          <w:b/>
        </w:rPr>
        <w:t>Example label with multiple codes that does not require a DataMatrix:</w:t>
      </w:r>
    </w:p>
    <w:p w14:paraId="1146DF4C" w14:textId="1066EF96" w:rsidR="002161FC" w:rsidRDefault="002161FC" w:rsidP="002161FC">
      <w:r>
        <w:t xml:space="preserve">The label below shows a label with multiple codes. As the </w:t>
      </w:r>
      <w:hyperlink w:anchor="_QR_Codes_1" w:history="1">
        <w:r w:rsidRPr="00930A16">
          <w:rPr>
            <w:rStyle w:val="Hyperlink"/>
          </w:rPr>
          <w:t>QR code</w:t>
        </w:r>
      </w:hyperlink>
      <w:r>
        <w:t xml:space="preserve"> on the label does not contain a unique identifier for the pack,</w:t>
      </w:r>
      <w:r w:rsidR="0081779A">
        <w:t xml:space="preserve"> no further action is required.</w:t>
      </w:r>
    </w:p>
    <w:p w14:paraId="53936CC8" w14:textId="61E8F4E8" w:rsidR="002161FC" w:rsidRDefault="002161FC" w:rsidP="00DD33AB">
      <w:r>
        <w:rPr>
          <w:noProof/>
          <w:lang w:eastAsia="en-AU"/>
        </w:rPr>
        <w:drawing>
          <wp:inline distT="0" distB="0" distL="0" distR="0" wp14:anchorId="522A67DF" wp14:editId="3FDFB938">
            <wp:extent cx="3648075" cy="1685925"/>
            <wp:effectExtent l="0" t="0" r="9525" b="9525"/>
            <wp:docPr id="228" name="Picture 228" descr="Label with QR code and linear barcode. The QR code does not contain a unique identifier so no further action is required." title="label with multiple cod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carlam\AppData\Local\Microsoft\Windows\INetCache\Content.Word\Flying fish amended Oct 2020 no serial number.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48075" cy="1685925"/>
                    </a:xfrm>
                    <a:prstGeom prst="rect">
                      <a:avLst/>
                    </a:prstGeom>
                    <a:noFill/>
                    <a:ln>
                      <a:noFill/>
                    </a:ln>
                  </pic:spPr>
                </pic:pic>
              </a:graphicData>
            </a:graphic>
          </wp:inline>
        </w:drawing>
      </w:r>
    </w:p>
    <w:p w14:paraId="720D88EF" w14:textId="77777777" w:rsidR="008A1DE4" w:rsidRDefault="002161FC" w:rsidP="0081779A">
      <w:pPr>
        <w:keepNext/>
        <w:rPr>
          <w:b/>
        </w:rPr>
      </w:pPr>
      <w:r w:rsidRPr="002161FC">
        <w:rPr>
          <w:b/>
        </w:rPr>
        <w:lastRenderedPageBreak/>
        <w:t>Example label with multiple codes that requires a DataMatrix:</w:t>
      </w:r>
    </w:p>
    <w:p w14:paraId="4108584D" w14:textId="1B99B04F" w:rsidR="002161FC" w:rsidRDefault="002161FC" w:rsidP="0081779A">
      <w:pPr>
        <w:keepNext/>
      </w:pPr>
      <w:r w:rsidRPr="002161FC">
        <w:t xml:space="preserve">Where a QR code contains a serial number or other method of uniquely identifying the unit within the batch, a DataMatrix is required as shown </w:t>
      </w:r>
      <w:r w:rsidR="001F21F0">
        <w:t>o</w:t>
      </w:r>
      <w:r w:rsidRPr="002161FC">
        <w:t>n the label below.</w:t>
      </w:r>
    </w:p>
    <w:p w14:paraId="36AE31B1" w14:textId="58360645" w:rsidR="002161FC" w:rsidRDefault="002161FC" w:rsidP="00DD33AB">
      <w:r>
        <w:rPr>
          <w:noProof/>
          <w:lang w:eastAsia="en-AU"/>
        </w:rPr>
        <w:drawing>
          <wp:inline distT="0" distB="0" distL="0" distR="0" wp14:anchorId="2817B59C" wp14:editId="1405482D">
            <wp:extent cx="3649345" cy="1685925"/>
            <wp:effectExtent l="0" t="0" r="8255" b="9525"/>
            <wp:docPr id="229" name="Picture 229" descr="Label with QR code, linear code and data matrix. As the QR code contains a serial number a DataMatrix must be applied." title="Label with multiple cod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yish fish amended Oct 2020 with serial numbe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49345" cy="1685925"/>
                    </a:xfrm>
                    <a:prstGeom prst="rect">
                      <a:avLst/>
                    </a:prstGeom>
                    <a:noFill/>
                    <a:ln>
                      <a:noFill/>
                    </a:ln>
                  </pic:spPr>
                </pic:pic>
              </a:graphicData>
            </a:graphic>
          </wp:inline>
        </w:drawing>
      </w:r>
    </w:p>
    <w:p w14:paraId="4D96C30B" w14:textId="233FC548" w:rsidR="00902BCB" w:rsidRDefault="00902BCB" w:rsidP="00902BCB">
      <w:r>
        <w:t xml:space="preserve">The DataMatrix contains the </w:t>
      </w:r>
      <w:hyperlink r:id="rId65" w:history="1">
        <w:r w:rsidRPr="004C21A4">
          <w:rPr>
            <w:rStyle w:val="Hyperlink"/>
          </w:rPr>
          <w:t>GTIN</w:t>
        </w:r>
      </w:hyperlink>
      <w:r>
        <w:t>, batch, expiry and serial number. The data in the DataMatrix must also match the other machine-readable codes on the label. The 13-digit GTIN in the linear code has been converted to a 14-digit code for the DataMatrix.</w:t>
      </w:r>
    </w:p>
    <w:p w14:paraId="2B9B78D5" w14:textId="1BD59792" w:rsidR="00902BCB" w:rsidRDefault="00902BCB" w:rsidP="00902BCB">
      <w:r>
        <w:t>As the label is for a round bottle, the DataMatrix and QR codes are separated by 60 degrees to reduce the risk of an unintentional scan.</w:t>
      </w:r>
    </w:p>
    <w:p w14:paraId="714EE5F4" w14:textId="77777777" w:rsidR="00D93246" w:rsidRDefault="00D93246" w:rsidP="00E65B19">
      <w:pPr>
        <w:pStyle w:val="Heading5"/>
      </w:pPr>
      <w:bookmarkStart w:id="69" w:name="_Linear_barcodes"/>
      <w:bookmarkStart w:id="70" w:name="_Toc55492377"/>
      <w:bookmarkEnd w:id="69"/>
      <w:r>
        <w:t>Linear barcodes</w:t>
      </w:r>
    </w:p>
    <w:p w14:paraId="7AD8A7D7" w14:textId="2ADB6BF8" w:rsidR="00D93246" w:rsidRDefault="00D93246" w:rsidP="00D93246">
      <w:r>
        <w:t xml:space="preserve">Sponsors are encouraged to include </w:t>
      </w:r>
      <w:r w:rsidR="008134F4" w:rsidRPr="008134F4">
        <w:t>linear barcodes</w:t>
      </w:r>
      <w:r>
        <w:t xml:space="preserve"> on medicines if transitioning to data matrix codes to support existing technology and scanning by healthcare professionals as part of patient safety requirements.</w:t>
      </w:r>
      <w:r w:rsidRPr="00361E8B">
        <w:t xml:space="preserve"> </w:t>
      </w:r>
      <w:r>
        <w:t>There are no specific requirements outlined in TGO 106 regarding linear code replacement.</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D93246" w:rsidRPr="00215D48" w14:paraId="0073EE55" w14:textId="77777777" w:rsidTr="00B513C7">
        <w:tc>
          <w:tcPr>
            <w:tcW w:w="20" w:type="dxa"/>
            <w:vAlign w:val="center"/>
          </w:tcPr>
          <w:p w14:paraId="64ABDA04" w14:textId="4DE2404F" w:rsidR="00D93246" w:rsidRPr="00215D48" w:rsidRDefault="00D93246" w:rsidP="0090202E"/>
        </w:tc>
        <w:tc>
          <w:tcPr>
            <w:tcW w:w="9018" w:type="dxa"/>
            <w:shd w:val="clear" w:color="auto" w:fill="EAEAEA"/>
            <w:tcMar>
              <w:top w:w="170" w:type="dxa"/>
              <w:left w:w="170" w:type="dxa"/>
              <w:bottom w:w="170" w:type="dxa"/>
              <w:right w:w="170" w:type="dxa"/>
            </w:tcMar>
            <w:vAlign w:val="center"/>
          </w:tcPr>
          <w:p w14:paraId="2FD7AF7C" w14:textId="180F9DEE" w:rsidR="00D93246" w:rsidRPr="00215D48" w:rsidRDefault="00D93246" w:rsidP="0090202E">
            <w:r>
              <w:t>Linear barcodes on medicines are widely scanned in Australia to provide many benefits including efficiencies at point of sale, while their scanning in clinical setting</w:t>
            </w:r>
            <w:r w:rsidR="0081779A">
              <w:t>s may reduce medication errors.</w:t>
            </w:r>
          </w:p>
        </w:tc>
      </w:tr>
    </w:tbl>
    <w:p w14:paraId="55E599C0" w14:textId="77777777" w:rsidR="00D93246" w:rsidRDefault="00D93246" w:rsidP="00E65B19">
      <w:pPr>
        <w:pStyle w:val="Heading5"/>
      </w:pPr>
      <w:bookmarkStart w:id="71" w:name="_QR_Codes_1"/>
      <w:bookmarkEnd w:id="71"/>
      <w:r>
        <w:t>QR Codes</w:t>
      </w:r>
    </w:p>
    <w:p w14:paraId="638CF984" w14:textId="44B028DE" w:rsidR="00840DE6" w:rsidRDefault="008134F4" w:rsidP="00840DE6">
      <w:r w:rsidRPr="008134F4">
        <w:t>QR codes</w:t>
      </w:r>
      <w:r w:rsidR="00D93246">
        <w:t xml:space="preserve"> are permitted to be present on the same labelling as a </w:t>
      </w:r>
      <w:hyperlink w:anchor="_Data_matrix_code_2" w:history="1">
        <w:r w:rsidR="00D93246" w:rsidRPr="004C21A4">
          <w:rPr>
            <w:rStyle w:val="Hyperlink"/>
          </w:rPr>
          <w:t>data matrix code</w:t>
        </w:r>
      </w:hyperlink>
      <w:r w:rsidR="00D93246">
        <w:t xml:space="preserve"> and may contain the same information as the data matrix code, some of same information, or none</w:t>
      </w:r>
      <w:r w:rsidR="00840DE6">
        <w:t xml:space="preserve"> of it.</w:t>
      </w:r>
    </w:p>
    <w:p w14:paraId="124DA4F7" w14:textId="69183FCB" w:rsidR="00D93246" w:rsidRDefault="000A2488" w:rsidP="00840DE6">
      <w:r>
        <w:t>If</w:t>
      </w:r>
      <w:r w:rsidR="00D93246">
        <w:t xml:space="preserve"> the QR code contains a number or link that is unique to the unit of medicine it is printed on, the unit is considered to be serialised and a </w:t>
      </w:r>
      <w:hyperlink w:anchor="_DataMatrix_1" w:history="1">
        <w:r w:rsidR="00D93246" w:rsidRPr="00930A16">
          <w:rPr>
            <w:rStyle w:val="Hyperlink"/>
          </w:rPr>
          <w:t>DataMatrix</w:t>
        </w:r>
      </w:hyperlink>
      <w:r w:rsidR="00D93246">
        <w:t xml:space="preserve"> must be printed containing the serial number as this is a </w:t>
      </w:r>
      <w:hyperlink w:anchor="_Machine-readable_codes" w:history="1">
        <w:r w:rsidR="00840DE6">
          <w:rPr>
            <w:rStyle w:val="Hyperlink"/>
          </w:rPr>
          <w:t>medicine that is subject to TGO 106 requirements</w:t>
        </w:r>
      </w:hyperlink>
      <w:r w:rsidR="00D93246">
        <w:t>.</w:t>
      </w:r>
      <w:r>
        <w:t xml:space="preserve"> </w:t>
      </w:r>
      <w:r w:rsidRPr="00666E58">
        <w:t xml:space="preserve">The information in </w:t>
      </w:r>
      <w:r>
        <w:t xml:space="preserve">the </w:t>
      </w:r>
      <w:r w:rsidRPr="000A2488">
        <w:t>DataMatrix</w:t>
      </w:r>
      <w:r w:rsidRPr="00666E58">
        <w:t xml:space="preserve"> must agree wit</w:t>
      </w:r>
      <w:r w:rsidR="00E51012">
        <w:t>h all machine-readable</w:t>
      </w:r>
      <w:r w:rsidRPr="00666E58">
        <w:t xml:space="preserve"> information on the label</w:t>
      </w:r>
      <w:r w:rsidR="00E51012">
        <w:t xml:space="preserve">. See: </w:t>
      </w:r>
      <w:hyperlink w:anchor="_Information_in_a" w:history="1">
        <w:r w:rsidR="00E51012" w:rsidRPr="00E51012">
          <w:rPr>
            <w:rStyle w:val="Hyperlink"/>
          </w:rPr>
          <w:t>Information in a data matrix code</w:t>
        </w:r>
      </w:hyperlink>
      <w:r w:rsidR="00E51012">
        <w:t>.</w:t>
      </w:r>
    </w:p>
    <w:p w14:paraId="47BE53BF" w14:textId="20CA6D27" w:rsidR="00D93246" w:rsidRDefault="00B25EFD" w:rsidP="00D93246">
      <w:r>
        <w:rPr>
          <w:b/>
        </w:rPr>
        <w:t>E</w:t>
      </w:r>
      <w:r w:rsidR="004E6D47" w:rsidRPr="00245857">
        <w:rPr>
          <w:b/>
        </w:rPr>
        <w:t>xample QR</w:t>
      </w:r>
      <w:r w:rsidR="00D93246" w:rsidRPr="00245857">
        <w:rPr>
          <w:b/>
        </w:rPr>
        <w:t xml:space="preserve"> code that does not require a DataMatrix</w:t>
      </w:r>
      <w:r w:rsidR="00245857">
        <w:rPr>
          <w:b/>
        </w:rPr>
        <w:t>:</w:t>
      </w:r>
    </w:p>
    <w:p w14:paraId="6B9FB32E" w14:textId="530B4B7B" w:rsidR="00D93246" w:rsidRDefault="00D93246" w:rsidP="00D93246">
      <w:r w:rsidRPr="005A37E3">
        <w:rPr>
          <w:b/>
          <w:noProof/>
          <w:lang w:eastAsia="en-AU"/>
        </w:rPr>
        <w:drawing>
          <wp:anchor distT="0" distB="0" distL="114300" distR="114300" simplePos="0" relativeHeight="251675648" behindDoc="0" locked="0" layoutInCell="1" allowOverlap="1" wp14:anchorId="4698B64C" wp14:editId="6B96523B">
            <wp:simplePos x="0" y="0"/>
            <wp:positionH relativeFrom="column">
              <wp:posOffset>72390</wp:posOffset>
            </wp:positionH>
            <wp:positionV relativeFrom="paragraph">
              <wp:posOffset>6350</wp:posOffset>
            </wp:positionV>
            <wp:extent cx="581025" cy="581025"/>
            <wp:effectExtent l="0" t="0" r="9525" b="9525"/>
            <wp:wrapSquare wrapText="bothSides"/>
            <wp:docPr id="15" name="Picture 15" descr="QR code" title="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health\DFSUserENV\Users\User_30\carlam\Downloads\barcode (14).gif"/>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This QR code contains a URL </w:t>
      </w:r>
      <w:r w:rsidRPr="00CF7005">
        <w:t>http://www.tga.gov.au/consultations</w:t>
      </w:r>
      <w:r>
        <w:t xml:space="preserve"> and separately the GTIN. All QR codes on all labels are the same. This does not require the medicine to have a DataMatrix.</w:t>
      </w:r>
    </w:p>
    <w:p w14:paraId="5850D2D3" w14:textId="353D1CAA" w:rsidR="00D93246" w:rsidRPr="0085006E" w:rsidRDefault="00B25EFD" w:rsidP="0081779A">
      <w:pPr>
        <w:keepNext/>
      </w:pPr>
      <w:r>
        <w:rPr>
          <w:b/>
        </w:rPr>
        <w:lastRenderedPageBreak/>
        <w:t>E</w:t>
      </w:r>
      <w:r w:rsidR="004E6D47" w:rsidRPr="00245857">
        <w:rPr>
          <w:b/>
        </w:rPr>
        <w:t xml:space="preserve">xample QR </w:t>
      </w:r>
      <w:r w:rsidR="00D93246" w:rsidRPr="00245857">
        <w:rPr>
          <w:b/>
        </w:rPr>
        <w:t>code that requires a DataMatrix</w:t>
      </w:r>
      <w:r w:rsidR="00245857">
        <w:t>:</w:t>
      </w:r>
    </w:p>
    <w:p w14:paraId="19EF6B91" w14:textId="403DBF5F" w:rsidR="0081779A" w:rsidRDefault="00D93246" w:rsidP="00D93246">
      <w:r w:rsidRPr="00EE3A49">
        <w:rPr>
          <w:noProof/>
          <w:lang w:eastAsia="en-AU"/>
        </w:rPr>
        <w:drawing>
          <wp:anchor distT="0" distB="0" distL="114300" distR="114300" simplePos="0" relativeHeight="251676672" behindDoc="1" locked="1" layoutInCell="1" allowOverlap="1" wp14:anchorId="00DD8C5C" wp14:editId="4E5E60B1">
            <wp:simplePos x="0" y="0"/>
            <wp:positionH relativeFrom="column">
              <wp:posOffset>72390</wp:posOffset>
            </wp:positionH>
            <wp:positionV relativeFrom="paragraph">
              <wp:posOffset>40640</wp:posOffset>
            </wp:positionV>
            <wp:extent cx="580390" cy="638175"/>
            <wp:effectExtent l="0" t="0" r="0" b="9525"/>
            <wp:wrapTight wrapText="bothSides">
              <wp:wrapPolygon edited="0">
                <wp:start x="0" y="0"/>
                <wp:lineTo x="0" y="21278"/>
                <wp:lineTo x="20560" y="21278"/>
                <wp:lineTo x="20560" y="0"/>
                <wp:lineTo x="0" y="0"/>
              </wp:wrapPolygon>
            </wp:wrapTight>
            <wp:docPr id="17" name="Picture 17" descr="QR code" title="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ntral.health\DFSUserENV\Users\User_30\carlam\Downloads\barcode (16).gif"/>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80390" cy="6381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This QR code contains the URL </w:t>
      </w:r>
      <w:r w:rsidRPr="00CF7005">
        <w:t>www.tga.gov.au/id=1234567890000&amp;sn=5383593</w:t>
      </w:r>
      <w:r>
        <w:t xml:space="preserve"> which is unique to the unit. The product is therefore serialised and the serial number must be encoded in a DataMatrix as defined by TGO 106.</w:t>
      </w:r>
      <w:r w:rsidR="0081779A">
        <w:br/>
      </w:r>
    </w:p>
    <w:p w14:paraId="3AC09A1A" w14:textId="656944FF" w:rsidR="00DD33AB" w:rsidRPr="005758D2" w:rsidRDefault="00DD33AB" w:rsidP="005758D2">
      <w:pPr>
        <w:pStyle w:val="Heading3"/>
      </w:pPr>
      <w:bookmarkStart w:id="72" w:name="_Data_matrix_code"/>
      <w:bookmarkStart w:id="73" w:name="_Toc53664595"/>
      <w:bookmarkStart w:id="74" w:name="_Toc67398323"/>
      <w:bookmarkEnd w:id="70"/>
      <w:bookmarkEnd w:id="72"/>
      <w:r w:rsidRPr="005758D2">
        <w:t>Data matrix code on a primary pack</w:t>
      </w:r>
      <w:bookmarkEnd w:id="73"/>
      <w:bookmarkEnd w:id="74"/>
    </w:p>
    <w:p w14:paraId="5F413713" w14:textId="386953C5" w:rsidR="00096D87" w:rsidRDefault="00DD33AB" w:rsidP="00DD33AB">
      <w:pPr>
        <w:spacing w:before="0" w:after="160" w:line="259" w:lineRule="auto"/>
      </w:pPr>
      <w:r>
        <w:t xml:space="preserve">A </w:t>
      </w:r>
      <w:hyperlink w:anchor="_Data_matrix_code_2" w:history="1">
        <w:r w:rsidR="00E924A5" w:rsidRPr="004C21A4">
          <w:rPr>
            <w:rStyle w:val="Hyperlink"/>
          </w:rPr>
          <w:t>d</w:t>
        </w:r>
        <w:r w:rsidRPr="004C21A4">
          <w:rPr>
            <w:rStyle w:val="Hyperlink"/>
          </w:rPr>
          <w:t>ata</w:t>
        </w:r>
        <w:r w:rsidR="00E924A5" w:rsidRPr="004C21A4">
          <w:rPr>
            <w:rStyle w:val="Hyperlink"/>
          </w:rPr>
          <w:t xml:space="preserve"> m</w:t>
        </w:r>
        <w:r w:rsidRPr="004C21A4">
          <w:rPr>
            <w:rStyle w:val="Hyperlink"/>
          </w:rPr>
          <w:t xml:space="preserve">atrix </w:t>
        </w:r>
        <w:r w:rsidR="0085006E" w:rsidRPr="004C21A4">
          <w:rPr>
            <w:rStyle w:val="Hyperlink"/>
          </w:rPr>
          <w:t>code</w:t>
        </w:r>
      </w:hyperlink>
      <w:r w:rsidR="0085006E">
        <w:t xml:space="preserve"> </w:t>
      </w:r>
      <w:r>
        <w:t xml:space="preserve">on a </w:t>
      </w:r>
      <w:hyperlink w:anchor="_Primary_pack" w:history="1">
        <w:r w:rsidRPr="00E924A5">
          <w:rPr>
            <w:rStyle w:val="Hyperlink"/>
          </w:rPr>
          <w:t>primary pack</w:t>
        </w:r>
      </w:hyperlink>
      <w:r>
        <w:t xml:space="preserve"> label </w:t>
      </w:r>
      <w:r w:rsidR="009165EB">
        <w:t>that</w:t>
      </w:r>
      <w:r>
        <w:t xml:space="preserve"> encodes a </w:t>
      </w:r>
      <w:hyperlink r:id="rId68" w:history="1">
        <w:r w:rsidRPr="004C21A4">
          <w:rPr>
            <w:rStyle w:val="Hyperlink"/>
          </w:rPr>
          <w:t>GTIN</w:t>
        </w:r>
      </w:hyperlink>
      <w:r>
        <w:t xml:space="preserve"> must be formatted in accordance with the </w:t>
      </w:r>
      <w:hyperlink r:id="rId69" w:history="1">
        <w:r w:rsidR="00BC256E">
          <w:rPr>
            <w:rStyle w:val="Hyperlink"/>
          </w:rPr>
          <w:t>GS1 General Specifications</w:t>
        </w:r>
      </w:hyperlink>
      <w:r w:rsidR="00BC256E">
        <w:t xml:space="preserve"> for a </w:t>
      </w:r>
      <w:hyperlink w:anchor="_DataMatrix_1" w:history="1">
        <w:r w:rsidR="00BC256E" w:rsidRPr="00BC256E">
          <w:rPr>
            <w:rStyle w:val="Hyperlink"/>
          </w:rPr>
          <w:t>DataMatrix</w:t>
        </w:r>
      </w:hyperlink>
      <w:r w:rsidR="00BC256E">
        <w:t xml:space="preserve">. </w:t>
      </w:r>
      <w:r>
        <w:t xml:space="preserve">This ensures a single, globally recognised format for </w:t>
      </w:r>
      <w:r w:rsidR="0081779A">
        <w:t>the data encoded in the matrix.</w:t>
      </w:r>
    </w:p>
    <w:p w14:paraId="01927AC6" w14:textId="33FCA35C" w:rsidR="003A47F5" w:rsidRDefault="00E924A5" w:rsidP="00DE27D1">
      <w:pPr>
        <w:spacing w:before="0" w:after="160" w:line="259" w:lineRule="auto"/>
      </w:pPr>
      <w:r>
        <w:t xml:space="preserve">If the medicine is not </w:t>
      </w:r>
      <w:hyperlink w:anchor="_Serialised_medicines_1" w:history="1">
        <w:r w:rsidRPr="004C21A4">
          <w:rPr>
            <w:rStyle w:val="Hyperlink"/>
          </w:rPr>
          <w:t>serialised</w:t>
        </w:r>
      </w:hyperlink>
      <w:r>
        <w:t>, t</w:t>
      </w:r>
      <w:r w:rsidR="00DD33AB">
        <w:t xml:space="preserve">here are no requirements for additional data elements to be included within the </w:t>
      </w:r>
      <w:r w:rsidR="0085006E" w:rsidRPr="00BC256E">
        <w:t>DataMatrix</w:t>
      </w:r>
      <w:r w:rsidR="00DD33AB">
        <w:t xml:space="preserve">. </w:t>
      </w:r>
      <w:r w:rsidR="003A47F5">
        <w:t xml:space="preserve">In accordance with the </w:t>
      </w:r>
      <w:r w:rsidR="00582EFC" w:rsidRPr="00582EFC">
        <w:t>GS1 General Specifications</w:t>
      </w:r>
      <w:r w:rsidR="00096D87">
        <w:t xml:space="preserve"> however</w:t>
      </w:r>
      <w:r w:rsidR="003A47F5">
        <w:t>,</w:t>
      </w:r>
      <w:r w:rsidR="003A47F5" w:rsidRPr="00C64B9B">
        <w:t xml:space="preserve"> </w:t>
      </w:r>
      <w:r w:rsidR="003A47F5">
        <w:t>other information such as the batch, expiry and manufacturing date, may be included at the sponsor’s discretion.</w:t>
      </w:r>
    </w:p>
    <w:p w14:paraId="14A475EB" w14:textId="76FED2D0" w:rsidR="009B019D" w:rsidRPr="000834BE" w:rsidRDefault="009B019D" w:rsidP="000834BE">
      <w:pPr>
        <w:pStyle w:val="Heading4"/>
      </w:pPr>
      <w:bookmarkStart w:id="75" w:name="_Toc67398324"/>
      <w:r w:rsidRPr="000834BE">
        <w:t>Serialised primary pack</w:t>
      </w:r>
      <w:bookmarkEnd w:id="75"/>
    </w:p>
    <w:p w14:paraId="33F84107" w14:textId="525A1019" w:rsidR="00E924A5" w:rsidRDefault="00E924A5" w:rsidP="00E924A5">
      <w:pPr>
        <w:spacing w:before="0" w:after="160" w:line="259" w:lineRule="auto"/>
      </w:pPr>
      <w:r>
        <w:t xml:space="preserve">If a medicine </w:t>
      </w:r>
      <w:hyperlink w:anchor="_Primary_pack" w:history="1">
        <w:r w:rsidR="00702578" w:rsidRPr="00702578">
          <w:rPr>
            <w:rStyle w:val="Hyperlink"/>
          </w:rPr>
          <w:t>primary pack</w:t>
        </w:r>
      </w:hyperlink>
      <w:r w:rsidR="00702578">
        <w:t xml:space="preserve"> </w:t>
      </w:r>
      <w:r>
        <w:t xml:space="preserve">is serialised, </w:t>
      </w:r>
      <w:r w:rsidR="00702578">
        <w:t xml:space="preserve">a </w:t>
      </w:r>
      <w:hyperlink w:anchor="_DataMatrix_1" w:history="1">
        <w:r w:rsidRPr="0085006E">
          <w:rPr>
            <w:rStyle w:val="Hyperlink"/>
          </w:rPr>
          <w:t>DataMatrix</w:t>
        </w:r>
      </w:hyperlink>
      <w:r>
        <w:t xml:space="preserve"> must </w:t>
      </w:r>
      <w:r w:rsidR="00702578">
        <w:t xml:space="preserve">be applied with </w:t>
      </w:r>
      <w:r>
        <w:t xml:space="preserve">the following </w:t>
      </w:r>
      <w:r w:rsidR="00A65256">
        <w:t xml:space="preserve">data </w:t>
      </w:r>
      <w:r>
        <w:t>elements:</w:t>
      </w:r>
    </w:p>
    <w:p w14:paraId="3B32BF4B" w14:textId="42881108" w:rsidR="00E924A5" w:rsidRDefault="00434D80" w:rsidP="00390432">
      <w:pPr>
        <w:pStyle w:val="ListBullet"/>
      </w:pPr>
      <w:hyperlink r:id="rId70" w:history="1">
        <w:r w:rsidR="00A65256" w:rsidRPr="004C21A4">
          <w:rPr>
            <w:rStyle w:val="Hyperlink"/>
          </w:rPr>
          <w:t>GTIN</w:t>
        </w:r>
      </w:hyperlink>
    </w:p>
    <w:p w14:paraId="19CF4409" w14:textId="2954DF5B" w:rsidR="00A65256" w:rsidRDefault="00A65256" w:rsidP="00390432">
      <w:pPr>
        <w:pStyle w:val="ListBullet"/>
      </w:pPr>
      <w:r>
        <w:t>batch number</w:t>
      </w:r>
    </w:p>
    <w:p w14:paraId="604C9775" w14:textId="73C73A27" w:rsidR="00A65256" w:rsidRDefault="00A65256" w:rsidP="00390432">
      <w:pPr>
        <w:pStyle w:val="ListBullet"/>
      </w:pPr>
      <w:r>
        <w:t>expiry date</w:t>
      </w:r>
    </w:p>
    <w:p w14:paraId="3D0ED205" w14:textId="136B3C23" w:rsidR="00A65256" w:rsidRDefault="00A65256" w:rsidP="00390432">
      <w:pPr>
        <w:pStyle w:val="ListBullet"/>
      </w:pPr>
      <w:r>
        <w:t>serial number.</w:t>
      </w:r>
    </w:p>
    <w:p w14:paraId="13EECEAE" w14:textId="0D32EDBA" w:rsidR="00702578" w:rsidRDefault="00702578" w:rsidP="00390432">
      <w:r w:rsidRPr="00702578">
        <w:t xml:space="preserve">In accordance with the </w:t>
      </w:r>
      <w:hyperlink r:id="rId71" w:history="1">
        <w:r w:rsidRPr="004C21A4">
          <w:rPr>
            <w:rStyle w:val="Hyperlink"/>
          </w:rPr>
          <w:t>GS1 General Specifications</w:t>
        </w:r>
      </w:hyperlink>
      <w:r w:rsidRPr="00702578">
        <w:t>, other informatio</w:t>
      </w:r>
      <w:r>
        <w:t xml:space="preserve">n such as </w:t>
      </w:r>
      <w:r w:rsidRPr="00702578">
        <w:t>manufacturing date, may be included at the sponsor’s discretion.</w:t>
      </w:r>
    </w:p>
    <w:p w14:paraId="1F58D744" w14:textId="6F10DE7E" w:rsidR="0019288D" w:rsidRDefault="0019288D" w:rsidP="00390432">
      <w:r>
        <w:t xml:space="preserve">See also: </w:t>
      </w:r>
      <w:hyperlink w:anchor="_Data_elements" w:history="1">
        <w:r w:rsidRPr="0019288D">
          <w:rPr>
            <w:rStyle w:val="Hyperlink"/>
          </w:rPr>
          <w:t>data elements</w:t>
        </w:r>
      </w:hyperlink>
      <w:r>
        <w:t>.</w:t>
      </w:r>
    </w:p>
    <w:p w14:paraId="442C7CE4" w14:textId="322E9747" w:rsidR="00B202E0" w:rsidRDefault="00FC78B8" w:rsidP="00B202E0">
      <w:r>
        <w:rPr>
          <w:b/>
        </w:rPr>
        <w:t>E</w:t>
      </w:r>
      <w:r w:rsidR="00B202E0" w:rsidRPr="00245857">
        <w:rPr>
          <w:b/>
        </w:rPr>
        <w:t>xample serialised medicine primary pack label that is compliant with TGO 106</w:t>
      </w:r>
      <w:r w:rsidR="00245857" w:rsidRPr="00245857">
        <w:rPr>
          <w:b/>
        </w:rPr>
        <w:t>:</w:t>
      </w:r>
    </w:p>
    <w:p w14:paraId="79C01469" w14:textId="762CDEDC" w:rsidR="00B202E0" w:rsidRDefault="00B202E0" w:rsidP="00B202E0">
      <w:r>
        <w:t xml:space="preserve">The </w:t>
      </w:r>
      <w:r w:rsidR="0085006E" w:rsidRPr="0046659D">
        <w:t>DataMatrix</w:t>
      </w:r>
      <w:r>
        <w:t xml:space="preserve"> on the primary pack </w:t>
      </w:r>
      <w:r w:rsidR="008134F4">
        <w:t xml:space="preserve">below </w:t>
      </w:r>
      <w:r>
        <w:t xml:space="preserve">is </w:t>
      </w:r>
      <w:r w:rsidR="00840DE6">
        <w:t xml:space="preserve">formatted to GS1 </w:t>
      </w:r>
      <w:r w:rsidR="0046659D">
        <w:t>General S</w:t>
      </w:r>
      <w:r w:rsidR="00840DE6">
        <w:t>pecifications.</w:t>
      </w:r>
    </w:p>
    <w:p w14:paraId="58DBFB53" w14:textId="552460AC" w:rsidR="00B202E0" w:rsidRDefault="00B202E0" w:rsidP="00B202E0">
      <w:pPr>
        <w:pStyle w:val="ListBullet"/>
        <w:numPr>
          <w:ilvl w:val="0"/>
          <w:numId w:val="3"/>
        </w:numPr>
      </w:pPr>
      <w:r>
        <w:t>It contains the mandatory elements of GTIN</w:t>
      </w:r>
      <w:r w:rsidR="00DE27D1">
        <w:t>,</w:t>
      </w:r>
      <w:r>
        <w:t xml:space="preserve"> batch, expiry and serial number.</w:t>
      </w:r>
    </w:p>
    <w:p w14:paraId="0A4590AC" w14:textId="74A595EB" w:rsidR="00B202E0" w:rsidRDefault="00B202E0" w:rsidP="00B202E0">
      <w:pPr>
        <w:pStyle w:val="ListBullet"/>
        <w:numPr>
          <w:ilvl w:val="0"/>
          <w:numId w:val="3"/>
        </w:numPr>
      </w:pPr>
      <w:r>
        <w:t xml:space="preserve">The </w:t>
      </w:r>
      <w:r w:rsidR="00A65256">
        <w:t>informa</w:t>
      </w:r>
      <w:r w:rsidR="00840DE6">
        <w:t>tion within the DataMatrix</w:t>
      </w:r>
      <w:r w:rsidR="00A65256">
        <w:t xml:space="preserve"> is</w:t>
      </w:r>
      <w:r>
        <w:t xml:space="preserve"> printed adjacent to the code with prefixes to enable a user to interpret the information.</w:t>
      </w:r>
    </w:p>
    <w:p w14:paraId="29CBD114" w14:textId="4B9BC304" w:rsidR="00B202E0" w:rsidRDefault="00B202E0" w:rsidP="00B202E0">
      <w:pPr>
        <w:pStyle w:val="ListBullet"/>
        <w:numPr>
          <w:ilvl w:val="0"/>
          <w:numId w:val="3"/>
        </w:numPr>
      </w:pPr>
      <w:r>
        <w:t>The DataMatrix is printed on a face without any other machine-readable codes.</w:t>
      </w:r>
    </w:p>
    <w:p w14:paraId="721BBDBE" w14:textId="61F06CDA" w:rsidR="008E38CE" w:rsidRDefault="008E38CE" w:rsidP="008E38CE">
      <w:pPr>
        <w:pStyle w:val="ListBullet"/>
      </w:pPr>
      <w:r>
        <w:t xml:space="preserve">The </w:t>
      </w:r>
      <w:hyperlink w:anchor="_Data_matrix_code_2" w:history="1">
        <w:r w:rsidR="00BD20C8" w:rsidRPr="0085006E">
          <w:rPr>
            <w:rStyle w:val="Hyperlink"/>
          </w:rPr>
          <w:t>d</w:t>
        </w:r>
        <w:r w:rsidRPr="0085006E">
          <w:rPr>
            <w:rStyle w:val="Hyperlink"/>
          </w:rPr>
          <w:t>ata</w:t>
        </w:r>
        <w:r w:rsidR="00BD20C8" w:rsidRPr="0085006E">
          <w:rPr>
            <w:rStyle w:val="Hyperlink"/>
          </w:rPr>
          <w:t xml:space="preserve"> m</w:t>
        </w:r>
        <w:r w:rsidRPr="0085006E">
          <w:rPr>
            <w:rStyle w:val="Hyperlink"/>
          </w:rPr>
          <w:t xml:space="preserve">atrix </w:t>
        </w:r>
        <w:r w:rsidR="0085006E" w:rsidRPr="0085006E">
          <w:rPr>
            <w:rStyle w:val="Hyperlink"/>
          </w:rPr>
          <w:t>code</w:t>
        </w:r>
      </w:hyperlink>
      <w:r w:rsidR="0085006E">
        <w:t xml:space="preserve"> </w:t>
      </w:r>
      <w:r>
        <w:t>on the flap does not contain the GTIN so may remain without any changes.</w:t>
      </w:r>
    </w:p>
    <w:p w14:paraId="0998DEE6" w14:textId="78D02ACB" w:rsidR="00390432" w:rsidRPr="00D77E17" w:rsidRDefault="008E38CE" w:rsidP="00390432">
      <w:r>
        <w:rPr>
          <w:noProof/>
          <w:lang w:eastAsia="en-AU"/>
        </w:rPr>
        <w:lastRenderedPageBreak/>
        <w:drawing>
          <wp:inline distT="0" distB="0" distL="0" distR="0" wp14:anchorId="1339F412" wp14:editId="47985357">
            <wp:extent cx="3361055" cy="4157345"/>
            <wp:effectExtent l="0" t="0" r="0" b="0"/>
            <wp:docPr id="239" name="Picture 239" descr="An exploded prescription medicine primary pack which is serialised and bears a compliant data matrix, in addition to other machine readable codes. As a seond data matrix on the flap does not contain a GTIN, it can remain without any changes" title="Exploded medicine primary p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ialised mock-up"/>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361055" cy="4157345"/>
                    </a:xfrm>
                    <a:prstGeom prst="rect">
                      <a:avLst/>
                    </a:prstGeom>
                    <a:noFill/>
                    <a:ln>
                      <a:noFill/>
                    </a:ln>
                  </pic:spPr>
                </pic:pic>
              </a:graphicData>
            </a:graphic>
          </wp:inline>
        </w:drawing>
      </w:r>
      <w:bookmarkStart w:id="76" w:name="_Relationship_with_other"/>
      <w:bookmarkStart w:id="77" w:name="_Multiple_machine-readable_codes"/>
      <w:bookmarkStart w:id="78" w:name="_QR_Codes"/>
      <w:bookmarkEnd w:id="76"/>
      <w:bookmarkEnd w:id="77"/>
      <w:bookmarkEnd w:id="78"/>
    </w:p>
    <w:p w14:paraId="050DC4EB" w14:textId="77777777" w:rsidR="00DD33AB" w:rsidRPr="000834BE" w:rsidRDefault="00DD33AB" w:rsidP="000834BE">
      <w:pPr>
        <w:pStyle w:val="Heading3"/>
      </w:pPr>
      <w:bookmarkStart w:id="79" w:name="_Toc53664601"/>
      <w:bookmarkStart w:id="80" w:name="_Toc67398325"/>
      <w:r w:rsidRPr="000834BE">
        <w:t>Labelling of logistic units</w:t>
      </w:r>
      <w:bookmarkEnd w:id="79"/>
      <w:bookmarkEnd w:id="80"/>
    </w:p>
    <w:p w14:paraId="3B4C2905" w14:textId="4E6365BE" w:rsidR="00962F4E" w:rsidRDefault="00DD33AB" w:rsidP="00DD33AB">
      <w:r>
        <w:t xml:space="preserve">Where </w:t>
      </w:r>
      <w:hyperlink w:anchor="_Serialised_medicines_1" w:history="1">
        <w:r w:rsidRPr="0085006E">
          <w:rPr>
            <w:rStyle w:val="Hyperlink"/>
          </w:rPr>
          <w:t>serialised</w:t>
        </w:r>
      </w:hyperlink>
      <w:r>
        <w:t xml:space="preserve"> units are packed into bundles, shippers, pallets etc. it is recommended these logistic units </w:t>
      </w:r>
      <w:r w:rsidRPr="00C824A9">
        <w:t xml:space="preserve">be labelled so as to allow the creation of a hierarchical, parent-child relationship between the </w:t>
      </w:r>
      <w:hyperlink w:anchor="_Relevant_level_of" w:history="1">
        <w:r w:rsidRPr="00096316">
          <w:rPr>
            <w:rStyle w:val="Hyperlink"/>
          </w:rPr>
          <w:t>packaging levels</w:t>
        </w:r>
      </w:hyperlink>
      <w:r w:rsidR="00962F4E">
        <w:t>.</w:t>
      </w:r>
    </w:p>
    <w:p w14:paraId="7C482AAF" w14:textId="32D246A9" w:rsidR="00DD33AB" w:rsidRDefault="00962F4E" w:rsidP="00DD33AB">
      <w:r>
        <w:t>Each</w:t>
      </w:r>
      <w:r w:rsidR="00DD33AB" w:rsidRPr="00C824A9">
        <w:t xml:space="preserve"> </w:t>
      </w:r>
      <w:r w:rsidR="00096316" w:rsidRPr="00245857">
        <w:t>packaging level</w:t>
      </w:r>
      <w:r w:rsidR="00DD33AB" w:rsidRPr="00C824A9">
        <w:t xml:space="preserve"> </w:t>
      </w:r>
      <w:r>
        <w:t>should be</w:t>
      </w:r>
      <w:r w:rsidRPr="00C824A9">
        <w:t xml:space="preserve"> </w:t>
      </w:r>
      <w:r w:rsidR="00DD33AB" w:rsidRPr="00C824A9">
        <w:t>uniquely identified using global standards.</w:t>
      </w:r>
      <w:r w:rsidR="00DD33AB">
        <w:t xml:space="preserve"> This </w:t>
      </w:r>
      <w:r>
        <w:t>will</w:t>
      </w:r>
      <w:r w:rsidR="00DD33AB">
        <w:t xml:space="preserve"> enable accurate identification of medicines across the multiple levels of the hierarchy – from the </w:t>
      </w:r>
      <w:hyperlink w:anchor="_Container" w:history="1">
        <w:r w:rsidR="00DD33AB" w:rsidRPr="0085006E">
          <w:rPr>
            <w:rStyle w:val="Hyperlink"/>
          </w:rPr>
          <w:t>container</w:t>
        </w:r>
      </w:hyperlink>
      <w:r w:rsidR="00DD33AB">
        <w:t xml:space="preserve"> </w:t>
      </w:r>
      <w:r w:rsidR="00390432">
        <w:t>(and in some cases single unit packaging within a container)</w:t>
      </w:r>
      <w:r w:rsidR="00DD33AB">
        <w:t xml:space="preserve"> to </w:t>
      </w:r>
      <w:hyperlink w:anchor="_Primary_pack" w:history="1">
        <w:r w:rsidR="00DD33AB" w:rsidRPr="0085006E">
          <w:rPr>
            <w:rStyle w:val="Hyperlink"/>
          </w:rPr>
          <w:t>primary pack</w:t>
        </w:r>
      </w:hyperlink>
      <w:r w:rsidR="00DD33AB">
        <w:t xml:space="preserve"> through to units managed in transport or logistics.</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0F6441" w:rsidRPr="00215D48" w14:paraId="7AEBAD29" w14:textId="77777777" w:rsidTr="00B513C7">
        <w:tc>
          <w:tcPr>
            <w:tcW w:w="20" w:type="dxa"/>
            <w:vAlign w:val="center"/>
          </w:tcPr>
          <w:p w14:paraId="28E085F8" w14:textId="35FE7961" w:rsidR="000F6441" w:rsidRPr="00215D48" w:rsidRDefault="000F6441" w:rsidP="00702578">
            <w:pPr>
              <w:spacing w:before="0"/>
              <w:rPr>
                <w:sz w:val="20"/>
              </w:rPr>
            </w:pPr>
          </w:p>
        </w:tc>
        <w:tc>
          <w:tcPr>
            <w:tcW w:w="9018" w:type="dxa"/>
            <w:shd w:val="clear" w:color="auto" w:fill="EAEAEA"/>
            <w:tcMar>
              <w:top w:w="170" w:type="dxa"/>
              <w:left w:w="170" w:type="dxa"/>
              <w:bottom w:w="170" w:type="dxa"/>
              <w:right w:w="170" w:type="dxa"/>
            </w:tcMar>
            <w:vAlign w:val="center"/>
          </w:tcPr>
          <w:p w14:paraId="48803E87" w14:textId="77777777" w:rsidR="000F6441" w:rsidRPr="00215D48" w:rsidRDefault="000F6441" w:rsidP="00702578">
            <w:r>
              <w:t xml:space="preserve">A </w:t>
            </w:r>
            <w:hyperlink r:id="rId73" w:history="1">
              <w:r w:rsidRPr="004E2ABE">
                <w:rPr>
                  <w:rStyle w:val="Hyperlink"/>
                </w:rPr>
                <w:t>discussion paper</w:t>
              </w:r>
            </w:hyperlink>
            <w:r>
              <w:t xml:space="preserve"> providing guidance on the implementation of aggregation in the pharmaceutical supply chain using GS1 standards is available on the </w:t>
            </w:r>
            <w:r w:rsidRPr="006E26E8">
              <w:t>GS1 website</w:t>
            </w:r>
            <w:r>
              <w:t>.</w:t>
            </w:r>
          </w:p>
        </w:tc>
      </w:tr>
    </w:tbl>
    <w:p w14:paraId="799754F9" w14:textId="77777777" w:rsidR="001A3190" w:rsidRPr="00215D48" w:rsidRDefault="001A3190" w:rsidP="00BA0DFC">
      <w:pPr>
        <w:pStyle w:val="NonTOCheading2"/>
      </w:pPr>
      <w:bookmarkStart w:id="81" w:name="_Machine_readable_codes"/>
      <w:bookmarkStart w:id="82" w:name="_Data_matrix_code_1"/>
      <w:bookmarkStart w:id="83" w:name="_DataMatrix"/>
      <w:bookmarkStart w:id="84" w:name="_Serialised_medicines"/>
      <w:bookmarkEnd w:id="81"/>
      <w:bookmarkEnd w:id="82"/>
      <w:bookmarkEnd w:id="83"/>
      <w:bookmarkEnd w:id="84"/>
      <w:bookmarkEnd w:id="3"/>
      <w:bookmarkEnd w:id="4"/>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58798DA1" w14:textId="77777777" w:rsidTr="00DB3B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3DA3DDF3" w14:textId="77777777" w:rsidR="001A3190" w:rsidRPr="00215D48" w:rsidRDefault="001A3190" w:rsidP="00DB3B3F">
            <w:bookmarkStart w:id="85" w:name="ColumnTitle_4"/>
            <w:r w:rsidRPr="00215D48">
              <w:t>Version</w:t>
            </w:r>
          </w:p>
        </w:tc>
        <w:tc>
          <w:tcPr>
            <w:tcW w:w="3242" w:type="dxa"/>
          </w:tcPr>
          <w:p w14:paraId="5286991B" w14:textId="77777777" w:rsidR="001A3190" w:rsidRPr="00215D48" w:rsidRDefault="001A3190" w:rsidP="00DB3B3F">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0AC74E2" w14:textId="77777777" w:rsidR="001A3190" w:rsidRPr="00215D48" w:rsidRDefault="001A3190" w:rsidP="00DB3B3F">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430CADEF" w14:textId="77777777" w:rsidR="001A3190" w:rsidRPr="00215D48" w:rsidRDefault="001A3190" w:rsidP="00DB3B3F">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85"/>
      <w:tr w:rsidR="00DD33AB" w:rsidRPr="00215D48" w14:paraId="473873F2" w14:textId="77777777" w:rsidTr="00DB3B3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A3B313B" w14:textId="77777777" w:rsidR="00DD33AB" w:rsidRPr="009401F6" w:rsidRDefault="00DD33AB" w:rsidP="00DD33AB">
            <w:r w:rsidRPr="009401F6">
              <w:t>V1.0</w:t>
            </w:r>
          </w:p>
        </w:tc>
        <w:tc>
          <w:tcPr>
            <w:tcW w:w="3242" w:type="dxa"/>
          </w:tcPr>
          <w:p w14:paraId="5BDC72CF" w14:textId="77777777" w:rsidR="00DD33AB" w:rsidRPr="009401F6" w:rsidRDefault="00DD33AB" w:rsidP="00DD33AB">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332D48E4" w14:textId="77777777" w:rsidR="00DD33AB" w:rsidRPr="009401F6" w:rsidRDefault="00DD33AB" w:rsidP="00DD33AB">
            <w:pPr>
              <w:cnfStyle w:val="000000000000" w:firstRow="0" w:lastRow="0" w:firstColumn="0" w:lastColumn="0" w:oddVBand="0" w:evenVBand="0" w:oddHBand="0" w:evenHBand="0" w:firstRowFirstColumn="0" w:firstRowLastColumn="0" w:lastRowFirstColumn="0" w:lastRowLastColumn="0"/>
            </w:pPr>
            <w:r>
              <w:t>Scientific Evaluation Branch</w:t>
            </w:r>
          </w:p>
        </w:tc>
        <w:tc>
          <w:tcPr>
            <w:tcW w:w="1808" w:type="dxa"/>
          </w:tcPr>
          <w:p w14:paraId="6B521690" w14:textId="7C1F72AE" w:rsidR="00DD33AB" w:rsidRPr="009401F6" w:rsidRDefault="00D27F93" w:rsidP="00DD33AB">
            <w:pPr>
              <w:cnfStyle w:val="000000000000" w:firstRow="0" w:lastRow="0" w:firstColumn="0" w:lastColumn="0" w:oddVBand="0" w:evenVBand="0" w:oddHBand="0" w:evenHBand="0" w:firstRowFirstColumn="0" w:firstRowLastColumn="0" w:lastRowFirstColumn="0" w:lastRowLastColumn="0"/>
            </w:pPr>
            <w:r>
              <w:t>March</w:t>
            </w:r>
            <w:r w:rsidR="009F1F80">
              <w:t xml:space="preserve"> 2021</w:t>
            </w:r>
          </w:p>
        </w:tc>
      </w:tr>
    </w:tbl>
    <w:p w14:paraId="5BC4D877" w14:textId="77777777" w:rsidR="00F401EF" w:rsidRPr="00215D48" w:rsidRDefault="00F401EF" w:rsidP="00706634">
      <w:pPr>
        <w:spacing w:before="0" w:after="0" w:line="240" w:lineRule="auto"/>
        <w:rPr>
          <w:sz w:val="20"/>
        </w:rPr>
        <w:sectPr w:rsidR="00F401EF" w:rsidRPr="00215D48" w:rsidSect="0029069E">
          <w:headerReference w:type="default" r:id="rId74"/>
          <w:footerReference w:type="default" r:id="rId7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0C31CF58" w14:textId="77777777" w:rsidTr="00DB3B3F">
        <w:trPr>
          <w:trHeight w:hRule="exact" w:val="565"/>
          <w:jc w:val="center"/>
        </w:trPr>
        <w:tc>
          <w:tcPr>
            <w:tcW w:w="9145" w:type="dxa"/>
          </w:tcPr>
          <w:p w14:paraId="29B126FF" w14:textId="77777777" w:rsidR="00C50E5C" w:rsidRPr="00215D48" w:rsidRDefault="00C50E5C" w:rsidP="00DB3B3F">
            <w:pPr>
              <w:pStyle w:val="TGASignoff"/>
            </w:pPr>
            <w:r w:rsidRPr="00215D48">
              <w:lastRenderedPageBreak/>
              <w:t>Therapeutic Goods Administration</w:t>
            </w:r>
          </w:p>
        </w:tc>
      </w:tr>
      <w:tr w:rsidR="00C50E5C" w:rsidRPr="00215D48" w14:paraId="66E6F5A2" w14:textId="77777777" w:rsidTr="00DB3B3F">
        <w:trPr>
          <w:trHeight w:val="963"/>
          <w:jc w:val="center"/>
        </w:trPr>
        <w:tc>
          <w:tcPr>
            <w:tcW w:w="9145" w:type="dxa"/>
            <w:tcMar>
              <w:top w:w="28" w:type="dxa"/>
            </w:tcMar>
          </w:tcPr>
          <w:p w14:paraId="6DEC1A1D" w14:textId="77777777" w:rsidR="00C50E5C" w:rsidRPr="00215D48" w:rsidRDefault="00C50E5C" w:rsidP="00EB5622">
            <w:pPr>
              <w:pStyle w:val="Address"/>
              <w:jc w:val="center"/>
            </w:pPr>
            <w:r w:rsidRPr="00215D48">
              <w:t>PO Box 100 Woden ACT 2606 Australia</w:t>
            </w:r>
          </w:p>
          <w:p w14:paraId="15B2BEC0" w14:textId="77777777" w:rsidR="001A3190" w:rsidRDefault="00C50E5C">
            <w:pPr>
              <w:pStyle w:val="Address"/>
              <w:jc w:val="center"/>
              <w:rPr>
                <w:sz w:val="22"/>
                <w:szCs w:val="22"/>
              </w:rPr>
            </w:pPr>
            <w:r w:rsidRPr="00215D48">
              <w:t xml:space="preserve">Email: </w:t>
            </w:r>
            <w:hyperlink r:id="rId76" w:history="1">
              <w:r w:rsidRPr="00215D48">
                <w:rPr>
                  <w:rStyle w:val="Hyperlink"/>
                </w:rPr>
                <w:t>info@tga.gov.au</w:t>
              </w:r>
            </w:hyperlink>
            <w:r w:rsidRPr="00215D48">
              <w:t xml:space="preserve">  Phone: 1800 020 653  Fax: </w:t>
            </w:r>
            <w:r w:rsidR="001A3190" w:rsidRPr="00BA0DFC">
              <w:t>02 6203 1605</w:t>
            </w:r>
          </w:p>
          <w:p w14:paraId="054C9B1A" w14:textId="77777777" w:rsidR="00C50E5C" w:rsidRPr="00215D48" w:rsidRDefault="00434D80">
            <w:pPr>
              <w:pStyle w:val="Address"/>
              <w:jc w:val="center"/>
              <w:rPr>
                <w:rStyle w:val="Hyperlink"/>
                <w:b/>
                <w:color w:val="auto"/>
                <w:sz w:val="22"/>
                <w:u w:val="none"/>
              </w:rPr>
            </w:pPr>
            <w:hyperlink r:id="rId77" w:history="1">
              <w:r w:rsidR="00215D48" w:rsidRPr="00C4721A">
                <w:rPr>
                  <w:rStyle w:val="Hyperlink"/>
                  <w:b/>
                </w:rPr>
                <w:t>https://www.tga.gov.au</w:t>
              </w:r>
            </w:hyperlink>
          </w:p>
        </w:tc>
      </w:tr>
      <w:tr w:rsidR="00C50E5C" w:rsidRPr="00215D48" w14:paraId="13C3932A" w14:textId="77777777" w:rsidTr="00DB3B3F">
        <w:trPr>
          <w:trHeight w:val="251"/>
          <w:jc w:val="center"/>
        </w:trPr>
        <w:tc>
          <w:tcPr>
            <w:tcW w:w="9145" w:type="dxa"/>
            <w:tcMar>
              <w:top w:w="28" w:type="dxa"/>
            </w:tcMar>
          </w:tcPr>
          <w:p w14:paraId="456A22BD" w14:textId="14F1B555" w:rsidR="00C50E5C" w:rsidRPr="00215D48" w:rsidRDefault="00C50E5C" w:rsidP="00EB5622">
            <w:pPr>
              <w:pStyle w:val="Address"/>
              <w:jc w:val="center"/>
            </w:pPr>
            <w:r w:rsidRPr="00215D48">
              <w:t>Reference/Publication #</w:t>
            </w:r>
            <w:r w:rsidR="004E6D47" w:rsidRPr="004E6D47">
              <w:rPr>
                <w:sz w:val="22"/>
              </w:rPr>
              <w:t xml:space="preserve"> </w:t>
            </w:r>
            <w:hyperlink r:id="rId78" w:history="1">
              <w:r w:rsidR="004E6D47" w:rsidRPr="004E6D47">
                <w:rPr>
                  <w:color w:val="0000FF"/>
                  <w:sz w:val="22"/>
                  <w:u w:val="single"/>
                </w:rPr>
                <w:t>D20-3698913</w:t>
              </w:r>
            </w:hyperlink>
          </w:p>
        </w:tc>
      </w:tr>
    </w:tbl>
    <w:p w14:paraId="50F17851" w14:textId="77777777" w:rsidR="00706634" w:rsidRPr="00215D48" w:rsidRDefault="00706634" w:rsidP="004A3084">
      <w:pPr>
        <w:rPr>
          <w:sz w:val="20"/>
        </w:rPr>
      </w:pPr>
    </w:p>
    <w:sectPr w:rsidR="00706634" w:rsidRPr="00215D48" w:rsidSect="0029069E">
      <w:headerReference w:type="first" r:id="rId79"/>
      <w:footerReference w:type="first" r:id="rId8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47753" w14:textId="77777777" w:rsidR="00726250" w:rsidRDefault="00726250" w:rsidP="00C40A36">
      <w:pPr>
        <w:spacing w:after="0"/>
      </w:pPr>
      <w:r>
        <w:separator/>
      </w:r>
    </w:p>
  </w:endnote>
  <w:endnote w:type="continuationSeparator" w:id="0">
    <w:p w14:paraId="147F6713" w14:textId="77777777" w:rsidR="00726250" w:rsidRDefault="0072625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A0E35" w14:textId="77777777" w:rsidR="00434D80" w:rsidRDefault="00434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26250" w:rsidRPr="00257138" w14:paraId="669F3CB3" w14:textId="77777777" w:rsidTr="000B30E5">
      <w:trPr>
        <w:trHeight w:val="423"/>
      </w:trPr>
      <w:tc>
        <w:tcPr>
          <w:tcW w:w="4360" w:type="dxa"/>
          <w:tcBorders>
            <w:top w:val="single" w:sz="4" w:space="0" w:color="auto"/>
          </w:tcBorders>
        </w:tcPr>
        <w:p w14:paraId="54BBFA98" w14:textId="77777777" w:rsidR="00726250" w:rsidRDefault="00726250" w:rsidP="000B30E5">
          <w:pPr>
            <w:pStyle w:val="Footer"/>
          </w:pPr>
        </w:p>
        <w:p w14:paraId="4A898E55" w14:textId="77777777" w:rsidR="00726250" w:rsidRPr="00257138" w:rsidRDefault="00726250"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1A26290D" w14:textId="77777777" w:rsidR="00726250" w:rsidRDefault="00726250" w:rsidP="000B30E5">
              <w:pPr>
                <w:pStyle w:val="Footer"/>
                <w:jc w:val="right"/>
              </w:pPr>
            </w:p>
            <w:p w14:paraId="450186DA" w14:textId="53A493F6" w:rsidR="00726250" w:rsidRPr="00257138" w:rsidRDefault="00726250" w:rsidP="000B30E5">
              <w:pPr>
                <w:pStyle w:val="Footer"/>
                <w:jc w:val="right"/>
              </w:pPr>
              <w:r w:rsidRPr="00257138">
                <w:t xml:space="preserve">Page </w:t>
              </w:r>
              <w:r>
                <w:fldChar w:fldCharType="begin"/>
              </w:r>
              <w:r>
                <w:instrText xml:space="preserve"> PAGE </w:instrText>
              </w:r>
              <w:r>
                <w:fldChar w:fldCharType="separate"/>
              </w:r>
              <w:r>
                <w:rPr>
                  <w:noProof/>
                </w:rPr>
                <w:t>1</w:t>
              </w:r>
              <w:r>
                <w:rPr>
                  <w:noProof/>
                </w:rPr>
                <w:fldChar w:fldCharType="end"/>
              </w:r>
              <w:r w:rsidRPr="00257138">
                <w:t xml:space="preserve"> of </w:t>
              </w:r>
              <w:r w:rsidR="00434D80">
                <w:fldChar w:fldCharType="begin"/>
              </w:r>
              <w:r w:rsidR="00434D80">
                <w:instrText xml:space="preserve"> NUMPAGES  </w:instrText>
              </w:r>
              <w:r w:rsidR="00434D80">
                <w:fldChar w:fldCharType="separate"/>
              </w:r>
              <w:r>
                <w:rPr>
                  <w:noProof/>
                </w:rPr>
                <w:t>20</w:t>
              </w:r>
              <w:r w:rsidR="00434D80">
                <w:rPr>
                  <w:noProof/>
                </w:rPr>
                <w:fldChar w:fldCharType="end"/>
              </w:r>
            </w:p>
          </w:sdtContent>
        </w:sdt>
      </w:tc>
    </w:tr>
    <w:tr w:rsidR="00726250" w:rsidRPr="00257138" w14:paraId="5D07ACEE" w14:textId="77777777" w:rsidTr="000B30E5">
      <w:trPr>
        <w:trHeight w:val="263"/>
      </w:trPr>
      <w:tc>
        <w:tcPr>
          <w:tcW w:w="4360" w:type="dxa"/>
        </w:tcPr>
        <w:p w14:paraId="05E88143" w14:textId="77777777" w:rsidR="00726250" w:rsidRPr="00257138" w:rsidRDefault="00726250" w:rsidP="000B30E5">
          <w:pPr>
            <w:pStyle w:val="Footer"/>
          </w:pPr>
          <w:r w:rsidRPr="00257138">
            <w:t xml:space="preserve">V1.0 </w:t>
          </w:r>
          <w:r>
            <w:t>Month</w:t>
          </w:r>
          <w:r w:rsidRPr="00257138">
            <w:t xml:space="preserve"> 201</w:t>
          </w:r>
          <w:r>
            <w:t>2</w:t>
          </w:r>
        </w:p>
      </w:tc>
      <w:tc>
        <w:tcPr>
          <w:tcW w:w="4360" w:type="dxa"/>
        </w:tcPr>
        <w:p w14:paraId="43B39FD6" w14:textId="77777777" w:rsidR="00726250" w:rsidRPr="00257138" w:rsidRDefault="00726250" w:rsidP="000B30E5">
          <w:pPr>
            <w:pStyle w:val="Footer"/>
            <w:jc w:val="right"/>
          </w:pPr>
        </w:p>
      </w:tc>
    </w:tr>
  </w:tbl>
  <w:p w14:paraId="0A821EA6" w14:textId="77777777" w:rsidR="00726250" w:rsidRPr="00826007" w:rsidRDefault="00726250"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9E53" w14:textId="77777777" w:rsidR="00726250" w:rsidRDefault="00726250"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726250" w:rsidRPr="004A3084" w14:paraId="0FE9F25E" w14:textId="77777777" w:rsidTr="00231E8D">
      <w:trPr>
        <w:trHeight w:val="423"/>
      </w:trPr>
      <w:tc>
        <w:tcPr>
          <w:tcW w:w="7338" w:type="dxa"/>
          <w:tcBorders>
            <w:top w:val="single" w:sz="4" w:space="0" w:color="auto"/>
          </w:tcBorders>
        </w:tcPr>
        <w:p w14:paraId="528D66A3" w14:textId="386BF10E" w:rsidR="00726250" w:rsidRDefault="00726250" w:rsidP="007B1EC2">
          <w:pPr>
            <w:pStyle w:val="Footer"/>
          </w:pPr>
          <w:r>
            <w:t>Standard for serialisation and data matrix codes on medicines</w:t>
          </w:r>
        </w:p>
        <w:p w14:paraId="4F3250E8" w14:textId="5C0AD9FC" w:rsidR="00726250" w:rsidRPr="004A3084" w:rsidRDefault="00726250" w:rsidP="007B1EC2">
          <w:pPr>
            <w:pStyle w:val="Footer"/>
          </w:pPr>
          <w:r>
            <w:t>Guidance for TGO 106</w:t>
          </w:r>
          <w:r>
            <w:br/>
            <w:t>V1.0 March 2021</w:t>
          </w:r>
        </w:p>
      </w:tc>
      <w:tc>
        <w:tcPr>
          <w:tcW w:w="1382" w:type="dxa"/>
          <w:tcBorders>
            <w:top w:val="single" w:sz="4" w:space="0" w:color="auto"/>
          </w:tcBorders>
        </w:tcPr>
        <w:sdt>
          <w:sdtPr>
            <w:id w:val="11571659"/>
            <w:docPartObj>
              <w:docPartGallery w:val="Page Numbers (Top of Page)"/>
              <w:docPartUnique/>
            </w:docPartObj>
          </w:sdtPr>
          <w:sdtEndPr/>
          <w:sdtContent>
            <w:p w14:paraId="5856AAF9" w14:textId="71D0D186" w:rsidR="00726250" w:rsidRPr="004A3084" w:rsidRDefault="00726250" w:rsidP="00231E8D">
              <w:pPr>
                <w:pStyle w:val="Footer"/>
                <w:jc w:val="right"/>
              </w:pPr>
              <w:r w:rsidRPr="004A3084">
                <w:t xml:space="preserve">Page </w:t>
              </w:r>
              <w:r>
                <w:fldChar w:fldCharType="begin"/>
              </w:r>
              <w:r>
                <w:instrText xml:space="preserve"> PAGE </w:instrText>
              </w:r>
              <w:r>
                <w:fldChar w:fldCharType="separate"/>
              </w:r>
              <w:r w:rsidR="00434D80">
                <w:rPr>
                  <w:noProof/>
                </w:rPr>
                <w:t>2</w:t>
              </w:r>
              <w:r>
                <w:rPr>
                  <w:noProof/>
                </w:rPr>
                <w:fldChar w:fldCharType="end"/>
              </w:r>
              <w:r w:rsidRPr="004A3084">
                <w:t xml:space="preserve"> of </w:t>
              </w:r>
              <w:r w:rsidR="00434D80">
                <w:fldChar w:fldCharType="begin"/>
              </w:r>
              <w:r w:rsidR="00434D80">
                <w:instrText xml:space="preserve"> NUMPAGES  </w:instrText>
              </w:r>
              <w:r w:rsidR="00434D80">
                <w:fldChar w:fldCharType="separate"/>
              </w:r>
              <w:r w:rsidR="00434D80">
                <w:rPr>
                  <w:noProof/>
                </w:rPr>
                <w:t>18</w:t>
              </w:r>
              <w:r w:rsidR="00434D80">
                <w:rPr>
                  <w:noProof/>
                </w:rPr>
                <w:fldChar w:fldCharType="end"/>
              </w:r>
            </w:p>
          </w:sdtContent>
        </w:sdt>
      </w:tc>
    </w:tr>
  </w:tbl>
  <w:p w14:paraId="1D03C6CF" w14:textId="77777777" w:rsidR="00726250" w:rsidRPr="00826007" w:rsidRDefault="00726250"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B2C9" w14:textId="77777777" w:rsidR="00726250" w:rsidRPr="008E3C43" w:rsidRDefault="00726250"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A5833" w14:textId="77777777" w:rsidR="00726250" w:rsidRDefault="00726250" w:rsidP="00C40A36">
      <w:pPr>
        <w:spacing w:after="0"/>
      </w:pPr>
      <w:r>
        <w:separator/>
      </w:r>
    </w:p>
  </w:footnote>
  <w:footnote w:type="continuationSeparator" w:id="0">
    <w:p w14:paraId="2F15070F" w14:textId="77777777" w:rsidR="00726250" w:rsidRDefault="00726250"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784B" w14:textId="77777777" w:rsidR="00434D80" w:rsidRDefault="00434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52BC0" w14:textId="77777777" w:rsidR="00726250" w:rsidRDefault="00434D80" w:rsidP="00C3408D">
    <w:pPr>
      <w:pStyle w:val="Header"/>
    </w:pPr>
    <w:sdt>
      <w:sdtPr>
        <w:id w:val="-203553135"/>
        <w:docPartObj>
          <w:docPartGallery w:val="Watermarks"/>
          <w:docPartUnique/>
        </w:docPartObj>
      </w:sdtPr>
      <w:sdtEndPr/>
      <w:sdtContent>
        <w:r>
          <w:rPr>
            <w:noProof/>
          </w:rPr>
          <w:pict w14:anchorId="5F593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726250"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26250" w:rsidRPr="002B29B2" w14:paraId="2E25473A" w14:textId="77777777" w:rsidTr="00F71E1E">
      <w:trPr>
        <w:trHeight w:hRule="exact" w:val="8845"/>
      </w:trPr>
      <w:tc>
        <w:tcPr>
          <w:tcW w:w="11964" w:type="dxa"/>
          <w:vAlign w:val="center"/>
        </w:tcPr>
        <w:p w14:paraId="3FF8280D" w14:textId="77777777" w:rsidR="00726250" w:rsidRPr="002B29B2" w:rsidRDefault="00434D80" w:rsidP="006A2426">
          <w:pPr>
            <w:ind w:left="-57"/>
            <w:rPr>
              <w:noProof/>
            </w:rPr>
          </w:pPr>
          <w:sdt>
            <w:sdtPr>
              <w:rPr>
                <w:noProof/>
              </w:rPr>
              <w:id w:val="1926993388"/>
              <w:picture/>
            </w:sdtPr>
            <w:sdtEndPr/>
            <w:sdtContent>
              <w:r w:rsidR="00726250" w:rsidRPr="00F71E1E">
                <w:rPr>
                  <w:noProof/>
                  <w:lang w:eastAsia="en-AU"/>
                </w:rPr>
                <w:drawing>
                  <wp:inline distT="0" distB="0" distL="0" distR="0" wp14:anchorId="7C73884A" wp14:editId="4045E3BF">
                    <wp:extent cx="7616190" cy="5623560"/>
                    <wp:effectExtent l="0" t="0" r="3810" b="0"/>
                    <wp:docPr id="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8717" cy="5662344"/>
                            </a:xfrm>
                            <a:prstGeom prst="rect">
                              <a:avLst/>
                            </a:prstGeom>
                            <a:noFill/>
                            <a:ln w="9525">
                              <a:noFill/>
                              <a:miter lim="800000"/>
                              <a:headEnd/>
                              <a:tailEnd/>
                            </a:ln>
                          </pic:spPr>
                        </pic:pic>
                      </a:graphicData>
                    </a:graphic>
                  </wp:inline>
                </w:drawing>
              </w:r>
            </w:sdtContent>
          </w:sdt>
        </w:p>
      </w:tc>
    </w:tr>
  </w:tbl>
  <w:p w14:paraId="672A4101" w14:textId="77777777" w:rsidR="00726250" w:rsidRDefault="00726250" w:rsidP="006D03E5">
    <w:pPr>
      <w:rPr>
        <w:noProof/>
      </w:rPr>
    </w:pPr>
    <w:r>
      <w:rPr>
        <w:noProof/>
        <w:lang w:eastAsia="en-AU"/>
      </w:rPr>
      <w:drawing>
        <wp:anchor distT="0" distB="0" distL="114300" distR="114300" simplePos="0" relativeHeight="251664384" behindDoc="0" locked="0" layoutInCell="1" allowOverlap="1" wp14:anchorId="0101D930" wp14:editId="3EF5BA83">
          <wp:simplePos x="0" y="0"/>
          <wp:positionH relativeFrom="column">
            <wp:posOffset>-186055</wp:posOffset>
          </wp:positionH>
          <wp:positionV relativeFrom="paragraph">
            <wp:posOffset>-58420</wp:posOffset>
          </wp:positionV>
          <wp:extent cx="3524250" cy="1209675"/>
          <wp:effectExtent l="19050" t="0" r="0" b="0"/>
          <wp:wrapTopAndBottom/>
          <wp:docPr id="23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740116A5" wp14:editId="68CEA230">
          <wp:simplePos x="0" y="0"/>
          <wp:positionH relativeFrom="page">
            <wp:posOffset>0</wp:posOffset>
          </wp:positionH>
          <wp:positionV relativeFrom="page">
            <wp:posOffset>4152900</wp:posOffset>
          </wp:positionV>
          <wp:extent cx="7581900" cy="2447925"/>
          <wp:effectExtent l="19050" t="0" r="0" b="0"/>
          <wp:wrapNone/>
          <wp:docPr id="234" name="Picture 234"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A78F9" w14:textId="77777777" w:rsidR="00726250" w:rsidRDefault="00726250" w:rsidP="00C3408D">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9982" w14:textId="77777777" w:rsidR="00726250" w:rsidRPr="00FE501F" w:rsidRDefault="00726250"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E9E646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F992189"/>
    <w:multiLevelType w:val="hybridMultilevel"/>
    <w:tmpl w:val="6280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AB"/>
    <w:rsid w:val="00002031"/>
    <w:rsid w:val="000040BA"/>
    <w:rsid w:val="00004734"/>
    <w:rsid w:val="00006B22"/>
    <w:rsid w:val="00010E4D"/>
    <w:rsid w:val="000112C2"/>
    <w:rsid w:val="00011542"/>
    <w:rsid w:val="0001276A"/>
    <w:rsid w:val="0001288A"/>
    <w:rsid w:val="000141FC"/>
    <w:rsid w:val="00016BEB"/>
    <w:rsid w:val="000246AE"/>
    <w:rsid w:val="00025C67"/>
    <w:rsid w:val="00032FFB"/>
    <w:rsid w:val="00033904"/>
    <w:rsid w:val="0003640F"/>
    <w:rsid w:val="00036AA6"/>
    <w:rsid w:val="000531DF"/>
    <w:rsid w:val="0005559E"/>
    <w:rsid w:val="000703AB"/>
    <w:rsid w:val="00076E4A"/>
    <w:rsid w:val="00077775"/>
    <w:rsid w:val="0008344B"/>
    <w:rsid w:val="000834BE"/>
    <w:rsid w:val="00090471"/>
    <w:rsid w:val="00092102"/>
    <w:rsid w:val="000934A6"/>
    <w:rsid w:val="00096316"/>
    <w:rsid w:val="000968B3"/>
    <w:rsid w:val="00096D87"/>
    <w:rsid w:val="000A15CC"/>
    <w:rsid w:val="000A18EA"/>
    <w:rsid w:val="000A2488"/>
    <w:rsid w:val="000A3543"/>
    <w:rsid w:val="000A4371"/>
    <w:rsid w:val="000A7815"/>
    <w:rsid w:val="000A7AA7"/>
    <w:rsid w:val="000B30E5"/>
    <w:rsid w:val="000B3532"/>
    <w:rsid w:val="000B3A75"/>
    <w:rsid w:val="000B574E"/>
    <w:rsid w:val="000B5E4E"/>
    <w:rsid w:val="000B6CAE"/>
    <w:rsid w:val="000B7084"/>
    <w:rsid w:val="000B7C2D"/>
    <w:rsid w:val="000D0851"/>
    <w:rsid w:val="000D157F"/>
    <w:rsid w:val="000D391B"/>
    <w:rsid w:val="000D3D6D"/>
    <w:rsid w:val="000D4FC7"/>
    <w:rsid w:val="000E4C99"/>
    <w:rsid w:val="000E7176"/>
    <w:rsid w:val="000E77A4"/>
    <w:rsid w:val="000F0241"/>
    <w:rsid w:val="000F1C73"/>
    <w:rsid w:val="000F1D3F"/>
    <w:rsid w:val="000F2154"/>
    <w:rsid w:val="000F4869"/>
    <w:rsid w:val="000F5176"/>
    <w:rsid w:val="000F5978"/>
    <w:rsid w:val="000F5B42"/>
    <w:rsid w:val="000F6441"/>
    <w:rsid w:val="000F67B0"/>
    <w:rsid w:val="000F6E6F"/>
    <w:rsid w:val="001003F2"/>
    <w:rsid w:val="00102BDA"/>
    <w:rsid w:val="001034D7"/>
    <w:rsid w:val="00105834"/>
    <w:rsid w:val="0010601F"/>
    <w:rsid w:val="00106DA0"/>
    <w:rsid w:val="00106FB8"/>
    <w:rsid w:val="00110EA5"/>
    <w:rsid w:val="00115240"/>
    <w:rsid w:val="00115508"/>
    <w:rsid w:val="001210F1"/>
    <w:rsid w:val="00125091"/>
    <w:rsid w:val="00125318"/>
    <w:rsid w:val="001305A2"/>
    <w:rsid w:val="00133238"/>
    <w:rsid w:val="00140654"/>
    <w:rsid w:val="00140FE3"/>
    <w:rsid w:val="0014197B"/>
    <w:rsid w:val="0014247A"/>
    <w:rsid w:val="0014272A"/>
    <w:rsid w:val="001447CD"/>
    <w:rsid w:val="001500F7"/>
    <w:rsid w:val="001516B1"/>
    <w:rsid w:val="00151C2A"/>
    <w:rsid w:val="001525B4"/>
    <w:rsid w:val="001541D3"/>
    <w:rsid w:val="00156316"/>
    <w:rsid w:val="00165389"/>
    <w:rsid w:val="00165DC3"/>
    <w:rsid w:val="00166FCE"/>
    <w:rsid w:val="00170EC8"/>
    <w:rsid w:val="001713A3"/>
    <w:rsid w:val="00172A15"/>
    <w:rsid w:val="0017693F"/>
    <w:rsid w:val="0018110E"/>
    <w:rsid w:val="00181684"/>
    <w:rsid w:val="001821B6"/>
    <w:rsid w:val="001843C6"/>
    <w:rsid w:val="001850E0"/>
    <w:rsid w:val="0018660B"/>
    <w:rsid w:val="0019288D"/>
    <w:rsid w:val="00192AAA"/>
    <w:rsid w:val="001A3190"/>
    <w:rsid w:val="001A3AE7"/>
    <w:rsid w:val="001A525F"/>
    <w:rsid w:val="001A5797"/>
    <w:rsid w:val="001A59CA"/>
    <w:rsid w:val="001B09F9"/>
    <w:rsid w:val="001B6448"/>
    <w:rsid w:val="001B6E4A"/>
    <w:rsid w:val="001B7CB9"/>
    <w:rsid w:val="001C3A9E"/>
    <w:rsid w:val="001D7224"/>
    <w:rsid w:val="001E07CF"/>
    <w:rsid w:val="001E275A"/>
    <w:rsid w:val="001E59F1"/>
    <w:rsid w:val="001E64C4"/>
    <w:rsid w:val="001E7E95"/>
    <w:rsid w:val="001F10C5"/>
    <w:rsid w:val="001F124F"/>
    <w:rsid w:val="001F20F9"/>
    <w:rsid w:val="001F21F0"/>
    <w:rsid w:val="001F4643"/>
    <w:rsid w:val="001F49EB"/>
    <w:rsid w:val="001F6CBA"/>
    <w:rsid w:val="00200AEE"/>
    <w:rsid w:val="00201D4E"/>
    <w:rsid w:val="00210B9B"/>
    <w:rsid w:val="00215D48"/>
    <w:rsid w:val="002161FC"/>
    <w:rsid w:val="00217091"/>
    <w:rsid w:val="00220B8A"/>
    <w:rsid w:val="002257F3"/>
    <w:rsid w:val="00231E8D"/>
    <w:rsid w:val="00233456"/>
    <w:rsid w:val="002339A5"/>
    <w:rsid w:val="00237691"/>
    <w:rsid w:val="00240166"/>
    <w:rsid w:val="00245857"/>
    <w:rsid w:val="00247FB9"/>
    <w:rsid w:val="0025139E"/>
    <w:rsid w:val="002530DA"/>
    <w:rsid w:val="0025559C"/>
    <w:rsid w:val="00257138"/>
    <w:rsid w:val="00257848"/>
    <w:rsid w:val="00260A33"/>
    <w:rsid w:val="002626E1"/>
    <w:rsid w:val="0026494F"/>
    <w:rsid w:val="00266FD6"/>
    <w:rsid w:val="0027084A"/>
    <w:rsid w:val="0027446A"/>
    <w:rsid w:val="0027690B"/>
    <w:rsid w:val="00282848"/>
    <w:rsid w:val="00286434"/>
    <w:rsid w:val="00286C59"/>
    <w:rsid w:val="0029069E"/>
    <w:rsid w:val="00290795"/>
    <w:rsid w:val="002942D1"/>
    <w:rsid w:val="00295568"/>
    <w:rsid w:val="002A0556"/>
    <w:rsid w:val="002A2DF0"/>
    <w:rsid w:val="002A592C"/>
    <w:rsid w:val="002A5B3A"/>
    <w:rsid w:val="002A618B"/>
    <w:rsid w:val="002B1638"/>
    <w:rsid w:val="002B25CB"/>
    <w:rsid w:val="002B29B2"/>
    <w:rsid w:val="002B3E3C"/>
    <w:rsid w:val="002B7F47"/>
    <w:rsid w:val="002C3037"/>
    <w:rsid w:val="002C376C"/>
    <w:rsid w:val="002C6E9C"/>
    <w:rsid w:val="002C795F"/>
    <w:rsid w:val="002D1BAA"/>
    <w:rsid w:val="002D46C6"/>
    <w:rsid w:val="002E048E"/>
    <w:rsid w:val="002E1845"/>
    <w:rsid w:val="002E193A"/>
    <w:rsid w:val="002E364F"/>
    <w:rsid w:val="002E3C1D"/>
    <w:rsid w:val="002E4C9A"/>
    <w:rsid w:val="002F11F8"/>
    <w:rsid w:val="002F260A"/>
    <w:rsid w:val="002F3F56"/>
    <w:rsid w:val="002F44B5"/>
    <w:rsid w:val="002F57E9"/>
    <w:rsid w:val="00300350"/>
    <w:rsid w:val="00301FA3"/>
    <w:rsid w:val="00305146"/>
    <w:rsid w:val="00307588"/>
    <w:rsid w:val="00311AC0"/>
    <w:rsid w:val="00323F14"/>
    <w:rsid w:val="003252DE"/>
    <w:rsid w:val="0032575A"/>
    <w:rsid w:val="00331CD2"/>
    <w:rsid w:val="00331DBB"/>
    <w:rsid w:val="00335C3B"/>
    <w:rsid w:val="003361D1"/>
    <w:rsid w:val="00342D99"/>
    <w:rsid w:val="00350236"/>
    <w:rsid w:val="0035146C"/>
    <w:rsid w:val="00351D85"/>
    <w:rsid w:val="003521E8"/>
    <w:rsid w:val="00357700"/>
    <w:rsid w:val="00357D6E"/>
    <w:rsid w:val="003628F6"/>
    <w:rsid w:val="0036361E"/>
    <w:rsid w:val="003664BF"/>
    <w:rsid w:val="003665F7"/>
    <w:rsid w:val="003728F3"/>
    <w:rsid w:val="00376793"/>
    <w:rsid w:val="003843F6"/>
    <w:rsid w:val="00390432"/>
    <w:rsid w:val="00390900"/>
    <w:rsid w:val="00393398"/>
    <w:rsid w:val="00394D7A"/>
    <w:rsid w:val="003A2DDF"/>
    <w:rsid w:val="003A47F5"/>
    <w:rsid w:val="003B362C"/>
    <w:rsid w:val="003B7E39"/>
    <w:rsid w:val="003C58DC"/>
    <w:rsid w:val="003D16F9"/>
    <w:rsid w:val="003D35AF"/>
    <w:rsid w:val="003D3B63"/>
    <w:rsid w:val="003D576C"/>
    <w:rsid w:val="003D6B56"/>
    <w:rsid w:val="003E0A89"/>
    <w:rsid w:val="003E3208"/>
    <w:rsid w:val="003E5A0C"/>
    <w:rsid w:val="003E7156"/>
    <w:rsid w:val="003F0B04"/>
    <w:rsid w:val="003F2E95"/>
    <w:rsid w:val="003F5D3D"/>
    <w:rsid w:val="0040134E"/>
    <w:rsid w:val="004036C6"/>
    <w:rsid w:val="00404B57"/>
    <w:rsid w:val="00405BF4"/>
    <w:rsid w:val="00406DB9"/>
    <w:rsid w:val="00411D15"/>
    <w:rsid w:val="00416BCB"/>
    <w:rsid w:val="00423792"/>
    <w:rsid w:val="00426503"/>
    <w:rsid w:val="00427EF7"/>
    <w:rsid w:val="00434D80"/>
    <w:rsid w:val="00436BA0"/>
    <w:rsid w:val="004405C4"/>
    <w:rsid w:val="00440A2D"/>
    <w:rsid w:val="00442DA9"/>
    <w:rsid w:val="004447D0"/>
    <w:rsid w:val="004472D8"/>
    <w:rsid w:val="0045040C"/>
    <w:rsid w:val="004564A7"/>
    <w:rsid w:val="004617BF"/>
    <w:rsid w:val="0046659D"/>
    <w:rsid w:val="00471FE3"/>
    <w:rsid w:val="00473864"/>
    <w:rsid w:val="004743AF"/>
    <w:rsid w:val="004779C7"/>
    <w:rsid w:val="00480A27"/>
    <w:rsid w:val="00483D37"/>
    <w:rsid w:val="00487BF7"/>
    <w:rsid w:val="004915EF"/>
    <w:rsid w:val="004923FF"/>
    <w:rsid w:val="004927EC"/>
    <w:rsid w:val="00494CA4"/>
    <w:rsid w:val="00494E60"/>
    <w:rsid w:val="0049734C"/>
    <w:rsid w:val="004A01DB"/>
    <w:rsid w:val="004A2574"/>
    <w:rsid w:val="004A3084"/>
    <w:rsid w:val="004B1C7A"/>
    <w:rsid w:val="004B7B76"/>
    <w:rsid w:val="004B7F31"/>
    <w:rsid w:val="004C0070"/>
    <w:rsid w:val="004C100A"/>
    <w:rsid w:val="004C12CF"/>
    <w:rsid w:val="004C21A4"/>
    <w:rsid w:val="004C4096"/>
    <w:rsid w:val="004C4642"/>
    <w:rsid w:val="004C6266"/>
    <w:rsid w:val="004C6E9B"/>
    <w:rsid w:val="004D51A6"/>
    <w:rsid w:val="004D594D"/>
    <w:rsid w:val="004E11BF"/>
    <w:rsid w:val="004E337F"/>
    <w:rsid w:val="004E355B"/>
    <w:rsid w:val="004E6D47"/>
    <w:rsid w:val="004F0F38"/>
    <w:rsid w:val="004F1240"/>
    <w:rsid w:val="004F32B8"/>
    <w:rsid w:val="004F40D8"/>
    <w:rsid w:val="004F4720"/>
    <w:rsid w:val="004F484B"/>
    <w:rsid w:val="00501921"/>
    <w:rsid w:val="005055F1"/>
    <w:rsid w:val="00505638"/>
    <w:rsid w:val="00505E7A"/>
    <w:rsid w:val="00505EF7"/>
    <w:rsid w:val="00506EE5"/>
    <w:rsid w:val="00517341"/>
    <w:rsid w:val="00523FB1"/>
    <w:rsid w:val="00530354"/>
    <w:rsid w:val="005326EB"/>
    <w:rsid w:val="00535D83"/>
    <w:rsid w:val="00537401"/>
    <w:rsid w:val="0054053C"/>
    <w:rsid w:val="00541FD8"/>
    <w:rsid w:val="005423EF"/>
    <w:rsid w:val="005434C6"/>
    <w:rsid w:val="00543B39"/>
    <w:rsid w:val="00550096"/>
    <w:rsid w:val="00551137"/>
    <w:rsid w:val="0055366E"/>
    <w:rsid w:val="0055653F"/>
    <w:rsid w:val="00557FF9"/>
    <w:rsid w:val="00560037"/>
    <w:rsid w:val="00567A2E"/>
    <w:rsid w:val="0057564C"/>
    <w:rsid w:val="005758D2"/>
    <w:rsid w:val="00576378"/>
    <w:rsid w:val="005777D7"/>
    <w:rsid w:val="00577E38"/>
    <w:rsid w:val="00582EFC"/>
    <w:rsid w:val="00584285"/>
    <w:rsid w:val="00584CE5"/>
    <w:rsid w:val="00585322"/>
    <w:rsid w:val="00587EC0"/>
    <w:rsid w:val="0059345B"/>
    <w:rsid w:val="00593AD1"/>
    <w:rsid w:val="005A1131"/>
    <w:rsid w:val="005A4759"/>
    <w:rsid w:val="005A70E0"/>
    <w:rsid w:val="005B3034"/>
    <w:rsid w:val="005B57EA"/>
    <w:rsid w:val="005B7B25"/>
    <w:rsid w:val="005C22E4"/>
    <w:rsid w:val="005C5570"/>
    <w:rsid w:val="005C5FD4"/>
    <w:rsid w:val="005C79A4"/>
    <w:rsid w:val="005D0D67"/>
    <w:rsid w:val="005D1689"/>
    <w:rsid w:val="005D248B"/>
    <w:rsid w:val="005D5442"/>
    <w:rsid w:val="005D55A3"/>
    <w:rsid w:val="005E232E"/>
    <w:rsid w:val="005E5568"/>
    <w:rsid w:val="005F224B"/>
    <w:rsid w:val="005F458A"/>
    <w:rsid w:val="005F4B57"/>
    <w:rsid w:val="005F5830"/>
    <w:rsid w:val="005F6267"/>
    <w:rsid w:val="005F7E55"/>
    <w:rsid w:val="00610D73"/>
    <w:rsid w:val="00611AB4"/>
    <w:rsid w:val="00623891"/>
    <w:rsid w:val="00625015"/>
    <w:rsid w:val="00633096"/>
    <w:rsid w:val="00640FC3"/>
    <w:rsid w:val="00642020"/>
    <w:rsid w:val="0065200D"/>
    <w:rsid w:val="0065337B"/>
    <w:rsid w:val="0065419D"/>
    <w:rsid w:val="006604D8"/>
    <w:rsid w:val="00664A5B"/>
    <w:rsid w:val="00665F0D"/>
    <w:rsid w:val="00667942"/>
    <w:rsid w:val="0067427A"/>
    <w:rsid w:val="00675C11"/>
    <w:rsid w:val="006775B2"/>
    <w:rsid w:val="0068048A"/>
    <w:rsid w:val="00680C08"/>
    <w:rsid w:val="0068741A"/>
    <w:rsid w:val="006921C0"/>
    <w:rsid w:val="006931B1"/>
    <w:rsid w:val="00693421"/>
    <w:rsid w:val="006A15C0"/>
    <w:rsid w:val="006A2426"/>
    <w:rsid w:val="006A2A31"/>
    <w:rsid w:val="006A38E4"/>
    <w:rsid w:val="006B4D36"/>
    <w:rsid w:val="006C1F3B"/>
    <w:rsid w:val="006C3E2A"/>
    <w:rsid w:val="006C43B5"/>
    <w:rsid w:val="006C642F"/>
    <w:rsid w:val="006D03E5"/>
    <w:rsid w:val="006D36EB"/>
    <w:rsid w:val="006D47B4"/>
    <w:rsid w:val="006D5D3E"/>
    <w:rsid w:val="006E08B3"/>
    <w:rsid w:val="006E4E00"/>
    <w:rsid w:val="006F1604"/>
    <w:rsid w:val="006F3339"/>
    <w:rsid w:val="006F46EA"/>
    <w:rsid w:val="006F572E"/>
    <w:rsid w:val="006F6284"/>
    <w:rsid w:val="006F652C"/>
    <w:rsid w:val="006F6C81"/>
    <w:rsid w:val="00702578"/>
    <w:rsid w:val="007046D6"/>
    <w:rsid w:val="00705084"/>
    <w:rsid w:val="00705DB0"/>
    <w:rsid w:val="007060CD"/>
    <w:rsid w:val="00706634"/>
    <w:rsid w:val="00706AFE"/>
    <w:rsid w:val="00723BF8"/>
    <w:rsid w:val="00724E0E"/>
    <w:rsid w:val="00726250"/>
    <w:rsid w:val="00732FEE"/>
    <w:rsid w:val="00734DA9"/>
    <w:rsid w:val="00740043"/>
    <w:rsid w:val="0074253D"/>
    <w:rsid w:val="00742DAD"/>
    <w:rsid w:val="0074429B"/>
    <w:rsid w:val="007468F1"/>
    <w:rsid w:val="007477F8"/>
    <w:rsid w:val="00751EBD"/>
    <w:rsid w:val="00752756"/>
    <w:rsid w:val="00753687"/>
    <w:rsid w:val="00753A56"/>
    <w:rsid w:val="0075524A"/>
    <w:rsid w:val="00760DCF"/>
    <w:rsid w:val="007615BC"/>
    <w:rsid w:val="007622D7"/>
    <w:rsid w:val="00762F05"/>
    <w:rsid w:val="00762F15"/>
    <w:rsid w:val="00764FC4"/>
    <w:rsid w:val="007652FF"/>
    <w:rsid w:val="00765E94"/>
    <w:rsid w:val="00771329"/>
    <w:rsid w:val="00773EF7"/>
    <w:rsid w:val="00774E1D"/>
    <w:rsid w:val="0077675A"/>
    <w:rsid w:val="00780355"/>
    <w:rsid w:val="00780937"/>
    <w:rsid w:val="00781F19"/>
    <w:rsid w:val="00785721"/>
    <w:rsid w:val="00785A8A"/>
    <w:rsid w:val="00790088"/>
    <w:rsid w:val="00793A59"/>
    <w:rsid w:val="00795DC5"/>
    <w:rsid w:val="007A2162"/>
    <w:rsid w:val="007A274E"/>
    <w:rsid w:val="007A6DC8"/>
    <w:rsid w:val="007B0CD0"/>
    <w:rsid w:val="007B1EC2"/>
    <w:rsid w:val="007B3C16"/>
    <w:rsid w:val="007B614B"/>
    <w:rsid w:val="007B7CB3"/>
    <w:rsid w:val="007C0F3D"/>
    <w:rsid w:val="007C1920"/>
    <w:rsid w:val="007C1AF7"/>
    <w:rsid w:val="007C386C"/>
    <w:rsid w:val="007D2AAF"/>
    <w:rsid w:val="007E0417"/>
    <w:rsid w:val="007E175B"/>
    <w:rsid w:val="007F17AF"/>
    <w:rsid w:val="007F2054"/>
    <w:rsid w:val="00804326"/>
    <w:rsid w:val="008134F4"/>
    <w:rsid w:val="00816164"/>
    <w:rsid w:val="0081779A"/>
    <w:rsid w:val="00821776"/>
    <w:rsid w:val="00826007"/>
    <w:rsid w:val="008320C3"/>
    <w:rsid w:val="008321F5"/>
    <w:rsid w:val="00832369"/>
    <w:rsid w:val="00834660"/>
    <w:rsid w:val="00836BC2"/>
    <w:rsid w:val="00840DE6"/>
    <w:rsid w:val="0085006E"/>
    <w:rsid w:val="0085641B"/>
    <w:rsid w:val="00857136"/>
    <w:rsid w:val="00864411"/>
    <w:rsid w:val="008701C6"/>
    <w:rsid w:val="008727C5"/>
    <w:rsid w:val="0087458F"/>
    <w:rsid w:val="00891004"/>
    <w:rsid w:val="00895DBA"/>
    <w:rsid w:val="00896018"/>
    <w:rsid w:val="008A1DE4"/>
    <w:rsid w:val="008A2B9D"/>
    <w:rsid w:val="008A5E0B"/>
    <w:rsid w:val="008A6D59"/>
    <w:rsid w:val="008A7095"/>
    <w:rsid w:val="008B1A25"/>
    <w:rsid w:val="008B4B03"/>
    <w:rsid w:val="008B553E"/>
    <w:rsid w:val="008B596F"/>
    <w:rsid w:val="008B657F"/>
    <w:rsid w:val="008C159F"/>
    <w:rsid w:val="008C1623"/>
    <w:rsid w:val="008C51A9"/>
    <w:rsid w:val="008C63C5"/>
    <w:rsid w:val="008C7541"/>
    <w:rsid w:val="008D1238"/>
    <w:rsid w:val="008D2580"/>
    <w:rsid w:val="008E1DE0"/>
    <w:rsid w:val="008E38CE"/>
    <w:rsid w:val="008E3C43"/>
    <w:rsid w:val="008E3FF2"/>
    <w:rsid w:val="008F1CCC"/>
    <w:rsid w:val="008F2967"/>
    <w:rsid w:val="008F6EF7"/>
    <w:rsid w:val="00900C01"/>
    <w:rsid w:val="0090202E"/>
    <w:rsid w:val="00902BCB"/>
    <w:rsid w:val="00904171"/>
    <w:rsid w:val="009074DB"/>
    <w:rsid w:val="00911F45"/>
    <w:rsid w:val="009165EB"/>
    <w:rsid w:val="00917026"/>
    <w:rsid w:val="00920330"/>
    <w:rsid w:val="009209CE"/>
    <w:rsid w:val="00920FE0"/>
    <w:rsid w:val="00920FF4"/>
    <w:rsid w:val="009219D7"/>
    <w:rsid w:val="00922D53"/>
    <w:rsid w:val="00923B70"/>
    <w:rsid w:val="0092600B"/>
    <w:rsid w:val="00926B0E"/>
    <w:rsid w:val="00930237"/>
    <w:rsid w:val="00930A16"/>
    <w:rsid w:val="00932BBB"/>
    <w:rsid w:val="009342CB"/>
    <w:rsid w:val="00935BE3"/>
    <w:rsid w:val="00947BE9"/>
    <w:rsid w:val="00953E15"/>
    <w:rsid w:val="00962518"/>
    <w:rsid w:val="00962F4E"/>
    <w:rsid w:val="0096319D"/>
    <w:rsid w:val="00963C08"/>
    <w:rsid w:val="00964F68"/>
    <w:rsid w:val="00966276"/>
    <w:rsid w:val="009707B8"/>
    <w:rsid w:val="0097423F"/>
    <w:rsid w:val="00974DBB"/>
    <w:rsid w:val="0097633B"/>
    <w:rsid w:val="00984F25"/>
    <w:rsid w:val="0099110E"/>
    <w:rsid w:val="00991A2B"/>
    <w:rsid w:val="00994189"/>
    <w:rsid w:val="009A2D9B"/>
    <w:rsid w:val="009A4CED"/>
    <w:rsid w:val="009A5BC7"/>
    <w:rsid w:val="009B019D"/>
    <w:rsid w:val="009B1D12"/>
    <w:rsid w:val="009B3475"/>
    <w:rsid w:val="009B416B"/>
    <w:rsid w:val="009B52E2"/>
    <w:rsid w:val="009B68A6"/>
    <w:rsid w:val="009C4BD5"/>
    <w:rsid w:val="009D059A"/>
    <w:rsid w:val="009D1E2B"/>
    <w:rsid w:val="009D2E04"/>
    <w:rsid w:val="009D7B77"/>
    <w:rsid w:val="009E0BB0"/>
    <w:rsid w:val="009E10F2"/>
    <w:rsid w:val="009E314A"/>
    <w:rsid w:val="009E3EF7"/>
    <w:rsid w:val="009E3FBB"/>
    <w:rsid w:val="009E45E7"/>
    <w:rsid w:val="009F018D"/>
    <w:rsid w:val="009F0B33"/>
    <w:rsid w:val="009F1F80"/>
    <w:rsid w:val="009F3C09"/>
    <w:rsid w:val="009F4FC1"/>
    <w:rsid w:val="009F5CA7"/>
    <w:rsid w:val="00A114BE"/>
    <w:rsid w:val="00A1235B"/>
    <w:rsid w:val="00A14DF7"/>
    <w:rsid w:val="00A23F61"/>
    <w:rsid w:val="00A26E24"/>
    <w:rsid w:val="00A26E63"/>
    <w:rsid w:val="00A3246D"/>
    <w:rsid w:val="00A36FA7"/>
    <w:rsid w:val="00A4235C"/>
    <w:rsid w:val="00A475B7"/>
    <w:rsid w:val="00A4792F"/>
    <w:rsid w:val="00A47AF7"/>
    <w:rsid w:val="00A47C3E"/>
    <w:rsid w:val="00A50226"/>
    <w:rsid w:val="00A53D6A"/>
    <w:rsid w:val="00A54BE1"/>
    <w:rsid w:val="00A60BAD"/>
    <w:rsid w:val="00A644D1"/>
    <w:rsid w:val="00A65256"/>
    <w:rsid w:val="00A66E5C"/>
    <w:rsid w:val="00A73A8D"/>
    <w:rsid w:val="00A7643D"/>
    <w:rsid w:val="00A77452"/>
    <w:rsid w:val="00A800E7"/>
    <w:rsid w:val="00A869E4"/>
    <w:rsid w:val="00A87334"/>
    <w:rsid w:val="00A90942"/>
    <w:rsid w:val="00A912F8"/>
    <w:rsid w:val="00AA3EB9"/>
    <w:rsid w:val="00AB62D6"/>
    <w:rsid w:val="00AB67A5"/>
    <w:rsid w:val="00AB69D3"/>
    <w:rsid w:val="00AC004D"/>
    <w:rsid w:val="00AC140F"/>
    <w:rsid w:val="00AC2B40"/>
    <w:rsid w:val="00AC2BB2"/>
    <w:rsid w:val="00AC2C3C"/>
    <w:rsid w:val="00AC2D38"/>
    <w:rsid w:val="00AC3BD9"/>
    <w:rsid w:val="00AC3D45"/>
    <w:rsid w:val="00AC5A93"/>
    <w:rsid w:val="00AC5CD3"/>
    <w:rsid w:val="00AD33C7"/>
    <w:rsid w:val="00AD5831"/>
    <w:rsid w:val="00AE42F3"/>
    <w:rsid w:val="00AE5AB2"/>
    <w:rsid w:val="00AE65EB"/>
    <w:rsid w:val="00AF1D94"/>
    <w:rsid w:val="00AF60C5"/>
    <w:rsid w:val="00AF69CB"/>
    <w:rsid w:val="00B005B5"/>
    <w:rsid w:val="00B009C6"/>
    <w:rsid w:val="00B00ACB"/>
    <w:rsid w:val="00B00C92"/>
    <w:rsid w:val="00B01548"/>
    <w:rsid w:val="00B01551"/>
    <w:rsid w:val="00B01AF7"/>
    <w:rsid w:val="00B0488A"/>
    <w:rsid w:val="00B06331"/>
    <w:rsid w:val="00B14456"/>
    <w:rsid w:val="00B147DA"/>
    <w:rsid w:val="00B14F8F"/>
    <w:rsid w:val="00B202E0"/>
    <w:rsid w:val="00B21D29"/>
    <w:rsid w:val="00B21FC5"/>
    <w:rsid w:val="00B23323"/>
    <w:rsid w:val="00B24FF5"/>
    <w:rsid w:val="00B25034"/>
    <w:rsid w:val="00B25EFD"/>
    <w:rsid w:val="00B31CD6"/>
    <w:rsid w:val="00B33863"/>
    <w:rsid w:val="00B37D17"/>
    <w:rsid w:val="00B4175E"/>
    <w:rsid w:val="00B510E1"/>
    <w:rsid w:val="00B513A4"/>
    <w:rsid w:val="00B513C7"/>
    <w:rsid w:val="00B54C25"/>
    <w:rsid w:val="00B60E97"/>
    <w:rsid w:val="00B76B91"/>
    <w:rsid w:val="00B87BB7"/>
    <w:rsid w:val="00B93032"/>
    <w:rsid w:val="00B946A9"/>
    <w:rsid w:val="00B9484C"/>
    <w:rsid w:val="00B94CFB"/>
    <w:rsid w:val="00B94E98"/>
    <w:rsid w:val="00BA0DFC"/>
    <w:rsid w:val="00BA2150"/>
    <w:rsid w:val="00BA38FF"/>
    <w:rsid w:val="00BB0F9B"/>
    <w:rsid w:val="00BB7994"/>
    <w:rsid w:val="00BC0FA7"/>
    <w:rsid w:val="00BC1CAB"/>
    <w:rsid w:val="00BC1E00"/>
    <w:rsid w:val="00BC256E"/>
    <w:rsid w:val="00BC622A"/>
    <w:rsid w:val="00BC6C35"/>
    <w:rsid w:val="00BD0B28"/>
    <w:rsid w:val="00BD20C8"/>
    <w:rsid w:val="00BE0A78"/>
    <w:rsid w:val="00BE243C"/>
    <w:rsid w:val="00BE383A"/>
    <w:rsid w:val="00BE79F0"/>
    <w:rsid w:val="00BF046D"/>
    <w:rsid w:val="00BF43F2"/>
    <w:rsid w:val="00BF4582"/>
    <w:rsid w:val="00BF5D04"/>
    <w:rsid w:val="00C01D57"/>
    <w:rsid w:val="00C13563"/>
    <w:rsid w:val="00C14835"/>
    <w:rsid w:val="00C1617C"/>
    <w:rsid w:val="00C23477"/>
    <w:rsid w:val="00C24FC6"/>
    <w:rsid w:val="00C251AE"/>
    <w:rsid w:val="00C25E67"/>
    <w:rsid w:val="00C30AD0"/>
    <w:rsid w:val="00C312C4"/>
    <w:rsid w:val="00C338D6"/>
    <w:rsid w:val="00C3408D"/>
    <w:rsid w:val="00C404A6"/>
    <w:rsid w:val="00C40A36"/>
    <w:rsid w:val="00C44419"/>
    <w:rsid w:val="00C447EB"/>
    <w:rsid w:val="00C45E7B"/>
    <w:rsid w:val="00C471B1"/>
    <w:rsid w:val="00C4743E"/>
    <w:rsid w:val="00C50E5C"/>
    <w:rsid w:val="00C6316B"/>
    <w:rsid w:val="00C634A9"/>
    <w:rsid w:val="00C70AF1"/>
    <w:rsid w:val="00C71313"/>
    <w:rsid w:val="00C726D8"/>
    <w:rsid w:val="00C7475B"/>
    <w:rsid w:val="00C762B8"/>
    <w:rsid w:val="00C76805"/>
    <w:rsid w:val="00C772FF"/>
    <w:rsid w:val="00C801AF"/>
    <w:rsid w:val="00C80256"/>
    <w:rsid w:val="00C80F60"/>
    <w:rsid w:val="00C85953"/>
    <w:rsid w:val="00C86117"/>
    <w:rsid w:val="00C87D1E"/>
    <w:rsid w:val="00C87DC4"/>
    <w:rsid w:val="00C92F28"/>
    <w:rsid w:val="00C933A1"/>
    <w:rsid w:val="00C954B6"/>
    <w:rsid w:val="00CA7F9C"/>
    <w:rsid w:val="00CB3F9A"/>
    <w:rsid w:val="00CB6BC0"/>
    <w:rsid w:val="00CB73C5"/>
    <w:rsid w:val="00CB7E51"/>
    <w:rsid w:val="00CC16EF"/>
    <w:rsid w:val="00CC1B7C"/>
    <w:rsid w:val="00CC6827"/>
    <w:rsid w:val="00CC727F"/>
    <w:rsid w:val="00CC73AC"/>
    <w:rsid w:val="00CD1F02"/>
    <w:rsid w:val="00CD30CC"/>
    <w:rsid w:val="00CD66CB"/>
    <w:rsid w:val="00CD6FCC"/>
    <w:rsid w:val="00CE5067"/>
    <w:rsid w:val="00CE5BB0"/>
    <w:rsid w:val="00CF11F2"/>
    <w:rsid w:val="00CF15C3"/>
    <w:rsid w:val="00CF2B6F"/>
    <w:rsid w:val="00CF4791"/>
    <w:rsid w:val="00CF5ADB"/>
    <w:rsid w:val="00CF7E30"/>
    <w:rsid w:val="00D017ED"/>
    <w:rsid w:val="00D019E5"/>
    <w:rsid w:val="00D01F4A"/>
    <w:rsid w:val="00D02021"/>
    <w:rsid w:val="00D11F5C"/>
    <w:rsid w:val="00D151B8"/>
    <w:rsid w:val="00D153B1"/>
    <w:rsid w:val="00D20C54"/>
    <w:rsid w:val="00D213B3"/>
    <w:rsid w:val="00D224FE"/>
    <w:rsid w:val="00D229BA"/>
    <w:rsid w:val="00D2320B"/>
    <w:rsid w:val="00D25F22"/>
    <w:rsid w:val="00D27857"/>
    <w:rsid w:val="00D27F93"/>
    <w:rsid w:val="00D3034B"/>
    <w:rsid w:val="00D30526"/>
    <w:rsid w:val="00D35496"/>
    <w:rsid w:val="00D3646E"/>
    <w:rsid w:val="00D40EC3"/>
    <w:rsid w:val="00D477B7"/>
    <w:rsid w:val="00D50A1E"/>
    <w:rsid w:val="00D5494E"/>
    <w:rsid w:val="00D55652"/>
    <w:rsid w:val="00D64401"/>
    <w:rsid w:val="00D6493E"/>
    <w:rsid w:val="00D66832"/>
    <w:rsid w:val="00D67337"/>
    <w:rsid w:val="00D754E4"/>
    <w:rsid w:val="00D80F7B"/>
    <w:rsid w:val="00D83280"/>
    <w:rsid w:val="00D83825"/>
    <w:rsid w:val="00D85417"/>
    <w:rsid w:val="00D9141E"/>
    <w:rsid w:val="00D92F2D"/>
    <w:rsid w:val="00D93246"/>
    <w:rsid w:val="00D971D5"/>
    <w:rsid w:val="00DA09D3"/>
    <w:rsid w:val="00DA1124"/>
    <w:rsid w:val="00DA24C7"/>
    <w:rsid w:val="00DA381C"/>
    <w:rsid w:val="00DA4CD9"/>
    <w:rsid w:val="00DB3B3F"/>
    <w:rsid w:val="00DD33AB"/>
    <w:rsid w:val="00DD75A3"/>
    <w:rsid w:val="00DD76DE"/>
    <w:rsid w:val="00DD78C6"/>
    <w:rsid w:val="00DE02AE"/>
    <w:rsid w:val="00DE27D1"/>
    <w:rsid w:val="00DE5512"/>
    <w:rsid w:val="00DE6A0C"/>
    <w:rsid w:val="00DE6C04"/>
    <w:rsid w:val="00DE7F4C"/>
    <w:rsid w:val="00DF035B"/>
    <w:rsid w:val="00DF0839"/>
    <w:rsid w:val="00DF1D7F"/>
    <w:rsid w:val="00DF45B9"/>
    <w:rsid w:val="00DF6BE8"/>
    <w:rsid w:val="00E02FB4"/>
    <w:rsid w:val="00E1198B"/>
    <w:rsid w:val="00E11E4D"/>
    <w:rsid w:val="00E12D29"/>
    <w:rsid w:val="00E1340C"/>
    <w:rsid w:val="00E17435"/>
    <w:rsid w:val="00E177F4"/>
    <w:rsid w:val="00E20571"/>
    <w:rsid w:val="00E20A63"/>
    <w:rsid w:val="00E21651"/>
    <w:rsid w:val="00E22953"/>
    <w:rsid w:val="00E235F7"/>
    <w:rsid w:val="00E239D4"/>
    <w:rsid w:val="00E30C88"/>
    <w:rsid w:val="00E32299"/>
    <w:rsid w:val="00E32A5C"/>
    <w:rsid w:val="00E32F75"/>
    <w:rsid w:val="00E4002B"/>
    <w:rsid w:val="00E40B22"/>
    <w:rsid w:val="00E446D8"/>
    <w:rsid w:val="00E4588F"/>
    <w:rsid w:val="00E45E72"/>
    <w:rsid w:val="00E46DA3"/>
    <w:rsid w:val="00E47660"/>
    <w:rsid w:val="00E5006C"/>
    <w:rsid w:val="00E50B56"/>
    <w:rsid w:val="00E51012"/>
    <w:rsid w:val="00E51415"/>
    <w:rsid w:val="00E61032"/>
    <w:rsid w:val="00E62AD9"/>
    <w:rsid w:val="00E650F0"/>
    <w:rsid w:val="00E65B19"/>
    <w:rsid w:val="00E67774"/>
    <w:rsid w:val="00E70972"/>
    <w:rsid w:val="00E87486"/>
    <w:rsid w:val="00E924A5"/>
    <w:rsid w:val="00EA16DE"/>
    <w:rsid w:val="00EA1F09"/>
    <w:rsid w:val="00EA3FF4"/>
    <w:rsid w:val="00EA406B"/>
    <w:rsid w:val="00EA4B43"/>
    <w:rsid w:val="00EA53DA"/>
    <w:rsid w:val="00EA7E1D"/>
    <w:rsid w:val="00EB0798"/>
    <w:rsid w:val="00EB40AD"/>
    <w:rsid w:val="00EB5622"/>
    <w:rsid w:val="00EB586E"/>
    <w:rsid w:val="00EB5FC8"/>
    <w:rsid w:val="00EB6CAF"/>
    <w:rsid w:val="00EC3079"/>
    <w:rsid w:val="00ED13B5"/>
    <w:rsid w:val="00ED555A"/>
    <w:rsid w:val="00ED5A41"/>
    <w:rsid w:val="00ED6A67"/>
    <w:rsid w:val="00EE07B9"/>
    <w:rsid w:val="00EE4FEB"/>
    <w:rsid w:val="00EF0829"/>
    <w:rsid w:val="00EF0C8B"/>
    <w:rsid w:val="00EF3F86"/>
    <w:rsid w:val="00EF578B"/>
    <w:rsid w:val="00EF6895"/>
    <w:rsid w:val="00EF6A86"/>
    <w:rsid w:val="00F00E1F"/>
    <w:rsid w:val="00F033EC"/>
    <w:rsid w:val="00F04F68"/>
    <w:rsid w:val="00F0622D"/>
    <w:rsid w:val="00F1250A"/>
    <w:rsid w:val="00F12670"/>
    <w:rsid w:val="00F13B2F"/>
    <w:rsid w:val="00F14B27"/>
    <w:rsid w:val="00F22E05"/>
    <w:rsid w:val="00F2301F"/>
    <w:rsid w:val="00F27030"/>
    <w:rsid w:val="00F274A2"/>
    <w:rsid w:val="00F31011"/>
    <w:rsid w:val="00F3148D"/>
    <w:rsid w:val="00F35298"/>
    <w:rsid w:val="00F3529E"/>
    <w:rsid w:val="00F401EF"/>
    <w:rsid w:val="00F40B6B"/>
    <w:rsid w:val="00F427F0"/>
    <w:rsid w:val="00F47E37"/>
    <w:rsid w:val="00F5215B"/>
    <w:rsid w:val="00F54CA9"/>
    <w:rsid w:val="00F56B9D"/>
    <w:rsid w:val="00F57522"/>
    <w:rsid w:val="00F640B6"/>
    <w:rsid w:val="00F71E1E"/>
    <w:rsid w:val="00F80E40"/>
    <w:rsid w:val="00F83F96"/>
    <w:rsid w:val="00F8446E"/>
    <w:rsid w:val="00F859D2"/>
    <w:rsid w:val="00F8709D"/>
    <w:rsid w:val="00F9022D"/>
    <w:rsid w:val="00FA2B8E"/>
    <w:rsid w:val="00FA43E5"/>
    <w:rsid w:val="00FA5B82"/>
    <w:rsid w:val="00FA639E"/>
    <w:rsid w:val="00FC03C8"/>
    <w:rsid w:val="00FC1750"/>
    <w:rsid w:val="00FC25E4"/>
    <w:rsid w:val="00FC4EF7"/>
    <w:rsid w:val="00FC59B6"/>
    <w:rsid w:val="00FC78B8"/>
    <w:rsid w:val="00FD0C3D"/>
    <w:rsid w:val="00FD6DC2"/>
    <w:rsid w:val="00FD7376"/>
    <w:rsid w:val="00FE0230"/>
    <w:rsid w:val="00FE1DEE"/>
    <w:rsid w:val="00FE206C"/>
    <w:rsid w:val="00FE501F"/>
    <w:rsid w:val="00FE6716"/>
    <w:rsid w:val="00FE72C1"/>
    <w:rsid w:val="00FF2126"/>
    <w:rsid w:val="00FF2993"/>
    <w:rsid w:val="00FF692D"/>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1E186B5E"/>
  <w15:docId w15:val="{35875ED8-473E-44DA-B39A-8E15FB2F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table" w:customStyle="1" w:styleId="TableTGAblue1">
    <w:name w:val="Table TGA blue1"/>
    <w:basedOn w:val="TableNormal"/>
    <w:uiPriority w:val="99"/>
    <w:qFormat/>
    <w:rsid w:val="00DD33AB"/>
    <w:pPr>
      <w:spacing w:after="200" w:line="0" w:lineRule="auto"/>
    </w:pPr>
    <w:rPr>
      <w:rFonts w:cstheme="minorBidi"/>
      <w:sz w:val="22"/>
      <w:szCs w:val="21"/>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paragraph" w:styleId="NoSpacing">
    <w:name w:val="No Spacing"/>
    <w:uiPriority w:val="1"/>
    <w:qFormat/>
    <w:rsid w:val="00DD33AB"/>
    <w:rPr>
      <w:sz w:val="22"/>
      <w:lang w:eastAsia="en-US"/>
    </w:rPr>
  </w:style>
  <w:style w:type="paragraph" w:styleId="ListParagraph">
    <w:name w:val="List Paragraph"/>
    <w:basedOn w:val="Normal"/>
    <w:uiPriority w:val="34"/>
    <w:rsid w:val="00E924A5"/>
    <w:pPr>
      <w:ind w:left="720"/>
      <w:contextualSpacing/>
    </w:pPr>
  </w:style>
  <w:style w:type="paragraph" w:styleId="Revision">
    <w:name w:val="Revision"/>
    <w:hidden/>
    <w:uiPriority w:val="99"/>
    <w:semiHidden/>
    <w:rsid w:val="00B005B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gs1.org/standards/id-keys/gtin" TargetMode="External"/><Relationship Id="rId26" Type="http://schemas.openxmlformats.org/officeDocument/2006/relationships/hyperlink" Target="https://www.legislation.gov.au/Series/F1996B00406" TargetMode="External"/><Relationship Id="rId39" Type="http://schemas.openxmlformats.org/officeDocument/2006/relationships/hyperlink" Target="https://www.gs1.org/standards/id-keys/gtin" TargetMode="External"/><Relationship Id="rId21" Type="http://schemas.openxmlformats.org/officeDocument/2006/relationships/hyperlink" Target="https://www.blood.gov.au/barcoding" TargetMode="External"/><Relationship Id="rId34" Type="http://schemas.openxmlformats.org/officeDocument/2006/relationships/hyperlink" Target="https://www.gs1.org/standards/id-keys/gtin" TargetMode="External"/><Relationship Id="rId42" Type="http://schemas.openxmlformats.org/officeDocument/2006/relationships/hyperlink" Target="https://www.legislation.gov.au/Series/C2004A03952" TargetMode="External"/><Relationship Id="rId47" Type="http://schemas.openxmlformats.org/officeDocument/2006/relationships/hyperlink" Target="https://www.gs1.org/standards/id-keys/gtin" TargetMode="External"/><Relationship Id="rId50" Type="http://schemas.openxmlformats.org/officeDocument/2006/relationships/hyperlink" Target="https://www.tga.gov.au/acronyms-glossary" TargetMode="External"/><Relationship Id="rId55" Type="http://schemas.openxmlformats.org/officeDocument/2006/relationships/hyperlink" Target="https://www.gs1.org/standards/barcodes-epcrfid-id-keys/gs1-general-specifications" TargetMode="External"/><Relationship Id="rId63" Type="http://schemas.openxmlformats.org/officeDocument/2006/relationships/image" Target="media/image12.png"/><Relationship Id="rId68" Type="http://schemas.openxmlformats.org/officeDocument/2006/relationships/hyperlink" Target="https://www.gs1.org/standards/id-keys/gtin" TargetMode="External"/><Relationship Id="rId76" Type="http://schemas.openxmlformats.org/officeDocument/2006/relationships/hyperlink" Target="mailto:info@tga.gov.au" TargetMode="External"/><Relationship Id="rId7" Type="http://schemas.openxmlformats.org/officeDocument/2006/relationships/endnotes" Target="endnotes.xml"/><Relationship Id="rId71" Type="http://schemas.openxmlformats.org/officeDocument/2006/relationships/hyperlink" Target="https://www.gs1.org/standards/barcodes-epcrfid-id-keys/gs1-general-specifications" TargetMode="External"/><Relationship Id="rId2" Type="http://schemas.openxmlformats.org/officeDocument/2006/relationships/numbering" Target="numbering.xml"/><Relationship Id="rId16" Type="http://schemas.openxmlformats.org/officeDocument/2006/relationships/hyperlink" Target="https://www.gs1.org/standards/id-keys/gtin" TargetMode="External"/><Relationship Id="rId29" Type="http://schemas.openxmlformats.org/officeDocument/2006/relationships/image" Target="media/image7.gif"/><Relationship Id="rId11" Type="http://schemas.openxmlformats.org/officeDocument/2006/relationships/footer" Target="footer2.xml"/><Relationship Id="rId24" Type="http://schemas.openxmlformats.org/officeDocument/2006/relationships/hyperlink" Target="https://www.tga.gov.au/form/special-access-scheme" TargetMode="External"/><Relationship Id="rId32" Type="http://schemas.openxmlformats.org/officeDocument/2006/relationships/hyperlink" Target="https://www.gs1.org/standards/barcodes-epcrfid-id-keys/gs1-general-specifications" TargetMode="External"/><Relationship Id="rId37" Type="http://schemas.openxmlformats.org/officeDocument/2006/relationships/hyperlink" Target="https://www.gs1.org/standards/barcodes-epcrfid-id-keys/gs1-general-specifications" TargetMode="External"/><Relationship Id="rId40" Type="http://schemas.openxmlformats.org/officeDocument/2006/relationships/image" Target="media/image11.png"/><Relationship Id="rId45" Type="http://schemas.openxmlformats.org/officeDocument/2006/relationships/hyperlink" Target="https://www.gs1.org/standards/id-keys/gtin" TargetMode="External"/><Relationship Id="rId53" Type="http://schemas.openxmlformats.org/officeDocument/2006/relationships/hyperlink" Target="https://www.tga.gov.au/publication/therapeutic-goods-advertising-code" TargetMode="External"/><Relationship Id="rId58" Type="http://schemas.openxmlformats.org/officeDocument/2006/relationships/hyperlink" Target="https://www.legislation.gov.au/Series/F2016L01287" TargetMode="External"/><Relationship Id="rId66" Type="http://schemas.openxmlformats.org/officeDocument/2006/relationships/image" Target="media/image14.gif"/><Relationship Id="rId74" Type="http://schemas.openxmlformats.org/officeDocument/2006/relationships/header" Target="header4.xml"/><Relationship Id="rId79"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www.gs1.org/standards/id-keys/gtin" TargetMode="Externa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image" Target="media/image9.png"/><Relationship Id="rId44" Type="http://schemas.openxmlformats.org/officeDocument/2006/relationships/hyperlink" Target="https://www.gs1.org/standards/barcodes-epcrfid-id-keys/gs1-general-specifications" TargetMode="External"/><Relationship Id="rId52" Type="http://schemas.openxmlformats.org/officeDocument/2006/relationships/hyperlink" Target="https://www.legislation.gov.au/Series/C2004A03952" TargetMode="External"/><Relationship Id="rId60" Type="http://schemas.openxmlformats.org/officeDocument/2006/relationships/hyperlink" Target="https://www.gs1.org/standards/barcodes/ean-upc" TargetMode="External"/><Relationship Id="rId65" Type="http://schemas.openxmlformats.org/officeDocument/2006/relationships/hyperlink" Target="https://www.gs1.org/standards/id-keys/gtin" TargetMode="External"/><Relationship Id="rId73" Type="http://schemas.openxmlformats.org/officeDocument/2006/relationships/hyperlink" Target="https://www.gs1.org/docs/healthcare/Publications_position-papers/Aggregation-Paper-Pharma-Supply-Chain.pdf" TargetMode="External"/><Relationship Id="rId78" Type="http://schemas.openxmlformats.org/officeDocument/2006/relationships/hyperlink" Target="el://D20-3698913?db=A7&amp;open"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legislation.gov.au/Series/C2004A03952" TargetMode="External"/><Relationship Id="rId27" Type="http://schemas.openxmlformats.org/officeDocument/2006/relationships/image" Target="media/image5.png"/><Relationship Id="rId30" Type="http://schemas.openxmlformats.org/officeDocument/2006/relationships/image" Target="media/image8.gif"/><Relationship Id="rId35" Type="http://schemas.openxmlformats.org/officeDocument/2006/relationships/hyperlink" Target="https://www.tga.gov.au/medicine-packaging-definitions-sponsors" TargetMode="External"/><Relationship Id="rId43" Type="http://schemas.openxmlformats.org/officeDocument/2006/relationships/hyperlink" Target="https://www.gs1.org/standards/id-keys/gtin" TargetMode="External"/><Relationship Id="rId48" Type="http://schemas.openxmlformats.org/officeDocument/2006/relationships/hyperlink" Target="https://www.gs1.org/standards/barcodes-epcrfid-id-keys/gs1-general-specifications" TargetMode="External"/><Relationship Id="rId56" Type="http://schemas.openxmlformats.org/officeDocument/2006/relationships/hyperlink" Target="https://www.gs1.org/standards/barcodes-epcrfid-id-keys/gs1-general-specifications" TargetMode="External"/><Relationship Id="rId64" Type="http://schemas.openxmlformats.org/officeDocument/2006/relationships/image" Target="media/image13.png"/><Relationship Id="rId69" Type="http://schemas.openxmlformats.org/officeDocument/2006/relationships/hyperlink" Target="https://www.gs1.org/standards/barcodes-epcrfid-id-keys/gs1-general-specifications" TargetMode="External"/><Relationship Id="rId77"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hyperlink" Target="https://www.tga.gov.au/acronyms-glossary" TargetMode="External"/><Relationship Id="rId72" Type="http://schemas.openxmlformats.org/officeDocument/2006/relationships/image" Target="media/image16.png"/><Relationship Id="rId80" Type="http://schemas.openxmlformats.org/officeDocument/2006/relationships/footer" Target="foot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legislation.gov.au/Series/C2004A03952" TargetMode="External"/><Relationship Id="rId25" Type="http://schemas.openxmlformats.org/officeDocument/2006/relationships/hyperlink" Target="https://www.gs1.org/industries/healthcare/clinical-trials" TargetMode="External"/><Relationship Id="rId33" Type="http://schemas.openxmlformats.org/officeDocument/2006/relationships/image" Target="media/image10.gif"/><Relationship Id="rId38" Type="http://schemas.openxmlformats.org/officeDocument/2006/relationships/hyperlink" Target="https://www.tga.gov.au/good-manufacturing-practice-overview" TargetMode="External"/><Relationship Id="rId46" Type="http://schemas.openxmlformats.org/officeDocument/2006/relationships/hyperlink" Target="https://www.gs1.org/standards/barcodes-epcrfid-id-keys/gs1-general-specifications" TargetMode="External"/><Relationship Id="rId59" Type="http://schemas.openxmlformats.org/officeDocument/2006/relationships/hyperlink" Target="https://www.tga.gov.au/medicine-labels-guidance-tgo-91-and-tgo-92" TargetMode="External"/><Relationship Id="rId67" Type="http://schemas.openxmlformats.org/officeDocument/2006/relationships/image" Target="media/image15.gif"/><Relationship Id="rId20" Type="http://schemas.openxmlformats.org/officeDocument/2006/relationships/hyperlink" Target="https://www.legislation.gov.au/Series/C2004A03952" TargetMode="External"/><Relationship Id="rId41" Type="http://schemas.openxmlformats.org/officeDocument/2006/relationships/hyperlink" Target="https://www.legislation.gov.au/Series/C2004A03952" TargetMode="External"/><Relationship Id="rId54" Type="http://schemas.openxmlformats.org/officeDocument/2006/relationships/hyperlink" Target="https://www.gs1.org/standards/barcodes-epcrfid-id-keys/gs1-general-specifications" TargetMode="External"/><Relationship Id="rId62" Type="http://schemas.openxmlformats.org/officeDocument/2006/relationships/hyperlink" Target="https://www.gs1au.org/api/sharepointlibrary/download?g=MTAvMjgvMjAyMCAxMjo0Mj,ozNiBQTXxHUzFhdS1oZWFsdG,hjYXJlLWd1aWRlbGluZS1tdWx0aXBsZS1iYXJjb2RlLWd1aW,RhbmNlLnBkZnxmaWxl" TargetMode="External"/><Relationship Id="rId70" Type="http://schemas.openxmlformats.org/officeDocument/2006/relationships/hyperlink" Target="https://www.gs1.org/standards/id-keys/gtin"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Series/F2021L00333" TargetMode="External"/><Relationship Id="rId23" Type="http://schemas.openxmlformats.org/officeDocument/2006/relationships/hyperlink" Target="https://www.tga.gov.au/clinical-trials" TargetMode="External"/><Relationship Id="rId28" Type="http://schemas.openxmlformats.org/officeDocument/2006/relationships/image" Target="media/image6.gif"/><Relationship Id="rId36" Type="http://schemas.openxmlformats.org/officeDocument/2006/relationships/hyperlink" Target="https://www.legislation.gov.au/Series/C2004A03952" TargetMode="External"/><Relationship Id="rId49" Type="http://schemas.openxmlformats.org/officeDocument/2006/relationships/hyperlink" Target="https://www.gs1.org/standards/barcodes-epcrfid-id-keys/gs1-general-specifications" TargetMode="External"/><Relationship Id="rId57" Type="http://schemas.openxmlformats.org/officeDocument/2006/relationships/hyperlink" Target="https://www.legislation.gov.au/Series/F2016L0128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1343-2ABD-4B3B-8702-250E976E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1632</TotalTime>
  <Pages>18</Pages>
  <Words>5178</Words>
  <Characters>27345</Characters>
  <Application>Microsoft Office Word</Application>
  <DocSecurity>0</DocSecurity>
  <Lines>594</Lines>
  <Paragraphs>406</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 serialisation and data matrix codes on medicines</dc:title>
  <dc:subject>labelling/packaging</dc:subject>
  <dc:creator>Therapeutic Goods Administration</dc:creator>
  <cp:lastPrinted>2020-12-14T05:08:00Z</cp:lastPrinted>
  <dcterms:created xsi:type="dcterms:W3CDTF">2021-01-04T03:47:00Z</dcterms:created>
  <dcterms:modified xsi:type="dcterms:W3CDTF">2021-03-26T03:43:00Z</dcterms:modified>
</cp:coreProperties>
</file>