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330125" w:rsidRPr="00215D48" w14:paraId="14383FEE" w14:textId="77777777" w:rsidTr="00B4150E">
        <w:tc>
          <w:tcPr>
            <w:tcW w:w="8720" w:type="dxa"/>
          </w:tcPr>
          <w:p w14:paraId="288BBF57" w14:textId="7E8ED5C8" w:rsidR="00330125" w:rsidRPr="00215D48" w:rsidRDefault="00330125" w:rsidP="00B4150E">
            <w:pPr>
              <w:pStyle w:val="Title"/>
            </w:pPr>
            <w:r w:rsidRPr="00227ABE">
              <w:t>Seasonal Influenza IVD self-tests</w:t>
            </w:r>
          </w:p>
        </w:tc>
      </w:tr>
      <w:tr w:rsidR="00330125" w:rsidRPr="00215D48" w14:paraId="112609E6" w14:textId="77777777" w:rsidTr="00B4150E">
        <w:trPr>
          <w:trHeight w:val="1916"/>
        </w:trPr>
        <w:tc>
          <w:tcPr>
            <w:tcW w:w="8720" w:type="dxa"/>
          </w:tcPr>
          <w:p w14:paraId="4CF94056" w14:textId="10AD1580" w:rsidR="00330125" w:rsidRPr="00215D48" w:rsidRDefault="0004780A" w:rsidP="00B4150E">
            <w:pPr>
              <w:pStyle w:val="Subtitle"/>
              <w:ind w:left="0"/>
            </w:pPr>
            <w:r>
              <w:t>Clinical performance r</w:t>
            </w:r>
            <w:r w:rsidR="00330125" w:rsidRPr="00227ABE">
              <w:t>equirements and risk mitigation strategies</w:t>
            </w:r>
          </w:p>
        </w:tc>
      </w:tr>
      <w:tr w:rsidR="00330125" w:rsidRPr="00215D48" w14:paraId="3D347EAA" w14:textId="77777777" w:rsidTr="00B4150E">
        <w:tc>
          <w:tcPr>
            <w:tcW w:w="8720" w:type="dxa"/>
          </w:tcPr>
          <w:p w14:paraId="7B566A2F" w14:textId="0A15D741" w:rsidR="00330125" w:rsidRPr="00215D48" w:rsidRDefault="00DA7D2E" w:rsidP="00B70836">
            <w:pPr>
              <w:pStyle w:val="Date"/>
            </w:pPr>
            <w:r>
              <w:t>Version 1.0, March</w:t>
            </w:r>
            <w:r w:rsidR="00B70836">
              <w:t xml:space="preserve"> 2021</w:t>
            </w:r>
          </w:p>
        </w:tc>
      </w:tr>
    </w:tbl>
    <w:p w14:paraId="19FECD04" w14:textId="77777777" w:rsidR="00ED44AC" w:rsidRDefault="00ED44AC"/>
    <w:p w14:paraId="70220693" w14:textId="77777777"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53616C28" w14:textId="77777777" w:rsidR="00027C48" w:rsidRPr="00E1198B" w:rsidRDefault="00027C48" w:rsidP="00027C48">
      <w:pPr>
        <w:pStyle w:val="LegalSubheading"/>
      </w:pPr>
      <w:r w:rsidRPr="00BA0DFC">
        <w:lastRenderedPageBreak/>
        <w:t>Copyright</w:t>
      </w:r>
    </w:p>
    <w:p w14:paraId="5B7F114C" w14:textId="77777777" w:rsidR="00027C48" w:rsidRDefault="00027C48" w:rsidP="00027C48">
      <w:pPr>
        <w:pStyle w:val="LegalCopy"/>
        <w:rPr>
          <w:rFonts w:cs="Arial"/>
        </w:rPr>
      </w:pPr>
      <w:r w:rsidRPr="00215D48">
        <w:rPr>
          <w:rFonts w:cs="Arial"/>
        </w:rPr>
        <w:t>© Commonwealth of Australia 20</w:t>
      </w:r>
      <w:r>
        <w:rPr>
          <w:rFonts w:cs="Arial"/>
        </w:rPr>
        <w:t>21</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14:paraId="25691175" w14:textId="77777777" w:rsidR="00F401EF" w:rsidRPr="00215D48" w:rsidRDefault="00F401EF" w:rsidP="00035110">
          <w:pPr>
            <w:pStyle w:val="NonTOCheading2"/>
          </w:pPr>
          <w:r w:rsidRPr="00215D48">
            <w:t>Contents</w:t>
          </w:r>
        </w:p>
        <w:bookmarkStart w:id="0" w:name="_GoBack"/>
        <w:bookmarkEnd w:id="0"/>
        <w:p w14:paraId="102C6F94" w14:textId="016A9DDF" w:rsidR="00CC67E1"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66907801" w:history="1">
            <w:r w:rsidR="00CC67E1" w:rsidRPr="00A3543C">
              <w:rPr>
                <w:rStyle w:val="Hyperlink"/>
                <w:noProof/>
              </w:rPr>
              <w:t>Purpose</w:t>
            </w:r>
            <w:r w:rsidR="00CC67E1">
              <w:rPr>
                <w:noProof/>
                <w:webHidden/>
              </w:rPr>
              <w:tab/>
            </w:r>
            <w:r w:rsidR="00CC67E1">
              <w:rPr>
                <w:noProof/>
                <w:webHidden/>
              </w:rPr>
              <w:fldChar w:fldCharType="begin"/>
            </w:r>
            <w:r w:rsidR="00CC67E1">
              <w:rPr>
                <w:noProof/>
                <w:webHidden/>
              </w:rPr>
              <w:instrText xml:space="preserve"> PAGEREF _Toc66907801 \h </w:instrText>
            </w:r>
            <w:r w:rsidR="00CC67E1">
              <w:rPr>
                <w:noProof/>
                <w:webHidden/>
              </w:rPr>
            </w:r>
            <w:r w:rsidR="00CC67E1">
              <w:rPr>
                <w:noProof/>
                <w:webHidden/>
              </w:rPr>
              <w:fldChar w:fldCharType="separate"/>
            </w:r>
            <w:r w:rsidR="00CC67E1">
              <w:rPr>
                <w:noProof/>
                <w:webHidden/>
              </w:rPr>
              <w:t>4</w:t>
            </w:r>
            <w:r w:rsidR="00CC67E1">
              <w:rPr>
                <w:noProof/>
                <w:webHidden/>
              </w:rPr>
              <w:fldChar w:fldCharType="end"/>
            </w:r>
          </w:hyperlink>
        </w:p>
        <w:p w14:paraId="13C13B70" w14:textId="59F12FA3" w:rsidR="00CC67E1" w:rsidRDefault="00CC67E1">
          <w:pPr>
            <w:pStyle w:val="TOC1"/>
            <w:rPr>
              <w:rFonts w:asciiTheme="minorHAnsi" w:eastAsiaTheme="minorEastAsia" w:hAnsiTheme="minorHAnsi" w:cstheme="minorBidi"/>
              <w:b w:val="0"/>
              <w:noProof/>
              <w:sz w:val="22"/>
              <w:szCs w:val="22"/>
              <w:lang w:eastAsia="en-AU"/>
            </w:rPr>
          </w:pPr>
          <w:hyperlink w:anchor="_Toc66907802" w:history="1">
            <w:r w:rsidRPr="00A3543C">
              <w:rPr>
                <w:rStyle w:val="Hyperlink"/>
                <w:noProof/>
              </w:rPr>
              <w:t>Background</w:t>
            </w:r>
            <w:r>
              <w:rPr>
                <w:noProof/>
                <w:webHidden/>
              </w:rPr>
              <w:tab/>
            </w:r>
            <w:r>
              <w:rPr>
                <w:noProof/>
                <w:webHidden/>
              </w:rPr>
              <w:fldChar w:fldCharType="begin"/>
            </w:r>
            <w:r>
              <w:rPr>
                <w:noProof/>
                <w:webHidden/>
              </w:rPr>
              <w:instrText xml:space="preserve"> PAGEREF _Toc66907802 \h </w:instrText>
            </w:r>
            <w:r>
              <w:rPr>
                <w:noProof/>
                <w:webHidden/>
              </w:rPr>
            </w:r>
            <w:r>
              <w:rPr>
                <w:noProof/>
                <w:webHidden/>
              </w:rPr>
              <w:fldChar w:fldCharType="separate"/>
            </w:r>
            <w:r>
              <w:rPr>
                <w:noProof/>
                <w:webHidden/>
              </w:rPr>
              <w:t>4</w:t>
            </w:r>
            <w:r>
              <w:rPr>
                <w:noProof/>
                <w:webHidden/>
              </w:rPr>
              <w:fldChar w:fldCharType="end"/>
            </w:r>
          </w:hyperlink>
        </w:p>
        <w:p w14:paraId="7711F3C7" w14:textId="5E68E44C" w:rsidR="00CC67E1" w:rsidRDefault="00CC67E1">
          <w:pPr>
            <w:pStyle w:val="TOC1"/>
            <w:rPr>
              <w:rFonts w:asciiTheme="minorHAnsi" w:eastAsiaTheme="minorEastAsia" w:hAnsiTheme="minorHAnsi" w:cstheme="minorBidi"/>
              <w:b w:val="0"/>
              <w:noProof/>
              <w:sz w:val="22"/>
              <w:szCs w:val="22"/>
              <w:lang w:eastAsia="en-AU"/>
            </w:rPr>
          </w:pPr>
          <w:hyperlink w:anchor="_Toc66907803" w:history="1">
            <w:r w:rsidRPr="00A3543C">
              <w:rPr>
                <w:rStyle w:val="Hyperlink"/>
                <w:noProof/>
              </w:rPr>
              <w:t>Public health context</w:t>
            </w:r>
            <w:r>
              <w:rPr>
                <w:noProof/>
                <w:webHidden/>
              </w:rPr>
              <w:tab/>
            </w:r>
            <w:r>
              <w:rPr>
                <w:noProof/>
                <w:webHidden/>
              </w:rPr>
              <w:fldChar w:fldCharType="begin"/>
            </w:r>
            <w:r>
              <w:rPr>
                <w:noProof/>
                <w:webHidden/>
              </w:rPr>
              <w:instrText xml:space="preserve"> PAGEREF _Toc66907803 \h </w:instrText>
            </w:r>
            <w:r>
              <w:rPr>
                <w:noProof/>
                <w:webHidden/>
              </w:rPr>
            </w:r>
            <w:r>
              <w:rPr>
                <w:noProof/>
                <w:webHidden/>
              </w:rPr>
              <w:fldChar w:fldCharType="separate"/>
            </w:r>
            <w:r>
              <w:rPr>
                <w:noProof/>
                <w:webHidden/>
              </w:rPr>
              <w:t>5</w:t>
            </w:r>
            <w:r>
              <w:rPr>
                <w:noProof/>
                <w:webHidden/>
              </w:rPr>
              <w:fldChar w:fldCharType="end"/>
            </w:r>
          </w:hyperlink>
        </w:p>
        <w:p w14:paraId="06C20D10" w14:textId="0326E4EC" w:rsidR="00CC67E1" w:rsidRDefault="00CC67E1">
          <w:pPr>
            <w:pStyle w:val="TOC1"/>
            <w:rPr>
              <w:rFonts w:asciiTheme="minorHAnsi" w:eastAsiaTheme="minorEastAsia" w:hAnsiTheme="minorHAnsi" w:cstheme="minorBidi"/>
              <w:b w:val="0"/>
              <w:noProof/>
              <w:sz w:val="22"/>
              <w:szCs w:val="22"/>
              <w:lang w:eastAsia="en-AU"/>
            </w:rPr>
          </w:pPr>
          <w:hyperlink w:anchor="_Toc66907804" w:history="1">
            <w:r w:rsidRPr="00A3543C">
              <w:rPr>
                <w:rStyle w:val="Hyperlink"/>
                <w:noProof/>
              </w:rPr>
              <w:t>Clinical performance characteristics and risk mitigation strategies for IVD self-testing</w:t>
            </w:r>
            <w:r>
              <w:rPr>
                <w:noProof/>
                <w:webHidden/>
              </w:rPr>
              <w:tab/>
            </w:r>
            <w:r>
              <w:rPr>
                <w:noProof/>
                <w:webHidden/>
              </w:rPr>
              <w:fldChar w:fldCharType="begin"/>
            </w:r>
            <w:r>
              <w:rPr>
                <w:noProof/>
                <w:webHidden/>
              </w:rPr>
              <w:instrText xml:space="preserve"> PAGEREF _Toc66907804 \h </w:instrText>
            </w:r>
            <w:r>
              <w:rPr>
                <w:noProof/>
                <w:webHidden/>
              </w:rPr>
            </w:r>
            <w:r>
              <w:rPr>
                <w:noProof/>
                <w:webHidden/>
              </w:rPr>
              <w:fldChar w:fldCharType="separate"/>
            </w:r>
            <w:r>
              <w:rPr>
                <w:noProof/>
                <w:webHidden/>
              </w:rPr>
              <w:t>6</w:t>
            </w:r>
            <w:r>
              <w:rPr>
                <w:noProof/>
                <w:webHidden/>
              </w:rPr>
              <w:fldChar w:fldCharType="end"/>
            </w:r>
          </w:hyperlink>
        </w:p>
        <w:p w14:paraId="5D7BC45A" w14:textId="392778E3" w:rsidR="00CC67E1" w:rsidRDefault="00CC67E1">
          <w:pPr>
            <w:pStyle w:val="TOC1"/>
            <w:rPr>
              <w:rFonts w:asciiTheme="minorHAnsi" w:eastAsiaTheme="minorEastAsia" w:hAnsiTheme="minorHAnsi" w:cstheme="minorBidi"/>
              <w:b w:val="0"/>
              <w:noProof/>
              <w:sz w:val="22"/>
              <w:szCs w:val="22"/>
              <w:lang w:eastAsia="en-AU"/>
            </w:rPr>
          </w:pPr>
          <w:hyperlink w:anchor="_Toc66907805" w:history="1">
            <w:r w:rsidRPr="00A3543C">
              <w:rPr>
                <w:rStyle w:val="Hyperlink"/>
                <w:noProof/>
              </w:rPr>
              <w:t>Clinical requirements for Seasonal Influenza self-tests</w:t>
            </w:r>
            <w:r>
              <w:rPr>
                <w:noProof/>
                <w:webHidden/>
              </w:rPr>
              <w:tab/>
            </w:r>
            <w:r>
              <w:rPr>
                <w:noProof/>
                <w:webHidden/>
              </w:rPr>
              <w:fldChar w:fldCharType="begin"/>
            </w:r>
            <w:r>
              <w:rPr>
                <w:noProof/>
                <w:webHidden/>
              </w:rPr>
              <w:instrText xml:space="preserve"> PAGEREF _Toc66907805 \h </w:instrText>
            </w:r>
            <w:r>
              <w:rPr>
                <w:noProof/>
                <w:webHidden/>
              </w:rPr>
            </w:r>
            <w:r>
              <w:rPr>
                <w:noProof/>
                <w:webHidden/>
              </w:rPr>
              <w:fldChar w:fldCharType="separate"/>
            </w:r>
            <w:r>
              <w:rPr>
                <w:noProof/>
                <w:webHidden/>
              </w:rPr>
              <w:t>7</w:t>
            </w:r>
            <w:r>
              <w:rPr>
                <w:noProof/>
                <w:webHidden/>
              </w:rPr>
              <w:fldChar w:fldCharType="end"/>
            </w:r>
          </w:hyperlink>
        </w:p>
        <w:p w14:paraId="70288A9B" w14:textId="4330A856" w:rsidR="00CC67E1" w:rsidRDefault="00CC67E1">
          <w:pPr>
            <w:pStyle w:val="TOC2"/>
            <w:rPr>
              <w:rFonts w:asciiTheme="minorHAnsi" w:eastAsiaTheme="minorEastAsia" w:hAnsiTheme="minorHAnsi" w:cstheme="minorBidi"/>
              <w:b w:val="0"/>
              <w:noProof/>
              <w:sz w:val="22"/>
              <w:szCs w:val="22"/>
              <w:lang w:eastAsia="en-AU"/>
            </w:rPr>
          </w:pPr>
          <w:hyperlink w:anchor="_Toc66907806" w:history="1">
            <w:r w:rsidRPr="00A3543C">
              <w:rPr>
                <w:rStyle w:val="Hyperlink"/>
                <w:noProof/>
              </w:rPr>
              <w:t>Clinical characteristics and clinical performance requirements for seasonal influenza self-tests</w:t>
            </w:r>
            <w:r>
              <w:rPr>
                <w:noProof/>
                <w:webHidden/>
              </w:rPr>
              <w:tab/>
            </w:r>
            <w:r>
              <w:rPr>
                <w:noProof/>
                <w:webHidden/>
              </w:rPr>
              <w:fldChar w:fldCharType="begin"/>
            </w:r>
            <w:r>
              <w:rPr>
                <w:noProof/>
                <w:webHidden/>
              </w:rPr>
              <w:instrText xml:space="preserve"> PAGEREF _Toc66907806 \h </w:instrText>
            </w:r>
            <w:r>
              <w:rPr>
                <w:noProof/>
                <w:webHidden/>
              </w:rPr>
            </w:r>
            <w:r>
              <w:rPr>
                <w:noProof/>
                <w:webHidden/>
              </w:rPr>
              <w:fldChar w:fldCharType="separate"/>
            </w:r>
            <w:r>
              <w:rPr>
                <w:noProof/>
                <w:webHidden/>
              </w:rPr>
              <w:t>7</w:t>
            </w:r>
            <w:r>
              <w:rPr>
                <w:noProof/>
                <w:webHidden/>
              </w:rPr>
              <w:fldChar w:fldCharType="end"/>
            </w:r>
          </w:hyperlink>
        </w:p>
        <w:p w14:paraId="5E5A5B4F" w14:textId="223F1189" w:rsidR="00CC67E1" w:rsidRDefault="00CC67E1">
          <w:pPr>
            <w:pStyle w:val="TOC1"/>
            <w:rPr>
              <w:rFonts w:asciiTheme="minorHAnsi" w:eastAsiaTheme="minorEastAsia" w:hAnsiTheme="minorHAnsi" w:cstheme="minorBidi"/>
              <w:b w:val="0"/>
              <w:noProof/>
              <w:sz w:val="22"/>
              <w:szCs w:val="22"/>
              <w:lang w:eastAsia="en-AU"/>
            </w:rPr>
          </w:pPr>
          <w:hyperlink w:anchor="_Toc66907807" w:history="1">
            <w:r w:rsidRPr="00A3543C">
              <w:rPr>
                <w:rStyle w:val="Hyperlink"/>
                <w:noProof/>
              </w:rPr>
              <w:t>Usability studies</w:t>
            </w:r>
            <w:r>
              <w:rPr>
                <w:noProof/>
                <w:webHidden/>
              </w:rPr>
              <w:tab/>
            </w:r>
            <w:r>
              <w:rPr>
                <w:noProof/>
                <w:webHidden/>
              </w:rPr>
              <w:fldChar w:fldCharType="begin"/>
            </w:r>
            <w:r>
              <w:rPr>
                <w:noProof/>
                <w:webHidden/>
              </w:rPr>
              <w:instrText xml:space="preserve"> PAGEREF _Toc66907807 \h </w:instrText>
            </w:r>
            <w:r>
              <w:rPr>
                <w:noProof/>
                <w:webHidden/>
              </w:rPr>
            </w:r>
            <w:r>
              <w:rPr>
                <w:noProof/>
                <w:webHidden/>
              </w:rPr>
              <w:fldChar w:fldCharType="separate"/>
            </w:r>
            <w:r>
              <w:rPr>
                <w:noProof/>
                <w:webHidden/>
              </w:rPr>
              <w:t>8</w:t>
            </w:r>
            <w:r>
              <w:rPr>
                <w:noProof/>
                <w:webHidden/>
              </w:rPr>
              <w:fldChar w:fldCharType="end"/>
            </w:r>
          </w:hyperlink>
        </w:p>
        <w:p w14:paraId="4B6DE168" w14:textId="339E04AF" w:rsidR="00CC67E1" w:rsidRDefault="00CC67E1">
          <w:pPr>
            <w:pStyle w:val="TOC1"/>
            <w:rPr>
              <w:rFonts w:asciiTheme="minorHAnsi" w:eastAsiaTheme="minorEastAsia" w:hAnsiTheme="minorHAnsi" w:cstheme="minorBidi"/>
              <w:b w:val="0"/>
              <w:noProof/>
              <w:sz w:val="22"/>
              <w:szCs w:val="22"/>
              <w:lang w:eastAsia="en-AU"/>
            </w:rPr>
          </w:pPr>
          <w:hyperlink w:anchor="_Toc66907808" w:history="1">
            <w:r w:rsidRPr="00A3543C">
              <w:rPr>
                <w:rStyle w:val="Hyperlink"/>
                <w:noProof/>
                <w:lang w:eastAsia="en-AU"/>
              </w:rPr>
              <w:t>Risks</w:t>
            </w:r>
            <w:r>
              <w:rPr>
                <w:noProof/>
                <w:webHidden/>
              </w:rPr>
              <w:tab/>
            </w:r>
            <w:r>
              <w:rPr>
                <w:noProof/>
                <w:webHidden/>
              </w:rPr>
              <w:fldChar w:fldCharType="begin"/>
            </w:r>
            <w:r>
              <w:rPr>
                <w:noProof/>
                <w:webHidden/>
              </w:rPr>
              <w:instrText xml:space="preserve"> PAGEREF _Toc66907808 \h </w:instrText>
            </w:r>
            <w:r>
              <w:rPr>
                <w:noProof/>
                <w:webHidden/>
              </w:rPr>
            </w:r>
            <w:r>
              <w:rPr>
                <w:noProof/>
                <w:webHidden/>
              </w:rPr>
              <w:fldChar w:fldCharType="separate"/>
            </w:r>
            <w:r>
              <w:rPr>
                <w:noProof/>
                <w:webHidden/>
              </w:rPr>
              <w:t>9</w:t>
            </w:r>
            <w:r>
              <w:rPr>
                <w:noProof/>
                <w:webHidden/>
              </w:rPr>
              <w:fldChar w:fldCharType="end"/>
            </w:r>
          </w:hyperlink>
        </w:p>
        <w:p w14:paraId="516D2859" w14:textId="5C1EF070" w:rsidR="00CC67E1" w:rsidRDefault="00CC67E1">
          <w:pPr>
            <w:pStyle w:val="TOC1"/>
            <w:rPr>
              <w:rFonts w:asciiTheme="minorHAnsi" w:eastAsiaTheme="minorEastAsia" w:hAnsiTheme="minorHAnsi" w:cstheme="minorBidi"/>
              <w:b w:val="0"/>
              <w:noProof/>
              <w:sz w:val="22"/>
              <w:szCs w:val="22"/>
              <w:lang w:eastAsia="en-AU"/>
            </w:rPr>
          </w:pPr>
          <w:hyperlink w:anchor="_Toc66907809" w:history="1">
            <w:r w:rsidRPr="00A3543C">
              <w:rPr>
                <w:rStyle w:val="Hyperlink"/>
                <w:noProof/>
                <w:lang w:eastAsia="en-AU"/>
              </w:rPr>
              <w:t>Mitigation strategies</w:t>
            </w:r>
            <w:r>
              <w:rPr>
                <w:noProof/>
                <w:webHidden/>
              </w:rPr>
              <w:tab/>
            </w:r>
            <w:r>
              <w:rPr>
                <w:noProof/>
                <w:webHidden/>
              </w:rPr>
              <w:fldChar w:fldCharType="begin"/>
            </w:r>
            <w:r>
              <w:rPr>
                <w:noProof/>
                <w:webHidden/>
              </w:rPr>
              <w:instrText xml:space="preserve"> PAGEREF _Toc66907809 \h </w:instrText>
            </w:r>
            <w:r>
              <w:rPr>
                <w:noProof/>
                <w:webHidden/>
              </w:rPr>
            </w:r>
            <w:r>
              <w:rPr>
                <w:noProof/>
                <w:webHidden/>
              </w:rPr>
              <w:fldChar w:fldCharType="separate"/>
            </w:r>
            <w:r>
              <w:rPr>
                <w:noProof/>
                <w:webHidden/>
              </w:rPr>
              <w:t>9</w:t>
            </w:r>
            <w:r>
              <w:rPr>
                <w:noProof/>
                <w:webHidden/>
              </w:rPr>
              <w:fldChar w:fldCharType="end"/>
            </w:r>
          </w:hyperlink>
        </w:p>
        <w:p w14:paraId="63B1C8CE" w14:textId="138280E7" w:rsidR="00CC67E1" w:rsidRDefault="00CC67E1">
          <w:pPr>
            <w:pStyle w:val="TOC2"/>
            <w:rPr>
              <w:rFonts w:asciiTheme="minorHAnsi" w:eastAsiaTheme="minorEastAsia" w:hAnsiTheme="minorHAnsi" w:cstheme="minorBidi"/>
              <w:b w:val="0"/>
              <w:noProof/>
              <w:sz w:val="22"/>
              <w:szCs w:val="22"/>
              <w:lang w:eastAsia="en-AU"/>
            </w:rPr>
          </w:pPr>
          <w:hyperlink w:anchor="_Toc66907810" w:history="1">
            <w:r w:rsidRPr="00A3543C">
              <w:rPr>
                <w:rStyle w:val="Hyperlink"/>
                <w:noProof/>
              </w:rPr>
              <w:t>Requirements for the instructions for use (IFU)</w:t>
            </w:r>
            <w:r>
              <w:rPr>
                <w:noProof/>
                <w:webHidden/>
              </w:rPr>
              <w:tab/>
            </w:r>
            <w:r>
              <w:rPr>
                <w:noProof/>
                <w:webHidden/>
              </w:rPr>
              <w:fldChar w:fldCharType="begin"/>
            </w:r>
            <w:r>
              <w:rPr>
                <w:noProof/>
                <w:webHidden/>
              </w:rPr>
              <w:instrText xml:space="preserve"> PAGEREF _Toc66907810 \h </w:instrText>
            </w:r>
            <w:r>
              <w:rPr>
                <w:noProof/>
                <w:webHidden/>
              </w:rPr>
            </w:r>
            <w:r>
              <w:rPr>
                <w:noProof/>
                <w:webHidden/>
              </w:rPr>
              <w:fldChar w:fldCharType="separate"/>
            </w:r>
            <w:r>
              <w:rPr>
                <w:noProof/>
                <w:webHidden/>
              </w:rPr>
              <w:t>10</w:t>
            </w:r>
            <w:r>
              <w:rPr>
                <w:noProof/>
                <w:webHidden/>
              </w:rPr>
              <w:fldChar w:fldCharType="end"/>
            </w:r>
          </w:hyperlink>
        </w:p>
        <w:p w14:paraId="367164F2" w14:textId="67019078" w:rsidR="00CC67E1" w:rsidRDefault="00CC67E1">
          <w:pPr>
            <w:pStyle w:val="TOC2"/>
            <w:rPr>
              <w:rFonts w:asciiTheme="minorHAnsi" w:eastAsiaTheme="minorEastAsia" w:hAnsiTheme="minorHAnsi" w:cstheme="minorBidi"/>
              <w:b w:val="0"/>
              <w:noProof/>
              <w:sz w:val="22"/>
              <w:szCs w:val="22"/>
              <w:lang w:eastAsia="en-AU"/>
            </w:rPr>
          </w:pPr>
          <w:hyperlink w:anchor="_Toc66907811" w:history="1">
            <w:r w:rsidRPr="00A3543C">
              <w:rPr>
                <w:rStyle w:val="Hyperlink"/>
                <w:noProof/>
              </w:rPr>
              <w:t>Post-market monitoring and standard conditions of inclusion</w:t>
            </w:r>
            <w:r>
              <w:rPr>
                <w:noProof/>
                <w:webHidden/>
              </w:rPr>
              <w:tab/>
            </w:r>
            <w:r>
              <w:rPr>
                <w:noProof/>
                <w:webHidden/>
              </w:rPr>
              <w:fldChar w:fldCharType="begin"/>
            </w:r>
            <w:r>
              <w:rPr>
                <w:noProof/>
                <w:webHidden/>
              </w:rPr>
              <w:instrText xml:space="preserve"> PAGEREF _Toc66907811 \h </w:instrText>
            </w:r>
            <w:r>
              <w:rPr>
                <w:noProof/>
                <w:webHidden/>
              </w:rPr>
            </w:r>
            <w:r>
              <w:rPr>
                <w:noProof/>
                <w:webHidden/>
              </w:rPr>
              <w:fldChar w:fldCharType="separate"/>
            </w:r>
            <w:r>
              <w:rPr>
                <w:noProof/>
                <w:webHidden/>
              </w:rPr>
              <w:t>11</w:t>
            </w:r>
            <w:r>
              <w:rPr>
                <w:noProof/>
                <w:webHidden/>
              </w:rPr>
              <w:fldChar w:fldCharType="end"/>
            </w:r>
          </w:hyperlink>
        </w:p>
        <w:p w14:paraId="373A7726" w14:textId="5AE80F27" w:rsidR="00CC67E1" w:rsidRDefault="00CC67E1">
          <w:pPr>
            <w:pStyle w:val="TOC2"/>
            <w:rPr>
              <w:rFonts w:asciiTheme="minorHAnsi" w:eastAsiaTheme="minorEastAsia" w:hAnsiTheme="minorHAnsi" w:cstheme="minorBidi"/>
              <w:b w:val="0"/>
              <w:noProof/>
              <w:sz w:val="22"/>
              <w:szCs w:val="22"/>
              <w:lang w:eastAsia="en-AU"/>
            </w:rPr>
          </w:pPr>
          <w:hyperlink w:anchor="_Toc66907812" w:history="1">
            <w:r w:rsidRPr="00A3543C">
              <w:rPr>
                <w:rStyle w:val="Hyperlink"/>
                <w:noProof/>
              </w:rPr>
              <w:t>Additional conditions that may be applied</w:t>
            </w:r>
            <w:r>
              <w:rPr>
                <w:noProof/>
                <w:webHidden/>
              </w:rPr>
              <w:tab/>
            </w:r>
            <w:r>
              <w:rPr>
                <w:noProof/>
                <w:webHidden/>
              </w:rPr>
              <w:fldChar w:fldCharType="begin"/>
            </w:r>
            <w:r>
              <w:rPr>
                <w:noProof/>
                <w:webHidden/>
              </w:rPr>
              <w:instrText xml:space="preserve"> PAGEREF _Toc66907812 \h </w:instrText>
            </w:r>
            <w:r>
              <w:rPr>
                <w:noProof/>
                <w:webHidden/>
              </w:rPr>
            </w:r>
            <w:r>
              <w:rPr>
                <w:noProof/>
                <w:webHidden/>
              </w:rPr>
              <w:fldChar w:fldCharType="separate"/>
            </w:r>
            <w:r>
              <w:rPr>
                <w:noProof/>
                <w:webHidden/>
              </w:rPr>
              <w:t>11</w:t>
            </w:r>
            <w:r>
              <w:rPr>
                <w:noProof/>
                <w:webHidden/>
              </w:rPr>
              <w:fldChar w:fldCharType="end"/>
            </w:r>
          </w:hyperlink>
        </w:p>
        <w:p w14:paraId="58F9C179" w14:textId="1D762709" w:rsidR="00CC67E1" w:rsidRDefault="00CC67E1">
          <w:pPr>
            <w:pStyle w:val="TOC2"/>
            <w:rPr>
              <w:rFonts w:asciiTheme="minorHAnsi" w:eastAsiaTheme="minorEastAsia" w:hAnsiTheme="minorHAnsi" w:cstheme="minorBidi"/>
              <w:b w:val="0"/>
              <w:noProof/>
              <w:sz w:val="22"/>
              <w:szCs w:val="22"/>
              <w:lang w:eastAsia="en-AU"/>
            </w:rPr>
          </w:pPr>
          <w:hyperlink w:anchor="_Toc66907813" w:history="1">
            <w:r w:rsidRPr="00A3543C">
              <w:rPr>
                <w:rStyle w:val="Hyperlink"/>
                <w:noProof/>
                <w:lang w:eastAsia="en-AU"/>
              </w:rPr>
              <w:t>Post-market review</w:t>
            </w:r>
            <w:r>
              <w:rPr>
                <w:noProof/>
                <w:webHidden/>
              </w:rPr>
              <w:tab/>
            </w:r>
            <w:r>
              <w:rPr>
                <w:noProof/>
                <w:webHidden/>
              </w:rPr>
              <w:fldChar w:fldCharType="begin"/>
            </w:r>
            <w:r>
              <w:rPr>
                <w:noProof/>
                <w:webHidden/>
              </w:rPr>
              <w:instrText xml:space="preserve"> PAGEREF _Toc66907813 \h </w:instrText>
            </w:r>
            <w:r>
              <w:rPr>
                <w:noProof/>
                <w:webHidden/>
              </w:rPr>
            </w:r>
            <w:r>
              <w:rPr>
                <w:noProof/>
                <w:webHidden/>
              </w:rPr>
              <w:fldChar w:fldCharType="separate"/>
            </w:r>
            <w:r>
              <w:rPr>
                <w:noProof/>
                <w:webHidden/>
              </w:rPr>
              <w:t>11</w:t>
            </w:r>
            <w:r>
              <w:rPr>
                <w:noProof/>
                <w:webHidden/>
              </w:rPr>
              <w:fldChar w:fldCharType="end"/>
            </w:r>
          </w:hyperlink>
        </w:p>
        <w:p w14:paraId="34711FB2" w14:textId="6F25975B" w:rsidR="00F401EF" w:rsidRPr="00215D48" w:rsidRDefault="00F859D2" w:rsidP="00F401EF">
          <w:r w:rsidRPr="00215D48">
            <w:fldChar w:fldCharType="end"/>
          </w:r>
        </w:p>
      </w:sdtContent>
    </w:sdt>
    <w:p w14:paraId="57CF0CBF" w14:textId="0E0A7E15" w:rsidR="009D031E" w:rsidRDefault="009D031E" w:rsidP="00F01D00">
      <w:pPr>
        <w:pStyle w:val="Heading2"/>
        <w:pageBreakBefore/>
      </w:pPr>
      <w:bookmarkStart w:id="1" w:name="_Toc52366514"/>
      <w:bookmarkStart w:id="2" w:name="_Toc52366513"/>
      <w:bookmarkStart w:id="3" w:name="_Toc323739589"/>
      <w:bookmarkStart w:id="4" w:name="_Toc356305216"/>
      <w:bookmarkStart w:id="5" w:name="_Toc66907801"/>
      <w:r>
        <w:lastRenderedPageBreak/>
        <w:t>Purpose</w:t>
      </w:r>
      <w:bookmarkEnd w:id="1"/>
      <w:bookmarkEnd w:id="5"/>
    </w:p>
    <w:p w14:paraId="3D28DFA4" w14:textId="6E5A6CE3" w:rsidR="009D031E" w:rsidRDefault="009D031E" w:rsidP="00F01D00">
      <w:r w:rsidRPr="005A0D39">
        <w:t xml:space="preserve">The purpose of this document is to provide manufacturers and sponsors with guidance on </w:t>
      </w:r>
      <w:r w:rsidR="0011143B">
        <w:t xml:space="preserve">the </w:t>
      </w:r>
      <w:r w:rsidRPr="005A0D39">
        <w:t>T</w:t>
      </w:r>
      <w:r w:rsidR="0011143B">
        <w:t>herapeutic Goods Administration</w:t>
      </w:r>
      <w:r w:rsidRPr="005A0D39">
        <w:t xml:space="preserve">’s </w:t>
      </w:r>
      <w:r w:rsidR="003B6465">
        <w:t xml:space="preserve">(TGA) </w:t>
      </w:r>
      <w:r w:rsidRPr="005A0D39">
        <w:t>expectations concerning clinical performance requirements (i.e. clinical sensitivity and specificity) and risk mitigation for</w:t>
      </w:r>
      <w:r>
        <w:t xml:space="preserve"> in</w:t>
      </w:r>
      <w:r w:rsidRPr="005A0D39">
        <w:t xml:space="preserve"> vitro diagnostic medical devices (IVDs) intended to be used </w:t>
      </w:r>
      <w:r w:rsidR="00187350">
        <w:t>as self-tests for</w:t>
      </w:r>
      <w:r w:rsidR="00F01D00">
        <w:t xml:space="preserve"> seasonal influenza.</w:t>
      </w:r>
    </w:p>
    <w:p w14:paraId="064A7E08" w14:textId="18053CBD" w:rsidR="003B6465" w:rsidRDefault="00CC0813" w:rsidP="00394FDF">
      <w:r w:rsidRPr="005A0D39">
        <w:t>This</w:t>
      </w:r>
      <w:r>
        <w:t xml:space="preserve"> </w:t>
      </w:r>
      <w:r w:rsidRPr="005A0D39">
        <w:t>document</w:t>
      </w:r>
      <w:r w:rsidR="009D031E" w:rsidRPr="005A0D39">
        <w:t xml:space="preserve"> identifies key risks that must be mitigated and identifies conditions that may be imposed on </w:t>
      </w:r>
      <w:r w:rsidR="009D031E">
        <w:t>these self-test kits if</w:t>
      </w:r>
      <w:r w:rsidR="009D031E" w:rsidRPr="005A0D39">
        <w:t xml:space="preserve"> they are</w:t>
      </w:r>
      <w:r w:rsidR="009D031E">
        <w:t xml:space="preserve"> to be</w:t>
      </w:r>
      <w:r w:rsidR="009D031E" w:rsidRPr="005A0D39">
        <w:t xml:space="preserve"> included in the Australian Register of Therapeutic Goods (ARTG). Additional risks and mitigation strategies, including conditions of </w:t>
      </w:r>
      <w:r w:rsidR="00320551">
        <w:t>inclusion</w:t>
      </w:r>
      <w:r w:rsidR="009D031E" w:rsidRPr="005A0D39">
        <w:t xml:space="preserve"> may apply to individual devices on a case-by-case basis</w:t>
      </w:r>
      <w:r w:rsidR="003B6465">
        <w:t xml:space="preserve">. </w:t>
      </w:r>
      <w:r w:rsidR="003B6465" w:rsidRPr="00161EFA">
        <w:t xml:space="preserve">Other aspects of demonstrating safety and performance, such as analytical performance studies or </w:t>
      </w:r>
      <w:r w:rsidR="0037657D">
        <w:t xml:space="preserve">product </w:t>
      </w:r>
      <w:r w:rsidR="003B6465" w:rsidRPr="00161EFA">
        <w:t>stability studies are not addressed in this document.</w:t>
      </w:r>
    </w:p>
    <w:p w14:paraId="0C4E537C" w14:textId="621ED53E" w:rsidR="009D031E" w:rsidRPr="003B6465" w:rsidRDefault="009D031E" w:rsidP="00394FDF">
      <w:r w:rsidRPr="009D031E">
        <w:rPr>
          <w:rFonts w:asciiTheme="minorHAnsi" w:hAnsiTheme="minorHAnsi"/>
          <w:szCs w:val="22"/>
        </w:rPr>
        <w:t>For further information on overall technical documentation and clinic</w:t>
      </w:r>
      <w:r w:rsidR="00F854EB">
        <w:rPr>
          <w:rFonts w:asciiTheme="minorHAnsi" w:hAnsiTheme="minorHAnsi"/>
          <w:szCs w:val="22"/>
        </w:rPr>
        <w:t xml:space="preserve">al evidence requirements for in </w:t>
      </w:r>
      <w:r w:rsidRPr="009D031E">
        <w:rPr>
          <w:rFonts w:asciiTheme="minorHAnsi" w:hAnsiTheme="minorHAnsi"/>
          <w:szCs w:val="22"/>
        </w:rPr>
        <w:t xml:space="preserve">vitro diagnostics, please refer to the </w:t>
      </w:r>
      <w:hyperlink r:id="rId13" w:history="1">
        <w:r w:rsidR="00F854EB">
          <w:rPr>
            <w:rStyle w:val="Hyperlink"/>
            <w:rFonts w:asciiTheme="minorHAnsi" w:hAnsiTheme="minorHAnsi"/>
            <w:i/>
            <w:szCs w:val="22"/>
          </w:rPr>
          <w:t>c</w:t>
        </w:r>
        <w:r w:rsidR="00A21C36">
          <w:rPr>
            <w:rStyle w:val="Hyperlink"/>
            <w:rFonts w:asciiTheme="minorHAnsi" w:hAnsiTheme="minorHAnsi"/>
            <w:i/>
            <w:szCs w:val="22"/>
          </w:rPr>
          <w:t>linical evidence guidelines supplement: In vitro diagnostic (IVD) medical devices</w:t>
        </w:r>
      </w:hyperlink>
      <w:r w:rsidR="00187350" w:rsidRPr="00033B1D">
        <w:rPr>
          <w:rStyle w:val="Hyperlink"/>
          <w:rFonts w:asciiTheme="minorHAnsi" w:hAnsiTheme="minorHAnsi"/>
          <w:i/>
          <w:szCs w:val="22"/>
        </w:rPr>
        <w:t>,</w:t>
      </w:r>
      <w:r w:rsidR="00187350" w:rsidRPr="00033B1D">
        <w:rPr>
          <w:rStyle w:val="Hyperlink"/>
          <w:rFonts w:asciiTheme="minorHAnsi" w:hAnsiTheme="minorHAnsi"/>
          <w:i/>
          <w:szCs w:val="22"/>
          <w:u w:val="none"/>
        </w:rPr>
        <w:t xml:space="preserve"> </w:t>
      </w:r>
      <w:hyperlink r:id="rId14" w:history="1">
        <w:r w:rsidR="00F854EB">
          <w:rPr>
            <w:rStyle w:val="Hyperlink"/>
            <w:rFonts w:asciiTheme="minorHAnsi" w:hAnsiTheme="minorHAnsi"/>
            <w:bCs/>
            <w:i/>
            <w:szCs w:val="22"/>
            <w:lang w:val="en"/>
          </w:rPr>
          <w:t>a</w:t>
        </w:r>
        <w:r w:rsidR="00187350" w:rsidRPr="00033B1D">
          <w:rPr>
            <w:rStyle w:val="Hyperlink"/>
            <w:rFonts w:asciiTheme="minorHAnsi" w:hAnsiTheme="minorHAnsi"/>
            <w:bCs/>
            <w:i/>
            <w:szCs w:val="22"/>
            <w:lang w:val="en"/>
          </w:rPr>
          <w:t>pplication audit (technical file review) of IVD medical device applications</w:t>
        </w:r>
      </w:hyperlink>
      <w:r w:rsidRPr="009D031E">
        <w:rPr>
          <w:rFonts w:asciiTheme="minorHAnsi" w:hAnsiTheme="minorHAnsi"/>
          <w:szCs w:val="22"/>
        </w:rPr>
        <w:t xml:space="preserve"> </w:t>
      </w:r>
      <w:r w:rsidR="00F068E8">
        <w:rPr>
          <w:rFonts w:asciiTheme="minorHAnsi" w:hAnsiTheme="minorHAnsi"/>
          <w:szCs w:val="22"/>
        </w:rPr>
        <w:t xml:space="preserve">and guidance </w:t>
      </w:r>
      <w:r w:rsidRPr="009D031E">
        <w:rPr>
          <w:rFonts w:asciiTheme="minorHAnsi" w:hAnsiTheme="minorHAnsi"/>
          <w:szCs w:val="22"/>
        </w:rPr>
        <w:t>on the</w:t>
      </w:r>
      <w:r w:rsidRPr="00033B1D">
        <w:rPr>
          <w:rFonts w:asciiTheme="minorHAnsi" w:hAnsiTheme="minorHAnsi"/>
          <w:i/>
          <w:szCs w:val="22"/>
        </w:rPr>
        <w:t xml:space="preserve"> </w:t>
      </w:r>
      <w:hyperlink r:id="rId15" w:history="1">
        <w:r w:rsidRPr="00033B1D">
          <w:rPr>
            <w:rStyle w:val="Hyperlink"/>
            <w:rFonts w:asciiTheme="minorHAnsi" w:hAnsiTheme="minorHAnsi"/>
            <w:i/>
            <w:szCs w:val="22"/>
          </w:rPr>
          <w:t>classification of IVD medical devices</w:t>
        </w:r>
      </w:hyperlink>
      <w:r w:rsidR="00F068E8" w:rsidRPr="00F01D00">
        <w:rPr>
          <w:rStyle w:val="Hyperlink"/>
          <w:rFonts w:asciiTheme="minorHAnsi" w:hAnsiTheme="minorHAnsi"/>
          <w:b/>
          <w:color w:val="auto"/>
          <w:szCs w:val="22"/>
          <w:u w:val="none"/>
        </w:rPr>
        <w:t>.</w:t>
      </w:r>
    </w:p>
    <w:p w14:paraId="27F1AD17" w14:textId="734F8F91" w:rsidR="00640E6C" w:rsidRDefault="00640E6C" w:rsidP="00F01D00">
      <w:pPr>
        <w:pStyle w:val="Heading2"/>
      </w:pPr>
      <w:bookmarkStart w:id="6" w:name="_Toc66907802"/>
      <w:r>
        <w:t>Background</w:t>
      </w:r>
      <w:bookmarkEnd w:id="2"/>
      <w:bookmarkEnd w:id="6"/>
    </w:p>
    <w:p w14:paraId="044495C5" w14:textId="77777777" w:rsidR="00033B1D" w:rsidRDefault="00033B1D" w:rsidP="00033B1D">
      <w:bookmarkStart w:id="7" w:name="_Toc55207754"/>
      <w:r>
        <w:t xml:space="preserve">The </w:t>
      </w:r>
      <w:hyperlink r:id="rId16" w:history="1">
        <w:r w:rsidRPr="00ED09DE">
          <w:rPr>
            <w:rStyle w:val="Hyperlink"/>
            <w:i/>
          </w:rPr>
          <w:t>Therapeutic Goods Act 1989</w:t>
        </w:r>
      </w:hyperlink>
      <w:r>
        <w:t xml:space="preserve"> (</w:t>
      </w:r>
      <w:r w:rsidRPr="001852C0">
        <w:rPr>
          <w:i/>
        </w:rPr>
        <w:t>the Act</w:t>
      </w:r>
      <w:r>
        <w:t>) provides a system of controls for the regulation of therapeutic goods in Australia. Home-use tests (also known as self-tests) are therapeutic goods.</w:t>
      </w:r>
    </w:p>
    <w:p w14:paraId="56325578" w14:textId="77777777" w:rsidR="00033B1D" w:rsidRPr="00016695" w:rsidRDefault="00033B1D" w:rsidP="00033B1D">
      <w:r>
        <w:t>S</w:t>
      </w:r>
      <w:r w:rsidRPr="00016695">
        <w:t xml:space="preserve">elf-tests for serious diseases (e.g. notifiable infectious diseases, sexually transmitted </w:t>
      </w:r>
      <w:r>
        <w:t>infections</w:t>
      </w:r>
      <w:r w:rsidRPr="00016695">
        <w:t>, cancer, genetic markers of disease) have been prohibited f</w:t>
      </w:r>
      <w:r>
        <w:t>rom supply in Australia since 1 July </w:t>
      </w:r>
      <w:r w:rsidRPr="00016695">
        <w:t xml:space="preserve">2010 under the </w:t>
      </w:r>
      <w:r w:rsidRPr="000D0587">
        <w:rPr>
          <w:i/>
        </w:rPr>
        <w:t>Therapeutic Goods (Excluded Purposes) Specification 2010 (the Excluded Purposes Specification 2010)</w:t>
      </w:r>
      <w:r w:rsidRPr="00016695">
        <w:t>. The exception was self-tests for Human Immunodeficiency Virus (HIV) which</w:t>
      </w:r>
      <w:r>
        <w:t xml:space="preserve"> have been permitted since 2014.</w:t>
      </w:r>
    </w:p>
    <w:p w14:paraId="6405D18E" w14:textId="77777777" w:rsidR="00033B1D" w:rsidRDefault="00033B1D" w:rsidP="00033B1D">
      <w:r w:rsidRPr="00016695">
        <w:t xml:space="preserve">In accordance with the </w:t>
      </w:r>
      <w:r w:rsidRPr="00ED09DE">
        <w:rPr>
          <w:i/>
        </w:rPr>
        <w:t>Legislative Instruments Act 2003</w:t>
      </w:r>
      <w:r w:rsidRPr="00016695">
        <w:t xml:space="preserve">, legislative instruments are automatically repealed after a fixed period of time (subject to some </w:t>
      </w:r>
      <w:r>
        <w:t>exceptions)</w:t>
      </w:r>
      <w:r w:rsidRPr="00016695">
        <w:t>.</w:t>
      </w:r>
      <w:r w:rsidRPr="00A473EE">
        <w:rPr>
          <w:i/>
        </w:rPr>
        <w:t xml:space="preserve"> The</w:t>
      </w:r>
      <w:r w:rsidRPr="00016695">
        <w:t xml:space="preserve"> </w:t>
      </w:r>
      <w:r w:rsidRPr="000D0587">
        <w:rPr>
          <w:i/>
        </w:rPr>
        <w:t>Excluded Purposes Specification 2010</w:t>
      </w:r>
      <w:r w:rsidRPr="00016695">
        <w:t xml:space="preserve"> </w:t>
      </w:r>
      <w:r>
        <w:t>sunset</w:t>
      </w:r>
      <w:r w:rsidRPr="00016695">
        <w:t xml:space="preserve"> on 1 October 2020. </w:t>
      </w:r>
      <w:r>
        <w:t>Before the remaking of the instrument, it was a legal requirement to perform a review.</w:t>
      </w:r>
    </w:p>
    <w:p w14:paraId="4E45232E" w14:textId="45BEDCF3" w:rsidR="00033B1D" w:rsidRDefault="00033B1D" w:rsidP="00033B1D">
      <w:r w:rsidRPr="00016695">
        <w:t xml:space="preserve">On </w:t>
      </w:r>
      <w:r>
        <w:t xml:space="preserve">4 </w:t>
      </w:r>
      <w:r w:rsidRPr="00016695">
        <w:t>September</w:t>
      </w:r>
      <w:r>
        <w:t xml:space="preserve"> </w:t>
      </w:r>
      <w:r w:rsidRPr="00016695">
        <w:t xml:space="preserve">2020, after formally consulting stakeholders and </w:t>
      </w:r>
      <w:r>
        <w:t xml:space="preserve">following a </w:t>
      </w:r>
      <w:r w:rsidRPr="00016695">
        <w:t>review</w:t>
      </w:r>
      <w:r>
        <w:t xml:space="preserve"> of</w:t>
      </w:r>
      <w:r w:rsidRPr="00016695">
        <w:t xml:space="preserve"> self</w:t>
      </w:r>
      <w:r>
        <w:t xml:space="preserve">-testing regulations, the </w:t>
      </w:r>
      <w:hyperlink r:id="rId17" w:history="1">
        <w:r w:rsidRPr="00DB0DA9">
          <w:rPr>
            <w:rStyle w:val="Hyperlink"/>
            <w:i/>
            <w:szCs w:val="22"/>
          </w:rPr>
          <w:t>Therapeutic Goods (Medical Devices – Excluded Purposes) Specification 2020</w:t>
        </w:r>
      </w:hyperlink>
      <w:r w:rsidRPr="00ED09DE">
        <w:rPr>
          <w:szCs w:val="22"/>
        </w:rPr>
        <w:t xml:space="preserve"> </w:t>
      </w:r>
      <w:r>
        <w:rPr>
          <w:szCs w:val="22"/>
        </w:rPr>
        <w:t>(</w:t>
      </w:r>
      <w:r w:rsidRPr="001852C0">
        <w:rPr>
          <w:i/>
          <w:szCs w:val="22"/>
        </w:rPr>
        <w:t>the Excluded Purposes Specification 2020</w:t>
      </w:r>
      <w:r>
        <w:rPr>
          <w:szCs w:val="22"/>
        </w:rPr>
        <w:t xml:space="preserve">) </w:t>
      </w:r>
      <w:r w:rsidRPr="00016695">
        <w:t xml:space="preserve">was made, and </w:t>
      </w:r>
      <w:r>
        <w:t>came into</w:t>
      </w:r>
      <w:r w:rsidRPr="00016695">
        <w:t xml:space="preserve"> effect</w:t>
      </w:r>
      <w:r>
        <w:t xml:space="preserve"> on 1 October </w:t>
      </w:r>
      <w:r w:rsidRPr="00016695">
        <w:t>2020.</w:t>
      </w:r>
      <w:r>
        <w:t xml:space="preserve"> Sponsors and manufacturers will now be able to</w:t>
      </w:r>
      <w:r w:rsidRPr="00D475B8">
        <w:t xml:space="preserve"> apply to the TGA for </w:t>
      </w:r>
      <w:r>
        <w:t xml:space="preserve">the inclusion in the ARTG of </w:t>
      </w:r>
      <w:r w:rsidRPr="00D475B8">
        <w:t xml:space="preserve">specified </w:t>
      </w:r>
      <w:r>
        <w:t xml:space="preserve">IVD </w:t>
      </w:r>
      <w:r w:rsidRPr="00D475B8">
        <w:t>self-test</w:t>
      </w:r>
      <w:r>
        <w:t xml:space="preserve">s; including self-tests for </w:t>
      </w:r>
      <w:r w:rsidR="00335EF9">
        <w:t>influenza</w:t>
      </w:r>
      <w:r>
        <w:t xml:space="preserve">. </w:t>
      </w:r>
      <w:r w:rsidRPr="00D475B8">
        <w:t xml:space="preserve">Any tests allowed under </w:t>
      </w:r>
      <w:r w:rsidRPr="001852C0">
        <w:rPr>
          <w:i/>
        </w:rPr>
        <w:t>the</w:t>
      </w:r>
      <w:r w:rsidRPr="00D475B8">
        <w:t xml:space="preserve"> </w:t>
      </w:r>
      <w:r w:rsidRPr="000D0587">
        <w:rPr>
          <w:i/>
        </w:rPr>
        <w:t>Excluded Purposes Specification 2020</w:t>
      </w:r>
      <w:r>
        <w:t xml:space="preserve"> can only be supplied </w:t>
      </w:r>
      <w:r w:rsidRPr="00D475B8">
        <w:t xml:space="preserve">following evaluation of individual products by the TGA to ensure appropriate </w:t>
      </w:r>
      <w:r>
        <w:t xml:space="preserve">clinical performance requirements are met and </w:t>
      </w:r>
      <w:r w:rsidRPr="00D475B8">
        <w:t>risk mitigations are in place</w:t>
      </w:r>
      <w:r>
        <w:t>.</w:t>
      </w:r>
    </w:p>
    <w:p w14:paraId="7E7674CC" w14:textId="2F13E66D" w:rsidR="002C3A7A" w:rsidRDefault="002C3A7A" w:rsidP="00F01D00">
      <w:pPr>
        <w:pStyle w:val="Heading2"/>
        <w:pageBreakBefore/>
      </w:pPr>
      <w:bookmarkStart w:id="8" w:name="_Toc66907803"/>
      <w:r>
        <w:lastRenderedPageBreak/>
        <w:t>Public health context</w:t>
      </w:r>
      <w:bookmarkEnd w:id="7"/>
      <w:bookmarkEnd w:id="8"/>
    </w:p>
    <w:tbl>
      <w:tblPr>
        <w:tblW w:w="9038" w:type="dxa"/>
        <w:tblLayout w:type="fixed"/>
        <w:tblCellMar>
          <w:left w:w="0" w:type="dxa"/>
          <w:right w:w="0" w:type="dxa"/>
        </w:tblCellMar>
        <w:tblLook w:val="04A0" w:firstRow="1" w:lastRow="0" w:firstColumn="1" w:lastColumn="0" w:noHBand="0" w:noVBand="1"/>
      </w:tblPr>
      <w:tblGrid>
        <w:gridCol w:w="1276"/>
        <w:gridCol w:w="7762"/>
      </w:tblGrid>
      <w:tr w:rsidR="0004780A" w:rsidRPr="00215D48" w14:paraId="4008F843" w14:textId="77777777" w:rsidTr="00B4150E">
        <w:tc>
          <w:tcPr>
            <w:tcW w:w="1276" w:type="dxa"/>
            <w:vAlign w:val="center"/>
          </w:tcPr>
          <w:p w14:paraId="5CDA195D" w14:textId="77777777" w:rsidR="0004780A" w:rsidRPr="00215D48" w:rsidRDefault="0004780A" w:rsidP="00B4150E">
            <w:pPr>
              <w:spacing w:before="0"/>
              <w:rPr>
                <w:sz w:val="20"/>
              </w:rPr>
            </w:pPr>
            <w:r w:rsidRPr="00215D48">
              <w:rPr>
                <w:noProof/>
                <w:sz w:val="20"/>
                <w:lang w:eastAsia="en-AU"/>
              </w:rPr>
              <w:drawing>
                <wp:inline distT="0" distB="0" distL="0" distR="0" wp14:anchorId="332900AE" wp14:editId="470BD1A0">
                  <wp:extent cx="487681" cy="487681"/>
                  <wp:effectExtent l="19050" t="0" r="7619" b="0"/>
                  <wp:docPr id="1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60BE957" w14:textId="77777777" w:rsidR="0004780A" w:rsidRPr="00330125" w:rsidRDefault="0004780A" w:rsidP="00B4150E">
            <w:pPr>
              <w:rPr>
                <w:b/>
                <w:lang w:eastAsia="en-AU"/>
              </w:rPr>
            </w:pPr>
            <w:r w:rsidRPr="00330125">
              <w:rPr>
                <w:b/>
                <w:lang w:eastAsia="en-AU"/>
              </w:rPr>
              <w:t>This guidance refers to seasonal influenza only and does not include self-tests to detect specific influenza strains that are novel or emerging (e.g. pandemic strains) which will remain prohibited.</w:t>
            </w:r>
          </w:p>
          <w:p w14:paraId="02037F4F" w14:textId="77777777" w:rsidR="0004780A" w:rsidRPr="00330125" w:rsidRDefault="0004780A" w:rsidP="00B4150E">
            <w:pPr>
              <w:rPr>
                <w:b/>
                <w:lang w:eastAsia="en-AU"/>
              </w:rPr>
            </w:pPr>
            <w:r w:rsidRPr="00330125">
              <w:rPr>
                <w:b/>
                <w:lang w:eastAsia="en-AU"/>
              </w:rPr>
              <w:t>Seasonal Influenza</w:t>
            </w:r>
          </w:p>
          <w:p w14:paraId="5B379EDD" w14:textId="11424F4A" w:rsidR="0004780A" w:rsidRDefault="0004780A" w:rsidP="00B4150E">
            <w:pPr>
              <w:rPr>
                <w:lang w:eastAsia="en-AU"/>
              </w:rPr>
            </w:pPr>
            <w:r w:rsidRPr="00671635">
              <w:rPr>
                <w:lang w:eastAsia="en-AU"/>
              </w:rPr>
              <w:t xml:space="preserve">Influenza, or 'the flu', is a viral infection of the nose, throat and lungs (the respiratory system). In </w:t>
            </w:r>
            <w:r w:rsidR="00CC0813" w:rsidRPr="00671635">
              <w:rPr>
                <w:lang w:eastAsia="en-AU"/>
              </w:rPr>
              <w:t>Australia,</w:t>
            </w:r>
            <w:r w:rsidRPr="00671635">
              <w:rPr>
                <w:lang w:eastAsia="en-AU"/>
              </w:rPr>
              <w:t xml:space="preserve"> it usually affects people during the winter months from June to September. The flu viruses that circulate every winter are often similar to those from the preceding winter, so there is already a level of immunity (body defences) in the community. Seasonal </w:t>
            </w:r>
            <w:r w:rsidR="00F85860">
              <w:rPr>
                <w:lang w:eastAsia="en-AU"/>
              </w:rPr>
              <w:t>in</w:t>
            </w:r>
            <w:r w:rsidRPr="00671635">
              <w:rPr>
                <w:lang w:eastAsia="en-AU"/>
              </w:rPr>
              <w:t>flu</w:t>
            </w:r>
            <w:r w:rsidR="00F85860">
              <w:rPr>
                <w:lang w:eastAsia="en-AU"/>
              </w:rPr>
              <w:t>enza</w:t>
            </w:r>
            <w:r w:rsidRPr="00671635">
              <w:rPr>
                <w:lang w:eastAsia="en-AU"/>
              </w:rPr>
              <w:t xml:space="preserve"> most commonly affects the very young or the elderly.</w:t>
            </w:r>
            <w:r>
              <w:rPr>
                <w:rStyle w:val="FootnoteReference"/>
                <w:rFonts w:asciiTheme="minorHAnsi" w:eastAsia="Times New Roman" w:hAnsiTheme="minorHAnsi"/>
                <w:color w:val="222222"/>
                <w:szCs w:val="22"/>
                <w:lang w:eastAsia="en-AU"/>
              </w:rPr>
              <w:t xml:space="preserve"> </w:t>
            </w:r>
            <w:r>
              <w:rPr>
                <w:rStyle w:val="FootnoteReference"/>
                <w:rFonts w:asciiTheme="minorHAnsi" w:eastAsia="Times New Roman" w:hAnsiTheme="minorHAnsi"/>
                <w:color w:val="222222"/>
                <w:szCs w:val="22"/>
                <w:lang w:eastAsia="en-AU"/>
              </w:rPr>
              <w:footnoteReference w:id="1"/>
            </w:r>
            <w:r w:rsidRPr="00671635">
              <w:rPr>
                <w:lang w:eastAsia="en-AU"/>
              </w:rPr>
              <w:t xml:space="preserve"> </w:t>
            </w:r>
          </w:p>
          <w:p w14:paraId="7FD661B8" w14:textId="4902071C" w:rsidR="0004780A" w:rsidRPr="00671635" w:rsidRDefault="0004780A" w:rsidP="00B4150E">
            <w:pPr>
              <w:rPr>
                <w:lang w:eastAsia="en-AU"/>
              </w:rPr>
            </w:pPr>
            <w:r w:rsidRPr="00671635">
              <w:rPr>
                <w:lang w:eastAsia="en-AU"/>
              </w:rPr>
              <w:t xml:space="preserve">Seasonal </w:t>
            </w:r>
            <w:r w:rsidR="00F85860">
              <w:rPr>
                <w:lang w:eastAsia="en-AU"/>
              </w:rPr>
              <w:t>in</w:t>
            </w:r>
            <w:r w:rsidRPr="00671635">
              <w:rPr>
                <w:lang w:eastAsia="en-AU"/>
              </w:rPr>
              <w:t>flu</w:t>
            </w:r>
            <w:r w:rsidR="00F85860">
              <w:rPr>
                <w:lang w:eastAsia="en-AU"/>
              </w:rPr>
              <w:t>enza</w:t>
            </w:r>
            <w:r w:rsidRPr="00671635">
              <w:rPr>
                <w:lang w:eastAsia="en-AU"/>
              </w:rPr>
              <w:t xml:space="preserve"> strains (usu</w:t>
            </w:r>
            <w:r w:rsidR="00EA5713">
              <w:rPr>
                <w:lang w:eastAsia="en-AU"/>
              </w:rPr>
              <w:t>ally A (e.g.</w:t>
            </w:r>
            <w:r>
              <w:rPr>
                <w:lang w:eastAsia="en-AU"/>
              </w:rPr>
              <w:t xml:space="preserve"> H1N1 and H3N2</w:t>
            </w:r>
            <w:r w:rsidRPr="00671635">
              <w:rPr>
                <w:lang w:eastAsia="en-AU"/>
              </w:rPr>
              <w:t>) and B</w:t>
            </w:r>
            <w:r>
              <w:rPr>
                <w:lang w:eastAsia="en-AU"/>
              </w:rPr>
              <w:t xml:space="preserve">) </w:t>
            </w:r>
            <w:r w:rsidRPr="00671635">
              <w:rPr>
                <w:lang w:eastAsia="en-AU"/>
              </w:rPr>
              <w:t xml:space="preserve">generally follow predictable seasonal patterns and occur annually. Only </w:t>
            </w:r>
            <w:r>
              <w:rPr>
                <w:lang w:eastAsia="en-AU"/>
              </w:rPr>
              <w:t xml:space="preserve">influenza </w:t>
            </w:r>
            <w:r w:rsidRPr="00671635">
              <w:rPr>
                <w:lang w:eastAsia="en-AU"/>
              </w:rPr>
              <w:t xml:space="preserve">type </w:t>
            </w:r>
            <w:r>
              <w:rPr>
                <w:lang w:eastAsia="en-AU"/>
              </w:rPr>
              <w:t>A viruses are known to have caused pandemics</w:t>
            </w:r>
            <w:r>
              <w:rPr>
                <w:rStyle w:val="FootnoteReference"/>
                <w:rFonts w:asciiTheme="minorHAnsi" w:eastAsia="Times New Roman" w:hAnsiTheme="minorHAnsi"/>
                <w:color w:val="222222"/>
                <w:szCs w:val="22"/>
                <w:lang w:eastAsia="en-AU"/>
              </w:rPr>
              <w:footnoteReference w:id="2"/>
            </w:r>
            <w:r>
              <w:rPr>
                <w:rStyle w:val="FootnoteReference"/>
                <w:rFonts w:asciiTheme="minorHAnsi" w:eastAsia="Times New Roman" w:hAnsiTheme="minorHAnsi"/>
                <w:color w:val="222222"/>
                <w:szCs w:val="22"/>
                <w:lang w:eastAsia="en-AU"/>
              </w:rPr>
              <w:footnoteReference w:id="3"/>
            </w:r>
            <w:r w:rsidRPr="00671635">
              <w:rPr>
                <w:lang w:eastAsia="en-AU"/>
              </w:rPr>
              <w:t xml:space="preserve"> </w:t>
            </w:r>
          </w:p>
          <w:p w14:paraId="5E6FD417" w14:textId="77777777" w:rsidR="0004780A" w:rsidRPr="00330125" w:rsidRDefault="0004780A" w:rsidP="00B4150E">
            <w:pPr>
              <w:rPr>
                <w:b/>
                <w:lang w:eastAsia="en-AU"/>
              </w:rPr>
            </w:pPr>
            <w:r w:rsidRPr="00330125">
              <w:rPr>
                <w:b/>
                <w:lang w:eastAsia="en-AU"/>
              </w:rPr>
              <w:t>Influenza Pandemic</w:t>
            </w:r>
          </w:p>
          <w:p w14:paraId="03286720" w14:textId="77777777" w:rsidR="0004780A" w:rsidRPr="00215D48" w:rsidRDefault="0004780A" w:rsidP="00B4150E">
            <w:r w:rsidRPr="00671635">
              <w:rPr>
                <w:lang w:eastAsia="en-AU"/>
              </w:rPr>
              <w:t xml:space="preserve">An influenza pandemic </w:t>
            </w:r>
            <w:r>
              <w:rPr>
                <w:lang w:eastAsia="en-AU"/>
              </w:rPr>
              <w:t>is when a</w:t>
            </w:r>
            <w:r w:rsidRPr="00C85B3F">
              <w:rPr>
                <w:lang w:eastAsia="en-AU"/>
              </w:rPr>
              <w:t xml:space="preserve"> new influenza A virus emerges that is very different from current and recently circulating human seasonal influenza A viruses</w:t>
            </w:r>
            <w:r w:rsidRPr="00C85B3F">
              <w:rPr>
                <w:vertAlign w:val="superscript"/>
                <w:lang w:eastAsia="en-AU"/>
              </w:rPr>
              <w:t>3</w:t>
            </w:r>
            <w:r>
              <w:rPr>
                <w:lang w:eastAsia="en-AU"/>
              </w:rPr>
              <w:t xml:space="preserve">. </w:t>
            </w:r>
            <w:r w:rsidRPr="00C85B3F">
              <w:rPr>
                <w:lang w:eastAsia="en-AU"/>
              </w:rPr>
              <w:t>New (novel) influenza A viruses infect people easily and spread from person to person in an efficient and sustained way</w:t>
            </w:r>
            <w:r w:rsidRPr="00C85B3F">
              <w:rPr>
                <w:vertAlign w:val="superscript"/>
                <w:lang w:eastAsia="en-AU"/>
              </w:rPr>
              <w:t>3</w:t>
            </w:r>
          </w:p>
        </w:tc>
      </w:tr>
    </w:tbl>
    <w:p w14:paraId="7C1E47BE" w14:textId="3186EB4B" w:rsidR="007E0E77" w:rsidRDefault="007E0E77" w:rsidP="00330125">
      <w:r w:rsidRPr="007E0E77">
        <w:t xml:space="preserve">Influenza is a serious global health threat that </w:t>
      </w:r>
      <w:r w:rsidR="00930C79" w:rsidRPr="007E0E77">
        <w:t>affects</w:t>
      </w:r>
      <w:r w:rsidRPr="007E0E77">
        <w:t xml:space="preserve"> all countries: every year, there are an estimated 1 billion cases, 3-5 million severe cases, and 290 000-650 000 influenza-related respiratory deaths worldwide</w:t>
      </w:r>
      <w:r>
        <w:rPr>
          <w:rStyle w:val="FootnoteReference"/>
        </w:rPr>
        <w:footnoteReference w:id="4"/>
      </w:r>
    </w:p>
    <w:p w14:paraId="7A40E745" w14:textId="0CF42FCB" w:rsidR="007E0E77" w:rsidRDefault="007E0E77" w:rsidP="00330125">
      <w:r>
        <w:t xml:space="preserve">The Global Influenza Strategy for 2019-2030 provides a framework for WHO, countries and partners to approach influenza holistically through robust national programmes – from </w:t>
      </w:r>
      <w:r w:rsidR="007937C2">
        <w:t>s</w:t>
      </w:r>
      <w:r>
        <w:t>urveillance to disease prevention and control – with the goal of strengthening seasonal prevention and control and preparedness for future pandemics.</w:t>
      </w:r>
      <w:r>
        <w:rPr>
          <w:rStyle w:val="FootnoteReference"/>
        </w:rPr>
        <w:footnoteReference w:id="5"/>
      </w:r>
    </w:p>
    <w:p w14:paraId="57BA52D0" w14:textId="142C7B2F" w:rsidR="005D0DA9" w:rsidRPr="00431BFF" w:rsidRDefault="00315BA9" w:rsidP="00330125">
      <w:r>
        <w:t>Australian s</w:t>
      </w:r>
      <w:r w:rsidR="00815D2E">
        <w:t>easonal influenza infection rate</w:t>
      </w:r>
      <w:r w:rsidR="007937C2">
        <w:t>s</w:t>
      </w:r>
      <w:r w:rsidR="00815D2E">
        <w:t xml:space="preserve"> fluctuate annually, depending o</w:t>
      </w:r>
      <w:r w:rsidR="007937C2">
        <w:t>n the circulating strain</w:t>
      </w:r>
      <w:r>
        <w:t>s</w:t>
      </w:r>
      <w:r w:rsidR="007937C2">
        <w:t xml:space="preserve"> and</w:t>
      </w:r>
      <w:r w:rsidR="005D0DA9">
        <w:t xml:space="preserve"> does pose a</w:t>
      </w:r>
      <w:r w:rsidR="005D4A11">
        <w:t xml:space="preserve"> serious</w:t>
      </w:r>
      <w:r w:rsidR="005D0DA9">
        <w:t xml:space="preserve"> </w:t>
      </w:r>
      <w:r w:rsidR="00815D2E">
        <w:t>heal</w:t>
      </w:r>
      <w:r w:rsidR="005D0DA9">
        <w:t xml:space="preserve">th risk to priority/vulnerable populations. </w:t>
      </w:r>
      <w:r>
        <w:t>T</w:t>
      </w:r>
      <w:r w:rsidR="007937C2">
        <w:t>he appropriate use of ant</w:t>
      </w:r>
      <w:r w:rsidR="00AC41EC">
        <w:t>i</w:t>
      </w:r>
      <w:r w:rsidR="007937C2">
        <w:t>-viral medication</w:t>
      </w:r>
      <w:r w:rsidR="00AC41EC">
        <w:t xml:space="preserve"> along with growing</w:t>
      </w:r>
      <w:r w:rsidR="007937C2">
        <w:t xml:space="preserve"> </w:t>
      </w:r>
      <w:r w:rsidR="005D0DA9">
        <w:t>public awareness of adequate infection control proce</w:t>
      </w:r>
      <w:r w:rsidR="00F31D0E">
        <w:t xml:space="preserve">dures is </w:t>
      </w:r>
      <w:r w:rsidR="005D0DA9">
        <w:t>aimed at reducing the incidence of circulating seasonal influenza within the Australian community.</w:t>
      </w:r>
    </w:p>
    <w:p w14:paraId="4509EB3A" w14:textId="3AFF6E4F" w:rsidR="0004780A" w:rsidRDefault="002C3A7A" w:rsidP="00330125">
      <w:r w:rsidRPr="001852C0">
        <w:rPr>
          <w:i/>
        </w:rPr>
        <w:t>The Excluded Purposes Specification 2020</w:t>
      </w:r>
      <w:r>
        <w:t xml:space="preserve"> allows manufacturers and sponsors to apply for inclusion of </w:t>
      </w:r>
      <w:r w:rsidR="005D0DA9">
        <w:t xml:space="preserve">seasonal influenza </w:t>
      </w:r>
      <w:r>
        <w:t>s</w:t>
      </w:r>
      <w:r w:rsidR="005D0DA9">
        <w:t>elf-tests</w:t>
      </w:r>
      <w:r>
        <w:t xml:space="preserve"> in the ARTG, allowing for the legal supply of these self-tests in Australia (subject to TGA evaluation and approval). Legal supply of</w:t>
      </w:r>
      <w:r w:rsidR="005D0DA9">
        <w:t xml:space="preserve"> influenza se</w:t>
      </w:r>
      <w:r>
        <w:t>lf-tests may improve access for testing among priority populations, and allow self-test kits to be safely and legally distributed in Australia. Reduced delays in testin</w:t>
      </w:r>
      <w:r w:rsidR="0004780A">
        <w:t xml:space="preserve">g may support earlier access to </w:t>
      </w:r>
      <w:r>
        <w:t>intervention and treatment</w:t>
      </w:r>
      <w:r w:rsidR="001778B0">
        <w:t xml:space="preserve">, including antiviral </w:t>
      </w:r>
      <w:r w:rsidR="00CC0813">
        <w:t>medications that</w:t>
      </w:r>
      <w:r>
        <w:t xml:space="preserve"> could </w:t>
      </w:r>
      <w:r w:rsidR="001623A2">
        <w:t xml:space="preserve">assist in the </w:t>
      </w:r>
      <w:r>
        <w:t>reduc</w:t>
      </w:r>
      <w:r w:rsidR="001623A2">
        <w:t>tion</w:t>
      </w:r>
      <w:r w:rsidR="00E26A91">
        <w:t xml:space="preserve"> </w:t>
      </w:r>
      <w:r w:rsidR="001623A2">
        <w:t>of</w:t>
      </w:r>
      <w:r>
        <w:t xml:space="preserve"> transmissi</w:t>
      </w:r>
      <w:r w:rsidR="005D0DA9">
        <w:t>on rates and the severity of</w:t>
      </w:r>
      <w:r>
        <w:t xml:space="preserve"> complications associated with </w:t>
      </w:r>
      <w:r w:rsidR="005D0DA9">
        <w:t>seasonal influenza</w:t>
      </w:r>
      <w:r>
        <w:t>.</w:t>
      </w:r>
    </w:p>
    <w:p w14:paraId="1F15244F" w14:textId="4A1ADBB6" w:rsidR="00B95066" w:rsidRPr="00B95066" w:rsidRDefault="00640E6C" w:rsidP="001F5A59">
      <w:pPr>
        <w:pStyle w:val="Heading2"/>
      </w:pPr>
      <w:bookmarkStart w:id="9" w:name="_Toc52366515"/>
      <w:bookmarkStart w:id="10" w:name="_Toc66907804"/>
      <w:r>
        <w:lastRenderedPageBreak/>
        <w:t>Clinical performance characteristics and risk mitigation strategies for IVD self-testing</w:t>
      </w:r>
      <w:bookmarkEnd w:id="9"/>
      <w:bookmarkEnd w:id="10"/>
    </w:p>
    <w:p w14:paraId="6E1908E8" w14:textId="2AC1B768" w:rsidR="006B4D4F" w:rsidRPr="001F5A59" w:rsidRDefault="00D558E7" w:rsidP="001F5A59">
      <w:r>
        <w:t>All self-tests for serious diseases</w:t>
      </w:r>
      <w:r w:rsidRPr="00D558E7">
        <w:t xml:space="preserve"> should demonstrate the highest possible standard of clinical performance relative to the intended purpose </w:t>
      </w:r>
      <w:r>
        <w:t xml:space="preserve">and classification </w:t>
      </w:r>
      <w:r w:rsidRPr="00D558E7">
        <w:t>of the test (essential principles 14 and 15</w:t>
      </w:r>
      <w:r w:rsidR="00BF2777">
        <w:t xml:space="preserve"> </w:t>
      </w:r>
      <w:r w:rsidR="00BF2777">
        <w:rPr>
          <w:lang w:eastAsia="en-AU"/>
        </w:rPr>
        <w:t xml:space="preserve">of the </w:t>
      </w:r>
      <w:hyperlink r:id="rId19" w:history="1">
        <w:r w:rsidR="00BF2777" w:rsidRPr="00EA5713">
          <w:rPr>
            <w:rStyle w:val="Hyperlink"/>
            <w:i/>
            <w:lang w:eastAsia="en-AU"/>
          </w:rPr>
          <w:t>Therapeutic Good (Medical Devices) Regulations 2002</w:t>
        </w:r>
      </w:hyperlink>
      <w:r w:rsidR="00637684">
        <w:rPr>
          <w:rStyle w:val="Hyperlink"/>
          <w:lang w:eastAsia="en-AU"/>
        </w:rPr>
        <w:t xml:space="preserve"> </w:t>
      </w:r>
      <w:r w:rsidR="00637684" w:rsidRPr="00D775CB">
        <w:rPr>
          <w:rStyle w:val="Hyperlink"/>
          <w:color w:val="auto"/>
          <w:u w:val="none"/>
          <w:lang w:eastAsia="en-AU"/>
        </w:rPr>
        <w:t>(</w:t>
      </w:r>
      <w:r w:rsidR="00F854EB">
        <w:rPr>
          <w:rStyle w:val="Hyperlink"/>
          <w:i/>
          <w:color w:val="auto"/>
          <w:u w:val="none"/>
          <w:lang w:eastAsia="en-AU"/>
        </w:rPr>
        <w:t>the Medical Device R</w:t>
      </w:r>
      <w:r w:rsidR="00637684" w:rsidRPr="00930C79">
        <w:rPr>
          <w:rStyle w:val="Hyperlink"/>
          <w:i/>
          <w:color w:val="auto"/>
          <w:u w:val="none"/>
          <w:lang w:eastAsia="en-AU"/>
        </w:rPr>
        <w:t>egulations</w:t>
      </w:r>
      <w:r w:rsidR="00637684" w:rsidRPr="00D775CB">
        <w:rPr>
          <w:rStyle w:val="Hyperlink"/>
          <w:color w:val="auto"/>
          <w:u w:val="none"/>
          <w:lang w:eastAsia="en-AU"/>
        </w:rPr>
        <w:t>)</w:t>
      </w:r>
      <w:r w:rsidRPr="00D775CB">
        <w:t>)</w:t>
      </w:r>
      <w:r w:rsidR="006E3492">
        <w:t>.</w:t>
      </w:r>
    </w:p>
    <w:p w14:paraId="5177A37E" w14:textId="3DD4DE86" w:rsidR="006B4D4F" w:rsidRDefault="006B4D4F" w:rsidP="00330125">
      <w:r>
        <w:t xml:space="preserve">Different clinical performance requirements and risk mitigation strategies, including </w:t>
      </w:r>
      <w:r w:rsidR="006E3492">
        <w:t>imposing</w:t>
      </w:r>
      <w:r w:rsidR="00DD5E26">
        <w:t xml:space="preserve"> </w:t>
      </w:r>
      <w:r>
        <w:t xml:space="preserve">conditions </w:t>
      </w:r>
      <w:r w:rsidR="006E3492">
        <w:t>of inclusion</w:t>
      </w:r>
      <w:r w:rsidR="00DD5E26">
        <w:t xml:space="preserve"> on the ARTG, may be </w:t>
      </w:r>
      <w:r>
        <w:t>applicable depending on the nature of the te</w:t>
      </w:r>
      <w:r w:rsidR="001F5A59">
        <w:t>st and take into consideration:</w:t>
      </w:r>
    </w:p>
    <w:p w14:paraId="75C7F24F" w14:textId="77777777" w:rsidR="006B4D4F" w:rsidRPr="00330125" w:rsidRDefault="006B4D4F" w:rsidP="00330125">
      <w:pPr>
        <w:pStyle w:val="ListBullet"/>
      </w:pPr>
      <w:r w:rsidRPr="00330125">
        <w:t>the intended purpose of the test (e.g. presumptive screening test)</w:t>
      </w:r>
    </w:p>
    <w:p w14:paraId="12A7C33A" w14:textId="6AFE269F" w:rsidR="006B4D4F" w:rsidRPr="00330125" w:rsidRDefault="006B4D4F" w:rsidP="00330125">
      <w:pPr>
        <w:pStyle w:val="ListBullet"/>
      </w:pPr>
      <w:r w:rsidRPr="00330125">
        <w:t xml:space="preserve">the format of the test (e.g. </w:t>
      </w:r>
      <w:r w:rsidR="003B6465" w:rsidRPr="00330125">
        <w:t>antigen or antibody</w:t>
      </w:r>
      <w:r w:rsidR="00635821">
        <w:t>)</w:t>
      </w:r>
    </w:p>
    <w:p w14:paraId="48F94BBB" w14:textId="7E96EAA2" w:rsidR="006B4D4F" w:rsidRPr="00330125" w:rsidRDefault="006B4D4F" w:rsidP="00330125">
      <w:pPr>
        <w:pStyle w:val="ListBullet"/>
      </w:pPr>
      <w:r w:rsidRPr="00330125">
        <w:t>the environmental conditions under which the test would be conducted</w:t>
      </w:r>
      <w:r w:rsidR="003B6465" w:rsidRPr="00330125">
        <w:t xml:space="preserve"> by a lay</w:t>
      </w:r>
      <w:r w:rsidR="00B95066" w:rsidRPr="00330125">
        <w:t xml:space="preserve"> </w:t>
      </w:r>
      <w:r w:rsidR="003B6465" w:rsidRPr="00330125">
        <w:t>person</w:t>
      </w:r>
      <w:r w:rsidR="001F207F" w:rsidRPr="00330125">
        <w:t xml:space="preserve"> (i.e. in the hands of a</w:t>
      </w:r>
      <w:r w:rsidR="00672108" w:rsidRPr="00330125">
        <w:t>n untrained/inexperienced user); and</w:t>
      </w:r>
    </w:p>
    <w:p w14:paraId="1EDB1F99" w14:textId="4CFD3E3D" w:rsidR="006B4D4F" w:rsidRPr="00330125" w:rsidRDefault="006B4D4F" w:rsidP="00330125">
      <w:pPr>
        <w:pStyle w:val="ListBullet"/>
      </w:pPr>
      <w:r w:rsidRPr="00330125">
        <w:t>the specim</w:t>
      </w:r>
      <w:r w:rsidR="00F068E8" w:rsidRPr="00330125">
        <w:t xml:space="preserve">en type (e.g. </w:t>
      </w:r>
      <w:r w:rsidR="00464E05" w:rsidRPr="00330125">
        <w:t xml:space="preserve">finger </w:t>
      </w:r>
      <w:r w:rsidRPr="00330125">
        <w:t>stick whole blood</w:t>
      </w:r>
      <w:r w:rsidR="00F068E8" w:rsidRPr="00330125">
        <w:t>, or oropharyngeal swab</w:t>
      </w:r>
      <w:r w:rsidR="00B73164">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B95066" w:rsidRPr="00215D48" w14:paraId="3C3F6BC3" w14:textId="77777777" w:rsidTr="00217BD7">
        <w:tc>
          <w:tcPr>
            <w:tcW w:w="1276" w:type="dxa"/>
            <w:vAlign w:val="center"/>
          </w:tcPr>
          <w:p w14:paraId="250081EB" w14:textId="77777777" w:rsidR="00B95066" w:rsidRPr="00215D48" w:rsidRDefault="00B95066" w:rsidP="00217BD7">
            <w:pPr>
              <w:spacing w:before="0"/>
              <w:rPr>
                <w:sz w:val="20"/>
              </w:rPr>
            </w:pPr>
            <w:r w:rsidRPr="00215D48">
              <w:rPr>
                <w:noProof/>
                <w:sz w:val="20"/>
                <w:lang w:eastAsia="en-AU"/>
              </w:rPr>
              <w:drawing>
                <wp:inline distT="0" distB="0" distL="0" distR="0" wp14:anchorId="6815E83C" wp14:editId="2B7B422E">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F84EBAA" w14:textId="77777777" w:rsidR="00B95066" w:rsidRPr="00330125" w:rsidRDefault="00B95066" w:rsidP="00330125">
            <w:pPr>
              <w:rPr>
                <w:b/>
              </w:rPr>
            </w:pPr>
            <w:r w:rsidRPr="00330125">
              <w:rPr>
                <w:b/>
              </w:rPr>
              <w:t>Please note:</w:t>
            </w:r>
          </w:p>
          <w:p w14:paraId="47CE12A4" w14:textId="65EC1D60" w:rsidR="006E3492" w:rsidRDefault="006E3492" w:rsidP="00330125">
            <w:r>
              <w:t xml:space="preserve">For an IVD medical device for self-testing, a lay person is defined as an individual who does not have formal training in a medical field or discipline to </w:t>
            </w:r>
            <w:r w:rsidR="00B73164">
              <w:t>which the self-testing relates.</w:t>
            </w:r>
          </w:p>
          <w:p w14:paraId="5C0162FD" w14:textId="47AE04D4" w:rsidR="00B95066" w:rsidRPr="00215D48" w:rsidRDefault="006E3492" w:rsidP="00330125">
            <w:r>
              <w:t xml:space="preserve">For the full definition, refer to the </w:t>
            </w:r>
            <w:hyperlink r:id="rId20" w:history="1">
              <w:r w:rsidRPr="00EA5713">
                <w:rPr>
                  <w:rStyle w:val="Hyperlink"/>
                  <w:i/>
                </w:rPr>
                <w:t>Therapeutic Goods (Medical Devices) Regulations 2002</w:t>
              </w:r>
            </w:hyperlink>
            <w:r w:rsidRPr="00B73164">
              <w:rPr>
                <w:rStyle w:val="Hyperlink"/>
                <w:i/>
                <w:color w:val="auto"/>
                <w:u w:val="none"/>
              </w:rPr>
              <w:t>.</w:t>
            </w:r>
          </w:p>
        </w:tc>
      </w:tr>
    </w:tbl>
    <w:p w14:paraId="5758022E" w14:textId="3D5F6673" w:rsidR="00D558E7" w:rsidRDefault="006B4D4F" w:rsidP="006B4D4F">
      <w:r>
        <w:t>The purpose of this approach is to balance the need for high quality tests with clinical characteristics that are fit for purpose.</w:t>
      </w:r>
    </w:p>
    <w:p w14:paraId="66587121" w14:textId="77777777" w:rsidR="00D558E7" w:rsidRDefault="00D558E7" w:rsidP="00330125">
      <w:r>
        <w:t>Manufacturers must also meet the specific requirements for self-tests in accordance with essential principle 15:</w:t>
      </w:r>
    </w:p>
    <w:p w14:paraId="69F8F7B2" w14:textId="4125E055" w:rsidR="00D558E7" w:rsidRPr="00330125" w:rsidRDefault="00D558E7" w:rsidP="00330125">
      <w:pPr>
        <w:pStyle w:val="ListBullet"/>
      </w:pPr>
      <w:r w:rsidRPr="00330125">
        <w:t>An IVD medical device for self-testing must be designed and manufactured so that it performs appropriately for its intended purpose, taking into account the skills and the means available to users and the influence resulting from variation that can reasonably be anticipated in the u</w:t>
      </w:r>
      <w:r w:rsidR="00672108" w:rsidRPr="00330125">
        <w:t>ser’s technique and environment</w:t>
      </w:r>
    </w:p>
    <w:p w14:paraId="0F435969" w14:textId="113576DF" w:rsidR="00D558E7" w:rsidRPr="00330125" w:rsidRDefault="00D558E7" w:rsidP="00330125">
      <w:pPr>
        <w:pStyle w:val="ListBullet"/>
      </w:pPr>
      <w:r w:rsidRPr="00330125">
        <w:t>The information and instructions provided by the manufacturer of an IVD medical device for self-testing must be easy for t</w:t>
      </w:r>
      <w:r w:rsidR="00672108" w:rsidRPr="00330125">
        <w:t>he user to understand and apply; and</w:t>
      </w:r>
    </w:p>
    <w:p w14:paraId="25C9BA48" w14:textId="77777777" w:rsidR="00D558E7" w:rsidRPr="00330125" w:rsidRDefault="00D558E7" w:rsidP="00330125">
      <w:pPr>
        <w:pStyle w:val="ListBullet"/>
      </w:pPr>
      <w:r w:rsidRPr="00330125">
        <w:t>An IVD medical device for self-testing must be designed and manufactured in a way that reduces, to the extent practicable, the risk of error in the use of the device, the handling of the sample and the interpretation of results.</w:t>
      </w:r>
    </w:p>
    <w:p w14:paraId="51987B66" w14:textId="48B472F3" w:rsidR="0004780A" w:rsidRDefault="0086652A" w:rsidP="0004780A">
      <w:r w:rsidRPr="00133829">
        <w:t>Overall acceptability of any test for the purposes of inclusion in the ARTG depends on compliance of the test device with the essential principles and in particular, a demonstration that the test does not compromise health and safety, is suitable for the intended purpose and the benefits of the test outweigh any residual risks associated with its use (essential principles 1, 3 and 6).</w:t>
      </w:r>
      <w:bookmarkStart w:id="11" w:name="_Toc52366516"/>
    </w:p>
    <w:p w14:paraId="60D5B495" w14:textId="7ADED4D9" w:rsidR="007152F3" w:rsidRPr="00DA0D6C" w:rsidRDefault="00BE2D33" w:rsidP="0004780A">
      <w:pPr>
        <w:pStyle w:val="Heading2"/>
      </w:pPr>
      <w:bookmarkStart w:id="12" w:name="_Toc66907805"/>
      <w:r w:rsidRPr="00DA0D6C">
        <w:lastRenderedPageBreak/>
        <w:t xml:space="preserve">Clinical requirements for </w:t>
      </w:r>
      <w:r w:rsidR="0059244B" w:rsidRPr="00DA0D6C">
        <w:t>Seasonal Influenza</w:t>
      </w:r>
      <w:r w:rsidR="007152F3" w:rsidRPr="00DA0D6C">
        <w:t xml:space="preserve"> self-test</w:t>
      </w:r>
      <w:r w:rsidR="0059244B" w:rsidRPr="00DA0D6C">
        <w:t>s</w:t>
      </w:r>
      <w:bookmarkEnd w:id="12"/>
    </w:p>
    <w:p w14:paraId="20858162" w14:textId="333DD76B" w:rsidR="00131D28" w:rsidRDefault="0011143B" w:rsidP="00B563C1">
      <w:r>
        <w:t>Influenza</w:t>
      </w:r>
      <w:r w:rsidR="007152F3" w:rsidRPr="007152F3">
        <w:t xml:space="preserve"> self-tests are rapid presumptive screening tests for </w:t>
      </w:r>
      <w:r w:rsidR="00F068E8">
        <w:t>seasonal i</w:t>
      </w:r>
      <w:r>
        <w:t>nfluenza (usually type A and B)</w:t>
      </w:r>
      <w:r w:rsidR="007152F3" w:rsidRPr="007152F3">
        <w:t xml:space="preserve"> intended to be used in the home or similar environment by a</w:t>
      </w:r>
      <w:r w:rsidR="00F9677E">
        <w:t xml:space="preserve"> lay person</w:t>
      </w:r>
      <w:r w:rsidR="007152F3" w:rsidRPr="007152F3">
        <w:t>. Confirmation of positive results</w:t>
      </w:r>
      <w:r w:rsidR="008A4058">
        <w:t xml:space="preserve"> is required using a </w:t>
      </w:r>
      <w:r w:rsidR="007152F3" w:rsidRPr="007152F3">
        <w:t xml:space="preserve">laboratory test. </w:t>
      </w:r>
      <w:r w:rsidR="008A4058">
        <w:t xml:space="preserve">A negative result </w:t>
      </w:r>
      <w:r w:rsidR="00320551">
        <w:t xml:space="preserve">does not mean a person does not have influenza, and if symptoms </w:t>
      </w:r>
      <w:r w:rsidR="001778B0">
        <w:t>persist,</w:t>
      </w:r>
      <w:r w:rsidR="00320551">
        <w:t xml:space="preserve"> the person should seek medical attention a</w:t>
      </w:r>
      <w:r w:rsidR="00B73164">
        <w:t>nd further testing if required.</w:t>
      </w:r>
    </w:p>
    <w:p w14:paraId="6A7B4531" w14:textId="700CF746" w:rsidR="0009377F" w:rsidRPr="00131D28" w:rsidRDefault="007152F3" w:rsidP="00DA0D6C">
      <w:pPr>
        <w:pStyle w:val="Heading3"/>
      </w:pPr>
      <w:bookmarkStart w:id="13" w:name="_Toc66907806"/>
      <w:r w:rsidRPr="00330125">
        <w:t xml:space="preserve">Clinical characteristics </w:t>
      </w:r>
      <w:r w:rsidR="005A1EC8" w:rsidRPr="00330125">
        <w:t xml:space="preserve">and clinical performance requirements for </w:t>
      </w:r>
      <w:r w:rsidR="0009377F" w:rsidRPr="00330125">
        <w:t>seasonal influenza self-tests</w:t>
      </w:r>
      <w:bookmarkEnd w:id="13"/>
    </w:p>
    <w:p w14:paraId="7353285C" w14:textId="67AD39E2" w:rsidR="00505B62" w:rsidRDefault="00F22AB3" w:rsidP="00131D28">
      <w:r>
        <w:t>Influenza</w:t>
      </w:r>
      <w:r w:rsidR="007152F3">
        <w:t xml:space="preserve"> </w:t>
      </w:r>
      <w:r w:rsidR="00C42C5A">
        <w:t>self-tests</w:t>
      </w:r>
      <w:r w:rsidR="00505B62">
        <w:t xml:space="preserve"> are expected to demonstrate a high level of clinical sensitivity and specificity. </w:t>
      </w:r>
      <w:r w:rsidR="008A4058">
        <w:t>It is anticipated that these will be predominantly antigen tests</w:t>
      </w:r>
      <w:r w:rsidR="00AD3E26">
        <w:t xml:space="preserve"> performed on nasal or throat swabs</w:t>
      </w:r>
      <w:r w:rsidR="001778B0">
        <w:t>,</w:t>
      </w:r>
      <w:r w:rsidR="008A4058">
        <w:t xml:space="preserve"> however these</w:t>
      </w:r>
      <w:r w:rsidR="00505B62">
        <w:t xml:space="preserve"> may inv</w:t>
      </w:r>
      <w:r w:rsidR="008A4058">
        <w:t>olve alternative specimen types</w:t>
      </w:r>
      <w:r w:rsidR="00CE56B3">
        <w:rPr>
          <w:lang w:eastAsia="en-AU"/>
        </w:rPr>
        <w:t xml:space="preserve">, </w:t>
      </w:r>
      <w:r w:rsidR="00CE56B3">
        <w:t>and m</w:t>
      </w:r>
      <w:r w:rsidR="00505B62">
        <w:rPr>
          <w:szCs w:val="22"/>
        </w:rPr>
        <w:t>ay not necessarily perform to the same standard as laboratory tests that are intended for professional use</w:t>
      </w:r>
      <w:r w:rsidR="00630F6C">
        <w:rPr>
          <w:szCs w:val="22"/>
        </w:rPr>
        <w:t xml:space="preserve">. </w:t>
      </w:r>
      <w:r w:rsidR="008A4058">
        <w:rPr>
          <w:szCs w:val="22"/>
        </w:rPr>
        <w:t>Serologic (antibody detection) testing is not suitable for diagnosis of influenza (as recent infection can only be reliably diagnosed by demonstrating a significant rise in influenza-specific antibody titres) and provides retrospective information only.</w:t>
      </w:r>
    </w:p>
    <w:p w14:paraId="58404E54" w14:textId="13D8783A" w:rsidR="007152F3" w:rsidRDefault="00F22AB3" w:rsidP="00131D28">
      <w:r>
        <w:t xml:space="preserve">Influenza </w:t>
      </w:r>
      <w:r w:rsidR="00630F6C">
        <w:t>self-tests must meet minimum clinical performance</w:t>
      </w:r>
      <w:r w:rsidR="007152F3">
        <w:t xml:space="preserve"> </w:t>
      </w:r>
      <w:r w:rsidR="00AD3E26">
        <w:t xml:space="preserve">requirements for </w:t>
      </w:r>
      <w:r w:rsidR="007152F3">
        <w:t xml:space="preserve">clinical sensitivity and specificity for a self-test across the </w:t>
      </w:r>
      <w:r w:rsidR="00AD3E26">
        <w:t xml:space="preserve">claimed </w:t>
      </w:r>
      <w:r w:rsidR="007152F3">
        <w:t>specimen types such as</w:t>
      </w:r>
      <w:r w:rsidR="001628F3">
        <w:t xml:space="preserve"> </w:t>
      </w:r>
      <w:r w:rsidR="00CE56B3">
        <w:rPr>
          <w:lang w:eastAsia="en-AU"/>
        </w:rPr>
        <w:t>nasopharyngeal, nasal or throat swab</w:t>
      </w:r>
      <w:r w:rsidR="00505B62">
        <w:t>:</w:t>
      </w:r>
    </w:p>
    <w:p w14:paraId="3609BE90" w14:textId="668D0450" w:rsidR="007152F3" w:rsidRPr="00131D28" w:rsidRDefault="007152F3" w:rsidP="00131D28">
      <w:pPr>
        <w:pStyle w:val="ListBullet"/>
      </w:pPr>
      <w:r w:rsidRPr="00131D28">
        <w:t>a</w:t>
      </w:r>
      <w:r w:rsidR="00B560C9" w:rsidRPr="00131D28">
        <w:t>n overall</w:t>
      </w:r>
      <w:r w:rsidRPr="00131D28">
        <w:t xml:space="preserve"> clinical sensitivity of at least </w:t>
      </w:r>
      <w:r w:rsidR="001628F3" w:rsidRPr="00131D28">
        <w:t>85</w:t>
      </w:r>
      <w:r w:rsidR="00B95066" w:rsidRPr="00131D28">
        <w:t>%</w:t>
      </w:r>
      <w:r w:rsidR="00182BDF" w:rsidRPr="00131D28">
        <w:t>; and</w:t>
      </w:r>
    </w:p>
    <w:p w14:paraId="2EE0702F" w14:textId="1DA66534" w:rsidR="007152F3" w:rsidRDefault="007152F3" w:rsidP="00131D28">
      <w:pPr>
        <w:pStyle w:val="ListBullet"/>
      </w:pPr>
      <w:r w:rsidRPr="00131D28">
        <w:t>a</w:t>
      </w:r>
      <w:r w:rsidR="00B560C9" w:rsidRPr="00131D28">
        <w:t>n overall</w:t>
      </w:r>
      <w:r w:rsidRPr="00131D28">
        <w:t xml:space="preserve"> clin</w:t>
      </w:r>
      <w:r w:rsidR="00F22AB3" w:rsidRPr="00131D28">
        <w:t xml:space="preserve">ical specificity of at least </w:t>
      </w:r>
      <w:r w:rsidR="001628F3" w:rsidRPr="00131D28">
        <w:t>95</w:t>
      </w:r>
      <w:r w:rsidR="00B95066" w:rsidRPr="00131D28">
        <w:t>%</w:t>
      </w:r>
      <w:r w:rsidR="00F22AB3" w:rsidRPr="00131D28">
        <w:t xml:space="preserve"> for </w:t>
      </w:r>
      <w:r w:rsidR="00B95066" w:rsidRPr="00131D28">
        <w:t xml:space="preserve">the </w:t>
      </w:r>
      <w:r w:rsidR="00F22AB3" w:rsidRPr="00131D28">
        <w:t>detection of influenza</w:t>
      </w:r>
      <w:r w:rsidRPr="00131D28">
        <w:t xml:space="preserve"> infection</w:t>
      </w:r>
      <w:r w:rsidR="005D4A11">
        <w:rPr>
          <w:rStyle w:val="FootnoteReference"/>
        </w:rPr>
        <w:footnoteReference w:id="6"/>
      </w:r>
      <w:r w:rsidR="00B73164">
        <w:t>.</w:t>
      </w:r>
    </w:p>
    <w:p w14:paraId="2C5BF3B5" w14:textId="6FB0A1DB" w:rsidR="00B560C9" w:rsidRPr="00856BD0" w:rsidRDefault="00B560C9" w:rsidP="00131D28">
      <w:r>
        <w:t>The clinical sensitivity and specificity on samples taken from patients at the peak time for viral shedding (</w:t>
      </w:r>
      <w:r w:rsidR="008F2DB8">
        <w:t>i.e.</w:t>
      </w:r>
      <w:r w:rsidR="00555AFF">
        <w:t xml:space="preserve"> within the first 4 days </w:t>
      </w:r>
      <w:r w:rsidR="00AD3E26">
        <w:t>following</w:t>
      </w:r>
      <w:r w:rsidR="00555AFF">
        <w:t xml:space="preserve"> onset of symptoms) would be expected to be &gt;95%. Clinical performance studies should include information on when samples were taken and tested </w:t>
      </w:r>
      <w:r>
        <w:t>(</w:t>
      </w:r>
      <w:r w:rsidR="008F2DB8">
        <w:t>i.e.</w:t>
      </w:r>
      <w:r>
        <w:t xml:space="preserve"> days post symptom onset) and clearly </w:t>
      </w:r>
      <w:r w:rsidR="00AD3E26">
        <w:t xml:space="preserve">demonstrate </w:t>
      </w:r>
      <w:r>
        <w:t>the optimal days for testing.</w:t>
      </w:r>
    </w:p>
    <w:p w14:paraId="60581AD6" w14:textId="0CEFD4F3" w:rsidR="0008013C" w:rsidRDefault="009A293F" w:rsidP="00131D28">
      <w:r>
        <w:t xml:space="preserve">The </w:t>
      </w:r>
      <w:r w:rsidR="00CB7F5D">
        <w:t xml:space="preserve">clinical </w:t>
      </w:r>
      <w:r>
        <w:t>sensitivity and specificity reflects</w:t>
      </w:r>
      <w:r w:rsidR="007152F3">
        <w:t xml:space="preserve"> the expected performance of the test with clinical specimens in comparison to </w:t>
      </w:r>
      <w:r w:rsidR="0008013C">
        <w:t xml:space="preserve">the currently accepted reference standard, </w:t>
      </w:r>
      <w:r w:rsidR="007152F3">
        <w:t xml:space="preserve">a </w:t>
      </w:r>
      <w:r w:rsidR="00CB7F5D">
        <w:t>r</w:t>
      </w:r>
      <w:r w:rsidR="00F22AB3">
        <w:t xml:space="preserve">everse </w:t>
      </w:r>
      <w:r w:rsidR="00CB7F5D">
        <w:t>t</w:t>
      </w:r>
      <w:r w:rsidR="00F22AB3">
        <w:t>ranscript</w:t>
      </w:r>
      <w:r w:rsidR="00295E64">
        <w:t>ase</w:t>
      </w:r>
      <w:r w:rsidR="00F22AB3">
        <w:t xml:space="preserve"> </w:t>
      </w:r>
      <w:r w:rsidR="00CB7F5D">
        <w:t>p</w:t>
      </w:r>
      <w:r w:rsidR="00F22AB3">
        <w:t xml:space="preserve">olymerase </w:t>
      </w:r>
      <w:r w:rsidR="00CB7F5D">
        <w:t>c</w:t>
      </w:r>
      <w:r w:rsidR="00F22AB3">
        <w:t xml:space="preserve">hain </w:t>
      </w:r>
      <w:r w:rsidR="00CB7F5D">
        <w:t>r</w:t>
      </w:r>
      <w:r w:rsidR="00F22AB3">
        <w:t>eaction (RT-PCR)</w:t>
      </w:r>
      <w:r w:rsidR="00CB7F5D">
        <w:t xml:space="preserve"> test</w:t>
      </w:r>
      <w:r w:rsidR="007152F3">
        <w:t>.</w:t>
      </w:r>
      <w:r w:rsidR="0008013C">
        <w:t xml:space="preserve"> It is expected that the self-test shall have an overall performance equivalent to that of the established device.</w:t>
      </w:r>
    </w:p>
    <w:p w14:paraId="65F8B71C" w14:textId="2DA9F564" w:rsidR="00777C28" w:rsidRPr="00332090" w:rsidRDefault="00777C28" w:rsidP="00131D28">
      <w:r>
        <w:t>The TGA will expect</w:t>
      </w:r>
      <w:r w:rsidR="007152F3">
        <w:t xml:space="preserve"> </w:t>
      </w:r>
      <w:r w:rsidR="00555AFF">
        <w:t xml:space="preserve">statistically </w:t>
      </w:r>
      <w:r w:rsidR="007152F3">
        <w:t>appropriate specimen numbers and sample selection</w:t>
      </w:r>
      <w:r w:rsidR="00AD3E26" w:rsidRPr="00AD3E26">
        <w:t xml:space="preserve"> </w:t>
      </w:r>
      <w:r w:rsidR="00AD3E26">
        <w:t>appropriate to each strain or strains of influenza detected,</w:t>
      </w:r>
      <w:r w:rsidR="007152F3">
        <w:t xml:space="preserve"> for the evaluation of </w:t>
      </w:r>
      <w:r w:rsidR="00555AFF">
        <w:t>an</w:t>
      </w:r>
      <w:r w:rsidR="001628F3">
        <w:t xml:space="preserve"> </w:t>
      </w:r>
      <w:r>
        <w:t xml:space="preserve">influenza </w:t>
      </w:r>
      <w:r w:rsidR="001C7FB1">
        <w:t>self</w:t>
      </w:r>
      <w:r w:rsidR="001C7FB1">
        <w:noBreakHyphen/>
      </w:r>
      <w:r w:rsidR="008141EE">
        <w:t>test</w:t>
      </w:r>
      <w:r w:rsidR="009A11E1">
        <w:t>.</w:t>
      </w:r>
      <w:r>
        <w:t xml:space="preserve"> Positive</w:t>
      </w:r>
      <w:r w:rsidR="007152F3">
        <w:t xml:space="preserve"> samples are expected to be characterised and discordant results investigated using testing algorithms in accordance with a well-established la</w:t>
      </w:r>
      <w:r>
        <w:t>boratory case definition for influenza</w:t>
      </w:r>
      <w:r w:rsidR="004753D9">
        <w:rPr>
          <w:rStyle w:val="FootnoteReference"/>
        </w:rPr>
        <w:footnoteReference w:id="7"/>
      </w:r>
      <w:r w:rsidR="00985599">
        <w:rPr>
          <w:rStyle w:val="FootnoteReference"/>
        </w:rPr>
        <w:footnoteReference w:id="8"/>
      </w:r>
      <w:r w:rsidR="007152F3">
        <w:t xml:space="preserve">. </w:t>
      </w:r>
      <w:r>
        <w:t>Manufacturers claiming that their kit ide</w:t>
      </w:r>
      <w:r w:rsidR="008141EE">
        <w:t xml:space="preserve">ntifies influenza in nasopharyngeal, nasal or throat swabs </w:t>
      </w:r>
      <w:r>
        <w:t>should conduct parallel testing</w:t>
      </w:r>
      <w:r w:rsidR="00555AFF">
        <w:t xml:space="preserve"> to demonstrate specimen equivalence.</w:t>
      </w:r>
      <w:r>
        <w:t xml:space="preserve"> </w:t>
      </w:r>
      <w:r w:rsidR="0054704F">
        <w:t>Contrived samples would not be acceptable in determining clinical sensitivity and specificity.</w:t>
      </w:r>
      <w:r w:rsidR="003922B5">
        <w:t xml:space="preserve"> It is expected that sample stability will be demonstrated for all claimed specimen types </w:t>
      </w:r>
      <w:r w:rsidR="00B73164">
        <w:t>intended for use with the test.</w:t>
      </w:r>
    </w:p>
    <w:p w14:paraId="7266D08E" w14:textId="508772CA" w:rsidR="004256B9" w:rsidRDefault="007152F3" w:rsidP="00131D28">
      <w:r>
        <w:t xml:space="preserve">As self-tests would predominantly be performed by </w:t>
      </w:r>
      <w:r w:rsidR="00777C28">
        <w:t>a lay</w:t>
      </w:r>
      <w:r w:rsidR="00B95066">
        <w:t xml:space="preserve"> </w:t>
      </w:r>
      <w:r w:rsidR="00E8137B">
        <w:t>person, c</w:t>
      </w:r>
      <w:r w:rsidR="00777C28">
        <w:t>linical evidence in the form of</w:t>
      </w:r>
      <w:r>
        <w:t xml:space="preserve"> usability studies would be required to establish performance of the t</w:t>
      </w:r>
      <w:r w:rsidR="00777C28">
        <w:t xml:space="preserve">est in the hands of </w:t>
      </w:r>
      <w:r w:rsidR="00987EEC">
        <w:t xml:space="preserve">these </w:t>
      </w:r>
      <w:r w:rsidR="00987EEC">
        <w:lastRenderedPageBreak/>
        <w:t>users</w:t>
      </w:r>
      <w:r>
        <w:t xml:space="preserve">. </w:t>
      </w:r>
      <w:r w:rsidR="004256B9">
        <w:t xml:space="preserve">It is expected that the clinical performance studies would include </w:t>
      </w:r>
      <w:r w:rsidR="00B262F5">
        <w:t xml:space="preserve">clinical </w:t>
      </w:r>
      <w:r w:rsidR="004256B9">
        <w:t>patient samp</w:t>
      </w:r>
      <w:r w:rsidR="00B73164">
        <w:t>les in their usability studies.</w:t>
      </w:r>
    </w:p>
    <w:p w14:paraId="7CA65D9D" w14:textId="0C28C8EB" w:rsidR="007152F3" w:rsidRDefault="007152F3" w:rsidP="00131D28">
      <w:r>
        <w:t xml:space="preserve">The manufacturer is not required to provide Australian specific usability studies, but it is </w:t>
      </w:r>
      <w:r w:rsidR="00CB7F5D">
        <w:t>e</w:t>
      </w:r>
      <w:r>
        <w:t xml:space="preserve">xpected that studies will reflect the performance of the test in a comparable setting and </w:t>
      </w:r>
      <w:r w:rsidR="003108DD">
        <w:t xml:space="preserve">relevant </w:t>
      </w:r>
      <w:r w:rsidR="00B73164">
        <w:t>to the Australian population.</w:t>
      </w:r>
    </w:p>
    <w:p w14:paraId="28C9F167" w14:textId="3C0A810E" w:rsidR="00777C28" w:rsidRPr="00131D28" w:rsidRDefault="00777C28" w:rsidP="000A2CCA">
      <w:pPr>
        <w:pStyle w:val="Heading2"/>
      </w:pPr>
      <w:bookmarkStart w:id="14" w:name="_Toc53563178"/>
      <w:bookmarkStart w:id="15" w:name="_Toc66907807"/>
      <w:r w:rsidRPr="00131D28">
        <w:t xml:space="preserve">Usability </w:t>
      </w:r>
      <w:r w:rsidR="00B73164">
        <w:t>s</w:t>
      </w:r>
      <w:r w:rsidRPr="00131D28">
        <w:t>tudies</w:t>
      </w:r>
      <w:bookmarkEnd w:id="14"/>
      <w:bookmarkEnd w:id="15"/>
    </w:p>
    <w:p w14:paraId="15623D0F" w14:textId="0C1D0B2F" w:rsidR="007152F3" w:rsidRDefault="007152F3" w:rsidP="00131D28">
      <w:r>
        <w:t xml:space="preserve">Usability studies are </w:t>
      </w:r>
      <w:r w:rsidR="007C47A5">
        <w:t>expected to address:</w:t>
      </w:r>
    </w:p>
    <w:p w14:paraId="0DA8774E" w14:textId="3CA847CB" w:rsidR="00B034C8" w:rsidRPr="00131D28" w:rsidRDefault="0054704F" w:rsidP="00131D28">
      <w:pPr>
        <w:pStyle w:val="ListBullet"/>
      </w:pPr>
      <w:r w:rsidRPr="00131D28">
        <w:t xml:space="preserve">User </w:t>
      </w:r>
      <w:r w:rsidR="00FE5645">
        <w:t>c</w:t>
      </w:r>
      <w:r w:rsidR="00B034C8" w:rsidRPr="00131D28">
        <w:t>omprehension</w:t>
      </w:r>
    </w:p>
    <w:p w14:paraId="45377F12" w14:textId="67660FF0" w:rsidR="00B034C8" w:rsidRDefault="00B034C8" w:rsidP="00131D28">
      <w:r>
        <w:t xml:space="preserve">A </w:t>
      </w:r>
      <w:r w:rsidR="00F01ED4">
        <w:t xml:space="preserve">usability </w:t>
      </w:r>
      <w:r>
        <w:t>study should take into account the ability of the user to interpret the instructions for use</w:t>
      </w:r>
      <w:r w:rsidR="009B12DF">
        <w:t xml:space="preserve"> (IFU)</w:t>
      </w:r>
      <w:r>
        <w:t>, and to ensure that the labelling is clear and easy to follow</w:t>
      </w:r>
      <w:r w:rsidR="00017EAB">
        <w:t xml:space="preserve"> </w:t>
      </w:r>
      <w:r w:rsidR="00EA5713">
        <w:t>(e.g.</w:t>
      </w:r>
      <w:r w:rsidR="00C92E8A">
        <w:t xml:space="preserve"> a questionnaire to assess the ability of users to correctly comprehend instructions for use, limitations, diagrams</w:t>
      </w:r>
      <w:r w:rsidR="00462539">
        <w:t>,</w:t>
      </w:r>
      <w:r w:rsidR="005A4238">
        <w:t xml:space="preserve"> </w:t>
      </w:r>
      <w:r w:rsidR="00C92E8A">
        <w:t>result interpretation</w:t>
      </w:r>
      <w:r w:rsidR="00A3609D">
        <w:t xml:space="preserve"> and access to follow-up services</w:t>
      </w:r>
      <w:r w:rsidR="007C47A5">
        <w:t>).</w:t>
      </w:r>
    </w:p>
    <w:p w14:paraId="74CD2703" w14:textId="59B2B7E7" w:rsidR="007152F3" w:rsidRPr="00131D28" w:rsidRDefault="007C47A5" w:rsidP="00131D28">
      <w:pPr>
        <w:pStyle w:val="ListBullet"/>
      </w:pPr>
      <w:r>
        <w:t>Inter-reader variability</w:t>
      </w:r>
    </w:p>
    <w:p w14:paraId="7D5E91A0" w14:textId="1156D428" w:rsidR="007152F3" w:rsidRDefault="007152F3" w:rsidP="00131D28">
      <w:r>
        <w:t xml:space="preserve">An inter-reader variability study should take into account </w:t>
      </w:r>
      <w:r w:rsidR="008141EE">
        <w:t xml:space="preserve">an </w:t>
      </w:r>
      <w:r>
        <w:t>individual’s ability to interpret pre-determined results (e.g. positive results, weakly positive results,</w:t>
      </w:r>
      <w:r w:rsidR="007C47A5">
        <w:t xml:space="preserve"> negative and invalid results).</w:t>
      </w:r>
    </w:p>
    <w:p w14:paraId="3005AAED" w14:textId="5B22FF0E" w:rsidR="00576FFD" w:rsidRPr="00576FFD" w:rsidRDefault="007152F3" w:rsidP="00131D28">
      <w:r>
        <w:t>A significant inter-reader variability (e.g. ≥ 5%</w:t>
      </w:r>
      <w:r w:rsidR="00A914D2">
        <w:rPr>
          <w:rStyle w:val="FootnoteReference"/>
        </w:rPr>
        <w:footnoteReference w:id="9"/>
      </w:r>
      <w:r w:rsidR="00776D16">
        <w:rPr>
          <w:rStyle w:val="FootnoteReference"/>
        </w:rPr>
        <w:footnoteReference w:id="10"/>
      </w:r>
      <w:r>
        <w:t>) for clearly positive or negative results implies that the device is not easy to use</w:t>
      </w:r>
      <w:r w:rsidR="00FE7F94">
        <w:t>, the</w:t>
      </w:r>
      <w:r w:rsidR="009B12DF">
        <w:t xml:space="preserve"> IFU is</w:t>
      </w:r>
      <w:r w:rsidR="00FE7F94">
        <w:t xml:space="preserve"> not clear enough,</w:t>
      </w:r>
      <w:r>
        <w:t xml:space="preserve"> or </w:t>
      </w:r>
      <w:r w:rsidR="00FE7F94">
        <w:t xml:space="preserve">the test </w:t>
      </w:r>
      <w:r>
        <w:t>may be difficult to interpret resulting in an increased rate of false negative or positive results.</w:t>
      </w:r>
    </w:p>
    <w:p w14:paraId="647B0D0E" w14:textId="437ABE4F" w:rsidR="00576FFD" w:rsidRPr="00131D28" w:rsidRDefault="007C47A5" w:rsidP="00131D28">
      <w:pPr>
        <w:pStyle w:val="ListBullet"/>
      </w:pPr>
      <w:r>
        <w:t>Invalid test rate</w:t>
      </w:r>
    </w:p>
    <w:p w14:paraId="5328AE9C" w14:textId="0EA22DE7" w:rsidR="00727E12" w:rsidRDefault="00576FFD" w:rsidP="00131D28">
      <w:pPr>
        <w:rPr>
          <w:lang w:eastAsia="en-AU"/>
        </w:rPr>
      </w:pPr>
      <w:r w:rsidRPr="00576FFD">
        <w:rPr>
          <w:lang w:eastAsia="en-AU"/>
        </w:rPr>
        <w:t>The incidence of operational errors and test system failures</w:t>
      </w:r>
      <w:r w:rsidR="002E7BD2">
        <w:rPr>
          <w:lang w:eastAsia="en-AU"/>
        </w:rPr>
        <w:t xml:space="preserve"> </w:t>
      </w:r>
      <w:r w:rsidR="002E7BD2" w:rsidRPr="002E7BD2">
        <w:rPr>
          <w:lang w:eastAsia="en-AU"/>
        </w:rPr>
        <w:t xml:space="preserve">(e.g. failure to sample correctly resulting in an unreadable result or user not being able to interpret the result) </w:t>
      </w:r>
      <w:r w:rsidRPr="00576FFD">
        <w:rPr>
          <w:lang w:eastAsia="en-AU"/>
        </w:rPr>
        <w:t>that lead to an invalid result should be determined. This will provide an indication of the reliability and robustness of the test. Ideally the invalid test rate would be expected to be ≤ 2%</w:t>
      </w:r>
      <w:r w:rsidR="00A914D2">
        <w:rPr>
          <w:rStyle w:val="FootnoteReference"/>
          <w:lang w:eastAsia="en-AU"/>
        </w:rPr>
        <w:footnoteReference w:id="11"/>
      </w:r>
      <w:r w:rsidR="00776D16">
        <w:rPr>
          <w:rStyle w:val="FootnoteReference"/>
          <w:lang w:eastAsia="en-AU"/>
        </w:rPr>
        <w:footnoteReference w:id="12"/>
      </w:r>
      <w:r w:rsidRPr="00576FFD">
        <w:rPr>
          <w:lang w:eastAsia="en-AU"/>
        </w:rPr>
        <w:t xml:space="preserve"> of the total tested (this includes </w:t>
      </w:r>
      <w:r w:rsidR="007C47A5">
        <w:rPr>
          <w:lang w:eastAsia="en-AU"/>
        </w:rPr>
        <w:t>defective tests or components).</w:t>
      </w:r>
    </w:p>
    <w:p w14:paraId="17D493DE" w14:textId="618FE41F" w:rsidR="00576FFD" w:rsidRPr="00131D28" w:rsidRDefault="004C4FC5" w:rsidP="00131D28">
      <w:pPr>
        <w:pStyle w:val="ListBullet"/>
      </w:pPr>
      <w:r>
        <w:t>User</w:t>
      </w:r>
      <w:r w:rsidR="00576FFD" w:rsidRPr="00131D28">
        <w:t xml:space="preserve"> </w:t>
      </w:r>
      <w:r w:rsidR="007C47A5">
        <w:t>sensitivity/specificity studies</w:t>
      </w:r>
    </w:p>
    <w:p w14:paraId="51396831" w14:textId="322D113E" w:rsidR="00576FFD" w:rsidRPr="00576FFD" w:rsidRDefault="00576FFD" w:rsidP="00131D28">
      <w:pPr>
        <w:rPr>
          <w:lang w:eastAsia="en-AU"/>
        </w:rPr>
      </w:pPr>
      <w:r w:rsidRPr="00576FFD">
        <w:rPr>
          <w:lang w:eastAsia="en-AU"/>
        </w:rPr>
        <w:t xml:space="preserve">Studies should be performed to </w:t>
      </w:r>
      <w:r w:rsidR="00555AFF">
        <w:rPr>
          <w:lang w:eastAsia="en-AU"/>
        </w:rPr>
        <w:t>confirm the clinical</w:t>
      </w:r>
      <w:r w:rsidRPr="00576FFD">
        <w:rPr>
          <w:lang w:eastAsia="en-AU"/>
        </w:rPr>
        <w:t xml:space="preserve"> sensitivity and specificity of the test in hands of</w:t>
      </w:r>
      <w:r w:rsidR="00777C28">
        <w:rPr>
          <w:lang w:eastAsia="en-AU"/>
        </w:rPr>
        <w:t xml:space="preserve"> a lay</w:t>
      </w:r>
      <w:r w:rsidR="00B95066">
        <w:rPr>
          <w:lang w:eastAsia="en-AU"/>
        </w:rPr>
        <w:t xml:space="preserve"> </w:t>
      </w:r>
      <w:r w:rsidR="00777C28">
        <w:rPr>
          <w:lang w:eastAsia="en-AU"/>
        </w:rPr>
        <w:t>person</w:t>
      </w:r>
      <w:r w:rsidRPr="00576FFD">
        <w:rPr>
          <w:lang w:eastAsia="en-AU"/>
        </w:rPr>
        <w:t xml:space="preserve"> in the</w:t>
      </w:r>
      <w:r w:rsidR="004C4FC5">
        <w:rPr>
          <w:lang w:eastAsia="en-AU"/>
        </w:rPr>
        <w:t xml:space="preserve"> self-testing environment. The user</w:t>
      </w:r>
      <w:r w:rsidRPr="00576FFD">
        <w:rPr>
          <w:lang w:eastAsia="en-AU"/>
        </w:rPr>
        <w:t xml:space="preserve"> sensitivity and specificity should be estimated in comparison to the true </w:t>
      </w:r>
      <w:r w:rsidR="00777C28">
        <w:rPr>
          <w:lang w:eastAsia="en-AU"/>
        </w:rPr>
        <w:t>influenza</w:t>
      </w:r>
      <w:r w:rsidRPr="00576FFD">
        <w:rPr>
          <w:lang w:eastAsia="en-AU"/>
        </w:rPr>
        <w:t xml:space="preserve"> status of the individual as determined by laboratory testing (e.g. </w:t>
      </w:r>
      <w:r w:rsidR="00555AFF">
        <w:rPr>
          <w:lang w:eastAsia="en-AU"/>
        </w:rPr>
        <w:t>RT-</w:t>
      </w:r>
      <w:r w:rsidR="00777C28">
        <w:rPr>
          <w:lang w:eastAsia="en-AU"/>
        </w:rPr>
        <w:t>PCR</w:t>
      </w:r>
      <w:r w:rsidRPr="00576FFD">
        <w:rPr>
          <w:lang w:eastAsia="en-AU"/>
        </w:rPr>
        <w:t xml:space="preserve">). </w:t>
      </w:r>
      <w:r w:rsidR="00555AFF">
        <w:rPr>
          <w:lang w:eastAsia="en-AU"/>
        </w:rPr>
        <w:t>Where possible s</w:t>
      </w:r>
      <w:r w:rsidRPr="00576FFD">
        <w:rPr>
          <w:lang w:eastAsia="en-AU"/>
        </w:rPr>
        <w:t>tudies should include participants from high and low prevalence setting</w:t>
      </w:r>
      <w:r w:rsidR="004C4FC5">
        <w:rPr>
          <w:lang w:eastAsia="en-AU"/>
        </w:rPr>
        <w:t>.</w:t>
      </w:r>
    </w:p>
    <w:p w14:paraId="225EF0A7" w14:textId="1D928FD5" w:rsidR="00576FFD" w:rsidRDefault="00CC0813" w:rsidP="00131D28">
      <w:pPr>
        <w:rPr>
          <w:lang w:eastAsia="en-AU"/>
        </w:rPr>
      </w:pPr>
      <w:r>
        <w:rPr>
          <w:lang w:eastAsia="en-AU"/>
        </w:rPr>
        <w:t>Preferably,</w:t>
      </w:r>
      <w:r w:rsidR="004C4FC5">
        <w:rPr>
          <w:lang w:eastAsia="en-AU"/>
        </w:rPr>
        <w:t xml:space="preserve"> the user</w:t>
      </w:r>
      <w:r w:rsidR="008639FD">
        <w:rPr>
          <w:lang w:eastAsia="en-AU"/>
        </w:rPr>
        <w:t xml:space="preserve"> sensitivity should be </w:t>
      </w:r>
      <w:r w:rsidR="00597B23">
        <w:rPr>
          <w:lang w:eastAsia="en-AU"/>
        </w:rPr>
        <w:t>≥</w:t>
      </w:r>
      <w:r w:rsidR="008639FD">
        <w:rPr>
          <w:lang w:eastAsia="en-AU"/>
        </w:rPr>
        <w:t xml:space="preserve">85%. </w:t>
      </w:r>
      <w:r w:rsidR="00987EEC">
        <w:rPr>
          <w:lang w:eastAsia="en-AU"/>
        </w:rPr>
        <w:t>A</w:t>
      </w:r>
      <w:r w:rsidR="00555AFF">
        <w:rPr>
          <w:lang w:eastAsia="en-AU"/>
        </w:rPr>
        <w:t xml:space="preserve"> </w:t>
      </w:r>
      <w:r w:rsidR="004C4FC5">
        <w:rPr>
          <w:lang w:eastAsia="en-AU"/>
        </w:rPr>
        <w:t>user</w:t>
      </w:r>
      <w:r w:rsidR="0037657D">
        <w:rPr>
          <w:lang w:eastAsia="en-AU"/>
        </w:rPr>
        <w:t xml:space="preserve"> sensitivity of</w:t>
      </w:r>
      <w:r w:rsidR="00987EEC">
        <w:rPr>
          <w:lang w:eastAsia="en-AU"/>
        </w:rPr>
        <w:t xml:space="preserve"> </w:t>
      </w:r>
      <w:r w:rsidR="0037657D">
        <w:rPr>
          <w:lang w:eastAsia="en-AU"/>
        </w:rPr>
        <w:t>&lt;</w:t>
      </w:r>
      <w:r w:rsidR="00987EEC">
        <w:rPr>
          <w:lang w:eastAsia="en-AU"/>
        </w:rPr>
        <w:t>8</w:t>
      </w:r>
      <w:r w:rsidR="001628F3">
        <w:rPr>
          <w:lang w:eastAsia="en-AU"/>
        </w:rPr>
        <w:t>5</w:t>
      </w:r>
      <w:r w:rsidR="00576FFD" w:rsidRPr="00576FFD">
        <w:rPr>
          <w:lang w:eastAsia="en-AU"/>
        </w:rPr>
        <w:t xml:space="preserve">% </w:t>
      </w:r>
      <w:r w:rsidR="008639FD">
        <w:rPr>
          <w:lang w:eastAsia="en-AU"/>
        </w:rPr>
        <w:t>may be</w:t>
      </w:r>
      <w:r w:rsidR="00576FFD" w:rsidRPr="00576FFD">
        <w:rPr>
          <w:lang w:eastAsia="en-AU"/>
        </w:rPr>
        <w:t xml:space="preserve"> considered accep</w:t>
      </w:r>
      <w:r w:rsidR="00987EEC">
        <w:rPr>
          <w:lang w:eastAsia="en-AU"/>
        </w:rPr>
        <w:t>tabl</w:t>
      </w:r>
      <w:r w:rsidR="001628F3">
        <w:rPr>
          <w:lang w:eastAsia="en-AU"/>
        </w:rPr>
        <w:t>e</w:t>
      </w:r>
      <w:r w:rsidR="008639FD">
        <w:rPr>
          <w:lang w:eastAsia="en-AU"/>
        </w:rPr>
        <w:t xml:space="preserve"> </w:t>
      </w:r>
      <w:r w:rsidR="00576FFD" w:rsidRPr="00576FFD">
        <w:rPr>
          <w:lang w:eastAsia="en-AU"/>
        </w:rPr>
        <w:t>where evidence of significant public health benefits can be demonstrated and where thorough risk mitigation strategies have been put in place to minimise the risk of false negat</w:t>
      </w:r>
      <w:r w:rsidR="007C47A5">
        <w:rPr>
          <w:lang w:eastAsia="en-AU"/>
        </w:rPr>
        <w:t>ive and false positive results.</w:t>
      </w:r>
    </w:p>
    <w:p w14:paraId="687F29FA" w14:textId="6D741244" w:rsidR="00190689" w:rsidRPr="00576FFD" w:rsidRDefault="00190689" w:rsidP="00131D28">
      <w:pPr>
        <w:rPr>
          <w:lang w:eastAsia="en-AU"/>
        </w:rPr>
      </w:pPr>
      <w:r w:rsidRPr="00190689">
        <w:rPr>
          <w:lang w:eastAsia="en-AU"/>
        </w:rPr>
        <w:t xml:space="preserve">The suitability of these studies will be assessed on a case-by-case basis and will depend on how well the manufacturer has mitigated any risks and demonstrated that the overall benefits of the product outweigh any residual risks associated with its use. Demonstration of the benefit of a </w:t>
      </w:r>
      <w:r w:rsidRPr="00190689">
        <w:rPr>
          <w:lang w:eastAsia="en-AU"/>
        </w:rPr>
        <w:lastRenderedPageBreak/>
        <w:t>test and effectiveness of risk mitigation measures in the self-testing environment may be supported by a documented review of r</w:t>
      </w:r>
      <w:r>
        <w:rPr>
          <w:lang w:eastAsia="en-AU"/>
        </w:rPr>
        <w:t>elevant published literature</w:t>
      </w:r>
      <w:r>
        <w:rPr>
          <w:rStyle w:val="FootnoteReference"/>
          <w:lang w:eastAsia="en-AU"/>
        </w:rPr>
        <w:footnoteReference w:id="13"/>
      </w:r>
      <w:r w:rsidR="007C47A5">
        <w:rPr>
          <w:lang w:eastAsia="en-AU"/>
        </w:rPr>
        <w:t>.</w:t>
      </w:r>
    </w:p>
    <w:p w14:paraId="1B76A379" w14:textId="4A778CB7" w:rsidR="00576FFD" w:rsidRPr="00576FFD" w:rsidRDefault="00576FFD" w:rsidP="000A2CCA">
      <w:pPr>
        <w:pStyle w:val="Heading2"/>
        <w:rPr>
          <w:lang w:eastAsia="en-AU"/>
        </w:rPr>
      </w:pPr>
      <w:bookmarkStart w:id="16" w:name="_Toc66907808"/>
      <w:r w:rsidRPr="00576FFD">
        <w:rPr>
          <w:lang w:eastAsia="en-AU"/>
        </w:rPr>
        <w:t>Risks</w:t>
      </w:r>
      <w:bookmarkEnd w:id="16"/>
    </w:p>
    <w:p w14:paraId="6372319E" w14:textId="76E31D3A" w:rsidR="002131E8" w:rsidRDefault="002131E8" w:rsidP="00131D28">
      <w:pPr>
        <w:rPr>
          <w:lang w:eastAsia="en-AU"/>
        </w:rPr>
      </w:pPr>
      <w:r>
        <w:rPr>
          <w:lang w:eastAsia="en-AU"/>
        </w:rPr>
        <w:t>False n</w:t>
      </w:r>
      <w:r w:rsidR="00576FFD" w:rsidRPr="00576FFD">
        <w:rPr>
          <w:lang w:eastAsia="en-AU"/>
        </w:rPr>
        <w:t xml:space="preserve">egative results are more likely to occur </w:t>
      </w:r>
      <w:r>
        <w:rPr>
          <w:lang w:eastAsia="en-AU"/>
        </w:rPr>
        <w:t xml:space="preserve">(for antigen tests) </w:t>
      </w:r>
      <w:r w:rsidR="00576FFD" w:rsidRPr="00576FFD">
        <w:rPr>
          <w:lang w:eastAsia="en-AU"/>
        </w:rPr>
        <w:t xml:space="preserve">if a test </w:t>
      </w:r>
      <w:r>
        <w:rPr>
          <w:lang w:eastAsia="en-AU"/>
        </w:rPr>
        <w:t>is performed outside the window of highest viral shedding of the influenza virus (</w:t>
      </w:r>
      <w:r w:rsidR="00AD3E26">
        <w:rPr>
          <w:lang w:eastAsia="en-AU"/>
        </w:rPr>
        <w:t xml:space="preserve">which is </w:t>
      </w:r>
      <w:r>
        <w:rPr>
          <w:lang w:eastAsia="en-AU"/>
        </w:rPr>
        <w:t xml:space="preserve">usually </w:t>
      </w:r>
      <w:r w:rsidR="009B51B4">
        <w:rPr>
          <w:lang w:eastAsia="en-AU"/>
        </w:rPr>
        <w:t xml:space="preserve">within </w:t>
      </w:r>
      <w:r w:rsidR="001C7FB1">
        <w:rPr>
          <w:lang w:eastAsia="en-AU"/>
        </w:rPr>
        <w:t xml:space="preserve">the </w:t>
      </w:r>
      <w:r w:rsidR="009B51B4">
        <w:rPr>
          <w:lang w:eastAsia="en-AU"/>
        </w:rPr>
        <w:t>first 4 days of onset of symptoms)</w:t>
      </w:r>
      <w:r>
        <w:rPr>
          <w:lang w:eastAsia="en-AU"/>
        </w:rPr>
        <w:t xml:space="preserve">. The </w:t>
      </w:r>
      <w:r w:rsidR="009B51B4">
        <w:rPr>
          <w:lang w:eastAsia="en-AU"/>
        </w:rPr>
        <w:t xml:space="preserve">influenza antigen </w:t>
      </w:r>
      <w:r>
        <w:rPr>
          <w:lang w:eastAsia="en-AU"/>
        </w:rPr>
        <w:t xml:space="preserve">self-test </w:t>
      </w:r>
      <w:r w:rsidR="00576FFD" w:rsidRPr="00576FFD">
        <w:rPr>
          <w:lang w:eastAsia="en-AU"/>
        </w:rPr>
        <w:t xml:space="preserve">has a lower level of sensitivity </w:t>
      </w:r>
      <w:r w:rsidR="00CD15D9">
        <w:rPr>
          <w:lang w:eastAsia="en-AU"/>
        </w:rPr>
        <w:t>i</w:t>
      </w:r>
      <w:r w:rsidR="00576FFD" w:rsidRPr="00576FFD">
        <w:rPr>
          <w:lang w:eastAsia="en-AU"/>
        </w:rPr>
        <w:t xml:space="preserve">f testing is performed </w:t>
      </w:r>
      <w:r>
        <w:rPr>
          <w:lang w:eastAsia="en-AU"/>
        </w:rPr>
        <w:t>outside</w:t>
      </w:r>
      <w:r w:rsidR="00576FFD" w:rsidRPr="00576FFD">
        <w:rPr>
          <w:lang w:eastAsia="en-AU"/>
        </w:rPr>
        <w:t xml:space="preserve"> </w:t>
      </w:r>
      <w:r w:rsidR="009B51B4">
        <w:rPr>
          <w:lang w:eastAsia="en-AU"/>
        </w:rPr>
        <w:t>of this</w:t>
      </w:r>
      <w:r w:rsidR="00576FFD" w:rsidRPr="00576FFD">
        <w:rPr>
          <w:lang w:eastAsia="en-AU"/>
        </w:rPr>
        <w:t xml:space="preserve"> period.</w:t>
      </w:r>
      <w:r>
        <w:rPr>
          <w:lang w:eastAsia="en-AU"/>
        </w:rPr>
        <w:t xml:space="preserve"> Self</w:t>
      </w:r>
      <w:r w:rsidR="00CD15D9">
        <w:rPr>
          <w:lang w:eastAsia="en-AU"/>
        </w:rPr>
        <w:t>-</w:t>
      </w:r>
      <w:r>
        <w:rPr>
          <w:lang w:eastAsia="en-AU"/>
        </w:rPr>
        <w:t>tests may have different specifications for</w:t>
      </w:r>
      <w:r w:rsidR="00CD15D9">
        <w:rPr>
          <w:lang w:eastAsia="en-AU"/>
        </w:rPr>
        <w:t xml:space="preserve"> d</w:t>
      </w:r>
      <w:r>
        <w:rPr>
          <w:lang w:eastAsia="en-AU"/>
        </w:rPr>
        <w:t xml:space="preserve">ifferent </w:t>
      </w:r>
      <w:r w:rsidR="00CD15D9">
        <w:rPr>
          <w:lang w:eastAsia="en-AU"/>
        </w:rPr>
        <w:t>specimen types (nasophary</w:t>
      </w:r>
      <w:r w:rsidR="004A65F2">
        <w:rPr>
          <w:lang w:eastAsia="en-AU"/>
        </w:rPr>
        <w:t>ngeal, nasal, throat swab</w:t>
      </w:r>
      <w:r w:rsidR="008612BC">
        <w:rPr>
          <w:lang w:eastAsia="en-AU"/>
        </w:rPr>
        <w:t xml:space="preserve">) </w:t>
      </w:r>
      <w:r w:rsidR="00CD15D9">
        <w:rPr>
          <w:lang w:eastAsia="en-AU"/>
        </w:rPr>
        <w:t>and the quality of t</w:t>
      </w:r>
      <w:r w:rsidR="008141EE">
        <w:rPr>
          <w:lang w:eastAsia="en-AU"/>
        </w:rPr>
        <w:t>he specimen collected may also a</w:t>
      </w:r>
      <w:r w:rsidR="00CD15D9">
        <w:rPr>
          <w:lang w:eastAsia="en-AU"/>
        </w:rPr>
        <w:t>ffect results.</w:t>
      </w:r>
      <w:r w:rsidR="00171E04">
        <w:rPr>
          <w:lang w:eastAsia="en-AU"/>
        </w:rPr>
        <w:t xml:space="preserve"> It is expected that the majority of seasonal </w:t>
      </w:r>
      <w:r w:rsidR="005E2BFA">
        <w:rPr>
          <w:lang w:eastAsia="en-AU"/>
        </w:rPr>
        <w:t>in</w:t>
      </w:r>
      <w:r w:rsidR="00171E04">
        <w:rPr>
          <w:lang w:eastAsia="en-AU"/>
        </w:rPr>
        <w:t>flu</w:t>
      </w:r>
      <w:r w:rsidR="005E2BFA">
        <w:rPr>
          <w:lang w:eastAsia="en-AU"/>
        </w:rPr>
        <w:t>enza</w:t>
      </w:r>
      <w:r w:rsidR="00171E04">
        <w:rPr>
          <w:lang w:eastAsia="en-AU"/>
        </w:rPr>
        <w:t xml:space="preserve"> self-tests wi</w:t>
      </w:r>
      <w:r w:rsidR="008141EE">
        <w:rPr>
          <w:lang w:eastAsia="en-AU"/>
        </w:rPr>
        <w:t>ll be antigen based.</w:t>
      </w:r>
    </w:p>
    <w:p w14:paraId="3513E6E2" w14:textId="28537B90" w:rsidR="00D775CB" w:rsidRPr="00576FFD" w:rsidRDefault="00C81639" w:rsidP="00131D28">
      <w:pPr>
        <w:rPr>
          <w:lang w:eastAsia="en-AU"/>
        </w:rPr>
      </w:pPr>
      <w:r>
        <w:rPr>
          <w:lang w:eastAsia="en-AU"/>
        </w:rPr>
        <w:t xml:space="preserve">False </w:t>
      </w:r>
      <w:r w:rsidR="003108DD">
        <w:rPr>
          <w:lang w:eastAsia="en-AU"/>
        </w:rPr>
        <w:t>positive results are more likely to occur when influenza prevalence in the community is low, which is generally at the beginning and end of the influenza season or periods in which influenza viruses are not circu</w:t>
      </w:r>
      <w:r>
        <w:rPr>
          <w:lang w:eastAsia="en-AU"/>
        </w:rPr>
        <w:t xml:space="preserve">lating (e.g. summertime). False </w:t>
      </w:r>
      <w:r w:rsidR="003108DD">
        <w:rPr>
          <w:lang w:eastAsia="en-AU"/>
        </w:rPr>
        <w:t>negative results are more likely to occur when influenza prevalence is high in the community, which is typically at th</w:t>
      </w:r>
      <w:r w:rsidR="0022104C">
        <w:rPr>
          <w:lang w:eastAsia="en-AU"/>
        </w:rPr>
        <w:t>e peak of the influenza season</w:t>
      </w:r>
      <w:r w:rsidR="0022104C">
        <w:rPr>
          <w:rStyle w:val="FootnoteReference"/>
          <w:lang w:eastAsia="en-AU"/>
        </w:rPr>
        <w:footnoteReference w:id="14"/>
      </w:r>
      <w:r w:rsidR="00AE6C43">
        <w:rPr>
          <w:lang w:eastAsia="en-AU"/>
        </w:rPr>
        <w:t>.</w:t>
      </w:r>
    </w:p>
    <w:p w14:paraId="316A254F" w14:textId="178464D9" w:rsidR="00576FFD" w:rsidRDefault="00F34B4C" w:rsidP="00131D28">
      <w:pPr>
        <w:rPr>
          <w:lang w:eastAsia="en-AU"/>
        </w:rPr>
      </w:pPr>
      <w:r>
        <w:rPr>
          <w:lang w:eastAsia="en-AU"/>
        </w:rPr>
        <w:t>The above risks</w:t>
      </w:r>
      <w:r w:rsidR="00576FFD" w:rsidRPr="00CD15D9">
        <w:rPr>
          <w:lang w:eastAsia="en-AU"/>
        </w:rPr>
        <w:t xml:space="preserve"> are exacerbated in a self-testing environment due to individual user variability in the correct performance and interpretation of the test </w:t>
      </w:r>
      <w:r w:rsidR="008141EE">
        <w:rPr>
          <w:lang w:eastAsia="en-AU"/>
        </w:rPr>
        <w:t>and adequate specimen collection</w:t>
      </w:r>
      <w:r w:rsidR="008141EE" w:rsidRPr="00CD15D9">
        <w:rPr>
          <w:lang w:eastAsia="en-AU"/>
        </w:rPr>
        <w:t xml:space="preserve"> </w:t>
      </w:r>
      <w:r w:rsidR="00576FFD" w:rsidRPr="00CD15D9">
        <w:rPr>
          <w:lang w:eastAsia="en-AU"/>
        </w:rPr>
        <w:t>(i.e. the risks are predominantly user focussed). Additionally</w:t>
      </w:r>
      <w:r w:rsidR="00576FFD" w:rsidRPr="00576FFD">
        <w:rPr>
          <w:lang w:eastAsia="en-AU"/>
        </w:rPr>
        <w:t>, in the self-test environment, follow up testing is not ea</w:t>
      </w:r>
      <w:r w:rsidR="00485FC1">
        <w:rPr>
          <w:lang w:eastAsia="en-AU"/>
        </w:rPr>
        <w:t>sily encouraged or implemented.</w:t>
      </w:r>
    </w:p>
    <w:p w14:paraId="5026250F" w14:textId="11A0001A" w:rsidR="00576FFD" w:rsidRPr="00485FC1" w:rsidRDefault="00576FFD" w:rsidP="00485FC1">
      <w:pPr>
        <w:pStyle w:val="Heading2"/>
      </w:pPr>
      <w:bookmarkStart w:id="17" w:name="_Toc66907809"/>
      <w:r w:rsidRPr="00576FFD">
        <w:rPr>
          <w:lang w:eastAsia="en-AU"/>
        </w:rPr>
        <w:t>Mitigation strategies</w:t>
      </w:r>
      <w:bookmarkEnd w:id="17"/>
    </w:p>
    <w:p w14:paraId="626896B9" w14:textId="66863842" w:rsidR="00576FFD" w:rsidRDefault="00576FFD" w:rsidP="00485FC1">
      <w:pPr>
        <w:rPr>
          <w:lang w:eastAsia="en-AU"/>
        </w:rPr>
      </w:pPr>
      <w:r w:rsidRPr="00576FFD">
        <w:rPr>
          <w:lang w:eastAsia="en-AU"/>
        </w:rPr>
        <w:t xml:space="preserve">The proposed mitigating strategies recognise that self-tests differ from laboratory-based tests and </w:t>
      </w:r>
      <w:r w:rsidR="006E0171">
        <w:rPr>
          <w:lang w:eastAsia="en-AU"/>
        </w:rPr>
        <w:t xml:space="preserve">point-of-care tests </w:t>
      </w:r>
      <w:r w:rsidRPr="00576FFD">
        <w:rPr>
          <w:lang w:eastAsia="en-AU"/>
        </w:rPr>
        <w:t>in that the user is responsible for all aspects of the testing process from sample col</w:t>
      </w:r>
      <w:r w:rsidR="00485FC1">
        <w:rPr>
          <w:lang w:eastAsia="en-AU"/>
        </w:rPr>
        <w:t>lection to test interpretation.</w:t>
      </w:r>
    </w:p>
    <w:p w14:paraId="0203A28A" w14:textId="21C4378D" w:rsidR="00CE56B3" w:rsidRPr="00AD713B" w:rsidRDefault="009B51B4" w:rsidP="00131D28">
      <w:pPr>
        <w:rPr>
          <w:rFonts w:cs="Cambria"/>
          <w:color w:val="000000"/>
          <w:szCs w:val="22"/>
          <w:lang w:eastAsia="en-AU"/>
        </w:rPr>
      </w:pPr>
      <w:r>
        <w:rPr>
          <w:rFonts w:cs="Cambria"/>
          <w:color w:val="000000"/>
          <w:szCs w:val="22"/>
          <w:lang w:eastAsia="en-AU"/>
        </w:rPr>
        <w:t>S</w:t>
      </w:r>
      <w:r w:rsidR="0056474C">
        <w:rPr>
          <w:rFonts w:cs="Cambria"/>
          <w:color w:val="000000"/>
          <w:szCs w:val="22"/>
          <w:lang w:eastAsia="en-AU"/>
        </w:rPr>
        <w:t>elf-</w:t>
      </w:r>
      <w:r w:rsidR="00295E64">
        <w:rPr>
          <w:rFonts w:cs="Cambria"/>
          <w:color w:val="000000"/>
          <w:szCs w:val="22"/>
          <w:lang w:eastAsia="en-AU"/>
        </w:rPr>
        <w:t>tests</w:t>
      </w:r>
      <w:r w:rsidR="00CE56B3">
        <w:rPr>
          <w:rFonts w:cs="Cambria"/>
          <w:color w:val="000000"/>
          <w:szCs w:val="22"/>
          <w:lang w:eastAsia="en-AU"/>
        </w:rPr>
        <w:t xml:space="preserve"> for influenza will be subject to mandatory application audits prior to entry in the ARTG.</w:t>
      </w:r>
    </w:p>
    <w:p w14:paraId="616B3516" w14:textId="795ED483" w:rsidR="00576FFD" w:rsidRPr="00576FFD" w:rsidRDefault="007603C0" w:rsidP="00131D28">
      <w:pPr>
        <w:rPr>
          <w:lang w:eastAsia="en-AU"/>
        </w:rPr>
      </w:pPr>
      <w:r>
        <w:rPr>
          <w:lang w:eastAsia="en-AU"/>
        </w:rPr>
        <w:t>The mitigating strategies for influenza self-tests are</w:t>
      </w:r>
      <w:r w:rsidR="00485FC1">
        <w:rPr>
          <w:lang w:eastAsia="en-AU"/>
        </w:rPr>
        <w:t>:</w:t>
      </w:r>
    </w:p>
    <w:p w14:paraId="68E06CD3" w14:textId="1BF4ED63" w:rsidR="00576FFD" w:rsidRPr="00131D28" w:rsidRDefault="00576FFD" w:rsidP="00131D28">
      <w:pPr>
        <w:pStyle w:val="ListBullet"/>
      </w:pPr>
      <w:r w:rsidRPr="00131D28">
        <w:t>The specimen collection process must be straightforward</w:t>
      </w:r>
      <w:r w:rsidR="00D145CB" w:rsidRPr="00131D28">
        <w:t xml:space="preserve">, the </w:t>
      </w:r>
      <w:r w:rsidR="009B12DF" w:rsidRPr="00131D28">
        <w:t>instructions</w:t>
      </w:r>
      <w:r w:rsidR="00505433" w:rsidRPr="00131D28">
        <w:t xml:space="preserve"> for specimen collection</w:t>
      </w:r>
      <w:r w:rsidR="00D145CB" w:rsidRPr="00131D28">
        <w:t xml:space="preserve"> must be clear and easy to understand,</w:t>
      </w:r>
      <w:r w:rsidRPr="00131D28">
        <w:t xml:space="preserve"> and the specimen able to be collected safely </w:t>
      </w:r>
      <w:r w:rsidR="00BE33C6" w:rsidRPr="00131D28">
        <w:t>in the home testing environment</w:t>
      </w:r>
    </w:p>
    <w:p w14:paraId="31DCA25E" w14:textId="50C5DCC7" w:rsidR="006A1997" w:rsidRPr="00131D28" w:rsidRDefault="006A1997" w:rsidP="00131D28">
      <w:pPr>
        <w:pStyle w:val="ListBullet"/>
      </w:pPr>
      <w:r w:rsidRPr="00131D28">
        <w:t xml:space="preserve">The test must be easy to perform with minimal operator intervention or procedural steps. Extensive usability studies would be expected (e.g. device interpretation study, label comprehension study and </w:t>
      </w:r>
      <w:r w:rsidR="00BE33C6" w:rsidRPr="00131D28">
        <w:t>observed self-testing studies)</w:t>
      </w:r>
    </w:p>
    <w:p w14:paraId="784DB5FA" w14:textId="4326BC5C" w:rsidR="006A1997" w:rsidRPr="00131D28" w:rsidRDefault="006A1997" w:rsidP="00131D28">
      <w:pPr>
        <w:pStyle w:val="ListBullet"/>
      </w:pPr>
      <w:r w:rsidRPr="00131D28">
        <w:t>The stability of the product should be demonstrated across a range of operationa</w:t>
      </w:r>
      <w:r w:rsidR="00BE33C6" w:rsidRPr="00131D28">
        <w:t>l and environmental conditions;</w:t>
      </w:r>
      <w:r w:rsidR="00057A10" w:rsidRPr="00131D28">
        <w:t xml:space="preserve"> and</w:t>
      </w:r>
    </w:p>
    <w:p w14:paraId="77E58EA7" w14:textId="5F5E71B7" w:rsidR="00DA0D6C" w:rsidRDefault="00AD3E26" w:rsidP="00DA0D6C">
      <w:pPr>
        <w:pStyle w:val="ListBullet"/>
      </w:pPr>
      <w:r w:rsidRPr="00131D28">
        <w:t>The strains of virus that can be detected by the influenza self-test should be appropriate for the detection of seasonal strains of virus that are circulating, or prevalent within Australia</w:t>
      </w:r>
      <w:r w:rsidR="00BE33C6" w:rsidRPr="00131D28">
        <w:t>.</w:t>
      </w:r>
    </w:p>
    <w:p w14:paraId="010ED286" w14:textId="5A43D8EC" w:rsidR="00131D28" w:rsidRPr="00131D28" w:rsidRDefault="00131D28" w:rsidP="00DA0D6C">
      <w:pPr>
        <w:pStyle w:val="Heading3"/>
      </w:pPr>
      <w:bookmarkStart w:id="18" w:name="_Toc66907810"/>
      <w:r>
        <w:lastRenderedPageBreak/>
        <w:t>Requirements for the instructions for use</w:t>
      </w:r>
      <w:r w:rsidR="00C13D7D">
        <w:t xml:space="preserve"> (IFU)</w:t>
      </w:r>
      <w:bookmarkEnd w:id="18"/>
    </w:p>
    <w:p w14:paraId="584B431C" w14:textId="6CE760D5" w:rsidR="006A1997" w:rsidRPr="006A1997" w:rsidRDefault="006A1997" w:rsidP="00131D28">
      <w:pPr>
        <w:rPr>
          <w:lang w:eastAsia="en-AU"/>
        </w:rPr>
      </w:pPr>
      <w:r w:rsidRPr="006A1997">
        <w:rPr>
          <w:lang w:eastAsia="en-AU"/>
        </w:rPr>
        <w:t>In addition, t</w:t>
      </w:r>
      <w:r w:rsidR="007603C0">
        <w:rPr>
          <w:lang w:eastAsia="en-AU"/>
        </w:rPr>
        <w:t>he manufacturer/sponsor of an influenza</w:t>
      </w:r>
      <w:r w:rsidRPr="006A1997">
        <w:rPr>
          <w:lang w:eastAsia="en-AU"/>
        </w:rPr>
        <w:t xml:space="preserve"> self-test is also </w:t>
      </w:r>
      <w:r w:rsidR="00B034C8">
        <w:rPr>
          <w:lang w:eastAsia="en-AU"/>
        </w:rPr>
        <w:t>required</w:t>
      </w:r>
      <w:r w:rsidR="0037657D">
        <w:rPr>
          <w:lang w:eastAsia="en-AU"/>
        </w:rPr>
        <w:t xml:space="preserve"> </w:t>
      </w:r>
      <w:r w:rsidRPr="006A1997">
        <w:rPr>
          <w:lang w:eastAsia="en-AU"/>
        </w:rPr>
        <w:t>to clearly outline the limitations of the test and provide clear advice, in the IFU and/or other information provided with the</w:t>
      </w:r>
      <w:r w:rsidR="00485FC1">
        <w:rPr>
          <w:lang w:eastAsia="en-AU"/>
        </w:rPr>
        <w:t xml:space="preserve"> test, including the following:</w:t>
      </w:r>
    </w:p>
    <w:p w14:paraId="5A5A7CC9" w14:textId="0178502A" w:rsidR="006A1997" w:rsidRPr="00131D28" w:rsidRDefault="006A1997" w:rsidP="00131D28">
      <w:pPr>
        <w:pStyle w:val="ListBullet"/>
      </w:pPr>
      <w:r w:rsidRPr="00131D28">
        <w:t xml:space="preserve">clear and simple instructions on how to perform and interpret the test </w:t>
      </w:r>
      <w:r w:rsidR="00D145CB" w:rsidRPr="00131D28">
        <w:t>(</w:t>
      </w:r>
      <w:r w:rsidR="005872BE" w:rsidRPr="00131D28">
        <w:t>this may involve images or visual representation of the instructions</w:t>
      </w:r>
      <w:r w:rsidR="002674E6" w:rsidRPr="00131D28">
        <w:t>,</w:t>
      </w:r>
      <w:r w:rsidR="0037657D" w:rsidRPr="00131D28">
        <w:t xml:space="preserve"> </w:t>
      </w:r>
      <w:r w:rsidR="00D145CB" w:rsidRPr="00131D28">
        <w:t>flow diagrams</w:t>
      </w:r>
      <w:r w:rsidR="002674E6" w:rsidRPr="00131D28">
        <w:t xml:space="preserve"> </w:t>
      </w:r>
      <w:r w:rsidR="0037657D" w:rsidRPr="00131D28">
        <w:t>or</w:t>
      </w:r>
      <w:r w:rsidR="002674E6" w:rsidRPr="00131D28">
        <w:t xml:space="preserve"> QR codes linking to online demonstrations</w:t>
      </w:r>
      <w:r w:rsidR="00D145CB" w:rsidRPr="00131D28">
        <w:t>)</w:t>
      </w:r>
    </w:p>
    <w:p w14:paraId="212C6B99" w14:textId="309EA65F" w:rsidR="00D145CB" w:rsidRPr="00131D28" w:rsidRDefault="00D145CB" w:rsidP="00131D28">
      <w:pPr>
        <w:pStyle w:val="ListBullet"/>
      </w:pPr>
      <w:r w:rsidRPr="00131D28">
        <w:t>available either in print or online in</w:t>
      </w:r>
      <w:r w:rsidR="005872BE" w:rsidRPr="00131D28">
        <w:t xml:space="preserve"> </w:t>
      </w:r>
      <w:r w:rsidR="004770CB" w:rsidRPr="00131D28">
        <w:t>multiple</w:t>
      </w:r>
      <w:r w:rsidRPr="00131D28">
        <w:t xml:space="preserve"> languages </w:t>
      </w:r>
      <w:r w:rsidR="00EA5713">
        <w:t>(e.g.</w:t>
      </w:r>
      <w:r w:rsidR="004770CB" w:rsidRPr="00131D28">
        <w:t xml:space="preserve"> including </w:t>
      </w:r>
      <w:r w:rsidR="005872BE" w:rsidRPr="00131D28">
        <w:t xml:space="preserve">local </w:t>
      </w:r>
      <w:r w:rsidR="004770CB" w:rsidRPr="00131D28">
        <w:t>languages)</w:t>
      </w:r>
    </w:p>
    <w:p w14:paraId="6876CC60" w14:textId="0E565E57" w:rsidR="006F2370" w:rsidRPr="00131D28" w:rsidRDefault="006F2370" w:rsidP="00131D28">
      <w:pPr>
        <w:pStyle w:val="ListBullet"/>
      </w:pPr>
      <w:r w:rsidRPr="00131D28">
        <w:t>which strain</w:t>
      </w:r>
      <w:r w:rsidR="009B51B4" w:rsidRPr="00131D28">
        <w:t>s</w:t>
      </w:r>
      <w:r w:rsidRPr="00131D28">
        <w:t xml:space="preserve"> of influenza the test covers</w:t>
      </w:r>
    </w:p>
    <w:p w14:paraId="14C2D686" w14:textId="77777777" w:rsidR="009B51B4" w:rsidRPr="00131D28" w:rsidRDefault="009B51B4" w:rsidP="00131D28">
      <w:pPr>
        <w:pStyle w:val="ListBullet"/>
      </w:pPr>
      <w:r w:rsidRPr="00131D28">
        <w:t>the clinical</w:t>
      </w:r>
      <w:r w:rsidR="006A1997" w:rsidRPr="00131D28">
        <w:t xml:space="preserve"> sensitivity and specificity of the test (i.e. in a self-testing environment) must be clearly identified</w:t>
      </w:r>
      <w:r w:rsidRPr="00131D28">
        <w:t xml:space="preserve"> (including information on the clinical sensitivity/specificity of the test at various time points post symptom onset)</w:t>
      </w:r>
    </w:p>
    <w:p w14:paraId="625F3005" w14:textId="54D968EA" w:rsidR="009B51B4" w:rsidRPr="00131D28" w:rsidRDefault="009B51B4" w:rsidP="00131D28">
      <w:pPr>
        <w:pStyle w:val="ListBullet"/>
      </w:pPr>
      <w:r w:rsidRPr="00131D28">
        <w:t>clear information on when te</w:t>
      </w:r>
      <w:r w:rsidR="00EA5713">
        <w:t>sting should be performed (e.g.</w:t>
      </w:r>
      <w:r w:rsidRPr="00131D28">
        <w:t xml:space="preserve"> within the first 4 days of symptom onset when viral shedding is highest)</w:t>
      </w:r>
    </w:p>
    <w:p w14:paraId="1EC0CB9F" w14:textId="1CB02B62" w:rsidR="006A1997" w:rsidRPr="00131D28" w:rsidRDefault="006A1997" w:rsidP="00131D28">
      <w:pPr>
        <w:pStyle w:val="ListBullet"/>
      </w:pPr>
      <w:r w:rsidRPr="00131D28">
        <w:t>clear warnings on the risk of false negative re</w:t>
      </w:r>
      <w:r w:rsidR="00485FC1">
        <w:t>sults</w:t>
      </w:r>
    </w:p>
    <w:p w14:paraId="53F6C015" w14:textId="0C8B0F90" w:rsidR="006A1997" w:rsidRPr="00131D28" w:rsidRDefault="007603C0" w:rsidP="00131D28">
      <w:pPr>
        <w:pStyle w:val="ListBullet"/>
      </w:pPr>
      <w:r w:rsidRPr="00131D28">
        <w:t>clear indication that influenza</w:t>
      </w:r>
      <w:r w:rsidR="006A1997" w:rsidRPr="00131D28">
        <w:t xml:space="preserve"> self-testing is for presumptive screening only and the need to consult a medical practitioner for confirmatory testing of positive results by a laboratory test </w:t>
      </w:r>
      <w:r w:rsidR="00D145CB" w:rsidRPr="00131D28">
        <w:t>and for follow-up clinical care</w:t>
      </w:r>
    </w:p>
    <w:p w14:paraId="449EF7AD" w14:textId="4901B297" w:rsidR="00D145CB" w:rsidRPr="00131D28" w:rsidRDefault="00A457A6" w:rsidP="00131D28">
      <w:pPr>
        <w:pStyle w:val="ListBullet"/>
      </w:pPr>
      <w:r w:rsidRPr="00131D28">
        <w:t>negative results may not mean that a person is not infecti</w:t>
      </w:r>
      <w:r w:rsidR="005872BE" w:rsidRPr="00131D28">
        <w:t>ous</w:t>
      </w:r>
      <w:r w:rsidRPr="00131D28">
        <w:t xml:space="preserve"> and if symptoms per</w:t>
      </w:r>
      <w:r w:rsidR="001628F3" w:rsidRPr="00131D28">
        <w:t>sist to seek medical assistance</w:t>
      </w:r>
    </w:p>
    <w:p w14:paraId="612D2EE2" w14:textId="10BD8EE8" w:rsidR="005872BE" w:rsidRPr="00131D28" w:rsidRDefault="005872BE" w:rsidP="00131D28">
      <w:pPr>
        <w:pStyle w:val="ListBullet"/>
      </w:pPr>
      <w:r w:rsidRPr="00131D28">
        <w:t>a negative result does not rule out infection with an</w:t>
      </w:r>
      <w:r w:rsidR="00485FC1">
        <w:t>other type of respiratory virus</w:t>
      </w:r>
    </w:p>
    <w:p w14:paraId="2133B41A" w14:textId="5F4E86E3" w:rsidR="009B51B4" w:rsidRPr="00131D28" w:rsidRDefault="009B51B4" w:rsidP="00131D28">
      <w:pPr>
        <w:pStyle w:val="ListBullet"/>
      </w:pPr>
      <w:r w:rsidRPr="00131D28">
        <w:t>information on other limitations of the test such as a positive result cannot necessarily determine whether a person is infectious</w:t>
      </w:r>
    </w:p>
    <w:p w14:paraId="62999FC9" w14:textId="7D17492E" w:rsidR="005A5236" w:rsidRPr="00131D28" w:rsidRDefault="005A5236" w:rsidP="00131D28">
      <w:pPr>
        <w:pStyle w:val="ListBullet"/>
      </w:pPr>
      <w:r w:rsidRPr="00131D28">
        <w:t>a statement to the user that the test can only be used once</w:t>
      </w:r>
    </w:p>
    <w:p w14:paraId="015F59A8" w14:textId="5662A257" w:rsidR="00B034C8" w:rsidRPr="00131D28" w:rsidRDefault="00B034C8" w:rsidP="00131D28">
      <w:pPr>
        <w:pStyle w:val="ListBullet"/>
      </w:pPr>
      <w:r w:rsidRPr="00131D28">
        <w:t>information on how to safely dispose of the kit and its contents</w:t>
      </w:r>
    </w:p>
    <w:p w14:paraId="01789734" w14:textId="173C4E12" w:rsidR="006A1997" w:rsidRPr="00131D28" w:rsidRDefault="00D775CB" w:rsidP="00131D28">
      <w:pPr>
        <w:pStyle w:val="ListBullet"/>
      </w:pPr>
      <w:r w:rsidRPr="00131D28">
        <w:t>h</w:t>
      </w:r>
      <w:r w:rsidR="006A1997" w:rsidRPr="00131D28">
        <w:t>ow to contact locally available support services incl</w:t>
      </w:r>
      <w:r w:rsidR="00BE33C6" w:rsidRPr="00131D28">
        <w:t>uding phone lines and websites;</w:t>
      </w:r>
      <w:r w:rsidR="00292553" w:rsidRPr="00131D28">
        <w:t xml:space="preserve"> and</w:t>
      </w:r>
    </w:p>
    <w:p w14:paraId="5680D1C2" w14:textId="68972E0E" w:rsidR="00A457A6" w:rsidRPr="00131D28" w:rsidRDefault="00D775CB" w:rsidP="00131D28">
      <w:pPr>
        <w:pStyle w:val="ListBullet"/>
      </w:pPr>
      <w:r w:rsidRPr="00131D28">
        <w:t>h</w:t>
      </w:r>
      <w:r w:rsidR="00BF2777" w:rsidRPr="00131D28">
        <w:t>ow to contact the TGA to report poor performance or usability issues</w:t>
      </w:r>
      <w:r w:rsidR="001628F3" w:rsidRPr="00131D28">
        <w:t xml:space="preserve"> in the self-test environment (r</w:t>
      </w:r>
      <w:r w:rsidR="00BF2777" w:rsidRPr="00131D28">
        <w:t xml:space="preserve">eport an issue via the </w:t>
      </w:r>
      <w:hyperlink r:id="rId21" w:history="1">
        <w:r w:rsidR="00BF2777" w:rsidRPr="00131D28">
          <w:rPr>
            <w:rStyle w:val="Hyperlink"/>
            <w:color w:val="auto"/>
            <w:u w:val="none"/>
          </w:rPr>
          <w:t>Users Medical Device Incident Report</w:t>
        </w:r>
      </w:hyperlink>
      <w:r w:rsidR="00BF2777" w:rsidRPr="00131D28">
        <w:t xml:space="preserve">, email </w:t>
      </w:r>
      <w:hyperlink r:id="rId22" w:history="1">
        <w:r w:rsidR="00BF2777" w:rsidRPr="00131D28">
          <w:rPr>
            <w:rStyle w:val="Hyperlink"/>
            <w:color w:val="auto"/>
            <w:u w:val="none"/>
          </w:rPr>
          <w:t>iris@tga.gov.au</w:t>
        </w:r>
      </w:hyperlink>
      <w:r w:rsidR="00BF2777" w:rsidRPr="00131D28">
        <w:t xml:space="preserve"> or call 1800 809 361)</w:t>
      </w:r>
      <w:r w:rsidR="00A457A6" w:rsidRPr="00131D28">
        <w:t>.</w:t>
      </w:r>
    </w:p>
    <w:p w14:paraId="0A4D5BC5" w14:textId="25E7DF0B" w:rsidR="006A1997" w:rsidRPr="006A1997" w:rsidRDefault="006A1997" w:rsidP="00131D28">
      <w:pPr>
        <w:rPr>
          <w:lang w:eastAsia="en-AU"/>
        </w:rPr>
      </w:pPr>
      <w:r w:rsidRPr="006A1997">
        <w:rPr>
          <w:lang w:eastAsia="en-AU"/>
        </w:rPr>
        <w:t>It is also recommended that the IFU contain information</w:t>
      </w:r>
      <w:r w:rsidR="005A5236" w:rsidRPr="005A5236">
        <w:rPr>
          <w:lang w:eastAsia="en-AU"/>
        </w:rPr>
        <w:t xml:space="preserve"> </w:t>
      </w:r>
      <w:r w:rsidRPr="006A1997">
        <w:rPr>
          <w:lang w:eastAsia="en-AU"/>
        </w:rPr>
        <w:t xml:space="preserve">to promote </w:t>
      </w:r>
      <w:r w:rsidR="00A457A6">
        <w:rPr>
          <w:lang w:eastAsia="en-AU"/>
        </w:rPr>
        <w:t>good infection control procedures of individuals to reduce the spread of viruses to the general population</w:t>
      </w:r>
      <w:r w:rsidR="00485FC1">
        <w:rPr>
          <w:lang w:eastAsia="en-AU"/>
        </w:rPr>
        <w:t>.</w:t>
      </w:r>
    </w:p>
    <w:p w14:paraId="54C638AF" w14:textId="6E1426C8" w:rsidR="006A1997" w:rsidRPr="006A1997" w:rsidRDefault="006A1997" w:rsidP="00131D28">
      <w:pPr>
        <w:rPr>
          <w:lang w:eastAsia="en-AU"/>
        </w:rPr>
      </w:pPr>
      <w:r w:rsidRPr="006A1997">
        <w:rPr>
          <w:lang w:eastAsia="en-AU"/>
        </w:rPr>
        <w:t>Other requirements for the IFU and information provided with a device, including product labelling, are detailed in essential principle 13</w:t>
      </w:r>
      <w:r w:rsidR="00BF2777">
        <w:rPr>
          <w:lang w:eastAsia="en-AU"/>
        </w:rPr>
        <w:t xml:space="preserve"> of </w:t>
      </w:r>
      <w:r w:rsidR="00BF2777" w:rsidRPr="001852C0">
        <w:rPr>
          <w:i/>
          <w:lang w:eastAsia="en-AU"/>
        </w:rPr>
        <w:t>the</w:t>
      </w:r>
      <w:r w:rsidR="00EF1292" w:rsidRPr="001852C0">
        <w:rPr>
          <w:i/>
          <w:lang w:eastAsia="en-AU"/>
        </w:rPr>
        <w:t xml:space="preserve"> </w:t>
      </w:r>
      <w:r w:rsidR="00C13D7D">
        <w:rPr>
          <w:i/>
          <w:lang w:eastAsia="en-AU"/>
        </w:rPr>
        <w:t>Medical D</w:t>
      </w:r>
      <w:r w:rsidR="00637684" w:rsidRPr="001852C0">
        <w:rPr>
          <w:i/>
          <w:lang w:eastAsia="en-AU"/>
        </w:rPr>
        <w:t xml:space="preserve">evice </w:t>
      </w:r>
      <w:r w:rsidR="00C13D7D">
        <w:rPr>
          <w:i/>
          <w:lang w:eastAsia="en-AU"/>
        </w:rPr>
        <w:t>R</w:t>
      </w:r>
      <w:r w:rsidR="00EF1292" w:rsidRPr="001852C0">
        <w:rPr>
          <w:i/>
          <w:lang w:eastAsia="en-AU"/>
        </w:rPr>
        <w:t>egulations</w:t>
      </w:r>
      <w:r w:rsidR="00D775CB">
        <w:rPr>
          <w:lang w:eastAsia="en-AU"/>
        </w:rPr>
        <w:t>.</w:t>
      </w:r>
    </w:p>
    <w:p w14:paraId="00C9F9B6" w14:textId="1C7D28E2" w:rsidR="004C1D6E" w:rsidRPr="00DA0D6C" w:rsidRDefault="001F5264" w:rsidP="007A0E2A">
      <w:pPr>
        <w:pStyle w:val="Heading3"/>
        <w:pageBreakBefore/>
      </w:pPr>
      <w:bookmarkStart w:id="19" w:name="_Toc66907811"/>
      <w:r>
        <w:lastRenderedPageBreak/>
        <w:t>Post-market monitoring and s</w:t>
      </w:r>
      <w:r w:rsidR="004C1D6E" w:rsidRPr="00DA0D6C">
        <w:t>tandard conditions of inclusion</w:t>
      </w:r>
      <w:bookmarkEnd w:id="19"/>
    </w:p>
    <w:p w14:paraId="109F8714" w14:textId="099C6BB7" w:rsidR="004C1D6E" w:rsidRPr="007A0E2A" w:rsidRDefault="00F009DB" w:rsidP="00131D28">
      <w:pPr>
        <w:rPr>
          <w:rStyle w:val="Hyperlink"/>
          <w:color w:val="auto"/>
        </w:rPr>
      </w:pPr>
      <w:r>
        <w:rPr>
          <w:lang w:eastAsia="en-AU"/>
        </w:rPr>
        <w:t xml:space="preserve">All sponsors of self-tests included in the ARTG have ongoing responsibilities under </w:t>
      </w:r>
      <w:r w:rsidRPr="001852C0">
        <w:rPr>
          <w:i/>
          <w:lang w:eastAsia="en-AU"/>
        </w:rPr>
        <w:t>the Act</w:t>
      </w:r>
      <w:r>
        <w:rPr>
          <w:lang w:eastAsia="en-AU"/>
        </w:rPr>
        <w:t xml:space="preserve">, </w:t>
      </w:r>
      <w:r w:rsidR="00C13D7D" w:rsidRPr="001852C0">
        <w:rPr>
          <w:i/>
          <w:lang w:eastAsia="en-AU"/>
        </w:rPr>
        <w:t xml:space="preserve">the </w:t>
      </w:r>
      <w:r w:rsidR="00C13D7D">
        <w:rPr>
          <w:i/>
          <w:lang w:eastAsia="en-AU"/>
        </w:rPr>
        <w:t>Medical D</w:t>
      </w:r>
      <w:r w:rsidR="00C13D7D" w:rsidRPr="001852C0">
        <w:rPr>
          <w:i/>
          <w:lang w:eastAsia="en-AU"/>
        </w:rPr>
        <w:t xml:space="preserve">evice </w:t>
      </w:r>
      <w:r w:rsidR="00C13D7D">
        <w:rPr>
          <w:i/>
          <w:lang w:eastAsia="en-AU"/>
        </w:rPr>
        <w:t>R</w:t>
      </w:r>
      <w:r w:rsidR="00C13D7D" w:rsidRPr="001852C0">
        <w:rPr>
          <w:i/>
          <w:lang w:eastAsia="en-AU"/>
        </w:rPr>
        <w:t>egulations</w:t>
      </w:r>
      <w:r w:rsidR="00C13D7D">
        <w:rPr>
          <w:lang w:eastAsia="en-AU"/>
        </w:rPr>
        <w:t xml:space="preserve"> </w:t>
      </w:r>
      <w:r>
        <w:rPr>
          <w:lang w:eastAsia="en-AU"/>
        </w:rPr>
        <w:t xml:space="preserve">and the </w:t>
      </w:r>
      <w:hyperlink r:id="rId23" w:history="1">
        <w:r w:rsidRPr="00EA5713">
          <w:rPr>
            <w:rStyle w:val="Hyperlink"/>
            <w:i/>
          </w:rPr>
          <w:t>Therapeutic Goods Advertising Code</w:t>
        </w:r>
      </w:hyperlink>
      <w:r w:rsidR="00825B81" w:rsidRPr="00825B81">
        <w:rPr>
          <w:rStyle w:val="Hyperlink"/>
          <w:i/>
          <w:u w:val="none"/>
        </w:rPr>
        <w:t xml:space="preserve"> </w:t>
      </w:r>
      <w:r w:rsidR="00825B81" w:rsidRPr="00825B81">
        <w:rPr>
          <w:rStyle w:val="Hyperlink"/>
          <w:color w:val="auto"/>
          <w:u w:val="none"/>
        </w:rPr>
        <w:t>(</w:t>
      </w:r>
      <w:r w:rsidR="00825B81" w:rsidRPr="00825B81">
        <w:rPr>
          <w:rStyle w:val="Hyperlink"/>
          <w:i/>
          <w:color w:val="auto"/>
          <w:u w:val="none"/>
        </w:rPr>
        <w:t xml:space="preserve">the </w:t>
      </w:r>
      <w:r w:rsidR="00825B81">
        <w:rPr>
          <w:rStyle w:val="Hyperlink"/>
          <w:i/>
          <w:color w:val="auto"/>
          <w:u w:val="none"/>
        </w:rPr>
        <w:t>A</w:t>
      </w:r>
      <w:r w:rsidR="00825B81" w:rsidRPr="00825B81">
        <w:rPr>
          <w:rStyle w:val="Hyperlink"/>
          <w:i/>
          <w:color w:val="auto"/>
          <w:u w:val="none"/>
        </w:rPr>
        <w:t xml:space="preserve">dvertising </w:t>
      </w:r>
      <w:r w:rsidR="00825B81">
        <w:rPr>
          <w:rStyle w:val="Hyperlink"/>
          <w:i/>
          <w:color w:val="auto"/>
          <w:u w:val="none"/>
        </w:rPr>
        <w:t>C</w:t>
      </w:r>
      <w:r w:rsidR="00825B81" w:rsidRPr="00825B81">
        <w:rPr>
          <w:rStyle w:val="Hyperlink"/>
          <w:i/>
          <w:color w:val="auto"/>
          <w:u w:val="none"/>
        </w:rPr>
        <w:t>ode</w:t>
      </w:r>
      <w:r w:rsidR="00825B81" w:rsidRPr="00825B81">
        <w:rPr>
          <w:rStyle w:val="Hyperlink"/>
          <w:color w:val="auto"/>
          <w:u w:val="none"/>
        </w:rPr>
        <w:t>)</w:t>
      </w:r>
      <w:r w:rsidR="002674E6" w:rsidRPr="00825B81">
        <w:rPr>
          <w:rStyle w:val="Hyperlink"/>
          <w:color w:val="auto"/>
          <w:u w:val="none"/>
        </w:rPr>
        <w:t xml:space="preserve">, </w:t>
      </w:r>
      <w:r w:rsidR="002674E6" w:rsidRPr="00330125">
        <w:rPr>
          <w:rStyle w:val="Hyperlink"/>
          <w:color w:val="auto"/>
          <w:u w:val="none"/>
        </w:rPr>
        <w:t>including conditions that apply automatically to all ARTG entries</w:t>
      </w:r>
      <w:r w:rsidR="00E00D51" w:rsidRPr="00330125">
        <w:rPr>
          <w:rStyle w:val="Hyperlink"/>
          <w:color w:val="auto"/>
          <w:u w:val="none"/>
        </w:rPr>
        <w:t xml:space="preserve"> as described in the</w:t>
      </w:r>
      <w:r w:rsidR="00B10ADB">
        <w:rPr>
          <w:rStyle w:val="Hyperlink"/>
          <w:color w:val="auto"/>
          <w:u w:val="none"/>
        </w:rPr>
        <w:t xml:space="preserve"> </w:t>
      </w:r>
      <w:hyperlink r:id="rId24" w:history="1">
        <w:r w:rsidR="00E00D51" w:rsidRPr="00EA5713">
          <w:rPr>
            <w:rStyle w:val="Hyperlink"/>
            <w:i/>
          </w:rPr>
          <w:t>Australian Regulato</w:t>
        </w:r>
        <w:r w:rsidR="001F0A18" w:rsidRPr="00EA5713">
          <w:rPr>
            <w:rStyle w:val="Hyperlink"/>
            <w:i/>
          </w:rPr>
          <w:t>ry Guidance for Medical Devices</w:t>
        </w:r>
        <w:r w:rsidRPr="00B10ADB">
          <w:rPr>
            <w:rStyle w:val="Hyperlink"/>
            <w:i/>
            <w:u w:val="none"/>
          </w:rPr>
          <w:t>.</w:t>
        </w:r>
      </w:hyperlink>
      <w:r w:rsidR="00B10ADB">
        <w:rPr>
          <w:rStyle w:val="Hyperlink"/>
          <w:i/>
          <w:u w:val="none"/>
        </w:rPr>
        <w:t xml:space="preserve"> </w:t>
      </w:r>
      <w:r w:rsidR="001F2FE9" w:rsidRPr="00330125">
        <w:rPr>
          <w:rStyle w:val="Hyperlink"/>
          <w:color w:val="auto"/>
          <w:u w:val="none"/>
        </w:rPr>
        <w:t xml:space="preserve">These conditions </w:t>
      </w:r>
      <w:r w:rsidR="001F5264" w:rsidRPr="001F5264">
        <w:rPr>
          <w:rStyle w:val="Hyperlink"/>
          <w:color w:val="auto"/>
          <w:u w:val="none"/>
        </w:rPr>
        <w:t xml:space="preserve">facilitate post-market monitoring </w:t>
      </w:r>
      <w:r w:rsidR="001F5264">
        <w:rPr>
          <w:rStyle w:val="Hyperlink"/>
          <w:color w:val="auto"/>
          <w:u w:val="none"/>
        </w:rPr>
        <w:t xml:space="preserve">and </w:t>
      </w:r>
      <w:r w:rsidR="00BE519A">
        <w:rPr>
          <w:rStyle w:val="Hyperlink"/>
          <w:color w:val="auto"/>
          <w:u w:val="none"/>
        </w:rPr>
        <w:t xml:space="preserve">include, </w:t>
      </w:r>
      <w:r w:rsidR="001F5264">
        <w:rPr>
          <w:rStyle w:val="Hyperlink"/>
          <w:color w:val="auto"/>
          <w:u w:val="none"/>
        </w:rPr>
        <w:t>bu</w:t>
      </w:r>
      <w:r w:rsidR="00BE519A">
        <w:rPr>
          <w:rStyle w:val="Hyperlink"/>
          <w:color w:val="auto"/>
          <w:u w:val="none"/>
        </w:rPr>
        <w:t>t are not limited to, the</w:t>
      </w:r>
      <w:r w:rsidR="008B65FB" w:rsidRPr="00330125">
        <w:rPr>
          <w:rStyle w:val="Hyperlink"/>
          <w:color w:val="auto"/>
          <w:u w:val="none"/>
        </w:rPr>
        <w:t xml:space="preserve"> following:</w:t>
      </w:r>
    </w:p>
    <w:p w14:paraId="51FFAA39" w14:textId="0DAEC32C" w:rsidR="001F7CA0" w:rsidRPr="00131D28" w:rsidRDefault="00512F14" w:rsidP="00B10ADB">
      <w:pPr>
        <w:pStyle w:val="ListBullet"/>
      </w:pPr>
      <w:r w:rsidRPr="00131D28">
        <w:t>a</w:t>
      </w:r>
      <w:r w:rsidR="001F7CA0" w:rsidRPr="00131D28">
        <w:t>llowing entry and inspections of premises</w:t>
      </w:r>
    </w:p>
    <w:p w14:paraId="5832299E" w14:textId="04823A37" w:rsidR="001F7CA0" w:rsidRPr="00131D28" w:rsidRDefault="00512F14" w:rsidP="00131D28">
      <w:pPr>
        <w:pStyle w:val="ListBullet"/>
      </w:pPr>
      <w:r w:rsidRPr="00131D28">
        <w:t>d</w:t>
      </w:r>
      <w:r w:rsidR="001F7CA0" w:rsidRPr="00131D28">
        <w:t>elivery of device samples upon request</w:t>
      </w:r>
    </w:p>
    <w:p w14:paraId="1773753B" w14:textId="1300118C" w:rsidR="001F7CA0" w:rsidRPr="00131D28" w:rsidRDefault="00512F14" w:rsidP="00131D28">
      <w:pPr>
        <w:pStyle w:val="ListBullet"/>
      </w:pPr>
      <w:r w:rsidRPr="00131D28">
        <w:t>a</w:t>
      </w:r>
      <w:r w:rsidR="001F7CA0" w:rsidRPr="00131D28">
        <w:t xml:space="preserve">vailability of information, such as facilitating access to technical documentation that demonstrates compliance with </w:t>
      </w:r>
      <w:r w:rsidRPr="00131D28">
        <w:t xml:space="preserve">the </w:t>
      </w:r>
      <w:r w:rsidR="001F7CA0" w:rsidRPr="00131D28">
        <w:t>essential principles</w:t>
      </w:r>
    </w:p>
    <w:p w14:paraId="43652250" w14:textId="18F077B7" w:rsidR="001F7CA0" w:rsidRPr="00131D28" w:rsidRDefault="00512F14" w:rsidP="00131D28">
      <w:pPr>
        <w:pStyle w:val="ListBullet"/>
      </w:pPr>
      <w:r w:rsidRPr="00131D28">
        <w:t>e</w:t>
      </w:r>
      <w:r w:rsidR="001F7CA0" w:rsidRPr="00131D28">
        <w:t>nsuring any advertising material relating to the medical device complies with regulatory requirements</w:t>
      </w:r>
      <w:r w:rsidR="001478D4">
        <w:t>; and</w:t>
      </w:r>
    </w:p>
    <w:p w14:paraId="36A8B3CE" w14:textId="26FE22ED" w:rsidR="005C46FE" w:rsidRPr="00FC411E" w:rsidRDefault="00512F14" w:rsidP="00FC411E">
      <w:pPr>
        <w:pStyle w:val="ListBullet"/>
      </w:pPr>
      <w:r w:rsidRPr="00FC411E">
        <w:t>r</w:t>
      </w:r>
      <w:r w:rsidR="001F7CA0" w:rsidRPr="00FC411E">
        <w:t>eporting details of certain incidents and performance issues to the TGA</w:t>
      </w:r>
      <w:r w:rsidR="006B49C5" w:rsidRPr="00FC411E">
        <w:t>,</w:t>
      </w:r>
      <w:r w:rsidR="00BE519A" w:rsidRPr="00FC411E">
        <w:t xml:space="preserve"> and </w:t>
      </w:r>
      <w:r w:rsidR="001F7CA0" w:rsidRPr="00FC411E">
        <w:t>any overseas regulatory actions to the TGA if the product involved is from the same batch or production run that was supplied in Australia</w:t>
      </w:r>
      <w:r w:rsidR="001478D4" w:rsidRPr="00FC411E">
        <w:t>.</w:t>
      </w:r>
    </w:p>
    <w:p w14:paraId="467CEA22" w14:textId="2F226D66" w:rsidR="00AA5957" w:rsidRPr="00FC411E" w:rsidRDefault="00AA5957" w:rsidP="00FC411E">
      <w:r w:rsidRPr="00FC411E">
        <w:t>All sponsors are also required to re</w:t>
      </w:r>
      <w:r w:rsidR="00CA4290" w:rsidRPr="00FC411E">
        <w:t>port adverse events to the TGA.</w:t>
      </w:r>
    </w:p>
    <w:p w14:paraId="016F066C" w14:textId="4D1F8901" w:rsidR="00131D28" w:rsidRPr="00DA0D6C" w:rsidRDefault="00131D28" w:rsidP="00FC411E">
      <w:pPr>
        <w:pStyle w:val="Heading3"/>
      </w:pPr>
      <w:bookmarkStart w:id="20" w:name="_Toc66907812"/>
      <w:r w:rsidRPr="00DA0D6C">
        <w:t xml:space="preserve">Additional conditions </w:t>
      </w:r>
      <w:r w:rsidR="00C93259">
        <w:t>that may be applied</w:t>
      </w:r>
      <w:bookmarkEnd w:id="20"/>
    </w:p>
    <w:p w14:paraId="537965AE" w14:textId="0B63C59B" w:rsidR="006A1997" w:rsidRPr="006A1997" w:rsidRDefault="006A1997" w:rsidP="00131D28">
      <w:pPr>
        <w:rPr>
          <w:lang w:eastAsia="en-AU"/>
        </w:rPr>
      </w:pPr>
      <w:r w:rsidRPr="00C80C47">
        <w:rPr>
          <w:lang w:eastAsia="en-AU"/>
        </w:rPr>
        <w:t>Depending on the performance of the test</w:t>
      </w:r>
      <w:r w:rsidR="00FB1B4B">
        <w:rPr>
          <w:lang w:eastAsia="en-AU"/>
        </w:rPr>
        <w:t>,</w:t>
      </w:r>
      <w:r w:rsidRPr="00C80C47">
        <w:rPr>
          <w:lang w:eastAsia="en-AU"/>
        </w:rPr>
        <w:t xml:space="preserve"> the information provided in the IFU and robustness of the test, </w:t>
      </w:r>
      <w:r w:rsidR="00EF1292" w:rsidRPr="00C80C47">
        <w:rPr>
          <w:lang w:eastAsia="en-AU"/>
        </w:rPr>
        <w:t xml:space="preserve">the </w:t>
      </w:r>
      <w:r w:rsidRPr="00C80C47">
        <w:rPr>
          <w:lang w:eastAsia="en-AU"/>
        </w:rPr>
        <w:t>TGA may impose</w:t>
      </w:r>
      <w:r w:rsidR="00C9111A">
        <w:rPr>
          <w:lang w:eastAsia="en-AU"/>
        </w:rPr>
        <w:t xml:space="preserve"> </w:t>
      </w:r>
      <w:r w:rsidR="00C93259">
        <w:rPr>
          <w:lang w:eastAsia="en-AU"/>
        </w:rPr>
        <w:t xml:space="preserve">additional </w:t>
      </w:r>
      <w:r w:rsidR="00C9111A">
        <w:rPr>
          <w:lang w:eastAsia="en-AU"/>
        </w:rPr>
        <w:t>non-standard</w:t>
      </w:r>
      <w:r w:rsidRPr="00C80C47">
        <w:rPr>
          <w:lang w:eastAsia="en-AU"/>
        </w:rPr>
        <w:t xml:space="preserve"> conditions to </w:t>
      </w:r>
      <w:r w:rsidR="00EF1292" w:rsidRPr="00C80C47">
        <w:rPr>
          <w:lang w:eastAsia="en-AU"/>
        </w:rPr>
        <w:t>mitigate any residual risk identified relating to t</w:t>
      </w:r>
      <w:r w:rsidRPr="00C80C47">
        <w:rPr>
          <w:lang w:eastAsia="en-AU"/>
        </w:rPr>
        <w:t>he effective and safe use of the product</w:t>
      </w:r>
      <w:r w:rsidR="00EF1292" w:rsidRPr="00C80C47">
        <w:rPr>
          <w:lang w:eastAsia="en-AU"/>
        </w:rPr>
        <w:t xml:space="preserve"> or to facilitate the monitoring of potential trends</w:t>
      </w:r>
      <w:r w:rsidRPr="00C80C47">
        <w:rPr>
          <w:lang w:eastAsia="en-AU"/>
        </w:rPr>
        <w:t>. These are likely to include a requirement that the sponsor:</w:t>
      </w:r>
    </w:p>
    <w:p w14:paraId="733EAD1C" w14:textId="50DB944F" w:rsidR="006A1997" w:rsidRPr="00131D28" w:rsidRDefault="006A1997" w:rsidP="00131D28">
      <w:pPr>
        <w:pStyle w:val="ListBullet"/>
      </w:pPr>
      <w:r w:rsidRPr="00131D28">
        <w:t xml:space="preserve">provide additional support for users of the test through provision of information that will direct users to on-line support </w:t>
      </w:r>
      <w:r w:rsidR="00863957" w:rsidRPr="00131D28">
        <w:t>serv</w:t>
      </w:r>
      <w:r w:rsidR="005D59DB" w:rsidRPr="00131D28">
        <w:t>ices and/or 24/7 phone line</w:t>
      </w:r>
    </w:p>
    <w:p w14:paraId="459AA545" w14:textId="6C1F6874" w:rsidR="00432BD6" w:rsidRDefault="00432BD6" w:rsidP="00432BD6">
      <w:pPr>
        <w:pStyle w:val="ListBullet"/>
      </w:pPr>
      <w:r w:rsidRPr="00131D28">
        <w:t>provide the TGA with regular annual reports</w:t>
      </w:r>
      <w:r>
        <w:t xml:space="preserve"> </w:t>
      </w:r>
      <w:r w:rsidRPr="00131D28">
        <w:t>on the distribution of the product, numbers of tests sold and numbers of any reported false positive or false negative results or problems with poor performance of the test</w:t>
      </w:r>
      <w:r w:rsidR="00ED149C">
        <w:t xml:space="preserve"> in Australia and worldwide (this may be a combination of monthly and annual reporting requirements)</w:t>
      </w:r>
    </w:p>
    <w:p w14:paraId="018F2E1D" w14:textId="3A922B48" w:rsidR="005D59DB" w:rsidRPr="00131D28" w:rsidRDefault="005D59DB" w:rsidP="00131D28">
      <w:pPr>
        <w:pStyle w:val="ListBullet"/>
      </w:pPr>
      <w:r w:rsidRPr="00131D28">
        <w:t>may potentially only supply the device through specified distribution channels</w:t>
      </w:r>
      <w:r w:rsidR="00CB6BBE" w:rsidRPr="00131D28">
        <w:t xml:space="preserve"> that allow relevant information/education to be provided to users</w:t>
      </w:r>
      <w:r w:rsidR="004C1D6E" w:rsidRPr="00131D28">
        <w:t xml:space="preserve"> at the time of purchase.</w:t>
      </w:r>
      <w:r w:rsidR="00AA5957">
        <w:t xml:space="preserve"> This will be considered on a case-by-case basis and will depend on what risks need to be mitigated.</w:t>
      </w:r>
    </w:p>
    <w:p w14:paraId="106B952B" w14:textId="5F314EA0" w:rsidR="00DA0D6C" w:rsidRDefault="00C93259" w:rsidP="00DA0D6C">
      <w:pPr>
        <w:rPr>
          <w:rFonts w:cs="Cambria"/>
          <w:color w:val="000000"/>
          <w:szCs w:val="22"/>
          <w:lang w:eastAsia="en-AU"/>
        </w:rPr>
      </w:pPr>
      <w:r>
        <w:rPr>
          <w:lang w:eastAsia="en-AU"/>
        </w:rPr>
        <w:t>Any further</w:t>
      </w:r>
      <w:r w:rsidR="005872BE">
        <w:rPr>
          <w:lang w:eastAsia="en-AU"/>
        </w:rPr>
        <w:t xml:space="preserve"> </w:t>
      </w:r>
      <w:r w:rsidR="006A1997" w:rsidRPr="006A1997">
        <w:rPr>
          <w:lang w:eastAsia="en-AU"/>
        </w:rPr>
        <w:t>conditions would be applied on a case-by-</w:t>
      </w:r>
      <w:r w:rsidR="00435D0C">
        <w:rPr>
          <w:lang w:eastAsia="en-AU"/>
        </w:rPr>
        <w:t xml:space="preserve">case </w:t>
      </w:r>
      <w:r w:rsidR="006A1997" w:rsidRPr="006A1997">
        <w:rPr>
          <w:lang w:eastAsia="en-AU"/>
        </w:rPr>
        <w:t>basis and would depend on the evaluation of an individual product, the overall benefits</w:t>
      </w:r>
      <w:r w:rsidR="00EF1292">
        <w:rPr>
          <w:lang w:eastAsia="en-AU"/>
        </w:rPr>
        <w:t>,</w:t>
      </w:r>
      <w:r w:rsidR="006A1997" w:rsidRPr="006A1997">
        <w:rPr>
          <w:lang w:eastAsia="en-AU"/>
        </w:rPr>
        <w:t xml:space="preserve"> and how well any risks have been mitigated</w:t>
      </w:r>
      <w:r w:rsidR="006A1997" w:rsidRPr="006A1997">
        <w:rPr>
          <w:rFonts w:cs="Cambria"/>
          <w:color w:val="000000"/>
          <w:szCs w:val="22"/>
          <w:lang w:eastAsia="en-AU"/>
        </w:rPr>
        <w:t>.</w:t>
      </w:r>
    </w:p>
    <w:p w14:paraId="042E029C" w14:textId="48DF43BC" w:rsidR="005872BE" w:rsidRPr="00DA0D6C" w:rsidRDefault="004C1D6E" w:rsidP="00DA0D6C">
      <w:pPr>
        <w:pStyle w:val="Heading3"/>
        <w:rPr>
          <w:rFonts w:cs="Cambria"/>
          <w:color w:val="000000"/>
          <w:szCs w:val="22"/>
          <w:lang w:eastAsia="en-AU"/>
        </w:rPr>
      </w:pPr>
      <w:bookmarkStart w:id="21" w:name="_Toc66907813"/>
      <w:r w:rsidRPr="00DA0D6C">
        <w:rPr>
          <w:lang w:eastAsia="en-AU"/>
        </w:rPr>
        <w:t>Post-market review</w:t>
      </w:r>
      <w:bookmarkEnd w:id="21"/>
    </w:p>
    <w:p w14:paraId="44DF36A7" w14:textId="0D88C292" w:rsidR="005872BE" w:rsidRDefault="000A0373" w:rsidP="00151B95">
      <w:pPr>
        <w:rPr>
          <w:lang w:eastAsia="en-AU"/>
        </w:rPr>
      </w:pPr>
      <w:r>
        <w:rPr>
          <w:lang w:eastAsia="en-AU"/>
        </w:rPr>
        <w:t>The TGA can conduct a post-</w:t>
      </w:r>
      <w:r w:rsidR="004C1D6E">
        <w:rPr>
          <w:lang w:eastAsia="en-AU"/>
        </w:rPr>
        <w:t xml:space="preserve">market review of </w:t>
      </w:r>
      <w:r w:rsidR="001F5264">
        <w:rPr>
          <w:lang w:eastAsia="en-AU"/>
        </w:rPr>
        <w:t xml:space="preserve">certain kinds of </w:t>
      </w:r>
      <w:r w:rsidR="004C1D6E">
        <w:rPr>
          <w:lang w:eastAsia="en-AU"/>
        </w:rPr>
        <w:t xml:space="preserve">devices included in the ARTG. </w:t>
      </w:r>
      <w:r w:rsidR="001F5264">
        <w:rPr>
          <w:lang w:eastAsia="en-AU"/>
        </w:rPr>
        <w:t>ARTG entries for i</w:t>
      </w:r>
      <w:r w:rsidR="005872BE">
        <w:rPr>
          <w:lang w:eastAsia="en-AU"/>
        </w:rPr>
        <w:t xml:space="preserve">nfluenza self-tests may </w:t>
      </w:r>
      <w:r w:rsidR="004C1D6E">
        <w:rPr>
          <w:lang w:eastAsia="en-AU"/>
        </w:rPr>
        <w:t xml:space="preserve">also </w:t>
      </w:r>
      <w:r w:rsidR="005872BE">
        <w:rPr>
          <w:lang w:eastAsia="en-AU"/>
        </w:rPr>
        <w:t>be subject to a post-market revi</w:t>
      </w:r>
      <w:r w:rsidR="004C1D6E">
        <w:rPr>
          <w:lang w:eastAsia="en-AU"/>
        </w:rPr>
        <w:t xml:space="preserve">ew and sponsors may be asked to </w:t>
      </w:r>
      <w:r w:rsidR="005872BE">
        <w:rPr>
          <w:lang w:eastAsia="en-AU"/>
        </w:rPr>
        <w:t>provide a number of test kits for independent laboratory evaluation of the clinical sensitivity and specificity to verify their performance</w:t>
      </w:r>
      <w:r w:rsidR="004C1D6E">
        <w:rPr>
          <w:lang w:eastAsia="en-AU"/>
        </w:rP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A0D6C" w:rsidRPr="00215D48" w14:paraId="152F5C41" w14:textId="23A7F7DD" w:rsidTr="00DA0D6C">
        <w:tc>
          <w:tcPr>
            <w:tcW w:w="1276" w:type="dxa"/>
            <w:vAlign w:val="center"/>
          </w:tcPr>
          <w:p w14:paraId="4647B197" w14:textId="77777777" w:rsidR="00DA0D6C" w:rsidRPr="00215D48" w:rsidRDefault="00DA0D6C" w:rsidP="00D5763E">
            <w:pPr>
              <w:spacing w:before="0"/>
              <w:rPr>
                <w:sz w:val="20"/>
              </w:rPr>
            </w:pPr>
            <w:r w:rsidRPr="00215D48">
              <w:rPr>
                <w:noProof/>
                <w:sz w:val="20"/>
                <w:lang w:eastAsia="en-AU"/>
              </w:rPr>
              <w:lastRenderedPageBreak/>
              <w:drawing>
                <wp:inline distT="0" distB="0" distL="0" distR="0" wp14:anchorId="54F2F1C5" wp14:editId="0731E956">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774D748" w14:textId="77777777" w:rsidR="00DA0D6C" w:rsidRPr="00217BD7" w:rsidRDefault="00DA0D6C" w:rsidP="00D5763E">
            <w:pPr>
              <w:rPr>
                <w:b/>
              </w:rPr>
            </w:pPr>
            <w:r>
              <w:rPr>
                <w:b/>
              </w:rPr>
              <w:t>Please note:</w:t>
            </w:r>
          </w:p>
          <w:p w14:paraId="0F309E99" w14:textId="5A753945" w:rsidR="00DA0D6C" w:rsidRDefault="00DA0D6C" w:rsidP="001628F3">
            <w:r>
              <w:t xml:space="preserve">Advertisements for IVDs, including self-tests, are subject to the requirements of </w:t>
            </w:r>
            <w:r w:rsidRPr="0031499E">
              <w:rPr>
                <w:i/>
              </w:rPr>
              <w:t>the Act</w:t>
            </w:r>
            <w:r>
              <w:t>. For advertising to consumers, this includes the</w:t>
            </w:r>
            <w:r w:rsidR="002D1571">
              <w:t xml:space="preserve"> requirement to comply with </w:t>
            </w:r>
            <w:r w:rsidR="002D1571">
              <w:rPr>
                <w:i/>
              </w:rPr>
              <w:t>the Advertising Code</w:t>
            </w:r>
            <w:r w:rsidRPr="00EA5713">
              <w:rPr>
                <w:i/>
              </w:rPr>
              <w:t>.</w:t>
            </w:r>
          </w:p>
          <w:p w14:paraId="6E5A7E3A" w14:textId="0AFDC35E" w:rsidR="00DA0D6C" w:rsidRDefault="00DA0D6C" w:rsidP="001628F3">
            <w:r w:rsidRPr="00EA5713">
              <w:rPr>
                <w:i/>
              </w:rPr>
              <w:t>The Advertising Code</w:t>
            </w:r>
            <w:r>
              <w:t xml:space="preserve"> requires advertising to consumers to be accurate and not misleading (including misleading through the omission of important information, like the limitations of an IVD).</w:t>
            </w:r>
          </w:p>
          <w:p w14:paraId="38F7CAE4" w14:textId="288E1AFC" w:rsidR="00DA0D6C" w:rsidRPr="00215D48" w:rsidRDefault="00DA0D6C" w:rsidP="00594EF4">
            <w:r>
              <w:t xml:space="preserve">Consumer advertising for IVDs for detecting or diagnosing a serious disease, condition, ailment or defect is likely to contain a restricted (e.g. influenza) or prohibited (e.g. HIV) representation. Under </w:t>
            </w:r>
            <w:r w:rsidRPr="00930C79">
              <w:rPr>
                <w:i/>
              </w:rPr>
              <w:t>the Act</w:t>
            </w:r>
            <w:r>
              <w:t xml:space="preserve">, the TGA must authorise these types of representations prior to their use in consumer advertising. More information is available at </w:t>
            </w:r>
            <w:hyperlink r:id="rId25" w:history="1">
              <w:r w:rsidRPr="00EA5713">
                <w:rPr>
                  <w:rStyle w:val="Hyperlink"/>
                  <w:i/>
                </w:rPr>
                <w:t>https://www.tga.gov.au/restricted-representations</w:t>
              </w:r>
            </w:hyperlink>
            <w:r w:rsidRPr="00EA5713">
              <w:rPr>
                <w:rStyle w:val="Hyperlink"/>
                <w:i/>
              </w:rPr>
              <w:t>.</w:t>
            </w:r>
            <w:r>
              <w:t xml:space="preserve"> </w:t>
            </w:r>
          </w:p>
        </w:tc>
      </w:tr>
    </w:tbl>
    <w:bookmarkEnd w:id="3"/>
    <w:bookmarkEnd w:id="4"/>
    <w:bookmarkEnd w:id="11"/>
    <w:p w14:paraId="087E40F2" w14:textId="77777777"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7134C3BD" w14:textId="77777777" w:rsidTr="00B33C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6E8E35E4" w14:textId="77777777" w:rsidR="001A3190" w:rsidRPr="00215D48" w:rsidRDefault="001A3190" w:rsidP="00B33C56">
            <w:bookmarkStart w:id="22" w:name="ColumnTitle_4"/>
            <w:r w:rsidRPr="00215D48">
              <w:t>Version</w:t>
            </w:r>
          </w:p>
        </w:tc>
        <w:tc>
          <w:tcPr>
            <w:tcW w:w="3242" w:type="dxa"/>
          </w:tcPr>
          <w:p w14:paraId="60B64B96" w14:textId="77777777"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4C7E98BA" w14:textId="77777777"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2FB5EC3E" w14:textId="77777777"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22"/>
      <w:tr w:rsidR="001A3190" w:rsidRPr="00215D48" w14:paraId="13B7E096"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04612DD" w14:textId="77777777" w:rsidR="001A3190" w:rsidRPr="00215D48" w:rsidRDefault="001A3190" w:rsidP="00B33C56">
            <w:r w:rsidRPr="00215D48">
              <w:t>V1.0</w:t>
            </w:r>
          </w:p>
        </w:tc>
        <w:tc>
          <w:tcPr>
            <w:tcW w:w="3242" w:type="dxa"/>
          </w:tcPr>
          <w:p w14:paraId="6B4E5CA8" w14:textId="77777777" w:rsidR="001A3190" w:rsidRPr="00215D48" w:rsidRDefault="001A3190" w:rsidP="00B33C56">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384597F6" w14:textId="182AA8B3" w:rsidR="001A3190" w:rsidRPr="00215D48" w:rsidRDefault="00C47CEC" w:rsidP="00B33C56">
            <w:pPr>
              <w:cnfStyle w:val="000000000000" w:firstRow="0" w:lastRow="0" w:firstColumn="0" w:lastColumn="0" w:oddVBand="0" w:evenVBand="0" w:oddHBand="0" w:evenHBand="0" w:firstRowFirstColumn="0" w:firstRowLastColumn="0" w:lastRowFirstColumn="0" w:lastRowLastColumn="0"/>
            </w:pPr>
            <w:r w:rsidRPr="00C47CEC">
              <w:t>IVD Reforms, Medical Device Surveillance Branch</w:t>
            </w:r>
          </w:p>
        </w:tc>
        <w:tc>
          <w:tcPr>
            <w:tcW w:w="1808" w:type="dxa"/>
          </w:tcPr>
          <w:p w14:paraId="60E386D1" w14:textId="094379D8" w:rsidR="001A3190" w:rsidRPr="00215D48" w:rsidRDefault="00DA7D2E" w:rsidP="00926B0E">
            <w:pPr>
              <w:cnfStyle w:val="000000000000" w:firstRow="0" w:lastRow="0" w:firstColumn="0" w:lastColumn="0" w:oddVBand="0" w:evenVBand="0" w:oddHBand="0" w:evenHBand="0" w:firstRowFirstColumn="0" w:firstRowLastColumn="0" w:lastRowFirstColumn="0" w:lastRowLastColumn="0"/>
            </w:pPr>
            <w:r>
              <w:t>March</w:t>
            </w:r>
            <w:r w:rsidR="004D362A">
              <w:t xml:space="preserve"> 2021</w:t>
            </w:r>
          </w:p>
        </w:tc>
      </w:tr>
    </w:tbl>
    <w:p w14:paraId="102F9A1C" w14:textId="77777777" w:rsidR="00F401EF" w:rsidRPr="00215D48" w:rsidRDefault="00F401EF" w:rsidP="00706634">
      <w:pPr>
        <w:spacing w:before="0" w:after="0" w:line="240" w:lineRule="auto"/>
        <w:rPr>
          <w:sz w:val="20"/>
        </w:rPr>
        <w:sectPr w:rsidR="00F401EF" w:rsidRPr="00215D48" w:rsidSect="0029069E">
          <w:headerReference w:type="default" r:id="rId26"/>
          <w:footerReference w:type="default" r:id="rId27"/>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33921EE2" w14:textId="77777777" w:rsidTr="00564BBE">
        <w:trPr>
          <w:trHeight w:hRule="exact" w:val="565"/>
          <w:jc w:val="center"/>
        </w:trPr>
        <w:tc>
          <w:tcPr>
            <w:tcW w:w="9145" w:type="dxa"/>
          </w:tcPr>
          <w:p w14:paraId="0D37DFD1" w14:textId="77777777" w:rsidR="00C50E5C" w:rsidRPr="00215D48" w:rsidRDefault="00C50E5C" w:rsidP="00564BBE">
            <w:pPr>
              <w:pStyle w:val="TGASignoff"/>
            </w:pPr>
            <w:r w:rsidRPr="00215D48">
              <w:lastRenderedPageBreak/>
              <w:t>Therapeutic Goods Administration</w:t>
            </w:r>
          </w:p>
        </w:tc>
      </w:tr>
      <w:tr w:rsidR="00C50E5C" w:rsidRPr="00215D48" w14:paraId="28CAFE7D" w14:textId="77777777" w:rsidTr="00564BBE">
        <w:trPr>
          <w:trHeight w:val="963"/>
          <w:jc w:val="center"/>
        </w:trPr>
        <w:tc>
          <w:tcPr>
            <w:tcW w:w="9145" w:type="dxa"/>
            <w:tcMar>
              <w:top w:w="28" w:type="dxa"/>
            </w:tcMar>
          </w:tcPr>
          <w:p w14:paraId="07B7824C" w14:textId="77777777" w:rsidR="00C50E5C" w:rsidRPr="00215D48" w:rsidRDefault="00C50E5C" w:rsidP="00EB5622">
            <w:pPr>
              <w:pStyle w:val="Address"/>
              <w:jc w:val="center"/>
            </w:pPr>
            <w:r w:rsidRPr="00215D48">
              <w:t>PO Box 100 Woden ACT 2606 Australia</w:t>
            </w:r>
          </w:p>
          <w:p w14:paraId="260E47F2" w14:textId="618AE544" w:rsidR="001A3190" w:rsidRDefault="00C50E5C">
            <w:pPr>
              <w:pStyle w:val="Address"/>
              <w:jc w:val="center"/>
              <w:rPr>
                <w:sz w:val="22"/>
                <w:szCs w:val="22"/>
              </w:rPr>
            </w:pPr>
            <w:r w:rsidRPr="00215D48">
              <w:t xml:space="preserve">Email: </w:t>
            </w:r>
            <w:hyperlink r:id="rId28" w:history="1">
              <w:r w:rsidR="00DB5EFC" w:rsidRPr="00457F0B">
                <w:rPr>
                  <w:rStyle w:val="Hyperlink"/>
                </w:rPr>
                <w:t>info@tga.gov.au</w:t>
              </w:r>
            </w:hyperlink>
            <w:r w:rsidRPr="00215D48">
              <w:t xml:space="preserve">  Phone: 1800 020 653  Fax: </w:t>
            </w:r>
            <w:r w:rsidR="001A3190" w:rsidRPr="00BA0DFC">
              <w:t>02 6203 1605</w:t>
            </w:r>
          </w:p>
          <w:p w14:paraId="0CEADA72" w14:textId="77777777" w:rsidR="00C50E5C" w:rsidRPr="00215D48" w:rsidRDefault="00CC67E1">
            <w:pPr>
              <w:pStyle w:val="Address"/>
              <w:jc w:val="center"/>
              <w:rPr>
                <w:rStyle w:val="Hyperlink"/>
                <w:b/>
                <w:color w:val="auto"/>
                <w:sz w:val="22"/>
                <w:u w:val="none"/>
              </w:rPr>
            </w:pPr>
            <w:hyperlink r:id="rId29" w:history="1">
              <w:r w:rsidR="00215D48" w:rsidRPr="00C4721A">
                <w:rPr>
                  <w:rStyle w:val="Hyperlink"/>
                  <w:b/>
                </w:rPr>
                <w:t>https://www.tga.gov.au</w:t>
              </w:r>
            </w:hyperlink>
          </w:p>
        </w:tc>
      </w:tr>
      <w:tr w:rsidR="00C50E5C" w:rsidRPr="00215D48" w14:paraId="09BDB8A5" w14:textId="77777777" w:rsidTr="00564BBE">
        <w:trPr>
          <w:trHeight w:val="251"/>
          <w:jc w:val="center"/>
        </w:trPr>
        <w:tc>
          <w:tcPr>
            <w:tcW w:w="9145" w:type="dxa"/>
            <w:tcMar>
              <w:top w:w="28" w:type="dxa"/>
            </w:tcMar>
          </w:tcPr>
          <w:p w14:paraId="0E91C84C" w14:textId="77777777" w:rsidR="00C50E5C" w:rsidRPr="00215D48" w:rsidRDefault="00C50E5C" w:rsidP="00EB5622">
            <w:pPr>
              <w:pStyle w:val="Address"/>
              <w:jc w:val="center"/>
            </w:pPr>
            <w:r w:rsidRPr="00215D48">
              <w:t>Reference/Publication #</w:t>
            </w:r>
          </w:p>
        </w:tc>
      </w:tr>
    </w:tbl>
    <w:p w14:paraId="4E614BC9" w14:textId="77777777" w:rsidR="00706634" w:rsidRPr="00215D48" w:rsidRDefault="00706634" w:rsidP="004A3084">
      <w:pPr>
        <w:rPr>
          <w:sz w:val="20"/>
        </w:rPr>
      </w:pPr>
    </w:p>
    <w:sectPr w:rsidR="00706634" w:rsidRPr="00215D48" w:rsidSect="0029069E">
      <w:headerReference w:type="first" r:id="rId30"/>
      <w:footerReference w:type="first" r:id="rId31"/>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4EEAD" w14:textId="77777777" w:rsidR="00CF5AA6" w:rsidRDefault="00CF5AA6" w:rsidP="00C40A36">
      <w:pPr>
        <w:spacing w:after="0"/>
      </w:pPr>
      <w:r>
        <w:separator/>
      </w:r>
    </w:p>
  </w:endnote>
  <w:endnote w:type="continuationSeparator" w:id="0">
    <w:p w14:paraId="65D12625" w14:textId="77777777" w:rsidR="00CF5AA6" w:rsidRDefault="00CF5AA6"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14B5BAF0" w14:textId="77777777" w:rsidTr="000B30E5">
      <w:trPr>
        <w:trHeight w:val="423"/>
      </w:trPr>
      <w:tc>
        <w:tcPr>
          <w:tcW w:w="4360" w:type="dxa"/>
          <w:tcBorders>
            <w:top w:val="single" w:sz="4" w:space="0" w:color="auto"/>
          </w:tcBorders>
        </w:tcPr>
        <w:p w14:paraId="328ACC49" w14:textId="77777777" w:rsidR="00A77452" w:rsidRDefault="00A77452" w:rsidP="000B30E5">
          <w:pPr>
            <w:pStyle w:val="Footer"/>
          </w:pPr>
        </w:p>
        <w:p w14:paraId="11CBD474"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53A22800" w14:textId="77777777" w:rsidR="00A77452" w:rsidRDefault="00A77452" w:rsidP="000B30E5">
              <w:pPr>
                <w:pStyle w:val="Footer"/>
                <w:jc w:val="right"/>
              </w:pPr>
            </w:p>
            <w:p w14:paraId="0EE57B3E" w14:textId="42605748"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rsidR="00CC67E1">
                <w:fldChar w:fldCharType="begin"/>
              </w:r>
              <w:r w:rsidR="00CC67E1">
                <w:instrText xml:space="preserve"> NUMPAGES  </w:instrText>
              </w:r>
              <w:r w:rsidR="00CC67E1">
                <w:fldChar w:fldCharType="separate"/>
              </w:r>
              <w:r w:rsidR="00735E27">
                <w:rPr>
                  <w:noProof/>
                </w:rPr>
                <w:t>13</w:t>
              </w:r>
              <w:r w:rsidR="00CC67E1">
                <w:rPr>
                  <w:noProof/>
                </w:rPr>
                <w:fldChar w:fldCharType="end"/>
              </w:r>
            </w:p>
          </w:sdtContent>
        </w:sdt>
      </w:tc>
    </w:tr>
    <w:tr w:rsidR="00A77452" w:rsidRPr="00257138" w14:paraId="2953E251" w14:textId="77777777" w:rsidTr="000B30E5">
      <w:trPr>
        <w:trHeight w:val="263"/>
      </w:trPr>
      <w:tc>
        <w:tcPr>
          <w:tcW w:w="4360" w:type="dxa"/>
        </w:tcPr>
        <w:p w14:paraId="1AD1529F"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6B5B5189" w14:textId="77777777" w:rsidR="00A77452" w:rsidRPr="00257138" w:rsidRDefault="00A77452" w:rsidP="000B30E5">
          <w:pPr>
            <w:pStyle w:val="Footer"/>
            <w:jc w:val="right"/>
          </w:pPr>
        </w:p>
      </w:tc>
    </w:tr>
  </w:tbl>
  <w:p w14:paraId="121E067C"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66B49"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A77452" w:rsidRPr="004A3084" w14:paraId="3789E474" w14:textId="77777777" w:rsidTr="00231E8D">
      <w:trPr>
        <w:trHeight w:val="423"/>
      </w:trPr>
      <w:tc>
        <w:tcPr>
          <w:tcW w:w="7338" w:type="dxa"/>
          <w:tcBorders>
            <w:top w:val="single" w:sz="4" w:space="0" w:color="auto"/>
          </w:tcBorders>
        </w:tcPr>
        <w:p w14:paraId="6C181A50" w14:textId="293F860E" w:rsidR="00A77452" w:rsidRPr="004A3084" w:rsidRDefault="009A4301" w:rsidP="00496EAB">
          <w:pPr>
            <w:pStyle w:val="Footer"/>
          </w:pPr>
          <w:r>
            <w:t xml:space="preserve">Seasonal Influenza IVD self-tests: </w:t>
          </w:r>
          <w:r w:rsidR="0059244B">
            <w:t>Clinical performance requirements and risk mitigation str</w:t>
          </w:r>
          <w:r>
            <w:t>ategies</w:t>
          </w:r>
          <w:r w:rsidR="00F068E8">
            <w:t xml:space="preserve"> </w:t>
          </w:r>
          <w:r w:rsidR="00DB5EFC">
            <w:t xml:space="preserve">- </w:t>
          </w:r>
          <w:r w:rsidR="00A35312">
            <w:t xml:space="preserve">Version 1.0, </w:t>
          </w:r>
          <w:r w:rsidR="00DA7D2E">
            <w:t>March</w:t>
          </w:r>
          <w:r w:rsidR="00B70836">
            <w:t xml:space="preserve"> 2021</w:t>
          </w:r>
        </w:p>
      </w:tc>
      <w:tc>
        <w:tcPr>
          <w:tcW w:w="1382" w:type="dxa"/>
          <w:tcBorders>
            <w:top w:val="single" w:sz="4" w:space="0" w:color="auto"/>
          </w:tcBorders>
        </w:tcPr>
        <w:sdt>
          <w:sdtPr>
            <w:id w:val="11571659"/>
            <w:docPartObj>
              <w:docPartGallery w:val="Page Numbers (Top of Page)"/>
              <w:docPartUnique/>
            </w:docPartObj>
          </w:sdtPr>
          <w:sdtEndPr/>
          <w:sdtContent>
            <w:p w14:paraId="73B66692" w14:textId="49C6AC7A"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CC67E1">
                <w:rPr>
                  <w:noProof/>
                </w:rPr>
                <w:t>13</w:t>
              </w:r>
              <w:r w:rsidR="003361D1">
                <w:rPr>
                  <w:noProof/>
                </w:rPr>
                <w:fldChar w:fldCharType="end"/>
              </w:r>
              <w:r w:rsidRPr="004A3084">
                <w:t xml:space="preserve"> of </w:t>
              </w:r>
              <w:r w:rsidR="00CC67E1">
                <w:fldChar w:fldCharType="begin"/>
              </w:r>
              <w:r w:rsidR="00CC67E1">
                <w:instrText xml:space="preserve"> NUMPAGES  </w:instrText>
              </w:r>
              <w:r w:rsidR="00CC67E1">
                <w:fldChar w:fldCharType="separate"/>
              </w:r>
              <w:r w:rsidR="00CC67E1">
                <w:rPr>
                  <w:noProof/>
                </w:rPr>
                <w:t>14</w:t>
              </w:r>
              <w:r w:rsidR="00CC67E1">
                <w:rPr>
                  <w:noProof/>
                </w:rPr>
                <w:fldChar w:fldCharType="end"/>
              </w:r>
            </w:p>
          </w:sdtContent>
        </w:sdt>
      </w:tc>
    </w:tr>
  </w:tbl>
  <w:p w14:paraId="400E01E5" w14:textId="77777777"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20E1E"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4998C" w14:textId="77777777" w:rsidR="00CF5AA6" w:rsidRDefault="00CF5AA6" w:rsidP="00C40A36">
      <w:pPr>
        <w:spacing w:after="0"/>
      </w:pPr>
      <w:r>
        <w:separator/>
      </w:r>
    </w:p>
  </w:footnote>
  <w:footnote w:type="continuationSeparator" w:id="0">
    <w:p w14:paraId="0B766E8B" w14:textId="77777777" w:rsidR="00CF5AA6" w:rsidRDefault="00CF5AA6" w:rsidP="00C40A36">
      <w:pPr>
        <w:spacing w:after="0"/>
      </w:pPr>
      <w:r>
        <w:continuationSeparator/>
      </w:r>
    </w:p>
  </w:footnote>
  <w:footnote w:id="1">
    <w:p w14:paraId="2B75CCBB" w14:textId="77777777" w:rsidR="0004780A" w:rsidRDefault="0004780A" w:rsidP="0004780A">
      <w:pPr>
        <w:pStyle w:val="FootnoteText"/>
      </w:pPr>
      <w:r>
        <w:rPr>
          <w:rStyle w:val="FootnoteReference"/>
        </w:rPr>
        <w:footnoteRef/>
      </w:r>
      <w:r>
        <w:t xml:space="preserve"> Department of Health - </w:t>
      </w:r>
      <w:hyperlink r:id="rId1" w:history="1">
        <w:r w:rsidRPr="0022104C">
          <w:rPr>
            <w:rStyle w:val="Hyperlink"/>
          </w:rPr>
          <w:t>types of influenza</w:t>
        </w:r>
      </w:hyperlink>
    </w:p>
  </w:footnote>
  <w:footnote w:id="2">
    <w:p w14:paraId="613BE119" w14:textId="3C44B752" w:rsidR="0004780A" w:rsidRDefault="0004780A" w:rsidP="0004780A">
      <w:pPr>
        <w:pStyle w:val="FootnoteText"/>
      </w:pPr>
      <w:r>
        <w:rPr>
          <w:rStyle w:val="FootnoteReference"/>
        </w:rPr>
        <w:footnoteRef/>
      </w:r>
      <w:r>
        <w:t xml:space="preserve"> Adapted from World Health Organisation</w:t>
      </w:r>
      <w:r w:rsidR="00EA5713">
        <w:t xml:space="preserve"> (WHO)</w:t>
      </w:r>
      <w:r>
        <w:t xml:space="preserve"> - </w:t>
      </w:r>
      <w:hyperlink r:id="rId2" w:history="1">
        <w:r w:rsidRPr="0022104C">
          <w:rPr>
            <w:rStyle w:val="Hyperlink"/>
          </w:rPr>
          <w:t>influenza (seasonal) fact sheet</w:t>
        </w:r>
      </w:hyperlink>
    </w:p>
  </w:footnote>
  <w:footnote w:id="3">
    <w:p w14:paraId="51375AA4" w14:textId="36DB88CB" w:rsidR="0004780A" w:rsidRDefault="0004780A" w:rsidP="0004780A">
      <w:pPr>
        <w:pStyle w:val="FootnoteText"/>
      </w:pPr>
      <w:r>
        <w:rPr>
          <w:rStyle w:val="FootnoteReference"/>
        </w:rPr>
        <w:footnoteRef/>
      </w:r>
      <w:r>
        <w:t xml:space="preserve"> Adapted from Centers for Disease Control and Prevention</w:t>
      </w:r>
      <w:r w:rsidR="00C13D7D">
        <w:t xml:space="preserve"> (CDC)</w:t>
      </w:r>
      <w:r>
        <w:t xml:space="preserve"> - </w:t>
      </w:r>
      <w:hyperlink r:id="rId3" w:history="1">
        <w:r w:rsidR="00C13D7D">
          <w:rPr>
            <w:rStyle w:val="Hyperlink"/>
          </w:rPr>
          <w:t>pandemic i</w:t>
        </w:r>
        <w:r w:rsidRPr="00015193">
          <w:rPr>
            <w:rStyle w:val="Hyperlink"/>
          </w:rPr>
          <w:t>nfluenza</w:t>
        </w:r>
      </w:hyperlink>
    </w:p>
  </w:footnote>
  <w:footnote w:id="4">
    <w:p w14:paraId="341D4409" w14:textId="05E56AC5" w:rsidR="007E0E77" w:rsidRDefault="007E0E77">
      <w:pPr>
        <w:pStyle w:val="FootnoteText"/>
      </w:pPr>
      <w:r>
        <w:rPr>
          <w:rStyle w:val="FootnoteReference"/>
        </w:rPr>
        <w:footnoteRef/>
      </w:r>
      <w:r>
        <w:t xml:space="preserve"> </w:t>
      </w:r>
      <w:r w:rsidR="00EA5713">
        <w:t>WHO</w:t>
      </w:r>
      <w:r w:rsidR="007937C2">
        <w:t xml:space="preserve"> - </w:t>
      </w:r>
      <w:hyperlink r:id="rId4" w:history="1">
        <w:r w:rsidR="007937C2" w:rsidRPr="007937C2">
          <w:rPr>
            <w:rStyle w:val="Hyperlink"/>
          </w:rPr>
          <w:t>Global Influenza Strategy 2019-2030</w:t>
        </w:r>
      </w:hyperlink>
    </w:p>
  </w:footnote>
  <w:footnote w:id="5">
    <w:p w14:paraId="3325DF26" w14:textId="4B654BFA" w:rsidR="007E0E77" w:rsidRPr="007E0E77" w:rsidRDefault="007E0E77">
      <w:pPr>
        <w:pStyle w:val="FootnoteText"/>
        <w:rPr>
          <w:sz w:val="16"/>
          <w:szCs w:val="16"/>
        </w:rPr>
      </w:pPr>
      <w:r>
        <w:rPr>
          <w:rStyle w:val="FootnoteReference"/>
        </w:rPr>
        <w:footnoteRef/>
      </w:r>
      <w:r>
        <w:t xml:space="preserve"> </w:t>
      </w:r>
      <w:r w:rsidR="00EA5713">
        <w:t xml:space="preserve">WHO </w:t>
      </w:r>
      <w:r w:rsidR="007937C2">
        <w:t xml:space="preserve">- </w:t>
      </w:r>
      <w:hyperlink r:id="rId5" w:history="1">
        <w:r w:rsidR="007937C2" w:rsidRPr="007937C2">
          <w:rPr>
            <w:rStyle w:val="Hyperlink"/>
          </w:rPr>
          <w:t>Global Influenza Strategy 2019-2030</w:t>
        </w:r>
      </w:hyperlink>
    </w:p>
  </w:footnote>
  <w:footnote w:id="6">
    <w:p w14:paraId="6B1F3E28" w14:textId="478CDA3E" w:rsidR="005D4A11" w:rsidRDefault="005D4A11">
      <w:pPr>
        <w:pStyle w:val="FootnoteText"/>
      </w:pPr>
      <w:r>
        <w:rPr>
          <w:rStyle w:val="FootnoteReference"/>
        </w:rPr>
        <w:footnoteRef/>
      </w:r>
      <w:r>
        <w:t xml:space="preserve"> </w:t>
      </w:r>
      <w:r w:rsidR="00CB7F5D">
        <w:t xml:space="preserve">Based on current clinical sensitivity/specificity of influenza </w:t>
      </w:r>
      <w:r w:rsidR="00C56057">
        <w:t>point-of-</w:t>
      </w:r>
      <w:r>
        <w:t xml:space="preserve">care </w:t>
      </w:r>
      <w:r w:rsidR="00CB7F5D">
        <w:t xml:space="preserve">tests </w:t>
      </w:r>
      <w:r>
        <w:t>included in the ARTG.</w:t>
      </w:r>
    </w:p>
  </w:footnote>
  <w:footnote w:id="7">
    <w:p w14:paraId="7AFB6C0E" w14:textId="5644CAAC" w:rsidR="004753D9" w:rsidRDefault="004753D9">
      <w:pPr>
        <w:pStyle w:val="FootnoteText"/>
      </w:pPr>
      <w:r>
        <w:rPr>
          <w:rStyle w:val="FootnoteReference"/>
        </w:rPr>
        <w:footnoteRef/>
      </w:r>
      <w:r>
        <w:t xml:space="preserve"> Public Health Laboratory Network - </w:t>
      </w:r>
      <w:hyperlink r:id="rId6" w:history="1">
        <w:r w:rsidR="00C13D7D">
          <w:rPr>
            <w:rStyle w:val="Hyperlink"/>
          </w:rPr>
          <w:t>i</w:t>
        </w:r>
        <w:r w:rsidRPr="004753D9">
          <w:rPr>
            <w:rStyle w:val="Hyperlink"/>
          </w:rPr>
          <w:t>nfluenza laboratory case definition</w:t>
        </w:r>
      </w:hyperlink>
    </w:p>
  </w:footnote>
  <w:footnote w:id="8">
    <w:p w14:paraId="20D4F000" w14:textId="2569AA24" w:rsidR="00985599" w:rsidRDefault="00985599">
      <w:pPr>
        <w:pStyle w:val="FootnoteText"/>
      </w:pPr>
      <w:r>
        <w:rPr>
          <w:rStyle w:val="FootnoteReference"/>
        </w:rPr>
        <w:footnoteRef/>
      </w:r>
      <w:r>
        <w:t xml:space="preserve"> European Union - </w:t>
      </w:r>
      <w:hyperlink r:id="rId7" w:anchor="page=24" w:history="1">
        <w:r w:rsidR="00C13D7D">
          <w:rPr>
            <w:rStyle w:val="Hyperlink"/>
          </w:rPr>
          <w:t>case definition of i</w:t>
        </w:r>
        <w:r w:rsidRPr="00985599">
          <w:rPr>
            <w:rStyle w:val="Hyperlink"/>
          </w:rPr>
          <w:t>nfluenza</w:t>
        </w:r>
      </w:hyperlink>
    </w:p>
  </w:footnote>
  <w:footnote w:id="9">
    <w:p w14:paraId="515EF2CC" w14:textId="0888E09D" w:rsidR="00A914D2" w:rsidRDefault="00A914D2">
      <w:pPr>
        <w:pStyle w:val="FootnoteText"/>
      </w:pPr>
      <w:r>
        <w:rPr>
          <w:rStyle w:val="FootnoteReference"/>
        </w:rPr>
        <w:footnoteRef/>
      </w:r>
      <w:r>
        <w:t xml:space="preserve"> WHO - </w:t>
      </w:r>
      <w:hyperlink r:id="rId8" w:history="1">
        <w:r w:rsidR="00C13D7D">
          <w:rPr>
            <w:rStyle w:val="Hyperlink"/>
          </w:rPr>
          <w:t>HIV a</w:t>
        </w:r>
        <w:r w:rsidRPr="00F403EE">
          <w:rPr>
            <w:rStyle w:val="Hyperlink"/>
          </w:rPr>
          <w:t>ssays: operational characteristics</w:t>
        </w:r>
      </w:hyperlink>
    </w:p>
  </w:footnote>
  <w:footnote w:id="10">
    <w:p w14:paraId="689FB073" w14:textId="5E19F1D7" w:rsidR="00776D16" w:rsidRDefault="00776D16">
      <w:pPr>
        <w:pStyle w:val="FootnoteText"/>
      </w:pPr>
      <w:r>
        <w:rPr>
          <w:rStyle w:val="FootnoteReference"/>
        </w:rPr>
        <w:footnoteRef/>
      </w:r>
      <w:r>
        <w:t xml:space="preserve"> TGA - </w:t>
      </w:r>
      <w:hyperlink r:id="rId9" w:history="1">
        <w:r w:rsidR="00C13D7D">
          <w:rPr>
            <w:rStyle w:val="Hyperlink"/>
          </w:rPr>
          <w:t>c</w:t>
        </w:r>
        <w:r w:rsidRPr="00E76EC5">
          <w:rPr>
            <w:rStyle w:val="Hyperlink"/>
          </w:rPr>
          <w:t>linical performance requirements and risk mitigation strategies for HIV tests</w:t>
        </w:r>
      </w:hyperlink>
    </w:p>
  </w:footnote>
  <w:footnote w:id="11">
    <w:p w14:paraId="7A18F565" w14:textId="77F0A451" w:rsidR="00A914D2" w:rsidRDefault="00A914D2">
      <w:pPr>
        <w:pStyle w:val="FootnoteText"/>
      </w:pPr>
      <w:r>
        <w:rPr>
          <w:rStyle w:val="FootnoteReference"/>
        </w:rPr>
        <w:footnoteRef/>
      </w:r>
      <w:r>
        <w:t xml:space="preserve"> WHO - </w:t>
      </w:r>
      <w:hyperlink r:id="rId10" w:history="1">
        <w:r w:rsidR="00C13D7D">
          <w:rPr>
            <w:rStyle w:val="Hyperlink"/>
          </w:rPr>
          <w:t>HIV a</w:t>
        </w:r>
        <w:r w:rsidRPr="00F403EE">
          <w:rPr>
            <w:rStyle w:val="Hyperlink"/>
          </w:rPr>
          <w:t>ssays: operational characteristics</w:t>
        </w:r>
      </w:hyperlink>
    </w:p>
  </w:footnote>
  <w:footnote w:id="12">
    <w:p w14:paraId="45676FAF" w14:textId="55204A35" w:rsidR="00776D16" w:rsidRDefault="00776D16">
      <w:pPr>
        <w:pStyle w:val="FootnoteText"/>
      </w:pPr>
      <w:r>
        <w:rPr>
          <w:rStyle w:val="FootnoteReference"/>
        </w:rPr>
        <w:footnoteRef/>
      </w:r>
      <w:r>
        <w:t xml:space="preserve"> TGA - </w:t>
      </w:r>
      <w:hyperlink r:id="rId11" w:history="1">
        <w:r w:rsidR="00C13D7D">
          <w:rPr>
            <w:rStyle w:val="Hyperlink"/>
          </w:rPr>
          <w:t>c</w:t>
        </w:r>
        <w:r w:rsidRPr="00E76EC5">
          <w:rPr>
            <w:rStyle w:val="Hyperlink"/>
          </w:rPr>
          <w:t>linical performance requirements and risk mitigation strategies for HIV tests</w:t>
        </w:r>
      </w:hyperlink>
    </w:p>
  </w:footnote>
  <w:footnote w:id="13">
    <w:p w14:paraId="17FDF0A0" w14:textId="64E0756D" w:rsidR="00190689" w:rsidRDefault="00190689">
      <w:pPr>
        <w:pStyle w:val="FootnoteText"/>
      </w:pPr>
      <w:r>
        <w:rPr>
          <w:rStyle w:val="FootnoteReference"/>
        </w:rPr>
        <w:footnoteRef/>
      </w:r>
      <w:r>
        <w:t xml:space="preserve"> </w:t>
      </w:r>
      <w:r w:rsidRPr="000952CD">
        <w:rPr>
          <w:lang w:eastAsia="en-AU"/>
        </w:rPr>
        <w:t>the literature review may include data for devices used for similar intended purposes as the device under assessment</w:t>
      </w:r>
    </w:p>
  </w:footnote>
  <w:footnote w:id="14">
    <w:p w14:paraId="1BBCFF51" w14:textId="03947F35" w:rsidR="0022104C" w:rsidRDefault="0022104C">
      <w:pPr>
        <w:pStyle w:val="FootnoteText"/>
      </w:pPr>
      <w:r>
        <w:rPr>
          <w:rStyle w:val="FootnoteReference"/>
        </w:rPr>
        <w:footnoteRef/>
      </w:r>
      <w:r>
        <w:t xml:space="preserve"> Centers for Disease Control and Prevention</w:t>
      </w:r>
      <w:r w:rsidR="00C13D7D">
        <w:t xml:space="preserve"> (CDC)</w:t>
      </w:r>
      <w:r>
        <w:t xml:space="preserve"> - </w:t>
      </w:r>
      <w:hyperlink r:id="rId12" w:anchor="Table1" w:history="1">
        <w:r w:rsidRPr="0022104C">
          <w:rPr>
            <w:rStyle w:val="Hyperlink"/>
          </w:rPr>
          <w:t>information for clinicians on rapid diagnostic testing for influenza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859D4" w14:textId="476596A8" w:rsidR="00A77452" w:rsidRDefault="00A77452" w:rsidP="00C3408D">
    <w:pPr>
      <w:pStyle w:val="Header"/>
    </w:pPr>
    <w:r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2D36A283" w14:textId="77777777" w:rsidTr="00F71E1E">
      <w:trPr>
        <w:trHeight w:hRule="exact" w:val="8845"/>
      </w:trPr>
      <w:tc>
        <w:tcPr>
          <w:tcW w:w="11964" w:type="dxa"/>
          <w:vAlign w:val="center"/>
        </w:tcPr>
        <w:p w14:paraId="78C15DC1" w14:textId="77777777" w:rsidR="00A77452" w:rsidRPr="002B29B2" w:rsidRDefault="00CC67E1" w:rsidP="006A2426">
          <w:pPr>
            <w:ind w:left="-57"/>
            <w:rPr>
              <w:noProof/>
            </w:rPr>
          </w:pPr>
          <w:sdt>
            <w:sdtPr>
              <w:rPr>
                <w:noProof/>
              </w:rPr>
              <w:id w:val="1926993388"/>
              <w:picture/>
            </w:sdtPr>
            <w:sdtEndPr/>
            <w:sdtContent>
              <w:r w:rsidR="00A77452" w:rsidRPr="00F71E1E">
                <w:rPr>
                  <w:noProof/>
                  <w:lang w:eastAsia="en-AU"/>
                </w:rPr>
                <w:drawing>
                  <wp:inline distT="0" distB="0" distL="0" distR="0" wp14:anchorId="6BCF1A31" wp14:editId="7D3327D1">
                    <wp:extent cx="7600444" cy="5534025"/>
                    <wp:effectExtent l="0" t="0" r="63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06148" cy="5538178"/>
                            </a:xfrm>
                            <a:prstGeom prst="rect">
                              <a:avLst/>
                            </a:prstGeom>
                            <a:noFill/>
                            <a:ln w="9525">
                              <a:noFill/>
                              <a:miter lim="800000"/>
                              <a:headEnd/>
                              <a:tailEnd/>
                            </a:ln>
                          </pic:spPr>
                        </pic:pic>
                      </a:graphicData>
                    </a:graphic>
                  </wp:inline>
                </w:drawing>
              </w:r>
            </w:sdtContent>
          </w:sdt>
        </w:p>
      </w:tc>
    </w:tr>
  </w:tbl>
  <w:p w14:paraId="2405368F" w14:textId="77777777" w:rsidR="00A77452" w:rsidRDefault="00D55652" w:rsidP="006D03E5">
    <w:pPr>
      <w:rPr>
        <w:noProof/>
      </w:rPr>
    </w:pPr>
    <w:r>
      <w:rPr>
        <w:noProof/>
        <w:lang w:eastAsia="en-AU"/>
      </w:rPr>
      <w:drawing>
        <wp:anchor distT="0" distB="0" distL="114300" distR="114300" simplePos="0" relativeHeight="251657728" behindDoc="0" locked="0" layoutInCell="1" allowOverlap="1" wp14:anchorId="66F569A1" wp14:editId="6FE221A6">
          <wp:simplePos x="0" y="0"/>
          <wp:positionH relativeFrom="column">
            <wp:posOffset>-186055</wp:posOffset>
          </wp:positionH>
          <wp:positionV relativeFrom="paragraph">
            <wp:posOffset>-58420</wp:posOffset>
          </wp:positionV>
          <wp:extent cx="3524250" cy="1209675"/>
          <wp:effectExtent l="19050" t="0" r="0" b="0"/>
          <wp:wrapTopAndBottom/>
          <wp:docPr id="7"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00A77452" w:rsidRPr="002B29B2">
      <w:rPr>
        <w:noProof/>
        <w:lang w:eastAsia="en-AU"/>
      </w:rPr>
      <w:drawing>
        <wp:anchor distT="0" distB="0" distL="114300" distR="114300" simplePos="0" relativeHeight="251656704" behindDoc="0" locked="0" layoutInCell="0" allowOverlap="1" wp14:anchorId="5131DE2E" wp14:editId="012574BD">
          <wp:simplePos x="0" y="0"/>
          <wp:positionH relativeFrom="page">
            <wp:posOffset>0</wp:posOffset>
          </wp:positionH>
          <wp:positionV relativeFrom="page">
            <wp:posOffset>4152900</wp:posOffset>
          </wp:positionV>
          <wp:extent cx="7581900" cy="2447925"/>
          <wp:effectExtent l="19050" t="0" r="0" b="0"/>
          <wp:wrapNone/>
          <wp:docPr id="9" name="Picture 9"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6936C" w14:textId="2A4639C1"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AA481"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B7142BF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D73634"/>
    <w:multiLevelType w:val="multilevel"/>
    <w:tmpl w:val="4E1E24E0"/>
    <w:lvl w:ilvl="0">
      <w:start w:val="8"/>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7BB1C0C"/>
    <w:multiLevelType w:val="hybridMultilevel"/>
    <w:tmpl w:val="4A74BA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955D7A"/>
    <w:multiLevelType w:val="hybridMultilevel"/>
    <w:tmpl w:val="A93AB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1B202F"/>
    <w:multiLevelType w:val="multilevel"/>
    <w:tmpl w:val="2CB2192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F834B9"/>
    <w:multiLevelType w:val="multilevel"/>
    <w:tmpl w:val="7C5C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3F1237"/>
    <w:multiLevelType w:val="multilevel"/>
    <w:tmpl w:val="DA3A86E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04102F"/>
    <w:multiLevelType w:val="hybridMultilevel"/>
    <w:tmpl w:val="38C68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1240F3F"/>
    <w:multiLevelType w:val="hybridMultilevel"/>
    <w:tmpl w:val="0A1E6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CA2DFE"/>
    <w:multiLevelType w:val="hybridMultilevel"/>
    <w:tmpl w:val="1BC83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4A2533"/>
    <w:multiLevelType w:val="hybridMultilevel"/>
    <w:tmpl w:val="824E5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45407C"/>
    <w:multiLevelType w:val="multilevel"/>
    <w:tmpl w:val="2CB2192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AFC442B"/>
    <w:multiLevelType w:val="hybridMultilevel"/>
    <w:tmpl w:val="606C6432"/>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9" w15:restartNumberingAfterBreak="0">
    <w:nsid w:val="68752650"/>
    <w:multiLevelType w:val="hybridMultilevel"/>
    <w:tmpl w:val="168423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8565FB8"/>
    <w:multiLevelType w:val="hybridMultilevel"/>
    <w:tmpl w:val="8250B6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4"/>
  </w:num>
  <w:num w:numId="9">
    <w:abstractNumId w:val="4"/>
  </w:num>
  <w:num w:numId="10">
    <w:abstractNumId w:val="4"/>
  </w:num>
  <w:num w:numId="11">
    <w:abstractNumId w:val="4"/>
  </w:num>
  <w:num w:numId="12">
    <w:abstractNumId w:val="6"/>
  </w:num>
  <w:num w:numId="13">
    <w:abstractNumId w:val="6"/>
  </w:num>
  <w:num w:numId="14">
    <w:abstractNumId w:val="6"/>
  </w:num>
  <w:num w:numId="15">
    <w:abstractNumId w:val="4"/>
  </w:num>
  <w:num w:numId="16">
    <w:abstractNumId w:val="4"/>
  </w:num>
  <w:num w:numId="17">
    <w:abstractNumId w:val="4"/>
  </w:num>
  <w:num w:numId="18">
    <w:abstractNumId w:val="5"/>
  </w:num>
  <w:num w:numId="19">
    <w:abstractNumId w:val="13"/>
  </w:num>
  <w:num w:numId="20">
    <w:abstractNumId w:val="17"/>
  </w:num>
  <w:num w:numId="21">
    <w:abstractNumId w:val="15"/>
  </w:num>
  <w:num w:numId="22">
    <w:abstractNumId w:val="16"/>
  </w:num>
  <w:num w:numId="23">
    <w:abstractNumId w:val="10"/>
  </w:num>
  <w:num w:numId="24">
    <w:abstractNumId w:val="12"/>
  </w:num>
  <w:num w:numId="25">
    <w:abstractNumId w:val="9"/>
  </w:num>
  <w:num w:numId="26">
    <w:abstractNumId w:val="20"/>
  </w:num>
  <w:num w:numId="27">
    <w:abstractNumId w:val="7"/>
  </w:num>
  <w:num w:numId="28">
    <w:abstractNumId w:val="19"/>
  </w:num>
  <w:num w:numId="29">
    <w:abstractNumId w:val="8"/>
  </w:num>
  <w:num w:numId="30">
    <w:abstractNumId w:val="18"/>
  </w:num>
  <w:num w:numId="31">
    <w:abstractNumId w:val="14"/>
  </w:num>
  <w:num w:numId="32">
    <w:abstractNumId w:val="6"/>
  </w:num>
  <w:num w:numId="33">
    <w:abstractNumId w:val="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1"/>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3249" fill="f" fillcolor="#c6d4e9" strokecolor="#002c47">
      <v:fill color="#c6d4e9" on="f"/>
      <v:stroke color="#002c47"/>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AA6"/>
    <w:rsid w:val="00002031"/>
    <w:rsid w:val="000040BA"/>
    <w:rsid w:val="00004734"/>
    <w:rsid w:val="00006B22"/>
    <w:rsid w:val="00010E4D"/>
    <w:rsid w:val="0001276A"/>
    <w:rsid w:val="00015193"/>
    <w:rsid w:val="00015DD2"/>
    <w:rsid w:val="00016BEB"/>
    <w:rsid w:val="00017EAB"/>
    <w:rsid w:val="000246AE"/>
    <w:rsid w:val="00025C67"/>
    <w:rsid w:val="0002606A"/>
    <w:rsid w:val="00027C48"/>
    <w:rsid w:val="00032FFB"/>
    <w:rsid w:val="00033B1D"/>
    <w:rsid w:val="00041D1A"/>
    <w:rsid w:val="0004780A"/>
    <w:rsid w:val="0005559E"/>
    <w:rsid w:val="00057A10"/>
    <w:rsid w:val="000626A1"/>
    <w:rsid w:val="000703AB"/>
    <w:rsid w:val="00072384"/>
    <w:rsid w:val="00077775"/>
    <w:rsid w:val="0008013C"/>
    <w:rsid w:val="0008448B"/>
    <w:rsid w:val="00084964"/>
    <w:rsid w:val="00090471"/>
    <w:rsid w:val="000934A6"/>
    <w:rsid w:val="0009377F"/>
    <w:rsid w:val="000A0373"/>
    <w:rsid w:val="000A18EA"/>
    <w:rsid w:val="000A2CCA"/>
    <w:rsid w:val="000A3543"/>
    <w:rsid w:val="000A4371"/>
    <w:rsid w:val="000B1D3B"/>
    <w:rsid w:val="000B30E5"/>
    <w:rsid w:val="000B3532"/>
    <w:rsid w:val="000B3A75"/>
    <w:rsid w:val="000B574E"/>
    <w:rsid w:val="000B5E4E"/>
    <w:rsid w:val="000B6CAE"/>
    <w:rsid w:val="000B7084"/>
    <w:rsid w:val="000B7591"/>
    <w:rsid w:val="000D0851"/>
    <w:rsid w:val="000D157F"/>
    <w:rsid w:val="000D391B"/>
    <w:rsid w:val="000D3D6D"/>
    <w:rsid w:val="000D4FC7"/>
    <w:rsid w:val="000D57DD"/>
    <w:rsid w:val="000D7EBC"/>
    <w:rsid w:val="000F0241"/>
    <w:rsid w:val="000F1C73"/>
    <w:rsid w:val="000F1D3F"/>
    <w:rsid w:val="000F4869"/>
    <w:rsid w:val="000F5176"/>
    <w:rsid w:val="000F5978"/>
    <w:rsid w:val="000F5B42"/>
    <w:rsid w:val="000F6E6F"/>
    <w:rsid w:val="001003F2"/>
    <w:rsid w:val="00102BDA"/>
    <w:rsid w:val="0010601F"/>
    <w:rsid w:val="00110EA5"/>
    <w:rsid w:val="0011143B"/>
    <w:rsid w:val="00115240"/>
    <w:rsid w:val="00115508"/>
    <w:rsid w:val="001210F1"/>
    <w:rsid w:val="00125091"/>
    <w:rsid w:val="00125318"/>
    <w:rsid w:val="00127396"/>
    <w:rsid w:val="001304DE"/>
    <w:rsid w:val="001305A2"/>
    <w:rsid w:val="00131D28"/>
    <w:rsid w:val="00133238"/>
    <w:rsid w:val="00133829"/>
    <w:rsid w:val="00140FE3"/>
    <w:rsid w:val="0014197B"/>
    <w:rsid w:val="0014247A"/>
    <w:rsid w:val="001447CD"/>
    <w:rsid w:val="001478D4"/>
    <w:rsid w:val="001500F7"/>
    <w:rsid w:val="001516B1"/>
    <w:rsid w:val="00151B95"/>
    <w:rsid w:val="001525B4"/>
    <w:rsid w:val="00156316"/>
    <w:rsid w:val="00161EFA"/>
    <w:rsid w:val="001623A2"/>
    <w:rsid w:val="001628F3"/>
    <w:rsid w:val="00165389"/>
    <w:rsid w:val="00165DC3"/>
    <w:rsid w:val="001713A3"/>
    <w:rsid w:val="00171E04"/>
    <w:rsid w:val="00172A15"/>
    <w:rsid w:val="0017693F"/>
    <w:rsid w:val="001778B0"/>
    <w:rsid w:val="0018110E"/>
    <w:rsid w:val="00181684"/>
    <w:rsid w:val="00182BDF"/>
    <w:rsid w:val="001843C6"/>
    <w:rsid w:val="001850E0"/>
    <w:rsid w:val="001852C0"/>
    <w:rsid w:val="0018660B"/>
    <w:rsid w:val="00187350"/>
    <w:rsid w:val="00190689"/>
    <w:rsid w:val="00192167"/>
    <w:rsid w:val="00192AAA"/>
    <w:rsid w:val="001A3190"/>
    <w:rsid w:val="001A525F"/>
    <w:rsid w:val="001B09F9"/>
    <w:rsid w:val="001B6448"/>
    <w:rsid w:val="001C2113"/>
    <w:rsid w:val="001C3A9E"/>
    <w:rsid w:val="001C7FB1"/>
    <w:rsid w:val="001D1B90"/>
    <w:rsid w:val="001D7224"/>
    <w:rsid w:val="001E07CF"/>
    <w:rsid w:val="001E2357"/>
    <w:rsid w:val="001E275A"/>
    <w:rsid w:val="001E59F1"/>
    <w:rsid w:val="001F0A18"/>
    <w:rsid w:val="001F124F"/>
    <w:rsid w:val="001F207F"/>
    <w:rsid w:val="001F20F9"/>
    <w:rsid w:val="001F2FE9"/>
    <w:rsid w:val="001F49EB"/>
    <w:rsid w:val="001F5264"/>
    <w:rsid w:val="001F5A59"/>
    <w:rsid w:val="001F6CBA"/>
    <w:rsid w:val="001F7CA0"/>
    <w:rsid w:val="00201D4E"/>
    <w:rsid w:val="002131E8"/>
    <w:rsid w:val="00215D48"/>
    <w:rsid w:val="00217091"/>
    <w:rsid w:val="00220B8A"/>
    <w:rsid w:val="0022104C"/>
    <w:rsid w:val="002213C9"/>
    <w:rsid w:val="002257F3"/>
    <w:rsid w:val="00231E8D"/>
    <w:rsid w:val="00233456"/>
    <w:rsid w:val="002339A5"/>
    <w:rsid w:val="00237691"/>
    <w:rsid w:val="00242E9F"/>
    <w:rsid w:val="00247E16"/>
    <w:rsid w:val="00247FB9"/>
    <w:rsid w:val="002522A4"/>
    <w:rsid w:val="00257138"/>
    <w:rsid w:val="00257848"/>
    <w:rsid w:val="00260C24"/>
    <w:rsid w:val="0026536F"/>
    <w:rsid w:val="002674E6"/>
    <w:rsid w:val="0027084A"/>
    <w:rsid w:val="00283AD7"/>
    <w:rsid w:val="00286434"/>
    <w:rsid w:val="00286C59"/>
    <w:rsid w:val="0029069E"/>
    <w:rsid w:val="00290795"/>
    <w:rsid w:val="00292553"/>
    <w:rsid w:val="002942D1"/>
    <w:rsid w:val="00295E64"/>
    <w:rsid w:val="002A0556"/>
    <w:rsid w:val="002A592C"/>
    <w:rsid w:val="002A5B3A"/>
    <w:rsid w:val="002B1638"/>
    <w:rsid w:val="002B25CB"/>
    <w:rsid w:val="002B29B2"/>
    <w:rsid w:val="002C376C"/>
    <w:rsid w:val="002C3A7A"/>
    <w:rsid w:val="002C6E9C"/>
    <w:rsid w:val="002D1571"/>
    <w:rsid w:val="002D2885"/>
    <w:rsid w:val="002D335B"/>
    <w:rsid w:val="002E193A"/>
    <w:rsid w:val="002E364F"/>
    <w:rsid w:val="002E4C9A"/>
    <w:rsid w:val="002E4D2B"/>
    <w:rsid w:val="002E7BD2"/>
    <w:rsid w:val="002F11F8"/>
    <w:rsid w:val="002F260A"/>
    <w:rsid w:val="002F3B5C"/>
    <w:rsid w:val="002F3F56"/>
    <w:rsid w:val="002F44B5"/>
    <w:rsid w:val="002F5447"/>
    <w:rsid w:val="00300350"/>
    <w:rsid w:val="00301FA3"/>
    <w:rsid w:val="003108DD"/>
    <w:rsid w:val="00311AC0"/>
    <w:rsid w:val="0031499E"/>
    <w:rsid w:val="00315BA9"/>
    <w:rsid w:val="00320551"/>
    <w:rsid w:val="00323F14"/>
    <w:rsid w:val="003252DE"/>
    <w:rsid w:val="00330125"/>
    <w:rsid w:val="00331DBB"/>
    <w:rsid w:val="00335C3B"/>
    <w:rsid w:val="00335EF9"/>
    <w:rsid w:val="003361D1"/>
    <w:rsid w:val="00350236"/>
    <w:rsid w:val="0035146C"/>
    <w:rsid w:val="003521E8"/>
    <w:rsid w:val="00353D91"/>
    <w:rsid w:val="00357700"/>
    <w:rsid w:val="0036361E"/>
    <w:rsid w:val="003664BF"/>
    <w:rsid w:val="00366AFB"/>
    <w:rsid w:val="003728F3"/>
    <w:rsid w:val="0037657D"/>
    <w:rsid w:val="00376793"/>
    <w:rsid w:val="0037761F"/>
    <w:rsid w:val="003843F6"/>
    <w:rsid w:val="00390900"/>
    <w:rsid w:val="003922B5"/>
    <w:rsid w:val="00393398"/>
    <w:rsid w:val="00394FDF"/>
    <w:rsid w:val="003A2DDF"/>
    <w:rsid w:val="003B362C"/>
    <w:rsid w:val="003B6465"/>
    <w:rsid w:val="003B7E39"/>
    <w:rsid w:val="003C58DC"/>
    <w:rsid w:val="003D3B63"/>
    <w:rsid w:val="003D5953"/>
    <w:rsid w:val="003D6B56"/>
    <w:rsid w:val="003E0A89"/>
    <w:rsid w:val="003E3208"/>
    <w:rsid w:val="003F0B04"/>
    <w:rsid w:val="003F2E95"/>
    <w:rsid w:val="0040134E"/>
    <w:rsid w:val="00404B57"/>
    <w:rsid w:val="00406DB9"/>
    <w:rsid w:val="00412D75"/>
    <w:rsid w:val="004157EB"/>
    <w:rsid w:val="00416BCB"/>
    <w:rsid w:val="00423CF3"/>
    <w:rsid w:val="004256B9"/>
    <w:rsid w:val="0043053B"/>
    <w:rsid w:val="00431BFF"/>
    <w:rsid w:val="00432BD6"/>
    <w:rsid w:val="00435D0C"/>
    <w:rsid w:val="00440A2D"/>
    <w:rsid w:val="00442DA9"/>
    <w:rsid w:val="0045040C"/>
    <w:rsid w:val="004564A7"/>
    <w:rsid w:val="00456D2A"/>
    <w:rsid w:val="004617BF"/>
    <w:rsid w:val="00462539"/>
    <w:rsid w:val="00464E05"/>
    <w:rsid w:val="00473864"/>
    <w:rsid w:val="004753D9"/>
    <w:rsid w:val="004770CB"/>
    <w:rsid w:val="00483D37"/>
    <w:rsid w:val="00485FC1"/>
    <w:rsid w:val="004923FF"/>
    <w:rsid w:val="004927EC"/>
    <w:rsid w:val="00494CA4"/>
    <w:rsid w:val="00494E60"/>
    <w:rsid w:val="00496EAB"/>
    <w:rsid w:val="0049734C"/>
    <w:rsid w:val="004A3084"/>
    <w:rsid w:val="004A4A77"/>
    <w:rsid w:val="004A65F2"/>
    <w:rsid w:val="004B2D6B"/>
    <w:rsid w:val="004B3D00"/>
    <w:rsid w:val="004B7B76"/>
    <w:rsid w:val="004C0070"/>
    <w:rsid w:val="004C100A"/>
    <w:rsid w:val="004C11AA"/>
    <w:rsid w:val="004C180F"/>
    <w:rsid w:val="004C1D6E"/>
    <w:rsid w:val="004C4096"/>
    <w:rsid w:val="004C4FC5"/>
    <w:rsid w:val="004C6E9B"/>
    <w:rsid w:val="004D362A"/>
    <w:rsid w:val="004D51A6"/>
    <w:rsid w:val="004D60C5"/>
    <w:rsid w:val="004D7657"/>
    <w:rsid w:val="004F0F38"/>
    <w:rsid w:val="004F1240"/>
    <w:rsid w:val="004F40D8"/>
    <w:rsid w:val="004F484B"/>
    <w:rsid w:val="00501921"/>
    <w:rsid w:val="00505433"/>
    <w:rsid w:val="00505B62"/>
    <w:rsid w:val="00512F14"/>
    <w:rsid w:val="00523FB1"/>
    <w:rsid w:val="00530053"/>
    <w:rsid w:val="00530354"/>
    <w:rsid w:val="00535D83"/>
    <w:rsid w:val="0054053C"/>
    <w:rsid w:val="00541FD8"/>
    <w:rsid w:val="005423EF"/>
    <w:rsid w:val="005434C6"/>
    <w:rsid w:val="00543B39"/>
    <w:rsid w:val="0054704F"/>
    <w:rsid w:val="00550096"/>
    <w:rsid w:val="00555AFF"/>
    <w:rsid w:val="0055653F"/>
    <w:rsid w:val="00557FF9"/>
    <w:rsid w:val="00560037"/>
    <w:rsid w:val="0056474C"/>
    <w:rsid w:val="005674C3"/>
    <w:rsid w:val="0056788E"/>
    <w:rsid w:val="00567A2E"/>
    <w:rsid w:val="00573AB5"/>
    <w:rsid w:val="0057564C"/>
    <w:rsid w:val="00576378"/>
    <w:rsid w:val="00576FFD"/>
    <w:rsid w:val="00577E38"/>
    <w:rsid w:val="005804D6"/>
    <w:rsid w:val="00582615"/>
    <w:rsid w:val="00584285"/>
    <w:rsid w:val="00585322"/>
    <w:rsid w:val="00585BEF"/>
    <w:rsid w:val="005872BE"/>
    <w:rsid w:val="0059244B"/>
    <w:rsid w:val="0059345B"/>
    <w:rsid w:val="00593AD1"/>
    <w:rsid w:val="00594EF4"/>
    <w:rsid w:val="00597B23"/>
    <w:rsid w:val="005A1131"/>
    <w:rsid w:val="005A1EC8"/>
    <w:rsid w:val="005A4238"/>
    <w:rsid w:val="005A5236"/>
    <w:rsid w:val="005A7399"/>
    <w:rsid w:val="005C46FE"/>
    <w:rsid w:val="005C5570"/>
    <w:rsid w:val="005C5FD4"/>
    <w:rsid w:val="005C79A4"/>
    <w:rsid w:val="005D0DA9"/>
    <w:rsid w:val="005D1689"/>
    <w:rsid w:val="005D248B"/>
    <w:rsid w:val="005D4A11"/>
    <w:rsid w:val="005D5442"/>
    <w:rsid w:val="005D55A3"/>
    <w:rsid w:val="005D59DB"/>
    <w:rsid w:val="005E2BFA"/>
    <w:rsid w:val="005E45E6"/>
    <w:rsid w:val="005E5568"/>
    <w:rsid w:val="005F458A"/>
    <w:rsid w:val="005F5830"/>
    <w:rsid w:val="00610D73"/>
    <w:rsid w:val="0062025F"/>
    <w:rsid w:val="00625015"/>
    <w:rsid w:val="00630F6C"/>
    <w:rsid w:val="00635821"/>
    <w:rsid w:val="00637684"/>
    <w:rsid w:val="00640E6C"/>
    <w:rsid w:val="00640FC3"/>
    <w:rsid w:val="00642020"/>
    <w:rsid w:val="0065200D"/>
    <w:rsid w:val="0065337B"/>
    <w:rsid w:val="0065419D"/>
    <w:rsid w:val="006604D8"/>
    <w:rsid w:val="00664A5B"/>
    <w:rsid w:val="00667942"/>
    <w:rsid w:val="006702CF"/>
    <w:rsid w:val="00671635"/>
    <w:rsid w:val="00672108"/>
    <w:rsid w:val="00680C08"/>
    <w:rsid w:val="0068741A"/>
    <w:rsid w:val="006931B1"/>
    <w:rsid w:val="006A15C0"/>
    <w:rsid w:val="006A1997"/>
    <w:rsid w:val="006A2426"/>
    <w:rsid w:val="006A2A31"/>
    <w:rsid w:val="006A38E4"/>
    <w:rsid w:val="006B49C5"/>
    <w:rsid w:val="006B4D4F"/>
    <w:rsid w:val="006C1F3B"/>
    <w:rsid w:val="006C3E2A"/>
    <w:rsid w:val="006C41BE"/>
    <w:rsid w:val="006C43B5"/>
    <w:rsid w:val="006C525B"/>
    <w:rsid w:val="006C642F"/>
    <w:rsid w:val="006D03E5"/>
    <w:rsid w:val="006D5D3E"/>
    <w:rsid w:val="006E0171"/>
    <w:rsid w:val="006E08B3"/>
    <w:rsid w:val="006E3492"/>
    <w:rsid w:val="006E4E00"/>
    <w:rsid w:val="006F1604"/>
    <w:rsid w:val="006F1A06"/>
    <w:rsid w:val="006F2370"/>
    <w:rsid w:val="006F3339"/>
    <w:rsid w:val="006F46EA"/>
    <w:rsid w:val="006F4B73"/>
    <w:rsid w:val="006F572E"/>
    <w:rsid w:val="006F6284"/>
    <w:rsid w:val="006F652C"/>
    <w:rsid w:val="006F6C81"/>
    <w:rsid w:val="007046D6"/>
    <w:rsid w:val="00705DB0"/>
    <w:rsid w:val="007060CD"/>
    <w:rsid w:val="00706634"/>
    <w:rsid w:val="00706AFE"/>
    <w:rsid w:val="007152F3"/>
    <w:rsid w:val="00716EF6"/>
    <w:rsid w:val="00723BF8"/>
    <w:rsid w:val="0072486A"/>
    <w:rsid w:val="00724E0E"/>
    <w:rsid w:val="00727E12"/>
    <w:rsid w:val="00731483"/>
    <w:rsid w:val="00732FEE"/>
    <w:rsid w:val="00735E27"/>
    <w:rsid w:val="0074253D"/>
    <w:rsid w:val="0074429B"/>
    <w:rsid w:val="0074530C"/>
    <w:rsid w:val="007477F8"/>
    <w:rsid w:val="00751EBD"/>
    <w:rsid w:val="00753687"/>
    <w:rsid w:val="00753A56"/>
    <w:rsid w:val="0075524A"/>
    <w:rsid w:val="007603C0"/>
    <w:rsid w:val="007615BC"/>
    <w:rsid w:val="007622D7"/>
    <w:rsid w:val="00762F05"/>
    <w:rsid w:val="00764FC4"/>
    <w:rsid w:val="007652FF"/>
    <w:rsid w:val="00771329"/>
    <w:rsid w:val="00773EF7"/>
    <w:rsid w:val="00774E1D"/>
    <w:rsid w:val="0077675A"/>
    <w:rsid w:val="00776D16"/>
    <w:rsid w:val="00777C28"/>
    <w:rsid w:val="00780355"/>
    <w:rsid w:val="0078443D"/>
    <w:rsid w:val="00785721"/>
    <w:rsid w:val="00786DB9"/>
    <w:rsid w:val="007937C2"/>
    <w:rsid w:val="00793A59"/>
    <w:rsid w:val="00795DC5"/>
    <w:rsid w:val="007A0E2A"/>
    <w:rsid w:val="007A2162"/>
    <w:rsid w:val="007B3C16"/>
    <w:rsid w:val="007C0F3D"/>
    <w:rsid w:val="007C1AF7"/>
    <w:rsid w:val="007C3559"/>
    <w:rsid w:val="007C47A5"/>
    <w:rsid w:val="007D2AAF"/>
    <w:rsid w:val="007D3157"/>
    <w:rsid w:val="007E0E77"/>
    <w:rsid w:val="007E175B"/>
    <w:rsid w:val="007F17AF"/>
    <w:rsid w:val="007F2054"/>
    <w:rsid w:val="008141EE"/>
    <w:rsid w:val="0081503F"/>
    <w:rsid w:val="00815D2E"/>
    <w:rsid w:val="00816164"/>
    <w:rsid w:val="00821776"/>
    <w:rsid w:val="00825B81"/>
    <w:rsid w:val="00826007"/>
    <w:rsid w:val="008320C3"/>
    <w:rsid w:val="008321F5"/>
    <w:rsid w:val="00832369"/>
    <w:rsid w:val="00834660"/>
    <w:rsid w:val="00835F16"/>
    <w:rsid w:val="00836BC2"/>
    <w:rsid w:val="00842DCF"/>
    <w:rsid w:val="00850F60"/>
    <w:rsid w:val="00850FBB"/>
    <w:rsid w:val="00852868"/>
    <w:rsid w:val="0085641B"/>
    <w:rsid w:val="00856BD0"/>
    <w:rsid w:val="00857136"/>
    <w:rsid w:val="008612BC"/>
    <w:rsid w:val="00863957"/>
    <w:rsid w:val="008639FD"/>
    <w:rsid w:val="0086652A"/>
    <w:rsid w:val="00896018"/>
    <w:rsid w:val="008A2B9D"/>
    <w:rsid w:val="008A4058"/>
    <w:rsid w:val="008A5E0B"/>
    <w:rsid w:val="008A6D59"/>
    <w:rsid w:val="008A7095"/>
    <w:rsid w:val="008A7F9C"/>
    <w:rsid w:val="008B1A25"/>
    <w:rsid w:val="008B4B03"/>
    <w:rsid w:val="008B553E"/>
    <w:rsid w:val="008B596F"/>
    <w:rsid w:val="008B65FB"/>
    <w:rsid w:val="008C159F"/>
    <w:rsid w:val="008C1623"/>
    <w:rsid w:val="008C2B2C"/>
    <w:rsid w:val="008C4D61"/>
    <w:rsid w:val="008C51A9"/>
    <w:rsid w:val="008C63C5"/>
    <w:rsid w:val="008C7541"/>
    <w:rsid w:val="008D618E"/>
    <w:rsid w:val="008D798F"/>
    <w:rsid w:val="008E3C43"/>
    <w:rsid w:val="008E3FF2"/>
    <w:rsid w:val="008F1CCC"/>
    <w:rsid w:val="008F2967"/>
    <w:rsid w:val="008F2DB8"/>
    <w:rsid w:val="008F6230"/>
    <w:rsid w:val="008F6EF7"/>
    <w:rsid w:val="009074DB"/>
    <w:rsid w:val="00920330"/>
    <w:rsid w:val="00920FF4"/>
    <w:rsid w:val="009219D7"/>
    <w:rsid w:val="00922D53"/>
    <w:rsid w:val="00923B70"/>
    <w:rsid w:val="00925A20"/>
    <w:rsid w:val="0092600B"/>
    <w:rsid w:val="00926B0E"/>
    <w:rsid w:val="00930237"/>
    <w:rsid w:val="00930C79"/>
    <w:rsid w:val="00932BBB"/>
    <w:rsid w:val="0094061B"/>
    <w:rsid w:val="00942DEB"/>
    <w:rsid w:val="00947BE9"/>
    <w:rsid w:val="0096319D"/>
    <w:rsid w:val="00963C08"/>
    <w:rsid w:val="00964F68"/>
    <w:rsid w:val="009668C3"/>
    <w:rsid w:val="009707B8"/>
    <w:rsid w:val="00974DBB"/>
    <w:rsid w:val="00975F31"/>
    <w:rsid w:val="00985599"/>
    <w:rsid w:val="00987EEC"/>
    <w:rsid w:val="0099110E"/>
    <w:rsid w:val="00994189"/>
    <w:rsid w:val="009A11E1"/>
    <w:rsid w:val="009A293F"/>
    <w:rsid w:val="009A4301"/>
    <w:rsid w:val="009A4CED"/>
    <w:rsid w:val="009A5BC7"/>
    <w:rsid w:val="009B12DF"/>
    <w:rsid w:val="009B1D12"/>
    <w:rsid w:val="009B27C2"/>
    <w:rsid w:val="009B3475"/>
    <w:rsid w:val="009B416B"/>
    <w:rsid w:val="009B51B4"/>
    <w:rsid w:val="009B5343"/>
    <w:rsid w:val="009B68A6"/>
    <w:rsid w:val="009C0C91"/>
    <w:rsid w:val="009C4BD5"/>
    <w:rsid w:val="009D031E"/>
    <w:rsid w:val="009D059A"/>
    <w:rsid w:val="009D2E04"/>
    <w:rsid w:val="009D7B77"/>
    <w:rsid w:val="009E0BB0"/>
    <w:rsid w:val="009E3FBB"/>
    <w:rsid w:val="009E45E7"/>
    <w:rsid w:val="009F018D"/>
    <w:rsid w:val="009F0B33"/>
    <w:rsid w:val="00A011A9"/>
    <w:rsid w:val="00A03DA6"/>
    <w:rsid w:val="00A071E4"/>
    <w:rsid w:val="00A10726"/>
    <w:rsid w:val="00A1235B"/>
    <w:rsid w:val="00A14DF7"/>
    <w:rsid w:val="00A20358"/>
    <w:rsid w:val="00A21C36"/>
    <w:rsid w:val="00A26E24"/>
    <w:rsid w:val="00A3246D"/>
    <w:rsid w:val="00A35312"/>
    <w:rsid w:val="00A3609D"/>
    <w:rsid w:val="00A36FA7"/>
    <w:rsid w:val="00A4235C"/>
    <w:rsid w:val="00A457A6"/>
    <w:rsid w:val="00A461E4"/>
    <w:rsid w:val="00A475B7"/>
    <w:rsid w:val="00A47AF7"/>
    <w:rsid w:val="00A47C3E"/>
    <w:rsid w:val="00A50226"/>
    <w:rsid w:val="00A50BBC"/>
    <w:rsid w:val="00A60BAD"/>
    <w:rsid w:val="00A644D1"/>
    <w:rsid w:val="00A73A8D"/>
    <w:rsid w:val="00A77452"/>
    <w:rsid w:val="00A87334"/>
    <w:rsid w:val="00A914D2"/>
    <w:rsid w:val="00A96EF9"/>
    <w:rsid w:val="00AA14CE"/>
    <w:rsid w:val="00AA2D0B"/>
    <w:rsid w:val="00AA3EB9"/>
    <w:rsid w:val="00AA5187"/>
    <w:rsid w:val="00AA5957"/>
    <w:rsid w:val="00AA683A"/>
    <w:rsid w:val="00AC2B40"/>
    <w:rsid w:val="00AC2BB2"/>
    <w:rsid w:val="00AC2C3C"/>
    <w:rsid w:val="00AC3BD9"/>
    <w:rsid w:val="00AC3D45"/>
    <w:rsid w:val="00AC41EC"/>
    <w:rsid w:val="00AD3E26"/>
    <w:rsid w:val="00AD5831"/>
    <w:rsid w:val="00AD713B"/>
    <w:rsid w:val="00AE5AB2"/>
    <w:rsid w:val="00AE65EB"/>
    <w:rsid w:val="00AE6C43"/>
    <w:rsid w:val="00AF1D94"/>
    <w:rsid w:val="00AF60C5"/>
    <w:rsid w:val="00AF69CB"/>
    <w:rsid w:val="00B009C6"/>
    <w:rsid w:val="00B00ACB"/>
    <w:rsid w:val="00B01548"/>
    <w:rsid w:val="00B01551"/>
    <w:rsid w:val="00B034C8"/>
    <w:rsid w:val="00B10ADB"/>
    <w:rsid w:val="00B11F60"/>
    <w:rsid w:val="00B147DA"/>
    <w:rsid w:val="00B15FE5"/>
    <w:rsid w:val="00B21D29"/>
    <w:rsid w:val="00B21FC5"/>
    <w:rsid w:val="00B23323"/>
    <w:rsid w:val="00B24FF5"/>
    <w:rsid w:val="00B25034"/>
    <w:rsid w:val="00B262F5"/>
    <w:rsid w:val="00B33863"/>
    <w:rsid w:val="00B37D17"/>
    <w:rsid w:val="00B4175E"/>
    <w:rsid w:val="00B510E1"/>
    <w:rsid w:val="00B54C25"/>
    <w:rsid w:val="00B560C9"/>
    <w:rsid w:val="00B563C1"/>
    <w:rsid w:val="00B70836"/>
    <w:rsid w:val="00B73164"/>
    <w:rsid w:val="00B76B91"/>
    <w:rsid w:val="00B87BB7"/>
    <w:rsid w:val="00B946A9"/>
    <w:rsid w:val="00B9484C"/>
    <w:rsid w:val="00B94CFB"/>
    <w:rsid w:val="00B95066"/>
    <w:rsid w:val="00BA0DFC"/>
    <w:rsid w:val="00BC1CAB"/>
    <w:rsid w:val="00BC622A"/>
    <w:rsid w:val="00BD0B28"/>
    <w:rsid w:val="00BE0101"/>
    <w:rsid w:val="00BE0A78"/>
    <w:rsid w:val="00BE243C"/>
    <w:rsid w:val="00BE2D33"/>
    <w:rsid w:val="00BE334B"/>
    <w:rsid w:val="00BE33C6"/>
    <w:rsid w:val="00BE519A"/>
    <w:rsid w:val="00BE79F0"/>
    <w:rsid w:val="00BF046D"/>
    <w:rsid w:val="00BF2777"/>
    <w:rsid w:val="00BF3F3D"/>
    <w:rsid w:val="00BF43F2"/>
    <w:rsid w:val="00BF5D04"/>
    <w:rsid w:val="00BF66E9"/>
    <w:rsid w:val="00C00137"/>
    <w:rsid w:val="00C00CDF"/>
    <w:rsid w:val="00C125BA"/>
    <w:rsid w:val="00C12FA0"/>
    <w:rsid w:val="00C13563"/>
    <w:rsid w:val="00C13D7D"/>
    <w:rsid w:val="00C14835"/>
    <w:rsid w:val="00C1617C"/>
    <w:rsid w:val="00C2115A"/>
    <w:rsid w:val="00C218E4"/>
    <w:rsid w:val="00C23477"/>
    <w:rsid w:val="00C2364A"/>
    <w:rsid w:val="00C24FC6"/>
    <w:rsid w:val="00C3408D"/>
    <w:rsid w:val="00C404A6"/>
    <w:rsid w:val="00C40A36"/>
    <w:rsid w:val="00C42C5A"/>
    <w:rsid w:val="00C44419"/>
    <w:rsid w:val="00C45E7B"/>
    <w:rsid w:val="00C471B1"/>
    <w:rsid w:val="00C4743E"/>
    <w:rsid w:val="00C47CEC"/>
    <w:rsid w:val="00C50E5C"/>
    <w:rsid w:val="00C5180B"/>
    <w:rsid w:val="00C56057"/>
    <w:rsid w:val="00C6316B"/>
    <w:rsid w:val="00C634A9"/>
    <w:rsid w:val="00C71313"/>
    <w:rsid w:val="00C7475B"/>
    <w:rsid w:val="00C76805"/>
    <w:rsid w:val="00C772FF"/>
    <w:rsid w:val="00C801AF"/>
    <w:rsid w:val="00C80256"/>
    <w:rsid w:val="00C80C47"/>
    <w:rsid w:val="00C81639"/>
    <w:rsid w:val="00C85953"/>
    <w:rsid w:val="00C85B3F"/>
    <w:rsid w:val="00C87DC4"/>
    <w:rsid w:val="00C9102F"/>
    <w:rsid w:val="00C9111A"/>
    <w:rsid w:val="00C92E8A"/>
    <w:rsid w:val="00C93259"/>
    <w:rsid w:val="00C9399C"/>
    <w:rsid w:val="00CA2721"/>
    <w:rsid w:val="00CA4290"/>
    <w:rsid w:val="00CA656C"/>
    <w:rsid w:val="00CA7F9C"/>
    <w:rsid w:val="00CB6BBE"/>
    <w:rsid w:val="00CB6BC0"/>
    <w:rsid w:val="00CB73C5"/>
    <w:rsid w:val="00CB77A0"/>
    <w:rsid w:val="00CB7F5D"/>
    <w:rsid w:val="00CC0813"/>
    <w:rsid w:val="00CC1B7C"/>
    <w:rsid w:val="00CC5AFF"/>
    <w:rsid w:val="00CC67E1"/>
    <w:rsid w:val="00CC727F"/>
    <w:rsid w:val="00CD15D9"/>
    <w:rsid w:val="00CD1F02"/>
    <w:rsid w:val="00CD30CC"/>
    <w:rsid w:val="00CD6FCC"/>
    <w:rsid w:val="00CE20BD"/>
    <w:rsid w:val="00CE5067"/>
    <w:rsid w:val="00CE56B3"/>
    <w:rsid w:val="00CE5BB0"/>
    <w:rsid w:val="00CF15C3"/>
    <w:rsid w:val="00CF2B6F"/>
    <w:rsid w:val="00CF4791"/>
    <w:rsid w:val="00CF5AA6"/>
    <w:rsid w:val="00D017ED"/>
    <w:rsid w:val="00D11F5C"/>
    <w:rsid w:val="00D145CB"/>
    <w:rsid w:val="00D14B22"/>
    <w:rsid w:val="00D153B1"/>
    <w:rsid w:val="00D20C54"/>
    <w:rsid w:val="00D224FE"/>
    <w:rsid w:val="00D22948"/>
    <w:rsid w:val="00D229BA"/>
    <w:rsid w:val="00D25F22"/>
    <w:rsid w:val="00D27857"/>
    <w:rsid w:val="00D30526"/>
    <w:rsid w:val="00D3646E"/>
    <w:rsid w:val="00D4019E"/>
    <w:rsid w:val="00D51207"/>
    <w:rsid w:val="00D53DF9"/>
    <w:rsid w:val="00D55652"/>
    <w:rsid w:val="00D558E7"/>
    <w:rsid w:val="00D64401"/>
    <w:rsid w:val="00D6493E"/>
    <w:rsid w:val="00D76F4C"/>
    <w:rsid w:val="00D775CB"/>
    <w:rsid w:val="00D81E09"/>
    <w:rsid w:val="00D82A62"/>
    <w:rsid w:val="00D85417"/>
    <w:rsid w:val="00D867D7"/>
    <w:rsid w:val="00D90804"/>
    <w:rsid w:val="00D9141E"/>
    <w:rsid w:val="00D97D3D"/>
    <w:rsid w:val="00DA0D6C"/>
    <w:rsid w:val="00DA1124"/>
    <w:rsid w:val="00DA24C7"/>
    <w:rsid w:val="00DA381C"/>
    <w:rsid w:val="00DA42EF"/>
    <w:rsid w:val="00DA4CD9"/>
    <w:rsid w:val="00DA7D2E"/>
    <w:rsid w:val="00DB5EFC"/>
    <w:rsid w:val="00DB664F"/>
    <w:rsid w:val="00DC38A6"/>
    <w:rsid w:val="00DD1EBB"/>
    <w:rsid w:val="00DD5E26"/>
    <w:rsid w:val="00DD75A3"/>
    <w:rsid w:val="00DD76DE"/>
    <w:rsid w:val="00DE02AE"/>
    <w:rsid w:val="00DE6A0C"/>
    <w:rsid w:val="00DE6C04"/>
    <w:rsid w:val="00DF1D7F"/>
    <w:rsid w:val="00DF45B9"/>
    <w:rsid w:val="00DF6BE8"/>
    <w:rsid w:val="00E00D51"/>
    <w:rsid w:val="00E02FB4"/>
    <w:rsid w:val="00E1198B"/>
    <w:rsid w:val="00E11E4D"/>
    <w:rsid w:val="00E1340C"/>
    <w:rsid w:val="00E1665E"/>
    <w:rsid w:val="00E177F4"/>
    <w:rsid w:val="00E20571"/>
    <w:rsid w:val="00E21651"/>
    <w:rsid w:val="00E22953"/>
    <w:rsid w:val="00E235F7"/>
    <w:rsid w:val="00E239D4"/>
    <w:rsid w:val="00E26A91"/>
    <w:rsid w:val="00E30C88"/>
    <w:rsid w:val="00E32A5C"/>
    <w:rsid w:val="00E40B22"/>
    <w:rsid w:val="00E4588F"/>
    <w:rsid w:val="00E46DA3"/>
    <w:rsid w:val="00E47660"/>
    <w:rsid w:val="00E67774"/>
    <w:rsid w:val="00E76BA8"/>
    <w:rsid w:val="00E8137B"/>
    <w:rsid w:val="00EA16DE"/>
    <w:rsid w:val="00EA1F09"/>
    <w:rsid w:val="00EA406B"/>
    <w:rsid w:val="00EA5713"/>
    <w:rsid w:val="00EA7E1D"/>
    <w:rsid w:val="00EB0798"/>
    <w:rsid w:val="00EB40AD"/>
    <w:rsid w:val="00EB52E4"/>
    <w:rsid w:val="00EB5622"/>
    <w:rsid w:val="00EB586E"/>
    <w:rsid w:val="00EB5FC8"/>
    <w:rsid w:val="00EB6CAF"/>
    <w:rsid w:val="00EC0296"/>
    <w:rsid w:val="00EC486B"/>
    <w:rsid w:val="00EC57E9"/>
    <w:rsid w:val="00ED149C"/>
    <w:rsid w:val="00ED44AC"/>
    <w:rsid w:val="00ED555A"/>
    <w:rsid w:val="00ED5A41"/>
    <w:rsid w:val="00ED6A67"/>
    <w:rsid w:val="00EE29FA"/>
    <w:rsid w:val="00EF1292"/>
    <w:rsid w:val="00EF3F86"/>
    <w:rsid w:val="00EF578B"/>
    <w:rsid w:val="00EF6895"/>
    <w:rsid w:val="00F009DB"/>
    <w:rsid w:val="00F01D00"/>
    <w:rsid w:val="00F01ED4"/>
    <w:rsid w:val="00F025EC"/>
    <w:rsid w:val="00F033EC"/>
    <w:rsid w:val="00F04F68"/>
    <w:rsid w:val="00F0622D"/>
    <w:rsid w:val="00F068E8"/>
    <w:rsid w:val="00F11660"/>
    <w:rsid w:val="00F12670"/>
    <w:rsid w:val="00F14B27"/>
    <w:rsid w:val="00F212CD"/>
    <w:rsid w:val="00F22AB3"/>
    <w:rsid w:val="00F2301F"/>
    <w:rsid w:val="00F27030"/>
    <w:rsid w:val="00F270EA"/>
    <w:rsid w:val="00F274A2"/>
    <w:rsid w:val="00F31011"/>
    <w:rsid w:val="00F3148D"/>
    <w:rsid w:val="00F31D0E"/>
    <w:rsid w:val="00F34B4C"/>
    <w:rsid w:val="00F35298"/>
    <w:rsid w:val="00F3529E"/>
    <w:rsid w:val="00F401EF"/>
    <w:rsid w:val="00F427F0"/>
    <w:rsid w:val="00F44A30"/>
    <w:rsid w:val="00F47693"/>
    <w:rsid w:val="00F47E37"/>
    <w:rsid w:val="00F54382"/>
    <w:rsid w:val="00F54CA9"/>
    <w:rsid w:val="00F55302"/>
    <w:rsid w:val="00F56B9D"/>
    <w:rsid w:val="00F640B6"/>
    <w:rsid w:val="00F71E1E"/>
    <w:rsid w:val="00F73402"/>
    <w:rsid w:val="00F80E40"/>
    <w:rsid w:val="00F84819"/>
    <w:rsid w:val="00F8490C"/>
    <w:rsid w:val="00F854EB"/>
    <w:rsid w:val="00F85860"/>
    <w:rsid w:val="00F859D2"/>
    <w:rsid w:val="00F8709D"/>
    <w:rsid w:val="00F9022D"/>
    <w:rsid w:val="00F91458"/>
    <w:rsid w:val="00F9677E"/>
    <w:rsid w:val="00FA1A1B"/>
    <w:rsid w:val="00FA1B1D"/>
    <w:rsid w:val="00FA2B8E"/>
    <w:rsid w:val="00FA43E5"/>
    <w:rsid w:val="00FA5B82"/>
    <w:rsid w:val="00FA639E"/>
    <w:rsid w:val="00FB1B4B"/>
    <w:rsid w:val="00FC03C8"/>
    <w:rsid w:val="00FC1750"/>
    <w:rsid w:val="00FC25E4"/>
    <w:rsid w:val="00FC411E"/>
    <w:rsid w:val="00FC4EF7"/>
    <w:rsid w:val="00FE1DEE"/>
    <w:rsid w:val="00FE206C"/>
    <w:rsid w:val="00FE501F"/>
    <w:rsid w:val="00FE5645"/>
    <w:rsid w:val="00FE6716"/>
    <w:rsid w:val="00FE7F94"/>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53249" fill="f" fillcolor="#c6d4e9" strokecolor="#002c47">
      <v:fill color="#c6d4e9" on="f"/>
      <v:stroke color="#002c47"/>
    </o:shapedefaults>
    <o:shapelayout v:ext="edit">
      <o:idmap v:ext="edit" data="1"/>
    </o:shapelayout>
  </w:shapeDefaults>
  <w:decimalSymbol w:val="."/>
  <w:listSeparator w:val=","/>
  <w14:docId w14:val="44DF14AA"/>
  <w15:docId w15:val="{D99B072D-1904-4CBA-BE5A-1ECC0D8D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styleId="ListParagraph">
    <w:name w:val="List Paragraph"/>
    <w:basedOn w:val="Normal"/>
    <w:uiPriority w:val="34"/>
    <w:rsid w:val="00640E6C"/>
    <w:pPr>
      <w:ind w:left="720"/>
      <w:contextualSpacing/>
    </w:pPr>
  </w:style>
  <w:style w:type="paragraph" w:customStyle="1" w:styleId="Default">
    <w:name w:val="Default"/>
    <w:rsid w:val="007152F3"/>
    <w:pPr>
      <w:autoSpaceDE w:val="0"/>
      <w:autoSpaceDN w:val="0"/>
      <w:adjustRightInd w:val="0"/>
    </w:pPr>
    <w:rPr>
      <w:rFonts w:cs="Cambria"/>
      <w:color w:val="000000"/>
      <w:sz w:val="24"/>
      <w:szCs w:val="24"/>
    </w:rPr>
  </w:style>
  <w:style w:type="paragraph" w:customStyle="1" w:styleId="tabletext">
    <w:name w:val="tabletext"/>
    <w:basedOn w:val="Normal"/>
    <w:rsid w:val="008D798F"/>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40023">
      <w:bodyDiv w:val="1"/>
      <w:marLeft w:val="0"/>
      <w:marRight w:val="0"/>
      <w:marTop w:val="0"/>
      <w:marBottom w:val="0"/>
      <w:divBdr>
        <w:top w:val="none" w:sz="0" w:space="0" w:color="auto"/>
        <w:left w:val="none" w:sz="0" w:space="0" w:color="auto"/>
        <w:bottom w:val="none" w:sz="0" w:space="0" w:color="auto"/>
        <w:right w:val="none" w:sz="0" w:space="0" w:color="auto"/>
      </w:divBdr>
      <w:divsChild>
        <w:div w:id="1299994457">
          <w:marLeft w:val="0"/>
          <w:marRight w:val="0"/>
          <w:marTop w:val="240"/>
          <w:marBottom w:val="480"/>
          <w:divBdr>
            <w:top w:val="none" w:sz="0" w:space="0" w:color="auto"/>
            <w:left w:val="none" w:sz="0" w:space="0" w:color="auto"/>
            <w:bottom w:val="none" w:sz="0" w:space="0" w:color="auto"/>
            <w:right w:val="none" w:sz="0" w:space="0" w:color="auto"/>
          </w:divBdr>
          <w:divsChild>
            <w:div w:id="388117099">
              <w:marLeft w:val="0"/>
              <w:marRight w:val="0"/>
              <w:marTop w:val="0"/>
              <w:marBottom w:val="0"/>
              <w:divBdr>
                <w:top w:val="none" w:sz="0" w:space="0" w:color="auto"/>
                <w:left w:val="none" w:sz="0" w:space="0" w:color="auto"/>
                <w:bottom w:val="none" w:sz="0" w:space="0" w:color="auto"/>
                <w:right w:val="none" w:sz="0" w:space="0" w:color="auto"/>
              </w:divBdr>
              <w:divsChild>
                <w:div w:id="490218265">
                  <w:marLeft w:val="0"/>
                  <w:marRight w:val="0"/>
                  <w:marTop w:val="0"/>
                  <w:marBottom w:val="0"/>
                  <w:divBdr>
                    <w:top w:val="none" w:sz="0" w:space="0" w:color="auto"/>
                    <w:left w:val="none" w:sz="0" w:space="0" w:color="auto"/>
                    <w:bottom w:val="none" w:sz="0" w:space="0" w:color="auto"/>
                    <w:right w:val="none" w:sz="0" w:space="0" w:color="auto"/>
                  </w:divBdr>
                  <w:divsChild>
                    <w:div w:id="1122260685">
                      <w:marLeft w:val="0"/>
                      <w:marRight w:val="0"/>
                      <w:marTop w:val="0"/>
                      <w:marBottom w:val="0"/>
                      <w:divBdr>
                        <w:top w:val="none" w:sz="0" w:space="0" w:color="auto"/>
                        <w:left w:val="none" w:sz="0" w:space="0" w:color="auto"/>
                        <w:bottom w:val="none" w:sz="0" w:space="0" w:color="auto"/>
                        <w:right w:val="none" w:sz="0" w:space="0" w:color="auto"/>
                      </w:divBdr>
                      <w:divsChild>
                        <w:div w:id="21065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470437186">
      <w:bodyDiv w:val="1"/>
      <w:marLeft w:val="0"/>
      <w:marRight w:val="0"/>
      <w:marTop w:val="0"/>
      <w:marBottom w:val="0"/>
      <w:divBdr>
        <w:top w:val="none" w:sz="0" w:space="0" w:color="auto"/>
        <w:left w:val="none" w:sz="0" w:space="0" w:color="auto"/>
        <w:bottom w:val="none" w:sz="0" w:space="0" w:color="auto"/>
        <w:right w:val="none" w:sz="0" w:space="0" w:color="auto"/>
      </w:divBdr>
      <w:divsChild>
        <w:div w:id="1588004556">
          <w:marLeft w:val="0"/>
          <w:marRight w:val="0"/>
          <w:marTop w:val="240"/>
          <w:marBottom w:val="480"/>
          <w:divBdr>
            <w:top w:val="none" w:sz="0" w:space="0" w:color="auto"/>
            <w:left w:val="none" w:sz="0" w:space="0" w:color="auto"/>
            <w:bottom w:val="none" w:sz="0" w:space="0" w:color="auto"/>
            <w:right w:val="none" w:sz="0" w:space="0" w:color="auto"/>
          </w:divBdr>
          <w:divsChild>
            <w:div w:id="442966051">
              <w:marLeft w:val="0"/>
              <w:marRight w:val="0"/>
              <w:marTop w:val="0"/>
              <w:marBottom w:val="0"/>
              <w:divBdr>
                <w:top w:val="none" w:sz="0" w:space="0" w:color="auto"/>
                <w:left w:val="none" w:sz="0" w:space="0" w:color="auto"/>
                <w:bottom w:val="none" w:sz="0" w:space="0" w:color="auto"/>
                <w:right w:val="none" w:sz="0" w:space="0" w:color="auto"/>
              </w:divBdr>
              <w:divsChild>
                <w:div w:id="1211651876">
                  <w:marLeft w:val="0"/>
                  <w:marRight w:val="0"/>
                  <w:marTop w:val="0"/>
                  <w:marBottom w:val="0"/>
                  <w:divBdr>
                    <w:top w:val="none" w:sz="0" w:space="0" w:color="auto"/>
                    <w:left w:val="none" w:sz="0" w:space="0" w:color="auto"/>
                    <w:bottom w:val="none" w:sz="0" w:space="0" w:color="auto"/>
                    <w:right w:val="none" w:sz="0" w:space="0" w:color="auto"/>
                  </w:divBdr>
                  <w:divsChild>
                    <w:div w:id="1934361795">
                      <w:marLeft w:val="0"/>
                      <w:marRight w:val="0"/>
                      <w:marTop w:val="0"/>
                      <w:marBottom w:val="0"/>
                      <w:divBdr>
                        <w:top w:val="none" w:sz="0" w:space="0" w:color="auto"/>
                        <w:left w:val="none" w:sz="0" w:space="0" w:color="auto"/>
                        <w:bottom w:val="none" w:sz="0" w:space="0" w:color="auto"/>
                        <w:right w:val="none" w:sz="0" w:space="0" w:color="auto"/>
                      </w:divBdr>
                      <w:divsChild>
                        <w:div w:id="2914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121639">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947807009">
      <w:bodyDiv w:val="1"/>
      <w:marLeft w:val="0"/>
      <w:marRight w:val="0"/>
      <w:marTop w:val="0"/>
      <w:marBottom w:val="0"/>
      <w:divBdr>
        <w:top w:val="none" w:sz="0" w:space="0" w:color="auto"/>
        <w:left w:val="none" w:sz="0" w:space="0" w:color="auto"/>
        <w:bottom w:val="none" w:sz="0" w:space="0" w:color="auto"/>
        <w:right w:val="none" w:sz="0" w:space="0" w:color="auto"/>
      </w:divBdr>
      <w:divsChild>
        <w:div w:id="1702587186">
          <w:marLeft w:val="0"/>
          <w:marRight w:val="0"/>
          <w:marTop w:val="240"/>
          <w:marBottom w:val="480"/>
          <w:divBdr>
            <w:top w:val="none" w:sz="0" w:space="0" w:color="auto"/>
            <w:left w:val="none" w:sz="0" w:space="0" w:color="auto"/>
            <w:bottom w:val="none" w:sz="0" w:space="0" w:color="auto"/>
            <w:right w:val="none" w:sz="0" w:space="0" w:color="auto"/>
          </w:divBdr>
          <w:divsChild>
            <w:div w:id="2016953798">
              <w:marLeft w:val="0"/>
              <w:marRight w:val="0"/>
              <w:marTop w:val="0"/>
              <w:marBottom w:val="0"/>
              <w:divBdr>
                <w:top w:val="none" w:sz="0" w:space="0" w:color="auto"/>
                <w:left w:val="none" w:sz="0" w:space="0" w:color="auto"/>
                <w:bottom w:val="none" w:sz="0" w:space="0" w:color="auto"/>
                <w:right w:val="none" w:sz="0" w:space="0" w:color="auto"/>
              </w:divBdr>
              <w:divsChild>
                <w:div w:id="1830513538">
                  <w:marLeft w:val="0"/>
                  <w:marRight w:val="0"/>
                  <w:marTop w:val="0"/>
                  <w:marBottom w:val="0"/>
                  <w:divBdr>
                    <w:top w:val="none" w:sz="0" w:space="0" w:color="auto"/>
                    <w:left w:val="none" w:sz="0" w:space="0" w:color="auto"/>
                    <w:bottom w:val="none" w:sz="0" w:space="0" w:color="auto"/>
                    <w:right w:val="none" w:sz="0" w:space="0" w:color="auto"/>
                  </w:divBdr>
                  <w:divsChild>
                    <w:div w:id="1955626002">
                      <w:marLeft w:val="0"/>
                      <w:marRight w:val="0"/>
                      <w:marTop w:val="0"/>
                      <w:marBottom w:val="0"/>
                      <w:divBdr>
                        <w:top w:val="none" w:sz="0" w:space="0" w:color="auto"/>
                        <w:left w:val="none" w:sz="0" w:space="0" w:color="auto"/>
                        <w:bottom w:val="none" w:sz="0" w:space="0" w:color="auto"/>
                        <w:right w:val="none" w:sz="0" w:space="0" w:color="auto"/>
                      </w:divBdr>
                      <w:divsChild>
                        <w:div w:id="132588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publication/clinical-evidence-guidelines-supplement-vitro-diagnostic-ivd-medical-devices" TargetMode="External"/><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apps.tga.gov.au/prod/MDIR/UDIR03.aspx?mode=CON&amp;sid=2070234994" TargetMode="Externa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legislation.gov.au/Details/F2020L01150" TargetMode="External"/><Relationship Id="rId25" Type="http://schemas.openxmlformats.org/officeDocument/2006/relationships/hyperlink" Target="https://www.tga.gov.au/restricted-representation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lation.gov.au/Series/C2004A03952" TargetMode="External"/><Relationship Id="rId20" Type="http://schemas.openxmlformats.org/officeDocument/2006/relationships/hyperlink" Target="https://www.legislation.gov.au/Details/F2020C00822" TargetMode="External"/><Relationship Id="rId29"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book-page/step-9-ongoing-responsibilitie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ga.gov.au/sites/default/files/classification-ivd-medical-devices.pdf" TargetMode="External"/><Relationship Id="rId23" Type="http://schemas.openxmlformats.org/officeDocument/2006/relationships/hyperlink" Target="https://www.legislation.gov.au/Series/F2018L01524" TargetMode="External"/><Relationship Id="rId28" Type="http://schemas.openxmlformats.org/officeDocument/2006/relationships/hyperlink" Target="mailto:info@tga.gov.au" TargetMode="External"/><Relationship Id="rId10" Type="http://schemas.openxmlformats.org/officeDocument/2006/relationships/header" Target="header2.xml"/><Relationship Id="rId19" Type="http://schemas.openxmlformats.org/officeDocument/2006/relationships/hyperlink" Target="https://www.legislation.gov.au/Details/F2020C00822"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publication/application-audit-technical-file-review-ivd-medical-device-applications" TargetMode="External"/><Relationship Id="rId22" Type="http://schemas.openxmlformats.org/officeDocument/2006/relationships/hyperlink" Target="mailto:iris@tga.gov.au" TargetMode="External"/><Relationship Id="rId27" Type="http://schemas.openxmlformats.org/officeDocument/2006/relationships/footer" Target="footer3.xml"/><Relationship Id="rId30"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s://www.who.int/diagnostics_laboratory/evaluations/hiv/131107_hiv_assays17_final.pdf?ua=1" TargetMode="External"/><Relationship Id="rId3" Type="http://schemas.openxmlformats.org/officeDocument/2006/relationships/hyperlink" Target="https://www.cdc.gov/flu/pandemic-resources/basics/index.htmlhttps:/www.cdc.gov/flu/pandemic-resources/basics/index.html" TargetMode="External"/><Relationship Id="rId7" Type="http://schemas.openxmlformats.org/officeDocument/2006/relationships/hyperlink" Target="https://eur-lex.europa.eu/legal-content/EN/TXT/PDF/?uri=CELEX:32018D0945&amp;from=EN" TargetMode="External"/><Relationship Id="rId12" Type="http://schemas.openxmlformats.org/officeDocument/2006/relationships/hyperlink" Target="https://www.cdc.gov/flu/professionals/diagnosis/rapidclin.htm" TargetMode="External"/><Relationship Id="rId2" Type="http://schemas.openxmlformats.org/officeDocument/2006/relationships/hyperlink" Target="https://www.who.int/news-room/fact-sheets/detail/influenza-(seasonal)" TargetMode="External"/><Relationship Id="rId1" Type="http://schemas.openxmlformats.org/officeDocument/2006/relationships/hyperlink" Target="https://www1.health.gov.au/internet/main/publishing.nsf/Content/about-pandemic-types" TargetMode="External"/><Relationship Id="rId6" Type="http://schemas.openxmlformats.org/officeDocument/2006/relationships/hyperlink" Target="https://www1.health.gov.au/internet/main/publishing.nsf/Content/cda-phlncd-influenza.htm" TargetMode="External"/><Relationship Id="rId11" Type="http://schemas.openxmlformats.org/officeDocument/2006/relationships/hyperlink" Target="https://www.tga.gov.au/publication/clinical-performance-requirements-and-risk-mitigation-strategies-hiv-tests" TargetMode="External"/><Relationship Id="rId5" Type="http://schemas.openxmlformats.org/officeDocument/2006/relationships/hyperlink" Target="https://apps.who.int/iris/handle/10665/311184" TargetMode="External"/><Relationship Id="rId10" Type="http://schemas.openxmlformats.org/officeDocument/2006/relationships/hyperlink" Target="https://www.who.int/diagnostics_laboratory/evaluations/hiv/131107_hiv_assays17_final.pdf?ua=1" TargetMode="External"/><Relationship Id="rId4" Type="http://schemas.openxmlformats.org/officeDocument/2006/relationships/hyperlink" Target="https://apps.who.int/iris/handle/10665/311184" TargetMode="External"/><Relationship Id="rId9" Type="http://schemas.openxmlformats.org/officeDocument/2006/relationships/hyperlink" Target="https://www.tga.gov.au/publication/clinical-performance-requirements-and-risk-mitigation-strategies-hiv-test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DFF3D-5607-445F-BC31-0D880E45C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99</TotalTime>
  <Pages>14</Pages>
  <Words>3975</Words>
  <Characters>22820</Characters>
  <Application>Microsoft Office Word</Application>
  <DocSecurity>0</DocSecurity>
  <Lines>393</Lines>
  <Paragraphs>181</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26614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Seasonal Influenza IVD self-tests</dc:title>
  <dc:subject>medical devices/ivds</dc:subject>
  <dc:creator>Therapeutic Goods Administration</dc:creator>
  <cp:lastPrinted>2020-12-13T23:12:00Z</cp:lastPrinted>
  <dcterms:created xsi:type="dcterms:W3CDTF">2020-12-14T06:10:00Z</dcterms:created>
  <dcterms:modified xsi:type="dcterms:W3CDTF">2021-03-17T10:09:00Z</dcterms:modified>
</cp:coreProperties>
</file>