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F5B8E" w:rsidRPr="00215D48" w:rsidTr="008A65A8">
        <w:tc>
          <w:tcPr>
            <w:tcW w:w="8720" w:type="dxa"/>
          </w:tcPr>
          <w:p w:rsidR="00BF5B8E" w:rsidRPr="00215D48" w:rsidRDefault="00BF5B8E" w:rsidP="0021353C">
            <w:pPr>
              <w:pStyle w:val="Title"/>
            </w:pPr>
            <w:r>
              <w:t>Safety review</w:t>
            </w:r>
          </w:p>
        </w:tc>
      </w:tr>
      <w:tr w:rsidR="00BF5B8E" w:rsidRPr="00215D48" w:rsidTr="008A65A8">
        <w:trPr>
          <w:trHeight w:val="1916"/>
        </w:trPr>
        <w:tc>
          <w:tcPr>
            <w:tcW w:w="8720" w:type="dxa"/>
          </w:tcPr>
          <w:p w:rsidR="00BF5B8E" w:rsidRPr="00215D48" w:rsidRDefault="00BF5B8E" w:rsidP="0021353C">
            <w:pPr>
              <w:pStyle w:val="Subtitle"/>
              <w:framePr w:hSpace="0" w:wrap="auto" w:vAnchor="margin" w:hAnchor="text" w:yAlign="inline"/>
            </w:pPr>
            <w:proofErr w:type="spellStart"/>
            <w:r>
              <w:t>Coumarin</w:t>
            </w:r>
            <w:proofErr w:type="spellEnd"/>
            <w:r>
              <w:t xml:space="preserve"> for use in topical listed medicines</w:t>
            </w:r>
          </w:p>
        </w:tc>
      </w:tr>
      <w:tr w:rsidR="00BF5B8E" w:rsidRPr="00215D48" w:rsidTr="008A65A8">
        <w:tc>
          <w:tcPr>
            <w:tcW w:w="8720" w:type="dxa"/>
          </w:tcPr>
          <w:p w:rsidR="00BF5B8E" w:rsidRPr="00215D48" w:rsidRDefault="00BF5B8E" w:rsidP="009E54C5">
            <w:pPr>
              <w:pStyle w:val="Date"/>
            </w:pPr>
            <w:r w:rsidRPr="00215D48">
              <w:t xml:space="preserve">Version 1.0, </w:t>
            </w:r>
            <w:r w:rsidR="009E54C5">
              <w:t>December</w:t>
            </w:r>
            <w:r>
              <w:t xml:space="preserve"> 2019</w:t>
            </w:r>
          </w:p>
        </w:tc>
      </w:tr>
    </w:tbl>
    <w:p w:rsidR="00BF5B8E" w:rsidRPr="00215D48" w:rsidRDefault="00BF5B8E" w:rsidP="008A65A8">
      <w:pPr>
        <w:pStyle w:val="ListBullet"/>
        <w:ind w:left="0" w:firstLine="0"/>
        <w:sectPr w:rsidR="00BF5B8E" w:rsidRPr="00215D48" w:rsidSect="00085403">
          <w:headerReference w:type="default" r:id="rId7"/>
          <w:footerReference w:type="default" r:id="rId8"/>
          <w:headerReference w:type="first" r:id="rId9"/>
          <w:footerReference w:type="first" r:id="rId10"/>
          <w:footnotePr>
            <w:numFmt w:val="chicago"/>
          </w:footnotePr>
          <w:pgSz w:w="11906" w:h="16838"/>
          <w:pgMar w:top="1440" w:right="1440" w:bottom="1440" w:left="1440" w:header="708" w:footer="708" w:gutter="0"/>
          <w:cols w:space="708"/>
          <w:titlePg/>
          <w:docGrid w:linePitch="360"/>
        </w:sectPr>
      </w:pPr>
    </w:p>
    <w:p w:rsidR="00BF5B8E" w:rsidRPr="00E1198B" w:rsidRDefault="00BF5B8E" w:rsidP="008A65A8">
      <w:pPr>
        <w:pStyle w:val="LegalSubheading"/>
      </w:pPr>
      <w:r w:rsidRPr="00BA0DFC">
        <w:lastRenderedPageBreak/>
        <w:t>Copyright</w:t>
      </w:r>
    </w:p>
    <w:p w:rsidR="00BF5B8E" w:rsidRDefault="00BF5B8E" w:rsidP="008A65A8">
      <w:pPr>
        <w:pStyle w:val="LegalCopy"/>
        <w:rPr>
          <w:rFonts w:cs="Arial"/>
        </w:rPr>
      </w:pPr>
      <w:r w:rsidRPr="00215D48">
        <w:rPr>
          <w:rFonts w:cs="Arial"/>
        </w:rPr>
        <w:t>© Commonwealth of Australia 201</w:t>
      </w:r>
      <w:r>
        <w:rPr>
          <w:rFonts w:cs="Arial"/>
        </w:rPr>
        <w:t>9</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BF5B8E" w:rsidRPr="00215D48" w:rsidRDefault="00BF5B8E" w:rsidP="0021353C">
          <w:pPr>
            <w:pStyle w:val="NonTOCheading2"/>
            <w:spacing w:after="0"/>
          </w:pPr>
          <w:r w:rsidRPr="00215D48">
            <w:t>Contents</w:t>
          </w:r>
        </w:p>
        <w:p w:rsidR="0021353C" w:rsidRDefault="00BF5B8E">
          <w:pPr>
            <w:pStyle w:val="TOC1"/>
            <w:rPr>
              <w:rFonts w:asciiTheme="minorHAnsi" w:eastAsiaTheme="minorEastAsia" w:hAnsiTheme="minorHAnsi" w:cstheme="minorBidi"/>
              <w:b w:val="0"/>
              <w:noProof/>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25930260" w:history="1">
            <w:r w:rsidR="0021353C" w:rsidRPr="00186C7D">
              <w:rPr>
                <w:rStyle w:val="Hyperlink"/>
                <w:noProof/>
              </w:rPr>
              <w:t>Abbreviations</w:t>
            </w:r>
            <w:r w:rsidR="0021353C">
              <w:rPr>
                <w:noProof/>
                <w:webHidden/>
              </w:rPr>
              <w:tab/>
            </w:r>
            <w:r w:rsidR="0021353C">
              <w:rPr>
                <w:noProof/>
                <w:webHidden/>
              </w:rPr>
              <w:fldChar w:fldCharType="begin"/>
            </w:r>
            <w:r w:rsidR="0021353C">
              <w:rPr>
                <w:noProof/>
                <w:webHidden/>
              </w:rPr>
              <w:instrText xml:space="preserve"> PAGEREF _Toc25930260 \h </w:instrText>
            </w:r>
            <w:r w:rsidR="0021353C">
              <w:rPr>
                <w:noProof/>
                <w:webHidden/>
              </w:rPr>
            </w:r>
            <w:r w:rsidR="0021353C">
              <w:rPr>
                <w:noProof/>
                <w:webHidden/>
              </w:rPr>
              <w:fldChar w:fldCharType="separate"/>
            </w:r>
            <w:r w:rsidR="00DE0EF5">
              <w:rPr>
                <w:noProof/>
                <w:webHidden/>
              </w:rPr>
              <w:t>4</w:t>
            </w:r>
            <w:r w:rsidR="0021353C">
              <w:rPr>
                <w:noProof/>
                <w:webHidden/>
              </w:rPr>
              <w:fldChar w:fldCharType="end"/>
            </w:r>
          </w:hyperlink>
        </w:p>
        <w:p w:rsidR="0021353C" w:rsidRDefault="00D23E7D">
          <w:pPr>
            <w:pStyle w:val="TOC1"/>
            <w:tabs>
              <w:tab w:val="left" w:pos="425"/>
            </w:tabs>
            <w:rPr>
              <w:rFonts w:asciiTheme="minorHAnsi" w:eastAsiaTheme="minorEastAsia" w:hAnsiTheme="minorHAnsi" w:cstheme="minorBidi"/>
              <w:b w:val="0"/>
              <w:noProof/>
              <w:sz w:val="22"/>
              <w:szCs w:val="22"/>
              <w:lang w:eastAsia="en-AU"/>
            </w:rPr>
          </w:pPr>
          <w:hyperlink w:anchor="_Toc25930261" w:history="1">
            <w:r w:rsidR="0021353C" w:rsidRPr="00186C7D">
              <w:rPr>
                <w:rStyle w:val="Hyperlink"/>
                <w:noProof/>
              </w:rPr>
              <w:t>1</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Introduction</w:t>
            </w:r>
            <w:r w:rsidR="0021353C">
              <w:rPr>
                <w:noProof/>
                <w:webHidden/>
              </w:rPr>
              <w:tab/>
            </w:r>
            <w:r w:rsidR="0021353C">
              <w:rPr>
                <w:noProof/>
                <w:webHidden/>
              </w:rPr>
              <w:fldChar w:fldCharType="begin"/>
            </w:r>
            <w:r w:rsidR="0021353C">
              <w:rPr>
                <w:noProof/>
                <w:webHidden/>
              </w:rPr>
              <w:instrText xml:space="preserve"> PAGEREF _Toc25930261 \h </w:instrText>
            </w:r>
            <w:r w:rsidR="0021353C">
              <w:rPr>
                <w:noProof/>
                <w:webHidden/>
              </w:rPr>
            </w:r>
            <w:r w:rsidR="0021353C">
              <w:rPr>
                <w:noProof/>
                <w:webHidden/>
              </w:rPr>
              <w:fldChar w:fldCharType="separate"/>
            </w:r>
            <w:r w:rsidR="00DE0EF5">
              <w:rPr>
                <w:noProof/>
                <w:webHidden/>
              </w:rPr>
              <w:t>5</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62" w:history="1">
            <w:r w:rsidR="0021353C" w:rsidRPr="00186C7D">
              <w:rPr>
                <w:rStyle w:val="Hyperlink"/>
                <w:noProof/>
              </w:rPr>
              <w:t>1.1</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Therapeutic use under consideration</w:t>
            </w:r>
            <w:r w:rsidR="0021353C">
              <w:rPr>
                <w:noProof/>
                <w:webHidden/>
              </w:rPr>
              <w:tab/>
            </w:r>
            <w:r w:rsidR="0021353C">
              <w:rPr>
                <w:noProof/>
                <w:webHidden/>
              </w:rPr>
              <w:fldChar w:fldCharType="begin"/>
            </w:r>
            <w:r w:rsidR="0021353C">
              <w:rPr>
                <w:noProof/>
                <w:webHidden/>
              </w:rPr>
              <w:instrText xml:space="preserve"> PAGEREF _Toc25930262 \h </w:instrText>
            </w:r>
            <w:r w:rsidR="0021353C">
              <w:rPr>
                <w:noProof/>
                <w:webHidden/>
              </w:rPr>
            </w:r>
            <w:r w:rsidR="0021353C">
              <w:rPr>
                <w:noProof/>
                <w:webHidden/>
              </w:rPr>
              <w:fldChar w:fldCharType="separate"/>
            </w:r>
            <w:r w:rsidR="00DE0EF5">
              <w:rPr>
                <w:noProof/>
                <w:webHidden/>
              </w:rPr>
              <w:t>5</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63" w:history="1">
            <w:r w:rsidR="0021353C" w:rsidRPr="00186C7D">
              <w:rPr>
                <w:rStyle w:val="Hyperlink"/>
                <w:noProof/>
              </w:rPr>
              <w:t>1.2</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Identifiers and synonyms</w:t>
            </w:r>
            <w:r w:rsidR="0021353C">
              <w:rPr>
                <w:noProof/>
                <w:webHidden/>
              </w:rPr>
              <w:tab/>
            </w:r>
            <w:r w:rsidR="0021353C">
              <w:rPr>
                <w:noProof/>
                <w:webHidden/>
              </w:rPr>
              <w:fldChar w:fldCharType="begin"/>
            </w:r>
            <w:r w:rsidR="0021353C">
              <w:rPr>
                <w:noProof/>
                <w:webHidden/>
              </w:rPr>
              <w:instrText xml:space="preserve"> PAGEREF _Toc25930263 \h </w:instrText>
            </w:r>
            <w:r w:rsidR="0021353C">
              <w:rPr>
                <w:noProof/>
                <w:webHidden/>
              </w:rPr>
            </w:r>
            <w:r w:rsidR="0021353C">
              <w:rPr>
                <w:noProof/>
                <w:webHidden/>
              </w:rPr>
              <w:fldChar w:fldCharType="separate"/>
            </w:r>
            <w:r w:rsidR="00DE0EF5">
              <w:rPr>
                <w:noProof/>
                <w:webHidden/>
              </w:rPr>
              <w:t>5</w:t>
            </w:r>
            <w:r w:rsidR="0021353C">
              <w:rPr>
                <w:noProof/>
                <w:webHidden/>
              </w:rPr>
              <w:fldChar w:fldCharType="end"/>
            </w:r>
          </w:hyperlink>
        </w:p>
        <w:p w:rsidR="0021353C" w:rsidRDefault="00D23E7D">
          <w:pPr>
            <w:pStyle w:val="TOC1"/>
            <w:tabs>
              <w:tab w:val="left" w:pos="425"/>
            </w:tabs>
            <w:rPr>
              <w:rFonts w:asciiTheme="minorHAnsi" w:eastAsiaTheme="minorEastAsia" w:hAnsiTheme="minorHAnsi" w:cstheme="minorBidi"/>
              <w:b w:val="0"/>
              <w:noProof/>
              <w:sz w:val="22"/>
              <w:szCs w:val="22"/>
              <w:lang w:eastAsia="en-AU"/>
            </w:rPr>
          </w:pPr>
          <w:hyperlink w:anchor="_Toc25930264" w:history="1">
            <w:r w:rsidR="0021353C" w:rsidRPr="00186C7D">
              <w:rPr>
                <w:rStyle w:val="Hyperlink"/>
                <w:noProof/>
              </w:rPr>
              <w:t>2</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History and previous human use</w:t>
            </w:r>
            <w:r w:rsidR="0021353C">
              <w:rPr>
                <w:noProof/>
                <w:webHidden/>
              </w:rPr>
              <w:tab/>
            </w:r>
            <w:r w:rsidR="0021353C">
              <w:rPr>
                <w:noProof/>
                <w:webHidden/>
              </w:rPr>
              <w:fldChar w:fldCharType="begin"/>
            </w:r>
            <w:r w:rsidR="0021353C">
              <w:rPr>
                <w:noProof/>
                <w:webHidden/>
              </w:rPr>
              <w:instrText xml:space="preserve"> PAGEREF _Toc25930264 \h </w:instrText>
            </w:r>
            <w:r w:rsidR="0021353C">
              <w:rPr>
                <w:noProof/>
                <w:webHidden/>
              </w:rPr>
            </w:r>
            <w:r w:rsidR="0021353C">
              <w:rPr>
                <w:noProof/>
                <w:webHidden/>
              </w:rPr>
              <w:fldChar w:fldCharType="separate"/>
            </w:r>
            <w:r w:rsidR="00DE0EF5">
              <w:rPr>
                <w:noProof/>
                <w:webHidden/>
              </w:rPr>
              <w:t>6</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65" w:history="1">
            <w:r w:rsidR="0021353C" w:rsidRPr="00186C7D">
              <w:rPr>
                <w:rStyle w:val="Hyperlink"/>
                <w:noProof/>
              </w:rPr>
              <w:t>2.1</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Regulatory status</w:t>
            </w:r>
            <w:r w:rsidR="0021353C">
              <w:rPr>
                <w:noProof/>
                <w:webHidden/>
              </w:rPr>
              <w:tab/>
            </w:r>
            <w:r w:rsidR="0021353C">
              <w:rPr>
                <w:noProof/>
                <w:webHidden/>
              </w:rPr>
              <w:fldChar w:fldCharType="begin"/>
            </w:r>
            <w:r w:rsidR="0021353C">
              <w:rPr>
                <w:noProof/>
                <w:webHidden/>
              </w:rPr>
              <w:instrText xml:space="preserve"> PAGEREF _Toc25930265 \h </w:instrText>
            </w:r>
            <w:r w:rsidR="0021353C">
              <w:rPr>
                <w:noProof/>
                <w:webHidden/>
              </w:rPr>
            </w:r>
            <w:r w:rsidR="0021353C">
              <w:rPr>
                <w:noProof/>
                <w:webHidden/>
              </w:rPr>
              <w:fldChar w:fldCharType="separate"/>
            </w:r>
            <w:r w:rsidR="00DE0EF5">
              <w:rPr>
                <w:noProof/>
                <w:webHidden/>
              </w:rPr>
              <w:t>6</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66" w:history="1">
            <w:r w:rsidR="0021353C" w:rsidRPr="00186C7D">
              <w:rPr>
                <w:rStyle w:val="Hyperlink"/>
                <w:noProof/>
              </w:rPr>
              <w:t>2.1.1</w:t>
            </w:r>
            <w:r w:rsidR="0021353C">
              <w:rPr>
                <w:rFonts w:asciiTheme="minorHAnsi" w:eastAsiaTheme="minorEastAsia" w:hAnsiTheme="minorHAnsi" w:cstheme="minorBidi"/>
                <w:b w:val="0"/>
                <w:noProof/>
                <w:szCs w:val="22"/>
                <w:lang w:eastAsia="en-AU"/>
              </w:rPr>
              <w:tab/>
            </w:r>
            <w:r w:rsidR="0021353C" w:rsidRPr="00186C7D">
              <w:rPr>
                <w:rStyle w:val="Hyperlink"/>
                <w:noProof/>
              </w:rPr>
              <w:t>Australia</w:t>
            </w:r>
            <w:r w:rsidR="0021353C">
              <w:rPr>
                <w:noProof/>
                <w:webHidden/>
              </w:rPr>
              <w:tab/>
            </w:r>
            <w:r w:rsidR="0021353C">
              <w:rPr>
                <w:noProof/>
                <w:webHidden/>
              </w:rPr>
              <w:fldChar w:fldCharType="begin"/>
            </w:r>
            <w:r w:rsidR="0021353C">
              <w:rPr>
                <w:noProof/>
                <w:webHidden/>
              </w:rPr>
              <w:instrText xml:space="preserve"> PAGEREF _Toc25930266 \h </w:instrText>
            </w:r>
            <w:r w:rsidR="0021353C">
              <w:rPr>
                <w:noProof/>
                <w:webHidden/>
              </w:rPr>
            </w:r>
            <w:r w:rsidR="0021353C">
              <w:rPr>
                <w:noProof/>
                <w:webHidden/>
              </w:rPr>
              <w:fldChar w:fldCharType="separate"/>
            </w:r>
            <w:r w:rsidR="00DE0EF5">
              <w:rPr>
                <w:noProof/>
                <w:webHidden/>
              </w:rPr>
              <w:t>6</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67" w:history="1">
            <w:r w:rsidR="0021353C" w:rsidRPr="00186C7D">
              <w:rPr>
                <w:rStyle w:val="Hyperlink"/>
                <w:noProof/>
              </w:rPr>
              <w:t>2.1.2</w:t>
            </w:r>
            <w:r w:rsidR="0021353C">
              <w:rPr>
                <w:rFonts w:asciiTheme="minorHAnsi" w:eastAsiaTheme="minorEastAsia" w:hAnsiTheme="minorHAnsi" w:cstheme="minorBidi"/>
                <w:b w:val="0"/>
                <w:noProof/>
                <w:szCs w:val="22"/>
                <w:lang w:eastAsia="en-AU"/>
              </w:rPr>
              <w:tab/>
            </w:r>
            <w:r w:rsidR="0021353C" w:rsidRPr="00186C7D">
              <w:rPr>
                <w:rStyle w:val="Hyperlink"/>
                <w:noProof/>
              </w:rPr>
              <w:t>International</w:t>
            </w:r>
            <w:r w:rsidR="0021353C">
              <w:rPr>
                <w:noProof/>
                <w:webHidden/>
              </w:rPr>
              <w:tab/>
            </w:r>
            <w:r w:rsidR="0021353C">
              <w:rPr>
                <w:noProof/>
                <w:webHidden/>
              </w:rPr>
              <w:fldChar w:fldCharType="begin"/>
            </w:r>
            <w:r w:rsidR="0021353C">
              <w:rPr>
                <w:noProof/>
                <w:webHidden/>
              </w:rPr>
              <w:instrText xml:space="preserve"> PAGEREF _Toc25930267 \h </w:instrText>
            </w:r>
            <w:r w:rsidR="0021353C">
              <w:rPr>
                <w:noProof/>
                <w:webHidden/>
              </w:rPr>
            </w:r>
            <w:r w:rsidR="0021353C">
              <w:rPr>
                <w:noProof/>
                <w:webHidden/>
              </w:rPr>
              <w:fldChar w:fldCharType="separate"/>
            </w:r>
            <w:r w:rsidR="00DE0EF5">
              <w:rPr>
                <w:noProof/>
                <w:webHidden/>
              </w:rPr>
              <w:t>7</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68" w:history="1">
            <w:r w:rsidR="0021353C" w:rsidRPr="00186C7D">
              <w:rPr>
                <w:rStyle w:val="Hyperlink"/>
                <w:noProof/>
              </w:rPr>
              <w:t>2.2</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Exposure from All Sources</w:t>
            </w:r>
            <w:r w:rsidR="0021353C">
              <w:rPr>
                <w:noProof/>
                <w:webHidden/>
              </w:rPr>
              <w:tab/>
            </w:r>
            <w:r w:rsidR="0021353C">
              <w:rPr>
                <w:noProof/>
                <w:webHidden/>
              </w:rPr>
              <w:fldChar w:fldCharType="begin"/>
            </w:r>
            <w:r w:rsidR="0021353C">
              <w:rPr>
                <w:noProof/>
                <w:webHidden/>
              </w:rPr>
              <w:instrText xml:space="preserve"> PAGEREF _Toc25930268 \h </w:instrText>
            </w:r>
            <w:r w:rsidR="0021353C">
              <w:rPr>
                <w:noProof/>
                <w:webHidden/>
              </w:rPr>
            </w:r>
            <w:r w:rsidR="0021353C">
              <w:rPr>
                <w:noProof/>
                <w:webHidden/>
              </w:rPr>
              <w:fldChar w:fldCharType="separate"/>
            </w:r>
            <w:r w:rsidR="00DE0EF5">
              <w:rPr>
                <w:noProof/>
                <w:webHidden/>
              </w:rPr>
              <w:t>8</w:t>
            </w:r>
            <w:r w:rsidR="0021353C">
              <w:rPr>
                <w:noProof/>
                <w:webHidden/>
              </w:rPr>
              <w:fldChar w:fldCharType="end"/>
            </w:r>
          </w:hyperlink>
        </w:p>
        <w:p w:rsidR="0021353C" w:rsidRDefault="00D23E7D">
          <w:pPr>
            <w:pStyle w:val="TOC1"/>
            <w:tabs>
              <w:tab w:val="left" w:pos="425"/>
            </w:tabs>
            <w:rPr>
              <w:rFonts w:asciiTheme="minorHAnsi" w:eastAsiaTheme="minorEastAsia" w:hAnsiTheme="minorHAnsi" w:cstheme="minorBidi"/>
              <w:b w:val="0"/>
              <w:noProof/>
              <w:sz w:val="22"/>
              <w:szCs w:val="22"/>
              <w:lang w:eastAsia="en-AU"/>
            </w:rPr>
          </w:pPr>
          <w:hyperlink w:anchor="_Toc25930269" w:history="1">
            <w:r w:rsidR="0021353C" w:rsidRPr="00186C7D">
              <w:rPr>
                <w:rStyle w:val="Hyperlink"/>
                <w:noProof/>
              </w:rPr>
              <w:t>3</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Biological Activity</w:t>
            </w:r>
            <w:r w:rsidR="0021353C">
              <w:rPr>
                <w:noProof/>
                <w:webHidden/>
              </w:rPr>
              <w:tab/>
            </w:r>
            <w:r w:rsidR="0021353C">
              <w:rPr>
                <w:noProof/>
                <w:webHidden/>
              </w:rPr>
              <w:fldChar w:fldCharType="begin"/>
            </w:r>
            <w:r w:rsidR="0021353C">
              <w:rPr>
                <w:noProof/>
                <w:webHidden/>
              </w:rPr>
              <w:instrText xml:space="preserve"> PAGEREF _Toc25930269 \h </w:instrText>
            </w:r>
            <w:r w:rsidR="0021353C">
              <w:rPr>
                <w:noProof/>
                <w:webHidden/>
              </w:rPr>
            </w:r>
            <w:r w:rsidR="0021353C">
              <w:rPr>
                <w:noProof/>
                <w:webHidden/>
              </w:rPr>
              <w:fldChar w:fldCharType="separate"/>
            </w:r>
            <w:r w:rsidR="00DE0EF5">
              <w:rPr>
                <w:noProof/>
                <w:webHidden/>
              </w:rPr>
              <w:t>9</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70" w:history="1">
            <w:r w:rsidR="0021353C" w:rsidRPr="00186C7D">
              <w:rPr>
                <w:rStyle w:val="Hyperlink"/>
                <w:noProof/>
              </w:rPr>
              <w:t>3.1</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Pharmacokinetics</w:t>
            </w:r>
            <w:r w:rsidR="0021353C">
              <w:rPr>
                <w:noProof/>
                <w:webHidden/>
              </w:rPr>
              <w:tab/>
            </w:r>
            <w:r w:rsidR="0021353C">
              <w:rPr>
                <w:noProof/>
                <w:webHidden/>
              </w:rPr>
              <w:fldChar w:fldCharType="begin"/>
            </w:r>
            <w:r w:rsidR="0021353C">
              <w:rPr>
                <w:noProof/>
                <w:webHidden/>
              </w:rPr>
              <w:instrText xml:space="preserve"> PAGEREF _Toc25930270 \h </w:instrText>
            </w:r>
            <w:r w:rsidR="0021353C">
              <w:rPr>
                <w:noProof/>
                <w:webHidden/>
              </w:rPr>
            </w:r>
            <w:r w:rsidR="0021353C">
              <w:rPr>
                <w:noProof/>
                <w:webHidden/>
              </w:rPr>
              <w:fldChar w:fldCharType="separate"/>
            </w:r>
            <w:r w:rsidR="00DE0EF5">
              <w:rPr>
                <w:noProof/>
                <w:webHidden/>
              </w:rPr>
              <w:t>9</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71" w:history="1">
            <w:r w:rsidR="0021353C" w:rsidRPr="00186C7D">
              <w:rPr>
                <w:rStyle w:val="Hyperlink"/>
                <w:noProof/>
              </w:rPr>
              <w:t>3.1.1</w:t>
            </w:r>
            <w:r w:rsidR="0021353C">
              <w:rPr>
                <w:rFonts w:asciiTheme="minorHAnsi" w:eastAsiaTheme="minorEastAsia" w:hAnsiTheme="minorHAnsi" w:cstheme="minorBidi"/>
                <w:b w:val="0"/>
                <w:noProof/>
                <w:szCs w:val="22"/>
                <w:lang w:eastAsia="en-AU"/>
              </w:rPr>
              <w:tab/>
            </w:r>
            <w:r w:rsidR="0021353C" w:rsidRPr="00186C7D">
              <w:rPr>
                <w:rStyle w:val="Hyperlink"/>
                <w:noProof/>
              </w:rPr>
              <w:t>Absorption</w:t>
            </w:r>
            <w:r w:rsidR="0021353C">
              <w:rPr>
                <w:noProof/>
                <w:webHidden/>
              </w:rPr>
              <w:tab/>
            </w:r>
            <w:r w:rsidR="0021353C">
              <w:rPr>
                <w:noProof/>
                <w:webHidden/>
              </w:rPr>
              <w:fldChar w:fldCharType="begin"/>
            </w:r>
            <w:r w:rsidR="0021353C">
              <w:rPr>
                <w:noProof/>
                <w:webHidden/>
              </w:rPr>
              <w:instrText xml:space="preserve"> PAGEREF _Toc25930271 \h </w:instrText>
            </w:r>
            <w:r w:rsidR="0021353C">
              <w:rPr>
                <w:noProof/>
                <w:webHidden/>
              </w:rPr>
            </w:r>
            <w:r w:rsidR="0021353C">
              <w:rPr>
                <w:noProof/>
                <w:webHidden/>
              </w:rPr>
              <w:fldChar w:fldCharType="separate"/>
            </w:r>
            <w:r w:rsidR="00DE0EF5">
              <w:rPr>
                <w:noProof/>
                <w:webHidden/>
              </w:rPr>
              <w:t>9</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72" w:history="1">
            <w:r w:rsidR="0021353C" w:rsidRPr="00186C7D">
              <w:rPr>
                <w:rStyle w:val="Hyperlink"/>
                <w:noProof/>
              </w:rPr>
              <w:t>3.1.2</w:t>
            </w:r>
            <w:r w:rsidR="0021353C">
              <w:rPr>
                <w:rFonts w:asciiTheme="minorHAnsi" w:eastAsiaTheme="minorEastAsia" w:hAnsiTheme="minorHAnsi" w:cstheme="minorBidi"/>
                <w:b w:val="0"/>
                <w:noProof/>
                <w:szCs w:val="22"/>
                <w:lang w:eastAsia="en-AU"/>
              </w:rPr>
              <w:tab/>
            </w:r>
            <w:r w:rsidR="0021353C" w:rsidRPr="00186C7D">
              <w:rPr>
                <w:rStyle w:val="Hyperlink"/>
                <w:noProof/>
              </w:rPr>
              <w:t>Distribution</w:t>
            </w:r>
            <w:r w:rsidR="0021353C">
              <w:rPr>
                <w:noProof/>
                <w:webHidden/>
              </w:rPr>
              <w:tab/>
            </w:r>
            <w:r w:rsidR="0021353C">
              <w:rPr>
                <w:noProof/>
                <w:webHidden/>
              </w:rPr>
              <w:fldChar w:fldCharType="begin"/>
            </w:r>
            <w:r w:rsidR="0021353C">
              <w:rPr>
                <w:noProof/>
                <w:webHidden/>
              </w:rPr>
              <w:instrText xml:space="preserve"> PAGEREF _Toc25930272 \h </w:instrText>
            </w:r>
            <w:r w:rsidR="0021353C">
              <w:rPr>
                <w:noProof/>
                <w:webHidden/>
              </w:rPr>
            </w:r>
            <w:r w:rsidR="0021353C">
              <w:rPr>
                <w:noProof/>
                <w:webHidden/>
              </w:rPr>
              <w:fldChar w:fldCharType="separate"/>
            </w:r>
            <w:r w:rsidR="00DE0EF5">
              <w:rPr>
                <w:noProof/>
                <w:webHidden/>
              </w:rPr>
              <w:t>10</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73" w:history="1">
            <w:r w:rsidR="0021353C" w:rsidRPr="00186C7D">
              <w:rPr>
                <w:rStyle w:val="Hyperlink"/>
                <w:noProof/>
              </w:rPr>
              <w:t>3.1.3</w:t>
            </w:r>
            <w:r w:rsidR="0021353C">
              <w:rPr>
                <w:rFonts w:asciiTheme="minorHAnsi" w:eastAsiaTheme="minorEastAsia" w:hAnsiTheme="minorHAnsi" w:cstheme="minorBidi"/>
                <w:b w:val="0"/>
                <w:noProof/>
                <w:szCs w:val="22"/>
                <w:lang w:eastAsia="en-AU"/>
              </w:rPr>
              <w:tab/>
            </w:r>
            <w:r w:rsidR="0021353C" w:rsidRPr="00186C7D">
              <w:rPr>
                <w:rStyle w:val="Hyperlink"/>
                <w:noProof/>
              </w:rPr>
              <w:t>Metabolism</w:t>
            </w:r>
            <w:r w:rsidR="0021353C">
              <w:rPr>
                <w:noProof/>
                <w:webHidden/>
              </w:rPr>
              <w:tab/>
            </w:r>
            <w:r w:rsidR="0021353C">
              <w:rPr>
                <w:noProof/>
                <w:webHidden/>
              </w:rPr>
              <w:fldChar w:fldCharType="begin"/>
            </w:r>
            <w:r w:rsidR="0021353C">
              <w:rPr>
                <w:noProof/>
                <w:webHidden/>
              </w:rPr>
              <w:instrText xml:space="preserve"> PAGEREF _Toc25930273 \h </w:instrText>
            </w:r>
            <w:r w:rsidR="0021353C">
              <w:rPr>
                <w:noProof/>
                <w:webHidden/>
              </w:rPr>
            </w:r>
            <w:r w:rsidR="0021353C">
              <w:rPr>
                <w:noProof/>
                <w:webHidden/>
              </w:rPr>
              <w:fldChar w:fldCharType="separate"/>
            </w:r>
            <w:r w:rsidR="00DE0EF5">
              <w:rPr>
                <w:noProof/>
                <w:webHidden/>
              </w:rPr>
              <w:t>11</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74" w:history="1">
            <w:r w:rsidR="0021353C" w:rsidRPr="00186C7D">
              <w:rPr>
                <w:rStyle w:val="Hyperlink"/>
                <w:noProof/>
              </w:rPr>
              <w:t>3.1.4</w:t>
            </w:r>
            <w:r w:rsidR="0021353C">
              <w:rPr>
                <w:rFonts w:asciiTheme="minorHAnsi" w:eastAsiaTheme="minorEastAsia" w:hAnsiTheme="minorHAnsi" w:cstheme="minorBidi"/>
                <w:b w:val="0"/>
                <w:noProof/>
                <w:szCs w:val="22"/>
                <w:lang w:eastAsia="en-AU"/>
              </w:rPr>
              <w:tab/>
            </w:r>
            <w:r w:rsidR="0021353C" w:rsidRPr="00186C7D">
              <w:rPr>
                <w:rStyle w:val="Hyperlink"/>
                <w:noProof/>
              </w:rPr>
              <w:t>Excretion</w:t>
            </w:r>
            <w:r w:rsidR="0021353C">
              <w:rPr>
                <w:noProof/>
                <w:webHidden/>
              </w:rPr>
              <w:tab/>
            </w:r>
            <w:r w:rsidR="0021353C">
              <w:rPr>
                <w:noProof/>
                <w:webHidden/>
              </w:rPr>
              <w:fldChar w:fldCharType="begin"/>
            </w:r>
            <w:r w:rsidR="0021353C">
              <w:rPr>
                <w:noProof/>
                <w:webHidden/>
              </w:rPr>
              <w:instrText xml:space="preserve"> PAGEREF _Toc25930274 \h </w:instrText>
            </w:r>
            <w:r w:rsidR="0021353C">
              <w:rPr>
                <w:noProof/>
                <w:webHidden/>
              </w:rPr>
            </w:r>
            <w:r w:rsidR="0021353C">
              <w:rPr>
                <w:noProof/>
                <w:webHidden/>
              </w:rPr>
              <w:fldChar w:fldCharType="separate"/>
            </w:r>
            <w:r w:rsidR="00DE0EF5">
              <w:rPr>
                <w:noProof/>
                <w:webHidden/>
              </w:rPr>
              <w:t>12</w:t>
            </w:r>
            <w:r w:rsidR="0021353C">
              <w:rPr>
                <w:noProof/>
                <w:webHidden/>
              </w:rPr>
              <w:fldChar w:fldCharType="end"/>
            </w:r>
          </w:hyperlink>
        </w:p>
        <w:p w:rsidR="0021353C" w:rsidRDefault="00D23E7D">
          <w:pPr>
            <w:pStyle w:val="TOC1"/>
            <w:tabs>
              <w:tab w:val="left" w:pos="425"/>
            </w:tabs>
            <w:rPr>
              <w:rFonts w:asciiTheme="minorHAnsi" w:eastAsiaTheme="minorEastAsia" w:hAnsiTheme="minorHAnsi" w:cstheme="minorBidi"/>
              <w:b w:val="0"/>
              <w:noProof/>
              <w:sz w:val="22"/>
              <w:szCs w:val="22"/>
              <w:lang w:eastAsia="en-AU"/>
            </w:rPr>
          </w:pPr>
          <w:hyperlink w:anchor="_Toc25930275" w:history="1">
            <w:r w:rsidR="0021353C" w:rsidRPr="00186C7D">
              <w:rPr>
                <w:rStyle w:val="Hyperlink"/>
                <w:noProof/>
              </w:rPr>
              <w:t>4</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Toxicology</w:t>
            </w:r>
            <w:r w:rsidR="0021353C">
              <w:rPr>
                <w:noProof/>
                <w:webHidden/>
              </w:rPr>
              <w:tab/>
            </w:r>
            <w:r w:rsidR="0021353C">
              <w:rPr>
                <w:noProof/>
                <w:webHidden/>
              </w:rPr>
              <w:fldChar w:fldCharType="begin"/>
            </w:r>
            <w:r w:rsidR="0021353C">
              <w:rPr>
                <w:noProof/>
                <w:webHidden/>
              </w:rPr>
              <w:instrText xml:space="preserve"> PAGEREF _Toc25930275 \h </w:instrText>
            </w:r>
            <w:r w:rsidR="0021353C">
              <w:rPr>
                <w:noProof/>
                <w:webHidden/>
              </w:rPr>
            </w:r>
            <w:r w:rsidR="0021353C">
              <w:rPr>
                <w:noProof/>
                <w:webHidden/>
              </w:rPr>
              <w:fldChar w:fldCharType="separate"/>
            </w:r>
            <w:r w:rsidR="00DE0EF5">
              <w:rPr>
                <w:noProof/>
                <w:webHidden/>
              </w:rPr>
              <w:t>13</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76" w:history="1">
            <w:r w:rsidR="0021353C" w:rsidRPr="00186C7D">
              <w:rPr>
                <w:rStyle w:val="Hyperlink"/>
                <w:noProof/>
              </w:rPr>
              <w:t>4.1</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Single-dose toxicity</w:t>
            </w:r>
            <w:r w:rsidR="0021353C">
              <w:rPr>
                <w:noProof/>
                <w:webHidden/>
              </w:rPr>
              <w:tab/>
            </w:r>
            <w:r w:rsidR="0021353C">
              <w:rPr>
                <w:noProof/>
                <w:webHidden/>
              </w:rPr>
              <w:fldChar w:fldCharType="begin"/>
            </w:r>
            <w:r w:rsidR="0021353C">
              <w:rPr>
                <w:noProof/>
                <w:webHidden/>
              </w:rPr>
              <w:instrText xml:space="preserve"> PAGEREF _Toc25930276 \h </w:instrText>
            </w:r>
            <w:r w:rsidR="0021353C">
              <w:rPr>
                <w:noProof/>
                <w:webHidden/>
              </w:rPr>
            </w:r>
            <w:r w:rsidR="0021353C">
              <w:rPr>
                <w:noProof/>
                <w:webHidden/>
              </w:rPr>
              <w:fldChar w:fldCharType="separate"/>
            </w:r>
            <w:r w:rsidR="00DE0EF5">
              <w:rPr>
                <w:noProof/>
                <w:webHidden/>
              </w:rPr>
              <w:t>13</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77" w:history="1">
            <w:r w:rsidR="0021353C" w:rsidRPr="00186C7D">
              <w:rPr>
                <w:rStyle w:val="Hyperlink"/>
                <w:noProof/>
              </w:rPr>
              <w:t>4.2</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Repeat-dose toxicity</w:t>
            </w:r>
            <w:r w:rsidR="0021353C">
              <w:rPr>
                <w:noProof/>
                <w:webHidden/>
              </w:rPr>
              <w:tab/>
            </w:r>
            <w:r w:rsidR="0021353C">
              <w:rPr>
                <w:noProof/>
                <w:webHidden/>
              </w:rPr>
              <w:fldChar w:fldCharType="begin"/>
            </w:r>
            <w:r w:rsidR="0021353C">
              <w:rPr>
                <w:noProof/>
                <w:webHidden/>
              </w:rPr>
              <w:instrText xml:space="preserve"> PAGEREF _Toc25930277 \h </w:instrText>
            </w:r>
            <w:r w:rsidR="0021353C">
              <w:rPr>
                <w:noProof/>
                <w:webHidden/>
              </w:rPr>
            </w:r>
            <w:r w:rsidR="0021353C">
              <w:rPr>
                <w:noProof/>
                <w:webHidden/>
              </w:rPr>
              <w:fldChar w:fldCharType="separate"/>
            </w:r>
            <w:r w:rsidR="00DE0EF5">
              <w:rPr>
                <w:noProof/>
                <w:webHidden/>
              </w:rPr>
              <w:t>13</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78" w:history="1">
            <w:r w:rsidR="0021353C" w:rsidRPr="00186C7D">
              <w:rPr>
                <w:rStyle w:val="Hyperlink"/>
                <w:noProof/>
              </w:rPr>
              <w:t>4.3</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Relative Exposure</w:t>
            </w:r>
            <w:r w:rsidR="0021353C">
              <w:rPr>
                <w:noProof/>
                <w:webHidden/>
              </w:rPr>
              <w:tab/>
            </w:r>
            <w:r w:rsidR="0021353C">
              <w:rPr>
                <w:noProof/>
                <w:webHidden/>
              </w:rPr>
              <w:fldChar w:fldCharType="begin"/>
            </w:r>
            <w:r w:rsidR="0021353C">
              <w:rPr>
                <w:noProof/>
                <w:webHidden/>
              </w:rPr>
              <w:instrText xml:space="preserve"> PAGEREF _Toc25930278 \h </w:instrText>
            </w:r>
            <w:r w:rsidR="0021353C">
              <w:rPr>
                <w:noProof/>
                <w:webHidden/>
              </w:rPr>
            </w:r>
            <w:r w:rsidR="0021353C">
              <w:rPr>
                <w:noProof/>
                <w:webHidden/>
              </w:rPr>
              <w:fldChar w:fldCharType="separate"/>
            </w:r>
            <w:r w:rsidR="00DE0EF5">
              <w:rPr>
                <w:noProof/>
                <w:webHidden/>
              </w:rPr>
              <w:t>22</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79" w:history="1">
            <w:r w:rsidR="0021353C" w:rsidRPr="00186C7D">
              <w:rPr>
                <w:rStyle w:val="Hyperlink"/>
                <w:noProof/>
              </w:rPr>
              <w:t>4.3.1</w:t>
            </w:r>
            <w:r w:rsidR="0021353C">
              <w:rPr>
                <w:rFonts w:asciiTheme="minorHAnsi" w:eastAsiaTheme="minorEastAsia" w:hAnsiTheme="minorHAnsi" w:cstheme="minorBidi"/>
                <w:b w:val="0"/>
                <w:noProof/>
                <w:szCs w:val="22"/>
                <w:lang w:eastAsia="en-AU"/>
              </w:rPr>
              <w:tab/>
            </w:r>
            <w:r w:rsidR="0021353C" w:rsidRPr="00186C7D">
              <w:rPr>
                <w:rStyle w:val="Hyperlink"/>
                <w:noProof/>
              </w:rPr>
              <w:t>Tolerable Daily Intake</w:t>
            </w:r>
            <w:r w:rsidR="0021353C">
              <w:rPr>
                <w:noProof/>
                <w:webHidden/>
              </w:rPr>
              <w:tab/>
            </w:r>
            <w:r w:rsidR="0021353C">
              <w:rPr>
                <w:noProof/>
                <w:webHidden/>
              </w:rPr>
              <w:fldChar w:fldCharType="begin"/>
            </w:r>
            <w:r w:rsidR="0021353C">
              <w:rPr>
                <w:noProof/>
                <w:webHidden/>
              </w:rPr>
              <w:instrText xml:space="preserve"> PAGEREF _Toc25930279 \h </w:instrText>
            </w:r>
            <w:r w:rsidR="0021353C">
              <w:rPr>
                <w:noProof/>
                <w:webHidden/>
              </w:rPr>
            </w:r>
            <w:r w:rsidR="0021353C">
              <w:rPr>
                <w:noProof/>
                <w:webHidden/>
              </w:rPr>
              <w:fldChar w:fldCharType="separate"/>
            </w:r>
            <w:r w:rsidR="00DE0EF5">
              <w:rPr>
                <w:noProof/>
                <w:webHidden/>
              </w:rPr>
              <w:t>22</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80" w:history="1">
            <w:r w:rsidR="0021353C" w:rsidRPr="00186C7D">
              <w:rPr>
                <w:rStyle w:val="Hyperlink"/>
                <w:noProof/>
              </w:rPr>
              <w:t>4.3.2</w:t>
            </w:r>
            <w:r w:rsidR="0021353C">
              <w:rPr>
                <w:rFonts w:asciiTheme="minorHAnsi" w:eastAsiaTheme="minorEastAsia" w:hAnsiTheme="minorHAnsi" w:cstheme="minorBidi"/>
                <w:b w:val="0"/>
                <w:noProof/>
                <w:szCs w:val="22"/>
                <w:lang w:eastAsia="en-AU"/>
              </w:rPr>
              <w:tab/>
            </w:r>
            <w:r w:rsidR="0021353C" w:rsidRPr="00186C7D">
              <w:rPr>
                <w:rStyle w:val="Hyperlink"/>
                <w:noProof/>
              </w:rPr>
              <w:t>Estimated Daily Intake</w:t>
            </w:r>
            <w:r w:rsidR="0021353C">
              <w:rPr>
                <w:noProof/>
                <w:webHidden/>
              </w:rPr>
              <w:tab/>
            </w:r>
            <w:r w:rsidR="0021353C">
              <w:rPr>
                <w:noProof/>
                <w:webHidden/>
              </w:rPr>
              <w:fldChar w:fldCharType="begin"/>
            </w:r>
            <w:r w:rsidR="0021353C">
              <w:rPr>
                <w:noProof/>
                <w:webHidden/>
              </w:rPr>
              <w:instrText xml:space="preserve"> PAGEREF _Toc25930280 \h </w:instrText>
            </w:r>
            <w:r w:rsidR="0021353C">
              <w:rPr>
                <w:noProof/>
                <w:webHidden/>
              </w:rPr>
            </w:r>
            <w:r w:rsidR="0021353C">
              <w:rPr>
                <w:noProof/>
                <w:webHidden/>
              </w:rPr>
              <w:fldChar w:fldCharType="separate"/>
            </w:r>
            <w:r w:rsidR="00DE0EF5">
              <w:rPr>
                <w:noProof/>
                <w:webHidden/>
              </w:rPr>
              <w:t>22</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81" w:history="1">
            <w:r w:rsidR="0021353C" w:rsidRPr="00186C7D">
              <w:rPr>
                <w:rStyle w:val="Hyperlink"/>
                <w:noProof/>
              </w:rPr>
              <w:t>4.3.3</w:t>
            </w:r>
            <w:r w:rsidR="0021353C">
              <w:rPr>
                <w:rFonts w:asciiTheme="minorHAnsi" w:eastAsiaTheme="minorEastAsia" w:hAnsiTheme="minorHAnsi" w:cstheme="minorBidi"/>
                <w:b w:val="0"/>
                <w:noProof/>
                <w:szCs w:val="22"/>
                <w:lang w:eastAsia="en-AU"/>
              </w:rPr>
              <w:tab/>
            </w:r>
            <w:r w:rsidR="0021353C" w:rsidRPr="00186C7D">
              <w:rPr>
                <w:rStyle w:val="Hyperlink"/>
                <w:noProof/>
              </w:rPr>
              <w:t>Margin of Safety</w:t>
            </w:r>
            <w:r w:rsidR="0021353C">
              <w:rPr>
                <w:noProof/>
                <w:webHidden/>
              </w:rPr>
              <w:tab/>
            </w:r>
            <w:r w:rsidR="0021353C">
              <w:rPr>
                <w:noProof/>
                <w:webHidden/>
              </w:rPr>
              <w:fldChar w:fldCharType="begin"/>
            </w:r>
            <w:r w:rsidR="0021353C">
              <w:rPr>
                <w:noProof/>
                <w:webHidden/>
              </w:rPr>
              <w:instrText xml:space="preserve"> PAGEREF _Toc25930281 \h </w:instrText>
            </w:r>
            <w:r w:rsidR="0021353C">
              <w:rPr>
                <w:noProof/>
                <w:webHidden/>
              </w:rPr>
            </w:r>
            <w:r w:rsidR="0021353C">
              <w:rPr>
                <w:noProof/>
                <w:webHidden/>
              </w:rPr>
              <w:fldChar w:fldCharType="separate"/>
            </w:r>
            <w:r w:rsidR="00DE0EF5">
              <w:rPr>
                <w:noProof/>
                <w:webHidden/>
              </w:rPr>
              <w:t>23</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82" w:history="1">
            <w:r w:rsidR="0021353C" w:rsidRPr="00186C7D">
              <w:rPr>
                <w:rStyle w:val="Hyperlink"/>
                <w:noProof/>
              </w:rPr>
              <w:t>4.4</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Genotoxicity &amp; Carcinogenicity</w:t>
            </w:r>
            <w:r w:rsidR="0021353C">
              <w:rPr>
                <w:noProof/>
                <w:webHidden/>
              </w:rPr>
              <w:tab/>
            </w:r>
            <w:r w:rsidR="0021353C">
              <w:rPr>
                <w:noProof/>
                <w:webHidden/>
              </w:rPr>
              <w:fldChar w:fldCharType="begin"/>
            </w:r>
            <w:r w:rsidR="0021353C">
              <w:rPr>
                <w:noProof/>
                <w:webHidden/>
              </w:rPr>
              <w:instrText xml:space="preserve"> PAGEREF _Toc25930282 \h </w:instrText>
            </w:r>
            <w:r w:rsidR="0021353C">
              <w:rPr>
                <w:noProof/>
                <w:webHidden/>
              </w:rPr>
            </w:r>
            <w:r w:rsidR="0021353C">
              <w:rPr>
                <w:noProof/>
                <w:webHidden/>
              </w:rPr>
              <w:fldChar w:fldCharType="separate"/>
            </w:r>
            <w:r w:rsidR="00DE0EF5">
              <w:rPr>
                <w:noProof/>
                <w:webHidden/>
              </w:rPr>
              <w:t>23</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83" w:history="1">
            <w:r w:rsidR="0021353C" w:rsidRPr="00186C7D">
              <w:rPr>
                <w:rStyle w:val="Hyperlink"/>
                <w:noProof/>
              </w:rPr>
              <w:t>4.5</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Developmental and Reproductive Toxicity</w:t>
            </w:r>
            <w:r w:rsidR="0021353C">
              <w:rPr>
                <w:noProof/>
                <w:webHidden/>
              </w:rPr>
              <w:tab/>
            </w:r>
            <w:r w:rsidR="0021353C">
              <w:rPr>
                <w:noProof/>
                <w:webHidden/>
              </w:rPr>
              <w:fldChar w:fldCharType="begin"/>
            </w:r>
            <w:r w:rsidR="0021353C">
              <w:rPr>
                <w:noProof/>
                <w:webHidden/>
              </w:rPr>
              <w:instrText xml:space="preserve"> PAGEREF _Toc25930283 \h </w:instrText>
            </w:r>
            <w:r w:rsidR="0021353C">
              <w:rPr>
                <w:noProof/>
                <w:webHidden/>
              </w:rPr>
            </w:r>
            <w:r w:rsidR="0021353C">
              <w:rPr>
                <w:noProof/>
                <w:webHidden/>
              </w:rPr>
              <w:fldChar w:fldCharType="separate"/>
            </w:r>
            <w:r w:rsidR="00DE0EF5">
              <w:rPr>
                <w:noProof/>
                <w:webHidden/>
              </w:rPr>
              <w:t>23</w:t>
            </w:r>
            <w:r w:rsidR="0021353C">
              <w:rPr>
                <w:noProof/>
                <w:webHidden/>
              </w:rPr>
              <w:fldChar w:fldCharType="end"/>
            </w:r>
          </w:hyperlink>
        </w:p>
        <w:p w:rsidR="0021353C" w:rsidRDefault="00D23E7D">
          <w:pPr>
            <w:pStyle w:val="TOC2"/>
            <w:tabs>
              <w:tab w:val="left" w:pos="1276"/>
            </w:tabs>
            <w:rPr>
              <w:rFonts w:asciiTheme="minorHAnsi" w:eastAsiaTheme="minorEastAsia" w:hAnsiTheme="minorHAnsi" w:cstheme="minorBidi"/>
              <w:b w:val="0"/>
              <w:noProof/>
              <w:sz w:val="22"/>
              <w:szCs w:val="22"/>
              <w:lang w:eastAsia="en-AU"/>
            </w:rPr>
          </w:pPr>
          <w:hyperlink w:anchor="_Toc25930284" w:history="1">
            <w:r w:rsidR="0021353C" w:rsidRPr="00186C7D">
              <w:rPr>
                <w:rStyle w:val="Hyperlink"/>
                <w:noProof/>
              </w:rPr>
              <w:t>4.6</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Local Tolerance</w:t>
            </w:r>
            <w:r w:rsidR="0021353C">
              <w:rPr>
                <w:noProof/>
                <w:webHidden/>
              </w:rPr>
              <w:tab/>
            </w:r>
            <w:r w:rsidR="0021353C">
              <w:rPr>
                <w:noProof/>
                <w:webHidden/>
              </w:rPr>
              <w:fldChar w:fldCharType="begin"/>
            </w:r>
            <w:r w:rsidR="0021353C">
              <w:rPr>
                <w:noProof/>
                <w:webHidden/>
              </w:rPr>
              <w:instrText xml:space="preserve"> PAGEREF _Toc25930284 \h </w:instrText>
            </w:r>
            <w:r w:rsidR="0021353C">
              <w:rPr>
                <w:noProof/>
                <w:webHidden/>
              </w:rPr>
            </w:r>
            <w:r w:rsidR="0021353C">
              <w:rPr>
                <w:noProof/>
                <w:webHidden/>
              </w:rPr>
              <w:fldChar w:fldCharType="separate"/>
            </w:r>
            <w:r w:rsidR="00DE0EF5">
              <w:rPr>
                <w:noProof/>
                <w:webHidden/>
              </w:rPr>
              <w:t>24</w:t>
            </w:r>
            <w:r w:rsidR="0021353C">
              <w:rPr>
                <w:noProof/>
                <w:webHidden/>
              </w:rPr>
              <w:fldChar w:fldCharType="end"/>
            </w:r>
          </w:hyperlink>
        </w:p>
        <w:p w:rsidR="0021353C" w:rsidRDefault="00D23E7D">
          <w:pPr>
            <w:pStyle w:val="TOC3"/>
            <w:tabs>
              <w:tab w:val="left" w:pos="1701"/>
            </w:tabs>
            <w:rPr>
              <w:rFonts w:asciiTheme="minorHAnsi" w:eastAsiaTheme="minorEastAsia" w:hAnsiTheme="minorHAnsi" w:cstheme="minorBidi"/>
              <w:b w:val="0"/>
              <w:noProof/>
              <w:szCs w:val="22"/>
              <w:lang w:eastAsia="en-AU"/>
            </w:rPr>
          </w:pPr>
          <w:hyperlink w:anchor="_Toc25930285" w:history="1">
            <w:r w:rsidR="0021353C" w:rsidRPr="00186C7D">
              <w:rPr>
                <w:rStyle w:val="Hyperlink"/>
                <w:noProof/>
              </w:rPr>
              <w:t>4.6.1</w:t>
            </w:r>
            <w:r w:rsidR="0021353C">
              <w:rPr>
                <w:rFonts w:asciiTheme="minorHAnsi" w:eastAsiaTheme="minorEastAsia" w:hAnsiTheme="minorHAnsi" w:cstheme="minorBidi"/>
                <w:b w:val="0"/>
                <w:noProof/>
                <w:szCs w:val="22"/>
                <w:lang w:eastAsia="en-AU"/>
              </w:rPr>
              <w:tab/>
            </w:r>
            <w:r w:rsidR="0021353C" w:rsidRPr="00186C7D">
              <w:rPr>
                <w:rStyle w:val="Hyperlink"/>
                <w:noProof/>
              </w:rPr>
              <w:t>Phototoxicity</w:t>
            </w:r>
            <w:r w:rsidR="0021353C">
              <w:rPr>
                <w:noProof/>
                <w:webHidden/>
              </w:rPr>
              <w:tab/>
            </w:r>
            <w:r w:rsidR="0021353C">
              <w:rPr>
                <w:noProof/>
                <w:webHidden/>
              </w:rPr>
              <w:fldChar w:fldCharType="begin"/>
            </w:r>
            <w:r w:rsidR="0021353C">
              <w:rPr>
                <w:noProof/>
                <w:webHidden/>
              </w:rPr>
              <w:instrText xml:space="preserve"> PAGEREF _Toc25930285 \h </w:instrText>
            </w:r>
            <w:r w:rsidR="0021353C">
              <w:rPr>
                <w:noProof/>
                <w:webHidden/>
              </w:rPr>
            </w:r>
            <w:r w:rsidR="0021353C">
              <w:rPr>
                <w:noProof/>
                <w:webHidden/>
              </w:rPr>
              <w:fldChar w:fldCharType="separate"/>
            </w:r>
            <w:r w:rsidR="00DE0EF5">
              <w:rPr>
                <w:noProof/>
                <w:webHidden/>
              </w:rPr>
              <w:t>25</w:t>
            </w:r>
            <w:r w:rsidR="0021353C">
              <w:rPr>
                <w:noProof/>
                <w:webHidden/>
              </w:rPr>
              <w:fldChar w:fldCharType="end"/>
            </w:r>
          </w:hyperlink>
        </w:p>
        <w:p w:rsidR="0021353C" w:rsidRDefault="00D23E7D">
          <w:pPr>
            <w:pStyle w:val="TOC1"/>
            <w:tabs>
              <w:tab w:val="left" w:pos="425"/>
            </w:tabs>
            <w:rPr>
              <w:rFonts w:asciiTheme="minorHAnsi" w:eastAsiaTheme="minorEastAsia" w:hAnsiTheme="minorHAnsi" w:cstheme="minorBidi"/>
              <w:b w:val="0"/>
              <w:noProof/>
              <w:sz w:val="22"/>
              <w:szCs w:val="22"/>
              <w:lang w:eastAsia="en-AU"/>
            </w:rPr>
          </w:pPr>
          <w:hyperlink w:anchor="_Toc25930286" w:history="1">
            <w:r w:rsidR="0021353C" w:rsidRPr="00186C7D">
              <w:rPr>
                <w:rStyle w:val="Hyperlink"/>
                <w:noProof/>
              </w:rPr>
              <w:t>5</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Human Studies &amp; Adverse Reactions</w:t>
            </w:r>
            <w:r w:rsidR="0021353C">
              <w:rPr>
                <w:noProof/>
                <w:webHidden/>
              </w:rPr>
              <w:tab/>
            </w:r>
            <w:r w:rsidR="0021353C">
              <w:rPr>
                <w:noProof/>
                <w:webHidden/>
              </w:rPr>
              <w:fldChar w:fldCharType="begin"/>
            </w:r>
            <w:r w:rsidR="0021353C">
              <w:rPr>
                <w:noProof/>
                <w:webHidden/>
              </w:rPr>
              <w:instrText xml:space="preserve"> PAGEREF _Toc25930286 \h </w:instrText>
            </w:r>
            <w:r w:rsidR="0021353C">
              <w:rPr>
                <w:noProof/>
                <w:webHidden/>
              </w:rPr>
            </w:r>
            <w:r w:rsidR="0021353C">
              <w:rPr>
                <w:noProof/>
                <w:webHidden/>
              </w:rPr>
              <w:fldChar w:fldCharType="separate"/>
            </w:r>
            <w:r w:rsidR="00DE0EF5">
              <w:rPr>
                <w:noProof/>
                <w:webHidden/>
              </w:rPr>
              <w:t>25</w:t>
            </w:r>
            <w:r w:rsidR="0021353C">
              <w:rPr>
                <w:noProof/>
                <w:webHidden/>
              </w:rPr>
              <w:fldChar w:fldCharType="end"/>
            </w:r>
          </w:hyperlink>
        </w:p>
        <w:p w:rsidR="0021353C" w:rsidRDefault="00D23E7D">
          <w:pPr>
            <w:pStyle w:val="TOC1"/>
            <w:tabs>
              <w:tab w:val="left" w:pos="425"/>
            </w:tabs>
            <w:rPr>
              <w:rFonts w:asciiTheme="minorHAnsi" w:eastAsiaTheme="minorEastAsia" w:hAnsiTheme="minorHAnsi" w:cstheme="minorBidi"/>
              <w:b w:val="0"/>
              <w:noProof/>
              <w:sz w:val="22"/>
              <w:szCs w:val="22"/>
              <w:lang w:eastAsia="en-AU"/>
            </w:rPr>
          </w:pPr>
          <w:hyperlink w:anchor="_Toc25930287" w:history="1">
            <w:r w:rsidR="0021353C" w:rsidRPr="00186C7D">
              <w:rPr>
                <w:rStyle w:val="Hyperlink"/>
                <w:noProof/>
              </w:rPr>
              <w:t>6</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Regulatory Considerations</w:t>
            </w:r>
            <w:r w:rsidR="0021353C">
              <w:rPr>
                <w:noProof/>
                <w:webHidden/>
              </w:rPr>
              <w:tab/>
            </w:r>
            <w:r w:rsidR="0021353C">
              <w:rPr>
                <w:noProof/>
                <w:webHidden/>
              </w:rPr>
              <w:fldChar w:fldCharType="begin"/>
            </w:r>
            <w:r w:rsidR="0021353C">
              <w:rPr>
                <w:noProof/>
                <w:webHidden/>
              </w:rPr>
              <w:instrText xml:space="preserve"> PAGEREF _Toc25930287 \h </w:instrText>
            </w:r>
            <w:r w:rsidR="0021353C">
              <w:rPr>
                <w:noProof/>
                <w:webHidden/>
              </w:rPr>
            </w:r>
            <w:r w:rsidR="0021353C">
              <w:rPr>
                <w:noProof/>
                <w:webHidden/>
              </w:rPr>
              <w:fldChar w:fldCharType="separate"/>
            </w:r>
            <w:r w:rsidR="00DE0EF5">
              <w:rPr>
                <w:noProof/>
                <w:webHidden/>
              </w:rPr>
              <w:t>26</w:t>
            </w:r>
            <w:r w:rsidR="0021353C">
              <w:rPr>
                <w:noProof/>
                <w:webHidden/>
              </w:rPr>
              <w:fldChar w:fldCharType="end"/>
            </w:r>
          </w:hyperlink>
        </w:p>
        <w:p w:rsidR="0021353C" w:rsidRDefault="00D23E7D">
          <w:pPr>
            <w:pStyle w:val="TOC1"/>
            <w:tabs>
              <w:tab w:val="left" w:pos="425"/>
            </w:tabs>
            <w:rPr>
              <w:rFonts w:asciiTheme="minorHAnsi" w:eastAsiaTheme="minorEastAsia" w:hAnsiTheme="minorHAnsi" w:cstheme="minorBidi"/>
              <w:b w:val="0"/>
              <w:noProof/>
              <w:sz w:val="22"/>
              <w:szCs w:val="22"/>
              <w:lang w:eastAsia="en-AU"/>
            </w:rPr>
          </w:pPr>
          <w:hyperlink w:anchor="_Toc25930288" w:history="1">
            <w:r w:rsidR="0021353C" w:rsidRPr="00186C7D">
              <w:rPr>
                <w:rStyle w:val="Hyperlink"/>
                <w:noProof/>
              </w:rPr>
              <w:t>7</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Conclusions</w:t>
            </w:r>
            <w:r w:rsidR="0021353C">
              <w:rPr>
                <w:noProof/>
                <w:webHidden/>
              </w:rPr>
              <w:tab/>
            </w:r>
            <w:r w:rsidR="0021353C">
              <w:rPr>
                <w:noProof/>
                <w:webHidden/>
              </w:rPr>
              <w:fldChar w:fldCharType="begin"/>
            </w:r>
            <w:r w:rsidR="0021353C">
              <w:rPr>
                <w:noProof/>
                <w:webHidden/>
              </w:rPr>
              <w:instrText xml:space="preserve"> PAGEREF _Toc25930288 \h </w:instrText>
            </w:r>
            <w:r w:rsidR="0021353C">
              <w:rPr>
                <w:noProof/>
                <w:webHidden/>
              </w:rPr>
            </w:r>
            <w:r w:rsidR="0021353C">
              <w:rPr>
                <w:noProof/>
                <w:webHidden/>
              </w:rPr>
              <w:fldChar w:fldCharType="separate"/>
            </w:r>
            <w:r w:rsidR="00DE0EF5">
              <w:rPr>
                <w:noProof/>
                <w:webHidden/>
              </w:rPr>
              <w:t>28</w:t>
            </w:r>
            <w:r w:rsidR="0021353C">
              <w:rPr>
                <w:noProof/>
                <w:webHidden/>
              </w:rPr>
              <w:fldChar w:fldCharType="end"/>
            </w:r>
          </w:hyperlink>
        </w:p>
        <w:p w:rsidR="0021353C" w:rsidRDefault="00D23E7D">
          <w:pPr>
            <w:pStyle w:val="TOC1"/>
            <w:tabs>
              <w:tab w:val="left" w:pos="425"/>
            </w:tabs>
            <w:rPr>
              <w:rFonts w:asciiTheme="minorHAnsi" w:eastAsiaTheme="minorEastAsia" w:hAnsiTheme="minorHAnsi" w:cstheme="minorBidi"/>
              <w:b w:val="0"/>
              <w:noProof/>
              <w:sz w:val="22"/>
              <w:szCs w:val="22"/>
              <w:lang w:eastAsia="en-AU"/>
            </w:rPr>
          </w:pPr>
          <w:hyperlink w:anchor="_Toc25930289" w:history="1">
            <w:r w:rsidR="0021353C" w:rsidRPr="00186C7D">
              <w:rPr>
                <w:rStyle w:val="Hyperlink"/>
                <w:noProof/>
              </w:rPr>
              <w:t>8</w:t>
            </w:r>
            <w:r w:rsidR="0021353C">
              <w:rPr>
                <w:rFonts w:asciiTheme="minorHAnsi" w:eastAsiaTheme="minorEastAsia" w:hAnsiTheme="minorHAnsi" w:cstheme="minorBidi"/>
                <w:b w:val="0"/>
                <w:noProof/>
                <w:sz w:val="22"/>
                <w:szCs w:val="22"/>
                <w:lang w:eastAsia="en-AU"/>
              </w:rPr>
              <w:tab/>
            </w:r>
            <w:r w:rsidR="0021353C" w:rsidRPr="00186C7D">
              <w:rPr>
                <w:rStyle w:val="Hyperlink"/>
                <w:noProof/>
              </w:rPr>
              <w:t>References</w:t>
            </w:r>
            <w:r w:rsidR="0021353C">
              <w:rPr>
                <w:noProof/>
                <w:webHidden/>
              </w:rPr>
              <w:tab/>
            </w:r>
            <w:r w:rsidR="0021353C">
              <w:rPr>
                <w:noProof/>
                <w:webHidden/>
              </w:rPr>
              <w:fldChar w:fldCharType="begin"/>
            </w:r>
            <w:r w:rsidR="0021353C">
              <w:rPr>
                <w:noProof/>
                <w:webHidden/>
              </w:rPr>
              <w:instrText xml:space="preserve"> PAGEREF _Toc25930289 \h </w:instrText>
            </w:r>
            <w:r w:rsidR="0021353C">
              <w:rPr>
                <w:noProof/>
                <w:webHidden/>
              </w:rPr>
            </w:r>
            <w:r w:rsidR="0021353C">
              <w:rPr>
                <w:noProof/>
                <w:webHidden/>
              </w:rPr>
              <w:fldChar w:fldCharType="separate"/>
            </w:r>
            <w:r w:rsidR="00DE0EF5">
              <w:rPr>
                <w:noProof/>
                <w:webHidden/>
              </w:rPr>
              <w:t>29</w:t>
            </w:r>
            <w:r w:rsidR="0021353C">
              <w:rPr>
                <w:noProof/>
                <w:webHidden/>
              </w:rPr>
              <w:fldChar w:fldCharType="end"/>
            </w:r>
          </w:hyperlink>
        </w:p>
        <w:p w:rsidR="00BF5B8E" w:rsidRPr="0021353C" w:rsidRDefault="00BF5B8E" w:rsidP="0021353C">
          <w:pPr>
            <w:spacing w:before="0" w:after="0" w:line="240" w:lineRule="auto"/>
            <w:rPr>
              <w:sz w:val="2"/>
              <w:szCs w:val="2"/>
            </w:rPr>
          </w:pPr>
          <w:r w:rsidRPr="00215D48">
            <w:fldChar w:fldCharType="end"/>
          </w:r>
        </w:p>
      </w:sdtContent>
    </w:sdt>
    <w:p w:rsidR="00BF5B8E" w:rsidRPr="00344DCE" w:rsidRDefault="00BF5B8E" w:rsidP="0021353C">
      <w:pPr>
        <w:pStyle w:val="Heading2"/>
        <w:numPr>
          <w:ilvl w:val="0"/>
          <w:numId w:val="0"/>
        </w:numPr>
        <w:spacing w:before="0"/>
        <w:ind w:left="992" w:hanging="992"/>
        <w:rPr>
          <w:rFonts w:cs="Arial"/>
          <w:sz w:val="32"/>
        </w:rPr>
      </w:pPr>
      <w:bookmarkStart w:id="0" w:name="_Toc25652424"/>
      <w:bookmarkStart w:id="1" w:name="_Toc25930260"/>
      <w:bookmarkStart w:id="2" w:name="_Toc323739589"/>
      <w:bookmarkStart w:id="3" w:name="_Toc356305216"/>
      <w:r w:rsidRPr="00344DCE">
        <w:lastRenderedPageBreak/>
        <w:t>Abbreviations</w:t>
      </w:r>
      <w:bookmarkEnd w:id="0"/>
      <w:bookmarkEnd w:id="1"/>
    </w:p>
    <w:p w:rsidR="00BF5B8E" w:rsidRPr="00344DCE" w:rsidRDefault="00BF5B8E" w:rsidP="008A65A8">
      <w:pPr>
        <w:tabs>
          <w:tab w:val="right" w:leader="dot" w:pos="8504"/>
        </w:tabs>
      </w:pPr>
      <w:r w:rsidRPr="00344DCE">
        <w:t>ADI</w:t>
      </w:r>
      <w:r w:rsidRPr="00344DCE">
        <w:tab/>
        <w:t>Acceptable Daily Intake</w:t>
      </w:r>
    </w:p>
    <w:p w:rsidR="00BF5B8E" w:rsidRPr="00344DCE" w:rsidRDefault="00BF5B8E" w:rsidP="008A65A8">
      <w:pPr>
        <w:tabs>
          <w:tab w:val="right" w:leader="dot" w:pos="8504"/>
        </w:tabs>
      </w:pPr>
      <w:r w:rsidRPr="00344DCE">
        <w:t>ARTG</w:t>
      </w:r>
      <w:r w:rsidRPr="00344DCE">
        <w:tab/>
        <w:t>Australian Register of Therapeutic Goods</w:t>
      </w:r>
    </w:p>
    <w:p w:rsidR="00BF5B8E" w:rsidRPr="00344DCE" w:rsidRDefault="00BF5B8E" w:rsidP="008A65A8">
      <w:pPr>
        <w:tabs>
          <w:tab w:val="right" w:leader="dot" w:pos="8504"/>
        </w:tabs>
      </w:pPr>
      <w:proofErr w:type="spellStart"/>
      <w:r w:rsidRPr="00344DCE">
        <w:t>bw</w:t>
      </w:r>
      <w:proofErr w:type="spellEnd"/>
      <w:r w:rsidRPr="00344DCE">
        <w:tab/>
        <w:t>body weight</w:t>
      </w:r>
    </w:p>
    <w:p w:rsidR="00BF5B8E" w:rsidRPr="00344DCE" w:rsidRDefault="00BF5B8E" w:rsidP="008A65A8">
      <w:pPr>
        <w:tabs>
          <w:tab w:val="right" w:leader="dot" w:pos="8504"/>
        </w:tabs>
      </w:pPr>
      <w:r w:rsidRPr="00344DCE">
        <w:t>CE</w:t>
      </w:r>
      <w:r w:rsidRPr="00344DCE">
        <w:tab/>
        <w:t>coumarin-3,</w:t>
      </w:r>
      <w:proofErr w:type="gramStart"/>
      <w:r w:rsidRPr="00344DCE">
        <w:t>4,-</w:t>
      </w:r>
      <w:proofErr w:type="gramEnd"/>
      <w:r w:rsidRPr="00344DCE">
        <w:t>epoxide</w:t>
      </w:r>
    </w:p>
    <w:p w:rsidR="00BF5B8E" w:rsidRPr="00344DCE" w:rsidRDefault="00BF5B8E" w:rsidP="008A65A8">
      <w:pPr>
        <w:tabs>
          <w:tab w:val="right" w:leader="dot" w:pos="8504"/>
        </w:tabs>
      </w:pPr>
      <w:r w:rsidRPr="00344DCE">
        <w:t>cm</w:t>
      </w:r>
      <w:r w:rsidRPr="00344DCE">
        <w:tab/>
        <w:t>centimetre</w:t>
      </w:r>
    </w:p>
    <w:p w:rsidR="00BF5B8E" w:rsidRPr="00344DCE" w:rsidRDefault="00BF5B8E" w:rsidP="008A65A8">
      <w:pPr>
        <w:tabs>
          <w:tab w:val="right" w:leader="dot" w:pos="8504"/>
        </w:tabs>
      </w:pPr>
      <w:r w:rsidRPr="00344DCE">
        <w:t>EC</w:t>
      </w:r>
      <w:r w:rsidRPr="00344DCE">
        <w:tab/>
        <w:t>European Commission</w:t>
      </w:r>
    </w:p>
    <w:p w:rsidR="00BF5B8E" w:rsidRPr="00344DCE" w:rsidRDefault="00BF5B8E" w:rsidP="008A65A8">
      <w:pPr>
        <w:tabs>
          <w:tab w:val="right" w:leader="dot" w:pos="8504"/>
        </w:tabs>
      </w:pPr>
      <w:r w:rsidRPr="00344DCE">
        <w:t>EDI</w:t>
      </w:r>
      <w:r w:rsidRPr="00344DCE">
        <w:tab/>
        <w:t>Estimated Daily Intake</w:t>
      </w:r>
    </w:p>
    <w:p w:rsidR="00BF5B8E" w:rsidRPr="00344DCE" w:rsidRDefault="00BF5B8E" w:rsidP="008A65A8">
      <w:pPr>
        <w:tabs>
          <w:tab w:val="right" w:leader="dot" w:pos="8504"/>
        </w:tabs>
      </w:pPr>
      <w:r w:rsidRPr="00344DCE">
        <w:t>EFSA</w:t>
      </w:r>
      <w:r w:rsidRPr="00344DCE">
        <w:tab/>
        <w:t>European Food Safety Authority</w:t>
      </w:r>
    </w:p>
    <w:p w:rsidR="00BF5B8E" w:rsidRPr="00344DCE" w:rsidRDefault="00BF5B8E" w:rsidP="008A65A8">
      <w:pPr>
        <w:tabs>
          <w:tab w:val="right" w:leader="dot" w:pos="8504"/>
        </w:tabs>
      </w:pPr>
      <w:r w:rsidRPr="00344DCE">
        <w:t>FDA</w:t>
      </w:r>
      <w:r w:rsidRPr="00344DCE">
        <w:tab/>
        <w:t>Food and Drug Administration</w:t>
      </w:r>
    </w:p>
    <w:p w:rsidR="00BF5B8E" w:rsidRPr="00344DCE" w:rsidRDefault="00BF5B8E" w:rsidP="008A65A8">
      <w:pPr>
        <w:tabs>
          <w:tab w:val="right" w:leader="dot" w:pos="8504"/>
        </w:tabs>
      </w:pPr>
      <w:r w:rsidRPr="00344DCE">
        <w:t>g</w:t>
      </w:r>
      <w:r w:rsidRPr="00344DCE">
        <w:tab/>
        <w:t>gram</w:t>
      </w:r>
    </w:p>
    <w:p w:rsidR="00BF5B8E" w:rsidRPr="00344DCE" w:rsidRDefault="00BF5B8E" w:rsidP="008A65A8">
      <w:pPr>
        <w:tabs>
          <w:tab w:val="right" w:leader="dot" w:pos="8504"/>
        </w:tabs>
      </w:pPr>
      <w:r w:rsidRPr="00344DCE">
        <w:t>IFRA</w:t>
      </w:r>
      <w:r w:rsidRPr="00344DCE">
        <w:tab/>
        <w:t>International Fragrance Association</w:t>
      </w:r>
    </w:p>
    <w:p w:rsidR="00BF5B8E" w:rsidRPr="00344DCE" w:rsidRDefault="00BF5B8E" w:rsidP="008A65A8">
      <w:pPr>
        <w:tabs>
          <w:tab w:val="right" w:leader="dot" w:pos="8504"/>
        </w:tabs>
      </w:pPr>
      <w:r w:rsidRPr="00344DCE">
        <w:t>IMAP</w:t>
      </w:r>
      <w:r w:rsidRPr="00344DCE">
        <w:tab/>
        <w:t>Inventory Multi-</w:t>
      </w:r>
      <w:proofErr w:type="gramStart"/>
      <w:r w:rsidRPr="00344DCE">
        <w:t>tiered</w:t>
      </w:r>
      <w:proofErr w:type="gramEnd"/>
      <w:r w:rsidRPr="00344DCE">
        <w:t xml:space="preserve"> Assessment and Prioritisation</w:t>
      </w:r>
    </w:p>
    <w:p w:rsidR="00BF5B8E" w:rsidRPr="00344DCE" w:rsidRDefault="00BF5B8E" w:rsidP="008A65A8">
      <w:pPr>
        <w:tabs>
          <w:tab w:val="right" w:leader="dot" w:pos="8504"/>
        </w:tabs>
      </w:pPr>
      <w:r w:rsidRPr="00344DCE">
        <w:t>kg</w:t>
      </w:r>
      <w:r w:rsidRPr="00344DCE">
        <w:tab/>
        <w:t>kilogram</w:t>
      </w:r>
    </w:p>
    <w:p w:rsidR="00BF5B8E" w:rsidRPr="00344DCE" w:rsidRDefault="00BF5B8E" w:rsidP="008A65A8">
      <w:pPr>
        <w:tabs>
          <w:tab w:val="right" w:leader="dot" w:pos="8504"/>
        </w:tabs>
      </w:pPr>
      <w:r w:rsidRPr="00344DCE">
        <w:t>mg</w:t>
      </w:r>
      <w:r w:rsidRPr="00344DCE">
        <w:tab/>
        <w:t>milligram</w:t>
      </w:r>
    </w:p>
    <w:p w:rsidR="00BF5B8E" w:rsidRPr="00344DCE" w:rsidRDefault="00BF5B8E" w:rsidP="008A65A8">
      <w:pPr>
        <w:tabs>
          <w:tab w:val="right" w:leader="dot" w:pos="8504"/>
        </w:tabs>
      </w:pPr>
      <w:r w:rsidRPr="00344DCE">
        <w:t>mL</w:t>
      </w:r>
      <w:r w:rsidRPr="00344DCE">
        <w:tab/>
        <w:t>millilitre</w:t>
      </w:r>
    </w:p>
    <w:p w:rsidR="00BF5B8E" w:rsidRPr="00344DCE" w:rsidRDefault="00BF5B8E" w:rsidP="008A65A8">
      <w:pPr>
        <w:tabs>
          <w:tab w:val="right" w:leader="dot" w:pos="8504"/>
        </w:tabs>
      </w:pPr>
      <w:proofErr w:type="spellStart"/>
      <w:r w:rsidRPr="00344DCE">
        <w:t>MoS</w:t>
      </w:r>
      <w:proofErr w:type="spellEnd"/>
      <w:r w:rsidRPr="00344DCE">
        <w:tab/>
        <w:t>Margin of Safety</w:t>
      </w:r>
    </w:p>
    <w:p w:rsidR="00BF5B8E" w:rsidRPr="00344DCE" w:rsidRDefault="00BF5B8E" w:rsidP="008A65A8">
      <w:pPr>
        <w:tabs>
          <w:tab w:val="right" w:leader="dot" w:pos="8504"/>
        </w:tabs>
      </w:pPr>
      <w:r w:rsidRPr="00344DCE">
        <w:t>NICNAS</w:t>
      </w:r>
      <w:r w:rsidRPr="00344DCE">
        <w:tab/>
        <w:t>National Industrial Chemicals Notification and Assessment Scheme</w:t>
      </w:r>
    </w:p>
    <w:p w:rsidR="00BF5B8E" w:rsidRPr="00344DCE" w:rsidRDefault="00BF5B8E" w:rsidP="008A65A8">
      <w:pPr>
        <w:tabs>
          <w:tab w:val="right" w:leader="dot" w:pos="8504"/>
        </w:tabs>
      </w:pPr>
      <w:r w:rsidRPr="00344DCE">
        <w:t>NOAEL</w:t>
      </w:r>
      <w:r w:rsidRPr="00344DCE">
        <w:tab/>
        <w:t>No Observed Adverse Event Level</w:t>
      </w:r>
    </w:p>
    <w:p w:rsidR="00BF5B8E" w:rsidRPr="00344DCE" w:rsidRDefault="00BF5B8E" w:rsidP="008A65A8">
      <w:pPr>
        <w:tabs>
          <w:tab w:val="right" w:leader="dot" w:pos="8504"/>
        </w:tabs>
      </w:pPr>
      <w:r w:rsidRPr="00344DCE">
        <w:t>NTP</w:t>
      </w:r>
      <w:r w:rsidRPr="00344DCE">
        <w:tab/>
        <w:t>National Toxicology Program</w:t>
      </w:r>
    </w:p>
    <w:p w:rsidR="00BF5B8E" w:rsidRPr="00344DCE" w:rsidRDefault="00BF5B8E" w:rsidP="008A65A8">
      <w:pPr>
        <w:tabs>
          <w:tab w:val="right" w:leader="dot" w:pos="8504"/>
        </w:tabs>
      </w:pPr>
      <w:r w:rsidRPr="00344DCE">
        <w:rPr>
          <w:i/>
        </w:rPr>
        <w:t>o</w:t>
      </w:r>
      <w:r w:rsidRPr="00344DCE">
        <w:t>-HPA</w:t>
      </w:r>
      <w:r w:rsidRPr="00344DCE">
        <w:rPr>
          <w:i/>
        </w:rPr>
        <w:tab/>
      </w:r>
      <w:proofErr w:type="spellStart"/>
      <w:r w:rsidRPr="00344DCE">
        <w:rPr>
          <w:i/>
        </w:rPr>
        <w:t>ortho</w:t>
      </w:r>
      <w:r w:rsidRPr="00344DCE">
        <w:t>-hydroxyphenylacetaldehyde</w:t>
      </w:r>
      <w:proofErr w:type="spellEnd"/>
    </w:p>
    <w:p w:rsidR="00BF5B8E" w:rsidRPr="00344DCE" w:rsidRDefault="00BF5B8E" w:rsidP="008A65A8">
      <w:pPr>
        <w:tabs>
          <w:tab w:val="right" w:leader="dot" w:pos="8504"/>
        </w:tabs>
      </w:pPr>
      <w:r w:rsidRPr="00344DCE">
        <w:rPr>
          <w:i/>
        </w:rPr>
        <w:t>o</w:t>
      </w:r>
      <w:r w:rsidRPr="00344DCE">
        <w:t>-HPAA</w:t>
      </w:r>
      <w:r w:rsidRPr="00344DCE">
        <w:rPr>
          <w:i/>
        </w:rPr>
        <w:tab/>
      </w:r>
      <w:proofErr w:type="spellStart"/>
      <w:r w:rsidRPr="00344DCE">
        <w:rPr>
          <w:i/>
        </w:rPr>
        <w:t>ortho</w:t>
      </w:r>
      <w:r w:rsidRPr="00344DCE">
        <w:t>-hydroxyphenylacetic</w:t>
      </w:r>
      <w:proofErr w:type="spellEnd"/>
      <w:r w:rsidRPr="00344DCE">
        <w:t xml:space="preserve"> acid</w:t>
      </w:r>
    </w:p>
    <w:p w:rsidR="00BF5B8E" w:rsidRPr="00344DCE" w:rsidRDefault="00BF5B8E" w:rsidP="008A65A8">
      <w:pPr>
        <w:tabs>
          <w:tab w:val="right" w:leader="dot" w:pos="8504"/>
        </w:tabs>
      </w:pPr>
      <w:r w:rsidRPr="00344DCE">
        <w:t>PI</w:t>
      </w:r>
      <w:r w:rsidRPr="00344DCE">
        <w:tab/>
        <w:t>Proprietary Ingredient</w:t>
      </w:r>
    </w:p>
    <w:p w:rsidR="00BF5B8E" w:rsidRPr="00344DCE" w:rsidRDefault="00BF5B8E" w:rsidP="008A65A8">
      <w:pPr>
        <w:tabs>
          <w:tab w:val="right" w:leader="dot" w:pos="8504"/>
        </w:tabs>
      </w:pPr>
      <w:r w:rsidRPr="00344DCE">
        <w:t>ppm</w:t>
      </w:r>
      <w:r w:rsidRPr="00344DCE">
        <w:tab/>
        <w:t>parts per million</w:t>
      </w:r>
    </w:p>
    <w:p w:rsidR="00BF5B8E" w:rsidRDefault="00BF5B8E" w:rsidP="008A65A8">
      <w:pPr>
        <w:tabs>
          <w:tab w:val="right" w:leader="dot" w:pos="8504"/>
        </w:tabs>
      </w:pPr>
      <w:r>
        <w:t>RIFM</w:t>
      </w:r>
      <w:r>
        <w:tab/>
        <w:t>Research Institute for Fragrance Materials</w:t>
      </w:r>
    </w:p>
    <w:p w:rsidR="00BF5B8E" w:rsidRPr="00344DCE" w:rsidRDefault="00BF5B8E" w:rsidP="008A65A8">
      <w:pPr>
        <w:tabs>
          <w:tab w:val="right" w:leader="dot" w:pos="8504"/>
        </w:tabs>
      </w:pPr>
      <w:r w:rsidRPr="00344DCE">
        <w:t>SUSMP</w:t>
      </w:r>
      <w:r w:rsidRPr="00344DCE">
        <w:tab/>
        <w:t>Standard for the Uniform Scheduling of Medicines and Poisons</w:t>
      </w:r>
    </w:p>
    <w:p w:rsidR="00BF5B8E" w:rsidRPr="00344DCE" w:rsidRDefault="00BF5B8E" w:rsidP="008A65A8">
      <w:pPr>
        <w:tabs>
          <w:tab w:val="right" w:leader="dot" w:pos="8504"/>
        </w:tabs>
      </w:pPr>
      <w:r w:rsidRPr="00344DCE">
        <w:t>TDI</w:t>
      </w:r>
      <w:r w:rsidRPr="00344DCE">
        <w:tab/>
        <w:t>Tolerable Daily Intake</w:t>
      </w:r>
    </w:p>
    <w:p w:rsidR="00BF5B8E" w:rsidRPr="00344DCE" w:rsidRDefault="00BF5B8E" w:rsidP="008A65A8">
      <w:pPr>
        <w:tabs>
          <w:tab w:val="right" w:leader="dot" w:pos="8504"/>
        </w:tabs>
      </w:pPr>
      <w:r w:rsidRPr="00344DCE">
        <w:t>TGA</w:t>
      </w:r>
      <w:r w:rsidRPr="00344DCE">
        <w:tab/>
        <w:t>Therapeutic Goods Administration</w:t>
      </w:r>
    </w:p>
    <w:p w:rsidR="00BF5B8E" w:rsidRPr="00344DCE" w:rsidRDefault="00BF5B8E" w:rsidP="008A65A8">
      <w:pPr>
        <w:tabs>
          <w:tab w:val="right" w:leader="dot" w:pos="8504"/>
        </w:tabs>
      </w:pPr>
      <w:proofErr w:type="spellStart"/>
      <w:r w:rsidRPr="00344DCE">
        <w:rPr>
          <w:i/>
        </w:rPr>
        <w:t>Uf</w:t>
      </w:r>
      <w:proofErr w:type="spellEnd"/>
      <w:r w:rsidRPr="00344DCE">
        <w:tab/>
        <w:t>uncertainty factor</w:t>
      </w:r>
    </w:p>
    <w:p w:rsidR="00BF5B8E" w:rsidRPr="00344DCE" w:rsidRDefault="00BF5B8E" w:rsidP="008A65A8">
      <w:pPr>
        <w:tabs>
          <w:tab w:val="right" w:leader="dot" w:pos="8504"/>
        </w:tabs>
      </w:pPr>
      <w:r w:rsidRPr="00344DCE">
        <w:t>WHO</w:t>
      </w:r>
      <w:r w:rsidRPr="00344DCE">
        <w:tab/>
        <w:t>World Health Organization</w:t>
      </w:r>
    </w:p>
    <w:p w:rsidR="00BF5B8E" w:rsidRPr="00344DCE" w:rsidRDefault="00BF5B8E" w:rsidP="008A65A8">
      <w:pPr>
        <w:tabs>
          <w:tab w:val="right" w:leader="dot" w:pos="8504"/>
        </w:tabs>
      </w:pPr>
      <w:r w:rsidRPr="00344DCE">
        <w:t>/</w:t>
      </w:r>
      <w:r w:rsidRPr="00344DCE">
        <w:tab/>
        <w:t>per</w:t>
      </w:r>
    </w:p>
    <w:p w:rsidR="00BF5B8E" w:rsidRPr="00344DCE" w:rsidRDefault="00BF5B8E" w:rsidP="000E0E79">
      <w:pPr>
        <w:pStyle w:val="Heading2"/>
      </w:pPr>
      <w:bookmarkStart w:id="4" w:name="_Toc516662751"/>
      <w:bookmarkStart w:id="5" w:name="_Ref519683353"/>
      <w:bookmarkStart w:id="6" w:name="_Ref519683358"/>
      <w:bookmarkStart w:id="7" w:name="_Toc25652425"/>
      <w:bookmarkStart w:id="8" w:name="_Toc25930261"/>
      <w:r w:rsidRPr="00344DCE">
        <w:lastRenderedPageBreak/>
        <w:t>Introduction</w:t>
      </w:r>
      <w:bookmarkEnd w:id="4"/>
      <w:bookmarkEnd w:id="5"/>
      <w:bookmarkEnd w:id="6"/>
      <w:bookmarkEnd w:id="7"/>
      <w:bookmarkEnd w:id="8"/>
    </w:p>
    <w:p w:rsidR="00BF5B8E" w:rsidRPr="00344DCE" w:rsidRDefault="00BF5B8E" w:rsidP="008A65A8">
      <w:bookmarkStart w:id="9" w:name="_Toc371428104"/>
      <w:bookmarkStart w:id="10" w:name="_Toc424647350"/>
      <w:proofErr w:type="spellStart"/>
      <w:r w:rsidRPr="00344DCE">
        <w:t>Coumarin</w:t>
      </w:r>
      <w:proofErr w:type="spellEnd"/>
      <w:r w:rsidRPr="00344DCE">
        <w:t xml:space="preserve"> is a naturally occurring organic chemical compound found in a number of food products, such as cassia cinnamon and </w:t>
      </w:r>
      <w:proofErr w:type="spellStart"/>
      <w:r w:rsidRPr="00344DCE">
        <w:t>tonka</w:t>
      </w:r>
      <w:proofErr w:type="spellEnd"/>
      <w:r w:rsidRPr="00344DCE">
        <w:t xml:space="preserve"> bean and is described as having a “hay-like” and “new-mown hay” odour (Clark, 1995). Commercially, </w:t>
      </w:r>
      <w:proofErr w:type="spellStart"/>
      <w:r w:rsidRPr="00344DCE">
        <w:t>coumarin</w:t>
      </w:r>
      <w:proofErr w:type="spellEnd"/>
      <w:r w:rsidRPr="00344DCE">
        <w:t xml:space="preserve"> is used for its fragrance properties and is estimated to be included in 90% of cosmetic and other fragranced products. In listed (low-risk) medicines, </w:t>
      </w:r>
      <w:proofErr w:type="spellStart"/>
      <w:r w:rsidRPr="00344DCE">
        <w:t>coumarin</w:t>
      </w:r>
      <w:proofErr w:type="spellEnd"/>
      <w:r w:rsidRPr="00344DCE">
        <w:t xml:space="preserve"> has been found in proprietary fragrance formulations included within products such as sunscreens, baby</w:t>
      </w:r>
      <w:r w:rsidR="0021353C">
        <w:t xml:space="preserve"> powders and nappy rash creams.</w:t>
      </w:r>
    </w:p>
    <w:p w:rsidR="00BF5B8E" w:rsidRPr="00344DCE" w:rsidRDefault="00BF5B8E" w:rsidP="008A65A8">
      <w:r w:rsidRPr="00344DCE">
        <w:t xml:space="preserve">Listed medicines are self-selected by consumers and used for self-treatment. Under the TGA’s </w:t>
      </w:r>
      <w:hyperlink r:id="rId12" w:history="1">
        <w:r w:rsidRPr="00344DCE">
          <w:rPr>
            <w:rStyle w:val="Hyperlink"/>
          </w:rPr>
          <w:t>regulatory framework</w:t>
        </w:r>
      </w:hyperlink>
      <w:r w:rsidRPr="00344DCE">
        <w:t>, the low-risk associated with listed medicines is maintained by ensuring only ingredients that are demonstrably safe (and continue to be safe according to current evidence) be in</w:t>
      </w:r>
      <w:r w:rsidR="0021353C">
        <w:t>cluded within these products.</w:t>
      </w:r>
    </w:p>
    <w:p w:rsidR="00BF5B8E" w:rsidRPr="00344DCE" w:rsidRDefault="00BF5B8E" w:rsidP="008A65A8">
      <w:proofErr w:type="spellStart"/>
      <w:r w:rsidRPr="00344DCE">
        <w:t>Coumarin</w:t>
      </w:r>
      <w:proofErr w:type="spellEnd"/>
      <w:r w:rsidRPr="00344DCE">
        <w:t xml:space="preserve"> is considered a Schedule 4 Poison (prescription only medicine) when used as an active ingredient and is currently available for use in listed medicines only as an active homeopathic ingredient when limited to a concentration of 0.001%. This 0.001% limit also applies to </w:t>
      </w:r>
      <w:proofErr w:type="spellStart"/>
      <w:r w:rsidRPr="00344DCE">
        <w:t>coumarin</w:t>
      </w:r>
      <w:proofErr w:type="spellEnd"/>
      <w:r w:rsidRPr="00344DCE">
        <w:t xml:space="preserve"> when included in certain herbal ingredients (such as </w:t>
      </w:r>
      <w:proofErr w:type="spellStart"/>
      <w:r w:rsidRPr="00344DCE">
        <w:rPr>
          <w:i/>
        </w:rPr>
        <w:t>Cinnamomum</w:t>
      </w:r>
      <w:proofErr w:type="spellEnd"/>
      <w:r w:rsidRPr="00344DCE">
        <w:t xml:space="preserve"> spp.).</w:t>
      </w:r>
    </w:p>
    <w:p w:rsidR="00BF5B8E" w:rsidRPr="00344DCE" w:rsidRDefault="00BF5B8E" w:rsidP="008A65A8">
      <w:r w:rsidRPr="00344DCE">
        <w:t xml:space="preserve">However, </w:t>
      </w:r>
      <w:proofErr w:type="spellStart"/>
      <w:r w:rsidRPr="00344DCE">
        <w:t>coumarin</w:t>
      </w:r>
      <w:proofErr w:type="spellEnd"/>
      <w:r w:rsidRPr="00344DCE">
        <w:t xml:space="preserve"> (as a chemical ingredient) is </w:t>
      </w:r>
      <w:r w:rsidRPr="0021353C">
        <w:rPr>
          <w:b/>
        </w:rPr>
        <w:t>not</w:t>
      </w:r>
      <w:r w:rsidRPr="00344DCE">
        <w:t xml:space="preserve"> currently approved for use as an excipient in listed medicines. On 11 September 2018, there were 118 listed medicines identified by the TGA which contain the chemical ingredient ‘</w:t>
      </w:r>
      <w:proofErr w:type="spellStart"/>
      <w:r w:rsidRPr="00344DCE">
        <w:t>coumarin</w:t>
      </w:r>
      <w:proofErr w:type="spellEnd"/>
      <w:r w:rsidRPr="00344DCE">
        <w:t xml:space="preserve">’ and are not compliant with TGA requirements, by virtue of containing an ingredient that is not approved for that use. Each of these medicines contain </w:t>
      </w:r>
      <w:proofErr w:type="spellStart"/>
      <w:r w:rsidRPr="00344DCE">
        <w:t>coumarin</w:t>
      </w:r>
      <w:proofErr w:type="spellEnd"/>
      <w:r w:rsidRPr="00344DCE">
        <w:t xml:space="preserve"> as an ingredient within a fragrance Proprietary</w:t>
      </w:r>
      <w:r w:rsidR="0021353C">
        <w:t xml:space="preserve"> Ingredient formulation (‘PI’).</w:t>
      </w:r>
    </w:p>
    <w:p w:rsidR="00BF5B8E" w:rsidRPr="00344DCE" w:rsidRDefault="00BF5B8E" w:rsidP="008A65A8">
      <w:r w:rsidRPr="00344DCE">
        <w:t xml:space="preserve">A preliminary investigation into the safety of </w:t>
      </w:r>
      <w:proofErr w:type="spellStart"/>
      <w:r w:rsidRPr="00344DCE">
        <w:t>coumarin</w:t>
      </w:r>
      <w:proofErr w:type="spellEnd"/>
      <w:r w:rsidRPr="00344DCE">
        <w:t xml:space="preserve"> identified that there were potential safety concerns of hepatotoxicity, carcinogenicity and skin sensitisation. This review will consider these safety concerns and inform whether </w:t>
      </w:r>
      <w:proofErr w:type="spellStart"/>
      <w:r w:rsidRPr="00344DCE">
        <w:t>coumarin</w:t>
      </w:r>
      <w:proofErr w:type="spellEnd"/>
      <w:r w:rsidRPr="00344DCE">
        <w:t xml:space="preserve"> is appropriate for topical use in</w:t>
      </w:r>
      <w:r w:rsidR="0021353C">
        <w:t xml:space="preserve"> listed medicines in Australia.</w:t>
      </w:r>
    </w:p>
    <w:p w:rsidR="00BF5B8E" w:rsidRPr="00344DCE" w:rsidRDefault="00BF5B8E" w:rsidP="000E0E79">
      <w:pPr>
        <w:pStyle w:val="Heading3"/>
      </w:pPr>
      <w:bookmarkStart w:id="11" w:name="_Toc516662752"/>
      <w:bookmarkStart w:id="12" w:name="_Ref516666297"/>
      <w:bookmarkStart w:id="13" w:name="_Ref516666305"/>
      <w:bookmarkStart w:id="14" w:name="_Toc25652426"/>
      <w:bookmarkStart w:id="15" w:name="_Toc25930262"/>
      <w:r w:rsidRPr="00344DCE">
        <w:t xml:space="preserve">Therapeutic </w:t>
      </w:r>
      <w:r w:rsidR="0021353C">
        <w:t>u</w:t>
      </w:r>
      <w:r w:rsidRPr="00344DCE">
        <w:t>s</w:t>
      </w:r>
      <w:bookmarkEnd w:id="9"/>
      <w:bookmarkEnd w:id="10"/>
      <w:r w:rsidRPr="00344DCE">
        <w:t>e</w:t>
      </w:r>
      <w:bookmarkEnd w:id="11"/>
      <w:bookmarkEnd w:id="12"/>
      <w:bookmarkEnd w:id="13"/>
      <w:r w:rsidRPr="00344DCE">
        <w:t xml:space="preserve"> </w:t>
      </w:r>
      <w:r w:rsidR="0021353C">
        <w:t>u</w:t>
      </w:r>
      <w:r w:rsidRPr="00344DCE">
        <w:t xml:space="preserve">nder </w:t>
      </w:r>
      <w:r w:rsidR="0021353C">
        <w:t>c</w:t>
      </w:r>
      <w:r w:rsidRPr="00344DCE">
        <w:t>onsideration</w:t>
      </w:r>
      <w:bookmarkEnd w:id="14"/>
      <w:bookmarkEnd w:id="15"/>
    </w:p>
    <w:p w:rsidR="00BF5B8E" w:rsidRPr="00344DCE" w:rsidRDefault="00BF5B8E" w:rsidP="008A65A8">
      <w:r w:rsidRPr="00344DCE">
        <w:t>As the chemical ingredient ‘</w:t>
      </w:r>
      <w:proofErr w:type="spellStart"/>
      <w:r w:rsidRPr="00344DCE">
        <w:t>coumarin</w:t>
      </w:r>
      <w:proofErr w:type="spellEnd"/>
      <w:r w:rsidRPr="00344DCE">
        <w:t xml:space="preserve">’ is currently only included in listed medicines which are for topical administration, this review will only consider the safety of </w:t>
      </w:r>
      <w:proofErr w:type="spellStart"/>
      <w:r w:rsidRPr="00344DCE">
        <w:t>coumarin</w:t>
      </w:r>
      <w:proofErr w:type="spellEnd"/>
      <w:r w:rsidRPr="00344DCE">
        <w:t xml:space="preserve"> for topical use.</w:t>
      </w:r>
    </w:p>
    <w:p w:rsidR="00BF5B8E" w:rsidRPr="00344DCE" w:rsidRDefault="00BF5B8E" w:rsidP="000E0E79">
      <w:pPr>
        <w:pStyle w:val="Heading3"/>
      </w:pPr>
      <w:bookmarkStart w:id="16" w:name="_Toc516662753"/>
      <w:bookmarkStart w:id="17" w:name="_Toc25652427"/>
      <w:bookmarkStart w:id="18" w:name="_Toc25930263"/>
      <w:r w:rsidRPr="00344DCE">
        <w:t xml:space="preserve">Identifiers and </w:t>
      </w:r>
      <w:r w:rsidR="0021353C">
        <w:t>s</w:t>
      </w:r>
      <w:r w:rsidRPr="00344DCE">
        <w:t>ynonyms</w:t>
      </w:r>
      <w:bookmarkEnd w:id="16"/>
      <w:bookmarkEnd w:id="17"/>
      <w:bookmarkEnd w:id="18"/>
    </w:p>
    <w:p w:rsidR="00BF5B8E" w:rsidRPr="00CF066C" w:rsidRDefault="00BF5B8E" w:rsidP="00455127">
      <w:r w:rsidRPr="00CF066C">
        <w:t>Chemical Abstracts Service ID:</w:t>
      </w:r>
      <w:r w:rsidRPr="00CF066C">
        <w:tab/>
        <w:t>91-64-5</w:t>
      </w:r>
    </w:p>
    <w:p w:rsidR="00BF5B8E" w:rsidRPr="00CF066C" w:rsidRDefault="0021353C" w:rsidP="00455127">
      <w:r>
        <w:t xml:space="preserve">Accepted name: </w:t>
      </w:r>
      <w:r w:rsidR="00BF5B8E" w:rsidRPr="00CF066C">
        <w:t>2H-1-Benzopyran-2-one</w:t>
      </w:r>
    </w:p>
    <w:p w:rsidR="00BF5B8E" w:rsidRPr="00CF066C" w:rsidRDefault="0021353C" w:rsidP="00455127">
      <w:r>
        <w:t xml:space="preserve">Synonym: </w:t>
      </w:r>
      <w:r w:rsidR="00BF5B8E" w:rsidRPr="00CF066C">
        <w:t>2-Propenoic acid, 3-(2-hydroxyphenyl)-, δ-lactone</w:t>
      </w:r>
    </w:p>
    <w:p w:rsidR="00BF5B8E" w:rsidRPr="00CF066C" w:rsidRDefault="0021353C" w:rsidP="00455127">
      <w:r>
        <w:t xml:space="preserve">Common name: </w:t>
      </w:r>
      <w:proofErr w:type="spellStart"/>
      <w:r w:rsidR="00BF5B8E" w:rsidRPr="00CF066C">
        <w:t>Coumarin</w:t>
      </w:r>
      <w:proofErr w:type="spellEnd"/>
    </w:p>
    <w:p w:rsidR="00BF5B8E" w:rsidRPr="00344DCE" w:rsidRDefault="00BF5B8E" w:rsidP="008A65A8">
      <w:pPr>
        <w:keepNext/>
        <w:jc w:val="center"/>
      </w:pPr>
      <w:r w:rsidRPr="00344DCE">
        <w:rPr>
          <w:noProof/>
          <w:lang w:eastAsia="en-AU"/>
        </w:rPr>
        <w:drawing>
          <wp:inline distT="0" distB="0" distL="0" distR="0" wp14:anchorId="3DE18726" wp14:editId="100A827E">
            <wp:extent cx="1854343" cy="974785"/>
            <wp:effectExtent l="0" t="0" r="0" b="0"/>
            <wp:docPr id="7" name="Picture 7" descr="Chemical structure of courm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854343" cy="974785"/>
                    </a:xfrm>
                    <a:prstGeom prst="rect">
                      <a:avLst/>
                    </a:prstGeom>
                    <a:ln>
                      <a:noFill/>
                    </a:ln>
                    <a:extLst>
                      <a:ext uri="{53640926-AAD7-44D8-BBD7-CCE9431645EC}">
                        <a14:shadowObscured xmlns:a14="http://schemas.microsoft.com/office/drawing/2010/main"/>
                      </a:ext>
                    </a:extLst>
                  </pic:spPr>
                </pic:pic>
              </a:graphicData>
            </a:graphic>
          </wp:inline>
        </w:drawing>
      </w:r>
    </w:p>
    <w:p w:rsidR="00BF5B8E" w:rsidRPr="008A65A8" w:rsidRDefault="00BF5B8E" w:rsidP="00455127">
      <w:pPr>
        <w:pStyle w:val="Figuretitle"/>
      </w:pPr>
      <w:r w:rsidRPr="008A65A8">
        <w:t xml:space="preserve">Figure </w:t>
      </w:r>
      <w:r w:rsidR="000E0E79" w:rsidRPr="008A65A8">
        <w:t>1</w:t>
      </w:r>
      <w:r w:rsidRPr="008A65A8">
        <w:t>.</w:t>
      </w:r>
      <w:r w:rsidR="00D23E7D">
        <w:fldChar w:fldCharType="begin"/>
      </w:r>
      <w:r w:rsidR="00D23E7D">
        <w:instrText xml:space="preserve"> SEQ Figure \* ARABIC \s 1 </w:instrText>
      </w:r>
      <w:r w:rsidR="00D23E7D">
        <w:fldChar w:fldCharType="separate"/>
      </w:r>
      <w:r w:rsidR="007C34B5">
        <w:rPr>
          <w:noProof/>
        </w:rPr>
        <w:t>1</w:t>
      </w:r>
      <w:r w:rsidR="00D23E7D">
        <w:rPr>
          <w:noProof/>
        </w:rPr>
        <w:fldChar w:fldCharType="end"/>
      </w:r>
      <w:r w:rsidRPr="008A65A8">
        <w:t xml:space="preserve">: Chemical structure of </w:t>
      </w:r>
      <w:proofErr w:type="spellStart"/>
      <w:r w:rsidRPr="008A65A8">
        <w:t>coumarin</w:t>
      </w:r>
      <w:proofErr w:type="spellEnd"/>
      <w:r w:rsidRPr="008A65A8">
        <w:t xml:space="preserve"> (U.S. National Library of Medicine - Toxicology Data Network)</w:t>
      </w:r>
    </w:p>
    <w:p w:rsidR="00BF5B8E" w:rsidRPr="00344DCE" w:rsidRDefault="00BF5B8E" w:rsidP="0021353C">
      <w:pPr>
        <w:pStyle w:val="Heading2"/>
      </w:pPr>
      <w:bookmarkStart w:id="19" w:name="_Toc424647352"/>
      <w:bookmarkStart w:id="20" w:name="_Toc516662755"/>
      <w:bookmarkStart w:id="21" w:name="_Toc25652428"/>
      <w:bookmarkStart w:id="22" w:name="_Toc25930264"/>
      <w:r w:rsidRPr="00344DCE">
        <w:lastRenderedPageBreak/>
        <w:t xml:space="preserve">History and </w:t>
      </w:r>
      <w:r w:rsidR="0021353C">
        <w:t>p</w:t>
      </w:r>
      <w:r w:rsidRPr="00344DCE">
        <w:t xml:space="preserve">revious </w:t>
      </w:r>
      <w:r w:rsidR="0021353C">
        <w:t>h</w:t>
      </w:r>
      <w:r w:rsidRPr="00344DCE">
        <w:t xml:space="preserve">uman </w:t>
      </w:r>
      <w:r w:rsidR="0021353C">
        <w:t>u</w:t>
      </w:r>
      <w:r w:rsidRPr="00344DCE">
        <w:t>se</w:t>
      </w:r>
      <w:bookmarkEnd w:id="19"/>
      <w:bookmarkEnd w:id="20"/>
      <w:bookmarkEnd w:id="21"/>
      <w:bookmarkEnd w:id="22"/>
    </w:p>
    <w:p w:rsidR="00BF5B8E" w:rsidRPr="00344DCE" w:rsidRDefault="0021353C" w:rsidP="0021353C">
      <w:pPr>
        <w:pStyle w:val="Heading3"/>
      </w:pPr>
      <w:bookmarkStart w:id="23" w:name="_Toc516662756"/>
      <w:bookmarkStart w:id="24" w:name="_Ref519691309"/>
      <w:bookmarkStart w:id="25" w:name="_Ref519691313"/>
      <w:bookmarkStart w:id="26" w:name="_Toc25652429"/>
      <w:bookmarkStart w:id="27" w:name="_Toc25930265"/>
      <w:r>
        <w:t>Regulatory s</w:t>
      </w:r>
      <w:r w:rsidR="00BF5B8E" w:rsidRPr="00344DCE">
        <w:t>tatus</w:t>
      </w:r>
      <w:bookmarkEnd w:id="23"/>
      <w:bookmarkEnd w:id="24"/>
      <w:bookmarkEnd w:id="25"/>
      <w:bookmarkEnd w:id="26"/>
      <w:bookmarkEnd w:id="27"/>
    </w:p>
    <w:p w:rsidR="00BF5B8E" w:rsidRPr="00344DCE" w:rsidRDefault="00BF5B8E" w:rsidP="0021353C">
      <w:pPr>
        <w:pStyle w:val="Heading4"/>
      </w:pPr>
      <w:bookmarkStart w:id="28" w:name="_Toc25652430"/>
      <w:bookmarkStart w:id="29" w:name="_Toc25930266"/>
      <w:r w:rsidRPr="00344DCE">
        <w:t>Australia</w:t>
      </w:r>
      <w:bookmarkEnd w:id="28"/>
      <w:bookmarkEnd w:id="29"/>
    </w:p>
    <w:p w:rsidR="00BF5B8E" w:rsidRPr="00344DCE" w:rsidRDefault="00BF5B8E" w:rsidP="0021353C">
      <w:pPr>
        <w:pStyle w:val="Heading5"/>
      </w:pPr>
      <w:r w:rsidRPr="00344DCE">
        <w:t>Use in prescription medicines</w:t>
      </w:r>
    </w:p>
    <w:p w:rsidR="00BF5B8E" w:rsidRPr="00344DCE" w:rsidRDefault="00BF5B8E" w:rsidP="008A65A8">
      <w:r w:rsidRPr="00344DCE">
        <w:t xml:space="preserve">Prescription medicines containing </w:t>
      </w:r>
      <w:proofErr w:type="spellStart"/>
      <w:r w:rsidRPr="00344DCE">
        <w:t>coumarin</w:t>
      </w:r>
      <w:proofErr w:type="spellEnd"/>
      <w:r w:rsidRPr="00344DCE">
        <w:t xml:space="preserve"> as an active ingredient became available to the Australian public in July 1993 (</w:t>
      </w:r>
      <w:proofErr w:type="spellStart"/>
      <w:r w:rsidRPr="00344DCE">
        <w:t>Casley</w:t>
      </w:r>
      <w:proofErr w:type="spellEnd"/>
      <w:r w:rsidRPr="00344DCE">
        <w:t xml:space="preserve">-Smith &amp; </w:t>
      </w:r>
      <w:proofErr w:type="spellStart"/>
      <w:r w:rsidRPr="00344DCE">
        <w:t>Casley</w:t>
      </w:r>
      <w:proofErr w:type="spellEnd"/>
      <w:r w:rsidRPr="00344DCE">
        <w:t xml:space="preserve">-Smith, 1995) as a treatment for </w:t>
      </w:r>
      <w:proofErr w:type="spellStart"/>
      <w:r w:rsidRPr="00344DCE">
        <w:t>lymphoedema</w:t>
      </w:r>
      <w:proofErr w:type="spellEnd"/>
      <w:r w:rsidRPr="00344DCE">
        <w:t xml:space="preserve">. During the course of its use, 10 hepatotoxicity adverse events associated with </w:t>
      </w:r>
      <w:proofErr w:type="spellStart"/>
      <w:r w:rsidRPr="00344DCE">
        <w:t>coumarin</w:t>
      </w:r>
      <w:proofErr w:type="spellEnd"/>
      <w:r w:rsidRPr="00344DCE">
        <w:t xml:space="preserve"> (including 2 fatalities) were reported to the Australian Drug Evaluation Committee. Three years after general availability, the registration of </w:t>
      </w:r>
      <w:proofErr w:type="spellStart"/>
      <w:r w:rsidRPr="00344DCE">
        <w:t>coumarin</w:t>
      </w:r>
      <w:proofErr w:type="spellEnd"/>
      <w:r w:rsidRPr="00344DCE">
        <w:t>-active medicines were cancelled (World Health Organization [‘WHO’], 1996) and dermally-applied products were cancelled shortly thereafter.</w:t>
      </w:r>
    </w:p>
    <w:p w:rsidR="00BF5B8E" w:rsidRPr="00344DCE" w:rsidRDefault="00BF5B8E" w:rsidP="008A65A8">
      <w:pPr>
        <w:pStyle w:val="Heading5"/>
      </w:pPr>
      <w:bookmarkStart w:id="30" w:name="_Ref2003577"/>
      <w:r w:rsidRPr="008A65A8">
        <w:t>Scheduling</w:t>
      </w:r>
      <w:r w:rsidRPr="00344DCE">
        <w:t xml:space="preserve"> status</w:t>
      </w:r>
      <w:bookmarkEnd w:id="30"/>
    </w:p>
    <w:p w:rsidR="00BF5B8E" w:rsidRPr="00344DCE" w:rsidRDefault="00BF5B8E" w:rsidP="008A65A8">
      <w:r w:rsidRPr="00344DCE">
        <w:t xml:space="preserve">Currently, the Standard for the Uniform Scheduling of Medicines and Poisons (‘SUSMP’) lists </w:t>
      </w:r>
      <w:proofErr w:type="spellStart"/>
      <w:r w:rsidRPr="00344DCE">
        <w:t>coumarin</w:t>
      </w:r>
      <w:proofErr w:type="spellEnd"/>
      <w:r w:rsidRPr="00344DCE">
        <w:t xml:space="preserve"> “for therapeutic use (excluding when present as an excipient)” under Part 4, Schedule 4. </w:t>
      </w:r>
      <w:proofErr w:type="spellStart"/>
      <w:r w:rsidRPr="00344DCE">
        <w:t>Coumarin</w:t>
      </w:r>
      <w:proofErr w:type="spellEnd"/>
      <w:r w:rsidRPr="00344DCE">
        <w:t xml:space="preserve"> was included in Schedule 4 of the SUSMP following consideration of the Drug and Poisons Schedule Standing Committee in June 1991 (Meeting Number 61). The Scheduling of </w:t>
      </w:r>
      <w:proofErr w:type="spellStart"/>
      <w:r w:rsidRPr="00344DCE">
        <w:t>coumarin</w:t>
      </w:r>
      <w:proofErr w:type="spellEnd"/>
      <w:r w:rsidRPr="00344DCE">
        <w:t xml:space="preserve"> was considered on 3 further occasions since this time; however, these considerations were limited to the definition and effect of the qualifier within the entry referring to ‘therapeutic use’. Under Schedule 4, Item 3(c) of the </w:t>
      </w:r>
      <w:r w:rsidRPr="00344DCE">
        <w:rPr>
          <w:i/>
        </w:rPr>
        <w:t>Therapeutic Goods Regulations 1990</w:t>
      </w:r>
      <w:r w:rsidRPr="00344DCE">
        <w:t xml:space="preserve">, this would preclude </w:t>
      </w:r>
      <w:proofErr w:type="spellStart"/>
      <w:r w:rsidRPr="00344DCE">
        <w:t>coumarin</w:t>
      </w:r>
      <w:proofErr w:type="spellEnd"/>
      <w:r w:rsidRPr="00344DCE">
        <w:t xml:space="preserve"> as an active ingredient in listed medicines above a concentration of 0.001% (Part 1, paragraph (2)(j) of SUSMP). </w:t>
      </w:r>
      <w:proofErr w:type="spellStart"/>
      <w:r w:rsidRPr="00344DCE">
        <w:t>Coumarin</w:t>
      </w:r>
      <w:proofErr w:type="spellEnd"/>
      <w:r w:rsidRPr="00344DCE">
        <w:t xml:space="preserve"> is available as an active ingredient in homoeopathic medicines; however, is not currently used in this way for any listed medicines.</w:t>
      </w:r>
    </w:p>
    <w:p w:rsidR="00BF5B8E" w:rsidRPr="00344DCE" w:rsidRDefault="00BF5B8E" w:rsidP="008A65A8">
      <w:pPr>
        <w:keepNext/>
      </w:pPr>
      <w:r w:rsidRPr="00344DCE">
        <w:t xml:space="preserve">Consideration of the SUSMP Scheduling resulted in an amendment to the Therapeutic Goods (Permissible Ingredients) Determination (‘the Determination’) in September 2017. This amendment required sponsors of listed medicines to declare the content of </w:t>
      </w:r>
      <w:proofErr w:type="spellStart"/>
      <w:r w:rsidRPr="00344DCE">
        <w:t>coumarin</w:t>
      </w:r>
      <w:proofErr w:type="spellEnd"/>
      <w:r w:rsidRPr="00344DCE">
        <w:t xml:space="preserve"> if those medicines contained the following active ingredients:</w:t>
      </w:r>
    </w:p>
    <w:p w:rsidR="0021353C" w:rsidRDefault="0021353C" w:rsidP="0021353C">
      <w:pPr>
        <w:pStyle w:val="ListBullet"/>
        <w:spacing w:before="80" w:after="80"/>
      </w:pPr>
      <w:proofErr w:type="spellStart"/>
      <w:r w:rsidRPr="004A3BF8">
        <w:rPr>
          <w:i/>
        </w:rPr>
        <w:t>Anthoxanthum</w:t>
      </w:r>
      <w:proofErr w:type="spellEnd"/>
      <w:r w:rsidRPr="004A3BF8">
        <w:rPr>
          <w:i/>
        </w:rPr>
        <w:t xml:space="preserve"> </w:t>
      </w:r>
      <w:proofErr w:type="spellStart"/>
      <w:r w:rsidRPr="004A3BF8">
        <w:rPr>
          <w:i/>
        </w:rPr>
        <w:t>odoratum</w:t>
      </w:r>
      <w:proofErr w:type="spellEnd"/>
      <w:r>
        <w:t>;</w:t>
      </w:r>
    </w:p>
    <w:p w:rsidR="0021353C" w:rsidRDefault="0021353C" w:rsidP="0021353C">
      <w:pPr>
        <w:pStyle w:val="ListBullet"/>
        <w:spacing w:before="80" w:after="80"/>
      </w:pPr>
      <w:r>
        <w:t>cassia cinnamon bark dry;</w:t>
      </w:r>
    </w:p>
    <w:p w:rsidR="0021353C" w:rsidRDefault="0021353C" w:rsidP="0021353C">
      <w:pPr>
        <w:pStyle w:val="ListBullet"/>
        <w:spacing w:before="80" w:after="80"/>
      </w:pPr>
      <w:r>
        <w:t>cassia cinnamon bark powder;</w:t>
      </w:r>
    </w:p>
    <w:p w:rsidR="0021353C" w:rsidRDefault="0021353C" w:rsidP="0021353C">
      <w:pPr>
        <w:pStyle w:val="ListBullet"/>
        <w:spacing w:before="80" w:after="80"/>
      </w:pPr>
      <w:proofErr w:type="spellStart"/>
      <w:r w:rsidRPr="004A3BF8">
        <w:rPr>
          <w:i/>
        </w:rPr>
        <w:t>Cinnamomum</w:t>
      </w:r>
      <w:proofErr w:type="spellEnd"/>
      <w:r w:rsidRPr="004A3BF8">
        <w:rPr>
          <w:i/>
        </w:rPr>
        <w:t xml:space="preserve"> </w:t>
      </w:r>
      <w:proofErr w:type="spellStart"/>
      <w:r w:rsidRPr="004A3BF8">
        <w:rPr>
          <w:i/>
        </w:rPr>
        <w:t>camphora</w:t>
      </w:r>
      <w:proofErr w:type="spellEnd"/>
      <w:r>
        <w:t>;</w:t>
      </w:r>
    </w:p>
    <w:p w:rsidR="0021353C" w:rsidRDefault="0021353C" w:rsidP="0021353C">
      <w:pPr>
        <w:pStyle w:val="ListBullet"/>
        <w:spacing w:before="80" w:after="80"/>
      </w:pPr>
      <w:proofErr w:type="spellStart"/>
      <w:r w:rsidRPr="004A3BF8">
        <w:rPr>
          <w:i/>
        </w:rPr>
        <w:t>Cinnamomum</w:t>
      </w:r>
      <w:proofErr w:type="spellEnd"/>
      <w:r w:rsidRPr="004A3BF8">
        <w:rPr>
          <w:i/>
        </w:rPr>
        <w:t xml:space="preserve"> cassia</w:t>
      </w:r>
      <w:r>
        <w:t>;</w:t>
      </w:r>
    </w:p>
    <w:p w:rsidR="0021353C" w:rsidRDefault="0021353C" w:rsidP="0021353C">
      <w:pPr>
        <w:pStyle w:val="ListBullet"/>
        <w:spacing w:before="80" w:after="80"/>
      </w:pPr>
      <w:proofErr w:type="spellStart"/>
      <w:r w:rsidRPr="004A3BF8">
        <w:rPr>
          <w:i/>
        </w:rPr>
        <w:t>Cinnamomum</w:t>
      </w:r>
      <w:proofErr w:type="spellEnd"/>
      <w:r w:rsidRPr="004A3BF8">
        <w:rPr>
          <w:i/>
        </w:rPr>
        <w:t xml:space="preserve"> </w:t>
      </w:r>
      <w:proofErr w:type="spellStart"/>
      <w:r w:rsidRPr="004A3BF8">
        <w:rPr>
          <w:i/>
        </w:rPr>
        <w:t>verum</w:t>
      </w:r>
      <w:proofErr w:type="spellEnd"/>
      <w:r>
        <w:t>;</w:t>
      </w:r>
    </w:p>
    <w:p w:rsidR="0021353C" w:rsidRDefault="0021353C" w:rsidP="0021353C">
      <w:pPr>
        <w:pStyle w:val="ListBullet"/>
        <w:spacing w:before="80" w:after="80"/>
      </w:pPr>
      <w:r>
        <w:t>cinnamon bark oil;</w:t>
      </w:r>
    </w:p>
    <w:p w:rsidR="0021353C" w:rsidRDefault="0021353C" w:rsidP="0021353C">
      <w:pPr>
        <w:pStyle w:val="ListBullet"/>
        <w:spacing w:before="80" w:after="80"/>
      </w:pPr>
      <w:r>
        <w:t>cinnamon dry;</w:t>
      </w:r>
    </w:p>
    <w:p w:rsidR="0021353C" w:rsidRDefault="0021353C" w:rsidP="0021353C">
      <w:pPr>
        <w:pStyle w:val="ListBullet"/>
        <w:spacing w:before="80" w:after="80"/>
      </w:pPr>
      <w:r>
        <w:t>cinnamon leaf oil;</w:t>
      </w:r>
    </w:p>
    <w:p w:rsidR="0021353C" w:rsidRDefault="0021353C" w:rsidP="0021353C">
      <w:pPr>
        <w:pStyle w:val="ListBullet"/>
        <w:spacing w:before="80" w:after="80"/>
      </w:pPr>
      <w:r>
        <w:t>cinnamon powder;</w:t>
      </w:r>
    </w:p>
    <w:p w:rsidR="0021353C" w:rsidRDefault="0021353C" w:rsidP="0021353C">
      <w:pPr>
        <w:pStyle w:val="ListBullet"/>
        <w:spacing w:before="80" w:after="80"/>
      </w:pPr>
      <w:proofErr w:type="spellStart"/>
      <w:r w:rsidRPr="004A3BF8">
        <w:rPr>
          <w:i/>
        </w:rPr>
        <w:t>Dipteryx</w:t>
      </w:r>
      <w:proofErr w:type="spellEnd"/>
      <w:r w:rsidRPr="004A3BF8">
        <w:rPr>
          <w:i/>
        </w:rPr>
        <w:t xml:space="preserve"> </w:t>
      </w:r>
      <w:proofErr w:type="spellStart"/>
      <w:r w:rsidRPr="004A3BF8">
        <w:rPr>
          <w:i/>
        </w:rPr>
        <w:t>odorata</w:t>
      </w:r>
      <w:proofErr w:type="spellEnd"/>
      <w:r>
        <w:t>;</w:t>
      </w:r>
    </w:p>
    <w:p w:rsidR="0021353C" w:rsidRDefault="0021353C" w:rsidP="0021353C">
      <w:pPr>
        <w:pStyle w:val="ListBullet"/>
        <w:spacing w:before="80" w:after="80"/>
      </w:pPr>
      <w:proofErr w:type="spellStart"/>
      <w:r w:rsidRPr="004A3BF8">
        <w:rPr>
          <w:i/>
        </w:rPr>
        <w:t>Galium</w:t>
      </w:r>
      <w:proofErr w:type="spellEnd"/>
      <w:r w:rsidRPr="004A3BF8">
        <w:rPr>
          <w:i/>
        </w:rPr>
        <w:t xml:space="preserve"> </w:t>
      </w:r>
      <w:proofErr w:type="spellStart"/>
      <w:r w:rsidRPr="004A3BF8">
        <w:rPr>
          <w:i/>
        </w:rPr>
        <w:t>odoratum</w:t>
      </w:r>
      <w:proofErr w:type="spellEnd"/>
      <w:r>
        <w:t>;</w:t>
      </w:r>
    </w:p>
    <w:p w:rsidR="0021353C" w:rsidRDefault="0021353C" w:rsidP="0021353C">
      <w:pPr>
        <w:pStyle w:val="ListBullet"/>
        <w:spacing w:before="80" w:after="80"/>
      </w:pPr>
      <w:proofErr w:type="spellStart"/>
      <w:r w:rsidRPr="004A3BF8">
        <w:rPr>
          <w:i/>
        </w:rPr>
        <w:t>Melilotus</w:t>
      </w:r>
      <w:proofErr w:type="spellEnd"/>
      <w:r w:rsidRPr="004A3BF8">
        <w:rPr>
          <w:i/>
        </w:rPr>
        <w:t xml:space="preserve"> </w:t>
      </w:r>
      <w:proofErr w:type="spellStart"/>
      <w:r w:rsidRPr="004A3BF8">
        <w:rPr>
          <w:i/>
        </w:rPr>
        <w:t>officinalis</w:t>
      </w:r>
      <w:proofErr w:type="spellEnd"/>
      <w:r>
        <w:t>.</w:t>
      </w:r>
    </w:p>
    <w:p w:rsidR="00BF5B8E" w:rsidRPr="00344DCE" w:rsidRDefault="00BF5B8E" w:rsidP="0021353C">
      <w:pPr>
        <w:pStyle w:val="Heading5"/>
      </w:pPr>
      <w:r w:rsidRPr="00344DCE">
        <w:lastRenderedPageBreak/>
        <w:t>Presence in listed medicines</w:t>
      </w:r>
    </w:p>
    <w:p w:rsidR="00BF5B8E" w:rsidRPr="00344DCE" w:rsidRDefault="00BF5B8E" w:rsidP="008A65A8">
      <w:r w:rsidRPr="00344DCE">
        <w:t xml:space="preserve">On 11 September 2018, a search of the Australian Register of Therapeutic Goods (‘ARTG’) indicated that </w:t>
      </w:r>
      <w:proofErr w:type="spellStart"/>
      <w:r w:rsidRPr="00344DCE">
        <w:t>coumarin</w:t>
      </w:r>
      <w:proofErr w:type="spellEnd"/>
      <w:r w:rsidRPr="00344DCE">
        <w:t xml:space="preserve"> is an ingredient within 118 listed medicines, all with a dermal route of administration. Of these 118 listed medicines, 77 were sunscreen products and 10 were intended for use on babies or for the whole family (i.e. for treatment of rash).</w:t>
      </w:r>
    </w:p>
    <w:p w:rsidR="00BF5B8E" w:rsidRPr="00344DCE" w:rsidRDefault="00BF5B8E" w:rsidP="008A65A8">
      <w:r w:rsidRPr="00344DCE">
        <w:t xml:space="preserve">Since the establishment of the Determination in 2016, before a PI can be granted availability for use in listed medicines, all ingredients within a PI formulation must be included in and meet the safety requirements for inclusion in the Determination; however, 81 fragrance PIs containing </w:t>
      </w:r>
      <w:proofErr w:type="spellStart"/>
      <w:r w:rsidRPr="00344DCE">
        <w:t>coumarin</w:t>
      </w:r>
      <w:proofErr w:type="spellEnd"/>
      <w:r w:rsidRPr="00344DCE">
        <w:t xml:space="preserve"> were granted listed medicines availability prior to this requirement. The concentration of fragrance PIs in listed medicines is limited to 1% or less of the final medicine. Historically, TGA did not frequently capture the quantities of the individual excipient ingredients within a PI. A single listed medicine may contain multiple fragrance PIs, leading to an unknown concentration of any particular PI excipient ingredients (such as </w:t>
      </w:r>
      <w:proofErr w:type="spellStart"/>
      <w:r w:rsidRPr="00344DCE">
        <w:t>coumarin</w:t>
      </w:r>
      <w:proofErr w:type="spellEnd"/>
      <w:r w:rsidRPr="00344DCE">
        <w:t>) in the final medicine.</w:t>
      </w:r>
    </w:p>
    <w:p w:rsidR="00BF5B8E" w:rsidRPr="00344DCE" w:rsidRDefault="00BF5B8E" w:rsidP="000E0E79">
      <w:pPr>
        <w:pStyle w:val="Heading5"/>
      </w:pPr>
      <w:r w:rsidRPr="00344DCE">
        <w:t>Presence in food and cosmetics</w:t>
      </w:r>
    </w:p>
    <w:p w:rsidR="00BF5B8E" w:rsidRPr="00344DCE" w:rsidRDefault="00BF5B8E" w:rsidP="008A65A8">
      <w:r w:rsidRPr="00344DCE">
        <w:t xml:space="preserve">The Australia New Zealand Food Standards Code sets out a maximum </w:t>
      </w:r>
      <w:proofErr w:type="spellStart"/>
      <w:r w:rsidRPr="00344DCE">
        <w:t>coumarin</w:t>
      </w:r>
      <w:proofErr w:type="spellEnd"/>
      <w:r w:rsidRPr="00344DCE">
        <w:t xml:space="preserve"> concentration of 10mg/kg (0.001%) in alcoholic beverages (Schedule 19) and restricts </w:t>
      </w:r>
      <w:proofErr w:type="spellStart"/>
      <w:r w:rsidRPr="00344DCE">
        <w:rPr>
          <w:i/>
        </w:rPr>
        <w:t>Cinnamomum</w:t>
      </w:r>
      <w:proofErr w:type="spellEnd"/>
      <w:r w:rsidRPr="00344DCE">
        <w:rPr>
          <w:i/>
        </w:rPr>
        <w:t xml:space="preserve"> </w:t>
      </w:r>
      <w:proofErr w:type="spellStart"/>
      <w:r w:rsidRPr="00344DCE">
        <w:rPr>
          <w:i/>
        </w:rPr>
        <w:t>camphora</w:t>
      </w:r>
      <w:proofErr w:type="spellEnd"/>
      <w:r w:rsidRPr="00344DCE">
        <w:t xml:space="preserve"> and </w:t>
      </w:r>
      <w:r w:rsidRPr="00344DCE">
        <w:rPr>
          <w:i/>
        </w:rPr>
        <w:t xml:space="preserve">C. </w:t>
      </w:r>
      <w:proofErr w:type="spellStart"/>
      <w:r w:rsidRPr="00344DCE">
        <w:rPr>
          <w:i/>
        </w:rPr>
        <w:t>micranthum</w:t>
      </w:r>
      <w:proofErr w:type="spellEnd"/>
      <w:r w:rsidRPr="00344DCE">
        <w:t xml:space="preserve"> from sale as food due to </w:t>
      </w:r>
      <w:proofErr w:type="spellStart"/>
      <w:r w:rsidRPr="00344DCE">
        <w:t>coumarin</w:t>
      </w:r>
      <w:proofErr w:type="spellEnd"/>
      <w:r w:rsidRPr="00344DCE">
        <w:t xml:space="preserve"> being a natural toxicant (Schedule 24).</w:t>
      </w:r>
    </w:p>
    <w:p w:rsidR="00BF5B8E" w:rsidRPr="00344DCE" w:rsidRDefault="00BF5B8E" w:rsidP="008A65A8">
      <w:r w:rsidRPr="00344DCE">
        <w:t xml:space="preserve">The National Industrial Chemicals Notification and Assessment Scheme [‘NICNAS’] </w:t>
      </w:r>
      <w:r>
        <w:rPr>
          <w:noProof/>
        </w:rPr>
        <w:t>(n.d.)</w:t>
      </w:r>
      <w:r w:rsidRPr="00344DCE">
        <w:t xml:space="preserve"> </w:t>
      </w:r>
      <w:proofErr w:type="spellStart"/>
      <w:r w:rsidRPr="00344DCE">
        <w:t>perfomed</w:t>
      </w:r>
      <w:proofErr w:type="spellEnd"/>
      <w:r w:rsidRPr="00344DCE">
        <w:t xml:space="preserve"> an accelerated assessment under the Inventory Multi-</w:t>
      </w:r>
      <w:proofErr w:type="gramStart"/>
      <w:r w:rsidRPr="00344DCE">
        <w:t>tiered</w:t>
      </w:r>
      <w:proofErr w:type="gramEnd"/>
      <w:r w:rsidRPr="00344DCE">
        <w:t xml:space="preserve"> Assessment and Prioritisation (‘IMAP’) framework for </w:t>
      </w:r>
      <w:proofErr w:type="spellStart"/>
      <w:r w:rsidRPr="00344DCE">
        <w:t>coumarins</w:t>
      </w:r>
      <w:proofErr w:type="spellEnd"/>
      <w:r w:rsidRPr="00344DCE">
        <w:t xml:space="preserve">, and was not isolated to </w:t>
      </w:r>
      <w:proofErr w:type="spellStart"/>
      <w:r w:rsidRPr="00344DCE">
        <w:t>coumarin</w:t>
      </w:r>
      <w:proofErr w:type="spellEnd"/>
      <w:r w:rsidRPr="00344DCE">
        <w:t xml:space="preserve">. This IMAP report concludes that </w:t>
      </w:r>
      <w:proofErr w:type="spellStart"/>
      <w:r w:rsidRPr="00344DCE">
        <w:t>coumarin</w:t>
      </w:r>
      <w:proofErr w:type="spellEnd"/>
      <w:r w:rsidRPr="00344DCE">
        <w:t xml:space="preserve"> be categorised as acutely toxic and the labelling and classification of </w:t>
      </w:r>
      <w:proofErr w:type="spellStart"/>
      <w:r w:rsidRPr="00344DCE">
        <w:t>coumarin</w:t>
      </w:r>
      <w:proofErr w:type="spellEnd"/>
      <w:r w:rsidRPr="00344DCE">
        <w:t xml:space="preserve"> should reflect the associated safety risks.</w:t>
      </w:r>
    </w:p>
    <w:p w:rsidR="00BF5B8E" w:rsidRPr="00344DCE" w:rsidRDefault="00BF5B8E" w:rsidP="000E0E79">
      <w:pPr>
        <w:pStyle w:val="Heading4"/>
      </w:pPr>
      <w:bookmarkStart w:id="31" w:name="_Toc25652431"/>
      <w:bookmarkStart w:id="32" w:name="_Toc25930267"/>
      <w:r w:rsidRPr="00344DCE">
        <w:t>International</w:t>
      </w:r>
      <w:bookmarkEnd w:id="31"/>
      <w:bookmarkEnd w:id="32"/>
    </w:p>
    <w:p w:rsidR="00BF5B8E" w:rsidRPr="00344DCE" w:rsidRDefault="00BF5B8E" w:rsidP="008A65A8">
      <w:r w:rsidRPr="00344DCE">
        <w:t xml:space="preserve">In the 1990s, </w:t>
      </w:r>
      <w:proofErr w:type="spellStart"/>
      <w:r w:rsidRPr="00344DCE">
        <w:t>coumarin</w:t>
      </w:r>
      <w:proofErr w:type="spellEnd"/>
      <w:r w:rsidRPr="00344DCE">
        <w:t xml:space="preserve"> was not only removed from therapeutic use Australia, but also in Belgium, France and Canada </w:t>
      </w:r>
      <w:r>
        <w:rPr>
          <w:noProof/>
        </w:rPr>
        <w:t xml:space="preserve">(Abraham </w:t>
      </w:r>
      <w:r w:rsidR="00455127" w:rsidRPr="00455127">
        <w:rPr>
          <w:i/>
          <w:noProof/>
        </w:rPr>
        <w:t>et al.</w:t>
      </w:r>
      <w:r>
        <w:rPr>
          <w:noProof/>
        </w:rPr>
        <w:t>, 2010)</w:t>
      </w:r>
      <w:r w:rsidRPr="00344DCE">
        <w:t>. A search of the Food and Drug Administration [‘FDA’] (</w:t>
      </w:r>
      <w:proofErr w:type="spellStart"/>
      <w:r w:rsidRPr="00344DCE">
        <w:t>n.d.</w:t>
      </w:r>
      <w:proofErr w:type="spellEnd"/>
      <w:r w:rsidRPr="00344DCE">
        <w:t xml:space="preserve">-a) online library for medicines indicates there are currently no </w:t>
      </w:r>
      <w:proofErr w:type="spellStart"/>
      <w:r w:rsidRPr="00344DCE">
        <w:t>coumarin</w:t>
      </w:r>
      <w:proofErr w:type="spellEnd"/>
      <w:r w:rsidRPr="00344DCE">
        <w:t>-active medicines currently available.</w:t>
      </w:r>
    </w:p>
    <w:p w:rsidR="00BF5B8E" w:rsidRPr="00344DCE" w:rsidRDefault="00BF5B8E" w:rsidP="008A65A8">
      <w:proofErr w:type="spellStart"/>
      <w:r w:rsidRPr="00344DCE">
        <w:t>Coumarin</w:t>
      </w:r>
      <w:proofErr w:type="spellEnd"/>
      <w:r w:rsidRPr="00344DCE">
        <w:t xml:space="preserve">, as an isolate of </w:t>
      </w:r>
      <w:proofErr w:type="spellStart"/>
      <w:r w:rsidRPr="00344DCE">
        <w:rPr>
          <w:i/>
        </w:rPr>
        <w:t>Cinnamomum</w:t>
      </w:r>
      <w:proofErr w:type="spellEnd"/>
      <w:r w:rsidRPr="00344DCE">
        <w:rPr>
          <w:i/>
        </w:rPr>
        <w:t xml:space="preserve"> </w:t>
      </w:r>
      <w:proofErr w:type="spellStart"/>
      <w:r w:rsidRPr="00344DCE">
        <w:rPr>
          <w:i/>
        </w:rPr>
        <w:t>aromaticum</w:t>
      </w:r>
      <w:proofErr w:type="spellEnd"/>
      <w:r w:rsidRPr="00344DCE">
        <w:t xml:space="preserve">, a synonym for </w:t>
      </w:r>
      <w:r w:rsidRPr="00344DCE">
        <w:rPr>
          <w:i/>
        </w:rPr>
        <w:t>C. cassia</w:t>
      </w:r>
      <w:r w:rsidRPr="00344DCE">
        <w:t>, is listed as a Natural Health Product i</w:t>
      </w:r>
      <w:r w:rsidR="00455127">
        <w:t>n Canada (Health Canada, 2018).</w:t>
      </w:r>
    </w:p>
    <w:p w:rsidR="00BF5B8E" w:rsidRPr="00344DCE" w:rsidRDefault="00BF5B8E" w:rsidP="008A65A8">
      <w:r w:rsidRPr="00344DCE">
        <w:t xml:space="preserve">The European Union (2009) requires leave-on cosmetic products to indicate the presence of </w:t>
      </w:r>
      <w:proofErr w:type="spellStart"/>
      <w:r w:rsidRPr="00344DCE">
        <w:t>coumarin</w:t>
      </w:r>
      <w:proofErr w:type="spellEnd"/>
      <w:r w:rsidRPr="00344DCE">
        <w:t xml:space="preserve"> if the concentration exceeds 0.001%, and rinse-off products at 0.01%. This requirement was considered and confirmed by the European Commission in 2012. The European Chemical Agency (</w:t>
      </w:r>
      <w:proofErr w:type="spellStart"/>
      <w:r w:rsidRPr="00344DCE">
        <w:t>n.d.</w:t>
      </w:r>
      <w:proofErr w:type="spellEnd"/>
      <w:r w:rsidRPr="00344DCE">
        <w:t xml:space="preserve">) classifies </w:t>
      </w:r>
      <w:proofErr w:type="spellStart"/>
      <w:r w:rsidRPr="00344DCE">
        <w:t>coumarin</w:t>
      </w:r>
      <w:proofErr w:type="spellEnd"/>
      <w:r w:rsidRPr="00344DCE">
        <w:t xml:space="preserve"> as toxic.</w:t>
      </w:r>
    </w:p>
    <w:p w:rsidR="00BF5B8E" w:rsidRPr="00344DCE" w:rsidRDefault="00BF5B8E" w:rsidP="00455127">
      <w:r w:rsidRPr="00344DCE">
        <w:t xml:space="preserve">The European Food Safety Authority (‘EFSA’) considered a Tolerable Daily Intake (‘TDI’) of </w:t>
      </w:r>
      <w:proofErr w:type="spellStart"/>
      <w:r w:rsidRPr="00344DCE">
        <w:t>coumarin</w:t>
      </w:r>
      <w:proofErr w:type="spellEnd"/>
      <w:r w:rsidRPr="00344DCE">
        <w:t xml:space="preserve"> (EFSA, 2004; 2008). EFSA considered carcinogenicity, interspecies differences in </w:t>
      </w:r>
      <w:proofErr w:type="spellStart"/>
      <w:r w:rsidRPr="00344DCE">
        <w:t>coumarin</w:t>
      </w:r>
      <w:proofErr w:type="spellEnd"/>
      <w:r w:rsidRPr="00344DCE">
        <w:t xml:space="preserve"> metabolism and the incidence of hepatotoxicity adverse events in human toxicity data. In 2004, based on hepatotoxicity in a two-year canine study, EFSA established a TDI of 0-0.1 mg </w:t>
      </w:r>
      <w:proofErr w:type="spellStart"/>
      <w:r w:rsidRPr="00344DCE">
        <w:t>coumarin</w:t>
      </w:r>
      <w:proofErr w:type="spellEnd"/>
      <w:r w:rsidRPr="00344DCE">
        <w:t xml:space="preserve">/kg </w:t>
      </w:r>
      <w:proofErr w:type="spellStart"/>
      <w:r w:rsidRPr="00344DCE">
        <w:t>bw</w:t>
      </w:r>
      <w:proofErr w:type="spellEnd"/>
      <w:r w:rsidRPr="00344DCE">
        <w:t xml:space="preserve">. EFSA maintained this TDI in 2008, with a concession that an exposure of 0.3 mg/kg </w:t>
      </w:r>
      <w:proofErr w:type="spellStart"/>
      <w:r w:rsidRPr="00344DCE">
        <w:t>bw</w:t>
      </w:r>
      <w:proofErr w:type="spellEnd"/>
      <w:r w:rsidRPr="00344DCE">
        <w:t xml:space="preserve"> for up to two weeks is not of safety concern. The European Regulations were changed in 2011 to take this into account, and the limit of 2 mg/kg </w:t>
      </w:r>
      <w:proofErr w:type="spellStart"/>
      <w:r w:rsidRPr="00344DCE">
        <w:t>coumarin</w:t>
      </w:r>
      <w:proofErr w:type="spellEnd"/>
      <w:r w:rsidRPr="00344DCE">
        <w:t xml:space="preserve"> in food stuffs from any source was increased to 50 mg/kg for traditional and/or seasonal baked good and 5 mg/kg for desserts (</w:t>
      </w:r>
      <w:proofErr w:type="spellStart"/>
      <w:r w:rsidRPr="00344DCE">
        <w:t>Bundesinstitut</w:t>
      </w:r>
      <w:proofErr w:type="spellEnd"/>
      <w:r w:rsidRPr="00344DCE">
        <w:t xml:space="preserve"> </w:t>
      </w:r>
      <w:proofErr w:type="spellStart"/>
      <w:r w:rsidRPr="00344DCE">
        <w:t>für</w:t>
      </w:r>
      <w:proofErr w:type="spellEnd"/>
      <w:r w:rsidRPr="00344DCE">
        <w:t xml:space="preserve"> </w:t>
      </w:r>
      <w:proofErr w:type="spellStart"/>
      <w:r w:rsidRPr="00344DCE">
        <w:t>Risikobewertung</w:t>
      </w:r>
      <w:proofErr w:type="spellEnd"/>
      <w:r w:rsidRPr="00344DCE">
        <w:t xml:space="preserve"> ['</w:t>
      </w:r>
      <w:proofErr w:type="spellStart"/>
      <w:r w:rsidRPr="00344DCE">
        <w:t>Bfr</w:t>
      </w:r>
      <w:proofErr w:type="spellEnd"/>
      <w:r w:rsidRPr="00344DCE">
        <w:t xml:space="preserve">'], 2012). Food with any added </w:t>
      </w:r>
      <w:proofErr w:type="spellStart"/>
      <w:r w:rsidRPr="00344DCE">
        <w:t>coumarin</w:t>
      </w:r>
      <w:proofErr w:type="spellEnd"/>
      <w:r w:rsidRPr="00344DCE">
        <w:t xml:space="preserve"> is deemed adulterated and is prohibited from sale by the same agency (FDA, </w:t>
      </w:r>
      <w:proofErr w:type="spellStart"/>
      <w:r w:rsidRPr="00344DCE">
        <w:t>n.d.</w:t>
      </w:r>
      <w:proofErr w:type="spellEnd"/>
      <w:r w:rsidRPr="00344DCE">
        <w:t>-b).</w:t>
      </w:r>
    </w:p>
    <w:p w:rsidR="00BF5B8E" w:rsidRPr="00344DCE" w:rsidRDefault="00BF5B8E" w:rsidP="00455127">
      <w:pPr>
        <w:pStyle w:val="Heading3"/>
      </w:pPr>
      <w:bookmarkStart w:id="33" w:name="_Toc516662757"/>
      <w:bookmarkStart w:id="34" w:name="_Ref520201199"/>
      <w:bookmarkStart w:id="35" w:name="_Ref520201203"/>
      <w:bookmarkStart w:id="36" w:name="_Ref522625759"/>
      <w:bookmarkStart w:id="37" w:name="_Ref522625764"/>
      <w:bookmarkStart w:id="38" w:name="_Ref522627194"/>
      <w:bookmarkStart w:id="39" w:name="_Ref522627196"/>
      <w:bookmarkStart w:id="40" w:name="_Ref523923356"/>
      <w:bookmarkStart w:id="41" w:name="_Ref523923365"/>
      <w:bookmarkStart w:id="42" w:name="_Ref524447524"/>
      <w:bookmarkStart w:id="43" w:name="_Ref524447528"/>
      <w:bookmarkStart w:id="44" w:name="_Ref524625786"/>
      <w:bookmarkStart w:id="45" w:name="_Ref524625791"/>
      <w:bookmarkStart w:id="46" w:name="_Ref525285238"/>
      <w:bookmarkStart w:id="47" w:name="_Ref525285242"/>
      <w:bookmarkStart w:id="48" w:name="_Ref525628364"/>
      <w:bookmarkStart w:id="49" w:name="_Ref1999443"/>
      <w:bookmarkStart w:id="50" w:name="_Ref1999447"/>
      <w:bookmarkStart w:id="51" w:name="_Ref1999451"/>
      <w:bookmarkStart w:id="52" w:name="_Toc25652432"/>
      <w:bookmarkStart w:id="53" w:name="_Toc25930268"/>
      <w:r w:rsidRPr="00344DCE">
        <w:lastRenderedPageBreak/>
        <w:t xml:space="preserve">Exposure from </w:t>
      </w:r>
      <w:r w:rsidR="00455127">
        <w:t>a</w:t>
      </w:r>
      <w:r w:rsidRPr="00344DCE">
        <w:t xml:space="preserve">ll </w:t>
      </w:r>
      <w:r w:rsidR="00455127">
        <w:t>s</w:t>
      </w:r>
      <w:r w:rsidRPr="00344DCE">
        <w:t>ources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BF5B8E" w:rsidRPr="00344DCE" w:rsidRDefault="00BF5B8E" w:rsidP="00455127">
      <w:pPr>
        <w:pStyle w:val="Heading5"/>
      </w:pPr>
      <w:r w:rsidRPr="00344DCE">
        <w:t>Presence in food products</w:t>
      </w:r>
    </w:p>
    <w:p w:rsidR="00BF5B8E" w:rsidRPr="00344DCE" w:rsidRDefault="00BF5B8E" w:rsidP="00455127">
      <w:proofErr w:type="spellStart"/>
      <w:r w:rsidRPr="00344DCE">
        <w:t>Coumarin</w:t>
      </w:r>
      <w:proofErr w:type="spellEnd"/>
      <w:r w:rsidRPr="00344DCE">
        <w:t xml:space="preserve"> is a naturally occurring component of a number of food products; including, but not limited to, Ceylon cinnamon, cassia cinnamon and </w:t>
      </w:r>
      <w:proofErr w:type="spellStart"/>
      <w:r w:rsidRPr="00344DCE">
        <w:t>tonka</w:t>
      </w:r>
      <w:proofErr w:type="spellEnd"/>
      <w:r w:rsidRPr="00344DCE">
        <w:t xml:space="preserve"> beans. Studies of the Norwegian </w:t>
      </w:r>
      <w:r>
        <w:rPr>
          <w:noProof/>
        </w:rPr>
        <w:t xml:space="preserve">(Fotland </w:t>
      </w:r>
      <w:r w:rsidR="00455127" w:rsidRPr="00455127">
        <w:rPr>
          <w:i/>
          <w:noProof/>
        </w:rPr>
        <w:t>et al.</w:t>
      </w:r>
      <w:r>
        <w:rPr>
          <w:noProof/>
        </w:rPr>
        <w:t>, 2012)</w:t>
      </w:r>
      <w:r w:rsidRPr="00344DCE">
        <w:t xml:space="preserve"> and German (</w:t>
      </w:r>
      <w:proofErr w:type="spellStart"/>
      <w:r w:rsidRPr="00344DCE">
        <w:t>Bfr</w:t>
      </w:r>
      <w:proofErr w:type="spellEnd"/>
      <w:r w:rsidRPr="00344DCE">
        <w:t xml:space="preserve">, 2006) diet found that the EFSA TDI could be easily exceeded, with estimates of up to 1.2 mg/kg/day. The Canadian Food Inspection Agency (2016a, 2016b) examined the </w:t>
      </w:r>
      <w:proofErr w:type="spellStart"/>
      <w:r w:rsidRPr="00344DCE">
        <w:t>coumarin</w:t>
      </w:r>
      <w:proofErr w:type="spellEnd"/>
      <w:r w:rsidRPr="00344DCE">
        <w:t xml:space="preserve"> concentration of commercial foods and beverages. The Agency considered that the concentrations found did not cause concern for human health. A similar investigation occurred in the Czech Republic </w:t>
      </w:r>
      <w:r>
        <w:rPr>
          <w:noProof/>
        </w:rPr>
        <w:t xml:space="preserve">(Blahova </w:t>
      </w:r>
      <w:r w:rsidR="00455127" w:rsidRPr="00455127">
        <w:rPr>
          <w:i/>
          <w:noProof/>
        </w:rPr>
        <w:t>et al.</w:t>
      </w:r>
      <w:r>
        <w:rPr>
          <w:noProof/>
        </w:rPr>
        <w:t>, 2011)</w:t>
      </w:r>
      <w:r w:rsidRPr="00344DCE">
        <w:t>.</w:t>
      </w:r>
    </w:p>
    <w:p w:rsidR="00BF5B8E" w:rsidRPr="00344DCE" w:rsidRDefault="00BF5B8E" w:rsidP="000E0E79">
      <w:pPr>
        <w:pStyle w:val="Heading5"/>
      </w:pPr>
      <w:r w:rsidRPr="00344DCE">
        <w:t>Presence in fragrance and cosmetics</w:t>
      </w:r>
    </w:p>
    <w:p w:rsidR="00BF5B8E" w:rsidRPr="00344DCE" w:rsidRDefault="00BF5B8E" w:rsidP="008A65A8">
      <w:r w:rsidRPr="00344DCE">
        <w:t xml:space="preserve">Synthesised </w:t>
      </w:r>
      <w:proofErr w:type="spellStart"/>
      <w:r w:rsidRPr="00344DCE">
        <w:t>coumarin</w:t>
      </w:r>
      <w:proofErr w:type="spellEnd"/>
      <w:r w:rsidRPr="00344DCE">
        <w:t xml:space="preserve"> is a popular ingredient within fragrances, having been reported to be within 90% of fragrance compositions (</w:t>
      </w:r>
      <w:proofErr w:type="spellStart"/>
      <w:r w:rsidRPr="00344DCE">
        <w:t>Floc'h</w:t>
      </w:r>
      <w:proofErr w:type="spellEnd"/>
      <w:r w:rsidRPr="00344DCE">
        <w:t xml:space="preserve"> </w:t>
      </w:r>
      <w:r w:rsidR="00455127" w:rsidRPr="00455127">
        <w:rPr>
          <w:i/>
        </w:rPr>
        <w:t>et al.</w:t>
      </w:r>
      <w:r w:rsidRPr="00344DCE">
        <w:t xml:space="preserve">, 2002) and is included in a standard patch test to screen individuals for fragrance sensitivity </w:t>
      </w:r>
      <w:r>
        <w:rPr>
          <w:noProof/>
        </w:rPr>
        <w:t xml:space="preserve">(Geier </w:t>
      </w:r>
      <w:r w:rsidR="00455127" w:rsidRPr="00455127">
        <w:rPr>
          <w:i/>
          <w:noProof/>
        </w:rPr>
        <w:t>et al.</w:t>
      </w:r>
      <w:r>
        <w:rPr>
          <w:noProof/>
        </w:rPr>
        <w:t>, 2015)</w:t>
      </w:r>
      <w:r w:rsidRPr="00344DCE">
        <w:t xml:space="preserve">. </w:t>
      </w:r>
    </w:p>
    <w:p w:rsidR="00BF5B8E" w:rsidRPr="00344DCE" w:rsidRDefault="00BF5B8E" w:rsidP="000E0E79">
      <w:pPr>
        <w:pStyle w:val="Heading5"/>
      </w:pPr>
      <w:r w:rsidRPr="00344DCE">
        <w:t xml:space="preserve">Estimated exposure of </w:t>
      </w:r>
      <w:proofErr w:type="spellStart"/>
      <w:r w:rsidRPr="00344DCE">
        <w:t>coumarin</w:t>
      </w:r>
      <w:proofErr w:type="spellEnd"/>
    </w:p>
    <w:p w:rsidR="00BF5B8E" w:rsidRPr="00344DCE" w:rsidRDefault="00BF5B8E" w:rsidP="008A65A8">
      <w:r w:rsidRPr="00344DCE">
        <w:t xml:space="preserve">Lake </w:t>
      </w:r>
      <w:r w:rsidRPr="00344DCE">
        <w:rPr>
          <w:noProof/>
        </w:rPr>
        <w:t>(1999)</w:t>
      </w:r>
      <w:r w:rsidRPr="00344DCE">
        <w:t xml:space="preserve"> estimated a combined fragrance (0.04 mg/kg/day) and dietary (0.02 mg/kg/day) total daily human exposure to </w:t>
      </w:r>
      <w:proofErr w:type="spellStart"/>
      <w:r w:rsidRPr="00344DCE">
        <w:t>coumarin</w:t>
      </w:r>
      <w:proofErr w:type="spellEnd"/>
      <w:r w:rsidRPr="00344DCE">
        <w:t xml:space="preserve"> at 0.06 mg/kg/day. The author of this paper is affiliated with BIBRA International, a toxicological consulting agency in the United Kingdom. The paper specifically mentions a range of dermally-applied products and does not reference sunscreens. It is considered that sunscreens are</w:t>
      </w:r>
      <w:r w:rsidR="0021353C">
        <w:t xml:space="preserve"> not a part of this estimation.</w:t>
      </w:r>
    </w:p>
    <w:p w:rsidR="00BF5B8E" w:rsidRDefault="00BF5B8E" w:rsidP="008A65A8">
      <w:r w:rsidRPr="00344DCE">
        <w:t xml:space="preserve">An Australia-wide telesurvey between 2007 and 2012 found that approximately 35% of respondents utilised sunscreen products as a form of sun-protection </w:t>
      </w:r>
      <w:r>
        <w:rPr>
          <w:noProof/>
        </w:rPr>
        <w:t xml:space="preserve">(Volkov </w:t>
      </w:r>
      <w:r w:rsidR="00455127" w:rsidRPr="00455127">
        <w:rPr>
          <w:i/>
          <w:noProof/>
        </w:rPr>
        <w:t>et al.</w:t>
      </w:r>
      <w:r>
        <w:rPr>
          <w:noProof/>
        </w:rPr>
        <w:t>, 2013)</w:t>
      </w:r>
      <w:r w:rsidRPr="00344DCE">
        <w:t>. Based on United Nations (2017) data, this would equate to potential exposure to 8.5 million Australians who are exposed to sunscreen products.</w:t>
      </w:r>
    </w:p>
    <w:p w:rsidR="00BF5B8E" w:rsidRDefault="00BF5B8E" w:rsidP="008A65A8">
      <w:r>
        <w:t>T</w:t>
      </w:r>
      <w:r w:rsidRPr="001D1605">
        <w:t xml:space="preserve">he </w:t>
      </w:r>
      <w:hyperlink r:id="rId14" w:history="1">
        <w:r>
          <w:rPr>
            <w:rStyle w:val="Hyperlink"/>
          </w:rPr>
          <w:t>TGA risk management approach</w:t>
        </w:r>
      </w:hyperlink>
      <w:r w:rsidRPr="001D1605">
        <w:t xml:space="preserve"> specifies that products must be safe for their intended use</w:t>
      </w:r>
      <w:r>
        <w:t xml:space="preserve"> and consideration of appropriate use of </w:t>
      </w:r>
      <w:proofErr w:type="spellStart"/>
      <w:r>
        <w:t>coumarin</w:t>
      </w:r>
      <w:proofErr w:type="spellEnd"/>
      <w:r>
        <w:t xml:space="preserve"> within listed medicine must factor in maximum dosage expected under recommended use. </w:t>
      </w:r>
      <w:r w:rsidRPr="00344DCE">
        <w:t>The Cancer Council (2017) recommends a teaspoon (5mL) for the face, neck and ears; a teaspoon for each arm and leg; and a teaspoon each for the front and back of the body at least every 2 hours. This amounts to 35 mL per application and, if an individual were to spend 8 hours a day in the sun, the recommended daily dose would equate to 140 mL</w:t>
      </w:r>
      <w:r w:rsidR="00455127">
        <w:t xml:space="preserve"> of dermally applied sunscreen.</w:t>
      </w:r>
    </w:p>
    <w:p w:rsidR="00BF5B8E" w:rsidRPr="00344DCE" w:rsidRDefault="00BF5B8E" w:rsidP="008A65A8">
      <w:r>
        <w:t xml:space="preserve">The amount of </w:t>
      </w:r>
      <w:proofErr w:type="spellStart"/>
      <w:r>
        <w:t>coumarin</w:t>
      </w:r>
      <w:proofErr w:type="spellEnd"/>
      <w:r>
        <w:t xml:space="preserve"> within some fragrance proprietary formulations used in listed medicines has not been advised to the TGA. </w:t>
      </w:r>
      <w:r w:rsidRPr="00344DCE">
        <w:t xml:space="preserve">Approximately 33% of the sunscreens in the ARTG have sufficient information to assess the </w:t>
      </w:r>
      <w:proofErr w:type="spellStart"/>
      <w:r w:rsidRPr="00344DCE">
        <w:t>coumarin</w:t>
      </w:r>
      <w:proofErr w:type="spellEnd"/>
      <w:r w:rsidRPr="00344DCE">
        <w:t xml:space="preserve"> concentration. According to the ARTG records obtained in September 2018, there was a maximum concentration of 0.01% </w:t>
      </w:r>
      <w:proofErr w:type="spellStart"/>
      <w:r w:rsidRPr="00344DCE">
        <w:t>coumarin</w:t>
      </w:r>
      <w:proofErr w:type="spellEnd"/>
      <w:r w:rsidRPr="00344DCE">
        <w:t xml:space="preserve"> in certain sunscreens; and a range of 0.025% to 0.000034% </w:t>
      </w:r>
      <w:proofErr w:type="spellStart"/>
      <w:r w:rsidRPr="00344DCE">
        <w:t>coumarin</w:t>
      </w:r>
      <w:proofErr w:type="spellEnd"/>
      <w:r w:rsidRPr="00344DCE">
        <w:t xml:space="preserve"> in the other listed medicines containing </w:t>
      </w:r>
      <w:proofErr w:type="spellStart"/>
      <w:r w:rsidRPr="00344DCE">
        <w:t>coumarin</w:t>
      </w:r>
      <w:proofErr w:type="spellEnd"/>
      <w:r w:rsidRPr="00344DCE">
        <w:t>.</w:t>
      </w:r>
    </w:p>
    <w:p w:rsidR="00BF5B8E" w:rsidRPr="00344DCE" w:rsidRDefault="00BF5B8E" w:rsidP="000D5A21">
      <w:r w:rsidRPr="00344DCE">
        <w:t xml:space="preserve">The maximum exposure to humans from Australian sunscreens with ARTG entries in which the </w:t>
      </w:r>
      <w:proofErr w:type="spellStart"/>
      <w:r w:rsidRPr="00344DCE">
        <w:t>coumarin</w:t>
      </w:r>
      <w:proofErr w:type="spellEnd"/>
      <w:r w:rsidRPr="00344DCE">
        <w:t xml:space="preserve"> content available is calculated in </w:t>
      </w:r>
      <w:r>
        <w:fldChar w:fldCharType="begin"/>
      </w:r>
      <w:r>
        <w:instrText xml:space="preserve"> REF _Ref25154351 \h  \* MERGEFORMAT </w:instrText>
      </w:r>
      <w:r>
        <w:fldChar w:fldCharType="separate"/>
      </w:r>
      <w:r w:rsidR="007C34B5" w:rsidRPr="007C34B5">
        <w:t xml:space="preserve">Equation </w:t>
      </w:r>
      <w:r w:rsidR="007C34B5" w:rsidRPr="007C34B5">
        <w:rPr>
          <w:bCs/>
          <w:noProof/>
          <w:lang w:val="en-US"/>
        </w:rPr>
        <w:t>2</w:t>
      </w:r>
      <w:r w:rsidR="00FC764C">
        <w:rPr>
          <w:bCs/>
          <w:noProof/>
          <w:lang w:val="en-US"/>
        </w:rPr>
        <w:t>-</w:t>
      </w:r>
      <w:r w:rsidR="007C34B5" w:rsidRPr="007C34B5">
        <w:rPr>
          <w:bCs/>
          <w:noProof/>
          <w:lang w:val="en-US"/>
        </w:rPr>
        <w:t>1</w:t>
      </w:r>
      <w:r>
        <w:fldChar w:fldCharType="end"/>
      </w:r>
      <w:r w:rsidRPr="00344DCE">
        <w:t xml:space="preserve">. This figure is in addition to Lake’s </w:t>
      </w:r>
      <w:r w:rsidRPr="00344DCE">
        <w:rPr>
          <w:noProof/>
        </w:rPr>
        <w:t>(1999)</w:t>
      </w:r>
      <w:r w:rsidRPr="00344DCE">
        <w:t xml:space="preserve"> estimate of dermal exposure, which is 5 times lower. Moreover, this figure does not take into account the remaining 77% of </w:t>
      </w:r>
      <w:proofErr w:type="spellStart"/>
      <w:r w:rsidRPr="00344DCE">
        <w:t>coumarin</w:t>
      </w:r>
      <w:proofErr w:type="spellEnd"/>
      <w:r w:rsidRPr="00344DCE">
        <w:t xml:space="preserve">-containing Australian sunscreens where insufficient data was available to assess </w:t>
      </w:r>
      <w:proofErr w:type="spellStart"/>
      <w:r w:rsidRPr="00344DCE">
        <w:t>coumarin</w:t>
      </w:r>
      <w:proofErr w:type="spellEnd"/>
      <w:r w:rsidRPr="00344DCE">
        <w:t xml:space="preserve"> content.</w:t>
      </w:r>
    </w:p>
    <w:p w:rsidR="00BF5B8E" w:rsidRPr="008A65A8" w:rsidRDefault="00BF5B8E" w:rsidP="008A65A8">
      <w:pPr>
        <w:pStyle w:val="Caption"/>
        <w:keepNext/>
        <w:rPr>
          <w:rFonts w:ascii="Cambria" w:hAnsi="Cambria"/>
          <w:b/>
          <w:sz w:val="22"/>
          <w:szCs w:val="22"/>
        </w:rPr>
      </w:pPr>
      <w:bookmarkStart w:id="54" w:name="_Ref25154351"/>
      <w:r w:rsidRPr="008A65A8">
        <w:rPr>
          <w:rFonts w:ascii="Cambria" w:hAnsi="Cambria"/>
          <w:b/>
          <w:sz w:val="22"/>
          <w:szCs w:val="22"/>
        </w:rPr>
        <w:lastRenderedPageBreak/>
        <w:t>Equation 2</w:t>
      </w:r>
      <w:r w:rsidR="00A652D0">
        <w:rPr>
          <w:rFonts w:ascii="Cambria" w:hAnsi="Cambria"/>
          <w:b/>
          <w:sz w:val="22"/>
          <w:szCs w:val="22"/>
        </w:rPr>
        <w:t>-</w:t>
      </w:r>
      <w:r w:rsidR="008A65A8" w:rsidRPr="008A65A8">
        <w:rPr>
          <w:rFonts w:ascii="Cambria" w:hAnsi="Cambria"/>
          <w:b/>
          <w:sz w:val="22"/>
          <w:szCs w:val="22"/>
        </w:rPr>
        <w:fldChar w:fldCharType="begin"/>
      </w:r>
      <w:r w:rsidR="008A65A8" w:rsidRPr="008A65A8">
        <w:rPr>
          <w:rFonts w:ascii="Cambria" w:hAnsi="Cambria"/>
          <w:b/>
          <w:sz w:val="22"/>
          <w:szCs w:val="22"/>
        </w:rPr>
        <w:instrText xml:space="preserve"> SEQ Equation \* ARABIC \s 1 </w:instrText>
      </w:r>
      <w:r w:rsidR="008A65A8" w:rsidRPr="008A65A8">
        <w:rPr>
          <w:rFonts w:ascii="Cambria" w:hAnsi="Cambria"/>
          <w:b/>
          <w:sz w:val="22"/>
          <w:szCs w:val="22"/>
        </w:rPr>
        <w:fldChar w:fldCharType="separate"/>
      </w:r>
      <w:r w:rsidR="007C34B5">
        <w:rPr>
          <w:rFonts w:ascii="Cambria" w:hAnsi="Cambria"/>
          <w:b/>
          <w:noProof/>
          <w:sz w:val="22"/>
          <w:szCs w:val="22"/>
        </w:rPr>
        <w:t>1</w:t>
      </w:r>
      <w:r w:rsidR="008A65A8" w:rsidRPr="008A65A8">
        <w:rPr>
          <w:rFonts w:ascii="Cambria" w:hAnsi="Cambria"/>
          <w:b/>
          <w:noProof/>
          <w:sz w:val="22"/>
          <w:szCs w:val="22"/>
        </w:rPr>
        <w:fldChar w:fldCharType="end"/>
      </w:r>
      <w:bookmarkEnd w:id="54"/>
      <w:r w:rsidRPr="008A65A8">
        <w:rPr>
          <w:rFonts w:ascii="Cambria" w:hAnsi="Cambria"/>
          <w:b/>
          <w:sz w:val="22"/>
          <w:szCs w:val="22"/>
        </w:rPr>
        <w:t xml:space="preserve">: Maximal Estimated Daily Intake (‘EDI’) of </w:t>
      </w:r>
      <w:proofErr w:type="spellStart"/>
      <w:r w:rsidRPr="008A65A8">
        <w:rPr>
          <w:rFonts w:ascii="Cambria" w:hAnsi="Cambria"/>
          <w:b/>
          <w:sz w:val="22"/>
          <w:szCs w:val="22"/>
        </w:rPr>
        <w:t>coumarin</w:t>
      </w:r>
      <w:proofErr w:type="spellEnd"/>
      <w:r w:rsidRPr="008A65A8">
        <w:rPr>
          <w:rFonts w:ascii="Cambria" w:hAnsi="Cambria"/>
          <w:b/>
          <w:sz w:val="22"/>
          <w:szCs w:val="22"/>
        </w:rPr>
        <w:t xml:space="preserve"> from sunscreens where </w:t>
      </w:r>
      <w:proofErr w:type="spellStart"/>
      <w:r w:rsidRPr="008A65A8">
        <w:rPr>
          <w:rFonts w:ascii="Cambria" w:hAnsi="Cambria"/>
          <w:b/>
          <w:sz w:val="22"/>
          <w:szCs w:val="22"/>
        </w:rPr>
        <w:t>coumarin</w:t>
      </w:r>
      <w:proofErr w:type="spellEnd"/>
      <w:r w:rsidRPr="008A65A8">
        <w:rPr>
          <w:rFonts w:ascii="Cambria" w:hAnsi="Cambria"/>
          <w:b/>
          <w:sz w:val="22"/>
          <w:szCs w:val="22"/>
        </w:rPr>
        <w:t xml:space="preserve"> content is known</w:t>
      </w:r>
    </w:p>
    <w:p w:rsidR="00BF5B8E" w:rsidRPr="00344DCE" w:rsidRDefault="00BF5B8E" w:rsidP="008A65A8">
      <w:pPr>
        <w:keepNext/>
        <w:pBdr>
          <w:top w:val="single" w:sz="4" w:space="1" w:color="auto"/>
          <w:left w:val="single" w:sz="4" w:space="4" w:color="auto"/>
          <w:bottom w:val="single" w:sz="4" w:space="1" w:color="auto"/>
          <w:right w:val="single" w:sz="4" w:space="4" w:color="auto"/>
        </w:pBdr>
        <w:tabs>
          <w:tab w:val="left" w:pos="709"/>
        </w:tabs>
        <w:ind w:left="993" w:hanging="993"/>
        <w:rPr>
          <w:vertAlign w:val="subscript"/>
        </w:rPr>
      </w:pPr>
      <w:proofErr w:type="spellStart"/>
      <w:r w:rsidRPr="00344DCE">
        <w:t>EDI</w:t>
      </w:r>
      <w:r w:rsidRPr="00344DCE">
        <w:rPr>
          <w:vertAlign w:val="subscript"/>
        </w:rPr>
        <w:t>sun</w:t>
      </w:r>
      <w:proofErr w:type="spellEnd"/>
      <w:r w:rsidRPr="00344DCE">
        <w:rPr>
          <w:vertAlign w:val="subscript"/>
        </w:rPr>
        <w:tab/>
      </w:r>
      <m:oMath>
        <m:r>
          <w:rPr>
            <w:rFonts w:ascii="Cambria Math" w:hAnsi="Cambria Math"/>
            <w:vertAlign w:val="subscript"/>
          </w:rPr>
          <m:t xml:space="preserve">= </m:t>
        </m:r>
        <m:f>
          <m:fPr>
            <m:ctrlPr>
              <w:rPr>
                <w:rFonts w:ascii="Cambria Math" w:hAnsi="Cambria Math"/>
                <w:vertAlign w:val="subscript"/>
              </w:rPr>
            </m:ctrlPr>
          </m:fPr>
          <m:num>
            <m:d>
              <m:dPr>
                <m:ctrlPr>
                  <w:rPr>
                    <w:rFonts w:ascii="Cambria Math" w:hAnsi="Cambria Math"/>
                    <w:vertAlign w:val="subscript"/>
                  </w:rPr>
                </m:ctrlPr>
              </m:dPr>
              <m:e>
                <m:r>
                  <m:rPr>
                    <m:sty m:val="p"/>
                  </m:rPr>
                  <w:rPr>
                    <w:rFonts w:ascii="Cambria Math" w:hAnsi="Cambria Math"/>
                    <w:vertAlign w:val="subscript"/>
                  </w:rPr>
                  <m:t>applied volume</m:t>
                </m:r>
              </m:e>
            </m:d>
            <m:r>
              <m:rPr>
                <m:sty m:val="p"/>
              </m:rPr>
              <w:rPr>
                <w:rFonts w:ascii="Cambria Math" w:hAnsi="Cambria Math"/>
                <w:vertAlign w:val="subscript"/>
              </w:rPr>
              <m:t>×</m:t>
            </m:r>
            <m:d>
              <m:dPr>
                <m:ctrlPr>
                  <w:rPr>
                    <w:rFonts w:ascii="Cambria Math" w:hAnsi="Cambria Math"/>
                    <w:vertAlign w:val="subscript"/>
                  </w:rPr>
                </m:ctrlPr>
              </m:dPr>
              <m:e>
                <m:r>
                  <m:rPr>
                    <m:sty m:val="p"/>
                  </m:rPr>
                  <w:rPr>
                    <w:rFonts w:ascii="Cambria Math" w:hAnsi="Cambria Math"/>
                    <w:vertAlign w:val="subscript"/>
                  </w:rPr>
                  <m:t>coumarin concentration</m:t>
                </m:r>
              </m:e>
            </m:d>
            <m:r>
              <m:rPr>
                <m:sty m:val="p"/>
              </m:rPr>
              <w:rPr>
                <w:rFonts w:ascii="Cambria Math" w:hAnsi="Cambria Math"/>
                <w:vertAlign w:val="subscript"/>
              </w:rPr>
              <m:t>×</m:t>
            </m:r>
            <m:d>
              <m:dPr>
                <m:ctrlPr>
                  <w:rPr>
                    <w:rFonts w:ascii="Cambria Math" w:hAnsi="Cambria Math"/>
                    <w:vertAlign w:val="subscript"/>
                  </w:rPr>
                </m:ctrlPr>
              </m:dPr>
              <m:e>
                <m:r>
                  <m:rPr>
                    <m:sty m:val="p"/>
                  </m:rPr>
                  <w:rPr>
                    <w:rFonts w:ascii="Cambria Math" w:hAnsi="Cambria Math"/>
                    <w:vertAlign w:val="subscript"/>
                  </w:rPr>
                  <m:t>dermal absorption</m:t>
                </m:r>
              </m:e>
            </m:d>
            <m:r>
              <m:rPr>
                <m:sty m:val="p"/>
              </m:rPr>
              <w:rPr>
                <w:rFonts w:ascii="Cambria Math" w:hAnsi="Cambria Math"/>
                <w:vertAlign w:val="subscript"/>
              </w:rPr>
              <m:t>×</m:t>
            </m:r>
            <m:d>
              <m:dPr>
                <m:ctrlPr>
                  <w:rPr>
                    <w:rFonts w:ascii="Cambria Math" w:hAnsi="Cambria Math"/>
                    <w:vertAlign w:val="subscript"/>
                  </w:rPr>
                </m:ctrlPr>
              </m:dPr>
              <m:e>
                <m:r>
                  <m:rPr>
                    <m:sty m:val="p"/>
                  </m:rPr>
                  <w:rPr>
                    <w:rFonts w:ascii="Cambria Math" w:hAnsi="Cambria Math"/>
                    <w:vertAlign w:val="subscript"/>
                  </w:rPr>
                  <m:t>coumarin density</m:t>
                </m:r>
              </m:e>
            </m:d>
          </m:num>
          <m:den>
            <m:r>
              <w:rPr>
                <w:rFonts w:ascii="Cambria Math" w:hAnsi="Cambria Math"/>
                <w:vertAlign w:val="subscript"/>
              </w:rPr>
              <m:t>(</m:t>
            </m:r>
            <m:r>
              <m:rPr>
                <m:sty m:val="p"/>
              </m:rPr>
              <w:rPr>
                <w:rFonts w:ascii="Cambria Math" w:hAnsi="Cambria Math"/>
                <w:vertAlign w:val="subscript"/>
              </w:rPr>
              <m:t>body weight)</m:t>
            </m:r>
          </m:den>
        </m:f>
        <m:r>
          <m:rPr>
            <m:sty m:val="p"/>
          </m:rPr>
          <w:rPr>
            <w:rFonts w:ascii="Cambria Math" w:hAnsi="Cambria Math"/>
            <w:vertAlign w:val="subscript"/>
          </w:rPr>
          <m:t xml:space="preserve"> </m:t>
        </m:r>
      </m:oMath>
    </w:p>
    <w:p w:rsidR="00BF5B8E" w:rsidRPr="00344DCE" w:rsidRDefault="00BF5B8E" w:rsidP="008A65A8">
      <w:pPr>
        <w:keepNext/>
        <w:pBdr>
          <w:top w:val="single" w:sz="4" w:space="1" w:color="auto"/>
          <w:left w:val="single" w:sz="4" w:space="4" w:color="auto"/>
          <w:bottom w:val="single" w:sz="4" w:space="1" w:color="auto"/>
          <w:right w:val="single" w:sz="4" w:space="4" w:color="auto"/>
        </w:pBdr>
      </w:pPr>
      <w:r w:rsidRPr="00344DCE">
        <w:tab/>
        <w:t xml:space="preserve">= </w:t>
      </w:r>
      <m:oMath>
        <m:f>
          <m:fPr>
            <m:ctrlPr>
              <w:rPr>
                <w:rFonts w:ascii="Cambria Math" w:hAnsi="Cambria Math"/>
                <w:i/>
                <w:sz w:val="32"/>
                <w:szCs w:val="32"/>
              </w:rPr>
            </m:ctrlPr>
          </m:fPr>
          <m:num>
            <m:r>
              <w:rPr>
                <w:rFonts w:ascii="Cambria Math" w:hAnsi="Cambria Math"/>
                <w:sz w:val="32"/>
                <w:szCs w:val="32"/>
              </w:rPr>
              <m:t xml:space="preserve">140 </m:t>
            </m:r>
            <m:r>
              <m:rPr>
                <m:sty m:val="p"/>
              </m:rPr>
              <w:rPr>
                <w:rFonts w:ascii="Cambria Math" w:hAnsi="Cambria Math"/>
                <w:sz w:val="32"/>
                <w:szCs w:val="32"/>
              </w:rPr>
              <m:t>mL</m:t>
            </m:r>
            <m:r>
              <m:rPr>
                <m:sty m:val="p"/>
              </m:rPr>
              <w:rPr>
                <w:rStyle w:val="FootnoteReference"/>
                <w:rFonts w:ascii="Cambria Math" w:hAnsi="Cambria Math"/>
                <w:sz w:val="32"/>
                <w:szCs w:val="32"/>
              </w:rPr>
              <w:footnoteReference w:id="1"/>
            </m:r>
            <m:r>
              <m:rPr>
                <m:sty m:val="p"/>
              </m:rPr>
              <w:rPr>
                <w:rFonts w:ascii="Cambria Math" w:hAnsi="Cambria Math"/>
                <w:sz w:val="32"/>
                <w:szCs w:val="32"/>
              </w:rPr>
              <m:t xml:space="preserve"> × 0.01% × 95%</m:t>
            </m:r>
            <m:r>
              <m:rPr>
                <m:sty m:val="p"/>
              </m:rPr>
              <w:rPr>
                <w:rStyle w:val="FootnoteReference"/>
                <w:rFonts w:ascii="Cambria Math" w:hAnsi="Cambria Math"/>
                <w:sz w:val="32"/>
                <w:szCs w:val="32"/>
              </w:rPr>
              <w:footnoteReference w:id="2"/>
            </m:r>
            <m:r>
              <m:rPr>
                <m:sty m:val="p"/>
              </m:rPr>
              <w:rPr>
                <w:rFonts w:ascii="Cambria Math" w:hAnsi="Cambria Math"/>
                <w:sz w:val="32"/>
                <w:szCs w:val="32"/>
              </w:rPr>
              <m:t xml:space="preserve"> × 935 mg/mL</m:t>
            </m:r>
            <m:r>
              <m:rPr>
                <m:sty m:val="p"/>
              </m:rPr>
              <w:rPr>
                <w:rStyle w:val="FootnoteReference"/>
                <w:rFonts w:ascii="Cambria Math" w:hAnsi="Cambria Math"/>
                <w:sz w:val="32"/>
                <w:szCs w:val="32"/>
              </w:rPr>
              <w:footnoteReference w:id="3"/>
            </m:r>
          </m:num>
          <m:den>
            <m:r>
              <w:rPr>
                <w:rFonts w:ascii="Cambria Math" w:hAnsi="Cambria Math"/>
                <w:sz w:val="32"/>
                <w:szCs w:val="32"/>
              </w:rPr>
              <m:t xml:space="preserve">60 </m:t>
            </m:r>
            <m:r>
              <m:rPr>
                <m:sty m:val="p"/>
              </m:rPr>
              <w:rPr>
                <w:rFonts w:ascii="Cambria Math" w:hAnsi="Cambria Math"/>
                <w:sz w:val="32"/>
                <w:szCs w:val="32"/>
              </w:rPr>
              <m:t>kg</m:t>
            </m:r>
          </m:den>
        </m:f>
      </m:oMath>
    </w:p>
    <w:p w:rsidR="00BF5B8E" w:rsidRPr="00344DCE" w:rsidRDefault="00BF5B8E" w:rsidP="008A65A8">
      <w:pPr>
        <w:pBdr>
          <w:top w:val="single" w:sz="4" w:space="1" w:color="auto"/>
          <w:left w:val="single" w:sz="4" w:space="4" w:color="auto"/>
          <w:bottom w:val="single" w:sz="4" w:space="1" w:color="auto"/>
          <w:right w:val="single" w:sz="4" w:space="4" w:color="auto"/>
        </w:pBdr>
      </w:pPr>
      <w:r w:rsidRPr="00344DCE">
        <w:tab/>
        <w:t xml:space="preserve">= </w:t>
      </w:r>
      <m:oMath>
        <m:r>
          <w:rPr>
            <w:rFonts w:ascii="Cambria Math" w:hAnsi="Cambria Math"/>
          </w:rPr>
          <m:t xml:space="preserve">0.2 </m:t>
        </m:r>
        <m:r>
          <m:rPr>
            <m:sty m:val="p"/>
          </m:rPr>
          <w:rPr>
            <w:rFonts w:ascii="Cambria Math" w:hAnsi="Cambria Math"/>
          </w:rPr>
          <m:t>mg/kg</m:t>
        </m:r>
      </m:oMath>
    </w:p>
    <w:p w:rsidR="00BF5B8E" w:rsidRPr="00344DCE" w:rsidRDefault="00BF5B8E" w:rsidP="008A65A8">
      <w:r>
        <w:rPr>
          <w:noProof/>
        </w:rPr>
        <w:t xml:space="preserve">Floc'h </w:t>
      </w:r>
      <w:r w:rsidR="00455127" w:rsidRPr="00455127">
        <w:rPr>
          <w:i/>
          <w:noProof/>
        </w:rPr>
        <w:t>et al.</w:t>
      </w:r>
      <w:r>
        <w:rPr>
          <w:noProof/>
        </w:rPr>
        <w:t xml:space="preserve"> (2002)</w:t>
      </w:r>
      <w:r w:rsidRPr="00344DCE">
        <w:t xml:space="preserve"> estimated the maximal daily dietary intake of </w:t>
      </w:r>
      <w:proofErr w:type="spellStart"/>
      <w:r w:rsidRPr="00344DCE">
        <w:t>coumarin</w:t>
      </w:r>
      <w:proofErr w:type="spellEnd"/>
      <w:r w:rsidRPr="00344DCE">
        <w:t xml:space="preserve"> to be 11 mg. However, this estimate included a daily intake of 0.3 g cinnamon and calculated the </w:t>
      </w:r>
      <w:proofErr w:type="spellStart"/>
      <w:r w:rsidRPr="00344DCE">
        <w:t>coumarin</w:t>
      </w:r>
      <w:proofErr w:type="spellEnd"/>
      <w:r w:rsidRPr="00344DCE">
        <w:t xml:space="preserve"> content therein to be 10 mg (or 0.033 g/g). The Canadian Food Inspection Agency (2016a) examined 40 samples of cinnamon (of unspecified species origin) and reported an average </w:t>
      </w:r>
      <w:proofErr w:type="spellStart"/>
      <w:r w:rsidRPr="00344DCE">
        <w:t>coumarin</w:t>
      </w:r>
      <w:proofErr w:type="spellEnd"/>
      <w:r w:rsidRPr="00344DCE">
        <w:t xml:space="preserve"> content of 0.004 g/g, which reduces the </w:t>
      </w:r>
      <w:proofErr w:type="spellStart"/>
      <w:r w:rsidRPr="00344DCE">
        <w:t>coumarin</w:t>
      </w:r>
      <w:proofErr w:type="spellEnd"/>
      <w:r w:rsidRPr="00344DCE">
        <w:t xml:space="preserve"> associated with 0.3g of cinnamon intake to 1.2 mg (instead of 10mg). Applying this figure to the </w:t>
      </w:r>
      <w:proofErr w:type="spellStart"/>
      <w:r w:rsidRPr="00344DCE">
        <w:t>Floc’h</w:t>
      </w:r>
      <w:proofErr w:type="spellEnd"/>
      <w:r w:rsidRPr="00344DCE">
        <w:t xml:space="preserve"> </w:t>
      </w:r>
      <w:r w:rsidR="00455127" w:rsidRPr="00455127">
        <w:rPr>
          <w:i/>
        </w:rPr>
        <w:t>et al.</w:t>
      </w:r>
      <w:r w:rsidRPr="00344DCE">
        <w:t xml:space="preserve"> (2002) calculation results in a total estimated maximal daily dietary intake of 2.2 mg </w:t>
      </w:r>
      <w:proofErr w:type="spellStart"/>
      <w:r w:rsidRPr="00344DCE">
        <w:t>coumarin</w:t>
      </w:r>
      <w:proofErr w:type="spellEnd"/>
      <w:r w:rsidRPr="00344DCE">
        <w:t>. Assuming a bodyweight of 60 kg, this would equate to 0.04 mg/kg/day. It is noted that the journal from which this article arises is not peer reviewed and the authors are representatives of a commercial fragrance company.</w:t>
      </w:r>
    </w:p>
    <w:p w:rsidR="00BF5B8E" w:rsidRPr="00344DCE" w:rsidRDefault="00BF5B8E" w:rsidP="008A65A8">
      <w:bookmarkStart w:id="55" w:name="Sunscreenuse"/>
      <w:r w:rsidRPr="00344DCE">
        <w:t>The German Federal Institute for Risk Assessment (</w:t>
      </w:r>
      <w:proofErr w:type="spellStart"/>
      <w:r w:rsidRPr="00344DCE">
        <w:t>BfR</w:t>
      </w:r>
      <w:proofErr w:type="spellEnd"/>
      <w:r w:rsidRPr="00344DCE">
        <w:t>, 2006) estimated the total oral and dermal exposures for children at 2 to 5 years old to be considerably higher than adults. The higher exposure is attributed to cinnamon being more frequently included in the diet for children compared to adults, and that the body surface to body weight ratio of children is roughly twice that for adults.</w:t>
      </w:r>
    </w:p>
    <w:p w:rsidR="00BF5B8E" w:rsidRPr="00344DCE" w:rsidRDefault="00BF5B8E" w:rsidP="000E0E79">
      <w:pPr>
        <w:pStyle w:val="Heading2"/>
      </w:pPr>
      <w:bookmarkStart w:id="56" w:name="_Toc424647355"/>
      <w:bookmarkStart w:id="57" w:name="_Toc516662759"/>
      <w:bookmarkStart w:id="58" w:name="_Toc25652433"/>
      <w:bookmarkStart w:id="59" w:name="_Toc25930269"/>
      <w:bookmarkEnd w:id="55"/>
      <w:r w:rsidRPr="00344DCE">
        <w:t xml:space="preserve">Biological </w:t>
      </w:r>
      <w:r w:rsidR="00A652D0">
        <w:t>a</w:t>
      </w:r>
      <w:r w:rsidRPr="000E0E79">
        <w:t>ctivity</w:t>
      </w:r>
      <w:bookmarkEnd w:id="56"/>
      <w:bookmarkEnd w:id="57"/>
      <w:bookmarkEnd w:id="58"/>
      <w:bookmarkEnd w:id="59"/>
    </w:p>
    <w:p w:rsidR="00BF5B8E" w:rsidRPr="00344DCE" w:rsidRDefault="00BF5B8E" w:rsidP="000E0E79">
      <w:pPr>
        <w:pStyle w:val="Heading3"/>
      </w:pPr>
      <w:bookmarkStart w:id="60" w:name="_Toc371428115"/>
      <w:bookmarkStart w:id="61" w:name="_Toc424647361"/>
      <w:bookmarkStart w:id="62" w:name="_Toc516662762"/>
      <w:bookmarkStart w:id="63" w:name="_Toc25652434"/>
      <w:bookmarkStart w:id="64" w:name="_Toc25930270"/>
      <w:r w:rsidRPr="000E0E79">
        <w:t>Pharmacokinetics</w:t>
      </w:r>
      <w:bookmarkEnd w:id="60"/>
      <w:bookmarkEnd w:id="61"/>
      <w:bookmarkEnd w:id="62"/>
      <w:bookmarkEnd w:id="63"/>
      <w:bookmarkEnd w:id="64"/>
    </w:p>
    <w:p w:rsidR="00BF5B8E" w:rsidRPr="000E0E79" w:rsidRDefault="00BF5B8E" w:rsidP="000E0E79">
      <w:pPr>
        <w:pStyle w:val="Heading4"/>
      </w:pPr>
      <w:bookmarkStart w:id="65" w:name="_Ref519517960"/>
      <w:bookmarkStart w:id="66" w:name="_Toc25652435"/>
      <w:bookmarkStart w:id="67" w:name="_Toc25930271"/>
      <w:r w:rsidRPr="000E0E79">
        <w:t>Absorption</w:t>
      </w:r>
      <w:bookmarkEnd w:id="65"/>
      <w:bookmarkEnd w:id="66"/>
      <w:bookmarkEnd w:id="67"/>
    </w:p>
    <w:p w:rsidR="00BF5B8E" w:rsidRPr="00344DCE" w:rsidRDefault="00BF5B8E" w:rsidP="000E0E79">
      <w:pPr>
        <w:pStyle w:val="Heading5"/>
      </w:pPr>
      <w:r w:rsidRPr="00344DCE">
        <w:t xml:space="preserve">Dermal </w:t>
      </w:r>
      <w:r w:rsidRPr="000E0E79">
        <w:t>absorption</w:t>
      </w:r>
    </w:p>
    <w:p w:rsidR="00BF5B8E" w:rsidRPr="00344DCE" w:rsidRDefault="00BF5B8E" w:rsidP="008A65A8">
      <w:r w:rsidRPr="00344DCE">
        <w:t xml:space="preserve">An </w:t>
      </w:r>
      <w:r w:rsidRPr="00344DCE">
        <w:rPr>
          <w:i/>
        </w:rPr>
        <w:t>in vivo</w:t>
      </w:r>
      <w:r w:rsidRPr="00344DCE">
        <w:t xml:space="preserve"> investigation of male Sprague-Dawley rats found that the total absorption efficiency of dermally-applied </w:t>
      </w:r>
      <w:proofErr w:type="spellStart"/>
      <w:r w:rsidRPr="00344DCE">
        <w:t>coumarin</w:t>
      </w:r>
      <w:proofErr w:type="spellEnd"/>
      <w:r w:rsidRPr="00344DCE">
        <w:t xml:space="preserve"> in a hydrophilic ointment was greatly increased with a corresponding increase of application surface area (</w:t>
      </w:r>
      <w:proofErr w:type="spellStart"/>
      <w:r w:rsidRPr="00344DCE">
        <w:t>Ritschel</w:t>
      </w:r>
      <w:proofErr w:type="spellEnd"/>
      <w:r w:rsidRPr="00344DCE">
        <w:t xml:space="preserve"> &amp; Hussain, 1988). This study found that 100% of the dose applied to the smaller application area was absorbed within 6 hours, and the total amount absorbed increased in a linear manner over the 6 hours. Concurrently, the blood concentration-time profile absorption of dermally-applied </w:t>
      </w:r>
      <w:proofErr w:type="spellStart"/>
      <w:r w:rsidRPr="00344DCE">
        <w:t>coumarin</w:t>
      </w:r>
      <w:proofErr w:type="spellEnd"/>
      <w:r w:rsidRPr="00344DCE">
        <w:t xml:space="preserve"> was found to more closely resemble that of intravenous administration, as opposed to oral. The author did consider the first-pass effect on </w:t>
      </w:r>
      <w:proofErr w:type="spellStart"/>
      <w:r w:rsidRPr="00344DCE">
        <w:t>coumarin</w:t>
      </w:r>
      <w:proofErr w:type="spellEnd"/>
      <w:r w:rsidRPr="00344DCE">
        <w:t xml:space="preserve"> metabolism in the context of these results </w:t>
      </w:r>
      <w:r>
        <w:rPr>
          <w:noProof/>
        </w:rPr>
        <w:t xml:space="preserve">(Ritschel </w:t>
      </w:r>
      <w:r w:rsidR="00455127" w:rsidRPr="00455127">
        <w:rPr>
          <w:i/>
          <w:noProof/>
        </w:rPr>
        <w:t>et al.</w:t>
      </w:r>
      <w:r>
        <w:rPr>
          <w:noProof/>
        </w:rPr>
        <w:t>, 1979)</w:t>
      </w:r>
      <w:r w:rsidRPr="00344DCE">
        <w:t>.</w:t>
      </w:r>
    </w:p>
    <w:p w:rsidR="00BF5B8E" w:rsidRPr="00344DCE" w:rsidRDefault="00BF5B8E" w:rsidP="008A65A8">
      <w:r w:rsidRPr="00344DCE">
        <w:t xml:space="preserve">An </w:t>
      </w:r>
      <w:r w:rsidRPr="00344DCE">
        <w:rPr>
          <w:i/>
        </w:rPr>
        <w:t>in vitro</w:t>
      </w:r>
      <w:r w:rsidRPr="00344DCE">
        <w:t xml:space="preserve"> examination of dermal penetration of </w:t>
      </w:r>
      <w:proofErr w:type="spellStart"/>
      <w:r w:rsidRPr="00344DCE">
        <w:t>coumarin</w:t>
      </w:r>
      <w:proofErr w:type="spellEnd"/>
      <w:r w:rsidRPr="00344DCE">
        <w:t xml:space="preserve"> through human skin found the dermis was the rate limiting factor </w:t>
      </w:r>
      <w:r>
        <w:rPr>
          <w:noProof/>
        </w:rPr>
        <w:t xml:space="preserve">(Ritschel </w:t>
      </w:r>
      <w:r w:rsidR="00455127" w:rsidRPr="00455127">
        <w:rPr>
          <w:i/>
          <w:noProof/>
        </w:rPr>
        <w:t>et al.</w:t>
      </w:r>
      <w:r>
        <w:rPr>
          <w:noProof/>
        </w:rPr>
        <w:t>, 1989)</w:t>
      </w:r>
      <w:r w:rsidRPr="00344DCE">
        <w:t xml:space="preserve">. A subsequent </w:t>
      </w:r>
      <w:r w:rsidRPr="00344DCE">
        <w:rPr>
          <w:i/>
        </w:rPr>
        <w:t>in vitro</w:t>
      </w:r>
      <w:r w:rsidRPr="00344DCE">
        <w:t xml:space="preserve"> study of human skin compared the absorption of </w:t>
      </w:r>
      <w:proofErr w:type="spellStart"/>
      <w:r w:rsidRPr="00344DCE">
        <w:t>coumarin</w:t>
      </w:r>
      <w:proofErr w:type="spellEnd"/>
      <w:r w:rsidRPr="00344DCE">
        <w:t xml:space="preserve"> in an ethanol-based vehicle to that of an oil-in-water </w:t>
      </w:r>
      <w:r w:rsidRPr="00344DCE">
        <w:lastRenderedPageBreak/>
        <w:t>emulsion (</w:t>
      </w:r>
      <w:proofErr w:type="spellStart"/>
      <w:r w:rsidRPr="00344DCE">
        <w:t>Yourick</w:t>
      </w:r>
      <w:proofErr w:type="spellEnd"/>
      <w:r w:rsidRPr="00344DCE">
        <w:t xml:space="preserve"> &amp; </w:t>
      </w:r>
      <w:proofErr w:type="spellStart"/>
      <w:r w:rsidRPr="00344DCE">
        <w:t>Bronaugh</w:t>
      </w:r>
      <w:proofErr w:type="spellEnd"/>
      <w:r w:rsidRPr="00344DCE">
        <w:t>, 1997). A total absorption of 64.4 ± 0.29% was found with the ethanol vehicle and 98.0 ± 5.34% for the emulsion. In both cases, the absorbed dose was almost entirely accounted for at 6 hours following application. Testing occurred at 6-hour intervals over 24 hours.</w:t>
      </w:r>
    </w:p>
    <w:p w:rsidR="00BF5B8E" w:rsidRPr="00344DCE" w:rsidRDefault="00BF5B8E" w:rsidP="008A65A8">
      <w:r w:rsidRPr="00344DCE">
        <w:t xml:space="preserve">In an investigation of dermal absorption in 3 human adult volunteers, a total absorption efficiency of 60% was found </w:t>
      </w:r>
      <w:r>
        <w:rPr>
          <w:noProof/>
        </w:rPr>
        <w:t xml:space="preserve">(Beckley-Kartey </w:t>
      </w:r>
      <w:r w:rsidR="00455127" w:rsidRPr="00455127">
        <w:rPr>
          <w:i/>
          <w:noProof/>
        </w:rPr>
        <w:t>et al.</w:t>
      </w:r>
      <w:r>
        <w:rPr>
          <w:noProof/>
        </w:rPr>
        <w:t xml:space="preserve">, 1997; Ford </w:t>
      </w:r>
      <w:r w:rsidR="00455127" w:rsidRPr="00455127">
        <w:rPr>
          <w:i/>
          <w:noProof/>
        </w:rPr>
        <w:t>et al.</w:t>
      </w:r>
      <w:r>
        <w:rPr>
          <w:noProof/>
        </w:rPr>
        <w:t>, 2001)</w:t>
      </w:r>
      <w:r w:rsidRPr="00344DCE">
        <w:t xml:space="preserve">. The dose was delivered as a 0.2% concentration of </w:t>
      </w:r>
      <w:proofErr w:type="spellStart"/>
      <w:r w:rsidRPr="00344DCE">
        <w:t>coumarin</w:t>
      </w:r>
      <w:proofErr w:type="spellEnd"/>
      <w:r w:rsidRPr="00344DCE">
        <w:t xml:space="preserve"> in a 70% ethanol solution. Plasma concentrations of the dose increased in a linear fashion up to approximately 1 hour following application, at which point the concentration decreased in a linear fashion to almost 0 at 6 hours.</w:t>
      </w:r>
    </w:p>
    <w:p w:rsidR="00BF5B8E" w:rsidRPr="00344DCE" w:rsidRDefault="00BF5B8E" w:rsidP="008A65A8">
      <w:r w:rsidRPr="00344DCE">
        <w:t xml:space="preserve">Sunscreens are required to include warning statements when the ethanol concentration is higher than 3% (Therapeutic Goods Administration, 2016). As at August 2018, approximately 11% of Australian sunscreens listed in the ARTG include this warning statement. As most Australian sunscreens are not ethanol based, it appears that the studies conducted with high concentration ethanol vehicles are not representative of the Australian sunscreens, rather, the absorption profile for </w:t>
      </w:r>
      <w:proofErr w:type="spellStart"/>
      <w:r w:rsidRPr="00344DCE">
        <w:t>coumarin</w:t>
      </w:r>
      <w:proofErr w:type="spellEnd"/>
      <w:r w:rsidRPr="00344DCE">
        <w:t xml:space="preserve"> in the oil-in-water emulsion (</w:t>
      </w:r>
      <w:proofErr w:type="spellStart"/>
      <w:r w:rsidRPr="00344DCE">
        <w:t>Yourick</w:t>
      </w:r>
      <w:proofErr w:type="spellEnd"/>
      <w:r w:rsidRPr="00344DCE">
        <w:t xml:space="preserve"> &amp; </w:t>
      </w:r>
      <w:proofErr w:type="spellStart"/>
      <w:r w:rsidRPr="00344DCE">
        <w:t>Bronaugh</w:t>
      </w:r>
      <w:proofErr w:type="spellEnd"/>
      <w:r w:rsidRPr="00344DCE">
        <w:t xml:space="preserve"> (1997) is a more appropriate representation of Australian sunscreens considering the emulsion more closely resembles the formulation of sunscreens.</w:t>
      </w:r>
    </w:p>
    <w:p w:rsidR="00BF5B8E" w:rsidRPr="000E0E79" w:rsidRDefault="00BF5B8E" w:rsidP="000E0E79">
      <w:pPr>
        <w:pStyle w:val="Heading5"/>
      </w:pPr>
      <w:r w:rsidRPr="000E0E79">
        <w:t>Oral absorption</w:t>
      </w:r>
    </w:p>
    <w:p w:rsidR="00BF5B8E" w:rsidRPr="00344DCE" w:rsidRDefault="00BF5B8E" w:rsidP="008A65A8">
      <w:pPr>
        <w:keepNext/>
      </w:pPr>
      <w:r w:rsidRPr="00344DCE">
        <w:t xml:space="preserve">Abraham </w:t>
      </w:r>
      <w:r w:rsidRPr="00344DCE">
        <w:rPr>
          <w:noProof/>
        </w:rPr>
        <w:t>(2011)</w:t>
      </w:r>
      <w:r w:rsidRPr="00344DCE">
        <w:t xml:space="preserve"> considered whether the absorption of </w:t>
      </w:r>
      <w:proofErr w:type="spellStart"/>
      <w:r w:rsidRPr="00344DCE">
        <w:t>coumarin</w:t>
      </w:r>
      <w:proofErr w:type="spellEnd"/>
      <w:r w:rsidRPr="00344DCE">
        <w:t xml:space="preserve"> in humans via oral administration was effected by the delivery vehicle. A dose of 12 mg </w:t>
      </w:r>
      <w:proofErr w:type="spellStart"/>
      <w:r w:rsidRPr="00344DCE">
        <w:t>coumarin</w:t>
      </w:r>
      <w:proofErr w:type="spellEnd"/>
      <w:r w:rsidRPr="00344DCE">
        <w:t xml:space="preserve"> was administered to volunteers via 4 different oral dosage vehicles; cinnamon tea was considered to have resulted in the most efficient absorption (</w:t>
      </w:r>
      <w:r>
        <w:t>Table 3-1</w:t>
      </w:r>
      <w:r w:rsidRPr="00344DCE">
        <w:t>).</w:t>
      </w:r>
    </w:p>
    <w:p w:rsidR="00BF5B8E" w:rsidRPr="008A65A8" w:rsidRDefault="00BF5B8E" w:rsidP="008A65A8">
      <w:pPr>
        <w:pStyle w:val="Caption"/>
        <w:keepNext/>
        <w:rPr>
          <w:rFonts w:ascii="Cambria" w:hAnsi="Cambria"/>
          <w:b/>
          <w:sz w:val="22"/>
          <w:szCs w:val="22"/>
        </w:rPr>
      </w:pPr>
      <w:bookmarkStart w:id="68" w:name="_Ref25154324"/>
      <w:r w:rsidRPr="008A65A8">
        <w:rPr>
          <w:rFonts w:ascii="Cambria" w:hAnsi="Cambria"/>
          <w:b/>
          <w:sz w:val="22"/>
          <w:szCs w:val="22"/>
        </w:rPr>
        <w:t>Table 3</w:t>
      </w:r>
      <w:r w:rsidR="00A652D0">
        <w:rPr>
          <w:rFonts w:ascii="Cambria" w:hAnsi="Cambria"/>
          <w:b/>
          <w:sz w:val="22"/>
          <w:szCs w:val="22"/>
        </w:rPr>
        <w:t>-</w:t>
      </w:r>
      <w:r w:rsidR="008A65A8" w:rsidRPr="008A65A8">
        <w:rPr>
          <w:rFonts w:ascii="Cambria" w:hAnsi="Cambria"/>
          <w:b/>
          <w:sz w:val="22"/>
          <w:szCs w:val="22"/>
        </w:rPr>
        <w:fldChar w:fldCharType="begin"/>
      </w:r>
      <w:r w:rsidR="008A65A8" w:rsidRPr="008A65A8">
        <w:rPr>
          <w:rFonts w:ascii="Cambria" w:hAnsi="Cambria"/>
          <w:b/>
          <w:sz w:val="22"/>
          <w:szCs w:val="22"/>
        </w:rPr>
        <w:instrText xml:space="preserve"> SEQ Table \* ARABIC \s 1 </w:instrText>
      </w:r>
      <w:r w:rsidR="008A65A8" w:rsidRPr="008A65A8">
        <w:rPr>
          <w:rFonts w:ascii="Cambria" w:hAnsi="Cambria"/>
          <w:b/>
          <w:sz w:val="22"/>
          <w:szCs w:val="22"/>
        </w:rPr>
        <w:fldChar w:fldCharType="separate"/>
      </w:r>
      <w:r w:rsidR="007C34B5">
        <w:rPr>
          <w:rFonts w:ascii="Cambria" w:hAnsi="Cambria"/>
          <w:b/>
          <w:noProof/>
          <w:sz w:val="22"/>
          <w:szCs w:val="22"/>
        </w:rPr>
        <w:t>1</w:t>
      </w:r>
      <w:r w:rsidR="008A65A8" w:rsidRPr="008A65A8">
        <w:rPr>
          <w:rFonts w:ascii="Cambria" w:hAnsi="Cambria"/>
          <w:b/>
          <w:noProof/>
          <w:sz w:val="22"/>
          <w:szCs w:val="22"/>
        </w:rPr>
        <w:fldChar w:fldCharType="end"/>
      </w:r>
      <w:bookmarkEnd w:id="68"/>
      <w:r w:rsidRPr="008A65A8">
        <w:rPr>
          <w:rFonts w:ascii="Cambria" w:hAnsi="Cambria"/>
          <w:b/>
          <w:sz w:val="22"/>
          <w:szCs w:val="22"/>
        </w:rPr>
        <w:t xml:space="preserve">: Volunteers taking an equivalent doses of </w:t>
      </w:r>
      <w:proofErr w:type="spellStart"/>
      <w:r w:rsidRPr="008A65A8">
        <w:rPr>
          <w:rFonts w:ascii="Cambria" w:hAnsi="Cambria"/>
          <w:b/>
          <w:sz w:val="22"/>
          <w:szCs w:val="22"/>
        </w:rPr>
        <w:t>coumarin</w:t>
      </w:r>
      <w:proofErr w:type="spellEnd"/>
      <w:r w:rsidRPr="008A65A8">
        <w:rPr>
          <w:rFonts w:ascii="Cambria" w:hAnsi="Cambria"/>
          <w:b/>
          <w:sz w:val="22"/>
          <w:szCs w:val="22"/>
        </w:rPr>
        <w:t xml:space="preserve"> in differing deliver vehicles expressed significant differences (</w:t>
      </w:r>
      <w:r w:rsidRPr="008A65A8">
        <w:rPr>
          <w:rFonts w:ascii="Cambria" w:hAnsi="Cambria"/>
          <w:b/>
          <w:i/>
          <w:sz w:val="22"/>
          <w:szCs w:val="22"/>
        </w:rPr>
        <w:t>p</w:t>
      </w:r>
      <w:r w:rsidRPr="008A65A8">
        <w:rPr>
          <w:rFonts w:ascii="Cambria" w:hAnsi="Cambria"/>
          <w:b/>
          <w:sz w:val="22"/>
          <w:szCs w:val="22"/>
        </w:rPr>
        <w:t xml:space="preserve">&lt;0.005) in total 7-hydroxycoumarin urinary excretion compared to chemically isolated capsules </w:t>
      </w:r>
      <w:r w:rsidRPr="008A65A8">
        <w:rPr>
          <w:rFonts w:ascii="Cambria" w:hAnsi="Cambria"/>
          <w:b/>
          <w:noProof/>
          <w:sz w:val="22"/>
          <w:szCs w:val="22"/>
        </w:rPr>
        <w:t xml:space="preserve">(Abraham </w:t>
      </w:r>
      <w:r w:rsidR="00455127" w:rsidRPr="00455127">
        <w:rPr>
          <w:rFonts w:ascii="Cambria" w:hAnsi="Cambria"/>
          <w:b/>
          <w:i/>
          <w:noProof/>
          <w:sz w:val="22"/>
          <w:szCs w:val="22"/>
        </w:rPr>
        <w:t>et al.</w:t>
      </w:r>
      <w:r w:rsidRPr="008A65A8">
        <w:rPr>
          <w:rFonts w:ascii="Cambria" w:hAnsi="Cambria"/>
          <w:b/>
          <w:noProof/>
          <w:sz w:val="22"/>
          <w:szCs w:val="22"/>
        </w:rPr>
        <w:t>, 2011)</w:t>
      </w:r>
      <w:r w:rsidRPr="008A65A8">
        <w:rPr>
          <w:rFonts w:ascii="Cambria" w:hAnsi="Cambria"/>
          <w:b/>
          <w:sz w:val="22"/>
          <w:szCs w:val="22"/>
        </w:rPr>
        <w:t>.</w:t>
      </w:r>
    </w:p>
    <w:tbl>
      <w:tblPr>
        <w:tblStyle w:val="TableTGAblue"/>
        <w:tblW w:w="5519" w:type="dxa"/>
        <w:jc w:val="center"/>
        <w:tblLook w:val="04A0" w:firstRow="1" w:lastRow="0" w:firstColumn="1" w:lastColumn="0" w:noHBand="0" w:noVBand="1"/>
      </w:tblPr>
      <w:tblGrid>
        <w:gridCol w:w="3510"/>
        <w:gridCol w:w="2009"/>
      </w:tblGrid>
      <w:tr w:rsidR="00BF5B8E" w:rsidRPr="00344DCE" w:rsidTr="00A652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0" w:type="dxa"/>
          </w:tcPr>
          <w:p w:rsidR="00BF5B8E" w:rsidRPr="00344DCE" w:rsidRDefault="00BF5B8E" w:rsidP="008A65A8">
            <w:r w:rsidRPr="00344DCE">
              <w:t>Vehicle</w:t>
            </w:r>
          </w:p>
        </w:tc>
        <w:tc>
          <w:tcPr>
            <w:tcW w:w="2009" w:type="dxa"/>
          </w:tcPr>
          <w:p w:rsidR="00BF5B8E" w:rsidRPr="00344DCE" w:rsidRDefault="00A652D0" w:rsidP="008A65A8">
            <w:pPr>
              <w:cnfStyle w:val="100000000000" w:firstRow="1" w:lastRow="0" w:firstColumn="0" w:lastColumn="0" w:oddVBand="0" w:evenVBand="0" w:oddHBand="0" w:evenHBand="0" w:firstRowFirstColumn="0" w:firstRowLastColumn="0" w:lastRowFirstColumn="0" w:lastRowLastColumn="0"/>
            </w:pPr>
            <w:r>
              <w:t>Total a</w:t>
            </w:r>
            <w:r w:rsidR="00BF5B8E" w:rsidRPr="00344DCE">
              <w:t>bsorption</w:t>
            </w:r>
          </w:p>
        </w:tc>
      </w:tr>
      <w:tr w:rsidR="00BF5B8E" w:rsidRPr="00344DCE" w:rsidTr="00A652D0">
        <w:trPr>
          <w:jc w:val="center"/>
        </w:trPr>
        <w:tc>
          <w:tcPr>
            <w:cnfStyle w:val="001000000000" w:firstRow="0" w:lastRow="0" w:firstColumn="1" w:lastColumn="0" w:oddVBand="0" w:evenVBand="0" w:oddHBand="0" w:evenHBand="0" w:firstRowFirstColumn="0" w:firstRowLastColumn="0" w:lastRowFirstColumn="0" w:lastRowLastColumn="0"/>
            <w:tcW w:w="3510" w:type="dxa"/>
          </w:tcPr>
          <w:p w:rsidR="00BF5B8E" w:rsidRPr="00344DCE" w:rsidRDefault="00BF5B8E" w:rsidP="008A65A8">
            <w:pPr>
              <w:keepNext/>
            </w:pPr>
            <w:r w:rsidRPr="00344DCE">
              <w:t xml:space="preserve">Isolated </w:t>
            </w:r>
            <w:proofErr w:type="spellStart"/>
            <w:r w:rsidRPr="00344DCE">
              <w:t>coumarin</w:t>
            </w:r>
            <w:proofErr w:type="spellEnd"/>
            <w:r w:rsidRPr="00344DCE">
              <w:t xml:space="preserve"> in capsule</w:t>
            </w:r>
          </w:p>
        </w:tc>
        <w:tc>
          <w:tcPr>
            <w:tcW w:w="2009" w:type="dxa"/>
          </w:tcPr>
          <w:p w:rsidR="00BF5B8E" w:rsidRPr="00344DCE" w:rsidRDefault="00BF5B8E" w:rsidP="008A65A8">
            <w:pPr>
              <w:cnfStyle w:val="000000000000" w:firstRow="0" w:lastRow="0" w:firstColumn="0" w:lastColumn="0" w:oddVBand="0" w:evenVBand="0" w:oddHBand="0" w:evenHBand="0" w:firstRowFirstColumn="0" w:firstRowLastColumn="0" w:lastRowFirstColumn="0" w:lastRowLastColumn="0"/>
            </w:pPr>
            <w:r w:rsidRPr="00344DCE">
              <w:t>62.8 ± 6.3%</w:t>
            </w:r>
          </w:p>
        </w:tc>
      </w:tr>
      <w:tr w:rsidR="00BF5B8E" w:rsidRPr="00344DCE" w:rsidTr="00A652D0">
        <w:trPr>
          <w:jc w:val="center"/>
        </w:trPr>
        <w:tc>
          <w:tcPr>
            <w:cnfStyle w:val="001000000000" w:firstRow="0" w:lastRow="0" w:firstColumn="1" w:lastColumn="0" w:oddVBand="0" w:evenVBand="0" w:oddHBand="0" w:evenHBand="0" w:firstRowFirstColumn="0" w:firstRowLastColumn="0" w:lastRowFirstColumn="0" w:lastRowLastColumn="0"/>
            <w:tcW w:w="3510" w:type="dxa"/>
          </w:tcPr>
          <w:p w:rsidR="00BF5B8E" w:rsidRPr="00344DCE" w:rsidRDefault="00BF5B8E" w:rsidP="008A65A8">
            <w:pPr>
              <w:keepNext/>
            </w:pPr>
            <w:r w:rsidRPr="00344DCE">
              <w:t>Cinnamon in a capsule</w:t>
            </w:r>
          </w:p>
        </w:tc>
        <w:tc>
          <w:tcPr>
            <w:tcW w:w="2009" w:type="dxa"/>
          </w:tcPr>
          <w:p w:rsidR="00BF5B8E" w:rsidRPr="00344DCE" w:rsidRDefault="00BF5B8E" w:rsidP="008A65A8">
            <w:pPr>
              <w:cnfStyle w:val="000000000000" w:firstRow="0" w:lastRow="0" w:firstColumn="0" w:lastColumn="0" w:oddVBand="0" w:evenVBand="0" w:oddHBand="0" w:evenHBand="0" w:firstRowFirstColumn="0" w:firstRowLastColumn="0" w:lastRowFirstColumn="0" w:lastRowLastColumn="0"/>
            </w:pPr>
            <w:r w:rsidRPr="00344DCE">
              <w:t>56.0 ± 5.9%</w:t>
            </w:r>
          </w:p>
        </w:tc>
      </w:tr>
      <w:tr w:rsidR="00BF5B8E" w:rsidRPr="00344DCE" w:rsidTr="00A652D0">
        <w:trPr>
          <w:jc w:val="center"/>
        </w:trPr>
        <w:tc>
          <w:tcPr>
            <w:cnfStyle w:val="001000000000" w:firstRow="0" w:lastRow="0" w:firstColumn="1" w:lastColumn="0" w:oddVBand="0" w:evenVBand="0" w:oddHBand="0" w:evenHBand="0" w:firstRowFirstColumn="0" w:firstRowLastColumn="0" w:lastRowFirstColumn="0" w:lastRowLastColumn="0"/>
            <w:tcW w:w="3510" w:type="dxa"/>
          </w:tcPr>
          <w:p w:rsidR="00BF5B8E" w:rsidRPr="00344DCE" w:rsidRDefault="00BF5B8E" w:rsidP="008A65A8">
            <w:pPr>
              <w:keepNext/>
            </w:pPr>
            <w:r w:rsidRPr="00344DCE">
              <w:t>Cinnamon tea</w:t>
            </w:r>
          </w:p>
        </w:tc>
        <w:tc>
          <w:tcPr>
            <w:tcW w:w="2009" w:type="dxa"/>
          </w:tcPr>
          <w:p w:rsidR="00BF5B8E" w:rsidRPr="00344DCE" w:rsidRDefault="00BF5B8E" w:rsidP="008A65A8">
            <w:pPr>
              <w:cnfStyle w:val="000000000000" w:firstRow="0" w:lastRow="0" w:firstColumn="0" w:lastColumn="0" w:oddVBand="0" w:evenVBand="0" w:oddHBand="0" w:evenHBand="0" w:firstRowFirstColumn="0" w:firstRowLastColumn="0" w:lastRowFirstColumn="0" w:lastRowLastColumn="0"/>
            </w:pPr>
            <w:r w:rsidRPr="00344DCE">
              <w:t>66.1 ± 5.5%</w:t>
            </w:r>
          </w:p>
        </w:tc>
      </w:tr>
      <w:tr w:rsidR="00BF5B8E" w:rsidRPr="00344DCE" w:rsidTr="00A652D0">
        <w:trPr>
          <w:jc w:val="center"/>
        </w:trPr>
        <w:tc>
          <w:tcPr>
            <w:cnfStyle w:val="001000000000" w:firstRow="0" w:lastRow="0" w:firstColumn="1" w:lastColumn="0" w:oddVBand="0" w:evenVBand="0" w:oddHBand="0" w:evenHBand="0" w:firstRowFirstColumn="0" w:firstRowLastColumn="0" w:lastRowFirstColumn="0" w:lastRowLastColumn="0"/>
            <w:tcW w:w="3510" w:type="dxa"/>
          </w:tcPr>
          <w:p w:rsidR="00BF5B8E" w:rsidRPr="00344DCE" w:rsidRDefault="00BF5B8E" w:rsidP="008A65A8">
            <w:r w:rsidRPr="00344DCE">
              <w:t>Cinnamon mixed in rice pudding</w:t>
            </w:r>
          </w:p>
        </w:tc>
        <w:tc>
          <w:tcPr>
            <w:tcW w:w="2009" w:type="dxa"/>
          </w:tcPr>
          <w:p w:rsidR="00BF5B8E" w:rsidRPr="00344DCE" w:rsidRDefault="00BF5B8E" w:rsidP="008A65A8">
            <w:pPr>
              <w:cnfStyle w:val="000000000000" w:firstRow="0" w:lastRow="0" w:firstColumn="0" w:lastColumn="0" w:oddVBand="0" w:evenVBand="0" w:oddHBand="0" w:evenHBand="0" w:firstRowFirstColumn="0" w:firstRowLastColumn="0" w:lastRowFirstColumn="0" w:lastRowLastColumn="0"/>
            </w:pPr>
            <w:r w:rsidRPr="00344DCE">
              <w:t>54.7 ± 5.6%</w:t>
            </w:r>
          </w:p>
        </w:tc>
      </w:tr>
    </w:tbl>
    <w:p w:rsidR="00BF5B8E" w:rsidRPr="000E0E79" w:rsidRDefault="00BF5B8E" w:rsidP="000E0E79">
      <w:pPr>
        <w:pStyle w:val="Heading4"/>
        <w:rPr>
          <w:rStyle w:val="Heading4Char"/>
          <w:b/>
          <w:bCs/>
        </w:rPr>
      </w:pPr>
      <w:bookmarkStart w:id="69" w:name="_Toc25652436"/>
      <w:bookmarkStart w:id="70" w:name="_Toc25930272"/>
      <w:r w:rsidRPr="000E0E79">
        <w:rPr>
          <w:rStyle w:val="Heading4Char"/>
          <w:b/>
          <w:bCs/>
        </w:rPr>
        <w:t>Distribution</w:t>
      </w:r>
      <w:bookmarkEnd w:id="69"/>
      <w:bookmarkEnd w:id="70"/>
    </w:p>
    <w:p w:rsidR="00BF5B8E" w:rsidRPr="00344DCE" w:rsidRDefault="00BF5B8E" w:rsidP="008A65A8">
      <w:proofErr w:type="spellStart"/>
      <w:r w:rsidRPr="00344DCE">
        <w:t>Piller</w:t>
      </w:r>
      <w:proofErr w:type="spellEnd"/>
      <w:r w:rsidRPr="00344DCE">
        <w:t xml:space="preserve"> (1977) investigated the distribution of 3-</w:t>
      </w:r>
      <w:r w:rsidRPr="00344DCE">
        <w:rPr>
          <w:vertAlign w:val="superscript"/>
        </w:rPr>
        <w:t>14</w:t>
      </w:r>
      <w:r w:rsidRPr="00344DCE">
        <w:t xml:space="preserve">C radio-labelled </w:t>
      </w:r>
      <w:proofErr w:type="spellStart"/>
      <w:r w:rsidRPr="00344DCE">
        <w:t>coumarin</w:t>
      </w:r>
      <w:proofErr w:type="spellEnd"/>
      <w:r w:rsidRPr="00344DCE">
        <w:t xml:space="preserve"> in female albino rats up to 100 hours following intraperitoneal administration. The blood, kidney, brain, heart, spleen, liver, lung, muscle, gut and skin were examined for </w:t>
      </w:r>
      <w:proofErr w:type="spellStart"/>
      <w:r w:rsidRPr="00344DCE">
        <w:t>coumarin</w:t>
      </w:r>
      <w:proofErr w:type="spellEnd"/>
      <w:r w:rsidRPr="00344DCE">
        <w:t xml:space="preserve"> concentration. Overall, the highest levels were found in the kidney and liver; closely followed by the gut. The total detected </w:t>
      </w:r>
      <w:proofErr w:type="spellStart"/>
      <w:r w:rsidRPr="00344DCE">
        <w:t>coumarin</w:t>
      </w:r>
      <w:proofErr w:type="spellEnd"/>
      <w:r w:rsidRPr="00344DCE">
        <w:t xml:space="preserve"> increased between 10 and 24 hours, and the author postulated that </w:t>
      </w:r>
      <w:proofErr w:type="spellStart"/>
      <w:r w:rsidRPr="00344DCE">
        <w:t>coumarin</w:t>
      </w:r>
      <w:proofErr w:type="spellEnd"/>
      <w:r w:rsidRPr="00344DCE">
        <w:t xml:space="preserve"> had been present in other, unexamined tissues. The overall half-life of </w:t>
      </w:r>
      <w:proofErr w:type="spellStart"/>
      <w:r w:rsidRPr="00344DCE">
        <w:t>coumarin</w:t>
      </w:r>
      <w:proofErr w:type="spellEnd"/>
      <w:r w:rsidRPr="00344DCE">
        <w:t xml:space="preserve"> and metabolites in examined tissues was about 43 hours. At 100 hours, 77.7% of the dose was accounted for in urine and faeces and 7.4% detected in the examined tissues, with the remaining 14.9% unaccounted for.</w:t>
      </w:r>
    </w:p>
    <w:p w:rsidR="00BF5B8E" w:rsidRPr="00344DCE" w:rsidRDefault="00BF5B8E" w:rsidP="008A65A8">
      <w:r w:rsidRPr="00344DCE">
        <w:lastRenderedPageBreak/>
        <w:t xml:space="preserve">Lake </w:t>
      </w:r>
      <w:r w:rsidR="00455127" w:rsidRPr="00455127">
        <w:rPr>
          <w:i/>
        </w:rPr>
        <w:t>et al.</w:t>
      </w:r>
      <w:r w:rsidRPr="00344DCE">
        <w:t xml:space="preserve"> </w:t>
      </w:r>
      <w:r w:rsidRPr="00344DCE">
        <w:rPr>
          <w:noProof/>
        </w:rPr>
        <w:t>(2002)</w:t>
      </w:r>
      <w:r w:rsidRPr="00344DCE">
        <w:t xml:space="preserve"> found rats treated with orally-administered 25 mg/kg </w:t>
      </w:r>
      <w:proofErr w:type="spellStart"/>
      <w:r w:rsidRPr="00344DCE">
        <w:t>bw</w:t>
      </w:r>
      <w:proofErr w:type="spellEnd"/>
      <w:r w:rsidRPr="00344DCE">
        <w:t xml:space="preserve"> </w:t>
      </w:r>
      <w:proofErr w:type="spellStart"/>
      <w:r w:rsidRPr="00344DCE">
        <w:t>coumarin</w:t>
      </w:r>
      <w:proofErr w:type="spellEnd"/>
      <w:r w:rsidRPr="00344DCE">
        <w:t xml:space="preserve"> retained 0.055±0.007%, 0.97±0.03% and 0.013±0.001% of the dose in the gut, liver and kidney respectively 96 hours after the initial dose. In the same study, hamsters with the same dose retained 0.027±0.003%, 0.51±0.07% and 0.013±0.001% in the same organs. In each of the models, greater than 98% of the dose was accounted for; and, comparable retentions were found in a 300 mg/kg </w:t>
      </w:r>
      <w:proofErr w:type="spellStart"/>
      <w:r w:rsidRPr="00344DCE">
        <w:t>bw</w:t>
      </w:r>
      <w:proofErr w:type="spellEnd"/>
      <w:r w:rsidRPr="00344DCE">
        <w:t xml:space="preserve"> dose treatment.</w:t>
      </w:r>
    </w:p>
    <w:p w:rsidR="00BF5B8E" w:rsidRPr="00344DCE" w:rsidRDefault="00BF5B8E" w:rsidP="008A65A8">
      <w:r w:rsidRPr="00344DCE">
        <w:t xml:space="preserve">A further study exposed male Lister Hooded rats </w:t>
      </w:r>
      <w:r w:rsidRPr="00344DCE">
        <w:rPr>
          <w:noProof/>
        </w:rPr>
        <w:t xml:space="preserve">Ford </w:t>
      </w:r>
      <w:r w:rsidR="00455127" w:rsidRPr="00455127">
        <w:rPr>
          <w:i/>
          <w:noProof/>
        </w:rPr>
        <w:t>et al.</w:t>
      </w:r>
      <w:r w:rsidRPr="00344DCE">
        <w:rPr>
          <w:noProof/>
        </w:rPr>
        <w:t xml:space="preserve"> (2001)</w:t>
      </w:r>
      <w:r w:rsidRPr="00344DCE">
        <w:t xml:space="preserve"> to a dermal application of 0.17 mg </w:t>
      </w:r>
      <w:proofErr w:type="spellStart"/>
      <w:r w:rsidRPr="00344DCE">
        <w:t>coumarin</w:t>
      </w:r>
      <w:proofErr w:type="spellEnd"/>
      <w:r w:rsidRPr="00344DCE">
        <w:t xml:space="preserve"> per rat and found 1.3% of the dose remained in the tissues at 120 hours. At this time point, 83.9% of the dose was recovered. However, the results provided do not indicate the distribution of </w:t>
      </w:r>
      <w:proofErr w:type="spellStart"/>
      <w:r w:rsidRPr="00344DCE">
        <w:t>coumarin</w:t>
      </w:r>
      <w:proofErr w:type="spellEnd"/>
      <w:r w:rsidRPr="00344DCE">
        <w:t xml:space="preserve"> and/or metabolites within these tissues.</w:t>
      </w:r>
    </w:p>
    <w:p w:rsidR="00BF5B8E" w:rsidRPr="00344DCE" w:rsidRDefault="00BF5B8E" w:rsidP="008A65A8">
      <w:r w:rsidRPr="00344DCE">
        <w:t xml:space="preserve">Numerous review articles </w:t>
      </w:r>
      <w:r w:rsidRPr="00344DCE">
        <w:rPr>
          <w:noProof/>
        </w:rPr>
        <w:t>(Cohen, 1979; Fentem &amp; Fry, 1993; Lake, 1999)</w:t>
      </w:r>
      <w:r w:rsidRPr="00344DCE">
        <w:t xml:space="preserve"> and regulatory assessments (EC, 1999; WHO, 2000) have considered the available data on distribution of </w:t>
      </w:r>
      <w:proofErr w:type="spellStart"/>
      <w:r w:rsidRPr="00344DCE">
        <w:t>coumarin</w:t>
      </w:r>
      <w:proofErr w:type="spellEnd"/>
      <w:r w:rsidRPr="00344DCE">
        <w:t xml:space="preserve"> in human and animal models. The consensus is that tissue accumulation is insignificant in humans; however, these reviews and articles were largely concerned with an oral route of administration. The absence of first pass metabolism in a dermal route of administration would likely lead to an altered distribution profile, however this has not been investigated in the literature available.</w:t>
      </w:r>
    </w:p>
    <w:p w:rsidR="00BF5B8E" w:rsidRPr="00344DCE" w:rsidRDefault="00BF5B8E" w:rsidP="000E0E79">
      <w:pPr>
        <w:pStyle w:val="Heading4"/>
      </w:pPr>
      <w:bookmarkStart w:id="71" w:name="_Toc25652437"/>
      <w:bookmarkStart w:id="72" w:name="_Toc25930273"/>
      <w:r w:rsidRPr="00344DCE">
        <w:t>Metabolism</w:t>
      </w:r>
      <w:bookmarkEnd w:id="71"/>
      <w:bookmarkEnd w:id="72"/>
    </w:p>
    <w:p w:rsidR="00BF5B8E" w:rsidRPr="00344DCE" w:rsidRDefault="00BF5B8E" w:rsidP="008A65A8">
      <w:r w:rsidRPr="00344DCE">
        <w:t xml:space="preserve">Major differences are found in the metabolism of </w:t>
      </w:r>
      <w:proofErr w:type="spellStart"/>
      <w:r w:rsidRPr="00344DCE">
        <w:t>coumarin</w:t>
      </w:r>
      <w:proofErr w:type="spellEnd"/>
      <w:r w:rsidRPr="00344DCE">
        <w:t xml:space="preserve"> between primates (including humans) and other mammals </w:t>
      </w:r>
      <w:r>
        <w:rPr>
          <w:noProof/>
        </w:rPr>
        <w:t xml:space="preserve">(Cohen, 1979; Fentem </w:t>
      </w:r>
      <w:r w:rsidR="00455127" w:rsidRPr="00455127">
        <w:rPr>
          <w:i/>
          <w:noProof/>
        </w:rPr>
        <w:t>et al.</w:t>
      </w:r>
      <w:r>
        <w:rPr>
          <w:noProof/>
        </w:rPr>
        <w:t xml:space="preserve">, 1992; Vassallo </w:t>
      </w:r>
      <w:r w:rsidR="00455127" w:rsidRPr="00455127">
        <w:rPr>
          <w:i/>
          <w:noProof/>
        </w:rPr>
        <w:t>et al.</w:t>
      </w:r>
      <w:r>
        <w:rPr>
          <w:noProof/>
        </w:rPr>
        <w:t>, 2004)</w:t>
      </w:r>
      <w:r w:rsidRPr="00344DCE">
        <w:t xml:space="preserve">. In primates, first pass metabolism has been found to efficiently (94-98%) convert </w:t>
      </w:r>
      <w:proofErr w:type="spellStart"/>
      <w:r w:rsidRPr="00344DCE">
        <w:t>coumarin</w:t>
      </w:r>
      <w:proofErr w:type="spellEnd"/>
      <w:r w:rsidRPr="00344DCE">
        <w:t xml:space="preserve"> to 7-hydroxycoumarin </w:t>
      </w:r>
      <w:r>
        <w:rPr>
          <w:noProof/>
        </w:rPr>
        <w:t xml:space="preserve">(Ritschel </w:t>
      </w:r>
      <w:r w:rsidR="00455127" w:rsidRPr="00455127">
        <w:rPr>
          <w:i/>
          <w:noProof/>
        </w:rPr>
        <w:t>et al.</w:t>
      </w:r>
      <w:r>
        <w:rPr>
          <w:noProof/>
        </w:rPr>
        <w:t xml:space="preserve">, 1979; Ritschel </w:t>
      </w:r>
      <w:r w:rsidR="00455127" w:rsidRPr="00455127">
        <w:rPr>
          <w:i/>
          <w:noProof/>
        </w:rPr>
        <w:t>et al.</w:t>
      </w:r>
      <w:r>
        <w:rPr>
          <w:noProof/>
        </w:rPr>
        <w:t>, 1988)</w:t>
      </w:r>
      <w:r w:rsidRPr="00344DCE">
        <w:t xml:space="preserve">, which is readily excreted in urine </w:t>
      </w:r>
      <w:r>
        <w:rPr>
          <w:noProof/>
        </w:rPr>
        <w:t xml:space="preserve">(Ford </w:t>
      </w:r>
      <w:r w:rsidR="00455127" w:rsidRPr="00455127">
        <w:rPr>
          <w:i/>
          <w:noProof/>
        </w:rPr>
        <w:t>et al.</w:t>
      </w:r>
      <w:r>
        <w:rPr>
          <w:noProof/>
        </w:rPr>
        <w:t xml:space="preserve">, 2001; Shilling </w:t>
      </w:r>
      <w:r w:rsidR="00455127" w:rsidRPr="00455127">
        <w:rPr>
          <w:i/>
          <w:noProof/>
        </w:rPr>
        <w:t>et al.</w:t>
      </w:r>
      <w:r>
        <w:rPr>
          <w:noProof/>
        </w:rPr>
        <w:t>, 1969)</w:t>
      </w:r>
      <w:r w:rsidRPr="00344DCE">
        <w:t xml:space="preserve">. However, the extent of 7-hydroxylation shows remarkable interspecies variation </w:t>
      </w:r>
      <w:r w:rsidRPr="00344DCE">
        <w:rPr>
          <w:noProof/>
        </w:rPr>
        <w:t>(Cohen, 1979; Hardt &amp; Ritschel, 1983; Lake &amp; Grasso, 1996; Ritschel &amp; Hardt, 1983)</w:t>
      </w:r>
      <w:r w:rsidRPr="00344DCE">
        <w:t xml:space="preserve"> and is considered to be a major contributing factor to the differences in hepatotoxicity between species </w:t>
      </w:r>
      <w:r w:rsidRPr="00344DCE">
        <w:rPr>
          <w:noProof/>
        </w:rPr>
        <w:t xml:space="preserve">(Abraham </w:t>
      </w:r>
      <w:r w:rsidR="00455127" w:rsidRPr="00455127">
        <w:rPr>
          <w:i/>
          <w:noProof/>
        </w:rPr>
        <w:t>et al.</w:t>
      </w:r>
      <w:r w:rsidRPr="00344DCE">
        <w:rPr>
          <w:noProof/>
        </w:rPr>
        <w:t>, 2010; Farinola &amp; Piller, 2007; Lake, 1999)</w:t>
      </w:r>
      <w:r w:rsidRPr="00344DCE">
        <w:t>.</w:t>
      </w:r>
    </w:p>
    <w:p w:rsidR="00BF5B8E" w:rsidRPr="00344DCE" w:rsidRDefault="00BF5B8E" w:rsidP="008A65A8">
      <w:r w:rsidRPr="00344DCE">
        <w:t xml:space="preserve">The 7-hydroxylation of </w:t>
      </w:r>
      <w:proofErr w:type="spellStart"/>
      <w:r w:rsidRPr="00344DCE">
        <w:t>coumarin</w:t>
      </w:r>
      <w:proofErr w:type="spellEnd"/>
      <w:r w:rsidRPr="00344DCE">
        <w:t xml:space="preserve"> is localised to the liver (</w:t>
      </w:r>
      <w:proofErr w:type="spellStart"/>
      <w:r w:rsidRPr="00344DCE">
        <w:t>Ritschel</w:t>
      </w:r>
      <w:proofErr w:type="spellEnd"/>
      <w:r w:rsidRPr="00344DCE">
        <w:t xml:space="preserve"> </w:t>
      </w:r>
      <w:r w:rsidR="00455127" w:rsidRPr="00455127">
        <w:rPr>
          <w:i/>
        </w:rPr>
        <w:t>et al.</w:t>
      </w:r>
      <w:r w:rsidRPr="00344DCE">
        <w:t xml:space="preserve">, 1979) and is attributed to the action of the CYP2A6 enzyme </w:t>
      </w:r>
      <w:r>
        <w:rPr>
          <w:noProof/>
        </w:rPr>
        <w:t xml:space="preserve">(Pelkonen </w:t>
      </w:r>
      <w:r w:rsidR="00455127" w:rsidRPr="00455127">
        <w:rPr>
          <w:i/>
          <w:noProof/>
        </w:rPr>
        <w:t>et al.</w:t>
      </w:r>
      <w:r>
        <w:rPr>
          <w:noProof/>
        </w:rPr>
        <w:t>, 2000)</w:t>
      </w:r>
      <w:r w:rsidRPr="00344DCE">
        <w:t xml:space="preserve">. </w:t>
      </w:r>
      <w:proofErr w:type="spellStart"/>
      <w:r w:rsidRPr="00344DCE">
        <w:t>Rautio</w:t>
      </w:r>
      <w:proofErr w:type="spellEnd"/>
      <w:r w:rsidRPr="00344DCE">
        <w:t xml:space="preserve"> (1992) examined the efficiency of 7-hydroxylation in 100 volunteers and found 4 of the subjects had a reduced capacity compared to the rest of the group. It has since been found that polymorphism of CYP2A6 has been found to entirely suppress 7-hydroxylation in humans </w:t>
      </w:r>
      <w:r>
        <w:rPr>
          <w:noProof/>
        </w:rPr>
        <w:t xml:space="preserve">(Hadidi </w:t>
      </w:r>
      <w:r w:rsidR="00455127" w:rsidRPr="00455127">
        <w:rPr>
          <w:i/>
          <w:noProof/>
        </w:rPr>
        <w:t>et al.</w:t>
      </w:r>
      <w:r>
        <w:rPr>
          <w:noProof/>
        </w:rPr>
        <w:t>, 1997)</w:t>
      </w:r>
      <w:r w:rsidRPr="00344DCE">
        <w:t xml:space="preserve"> and frequency of non-wild type CYP2A6 have been reported in Chinese populations at frequencies up to 20% </w:t>
      </w:r>
      <w:r w:rsidRPr="00344DCE">
        <w:rPr>
          <w:noProof/>
        </w:rPr>
        <w:t xml:space="preserve">(Oscarson </w:t>
      </w:r>
      <w:r w:rsidR="00455127" w:rsidRPr="00455127">
        <w:rPr>
          <w:i/>
          <w:noProof/>
        </w:rPr>
        <w:t>et al.</w:t>
      </w:r>
      <w:r w:rsidRPr="00344DCE">
        <w:rPr>
          <w:noProof/>
        </w:rPr>
        <w:t>, 1999)</w:t>
      </w:r>
      <w:r w:rsidRPr="00344DCE">
        <w:t xml:space="preserve">. Reduction of CYP2A6 activity has been found in patients exhibiting infection </w:t>
      </w:r>
      <w:r w:rsidRPr="00344DCE">
        <w:rPr>
          <w:noProof/>
        </w:rPr>
        <w:t xml:space="preserve">(Pasanen </w:t>
      </w:r>
      <w:r w:rsidR="00455127" w:rsidRPr="00455127">
        <w:rPr>
          <w:i/>
          <w:noProof/>
        </w:rPr>
        <w:t>et al.</w:t>
      </w:r>
      <w:r w:rsidRPr="00344DCE">
        <w:rPr>
          <w:noProof/>
        </w:rPr>
        <w:t>, 1997)</w:t>
      </w:r>
      <w:r w:rsidRPr="00344DCE">
        <w:t xml:space="preserve">. It has not been possible to fully consider the link between CYP2A6 polymorphisms and </w:t>
      </w:r>
      <w:proofErr w:type="spellStart"/>
      <w:r w:rsidRPr="00344DCE">
        <w:t>coumarin</w:t>
      </w:r>
      <w:proofErr w:type="spellEnd"/>
      <w:r w:rsidRPr="00344DCE">
        <w:t xml:space="preserve">-induced hepatotoxicity in this evaluation, as the polymorphisms have not been investigated in humans exhibiting hepatotoxicity </w:t>
      </w:r>
      <w:r w:rsidRPr="00344DCE">
        <w:rPr>
          <w:noProof/>
        </w:rPr>
        <w:t xml:space="preserve">(Abraham </w:t>
      </w:r>
      <w:r w:rsidR="00455127" w:rsidRPr="00455127">
        <w:rPr>
          <w:i/>
          <w:noProof/>
        </w:rPr>
        <w:t>et al.</w:t>
      </w:r>
      <w:r w:rsidRPr="00344DCE">
        <w:rPr>
          <w:noProof/>
        </w:rPr>
        <w:t>, 2010)</w:t>
      </w:r>
      <w:r w:rsidRPr="00344DCE">
        <w:t>.</w:t>
      </w:r>
    </w:p>
    <w:p w:rsidR="00BF5B8E" w:rsidRPr="00344DCE" w:rsidRDefault="00BF5B8E" w:rsidP="008A65A8">
      <w:r w:rsidRPr="00344DCE">
        <w:t xml:space="preserve">Metabolism of </w:t>
      </w:r>
      <w:proofErr w:type="spellStart"/>
      <w:r w:rsidRPr="00344DCE">
        <w:t>coumarin</w:t>
      </w:r>
      <w:proofErr w:type="spellEnd"/>
      <w:r w:rsidRPr="00344DCE">
        <w:t xml:space="preserve"> preferring pathways other than 7-hydroxylation have been found in non-primate mammals </w:t>
      </w:r>
      <w:r>
        <w:rPr>
          <w:noProof/>
        </w:rPr>
        <w:t xml:space="preserve">(Fernyhough </w:t>
      </w:r>
      <w:r w:rsidR="00455127" w:rsidRPr="00455127">
        <w:rPr>
          <w:i/>
          <w:noProof/>
        </w:rPr>
        <w:t>et al.</w:t>
      </w:r>
      <w:r>
        <w:rPr>
          <w:noProof/>
        </w:rPr>
        <w:t xml:space="preserve">, 1994; Vassallo </w:t>
      </w:r>
      <w:r w:rsidR="00455127" w:rsidRPr="00455127">
        <w:rPr>
          <w:i/>
          <w:noProof/>
        </w:rPr>
        <w:t>et al.</w:t>
      </w:r>
      <w:r>
        <w:rPr>
          <w:noProof/>
        </w:rPr>
        <w:t>, 2004)</w:t>
      </w:r>
      <w:r w:rsidRPr="00344DCE">
        <w:t xml:space="preserve"> and humans </w:t>
      </w:r>
      <w:r w:rsidRPr="00344DCE">
        <w:rPr>
          <w:noProof/>
        </w:rPr>
        <w:t xml:space="preserve">(Hadidi </w:t>
      </w:r>
      <w:r w:rsidR="00455127" w:rsidRPr="00455127">
        <w:rPr>
          <w:i/>
          <w:noProof/>
        </w:rPr>
        <w:t>et al.</w:t>
      </w:r>
      <w:r w:rsidRPr="00344DCE">
        <w:rPr>
          <w:noProof/>
        </w:rPr>
        <w:t>, 1997)</w:t>
      </w:r>
      <w:r w:rsidRPr="00344DCE">
        <w:t>. Pathways have been proposed including intermediates of coumarin-3,</w:t>
      </w:r>
      <w:proofErr w:type="gramStart"/>
      <w:r w:rsidRPr="00344DCE">
        <w:t>4,-</w:t>
      </w:r>
      <w:proofErr w:type="gramEnd"/>
      <w:r w:rsidRPr="00344DCE">
        <w:t xml:space="preserve">epoxide (CE) and 3-hydroxycoumarin </w:t>
      </w:r>
      <w:r w:rsidRPr="00344DCE">
        <w:rPr>
          <w:noProof/>
        </w:rPr>
        <w:t xml:space="preserve">(Hadidi </w:t>
      </w:r>
      <w:r w:rsidR="00455127" w:rsidRPr="00455127">
        <w:rPr>
          <w:i/>
          <w:noProof/>
        </w:rPr>
        <w:t>et al.</w:t>
      </w:r>
      <w:r w:rsidRPr="00344DCE">
        <w:rPr>
          <w:noProof/>
        </w:rPr>
        <w:t xml:space="preserve">, 1997; Lake </w:t>
      </w:r>
      <w:r w:rsidR="00455127" w:rsidRPr="00455127">
        <w:rPr>
          <w:i/>
          <w:noProof/>
        </w:rPr>
        <w:t>et al.</w:t>
      </w:r>
      <w:r w:rsidRPr="00344DCE">
        <w:rPr>
          <w:noProof/>
        </w:rPr>
        <w:t>, 2002; WHO, 2000)</w:t>
      </w:r>
      <w:r w:rsidRPr="00344DCE">
        <w:t>; however, there appears to be some disagreement as to the exact biochemical pathways involved.</w:t>
      </w:r>
    </w:p>
    <w:p w:rsidR="00BF5B8E" w:rsidRDefault="00BF5B8E" w:rsidP="008A65A8">
      <w:r w:rsidRPr="00344DCE">
        <w:t xml:space="preserve">Born </w:t>
      </w:r>
      <w:r w:rsidR="00455127" w:rsidRPr="00455127">
        <w:rPr>
          <w:i/>
        </w:rPr>
        <w:t>et al.</w:t>
      </w:r>
      <w:r w:rsidRPr="00344DCE">
        <w:rPr>
          <w:i/>
        </w:rPr>
        <w:t xml:space="preserve"> </w:t>
      </w:r>
      <w:r w:rsidRPr="00344DCE">
        <w:t xml:space="preserve">(2000) stated the CYP1A2 and CYP2E1 enzymes were involved in the metabolism of </w:t>
      </w:r>
      <w:proofErr w:type="spellStart"/>
      <w:r w:rsidRPr="00344DCE">
        <w:t>coumarin</w:t>
      </w:r>
      <w:proofErr w:type="spellEnd"/>
      <w:r w:rsidRPr="00344DCE">
        <w:t xml:space="preserve"> to CE; but an </w:t>
      </w:r>
      <w:r w:rsidRPr="00344DCE">
        <w:rPr>
          <w:i/>
        </w:rPr>
        <w:t xml:space="preserve">in vitro </w:t>
      </w:r>
      <w:r w:rsidRPr="00344DCE">
        <w:t xml:space="preserve">investigation by </w:t>
      </w:r>
      <w:proofErr w:type="spellStart"/>
      <w:r w:rsidRPr="00344DCE">
        <w:t>Zhuo</w:t>
      </w:r>
      <w:proofErr w:type="spellEnd"/>
      <w:r w:rsidRPr="00344DCE">
        <w:t xml:space="preserve"> </w:t>
      </w:r>
      <w:r w:rsidR="00455127" w:rsidRPr="00455127">
        <w:rPr>
          <w:i/>
        </w:rPr>
        <w:t>et al.</w:t>
      </w:r>
      <w:r w:rsidRPr="00344DCE">
        <w:t xml:space="preserve"> (1999) of mouse CYP2E1 resulted in an end-product of </w:t>
      </w:r>
      <w:proofErr w:type="spellStart"/>
      <w:r w:rsidRPr="00344DCE">
        <w:rPr>
          <w:i/>
        </w:rPr>
        <w:t>ortho</w:t>
      </w:r>
      <w:r w:rsidRPr="00344DCE">
        <w:t>-hydroxyphenylacetaldehyde</w:t>
      </w:r>
      <w:proofErr w:type="spellEnd"/>
      <w:r w:rsidRPr="00344DCE">
        <w:t xml:space="preserve"> (</w:t>
      </w:r>
      <w:r w:rsidRPr="00344DCE">
        <w:rPr>
          <w:i/>
        </w:rPr>
        <w:t>o</w:t>
      </w:r>
      <w:r w:rsidRPr="00344DCE">
        <w:t xml:space="preserve">-HPA). The conjugate product of CE and glutathione is readily excreted in the urine; however, </w:t>
      </w:r>
      <w:r w:rsidRPr="00344DCE">
        <w:rPr>
          <w:i/>
        </w:rPr>
        <w:t>o</w:t>
      </w:r>
      <w:r w:rsidRPr="00344DCE">
        <w:t xml:space="preserve">-HPA is a putative hepatotoxic agent and is considered to be another contributing factor in the greater propensity for </w:t>
      </w:r>
      <w:proofErr w:type="spellStart"/>
      <w:r w:rsidRPr="00344DCE">
        <w:t>coumarin</w:t>
      </w:r>
      <w:proofErr w:type="spellEnd"/>
      <w:r w:rsidRPr="00344DCE">
        <w:t xml:space="preserve">-associated liver damage in rats </w:t>
      </w:r>
      <w:r>
        <w:rPr>
          <w:noProof/>
        </w:rPr>
        <w:t xml:space="preserve">(Felter </w:t>
      </w:r>
      <w:r w:rsidR="00455127" w:rsidRPr="00455127">
        <w:rPr>
          <w:i/>
          <w:noProof/>
        </w:rPr>
        <w:t>et al.</w:t>
      </w:r>
      <w:r>
        <w:rPr>
          <w:noProof/>
        </w:rPr>
        <w:t>, 2006)</w:t>
      </w:r>
      <w:r w:rsidRPr="00344DCE">
        <w:t xml:space="preserve">. </w:t>
      </w:r>
      <w:proofErr w:type="spellStart"/>
      <w:r w:rsidRPr="00344DCE">
        <w:t>Vassallo</w:t>
      </w:r>
      <w:proofErr w:type="spellEnd"/>
      <w:r w:rsidRPr="00344DCE">
        <w:rPr>
          <w:i/>
        </w:rPr>
        <w:t xml:space="preserve"> </w:t>
      </w:r>
      <w:r w:rsidR="00455127" w:rsidRPr="00455127">
        <w:rPr>
          <w:i/>
        </w:rPr>
        <w:t>et al.</w:t>
      </w:r>
      <w:r w:rsidRPr="00344DCE">
        <w:rPr>
          <w:i/>
        </w:rPr>
        <w:t xml:space="preserve"> </w:t>
      </w:r>
      <w:r w:rsidRPr="00344DCE">
        <w:t>(2004)</w:t>
      </w:r>
      <w:r w:rsidRPr="00344DCE">
        <w:rPr>
          <w:i/>
        </w:rPr>
        <w:t xml:space="preserve"> </w:t>
      </w:r>
      <w:r w:rsidRPr="00344DCE">
        <w:t xml:space="preserve">reported a radically </w:t>
      </w:r>
      <w:r w:rsidRPr="00344DCE">
        <w:lastRenderedPageBreak/>
        <w:t>reduced affinity for detoxification</w:t>
      </w:r>
      <w:r w:rsidRPr="00344DCE">
        <w:rPr>
          <w:i/>
        </w:rPr>
        <w:t xml:space="preserve"> </w:t>
      </w:r>
      <w:r w:rsidRPr="00344DCE">
        <w:t xml:space="preserve">of </w:t>
      </w:r>
      <w:r w:rsidRPr="00344DCE">
        <w:rPr>
          <w:i/>
        </w:rPr>
        <w:t>o</w:t>
      </w:r>
      <w:r w:rsidRPr="00344DCE">
        <w:t xml:space="preserve">-HPA to </w:t>
      </w:r>
      <w:proofErr w:type="spellStart"/>
      <w:r w:rsidRPr="00344DCE">
        <w:rPr>
          <w:i/>
        </w:rPr>
        <w:t>ortho</w:t>
      </w:r>
      <w:r w:rsidRPr="00344DCE">
        <w:t>-hydroxyphenylacetic</w:t>
      </w:r>
      <w:proofErr w:type="spellEnd"/>
      <w:r w:rsidRPr="00344DCE">
        <w:t xml:space="preserve"> acid (</w:t>
      </w:r>
      <w:r w:rsidRPr="00344DCE">
        <w:rPr>
          <w:i/>
        </w:rPr>
        <w:t>o</w:t>
      </w:r>
      <w:r w:rsidRPr="00344DCE">
        <w:t>-HPAA) by rat hepatic cytosol compared to mouse and human liver cytosol.</w:t>
      </w:r>
    </w:p>
    <w:p w:rsidR="00BF5B8E" w:rsidRPr="00344DCE" w:rsidRDefault="00BF5B8E" w:rsidP="008A65A8">
      <w:r>
        <w:rPr>
          <w:noProof/>
        </w:rPr>
        <w:t xml:space="preserve">Rietjens </w:t>
      </w:r>
      <w:r w:rsidR="00455127" w:rsidRPr="00455127">
        <w:rPr>
          <w:i/>
          <w:noProof/>
        </w:rPr>
        <w:t>et al.</w:t>
      </w:r>
      <w:r>
        <w:rPr>
          <w:noProof/>
        </w:rPr>
        <w:t xml:space="preserve"> (2008)</w:t>
      </w:r>
      <w:r>
        <w:t xml:space="preserve"> conducted physiologically based </w:t>
      </w:r>
      <w:proofErr w:type="spellStart"/>
      <w:r>
        <w:t>toxicokinetic</w:t>
      </w:r>
      <w:proofErr w:type="spellEnd"/>
      <w:r>
        <w:t xml:space="preserve"> modelling to predict levels of </w:t>
      </w:r>
      <w:proofErr w:type="spellStart"/>
      <w:r>
        <w:t>coumarin</w:t>
      </w:r>
      <w:proofErr w:type="spellEnd"/>
      <w:r>
        <w:t xml:space="preserve"> and metabolites in liver </w:t>
      </w:r>
      <w:proofErr w:type="spellStart"/>
      <w:r>
        <w:t>microsomes</w:t>
      </w:r>
      <w:proofErr w:type="spellEnd"/>
      <w:r>
        <w:t xml:space="preserve"> with normal and deficient CYP2A6 activity. The accumulation of </w:t>
      </w:r>
      <w:r>
        <w:rPr>
          <w:i/>
        </w:rPr>
        <w:t>o</w:t>
      </w:r>
      <w:r>
        <w:t xml:space="preserve">-HPA in CYP2A6 deficient human samples was observed to be 70-500 fold higher than wild-type; however, the accumulation in rats was 1 and 3 orders of magnitude higher than deficient and wild-type humans respectively. The author suggested that the relative differences should be considered in extrapolation of rat toxicological data to human populations. This is discussed further in </w:t>
      </w:r>
      <w:r w:rsidRPr="0076204F">
        <w:rPr>
          <w:color w:val="0000FF"/>
          <w:u w:val="single"/>
        </w:rPr>
        <w:fldChar w:fldCharType="begin"/>
      </w:r>
      <w:r w:rsidRPr="0076204F">
        <w:rPr>
          <w:color w:val="0000FF"/>
          <w:u w:val="single"/>
        </w:rPr>
        <w:instrText xml:space="preserve"> REF _Ref25317967 \w \h  \* MERGEFORMAT </w:instrText>
      </w:r>
      <w:r w:rsidRPr="0076204F">
        <w:rPr>
          <w:color w:val="0000FF"/>
          <w:u w:val="single"/>
        </w:rPr>
      </w:r>
      <w:r w:rsidRPr="0076204F">
        <w:rPr>
          <w:color w:val="0000FF"/>
          <w:u w:val="single"/>
        </w:rPr>
        <w:fldChar w:fldCharType="separate"/>
      </w:r>
      <w:r w:rsidR="007C34B5">
        <w:rPr>
          <w:color w:val="0000FF"/>
          <w:u w:val="single"/>
        </w:rPr>
        <w:t>4.3.1</w:t>
      </w:r>
      <w:r w:rsidRPr="0076204F">
        <w:rPr>
          <w:color w:val="0000FF"/>
          <w:u w:val="single"/>
        </w:rPr>
        <w:fldChar w:fldCharType="end"/>
      </w:r>
      <w:r w:rsidRPr="0076204F">
        <w:rPr>
          <w:color w:val="0000FF"/>
          <w:u w:val="single"/>
        </w:rPr>
        <w:t xml:space="preserve"> - </w:t>
      </w:r>
      <w:r w:rsidRPr="0076204F">
        <w:rPr>
          <w:color w:val="0000FF"/>
          <w:u w:val="single"/>
        </w:rPr>
        <w:fldChar w:fldCharType="begin"/>
      </w:r>
      <w:r w:rsidRPr="0076204F">
        <w:rPr>
          <w:color w:val="0000FF"/>
          <w:u w:val="single"/>
        </w:rPr>
        <w:instrText xml:space="preserve"> REF _Ref25317967 \h  \* MERGEFORMAT </w:instrText>
      </w:r>
      <w:r w:rsidRPr="0076204F">
        <w:rPr>
          <w:color w:val="0000FF"/>
          <w:u w:val="single"/>
        </w:rPr>
      </w:r>
      <w:r w:rsidRPr="0076204F">
        <w:rPr>
          <w:color w:val="0000FF"/>
          <w:u w:val="single"/>
        </w:rPr>
        <w:fldChar w:fldCharType="separate"/>
      </w:r>
      <w:r w:rsidR="007C34B5" w:rsidRPr="007C34B5">
        <w:rPr>
          <w:color w:val="0000FF"/>
          <w:u w:val="single"/>
        </w:rPr>
        <w:t>Tolerable Daily Intake</w:t>
      </w:r>
      <w:r w:rsidRPr="0076204F">
        <w:rPr>
          <w:color w:val="0000FF"/>
          <w:u w:val="single"/>
        </w:rPr>
        <w:fldChar w:fldCharType="end"/>
      </w:r>
      <w:r>
        <w:t>.</w:t>
      </w:r>
    </w:p>
    <w:p w:rsidR="00BF5B8E" w:rsidRPr="00344DCE" w:rsidRDefault="00BF5B8E" w:rsidP="000E0E79">
      <w:pPr>
        <w:pStyle w:val="Heading4"/>
      </w:pPr>
      <w:bookmarkStart w:id="73" w:name="_Toc25652438"/>
      <w:bookmarkStart w:id="74" w:name="_Toc25930274"/>
      <w:r w:rsidRPr="00344DCE">
        <w:t>Excretion</w:t>
      </w:r>
      <w:bookmarkEnd w:id="73"/>
      <w:bookmarkEnd w:id="74"/>
    </w:p>
    <w:p w:rsidR="00BF5B8E" w:rsidRPr="00344DCE" w:rsidRDefault="00BF5B8E" w:rsidP="008A65A8">
      <w:r w:rsidRPr="00344DCE">
        <w:t xml:space="preserve">In all examined animal species, the major pathway of </w:t>
      </w:r>
      <w:proofErr w:type="spellStart"/>
      <w:r w:rsidRPr="00344DCE">
        <w:t>coumarin</w:t>
      </w:r>
      <w:proofErr w:type="spellEnd"/>
      <w:r w:rsidRPr="00344DCE">
        <w:t xml:space="preserve"> metabolite excretion is urinary. Lake </w:t>
      </w:r>
      <w:r w:rsidRPr="00344DCE">
        <w:rPr>
          <w:noProof/>
        </w:rPr>
        <w:t>(1999)</w:t>
      </w:r>
      <w:r w:rsidRPr="00344DCE">
        <w:t xml:space="preserve"> examined 10 studies and summarised their data as per Table </w:t>
      </w:r>
      <w:r>
        <w:t>3</w:t>
      </w:r>
      <w:r>
        <w:noBreakHyphen/>
      </w:r>
      <w:r w:rsidR="00D23E7D">
        <w:fldChar w:fldCharType="begin"/>
      </w:r>
      <w:r w:rsidR="00D23E7D">
        <w:instrText xml:space="preserve"> SEQ Table \* ARABIC \s 1 </w:instrText>
      </w:r>
      <w:r w:rsidR="00D23E7D">
        <w:fldChar w:fldCharType="separate"/>
      </w:r>
      <w:r w:rsidR="007C34B5">
        <w:rPr>
          <w:noProof/>
        </w:rPr>
        <w:t>2</w:t>
      </w:r>
      <w:r w:rsidR="00D23E7D">
        <w:rPr>
          <w:noProof/>
        </w:rPr>
        <w:fldChar w:fldCharType="end"/>
      </w:r>
      <w:r w:rsidRPr="00344DCE">
        <w:t xml:space="preserve">. The studies show that, with the exception the rat, at least twice the amount of </w:t>
      </w:r>
      <w:proofErr w:type="spellStart"/>
      <w:r w:rsidRPr="00344DCE">
        <w:t>coumarin</w:t>
      </w:r>
      <w:proofErr w:type="spellEnd"/>
      <w:r w:rsidRPr="00344DCE">
        <w:t xml:space="preserve">-metabolites are accounted for in the urine compared to faeces. Few studies are reported as having considered the relative dose of </w:t>
      </w:r>
      <w:proofErr w:type="spellStart"/>
      <w:r w:rsidRPr="00344DCE">
        <w:t>coumarin</w:t>
      </w:r>
      <w:proofErr w:type="spellEnd"/>
      <w:r w:rsidRPr="00344DCE">
        <w:t xml:space="preserve"> detectable in the air expired by the test animals and, as such, it is difficult to make any confident conclusions relating to this route of excretion. The World Health Organisation (2000) stated that little to no biliary excretion is exhibited by humans following an oral dose of </w:t>
      </w:r>
      <w:proofErr w:type="spellStart"/>
      <w:r w:rsidRPr="00344DCE">
        <w:t>coumarin</w:t>
      </w:r>
      <w:proofErr w:type="spellEnd"/>
      <w:r w:rsidRPr="00344DCE">
        <w:t xml:space="preserve">. This opinion appears to be supported for dermally-applied </w:t>
      </w:r>
      <w:proofErr w:type="spellStart"/>
      <w:r w:rsidRPr="00344DCE">
        <w:t>coumarin</w:t>
      </w:r>
      <w:proofErr w:type="spellEnd"/>
      <w:r w:rsidRPr="00344DCE">
        <w:t xml:space="preserve">, as a study of 3 volunteers following a dermally applied dose of radio-labelled </w:t>
      </w:r>
      <w:proofErr w:type="spellStart"/>
      <w:r w:rsidRPr="00344DCE">
        <w:t>coumarin</w:t>
      </w:r>
      <w:proofErr w:type="spellEnd"/>
      <w:r w:rsidRPr="00344DCE">
        <w:t xml:space="preserve"> found 1.07±0.21% of the dose in faeces at 120 hours following administration </w:t>
      </w:r>
      <w:r w:rsidRPr="00344DCE">
        <w:rPr>
          <w:noProof/>
        </w:rPr>
        <w:t xml:space="preserve">(Ford </w:t>
      </w:r>
      <w:r w:rsidR="00455127" w:rsidRPr="00455127">
        <w:rPr>
          <w:i/>
          <w:noProof/>
        </w:rPr>
        <w:t>et al.</w:t>
      </w:r>
      <w:r w:rsidRPr="00344DCE">
        <w:rPr>
          <w:noProof/>
        </w:rPr>
        <w:t>, 2001)</w:t>
      </w:r>
      <w:r w:rsidRPr="00344DCE">
        <w:t xml:space="preserve">. </w:t>
      </w:r>
    </w:p>
    <w:p w:rsidR="00BF5B8E" w:rsidRPr="008A65A8" w:rsidRDefault="00BF5B8E" w:rsidP="008A65A8">
      <w:pPr>
        <w:pStyle w:val="Caption"/>
        <w:keepNext/>
        <w:rPr>
          <w:rFonts w:ascii="Cambria" w:hAnsi="Cambria"/>
          <w:b/>
          <w:sz w:val="22"/>
          <w:szCs w:val="22"/>
        </w:rPr>
      </w:pPr>
      <w:bookmarkStart w:id="75" w:name="_Ref523750544"/>
      <w:r w:rsidRPr="008A65A8">
        <w:rPr>
          <w:rFonts w:ascii="Cambria" w:hAnsi="Cambria"/>
          <w:b/>
          <w:sz w:val="22"/>
          <w:szCs w:val="22"/>
        </w:rPr>
        <w:t>Table 3</w:t>
      </w:r>
      <w:r w:rsidRPr="008A65A8">
        <w:rPr>
          <w:rFonts w:ascii="Cambria" w:hAnsi="Cambria"/>
          <w:b/>
          <w:sz w:val="22"/>
          <w:szCs w:val="22"/>
        </w:rPr>
        <w:noBreakHyphen/>
      </w:r>
      <w:r w:rsidR="008A65A8" w:rsidRPr="008A65A8">
        <w:rPr>
          <w:rFonts w:ascii="Cambria" w:hAnsi="Cambria"/>
          <w:b/>
          <w:sz w:val="22"/>
          <w:szCs w:val="22"/>
        </w:rPr>
        <w:fldChar w:fldCharType="begin"/>
      </w:r>
      <w:r w:rsidR="008A65A8" w:rsidRPr="008A65A8">
        <w:rPr>
          <w:rFonts w:ascii="Cambria" w:hAnsi="Cambria"/>
          <w:b/>
          <w:sz w:val="22"/>
          <w:szCs w:val="22"/>
        </w:rPr>
        <w:instrText xml:space="preserve"> SEQ Table \* ARABIC \s 1 </w:instrText>
      </w:r>
      <w:r w:rsidR="008A65A8" w:rsidRPr="008A65A8">
        <w:rPr>
          <w:rFonts w:ascii="Cambria" w:hAnsi="Cambria"/>
          <w:b/>
          <w:sz w:val="22"/>
          <w:szCs w:val="22"/>
        </w:rPr>
        <w:fldChar w:fldCharType="separate"/>
      </w:r>
      <w:r w:rsidR="007C34B5">
        <w:rPr>
          <w:rFonts w:ascii="Cambria" w:hAnsi="Cambria"/>
          <w:b/>
          <w:noProof/>
          <w:sz w:val="22"/>
          <w:szCs w:val="22"/>
        </w:rPr>
        <w:t>3</w:t>
      </w:r>
      <w:r w:rsidR="008A65A8" w:rsidRPr="008A65A8">
        <w:rPr>
          <w:rFonts w:ascii="Cambria" w:hAnsi="Cambria"/>
          <w:b/>
          <w:noProof/>
          <w:sz w:val="22"/>
          <w:szCs w:val="22"/>
        </w:rPr>
        <w:fldChar w:fldCharType="end"/>
      </w:r>
      <w:bookmarkEnd w:id="75"/>
      <w:r w:rsidRPr="008A65A8">
        <w:rPr>
          <w:rFonts w:ascii="Cambria" w:hAnsi="Cambria"/>
          <w:b/>
          <w:sz w:val="22"/>
          <w:szCs w:val="22"/>
        </w:rPr>
        <w:t xml:space="preserve">: Routes of excretion of single doses of </w:t>
      </w:r>
      <w:proofErr w:type="spellStart"/>
      <w:r w:rsidRPr="008A65A8">
        <w:rPr>
          <w:rFonts w:ascii="Cambria" w:hAnsi="Cambria"/>
          <w:b/>
          <w:sz w:val="22"/>
          <w:szCs w:val="22"/>
        </w:rPr>
        <w:t>coumarin</w:t>
      </w:r>
      <w:proofErr w:type="spellEnd"/>
      <w:r w:rsidRPr="008A65A8">
        <w:rPr>
          <w:rFonts w:ascii="Cambria" w:hAnsi="Cambria"/>
          <w:b/>
          <w:sz w:val="22"/>
          <w:szCs w:val="22"/>
        </w:rPr>
        <w:t xml:space="preserve"> in various species </w:t>
      </w:r>
      <w:r w:rsidRPr="008A65A8">
        <w:rPr>
          <w:rFonts w:ascii="Cambria" w:hAnsi="Cambria"/>
          <w:b/>
          <w:noProof/>
          <w:sz w:val="22"/>
          <w:szCs w:val="22"/>
        </w:rPr>
        <w:t>(Lake, 1999)</w:t>
      </w:r>
    </w:p>
    <w:tbl>
      <w:tblPr>
        <w:tblStyle w:val="TableTGAblue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645"/>
        <w:gridCol w:w="1701"/>
        <w:gridCol w:w="1276"/>
        <w:gridCol w:w="851"/>
        <w:gridCol w:w="992"/>
        <w:gridCol w:w="1417"/>
      </w:tblGrid>
      <w:tr w:rsidR="00BF5B8E" w:rsidRPr="00AD4443" w:rsidTr="000D5A21">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90"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BF5B8E" w:rsidRPr="00AD4443" w:rsidRDefault="00BF5B8E" w:rsidP="000D5A21">
            <w:pPr>
              <w:keepNext/>
              <w:keepLines/>
              <w:widowControl w:val="0"/>
              <w:spacing w:after="120"/>
              <w:jc w:val="center"/>
              <w:rPr>
                <w:rFonts w:eastAsia="Times New Roman"/>
                <w:snapToGrid w:val="0"/>
              </w:rPr>
            </w:pPr>
            <w:r w:rsidRPr="00AD4443">
              <w:rPr>
                <w:rFonts w:eastAsia="Times New Roman"/>
                <w:snapToGrid w:val="0"/>
              </w:rPr>
              <w:t>Species</w:t>
            </w:r>
          </w:p>
        </w:tc>
        <w:tc>
          <w:tcPr>
            <w:tcW w:w="1645"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BF5B8E" w:rsidRPr="00AD4443" w:rsidRDefault="00BF5B8E" w:rsidP="000D5A21">
            <w:pPr>
              <w:keepLines/>
              <w:widowControl w:val="0"/>
              <w:spacing w:after="120"/>
              <w:jc w:val="center"/>
              <w:cnfStyle w:val="100000000000" w:firstRow="1"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Route of admin.</w:t>
            </w:r>
          </w:p>
        </w:tc>
        <w:tc>
          <w:tcPr>
            <w:tcW w:w="1701"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BF5B8E" w:rsidRPr="00AD4443" w:rsidRDefault="00BF5B8E" w:rsidP="000D5A21">
            <w:pPr>
              <w:keepLines/>
              <w:widowControl w:val="0"/>
              <w:spacing w:after="120"/>
              <w:jc w:val="center"/>
              <w:cnfStyle w:val="100000000000" w:firstRow="1"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Dose</w:t>
            </w:r>
          </w:p>
        </w:tc>
        <w:tc>
          <w:tcPr>
            <w:tcW w:w="1276"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BF5B8E" w:rsidRPr="00AD4443" w:rsidRDefault="00BF5B8E" w:rsidP="000D5A21">
            <w:pPr>
              <w:keepLines/>
              <w:widowControl w:val="0"/>
              <w:spacing w:after="120"/>
              <w:jc w:val="center"/>
              <w:cnfStyle w:val="100000000000" w:firstRow="1"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Collection time (hr)</w:t>
            </w:r>
          </w:p>
        </w:tc>
        <w:tc>
          <w:tcPr>
            <w:tcW w:w="326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BF5B8E" w:rsidRPr="00AD4443" w:rsidRDefault="00BF5B8E" w:rsidP="000D5A21">
            <w:pPr>
              <w:keepLines/>
              <w:widowControl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 of Dose in</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Merge/>
            <w:shd w:val="clear" w:color="auto" w:fill="006DA7"/>
            <w:vAlign w:val="center"/>
          </w:tcPr>
          <w:p w:rsidR="00BF5B8E" w:rsidRPr="00AD4443" w:rsidRDefault="00BF5B8E" w:rsidP="000D5A21">
            <w:pPr>
              <w:keepNext/>
              <w:keepLines/>
              <w:widowControl w:val="0"/>
              <w:jc w:val="center"/>
              <w:rPr>
                <w:rFonts w:eastAsia="Times New Roman"/>
                <w:color w:val="FFFFFF"/>
              </w:rPr>
            </w:pPr>
          </w:p>
        </w:tc>
        <w:tc>
          <w:tcPr>
            <w:tcW w:w="1645" w:type="dxa"/>
            <w:vMerge/>
            <w:shd w:val="clear" w:color="auto" w:fill="006DA7"/>
            <w:vAlign w:val="center"/>
          </w:tcPr>
          <w:p w:rsidR="00BF5B8E" w:rsidRPr="00AD4443" w:rsidRDefault="00BF5B8E" w:rsidP="000D5A21">
            <w:pPr>
              <w:keepLines/>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olor w:val="FFFFFF"/>
              </w:rPr>
            </w:pPr>
          </w:p>
        </w:tc>
        <w:tc>
          <w:tcPr>
            <w:tcW w:w="1701" w:type="dxa"/>
            <w:vMerge/>
            <w:shd w:val="clear" w:color="auto" w:fill="006DA7"/>
            <w:vAlign w:val="center"/>
          </w:tcPr>
          <w:p w:rsidR="00BF5B8E" w:rsidRPr="00AD4443" w:rsidRDefault="00BF5B8E" w:rsidP="000D5A21">
            <w:pPr>
              <w:keepLines/>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olor w:val="FFFFFF"/>
              </w:rPr>
            </w:pPr>
          </w:p>
        </w:tc>
        <w:tc>
          <w:tcPr>
            <w:tcW w:w="1276" w:type="dxa"/>
            <w:vMerge/>
            <w:shd w:val="clear" w:color="auto" w:fill="006DA7"/>
            <w:vAlign w:val="center"/>
          </w:tcPr>
          <w:p w:rsidR="00BF5B8E" w:rsidRPr="00AD4443" w:rsidRDefault="00BF5B8E" w:rsidP="000D5A21">
            <w:pPr>
              <w:keepLines/>
              <w:widowControl w:val="0"/>
              <w:jc w:val="center"/>
              <w:cnfStyle w:val="000000000000" w:firstRow="0" w:lastRow="0" w:firstColumn="0" w:lastColumn="0" w:oddVBand="0" w:evenVBand="0" w:oddHBand="0" w:evenHBand="0" w:firstRowFirstColumn="0" w:firstRowLastColumn="0" w:lastRowFirstColumn="0" w:lastRowLastColumn="0"/>
              <w:rPr>
                <w:rFonts w:eastAsia="Times New Roman"/>
                <w:color w:val="FFFFFF"/>
              </w:rPr>
            </w:pPr>
          </w:p>
        </w:tc>
        <w:tc>
          <w:tcPr>
            <w:tcW w:w="851" w:type="dxa"/>
            <w:shd w:val="clear" w:color="auto" w:fill="006DA7"/>
            <w:vAlign w:val="center"/>
          </w:tcPr>
          <w:p w:rsidR="00BF5B8E" w:rsidRPr="00AD4443" w:rsidRDefault="00BF5B8E" w:rsidP="000D5A21">
            <w:pPr>
              <w:keepLines/>
              <w:widowControl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
                <w:color w:val="FFFFFF"/>
              </w:rPr>
            </w:pPr>
            <w:r w:rsidRPr="00AD4443">
              <w:rPr>
                <w:rFonts w:eastAsia="Times New Roman"/>
                <w:b/>
                <w:snapToGrid w:val="0"/>
                <w:color w:val="FFFFFF"/>
              </w:rPr>
              <w:t>Urine</w:t>
            </w:r>
          </w:p>
        </w:tc>
        <w:tc>
          <w:tcPr>
            <w:tcW w:w="992" w:type="dxa"/>
            <w:shd w:val="clear" w:color="auto" w:fill="006DA7"/>
            <w:vAlign w:val="center"/>
          </w:tcPr>
          <w:p w:rsidR="00BF5B8E" w:rsidRPr="00AD4443" w:rsidRDefault="00BF5B8E" w:rsidP="000D5A21">
            <w:pPr>
              <w:keepLines/>
              <w:widowControl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
                <w:color w:val="FFFFFF"/>
              </w:rPr>
            </w:pPr>
            <w:r w:rsidRPr="00AD4443">
              <w:rPr>
                <w:rFonts w:eastAsia="Times New Roman"/>
                <w:b/>
                <w:snapToGrid w:val="0"/>
                <w:color w:val="FFFFFF"/>
              </w:rPr>
              <w:t>Faeces</w:t>
            </w:r>
          </w:p>
        </w:tc>
        <w:tc>
          <w:tcPr>
            <w:tcW w:w="1417" w:type="dxa"/>
            <w:shd w:val="clear" w:color="auto" w:fill="006DA7"/>
            <w:vAlign w:val="center"/>
          </w:tcPr>
          <w:p w:rsidR="00BF5B8E" w:rsidRPr="00AD4443" w:rsidRDefault="00BF5B8E" w:rsidP="000D5A21">
            <w:pPr>
              <w:keepLines/>
              <w:widowControl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
                <w:snapToGrid w:val="0"/>
                <w:color w:val="FFFFFF"/>
              </w:rPr>
            </w:pPr>
            <w:r w:rsidRPr="00AD4443">
              <w:rPr>
                <w:rFonts w:eastAsia="Times New Roman"/>
                <w:b/>
                <w:snapToGrid w:val="0"/>
                <w:color w:val="FFFFFF"/>
              </w:rPr>
              <w:t>Expired air</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Mouse</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200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24</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46</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r w:rsidRPr="00AD4443">
              <w:rPr>
                <w:rFonts w:eastAsia="Times New Roman"/>
                <w:snapToGrid w:val="0"/>
                <w:vertAlign w:val="superscript"/>
              </w:rPr>
              <w:footnoteReference w:id="4"/>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Mouse</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50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24</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67</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Rat</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IP</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7.5 mg/animal</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16</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38</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13</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30</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Rat</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35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48</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106</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12</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Rat</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25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96</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64</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37</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Rat</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25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96</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69</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38</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&lt;0.7</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Rat</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Dermal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120</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50</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21</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Rat</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100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89 or 120</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53</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39</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Hamster</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25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96</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90</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12</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Rabbit</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25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96</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90</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12</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Baboon</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4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72</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82</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3</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Marmoset</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25 mg/kg</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96</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59</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28</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&lt;0.7</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Next/>
              <w:keepLines/>
              <w:widowControl w:val="0"/>
              <w:spacing w:after="60"/>
              <w:jc w:val="center"/>
              <w:rPr>
                <w:rFonts w:eastAsia="Times New Roman"/>
                <w:snapToGrid w:val="0"/>
              </w:rPr>
            </w:pPr>
            <w:r w:rsidRPr="00AD4443">
              <w:rPr>
                <w:rFonts w:eastAsia="Times New Roman"/>
                <w:snapToGrid w:val="0"/>
              </w:rPr>
              <w:t>Human</w:t>
            </w:r>
          </w:p>
        </w:tc>
        <w:tc>
          <w:tcPr>
            <w:tcW w:w="1645"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Oral</w:t>
            </w:r>
          </w:p>
        </w:tc>
        <w:tc>
          <w:tcPr>
            <w:tcW w:w="170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200 mg/person</w:t>
            </w:r>
          </w:p>
        </w:tc>
        <w:tc>
          <w:tcPr>
            <w:tcW w:w="1276"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24</w:t>
            </w:r>
          </w:p>
        </w:tc>
        <w:tc>
          <w:tcPr>
            <w:tcW w:w="851"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82</w:t>
            </w:r>
          </w:p>
        </w:tc>
        <w:tc>
          <w:tcPr>
            <w:tcW w:w="992"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c>
          <w:tcPr>
            <w:tcW w:w="1417" w:type="dxa"/>
            <w:vAlign w:val="center"/>
          </w:tcPr>
          <w:p w:rsidR="00BF5B8E" w:rsidRPr="00AD4443" w:rsidRDefault="00BF5B8E" w:rsidP="000D5A21">
            <w:pPr>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r w:rsidR="00BF5B8E" w:rsidRPr="00AD4443" w:rsidTr="000D5A21">
        <w:trPr>
          <w:trHeight w:val="265"/>
        </w:trPr>
        <w:tc>
          <w:tcPr>
            <w:cnfStyle w:val="001000000000" w:firstRow="0" w:lastRow="0" w:firstColumn="1" w:lastColumn="0" w:oddVBand="0" w:evenVBand="0" w:oddHBand="0" w:evenHBand="0" w:firstRowFirstColumn="0" w:firstRowLastColumn="0" w:lastRowFirstColumn="0" w:lastRowLastColumn="0"/>
            <w:tcW w:w="1190" w:type="dxa"/>
            <w:vAlign w:val="center"/>
          </w:tcPr>
          <w:p w:rsidR="00BF5B8E" w:rsidRPr="00AD4443" w:rsidRDefault="00BF5B8E" w:rsidP="000D5A21">
            <w:pPr>
              <w:keepLines/>
              <w:widowControl w:val="0"/>
              <w:spacing w:after="60"/>
              <w:jc w:val="center"/>
              <w:rPr>
                <w:rFonts w:eastAsia="Times New Roman"/>
                <w:snapToGrid w:val="0"/>
              </w:rPr>
            </w:pPr>
            <w:r w:rsidRPr="00AD4443">
              <w:rPr>
                <w:rFonts w:eastAsia="Times New Roman"/>
                <w:snapToGrid w:val="0"/>
              </w:rPr>
              <w:t>Human</w:t>
            </w:r>
          </w:p>
        </w:tc>
        <w:tc>
          <w:tcPr>
            <w:tcW w:w="1645" w:type="dxa"/>
            <w:vAlign w:val="center"/>
          </w:tcPr>
          <w:p w:rsidR="00BF5B8E" w:rsidRPr="00AD4443" w:rsidRDefault="00BF5B8E" w:rsidP="000D5A21">
            <w:pPr>
              <w:keepNext w:val="0"/>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Dermal</w:t>
            </w:r>
          </w:p>
        </w:tc>
        <w:tc>
          <w:tcPr>
            <w:tcW w:w="1701" w:type="dxa"/>
            <w:vAlign w:val="center"/>
          </w:tcPr>
          <w:p w:rsidR="00BF5B8E" w:rsidRPr="00AD4443" w:rsidRDefault="00BF5B8E" w:rsidP="000D5A21">
            <w:pPr>
              <w:keepNext w:val="0"/>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2 mg/person</w:t>
            </w:r>
          </w:p>
        </w:tc>
        <w:tc>
          <w:tcPr>
            <w:tcW w:w="1276" w:type="dxa"/>
            <w:vAlign w:val="center"/>
          </w:tcPr>
          <w:p w:rsidR="00BF5B8E" w:rsidRPr="00AD4443" w:rsidRDefault="00BF5B8E" w:rsidP="000D5A21">
            <w:pPr>
              <w:keepNext w:val="0"/>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120</w:t>
            </w:r>
          </w:p>
        </w:tc>
        <w:tc>
          <w:tcPr>
            <w:tcW w:w="851" w:type="dxa"/>
            <w:vAlign w:val="center"/>
          </w:tcPr>
          <w:p w:rsidR="00BF5B8E" w:rsidRPr="00AD4443" w:rsidRDefault="00BF5B8E" w:rsidP="000D5A21">
            <w:pPr>
              <w:keepNext w:val="0"/>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59</w:t>
            </w:r>
          </w:p>
        </w:tc>
        <w:tc>
          <w:tcPr>
            <w:tcW w:w="992" w:type="dxa"/>
            <w:vAlign w:val="center"/>
          </w:tcPr>
          <w:p w:rsidR="00BF5B8E" w:rsidRPr="00AD4443" w:rsidRDefault="00BF5B8E" w:rsidP="000D5A21">
            <w:pPr>
              <w:keepNext w:val="0"/>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1</w:t>
            </w:r>
          </w:p>
        </w:tc>
        <w:tc>
          <w:tcPr>
            <w:tcW w:w="1417" w:type="dxa"/>
            <w:vAlign w:val="center"/>
          </w:tcPr>
          <w:p w:rsidR="00BF5B8E" w:rsidRPr="00AD4443" w:rsidRDefault="00BF5B8E" w:rsidP="000D5A21">
            <w:pPr>
              <w:keepNext w:val="0"/>
              <w:keepLines/>
              <w:widowControl w:val="0"/>
              <w:spacing w:after="60"/>
              <w:jc w:val="center"/>
              <w:cnfStyle w:val="000000000000" w:firstRow="0" w:lastRow="0" w:firstColumn="0" w:lastColumn="0" w:oddVBand="0" w:evenVBand="0" w:oddHBand="0" w:evenHBand="0" w:firstRowFirstColumn="0" w:firstRowLastColumn="0" w:lastRowFirstColumn="0" w:lastRowLastColumn="0"/>
              <w:rPr>
                <w:rFonts w:eastAsia="Times New Roman"/>
                <w:snapToGrid w:val="0"/>
              </w:rPr>
            </w:pPr>
            <w:r w:rsidRPr="00AD4443">
              <w:rPr>
                <w:rFonts w:eastAsia="Times New Roman"/>
                <w:snapToGrid w:val="0"/>
              </w:rPr>
              <w:t>-</w:t>
            </w:r>
          </w:p>
        </w:tc>
      </w:tr>
    </w:tbl>
    <w:p w:rsidR="00BF5B8E" w:rsidRPr="00344DCE" w:rsidRDefault="00BF5B8E" w:rsidP="008A65A8">
      <w:r w:rsidRPr="00344DCE">
        <w:lastRenderedPageBreak/>
        <w:t xml:space="preserve">Shilling </w:t>
      </w:r>
      <w:r w:rsidR="00455127" w:rsidRPr="00455127">
        <w:rPr>
          <w:i/>
        </w:rPr>
        <w:t>et al.</w:t>
      </w:r>
      <w:r w:rsidRPr="00344DCE">
        <w:t xml:space="preserve"> (1969) accounted for 79% of an excreted dose as 7-hydroxycoumarin and a further 4% as </w:t>
      </w:r>
      <w:r w:rsidRPr="00344DCE">
        <w:rPr>
          <w:i/>
        </w:rPr>
        <w:t>o</w:t>
      </w:r>
      <w:r w:rsidRPr="00344DCE">
        <w:t>-HPAA within a 24</w:t>
      </w:r>
      <w:r w:rsidR="000E0E79">
        <w:t>-</w:t>
      </w:r>
      <w:r w:rsidRPr="00344DCE">
        <w:t xml:space="preserve">hour period from 8 volunteers. </w:t>
      </w:r>
      <w:proofErr w:type="spellStart"/>
      <w:r w:rsidRPr="00344DCE">
        <w:t>Meineke</w:t>
      </w:r>
      <w:proofErr w:type="spellEnd"/>
      <w:r w:rsidRPr="00344DCE">
        <w:t xml:space="preserve"> </w:t>
      </w:r>
      <w:r w:rsidR="00455127" w:rsidRPr="00455127">
        <w:rPr>
          <w:i/>
        </w:rPr>
        <w:t>et al.</w:t>
      </w:r>
      <w:r w:rsidRPr="00344DCE">
        <w:rPr>
          <w:i/>
        </w:rPr>
        <w:t xml:space="preserve"> </w:t>
      </w:r>
      <w:r w:rsidRPr="00344DCE">
        <w:rPr>
          <w:noProof/>
        </w:rPr>
        <w:t>(1998)</w:t>
      </w:r>
      <w:r w:rsidRPr="00344DCE">
        <w:t xml:space="preserve"> investigated the </w:t>
      </w:r>
      <w:r w:rsidRPr="00344DCE">
        <w:rPr>
          <w:i/>
        </w:rPr>
        <w:t>o</w:t>
      </w:r>
      <w:r w:rsidRPr="00344DCE">
        <w:t xml:space="preserve">-HPAA urinary excretion of 30 volunteers following oral (2 and 1 g) and intravenous (250 mg) administration of </w:t>
      </w:r>
      <w:proofErr w:type="spellStart"/>
      <w:r w:rsidRPr="00344DCE">
        <w:t>coumarin</w:t>
      </w:r>
      <w:proofErr w:type="spellEnd"/>
      <w:r w:rsidRPr="00344DCE">
        <w:t xml:space="preserve">. The results found in the orally-administered treatment groups that 5.13±3.71% and 3.52±1.67% of the initial dose was excreted as </w:t>
      </w:r>
      <w:r w:rsidRPr="00344DCE">
        <w:rPr>
          <w:i/>
        </w:rPr>
        <w:t>o-</w:t>
      </w:r>
      <w:r w:rsidRPr="00344DCE">
        <w:t xml:space="preserve">HPAA respectively, which are aligned with Shilling </w:t>
      </w:r>
      <w:r w:rsidR="00455127" w:rsidRPr="00455127">
        <w:rPr>
          <w:i/>
        </w:rPr>
        <w:t>et al.</w:t>
      </w:r>
      <w:r w:rsidRPr="00344DCE">
        <w:rPr>
          <w:i/>
        </w:rPr>
        <w:t xml:space="preserve"> </w:t>
      </w:r>
      <w:r w:rsidRPr="00344DCE">
        <w:t xml:space="preserve">(1969). The intravenous group excreted 1.52±1.21% </w:t>
      </w:r>
      <w:r w:rsidRPr="00344DCE">
        <w:rPr>
          <w:i/>
        </w:rPr>
        <w:t>o-</w:t>
      </w:r>
      <w:r w:rsidRPr="00344DCE">
        <w:t xml:space="preserve">HPAA. This is less than the oral groups; however, significance was not determined and the standard deviations were high. </w:t>
      </w:r>
      <w:proofErr w:type="spellStart"/>
      <w:r w:rsidRPr="00344DCE">
        <w:t>Hadidi</w:t>
      </w:r>
      <w:proofErr w:type="spellEnd"/>
      <w:r w:rsidRPr="00344DCE">
        <w:t xml:space="preserve"> </w:t>
      </w:r>
      <w:r w:rsidR="00455127" w:rsidRPr="00455127">
        <w:rPr>
          <w:i/>
        </w:rPr>
        <w:t>et al.</w:t>
      </w:r>
      <w:r w:rsidRPr="00344DCE">
        <w:t xml:space="preserve"> </w:t>
      </w:r>
      <w:r w:rsidRPr="00344DCE">
        <w:rPr>
          <w:noProof/>
        </w:rPr>
        <w:t>(1997)</w:t>
      </w:r>
      <w:r w:rsidRPr="00344DCE">
        <w:t xml:space="preserve"> examined the </w:t>
      </w:r>
      <w:proofErr w:type="spellStart"/>
      <w:r w:rsidRPr="00344DCE">
        <w:t>coumarin</w:t>
      </w:r>
      <w:proofErr w:type="spellEnd"/>
      <w:r w:rsidRPr="00344DCE">
        <w:t xml:space="preserve"> metabolism of a human lacking CYP2A6 activity and 50% of an oral dose was found in the urine as </w:t>
      </w:r>
      <w:r w:rsidRPr="00344DCE">
        <w:rPr>
          <w:i/>
        </w:rPr>
        <w:t>o</w:t>
      </w:r>
      <w:r w:rsidRPr="00344DCE">
        <w:t>-HPAA; however, other metabolites were not identified.</w:t>
      </w:r>
    </w:p>
    <w:p w:rsidR="00BF5B8E" w:rsidRPr="00344DCE" w:rsidRDefault="00BF5B8E" w:rsidP="000E0E79">
      <w:pPr>
        <w:pStyle w:val="Heading2"/>
      </w:pPr>
      <w:bookmarkStart w:id="76" w:name="_Toc25652439"/>
      <w:bookmarkStart w:id="77" w:name="_Toc25930275"/>
      <w:r w:rsidRPr="00344DCE">
        <w:t>Toxicology</w:t>
      </w:r>
      <w:bookmarkEnd w:id="76"/>
      <w:bookmarkEnd w:id="77"/>
    </w:p>
    <w:p w:rsidR="00BF5B8E" w:rsidRPr="00344DCE" w:rsidRDefault="00BF5B8E" w:rsidP="000E0E79">
      <w:pPr>
        <w:pStyle w:val="Heading3"/>
      </w:pPr>
      <w:bookmarkStart w:id="78" w:name="_Toc25652440"/>
      <w:bookmarkStart w:id="79" w:name="_Toc25930276"/>
      <w:r w:rsidRPr="00344DCE">
        <w:t>Single-dose toxicity</w:t>
      </w:r>
      <w:bookmarkEnd w:id="78"/>
      <w:bookmarkEnd w:id="79"/>
    </w:p>
    <w:p w:rsidR="00BF5B8E" w:rsidRPr="00344DCE" w:rsidRDefault="00BF5B8E" w:rsidP="008A65A8">
      <w:r w:rsidRPr="00344DCE">
        <w:t>The oral LD</w:t>
      </w:r>
      <w:r w:rsidRPr="00344DCE">
        <w:rPr>
          <w:vertAlign w:val="subscript"/>
        </w:rPr>
        <w:t>50</w:t>
      </w:r>
      <w:r w:rsidRPr="00344DCE">
        <w:t xml:space="preserve"> for </w:t>
      </w:r>
      <w:proofErr w:type="spellStart"/>
      <w:r w:rsidRPr="00344DCE">
        <w:t>coumarin</w:t>
      </w:r>
      <w:proofErr w:type="spellEnd"/>
      <w:r w:rsidRPr="00344DCE">
        <w:t xml:space="preserve"> is reported as 420 mg/kg </w:t>
      </w:r>
      <w:proofErr w:type="spellStart"/>
      <w:r w:rsidRPr="00344DCE">
        <w:t>bw</w:t>
      </w:r>
      <w:proofErr w:type="spellEnd"/>
      <w:r w:rsidRPr="00344DCE">
        <w:t xml:space="preserve"> in C3H/</w:t>
      </w:r>
      <w:proofErr w:type="spellStart"/>
      <w:r w:rsidRPr="00344DCE">
        <w:t>HeJ</w:t>
      </w:r>
      <w:proofErr w:type="spellEnd"/>
      <w:r w:rsidRPr="00344DCE">
        <w:t xml:space="preserve"> mice and 780 mg/kg </w:t>
      </w:r>
      <w:proofErr w:type="spellStart"/>
      <w:r w:rsidRPr="00344DCE">
        <w:t>bw</w:t>
      </w:r>
      <w:proofErr w:type="spellEnd"/>
      <w:r w:rsidRPr="00344DCE">
        <w:t xml:space="preserve"> in DBA/2J mice (</w:t>
      </w:r>
      <w:proofErr w:type="spellStart"/>
      <w:r w:rsidRPr="00344DCE">
        <w:t>Endell</w:t>
      </w:r>
      <w:proofErr w:type="spellEnd"/>
      <w:r w:rsidRPr="00344DCE">
        <w:t xml:space="preserve"> &amp; Seidel, 1978). An oral LD</w:t>
      </w:r>
      <w:r w:rsidRPr="00344DCE">
        <w:rPr>
          <w:vertAlign w:val="subscript"/>
        </w:rPr>
        <w:t>50</w:t>
      </w:r>
      <w:r w:rsidRPr="00344DCE">
        <w:t xml:space="preserve"> in </w:t>
      </w:r>
      <w:proofErr w:type="spellStart"/>
      <w:r w:rsidRPr="00344DCE">
        <w:t>Carwoth</w:t>
      </w:r>
      <w:proofErr w:type="spellEnd"/>
      <w:r w:rsidRPr="00344DCE">
        <w:t xml:space="preserve"> rats was reported as 292-680 mg/kg </w:t>
      </w:r>
      <w:proofErr w:type="spellStart"/>
      <w:r w:rsidRPr="00344DCE">
        <w:t>bw</w:t>
      </w:r>
      <w:proofErr w:type="spellEnd"/>
      <w:r w:rsidRPr="00344DCE">
        <w:t xml:space="preserve"> </w:t>
      </w:r>
      <w:r>
        <w:rPr>
          <w:noProof/>
        </w:rPr>
        <w:t xml:space="preserve">(Hazleton </w:t>
      </w:r>
      <w:r w:rsidR="00455127" w:rsidRPr="00455127">
        <w:rPr>
          <w:i/>
          <w:noProof/>
        </w:rPr>
        <w:t>et al.</w:t>
      </w:r>
      <w:r>
        <w:rPr>
          <w:noProof/>
        </w:rPr>
        <w:t>, 1956)</w:t>
      </w:r>
      <w:r w:rsidRPr="00344DCE">
        <w:t xml:space="preserve">. The WHO (2000) assessment of </w:t>
      </w:r>
      <w:proofErr w:type="spellStart"/>
      <w:r w:rsidRPr="00344DCE">
        <w:t>coumarin</w:t>
      </w:r>
      <w:proofErr w:type="spellEnd"/>
      <w:r w:rsidRPr="00344DCE">
        <w:t xml:space="preserve"> presented that hepatotoxicity was reported in rats at 125-500 mg/kg </w:t>
      </w:r>
      <w:proofErr w:type="spellStart"/>
      <w:r w:rsidRPr="00344DCE">
        <w:t>bw</w:t>
      </w:r>
      <w:proofErr w:type="spellEnd"/>
      <w:r w:rsidRPr="00344DCE">
        <w:t xml:space="preserve"> and mice at 200 mg/kg </w:t>
      </w:r>
      <w:proofErr w:type="spellStart"/>
      <w:r w:rsidRPr="00344DCE">
        <w:t>bw</w:t>
      </w:r>
      <w:proofErr w:type="spellEnd"/>
      <w:r w:rsidRPr="00344DCE">
        <w:t xml:space="preserve"> (following both single oral and intraperitoneal administration), but not reported in Mongolian gerbils following intraperitoneal injection of 125-150 mg/kg </w:t>
      </w:r>
      <w:proofErr w:type="spellStart"/>
      <w:r w:rsidRPr="00344DCE">
        <w:t>bw</w:t>
      </w:r>
      <w:proofErr w:type="spellEnd"/>
      <w:r w:rsidRPr="00344DCE">
        <w:t xml:space="preserve"> </w:t>
      </w:r>
      <w:r w:rsidRPr="00344DCE">
        <w:rPr>
          <w:noProof/>
        </w:rPr>
        <w:t xml:space="preserve">(Fentem </w:t>
      </w:r>
      <w:r w:rsidR="00455127" w:rsidRPr="00455127">
        <w:rPr>
          <w:i/>
          <w:noProof/>
        </w:rPr>
        <w:t>et al.</w:t>
      </w:r>
      <w:r w:rsidRPr="00344DCE">
        <w:rPr>
          <w:noProof/>
        </w:rPr>
        <w:t>, 1992)</w:t>
      </w:r>
      <w:r w:rsidRPr="00344DCE">
        <w:t xml:space="preserve">. The same assessment took into account pulmonary toxicity reported in mice following oral gavage doses of 150 mg/kg </w:t>
      </w:r>
      <w:proofErr w:type="spellStart"/>
      <w:r w:rsidRPr="00344DCE">
        <w:t>bw</w:t>
      </w:r>
      <w:proofErr w:type="spellEnd"/>
      <w:r w:rsidRPr="00344DCE">
        <w:t xml:space="preserve"> and above </w:t>
      </w:r>
      <w:r>
        <w:rPr>
          <w:noProof/>
        </w:rPr>
        <w:t xml:space="preserve">(Born </w:t>
      </w:r>
      <w:r w:rsidR="00455127" w:rsidRPr="00455127">
        <w:rPr>
          <w:i/>
          <w:noProof/>
        </w:rPr>
        <w:t>et al.</w:t>
      </w:r>
      <w:r>
        <w:rPr>
          <w:noProof/>
        </w:rPr>
        <w:t>, 1998)</w:t>
      </w:r>
      <w:r w:rsidRPr="00344DCE">
        <w:t>.</w:t>
      </w:r>
    </w:p>
    <w:p w:rsidR="00BF5B8E" w:rsidRPr="00344DCE" w:rsidRDefault="00BF5B8E" w:rsidP="008A65A8">
      <w:r w:rsidRPr="00344DCE">
        <w:t xml:space="preserve">There is no data available for </w:t>
      </w:r>
      <w:proofErr w:type="spellStart"/>
      <w:r w:rsidRPr="00344DCE">
        <w:t>coumarin</w:t>
      </w:r>
      <w:proofErr w:type="spellEnd"/>
      <w:r w:rsidRPr="00344DCE">
        <w:t xml:space="preserve"> regarding dermal or inhalation toxicity, nor skin or eye irritation.</w:t>
      </w:r>
    </w:p>
    <w:p w:rsidR="00BF5B8E" w:rsidRPr="00344DCE" w:rsidRDefault="00BF5B8E" w:rsidP="000E0E79">
      <w:pPr>
        <w:pStyle w:val="Heading3"/>
      </w:pPr>
      <w:bookmarkStart w:id="80" w:name="_Ref524636988"/>
      <w:bookmarkStart w:id="81" w:name="_Toc25652441"/>
      <w:bookmarkStart w:id="82" w:name="_Toc25930277"/>
      <w:r w:rsidRPr="00344DCE">
        <w:t>Repeat-dose toxicity</w:t>
      </w:r>
      <w:bookmarkEnd w:id="80"/>
      <w:bookmarkEnd w:id="81"/>
      <w:bookmarkEnd w:id="82"/>
    </w:p>
    <w:p w:rsidR="00BF5B8E" w:rsidRPr="00344DCE" w:rsidRDefault="00BF5B8E" w:rsidP="008A65A8">
      <w:r w:rsidRPr="00344DCE">
        <w:t xml:space="preserve">Tanaka </w:t>
      </w:r>
      <w:r w:rsidRPr="00344DCE">
        <w:rPr>
          <w:noProof/>
        </w:rPr>
        <w:t>(2017)</w:t>
      </w:r>
      <w:r w:rsidRPr="00344DCE">
        <w:t xml:space="preserve"> compared rats receiving a repeated dose (study duration of 28 days) of 200 mg/kg </w:t>
      </w:r>
      <w:proofErr w:type="spellStart"/>
      <w:r w:rsidRPr="00344DCE">
        <w:t>bw</w:t>
      </w:r>
      <w:proofErr w:type="spellEnd"/>
      <w:r w:rsidRPr="00344DCE">
        <w:t xml:space="preserve">/day </w:t>
      </w:r>
      <w:proofErr w:type="spellStart"/>
      <w:r w:rsidRPr="00344DCE">
        <w:t>coumarin</w:t>
      </w:r>
      <w:proofErr w:type="spellEnd"/>
      <w:r w:rsidRPr="00344DCE">
        <w:t xml:space="preserve"> to a 200mg/kg </w:t>
      </w:r>
      <w:proofErr w:type="spellStart"/>
      <w:r w:rsidRPr="00344DCE">
        <w:t>bw</w:t>
      </w:r>
      <w:proofErr w:type="spellEnd"/>
      <w:r w:rsidRPr="00344DCE">
        <w:t xml:space="preserve"> single dose and found reduced hepatotoxicity presented in the repeated-dose group, and attributed the change to </w:t>
      </w:r>
      <w:proofErr w:type="spellStart"/>
      <w:r w:rsidRPr="00344DCE">
        <w:t>coumarin</w:t>
      </w:r>
      <w:proofErr w:type="spellEnd"/>
      <w:r w:rsidRPr="00344DCE">
        <w:t xml:space="preserve"> absorption and subcellular localisation of the CYP2E1 enzyme.</w:t>
      </w:r>
    </w:p>
    <w:p w:rsidR="00BF5B8E" w:rsidRPr="00344DCE" w:rsidRDefault="00BF5B8E" w:rsidP="008A65A8">
      <w:r w:rsidRPr="00344DCE">
        <w:t>The available sub-chronic studies, detailed in</w:t>
      </w:r>
      <w:r>
        <w:t xml:space="preserve"> Table 4-1</w:t>
      </w:r>
      <w:r w:rsidRPr="00344DCE">
        <w:t xml:space="preserve">, were designed by the study authors to inform the dosage of chronic studies which are discussed below. Rats administered </w:t>
      </w:r>
      <w:proofErr w:type="spellStart"/>
      <w:r w:rsidRPr="00344DCE">
        <w:t>coumarin</w:t>
      </w:r>
      <w:proofErr w:type="spellEnd"/>
      <w:r w:rsidRPr="00344DCE">
        <w:t xml:space="preserve"> by gavage of greater than 150 mg/kg </w:t>
      </w:r>
      <w:proofErr w:type="spellStart"/>
      <w:r w:rsidRPr="00344DCE">
        <w:t>bw</w:t>
      </w:r>
      <w:proofErr w:type="spellEnd"/>
      <w:r w:rsidRPr="00344DCE">
        <w:t>/day exhibited nephrotoxicity. Rats and mice treated with the same dose presented with hepatotoxicity (National Tox</w:t>
      </w:r>
      <w:r w:rsidR="00BC62D4">
        <w:t>icology Program [‘NTP’], 1993).</w:t>
      </w:r>
    </w:p>
    <w:p w:rsidR="00BF5B8E" w:rsidRPr="00344DCE" w:rsidRDefault="00BF5B8E" w:rsidP="008A65A8">
      <w:r>
        <w:rPr>
          <w:szCs w:val="24"/>
        </w:rPr>
        <w:t>H</w:t>
      </w:r>
      <w:r w:rsidRPr="00344DCE">
        <w:rPr>
          <w:szCs w:val="24"/>
        </w:rPr>
        <w:t>epatotoxicity</w:t>
      </w:r>
      <w:r w:rsidRPr="00344DCE">
        <w:t xml:space="preserve"> was exhibited </w:t>
      </w:r>
      <w:r>
        <w:t xml:space="preserve">during studies of chronic exposure to </w:t>
      </w:r>
      <w:proofErr w:type="spellStart"/>
      <w:r>
        <w:t>coumarin</w:t>
      </w:r>
      <w:proofErr w:type="spellEnd"/>
      <w:r>
        <w:t xml:space="preserve"> </w:t>
      </w:r>
      <w:r w:rsidRPr="00344DCE">
        <w:t xml:space="preserve">by mice, rats, dogs and baboons, but not hamster </w:t>
      </w:r>
      <w:r w:rsidRPr="00344DCE">
        <w:rPr>
          <w:noProof/>
        </w:rPr>
        <w:t>(Ueno &amp; Hirono, 1981)</w:t>
      </w:r>
      <w:r w:rsidRPr="00344DCE">
        <w:t xml:space="preserve">. The data presented for the hamster study does not provide for extrapolation of a dosage per kilogram bodyweight. </w:t>
      </w:r>
      <w:proofErr w:type="spellStart"/>
      <w:r>
        <w:t>Api</w:t>
      </w:r>
      <w:proofErr w:type="spellEnd"/>
      <w:r>
        <w:t xml:space="preserve"> </w:t>
      </w:r>
      <w:r w:rsidR="00455127" w:rsidRPr="00455127">
        <w:rPr>
          <w:i/>
        </w:rPr>
        <w:t>et al.</w:t>
      </w:r>
      <w:r>
        <w:t xml:space="preserve"> (2019) state that a </w:t>
      </w:r>
      <w:r w:rsidRPr="00344DCE">
        <w:t>No Observed Adverse Event Level (NOAEL)</w:t>
      </w:r>
      <w:r>
        <w:t xml:space="preserve"> of 25 mg/kg </w:t>
      </w:r>
      <w:proofErr w:type="spellStart"/>
      <w:r>
        <w:t>bw</w:t>
      </w:r>
      <w:proofErr w:type="spellEnd"/>
      <w:r>
        <w:t xml:space="preserve">/day was considered </w:t>
      </w:r>
      <w:r w:rsidRPr="00344DCE">
        <w:t xml:space="preserve">in </w:t>
      </w:r>
      <w:r>
        <w:t xml:space="preserve">a chronic rat study; however, adverse effects for stomach ulcers were observed at all dosages within males </w:t>
      </w:r>
      <w:r w:rsidRPr="00344DCE">
        <w:t>(NTP, 1993)</w:t>
      </w:r>
      <w:r>
        <w:t xml:space="preserve">. As such the NOAEL stated by </w:t>
      </w:r>
      <w:proofErr w:type="spellStart"/>
      <w:r>
        <w:t>Api</w:t>
      </w:r>
      <w:proofErr w:type="spellEnd"/>
      <w:r>
        <w:t xml:space="preserve"> </w:t>
      </w:r>
      <w:r w:rsidR="00455127" w:rsidRPr="00455127">
        <w:rPr>
          <w:i/>
        </w:rPr>
        <w:t>et al.</w:t>
      </w:r>
      <w:r>
        <w:t xml:space="preserve"> (2019) is not considered to be appropriate.</w:t>
      </w:r>
    </w:p>
    <w:p w:rsidR="00BF5B8E" w:rsidRPr="00344DCE" w:rsidRDefault="00BF5B8E" w:rsidP="008A65A8">
      <w:r>
        <w:t>T</w:t>
      </w:r>
      <w:r w:rsidRPr="00344DCE">
        <w:t xml:space="preserve">wo </w:t>
      </w:r>
      <w:r>
        <w:t xml:space="preserve">other NOAELs </w:t>
      </w:r>
      <w:r w:rsidRPr="00344DCE">
        <w:t xml:space="preserve">were presented </w:t>
      </w:r>
      <w:r>
        <w:t xml:space="preserve">for </w:t>
      </w:r>
      <w:r w:rsidRPr="00344DCE">
        <w:t>orally administered studies, being 22.5 and 10 mg/kg</w:t>
      </w:r>
      <w:r>
        <w:t xml:space="preserve"> </w:t>
      </w:r>
      <w:proofErr w:type="spellStart"/>
      <w:r w:rsidRPr="00344DCE">
        <w:t>bw</w:t>
      </w:r>
      <w:proofErr w:type="spellEnd"/>
      <w:r w:rsidRPr="00344DCE">
        <w:t xml:space="preserve"> in baboon </w:t>
      </w:r>
      <w:r>
        <w:rPr>
          <w:noProof/>
        </w:rPr>
        <w:t xml:space="preserve">(Evans </w:t>
      </w:r>
      <w:r w:rsidR="00455127" w:rsidRPr="00455127">
        <w:rPr>
          <w:i/>
          <w:noProof/>
        </w:rPr>
        <w:t>et al.</w:t>
      </w:r>
      <w:r>
        <w:rPr>
          <w:noProof/>
        </w:rPr>
        <w:t>, 1979)</w:t>
      </w:r>
      <w:r w:rsidRPr="00344DCE">
        <w:t xml:space="preserve"> and canine </w:t>
      </w:r>
      <w:r w:rsidRPr="00344DCE">
        <w:rPr>
          <w:noProof/>
        </w:rPr>
        <w:t xml:space="preserve">(Hagan </w:t>
      </w:r>
      <w:r w:rsidR="00455127" w:rsidRPr="00455127">
        <w:rPr>
          <w:i/>
          <w:noProof/>
        </w:rPr>
        <w:t>et al.</w:t>
      </w:r>
      <w:r w:rsidRPr="00344DCE">
        <w:rPr>
          <w:noProof/>
        </w:rPr>
        <w:t>, 1967)</w:t>
      </w:r>
      <w:r w:rsidRPr="00344DCE">
        <w:t xml:space="preserve"> respectively. The studies generally comply with the </w:t>
      </w:r>
      <w:hyperlink r:id="rId15" w:history="1">
        <w:r w:rsidRPr="00344DCE">
          <w:rPr>
            <w:rStyle w:val="Hyperlink"/>
          </w:rPr>
          <w:t>OECD Guideline for Chronic Toxicity Studies</w:t>
        </w:r>
      </w:hyperlink>
      <w:r w:rsidRPr="00344DCE">
        <w:rPr>
          <w:rStyle w:val="Hyperlink"/>
        </w:rPr>
        <w:t>;</w:t>
      </w:r>
      <w:r w:rsidRPr="00344DCE">
        <w:t xml:space="preserve"> however it is noted that the number of animals tested in both of these studies are lower than the minimum specified.</w:t>
      </w:r>
    </w:p>
    <w:p w:rsidR="00BF5B8E" w:rsidRDefault="00BF5B8E" w:rsidP="008A65A8">
      <w:r>
        <w:lastRenderedPageBreak/>
        <w:t xml:space="preserve">Additional chronic studies in mice and rats were considered that were not available for review, which were reported to have NOAELs of 150 and 50 mg/kg </w:t>
      </w:r>
      <w:proofErr w:type="spellStart"/>
      <w:r>
        <w:t>bw</w:t>
      </w:r>
      <w:proofErr w:type="spellEnd"/>
      <w:r>
        <w:t xml:space="preserve">/day respectively </w:t>
      </w:r>
      <w:r>
        <w:rPr>
          <w:noProof/>
        </w:rPr>
        <w:t xml:space="preserve">(Research Institute for Fragrance Materials, 1983; 1984 as cited in Api </w:t>
      </w:r>
      <w:r w:rsidR="00455127" w:rsidRPr="00455127">
        <w:rPr>
          <w:i/>
          <w:noProof/>
        </w:rPr>
        <w:t>et al.</w:t>
      </w:r>
      <w:r>
        <w:rPr>
          <w:noProof/>
        </w:rPr>
        <w:t>, 2019)</w:t>
      </w:r>
      <w:r>
        <w:t>.</w:t>
      </w:r>
    </w:p>
    <w:p w:rsidR="00BF5B8E" w:rsidRDefault="00BF5B8E" w:rsidP="008A65A8">
      <w:pPr>
        <w:rPr>
          <w:szCs w:val="22"/>
        </w:rPr>
        <w:sectPr w:rsidR="00BF5B8E" w:rsidSect="008A65A8">
          <w:headerReference w:type="default" r:id="rId16"/>
          <w:footerReference w:type="default" r:id="rId17"/>
          <w:footnotePr>
            <w:numFmt w:val="chicago"/>
          </w:footnotePr>
          <w:pgSz w:w="11906" w:h="16838" w:code="9"/>
          <w:pgMar w:top="1134" w:right="1418" w:bottom="1361" w:left="1418" w:header="573" w:footer="567" w:gutter="0"/>
          <w:cols w:space="708"/>
          <w:docGrid w:linePitch="360"/>
        </w:sectPr>
      </w:pPr>
      <w:bookmarkStart w:id="83" w:name="_Ref523759689"/>
    </w:p>
    <w:p w:rsidR="00BF5B8E" w:rsidRPr="008A65A8" w:rsidRDefault="00BF5B8E" w:rsidP="00D23E7D">
      <w:pPr>
        <w:pStyle w:val="Tabletitle"/>
      </w:pPr>
      <w:r w:rsidRPr="008A65A8">
        <w:lastRenderedPageBreak/>
        <w:t>Table 4</w:t>
      </w:r>
      <w:r w:rsidRPr="008A65A8">
        <w:noBreakHyphen/>
      </w:r>
      <w:bookmarkEnd w:id="83"/>
      <w:r w:rsidRPr="008A65A8">
        <w:t>1: Sub-chronic toxicology data</w:t>
      </w:r>
    </w:p>
    <w:tbl>
      <w:tblPr>
        <w:tblStyle w:val="TableTGAblue"/>
        <w:tblW w:w="1573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417"/>
        <w:gridCol w:w="1445"/>
        <w:gridCol w:w="2065"/>
        <w:gridCol w:w="4469"/>
        <w:gridCol w:w="1417"/>
        <w:gridCol w:w="1803"/>
      </w:tblGrid>
      <w:tr w:rsidR="00BF5B8E" w:rsidRPr="00344DCE" w:rsidTr="008A65A8">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560" w:type="dxa"/>
            <w:vAlign w:val="center"/>
          </w:tcPr>
          <w:p w:rsidR="00BF5B8E" w:rsidRPr="00344DCE" w:rsidRDefault="00BF5B8E" w:rsidP="008A65A8">
            <w:pPr>
              <w:spacing w:before="0"/>
            </w:pPr>
            <w:r w:rsidRPr="00344DCE">
              <w:t>Route</w:t>
            </w:r>
          </w:p>
        </w:tc>
        <w:tc>
          <w:tcPr>
            <w:tcW w:w="1559" w:type="dxa"/>
            <w:vAlign w:val="center"/>
          </w:tcPr>
          <w:p w:rsidR="00BF5B8E" w:rsidRPr="00344DCE" w:rsidRDefault="00BF5B8E" w:rsidP="008A65A8">
            <w:pPr>
              <w:spacing w:before="0"/>
              <w:cnfStyle w:val="100000000000" w:firstRow="1" w:lastRow="0" w:firstColumn="0" w:lastColumn="0" w:oddVBand="0" w:evenVBand="0" w:oddHBand="0" w:evenHBand="0" w:firstRowFirstColumn="0" w:firstRowLastColumn="0" w:lastRowFirstColumn="0" w:lastRowLastColumn="0"/>
            </w:pPr>
            <w:r w:rsidRPr="00344DCE">
              <w:t>Formulation</w:t>
            </w:r>
          </w:p>
        </w:tc>
        <w:tc>
          <w:tcPr>
            <w:tcW w:w="1417" w:type="dxa"/>
            <w:vAlign w:val="center"/>
          </w:tcPr>
          <w:p w:rsidR="00BF5B8E" w:rsidRPr="00344DCE" w:rsidRDefault="00BF5B8E" w:rsidP="008A65A8">
            <w:pPr>
              <w:keepNext w:val="0"/>
              <w:spacing w:before="0"/>
              <w:cnfStyle w:val="100000000000" w:firstRow="1" w:lastRow="0" w:firstColumn="0" w:lastColumn="0" w:oddVBand="0" w:evenVBand="0" w:oddHBand="0" w:evenHBand="0" w:firstRowFirstColumn="0" w:firstRowLastColumn="0" w:lastRowFirstColumn="0" w:lastRowLastColumn="0"/>
            </w:pPr>
            <w:r w:rsidRPr="00344DCE">
              <w:t>Animal model</w:t>
            </w:r>
          </w:p>
        </w:tc>
        <w:tc>
          <w:tcPr>
            <w:tcW w:w="1445" w:type="dxa"/>
            <w:vAlign w:val="center"/>
          </w:tcPr>
          <w:p w:rsidR="00BF5B8E" w:rsidRPr="00344DCE" w:rsidRDefault="00BF5B8E" w:rsidP="008A65A8">
            <w:pPr>
              <w:keepNext w:val="0"/>
              <w:spacing w:before="0"/>
              <w:cnfStyle w:val="100000000000" w:firstRow="1" w:lastRow="0" w:firstColumn="0" w:lastColumn="0" w:oddVBand="0" w:evenVBand="0" w:oddHBand="0" w:evenHBand="0" w:firstRowFirstColumn="0" w:firstRowLastColumn="0" w:lastRowFirstColumn="0" w:lastRowLastColumn="0"/>
            </w:pPr>
            <w:r w:rsidRPr="00344DCE">
              <w:t>Treatment Period</w:t>
            </w:r>
          </w:p>
        </w:tc>
        <w:tc>
          <w:tcPr>
            <w:tcW w:w="2065" w:type="dxa"/>
            <w:tcBorders>
              <w:bottom w:val="single" w:sz="4" w:space="0" w:color="auto"/>
            </w:tcBorders>
            <w:vAlign w:val="center"/>
          </w:tcPr>
          <w:p w:rsidR="00BF5B8E" w:rsidRPr="00344DCE" w:rsidRDefault="00BF5B8E" w:rsidP="008A65A8">
            <w:pPr>
              <w:spacing w:before="0"/>
              <w:cnfStyle w:val="100000000000" w:firstRow="1" w:lastRow="0" w:firstColumn="0" w:lastColumn="0" w:oddVBand="0" w:evenVBand="0" w:oddHBand="0" w:evenHBand="0" w:firstRowFirstColumn="0" w:firstRowLastColumn="0" w:lastRowFirstColumn="0" w:lastRowLastColumn="0"/>
            </w:pPr>
            <w:r w:rsidRPr="00344DCE">
              <w:t xml:space="preserve">Dosage </w:t>
            </w:r>
          </w:p>
        </w:tc>
        <w:tc>
          <w:tcPr>
            <w:tcW w:w="4469" w:type="dxa"/>
            <w:vAlign w:val="center"/>
          </w:tcPr>
          <w:p w:rsidR="00BF5B8E" w:rsidRPr="00344DCE" w:rsidRDefault="00BF5B8E" w:rsidP="008A65A8">
            <w:pPr>
              <w:spacing w:before="0"/>
              <w:cnfStyle w:val="100000000000" w:firstRow="1" w:lastRow="0" w:firstColumn="0" w:lastColumn="0" w:oddVBand="0" w:evenVBand="0" w:oddHBand="0" w:evenHBand="0" w:firstRowFirstColumn="0" w:firstRowLastColumn="0" w:lastRowFirstColumn="0" w:lastRowLastColumn="0"/>
            </w:pPr>
            <w:r w:rsidRPr="00344DCE">
              <w:t>Outcomes (non-lethal toxicities, target organs)</w:t>
            </w:r>
          </w:p>
        </w:tc>
        <w:tc>
          <w:tcPr>
            <w:tcW w:w="1417" w:type="dxa"/>
            <w:vAlign w:val="center"/>
          </w:tcPr>
          <w:p w:rsidR="00BF5B8E" w:rsidRPr="00344DCE" w:rsidRDefault="00BF5B8E" w:rsidP="008A65A8">
            <w:pPr>
              <w:spacing w:before="0"/>
              <w:cnfStyle w:val="100000000000" w:firstRow="1" w:lastRow="0" w:firstColumn="0" w:lastColumn="0" w:oddVBand="0" w:evenVBand="0" w:oddHBand="0" w:evenHBand="0" w:firstRowFirstColumn="0" w:firstRowLastColumn="0" w:lastRowFirstColumn="0" w:lastRowLastColumn="0"/>
            </w:pPr>
            <w:r w:rsidRPr="00344DCE">
              <w:t>NOAEL</w:t>
            </w:r>
          </w:p>
        </w:tc>
        <w:tc>
          <w:tcPr>
            <w:tcW w:w="1803" w:type="dxa"/>
            <w:vAlign w:val="center"/>
          </w:tcPr>
          <w:p w:rsidR="00BF5B8E" w:rsidRPr="00344DCE" w:rsidRDefault="00BF5B8E" w:rsidP="008A65A8">
            <w:pPr>
              <w:spacing w:before="0"/>
              <w:cnfStyle w:val="100000000000" w:firstRow="1" w:lastRow="0" w:firstColumn="0" w:lastColumn="0" w:oddVBand="0" w:evenVBand="0" w:oddHBand="0" w:evenHBand="0" w:firstRowFirstColumn="0" w:firstRowLastColumn="0" w:lastRowFirstColumn="0" w:lastRowLastColumn="0"/>
            </w:pPr>
            <w:r w:rsidRPr="00344DCE">
              <w:t>Reference</w:t>
            </w:r>
          </w:p>
        </w:tc>
      </w:tr>
      <w:tr w:rsidR="00BF5B8E" w:rsidRPr="00344DCE" w:rsidTr="008A65A8">
        <w:trPr>
          <w:trHeight w:val="2129"/>
        </w:trPr>
        <w:tc>
          <w:tcPr>
            <w:cnfStyle w:val="001000000000" w:firstRow="0" w:lastRow="0" w:firstColumn="1" w:lastColumn="0" w:oddVBand="0" w:evenVBand="0" w:oddHBand="0" w:evenHBand="0" w:firstRowFirstColumn="0" w:firstRowLastColumn="0" w:lastRowFirstColumn="0" w:lastRowLastColumn="0"/>
            <w:tcW w:w="1560" w:type="dxa"/>
            <w:vAlign w:val="center"/>
          </w:tcPr>
          <w:p w:rsidR="00BF5B8E" w:rsidRPr="00344DCE" w:rsidRDefault="00BF5B8E" w:rsidP="008A65A8">
            <w:pPr>
              <w:spacing w:before="0" w:after="0"/>
            </w:pPr>
            <w:r w:rsidRPr="00344DCE">
              <w:t>Oral (Gavage)</w:t>
            </w:r>
          </w:p>
        </w:tc>
        <w:tc>
          <w:tcPr>
            <w:tcW w:w="1559" w:type="dxa"/>
            <w:vAlign w:val="center"/>
          </w:tcPr>
          <w:p w:rsidR="00BF5B8E" w:rsidRPr="00344DCE" w:rsidRDefault="00BF5B8E" w:rsidP="008A65A8">
            <w:pPr>
              <w:spacing w:before="0" w:after="0"/>
              <w:cnfStyle w:val="000000000000" w:firstRow="0" w:lastRow="0" w:firstColumn="0" w:lastColumn="0" w:oddVBand="0" w:evenVBand="0" w:oddHBand="0" w:evenHBand="0" w:firstRowFirstColumn="0" w:firstRowLastColumn="0" w:lastRowFirstColumn="0" w:lastRowLastColumn="0"/>
            </w:pPr>
            <w:r w:rsidRPr="00901E02">
              <w:t>Rhône-Poulenc</w:t>
            </w:r>
            <w:r w:rsidRPr="00344DCE">
              <w:t>, Inc.</w:t>
            </w:r>
          </w:p>
        </w:tc>
        <w:tc>
          <w:tcPr>
            <w:tcW w:w="1417" w:type="dxa"/>
            <w:vAlign w:val="center"/>
          </w:tcPr>
          <w:p w:rsidR="00BF5B8E" w:rsidRPr="00344DCE" w:rsidRDefault="00BF5B8E" w:rsidP="008A65A8">
            <w:pPr>
              <w:spacing w:before="0" w:after="0"/>
              <w:cnfStyle w:val="000000000000" w:firstRow="0" w:lastRow="0" w:firstColumn="0" w:lastColumn="0" w:oddVBand="0" w:evenVBand="0" w:oddHBand="0" w:evenHBand="0" w:firstRowFirstColumn="0" w:firstRowLastColumn="0" w:lastRowFirstColumn="0" w:lastRowLastColumn="0"/>
            </w:pPr>
            <w:r w:rsidRPr="00344DCE">
              <w:t>Mouse, B6C3F</w:t>
            </w:r>
            <w:r w:rsidRPr="00344DCE">
              <w:rPr>
                <w:vertAlign w:val="subscript"/>
              </w:rPr>
              <w:t>1</w:t>
            </w:r>
            <w:r w:rsidRPr="00344DCE">
              <w:t>, 10 males and 10 females per group</w:t>
            </w:r>
          </w:p>
        </w:tc>
        <w:tc>
          <w:tcPr>
            <w:tcW w:w="1445" w:type="dxa"/>
            <w:vAlign w:val="center"/>
          </w:tcPr>
          <w:p w:rsidR="00BF5B8E" w:rsidRPr="00344DCE" w:rsidRDefault="00BF5B8E" w:rsidP="008A65A8">
            <w:pPr>
              <w:spacing w:before="0" w:after="0"/>
              <w:cnfStyle w:val="000000000000" w:firstRow="0" w:lastRow="0" w:firstColumn="0" w:lastColumn="0" w:oddVBand="0" w:evenVBand="0" w:oddHBand="0" w:evenHBand="0" w:firstRowFirstColumn="0" w:firstRowLastColumn="0" w:lastRowFirstColumn="0" w:lastRowLastColumn="0"/>
            </w:pPr>
            <w:r w:rsidRPr="00344DCE">
              <w:t>91 days</w:t>
            </w:r>
          </w:p>
        </w:tc>
        <w:tc>
          <w:tcPr>
            <w:tcW w:w="2065" w:type="dxa"/>
            <w:vAlign w:val="center"/>
          </w:tcPr>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0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19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38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75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150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300 mg/kg </w:t>
            </w:r>
            <w:proofErr w:type="spellStart"/>
            <w:r w:rsidRPr="00344DCE">
              <w:t>bw</w:t>
            </w:r>
            <w:proofErr w:type="spellEnd"/>
            <w:r w:rsidRPr="00344DCE">
              <w:t>/day</w:t>
            </w:r>
          </w:p>
        </w:tc>
        <w:tc>
          <w:tcPr>
            <w:tcW w:w="4469" w:type="dxa"/>
            <w:vAlign w:val="center"/>
          </w:tcPr>
          <w:p w:rsidR="00BF5B8E" w:rsidRPr="00344DCE" w:rsidRDefault="00BF5B8E" w:rsidP="008A65A8">
            <w:pPr>
              <w:spacing w:before="0" w:after="0"/>
              <w:cnfStyle w:val="000000000000" w:firstRow="0" w:lastRow="0" w:firstColumn="0" w:lastColumn="0" w:oddVBand="0" w:evenVBand="0" w:oddHBand="0" w:evenHBand="0" w:firstRowFirstColumn="0" w:firstRowLastColumn="0" w:lastRowFirstColumn="0" w:lastRowLastColumn="0"/>
            </w:pPr>
            <w:r w:rsidRPr="00344DCE">
              <w:t xml:space="preserve">2 males in high treatment died during week 1. 1 female died in week 2 in the 19 mg treatment, and another in week 12 in the 75 mg treatment (both attributed to gavage error). Anaemia in all treated animals. Liver weights of animals receiving ≥150 mg significantly greater. </w:t>
            </w:r>
            <w:proofErr w:type="spellStart"/>
            <w:r w:rsidRPr="00344DCE">
              <w:t>Centrilobular</w:t>
            </w:r>
            <w:proofErr w:type="spellEnd"/>
            <w:r w:rsidRPr="00344DCE">
              <w:t xml:space="preserve"> hepatocellular hypertrophy observed in 7 males and 7 females in 300 mg group.</w:t>
            </w:r>
          </w:p>
        </w:tc>
        <w:tc>
          <w:tcPr>
            <w:tcW w:w="1417" w:type="dxa"/>
            <w:vAlign w:val="center"/>
          </w:tcPr>
          <w:p w:rsidR="00BF5B8E" w:rsidRPr="00344DCE" w:rsidRDefault="00BF5B8E" w:rsidP="008A65A8">
            <w:pPr>
              <w:spacing w:before="0" w:after="0"/>
              <w:cnfStyle w:val="000000000000" w:firstRow="0" w:lastRow="0" w:firstColumn="0" w:lastColumn="0" w:oddVBand="0" w:evenVBand="0" w:oddHBand="0" w:evenHBand="0" w:firstRowFirstColumn="0" w:firstRowLastColumn="0" w:lastRowFirstColumn="0" w:lastRowLastColumn="0"/>
            </w:pPr>
            <w:r w:rsidRPr="00344DCE">
              <w:t>N/A</w:t>
            </w:r>
          </w:p>
        </w:tc>
        <w:tc>
          <w:tcPr>
            <w:tcW w:w="1803" w:type="dxa"/>
            <w:vAlign w:val="center"/>
          </w:tcPr>
          <w:p w:rsidR="00BF5B8E" w:rsidRPr="00344DCE" w:rsidRDefault="00BF5B8E" w:rsidP="008A65A8">
            <w:pPr>
              <w:spacing w:before="0" w:after="0"/>
              <w:cnfStyle w:val="000000000000" w:firstRow="0" w:lastRow="0" w:firstColumn="0" w:lastColumn="0" w:oddVBand="0" w:evenVBand="0" w:oddHBand="0" w:evenHBand="0" w:firstRowFirstColumn="0" w:firstRowLastColumn="0" w:lastRowFirstColumn="0" w:lastRowLastColumn="0"/>
            </w:pPr>
            <w:r w:rsidRPr="00344DCE">
              <w:t>(NTP, 1993)</w:t>
            </w:r>
          </w:p>
        </w:tc>
      </w:tr>
      <w:tr w:rsidR="00BF5B8E" w:rsidRPr="00344DCE" w:rsidTr="008A65A8">
        <w:trPr>
          <w:trHeight w:val="593"/>
        </w:trPr>
        <w:tc>
          <w:tcPr>
            <w:cnfStyle w:val="001000000000" w:firstRow="0" w:lastRow="0" w:firstColumn="1" w:lastColumn="0" w:oddVBand="0" w:evenVBand="0" w:oddHBand="0" w:evenHBand="0" w:firstRowFirstColumn="0" w:firstRowLastColumn="0" w:lastRowFirstColumn="0" w:lastRowLastColumn="0"/>
            <w:tcW w:w="1560" w:type="dxa"/>
            <w:vAlign w:val="center"/>
          </w:tcPr>
          <w:p w:rsidR="00BF5B8E" w:rsidRPr="00344DCE" w:rsidRDefault="00BF5B8E" w:rsidP="008A65A8">
            <w:pPr>
              <w:keepNext/>
              <w:spacing w:before="0"/>
            </w:pPr>
            <w:r w:rsidRPr="00344DCE">
              <w:t>Oral (Gavage)</w:t>
            </w:r>
          </w:p>
        </w:tc>
        <w:tc>
          <w:tcPr>
            <w:tcW w:w="1559" w:type="dxa"/>
            <w:vAlign w:val="center"/>
          </w:tcPr>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901E02">
              <w:t>Rhône-Poulenc</w:t>
            </w:r>
            <w:r w:rsidRPr="00344DCE">
              <w:t>, Inc.</w:t>
            </w:r>
          </w:p>
        </w:tc>
        <w:tc>
          <w:tcPr>
            <w:tcW w:w="1417" w:type="dxa"/>
            <w:vAlign w:val="center"/>
          </w:tcPr>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344DCE">
              <w:t>Rat, F344/N, 10 males and 10 females per dosage</w:t>
            </w:r>
          </w:p>
        </w:tc>
        <w:tc>
          <w:tcPr>
            <w:tcW w:w="1445" w:type="dxa"/>
            <w:vAlign w:val="center"/>
          </w:tcPr>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344DCE">
              <w:t>91 days</w:t>
            </w:r>
          </w:p>
        </w:tc>
        <w:tc>
          <w:tcPr>
            <w:tcW w:w="2065" w:type="dxa"/>
            <w:tcBorders>
              <w:bottom w:val="single" w:sz="4" w:space="0" w:color="auto"/>
            </w:tcBorders>
            <w:vAlign w:val="center"/>
          </w:tcPr>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0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19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38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75 mg/kg </w:t>
            </w:r>
            <w:proofErr w:type="spellStart"/>
            <w:r w:rsidRPr="00344DCE">
              <w:t>bw</w:t>
            </w:r>
            <w:proofErr w:type="spellEnd"/>
            <w:r w:rsidRPr="00344DCE">
              <w:t>/day</w:t>
            </w:r>
          </w:p>
          <w:p w:rsidR="00BF5B8E" w:rsidRPr="00344DCE" w:rsidRDefault="00BF5B8E" w:rsidP="008A65A8">
            <w:pPr>
              <w:spacing w:before="0" w:after="0" w:line="360" w:lineRule="auto"/>
              <w:contextualSpacing/>
              <w:jc w:val="center"/>
              <w:cnfStyle w:val="000000000000" w:firstRow="0" w:lastRow="0" w:firstColumn="0" w:lastColumn="0" w:oddVBand="0" w:evenVBand="0" w:oddHBand="0" w:evenHBand="0" w:firstRowFirstColumn="0" w:firstRowLastColumn="0" w:lastRowFirstColumn="0" w:lastRowLastColumn="0"/>
            </w:pPr>
            <w:r w:rsidRPr="00344DCE">
              <w:t xml:space="preserve">150 mg/kg </w:t>
            </w:r>
            <w:proofErr w:type="spellStart"/>
            <w:r w:rsidRPr="00344DCE">
              <w:t>bw</w:t>
            </w:r>
            <w:proofErr w:type="spellEnd"/>
            <w:r w:rsidRPr="00344DCE">
              <w:t>/day</w:t>
            </w:r>
          </w:p>
          <w:p w:rsidR="00BF5B8E" w:rsidRPr="00344DCE" w:rsidRDefault="00BF5B8E" w:rsidP="008A65A8">
            <w:pPr>
              <w:spacing w:before="0"/>
              <w:jc w:val="center"/>
              <w:cnfStyle w:val="000000000000" w:firstRow="0" w:lastRow="0" w:firstColumn="0" w:lastColumn="0" w:oddVBand="0" w:evenVBand="0" w:oddHBand="0" w:evenHBand="0" w:firstRowFirstColumn="0" w:firstRowLastColumn="0" w:lastRowFirstColumn="0" w:lastRowLastColumn="0"/>
            </w:pPr>
            <w:r w:rsidRPr="00344DCE">
              <w:t xml:space="preserve">300 mg/kg </w:t>
            </w:r>
            <w:proofErr w:type="spellStart"/>
            <w:r w:rsidRPr="00344DCE">
              <w:t>bw</w:t>
            </w:r>
            <w:proofErr w:type="spellEnd"/>
            <w:r w:rsidRPr="00344DCE">
              <w:t>/day</w:t>
            </w:r>
          </w:p>
        </w:tc>
        <w:tc>
          <w:tcPr>
            <w:tcW w:w="4469" w:type="dxa"/>
            <w:vAlign w:val="center"/>
          </w:tcPr>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344DCE">
              <w:t>3 females and 1 male died during week 1 in high-dose treatment. Additional 2 males died during weeks 8 &amp; 9 in same treatment group.</w:t>
            </w:r>
          </w:p>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344DCE">
              <w:t xml:space="preserve">Mean </w:t>
            </w:r>
            <w:proofErr w:type="spellStart"/>
            <w:r w:rsidRPr="00344DCE">
              <w:t>bw</w:t>
            </w:r>
            <w:proofErr w:type="spellEnd"/>
            <w:r w:rsidRPr="00344DCE">
              <w:t xml:space="preserve"> of males observed in 150 &amp; 300 mg treatments reduced to 92 and 83% of controls respectively and </w:t>
            </w:r>
            <w:proofErr w:type="spellStart"/>
            <w:r w:rsidRPr="00344DCE">
              <w:t>bw</w:t>
            </w:r>
            <w:proofErr w:type="spellEnd"/>
            <w:r w:rsidRPr="00344DCE">
              <w:t xml:space="preserve"> of females in 19, 38 &amp; 150 mg treatments increased to 107, 106 &amp; 107% of controls (P&lt;0.01).</w:t>
            </w:r>
          </w:p>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344DCE">
              <w:t xml:space="preserve">Incidence of </w:t>
            </w:r>
            <w:proofErr w:type="spellStart"/>
            <w:r w:rsidRPr="00344DCE">
              <w:t>centrilobular</w:t>
            </w:r>
            <w:proofErr w:type="spellEnd"/>
            <w:r w:rsidRPr="00344DCE">
              <w:t xml:space="preserve"> hepatitis and kidney damage in 150 &amp; 300 mg treatments significantly different to control (P≤0.05).</w:t>
            </w:r>
          </w:p>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344DCE">
              <w:t>Significant dose related (75 mg and above) changes in erythrocyte: decrease in mean volume and haemoglobin, increase in count.</w:t>
            </w:r>
          </w:p>
        </w:tc>
        <w:tc>
          <w:tcPr>
            <w:tcW w:w="1417" w:type="dxa"/>
            <w:vAlign w:val="center"/>
          </w:tcPr>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344DCE">
              <w:t>N/A</w:t>
            </w:r>
          </w:p>
        </w:tc>
        <w:tc>
          <w:tcPr>
            <w:tcW w:w="1803" w:type="dxa"/>
            <w:vAlign w:val="center"/>
          </w:tcPr>
          <w:p w:rsidR="00BF5B8E" w:rsidRPr="00344DCE" w:rsidRDefault="00BF5B8E" w:rsidP="008A65A8">
            <w:pPr>
              <w:spacing w:before="0"/>
              <w:cnfStyle w:val="000000000000" w:firstRow="0" w:lastRow="0" w:firstColumn="0" w:lastColumn="0" w:oddVBand="0" w:evenVBand="0" w:oddHBand="0" w:evenHBand="0" w:firstRowFirstColumn="0" w:firstRowLastColumn="0" w:lastRowFirstColumn="0" w:lastRowLastColumn="0"/>
            </w:pPr>
            <w:r w:rsidRPr="00344DCE">
              <w:t>(NTP, 1993)</w:t>
            </w:r>
          </w:p>
        </w:tc>
      </w:tr>
    </w:tbl>
    <w:p w:rsidR="00BF5B8E" w:rsidRDefault="00BF5B8E" w:rsidP="008A65A8"/>
    <w:p w:rsidR="00BF5B8E" w:rsidRPr="008A65A8" w:rsidRDefault="00BF5B8E" w:rsidP="00D23E7D">
      <w:pPr>
        <w:pStyle w:val="Tabletitle"/>
        <w:spacing w:before="0"/>
      </w:pPr>
      <w:r w:rsidRPr="008A65A8">
        <w:lastRenderedPageBreak/>
        <w:t xml:space="preserve">Table 4-2: Chronic </w:t>
      </w:r>
      <w:bookmarkStart w:id="84" w:name="_GoBack"/>
      <w:r w:rsidRPr="008A65A8">
        <w:t>toxic</w:t>
      </w:r>
      <w:bookmarkEnd w:id="84"/>
      <w:r w:rsidRPr="008A65A8">
        <w:t xml:space="preserve">ology data following oral application of </w:t>
      </w:r>
      <w:proofErr w:type="spellStart"/>
      <w:r w:rsidRPr="008A65A8">
        <w:t>coumarin</w:t>
      </w:r>
      <w:proofErr w:type="spellEnd"/>
    </w:p>
    <w:tbl>
      <w:tblPr>
        <w:tblStyle w:val="TableTGAblue"/>
        <w:tblW w:w="15595" w:type="dxa"/>
        <w:tblInd w:w="-577" w:type="dxa"/>
        <w:tblLook w:val="04A0" w:firstRow="1" w:lastRow="0" w:firstColumn="1" w:lastColumn="0" w:noHBand="0" w:noVBand="1"/>
      </w:tblPr>
      <w:tblGrid>
        <w:gridCol w:w="1242"/>
        <w:gridCol w:w="1559"/>
        <w:gridCol w:w="1276"/>
        <w:gridCol w:w="1418"/>
        <w:gridCol w:w="2653"/>
        <w:gridCol w:w="4819"/>
        <w:gridCol w:w="1352"/>
        <w:gridCol w:w="1276"/>
      </w:tblGrid>
      <w:tr w:rsidR="00BF5B8E" w:rsidTr="004162E4">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5B8E" w:rsidRPr="00295DA6" w:rsidRDefault="00BF5B8E" w:rsidP="004C6833">
            <w:r w:rsidRPr="00295DA6">
              <w:t>Route</w:t>
            </w:r>
          </w:p>
        </w:tc>
        <w:tc>
          <w:tcPr>
            <w:tcW w:w="1559" w:type="dxa"/>
            <w:vAlign w:val="center"/>
          </w:tcPr>
          <w:p w:rsidR="00BF5B8E" w:rsidRPr="00295DA6" w:rsidRDefault="00BF5B8E" w:rsidP="004C6833">
            <w:pPr>
              <w:cnfStyle w:val="100000000000" w:firstRow="1" w:lastRow="0" w:firstColumn="0" w:lastColumn="0" w:oddVBand="0" w:evenVBand="0" w:oddHBand="0" w:evenHBand="0" w:firstRowFirstColumn="0" w:firstRowLastColumn="0" w:lastRowFirstColumn="0" w:lastRowLastColumn="0"/>
            </w:pPr>
            <w:r w:rsidRPr="00295DA6">
              <w:t>Formulation</w:t>
            </w:r>
          </w:p>
        </w:tc>
        <w:tc>
          <w:tcPr>
            <w:tcW w:w="1276" w:type="dxa"/>
            <w:vAlign w:val="center"/>
          </w:tcPr>
          <w:p w:rsidR="00BF5B8E" w:rsidRPr="00295DA6" w:rsidRDefault="00BF5B8E" w:rsidP="004C6833">
            <w:pPr>
              <w:cnfStyle w:val="100000000000" w:firstRow="1" w:lastRow="0" w:firstColumn="0" w:lastColumn="0" w:oddVBand="0" w:evenVBand="0" w:oddHBand="0" w:evenHBand="0" w:firstRowFirstColumn="0" w:firstRowLastColumn="0" w:lastRowFirstColumn="0" w:lastRowLastColumn="0"/>
            </w:pPr>
            <w:r w:rsidRPr="00295DA6">
              <w:t>Animal model</w:t>
            </w:r>
          </w:p>
        </w:tc>
        <w:tc>
          <w:tcPr>
            <w:tcW w:w="1418" w:type="dxa"/>
            <w:vAlign w:val="center"/>
          </w:tcPr>
          <w:p w:rsidR="00BF5B8E" w:rsidRPr="00295DA6" w:rsidRDefault="00BF5B8E" w:rsidP="004C6833">
            <w:pPr>
              <w:cnfStyle w:val="100000000000" w:firstRow="1" w:lastRow="0" w:firstColumn="0" w:lastColumn="0" w:oddVBand="0" w:evenVBand="0" w:oddHBand="0" w:evenHBand="0" w:firstRowFirstColumn="0" w:firstRowLastColumn="0" w:lastRowFirstColumn="0" w:lastRowLastColumn="0"/>
            </w:pPr>
            <w:r w:rsidRPr="00295DA6">
              <w:t>Treatment Period</w:t>
            </w:r>
          </w:p>
        </w:tc>
        <w:tc>
          <w:tcPr>
            <w:tcW w:w="2653" w:type="dxa"/>
            <w:vAlign w:val="center"/>
          </w:tcPr>
          <w:p w:rsidR="00BF5B8E" w:rsidRPr="00295DA6" w:rsidRDefault="00BF5B8E" w:rsidP="004C6833">
            <w:pPr>
              <w:cnfStyle w:val="100000000000" w:firstRow="1" w:lastRow="0" w:firstColumn="0" w:lastColumn="0" w:oddVBand="0" w:evenVBand="0" w:oddHBand="0" w:evenHBand="0" w:firstRowFirstColumn="0" w:firstRowLastColumn="0" w:lastRowFirstColumn="0" w:lastRowLastColumn="0"/>
            </w:pPr>
            <w:r w:rsidRPr="00295DA6">
              <w:t>Dosage</w:t>
            </w:r>
          </w:p>
        </w:tc>
        <w:tc>
          <w:tcPr>
            <w:tcW w:w="4819" w:type="dxa"/>
            <w:vAlign w:val="center"/>
          </w:tcPr>
          <w:p w:rsidR="00BF5B8E" w:rsidRPr="00295DA6" w:rsidRDefault="00BF5B8E" w:rsidP="004C6833">
            <w:pPr>
              <w:cnfStyle w:val="100000000000" w:firstRow="1" w:lastRow="0" w:firstColumn="0" w:lastColumn="0" w:oddVBand="0" w:evenVBand="0" w:oddHBand="0" w:evenHBand="0" w:firstRowFirstColumn="0" w:firstRowLastColumn="0" w:lastRowFirstColumn="0" w:lastRowLastColumn="0"/>
            </w:pPr>
            <w:r w:rsidRPr="00295DA6">
              <w:t>Outcomes (non-lethal toxicities, target organs)</w:t>
            </w:r>
          </w:p>
        </w:tc>
        <w:tc>
          <w:tcPr>
            <w:tcW w:w="1352" w:type="dxa"/>
            <w:vAlign w:val="center"/>
          </w:tcPr>
          <w:p w:rsidR="00BF5B8E" w:rsidRPr="00295DA6" w:rsidRDefault="00BF5B8E" w:rsidP="004C6833">
            <w:pPr>
              <w:cnfStyle w:val="100000000000" w:firstRow="1" w:lastRow="0" w:firstColumn="0" w:lastColumn="0" w:oddVBand="0" w:evenVBand="0" w:oddHBand="0" w:evenHBand="0" w:firstRowFirstColumn="0" w:firstRowLastColumn="0" w:lastRowFirstColumn="0" w:lastRowLastColumn="0"/>
            </w:pPr>
            <w:r w:rsidRPr="00295DA6">
              <w:t>NOAEL</w:t>
            </w:r>
          </w:p>
        </w:tc>
        <w:tc>
          <w:tcPr>
            <w:tcW w:w="1276" w:type="dxa"/>
            <w:vAlign w:val="center"/>
          </w:tcPr>
          <w:p w:rsidR="00BF5B8E" w:rsidRDefault="00BF5B8E" w:rsidP="004C6833">
            <w:pPr>
              <w:cnfStyle w:val="100000000000" w:firstRow="1" w:lastRow="0" w:firstColumn="0" w:lastColumn="0" w:oddVBand="0" w:evenVBand="0" w:oddHBand="0" w:evenHBand="0" w:firstRowFirstColumn="0" w:firstRowLastColumn="0" w:lastRowFirstColumn="0" w:lastRowLastColumn="0"/>
            </w:pPr>
            <w:r w:rsidRPr="00295DA6">
              <w:t>Reference</w:t>
            </w:r>
          </w:p>
        </w:tc>
      </w:tr>
      <w:tr w:rsidR="00BF5B8E" w:rsidRPr="00344DCE"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5B8E" w:rsidRPr="00344DCE" w:rsidRDefault="00BF5B8E" w:rsidP="004162E4">
            <w:pPr>
              <w:ind w:left="142"/>
            </w:pPr>
            <w:r>
              <w:t>Oral (Diet)</w:t>
            </w:r>
          </w:p>
        </w:tc>
        <w:tc>
          <w:tcPr>
            <w:tcW w:w="1559" w:type="dxa"/>
            <w:vAlign w:val="center"/>
          </w:tcPr>
          <w:p w:rsidR="00BF5B8E" w:rsidRPr="00344DCE" w:rsidRDefault="00BF5B8E" w:rsidP="004162E4">
            <w:pPr>
              <w:cnfStyle w:val="000000000000" w:firstRow="0" w:lastRow="0" w:firstColumn="0" w:lastColumn="0" w:oddVBand="0" w:evenVBand="0" w:oddHBand="0" w:evenHBand="0" w:firstRowFirstColumn="0" w:firstRowLastColumn="0" w:lastRowFirstColumn="0" w:lastRowLastColumn="0"/>
            </w:pPr>
            <w:r>
              <w:t>Unknown</w:t>
            </w:r>
          </w:p>
        </w:tc>
        <w:tc>
          <w:tcPr>
            <w:tcW w:w="1276" w:type="dxa"/>
            <w:vAlign w:val="center"/>
          </w:tcPr>
          <w:p w:rsidR="00BF5B8E" w:rsidRPr="00344DCE" w:rsidRDefault="00BF5B8E" w:rsidP="004162E4">
            <w:pPr>
              <w:cnfStyle w:val="000000000000" w:firstRow="0" w:lastRow="0" w:firstColumn="0" w:lastColumn="0" w:oddVBand="0" w:evenVBand="0" w:oddHBand="0" w:evenHBand="0" w:firstRowFirstColumn="0" w:firstRowLastColumn="0" w:lastRowFirstColumn="0" w:lastRowLastColumn="0"/>
            </w:pPr>
            <w:r>
              <w:t>CD-1 mice, 52 per sex per group</w:t>
            </w:r>
          </w:p>
        </w:tc>
        <w:tc>
          <w:tcPr>
            <w:tcW w:w="1418" w:type="dxa"/>
            <w:vAlign w:val="center"/>
          </w:tcPr>
          <w:p w:rsidR="00BF5B8E" w:rsidRPr="00344DCE" w:rsidRDefault="00BF5B8E" w:rsidP="004162E4">
            <w:pPr>
              <w:cnfStyle w:val="000000000000" w:firstRow="0" w:lastRow="0" w:firstColumn="0" w:lastColumn="0" w:oddVBand="0" w:evenVBand="0" w:oddHBand="0" w:evenHBand="0" w:firstRowFirstColumn="0" w:firstRowLastColumn="0" w:lastRowFirstColumn="0" w:lastRowLastColumn="0"/>
            </w:pPr>
            <w:r>
              <w:t>100 weeks (male) and 108 weeks (female)</w:t>
            </w:r>
          </w:p>
        </w:tc>
        <w:tc>
          <w:tcPr>
            <w:tcW w:w="2653" w:type="dxa"/>
            <w:vAlign w:val="center"/>
          </w:tcPr>
          <w:p w:rsidR="00BF5B8E" w:rsidRPr="00344DCE" w:rsidRDefault="00BF5B8E" w:rsidP="004162E4">
            <w:pPr>
              <w:cnfStyle w:val="000000000000" w:firstRow="0" w:lastRow="0" w:firstColumn="0" w:lastColumn="0" w:oddVBand="0" w:evenVBand="0" w:oddHBand="0" w:evenHBand="0" w:firstRowFirstColumn="0" w:firstRowLastColumn="0" w:lastRowFirstColumn="0" w:lastRowLastColumn="0"/>
            </w:pPr>
            <w:r>
              <w:t>300, 1000 and 3000 ppm</w:t>
            </w:r>
            <w:r>
              <w:br/>
              <w:t xml:space="preserve">(equivalent to </w:t>
            </w:r>
            <w:r>
              <w:br/>
              <w:t xml:space="preserve">45, 150, 450 mg/kg </w:t>
            </w:r>
            <w:proofErr w:type="spellStart"/>
            <w:r>
              <w:t>bw</w:t>
            </w:r>
            <w:proofErr w:type="spellEnd"/>
            <w:r>
              <w:t>/day)</w:t>
            </w:r>
          </w:p>
        </w:tc>
        <w:tc>
          <w:tcPr>
            <w:tcW w:w="4819" w:type="dxa"/>
            <w:vAlign w:val="center"/>
          </w:tcPr>
          <w:p w:rsidR="00BF5B8E" w:rsidRPr="00344DCE" w:rsidRDefault="00BF5B8E" w:rsidP="004162E4">
            <w:pPr>
              <w:cnfStyle w:val="000000000000" w:firstRow="0" w:lastRow="0" w:firstColumn="0" w:lastColumn="0" w:oddVBand="0" w:evenVBand="0" w:oddHBand="0" w:evenHBand="0" w:firstRowFirstColumn="0" w:firstRowLastColumn="0" w:lastRowFirstColumn="0" w:lastRowLastColumn="0"/>
            </w:pPr>
            <w:r>
              <w:t xml:space="preserve">Lower bodyweight gain was reported during the first half of the treatment period for the mid and high-dose animals. No treatment-related effect on </w:t>
            </w:r>
            <w:proofErr w:type="spellStart"/>
            <w:r>
              <w:t>tumor</w:t>
            </w:r>
            <w:proofErr w:type="spellEnd"/>
            <w:r>
              <w:t xml:space="preserve"> incidence or type or any other histopathological changes were reported.</w:t>
            </w:r>
          </w:p>
        </w:tc>
        <w:tc>
          <w:tcPr>
            <w:tcW w:w="1352" w:type="dxa"/>
            <w:vAlign w:val="center"/>
          </w:tcPr>
          <w:p w:rsidR="00BF5B8E" w:rsidRPr="00344DCE" w:rsidRDefault="00BF5B8E" w:rsidP="004162E4">
            <w:pPr>
              <w:cnfStyle w:val="000000000000" w:firstRow="0" w:lastRow="0" w:firstColumn="0" w:lastColumn="0" w:oddVBand="0" w:evenVBand="0" w:oddHBand="0" w:evenHBand="0" w:firstRowFirstColumn="0" w:firstRowLastColumn="0" w:lastRowFirstColumn="0" w:lastRowLastColumn="0"/>
            </w:pPr>
            <w:r>
              <w:t xml:space="preserve">150 mg/kg </w:t>
            </w:r>
            <w:proofErr w:type="spellStart"/>
            <w:r>
              <w:t>bw</w:t>
            </w:r>
            <w:proofErr w:type="spellEnd"/>
            <w:r>
              <w:t>/day</w:t>
            </w:r>
          </w:p>
        </w:tc>
        <w:tc>
          <w:tcPr>
            <w:tcW w:w="1276" w:type="dxa"/>
            <w:vAlign w:val="center"/>
          </w:tcPr>
          <w:p w:rsidR="00BF5B8E" w:rsidRPr="00344DCE" w:rsidRDefault="00BF5B8E" w:rsidP="004162E4">
            <w:pPr>
              <w:cnfStyle w:val="000000000000" w:firstRow="0" w:lastRow="0" w:firstColumn="0" w:lastColumn="0" w:oddVBand="0" w:evenVBand="0" w:oddHBand="0" w:evenHBand="0" w:firstRowFirstColumn="0" w:firstRowLastColumn="0" w:lastRowFirstColumn="0" w:lastRowLastColumn="0"/>
            </w:pPr>
            <w:r>
              <w:rPr>
                <w:noProof/>
              </w:rPr>
              <w:t xml:space="preserve">(RIFM, 1983 as cited in Api </w:t>
            </w:r>
            <w:r w:rsidR="00455127" w:rsidRPr="00455127">
              <w:rPr>
                <w:i/>
                <w:noProof/>
              </w:rPr>
              <w:t>et al.</w:t>
            </w:r>
            <w:r>
              <w:rPr>
                <w:noProof/>
              </w:rPr>
              <w:t>, 2019)</w:t>
            </w:r>
          </w:p>
        </w:tc>
      </w:tr>
      <w:tr w:rsidR="004C6833" w:rsidRPr="004C6833" w:rsidTr="004162E4">
        <w:trPr>
          <w:cantSplit w:val="0"/>
          <w:trHeight w:val="851"/>
        </w:trPr>
        <w:tc>
          <w:tcPr>
            <w:cnfStyle w:val="001000000000" w:firstRow="0" w:lastRow="0" w:firstColumn="1" w:lastColumn="0" w:oddVBand="0" w:evenVBand="0" w:oddHBand="0" w:evenHBand="0" w:firstRowFirstColumn="0" w:firstRowLastColumn="0" w:lastRowFirstColumn="0" w:lastRowLastColumn="0"/>
            <w:tcW w:w="1242" w:type="dxa"/>
            <w:vMerge w:val="restart"/>
            <w:vAlign w:val="center"/>
          </w:tcPr>
          <w:p w:rsidR="004C6833" w:rsidRPr="004C6833" w:rsidRDefault="004C6833" w:rsidP="004162E4">
            <w:pPr>
              <w:pageBreakBefore/>
              <w:rPr>
                <w:color w:val="auto"/>
              </w:rPr>
            </w:pPr>
            <w:r w:rsidRPr="004C6833">
              <w:rPr>
                <w:color w:val="auto"/>
              </w:rPr>
              <w:lastRenderedPageBreak/>
              <w:t>Oral (Gavage)</w:t>
            </w:r>
          </w:p>
        </w:tc>
        <w:tc>
          <w:tcPr>
            <w:tcW w:w="1559" w:type="dxa"/>
            <w:vMerge w:val="restart"/>
            <w:vAlign w:val="center"/>
          </w:tcPr>
          <w:p w:rsidR="004C6833" w:rsidRPr="004C6833" w:rsidRDefault="004C6833" w:rsidP="004162E4">
            <w:pPr>
              <w:pageBreakBefore/>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Rhone Poulenc, Inc.</w:t>
            </w:r>
          </w:p>
        </w:tc>
        <w:tc>
          <w:tcPr>
            <w:tcW w:w="1276" w:type="dxa"/>
            <w:vMerge w:val="restart"/>
            <w:vAlign w:val="center"/>
          </w:tcPr>
          <w:p w:rsidR="004C6833" w:rsidRPr="004C6833" w:rsidRDefault="004C6833" w:rsidP="004162E4">
            <w:pPr>
              <w:pageBreakBefore/>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Mouse, B6C3F1, 70 males and 70 females per group</w:t>
            </w:r>
          </w:p>
        </w:tc>
        <w:tc>
          <w:tcPr>
            <w:tcW w:w="1418" w:type="dxa"/>
            <w:vMerge w:val="restart"/>
            <w:vAlign w:val="center"/>
          </w:tcPr>
          <w:p w:rsidR="004C6833" w:rsidRPr="004C6833" w:rsidRDefault="004C6833" w:rsidP="004162E4">
            <w:pPr>
              <w:pageBreakBefore/>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103 weeks</w:t>
            </w:r>
          </w:p>
        </w:tc>
        <w:tc>
          <w:tcPr>
            <w:tcW w:w="2653" w:type="dxa"/>
            <w:vAlign w:val="center"/>
          </w:tcPr>
          <w:p w:rsidR="004C6833" w:rsidRPr="004C6833" w:rsidRDefault="004C6833" w:rsidP="004162E4">
            <w:pPr>
              <w:pageBreakBefore/>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 xml:space="preserve">0 mg/kg </w:t>
            </w:r>
            <w:proofErr w:type="spellStart"/>
            <w:r w:rsidRPr="004C6833">
              <w:rPr>
                <w:color w:val="auto"/>
              </w:rPr>
              <w:t>bw</w:t>
            </w:r>
            <w:proofErr w:type="spellEnd"/>
            <w:r w:rsidRPr="004C6833">
              <w:rPr>
                <w:color w:val="auto"/>
              </w:rPr>
              <w:t>/weekday</w:t>
            </w:r>
          </w:p>
        </w:tc>
        <w:tc>
          <w:tcPr>
            <w:tcW w:w="4819" w:type="dxa"/>
            <w:vMerge w:val="restart"/>
            <w:vAlign w:val="center"/>
          </w:tcPr>
          <w:p w:rsidR="004C6833" w:rsidRPr="004C6833" w:rsidRDefault="004C6833" w:rsidP="004C6833">
            <w:pPr>
              <w:pageBreakBefore/>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No significant effect on survival. Mean bodyweight of 200 mg dose lower throughout much of the study. Anaemia observed in 200 mg dose.</w:t>
            </w:r>
          </w:p>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Pathological observation of liver damage in female 200 mg dose and ≥100 mg male doses. Hepatocellular carcinomas observed in 50-100 mg dose females. Alveolar and bronchiolar carcinomas and pulmonary neoplasms observed in 200 mg dose group. Forestomach papilloma observed in 50 mg dose group.</w:t>
            </w:r>
          </w:p>
        </w:tc>
        <w:tc>
          <w:tcPr>
            <w:tcW w:w="1352" w:type="dxa"/>
            <w:vMerge w:val="restart"/>
            <w:vAlign w:val="center"/>
          </w:tcPr>
          <w:p w:rsidR="004C6833" w:rsidRPr="004C6833" w:rsidRDefault="004C6833" w:rsidP="004162E4">
            <w:pPr>
              <w:pageBreakBefore/>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Not established</w:t>
            </w:r>
          </w:p>
        </w:tc>
        <w:tc>
          <w:tcPr>
            <w:tcW w:w="1276" w:type="dxa"/>
            <w:vMerge w:val="restart"/>
            <w:vAlign w:val="center"/>
          </w:tcPr>
          <w:p w:rsidR="004C6833" w:rsidRPr="004C6833" w:rsidRDefault="004C6833" w:rsidP="004162E4">
            <w:pPr>
              <w:pageBreakBefore/>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(NTP, 1993)</w:t>
            </w:r>
          </w:p>
        </w:tc>
      </w:tr>
      <w:tr w:rsidR="004C6833" w:rsidRPr="004C6833" w:rsidTr="004162E4">
        <w:trPr>
          <w:cantSplit w:val="0"/>
          <w:trHeight w:val="851"/>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4C6833" w:rsidRDefault="004C6833" w:rsidP="004C6833"/>
        </w:tc>
        <w:tc>
          <w:tcPr>
            <w:tcW w:w="1559"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418"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 xml:space="preserve">50 mg/kg </w:t>
            </w:r>
            <w:proofErr w:type="spellStart"/>
            <w:r w:rsidRPr="004C6833">
              <w:rPr>
                <w:color w:val="auto"/>
              </w:rPr>
              <w:t>bw</w:t>
            </w:r>
            <w:proofErr w:type="spellEnd"/>
            <w:r w:rsidRPr="004C6833">
              <w:rPr>
                <w:color w:val="auto"/>
              </w:rPr>
              <w:t>/weekday</w:t>
            </w:r>
          </w:p>
        </w:tc>
        <w:tc>
          <w:tcPr>
            <w:tcW w:w="4819" w:type="dxa"/>
            <w:vMerge/>
            <w:vAlign w:val="center"/>
          </w:tcPr>
          <w:p w:rsidR="004C6833" w:rsidRPr="004C6833" w:rsidRDefault="004C6833" w:rsidP="004C6833">
            <w:pPr>
              <w:pageBreakBefore/>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RPr="004C6833" w:rsidTr="004162E4">
        <w:trPr>
          <w:cantSplit w:val="0"/>
          <w:trHeight w:val="851"/>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4C6833" w:rsidRDefault="004C6833" w:rsidP="004C6833"/>
        </w:tc>
        <w:tc>
          <w:tcPr>
            <w:tcW w:w="1559"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418"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rPr>
                <w:color w:val="auto"/>
              </w:rPr>
            </w:pPr>
            <w:r w:rsidRPr="004C6833">
              <w:rPr>
                <w:color w:val="auto"/>
              </w:rPr>
              <w:t xml:space="preserve">100 mg/kg </w:t>
            </w:r>
            <w:proofErr w:type="spellStart"/>
            <w:r w:rsidRPr="004C6833">
              <w:rPr>
                <w:color w:val="auto"/>
              </w:rPr>
              <w:t>bw</w:t>
            </w:r>
            <w:proofErr w:type="spellEnd"/>
            <w:r w:rsidRPr="004C6833">
              <w:rPr>
                <w:color w:val="auto"/>
              </w:rPr>
              <w:t>/weekday</w:t>
            </w:r>
          </w:p>
        </w:tc>
        <w:tc>
          <w:tcPr>
            <w:tcW w:w="4819" w:type="dxa"/>
            <w:vMerge/>
            <w:vAlign w:val="center"/>
          </w:tcPr>
          <w:p w:rsidR="004C6833" w:rsidRPr="004C6833" w:rsidRDefault="004C6833" w:rsidP="004C6833">
            <w:pPr>
              <w:pageBreakBefore/>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RPr="004C6833" w:rsidTr="004162E4">
        <w:trPr>
          <w:cantSplit w:val="0"/>
          <w:trHeight w:val="851"/>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4C6833" w:rsidRDefault="004C6833" w:rsidP="004C6833"/>
        </w:tc>
        <w:tc>
          <w:tcPr>
            <w:tcW w:w="1559"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418"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r w:rsidRPr="004C6833">
              <w:rPr>
                <w:color w:val="auto"/>
              </w:rPr>
              <w:t xml:space="preserve">200 mg/kg </w:t>
            </w:r>
            <w:proofErr w:type="spellStart"/>
            <w:r w:rsidRPr="004C6833">
              <w:rPr>
                <w:color w:val="auto"/>
              </w:rPr>
              <w:t>bw</w:t>
            </w:r>
            <w:proofErr w:type="spellEnd"/>
            <w:r w:rsidRPr="004C6833">
              <w:rPr>
                <w:color w:val="auto"/>
              </w:rPr>
              <w:t>/weekday</w:t>
            </w:r>
          </w:p>
        </w:tc>
        <w:tc>
          <w:tcPr>
            <w:tcW w:w="4819" w:type="dxa"/>
            <w:vMerge/>
            <w:vAlign w:val="center"/>
          </w:tcPr>
          <w:p w:rsidR="004C6833" w:rsidRPr="004C6833" w:rsidRDefault="004C6833" w:rsidP="004C6833">
            <w:pPr>
              <w:pageBreakBefore/>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Height w:val="102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restart"/>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t>Rat, F344/N, 60 males and 60 females per group</w:t>
            </w:r>
          </w:p>
        </w:tc>
        <w:tc>
          <w:tcPr>
            <w:tcW w:w="1418"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t xml:space="preserve">0 mg/kg </w:t>
            </w:r>
            <w:proofErr w:type="spellStart"/>
            <w:r>
              <w:t>bw</w:t>
            </w:r>
            <w:proofErr w:type="spellEnd"/>
            <w:r>
              <w:t>/weekday</w:t>
            </w:r>
          </w:p>
        </w:tc>
        <w:tc>
          <w:tcPr>
            <w:tcW w:w="4819" w:type="dxa"/>
            <w:vMerge w:val="restart"/>
            <w:vAlign w:val="center"/>
          </w:tcPr>
          <w:p w:rsidR="004C6833" w:rsidRPr="00344DCE" w:rsidRDefault="004C6833" w:rsidP="004C6833">
            <w:pPr>
              <w:pageBreakBefore/>
              <w:cnfStyle w:val="000000000000" w:firstRow="0" w:lastRow="0" w:firstColumn="0" w:lastColumn="0" w:oddVBand="0" w:evenVBand="0" w:oddHBand="0" w:evenHBand="0" w:firstRowFirstColumn="0" w:firstRowLastColumn="0" w:lastRowFirstColumn="0" w:lastRowLastColumn="0"/>
            </w:pPr>
            <w:r w:rsidRPr="00344DCE">
              <w:t>Survival rate at 2 years for males with doses ≥ 50 mg approach zero. No significant effect on survival in other groups. Final mean bodyweight lower than controls for females of highest dose and all male test groups.</w:t>
            </w:r>
          </w:p>
          <w:p w:rsidR="004C6833" w:rsidRPr="00344DCE" w:rsidRDefault="004C6833" w:rsidP="004C6833">
            <w:pPr>
              <w:pageBreakBefore/>
              <w:cnfStyle w:val="000000000000" w:firstRow="0" w:lastRow="0" w:firstColumn="0" w:lastColumn="0" w:oddVBand="0" w:evenVBand="0" w:oddHBand="0" w:evenHBand="0" w:firstRowFirstColumn="0" w:firstRowLastColumn="0" w:lastRowFirstColumn="0" w:lastRowLastColumn="0"/>
            </w:pPr>
            <w:r w:rsidRPr="00344DCE">
              <w:t>Biochemical detection of hepatotoxicity in 100 mg dose and males only in 50 mg dose. Hepatic lesions in all test males and females of ≥50 mg dose.</w:t>
            </w:r>
          </w:p>
          <w:p w:rsidR="004C6833" w:rsidRPr="00344DCE" w:rsidRDefault="004C6833" w:rsidP="004C6833">
            <w:pPr>
              <w:pageBreakBefore/>
              <w:cnfStyle w:val="000000000000" w:firstRow="0" w:lastRow="0" w:firstColumn="0" w:lastColumn="0" w:oddVBand="0" w:evenVBand="0" w:oddHBand="0" w:evenHBand="0" w:firstRowFirstColumn="0" w:firstRowLastColumn="0" w:lastRowFirstColumn="0" w:lastRowLastColumn="0"/>
            </w:pPr>
            <w:r w:rsidRPr="00344DCE">
              <w:t>Biochemical and pathological observation of compromised renal function in all test groups.</w:t>
            </w:r>
          </w:p>
          <w:p w:rsidR="004C6833" w:rsidRPr="00344DCE" w:rsidRDefault="004C6833" w:rsidP="004C6833">
            <w:pPr>
              <w:pageBreakBefore/>
              <w:cnfStyle w:val="000000000000" w:firstRow="0" w:lastRow="0" w:firstColumn="0" w:lastColumn="0" w:oddVBand="0" w:evenVBand="0" w:oddHBand="0" w:evenHBand="0" w:firstRowFirstColumn="0" w:firstRowLastColumn="0" w:lastRowFirstColumn="0" w:lastRowLastColumn="0"/>
            </w:pPr>
            <w:r w:rsidRPr="00344DCE">
              <w:t>Forestomach ulcers detected in female 100 mg dose and all male test groups.</w:t>
            </w:r>
          </w:p>
        </w:tc>
        <w:tc>
          <w:tcPr>
            <w:tcW w:w="1352" w:type="dxa"/>
            <w:vMerge w:val="restart"/>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Not established</w:t>
            </w:r>
          </w:p>
        </w:tc>
        <w:tc>
          <w:tcPr>
            <w:tcW w:w="1276"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Height w:val="102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418"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t xml:space="preserve">25 mg/kg </w:t>
            </w:r>
            <w:proofErr w:type="spellStart"/>
            <w:r>
              <w:t>bw</w:t>
            </w:r>
            <w:proofErr w:type="spellEnd"/>
            <w:r>
              <w:t>/weekday</w:t>
            </w:r>
          </w:p>
        </w:tc>
        <w:tc>
          <w:tcPr>
            <w:tcW w:w="4819" w:type="dxa"/>
            <w:vMerge/>
            <w:vAlign w:val="center"/>
          </w:tcPr>
          <w:p w:rsidR="004C6833" w:rsidRPr="00344DCE" w:rsidRDefault="004C6833" w:rsidP="004C6833">
            <w:pPr>
              <w:pageBreakBefore/>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Height w:val="102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418"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t xml:space="preserve">50 mg/kg </w:t>
            </w:r>
            <w:proofErr w:type="spellStart"/>
            <w:r>
              <w:t>bw</w:t>
            </w:r>
            <w:proofErr w:type="spellEnd"/>
            <w:r>
              <w:t>/weekday</w:t>
            </w:r>
          </w:p>
        </w:tc>
        <w:tc>
          <w:tcPr>
            <w:tcW w:w="4819" w:type="dxa"/>
            <w:vMerge/>
            <w:vAlign w:val="center"/>
          </w:tcPr>
          <w:p w:rsidR="004C6833" w:rsidRPr="00344DCE" w:rsidRDefault="004C6833" w:rsidP="004C6833">
            <w:pPr>
              <w:pageBreakBefore/>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Height w:val="102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418"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t xml:space="preserve">100 mg/kg </w:t>
            </w:r>
            <w:proofErr w:type="spellStart"/>
            <w:r>
              <w:t>bw</w:t>
            </w:r>
            <w:proofErr w:type="spellEnd"/>
            <w:r>
              <w:t>/weekday</w:t>
            </w:r>
          </w:p>
        </w:tc>
        <w:tc>
          <w:tcPr>
            <w:tcW w:w="4819" w:type="dxa"/>
            <w:vMerge/>
            <w:vAlign w:val="center"/>
          </w:tcPr>
          <w:p w:rsidR="004C6833" w:rsidRPr="00344DCE" w:rsidRDefault="004C6833" w:rsidP="004C6833">
            <w:pPr>
              <w:pageBreakBefore/>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r>
      <w:tr w:rsidR="00BF5B8E"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5B8E" w:rsidRPr="00AC1CAD" w:rsidRDefault="00BF5B8E" w:rsidP="004C6833">
            <w:r w:rsidRPr="00AC1CAD">
              <w:lastRenderedPageBreak/>
              <w:t>Oral (Diet)</w:t>
            </w:r>
          </w:p>
        </w:tc>
        <w:tc>
          <w:tcPr>
            <w:tcW w:w="1559" w:type="dxa"/>
            <w:vAlign w:val="center"/>
          </w:tcPr>
          <w:p w:rsidR="00BF5B8E" w:rsidRPr="00AC1CAD" w:rsidRDefault="00BF5B8E" w:rsidP="004C6833">
            <w:pPr>
              <w:cnfStyle w:val="000000000000" w:firstRow="0" w:lastRow="0" w:firstColumn="0" w:lastColumn="0" w:oddVBand="0" w:evenVBand="0" w:oddHBand="0" w:evenHBand="0" w:firstRowFirstColumn="0" w:firstRowLastColumn="0" w:lastRowFirstColumn="0" w:lastRowLastColumn="0"/>
            </w:pPr>
            <w:r w:rsidRPr="00AC1CAD">
              <w:t>Unknown</w:t>
            </w:r>
          </w:p>
        </w:tc>
        <w:tc>
          <w:tcPr>
            <w:tcW w:w="1276" w:type="dxa"/>
            <w:vAlign w:val="center"/>
          </w:tcPr>
          <w:p w:rsidR="00BF5B8E" w:rsidRPr="00AC1CAD" w:rsidRDefault="00BF5B8E" w:rsidP="004C6833">
            <w:pPr>
              <w:cnfStyle w:val="000000000000" w:firstRow="0" w:lastRow="0" w:firstColumn="0" w:lastColumn="0" w:oddVBand="0" w:evenVBand="0" w:oddHBand="0" w:evenHBand="0" w:firstRowFirstColumn="0" w:firstRowLastColumn="0" w:lastRowFirstColumn="0" w:lastRowLastColumn="0"/>
            </w:pPr>
            <w:r w:rsidRPr="00AC1CAD">
              <w:t>Charles River CD SD-derived rats</w:t>
            </w:r>
          </w:p>
        </w:tc>
        <w:tc>
          <w:tcPr>
            <w:tcW w:w="1418" w:type="dxa"/>
            <w:vAlign w:val="center"/>
          </w:tcPr>
          <w:p w:rsidR="00BF5B8E" w:rsidRPr="00AC1CAD" w:rsidRDefault="00BF5B8E" w:rsidP="004C6833">
            <w:pPr>
              <w:cnfStyle w:val="000000000000" w:firstRow="0" w:lastRow="0" w:firstColumn="0" w:lastColumn="0" w:oddVBand="0" w:evenVBand="0" w:oddHBand="0" w:evenHBand="0" w:firstRowFirstColumn="0" w:firstRowLastColumn="0" w:lastRowFirstColumn="0" w:lastRowLastColumn="0"/>
            </w:pPr>
            <w:r w:rsidRPr="00AC1CAD">
              <w:t>104-110 weeks</w:t>
            </w:r>
          </w:p>
        </w:tc>
        <w:tc>
          <w:tcPr>
            <w:tcW w:w="2653" w:type="dxa"/>
            <w:vAlign w:val="center"/>
          </w:tcPr>
          <w:p w:rsidR="00BF5B8E" w:rsidRPr="00AC1CAD" w:rsidRDefault="00BF5B8E" w:rsidP="004C6833">
            <w:pPr>
              <w:pageBreakBefore/>
              <w:cnfStyle w:val="000000000000" w:firstRow="0" w:lastRow="0" w:firstColumn="0" w:lastColumn="0" w:oddVBand="0" w:evenVBand="0" w:oddHBand="0" w:evenHBand="0" w:firstRowFirstColumn="0" w:firstRowLastColumn="0" w:lastRowFirstColumn="0" w:lastRowLastColumn="0"/>
            </w:pPr>
            <w:r w:rsidRPr="00B164A9">
              <w:t>333, 1000, 2000, 3000, and 5000 ppm</w:t>
            </w:r>
            <w:r>
              <w:br/>
              <w:t>(equivalent to</w:t>
            </w:r>
            <w:r>
              <w:br/>
              <w:t xml:space="preserve">13, 42, 87, 130, and 234 mg/kg </w:t>
            </w:r>
            <w:proofErr w:type="spellStart"/>
            <w:r>
              <w:t>bw</w:t>
            </w:r>
            <w:proofErr w:type="spellEnd"/>
            <w:r>
              <w:t>/day for males and</w:t>
            </w:r>
            <w:r>
              <w:br/>
              <w:t xml:space="preserve">16, 50, 107, 156,and 283 mg/kg </w:t>
            </w:r>
            <w:proofErr w:type="spellStart"/>
            <w:r>
              <w:t>bw</w:t>
            </w:r>
            <w:proofErr w:type="spellEnd"/>
            <w:r>
              <w:t>/day for females)</w:t>
            </w:r>
          </w:p>
        </w:tc>
        <w:tc>
          <w:tcPr>
            <w:tcW w:w="4819" w:type="dxa"/>
            <w:vAlign w:val="center"/>
          </w:tcPr>
          <w:p w:rsidR="00BF5B8E" w:rsidRDefault="00BF5B8E" w:rsidP="004C6833">
            <w:pPr>
              <w:pageBreakBefore/>
              <w:cnfStyle w:val="000000000000" w:firstRow="0" w:lastRow="0" w:firstColumn="0" w:lastColumn="0" w:oddVBand="0" w:evenVBand="0" w:oddHBand="0" w:evenHBand="0" w:firstRowFirstColumn="0" w:firstRowLastColumn="0" w:lastRowFirstColumn="0" w:lastRowLastColumn="0"/>
            </w:pPr>
            <w:r>
              <w:t>Macroscopically, there was an increase in the incidence of liver masses noted among rats exposed to 5000 ppm. Increased liver weights were recorded in males and females of the 3000 and 5000 ppm groups and females of the 1000 and 2000 ppm groups.</w:t>
            </w:r>
          </w:p>
          <w:p w:rsidR="00BF5B8E" w:rsidRPr="00344DCE" w:rsidRDefault="00BF5B8E" w:rsidP="004C6833">
            <w:pPr>
              <w:pageBreakBefore/>
              <w:cnfStyle w:val="000000000000" w:firstRow="0" w:lastRow="0" w:firstColumn="0" w:lastColumn="0" w:oddVBand="0" w:evenVBand="0" w:oddHBand="0" w:evenHBand="0" w:firstRowFirstColumn="0" w:firstRowLastColumn="0" w:lastRowFirstColumn="0" w:lastRowLastColumn="0"/>
            </w:pPr>
            <w:r>
              <w:t xml:space="preserve">Microscopically, </w:t>
            </w:r>
            <w:proofErr w:type="spellStart"/>
            <w:r>
              <w:t>cholangiocarcinoma</w:t>
            </w:r>
            <w:proofErr w:type="spellEnd"/>
            <w:r>
              <w:t xml:space="preserve"> was reported among the rats of the high-dose group along with an increase in the incidence of </w:t>
            </w:r>
            <w:proofErr w:type="spellStart"/>
            <w:r>
              <w:t>cholangiofibrosis</w:t>
            </w:r>
            <w:proofErr w:type="spellEnd"/>
            <w:r>
              <w:t xml:space="preserve"> of the parenchymal liver cell </w:t>
            </w:r>
            <w:proofErr w:type="spellStart"/>
            <w:r>
              <w:t>tumors</w:t>
            </w:r>
            <w:proofErr w:type="spellEnd"/>
            <w:r>
              <w:t xml:space="preserve">. A single incidence of </w:t>
            </w:r>
            <w:proofErr w:type="spellStart"/>
            <w:r>
              <w:t>cholangiocarcinoma</w:t>
            </w:r>
            <w:proofErr w:type="spellEnd"/>
            <w:r>
              <w:t xml:space="preserve"> in a male rat treated with 3000 ppm of </w:t>
            </w:r>
            <w:proofErr w:type="spellStart"/>
            <w:r>
              <w:t>coumarin</w:t>
            </w:r>
            <w:proofErr w:type="spellEnd"/>
            <w:r>
              <w:t xml:space="preserve"> was reported.</w:t>
            </w:r>
          </w:p>
        </w:tc>
        <w:tc>
          <w:tcPr>
            <w:tcW w:w="1352" w:type="dxa"/>
            <w:vAlign w:val="center"/>
          </w:tcPr>
          <w:p w:rsidR="00BF5B8E" w:rsidRPr="00344DCE" w:rsidRDefault="00BF5B8E" w:rsidP="004C6833">
            <w:pPr>
              <w:pageBreakBefore/>
              <w:cnfStyle w:val="000000000000" w:firstRow="0" w:lastRow="0" w:firstColumn="0" w:lastColumn="0" w:oddVBand="0" w:evenVBand="0" w:oddHBand="0" w:evenHBand="0" w:firstRowFirstColumn="0" w:firstRowLastColumn="0" w:lastRowFirstColumn="0" w:lastRowLastColumn="0"/>
            </w:pPr>
            <w:r w:rsidRPr="00B164A9">
              <w:t>1000 ppm (equivalent to 50 mg/kg</w:t>
            </w:r>
            <w:r>
              <w:t xml:space="preserve"> </w:t>
            </w:r>
            <w:proofErr w:type="spellStart"/>
            <w:r>
              <w:t>bw</w:t>
            </w:r>
            <w:proofErr w:type="spellEnd"/>
            <w:r w:rsidRPr="00B164A9">
              <w:t>/day)</w:t>
            </w:r>
          </w:p>
        </w:tc>
        <w:tc>
          <w:tcPr>
            <w:tcW w:w="1276" w:type="dxa"/>
            <w:vAlign w:val="center"/>
          </w:tcPr>
          <w:p w:rsidR="00BF5B8E" w:rsidRPr="00344DCE" w:rsidRDefault="00BF5B8E" w:rsidP="004C6833">
            <w:pPr>
              <w:pageBreakBefore/>
              <w:cnfStyle w:val="000000000000" w:firstRow="0" w:lastRow="0" w:firstColumn="0" w:lastColumn="0" w:oddVBand="0" w:evenVBand="0" w:oddHBand="0" w:evenHBand="0" w:firstRowFirstColumn="0" w:firstRowLastColumn="0" w:lastRowFirstColumn="0" w:lastRowLastColumn="0"/>
            </w:pPr>
            <w:r>
              <w:rPr>
                <w:noProof/>
              </w:rPr>
              <w:t xml:space="preserve">(RIFM, 1984 as cited in Api </w:t>
            </w:r>
            <w:r w:rsidR="00455127" w:rsidRPr="00455127">
              <w:rPr>
                <w:i/>
                <w:noProof/>
              </w:rPr>
              <w:t>et al.</w:t>
            </w:r>
            <w:r>
              <w:rPr>
                <w:noProof/>
              </w:rPr>
              <w:t>, 2019)</w:t>
            </w:r>
          </w:p>
        </w:tc>
      </w:tr>
      <w:tr w:rsidR="004162E4" w:rsidTr="00D05344">
        <w:trPr>
          <w:cantSplit w:val="0"/>
        </w:trPr>
        <w:tc>
          <w:tcPr>
            <w:cnfStyle w:val="001000000000" w:firstRow="0" w:lastRow="0" w:firstColumn="1" w:lastColumn="0" w:oddVBand="0" w:evenVBand="0" w:oddHBand="0" w:evenHBand="0" w:firstRowFirstColumn="0" w:firstRowLastColumn="0" w:lastRowFirstColumn="0" w:lastRowLastColumn="0"/>
            <w:tcW w:w="1242" w:type="dxa"/>
            <w:vMerge w:val="restart"/>
            <w:vAlign w:val="center"/>
          </w:tcPr>
          <w:p w:rsidR="004162E4" w:rsidRPr="00344DCE" w:rsidRDefault="004162E4" w:rsidP="004C6833">
            <w:pPr>
              <w:pageBreakBefore/>
              <w:ind w:left="142"/>
            </w:pPr>
            <w:r w:rsidRPr="00344DCE">
              <w:lastRenderedPageBreak/>
              <w:t>Oral (Diet)</w:t>
            </w:r>
          </w:p>
        </w:tc>
        <w:tc>
          <w:tcPr>
            <w:tcW w:w="1559" w:type="dxa"/>
            <w:vMerge w:val="restart"/>
            <w:vAlign w:val="center"/>
          </w:tcPr>
          <w:p w:rsidR="004162E4" w:rsidRPr="00344DCE" w:rsidRDefault="004162E4" w:rsidP="004C6833">
            <w:pPr>
              <w:pageBreakBefore/>
              <w:cnfStyle w:val="000000000000" w:firstRow="0" w:lastRow="0" w:firstColumn="0" w:lastColumn="0" w:oddVBand="0" w:evenVBand="0" w:oddHBand="0" w:evenHBand="0" w:firstRowFirstColumn="0" w:firstRowLastColumn="0" w:lastRowFirstColumn="0" w:lastRowLastColumn="0"/>
            </w:pPr>
            <w:r w:rsidRPr="00344DCE">
              <w:t>Not stated.</w:t>
            </w:r>
          </w:p>
        </w:tc>
        <w:tc>
          <w:tcPr>
            <w:tcW w:w="11518" w:type="dxa"/>
            <w:gridSpan w:val="5"/>
            <w:vAlign w:val="center"/>
          </w:tcPr>
          <w:p w:rsidR="004162E4" w:rsidRPr="006600B3" w:rsidRDefault="004162E4" w:rsidP="004C6833">
            <w:pPr>
              <w:cnfStyle w:val="000000000000" w:firstRow="0" w:lastRow="0" w:firstColumn="0" w:lastColumn="0" w:oddVBand="0" w:evenVBand="0" w:oddHBand="0" w:evenHBand="0" w:firstRowFirstColumn="0" w:firstRowLastColumn="0" w:lastRowFirstColumn="0" w:lastRowLastColumn="0"/>
            </w:pPr>
            <w:r w:rsidRPr="006600B3">
              <w:t>Rat, Osbourne-Mendel</w:t>
            </w:r>
          </w:p>
        </w:tc>
        <w:tc>
          <w:tcPr>
            <w:tcW w:w="1276" w:type="dxa"/>
            <w:vMerge w:val="restart"/>
            <w:vAlign w:val="center"/>
          </w:tcPr>
          <w:p w:rsidR="004162E4" w:rsidRDefault="004162E4" w:rsidP="004C6833">
            <w:pPr>
              <w:cnfStyle w:val="000000000000" w:firstRow="0" w:lastRow="0" w:firstColumn="0" w:lastColumn="0" w:oddVBand="0" w:evenVBand="0" w:oddHBand="0" w:evenHBand="0" w:firstRowFirstColumn="0" w:firstRowLastColumn="0" w:lastRowFirstColumn="0" w:lastRowLastColumn="0"/>
            </w:pPr>
            <w:r w:rsidRPr="006600B3">
              <w:t xml:space="preserve">(Hagan </w:t>
            </w:r>
            <w:r w:rsidR="00455127" w:rsidRPr="00455127">
              <w:rPr>
                <w:i/>
              </w:rPr>
              <w:t>et al.</w:t>
            </w:r>
            <w:r w:rsidRPr="006600B3">
              <w:t>, 1967)</w:t>
            </w: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6600B3" w:rsidRDefault="004C6833" w:rsidP="004C6833"/>
        </w:tc>
        <w:tc>
          <w:tcPr>
            <w:tcW w:w="1559"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B608BD" w:rsidRDefault="004C6833" w:rsidP="004C6833">
            <w:pPr>
              <w:cnfStyle w:val="000000000000" w:firstRow="0" w:lastRow="0" w:firstColumn="0" w:lastColumn="0" w:oddVBand="0" w:evenVBand="0" w:oddHBand="0" w:evenHBand="0" w:firstRowFirstColumn="0" w:firstRowLastColumn="0" w:lastRowFirstColumn="0" w:lastRowLastColumn="0"/>
            </w:pPr>
            <w:r w:rsidRPr="00B608BD">
              <w:t>Not described</w:t>
            </w:r>
          </w:p>
        </w:tc>
        <w:tc>
          <w:tcPr>
            <w:tcW w:w="1418" w:type="dxa"/>
            <w:vMerge w:val="restart"/>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r>
              <w:t>2 years</w:t>
            </w:r>
          </w:p>
        </w:tc>
        <w:tc>
          <w:tcPr>
            <w:tcW w:w="2653" w:type="dxa"/>
            <w:vAlign w:val="center"/>
          </w:tcPr>
          <w:p w:rsidR="004C6833" w:rsidRPr="00877D81" w:rsidRDefault="004C6833" w:rsidP="004C6833">
            <w:pPr>
              <w:cnfStyle w:val="000000000000" w:firstRow="0" w:lastRow="0" w:firstColumn="0" w:lastColumn="0" w:oddVBand="0" w:evenVBand="0" w:oddHBand="0" w:evenHBand="0" w:firstRowFirstColumn="0" w:firstRowLastColumn="0" w:lastRowFirstColumn="0" w:lastRowLastColumn="0"/>
            </w:pPr>
            <w:r w:rsidRPr="00877D81">
              <w:t>0 ppm of diet</w:t>
            </w:r>
          </w:p>
        </w:tc>
        <w:tc>
          <w:tcPr>
            <w:tcW w:w="4819" w:type="dxa"/>
            <w:vAlign w:val="center"/>
          </w:tcPr>
          <w:p w:rsidR="004C6833" w:rsidRPr="00877D81" w:rsidRDefault="004C6833" w:rsidP="004C6833">
            <w:pPr>
              <w:cnfStyle w:val="000000000000" w:firstRow="0" w:lastRow="0" w:firstColumn="0" w:lastColumn="0" w:oddVBand="0" w:evenVBand="0" w:oddHBand="0" w:evenHBand="0" w:firstRowFirstColumn="0" w:firstRowLastColumn="0" w:lastRowFirstColumn="0" w:lastRowLastColumn="0"/>
            </w:pPr>
            <w:r w:rsidRPr="00877D81">
              <w:t>Not described.</w:t>
            </w:r>
          </w:p>
        </w:tc>
        <w:tc>
          <w:tcPr>
            <w:tcW w:w="1352" w:type="dxa"/>
            <w:vMerge w:val="restart"/>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r w:rsidRPr="00344DCE">
              <w:t>0.0003% of dietary intake</w:t>
            </w:r>
          </w:p>
        </w:tc>
        <w:tc>
          <w:tcPr>
            <w:tcW w:w="1276"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6600B3" w:rsidRDefault="004C6833" w:rsidP="004C6833"/>
        </w:tc>
        <w:tc>
          <w:tcPr>
            <w:tcW w:w="1559"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B608BD" w:rsidRDefault="004C6833" w:rsidP="004C6833">
            <w:pPr>
              <w:cnfStyle w:val="000000000000" w:firstRow="0" w:lastRow="0" w:firstColumn="0" w:lastColumn="0" w:oddVBand="0" w:evenVBand="0" w:oddHBand="0" w:evenHBand="0" w:firstRowFirstColumn="0" w:firstRowLastColumn="0" w:lastRowFirstColumn="0" w:lastRowLastColumn="0"/>
            </w:pPr>
            <w:r w:rsidRPr="00B608BD">
              <w:t>6 male &amp; 6 female</w:t>
            </w:r>
          </w:p>
        </w:tc>
        <w:tc>
          <w:tcPr>
            <w:tcW w:w="1418"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Pr="00877D81" w:rsidRDefault="004C6833" w:rsidP="004C6833">
            <w:pPr>
              <w:cnfStyle w:val="000000000000" w:firstRow="0" w:lastRow="0" w:firstColumn="0" w:lastColumn="0" w:oddVBand="0" w:evenVBand="0" w:oddHBand="0" w:evenHBand="0" w:firstRowFirstColumn="0" w:firstRowLastColumn="0" w:lastRowFirstColumn="0" w:lastRowLastColumn="0"/>
            </w:pPr>
            <w:r w:rsidRPr="00877D81">
              <w:t>30 ppm of diet</w:t>
            </w:r>
          </w:p>
        </w:tc>
        <w:tc>
          <w:tcPr>
            <w:tcW w:w="4819" w:type="dxa"/>
            <w:vAlign w:val="center"/>
          </w:tcPr>
          <w:p w:rsidR="004C6833" w:rsidRPr="00877D81" w:rsidRDefault="004C6833" w:rsidP="004C6833">
            <w:pPr>
              <w:cnfStyle w:val="000000000000" w:firstRow="0" w:lastRow="0" w:firstColumn="0" w:lastColumn="0" w:oddVBand="0" w:evenVBand="0" w:oddHBand="0" w:evenHBand="0" w:firstRowFirstColumn="0" w:firstRowLastColumn="0" w:lastRowFirstColumn="0" w:lastRowLastColumn="0"/>
            </w:pPr>
            <w:r w:rsidRPr="00877D81">
              <w:t>No effect.</w:t>
            </w:r>
          </w:p>
        </w:tc>
        <w:tc>
          <w:tcPr>
            <w:tcW w:w="1352"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6600B3" w:rsidRDefault="004C6833" w:rsidP="004C6833"/>
        </w:tc>
        <w:tc>
          <w:tcPr>
            <w:tcW w:w="1559"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B608BD" w:rsidRDefault="004C6833" w:rsidP="004C6833">
            <w:pPr>
              <w:cnfStyle w:val="000000000000" w:firstRow="0" w:lastRow="0" w:firstColumn="0" w:lastColumn="0" w:oddVBand="0" w:evenVBand="0" w:oddHBand="0" w:evenHBand="0" w:firstRowFirstColumn="0" w:firstRowLastColumn="0" w:lastRowFirstColumn="0" w:lastRowLastColumn="0"/>
            </w:pPr>
            <w:r w:rsidRPr="00B608BD">
              <w:t>5 male &amp; 7 female</w:t>
            </w:r>
          </w:p>
        </w:tc>
        <w:tc>
          <w:tcPr>
            <w:tcW w:w="1418"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Pr="00877D81" w:rsidRDefault="004C6833" w:rsidP="004C6833">
            <w:pPr>
              <w:cnfStyle w:val="000000000000" w:firstRow="0" w:lastRow="0" w:firstColumn="0" w:lastColumn="0" w:oddVBand="0" w:evenVBand="0" w:oddHBand="0" w:evenHBand="0" w:firstRowFirstColumn="0" w:firstRowLastColumn="0" w:lastRowFirstColumn="0" w:lastRowLastColumn="0"/>
            </w:pPr>
            <w:r w:rsidRPr="00877D81">
              <w:t>75 ppm of diet</w:t>
            </w:r>
          </w:p>
        </w:tc>
        <w:tc>
          <w:tcPr>
            <w:tcW w:w="4819" w:type="dxa"/>
            <w:vAlign w:val="center"/>
          </w:tcPr>
          <w:p w:rsidR="004C6833" w:rsidRPr="00877D81" w:rsidRDefault="004C6833" w:rsidP="004C6833">
            <w:pPr>
              <w:cnfStyle w:val="000000000000" w:firstRow="0" w:lastRow="0" w:firstColumn="0" w:lastColumn="0" w:oddVBand="0" w:evenVBand="0" w:oddHBand="0" w:evenHBand="0" w:firstRowFirstColumn="0" w:firstRowLastColumn="0" w:lastRowFirstColumn="0" w:lastRowLastColumn="0"/>
            </w:pPr>
            <w:r w:rsidRPr="00877D81">
              <w:t>Slight pathological damage to liver.</w:t>
            </w:r>
          </w:p>
        </w:tc>
        <w:tc>
          <w:tcPr>
            <w:tcW w:w="1352"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6600B3" w:rsidRDefault="004C6833" w:rsidP="004C6833"/>
        </w:tc>
        <w:tc>
          <w:tcPr>
            <w:tcW w:w="1559"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rsidRPr="00B608BD">
              <w:t>6 male &amp; 6 female</w:t>
            </w:r>
          </w:p>
        </w:tc>
        <w:tc>
          <w:tcPr>
            <w:tcW w:w="1418"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Pr="00877D81" w:rsidRDefault="004C6833" w:rsidP="004C6833">
            <w:pPr>
              <w:cnfStyle w:val="000000000000" w:firstRow="0" w:lastRow="0" w:firstColumn="0" w:lastColumn="0" w:oddVBand="0" w:evenVBand="0" w:oddHBand="0" w:evenHBand="0" w:firstRowFirstColumn="0" w:firstRowLastColumn="0" w:lastRowFirstColumn="0" w:lastRowLastColumn="0"/>
            </w:pPr>
            <w:r w:rsidRPr="00877D81">
              <w:t>150 ppm of diet</w:t>
            </w:r>
          </w:p>
        </w:tc>
        <w:tc>
          <w:tcPr>
            <w:tcW w:w="4819"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rsidRPr="00877D81">
              <w:t xml:space="preserve">Growth retardation. Decrease in haemoglobin. Marked pathological damage to liver including </w:t>
            </w:r>
            <w:proofErr w:type="spellStart"/>
            <w:r w:rsidRPr="00877D81">
              <w:t>cholangiofibrosis</w:t>
            </w:r>
            <w:proofErr w:type="spellEnd"/>
            <w:r w:rsidRPr="00877D81">
              <w:t>.</w:t>
            </w:r>
          </w:p>
        </w:tc>
        <w:tc>
          <w:tcPr>
            <w:tcW w:w="1352"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Pr="006600B3" w:rsidRDefault="004C6833" w:rsidP="004C6833">
            <w:pPr>
              <w:cnfStyle w:val="000000000000" w:firstRow="0" w:lastRow="0" w:firstColumn="0" w:lastColumn="0" w:oddVBand="0" w:evenVBand="0" w:oddHBand="0" w:evenHBand="0" w:firstRowFirstColumn="0" w:firstRowLastColumn="0" w:lastRowFirstColumn="0" w:lastRowLastColumn="0"/>
            </w:pPr>
          </w:p>
        </w:tc>
      </w:tr>
      <w:tr w:rsidR="004162E4" w:rsidTr="00D05344">
        <w:trPr>
          <w:cantSplit w:val="0"/>
        </w:trPr>
        <w:tc>
          <w:tcPr>
            <w:cnfStyle w:val="001000000000" w:firstRow="0" w:lastRow="0" w:firstColumn="1" w:lastColumn="0" w:oddVBand="0" w:evenVBand="0" w:oddHBand="0" w:evenHBand="0" w:firstRowFirstColumn="0" w:firstRowLastColumn="0" w:lastRowFirstColumn="0" w:lastRowLastColumn="0"/>
            <w:tcW w:w="1242" w:type="dxa"/>
            <w:vMerge w:val="restart"/>
            <w:vAlign w:val="center"/>
          </w:tcPr>
          <w:p w:rsidR="004162E4" w:rsidRPr="00344DCE" w:rsidRDefault="004162E4" w:rsidP="004C6833">
            <w:pPr>
              <w:ind w:left="142"/>
            </w:pPr>
            <w:r w:rsidRPr="00344DCE">
              <w:t>Oral (Diet)</w:t>
            </w:r>
          </w:p>
        </w:tc>
        <w:tc>
          <w:tcPr>
            <w:tcW w:w="1559" w:type="dxa"/>
            <w:vMerge w:val="restart"/>
            <w:vAlign w:val="center"/>
          </w:tcPr>
          <w:p w:rsidR="004162E4" w:rsidRPr="00344DCE" w:rsidRDefault="004162E4" w:rsidP="004C6833">
            <w:pPr>
              <w:cnfStyle w:val="000000000000" w:firstRow="0" w:lastRow="0" w:firstColumn="0" w:lastColumn="0" w:oddVBand="0" w:evenVBand="0" w:oddHBand="0" w:evenHBand="0" w:firstRowFirstColumn="0" w:firstRowLastColumn="0" w:lastRowFirstColumn="0" w:lastRowLastColumn="0"/>
            </w:pPr>
            <w:r w:rsidRPr="00344DCE">
              <w:t>Tokyo Kasei Kogyo Co. Ltd.</w:t>
            </w:r>
          </w:p>
        </w:tc>
        <w:tc>
          <w:tcPr>
            <w:tcW w:w="11518" w:type="dxa"/>
            <w:gridSpan w:val="5"/>
            <w:vAlign w:val="center"/>
          </w:tcPr>
          <w:p w:rsidR="004162E4" w:rsidRDefault="004162E4" w:rsidP="004C6833">
            <w:pPr>
              <w:cnfStyle w:val="000000000000" w:firstRow="0" w:lastRow="0" w:firstColumn="0" w:lastColumn="0" w:oddVBand="0" w:evenVBand="0" w:oddHBand="0" w:evenHBand="0" w:firstRowFirstColumn="0" w:firstRowLastColumn="0" w:lastRowFirstColumn="0" w:lastRowLastColumn="0"/>
            </w:pPr>
            <w:r w:rsidRPr="00580C02">
              <w:t>Hamster, Syrian golden</w:t>
            </w:r>
          </w:p>
        </w:tc>
        <w:tc>
          <w:tcPr>
            <w:tcW w:w="1276" w:type="dxa"/>
            <w:vMerge w:val="restart"/>
            <w:vAlign w:val="center"/>
          </w:tcPr>
          <w:p w:rsidR="004162E4" w:rsidRDefault="004162E4" w:rsidP="004C6833">
            <w:pPr>
              <w:cnfStyle w:val="000000000000" w:firstRow="0" w:lastRow="0" w:firstColumn="0" w:lastColumn="0" w:oddVBand="0" w:evenVBand="0" w:oddHBand="0" w:evenHBand="0" w:firstRowFirstColumn="0" w:firstRowLastColumn="0" w:lastRowFirstColumn="0" w:lastRowLastColumn="0"/>
            </w:pPr>
            <w:r w:rsidRPr="00344DCE">
              <w:rPr>
                <w:noProof/>
              </w:rPr>
              <w:t>(Ueno &amp; Hirono, 1981)</w:t>
            </w: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pPr>
              <w:ind w:left="142"/>
            </w:pPr>
          </w:p>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580C02" w:rsidRDefault="004C6833" w:rsidP="004C6833">
            <w:pPr>
              <w:cnfStyle w:val="000000000000" w:firstRow="0" w:lastRow="0" w:firstColumn="0" w:lastColumn="0" w:oddVBand="0" w:evenVBand="0" w:oddHBand="0" w:evenHBand="0" w:firstRowFirstColumn="0" w:firstRowLastColumn="0" w:lastRowFirstColumn="0" w:lastRowLastColumn="0"/>
            </w:pPr>
            <w:r w:rsidRPr="00580C02">
              <w:t>12 males &amp; 12 females</w:t>
            </w:r>
          </w:p>
        </w:tc>
        <w:tc>
          <w:tcPr>
            <w:tcW w:w="1418" w:type="dxa"/>
            <w:vMerge w:val="restart"/>
            <w:vAlign w:val="center"/>
          </w:tcPr>
          <w:p w:rsidR="004C6833" w:rsidRPr="005F4D9B" w:rsidRDefault="004C6833" w:rsidP="004C6833">
            <w:pPr>
              <w:cnfStyle w:val="000000000000" w:firstRow="0" w:lastRow="0" w:firstColumn="0" w:lastColumn="0" w:oddVBand="0" w:evenVBand="0" w:oddHBand="0" w:evenHBand="0" w:firstRowFirstColumn="0" w:firstRowLastColumn="0" w:lastRowFirstColumn="0" w:lastRowLastColumn="0"/>
            </w:pPr>
            <w:r w:rsidRPr="005F4D9B">
              <w:t>24 months</w:t>
            </w:r>
          </w:p>
          <w:p w:rsidR="004C6833" w:rsidRPr="005F4D9B"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Pr="005F4D9B" w:rsidRDefault="004C6833" w:rsidP="004C6833">
            <w:pPr>
              <w:cnfStyle w:val="000000000000" w:firstRow="0" w:lastRow="0" w:firstColumn="0" w:lastColumn="0" w:oddVBand="0" w:evenVBand="0" w:oddHBand="0" w:evenHBand="0" w:firstRowFirstColumn="0" w:firstRowLastColumn="0" w:lastRowFirstColumn="0" w:lastRowLastColumn="0"/>
            </w:pPr>
            <w:r w:rsidRPr="005F4D9B">
              <w:t>Basal diet only</w:t>
            </w:r>
          </w:p>
        </w:tc>
        <w:tc>
          <w:tcPr>
            <w:tcW w:w="4819" w:type="dxa"/>
            <w:vMerge w:val="restart"/>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rsidRPr="00344DCE">
              <w:t xml:space="preserve">Food intake reduction of 20% in treatment groups between month 1 and month 5. No observed growth retardation. Poor survivability in 0.1% treatment. Tumour incidence significant in male 0.5% treatment only. No evidence of </w:t>
            </w:r>
            <w:proofErr w:type="spellStart"/>
            <w:r w:rsidRPr="00344DCE">
              <w:t>cholangiofibrosis</w:t>
            </w:r>
            <w:proofErr w:type="spellEnd"/>
            <w:r w:rsidRPr="00344DCE">
              <w:t xml:space="preserve"> or </w:t>
            </w:r>
            <w:proofErr w:type="spellStart"/>
            <w:r w:rsidRPr="00344DCE">
              <w:t>cholangiocarcinoma</w:t>
            </w:r>
            <w:proofErr w:type="spellEnd"/>
            <w:r w:rsidRPr="00344DCE">
              <w:t>.</w:t>
            </w:r>
          </w:p>
        </w:tc>
        <w:tc>
          <w:tcPr>
            <w:tcW w:w="1352" w:type="dxa"/>
            <w:vMerge w:val="restart"/>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t>Not established</w:t>
            </w: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pPr>
              <w:ind w:left="142"/>
            </w:pPr>
          </w:p>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580C02" w:rsidRDefault="004C6833" w:rsidP="004C6833">
            <w:pPr>
              <w:cnfStyle w:val="000000000000" w:firstRow="0" w:lastRow="0" w:firstColumn="0" w:lastColumn="0" w:oddVBand="0" w:evenVBand="0" w:oddHBand="0" w:evenHBand="0" w:firstRowFirstColumn="0" w:firstRowLastColumn="0" w:lastRowFirstColumn="0" w:lastRowLastColumn="0"/>
            </w:pPr>
            <w:r w:rsidRPr="00580C02">
              <w:t>11 males &amp; 13 females</w:t>
            </w:r>
          </w:p>
        </w:tc>
        <w:tc>
          <w:tcPr>
            <w:tcW w:w="1418"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rsidRPr="005F4D9B">
              <w:t xml:space="preserve">0.1% </w:t>
            </w:r>
            <w:proofErr w:type="spellStart"/>
            <w:r w:rsidRPr="005F4D9B">
              <w:t>Coumarin</w:t>
            </w:r>
            <w:proofErr w:type="spellEnd"/>
          </w:p>
        </w:tc>
        <w:tc>
          <w:tcPr>
            <w:tcW w:w="4819"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pPr>
              <w:ind w:left="142"/>
            </w:pPr>
          </w:p>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rsidRPr="00580C02">
              <w:t>11 males &amp; 10 females</w:t>
            </w:r>
          </w:p>
        </w:tc>
        <w:tc>
          <w:tcPr>
            <w:tcW w:w="1418"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2653" w:type="dxa"/>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rsidRPr="005F4D9B">
              <w:t xml:space="preserve">0.5% </w:t>
            </w:r>
            <w:proofErr w:type="spellStart"/>
            <w:r w:rsidRPr="005F4D9B">
              <w:t>coumarin</w:t>
            </w:r>
            <w:proofErr w:type="spellEnd"/>
          </w:p>
        </w:tc>
        <w:tc>
          <w:tcPr>
            <w:tcW w:w="4819"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162E4" w:rsidTr="00D05344">
        <w:trPr>
          <w:cantSplit w:val="0"/>
        </w:trPr>
        <w:tc>
          <w:tcPr>
            <w:cnfStyle w:val="001000000000" w:firstRow="0" w:lastRow="0" w:firstColumn="1" w:lastColumn="0" w:oddVBand="0" w:evenVBand="0" w:oddHBand="0" w:evenHBand="0" w:firstRowFirstColumn="0" w:firstRowLastColumn="0" w:lastRowFirstColumn="0" w:lastRowLastColumn="0"/>
            <w:tcW w:w="1242" w:type="dxa"/>
            <w:vMerge w:val="restart"/>
            <w:vAlign w:val="center"/>
          </w:tcPr>
          <w:p w:rsidR="004162E4" w:rsidRPr="00344DCE" w:rsidRDefault="004162E4" w:rsidP="004C6833">
            <w:pPr>
              <w:ind w:left="142"/>
            </w:pPr>
            <w:r>
              <w:t>Oral (capsule)</w:t>
            </w:r>
          </w:p>
        </w:tc>
        <w:tc>
          <w:tcPr>
            <w:tcW w:w="1559" w:type="dxa"/>
            <w:vMerge w:val="restart"/>
            <w:vAlign w:val="center"/>
          </w:tcPr>
          <w:p w:rsidR="004162E4" w:rsidRPr="00344DCE" w:rsidRDefault="004162E4" w:rsidP="004C6833">
            <w:pPr>
              <w:cnfStyle w:val="000000000000" w:firstRow="0" w:lastRow="0" w:firstColumn="0" w:lastColumn="0" w:oddVBand="0" w:evenVBand="0" w:oddHBand="0" w:evenHBand="0" w:firstRowFirstColumn="0" w:firstRowLastColumn="0" w:lastRowFirstColumn="0" w:lastRowLastColumn="0"/>
            </w:pPr>
            <w:r>
              <w:t>Not stated</w:t>
            </w:r>
          </w:p>
        </w:tc>
        <w:tc>
          <w:tcPr>
            <w:tcW w:w="11518" w:type="dxa"/>
            <w:gridSpan w:val="5"/>
            <w:vAlign w:val="center"/>
          </w:tcPr>
          <w:p w:rsidR="004162E4" w:rsidRDefault="004162E4" w:rsidP="004C6833">
            <w:pPr>
              <w:cnfStyle w:val="000000000000" w:firstRow="0" w:lastRow="0" w:firstColumn="0" w:lastColumn="0" w:oddVBand="0" w:evenVBand="0" w:oddHBand="0" w:evenHBand="0" w:firstRowFirstColumn="0" w:firstRowLastColumn="0" w:lastRowFirstColumn="0" w:lastRowLastColumn="0"/>
            </w:pPr>
            <w:r>
              <w:t>Dog</w:t>
            </w:r>
          </w:p>
        </w:tc>
        <w:tc>
          <w:tcPr>
            <w:tcW w:w="1276" w:type="dxa"/>
            <w:vMerge w:val="restart"/>
            <w:vAlign w:val="center"/>
          </w:tcPr>
          <w:p w:rsidR="004162E4" w:rsidRPr="00344DCE" w:rsidRDefault="004162E4" w:rsidP="004C6833">
            <w:pPr>
              <w:pageBreakBefore/>
              <w:cnfStyle w:val="000000000000" w:firstRow="0" w:lastRow="0" w:firstColumn="0" w:lastColumn="0" w:oddVBand="0" w:evenVBand="0" w:oddHBand="0" w:evenHBand="0" w:firstRowFirstColumn="0" w:firstRowLastColumn="0" w:lastRowFirstColumn="0" w:lastRowLastColumn="0"/>
            </w:pPr>
            <w:r w:rsidRPr="00344DCE">
              <w:rPr>
                <w:noProof/>
              </w:rPr>
              <w:t xml:space="preserve">(Hagan </w:t>
            </w:r>
            <w:r w:rsidR="00455127" w:rsidRPr="00455127">
              <w:rPr>
                <w:i/>
                <w:noProof/>
              </w:rPr>
              <w:t>et al.</w:t>
            </w:r>
            <w:r w:rsidRPr="00344DCE">
              <w:rPr>
                <w:noProof/>
              </w:rPr>
              <w:t>, 1967)</w:t>
            </w: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Default="004C6833" w:rsidP="004162E4">
            <w:pPr>
              <w:spacing w:before="60" w:after="60"/>
              <w:ind w:left="142"/>
            </w:pPr>
          </w:p>
        </w:tc>
        <w:tc>
          <w:tcPr>
            <w:tcW w:w="1559"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BC44BC"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BC44BC">
              <w:t>2 male &amp; 2 female [Group 1]</w:t>
            </w:r>
          </w:p>
        </w:tc>
        <w:tc>
          <w:tcPr>
            <w:tcW w:w="1418" w:type="dxa"/>
            <w:vAlign w:val="center"/>
          </w:tcPr>
          <w:p w:rsidR="004C6833" w:rsidRPr="00734F30"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734F30">
              <w:t>297-350 days</w:t>
            </w:r>
          </w:p>
        </w:tc>
        <w:tc>
          <w:tcPr>
            <w:tcW w:w="2653"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 xml:space="preserve">10 mg/kg </w:t>
            </w:r>
            <w:proofErr w:type="spellStart"/>
            <w:r w:rsidRPr="00344DCE">
              <w:t>bw</w:t>
            </w:r>
            <w:proofErr w:type="spellEnd"/>
            <w:r w:rsidRPr="00344DCE">
              <w:br/>
              <w:t>(6 days /week)</w:t>
            </w:r>
          </w:p>
        </w:tc>
        <w:tc>
          <w:tcPr>
            <w:tcW w:w="4819"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rPr>
                <w:i/>
              </w:rPr>
              <w:t>No definite effect</w:t>
            </w:r>
            <w:r w:rsidRPr="00344DCE">
              <w:t xml:space="preserve"> according to study outcomes.</w:t>
            </w:r>
          </w:p>
        </w:tc>
        <w:tc>
          <w:tcPr>
            <w:tcW w:w="1352" w:type="dxa"/>
            <w:vMerge w:val="restart"/>
            <w:vAlign w:val="center"/>
          </w:tcPr>
          <w:p w:rsidR="004C6833" w:rsidRDefault="004162E4" w:rsidP="004162E4">
            <w:pPr>
              <w:spacing w:before="60" w:after="60"/>
              <w:cnfStyle w:val="000000000000" w:firstRow="0" w:lastRow="0" w:firstColumn="0" w:lastColumn="0" w:oddVBand="0" w:evenVBand="0" w:oddHBand="0" w:evenHBand="0" w:firstRowFirstColumn="0" w:firstRowLastColumn="0" w:lastRowFirstColumn="0" w:lastRowLastColumn="0"/>
            </w:pPr>
            <w:r>
              <w:t xml:space="preserve">10 mg/kg </w:t>
            </w:r>
            <w:proofErr w:type="spellStart"/>
            <w:r>
              <w:t>bw</w:t>
            </w:r>
            <w:proofErr w:type="spellEnd"/>
            <w:r>
              <w:t>/day</w:t>
            </w:r>
          </w:p>
        </w:tc>
        <w:tc>
          <w:tcPr>
            <w:tcW w:w="1276"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Default="004C6833" w:rsidP="004162E4">
            <w:pPr>
              <w:spacing w:before="60" w:after="60"/>
              <w:ind w:left="142"/>
            </w:pPr>
          </w:p>
        </w:tc>
        <w:tc>
          <w:tcPr>
            <w:tcW w:w="1559"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BC44BC"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BC44BC">
              <w:t>2 male &amp; 1 female [Group 2]</w:t>
            </w:r>
          </w:p>
        </w:tc>
        <w:tc>
          <w:tcPr>
            <w:tcW w:w="1418" w:type="dxa"/>
            <w:vAlign w:val="center"/>
          </w:tcPr>
          <w:p w:rsidR="004C6833" w:rsidRPr="00734F30"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734F30">
              <w:t>133-330 days</w:t>
            </w:r>
          </w:p>
        </w:tc>
        <w:tc>
          <w:tcPr>
            <w:tcW w:w="2653"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 xml:space="preserve">25 mg/kg </w:t>
            </w:r>
            <w:proofErr w:type="spellStart"/>
            <w:r w:rsidRPr="00344DCE">
              <w:t>bw</w:t>
            </w:r>
            <w:proofErr w:type="spellEnd"/>
            <w:r w:rsidRPr="00344DCE">
              <w:br/>
              <w:t>(6 days /week)</w:t>
            </w:r>
          </w:p>
        </w:tc>
        <w:tc>
          <w:tcPr>
            <w:tcW w:w="4819"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Moderate emaciation and slight jaundice in one female. Weight gain in remaining dogs.</w:t>
            </w:r>
            <w:r w:rsidR="004162E4">
              <w:br/>
            </w:r>
            <w:r w:rsidRPr="00344DCE">
              <w:t>Marked pathological distinctions found in liver compared to Group 1.</w:t>
            </w:r>
            <w:r w:rsidR="004162E4">
              <w:br/>
            </w:r>
            <w:r w:rsidRPr="00344DCE">
              <w:t xml:space="preserve">Moderate </w:t>
            </w:r>
            <w:proofErr w:type="spellStart"/>
            <w:r w:rsidRPr="00344DCE">
              <w:t>haemosiderosis</w:t>
            </w:r>
            <w:proofErr w:type="spellEnd"/>
            <w:r w:rsidRPr="00344DCE">
              <w:t xml:space="preserve"> in spleen. Gall bladder moderately distended in two animals</w:t>
            </w:r>
          </w:p>
        </w:tc>
        <w:tc>
          <w:tcPr>
            <w:tcW w:w="1352"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Default="004C6833" w:rsidP="004162E4">
            <w:pPr>
              <w:spacing w:before="60" w:after="60"/>
              <w:ind w:left="142"/>
            </w:pPr>
          </w:p>
        </w:tc>
        <w:tc>
          <w:tcPr>
            <w:tcW w:w="1559"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BC44BC"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BC44BC">
              <w:t>2 male &amp; 1 female [Group 3]</w:t>
            </w:r>
          </w:p>
        </w:tc>
        <w:tc>
          <w:tcPr>
            <w:tcW w:w="1418" w:type="dxa"/>
            <w:vAlign w:val="center"/>
          </w:tcPr>
          <w:p w:rsidR="004C6833" w:rsidRPr="00734F30"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734F30">
              <w:t>35-277 days</w:t>
            </w:r>
          </w:p>
        </w:tc>
        <w:tc>
          <w:tcPr>
            <w:tcW w:w="2653"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 xml:space="preserve">50 mg/kg </w:t>
            </w:r>
            <w:proofErr w:type="spellStart"/>
            <w:r w:rsidRPr="00344DCE">
              <w:t>bw</w:t>
            </w:r>
            <w:proofErr w:type="spellEnd"/>
            <w:r w:rsidRPr="00344DCE">
              <w:br/>
              <w:t>(6 days /week)</w:t>
            </w:r>
          </w:p>
        </w:tc>
        <w:tc>
          <w:tcPr>
            <w:tcW w:w="4819"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Emaciation; slight to moderate jaundice in the two female dogs. One death at 35 days; remaining dogs sacrificed at 45 and 277 days.</w:t>
            </w:r>
            <w:r w:rsidR="004162E4">
              <w:br/>
            </w:r>
            <w:r w:rsidRPr="00344DCE">
              <w:t>Marked pathological distinctions found in liver compared to Group 1.</w:t>
            </w:r>
            <w:r w:rsidR="004162E4">
              <w:br/>
            </w:r>
            <w:r w:rsidRPr="00344DCE">
              <w:t xml:space="preserve">Spleen - large amount of </w:t>
            </w:r>
            <w:proofErr w:type="spellStart"/>
            <w:r w:rsidRPr="00344DCE">
              <w:t>haemosiderin</w:t>
            </w:r>
            <w:proofErr w:type="spellEnd"/>
            <w:r w:rsidRPr="00344DCE">
              <w:t>.</w:t>
            </w:r>
            <w:r w:rsidR="004162E4">
              <w:br/>
            </w:r>
            <w:r w:rsidRPr="00344DCE">
              <w:t>Bone marrow – pale</w:t>
            </w:r>
          </w:p>
        </w:tc>
        <w:tc>
          <w:tcPr>
            <w:tcW w:w="1352"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Default="004C6833" w:rsidP="004162E4">
            <w:pPr>
              <w:spacing w:before="60" w:after="60"/>
              <w:ind w:left="142"/>
            </w:pPr>
          </w:p>
        </w:tc>
        <w:tc>
          <w:tcPr>
            <w:tcW w:w="1559"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BC44BC">
              <w:t>1 male &amp; 1 female [Group 4]</w:t>
            </w:r>
          </w:p>
        </w:tc>
        <w:tc>
          <w:tcPr>
            <w:tcW w:w="1418"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734F30">
              <w:t>9-16 days</w:t>
            </w:r>
          </w:p>
        </w:tc>
        <w:tc>
          <w:tcPr>
            <w:tcW w:w="2653" w:type="dxa"/>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 xml:space="preserve">100 mg/kg </w:t>
            </w:r>
            <w:proofErr w:type="spellStart"/>
            <w:r w:rsidRPr="00344DCE">
              <w:t>bw</w:t>
            </w:r>
            <w:proofErr w:type="spellEnd"/>
            <w:r w:rsidRPr="00344DCE">
              <w:br/>
              <w:t>(6 days /week)</w:t>
            </w:r>
          </w:p>
        </w:tc>
        <w:tc>
          <w:tcPr>
            <w:tcW w:w="4819" w:type="dxa"/>
            <w:vAlign w:val="center"/>
          </w:tcPr>
          <w:p w:rsidR="004C6833" w:rsidRPr="00344DCE"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 xml:space="preserve">Male killed </w:t>
            </w:r>
            <w:r w:rsidRPr="00344DCE">
              <w:rPr>
                <w:i/>
              </w:rPr>
              <w:t>in extremis</w:t>
            </w:r>
            <w:r w:rsidRPr="00344DCE">
              <w:t xml:space="preserve"> after 9 days. Female found dead on day 16. Marked emaciation, slight dehydration, and slight jaundice.</w:t>
            </w:r>
            <w:r w:rsidR="004162E4">
              <w:br/>
            </w:r>
            <w:r w:rsidRPr="00344DCE">
              <w:t>Marked pathological distinctions found in liver compared to Group 1. Moderately pale spleen. Gastrointestinal - tract contents thick, dark, and tarry. Thin and fatty bone marrow. Moderately distended gall bladder.</w:t>
            </w:r>
          </w:p>
        </w:tc>
        <w:tc>
          <w:tcPr>
            <w:tcW w:w="1352"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162E4">
            <w:pPr>
              <w:spacing w:before="60" w:after="60"/>
              <w:cnfStyle w:val="000000000000" w:firstRow="0" w:lastRow="0" w:firstColumn="0" w:lastColumn="0" w:oddVBand="0" w:evenVBand="0" w:oddHBand="0" w:evenHBand="0" w:firstRowFirstColumn="0" w:firstRowLastColumn="0" w:lastRowFirstColumn="0" w:lastRowLastColumn="0"/>
            </w:pPr>
          </w:p>
        </w:tc>
      </w:tr>
      <w:tr w:rsidR="004162E4" w:rsidTr="00D05344">
        <w:trPr>
          <w:cantSplit w:val="0"/>
        </w:trPr>
        <w:tc>
          <w:tcPr>
            <w:cnfStyle w:val="001000000000" w:firstRow="0" w:lastRow="0" w:firstColumn="1" w:lastColumn="0" w:oddVBand="0" w:evenVBand="0" w:oddHBand="0" w:evenHBand="0" w:firstRowFirstColumn="0" w:firstRowLastColumn="0" w:lastRowFirstColumn="0" w:lastRowLastColumn="0"/>
            <w:tcW w:w="1242" w:type="dxa"/>
            <w:vMerge w:val="restart"/>
            <w:vAlign w:val="center"/>
          </w:tcPr>
          <w:p w:rsidR="004162E4" w:rsidRPr="00344DCE" w:rsidRDefault="004162E4" w:rsidP="004C6833">
            <w:pPr>
              <w:ind w:left="142"/>
            </w:pPr>
            <w:r w:rsidRPr="00344DCE">
              <w:t>Oral (Diet)</w:t>
            </w:r>
          </w:p>
        </w:tc>
        <w:tc>
          <w:tcPr>
            <w:tcW w:w="1559" w:type="dxa"/>
            <w:vMerge w:val="restart"/>
            <w:vAlign w:val="center"/>
          </w:tcPr>
          <w:p w:rsidR="004162E4" w:rsidRPr="00344DCE" w:rsidRDefault="004162E4" w:rsidP="004C6833">
            <w:pPr>
              <w:cnfStyle w:val="000000000000" w:firstRow="0" w:lastRow="0" w:firstColumn="0" w:lastColumn="0" w:oddVBand="0" w:evenVBand="0" w:oddHBand="0" w:evenHBand="0" w:firstRowFirstColumn="0" w:firstRowLastColumn="0" w:lastRowFirstColumn="0" w:lastRowLastColumn="0"/>
            </w:pPr>
            <w:r w:rsidRPr="00344DCE">
              <w:t xml:space="preserve">British-American </w:t>
            </w:r>
            <w:r w:rsidRPr="00344DCE">
              <w:lastRenderedPageBreak/>
              <w:t>Tobacco Co. Ltd.</w:t>
            </w:r>
          </w:p>
        </w:tc>
        <w:tc>
          <w:tcPr>
            <w:tcW w:w="11518" w:type="dxa"/>
            <w:gridSpan w:val="5"/>
            <w:vAlign w:val="center"/>
          </w:tcPr>
          <w:p w:rsidR="004162E4" w:rsidRDefault="004162E4" w:rsidP="004C6833">
            <w:pPr>
              <w:cnfStyle w:val="000000000000" w:firstRow="0" w:lastRow="0" w:firstColumn="0" w:lastColumn="0" w:oddVBand="0" w:evenVBand="0" w:oddHBand="0" w:evenHBand="0" w:firstRowFirstColumn="0" w:firstRowLastColumn="0" w:lastRowFirstColumn="0" w:lastRowLastColumn="0"/>
            </w:pPr>
            <w:r>
              <w:lastRenderedPageBreak/>
              <w:t>Baboon</w:t>
            </w:r>
          </w:p>
        </w:tc>
        <w:tc>
          <w:tcPr>
            <w:tcW w:w="1276" w:type="dxa"/>
            <w:vMerge w:val="restart"/>
            <w:vAlign w:val="center"/>
          </w:tcPr>
          <w:p w:rsidR="004162E4" w:rsidRDefault="004162E4" w:rsidP="004C6833">
            <w:pPr>
              <w:cnfStyle w:val="000000000000" w:firstRow="0" w:lastRow="0" w:firstColumn="0" w:lastColumn="0" w:oddVBand="0" w:evenVBand="0" w:oddHBand="0" w:evenHBand="0" w:firstRowFirstColumn="0" w:firstRowLastColumn="0" w:lastRowFirstColumn="0" w:lastRowLastColumn="0"/>
            </w:pPr>
            <w:r w:rsidRPr="00344DCE">
              <w:rPr>
                <w:noProof/>
              </w:rPr>
              <w:t xml:space="preserve">(Evans </w:t>
            </w:r>
            <w:r w:rsidR="00455127" w:rsidRPr="00455127">
              <w:rPr>
                <w:i/>
                <w:noProof/>
              </w:rPr>
              <w:t>et al.</w:t>
            </w:r>
            <w:r w:rsidRPr="00344DCE">
              <w:rPr>
                <w:noProof/>
              </w:rPr>
              <w:t>, 1979)</w:t>
            </w: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pPr>
              <w:ind w:left="142"/>
            </w:pPr>
          </w:p>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8 male</w:t>
            </w:r>
          </w:p>
        </w:tc>
        <w:tc>
          <w:tcPr>
            <w:tcW w:w="1418"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24 months</w:t>
            </w:r>
          </w:p>
        </w:tc>
        <w:tc>
          <w:tcPr>
            <w:tcW w:w="2653"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0 mg/kg/day</w:t>
            </w:r>
          </w:p>
        </w:tc>
        <w:tc>
          <w:tcPr>
            <w:tcW w:w="4819" w:type="dxa"/>
            <w:vMerge w:val="restart"/>
            <w:vAlign w:val="center"/>
          </w:tcPr>
          <w:p w:rsidR="004C6833" w:rsidRPr="00344DCE" w:rsidRDefault="004C6833" w:rsidP="004C6833">
            <w:pPr>
              <w:pageBreakBefore/>
              <w:cnfStyle w:val="000000000000" w:firstRow="0" w:lastRow="0" w:firstColumn="0" w:lastColumn="0" w:oddVBand="0" w:evenVBand="0" w:oddHBand="0" w:evenHBand="0" w:firstRowFirstColumn="0" w:firstRowLastColumn="0" w:lastRowFirstColumn="0" w:lastRowLastColumn="0"/>
            </w:pPr>
            <w:r w:rsidRPr="00344DCE">
              <w:t xml:space="preserve">No observed effect on body weight gain within any group. Mean relative liver weight in 67.5 mg treatment significantly higher (P &lt; 0.05) than control. Hepatocyte endoplasmic reticulum hypertrophy found in individuals within 67.5 mg treatment only. Mean enzyme activity and </w:t>
            </w:r>
            <w:proofErr w:type="spellStart"/>
            <w:r w:rsidRPr="00344DCE">
              <w:t>coumarin</w:t>
            </w:r>
            <w:proofErr w:type="spellEnd"/>
            <w:r w:rsidRPr="00344DCE">
              <w:t xml:space="preserve"> binding within liver found reduced in 67.5 mg treatment compared to other groups.</w:t>
            </w:r>
          </w:p>
        </w:tc>
        <w:tc>
          <w:tcPr>
            <w:tcW w:w="1352" w:type="dxa"/>
            <w:vMerge w:val="restart"/>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r w:rsidRPr="00344DCE">
              <w:t>22.5 mg/kg/day</w:t>
            </w: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pPr>
              <w:ind w:left="142"/>
            </w:pPr>
          </w:p>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8 male</w:t>
            </w:r>
          </w:p>
        </w:tc>
        <w:tc>
          <w:tcPr>
            <w:tcW w:w="1418"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18 months</w:t>
            </w:r>
          </w:p>
        </w:tc>
        <w:tc>
          <w:tcPr>
            <w:tcW w:w="2653"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2.5 mg/kg/day</w:t>
            </w:r>
          </w:p>
        </w:tc>
        <w:tc>
          <w:tcPr>
            <w:tcW w:w="4819"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pPr>
              <w:ind w:left="142"/>
            </w:pPr>
          </w:p>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8 male</w:t>
            </w:r>
          </w:p>
        </w:tc>
        <w:tc>
          <w:tcPr>
            <w:tcW w:w="1418"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24 months</w:t>
            </w:r>
          </w:p>
        </w:tc>
        <w:tc>
          <w:tcPr>
            <w:tcW w:w="2653"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7.5 mg/kg/day</w:t>
            </w:r>
          </w:p>
        </w:tc>
        <w:tc>
          <w:tcPr>
            <w:tcW w:w="4819"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pPr>
              <w:ind w:left="142"/>
            </w:pPr>
          </w:p>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6 male</w:t>
            </w:r>
          </w:p>
        </w:tc>
        <w:tc>
          <w:tcPr>
            <w:tcW w:w="1418"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24 months</w:t>
            </w:r>
          </w:p>
        </w:tc>
        <w:tc>
          <w:tcPr>
            <w:tcW w:w="2653"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22.5 mg/kg/day</w:t>
            </w:r>
          </w:p>
        </w:tc>
        <w:tc>
          <w:tcPr>
            <w:tcW w:w="4819"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r>
      <w:tr w:rsidR="004C6833" w:rsidTr="004162E4">
        <w:trPr>
          <w:cantSplit w:val="0"/>
        </w:trPr>
        <w:tc>
          <w:tcPr>
            <w:cnfStyle w:val="001000000000" w:firstRow="0" w:lastRow="0" w:firstColumn="1" w:lastColumn="0" w:oddVBand="0" w:evenVBand="0" w:oddHBand="0" w:evenHBand="0" w:firstRowFirstColumn="0" w:firstRowLastColumn="0" w:lastRowFirstColumn="0" w:lastRowLastColumn="0"/>
            <w:tcW w:w="1242" w:type="dxa"/>
            <w:vMerge/>
            <w:vAlign w:val="center"/>
          </w:tcPr>
          <w:p w:rsidR="004C6833" w:rsidRPr="00344DCE" w:rsidRDefault="004C6833" w:rsidP="004C6833">
            <w:pPr>
              <w:ind w:left="142"/>
            </w:pPr>
          </w:p>
        </w:tc>
        <w:tc>
          <w:tcPr>
            <w:tcW w:w="1559" w:type="dxa"/>
            <w:vMerge/>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4 male</w:t>
            </w:r>
          </w:p>
        </w:tc>
        <w:tc>
          <w:tcPr>
            <w:tcW w:w="1418"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24 months</w:t>
            </w:r>
          </w:p>
        </w:tc>
        <w:tc>
          <w:tcPr>
            <w:tcW w:w="2653" w:type="dxa"/>
            <w:vAlign w:val="center"/>
          </w:tcPr>
          <w:p w:rsidR="004C6833" w:rsidRPr="00344DCE" w:rsidRDefault="004C6833" w:rsidP="004C6833">
            <w:pPr>
              <w:cnfStyle w:val="000000000000" w:firstRow="0" w:lastRow="0" w:firstColumn="0" w:lastColumn="0" w:oddVBand="0" w:evenVBand="0" w:oddHBand="0" w:evenHBand="0" w:firstRowFirstColumn="0" w:firstRowLastColumn="0" w:lastRowFirstColumn="0" w:lastRowLastColumn="0"/>
            </w:pPr>
            <w:r w:rsidRPr="00344DCE">
              <w:t>67.5 mg/kg/day</w:t>
            </w:r>
          </w:p>
        </w:tc>
        <w:tc>
          <w:tcPr>
            <w:tcW w:w="4819"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352"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c>
          <w:tcPr>
            <w:tcW w:w="1276" w:type="dxa"/>
            <w:vMerge/>
            <w:vAlign w:val="center"/>
          </w:tcPr>
          <w:p w:rsidR="004C6833" w:rsidRDefault="004C6833" w:rsidP="004C6833">
            <w:pPr>
              <w:cnfStyle w:val="000000000000" w:firstRow="0" w:lastRow="0" w:firstColumn="0" w:lastColumn="0" w:oddVBand="0" w:evenVBand="0" w:oddHBand="0" w:evenHBand="0" w:firstRowFirstColumn="0" w:firstRowLastColumn="0" w:lastRowFirstColumn="0" w:lastRowLastColumn="0"/>
            </w:pPr>
          </w:p>
        </w:tc>
      </w:tr>
    </w:tbl>
    <w:p w:rsidR="00BF5B8E" w:rsidRDefault="00BF5B8E" w:rsidP="008A65A8">
      <w:pPr>
        <w:sectPr w:rsidR="00BF5B8E" w:rsidSect="008A65A8">
          <w:footerReference w:type="default" r:id="rId18"/>
          <w:footnotePr>
            <w:numFmt w:val="chicago"/>
          </w:footnotePr>
          <w:pgSz w:w="16838" w:h="11906" w:orient="landscape" w:code="9"/>
          <w:pgMar w:top="1418" w:right="1134" w:bottom="1418" w:left="1361" w:header="573" w:footer="567" w:gutter="0"/>
          <w:cols w:space="708"/>
          <w:docGrid w:linePitch="360"/>
        </w:sectPr>
      </w:pPr>
    </w:p>
    <w:p w:rsidR="00BF5B8E" w:rsidRPr="00344DCE" w:rsidRDefault="00BC62D4" w:rsidP="000E0E79">
      <w:pPr>
        <w:pStyle w:val="Heading3"/>
      </w:pPr>
      <w:bookmarkStart w:id="85" w:name="_Toc25652442"/>
      <w:bookmarkStart w:id="86" w:name="_Toc25930278"/>
      <w:r>
        <w:lastRenderedPageBreak/>
        <w:t>Relative e</w:t>
      </w:r>
      <w:r w:rsidR="00BF5B8E" w:rsidRPr="00344DCE">
        <w:t>xposure</w:t>
      </w:r>
      <w:bookmarkEnd w:id="85"/>
      <w:bookmarkEnd w:id="86"/>
    </w:p>
    <w:p w:rsidR="00BF5B8E" w:rsidRPr="00344DCE" w:rsidRDefault="00BF5B8E" w:rsidP="000E0E79">
      <w:pPr>
        <w:pStyle w:val="Heading4"/>
      </w:pPr>
      <w:bookmarkStart w:id="87" w:name="_Ref25317967"/>
      <w:bookmarkStart w:id="88" w:name="_Toc25930279"/>
      <w:r w:rsidRPr="00344DCE">
        <w:t>Tolerable Daily Intake</w:t>
      </w:r>
      <w:bookmarkEnd w:id="87"/>
      <w:bookmarkEnd w:id="88"/>
    </w:p>
    <w:p w:rsidR="00BF5B8E" w:rsidRPr="00344DCE" w:rsidRDefault="00BF5B8E" w:rsidP="008A65A8">
      <w:r w:rsidRPr="00344DCE">
        <w:t xml:space="preserve">The WHO Food Additives Series (Joint FAO/WHO Expert Committee on Food Additives, 1981) was unable to determine an Acceptable Daily Intake (‘ADI’), citing that further research into chronic exposure in the rat was required. The data requested by WHO was performed by the NTP (1993) and considered by EFSA (2004). The EFSA TDI of 0-0.1 mg </w:t>
      </w:r>
      <w:proofErr w:type="spellStart"/>
      <w:r w:rsidRPr="00344DCE">
        <w:t>coumarin</w:t>
      </w:r>
      <w:proofErr w:type="spellEnd"/>
      <w:r w:rsidRPr="00344DCE">
        <w:t xml:space="preserve">/kg </w:t>
      </w:r>
      <w:proofErr w:type="spellStart"/>
      <w:r w:rsidRPr="00344DCE">
        <w:t>bw</w:t>
      </w:r>
      <w:proofErr w:type="spellEnd"/>
      <w:r w:rsidRPr="00344DCE">
        <w:t xml:space="preserve"> accounted for the human population susceptible to </w:t>
      </w:r>
      <w:proofErr w:type="spellStart"/>
      <w:r w:rsidRPr="00344DCE">
        <w:t>coumarin</w:t>
      </w:r>
      <w:proofErr w:type="spellEnd"/>
      <w:r w:rsidRPr="00344DCE">
        <w:t>-related hepatotoxicity; this was done by utilising the NOAEL for canines</w:t>
      </w:r>
      <w:r>
        <w:t xml:space="preserve">, being 10 mg/kg </w:t>
      </w:r>
      <w:proofErr w:type="spellStart"/>
      <w:r>
        <w:t>bw</w:t>
      </w:r>
      <w:proofErr w:type="spellEnd"/>
      <w:r>
        <w:t>/day</w:t>
      </w:r>
      <w:r w:rsidRPr="00344DCE">
        <w:t xml:space="preserve">. As canines exhibit reduced 7-hydroxylation capacity in comparison to primates and this pathway is considered to be critical in the rapid detoxification and excretion of </w:t>
      </w:r>
      <w:proofErr w:type="spellStart"/>
      <w:r w:rsidRPr="00344DCE">
        <w:t>coumarin</w:t>
      </w:r>
      <w:proofErr w:type="spellEnd"/>
      <w:r w:rsidRPr="00344DCE">
        <w:t xml:space="preserve"> in humans, the evaluator considers this to be well justified. EFSA calculated the TDI with uncertainty factors (‘</w:t>
      </w:r>
      <w:proofErr w:type="spellStart"/>
      <w:r w:rsidRPr="00344DCE">
        <w:rPr>
          <w:i/>
        </w:rPr>
        <w:t>Uf</w:t>
      </w:r>
      <w:proofErr w:type="spellEnd"/>
      <w:r w:rsidRPr="00344DCE">
        <w:t xml:space="preserve">’) for interspecies and </w:t>
      </w:r>
      <w:proofErr w:type="spellStart"/>
      <w:r w:rsidRPr="00344DCE">
        <w:t>intraspecies</w:t>
      </w:r>
      <w:proofErr w:type="spellEnd"/>
      <w:r w:rsidRPr="00344DCE">
        <w:t xml:space="preserve"> variation. The canine study does not comply with the </w:t>
      </w:r>
      <w:hyperlink r:id="rId19" w:history="1">
        <w:r w:rsidRPr="00344DCE">
          <w:rPr>
            <w:rStyle w:val="Hyperlink"/>
          </w:rPr>
          <w:t>OECD Guideline for Chronic Toxicity Studies</w:t>
        </w:r>
      </w:hyperlink>
      <w:r w:rsidRPr="00344DCE">
        <w:t xml:space="preserve">, and it is considered that a further </w:t>
      </w:r>
      <w:proofErr w:type="spellStart"/>
      <w:r w:rsidRPr="00344DCE">
        <w:rPr>
          <w:i/>
        </w:rPr>
        <w:t>Uf</w:t>
      </w:r>
      <w:proofErr w:type="spellEnd"/>
      <w:r w:rsidRPr="00344DCE">
        <w:t xml:space="preserve"> modifier may have been appropriate to account for the smaller sample size (International Programme on Chemical Safety, 1994). A further </w:t>
      </w:r>
      <w:proofErr w:type="spellStart"/>
      <w:r w:rsidRPr="00344DCE">
        <w:rPr>
          <w:i/>
        </w:rPr>
        <w:t>Uf</w:t>
      </w:r>
      <w:proofErr w:type="spellEnd"/>
      <w:r w:rsidRPr="00344DCE">
        <w:t xml:space="preserve"> modifier would result in a reduced TDI.</w:t>
      </w:r>
    </w:p>
    <w:p w:rsidR="00BF5B8E" w:rsidRDefault="00BF5B8E" w:rsidP="008A65A8">
      <w:proofErr w:type="spellStart"/>
      <w:r w:rsidRPr="00344DCE">
        <w:t>Felter</w:t>
      </w:r>
      <w:proofErr w:type="spellEnd"/>
      <w:r w:rsidRPr="00344DCE">
        <w:t xml:space="preserve"> </w:t>
      </w:r>
      <w:r w:rsidR="00455127" w:rsidRPr="00455127">
        <w:rPr>
          <w:i/>
        </w:rPr>
        <w:t>et al.</w:t>
      </w:r>
      <w:r w:rsidRPr="00344DCE">
        <w:t xml:space="preserve"> </w:t>
      </w:r>
      <w:r w:rsidRPr="00344DCE">
        <w:rPr>
          <w:noProof/>
        </w:rPr>
        <w:t>(2006)</w:t>
      </w:r>
      <w:r w:rsidRPr="00344DCE">
        <w:t xml:space="preserve"> argues that an </w:t>
      </w:r>
      <w:proofErr w:type="spellStart"/>
      <w:r w:rsidRPr="00344DCE">
        <w:t>intraspecies</w:t>
      </w:r>
      <w:proofErr w:type="spellEnd"/>
      <w:r w:rsidRPr="00344DCE">
        <w:t xml:space="preserve"> </w:t>
      </w:r>
      <w:proofErr w:type="spellStart"/>
      <w:r w:rsidRPr="00344DCE">
        <w:rPr>
          <w:i/>
        </w:rPr>
        <w:t>Uf</w:t>
      </w:r>
      <w:proofErr w:type="spellEnd"/>
      <w:r w:rsidRPr="00344DCE">
        <w:t xml:space="preserve"> of 10 in consideration of a rat-extrapolated model is not justified as the o-HPA based toxicity issues are relevant to human metabolism. The ADI suggested by this study is 0.64 mg/kg </w:t>
      </w:r>
      <w:proofErr w:type="spellStart"/>
      <w:r w:rsidRPr="00344DCE">
        <w:t>bw</w:t>
      </w:r>
      <w:proofErr w:type="spellEnd"/>
      <w:r w:rsidRPr="00344DCE">
        <w:t xml:space="preserve"> and was based on a NOAEL </w:t>
      </w:r>
      <w:r>
        <w:t xml:space="preserve">of 16 mg/kg </w:t>
      </w:r>
      <w:proofErr w:type="spellStart"/>
      <w:r>
        <w:t>bw</w:t>
      </w:r>
      <w:proofErr w:type="spellEnd"/>
      <w:r>
        <w:t xml:space="preserve">/day </w:t>
      </w:r>
      <w:r w:rsidRPr="00344DCE">
        <w:t xml:space="preserve">in rats </w:t>
      </w:r>
      <w:r w:rsidRPr="0049465E">
        <w:t xml:space="preserve">(RIFM, 1984 as cited in </w:t>
      </w:r>
      <w:proofErr w:type="spellStart"/>
      <w:r w:rsidRPr="0049465E">
        <w:t>Api</w:t>
      </w:r>
      <w:proofErr w:type="spellEnd"/>
      <w:r w:rsidRPr="0049465E">
        <w:t xml:space="preserve"> </w:t>
      </w:r>
      <w:r w:rsidR="00455127" w:rsidRPr="00455127">
        <w:rPr>
          <w:i/>
        </w:rPr>
        <w:t>et al.</w:t>
      </w:r>
      <w:r w:rsidRPr="0049465E">
        <w:t>, 2019)</w:t>
      </w:r>
      <w:r w:rsidRPr="00344DCE">
        <w:t xml:space="preserve">. </w:t>
      </w:r>
      <w:r>
        <w:t xml:space="preserve">The adjusted </w:t>
      </w:r>
      <w:proofErr w:type="spellStart"/>
      <w:r>
        <w:rPr>
          <w:i/>
        </w:rPr>
        <w:t>Uf</w:t>
      </w:r>
      <w:proofErr w:type="spellEnd"/>
      <w:r>
        <w:rPr>
          <w:i/>
        </w:rPr>
        <w:t xml:space="preserve"> </w:t>
      </w:r>
      <w:r>
        <w:t xml:space="preserve">was supported by </w:t>
      </w:r>
      <w:r>
        <w:rPr>
          <w:noProof/>
        </w:rPr>
        <w:t xml:space="preserve">Rietjens </w:t>
      </w:r>
      <w:r w:rsidR="00455127" w:rsidRPr="00455127">
        <w:rPr>
          <w:i/>
          <w:noProof/>
        </w:rPr>
        <w:t>et al.</w:t>
      </w:r>
      <w:r>
        <w:rPr>
          <w:noProof/>
        </w:rPr>
        <w:t xml:space="preserve"> (2008)</w:t>
      </w:r>
      <w:r>
        <w:t xml:space="preserve">; however, these </w:t>
      </w:r>
      <w:r w:rsidRPr="00344DCE">
        <w:t>consideration</w:t>
      </w:r>
      <w:r>
        <w:t>s</w:t>
      </w:r>
      <w:r w:rsidRPr="00344DCE">
        <w:t xml:space="preserve"> </w:t>
      </w:r>
      <w:r>
        <w:t xml:space="preserve">were </w:t>
      </w:r>
      <w:r w:rsidRPr="00344DCE">
        <w:t xml:space="preserve">disputed by Abraham </w:t>
      </w:r>
      <w:r w:rsidR="00455127" w:rsidRPr="00455127">
        <w:rPr>
          <w:i/>
        </w:rPr>
        <w:t>et al.</w:t>
      </w:r>
      <w:r w:rsidRPr="00344DCE">
        <w:t xml:space="preserve"> </w:t>
      </w:r>
      <w:r w:rsidRPr="00344DCE">
        <w:rPr>
          <w:noProof/>
        </w:rPr>
        <w:t>(2010)</w:t>
      </w:r>
      <w:r w:rsidRPr="00344DCE">
        <w:t xml:space="preserve"> on the grounds that the mechanisms of hepatotoxicity in the susceptible human subpopulation is not fully understood.</w:t>
      </w:r>
    </w:p>
    <w:p w:rsidR="00BF5B8E" w:rsidRDefault="00BF5B8E" w:rsidP="008A65A8">
      <w:r>
        <w:t xml:space="preserve">Similarly, in the calculation of a “Reference Dose”, which appears to be a limit of tolerable exposure for </w:t>
      </w:r>
      <w:proofErr w:type="spellStart"/>
      <w:r>
        <w:t>coumarin</w:t>
      </w:r>
      <w:proofErr w:type="spellEnd"/>
      <w:r>
        <w:t xml:space="preserve"> for use in humans, </w:t>
      </w:r>
      <w:r>
        <w:rPr>
          <w:noProof/>
        </w:rPr>
        <w:t xml:space="preserve">Api </w:t>
      </w:r>
      <w:r w:rsidR="00455127" w:rsidRPr="00455127">
        <w:rPr>
          <w:i/>
          <w:noProof/>
        </w:rPr>
        <w:t>et al.</w:t>
      </w:r>
      <w:r>
        <w:rPr>
          <w:noProof/>
        </w:rPr>
        <w:t xml:space="preserve"> (2019)</w:t>
      </w:r>
      <w:r>
        <w:t xml:space="preserve"> applied an </w:t>
      </w:r>
      <w:proofErr w:type="spellStart"/>
      <w:r w:rsidRPr="008E3628">
        <w:rPr>
          <w:i/>
        </w:rPr>
        <w:t>Uf</w:t>
      </w:r>
      <w:proofErr w:type="spellEnd"/>
      <w:r>
        <w:t xml:space="preserve"> of 100. A NOAEL of 16 mg/kg </w:t>
      </w:r>
      <w:proofErr w:type="spellStart"/>
      <w:r>
        <w:t>bw</w:t>
      </w:r>
      <w:proofErr w:type="spellEnd"/>
      <w:r>
        <w:t>/day was utilised, based on a rat study (</w:t>
      </w:r>
      <w:r w:rsidRPr="004C5995">
        <w:t>RIFM, 1984</w:t>
      </w:r>
      <w:r>
        <w:t xml:space="preserve"> </w:t>
      </w:r>
      <w:r w:rsidRPr="004C5995">
        <w:t xml:space="preserve">as cited in </w:t>
      </w:r>
      <w:proofErr w:type="spellStart"/>
      <w:r w:rsidRPr="004C5995">
        <w:t>Api</w:t>
      </w:r>
      <w:proofErr w:type="spellEnd"/>
      <w:r w:rsidRPr="004C5995">
        <w:t xml:space="preserve"> </w:t>
      </w:r>
      <w:r w:rsidR="00455127" w:rsidRPr="00455127">
        <w:rPr>
          <w:i/>
        </w:rPr>
        <w:t>et al.</w:t>
      </w:r>
      <w:r w:rsidRPr="004C5995">
        <w:t>, 2019</w:t>
      </w:r>
      <w:r>
        <w:t xml:space="preserve">, </w:t>
      </w:r>
      <w:r w:rsidRPr="004C5995">
        <w:t xml:space="preserve">Carlton </w:t>
      </w:r>
      <w:r w:rsidR="00455127" w:rsidRPr="00455127">
        <w:rPr>
          <w:i/>
        </w:rPr>
        <w:t>et al.</w:t>
      </w:r>
      <w:r w:rsidRPr="004C5995">
        <w:t>, 1996</w:t>
      </w:r>
      <w:r>
        <w:t xml:space="preserve"> </w:t>
      </w:r>
      <w:r w:rsidRPr="004C5995">
        <w:t xml:space="preserve">as cited in </w:t>
      </w:r>
      <w:proofErr w:type="spellStart"/>
      <w:r w:rsidRPr="004C5995">
        <w:t>Felter</w:t>
      </w:r>
      <w:proofErr w:type="spellEnd"/>
      <w:r w:rsidRPr="004C5995">
        <w:t xml:space="preserve"> </w:t>
      </w:r>
      <w:r w:rsidR="00455127" w:rsidRPr="00455127">
        <w:rPr>
          <w:i/>
        </w:rPr>
        <w:t>et al.</w:t>
      </w:r>
      <w:r w:rsidRPr="004C5995">
        <w:t>, 2006</w:t>
      </w:r>
      <w:r>
        <w:t xml:space="preserve">). </w:t>
      </w:r>
      <w:r>
        <w:rPr>
          <w:noProof/>
        </w:rPr>
        <w:t xml:space="preserve">Api </w:t>
      </w:r>
      <w:r w:rsidR="00455127" w:rsidRPr="00455127">
        <w:rPr>
          <w:i/>
          <w:noProof/>
        </w:rPr>
        <w:t>et al.</w:t>
      </w:r>
      <w:r>
        <w:rPr>
          <w:noProof/>
        </w:rPr>
        <w:t xml:space="preserve"> (2019)</w:t>
      </w:r>
      <w:r>
        <w:t xml:space="preserve"> reported that within this study adverse effects were observed at 16 mg/kg </w:t>
      </w:r>
      <w:proofErr w:type="spellStart"/>
      <w:r>
        <w:t>bw</w:t>
      </w:r>
      <w:proofErr w:type="spellEnd"/>
      <w:r>
        <w:t xml:space="preserve">/day and the selection of this lower NOAEL is not considered appropriate, and indicates that most appropriate NOAEL for extrapolating to human use is 10 mg/kg </w:t>
      </w:r>
      <w:proofErr w:type="spellStart"/>
      <w:r>
        <w:t>bw</w:t>
      </w:r>
      <w:proofErr w:type="spellEnd"/>
      <w:r>
        <w:t>/day as specified by EFSA (2004).</w:t>
      </w:r>
    </w:p>
    <w:p w:rsidR="00BF5B8E" w:rsidRPr="00344DCE" w:rsidRDefault="00BF5B8E" w:rsidP="008A65A8">
      <w:pPr>
        <w:rPr>
          <w:highlight w:val="green"/>
        </w:rPr>
      </w:pPr>
      <w:r w:rsidRPr="00344DCE">
        <w:t xml:space="preserve">Due to the lack of first-pass metabolism in dermal exposure and the hepatotoxicity concerns </w:t>
      </w:r>
      <w:r>
        <w:t>for</w:t>
      </w:r>
      <w:r w:rsidRPr="00344DCE">
        <w:t xml:space="preserve"> </w:t>
      </w:r>
      <w:proofErr w:type="spellStart"/>
      <w:r w:rsidRPr="00344DCE">
        <w:t>coumarin</w:t>
      </w:r>
      <w:proofErr w:type="spellEnd"/>
      <w:r w:rsidRPr="00344DCE">
        <w:t xml:space="preserve">, toxicological data specifically considering dermal application would be informative for consideration of </w:t>
      </w:r>
      <w:proofErr w:type="spellStart"/>
      <w:r w:rsidRPr="00344DCE">
        <w:t>coumarin</w:t>
      </w:r>
      <w:proofErr w:type="spellEnd"/>
      <w:r w:rsidRPr="00344DCE">
        <w:t xml:space="preserve"> as a fragrance in listed medicines. </w:t>
      </w:r>
      <w:r>
        <w:t xml:space="preserve">Such data was not available for review and the TDI proposed by EFSA presents the most robust assessment of acceptable use of </w:t>
      </w:r>
      <w:proofErr w:type="spellStart"/>
      <w:r>
        <w:t>coumarin</w:t>
      </w:r>
      <w:proofErr w:type="spellEnd"/>
      <w:r>
        <w:t xml:space="preserve"> available.</w:t>
      </w:r>
    </w:p>
    <w:p w:rsidR="00BF5B8E" w:rsidRPr="00344DCE" w:rsidRDefault="00BF5B8E" w:rsidP="000E0E79">
      <w:pPr>
        <w:pStyle w:val="Heading4"/>
      </w:pPr>
      <w:bookmarkStart w:id="89" w:name="_Toc25930280"/>
      <w:r w:rsidRPr="00175FD3">
        <w:t>Estimated</w:t>
      </w:r>
      <w:r w:rsidRPr="00344DCE">
        <w:t xml:space="preserve"> Daily Intake</w:t>
      </w:r>
      <w:bookmarkEnd w:id="89"/>
    </w:p>
    <w:p w:rsidR="00BF5B8E" w:rsidRPr="00344DCE" w:rsidRDefault="00BF5B8E" w:rsidP="004162E4">
      <w:r w:rsidRPr="00344DCE">
        <w:t xml:space="preserve">In order to consider a safe level of dermal </w:t>
      </w:r>
      <w:proofErr w:type="spellStart"/>
      <w:r w:rsidRPr="00344DCE">
        <w:t>coumarin</w:t>
      </w:r>
      <w:proofErr w:type="spellEnd"/>
      <w:r w:rsidRPr="00344DCE">
        <w:t xml:space="preserve"> exposure when used in listed medicines, a concomitant consideration of dietary intake and intake from dermal exposure to non-listed medicine fragranced products is necessary. The available dietary exposure intake estimates discussed in </w:t>
      </w:r>
      <w:r w:rsidRPr="00344DCE">
        <w:fldChar w:fldCharType="begin"/>
      </w:r>
      <w:r w:rsidRPr="00344DCE">
        <w:instrText xml:space="preserve"> REF _Ref1999443 \r \h </w:instrText>
      </w:r>
      <w:r w:rsidRPr="00344DCE">
        <w:fldChar w:fldCharType="separate"/>
      </w:r>
      <w:r w:rsidR="007C34B5">
        <w:t>2.2</w:t>
      </w:r>
      <w:r w:rsidRPr="00344DCE">
        <w:fldChar w:fldCharType="end"/>
      </w:r>
      <w:r w:rsidRPr="00344DCE">
        <w:t xml:space="preserve"> </w:t>
      </w:r>
      <w:r w:rsidRPr="00344DCE">
        <w:fldChar w:fldCharType="begin"/>
      </w:r>
      <w:r w:rsidRPr="00344DCE">
        <w:instrText xml:space="preserve"> REF _Ref1999447 \h </w:instrText>
      </w:r>
      <w:r w:rsidRPr="00344DCE">
        <w:fldChar w:fldCharType="separate"/>
      </w:r>
      <w:r w:rsidR="007C34B5" w:rsidRPr="00344DCE">
        <w:t>Exposure from All Sources</w:t>
      </w:r>
      <w:r w:rsidRPr="00344DCE">
        <w:fldChar w:fldCharType="end"/>
      </w:r>
      <w:r w:rsidRPr="00344DCE">
        <w:t xml:space="preserve">, which are based on European and United States diets, are summarised in </w:t>
      </w:r>
      <w:r w:rsidRPr="00BC62D4">
        <w:rPr>
          <w:b/>
        </w:rPr>
        <w:fldChar w:fldCharType="begin"/>
      </w:r>
      <w:r w:rsidRPr="00BC62D4">
        <w:rPr>
          <w:b/>
        </w:rPr>
        <w:instrText xml:space="preserve"> REF _Ref525286859 \h </w:instrText>
      </w:r>
      <w:r w:rsidR="00BC62D4">
        <w:rPr>
          <w:b/>
        </w:rPr>
        <w:instrText xml:space="preserve"> \* MERGEFORMAT </w:instrText>
      </w:r>
      <w:r w:rsidRPr="00BC62D4">
        <w:rPr>
          <w:b/>
        </w:rPr>
      </w:r>
      <w:r w:rsidRPr="00BC62D4">
        <w:rPr>
          <w:b/>
        </w:rPr>
        <w:fldChar w:fldCharType="separate"/>
      </w:r>
      <w:r w:rsidR="007C34B5" w:rsidRPr="00BC62D4">
        <w:rPr>
          <w:b/>
          <w:szCs w:val="22"/>
        </w:rPr>
        <w:t>Table 4</w:t>
      </w:r>
      <w:r w:rsidR="007C34B5" w:rsidRPr="00BC62D4">
        <w:rPr>
          <w:b/>
          <w:szCs w:val="22"/>
        </w:rPr>
        <w:noBreakHyphen/>
      </w:r>
      <w:r w:rsidRPr="00BC62D4">
        <w:rPr>
          <w:b/>
        </w:rPr>
        <w:fldChar w:fldCharType="end"/>
      </w:r>
      <w:r w:rsidRPr="00BC62D4">
        <w:rPr>
          <w:b/>
        </w:rPr>
        <w:t>3</w:t>
      </w:r>
    </w:p>
    <w:p w:rsidR="00BF5B8E" w:rsidRPr="008A65A8" w:rsidRDefault="00BF5B8E" w:rsidP="008A65A8">
      <w:pPr>
        <w:pStyle w:val="Caption"/>
        <w:keepNext/>
        <w:rPr>
          <w:rFonts w:ascii="Cambria" w:hAnsi="Cambria"/>
          <w:b/>
          <w:sz w:val="22"/>
          <w:szCs w:val="22"/>
        </w:rPr>
      </w:pPr>
      <w:bookmarkStart w:id="90" w:name="_Ref525286859"/>
      <w:r w:rsidRPr="008A65A8">
        <w:rPr>
          <w:rFonts w:ascii="Cambria" w:hAnsi="Cambria"/>
          <w:b/>
          <w:sz w:val="22"/>
          <w:szCs w:val="22"/>
        </w:rPr>
        <w:lastRenderedPageBreak/>
        <w:t>Table 4</w:t>
      </w:r>
      <w:r w:rsidRPr="008A65A8">
        <w:rPr>
          <w:rFonts w:ascii="Cambria" w:hAnsi="Cambria"/>
          <w:b/>
          <w:sz w:val="22"/>
          <w:szCs w:val="22"/>
        </w:rPr>
        <w:noBreakHyphen/>
      </w:r>
      <w:bookmarkEnd w:id="90"/>
      <w:r w:rsidRPr="008A65A8">
        <w:rPr>
          <w:rFonts w:ascii="Cambria" w:hAnsi="Cambria"/>
          <w:b/>
          <w:sz w:val="22"/>
          <w:szCs w:val="22"/>
        </w:rPr>
        <w:t xml:space="preserve">3: Estimated Daily Intakes of </w:t>
      </w:r>
      <w:proofErr w:type="spellStart"/>
      <w:r w:rsidRPr="008A65A8">
        <w:rPr>
          <w:rFonts w:ascii="Cambria" w:hAnsi="Cambria"/>
          <w:b/>
          <w:sz w:val="22"/>
          <w:szCs w:val="22"/>
        </w:rPr>
        <w:t>coumarin</w:t>
      </w:r>
      <w:proofErr w:type="spellEnd"/>
      <w:r w:rsidRPr="008A65A8">
        <w:rPr>
          <w:rFonts w:ascii="Cambria" w:hAnsi="Cambria"/>
          <w:b/>
          <w:sz w:val="22"/>
          <w:szCs w:val="22"/>
        </w:rPr>
        <w:t xml:space="preserve"> from dietary sources</w:t>
      </w:r>
    </w:p>
    <w:tbl>
      <w:tblPr>
        <w:tblStyle w:val="TableTGAblue"/>
        <w:tblW w:w="0" w:type="auto"/>
        <w:tblLayout w:type="fixed"/>
        <w:tblLook w:val="04A0" w:firstRow="1" w:lastRow="0" w:firstColumn="1" w:lastColumn="0" w:noHBand="0" w:noVBand="1"/>
      </w:tblPr>
      <w:tblGrid>
        <w:gridCol w:w="3003"/>
        <w:gridCol w:w="2370"/>
      </w:tblGrid>
      <w:tr w:rsidR="00BF5B8E" w:rsidRPr="00344DCE" w:rsidTr="008A6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rsidR="00BF5B8E" w:rsidRPr="00344DCE" w:rsidRDefault="00BF5B8E" w:rsidP="004162E4">
            <w:pPr>
              <w:spacing w:before="60" w:after="60"/>
            </w:pPr>
            <w:r w:rsidRPr="00344DCE">
              <w:t xml:space="preserve">EDI from diet (mg/kg </w:t>
            </w:r>
            <w:proofErr w:type="spellStart"/>
            <w:r w:rsidRPr="00344DCE">
              <w:t>bw</w:t>
            </w:r>
            <w:proofErr w:type="spellEnd"/>
            <w:r w:rsidRPr="00344DCE">
              <w:t>)</w:t>
            </w:r>
          </w:p>
        </w:tc>
        <w:tc>
          <w:tcPr>
            <w:tcW w:w="2370" w:type="dxa"/>
          </w:tcPr>
          <w:p w:rsidR="00BF5B8E" w:rsidRPr="00344DCE" w:rsidRDefault="00BF5B8E" w:rsidP="004162E4">
            <w:pPr>
              <w:spacing w:before="60" w:after="60"/>
              <w:cnfStyle w:val="100000000000" w:firstRow="1" w:lastRow="0" w:firstColumn="0" w:lastColumn="0" w:oddVBand="0" w:evenVBand="0" w:oddHBand="0" w:evenHBand="0" w:firstRowFirstColumn="0" w:firstRowLastColumn="0" w:lastRowFirstColumn="0" w:lastRowLastColumn="0"/>
            </w:pPr>
            <w:r w:rsidRPr="00344DCE">
              <w:t>Reference</w:t>
            </w:r>
          </w:p>
        </w:tc>
      </w:tr>
      <w:tr w:rsidR="00BF5B8E" w:rsidRPr="00344DCE" w:rsidTr="008A65A8">
        <w:tc>
          <w:tcPr>
            <w:cnfStyle w:val="001000000000" w:firstRow="0" w:lastRow="0" w:firstColumn="1" w:lastColumn="0" w:oddVBand="0" w:evenVBand="0" w:oddHBand="0" w:evenHBand="0" w:firstRowFirstColumn="0" w:firstRowLastColumn="0" w:lastRowFirstColumn="0" w:lastRowLastColumn="0"/>
            <w:tcW w:w="3003" w:type="dxa"/>
          </w:tcPr>
          <w:p w:rsidR="00BF5B8E" w:rsidRPr="00344DCE" w:rsidRDefault="00BF5B8E" w:rsidP="004162E4">
            <w:pPr>
              <w:keepNext/>
              <w:spacing w:before="60" w:after="60"/>
            </w:pPr>
            <w:r w:rsidRPr="00344DCE">
              <w:t xml:space="preserve">0.19 (&lt;5 years </w:t>
            </w:r>
            <w:proofErr w:type="spellStart"/>
            <w:r w:rsidRPr="00344DCE">
              <w:t>olds</w:t>
            </w:r>
            <w:proofErr w:type="spellEnd"/>
            <w:r w:rsidRPr="00344DCE">
              <w:t>)</w:t>
            </w:r>
          </w:p>
        </w:tc>
        <w:tc>
          <w:tcPr>
            <w:tcW w:w="2370" w:type="dxa"/>
          </w:tcPr>
          <w:p w:rsidR="00BF5B8E" w:rsidRPr="00344DC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w:t>
            </w:r>
            <w:proofErr w:type="spellStart"/>
            <w:r w:rsidRPr="00344DCE">
              <w:t>BfR</w:t>
            </w:r>
            <w:proofErr w:type="spellEnd"/>
            <w:r w:rsidRPr="00344DCE">
              <w:t>, 2006)</w:t>
            </w:r>
          </w:p>
        </w:tc>
      </w:tr>
      <w:tr w:rsidR="00BF5B8E" w:rsidRPr="00344DCE" w:rsidTr="008A65A8">
        <w:tc>
          <w:tcPr>
            <w:cnfStyle w:val="001000000000" w:firstRow="0" w:lastRow="0" w:firstColumn="1" w:lastColumn="0" w:oddVBand="0" w:evenVBand="0" w:oddHBand="0" w:evenHBand="0" w:firstRowFirstColumn="0" w:firstRowLastColumn="0" w:lastRowFirstColumn="0" w:lastRowLastColumn="0"/>
            <w:tcW w:w="3003" w:type="dxa"/>
          </w:tcPr>
          <w:p w:rsidR="00BF5B8E" w:rsidRPr="00344DCE" w:rsidRDefault="00BF5B8E" w:rsidP="004162E4">
            <w:pPr>
              <w:keepNext/>
              <w:spacing w:before="60" w:after="60"/>
            </w:pPr>
            <w:r w:rsidRPr="00344DCE">
              <w:t>0.07</w:t>
            </w:r>
          </w:p>
        </w:tc>
        <w:tc>
          <w:tcPr>
            <w:tcW w:w="2370" w:type="dxa"/>
          </w:tcPr>
          <w:p w:rsidR="00BF5B8E" w:rsidRPr="00344DC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(EFSA, 2004)</w:t>
            </w:r>
          </w:p>
        </w:tc>
      </w:tr>
      <w:tr w:rsidR="00BF5B8E" w:rsidRPr="00344DCE" w:rsidTr="008A65A8">
        <w:tc>
          <w:tcPr>
            <w:cnfStyle w:val="001000000000" w:firstRow="0" w:lastRow="0" w:firstColumn="1" w:lastColumn="0" w:oddVBand="0" w:evenVBand="0" w:oddHBand="0" w:evenHBand="0" w:firstRowFirstColumn="0" w:firstRowLastColumn="0" w:lastRowFirstColumn="0" w:lastRowLastColumn="0"/>
            <w:tcW w:w="3003" w:type="dxa"/>
          </w:tcPr>
          <w:p w:rsidR="00BF5B8E" w:rsidRPr="00344DCE" w:rsidRDefault="00BF5B8E" w:rsidP="004162E4">
            <w:pPr>
              <w:keepNext/>
              <w:spacing w:before="60" w:after="60"/>
            </w:pPr>
            <w:r w:rsidRPr="00344DCE">
              <w:t>0.02</w:t>
            </w:r>
          </w:p>
        </w:tc>
        <w:tc>
          <w:tcPr>
            <w:tcW w:w="2370" w:type="dxa"/>
          </w:tcPr>
          <w:p w:rsidR="00BF5B8E" w:rsidRPr="00344DC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rPr>
                <w:noProof/>
              </w:rPr>
              <w:t>(Lake, 1999)</w:t>
            </w:r>
          </w:p>
        </w:tc>
      </w:tr>
      <w:tr w:rsidR="00BF5B8E" w:rsidRPr="00344DCE" w:rsidTr="008A65A8">
        <w:tc>
          <w:tcPr>
            <w:cnfStyle w:val="001000000000" w:firstRow="0" w:lastRow="0" w:firstColumn="1" w:lastColumn="0" w:oddVBand="0" w:evenVBand="0" w:oddHBand="0" w:evenHBand="0" w:firstRowFirstColumn="0" w:firstRowLastColumn="0" w:lastRowFirstColumn="0" w:lastRowLastColumn="0"/>
            <w:tcW w:w="3003" w:type="dxa"/>
          </w:tcPr>
          <w:p w:rsidR="00BF5B8E" w:rsidRPr="00344DCE" w:rsidRDefault="00BF5B8E" w:rsidP="004162E4">
            <w:pPr>
              <w:keepNext/>
              <w:spacing w:before="60" w:after="60"/>
            </w:pPr>
            <w:r w:rsidRPr="00344DCE">
              <w:t>0.04</w:t>
            </w:r>
            <w:r w:rsidRPr="00344DCE">
              <w:rPr>
                <w:rStyle w:val="FootnoteReference"/>
              </w:rPr>
              <w:footnoteReference w:id="5"/>
            </w:r>
          </w:p>
        </w:tc>
        <w:tc>
          <w:tcPr>
            <w:tcW w:w="2370" w:type="dxa"/>
          </w:tcPr>
          <w:p w:rsidR="00BF5B8E" w:rsidRPr="00344DC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t>(</w:t>
            </w:r>
            <w:proofErr w:type="spellStart"/>
            <w:r w:rsidRPr="00344DCE">
              <w:t>Floc'h</w:t>
            </w:r>
            <w:proofErr w:type="spellEnd"/>
            <w:r w:rsidRPr="00344DCE">
              <w:t xml:space="preserve"> </w:t>
            </w:r>
            <w:r w:rsidR="00455127" w:rsidRPr="00455127">
              <w:rPr>
                <w:i/>
              </w:rPr>
              <w:t>et al.</w:t>
            </w:r>
            <w:r w:rsidRPr="00344DCE">
              <w:t>, 2002)</w:t>
            </w:r>
          </w:p>
        </w:tc>
      </w:tr>
      <w:tr w:rsidR="00BF5B8E" w:rsidRPr="00344DCE" w:rsidTr="008A65A8">
        <w:tc>
          <w:tcPr>
            <w:cnfStyle w:val="001000000000" w:firstRow="0" w:lastRow="0" w:firstColumn="1" w:lastColumn="0" w:oddVBand="0" w:evenVBand="0" w:oddHBand="0" w:evenHBand="0" w:firstRowFirstColumn="0" w:firstRowLastColumn="0" w:lastRowFirstColumn="0" w:lastRowLastColumn="0"/>
            <w:tcW w:w="3003" w:type="dxa"/>
          </w:tcPr>
          <w:p w:rsidR="00BF5B8E" w:rsidRPr="00344DCE" w:rsidRDefault="00BF5B8E" w:rsidP="004162E4">
            <w:pPr>
              <w:spacing w:before="60" w:after="60"/>
            </w:pPr>
            <w:r w:rsidRPr="00344DCE">
              <w:t>0.01-0.06</w:t>
            </w:r>
          </w:p>
        </w:tc>
        <w:tc>
          <w:tcPr>
            <w:tcW w:w="2370" w:type="dxa"/>
          </w:tcPr>
          <w:p w:rsidR="00BF5B8E" w:rsidRPr="00344DC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rsidRPr="00344DCE">
              <w:rPr>
                <w:noProof/>
              </w:rPr>
              <w:t xml:space="preserve">(Fotland </w:t>
            </w:r>
            <w:r w:rsidR="00455127" w:rsidRPr="00455127">
              <w:rPr>
                <w:i/>
                <w:noProof/>
              </w:rPr>
              <w:t>et al.</w:t>
            </w:r>
            <w:r w:rsidRPr="00344DCE">
              <w:rPr>
                <w:noProof/>
              </w:rPr>
              <w:t>, 2012)</w:t>
            </w:r>
          </w:p>
        </w:tc>
      </w:tr>
    </w:tbl>
    <w:p w:rsidR="00BF5B8E" w:rsidRPr="00344DCE" w:rsidRDefault="00BF5B8E" w:rsidP="008A65A8">
      <w:pPr>
        <w:keepNext/>
      </w:pPr>
      <w:bookmarkStart w:id="91" w:name="_Toc371428127"/>
      <w:bookmarkStart w:id="92" w:name="_Toc424647373"/>
      <w:bookmarkStart w:id="93" w:name="_Toc516662767"/>
      <w:r w:rsidRPr="00344DCE">
        <w:t xml:space="preserve">Lake </w:t>
      </w:r>
      <w:r w:rsidRPr="00344DCE">
        <w:rPr>
          <w:noProof/>
        </w:rPr>
        <w:t>(1999)</w:t>
      </w:r>
      <w:r w:rsidRPr="00344DCE">
        <w:t xml:space="preserve"> provided the only available estimate of </w:t>
      </w:r>
      <w:proofErr w:type="spellStart"/>
      <w:r w:rsidRPr="00344DCE">
        <w:t>coumarin</w:t>
      </w:r>
      <w:proofErr w:type="spellEnd"/>
      <w:r w:rsidRPr="00344DCE">
        <w:t xml:space="preserve"> intake from dermal exposure to other fragranced</w:t>
      </w:r>
      <w:r w:rsidR="00BC62D4">
        <w:t xml:space="preserve"> products, being 0.04 mg/kg </w:t>
      </w:r>
      <w:proofErr w:type="spellStart"/>
      <w:r w:rsidR="00BC62D4">
        <w:t>bw</w:t>
      </w:r>
      <w:proofErr w:type="spellEnd"/>
      <w:r w:rsidR="00BC62D4">
        <w:t>.</w:t>
      </w:r>
    </w:p>
    <w:p w:rsidR="00BF5B8E" w:rsidRPr="00344DCE" w:rsidRDefault="00BF5B8E" w:rsidP="000E0E79">
      <w:pPr>
        <w:pStyle w:val="Heading4"/>
      </w:pPr>
      <w:bookmarkStart w:id="94" w:name="_Toc25930281"/>
      <w:r w:rsidRPr="00344DCE">
        <w:t xml:space="preserve">Margin of </w:t>
      </w:r>
      <w:r w:rsidR="00BC62D4">
        <w:t>s</w:t>
      </w:r>
      <w:r w:rsidRPr="00344DCE">
        <w:t>afety</w:t>
      </w:r>
      <w:bookmarkEnd w:id="94"/>
    </w:p>
    <w:p w:rsidR="00BF5B8E" w:rsidRPr="00344DCE" w:rsidRDefault="00BF5B8E" w:rsidP="008A65A8">
      <w:r w:rsidRPr="00344DCE">
        <w:t>Combined dietary (</w:t>
      </w:r>
      <w:r w:rsidRPr="00344DCE">
        <w:fldChar w:fldCharType="begin"/>
      </w:r>
      <w:r w:rsidRPr="00344DCE">
        <w:instrText xml:space="preserve"> REF _Ref525286859 \h </w:instrText>
      </w:r>
      <w:r>
        <w:instrText xml:space="preserve"> \* MERGEFORMAT </w:instrText>
      </w:r>
      <w:r w:rsidRPr="00344DCE">
        <w:fldChar w:fldCharType="separate"/>
      </w:r>
      <w:r w:rsidR="007C34B5" w:rsidRPr="007C34B5">
        <w:t xml:space="preserve">Table </w:t>
      </w:r>
      <w:r w:rsidR="007C34B5" w:rsidRPr="007C34B5">
        <w:rPr>
          <w:bCs/>
          <w:noProof/>
          <w:lang w:val="en-US"/>
        </w:rPr>
        <w:t>4</w:t>
      </w:r>
      <w:r w:rsidR="007C34B5" w:rsidRPr="007C34B5">
        <w:rPr>
          <w:bCs/>
          <w:noProof/>
          <w:lang w:val="en-US"/>
        </w:rPr>
        <w:noBreakHyphen/>
      </w:r>
      <w:r w:rsidRPr="00344DCE">
        <w:fldChar w:fldCharType="end"/>
      </w:r>
      <w:r w:rsidR="00B01E1F">
        <w:t>3</w:t>
      </w:r>
      <w:r w:rsidRPr="00344DCE">
        <w:t xml:space="preserve">) and non-listed medicine fragranced-product adult EDI of </w:t>
      </w:r>
      <w:proofErr w:type="spellStart"/>
      <w:r w:rsidRPr="00344DCE">
        <w:t>coumarin</w:t>
      </w:r>
      <w:proofErr w:type="spellEnd"/>
      <w:r w:rsidRPr="00344DCE">
        <w:t xml:space="preserve"> range from 0.05 – 0.11 mg/kg </w:t>
      </w:r>
      <w:proofErr w:type="spellStart"/>
      <w:r w:rsidRPr="00344DCE">
        <w:t>bw</w:t>
      </w:r>
      <w:proofErr w:type="spellEnd"/>
      <w:r w:rsidRPr="00344DCE">
        <w:t xml:space="preserve">. The EDI of </w:t>
      </w:r>
      <w:proofErr w:type="spellStart"/>
      <w:r w:rsidRPr="00344DCE">
        <w:t>coumarin</w:t>
      </w:r>
      <w:proofErr w:type="spellEnd"/>
      <w:r w:rsidRPr="00344DCE">
        <w:t xml:space="preserve"> calculated from the available ARTG data (</w:t>
      </w:r>
      <w:r>
        <w:t>Equation 2-1</w:t>
      </w:r>
      <w:r w:rsidRPr="00344DCE">
        <w:t xml:space="preserve">) exceeds all available dietary EDI and is double the EFSA TDI. If a concentration limit of </w:t>
      </w:r>
      <w:proofErr w:type="spellStart"/>
      <w:r w:rsidRPr="00344DCE">
        <w:t>coumarin</w:t>
      </w:r>
      <w:proofErr w:type="spellEnd"/>
      <w:r w:rsidRPr="00344DCE">
        <w:t xml:space="preserve"> as an excipient in topical listed medicines aligned with the limit associated with </w:t>
      </w:r>
      <w:proofErr w:type="spellStart"/>
      <w:r w:rsidRPr="00344DCE">
        <w:t>coumarin</w:t>
      </w:r>
      <w:proofErr w:type="spellEnd"/>
      <w:r w:rsidRPr="00344DCE">
        <w:t xml:space="preserve"> as active ingredient (0.001%, see </w:t>
      </w:r>
      <w:r w:rsidRPr="00344DCE">
        <w:fldChar w:fldCharType="begin"/>
      </w:r>
      <w:r w:rsidRPr="00344DCE">
        <w:instrText xml:space="preserve"> REF _Ref2003577 \r \h </w:instrText>
      </w:r>
      <w:r w:rsidRPr="00344DCE">
        <w:fldChar w:fldCharType="separate"/>
      </w:r>
      <w:r w:rsidR="007C34B5">
        <w:t>2.1.1.2</w:t>
      </w:r>
      <w:r w:rsidRPr="00344DCE">
        <w:fldChar w:fldCharType="end"/>
      </w:r>
      <w:r w:rsidRPr="00344DCE">
        <w:t xml:space="preserve"> </w:t>
      </w:r>
      <w:r w:rsidRPr="00344DCE">
        <w:fldChar w:fldCharType="begin"/>
      </w:r>
      <w:r w:rsidRPr="00344DCE">
        <w:instrText xml:space="preserve"> REF _Ref2003577 \h </w:instrText>
      </w:r>
      <w:r w:rsidRPr="00344DCE">
        <w:fldChar w:fldCharType="separate"/>
      </w:r>
      <w:r w:rsidR="007C34B5" w:rsidRPr="008A65A8">
        <w:t>Scheduling</w:t>
      </w:r>
      <w:r w:rsidR="007C34B5" w:rsidRPr="00344DCE">
        <w:t xml:space="preserve"> status</w:t>
      </w:r>
      <w:r w:rsidRPr="00344DCE">
        <w:fldChar w:fldCharType="end"/>
      </w:r>
      <w:r w:rsidRPr="00344DCE">
        <w:t xml:space="preserve">), the maximal estimated daily intake arising from sunscreens would be reduced to 0.02 mg/ kg </w:t>
      </w:r>
      <w:proofErr w:type="spellStart"/>
      <w:r w:rsidRPr="00344DCE">
        <w:t>bw</w:t>
      </w:r>
      <w:proofErr w:type="spellEnd"/>
      <w:r w:rsidRPr="00344DCE">
        <w:t xml:space="preserve"> and, combined with dietary and non-listed medicine fragranced product EDI, approximates the EFSA TDI.</w:t>
      </w:r>
    </w:p>
    <w:p w:rsidR="00BF5B8E" w:rsidRPr="00344DCE" w:rsidRDefault="00BF5B8E" w:rsidP="000E0E79">
      <w:pPr>
        <w:pStyle w:val="Heading3"/>
      </w:pPr>
      <w:bookmarkStart w:id="95" w:name="_Toc25652443"/>
      <w:bookmarkStart w:id="96" w:name="_Toc25930282"/>
      <w:proofErr w:type="spellStart"/>
      <w:r w:rsidRPr="00344DCE">
        <w:t>Genotoxicity</w:t>
      </w:r>
      <w:bookmarkEnd w:id="91"/>
      <w:bookmarkEnd w:id="92"/>
      <w:bookmarkEnd w:id="93"/>
      <w:proofErr w:type="spellEnd"/>
      <w:r w:rsidRPr="00344DCE">
        <w:t xml:space="preserve"> &amp; </w:t>
      </w:r>
      <w:r w:rsidR="00BC62D4">
        <w:t>c</w:t>
      </w:r>
      <w:r w:rsidRPr="00344DCE">
        <w:t>arcinogenicity</w:t>
      </w:r>
      <w:bookmarkEnd w:id="95"/>
      <w:bookmarkEnd w:id="96"/>
    </w:p>
    <w:p w:rsidR="00BF5B8E" w:rsidRPr="00344DCE" w:rsidRDefault="00BF5B8E" w:rsidP="008A65A8">
      <w:r w:rsidRPr="00344DCE">
        <w:t xml:space="preserve">Carcinomas have only presented in animal models at doses higher than 100 mg/kg </w:t>
      </w:r>
      <w:proofErr w:type="spellStart"/>
      <w:r w:rsidRPr="00344DCE">
        <w:t>bw</w:t>
      </w:r>
      <w:proofErr w:type="spellEnd"/>
      <w:r w:rsidRPr="00344DCE">
        <w:t xml:space="preserve">/day </w:t>
      </w:r>
      <w:r w:rsidRPr="00344DCE">
        <w:rPr>
          <w:noProof/>
        </w:rPr>
        <w:t xml:space="preserve">(Abraham </w:t>
      </w:r>
      <w:r w:rsidR="00455127" w:rsidRPr="00455127">
        <w:rPr>
          <w:i/>
          <w:noProof/>
        </w:rPr>
        <w:t>et al.</w:t>
      </w:r>
      <w:r w:rsidRPr="00344DCE">
        <w:rPr>
          <w:noProof/>
        </w:rPr>
        <w:t>, 2010)</w:t>
      </w:r>
      <w:r w:rsidRPr="00344DCE">
        <w:t xml:space="preserve">. The European Union considered the available data on the </w:t>
      </w:r>
      <w:proofErr w:type="spellStart"/>
      <w:r w:rsidRPr="00344DCE">
        <w:t>genotoxicity</w:t>
      </w:r>
      <w:proofErr w:type="spellEnd"/>
      <w:r w:rsidRPr="00344DCE">
        <w:t xml:space="preserve"> of </w:t>
      </w:r>
      <w:proofErr w:type="spellStart"/>
      <w:r w:rsidRPr="00344DCE">
        <w:t>coumarin</w:t>
      </w:r>
      <w:proofErr w:type="spellEnd"/>
      <w:r w:rsidRPr="00344DCE">
        <w:t xml:space="preserve"> over a series of panels (EC, 1999; EFSA, 2004) and considered studies in compliance with Option 1 of the </w:t>
      </w:r>
      <w:hyperlink r:id="rId20" w:history="1">
        <w:r w:rsidRPr="00344DCE">
          <w:rPr>
            <w:rStyle w:val="Hyperlink"/>
          </w:rPr>
          <w:t>TGA adopted guideline</w:t>
        </w:r>
      </w:hyperlink>
      <w:r w:rsidRPr="00344DCE">
        <w:t xml:space="preserve"> for </w:t>
      </w:r>
      <w:proofErr w:type="spellStart"/>
      <w:r w:rsidRPr="00344DCE">
        <w:t>genotoxicity</w:t>
      </w:r>
      <w:proofErr w:type="spellEnd"/>
      <w:r w:rsidRPr="00344DCE">
        <w:t xml:space="preserve"> studies. (International Conference on Harmonisation of Technical Requirements for Registration of Pharm</w:t>
      </w:r>
      <w:r w:rsidR="00B01E1F">
        <w:t>aceuticals for Human Use, 2011).</w:t>
      </w:r>
    </w:p>
    <w:p w:rsidR="00BF5B8E" w:rsidRPr="00344DCE" w:rsidRDefault="00BF5B8E" w:rsidP="008A65A8">
      <w:r w:rsidRPr="00344DCE">
        <w:t xml:space="preserve">In addition, to published studies on mutagenicity (NTP, 1993), unscheduled DNA synthesis </w:t>
      </w:r>
      <w:r>
        <w:rPr>
          <w:noProof/>
        </w:rPr>
        <w:t xml:space="preserve">(Edwards </w:t>
      </w:r>
      <w:r w:rsidR="00455127" w:rsidRPr="00455127">
        <w:rPr>
          <w:i/>
          <w:noProof/>
        </w:rPr>
        <w:t>et al.</w:t>
      </w:r>
      <w:r>
        <w:rPr>
          <w:noProof/>
        </w:rPr>
        <w:t>, 2000)</w:t>
      </w:r>
      <w:r w:rsidRPr="00344DCE">
        <w:t xml:space="preserve"> and an </w:t>
      </w:r>
      <w:r w:rsidRPr="00344DCE">
        <w:rPr>
          <w:i/>
        </w:rPr>
        <w:t xml:space="preserve">in vivo </w:t>
      </w:r>
      <w:proofErr w:type="spellStart"/>
      <w:r w:rsidRPr="00344DCE">
        <w:t>micronuclease</w:t>
      </w:r>
      <w:proofErr w:type="spellEnd"/>
      <w:r w:rsidRPr="00344DCE">
        <w:t xml:space="preserve"> test </w:t>
      </w:r>
      <w:r w:rsidRPr="00344DCE">
        <w:rPr>
          <w:noProof/>
        </w:rPr>
        <w:t>(Api, 2001)</w:t>
      </w:r>
      <w:r w:rsidRPr="00344DCE">
        <w:t xml:space="preserve"> the panels considered a further unpublished study which determined that </w:t>
      </w:r>
      <w:proofErr w:type="spellStart"/>
      <w:r w:rsidRPr="00344DCE">
        <w:t>coumarin</w:t>
      </w:r>
      <w:proofErr w:type="spellEnd"/>
      <w:r w:rsidRPr="00344DCE">
        <w:t xml:space="preserve"> does not covalently bond with DNA in the liver or kidney and in 2004 (EFSA) determined that the </w:t>
      </w:r>
      <w:proofErr w:type="spellStart"/>
      <w:r w:rsidRPr="00344DCE">
        <w:t>tumourogenicity</w:t>
      </w:r>
      <w:proofErr w:type="spellEnd"/>
      <w:r w:rsidRPr="00344DCE">
        <w:t xml:space="preserve"> of </w:t>
      </w:r>
      <w:proofErr w:type="spellStart"/>
      <w:r w:rsidRPr="00344DCE">
        <w:t>coumarin</w:t>
      </w:r>
      <w:proofErr w:type="spellEnd"/>
      <w:r w:rsidRPr="00344DCE">
        <w:t xml:space="preserve"> is preceded by toxicity in the target organ; which provided the basis for determining an ADI based on toxicological data.</w:t>
      </w:r>
    </w:p>
    <w:p w:rsidR="00BF5B8E" w:rsidRPr="00344DCE" w:rsidRDefault="00BF5B8E" w:rsidP="000E0E79">
      <w:pPr>
        <w:pStyle w:val="Heading3"/>
      </w:pPr>
      <w:bookmarkStart w:id="97" w:name="_Toc371428129"/>
      <w:bookmarkStart w:id="98" w:name="_Toc424647375"/>
      <w:bookmarkStart w:id="99" w:name="_Toc516662769"/>
      <w:bookmarkStart w:id="100" w:name="_Toc25652444"/>
      <w:bookmarkStart w:id="101" w:name="_Toc25930283"/>
      <w:r>
        <w:t xml:space="preserve">Developmental and </w:t>
      </w:r>
      <w:r w:rsidR="00BC62D4">
        <w:t>r</w:t>
      </w:r>
      <w:r w:rsidRPr="00344DCE">
        <w:t xml:space="preserve">eproductive </w:t>
      </w:r>
      <w:bookmarkEnd w:id="97"/>
      <w:r w:rsidR="00BC62D4">
        <w:t>t</w:t>
      </w:r>
      <w:r w:rsidRPr="00344DCE">
        <w:t>oxicity</w:t>
      </w:r>
      <w:bookmarkEnd w:id="98"/>
      <w:bookmarkEnd w:id="99"/>
      <w:bookmarkEnd w:id="100"/>
      <w:bookmarkEnd w:id="101"/>
    </w:p>
    <w:p w:rsidR="00BF5B8E" w:rsidRDefault="00BF5B8E" w:rsidP="008A65A8">
      <w:r w:rsidRPr="00344DCE">
        <w:t xml:space="preserve">There were no primary sources available for review considering the reproductive or developmental toxicity of </w:t>
      </w:r>
      <w:proofErr w:type="spellStart"/>
      <w:r w:rsidRPr="00344DCE">
        <w:t>coumarin</w:t>
      </w:r>
      <w:proofErr w:type="spellEnd"/>
      <w:r>
        <w:t>; however, review articles that consider such data are discussed below</w:t>
      </w:r>
      <w:r w:rsidRPr="00344DCE">
        <w:t xml:space="preserve">. Literature reviews by the WHO (2000) and United States NTP (1993) cited limited sources in relation to reproductive or developmental toxicity of </w:t>
      </w:r>
      <w:proofErr w:type="spellStart"/>
      <w:r w:rsidRPr="00344DCE">
        <w:t>coumarin</w:t>
      </w:r>
      <w:proofErr w:type="spellEnd"/>
      <w:r w:rsidRPr="00344DCE">
        <w:t xml:space="preserve">. The Australian </w:t>
      </w:r>
      <w:r>
        <w:rPr>
          <w:noProof/>
        </w:rPr>
        <w:t>National Industrial Chemicals Notification and Assessment Scheme (n.d.)</w:t>
      </w:r>
      <w:r w:rsidRPr="00344DCE">
        <w:t xml:space="preserve"> considered the same sources, and determined that the limited information available to them did not provide for a conclusion to be drawn on the reproductive or developmental toxicity of </w:t>
      </w:r>
      <w:proofErr w:type="spellStart"/>
      <w:r w:rsidRPr="00344DCE">
        <w:t>coumarin</w:t>
      </w:r>
      <w:proofErr w:type="spellEnd"/>
      <w:r w:rsidRPr="00344DCE">
        <w:t>.</w:t>
      </w:r>
      <w:r>
        <w:t xml:space="preserve"> </w:t>
      </w:r>
      <w:r>
        <w:rPr>
          <w:noProof/>
        </w:rPr>
        <w:t xml:space="preserve">Api </w:t>
      </w:r>
      <w:r w:rsidR="00455127" w:rsidRPr="00455127">
        <w:rPr>
          <w:i/>
          <w:noProof/>
        </w:rPr>
        <w:t>et al.</w:t>
      </w:r>
      <w:r>
        <w:rPr>
          <w:noProof/>
        </w:rPr>
        <w:t xml:space="preserve"> (2019)</w:t>
      </w:r>
      <w:r w:rsidRPr="00344DCE">
        <w:t xml:space="preserve"> </w:t>
      </w:r>
      <w:r>
        <w:t xml:space="preserve">describes developmental and reproductive toxicity studies not available for review; </w:t>
      </w:r>
      <w:r>
        <w:lastRenderedPageBreak/>
        <w:t xml:space="preserve">there is insufficient information to assess whether the studies comply with international guidelines for such investigations </w:t>
      </w:r>
      <w:r>
        <w:rPr>
          <w:noProof/>
        </w:rPr>
        <w:t>(OECD, 2016)</w:t>
      </w:r>
      <w:r>
        <w:t>.</w:t>
      </w:r>
    </w:p>
    <w:p w:rsidR="00BF5B8E" w:rsidRPr="00344DCE" w:rsidRDefault="00BF5B8E" w:rsidP="008A65A8">
      <w:r>
        <w:rPr>
          <w:noProof/>
        </w:rPr>
        <w:t xml:space="preserve">Roll and Bar (1967 as cited in Api </w:t>
      </w:r>
      <w:r w:rsidR="00455127" w:rsidRPr="00455127">
        <w:rPr>
          <w:i/>
          <w:noProof/>
        </w:rPr>
        <w:t>et al.</w:t>
      </w:r>
      <w:r>
        <w:rPr>
          <w:noProof/>
        </w:rPr>
        <w:t>, 2019)</w:t>
      </w:r>
      <w:r>
        <w:t xml:space="preserve"> </w:t>
      </w:r>
      <w:r w:rsidRPr="00344DCE">
        <w:t xml:space="preserve">conducted </w:t>
      </w:r>
      <w:r>
        <w:t xml:space="preserve">a developmental toxicity study </w:t>
      </w:r>
      <w:r w:rsidRPr="00344DCE">
        <w:t xml:space="preserve">in NMRI mice </w:t>
      </w:r>
      <w:r>
        <w:t xml:space="preserve">fed diets containing 0%, 0.05% 0.1% and 0.25% </w:t>
      </w:r>
      <w:proofErr w:type="spellStart"/>
      <w:r>
        <w:t>coumarin</w:t>
      </w:r>
      <w:proofErr w:type="spellEnd"/>
      <w:r>
        <w:t>. S</w:t>
      </w:r>
      <w:r w:rsidRPr="00344DCE">
        <w:t>tillbirth</w:t>
      </w:r>
      <w:r>
        <w:t>s</w:t>
      </w:r>
      <w:r w:rsidRPr="00344DCE">
        <w:t xml:space="preserve"> between control</w:t>
      </w:r>
      <w:r>
        <w:t xml:space="preserve"> group</w:t>
      </w:r>
      <w:r w:rsidRPr="00344DCE">
        <w:t xml:space="preserve"> and 0.1% and 0.05% </w:t>
      </w:r>
      <w:proofErr w:type="spellStart"/>
      <w:r w:rsidRPr="00344DCE">
        <w:t>coumarin</w:t>
      </w:r>
      <w:proofErr w:type="spellEnd"/>
      <w:r w:rsidRPr="00344DCE">
        <w:t xml:space="preserve"> diet</w:t>
      </w:r>
      <w:r>
        <w:t xml:space="preserve"> group</w:t>
      </w:r>
      <w:r w:rsidRPr="00344DCE">
        <w:t>s</w:t>
      </w:r>
      <w:r>
        <w:t xml:space="preserve"> were not significantly different; however, the 6.1% still birth rate in the 0.25% </w:t>
      </w:r>
      <w:proofErr w:type="spellStart"/>
      <w:r>
        <w:t>coumarin</w:t>
      </w:r>
      <w:proofErr w:type="spellEnd"/>
      <w:r>
        <w:t xml:space="preserve"> group was significantly higher than control</w:t>
      </w:r>
      <w:r w:rsidRPr="00344DCE">
        <w:t xml:space="preserve">. </w:t>
      </w:r>
      <w:r>
        <w:t xml:space="preserve">Analysis of </w:t>
      </w:r>
      <w:r w:rsidRPr="00344DCE">
        <w:t>Caesarean</w:t>
      </w:r>
      <w:r>
        <w:t xml:space="preserve"> sections found </w:t>
      </w:r>
      <w:r w:rsidRPr="00344DCE">
        <w:t xml:space="preserve">the 0.25% </w:t>
      </w:r>
      <w:proofErr w:type="spellStart"/>
      <w:r w:rsidRPr="00344DCE">
        <w:t>coumarin</w:t>
      </w:r>
      <w:proofErr w:type="spellEnd"/>
      <w:r w:rsidRPr="00344DCE">
        <w:t xml:space="preserve"> diet</w:t>
      </w:r>
      <w:r>
        <w:t xml:space="preserve"> group</w:t>
      </w:r>
      <w:r w:rsidRPr="00344DCE">
        <w:t xml:space="preserve"> </w:t>
      </w:r>
      <w:r>
        <w:t xml:space="preserve">contained </w:t>
      </w:r>
      <w:r w:rsidRPr="00344DCE">
        <w:t xml:space="preserve">significantly reduced bone ossification of </w:t>
      </w:r>
      <w:proofErr w:type="spellStart"/>
      <w:r w:rsidRPr="00344DCE">
        <w:t>fetuses</w:t>
      </w:r>
      <w:proofErr w:type="spellEnd"/>
      <w:r w:rsidRPr="00344DCE">
        <w:t xml:space="preserve"> 18 </w:t>
      </w:r>
      <w:proofErr w:type="gramStart"/>
      <w:r w:rsidRPr="00344DCE">
        <w:t>days</w:t>
      </w:r>
      <w:proofErr w:type="gramEnd"/>
      <w:r w:rsidRPr="00344DCE">
        <w:t xml:space="preserve"> </w:t>
      </w:r>
      <w:r w:rsidRPr="001E0A15">
        <w:rPr>
          <w:i/>
        </w:rPr>
        <w:t xml:space="preserve">post </w:t>
      </w:r>
      <w:proofErr w:type="spellStart"/>
      <w:r w:rsidRPr="001E0A15">
        <w:rPr>
          <w:i/>
        </w:rPr>
        <w:t>coitum</w:t>
      </w:r>
      <w:proofErr w:type="spellEnd"/>
      <w:r w:rsidRPr="00344DCE">
        <w:t xml:space="preserve">. The NOAEL for the developmental toxicity of </w:t>
      </w:r>
      <w:proofErr w:type="spellStart"/>
      <w:r w:rsidRPr="00344DCE">
        <w:t>coumarin</w:t>
      </w:r>
      <w:proofErr w:type="spellEnd"/>
      <w:r w:rsidRPr="00344DCE">
        <w:t xml:space="preserve"> was </w:t>
      </w:r>
      <w:r>
        <w:t xml:space="preserve">reported </w:t>
      </w:r>
      <w:r w:rsidRPr="00344DCE">
        <w:t>to be 0.1%</w:t>
      </w:r>
      <w:r>
        <w:t xml:space="preserve">, and extrapolated to </w:t>
      </w:r>
      <w:r w:rsidRPr="00344DCE">
        <w:t>150 mg/kg</w:t>
      </w:r>
      <w:r>
        <w:t xml:space="preserve"> </w:t>
      </w:r>
      <w:proofErr w:type="spellStart"/>
      <w:r>
        <w:t>bw</w:t>
      </w:r>
      <w:proofErr w:type="spellEnd"/>
      <w:r w:rsidRPr="00344DCE">
        <w:t>/day</w:t>
      </w:r>
      <w:r>
        <w:t>; however</w:t>
      </w:r>
      <w:r w:rsidR="00BC62D4">
        <w:t>,</w:t>
      </w:r>
      <w:r>
        <w:t xml:space="preserve"> the basis for this calculation was not described in the report</w:t>
      </w:r>
      <w:r w:rsidRPr="00344DCE">
        <w:t>.</w:t>
      </w:r>
      <w:r>
        <w:t xml:space="preserve"> D</w:t>
      </w:r>
      <w:r w:rsidRPr="00344DCE">
        <w:t xml:space="preserve">evelopmental toxicity was </w:t>
      </w:r>
      <w:r>
        <w:t xml:space="preserve">not reported for </w:t>
      </w:r>
      <w:r w:rsidRPr="00344DCE">
        <w:t xml:space="preserve">studies with a mixture of </w:t>
      </w:r>
      <w:proofErr w:type="spellStart"/>
      <w:r w:rsidRPr="00344DCE">
        <w:t>coumarin</w:t>
      </w:r>
      <w:proofErr w:type="spellEnd"/>
      <w:r w:rsidRPr="00344DCE">
        <w:t xml:space="preserve"> and </w:t>
      </w:r>
      <w:proofErr w:type="spellStart"/>
      <w:r w:rsidRPr="00344DCE">
        <w:t>rutin</w:t>
      </w:r>
      <w:proofErr w:type="spellEnd"/>
      <w:r w:rsidRPr="00344DCE">
        <w:t xml:space="preserve"> conducted in rats, rabbits, or mini</w:t>
      </w:r>
      <w:r>
        <w:t xml:space="preserve">ature </w:t>
      </w:r>
      <w:r w:rsidRPr="00344DCE">
        <w:t>pigs</w:t>
      </w:r>
      <w:r>
        <w:t>; however, administered dosages were not described</w:t>
      </w:r>
      <w:r w:rsidR="00BC62D4">
        <w:t xml:space="preserve"> </w:t>
      </w:r>
      <w:r>
        <w:rPr>
          <w:noProof/>
        </w:rPr>
        <w:t xml:space="preserve">(Grote </w:t>
      </w:r>
      <w:r w:rsidR="00455127" w:rsidRPr="00455127">
        <w:rPr>
          <w:i/>
          <w:noProof/>
        </w:rPr>
        <w:t>et al.</w:t>
      </w:r>
      <w:r>
        <w:rPr>
          <w:noProof/>
        </w:rPr>
        <w:t xml:space="preserve">, 1977 as cited in Api </w:t>
      </w:r>
      <w:r w:rsidR="00455127" w:rsidRPr="00455127">
        <w:rPr>
          <w:i/>
          <w:noProof/>
        </w:rPr>
        <w:t>et al.</w:t>
      </w:r>
      <w:r>
        <w:rPr>
          <w:noProof/>
        </w:rPr>
        <w:t xml:space="preserve"> 2019)</w:t>
      </w:r>
      <w:r w:rsidRPr="00344DCE">
        <w:t>.</w:t>
      </w:r>
    </w:p>
    <w:p w:rsidR="00BF5B8E" w:rsidRDefault="00BF5B8E" w:rsidP="008A65A8">
      <w:bookmarkStart w:id="102" w:name="_Toc371428130"/>
      <w:bookmarkStart w:id="103" w:name="_Toc424647376"/>
      <w:bookmarkStart w:id="104" w:name="_Toc516662770"/>
      <w:bookmarkStart w:id="105" w:name="_Ref524630379"/>
      <w:bookmarkStart w:id="106" w:name="_Ref524630381"/>
      <w:r>
        <w:t>A</w:t>
      </w:r>
      <w:r w:rsidRPr="00344DCE">
        <w:t xml:space="preserve"> multi-generation reproductive toxicity study </w:t>
      </w:r>
      <w:r>
        <w:t xml:space="preserve">was reported by </w:t>
      </w:r>
      <w:r>
        <w:rPr>
          <w:noProof/>
        </w:rPr>
        <w:t xml:space="preserve">Preuss-Ueberschar </w:t>
      </w:r>
      <w:r w:rsidR="00455127" w:rsidRPr="00455127">
        <w:rPr>
          <w:i/>
          <w:noProof/>
        </w:rPr>
        <w:t>et al.</w:t>
      </w:r>
      <w:r>
        <w:rPr>
          <w:noProof/>
        </w:rPr>
        <w:t xml:space="preserve"> (1984 as cited in Api. et al, 2019)</w:t>
      </w:r>
      <w:r w:rsidRPr="00344DCE">
        <w:t xml:space="preserve"> in </w:t>
      </w:r>
      <w:proofErr w:type="spellStart"/>
      <w:r>
        <w:t>Wistar</w:t>
      </w:r>
      <w:proofErr w:type="spellEnd"/>
      <w:r>
        <w:t xml:space="preserve"> </w:t>
      </w:r>
      <w:r w:rsidRPr="00344DCE">
        <w:t>rats</w:t>
      </w:r>
      <w:r>
        <w:t xml:space="preserve"> exposed to a therapeutic product containing a combination of </w:t>
      </w:r>
      <w:r w:rsidRPr="00344DCE">
        <w:t xml:space="preserve">15 mg </w:t>
      </w:r>
      <w:proofErr w:type="spellStart"/>
      <w:r w:rsidRPr="00344DCE">
        <w:t>coumarin</w:t>
      </w:r>
      <w:proofErr w:type="spellEnd"/>
      <w:r w:rsidRPr="00344DCE">
        <w:t xml:space="preserve"> and 90</w:t>
      </w:r>
      <w:r>
        <w:t xml:space="preserve"> </w:t>
      </w:r>
      <w:r w:rsidRPr="00344DCE">
        <w:t xml:space="preserve">mg </w:t>
      </w:r>
      <w:proofErr w:type="spellStart"/>
      <w:r w:rsidRPr="00344DCE">
        <w:t>troxerutin</w:t>
      </w:r>
      <w:proofErr w:type="spellEnd"/>
      <w:r>
        <w:t>. Twenty-three</w:t>
      </w:r>
      <w:r w:rsidRPr="00344DCE">
        <w:t xml:space="preserve"> male and 46 female rats were </w:t>
      </w:r>
      <w:r>
        <w:t xml:space="preserve">administered (via oral gavage) </w:t>
      </w:r>
      <w:r w:rsidRPr="00344DCE">
        <w:t xml:space="preserve">0, 1-, 8-, 64- and 128- fold of the daily therapeutic doses for humans </w:t>
      </w:r>
      <w:r>
        <w:t>p</w:t>
      </w:r>
      <w:r w:rsidRPr="00344DCE">
        <w:t xml:space="preserve">rior to, and during mating phases. </w:t>
      </w:r>
      <w:r>
        <w:t>A</w:t>
      </w:r>
      <w:r w:rsidRPr="00344DCE">
        <w:t xml:space="preserve">dverse events relating to parental fertility, </w:t>
      </w:r>
      <w:proofErr w:type="spellStart"/>
      <w:r>
        <w:t>fetal</w:t>
      </w:r>
      <w:proofErr w:type="spellEnd"/>
      <w:r>
        <w:t xml:space="preserve"> </w:t>
      </w:r>
      <w:r w:rsidRPr="00344DCE">
        <w:t>deformity rates or postnatal developments of pups</w:t>
      </w:r>
      <w:r>
        <w:t xml:space="preserve"> were not observed up to the highest dose</w:t>
      </w:r>
      <w:r w:rsidRPr="00344DCE">
        <w:t xml:space="preserve">. </w:t>
      </w:r>
      <w:r>
        <w:t xml:space="preserve">The highest dose is extrapolated to approximately 96-192 mg/kg </w:t>
      </w:r>
      <w:proofErr w:type="spellStart"/>
      <w:r>
        <w:t>bw</w:t>
      </w:r>
      <w:proofErr w:type="spellEnd"/>
      <w:r>
        <w:t>/day; however, the basis for this calculation was similarly not described by the author.</w:t>
      </w:r>
    </w:p>
    <w:p w:rsidR="00BF5B8E" w:rsidRPr="00344DCE" w:rsidRDefault="00BF5B8E" w:rsidP="000E0E79">
      <w:pPr>
        <w:pStyle w:val="Heading3"/>
      </w:pPr>
      <w:bookmarkStart w:id="107" w:name="_Toc25652445"/>
      <w:bookmarkStart w:id="108" w:name="_Toc25930284"/>
      <w:r w:rsidRPr="00344DCE">
        <w:t xml:space="preserve">Local </w:t>
      </w:r>
      <w:r w:rsidR="00B01E1F">
        <w:t>t</w:t>
      </w:r>
      <w:r w:rsidRPr="00344DCE">
        <w:t>olerance</w:t>
      </w:r>
      <w:bookmarkEnd w:id="102"/>
      <w:bookmarkEnd w:id="103"/>
      <w:bookmarkEnd w:id="104"/>
      <w:bookmarkEnd w:id="105"/>
      <w:bookmarkEnd w:id="106"/>
      <w:bookmarkEnd w:id="107"/>
      <w:bookmarkEnd w:id="108"/>
    </w:p>
    <w:p w:rsidR="00BF5B8E" w:rsidRPr="00344DCE" w:rsidRDefault="00BF5B8E" w:rsidP="00CF066C">
      <w:r w:rsidRPr="00344DCE">
        <w:t xml:space="preserve">The skin sensitisation properties of </w:t>
      </w:r>
      <w:proofErr w:type="spellStart"/>
      <w:r w:rsidRPr="00344DCE">
        <w:t>coumarin</w:t>
      </w:r>
      <w:proofErr w:type="spellEnd"/>
      <w:r w:rsidRPr="00344DCE">
        <w:t xml:space="preserve"> are well established. The European Commission </w:t>
      </w:r>
      <w:r w:rsidRPr="00344DCE">
        <w:rPr>
          <w:noProof/>
        </w:rPr>
        <w:t>(2012)</w:t>
      </w:r>
      <w:r w:rsidRPr="00344DCE">
        <w:t xml:space="preserve"> reports that </w:t>
      </w:r>
      <w:proofErr w:type="spellStart"/>
      <w:r w:rsidRPr="00344DCE">
        <w:t>coumarin</w:t>
      </w:r>
      <w:proofErr w:type="spellEnd"/>
      <w:r w:rsidRPr="00344DCE">
        <w:t xml:space="preserve"> is an allergen of special concern, as between 100 and 1,000 cases of reaction have been published. Available studies are summarised in </w:t>
      </w:r>
      <w:r w:rsidR="008A65A8">
        <w:t>Table 4-4</w:t>
      </w:r>
      <w:r w:rsidRPr="00344DCE">
        <w:t xml:space="preserve">. The frequency of </w:t>
      </w:r>
      <w:proofErr w:type="spellStart"/>
      <w:r w:rsidRPr="00344DCE">
        <w:t>coumarin</w:t>
      </w:r>
      <w:proofErr w:type="spellEnd"/>
      <w:r w:rsidRPr="00344DCE">
        <w:t xml:space="preserve"> sensitisation is of such concern that it is included in Fragrance Mix II, a patch testing kit to determine if commercial fragrance constituents are a causal factor in dermatologic conditions </w:t>
      </w:r>
      <w:r>
        <w:rPr>
          <w:noProof/>
        </w:rPr>
        <w:t xml:space="preserve">(Bennike </w:t>
      </w:r>
      <w:r w:rsidR="00455127" w:rsidRPr="00455127">
        <w:rPr>
          <w:i/>
          <w:noProof/>
        </w:rPr>
        <w:t>et al.</w:t>
      </w:r>
      <w:r>
        <w:rPr>
          <w:noProof/>
        </w:rPr>
        <w:t>, 2017)</w:t>
      </w:r>
      <w:r w:rsidRPr="00344DCE">
        <w:t xml:space="preserve">. The inclusion of </w:t>
      </w:r>
      <w:proofErr w:type="spellStart"/>
      <w:r w:rsidRPr="00344DCE">
        <w:t>coumarin</w:t>
      </w:r>
      <w:proofErr w:type="spellEnd"/>
      <w:r w:rsidRPr="00344DCE">
        <w:t xml:space="preserve"> in this mix may not be sufficient to detect all </w:t>
      </w:r>
      <w:proofErr w:type="spellStart"/>
      <w:r w:rsidRPr="00344DCE">
        <w:t>coumarin</w:t>
      </w:r>
      <w:proofErr w:type="spellEnd"/>
      <w:r w:rsidRPr="00344DCE">
        <w:t xml:space="preserve">-sensitive patients, as numerous cases of sensitivity to </w:t>
      </w:r>
      <w:proofErr w:type="spellStart"/>
      <w:r w:rsidRPr="00344DCE">
        <w:t>coumarin</w:t>
      </w:r>
      <w:proofErr w:type="spellEnd"/>
      <w:r w:rsidRPr="00344DCE">
        <w:t xml:space="preserve"> have been reported in patients insensitive to the fragrance mix </w:t>
      </w:r>
      <w:r w:rsidRPr="00344DCE">
        <w:rPr>
          <w:noProof/>
        </w:rPr>
        <w:t xml:space="preserve">(Bennike </w:t>
      </w:r>
      <w:r w:rsidR="00455127" w:rsidRPr="00455127">
        <w:rPr>
          <w:i/>
          <w:noProof/>
        </w:rPr>
        <w:t>et al.</w:t>
      </w:r>
      <w:r w:rsidRPr="00344DCE">
        <w:rPr>
          <w:noProof/>
        </w:rPr>
        <w:t xml:space="preserve">, 2017; Mutterer </w:t>
      </w:r>
      <w:r w:rsidR="00455127" w:rsidRPr="00455127">
        <w:rPr>
          <w:i/>
          <w:noProof/>
        </w:rPr>
        <w:t>et al.</w:t>
      </w:r>
      <w:r w:rsidRPr="00344DCE">
        <w:rPr>
          <w:noProof/>
        </w:rPr>
        <w:t>, 1999)</w:t>
      </w:r>
      <w:r w:rsidRPr="00344DCE">
        <w:t>.</w:t>
      </w:r>
    </w:p>
    <w:p w:rsidR="00BF5B8E" w:rsidRPr="00CF066C" w:rsidRDefault="00BF5B8E" w:rsidP="008A65A8">
      <w:pPr>
        <w:pStyle w:val="Caption"/>
        <w:keepNext/>
        <w:rPr>
          <w:rFonts w:ascii="Cambria" w:hAnsi="Cambria"/>
          <w:b/>
          <w:sz w:val="22"/>
          <w:szCs w:val="22"/>
        </w:rPr>
      </w:pPr>
      <w:bookmarkStart w:id="109" w:name="_Ref25140244"/>
      <w:r w:rsidRPr="00CF066C">
        <w:rPr>
          <w:rFonts w:ascii="Cambria" w:hAnsi="Cambria"/>
          <w:b/>
          <w:sz w:val="22"/>
          <w:szCs w:val="22"/>
        </w:rPr>
        <w:t xml:space="preserve">Table </w:t>
      </w:r>
      <w:bookmarkEnd w:id="109"/>
      <w:r w:rsidR="00CF066C" w:rsidRPr="00CF066C">
        <w:rPr>
          <w:rFonts w:ascii="Cambria" w:hAnsi="Cambria"/>
          <w:b/>
          <w:sz w:val="22"/>
          <w:szCs w:val="22"/>
        </w:rPr>
        <w:t>4-4</w:t>
      </w:r>
      <w:r w:rsidRPr="00CF066C">
        <w:rPr>
          <w:rFonts w:ascii="Cambria" w:hAnsi="Cambria"/>
          <w:b/>
          <w:sz w:val="22"/>
          <w:szCs w:val="22"/>
        </w:rPr>
        <w:t>: Summary of available skin sensitisation data in humans</w:t>
      </w:r>
    </w:p>
    <w:tbl>
      <w:tblPr>
        <w:tblStyle w:val="TableTGAblue"/>
        <w:tblW w:w="9062" w:type="dxa"/>
        <w:tblLayout w:type="fixed"/>
        <w:tblLook w:val="04A0" w:firstRow="1" w:lastRow="0" w:firstColumn="1" w:lastColumn="0" w:noHBand="0" w:noVBand="1"/>
      </w:tblPr>
      <w:tblGrid>
        <w:gridCol w:w="1975"/>
        <w:gridCol w:w="709"/>
        <w:gridCol w:w="1417"/>
        <w:gridCol w:w="3402"/>
        <w:gridCol w:w="1559"/>
      </w:tblGrid>
      <w:tr w:rsidR="00BF5B8E" w:rsidRPr="00344DCE" w:rsidTr="0041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rsidR="00BF5B8E" w:rsidRPr="00344DCE" w:rsidRDefault="004162E4" w:rsidP="004162E4">
            <w:pPr>
              <w:spacing w:beforeLines="60" w:before="144" w:after="60"/>
            </w:pPr>
            <w:proofErr w:type="spellStart"/>
            <w:r>
              <w:t>Coumarin</w:t>
            </w:r>
            <w:proofErr w:type="spellEnd"/>
            <w:r>
              <w:t xml:space="preserve"> conc.</w:t>
            </w:r>
            <w:r w:rsidR="00BF5B8E" w:rsidRPr="00344DCE">
              <w:t xml:space="preserve"> (%)</w:t>
            </w:r>
          </w:p>
        </w:tc>
        <w:tc>
          <w:tcPr>
            <w:tcW w:w="709" w:type="dxa"/>
            <w:vAlign w:val="center"/>
          </w:tcPr>
          <w:p w:rsidR="00BF5B8E" w:rsidRPr="00344DCE" w:rsidRDefault="00BF5B8E" w:rsidP="004162E4">
            <w:pPr>
              <w:spacing w:beforeLines="60" w:before="144" w:after="60"/>
              <w:cnfStyle w:val="100000000000" w:firstRow="1" w:lastRow="0" w:firstColumn="0" w:lastColumn="0" w:oddVBand="0" w:evenVBand="0" w:oddHBand="0" w:evenHBand="0" w:firstRowFirstColumn="0" w:firstRowLastColumn="0" w:lastRowFirstColumn="0" w:lastRowLastColumn="0"/>
              <w:rPr>
                <w:i/>
              </w:rPr>
            </w:pPr>
            <w:r w:rsidRPr="00344DCE">
              <w:rPr>
                <w:i/>
              </w:rPr>
              <w:t>n</w:t>
            </w:r>
          </w:p>
        </w:tc>
        <w:tc>
          <w:tcPr>
            <w:tcW w:w="1417" w:type="dxa"/>
            <w:vAlign w:val="center"/>
          </w:tcPr>
          <w:p w:rsidR="00BF5B8E" w:rsidRPr="00344DCE" w:rsidRDefault="00BF5B8E" w:rsidP="004162E4">
            <w:pPr>
              <w:spacing w:beforeLines="60" w:before="144" w:after="60"/>
              <w:cnfStyle w:val="100000000000" w:firstRow="1" w:lastRow="0" w:firstColumn="0" w:lastColumn="0" w:oddVBand="0" w:evenVBand="0" w:oddHBand="0" w:evenHBand="0" w:firstRowFirstColumn="0" w:firstRowLastColumn="0" w:lastRowFirstColumn="0" w:lastRowLastColumn="0"/>
            </w:pPr>
            <w:r w:rsidRPr="00344DCE">
              <w:t>Result</w:t>
            </w:r>
          </w:p>
        </w:tc>
        <w:tc>
          <w:tcPr>
            <w:tcW w:w="3402" w:type="dxa"/>
            <w:vAlign w:val="center"/>
          </w:tcPr>
          <w:p w:rsidR="00BF5B8E" w:rsidRPr="00344DCE" w:rsidRDefault="00BF5B8E" w:rsidP="004162E4">
            <w:pPr>
              <w:spacing w:beforeLines="60" w:before="144" w:after="60"/>
              <w:cnfStyle w:val="100000000000" w:firstRow="1" w:lastRow="0" w:firstColumn="0" w:lastColumn="0" w:oddVBand="0" w:evenVBand="0" w:oddHBand="0" w:evenHBand="0" w:firstRowFirstColumn="0" w:firstRowLastColumn="0" w:lastRowFirstColumn="0" w:lastRowLastColumn="0"/>
            </w:pPr>
            <w:r w:rsidRPr="00344DCE">
              <w:t>Method</w:t>
            </w:r>
          </w:p>
        </w:tc>
        <w:tc>
          <w:tcPr>
            <w:tcW w:w="1559" w:type="dxa"/>
            <w:vAlign w:val="center"/>
          </w:tcPr>
          <w:p w:rsidR="00BF5B8E" w:rsidRPr="00344DCE" w:rsidRDefault="00BF5B8E" w:rsidP="004162E4">
            <w:pPr>
              <w:spacing w:beforeLines="60" w:before="144" w:after="60"/>
              <w:cnfStyle w:val="100000000000" w:firstRow="1" w:lastRow="0" w:firstColumn="0" w:lastColumn="0" w:oddVBand="0" w:evenVBand="0" w:oddHBand="0" w:evenHBand="0" w:firstRowFirstColumn="0" w:firstRowLastColumn="0" w:lastRowFirstColumn="0" w:lastRowLastColumn="0"/>
            </w:pPr>
            <w:r w:rsidRPr="00344DCE">
              <w:t>Reference</w:t>
            </w:r>
          </w:p>
        </w:tc>
      </w:tr>
      <w:tr w:rsidR="00BF5B8E" w:rsidRPr="00344DCE" w:rsidTr="004162E4">
        <w:tc>
          <w:tcPr>
            <w:cnfStyle w:val="001000000000" w:firstRow="0" w:lastRow="0" w:firstColumn="1" w:lastColumn="0" w:oddVBand="0" w:evenVBand="0" w:oddHBand="0" w:evenHBand="0" w:firstRowFirstColumn="0" w:firstRowLastColumn="0" w:lastRowFirstColumn="0" w:lastRowLastColumn="0"/>
            <w:tcW w:w="1975" w:type="dxa"/>
            <w:vAlign w:val="center"/>
          </w:tcPr>
          <w:p w:rsidR="00BF5B8E" w:rsidRPr="00344DCE" w:rsidRDefault="00BF5B8E" w:rsidP="004162E4">
            <w:pPr>
              <w:keepNext/>
              <w:spacing w:beforeLines="60" w:before="144" w:after="60"/>
            </w:pPr>
            <w:r w:rsidRPr="00344DCE">
              <w:t>8</w:t>
            </w:r>
          </w:p>
        </w:tc>
        <w:tc>
          <w:tcPr>
            <w:tcW w:w="70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25</w:t>
            </w:r>
          </w:p>
        </w:tc>
        <w:tc>
          <w:tcPr>
            <w:tcW w:w="1417"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No positive reactions</w:t>
            </w:r>
          </w:p>
        </w:tc>
        <w:tc>
          <w:tcPr>
            <w:tcW w:w="3402"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proofErr w:type="spellStart"/>
            <w:r w:rsidRPr="00344DCE">
              <w:t>Kligman</w:t>
            </w:r>
            <w:proofErr w:type="spellEnd"/>
            <w:r w:rsidRPr="00344DCE">
              <w:t xml:space="preserve"> </w:t>
            </w:r>
            <w:r w:rsidRPr="00344DCE">
              <w:rPr>
                <w:noProof/>
              </w:rPr>
              <w:t>(1966)</w:t>
            </w:r>
            <w:r w:rsidRPr="00344DCE">
              <w:t xml:space="preserve"> maximization test</w:t>
            </w:r>
          </w:p>
        </w:tc>
        <w:tc>
          <w:tcPr>
            <w:tcW w:w="155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(Greif, 1967)</w:t>
            </w:r>
          </w:p>
        </w:tc>
      </w:tr>
      <w:tr w:rsidR="00BF5B8E" w:rsidRPr="00344DCE" w:rsidTr="004162E4">
        <w:tc>
          <w:tcPr>
            <w:cnfStyle w:val="001000000000" w:firstRow="0" w:lastRow="0" w:firstColumn="1" w:lastColumn="0" w:oddVBand="0" w:evenVBand="0" w:oddHBand="0" w:evenHBand="0" w:firstRowFirstColumn="0" w:firstRowLastColumn="0" w:lastRowFirstColumn="0" w:lastRowLastColumn="0"/>
            <w:tcW w:w="1975" w:type="dxa"/>
            <w:vAlign w:val="center"/>
          </w:tcPr>
          <w:p w:rsidR="00BF5B8E" w:rsidRPr="00344DCE" w:rsidRDefault="00BF5B8E" w:rsidP="004162E4">
            <w:pPr>
              <w:keepNext/>
              <w:spacing w:beforeLines="60" w:before="144" w:after="60"/>
            </w:pPr>
            <w:r w:rsidRPr="00344DCE">
              <w:t>2.5</w:t>
            </w:r>
          </w:p>
        </w:tc>
        <w:tc>
          <w:tcPr>
            <w:tcW w:w="70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367</w:t>
            </w:r>
          </w:p>
        </w:tc>
        <w:tc>
          <w:tcPr>
            <w:tcW w:w="1417"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10 positive reactions</w:t>
            </w:r>
          </w:p>
        </w:tc>
        <w:tc>
          <w:tcPr>
            <w:tcW w:w="3402"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 xml:space="preserve">Patch test </w:t>
            </w:r>
            <w:r w:rsidRPr="00344DCE">
              <w:rPr>
                <w:noProof/>
              </w:rPr>
              <w:t xml:space="preserve">(Schnuch </w:t>
            </w:r>
            <w:r w:rsidR="00455127" w:rsidRPr="00455127">
              <w:rPr>
                <w:i/>
                <w:noProof/>
              </w:rPr>
              <w:t>et al.</w:t>
            </w:r>
            <w:r w:rsidRPr="00344DCE">
              <w:rPr>
                <w:noProof/>
              </w:rPr>
              <w:t>, 2008)</w:t>
            </w:r>
          </w:p>
        </w:tc>
        <w:tc>
          <w:tcPr>
            <w:tcW w:w="155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Pr>
                <w:noProof/>
              </w:rPr>
              <w:t xml:space="preserve">(Krautheim </w:t>
            </w:r>
            <w:r w:rsidR="00455127" w:rsidRPr="00455127">
              <w:rPr>
                <w:i/>
                <w:noProof/>
              </w:rPr>
              <w:t>et al.</w:t>
            </w:r>
            <w:r>
              <w:rPr>
                <w:noProof/>
              </w:rPr>
              <w:t>, 2010)</w:t>
            </w:r>
          </w:p>
        </w:tc>
      </w:tr>
      <w:tr w:rsidR="00BF5B8E" w:rsidRPr="00344DCE" w:rsidTr="004162E4">
        <w:tc>
          <w:tcPr>
            <w:cnfStyle w:val="001000000000" w:firstRow="0" w:lastRow="0" w:firstColumn="1" w:lastColumn="0" w:oddVBand="0" w:evenVBand="0" w:oddHBand="0" w:evenHBand="0" w:firstRowFirstColumn="0" w:firstRowLastColumn="0" w:lastRowFirstColumn="0" w:lastRowLastColumn="0"/>
            <w:tcW w:w="1975" w:type="dxa"/>
            <w:vAlign w:val="center"/>
          </w:tcPr>
          <w:p w:rsidR="00BF5B8E" w:rsidRPr="00344DCE" w:rsidRDefault="00BF5B8E" w:rsidP="004162E4">
            <w:pPr>
              <w:keepNext/>
              <w:spacing w:beforeLines="60" w:before="144" w:after="60"/>
            </w:pPr>
            <w:r w:rsidRPr="00344DCE">
              <w:t>5</w:t>
            </w:r>
          </w:p>
        </w:tc>
        <w:tc>
          <w:tcPr>
            <w:tcW w:w="70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50</w:t>
            </w:r>
          </w:p>
        </w:tc>
        <w:tc>
          <w:tcPr>
            <w:tcW w:w="1417"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No positive reactions</w:t>
            </w:r>
          </w:p>
        </w:tc>
        <w:tc>
          <w:tcPr>
            <w:tcW w:w="3402"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Patch test (North American Contact Dermatitis Group, 1984)</w:t>
            </w:r>
          </w:p>
        </w:tc>
        <w:tc>
          <w:tcPr>
            <w:tcW w:w="155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rPr>
                <w:noProof/>
              </w:rPr>
              <w:t>(Emmons &amp; Marks, 1985)</w:t>
            </w:r>
          </w:p>
        </w:tc>
      </w:tr>
      <w:tr w:rsidR="00BF5B8E" w:rsidRPr="00344DCE" w:rsidTr="004162E4">
        <w:tc>
          <w:tcPr>
            <w:cnfStyle w:val="001000000000" w:firstRow="0" w:lastRow="0" w:firstColumn="1" w:lastColumn="0" w:oddVBand="0" w:evenVBand="0" w:oddHBand="0" w:evenHBand="0" w:firstRowFirstColumn="0" w:firstRowLastColumn="0" w:lastRowFirstColumn="0" w:lastRowLastColumn="0"/>
            <w:tcW w:w="1975" w:type="dxa"/>
            <w:vAlign w:val="center"/>
          </w:tcPr>
          <w:p w:rsidR="00BF5B8E" w:rsidRPr="00344DCE" w:rsidRDefault="00BF5B8E" w:rsidP="004162E4">
            <w:pPr>
              <w:keepNext/>
              <w:spacing w:beforeLines="60" w:before="144" w:after="60"/>
            </w:pPr>
            <w:r w:rsidRPr="00344DCE">
              <w:t>5</w:t>
            </w:r>
          </w:p>
        </w:tc>
        <w:tc>
          <w:tcPr>
            <w:tcW w:w="70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5735</w:t>
            </w:r>
          </w:p>
        </w:tc>
        <w:tc>
          <w:tcPr>
            <w:tcW w:w="1417"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8 positive reactions</w:t>
            </w:r>
          </w:p>
        </w:tc>
        <w:tc>
          <w:tcPr>
            <w:tcW w:w="3402"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Patch test</w:t>
            </w:r>
          </w:p>
        </w:tc>
        <w:tc>
          <w:tcPr>
            <w:tcW w:w="155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rPr>
                <w:noProof/>
              </w:rPr>
              <w:t xml:space="preserve">(Bennike </w:t>
            </w:r>
            <w:r w:rsidR="00455127" w:rsidRPr="00455127">
              <w:rPr>
                <w:i/>
                <w:noProof/>
              </w:rPr>
              <w:t>et al.</w:t>
            </w:r>
            <w:r w:rsidRPr="00344DCE">
              <w:rPr>
                <w:noProof/>
              </w:rPr>
              <w:t>, 2017)</w:t>
            </w:r>
          </w:p>
        </w:tc>
      </w:tr>
      <w:tr w:rsidR="00BF5B8E" w:rsidRPr="00344DCE" w:rsidTr="004162E4">
        <w:tc>
          <w:tcPr>
            <w:cnfStyle w:val="001000000000" w:firstRow="0" w:lastRow="0" w:firstColumn="1" w:lastColumn="0" w:oddVBand="0" w:evenVBand="0" w:oddHBand="0" w:evenHBand="0" w:firstRowFirstColumn="0" w:firstRowLastColumn="0" w:lastRowFirstColumn="0" w:lastRowLastColumn="0"/>
            <w:tcW w:w="1975" w:type="dxa"/>
            <w:vAlign w:val="center"/>
          </w:tcPr>
          <w:p w:rsidR="00BF5B8E" w:rsidRPr="00344DCE" w:rsidRDefault="00BF5B8E" w:rsidP="004162E4">
            <w:pPr>
              <w:spacing w:beforeLines="60" w:before="144" w:after="60"/>
            </w:pPr>
            <w:r w:rsidRPr="00344DCE">
              <w:t>ND</w:t>
            </w:r>
            <w:r w:rsidRPr="00344DCE">
              <w:rPr>
                <w:rStyle w:val="FootnoteReference"/>
              </w:rPr>
              <w:footnoteReference w:id="6"/>
            </w:r>
          </w:p>
        </w:tc>
        <w:tc>
          <w:tcPr>
            <w:tcW w:w="70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1021</w:t>
            </w:r>
          </w:p>
        </w:tc>
        <w:tc>
          <w:tcPr>
            <w:tcW w:w="1417"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9 positive reactions</w:t>
            </w:r>
          </w:p>
        </w:tc>
        <w:tc>
          <w:tcPr>
            <w:tcW w:w="3402"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sidRPr="00344DCE">
              <w:t>Patch test</w:t>
            </w:r>
          </w:p>
        </w:tc>
        <w:tc>
          <w:tcPr>
            <w:tcW w:w="1559" w:type="dxa"/>
            <w:vAlign w:val="center"/>
          </w:tcPr>
          <w:p w:rsidR="00BF5B8E" w:rsidRPr="00344DCE" w:rsidRDefault="00BF5B8E" w:rsidP="004162E4">
            <w:pPr>
              <w:spacing w:beforeLines="60" w:before="144" w:after="60"/>
              <w:cnfStyle w:val="000000000000" w:firstRow="0" w:lastRow="0" w:firstColumn="0" w:lastColumn="0" w:oddVBand="0" w:evenVBand="0" w:oddHBand="0" w:evenHBand="0" w:firstRowFirstColumn="0" w:firstRowLastColumn="0" w:lastRowFirstColumn="0" w:lastRowLastColumn="0"/>
            </w:pPr>
            <w:r>
              <w:rPr>
                <w:noProof/>
              </w:rPr>
              <w:t xml:space="preserve">(Goolamali </w:t>
            </w:r>
            <w:r w:rsidR="00455127" w:rsidRPr="00455127">
              <w:rPr>
                <w:i/>
                <w:noProof/>
              </w:rPr>
              <w:t>et al.</w:t>
            </w:r>
            <w:r>
              <w:rPr>
                <w:noProof/>
              </w:rPr>
              <w:t>, 2009)</w:t>
            </w:r>
          </w:p>
        </w:tc>
      </w:tr>
    </w:tbl>
    <w:p w:rsidR="00BF5B8E" w:rsidRPr="00344DCE" w:rsidRDefault="00BF5B8E" w:rsidP="008A65A8">
      <w:bookmarkStart w:id="110" w:name="_Toc371428134"/>
      <w:bookmarkStart w:id="111" w:name="_Toc424647380"/>
      <w:r w:rsidRPr="00344DCE">
        <w:lastRenderedPageBreak/>
        <w:t xml:space="preserve">Some reports have been made that the sensitisation effect associated with </w:t>
      </w:r>
      <w:proofErr w:type="spellStart"/>
      <w:r w:rsidRPr="00344DCE">
        <w:t>coumarin</w:t>
      </w:r>
      <w:proofErr w:type="spellEnd"/>
      <w:r w:rsidRPr="00344DCE">
        <w:t xml:space="preserve"> is a result of </w:t>
      </w:r>
      <w:proofErr w:type="spellStart"/>
      <w:r w:rsidRPr="00344DCE">
        <w:t>coumarin</w:t>
      </w:r>
      <w:proofErr w:type="spellEnd"/>
      <w:r w:rsidRPr="00344DCE">
        <w:t xml:space="preserve">-derivatives present in impure ingredients and not to pure </w:t>
      </w:r>
      <w:proofErr w:type="spellStart"/>
      <w:r w:rsidRPr="00344DCE">
        <w:t>coumarin</w:t>
      </w:r>
      <w:proofErr w:type="spellEnd"/>
      <w:r w:rsidRPr="00344DCE">
        <w:t xml:space="preserve"> </w:t>
      </w:r>
      <w:r w:rsidRPr="00344DCE">
        <w:rPr>
          <w:noProof/>
        </w:rPr>
        <w:t xml:space="preserve">(Pan </w:t>
      </w:r>
      <w:r w:rsidR="00455127" w:rsidRPr="00455127">
        <w:rPr>
          <w:i/>
          <w:noProof/>
        </w:rPr>
        <w:t>et al.</w:t>
      </w:r>
      <w:r w:rsidRPr="00344DCE">
        <w:rPr>
          <w:noProof/>
        </w:rPr>
        <w:t>, 2014)</w:t>
      </w:r>
      <w:r w:rsidRPr="00344DCE">
        <w:t xml:space="preserve">. In consideration of this issue, the EC </w:t>
      </w:r>
      <w:r w:rsidRPr="00344DCE">
        <w:rPr>
          <w:noProof/>
        </w:rPr>
        <w:t>(2006)</w:t>
      </w:r>
      <w:r w:rsidRPr="00344DCE">
        <w:t xml:space="preserve"> noted that there was insufficient data on the purity of </w:t>
      </w:r>
      <w:proofErr w:type="spellStart"/>
      <w:r w:rsidRPr="00344DCE">
        <w:t>coumarin</w:t>
      </w:r>
      <w:proofErr w:type="spellEnd"/>
      <w:r w:rsidRPr="00344DCE">
        <w:t xml:space="preserve"> in the European market to re-consider any </w:t>
      </w:r>
      <w:proofErr w:type="spellStart"/>
      <w:r w:rsidRPr="00344DCE">
        <w:t>coumarin</w:t>
      </w:r>
      <w:proofErr w:type="spellEnd"/>
      <w:r w:rsidRPr="00344DCE">
        <w:t xml:space="preserve"> restrictions. In addition, the EC cited an article which recorded 2 patients with sensitivity to a 2% solution of 99.9% pure </w:t>
      </w:r>
      <w:proofErr w:type="spellStart"/>
      <w:r w:rsidRPr="00344DCE">
        <w:t>coumarin</w:t>
      </w:r>
      <w:proofErr w:type="spellEnd"/>
      <w:r w:rsidRPr="00344DCE">
        <w:t xml:space="preserve">. The available data does not provide any data on </w:t>
      </w:r>
      <w:proofErr w:type="spellStart"/>
      <w:r w:rsidRPr="00344DCE">
        <w:t>coumarin</w:t>
      </w:r>
      <w:proofErr w:type="spellEnd"/>
      <w:r w:rsidRPr="00344DCE">
        <w:t xml:space="preserve"> purity in the Australian market, and currently no default standard applies which could define acceptable </w:t>
      </w:r>
      <w:proofErr w:type="spellStart"/>
      <w:r w:rsidRPr="00344DCE">
        <w:t>coumarin</w:t>
      </w:r>
      <w:proofErr w:type="spellEnd"/>
      <w:r w:rsidRPr="00344DCE">
        <w:t xml:space="preserve"> purity.</w:t>
      </w:r>
    </w:p>
    <w:p w:rsidR="00BF5B8E" w:rsidRDefault="00BF5B8E" w:rsidP="008A65A8">
      <w:r w:rsidRPr="00344DCE">
        <w:t xml:space="preserve">Fragrance manufacturers often rely on publications of the International Fragrance Association (‘IFRA’). The current IFRA standard (2009) recommends that the usage of </w:t>
      </w:r>
      <w:proofErr w:type="spellStart"/>
      <w:r w:rsidRPr="00344DCE">
        <w:t>coumarin</w:t>
      </w:r>
      <w:proofErr w:type="spellEnd"/>
      <w:r w:rsidRPr="00344DCE">
        <w:t xml:space="preserve"> in fragrances be restricted due to sensitisation effects, with concentration limits of 0.1% in products for children and 1.6% for body creams</w:t>
      </w:r>
      <w:r w:rsidRPr="00344DCE">
        <w:rPr>
          <w:rStyle w:val="FootnoteReference"/>
        </w:rPr>
        <w:footnoteReference w:id="7"/>
      </w:r>
      <w:r>
        <w:t>. The standard claims a</w:t>
      </w:r>
      <w:r w:rsidRPr="00344DCE">
        <w:t xml:space="preserve"> </w:t>
      </w:r>
      <w:r>
        <w:t xml:space="preserve">No Expected Sensitisation Level (NESL) from an </w:t>
      </w:r>
      <w:r w:rsidRPr="00344DCE">
        <w:t>exposure of 3.5 mg/cm</w:t>
      </w:r>
      <w:r>
        <w:rPr>
          <w:vertAlign w:val="superscript"/>
        </w:rPr>
        <w:t>2</w:t>
      </w:r>
      <w:r w:rsidRPr="00344DCE">
        <w:rPr>
          <w:vertAlign w:val="superscript"/>
        </w:rPr>
        <w:t xml:space="preserve"> </w:t>
      </w:r>
      <w:proofErr w:type="spellStart"/>
      <w:r>
        <w:t>coumarin</w:t>
      </w:r>
      <w:proofErr w:type="spellEnd"/>
      <w:r>
        <w:t xml:space="preserve"> on human skin, </w:t>
      </w:r>
      <w:proofErr w:type="spellStart"/>
      <w:r>
        <w:t>i.e</w:t>
      </w:r>
      <w:proofErr w:type="spellEnd"/>
      <w:r>
        <w:t xml:space="preserve"> this amount i</w:t>
      </w:r>
      <w:r w:rsidRPr="00344DCE">
        <w:t xml:space="preserve">s not expected to induce </w:t>
      </w:r>
      <w:r>
        <w:t xml:space="preserve">skin </w:t>
      </w:r>
      <w:r w:rsidRPr="00344DCE">
        <w:t xml:space="preserve">sensitisation. </w:t>
      </w:r>
      <w:r>
        <w:t>The proposed NESL is greater than the amount of sunscreen exposure to the skin when testing the Sun Protection Factor for sunscreen products (ISO 24444); as such sunscreens used according to directions to use woul</w:t>
      </w:r>
      <w:r w:rsidR="00B01E1F">
        <w:t>d not exceed the proposed NESL.</w:t>
      </w:r>
    </w:p>
    <w:p w:rsidR="00BF5B8E" w:rsidRPr="00344DCE" w:rsidRDefault="00BF5B8E" w:rsidP="000E0E79">
      <w:pPr>
        <w:pStyle w:val="Heading4"/>
      </w:pPr>
      <w:bookmarkStart w:id="112" w:name="_Toc371428139"/>
      <w:bookmarkStart w:id="113" w:name="_Toc424647385"/>
      <w:bookmarkStart w:id="114" w:name="_Toc25652446"/>
      <w:bookmarkStart w:id="115" w:name="_Toc25930285"/>
      <w:bookmarkEnd w:id="110"/>
      <w:bookmarkEnd w:id="111"/>
      <w:proofErr w:type="spellStart"/>
      <w:r w:rsidRPr="00344DCE">
        <w:t>Phototoxicity</w:t>
      </w:r>
      <w:bookmarkEnd w:id="112"/>
      <w:bookmarkEnd w:id="113"/>
      <w:bookmarkEnd w:id="114"/>
      <w:bookmarkEnd w:id="115"/>
      <w:proofErr w:type="spellEnd"/>
    </w:p>
    <w:p w:rsidR="00BF5B8E" w:rsidRPr="00344DCE" w:rsidRDefault="00BF5B8E" w:rsidP="008A65A8">
      <w:r>
        <w:rPr>
          <w:noProof/>
        </w:rPr>
        <w:t xml:space="preserve">Addo </w:t>
      </w:r>
      <w:r w:rsidR="00455127" w:rsidRPr="00455127">
        <w:rPr>
          <w:i/>
          <w:noProof/>
        </w:rPr>
        <w:t>et al.</w:t>
      </w:r>
      <w:r>
        <w:rPr>
          <w:noProof/>
        </w:rPr>
        <w:t xml:space="preserve"> (1982)</w:t>
      </w:r>
      <w:r w:rsidRPr="00344DCE">
        <w:t xml:space="preserve"> state that 5% </w:t>
      </w:r>
      <w:proofErr w:type="spellStart"/>
      <w:r w:rsidRPr="00344DCE">
        <w:t>coumarin</w:t>
      </w:r>
      <w:proofErr w:type="spellEnd"/>
      <w:r w:rsidRPr="00344DCE">
        <w:t xml:space="preserve"> in paraffin was found to induce photosensitivity dermatitis in 3 out 50 volunteers. </w:t>
      </w:r>
      <w:r>
        <w:rPr>
          <w:noProof/>
        </w:rPr>
        <w:t xml:space="preserve">Api </w:t>
      </w:r>
      <w:r w:rsidR="00455127" w:rsidRPr="00455127">
        <w:rPr>
          <w:i/>
          <w:noProof/>
        </w:rPr>
        <w:t>et al.</w:t>
      </w:r>
      <w:r>
        <w:rPr>
          <w:noProof/>
        </w:rPr>
        <w:t xml:space="preserve"> (2019)</w:t>
      </w:r>
      <w:r>
        <w:t xml:space="preserve"> considers that </w:t>
      </w:r>
      <w:proofErr w:type="spellStart"/>
      <w:r>
        <w:t>coumarin</w:t>
      </w:r>
      <w:proofErr w:type="spellEnd"/>
      <w:r>
        <w:t xml:space="preserve"> is not expected to present a concern for </w:t>
      </w:r>
      <w:proofErr w:type="spellStart"/>
      <w:r>
        <w:t>phototoxicity</w:t>
      </w:r>
      <w:proofErr w:type="spellEnd"/>
      <w:r>
        <w:t xml:space="preserve"> or </w:t>
      </w:r>
      <w:proofErr w:type="spellStart"/>
      <w:r>
        <w:t>photoallergenicity</w:t>
      </w:r>
      <w:proofErr w:type="spellEnd"/>
      <w:r>
        <w:t xml:space="preserve"> at concentrati</w:t>
      </w:r>
      <w:r w:rsidR="00B01E1F">
        <w:t>ons up to 8% in other vehicles.</w:t>
      </w:r>
    </w:p>
    <w:p w:rsidR="00BF5B8E" w:rsidRPr="00344DCE" w:rsidRDefault="00BF5B8E" w:rsidP="000E0E79">
      <w:pPr>
        <w:pStyle w:val="Heading2"/>
      </w:pPr>
      <w:bookmarkStart w:id="116" w:name="_Toc424647386"/>
      <w:bookmarkStart w:id="117" w:name="_Toc516662772"/>
      <w:bookmarkStart w:id="118" w:name="_Toc25652447"/>
      <w:bookmarkStart w:id="119" w:name="_Toc25930286"/>
      <w:r w:rsidRPr="00344DCE">
        <w:t xml:space="preserve">Human </w:t>
      </w:r>
      <w:bookmarkEnd w:id="116"/>
      <w:r w:rsidR="00B01E1F">
        <w:t>s</w:t>
      </w:r>
      <w:r w:rsidRPr="00344DCE">
        <w:t>tudies</w:t>
      </w:r>
      <w:bookmarkEnd w:id="117"/>
      <w:r w:rsidRPr="00344DCE">
        <w:t xml:space="preserve"> &amp; </w:t>
      </w:r>
      <w:bookmarkStart w:id="120" w:name="_Toc424647387"/>
      <w:bookmarkStart w:id="121" w:name="_Toc516662773"/>
      <w:r w:rsidR="00B01E1F">
        <w:t>a</w:t>
      </w:r>
      <w:r w:rsidRPr="00344DCE">
        <w:t xml:space="preserve">dverse </w:t>
      </w:r>
      <w:r w:rsidR="00B01E1F">
        <w:t>r</w:t>
      </w:r>
      <w:r w:rsidRPr="00344DCE">
        <w:t>eactions</w:t>
      </w:r>
      <w:bookmarkEnd w:id="118"/>
      <w:bookmarkEnd w:id="120"/>
      <w:bookmarkEnd w:id="121"/>
      <w:bookmarkEnd w:id="119"/>
    </w:p>
    <w:p w:rsidR="00BF5B8E" w:rsidRPr="00344DCE" w:rsidRDefault="00BF5B8E" w:rsidP="008A65A8">
      <w:r w:rsidRPr="00344DCE">
        <w:t xml:space="preserve">Numerous reports of hepatotoxicity have been reported in humans following orally-administered </w:t>
      </w:r>
      <w:proofErr w:type="spellStart"/>
      <w:r w:rsidRPr="00344DCE">
        <w:t>coumarin</w:t>
      </w:r>
      <w:proofErr w:type="spellEnd"/>
      <w:r w:rsidRPr="00344DCE">
        <w:t xml:space="preserve"> at therapeutic (25 mg and over) dosages </w:t>
      </w:r>
      <w:r>
        <w:rPr>
          <w:noProof/>
        </w:rPr>
        <w:t xml:space="preserve">(Andréjak </w:t>
      </w:r>
      <w:r w:rsidR="00455127" w:rsidRPr="00455127">
        <w:rPr>
          <w:i/>
          <w:noProof/>
        </w:rPr>
        <w:t>et al.</w:t>
      </w:r>
      <w:r>
        <w:rPr>
          <w:noProof/>
        </w:rPr>
        <w:t xml:space="preserve">, 1998; Anon., 1997; Bassett &amp; Dahlstrom, 1995; Beinssen, 1994; Casley-Smith &amp; Casley-Smith, 1995; Loprinzi </w:t>
      </w:r>
      <w:r w:rsidR="00455127" w:rsidRPr="00455127">
        <w:rPr>
          <w:i/>
          <w:noProof/>
        </w:rPr>
        <w:t>et al.</w:t>
      </w:r>
      <w:r>
        <w:rPr>
          <w:noProof/>
        </w:rPr>
        <w:t>, 1997; Morrison &amp; Welsby, 1995)</w:t>
      </w:r>
      <w:r w:rsidR="00B01E1F">
        <w:t>.</w:t>
      </w:r>
    </w:p>
    <w:p w:rsidR="00BF5B8E" w:rsidRPr="00344DCE" w:rsidRDefault="00BF5B8E" w:rsidP="008A65A8">
      <w:proofErr w:type="spellStart"/>
      <w:r w:rsidRPr="00344DCE">
        <w:t>Coumarin</w:t>
      </w:r>
      <w:proofErr w:type="spellEnd"/>
      <w:r w:rsidRPr="00344DCE">
        <w:t xml:space="preserve"> was removed from therapeutic use by the TGA in 1996 following the report of 10 adverse events (including 2 fatalities) associated with oral administration of the drug, </w:t>
      </w:r>
      <w:r>
        <w:t>during</w:t>
      </w:r>
      <w:r w:rsidRPr="00344DCE">
        <w:t xml:space="preserve"> 3 years of general availability. A dose-dependent relationship to the frequency of </w:t>
      </w:r>
      <w:proofErr w:type="spellStart"/>
      <w:r w:rsidRPr="00344DCE">
        <w:t>coumarin</w:t>
      </w:r>
      <w:proofErr w:type="spellEnd"/>
      <w:r w:rsidRPr="00344DCE">
        <w:t xml:space="preserve">-associated hepatotoxic events has not been established (EFSA, 2008). Cox </w:t>
      </w:r>
      <w:r w:rsidR="00455127" w:rsidRPr="00455127">
        <w:rPr>
          <w:i/>
        </w:rPr>
        <w:t>et al.</w:t>
      </w:r>
      <w:r w:rsidRPr="00344DCE">
        <w:t xml:space="preserve"> (1989) calculated a frequency of hepatotoxicity events related to therapeutic doses of </w:t>
      </w:r>
      <w:proofErr w:type="spellStart"/>
      <w:r w:rsidRPr="00344DCE">
        <w:t>coumarin</w:t>
      </w:r>
      <w:proofErr w:type="spellEnd"/>
      <w:r w:rsidRPr="00344DCE">
        <w:t xml:space="preserve"> to be 0.37%.</w:t>
      </w:r>
    </w:p>
    <w:p w:rsidR="00BF5B8E" w:rsidRDefault="00BF5B8E" w:rsidP="008A65A8">
      <w:r w:rsidRPr="00344DCE">
        <w:t xml:space="preserve">A 23-year-old woman was hospitalised due to acute hepatitis in 2006. A medical history failed to reveal a cause of the inflammation. The patient became aware of a relationship between cinnamon and hepatotoxicity; and reported that her (cassia) cinnamon intake had increased to 1-2 g cinnamon daily in the 2 months preceding the onset of symptoms </w:t>
      </w:r>
      <w:r w:rsidRPr="00344DCE">
        <w:rPr>
          <w:noProof/>
        </w:rPr>
        <w:t xml:space="preserve">(Abraham </w:t>
      </w:r>
      <w:r w:rsidR="00455127" w:rsidRPr="00455127">
        <w:rPr>
          <w:i/>
          <w:noProof/>
        </w:rPr>
        <w:t>et al.</w:t>
      </w:r>
      <w:r w:rsidRPr="00344DCE">
        <w:rPr>
          <w:noProof/>
        </w:rPr>
        <w:t>, 2010)</w:t>
      </w:r>
      <w:r w:rsidRPr="00344DCE">
        <w:t>.</w:t>
      </w:r>
    </w:p>
    <w:p w:rsidR="00BF5B8E" w:rsidRDefault="00BF5B8E" w:rsidP="008A65A8">
      <w:r>
        <w:t>An additional report was received by the TGA in relation to an admission in 2016 of a 60-year-old male presenting with acute hepatitis with underlying liver synthetic impairment. Cause was not apparent following blood tests, however, the patient described taking teaspoons of cinnamon daily. Following literature review, the reporter attributed the cause to cinnamon.</w:t>
      </w:r>
    </w:p>
    <w:p w:rsidR="00BF5B8E" w:rsidRPr="00344DCE" w:rsidRDefault="00BF5B8E" w:rsidP="008A65A8">
      <w:r>
        <w:t>These reports suggest that</w:t>
      </w:r>
      <w:r w:rsidRPr="00344DCE">
        <w:t xml:space="preserve"> deviation from the EFSA established ADI of 0.1 mg/kg </w:t>
      </w:r>
      <w:proofErr w:type="spellStart"/>
      <w:r w:rsidRPr="00344DCE">
        <w:t>bw</w:t>
      </w:r>
      <w:proofErr w:type="spellEnd"/>
      <w:r w:rsidRPr="00344DCE">
        <w:t xml:space="preserve"> has the potential to cause hepatotoxicity. In addition, it can be inferred that medical professionals did </w:t>
      </w:r>
      <w:r w:rsidRPr="00344DCE">
        <w:lastRenderedPageBreak/>
        <w:t xml:space="preserve">not </w:t>
      </w:r>
      <w:r>
        <w:t xml:space="preserve">initially </w:t>
      </w:r>
      <w:r w:rsidRPr="00344DCE">
        <w:t xml:space="preserve">consider non-therapeutic exposure to </w:t>
      </w:r>
      <w:proofErr w:type="spellStart"/>
      <w:r w:rsidRPr="00344DCE">
        <w:t>coumarin</w:t>
      </w:r>
      <w:proofErr w:type="spellEnd"/>
      <w:r w:rsidRPr="00344DCE">
        <w:t xml:space="preserve"> when attempting to determine c</w:t>
      </w:r>
      <w:r w:rsidR="00B01E1F">
        <w:t>ausality of hepatotoxicity.</w:t>
      </w:r>
    </w:p>
    <w:p w:rsidR="00BF5B8E" w:rsidRPr="00344DCE" w:rsidRDefault="00BF5B8E" w:rsidP="008A65A8">
      <w:r w:rsidRPr="00344DCE">
        <w:t>As excipient ingredients are not required to be advertised on medicine labels, any potential adverse events related to dermal excipient-</w:t>
      </w:r>
      <w:proofErr w:type="spellStart"/>
      <w:r w:rsidRPr="00344DCE">
        <w:t>coumarin</w:t>
      </w:r>
      <w:proofErr w:type="spellEnd"/>
      <w:r w:rsidRPr="00344DCE">
        <w:t xml:space="preserve"> exposure would be impossible to correlate by consumers or medical professionals.</w:t>
      </w:r>
    </w:p>
    <w:p w:rsidR="00BF5B8E" w:rsidRPr="00344DCE" w:rsidRDefault="00BF5B8E" w:rsidP="000E0E79">
      <w:pPr>
        <w:pStyle w:val="Heading2"/>
      </w:pPr>
      <w:bookmarkStart w:id="122" w:name="_Toc516662774"/>
      <w:bookmarkStart w:id="123" w:name="_Toc25652448"/>
      <w:bookmarkStart w:id="124" w:name="_Toc25930287"/>
      <w:r w:rsidRPr="00344DCE">
        <w:t>R</w:t>
      </w:r>
      <w:r w:rsidR="00B01E1F">
        <w:t>egulatory c</w:t>
      </w:r>
      <w:r w:rsidRPr="00344DCE">
        <w:t>onsiderations</w:t>
      </w:r>
      <w:bookmarkEnd w:id="122"/>
      <w:bookmarkEnd w:id="123"/>
      <w:bookmarkEnd w:id="124"/>
    </w:p>
    <w:p w:rsidR="00BF5B8E" w:rsidRPr="00344DCE" w:rsidRDefault="00B01E1F" w:rsidP="008A65A8">
      <w:pPr>
        <w:keepNext/>
        <w:rPr>
          <w:i/>
        </w:rPr>
      </w:pPr>
      <w:r>
        <w:rPr>
          <w:i/>
        </w:rPr>
        <w:t>Therapeutic u</w:t>
      </w:r>
      <w:r w:rsidR="00BF5B8E" w:rsidRPr="00344DCE">
        <w:rPr>
          <w:i/>
        </w:rPr>
        <w:t xml:space="preserve">se </w:t>
      </w:r>
      <w:r>
        <w:rPr>
          <w:i/>
        </w:rPr>
        <w:t>u</w:t>
      </w:r>
      <w:r w:rsidR="00BF5B8E" w:rsidRPr="00344DCE">
        <w:rPr>
          <w:i/>
        </w:rPr>
        <w:t xml:space="preserve">nder </w:t>
      </w:r>
      <w:r>
        <w:rPr>
          <w:i/>
        </w:rPr>
        <w:t>c</w:t>
      </w:r>
      <w:r w:rsidR="00BF5B8E" w:rsidRPr="00344DCE">
        <w:rPr>
          <w:i/>
        </w:rPr>
        <w:t>onsideration</w:t>
      </w:r>
    </w:p>
    <w:p w:rsidR="00BF5B8E" w:rsidRPr="00344DCE" w:rsidRDefault="00BF5B8E" w:rsidP="008A65A8">
      <w:r w:rsidRPr="00344DCE">
        <w:t>The safety of the chemical ingredient ‘</w:t>
      </w:r>
      <w:proofErr w:type="spellStart"/>
      <w:r w:rsidRPr="00344DCE">
        <w:t>coumarin</w:t>
      </w:r>
      <w:proofErr w:type="spellEnd"/>
      <w:r w:rsidRPr="00344DCE">
        <w:t>’ for topical use in listed medicines.</w:t>
      </w:r>
    </w:p>
    <w:p w:rsidR="00BF5B8E" w:rsidRPr="00344DCE" w:rsidRDefault="00BF5B8E" w:rsidP="008A65A8">
      <w:pPr>
        <w:keepNext/>
        <w:rPr>
          <w:i/>
        </w:rPr>
      </w:pPr>
      <w:r w:rsidRPr="00344DCE">
        <w:rPr>
          <w:i/>
        </w:rPr>
        <w:t xml:space="preserve">Regulatory </w:t>
      </w:r>
      <w:r w:rsidR="00B01E1F">
        <w:rPr>
          <w:i/>
        </w:rPr>
        <w:t>s</w:t>
      </w:r>
      <w:r w:rsidRPr="00344DCE">
        <w:rPr>
          <w:i/>
        </w:rPr>
        <w:t>tatus</w:t>
      </w:r>
    </w:p>
    <w:p w:rsidR="00BF5B8E" w:rsidRPr="00344DCE" w:rsidRDefault="00BF5B8E" w:rsidP="008A65A8">
      <w:proofErr w:type="spellStart"/>
      <w:r w:rsidRPr="00344DCE">
        <w:t>Coumarin</w:t>
      </w:r>
      <w:proofErr w:type="spellEnd"/>
      <w:r w:rsidRPr="00344DCE">
        <w:t xml:space="preserve"> is currently not available as an active therapeutic ingredient in Australia or the United States. </w:t>
      </w:r>
      <w:r>
        <w:t xml:space="preserve">Legislative requirements specify that </w:t>
      </w:r>
      <w:proofErr w:type="spellStart"/>
      <w:r>
        <w:t>coumarin</w:t>
      </w:r>
      <w:proofErr w:type="spellEnd"/>
      <w:r>
        <w:t xml:space="preserve"> as an active ingredient may not be present within listed medicines at concentration greater than 0.001%. </w:t>
      </w:r>
      <w:r w:rsidRPr="00344DCE">
        <w:t xml:space="preserve">Concentration restrictions are currently in place for </w:t>
      </w:r>
      <w:proofErr w:type="spellStart"/>
      <w:r w:rsidRPr="00344DCE">
        <w:t>coumarin</w:t>
      </w:r>
      <w:proofErr w:type="spellEnd"/>
      <w:r w:rsidRPr="00344DCE">
        <w:t xml:space="preserve"> in Australian alcoholic beverages at 0.001%, European general foodstuffs at 2 mg/kg, and it is entirely prohibited from addition to United States foodstuffs. European cosmetics are required to provide label warnings for leave-on products containing </w:t>
      </w:r>
      <w:proofErr w:type="spellStart"/>
      <w:r w:rsidRPr="00344DCE">
        <w:t>coumarin</w:t>
      </w:r>
      <w:proofErr w:type="spellEnd"/>
      <w:r w:rsidRPr="00344DCE">
        <w:t xml:space="preserve"> in concentrations above 0.001%, and rinse-off products at 0.01%.</w:t>
      </w:r>
    </w:p>
    <w:p w:rsidR="00BF5B8E" w:rsidRPr="00344DCE" w:rsidRDefault="00BF5B8E" w:rsidP="008A65A8">
      <w:pPr>
        <w:keepNext/>
      </w:pPr>
      <w:r w:rsidRPr="00344DCE">
        <w:rPr>
          <w:i/>
        </w:rPr>
        <w:t>Exposure</w:t>
      </w:r>
    </w:p>
    <w:p w:rsidR="00BF5B8E" w:rsidRPr="00344DCE" w:rsidRDefault="00BF5B8E" w:rsidP="008A65A8">
      <w:proofErr w:type="spellStart"/>
      <w:r w:rsidRPr="00344DCE">
        <w:t>Coumarin</w:t>
      </w:r>
      <w:proofErr w:type="spellEnd"/>
      <w:r w:rsidRPr="00344DCE">
        <w:t xml:space="preserve"> is present in foodstuffs and is a staple component of many artificial fragrances. Oral exposure has been estimated at levels of 0.02 to 1.2 mg/kg </w:t>
      </w:r>
      <w:proofErr w:type="spellStart"/>
      <w:r w:rsidRPr="00344DCE">
        <w:t>bw</w:t>
      </w:r>
      <w:proofErr w:type="spellEnd"/>
      <w:r w:rsidRPr="00344DCE">
        <w:t xml:space="preserve">/day and dermal exposure from non-sunscreen fragranced products estimated as 0.04 mg/kg </w:t>
      </w:r>
      <w:proofErr w:type="spellStart"/>
      <w:r w:rsidRPr="00344DCE">
        <w:t>bw</w:t>
      </w:r>
      <w:proofErr w:type="spellEnd"/>
      <w:r w:rsidRPr="00344DCE">
        <w:t xml:space="preserve">/day. Children have been reported as receiving a greater level of exposure to </w:t>
      </w:r>
      <w:proofErr w:type="spellStart"/>
      <w:r w:rsidRPr="00344DCE">
        <w:t>coumarin</w:t>
      </w:r>
      <w:proofErr w:type="spellEnd"/>
      <w:r w:rsidRPr="00344DCE">
        <w:t xml:space="preserve"> than adults from both dietary and topical sources. As per section 4.3 above, maximal estimated exposure to </w:t>
      </w:r>
      <w:proofErr w:type="spellStart"/>
      <w:r w:rsidRPr="00344DCE">
        <w:t>coumarin</w:t>
      </w:r>
      <w:proofErr w:type="spellEnd"/>
      <w:r w:rsidRPr="00344DCE">
        <w:t xml:space="preserve"> from sunscreens in adults is 0.2 mg/kg </w:t>
      </w:r>
      <w:proofErr w:type="spellStart"/>
      <w:r w:rsidRPr="00344DCE">
        <w:t>bw</w:t>
      </w:r>
      <w:proofErr w:type="spellEnd"/>
      <w:r w:rsidRPr="00344DCE">
        <w:t xml:space="preserve">/day (based upon ARTG products where </w:t>
      </w:r>
      <w:proofErr w:type="spellStart"/>
      <w:r w:rsidRPr="00344DCE">
        <w:t>coumarin</w:t>
      </w:r>
      <w:proofErr w:type="spellEnd"/>
      <w:r w:rsidRPr="00344DCE">
        <w:t xml:space="preserve"> concentrations are known).</w:t>
      </w:r>
    </w:p>
    <w:p w:rsidR="00BF5B8E" w:rsidRPr="00344DCE" w:rsidRDefault="00BF5B8E" w:rsidP="008A65A8">
      <w:r>
        <w:t>Combining t</w:t>
      </w:r>
      <w:r w:rsidRPr="00344DCE">
        <w:t xml:space="preserve">he Cancer Council (2017) recommended </w:t>
      </w:r>
      <w:r>
        <w:t xml:space="preserve">directions for </w:t>
      </w:r>
      <w:r w:rsidRPr="00344DCE">
        <w:t>use of sunscreens</w:t>
      </w:r>
      <w:r>
        <w:t xml:space="preserve"> for the Australian environment and t</w:t>
      </w:r>
      <w:r w:rsidRPr="00344DCE">
        <w:t xml:space="preserve">he maximum known </w:t>
      </w:r>
      <w:proofErr w:type="spellStart"/>
      <w:r w:rsidRPr="00344DCE">
        <w:t>coumarin</w:t>
      </w:r>
      <w:proofErr w:type="spellEnd"/>
      <w:r w:rsidRPr="00344DCE">
        <w:t xml:space="preserve"> concentration (0.01%)</w:t>
      </w:r>
      <w:r>
        <w:t xml:space="preserve"> within listed medicines, the maximal estimated exposure of </w:t>
      </w:r>
      <w:proofErr w:type="spellStart"/>
      <w:r w:rsidRPr="00344DCE">
        <w:t>coumarin</w:t>
      </w:r>
      <w:proofErr w:type="spellEnd"/>
      <w:r w:rsidRPr="00344DCE">
        <w:t xml:space="preserve"> </w:t>
      </w:r>
      <w:r>
        <w:t xml:space="preserve">from sunscreens (0.2 mg/kg </w:t>
      </w:r>
      <w:proofErr w:type="spellStart"/>
      <w:r>
        <w:t>bw</w:t>
      </w:r>
      <w:proofErr w:type="spellEnd"/>
      <w:r>
        <w:t xml:space="preserve">/day) is </w:t>
      </w:r>
      <w:r w:rsidRPr="00344DCE">
        <w:t>five-times higher than that estimated for other topically applied fragranced products combined.</w:t>
      </w:r>
      <w:r>
        <w:t xml:space="preserve"> In comparison, sunscreen products with a </w:t>
      </w:r>
      <w:proofErr w:type="spellStart"/>
      <w:r>
        <w:t>coumarin</w:t>
      </w:r>
      <w:proofErr w:type="spellEnd"/>
      <w:r>
        <w:t xml:space="preserve"> limited to the level specified for use as an active ingredient (0.001%) would deliver 0.02 mg/kg </w:t>
      </w:r>
      <w:proofErr w:type="spellStart"/>
      <w:r>
        <w:t>bw</w:t>
      </w:r>
      <w:proofErr w:type="spellEnd"/>
      <w:r>
        <w:t>/day.</w:t>
      </w:r>
    </w:p>
    <w:p w:rsidR="00BF5B8E" w:rsidRPr="00344DCE" w:rsidRDefault="00BF5B8E" w:rsidP="008A65A8">
      <w:proofErr w:type="spellStart"/>
      <w:r w:rsidRPr="00344DCE">
        <w:t>Coumarin</w:t>
      </w:r>
      <w:proofErr w:type="spellEnd"/>
      <w:r w:rsidRPr="00344DCE">
        <w:t xml:space="preserve"> is already included in multiple listed medicines as a fragrance and may be in 90% of other fragranced commercial products, often undeclared on the product and at levels unknown to the TGA and the Australian public. </w:t>
      </w:r>
    </w:p>
    <w:p w:rsidR="00BF5B8E" w:rsidRPr="00344DCE" w:rsidRDefault="00BF5B8E" w:rsidP="008A65A8">
      <w:pPr>
        <w:keepNext/>
        <w:rPr>
          <w:i/>
        </w:rPr>
      </w:pPr>
      <w:r w:rsidRPr="00344DCE">
        <w:rPr>
          <w:i/>
        </w:rPr>
        <w:t>Biological activity</w:t>
      </w:r>
    </w:p>
    <w:p w:rsidR="00BF5B8E" w:rsidRPr="00344DCE" w:rsidRDefault="00BF5B8E" w:rsidP="008A65A8">
      <w:r w:rsidRPr="00344DCE">
        <w:t xml:space="preserve">Total absorption of </w:t>
      </w:r>
      <w:proofErr w:type="spellStart"/>
      <w:r w:rsidRPr="00344DCE">
        <w:t>coumarin</w:t>
      </w:r>
      <w:proofErr w:type="spellEnd"/>
      <w:r w:rsidRPr="00344DCE">
        <w:t xml:space="preserve"> in sunscreen-like products has been reported as 95% (</w:t>
      </w:r>
      <w:proofErr w:type="spellStart"/>
      <w:r w:rsidRPr="00344DCE">
        <w:t>Yourick</w:t>
      </w:r>
      <w:proofErr w:type="spellEnd"/>
      <w:r w:rsidRPr="00344DCE">
        <w:t xml:space="preserve"> &amp; </w:t>
      </w:r>
      <w:proofErr w:type="spellStart"/>
      <w:r w:rsidRPr="00344DCE">
        <w:t>Bronaugh</w:t>
      </w:r>
      <w:proofErr w:type="spellEnd"/>
      <w:r w:rsidRPr="00344DCE">
        <w:t xml:space="preserve">, 1997). The absorption kinetics of topically-applied </w:t>
      </w:r>
      <w:proofErr w:type="spellStart"/>
      <w:r w:rsidRPr="00344DCE">
        <w:t>coumarin</w:t>
      </w:r>
      <w:proofErr w:type="spellEnd"/>
      <w:r w:rsidRPr="00344DCE">
        <w:t xml:space="preserve"> are indicated to be a linear profile up to a peak at between 1 and 6 hours. The highest concentrations of </w:t>
      </w:r>
      <w:proofErr w:type="spellStart"/>
      <w:r w:rsidRPr="00344DCE">
        <w:t>coumarin</w:t>
      </w:r>
      <w:proofErr w:type="spellEnd"/>
      <w:r w:rsidRPr="00344DCE">
        <w:t xml:space="preserve"> and its metabolites have been found in the liver, kidneys and gut; however, tissue accumulation is not considered to be of concern. </w:t>
      </w:r>
    </w:p>
    <w:p w:rsidR="00BF5B8E" w:rsidRPr="00344DCE" w:rsidRDefault="00BF5B8E" w:rsidP="008A65A8">
      <w:r w:rsidRPr="00344DCE">
        <w:t xml:space="preserve">The most common metabolic pathway (7-hydroxylation) of </w:t>
      </w:r>
      <w:proofErr w:type="spellStart"/>
      <w:r w:rsidRPr="00344DCE">
        <w:t>coumarin</w:t>
      </w:r>
      <w:proofErr w:type="spellEnd"/>
      <w:r w:rsidRPr="00344DCE">
        <w:t xml:space="preserve"> in humans is considered to be highly efficient and of no toxicological concern, and </w:t>
      </w:r>
      <w:proofErr w:type="spellStart"/>
      <w:r w:rsidRPr="00344DCE">
        <w:t>coumarin</w:t>
      </w:r>
      <w:proofErr w:type="spellEnd"/>
      <w:r w:rsidRPr="00344DCE">
        <w:t xml:space="preserve"> is rapidly </w:t>
      </w:r>
      <w:proofErr w:type="spellStart"/>
      <w:r w:rsidRPr="00344DCE">
        <w:t>hydroxylated</w:t>
      </w:r>
      <w:proofErr w:type="spellEnd"/>
      <w:r w:rsidRPr="00344DCE">
        <w:t xml:space="preserve"> and excreted through this pathway. However, in as-yet undefined population sub-sets, genetic polymorphisms result in a greater reliance on less efficient pathways, such as 3,4 </w:t>
      </w:r>
      <w:proofErr w:type="gramStart"/>
      <w:r w:rsidRPr="00344DCE">
        <w:t>epoxidation</w:t>
      </w:r>
      <w:proofErr w:type="gramEnd"/>
      <w:r w:rsidRPr="00344DCE">
        <w:t>. These less efficient pathways are suspected to be the causal factor of hepatotoxicity in susceptible populations, but this has not been established.</w:t>
      </w:r>
    </w:p>
    <w:p w:rsidR="00BF5B8E" w:rsidRPr="00344DCE" w:rsidRDefault="00BF5B8E" w:rsidP="008A65A8">
      <w:pPr>
        <w:keepNext/>
        <w:rPr>
          <w:i/>
        </w:rPr>
      </w:pPr>
      <w:r w:rsidRPr="00344DCE">
        <w:rPr>
          <w:i/>
        </w:rPr>
        <w:lastRenderedPageBreak/>
        <w:t>Toxicology</w:t>
      </w:r>
    </w:p>
    <w:p w:rsidR="00BF5B8E" w:rsidRPr="00344DCE" w:rsidRDefault="00BF5B8E" w:rsidP="008A65A8">
      <w:r w:rsidRPr="00344DCE">
        <w:t xml:space="preserve">The TDI for </w:t>
      </w:r>
      <w:proofErr w:type="spellStart"/>
      <w:r w:rsidRPr="00344DCE">
        <w:t>coumarin</w:t>
      </w:r>
      <w:proofErr w:type="spellEnd"/>
      <w:r w:rsidRPr="00344DCE">
        <w:t xml:space="preserve"> is 0.1 mg/kg </w:t>
      </w:r>
      <w:proofErr w:type="spellStart"/>
      <w:r w:rsidRPr="00344DCE">
        <w:t>bw</w:t>
      </w:r>
      <w:proofErr w:type="spellEnd"/>
      <w:r w:rsidRPr="00344DCE">
        <w:t xml:space="preserve">, as established by EFSA (2004) and is based on </w:t>
      </w:r>
      <w:r>
        <w:t xml:space="preserve">the NOAEL from a chronic </w:t>
      </w:r>
      <w:r w:rsidRPr="00344DCE">
        <w:t xml:space="preserve">oral-exposure </w:t>
      </w:r>
      <w:r>
        <w:t xml:space="preserve">study </w:t>
      </w:r>
      <w:r w:rsidRPr="00344DCE">
        <w:t>in canines</w:t>
      </w:r>
      <w:r>
        <w:t xml:space="preserve">, being 10 mg/kg </w:t>
      </w:r>
      <w:proofErr w:type="spellStart"/>
      <w:r>
        <w:t>bw</w:t>
      </w:r>
      <w:proofErr w:type="spellEnd"/>
      <w:r>
        <w:t>/day</w:t>
      </w:r>
      <w:r w:rsidRPr="00344DCE">
        <w:t xml:space="preserve">. Estimations of European daily dietary intake make up 20-1200% of the oral ADI. European foodstuffs have had </w:t>
      </w:r>
      <w:proofErr w:type="spellStart"/>
      <w:r w:rsidRPr="00344DCE">
        <w:t>coumarin</w:t>
      </w:r>
      <w:proofErr w:type="spellEnd"/>
      <w:r w:rsidRPr="00344DCE">
        <w:t xml:space="preserve"> concentration restrictions for some time, which were relaxed after these estimates were calculated. As such, these estimates are considered to be conservative in relation to current intake. No estimations have been prepared based on an Australian diet, where there are no restrictions applied to </w:t>
      </w:r>
      <w:proofErr w:type="spellStart"/>
      <w:r w:rsidRPr="00344DCE">
        <w:t>coumarin</w:t>
      </w:r>
      <w:proofErr w:type="spellEnd"/>
      <w:r w:rsidRPr="00344DCE">
        <w:t xml:space="preserve"> content in foodstuffs other than alcoholic beverages. </w:t>
      </w:r>
    </w:p>
    <w:p w:rsidR="00BF5B8E" w:rsidRPr="00344DCE" w:rsidRDefault="00BF5B8E" w:rsidP="008A65A8">
      <w:r w:rsidRPr="00344DCE">
        <w:t xml:space="preserve">The complex interaction between oral and topical routes of administration for </w:t>
      </w:r>
      <w:proofErr w:type="spellStart"/>
      <w:r w:rsidRPr="00344DCE">
        <w:t>coumarin</w:t>
      </w:r>
      <w:proofErr w:type="spellEnd"/>
      <w:r w:rsidRPr="00344DCE">
        <w:t xml:space="preserve"> make it difficult to establish an ADI (and corresponding concentration limits) for topical administration which factors in dietary exposure.</w:t>
      </w:r>
      <w:r>
        <w:t xml:space="preserve"> The maximum recommended daily dose of a sunscreen containing </w:t>
      </w:r>
      <w:proofErr w:type="spellStart"/>
      <w:r w:rsidRPr="009E50FB">
        <w:t>coumarin</w:t>
      </w:r>
      <w:proofErr w:type="spellEnd"/>
      <w:r w:rsidRPr="009E50FB">
        <w:t xml:space="preserve"> at </w:t>
      </w:r>
      <w:r>
        <w:t>0.001%</w:t>
      </w:r>
      <w:r w:rsidRPr="009E50FB">
        <w:t xml:space="preserve"> would </w:t>
      </w:r>
      <w:r>
        <w:t xml:space="preserve">allow for a dietary and cosmetic intake of 0.08 mg/kg </w:t>
      </w:r>
      <w:proofErr w:type="spellStart"/>
      <w:r>
        <w:t>bw</w:t>
      </w:r>
      <w:proofErr w:type="spellEnd"/>
      <w:r>
        <w:t xml:space="preserve"> without exceeding the TDI.</w:t>
      </w:r>
    </w:p>
    <w:p w:rsidR="00BF5B8E" w:rsidRPr="00344DCE" w:rsidRDefault="00B01E1F" w:rsidP="008A65A8">
      <w:pPr>
        <w:keepNext/>
        <w:rPr>
          <w:i/>
        </w:rPr>
      </w:pPr>
      <w:proofErr w:type="spellStart"/>
      <w:r>
        <w:rPr>
          <w:i/>
        </w:rPr>
        <w:t>Genotoxicity</w:t>
      </w:r>
      <w:proofErr w:type="spellEnd"/>
      <w:r>
        <w:rPr>
          <w:i/>
        </w:rPr>
        <w:t xml:space="preserve"> &amp; c</w:t>
      </w:r>
      <w:r w:rsidR="00BF5B8E" w:rsidRPr="00344DCE">
        <w:rPr>
          <w:i/>
        </w:rPr>
        <w:t>arcinogenicity</w:t>
      </w:r>
    </w:p>
    <w:p w:rsidR="00BF5B8E" w:rsidRPr="00344DCE" w:rsidRDefault="00BF5B8E" w:rsidP="008A65A8">
      <w:r w:rsidRPr="00344DCE">
        <w:t xml:space="preserve">Any carcinogenic activity would be preceded by toxicity in the target organ and therefore the carcinogenicity potential of </w:t>
      </w:r>
      <w:proofErr w:type="spellStart"/>
      <w:r w:rsidRPr="00344DCE">
        <w:t>coumarin</w:t>
      </w:r>
      <w:proofErr w:type="spellEnd"/>
      <w:r w:rsidRPr="00344DCE">
        <w:t xml:space="preserve"> is not considered to be a significant concern. Carcinogenicity of </w:t>
      </w:r>
      <w:proofErr w:type="spellStart"/>
      <w:r w:rsidRPr="00344DCE">
        <w:t>coumarin</w:t>
      </w:r>
      <w:proofErr w:type="spellEnd"/>
      <w:r w:rsidRPr="00344DCE">
        <w:t xml:space="preserve"> is considered to not be via a genotoxic mode of action. </w:t>
      </w:r>
    </w:p>
    <w:p w:rsidR="00BF5B8E" w:rsidRPr="00344DCE" w:rsidRDefault="00BF5B8E" w:rsidP="008A65A8">
      <w:pPr>
        <w:keepNext/>
        <w:rPr>
          <w:i/>
        </w:rPr>
      </w:pPr>
      <w:r>
        <w:rPr>
          <w:i/>
        </w:rPr>
        <w:t xml:space="preserve">Developmental and </w:t>
      </w:r>
      <w:r w:rsidR="00B01E1F">
        <w:rPr>
          <w:i/>
        </w:rPr>
        <w:t>r</w:t>
      </w:r>
      <w:r w:rsidRPr="00344DCE">
        <w:rPr>
          <w:i/>
        </w:rPr>
        <w:t>eproductive toxicology</w:t>
      </w:r>
    </w:p>
    <w:p w:rsidR="00BF5B8E" w:rsidRPr="00344DCE" w:rsidRDefault="00BF5B8E" w:rsidP="008A65A8">
      <w:r>
        <w:t>S</w:t>
      </w:r>
      <w:r w:rsidRPr="00344DCE">
        <w:t xml:space="preserve">tudies were discussed by </w:t>
      </w:r>
      <w:r>
        <w:t xml:space="preserve">WHO </w:t>
      </w:r>
      <w:r>
        <w:rPr>
          <w:noProof/>
        </w:rPr>
        <w:t>(1996)</w:t>
      </w:r>
      <w:r>
        <w:t xml:space="preserve"> and </w:t>
      </w:r>
      <w:r>
        <w:rPr>
          <w:noProof/>
        </w:rPr>
        <w:t xml:space="preserve">Api </w:t>
      </w:r>
      <w:r w:rsidR="00455127" w:rsidRPr="00455127">
        <w:rPr>
          <w:i/>
          <w:noProof/>
        </w:rPr>
        <w:t>et al.</w:t>
      </w:r>
      <w:r>
        <w:rPr>
          <w:noProof/>
        </w:rPr>
        <w:t xml:space="preserve"> (2019)</w:t>
      </w:r>
      <w:r>
        <w:t xml:space="preserve">, who proposes a NOAEL of 150 and 96 mg/kg </w:t>
      </w:r>
      <w:proofErr w:type="spellStart"/>
      <w:r>
        <w:t>bw</w:t>
      </w:r>
      <w:proofErr w:type="spellEnd"/>
      <w:r>
        <w:t>/day for developmental and reproductive toxicology respectively.</w:t>
      </w:r>
    </w:p>
    <w:p w:rsidR="00BF5B8E" w:rsidRPr="00344DCE" w:rsidRDefault="00BF5B8E" w:rsidP="008A65A8">
      <w:pPr>
        <w:keepNext/>
        <w:rPr>
          <w:i/>
        </w:rPr>
      </w:pPr>
      <w:r w:rsidRPr="00344DCE">
        <w:rPr>
          <w:i/>
        </w:rPr>
        <w:t>Local tolerance</w:t>
      </w:r>
    </w:p>
    <w:p w:rsidR="00BF5B8E" w:rsidRDefault="00BF5B8E" w:rsidP="008A65A8">
      <w:proofErr w:type="spellStart"/>
      <w:r w:rsidRPr="00344DCE">
        <w:t>Coumarin</w:t>
      </w:r>
      <w:proofErr w:type="spellEnd"/>
      <w:r w:rsidRPr="00344DCE">
        <w:t xml:space="preserve"> is an established skin sensitiser. Of the data available to the TGA, sensitisation is exhibited at the lowest concentration studied (2.5%). </w:t>
      </w:r>
      <w:proofErr w:type="spellStart"/>
      <w:r w:rsidRPr="00344DCE">
        <w:t>Coumarin</w:t>
      </w:r>
      <w:proofErr w:type="spellEnd"/>
      <w:r w:rsidRPr="00344DCE">
        <w:t xml:space="preserve">-derivatives within an impure </w:t>
      </w:r>
      <w:proofErr w:type="spellStart"/>
      <w:r w:rsidRPr="00344DCE">
        <w:t>coumarin</w:t>
      </w:r>
      <w:proofErr w:type="spellEnd"/>
      <w:r w:rsidRPr="00344DCE">
        <w:t>-ingredient have been suggested as the causal factor; however</w:t>
      </w:r>
      <w:r>
        <w:t>,</w:t>
      </w:r>
      <w:r w:rsidRPr="00344DCE">
        <w:t xml:space="preserve"> this has not been conclusively established. </w:t>
      </w:r>
      <w:r>
        <w:rPr>
          <w:noProof/>
        </w:rPr>
        <w:t xml:space="preserve">Api </w:t>
      </w:r>
      <w:r w:rsidR="00455127" w:rsidRPr="00455127">
        <w:rPr>
          <w:i/>
          <w:noProof/>
        </w:rPr>
        <w:t>et al.</w:t>
      </w:r>
      <w:r>
        <w:rPr>
          <w:noProof/>
        </w:rPr>
        <w:t xml:space="preserve"> (2019)</w:t>
      </w:r>
      <w:r>
        <w:t xml:space="preserve"> proposes a sensitisation threshold of </w:t>
      </w:r>
      <w:r w:rsidRPr="00344DCE">
        <w:t>3.5 mg/cm</w:t>
      </w:r>
      <w:r>
        <w:rPr>
          <w:vertAlign w:val="superscript"/>
        </w:rPr>
        <w:t>2</w:t>
      </w:r>
      <w:r>
        <w:t>, which is not expected to be delivered by sunscreen products.</w:t>
      </w:r>
      <w:r w:rsidRPr="00344DCE">
        <w:t xml:space="preserve"> There is some evidence to suggest phototoxic potential of </w:t>
      </w:r>
      <w:proofErr w:type="spellStart"/>
      <w:r w:rsidRPr="00344DCE">
        <w:t>coumarin</w:t>
      </w:r>
      <w:proofErr w:type="spellEnd"/>
      <w:r>
        <w:t>; however, this has not been exhibited in vehicles other than paraffin</w:t>
      </w:r>
      <w:r w:rsidRPr="00344DCE">
        <w:t xml:space="preserve">. </w:t>
      </w:r>
    </w:p>
    <w:p w:rsidR="00BF5B8E" w:rsidRPr="00344DCE" w:rsidRDefault="00B01E1F" w:rsidP="008A65A8">
      <w:pPr>
        <w:keepNext/>
        <w:rPr>
          <w:i/>
        </w:rPr>
      </w:pPr>
      <w:r>
        <w:rPr>
          <w:i/>
        </w:rPr>
        <w:t>Human studies &amp; a</w:t>
      </w:r>
      <w:r w:rsidR="00BF5B8E" w:rsidRPr="00344DCE">
        <w:rPr>
          <w:i/>
        </w:rPr>
        <w:t xml:space="preserve">dverse </w:t>
      </w:r>
      <w:r>
        <w:rPr>
          <w:i/>
        </w:rPr>
        <w:t>e</w:t>
      </w:r>
      <w:r w:rsidR="00BF5B8E" w:rsidRPr="00344DCE">
        <w:rPr>
          <w:i/>
        </w:rPr>
        <w:t>vents</w:t>
      </w:r>
    </w:p>
    <w:p w:rsidR="00BF5B8E" w:rsidRPr="00344DCE" w:rsidRDefault="00BF5B8E" w:rsidP="008A65A8">
      <w:r w:rsidRPr="00344DCE">
        <w:t xml:space="preserve">Hepatotoxicity presented in 0.37% of human volunteers in clinical trials of orally-administered </w:t>
      </w:r>
      <w:proofErr w:type="spellStart"/>
      <w:r w:rsidRPr="00344DCE">
        <w:t>coumarin</w:t>
      </w:r>
      <w:proofErr w:type="spellEnd"/>
      <w:r w:rsidRPr="00344DCE">
        <w:t xml:space="preserve"> conducted in Australia. When considered in combination with the estimated 8.5 million sunscreen users in Australia (see section </w:t>
      </w:r>
      <w:r w:rsidRPr="00344DCE">
        <w:fldChar w:fldCharType="begin"/>
      </w:r>
      <w:r w:rsidRPr="00344DCE">
        <w:instrText xml:space="preserve"> REF _Ref525628364 \r \h </w:instrText>
      </w:r>
      <w:r w:rsidRPr="00344DCE">
        <w:fldChar w:fldCharType="separate"/>
      </w:r>
      <w:r w:rsidR="007C34B5">
        <w:t>2.2</w:t>
      </w:r>
      <w:r w:rsidRPr="00344DCE">
        <w:fldChar w:fldCharType="end"/>
      </w:r>
      <w:r w:rsidRPr="00344DCE">
        <w:t xml:space="preserve">), this equates to roughly 30,000 susceptible individuals. One case of acute hepatitis has been attributed to oral consumption of cassia cinnamon. There have been no reported adverse events in literature or to the TGA associated with dermal </w:t>
      </w:r>
      <w:proofErr w:type="spellStart"/>
      <w:r w:rsidRPr="00344DCE">
        <w:t>coumarin</w:t>
      </w:r>
      <w:proofErr w:type="spellEnd"/>
      <w:r w:rsidRPr="00344DCE">
        <w:t xml:space="preserve"> exposure. The number of patients treated with topically-applied </w:t>
      </w:r>
      <w:proofErr w:type="spellStart"/>
      <w:r w:rsidRPr="00344DCE">
        <w:t>coumarin</w:t>
      </w:r>
      <w:proofErr w:type="spellEnd"/>
      <w:r w:rsidRPr="00344DCE">
        <w:t xml:space="preserve">, as an active ingredient, was significantly less than oral products; and in the context of </w:t>
      </w:r>
      <w:proofErr w:type="spellStart"/>
      <w:r w:rsidRPr="00344DCE">
        <w:t>coumarin</w:t>
      </w:r>
      <w:proofErr w:type="spellEnd"/>
      <w:r w:rsidRPr="00344DCE">
        <w:t xml:space="preserve"> as fragrance, fragrances are often not stated on product labels, and therefore more difficult to identify and associate with the occurrence of an adverse-event. </w:t>
      </w:r>
    </w:p>
    <w:p w:rsidR="00BF5B8E" w:rsidRPr="00344DCE" w:rsidRDefault="00BF5B8E" w:rsidP="008A65A8">
      <w:pPr>
        <w:keepNext/>
        <w:rPr>
          <w:i/>
        </w:rPr>
      </w:pPr>
      <w:r>
        <w:rPr>
          <w:i/>
        </w:rPr>
        <w:t>Summary of thresholds proposed to addressed safety concerns</w:t>
      </w:r>
    </w:p>
    <w:p w:rsidR="00BF5B8E" w:rsidRDefault="00BF5B8E" w:rsidP="008A65A8">
      <w:r>
        <w:t xml:space="preserve">The safety concerns described above and the proposed thresholds at which these concerns are appropriate are summarised in </w:t>
      </w:r>
      <w:r w:rsidR="00CF066C">
        <w:t>Table 6-1</w:t>
      </w:r>
      <w:r>
        <w:t>.</w:t>
      </w:r>
    </w:p>
    <w:p w:rsidR="00BF5B8E" w:rsidRPr="00CF066C" w:rsidRDefault="00BF5B8E" w:rsidP="008A65A8">
      <w:pPr>
        <w:pStyle w:val="Caption"/>
        <w:keepNext/>
        <w:rPr>
          <w:rFonts w:ascii="Cambria" w:hAnsi="Cambria"/>
          <w:b/>
          <w:sz w:val="22"/>
          <w:szCs w:val="22"/>
        </w:rPr>
      </w:pPr>
      <w:bookmarkStart w:id="125" w:name="_Ref25322539"/>
      <w:r w:rsidRPr="00CF066C">
        <w:rPr>
          <w:rFonts w:ascii="Cambria" w:hAnsi="Cambria"/>
          <w:b/>
          <w:sz w:val="22"/>
          <w:szCs w:val="22"/>
        </w:rPr>
        <w:lastRenderedPageBreak/>
        <w:t xml:space="preserve">Table </w:t>
      </w:r>
      <w:r w:rsidR="00CF066C" w:rsidRPr="00CF066C">
        <w:rPr>
          <w:rFonts w:ascii="Cambria" w:hAnsi="Cambria"/>
          <w:b/>
          <w:sz w:val="22"/>
          <w:szCs w:val="22"/>
        </w:rPr>
        <w:t>6</w:t>
      </w:r>
      <w:r w:rsidRPr="00CF066C">
        <w:rPr>
          <w:rFonts w:ascii="Cambria" w:hAnsi="Cambria"/>
          <w:b/>
          <w:sz w:val="22"/>
          <w:szCs w:val="22"/>
        </w:rPr>
        <w:noBreakHyphen/>
      </w:r>
      <w:bookmarkEnd w:id="125"/>
      <w:r w:rsidR="00CF066C" w:rsidRPr="00CF066C">
        <w:rPr>
          <w:rFonts w:ascii="Cambria" w:hAnsi="Cambria"/>
          <w:b/>
          <w:sz w:val="22"/>
          <w:szCs w:val="22"/>
        </w:rPr>
        <w:t>1</w:t>
      </w:r>
      <w:r w:rsidRPr="00CF066C">
        <w:rPr>
          <w:rFonts w:ascii="Cambria" w:hAnsi="Cambria"/>
          <w:b/>
          <w:sz w:val="22"/>
          <w:szCs w:val="22"/>
        </w:rPr>
        <w:t>: Summary of proposed thresholds for safety concerns</w:t>
      </w:r>
    </w:p>
    <w:tbl>
      <w:tblPr>
        <w:tblStyle w:val="TableTGAblue"/>
        <w:tblW w:w="0" w:type="auto"/>
        <w:tblLook w:val="04A0" w:firstRow="1" w:lastRow="0" w:firstColumn="1" w:lastColumn="0" w:noHBand="0" w:noVBand="1"/>
      </w:tblPr>
      <w:tblGrid>
        <w:gridCol w:w="2906"/>
        <w:gridCol w:w="4006"/>
      </w:tblGrid>
      <w:tr w:rsidR="00BF5B8E" w:rsidTr="008A6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tcPr>
          <w:p w:rsidR="00BF5B8E" w:rsidRDefault="00BF5B8E" w:rsidP="004162E4">
            <w:pPr>
              <w:spacing w:before="60" w:after="60"/>
            </w:pPr>
            <w:r>
              <w:t>Safety concern</w:t>
            </w:r>
          </w:p>
        </w:tc>
        <w:tc>
          <w:tcPr>
            <w:tcW w:w="4006" w:type="dxa"/>
          </w:tcPr>
          <w:p w:rsidR="00BF5B8E" w:rsidRDefault="00BF5B8E" w:rsidP="004162E4">
            <w:pPr>
              <w:spacing w:before="60" w:after="60"/>
              <w:cnfStyle w:val="100000000000" w:firstRow="1" w:lastRow="0" w:firstColumn="0" w:lastColumn="0" w:oddVBand="0" w:evenVBand="0" w:oddHBand="0" w:evenHBand="0" w:firstRowFirstColumn="0" w:firstRowLastColumn="0" w:lastRowFirstColumn="0" w:lastRowLastColumn="0"/>
            </w:pPr>
            <w:r>
              <w:t>Proposed threshold</w:t>
            </w:r>
          </w:p>
        </w:tc>
      </w:tr>
      <w:tr w:rsidR="00BF5B8E" w:rsidTr="008A65A8">
        <w:tc>
          <w:tcPr>
            <w:cnfStyle w:val="001000000000" w:firstRow="0" w:lastRow="0" w:firstColumn="1" w:lastColumn="0" w:oddVBand="0" w:evenVBand="0" w:oddHBand="0" w:evenHBand="0" w:firstRowFirstColumn="0" w:firstRowLastColumn="0" w:lastRowFirstColumn="0" w:lastRowLastColumn="0"/>
            <w:tcW w:w="2906" w:type="dxa"/>
          </w:tcPr>
          <w:p w:rsidR="00BF5B8E" w:rsidRDefault="00BF5B8E" w:rsidP="004162E4">
            <w:pPr>
              <w:keepNext/>
              <w:spacing w:before="60" w:after="60"/>
            </w:pPr>
            <w:r>
              <w:t>Chronic exposure</w:t>
            </w:r>
          </w:p>
        </w:tc>
        <w:tc>
          <w:tcPr>
            <w:tcW w:w="4006" w:type="dxa"/>
          </w:tcPr>
          <w:p w:rsidR="00BF5B8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t xml:space="preserve">10 mg/kg </w:t>
            </w:r>
            <w:proofErr w:type="spellStart"/>
            <w:r>
              <w:t>bw</w:t>
            </w:r>
            <w:proofErr w:type="spellEnd"/>
            <w:r>
              <w:t>/day</w:t>
            </w:r>
          </w:p>
        </w:tc>
      </w:tr>
      <w:tr w:rsidR="00BF5B8E" w:rsidTr="008A65A8">
        <w:tc>
          <w:tcPr>
            <w:cnfStyle w:val="001000000000" w:firstRow="0" w:lastRow="0" w:firstColumn="1" w:lastColumn="0" w:oddVBand="0" w:evenVBand="0" w:oddHBand="0" w:evenHBand="0" w:firstRowFirstColumn="0" w:firstRowLastColumn="0" w:lastRowFirstColumn="0" w:lastRowLastColumn="0"/>
            <w:tcW w:w="2906" w:type="dxa"/>
          </w:tcPr>
          <w:p w:rsidR="00BF5B8E" w:rsidRDefault="00BF5B8E" w:rsidP="004162E4">
            <w:pPr>
              <w:keepNext/>
              <w:spacing w:before="60" w:after="60"/>
            </w:pPr>
            <w:proofErr w:type="spellStart"/>
            <w:r>
              <w:t>Genotoxicity</w:t>
            </w:r>
            <w:proofErr w:type="spellEnd"/>
          </w:p>
        </w:tc>
        <w:tc>
          <w:tcPr>
            <w:tcW w:w="4006" w:type="dxa"/>
          </w:tcPr>
          <w:p w:rsidR="00BF5B8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t>Not required</w:t>
            </w:r>
          </w:p>
        </w:tc>
      </w:tr>
      <w:tr w:rsidR="00BF5B8E" w:rsidTr="008A65A8">
        <w:tc>
          <w:tcPr>
            <w:cnfStyle w:val="001000000000" w:firstRow="0" w:lastRow="0" w:firstColumn="1" w:lastColumn="0" w:oddVBand="0" w:evenVBand="0" w:oddHBand="0" w:evenHBand="0" w:firstRowFirstColumn="0" w:firstRowLastColumn="0" w:lastRowFirstColumn="0" w:lastRowLastColumn="0"/>
            <w:tcW w:w="2906" w:type="dxa"/>
          </w:tcPr>
          <w:p w:rsidR="00BF5B8E" w:rsidRDefault="00BF5B8E" w:rsidP="004162E4">
            <w:pPr>
              <w:keepNext/>
              <w:spacing w:before="60" w:after="60"/>
            </w:pPr>
            <w:r>
              <w:t>Carcinogenicity</w:t>
            </w:r>
          </w:p>
        </w:tc>
        <w:tc>
          <w:tcPr>
            <w:tcW w:w="4006" w:type="dxa"/>
          </w:tcPr>
          <w:p w:rsidR="00BF5B8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t>Not required</w:t>
            </w:r>
          </w:p>
        </w:tc>
      </w:tr>
      <w:tr w:rsidR="00BF5B8E" w:rsidTr="008A65A8">
        <w:tc>
          <w:tcPr>
            <w:cnfStyle w:val="001000000000" w:firstRow="0" w:lastRow="0" w:firstColumn="1" w:lastColumn="0" w:oddVBand="0" w:evenVBand="0" w:oddHBand="0" w:evenHBand="0" w:firstRowFirstColumn="0" w:firstRowLastColumn="0" w:lastRowFirstColumn="0" w:lastRowLastColumn="0"/>
            <w:tcW w:w="2906" w:type="dxa"/>
          </w:tcPr>
          <w:p w:rsidR="00BF5B8E" w:rsidRDefault="00BF5B8E" w:rsidP="004162E4">
            <w:pPr>
              <w:keepNext/>
              <w:spacing w:before="60" w:after="60"/>
            </w:pPr>
            <w:r>
              <w:t>Development toxicology</w:t>
            </w:r>
          </w:p>
        </w:tc>
        <w:tc>
          <w:tcPr>
            <w:tcW w:w="4006" w:type="dxa"/>
          </w:tcPr>
          <w:p w:rsidR="00BF5B8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t xml:space="preserve">150 mg/kg </w:t>
            </w:r>
            <w:proofErr w:type="spellStart"/>
            <w:r>
              <w:t>bw</w:t>
            </w:r>
            <w:proofErr w:type="spellEnd"/>
            <w:r>
              <w:t>/day</w:t>
            </w:r>
          </w:p>
        </w:tc>
      </w:tr>
      <w:tr w:rsidR="00BF5B8E" w:rsidTr="008A65A8">
        <w:tc>
          <w:tcPr>
            <w:cnfStyle w:val="001000000000" w:firstRow="0" w:lastRow="0" w:firstColumn="1" w:lastColumn="0" w:oddVBand="0" w:evenVBand="0" w:oddHBand="0" w:evenHBand="0" w:firstRowFirstColumn="0" w:firstRowLastColumn="0" w:lastRowFirstColumn="0" w:lastRowLastColumn="0"/>
            <w:tcW w:w="2906" w:type="dxa"/>
          </w:tcPr>
          <w:p w:rsidR="00BF5B8E" w:rsidRDefault="00BF5B8E" w:rsidP="004162E4">
            <w:pPr>
              <w:keepNext/>
              <w:spacing w:before="60" w:after="60"/>
            </w:pPr>
            <w:r>
              <w:t>Reproductive toxicology</w:t>
            </w:r>
          </w:p>
        </w:tc>
        <w:tc>
          <w:tcPr>
            <w:tcW w:w="4006" w:type="dxa"/>
          </w:tcPr>
          <w:p w:rsidR="00BF5B8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t xml:space="preserve">96 mg/kg </w:t>
            </w:r>
            <w:proofErr w:type="spellStart"/>
            <w:r>
              <w:t>bw</w:t>
            </w:r>
            <w:proofErr w:type="spellEnd"/>
            <w:r>
              <w:t>/day</w:t>
            </w:r>
          </w:p>
        </w:tc>
      </w:tr>
      <w:tr w:rsidR="00BF5B8E" w:rsidTr="008A65A8">
        <w:tc>
          <w:tcPr>
            <w:cnfStyle w:val="001000000000" w:firstRow="0" w:lastRow="0" w:firstColumn="1" w:lastColumn="0" w:oddVBand="0" w:evenVBand="0" w:oddHBand="0" w:evenHBand="0" w:firstRowFirstColumn="0" w:firstRowLastColumn="0" w:lastRowFirstColumn="0" w:lastRowLastColumn="0"/>
            <w:tcW w:w="2906" w:type="dxa"/>
          </w:tcPr>
          <w:p w:rsidR="00BF5B8E" w:rsidRDefault="00BF5B8E" w:rsidP="004162E4">
            <w:pPr>
              <w:keepNext/>
              <w:spacing w:before="60" w:after="60"/>
            </w:pPr>
            <w:r>
              <w:t>Skin sensitisation</w:t>
            </w:r>
          </w:p>
        </w:tc>
        <w:tc>
          <w:tcPr>
            <w:tcW w:w="4006" w:type="dxa"/>
          </w:tcPr>
          <w:p w:rsidR="00BF5B8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t>3.5mg/cm</w:t>
            </w:r>
            <w:r w:rsidRPr="001A229A">
              <w:rPr>
                <w:vertAlign w:val="superscript"/>
              </w:rPr>
              <w:t>2</w:t>
            </w:r>
            <w:r>
              <w:t xml:space="preserve"> topical application</w:t>
            </w:r>
            <w:r>
              <w:rPr>
                <w:rStyle w:val="FootnoteReference"/>
              </w:rPr>
              <w:footnoteReference w:id="8"/>
            </w:r>
            <w:r>
              <w:t xml:space="preserve"> </w:t>
            </w:r>
          </w:p>
        </w:tc>
      </w:tr>
      <w:tr w:rsidR="00BF5B8E" w:rsidTr="008A65A8">
        <w:tc>
          <w:tcPr>
            <w:cnfStyle w:val="001000000000" w:firstRow="0" w:lastRow="0" w:firstColumn="1" w:lastColumn="0" w:oddVBand="0" w:evenVBand="0" w:oddHBand="0" w:evenHBand="0" w:firstRowFirstColumn="0" w:firstRowLastColumn="0" w:lastRowFirstColumn="0" w:lastRowLastColumn="0"/>
            <w:tcW w:w="2906" w:type="dxa"/>
          </w:tcPr>
          <w:p w:rsidR="00BF5B8E" w:rsidRDefault="00BF5B8E" w:rsidP="004162E4">
            <w:pPr>
              <w:keepNext/>
              <w:spacing w:before="60" w:after="60"/>
            </w:pPr>
            <w:proofErr w:type="spellStart"/>
            <w:r>
              <w:t>Phototoxicity</w:t>
            </w:r>
            <w:proofErr w:type="spellEnd"/>
          </w:p>
        </w:tc>
        <w:tc>
          <w:tcPr>
            <w:tcW w:w="4006" w:type="dxa"/>
          </w:tcPr>
          <w:p w:rsidR="00BF5B8E" w:rsidRDefault="00BF5B8E" w:rsidP="004162E4">
            <w:pPr>
              <w:spacing w:before="60" w:after="60"/>
              <w:cnfStyle w:val="000000000000" w:firstRow="0" w:lastRow="0" w:firstColumn="0" w:lastColumn="0" w:oddVBand="0" w:evenVBand="0" w:oddHBand="0" w:evenHBand="0" w:firstRowFirstColumn="0" w:firstRowLastColumn="0" w:lastRowFirstColumn="0" w:lastRowLastColumn="0"/>
            </w:pPr>
            <w:r>
              <w:t>Greater than 8% (other than paraffin)</w:t>
            </w:r>
          </w:p>
        </w:tc>
      </w:tr>
    </w:tbl>
    <w:p w:rsidR="00BF5B8E" w:rsidRPr="00344DCE" w:rsidRDefault="00BF5B8E" w:rsidP="000E0E79">
      <w:pPr>
        <w:pStyle w:val="Heading2"/>
      </w:pPr>
      <w:bookmarkStart w:id="126" w:name="_Toc371428102"/>
      <w:bookmarkStart w:id="127" w:name="_Toc424647389"/>
      <w:bookmarkStart w:id="128" w:name="_Toc516662775"/>
      <w:bookmarkStart w:id="129" w:name="_Toc25652449"/>
      <w:bookmarkStart w:id="130" w:name="_Toc25930288"/>
      <w:bookmarkStart w:id="131" w:name="_Toc371428140"/>
      <w:r>
        <w:t>C</w:t>
      </w:r>
      <w:r w:rsidRPr="00344DCE">
        <w:t>onclusions</w:t>
      </w:r>
      <w:bookmarkEnd w:id="126"/>
      <w:bookmarkEnd w:id="127"/>
      <w:bookmarkEnd w:id="128"/>
      <w:bookmarkEnd w:id="129"/>
      <w:bookmarkEnd w:id="130"/>
    </w:p>
    <w:p w:rsidR="00BF5B8E" w:rsidRDefault="00BF5B8E" w:rsidP="008A65A8">
      <w:r w:rsidRPr="00344DCE">
        <w:t xml:space="preserve">Evaluation of the currently available data suggests the risk-benefit profile is not favourable for unrestricted topical use of </w:t>
      </w:r>
      <w:proofErr w:type="spellStart"/>
      <w:r w:rsidRPr="00344DCE">
        <w:t>coumarin</w:t>
      </w:r>
      <w:proofErr w:type="spellEnd"/>
      <w:r w:rsidRPr="00344DCE">
        <w:t xml:space="preserve"> </w:t>
      </w:r>
      <w:r>
        <w:t xml:space="preserve">as a fragrance </w:t>
      </w:r>
      <w:r w:rsidRPr="00344DCE">
        <w:t>in listed medicines, due to the safety concerns and the lack of data for key safety considerations.</w:t>
      </w:r>
    </w:p>
    <w:p w:rsidR="00BF5B8E" w:rsidRDefault="00BF5B8E" w:rsidP="008A65A8">
      <w:r>
        <w:t xml:space="preserve">Safety concerns regarding chronic exposure to </w:t>
      </w:r>
      <w:proofErr w:type="spellStart"/>
      <w:r>
        <w:t>coumarin</w:t>
      </w:r>
      <w:proofErr w:type="spellEnd"/>
      <w:r>
        <w:t xml:space="preserve">, including hepatotoxicity, remain outstanding. The proposed threshold to mitigate these concerns is lower than the thresholds proposed for developmental and reproductive toxicology, skin sensitisation and </w:t>
      </w:r>
      <w:proofErr w:type="spellStart"/>
      <w:r>
        <w:t>phototoxicity</w:t>
      </w:r>
      <w:proofErr w:type="spellEnd"/>
      <w:r>
        <w:t xml:space="preserve"> (</w:t>
      </w:r>
      <w:r w:rsidR="00CF066C">
        <w:t>Table 6-1</w:t>
      </w:r>
      <w:r>
        <w:t xml:space="preserve">). A maximum limit of </w:t>
      </w:r>
      <w:proofErr w:type="spellStart"/>
      <w:r>
        <w:t>coumarin</w:t>
      </w:r>
      <w:proofErr w:type="spellEnd"/>
      <w:r>
        <w:t xml:space="preserve"> in topical products which mitigates the chronic exposure concerns will also mitigate the risk of these other concerns.</w:t>
      </w:r>
    </w:p>
    <w:p w:rsidR="00BF5B8E" w:rsidRDefault="00BF5B8E" w:rsidP="008A65A8">
      <w:r>
        <w:t xml:space="preserve">The proposed threshold which addresses chronic exposure data was robustly considered in the establishment of a TDI (0.1 mg/kg </w:t>
      </w:r>
      <w:proofErr w:type="spellStart"/>
      <w:r>
        <w:t>bw</w:t>
      </w:r>
      <w:proofErr w:type="spellEnd"/>
      <w:r>
        <w:t xml:space="preserve">) by EFSA </w:t>
      </w:r>
      <w:r>
        <w:rPr>
          <w:noProof/>
        </w:rPr>
        <w:t>(2004)</w:t>
      </w:r>
      <w:r>
        <w:t xml:space="preserve">. The absence of a reliable estimation of Australian intake of </w:t>
      </w:r>
      <w:proofErr w:type="spellStart"/>
      <w:r>
        <w:t>coumarin</w:t>
      </w:r>
      <w:proofErr w:type="spellEnd"/>
      <w:r>
        <w:t xml:space="preserve"> from dietary and cosmetic sources suggest that a conservative maximum daily exposure is appropriate to avoid exceeding this TDI. As a maximum recommended daily exposure from a sunscreen containing 0.001% </w:t>
      </w:r>
      <w:proofErr w:type="spellStart"/>
      <w:r>
        <w:t>coumarin</w:t>
      </w:r>
      <w:proofErr w:type="spellEnd"/>
      <w:r>
        <w:t xml:space="preserve"> would make up 20% of the TDI, topical listed medicines and sunscreens should not exceed this concentration.</w:t>
      </w:r>
    </w:p>
    <w:p w:rsidR="00BF5B8E" w:rsidRDefault="00BF5B8E" w:rsidP="008A65A8">
      <w:pPr>
        <w:sectPr w:rsidR="00BF5B8E" w:rsidSect="008A65A8">
          <w:footerReference w:type="default" r:id="rId21"/>
          <w:footnotePr>
            <w:numFmt w:val="chicago"/>
          </w:footnotePr>
          <w:pgSz w:w="11906" w:h="16838" w:code="9"/>
          <w:pgMar w:top="1134" w:right="1418" w:bottom="1361" w:left="1418" w:header="573" w:footer="567" w:gutter="0"/>
          <w:cols w:space="708"/>
          <w:docGrid w:linePitch="360"/>
        </w:sectPr>
      </w:pPr>
      <w:r w:rsidRPr="00344DCE">
        <w:t xml:space="preserve">The safety of </w:t>
      </w:r>
      <w:proofErr w:type="spellStart"/>
      <w:r w:rsidRPr="00344DCE">
        <w:t>coumarin</w:t>
      </w:r>
      <w:proofErr w:type="spellEnd"/>
      <w:r w:rsidRPr="00344DCE">
        <w:t xml:space="preserve"> within listed medicines intended for use in children is not supported </w:t>
      </w:r>
      <w:r>
        <w:t xml:space="preserve">due to the likely increased exposure to </w:t>
      </w:r>
      <w:proofErr w:type="spellStart"/>
      <w:r>
        <w:t>coumarin</w:t>
      </w:r>
      <w:proofErr w:type="spellEnd"/>
      <w:r>
        <w:t xml:space="preserve"> from diet and body surface area-to-weight ratio </w:t>
      </w:r>
      <w:r>
        <w:rPr>
          <w:noProof/>
        </w:rPr>
        <w:t>(BfR, 2006)</w:t>
      </w:r>
      <w:r>
        <w:t xml:space="preserve">. As such, a warning statement to that effect should be specified on the labels of listed medicines containing </w:t>
      </w:r>
      <w:proofErr w:type="spellStart"/>
      <w:r>
        <w:t>coumarin</w:t>
      </w:r>
      <w:proofErr w:type="spellEnd"/>
      <w:r>
        <w:t>.</w:t>
      </w:r>
    </w:p>
    <w:p w:rsidR="00BF5B8E" w:rsidRPr="00344DCE" w:rsidRDefault="00BF5B8E" w:rsidP="00B01E1F">
      <w:pPr>
        <w:pStyle w:val="Heading2"/>
        <w:spacing w:before="0"/>
      </w:pPr>
      <w:bookmarkStart w:id="132" w:name="_Toc424647390"/>
      <w:bookmarkStart w:id="133" w:name="_Toc516662776"/>
      <w:bookmarkStart w:id="134" w:name="_Toc25652450"/>
      <w:bookmarkStart w:id="135" w:name="_Toc25930289"/>
      <w:r w:rsidRPr="00344DCE">
        <w:lastRenderedPageBreak/>
        <w:t>References</w:t>
      </w:r>
      <w:bookmarkEnd w:id="131"/>
      <w:bookmarkEnd w:id="132"/>
      <w:bookmarkEnd w:id="133"/>
      <w:bookmarkEnd w:id="134"/>
      <w:bookmarkEnd w:id="135"/>
    </w:p>
    <w:p w:rsidR="00BF5B8E" w:rsidRPr="00E92157" w:rsidRDefault="00BF5B8E" w:rsidP="00C8096A">
      <w:pPr>
        <w:pStyle w:val="EndNoteBibliography"/>
        <w:ind w:left="720" w:hanging="720"/>
        <w:jc w:val="left"/>
      </w:pPr>
      <w:r w:rsidRPr="00E92157">
        <w:t xml:space="preserve">Abraham, K., Pfister, M., Wöhrlin, F., &amp; Lampen, A. (2011). Relative bioavailability of coumarin from cinnamon and cinnamon‐containing foods compared to isolated coumarin: A four‐way crossover study in human volunteers. </w:t>
      </w:r>
      <w:r w:rsidRPr="00E92157">
        <w:rPr>
          <w:i/>
        </w:rPr>
        <w:t>Molecular Nutrition &amp; Food Research, 55</w:t>
      </w:r>
      <w:r w:rsidRPr="00E92157">
        <w:t>(4), 644-653. doi:doi:10.1002/mnfr.201000394</w:t>
      </w:r>
    </w:p>
    <w:p w:rsidR="00BF5B8E" w:rsidRPr="00E92157" w:rsidRDefault="00BF5B8E" w:rsidP="00C8096A">
      <w:pPr>
        <w:pStyle w:val="EndNoteBibliography"/>
        <w:ind w:left="720" w:hanging="720"/>
        <w:jc w:val="left"/>
      </w:pPr>
      <w:r w:rsidRPr="00E92157">
        <w:t xml:space="preserve">Abraham, K., Wöhrlin, F., Lindtner, O., Heinemeyer, G., &amp; Lampen, A. (2010). Toxicology and risk assessment of coumarin: Focus on human data. </w:t>
      </w:r>
      <w:r w:rsidRPr="00E92157">
        <w:rPr>
          <w:i/>
        </w:rPr>
        <w:t>Molecular Nutrition &amp; Food Research, 54</w:t>
      </w:r>
      <w:r w:rsidRPr="00E92157">
        <w:t>(2), 228-239. doi:doi:10.1002/mnfr.200900281</w:t>
      </w:r>
    </w:p>
    <w:p w:rsidR="00BF5B8E" w:rsidRPr="00E92157" w:rsidRDefault="00BF5B8E" w:rsidP="00C8096A">
      <w:pPr>
        <w:pStyle w:val="EndNoteBibliography"/>
        <w:ind w:left="720" w:hanging="720"/>
        <w:jc w:val="left"/>
      </w:pPr>
      <w:r w:rsidRPr="00E92157">
        <w:t xml:space="preserve">Addo, H. A., Ferguson, J., Johnson, B. E., &amp; Frain-Bell, W. (1982). The relationship between exposure to fragrance materials and persistent light reaction in the photosensitivity dermatitis with actinic reticuloid syndrome. </w:t>
      </w:r>
      <w:r w:rsidRPr="00E92157">
        <w:rPr>
          <w:i/>
        </w:rPr>
        <w:t>British Journal of Dermatology, 107</w:t>
      </w:r>
      <w:r w:rsidRPr="00E92157">
        <w:t>(3), 261-274. doi:doi:10.1111/j.1365-2133.1982.tb00356.x</w:t>
      </w:r>
    </w:p>
    <w:p w:rsidR="00BF5B8E" w:rsidRPr="00E92157" w:rsidRDefault="00BF5B8E" w:rsidP="00C8096A">
      <w:pPr>
        <w:pStyle w:val="EndNoteBibliography"/>
        <w:ind w:left="720" w:hanging="720"/>
        <w:jc w:val="left"/>
      </w:pPr>
      <w:r w:rsidRPr="00E92157">
        <w:t xml:space="preserve">Andréjak, M., Gersberg, M., Sgro, C., Decocq, G., Hamel, J. D., Morin, M., &amp; Gras, V. (1998). French pharmacovigilance survey evaluating the hepatic toxicity of coumarin. </w:t>
      </w:r>
      <w:r w:rsidRPr="00E92157">
        <w:rPr>
          <w:i/>
        </w:rPr>
        <w:t>Pharmacoepidemiology and Drug Safety, 7</w:t>
      </w:r>
      <w:r w:rsidRPr="00E92157">
        <w:t>(S1), S45-S50. doi:doi:10.1002/(SICI)1099-1557(199808)7:1+&lt;S45::AID-PDS353&gt;3.0.CO;2-1</w:t>
      </w:r>
    </w:p>
    <w:p w:rsidR="00BF5B8E" w:rsidRPr="00E92157" w:rsidRDefault="00BF5B8E" w:rsidP="00C8096A">
      <w:pPr>
        <w:pStyle w:val="EndNoteBibliography"/>
        <w:ind w:left="720" w:hanging="720"/>
        <w:jc w:val="left"/>
      </w:pPr>
      <w:r w:rsidRPr="00E92157">
        <w:t xml:space="preserve">Anon. (1997). Hepatitis due to coumarin. </w:t>
      </w:r>
      <w:r w:rsidRPr="00E92157">
        <w:rPr>
          <w:i/>
        </w:rPr>
        <w:t>Prescrire International, 6</w:t>
      </w:r>
      <w:r w:rsidRPr="00E92157">
        <w:t xml:space="preserve">(31), 145. </w:t>
      </w:r>
    </w:p>
    <w:p w:rsidR="00BF5B8E" w:rsidRPr="00E92157" w:rsidRDefault="00BF5B8E" w:rsidP="00C8096A">
      <w:pPr>
        <w:pStyle w:val="EndNoteBibliography"/>
        <w:ind w:left="720" w:hanging="720"/>
        <w:jc w:val="left"/>
        <w:rPr>
          <w:u w:val="single"/>
        </w:rPr>
      </w:pPr>
      <w:r w:rsidRPr="00E92157">
        <w:t xml:space="preserve">Api, A. M. (2001). Lack of effect of coumarin on the formation of micronuclei in an in vivo mouse micronucleus assay. </w:t>
      </w:r>
      <w:r w:rsidRPr="00E92157">
        <w:rPr>
          <w:i/>
        </w:rPr>
        <w:t>Food and Chemical Toxicology, 39</w:t>
      </w:r>
      <w:r w:rsidRPr="00E92157">
        <w:t>(8), 837-841. doi:</w:t>
      </w:r>
      <w:r w:rsidRPr="00BF5B8E">
        <w:rPr>
          <w:rFonts w:eastAsia="Cambria"/>
        </w:rPr>
        <w:t>https://doi.org/10.1016/S0278-6915(01)00024-2</w:t>
      </w:r>
    </w:p>
    <w:p w:rsidR="00BF5B8E" w:rsidRPr="00E92157" w:rsidRDefault="00BF5B8E" w:rsidP="00C8096A">
      <w:pPr>
        <w:pStyle w:val="EndNoteBibliography"/>
        <w:ind w:left="720" w:hanging="720"/>
        <w:jc w:val="left"/>
      </w:pPr>
      <w:r w:rsidRPr="00E92157">
        <w:t xml:space="preserve">Api, A. M., Belmonte, F., Belsito, D., Biserta, S., Botelho, D., Bruze, M., </w:t>
      </w:r>
      <w:r w:rsidR="00C8096A">
        <w:t xml:space="preserve">... </w:t>
      </w:r>
      <w:r w:rsidRPr="00E92157">
        <w:t xml:space="preserve">Tsang, S. (2019). RIFM fragrance ingredient safety assessment, coumarin, CAS Registry Number 91-64-5. </w:t>
      </w:r>
      <w:r w:rsidRPr="00E92157">
        <w:rPr>
          <w:i/>
        </w:rPr>
        <w:t>Food and Chemical Toxicology, 130</w:t>
      </w:r>
      <w:r w:rsidRPr="00E92157">
        <w:t>, 110522. doi:</w:t>
      </w:r>
      <w:r w:rsidRPr="00BF5B8E">
        <w:rPr>
          <w:rFonts w:eastAsia="Cambria"/>
        </w:rPr>
        <w:t>https://doi.org/10.1016/j.fct.2019.05.030</w:t>
      </w:r>
    </w:p>
    <w:p w:rsidR="00BF5B8E" w:rsidRPr="00E92157" w:rsidRDefault="00BF5B8E" w:rsidP="00C8096A">
      <w:pPr>
        <w:pStyle w:val="EndNoteBibliography"/>
        <w:ind w:left="720" w:hanging="720"/>
        <w:jc w:val="left"/>
      </w:pPr>
      <w:r w:rsidRPr="00E92157">
        <w:t>Standard for the Uniform Scheduling of Medicines and Poisons,  (June 2018).</w:t>
      </w:r>
    </w:p>
    <w:p w:rsidR="00BF5B8E" w:rsidRPr="00E92157" w:rsidRDefault="00BF5B8E" w:rsidP="00C8096A">
      <w:pPr>
        <w:pStyle w:val="EndNoteBibliography"/>
        <w:ind w:left="720" w:hanging="720"/>
        <w:jc w:val="left"/>
      </w:pPr>
      <w:r w:rsidRPr="00E92157">
        <w:t xml:space="preserve">Bassett, M. L., &amp; Dahlstrom, J. E. (1995). Liver failure while taking coumarin. </w:t>
      </w:r>
      <w:r w:rsidRPr="00E92157">
        <w:rPr>
          <w:i/>
        </w:rPr>
        <w:t>The Medical journal of Australia, 163</w:t>
      </w:r>
      <w:r w:rsidRPr="00E92157">
        <w:t xml:space="preserve">(2), 106. </w:t>
      </w:r>
    </w:p>
    <w:p w:rsidR="00BF5B8E" w:rsidRPr="00E92157" w:rsidRDefault="00BF5B8E" w:rsidP="00C8096A">
      <w:pPr>
        <w:pStyle w:val="EndNoteBibliography"/>
        <w:ind w:left="720" w:hanging="720"/>
        <w:jc w:val="left"/>
        <w:rPr>
          <w:u w:val="single"/>
        </w:rPr>
      </w:pPr>
      <w:r w:rsidRPr="00E92157">
        <w:t xml:space="preserve">Beckley-Kartey, S. A. J., Hotchkiss, S. A. M., &amp; Capel, M. (1997). Comparative </w:t>
      </w:r>
      <w:r w:rsidRPr="00E92157">
        <w:rPr>
          <w:i/>
        </w:rPr>
        <w:t>in Vitro</w:t>
      </w:r>
      <w:r w:rsidRPr="00E92157">
        <w:t xml:space="preserve"> Skin Absorption and Metabolism of Coumarin (1,2-Benzopyrone) in Human, Rat, and Mouse. </w:t>
      </w:r>
      <w:r w:rsidRPr="00E92157">
        <w:rPr>
          <w:i/>
        </w:rPr>
        <w:t>Toxicology and Applied Pharmacology, 145</w:t>
      </w:r>
      <w:r w:rsidRPr="00E92157">
        <w:t>(1), 34-42. doi:</w:t>
      </w:r>
      <w:r w:rsidRPr="00BF5B8E">
        <w:rPr>
          <w:rFonts w:eastAsia="Cambria"/>
        </w:rPr>
        <w:t>https://doi.org/10.1006/taap.1997.8154</w:t>
      </w:r>
    </w:p>
    <w:p w:rsidR="00BF5B8E" w:rsidRPr="00E92157" w:rsidRDefault="00BF5B8E" w:rsidP="00C8096A">
      <w:pPr>
        <w:pStyle w:val="EndNoteBibliography"/>
        <w:ind w:left="720" w:hanging="720"/>
        <w:jc w:val="left"/>
      </w:pPr>
      <w:r w:rsidRPr="00E92157">
        <w:t xml:space="preserve">Beinssen, A. P. (1994). Possible coumarin hepatotoxicity. </w:t>
      </w:r>
      <w:r w:rsidRPr="00E92157">
        <w:rPr>
          <w:i/>
        </w:rPr>
        <w:t>The Medical journal of Australia, 161</w:t>
      </w:r>
      <w:r w:rsidRPr="00E92157">
        <w:t xml:space="preserve">(11-12), 725. </w:t>
      </w:r>
    </w:p>
    <w:p w:rsidR="00BF5B8E" w:rsidRPr="00E92157" w:rsidRDefault="00BF5B8E" w:rsidP="00C8096A">
      <w:pPr>
        <w:pStyle w:val="EndNoteBibliography"/>
        <w:ind w:left="720" w:hanging="720"/>
        <w:jc w:val="left"/>
      </w:pPr>
      <w:r w:rsidRPr="00E92157">
        <w:t xml:space="preserve">Bennike, N. H., Zachariae, C., &amp; Johansen, J. D. (2017). Non‐mix fragrances are top sensitizers in consecutive dermatitis patients – a cross‐sectional study of the 26 EU‐labelled fragrance allergens. </w:t>
      </w:r>
      <w:r w:rsidRPr="00E92157">
        <w:rPr>
          <w:i/>
        </w:rPr>
        <w:t>Contact Dermatitis, 77</w:t>
      </w:r>
      <w:r w:rsidRPr="00E92157">
        <w:t>(5), 270-279. doi:doi:10.1111/cod.12822</w:t>
      </w:r>
    </w:p>
    <w:p w:rsidR="00BF5B8E" w:rsidRPr="00E92157" w:rsidRDefault="00BF5B8E" w:rsidP="00C8096A">
      <w:pPr>
        <w:pStyle w:val="EndNoteBibliography"/>
        <w:ind w:left="720" w:hanging="720"/>
        <w:jc w:val="left"/>
      </w:pPr>
      <w:r w:rsidRPr="00E92157">
        <w:lastRenderedPageBreak/>
        <w:t xml:space="preserve">Blahova, J., Kruzikova, K., Dobsikova, R., &amp; Svobodova, Z. (2011). Quantification and safety assessment of coumarin in various samples of ground cinnamon. </w:t>
      </w:r>
      <w:r w:rsidRPr="00E92157">
        <w:rPr>
          <w:i/>
        </w:rPr>
        <w:t>Toxicology Letters, 205</w:t>
      </w:r>
      <w:r w:rsidRPr="00E92157">
        <w:t>, S139. doi:</w:t>
      </w:r>
      <w:r w:rsidRPr="00BF5B8E">
        <w:rPr>
          <w:rFonts w:eastAsia="Cambria"/>
        </w:rPr>
        <w:t>https://doi.org/10.1016/j.toxlet.2011.05.492</w:t>
      </w:r>
    </w:p>
    <w:p w:rsidR="00BF5B8E" w:rsidRPr="00E92157" w:rsidRDefault="00BF5B8E" w:rsidP="00C8096A">
      <w:pPr>
        <w:pStyle w:val="EndNoteBibliography"/>
        <w:ind w:left="720" w:hanging="720"/>
        <w:jc w:val="left"/>
      </w:pPr>
      <w:r w:rsidRPr="00E92157">
        <w:t xml:space="preserve">Born, S. L., Caudill, D., Smith, B. J., &amp; Lehman-McKeeman, L. D. (2000). In Vitro Kinetics of Coumarin 3,4-Epoxidation: Application to Species Differences in Toxicity and Carcinogenicity. </w:t>
      </w:r>
      <w:r w:rsidRPr="00E92157">
        <w:rPr>
          <w:i/>
        </w:rPr>
        <w:t>Toxicological Sciences, 58</w:t>
      </w:r>
      <w:r w:rsidRPr="00E92157">
        <w:t>(1), 23-31. doi:10.1093/toxsci/58.1.23</w:t>
      </w:r>
    </w:p>
    <w:p w:rsidR="00BF5B8E" w:rsidRPr="00E92157" w:rsidRDefault="00BF5B8E" w:rsidP="00C8096A">
      <w:pPr>
        <w:pStyle w:val="EndNoteBibliography"/>
        <w:ind w:left="720" w:hanging="720"/>
        <w:jc w:val="left"/>
        <w:rPr>
          <w:u w:val="single"/>
        </w:rPr>
      </w:pPr>
      <w:r w:rsidRPr="00E92157">
        <w:t xml:space="preserve">Born, S. L., Fix, A. S., Caudill, D., &amp; Lehman-McKeeman, L. D. (1998). Selective Clara Cell Injury in Mouse Lung Following Acute Administration of Coumarin. </w:t>
      </w:r>
      <w:r w:rsidRPr="00E92157">
        <w:rPr>
          <w:i/>
        </w:rPr>
        <w:t>Toxicology and Applied Pharmacology, 151</w:t>
      </w:r>
      <w:r w:rsidRPr="00E92157">
        <w:t>(1), 45-56. doi:</w:t>
      </w:r>
      <w:r w:rsidRPr="00BF5B8E">
        <w:rPr>
          <w:rFonts w:eastAsia="Cambria"/>
        </w:rPr>
        <w:t>https://doi.org/10.1006/taap.1998.8442</w:t>
      </w:r>
    </w:p>
    <w:p w:rsidR="00BF5B8E" w:rsidRPr="00E92157" w:rsidRDefault="00BF5B8E" w:rsidP="00C8096A">
      <w:pPr>
        <w:pStyle w:val="EndNoteBibliography"/>
        <w:ind w:left="720" w:hanging="720"/>
        <w:jc w:val="left"/>
      </w:pPr>
      <w:r w:rsidRPr="00E92157">
        <w:t xml:space="preserve">Bundesinstitut für Risikobewertung. (2006). Consumers who eat a lot of cinnamon currently have an overly high exposure to coumarin. </w:t>
      </w:r>
      <w:r w:rsidRPr="00E92157">
        <w:rPr>
          <w:i/>
        </w:rPr>
        <w:t>Health Assessment, 044</w:t>
      </w:r>
      <w:r w:rsidRPr="00E92157">
        <w:t xml:space="preserve">(2006). </w:t>
      </w:r>
    </w:p>
    <w:p w:rsidR="00BF5B8E" w:rsidRPr="00E92157" w:rsidRDefault="00BF5B8E" w:rsidP="00C8096A">
      <w:pPr>
        <w:pStyle w:val="EndNoteBibliography"/>
        <w:ind w:left="720" w:hanging="720"/>
        <w:jc w:val="left"/>
        <w:rPr>
          <w:u w:val="single"/>
        </w:rPr>
      </w:pPr>
      <w:r w:rsidRPr="00E92157">
        <w:t xml:space="preserve">Bundesinstitut für Risikobewertung. (2012). FAQ on coumarin in cinnamon and other foods. Retrieved from </w:t>
      </w:r>
      <w:r w:rsidRPr="00BF5B8E">
        <w:rPr>
          <w:rFonts w:eastAsia="Cambria"/>
        </w:rPr>
        <w:t>https://www.bfr.bund.de/en/faq_on_coumarin_in_cinnamon_and_other_foods-8487.html</w:t>
      </w:r>
    </w:p>
    <w:p w:rsidR="00BF5B8E" w:rsidRPr="00E92157" w:rsidRDefault="00BF5B8E" w:rsidP="00C8096A">
      <w:pPr>
        <w:pStyle w:val="EndNoteBibliography"/>
        <w:ind w:left="720" w:hanging="720"/>
        <w:jc w:val="left"/>
      </w:pPr>
      <w:r w:rsidRPr="00E92157">
        <w:t xml:space="preserve">Canadian Food Inspection Agency. (2016a). 2012-2013 Coumarin in Cinnamon and Cinnamon-Containing Products. </w:t>
      </w:r>
      <w:r w:rsidRPr="00E92157">
        <w:rPr>
          <w:i/>
        </w:rPr>
        <w:t>Food Safety Action Plan</w:t>
      </w:r>
      <w:r w:rsidRPr="00E92157">
        <w:t xml:space="preserve">. </w:t>
      </w:r>
    </w:p>
    <w:p w:rsidR="00BF5B8E" w:rsidRPr="00E92157" w:rsidRDefault="00BF5B8E" w:rsidP="00C8096A">
      <w:pPr>
        <w:pStyle w:val="EndNoteBibliography"/>
        <w:ind w:left="720" w:hanging="720"/>
        <w:jc w:val="left"/>
      </w:pPr>
      <w:r w:rsidRPr="00E92157">
        <w:t xml:space="preserve">Canadian Food Inspection Agency. (2016b). 2013-2014 Coumarin in Dried Beverage Mixes, Breads, Baking Mixes, Spice Mixes, Dried Tea, Baked Goods, and Breakfast Foods. </w:t>
      </w:r>
      <w:r w:rsidRPr="00E92157">
        <w:rPr>
          <w:i/>
        </w:rPr>
        <w:t>Food Safety Action Plan</w:t>
      </w:r>
      <w:r w:rsidRPr="00E92157">
        <w:t xml:space="preserve">. </w:t>
      </w:r>
    </w:p>
    <w:p w:rsidR="00BF5B8E" w:rsidRPr="00E92157" w:rsidRDefault="00BF5B8E" w:rsidP="00C8096A">
      <w:pPr>
        <w:pStyle w:val="EndNoteBibliography"/>
        <w:ind w:left="720" w:hanging="720"/>
        <w:jc w:val="left"/>
        <w:rPr>
          <w:u w:val="single"/>
        </w:rPr>
      </w:pPr>
      <w:r w:rsidRPr="00E92157">
        <w:t xml:space="preserve">Cancer Council. (2017, 7 December). About SPF50+ sunscreen. Retrieved from </w:t>
      </w:r>
      <w:r w:rsidRPr="00BF5B8E">
        <w:rPr>
          <w:rFonts w:eastAsia="Cambria"/>
        </w:rPr>
        <w:t>https://www.cancer.org.au/preventing-cancer/sun-protection/preventing-skin-cancer/spf50sunscreen.html</w:t>
      </w:r>
    </w:p>
    <w:p w:rsidR="00BF5B8E" w:rsidRPr="00E92157" w:rsidRDefault="00BF5B8E" w:rsidP="00C8096A">
      <w:pPr>
        <w:pStyle w:val="EndNoteBibliography"/>
        <w:ind w:left="720" w:hanging="720"/>
        <w:jc w:val="left"/>
      </w:pPr>
      <w:r w:rsidRPr="00E92157">
        <w:t xml:space="preserve">Casley-Smith, J. R., &amp; Casley-Smith, J. R. (1995). Frequency of coumarin hepatotoxicity. </w:t>
      </w:r>
      <w:r w:rsidRPr="00E92157">
        <w:rPr>
          <w:i/>
        </w:rPr>
        <w:t>The Medical journal of Australia, 162</w:t>
      </w:r>
      <w:r w:rsidRPr="00E92157">
        <w:t xml:space="preserve">(7), 391. </w:t>
      </w:r>
    </w:p>
    <w:p w:rsidR="00BF5B8E" w:rsidRPr="00E92157" w:rsidRDefault="00BF5B8E" w:rsidP="00C8096A">
      <w:pPr>
        <w:pStyle w:val="EndNoteBibliography"/>
        <w:ind w:left="720" w:hanging="720"/>
        <w:jc w:val="left"/>
      </w:pPr>
      <w:r w:rsidRPr="00E92157">
        <w:t xml:space="preserve">Clark, G. S. (1995). An Aroma Cheical Profile: Coumarin. </w:t>
      </w:r>
      <w:r w:rsidRPr="00E92157">
        <w:rPr>
          <w:i/>
        </w:rPr>
        <w:t>Perfumer &amp; flavorist, 20</w:t>
      </w:r>
      <w:r w:rsidRPr="00E92157">
        <w:t xml:space="preserve">, 23-34. </w:t>
      </w:r>
    </w:p>
    <w:p w:rsidR="00BF5B8E" w:rsidRPr="00E92157" w:rsidRDefault="00BF5B8E" w:rsidP="00C8096A">
      <w:pPr>
        <w:pStyle w:val="EndNoteBibliography"/>
        <w:ind w:left="720" w:hanging="720"/>
        <w:jc w:val="left"/>
        <w:rPr>
          <w:u w:val="single"/>
        </w:rPr>
      </w:pPr>
      <w:r w:rsidRPr="00E92157">
        <w:t xml:space="preserve">Cohen, A. J. (1979). Critical review of the toxicology of coumarin with special reference to interspecies differences in metabolism and hepatotoxic response and their significance to man. </w:t>
      </w:r>
      <w:r w:rsidRPr="00E92157">
        <w:rPr>
          <w:i/>
        </w:rPr>
        <w:t>Food and Cosmetics Toxicology, 17</w:t>
      </w:r>
      <w:r w:rsidRPr="00E92157">
        <w:t>(3), 277-289. doi:</w:t>
      </w:r>
      <w:r w:rsidRPr="00BF5B8E">
        <w:rPr>
          <w:rFonts w:eastAsia="Cambria"/>
        </w:rPr>
        <w:t>https://doi.org/10.1016/0015-6264(79)90289-X</w:t>
      </w:r>
    </w:p>
    <w:p w:rsidR="00BF5B8E" w:rsidRPr="00E92157" w:rsidRDefault="00BF5B8E" w:rsidP="00C8096A">
      <w:pPr>
        <w:pStyle w:val="EndNoteBibliography"/>
        <w:ind w:left="720" w:hanging="720"/>
        <w:jc w:val="left"/>
      </w:pPr>
      <w:r w:rsidRPr="00E92157">
        <w:t xml:space="preserve">Cox, D., O'Kennedy, R., &amp; Thornes, R. D. (1989). The Rarity of Liver Toxicity in Patients Treated with Coumarin (1, 2-Benzopyrone). </w:t>
      </w:r>
      <w:r w:rsidRPr="00E92157">
        <w:rPr>
          <w:i/>
        </w:rPr>
        <w:t>Human Toxicology, 8</w:t>
      </w:r>
      <w:r w:rsidRPr="00E92157">
        <w:t>(6), 501-506. doi:10.1177/096032718900800612</w:t>
      </w:r>
    </w:p>
    <w:p w:rsidR="00BF5B8E" w:rsidRPr="00E92157" w:rsidRDefault="00BF5B8E" w:rsidP="00C8096A">
      <w:pPr>
        <w:pStyle w:val="EndNoteBibliography"/>
        <w:ind w:left="720" w:hanging="720"/>
        <w:jc w:val="left"/>
        <w:rPr>
          <w:u w:val="single"/>
        </w:rPr>
      </w:pPr>
      <w:r w:rsidRPr="00E92157">
        <w:t xml:space="preserve">Edwards, A. J., Price, R. J., Renwick, A. B., &amp; Lake, B. G. (2000). Lack of effect of coumarin on unscheduled DNA synthesis in the in vivo rat hepatocyte DNA repair assay. </w:t>
      </w:r>
      <w:r w:rsidRPr="00E92157">
        <w:rPr>
          <w:i/>
        </w:rPr>
        <w:t>Food and Chemical Toxicology, 38</w:t>
      </w:r>
      <w:r w:rsidRPr="00E92157">
        <w:t>(5), 403-409. doi:</w:t>
      </w:r>
      <w:r w:rsidRPr="00BF5B8E">
        <w:rPr>
          <w:rFonts w:eastAsia="Cambria"/>
        </w:rPr>
        <w:t>https://doi.org/10.1016/S0278-6915(00)00016-8</w:t>
      </w:r>
    </w:p>
    <w:p w:rsidR="00BF5B8E" w:rsidRPr="00E92157" w:rsidRDefault="00BF5B8E" w:rsidP="00C8096A">
      <w:pPr>
        <w:pStyle w:val="EndNoteBibliography"/>
        <w:ind w:left="720" w:hanging="720"/>
        <w:jc w:val="left"/>
      </w:pPr>
      <w:r w:rsidRPr="00E92157">
        <w:lastRenderedPageBreak/>
        <w:t xml:space="preserve">Emmons, W. W., &amp; Marks, J. G. (1985). Immediate and delayed reactions to cosmetic ingredients. </w:t>
      </w:r>
      <w:r w:rsidRPr="00E92157">
        <w:rPr>
          <w:i/>
        </w:rPr>
        <w:t>Contact Dermatitis, 13</w:t>
      </w:r>
      <w:r w:rsidRPr="00E92157">
        <w:t>(4), 258-265. doi:doi:10.1111/j.1600-0536.1985.tb02560.x</w:t>
      </w:r>
    </w:p>
    <w:p w:rsidR="00BF5B8E" w:rsidRPr="00E92157" w:rsidRDefault="00BF5B8E" w:rsidP="00C8096A">
      <w:pPr>
        <w:pStyle w:val="EndNoteBibliography"/>
        <w:ind w:left="720" w:hanging="720"/>
        <w:jc w:val="left"/>
      </w:pPr>
      <w:r w:rsidRPr="00E92157">
        <w:t xml:space="preserve">Endell, W., &amp; Seidel, G. (1978). Coumarin toxicity in different strains of mice. </w:t>
      </w:r>
      <w:r w:rsidRPr="00E92157">
        <w:rPr>
          <w:i/>
        </w:rPr>
        <w:t>Agents and Actions, 8</w:t>
      </w:r>
      <w:r w:rsidRPr="00E92157">
        <w:t>(3), 299-302. doi:10.1007/bf01966619</w:t>
      </w:r>
    </w:p>
    <w:p w:rsidR="00BF5B8E" w:rsidRPr="00E92157" w:rsidRDefault="00BF5B8E" w:rsidP="00C8096A">
      <w:pPr>
        <w:pStyle w:val="EndNoteBibliography"/>
        <w:ind w:left="720" w:hanging="720"/>
        <w:jc w:val="left"/>
        <w:rPr>
          <w:u w:val="single"/>
        </w:rPr>
      </w:pPr>
      <w:r w:rsidRPr="00E92157">
        <w:t xml:space="preserve">European Chemical Agency. (n.d.). Coumarin - GHS. Retrieved from </w:t>
      </w:r>
      <w:r w:rsidRPr="00BF5B8E">
        <w:rPr>
          <w:rFonts w:eastAsia="Cambria"/>
        </w:rPr>
        <w:t>https://www.echa.europa.eu/web/guest/registration-dossier/-/registered-dossier/11472/2/1#</w:t>
      </w:r>
    </w:p>
    <w:p w:rsidR="00BF5B8E" w:rsidRPr="00E92157" w:rsidRDefault="00BF5B8E" w:rsidP="00C8096A">
      <w:pPr>
        <w:pStyle w:val="EndNoteBibliography"/>
        <w:ind w:left="720" w:hanging="720"/>
        <w:jc w:val="left"/>
        <w:rPr>
          <w:u w:val="single"/>
        </w:rPr>
      </w:pPr>
      <w:r w:rsidRPr="00E92157">
        <w:t xml:space="preserve">European Commission. (1999). </w:t>
      </w:r>
      <w:r w:rsidRPr="00E92157">
        <w:rPr>
          <w:i/>
        </w:rPr>
        <w:t>Opinion on coumarin</w:t>
      </w:r>
      <w:r w:rsidRPr="00E92157">
        <w:t xml:space="preserve">. Brussells, Belgium Retrieved from </w:t>
      </w:r>
      <w:r w:rsidRPr="00BF5B8E">
        <w:rPr>
          <w:rFonts w:eastAsia="Cambria"/>
        </w:rPr>
        <w:t>https://ec.europa.eu/food/sites/food/files/safety/docs/sci-com_scf_out40_en.pdf</w:t>
      </w:r>
    </w:p>
    <w:p w:rsidR="00BF5B8E" w:rsidRPr="00E92157" w:rsidRDefault="00BF5B8E" w:rsidP="00C8096A">
      <w:pPr>
        <w:pStyle w:val="EndNoteBibliography"/>
        <w:ind w:left="720" w:hanging="720"/>
        <w:jc w:val="left"/>
        <w:rPr>
          <w:u w:val="single"/>
        </w:rPr>
      </w:pPr>
      <w:r w:rsidRPr="00E92157">
        <w:t xml:space="preserve">European Commission. (2006). </w:t>
      </w:r>
      <w:r w:rsidRPr="00E92157">
        <w:rPr>
          <w:i/>
        </w:rPr>
        <w:t xml:space="preserve">Opinion on Coumarin (sensitisation only) </w:t>
      </w:r>
      <w:r w:rsidRPr="00E92157">
        <w:t xml:space="preserve">Retrieved from </w:t>
      </w:r>
      <w:r w:rsidRPr="00BF5B8E">
        <w:rPr>
          <w:rFonts w:eastAsia="Cambria"/>
        </w:rPr>
        <w:t>http://ec.europa.eu/health/ph_risk/committees/04_sccp/docs/sccp_o_061.pdf</w:t>
      </w:r>
    </w:p>
    <w:p w:rsidR="00BF5B8E" w:rsidRPr="00E92157" w:rsidRDefault="00BF5B8E" w:rsidP="00C8096A">
      <w:pPr>
        <w:pStyle w:val="EndNoteBibliography"/>
        <w:ind w:left="720" w:hanging="720"/>
        <w:jc w:val="left"/>
      </w:pPr>
      <w:r w:rsidRPr="00E92157">
        <w:t xml:space="preserve">European Commission. (2012). </w:t>
      </w:r>
      <w:r w:rsidRPr="00E92157">
        <w:rPr>
          <w:i/>
        </w:rPr>
        <w:t>Opinion on Fragrance allergens in cosmetic products</w:t>
      </w:r>
      <w:r w:rsidRPr="00E92157">
        <w:t xml:space="preserve">. </w:t>
      </w:r>
    </w:p>
    <w:p w:rsidR="00BF5B8E" w:rsidRPr="00E92157" w:rsidRDefault="00BF5B8E" w:rsidP="00C8096A">
      <w:pPr>
        <w:pStyle w:val="EndNoteBibliography"/>
        <w:ind w:left="720" w:hanging="720"/>
        <w:jc w:val="left"/>
      </w:pPr>
      <w:r w:rsidRPr="00E92157">
        <w:t xml:space="preserve">European Food Safety Authority. (2004). </w:t>
      </w:r>
      <w:r w:rsidRPr="00E92157">
        <w:rPr>
          <w:i/>
        </w:rPr>
        <w:t>Opinion on a request from the Commission related to Coumarin</w:t>
      </w:r>
      <w:r w:rsidRPr="00E92157">
        <w:t xml:space="preserve">. </w:t>
      </w:r>
    </w:p>
    <w:p w:rsidR="00BF5B8E" w:rsidRPr="00E92157" w:rsidRDefault="00BF5B8E" w:rsidP="00C8096A">
      <w:pPr>
        <w:pStyle w:val="EndNoteBibliography"/>
        <w:ind w:left="720" w:hanging="720"/>
        <w:jc w:val="left"/>
      </w:pPr>
      <w:r w:rsidRPr="00E92157">
        <w:t xml:space="preserve">European Food Safety Authority. (2008). </w:t>
      </w:r>
      <w:r w:rsidRPr="00E92157">
        <w:rPr>
          <w:i/>
        </w:rPr>
        <w:t>Coumarin in flavourings and other food ingredients with flavouring properties</w:t>
      </w:r>
      <w:r w:rsidRPr="00E92157">
        <w:t xml:space="preserve">. </w:t>
      </w:r>
    </w:p>
    <w:p w:rsidR="00BF5B8E" w:rsidRPr="00E92157" w:rsidRDefault="00BF5B8E" w:rsidP="00C8096A">
      <w:pPr>
        <w:pStyle w:val="EndNoteBibliography"/>
        <w:ind w:left="720" w:hanging="720"/>
        <w:jc w:val="left"/>
      </w:pPr>
      <w:r w:rsidRPr="00E92157">
        <w:t>European Union. (2009). Regulation (EC) No 1223/2009 of the European Parliament and of the Council of 30 November 2009 on cosmetic products.</w:t>
      </w:r>
      <w:r w:rsidRPr="00E92157">
        <w:rPr>
          <w:i/>
        </w:rPr>
        <w:t xml:space="preserve"> Annex III</w:t>
      </w:r>
      <w:r w:rsidRPr="00E92157">
        <w:t xml:space="preserve">, pp. 100. </w:t>
      </w:r>
    </w:p>
    <w:p w:rsidR="00BF5B8E" w:rsidRPr="00E92157" w:rsidRDefault="00BF5B8E" w:rsidP="00C8096A">
      <w:pPr>
        <w:pStyle w:val="EndNoteBibliography"/>
        <w:ind w:left="720" w:hanging="720"/>
        <w:jc w:val="left"/>
        <w:rPr>
          <w:u w:val="single"/>
        </w:rPr>
      </w:pPr>
      <w:r w:rsidRPr="00E92157">
        <w:t xml:space="preserve">Evans, J. G., Gaunt, I. F., &amp; Lake, B. G. (1979). Two-year toxicity study on coumarin in the baboon. </w:t>
      </w:r>
      <w:r w:rsidRPr="00E92157">
        <w:rPr>
          <w:i/>
        </w:rPr>
        <w:t>Food and Cosmetics Toxicology, 17</w:t>
      </w:r>
      <w:r w:rsidRPr="00E92157">
        <w:t>(3), 187-193. doi:</w:t>
      </w:r>
      <w:r w:rsidRPr="00BF5B8E">
        <w:rPr>
          <w:rFonts w:eastAsia="Cambria"/>
        </w:rPr>
        <w:t>https://doi.org/10.1016/0015-6264(79)90280-3</w:t>
      </w:r>
    </w:p>
    <w:p w:rsidR="00BF5B8E" w:rsidRPr="00E92157" w:rsidRDefault="00BF5B8E" w:rsidP="00C8096A">
      <w:pPr>
        <w:pStyle w:val="EndNoteBibliography"/>
        <w:ind w:left="720" w:hanging="720"/>
        <w:jc w:val="left"/>
      </w:pPr>
      <w:r w:rsidRPr="00E92157">
        <w:t xml:space="preserve">Farinola, N., &amp; Piller, N. B. (2007). CYP2A6 polymorphisms: is there a role for pharmacogenomics in preventing coumarin-induced hepatotoxicity in lymphedema patients? </w:t>
      </w:r>
      <w:r w:rsidRPr="00E92157">
        <w:rPr>
          <w:i/>
        </w:rPr>
        <w:t>Pharmacogenomics, 8</w:t>
      </w:r>
      <w:r w:rsidRPr="00E92157">
        <w:t>(2), 151-158. doi:10.2217/14622416.8.2.151</w:t>
      </w:r>
    </w:p>
    <w:p w:rsidR="00BF5B8E" w:rsidRPr="00E92157" w:rsidRDefault="00BF5B8E" w:rsidP="00C8096A">
      <w:pPr>
        <w:pStyle w:val="EndNoteBibliography"/>
        <w:ind w:left="720" w:hanging="720"/>
        <w:jc w:val="left"/>
      </w:pPr>
      <w:r w:rsidRPr="00E92157">
        <w:t xml:space="preserve">Felter, S. P., Vassallo, J. D., Carlton, B. D., &amp; Daston, G. P. (2006). A safety assessment of coumarin taking into account species-specificity of toxicokinetics. </w:t>
      </w:r>
      <w:r w:rsidRPr="00E92157">
        <w:rPr>
          <w:i/>
        </w:rPr>
        <w:t>Food and Chemical Toxicology, 44</w:t>
      </w:r>
      <w:r w:rsidRPr="00E92157">
        <w:t>(4), 462-475. doi:</w:t>
      </w:r>
      <w:r w:rsidRPr="00BF5B8E">
        <w:rPr>
          <w:rFonts w:eastAsia="Cambria"/>
        </w:rPr>
        <w:t>https://doi.org/10.1016/j.fct.2005.08.019</w:t>
      </w:r>
    </w:p>
    <w:p w:rsidR="00BF5B8E" w:rsidRPr="00E92157" w:rsidRDefault="00BF5B8E" w:rsidP="00C8096A">
      <w:pPr>
        <w:pStyle w:val="EndNoteBibliography"/>
        <w:ind w:left="720" w:hanging="720"/>
        <w:jc w:val="left"/>
        <w:rPr>
          <w:u w:val="single"/>
        </w:rPr>
      </w:pPr>
      <w:r w:rsidRPr="00E92157">
        <w:t xml:space="preserve">Fentem, J. H., &amp; Fry, J. R. (1993). Species differences in the metabolism and hepatotoxicity of coumarin. </w:t>
      </w:r>
      <w:r w:rsidRPr="00E92157">
        <w:rPr>
          <w:i/>
        </w:rPr>
        <w:t>Comparative Biochemistry and Physiology Part C: Comparative Pharmacology, 104</w:t>
      </w:r>
      <w:r w:rsidRPr="00E92157">
        <w:t>(1), 1-8. doi:</w:t>
      </w:r>
      <w:r w:rsidRPr="00BF5B8E">
        <w:rPr>
          <w:rFonts w:eastAsia="Cambria"/>
        </w:rPr>
        <w:t>https://doi.org/10.1016/0742-8413(93)90102-Q</w:t>
      </w:r>
    </w:p>
    <w:p w:rsidR="00BF5B8E" w:rsidRPr="00E92157" w:rsidRDefault="00BF5B8E" w:rsidP="00C8096A">
      <w:pPr>
        <w:pStyle w:val="EndNoteBibliography"/>
        <w:ind w:left="720" w:hanging="720"/>
        <w:jc w:val="left"/>
      </w:pPr>
      <w:r w:rsidRPr="00E92157">
        <w:t xml:space="preserve">Fentem, J. H., Fry, J. R., &amp; Thomas, N. W. (1992). Species differences in the hepatotoxicity of coumarin: A comparison of rat and Mongolian gerbil. </w:t>
      </w:r>
      <w:r w:rsidRPr="00E92157">
        <w:rPr>
          <w:i/>
        </w:rPr>
        <w:t>Toxicology, 71</w:t>
      </w:r>
      <w:r w:rsidRPr="00E92157">
        <w:t>(1), 129-136. doi:</w:t>
      </w:r>
      <w:r w:rsidRPr="00BF5B8E">
        <w:rPr>
          <w:rFonts w:eastAsia="Cambria"/>
        </w:rPr>
        <w:t>https://doi.org/10.1016/0300-483X(92)90059-N</w:t>
      </w:r>
    </w:p>
    <w:p w:rsidR="00BF5B8E" w:rsidRPr="00E92157" w:rsidRDefault="00BF5B8E" w:rsidP="00C8096A">
      <w:pPr>
        <w:pStyle w:val="EndNoteBibliography"/>
        <w:ind w:left="720" w:hanging="720"/>
        <w:jc w:val="left"/>
      </w:pPr>
      <w:r w:rsidRPr="00E92157">
        <w:lastRenderedPageBreak/>
        <w:t xml:space="preserve">Fernyhough, L., Kell, S. W., Hammond, A. H., Thomas, N. W., &amp; Fry, J. R. (1994). Comparison of in vivo and in vitro rat hepatic toxicity of coumarin and methyl analogues, and application of quantitative morphometry to toxicity in vivo. </w:t>
      </w:r>
      <w:r w:rsidRPr="00E92157">
        <w:rPr>
          <w:i/>
        </w:rPr>
        <w:t>Toxicology, 88</w:t>
      </w:r>
      <w:r w:rsidRPr="00E92157">
        <w:t>(1), 113-125. doi:</w:t>
      </w:r>
      <w:r w:rsidRPr="00BF5B8E">
        <w:rPr>
          <w:rFonts w:eastAsia="Cambria"/>
        </w:rPr>
        <w:t>https://doi.org/10.1016/0300-483X(94)90114-7</w:t>
      </w:r>
    </w:p>
    <w:p w:rsidR="00BF5B8E" w:rsidRPr="00E92157" w:rsidRDefault="00BF5B8E" w:rsidP="00C8096A">
      <w:pPr>
        <w:pStyle w:val="EndNoteBibliography"/>
        <w:ind w:left="720" w:hanging="720"/>
        <w:jc w:val="left"/>
      </w:pPr>
      <w:r w:rsidRPr="00E92157">
        <w:t xml:space="preserve">Floc'h, F., Mauger, F., Desmers, J.-R., Gard, A., Bagneris, F., &amp; Carlton, B. (2002). Coumarin in plants and fruits: implication in perfumery. </w:t>
      </w:r>
      <w:r w:rsidRPr="00E92157">
        <w:rPr>
          <w:i/>
        </w:rPr>
        <w:t>Perfumer &amp; flavorist, 27</w:t>
      </w:r>
      <w:r w:rsidRPr="00E92157">
        <w:t xml:space="preserve">(2), 32-36. </w:t>
      </w:r>
    </w:p>
    <w:p w:rsidR="00BF5B8E" w:rsidRPr="00E92157" w:rsidRDefault="00BF5B8E" w:rsidP="00C8096A">
      <w:pPr>
        <w:pStyle w:val="EndNoteBibliography"/>
        <w:ind w:left="720" w:hanging="720"/>
        <w:jc w:val="left"/>
      </w:pPr>
      <w:r w:rsidRPr="00E92157">
        <w:t>Food and Drug Administration. (n.d.-a). Drugs@FDA.  Retrieved 12/09/2018</w:t>
      </w:r>
    </w:p>
    <w:p w:rsidR="00BF5B8E" w:rsidRPr="00E92157" w:rsidRDefault="00BF5B8E" w:rsidP="00C8096A">
      <w:pPr>
        <w:pStyle w:val="EndNoteBibliography"/>
        <w:ind w:left="720" w:hanging="720"/>
        <w:jc w:val="left"/>
      </w:pPr>
      <w:r w:rsidRPr="00E92157">
        <w:t>Substances Prohibited From Use In Human Food,  § 189.130 (n.d.-b).</w:t>
      </w:r>
    </w:p>
    <w:p w:rsidR="00BF5B8E" w:rsidRPr="00E92157" w:rsidRDefault="00BF5B8E" w:rsidP="00C8096A">
      <w:pPr>
        <w:pStyle w:val="EndNoteBibliography"/>
        <w:ind w:left="720" w:hanging="720"/>
        <w:jc w:val="left"/>
      </w:pPr>
      <w:r w:rsidRPr="00E92157">
        <w:t xml:space="preserve">Ford, R. A., Hawkins, D. R., Mayo, B. C., &amp; Api, A. M. (2001). The in vivo dermal absorption and metabolism of [4-14C]coumarin by rats and by human volunteers under simulated conditions of use in fragrances. </w:t>
      </w:r>
      <w:r w:rsidRPr="00E92157">
        <w:rPr>
          <w:i/>
        </w:rPr>
        <w:t>Food and Chemical Toxicology, 39</w:t>
      </w:r>
      <w:r w:rsidRPr="00E92157">
        <w:t>(2), 153-162. doi:</w:t>
      </w:r>
      <w:r w:rsidRPr="00BF5B8E">
        <w:rPr>
          <w:rFonts w:eastAsia="Cambria"/>
        </w:rPr>
        <w:t>https://doi.org/10.1016/S0278-6915(00)00123-X</w:t>
      </w:r>
    </w:p>
    <w:p w:rsidR="00BF5B8E" w:rsidRPr="00E92157" w:rsidRDefault="00BF5B8E" w:rsidP="00C8096A">
      <w:pPr>
        <w:pStyle w:val="EndNoteBibliography"/>
        <w:ind w:left="720" w:hanging="720"/>
        <w:jc w:val="left"/>
      </w:pPr>
      <w:r w:rsidRPr="00E92157">
        <w:t xml:space="preserve">Fotland, T. Ø., Paulsen, J. E., Sanner, T., Alexander, J., &amp; Husøy, T. (2012). Risk assessment of coumarin using the bench mark dose (BMD) approach: Children in Norway which regularly eat oatmeal porridge with cinnamon may exceed the TDI for coumarin with several folds. </w:t>
      </w:r>
      <w:r w:rsidRPr="00E92157">
        <w:rPr>
          <w:i/>
        </w:rPr>
        <w:t>Food and Chemical Toxicology, 50</w:t>
      </w:r>
      <w:r w:rsidRPr="00E92157">
        <w:t>(3), 903-912. doi:</w:t>
      </w:r>
      <w:r w:rsidRPr="00BF5B8E">
        <w:rPr>
          <w:rFonts w:eastAsia="Cambria"/>
        </w:rPr>
        <w:t>https://doi.org/10.1016/j.fct.2011.12.005</w:t>
      </w:r>
    </w:p>
    <w:p w:rsidR="00BF5B8E" w:rsidRPr="00E92157" w:rsidRDefault="00BF5B8E" w:rsidP="00C8096A">
      <w:pPr>
        <w:pStyle w:val="EndNoteBibliography"/>
        <w:ind w:left="720" w:hanging="720"/>
        <w:jc w:val="left"/>
      </w:pPr>
      <w:r w:rsidRPr="00E92157">
        <w:t xml:space="preserve">Geier, J., Uter, W., Lessmann, H., &amp; Schnuch, A. (2015). Fragrance mix I and II: results of breakdown tests. </w:t>
      </w:r>
      <w:r w:rsidRPr="00E92157">
        <w:rPr>
          <w:i/>
        </w:rPr>
        <w:t>Flavour and fragrance journal, 30</w:t>
      </w:r>
      <w:r w:rsidRPr="00E92157">
        <w:t xml:space="preserve">(4), 264-274. </w:t>
      </w:r>
    </w:p>
    <w:p w:rsidR="00BF5B8E" w:rsidRPr="00E92157" w:rsidRDefault="00BF5B8E" w:rsidP="00C8096A">
      <w:pPr>
        <w:pStyle w:val="EndNoteBibliography"/>
        <w:ind w:left="720" w:hanging="720"/>
        <w:jc w:val="left"/>
      </w:pPr>
      <w:r w:rsidRPr="00E92157">
        <w:t xml:space="preserve">Goolamali, S., White, J. M. L., McFadden, J., &amp; White, I. R. (2009). Fragmentation of fragrance allergy: update. </w:t>
      </w:r>
      <w:r w:rsidRPr="00E92157">
        <w:rPr>
          <w:i/>
        </w:rPr>
        <w:t>British Journal of Dermatology, 161</w:t>
      </w:r>
      <w:r w:rsidRPr="00E92157">
        <w:t>(s1), 78. doi:doi:10.1111/j.1365-2133.2009.09170.x</w:t>
      </w:r>
    </w:p>
    <w:p w:rsidR="00BF5B8E" w:rsidRPr="00E92157" w:rsidRDefault="00BF5B8E" w:rsidP="00C8096A">
      <w:pPr>
        <w:pStyle w:val="EndNoteBibliography"/>
        <w:ind w:left="720" w:hanging="720"/>
        <w:jc w:val="left"/>
      </w:pPr>
      <w:r w:rsidRPr="00E92157">
        <w:t xml:space="preserve">Greif, N. (1967). Cutaneous safety of fragrance material as measured by the maximization test. </w:t>
      </w:r>
      <w:r w:rsidRPr="00E92157">
        <w:rPr>
          <w:i/>
        </w:rPr>
        <w:t>American Perfumer and Cosmetics, 82</w:t>
      </w:r>
      <w:r w:rsidRPr="00E92157">
        <w:t xml:space="preserve">, 54-57. </w:t>
      </w:r>
    </w:p>
    <w:p w:rsidR="00BF5B8E" w:rsidRPr="00E92157" w:rsidRDefault="00BF5B8E" w:rsidP="00C8096A">
      <w:pPr>
        <w:pStyle w:val="EndNoteBibliography"/>
        <w:ind w:left="720" w:hanging="720"/>
        <w:jc w:val="left"/>
      </w:pPr>
      <w:r w:rsidRPr="00E92157">
        <w:t xml:space="preserve">Grote, W., Schulz, L. C., Drommer, W., Uberschar, S., &amp; Shafer, E. A. (1977). Test of combination of the agents coumarin and troxerutin for embryotoxic and teratogenic side effects in Gottingen miniature pigs. </w:t>
      </w:r>
      <w:r w:rsidRPr="00E92157">
        <w:rPr>
          <w:i/>
        </w:rPr>
        <w:t>Arzneimittel-Forschung (Drug Research), 27</w:t>
      </w:r>
      <w:r w:rsidRPr="00E92157">
        <w:t xml:space="preserve">(3), 613-617. </w:t>
      </w:r>
    </w:p>
    <w:p w:rsidR="00BF5B8E" w:rsidRPr="00E92157" w:rsidRDefault="00BF5B8E" w:rsidP="00C8096A">
      <w:pPr>
        <w:pStyle w:val="EndNoteBibliography"/>
        <w:ind w:left="720" w:hanging="720"/>
        <w:jc w:val="left"/>
      </w:pPr>
      <w:r w:rsidRPr="00E92157">
        <w:t xml:space="preserve">Hadidi, H., Zahlsen, K., Idle, J. R., &amp; Cholerton, S. (1997). A single amino acid substitution (Leu160His) in cytochrome P450 CYP2A6 causes switching from 7-hydroxylation to 3-hydroxylation of coumarin. </w:t>
      </w:r>
      <w:r w:rsidRPr="00E92157">
        <w:rPr>
          <w:i/>
        </w:rPr>
        <w:t>Food and Chemical Toxicology, 35</w:t>
      </w:r>
      <w:r w:rsidRPr="00E92157">
        <w:t>(9), 903-907. doi:</w:t>
      </w:r>
      <w:r w:rsidRPr="00BF5B8E">
        <w:rPr>
          <w:rFonts w:eastAsia="Cambria"/>
        </w:rPr>
        <w:t>https://doi.org/10.1016/S0278-6915(97)00066-5</w:t>
      </w:r>
    </w:p>
    <w:p w:rsidR="00BF5B8E" w:rsidRPr="00E92157" w:rsidRDefault="00BF5B8E" w:rsidP="00C8096A">
      <w:pPr>
        <w:pStyle w:val="EndNoteBibliography"/>
        <w:ind w:left="720" w:hanging="720"/>
        <w:jc w:val="left"/>
      </w:pPr>
      <w:r w:rsidRPr="00E92157">
        <w:t xml:space="preserve">Hagan, E. C., Hansen, W. H., Fitzhugh, O. G., Jenner, P. M., Jones, W. I., Taylor, J. M., </w:t>
      </w:r>
      <w:r w:rsidR="00C8096A">
        <w:t xml:space="preserve">... </w:t>
      </w:r>
      <w:r w:rsidRPr="00E92157">
        <w:t xml:space="preserve">Brouwer, J. B. (1967). Food flavourings and compounds of related structure. II. Subacute and chronic toxicity. </w:t>
      </w:r>
      <w:r w:rsidRPr="00E92157">
        <w:rPr>
          <w:i/>
        </w:rPr>
        <w:t>Food and Cosmetics Toxicology, 5</w:t>
      </w:r>
      <w:r w:rsidRPr="00E92157">
        <w:t>, 141-157. doi:</w:t>
      </w:r>
      <w:r w:rsidRPr="00BF5B8E">
        <w:rPr>
          <w:rFonts w:eastAsia="Cambria"/>
        </w:rPr>
        <w:t>https://doi.org/10.1016/S0015-6264(67)82961-4</w:t>
      </w:r>
    </w:p>
    <w:p w:rsidR="00BF5B8E" w:rsidRPr="00E92157" w:rsidRDefault="00BF5B8E" w:rsidP="00C8096A">
      <w:pPr>
        <w:pStyle w:val="EndNoteBibliography"/>
        <w:ind w:left="720" w:hanging="720"/>
        <w:jc w:val="left"/>
      </w:pPr>
      <w:r w:rsidRPr="00E92157">
        <w:t xml:space="preserve">Hardt, T. J., &amp; Ritschel, W. A. (1983). Dose-related pharmacokinetics of coumarin, 7-hydroxycoumarin and 7-hydroxycoumarin glucuronide upon intraperitoneal administration of coumarin and 7-hydroxycoumarin in the rat. </w:t>
      </w:r>
      <w:r w:rsidRPr="00E92157">
        <w:rPr>
          <w:i/>
        </w:rPr>
        <w:t>Arzneimittel-Forschung, 33</w:t>
      </w:r>
      <w:r w:rsidRPr="00E92157">
        <w:t xml:space="preserve">(10), 1442-1446. </w:t>
      </w:r>
    </w:p>
    <w:p w:rsidR="00BF5B8E" w:rsidRPr="00E92157" w:rsidRDefault="00BF5B8E" w:rsidP="00C8096A">
      <w:pPr>
        <w:pStyle w:val="EndNoteBibliography"/>
        <w:ind w:left="720" w:hanging="720"/>
        <w:jc w:val="left"/>
      </w:pPr>
      <w:r w:rsidRPr="00E92157">
        <w:lastRenderedPageBreak/>
        <w:t xml:space="preserve">Hazleton, L. W., Tusing, T. W., Zeitlin, B. R., Thiessen, R., &amp; Murer, H. K. (1956). Toxicity of coumarin. </w:t>
      </w:r>
      <w:r w:rsidRPr="00E92157">
        <w:rPr>
          <w:i/>
        </w:rPr>
        <w:t>Journal of Pharmacology and Experimental Therapeutics, 118</w:t>
      </w:r>
      <w:r w:rsidRPr="00E92157">
        <w:t xml:space="preserve">(3), 348-358. </w:t>
      </w:r>
    </w:p>
    <w:p w:rsidR="00BF5B8E" w:rsidRPr="00E92157" w:rsidRDefault="00BF5B8E" w:rsidP="00C8096A">
      <w:pPr>
        <w:pStyle w:val="EndNoteBibliography"/>
        <w:ind w:left="720" w:hanging="720"/>
        <w:jc w:val="left"/>
        <w:rPr>
          <w:u w:val="single"/>
        </w:rPr>
      </w:pPr>
      <w:r w:rsidRPr="00E92157">
        <w:t xml:space="preserve">Health Canada. (2018, 7th May). Chemical Substance - Coumarin. Retrieved from </w:t>
      </w:r>
      <w:r w:rsidRPr="00BF5B8E">
        <w:rPr>
          <w:rFonts w:eastAsia="Cambria"/>
        </w:rPr>
        <w:t>http://webprod.hc-sc.gc.ca/nhpid-bdipsn/ingredReq.do?id=3354&amp;lang=eng</w:t>
      </w:r>
    </w:p>
    <w:p w:rsidR="00BF5B8E" w:rsidRPr="00E92157" w:rsidRDefault="00BF5B8E" w:rsidP="00C8096A">
      <w:pPr>
        <w:pStyle w:val="EndNoteBibliography"/>
        <w:ind w:left="720" w:hanging="720"/>
        <w:jc w:val="left"/>
        <w:rPr>
          <w:u w:val="single"/>
        </w:rPr>
      </w:pPr>
      <w:r w:rsidRPr="00E92157">
        <w:t xml:space="preserve">International Conference on Harmonisation of Technical Requirements for Registration of Pharmaceuticals for Human Use. (2011). </w:t>
      </w:r>
      <w:r w:rsidRPr="00E92157">
        <w:rPr>
          <w:i/>
        </w:rPr>
        <w:t>Guidance on Genotoxicity Testing and Data Interpretation for Pharmaceuticals Intended for Human Use</w:t>
      </w:r>
      <w:r w:rsidRPr="00E92157">
        <w:t xml:space="preserve">.  Retrieved from </w:t>
      </w:r>
      <w:r w:rsidRPr="00BF5B8E">
        <w:rPr>
          <w:rFonts w:eastAsia="Cambria"/>
        </w:rPr>
        <w:t>https://www.ich.org/products/guidelines/safety/safety-single/article/guidance-on-genotoxicity-testing-and-data-interpretation-for-pharmaceuticals-intended-for-human-use.html</w:t>
      </w:r>
    </w:p>
    <w:p w:rsidR="00BF5B8E" w:rsidRPr="00E92157" w:rsidRDefault="00BF5B8E" w:rsidP="00C8096A">
      <w:pPr>
        <w:pStyle w:val="EndNoteBibliography"/>
        <w:ind w:left="720" w:hanging="720"/>
        <w:jc w:val="left"/>
      </w:pPr>
      <w:r w:rsidRPr="00E92157">
        <w:t>International Fragrance Association. (2009). IFRA Standard - Coumarin. In.</w:t>
      </w:r>
    </w:p>
    <w:p w:rsidR="00BF5B8E" w:rsidRPr="00E92157" w:rsidRDefault="00BF5B8E" w:rsidP="00C8096A">
      <w:pPr>
        <w:pStyle w:val="EndNoteBibliography"/>
        <w:ind w:left="720" w:hanging="720"/>
        <w:jc w:val="left"/>
      </w:pPr>
      <w:r w:rsidRPr="00E92157">
        <w:t xml:space="preserve">International Programme on Chemical Safety. (1994). Guidance values for human exposure limits. </w:t>
      </w:r>
      <w:r w:rsidRPr="00E92157">
        <w:rPr>
          <w:i/>
        </w:rPr>
        <w:t>Environmental Health Criteria, 170</w:t>
      </w:r>
      <w:r w:rsidRPr="00E92157">
        <w:t xml:space="preserve">. </w:t>
      </w:r>
    </w:p>
    <w:p w:rsidR="00BF5B8E" w:rsidRPr="00E92157" w:rsidRDefault="00BF5B8E" w:rsidP="00C8096A">
      <w:pPr>
        <w:pStyle w:val="EndNoteBibliography"/>
        <w:ind w:left="720" w:hanging="720"/>
        <w:jc w:val="left"/>
      </w:pPr>
      <w:r w:rsidRPr="00E92157">
        <w:t xml:space="preserve">Joint FAO/WHO Expert Committee on Food Additives. (1981). Coumarin. </w:t>
      </w:r>
      <w:r w:rsidRPr="00E92157">
        <w:rPr>
          <w:i/>
        </w:rPr>
        <w:t>WHO Food Additives Series, 16</w:t>
      </w:r>
      <w:r w:rsidRPr="00E92157">
        <w:t xml:space="preserve">(504). </w:t>
      </w:r>
    </w:p>
    <w:p w:rsidR="00BF5B8E" w:rsidRPr="00E92157" w:rsidRDefault="00BF5B8E" w:rsidP="00C8096A">
      <w:pPr>
        <w:pStyle w:val="EndNoteBibliography"/>
        <w:ind w:left="720" w:hanging="720"/>
        <w:jc w:val="left"/>
        <w:rPr>
          <w:u w:val="single"/>
        </w:rPr>
      </w:pPr>
      <w:r w:rsidRPr="00E92157">
        <w:t xml:space="preserve">Kligman, A. M. (1966). The Identification of Contact Allergens by Human Assay: I. A Critique of Standard Methods. </w:t>
      </w:r>
      <w:r w:rsidRPr="00E92157">
        <w:rPr>
          <w:i/>
        </w:rPr>
        <w:t>Journal of Investigative Dermatology, 47</w:t>
      </w:r>
      <w:r w:rsidRPr="00E92157">
        <w:t>(5), 369-374. doi:</w:t>
      </w:r>
      <w:r w:rsidRPr="00BF5B8E">
        <w:rPr>
          <w:rFonts w:eastAsia="Cambria"/>
        </w:rPr>
        <w:t>https://doi.org/10.1038/jid.1966.158</w:t>
      </w:r>
    </w:p>
    <w:p w:rsidR="00BF5B8E" w:rsidRPr="00E92157" w:rsidRDefault="00BF5B8E" w:rsidP="00C8096A">
      <w:pPr>
        <w:pStyle w:val="EndNoteBibliography"/>
        <w:ind w:left="720" w:hanging="720"/>
        <w:jc w:val="left"/>
      </w:pPr>
      <w:r w:rsidRPr="00E92157">
        <w:t xml:space="preserve">Krautheim, A., Uter, W., Frosch, P., Schnuch, A., &amp; Geier, J. (2010). Patch testing with fragrance mix II: results of the IVDK 2005–2008. </w:t>
      </w:r>
      <w:r w:rsidRPr="00E92157">
        <w:rPr>
          <w:i/>
        </w:rPr>
        <w:t>Contact Dermatitis, 63</w:t>
      </w:r>
      <w:r w:rsidRPr="00E92157">
        <w:t xml:space="preserve">(5), 262-269. </w:t>
      </w:r>
    </w:p>
    <w:p w:rsidR="00BF5B8E" w:rsidRPr="00E92157" w:rsidRDefault="00BF5B8E" w:rsidP="00C8096A">
      <w:pPr>
        <w:pStyle w:val="EndNoteBibliography"/>
        <w:ind w:left="720" w:hanging="720"/>
        <w:jc w:val="left"/>
        <w:rPr>
          <w:u w:val="single"/>
        </w:rPr>
      </w:pPr>
      <w:r w:rsidRPr="00E92157">
        <w:t xml:space="preserve">Lake, B. G. (1999). Coumarin Metabolism, Toxicity and Carcinogenicity: Relevance for Human Risk Assessment. </w:t>
      </w:r>
      <w:r w:rsidRPr="00E92157">
        <w:rPr>
          <w:i/>
        </w:rPr>
        <w:t>Food and Chemical Toxicology, 37</w:t>
      </w:r>
      <w:r w:rsidRPr="00E92157">
        <w:t>(4), 423-453. doi:</w:t>
      </w:r>
      <w:r w:rsidRPr="00BF5B8E">
        <w:rPr>
          <w:rFonts w:eastAsia="Cambria"/>
        </w:rPr>
        <w:t>https://doi.org/10.1016/S0278-6915(99)00010-1</w:t>
      </w:r>
    </w:p>
    <w:p w:rsidR="00BF5B8E" w:rsidRPr="00E92157" w:rsidRDefault="00BF5B8E" w:rsidP="00C8096A">
      <w:pPr>
        <w:pStyle w:val="EndNoteBibliography"/>
        <w:ind w:left="720" w:hanging="720"/>
        <w:jc w:val="left"/>
        <w:rPr>
          <w:u w:val="single"/>
        </w:rPr>
      </w:pPr>
      <w:r w:rsidRPr="00E92157">
        <w:t xml:space="preserve">Lake, B. G., Evans, J. G., Chapuis, F., Walters, D. G., &amp; Price, R. J. (2002). Studies on the disposition, metabolism and hepatotoxicity of coumarin in the rat and Syrian hamster. </w:t>
      </w:r>
      <w:r w:rsidRPr="00E92157">
        <w:rPr>
          <w:i/>
        </w:rPr>
        <w:t>Food and Chemical Toxicology, 40</w:t>
      </w:r>
      <w:r w:rsidRPr="00E92157">
        <w:t>(6), 809-823. doi:</w:t>
      </w:r>
      <w:r w:rsidRPr="00BF5B8E">
        <w:rPr>
          <w:rFonts w:eastAsia="Cambria"/>
        </w:rPr>
        <w:t>https://doi.org/10.1016/S0278-6915(02)00036-4</w:t>
      </w:r>
    </w:p>
    <w:p w:rsidR="00BF5B8E" w:rsidRPr="00E92157" w:rsidRDefault="00BF5B8E" w:rsidP="00C8096A">
      <w:pPr>
        <w:pStyle w:val="EndNoteBibliography"/>
        <w:ind w:left="720" w:hanging="720"/>
        <w:jc w:val="left"/>
      </w:pPr>
      <w:r w:rsidRPr="00E92157">
        <w:t xml:space="preserve">Lake, B. G., &amp; Grasso, P. (1996). Comparison of the Hepatotoxicity of Coumarin in the Rat, Mouse, and Syrian Hamster: A Dose and Time Response Study. </w:t>
      </w:r>
      <w:r w:rsidRPr="00E92157">
        <w:rPr>
          <w:i/>
        </w:rPr>
        <w:t>Toxicological Sciences, 34</w:t>
      </w:r>
      <w:r w:rsidRPr="00E92157">
        <w:t>(1), 105-117. doi:10.1093/toxsci/34.1.105</w:t>
      </w:r>
    </w:p>
    <w:p w:rsidR="00BF5B8E" w:rsidRPr="00E92157" w:rsidRDefault="00BF5B8E" w:rsidP="00C8096A">
      <w:pPr>
        <w:pStyle w:val="EndNoteBibliography"/>
        <w:ind w:left="720" w:hanging="720"/>
        <w:jc w:val="left"/>
      </w:pPr>
      <w:r w:rsidRPr="00E92157">
        <w:t xml:space="preserve">Lide, D. R. (Ed.) (2002-2003). </w:t>
      </w:r>
      <w:r w:rsidRPr="00E92157">
        <w:rPr>
          <w:i/>
        </w:rPr>
        <w:t>CRC Handbook of Chemistry and Physics</w:t>
      </w:r>
      <w:r w:rsidRPr="00E92157">
        <w:t>. Boca Raton, FL: CRC Press Inc.</w:t>
      </w:r>
    </w:p>
    <w:p w:rsidR="00BF5B8E" w:rsidRPr="00E92157" w:rsidRDefault="00BF5B8E" w:rsidP="00C8096A">
      <w:pPr>
        <w:pStyle w:val="EndNoteBibliography"/>
        <w:ind w:left="720" w:hanging="720"/>
        <w:jc w:val="left"/>
      </w:pPr>
      <w:r w:rsidRPr="00E92157">
        <w:t xml:space="preserve">Loprinzi, C. L., Sloan, J., &amp; Kugler, J. (1997). Coumarin-induced hepatotoxicity. </w:t>
      </w:r>
      <w:r w:rsidRPr="00E92157">
        <w:rPr>
          <w:i/>
        </w:rPr>
        <w:t>Journal of clinical oncology, 15</w:t>
      </w:r>
      <w:r w:rsidR="00B01E1F">
        <w:t>(9), 3167-3168.</w:t>
      </w:r>
    </w:p>
    <w:p w:rsidR="00BF5B8E" w:rsidRPr="00E92157" w:rsidRDefault="00BF5B8E" w:rsidP="00C8096A">
      <w:pPr>
        <w:pStyle w:val="EndNoteBibliography"/>
        <w:ind w:left="720" w:hanging="720"/>
        <w:jc w:val="left"/>
      </w:pPr>
      <w:r w:rsidRPr="00E92157">
        <w:lastRenderedPageBreak/>
        <w:t xml:space="preserve">Meineke, I., Desel, H., Kahl, R., Kahl, G. F., &amp; Gundert-Remy, U. (1998). Determination of 2-hydroxyphenylacetic acid (2HPAA) in urine after oral and parenteral administration of coumarin by gas-liquid chromatography with flame-ionization detection. </w:t>
      </w:r>
      <w:r w:rsidRPr="00E92157">
        <w:rPr>
          <w:i/>
        </w:rPr>
        <w:t>Journal of Pharmaceutical and Biomedical Analysis, 17</w:t>
      </w:r>
      <w:r w:rsidRPr="00E92157">
        <w:t>(3), 487-492. doi:</w:t>
      </w:r>
      <w:r w:rsidRPr="00BF5B8E">
        <w:rPr>
          <w:rFonts w:eastAsia="Cambria"/>
        </w:rPr>
        <w:t>https://doi.org/10.1016/S0731-7085(97)00224-0</w:t>
      </w:r>
    </w:p>
    <w:p w:rsidR="00BF5B8E" w:rsidRPr="00E92157" w:rsidRDefault="00BF5B8E" w:rsidP="00C8096A">
      <w:pPr>
        <w:pStyle w:val="EndNoteBibliography"/>
        <w:ind w:left="720" w:hanging="720"/>
        <w:jc w:val="left"/>
      </w:pPr>
      <w:r w:rsidRPr="00E92157">
        <w:t xml:space="preserve">Morrison, L., &amp; Welsby, P. D. (1995). Side-effects of coumarin. </w:t>
      </w:r>
      <w:r w:rsidRPr="00E92157">
        <w:rPr>
          <w:i/>
        </w:rPr>
        <w:t>Postgraduate Medical Journal, 71</w:t>
      </w:r>
      <w:r w:rsidR="00B01E1F">
        <w:t>(841), 701.</w:t>
      </w:r>
    </w:p>
    <w:p w:rsidR="00BF5B8E" w:rsidRPr="00E92157" w:rsidRDefault="00BF5B8E" w:rsidP="00C8096A">
      <w:pPr>
        <w:pStyle w:val="EndNoteBibliography"/>
        <w:ind w:left="720" w:hanging="720"/>
        <w:jc w:val="left"/>
      </w:pPr>
      <w:r w:rsidRPr="00E92157">
        <w:t xml:space="preserve">Mutterer, V., Giménez Arnau, E., Lepoittevin, J. P., Johansen, J. D., Frosch, P. J., Menné, T., ... White, I. R. (1999). Identification of coumarin as the sensitizer in a patient sensitive to her own perfume but negative to the fragrance mix. </w:t>
      </w:r>
      <w:r w:rsidRPr="00E92157">
        <w:rPr>
          <w:i/>
        </w:rPr>
        <w:t>Contact Dermatitis, 40</w:t>
      </w:r>
      <w:r w:rsidRPr="00E92157">
        <w:t>(4), 196-199. doi:doi:10.1111/j.1600-0536.1999.tb06033.x</w:t>
      </w:r>
    </w:p>
    <w:p w:rsidR="00BF5B8E" w:rsidRPr="00E92157" w:rsidRDefault="00BF5B8E" w:rsidP="00C8096A">
      <w:pPr>
        <w:pStyle w:val="EndNoteBibliography"/>
        <w:ind w:left="720" w:hanging="720"/>
        <w:jc w:val="left"/>
        <w:rPr>
          <w:u w:val="single"/>
        </w:rPr>
      </w:pPr>
      <w:r w:rsidRPr="00E92157">
        <w:t xml:space="preserve">National Industrial Chemicals Notification and Assessment Scheme. (n.d.). Coumarins: Human health tier II assessment. Retrieved from </w:t>
      </w:r>
      <w:r w:rsidRPr="00BF5B8E">
        <w:rPr>
          <w:rFonts w:eastAsia="Cambria"/>
        </w:rPr>
        <w:t>https://www.nicnas.gov.au/chemical-information/imap-assessments/imap-group-assessment-report?assessment_id=1532#cas-A_91-64-5</w:t>
      </w:r>
    </w:p>
    <w:p w:rsidR="00BF5B8E" w:rsidRPr="00E92157" w:rsidRDefault="00BF5B8E" w:rsidP="00C8096A">
      <w:pPr>
        <w:pStyle w:val="EndNoteBibliography"/>
        <w:ind w:left="720" w:hanging="720"/>
        <w:jc w:val="left"/>
      </w:pPr>
      <w:r w:rsidRPr="00E92157">
        <w:t xml:space="preserve">National Toxicology Program. (1993). </w:t>
      </w:r>
      <w:r w:rsidRPr="00E92157">
        <w:rPr>
          <w:i/>
        </w:rPr>
        <w:t>Toxicology and Carcinogenesis Studies of Coumarin in F344/N Rats and B6C3F1 Mice (Gavage Studies)</w:t>
      </w:r>
      <w:r w:rsidR="00B01E1F">
        <w:t>.</w:t>
      </w:r>
    </w:p>
    <w:p w:rsidR="00BF5B8E" w:rsidRPr="00E92157" w:rsidRDefault="00BF5B8E" w:rsidP="00C8096A">
      <w:pPr>
        <w:pStyle w:val="EndNoteBibliography"/>
        <w:ind w:left="720" w:hanging="720"/>
        <w:jc w:val="left"/>
      </w:pPr>
      <w:r w:rsidRPr="00E92157">
        <w:t xml:space="preserve">North American Contact Dermatitis Group. (1984). </w:t>
      </w:r>
      <w:r w:rsidRPr="00E92157">
        <w:rPr>
          <w:i/>
        </w:rPr>
        <w:t>Patch testing in allergic contact dermatitis</w:t>
      </w:r>
      <w:r w:rsidRPr="00E92157">
        <w:t>. Evanston, Illinois: American Academy of Dermatology.</w:t>
      </w:r>
    </w:p>
    <w:p w:rsidR="00BF5B8E" w:rsidRPr="00E92157" w:rsidRDefault="00BF5B8E" w:rsidP="00C8096A">
      <w:pPr>
        <w:pStyle w:val="EndNoteBibliography"/>
        <w:ind w:left="720" w:hanging="720"/>
        <w:jc w:val="left"/>
      </w:pPr>
      <w:r w:rsidRPr="00E92157">
        <w:t xml:space="preserve">OECD. (2016). </w:t>
      </w:r>
      <w:r w:rsidRPr="00E92157">
        <w:rPr>
          <w:i/>
        </w:rPr>
        <w:t>Test No. 421: Reproduction/Developmental Toxicity Screening Test</w:t>
      </w:r>
      <w:r w:rsidRPr="00E92157">
        <w:t>.</w:t>
      </w:r>
    </w:p>
    <w:p w:rsidR="00BF5B8E" w:rsidRPr="00E92157" w:rsidRDefault="00BF5B8E" w:rsidP="00C8096A">
      <w:pPr>
        <w:pStyle w:val="EndNoteBibliography"/>
        <w:ind w:left="720" w:hanging="720"/>
        <w:jc w:val="left"/>
      </w:pPr>
      <w:r w:rsidRPr="00E92157">
        <w:t xml:space="preserve">Oscarson, M., McLellan, R. A., Gullstén, H., Yue, Q.-Y., Lang, M. A., Luisa Bernal, M., </w:t>
      </w:r>
      <w:r w:rsidR="00C8096A">
        <w:t xml:space="preserve">... </w:t>
      </w:r>
      <w:r w:rsidRPr="00E92157">
        <w:t xml:space="preserve">Ingelman-Sundberg, M. (1999). Characterisation and PCR-based detection of a CYP2A6 gene deletion found at a high frequency in a Chinese population. </w:t>
      </w:r>
      <w:r w:rsidRPr="00E92157">
        <w:rPr>
          <w:i/>
        </w:rPr>
        <w:t>FEBS Letters, 448</w:t>
      </w:r>
      <w:r w:rsidRPr="00E92157">
        <w:t>(1), 105-110. doi:doi:10.1016/S0014-5793(99)00359-2</w:t>
      </w:r>
    </w:p>
    <w:p w:rsidR="00BF5B8E" w:rsidRPr="00E92157" w:rsidRDefault="00BF5B8E" w:rsidP="00C8096A">
      <w:pPr>
        <w:pStyle w:val="EndNoteBibliography"/>
        <w:ind w:left="720" w:hanging="720"/>
        <w:jc w:val="left"/>
        <w:rPr>
          <w:u w:val="single"/>
        </w:rPr>
      </w:pPr>
      <w:r w:rsidRPr="00E92157">
        <w:t xml:space="preserve">Pan, T.-L., Wang, P.-W., Aljuffali, I. A., Leu, Y.-L., Hung, Y.-Y., &amp; Fang, J.-Y. (2014). Coumarin derivatives, but not coumarin itself, cause skin irritation via topical delivery. </w:t>
      </w:r>
      <w:r w:rsidRPr="00E92157">
        <w:rPr>
          <w:i/>
        </w:rPr>
        <w:t>Toxicology Letters, 226</w:t>
      </w:r>
      <w:r w:rsidRPr="00E92157">
        <w:t>(2), 173-181. doi:</w:t>
      </w:r>
      <w:r w:rsidRPr="00BF5B8E">
        <w:rPr>
          <w:rFonts w:eastAsia="Cambria"/>
        </w:rPr>
        <w:t>https://doi.org/10.1016/j.toxlet.2014.02.009</w:t>
      </w:r>
    </w:p>
    <w:p w:rsidR="00BF5B8E" w:rsidRPr="00E92157" w:rsidRDefault="00BF5B8E" w:rsidP="00C8096A">
      <w:pPr>
        <w:pStyle w:val="EndNoteBibliography"/>
        <w:ind w:left="720" w:hanging="720"/>
        <w:jc w:val="left"/>
      </w:pPr>
      <w:r w:rsidRPr="00E92157">
        <w:t xml:space="preserve">Pasanen, M., Rannala, Z., Tooming, A., Sotaniemi, E. A., Pelkonen, O., &amp; Rautio, A. (1997). Hepatitis A impairs the function of human hepatic CYP2A6 in vivo. </w:t>
      </w:r>
      <w:r w:rsidRPr="00E92157">
        <w:rPr>
          <w:i/>
        </w:rPr>
        <w:t>Toxicology, 123</w:t>
      </w:r>
      <w:r w:rsidRPr="00E92157">
        <w:t>(3), 177-184. doi:</w:t>
      </w:r>
      <w:r w:rsidRPr="00BF5B8E">
        <w:rPr>
          <w:rFonts w:eastAsia="Cambria"/>
        </w:rPr>
        <w:t>https://doi.org/10.1016/S0300-483X(97)00119-4</w:t>
      </w:r>
    </w:p>
    <w:p w:rsidR="00BF5B8E" w:rsidRPr="00E92157" w:rsidRDefault="00BF5B8E" w:rsidP="00C8096A">
      <w:pPr>
        <w:pStyle w:val="EndNoteBibliography"/>
        <w:ind w:left="720" w:hanging="720"/>
        <w:jc w:val="left"/>
      </w:pPr>
      <w:r w:rsidRPr="00E92157">
        <w:t xml:space="preserve">Pelkonen, O., Rautio, A., Raunio, H., &amp; Pasanen, M. (2000). CYP2A6: a human coumarin 7-hydroxylase. </w:t>
      </w:r>
      <w:r w:rsidRPr="00E92157">
        <w:rPr>
          <w:i/>
        </w:rPr>
        <w:t>Toxicology, 144</w:t>
      </w:r>
      <w:r w:rsidRPr="00E92157">
        <w:t>(1), 139-147. doi:</w:t>
      </w:r>
      <w:r w:rsidRPr="00BF5B8E">
        <w:rPr>
          <w:rFonts w:eastAsia="Cambria"/>
        </w:rPr>
        <w:t>https://doi.org/10.1016/S0300-483X(99)00200-0</w:t>
      </w:r>
    </w:p>
    <w:p w:rsidR="00BF5B8E" w:rsidRPr="00E92157" w:rsidRDefault="00BF5B8E" w:rsidP="00C8096A">
      <w:pPr>
        <w:pStyle w:val="EndNoteBibliography"/>
        <w:ind w:left="720" w:hanging="720"/>
        <w:jc w:val="left"/>
      </w:pPr>
      <w:r w:rsidRPr="00E92157">
        <w:t xml:space="preserve">Piller, N. B. (1977). Tissue levels of (3(-14)C) coumarin in the rat: distribution and excretion. </w:t>
      </w:r>
      <w:r w:rsidRPr="00E92157">
        <w:rPr>
          <w:i/>
        </w:rPr>
        <w:t>British journal of experimental pathology, 58</w:t>
      </w:r>
      <w:r w:rsidR="00B01E1F">
        <w:t>(1), 28-34.</w:t>
      </w:r>
    </w:p>
    <w:p w:rsidR="00BF5B8E" w:rsidRPr="00E92157" w:rsidRDefault="00BF5B8E" w:rsidP="00C8096A">
      <w:pPr>
        <w:pStyle w:val="EndNoteBibliography"/>
        <w:ind w:left="720" w:hanging="720"/>
        <w:jc w:val="left"/>
      </w:pPr>
      <w:r w:rsidRPr="00E92157">
        <w:t xml:space="preserve">Preuss-Ueberschar, C., Ueberschar, S., &amp; Grote, W. (1984). Reproduction toxicological studies following oral administration of benzopyrone preparation in rats. </w:t>
      </w:r>
      <w:r w:rsidRPr="00E92157">
        <w:rPr>
          <w:i/>
        </w:rPr>
        <w:t>Arzneimittel-Forschung (Drug Research), 34</w:t>
      </w:r>
      <w:r w:rsidRPr="00E92157">
        <w:t>(10), 1305-1</w:t>
      </w:r>
      <w:r w:rsidR="00B01E1F">
        <w:t>313.</w:t>
      </w:r>
    </w:p>
    <w:p w:rsidR="00BF5B8E" w:rsidRPr="00E92157" w:rsidRDefault="00BF5B8E" w:rsidP="00C8096A">
      <w:pPr>
        <w:pStyle w:val="EndNoteBibliography"/>
        <w:ind w:left="720" w:hanging="720"/>
        <w:jc w:val="left"/>
      </w:pPr>
      <w:r w:rsidRPr="00E92157">
        <w:lastRenderedPageBreak/>
        <w:t xml:space="preserve">Rautio, A., Kraul, H., Kojo, A., Salmela, E., &amp; Pelkonen, O. (1992). Interindividual variability of coumarin 7-hydroxylation in healthy volunteers. </w:t>
      </w:r>
      <w:r w:rsidRPr="00E92157">
        <w:rPr>
          <w:i/>
        </w:rPr>
        <w:t>Pharmacogenetics, 2</w:t>
      </w:r>
      <w:r w:rsidR="00B01E1F">
        <w:t>(5), 227-233.</w:t>
      </w:r>
    </w:p>
    <w:p w:rsidR="00BF5B8E" w:rsidRPr="00E92157" w:rsidRDefault="00BF5B8E" w:rsidP="00C8096A">
      <w:pPr>
        <w:pStyle w:val="EndNoteBibliography"/>
        <w:ind w:left="720" w:hanging="720"/>
        <w:jc w:val="left"/>
      </w:pPr>
      <w:r w:rsidRPr="00E92157">
        <w:t xml:space="preserve">Research Institute for Fragrance Materials. (1983). </w:t>
      </w:r>
      <w:r w:rsidRPr="00E92157">
        <w:rPr>
          <w:i/>
        </w:rPr>
        <w:t>Coumarin Potential Tumorigenic Effects in Prolonged Dietary Administration to Mice (Final Report)</w:t>
      </w:r>
      <w:r w:rsidRPr="00E92157">
        <w:t xml:space="preserve">. Unpublished work from Rhône-Poulenc SA. RIFM report number </w:t>
      </w:r>
      <w:r w:rsidR="00B01E1F">
        <w:t>16955. Woodcliff Lake, NJ, USA.</w:t>
      </w:r>
    </w:p>
    <w:p w:rsidR="00BF5B8E" w:rsidRPr="00E92157" w:rsidRDefault="00BF5B8E" w:rsidP="00C8096A">
      <w:pPr>
        <w:pStyle w:val="EndNoteBibliography"/>
        <w:ind w:left="720" w:hanging="720"/>
        <w:jc w:val="left"/>
      </w:pPr>
      <w:r w:rsidRPr="00E92157">
        <w:t xml:space="preserve">Research Institute for Fragrance Materials. (1984). </w:t>
      </w:r>
      <w:r w:rsidRPr="00E92157">
        <w:rPr>
          <w:i/>
        </w:rPr>
        <w:t>Coumarin Tumorigenic and Toxic Effects in Prolonged Dietary Administration to Rats Following "in Utero" Exposure - Main Phase- (Final Phase)</w:t>
      </w:r>
      <w:r w:rsidRPr="00E92157">
        <w:t xml:space="preserve">. Unpublished report from Rhône-Poulenc SA. RIFM report number </w:t>
      </w:r>
      <w:r w:rsidR="00B01E1F">
        <w:t>16954. Woodcliff Lake, NJ, USA.</w:t>
      </w:r>
    </w:p>
    <w:p w:rsidR="00BF5B8E" w:rsidRPr="00E92157" w:rsidRDefault="00BF5B8E" w:rsidP="00C8096A">
      <w:pPr>
        <w:pStyle w:val="EndNoteBibliography"/>
        <w:ind w:left="720" w:hanging="720"/>
        <w:jc w:val="left"/>
      </w:pPr>
      <w:r w:rsidRPr="00E92157">
        <w:t xml:space="preserve">Research Institute for Fragrance Materials. (2004). </w:t>
      </w:r>
      <w:r w:rsidRPr="00E92157">
        <w:rPr>
          <w:i/>
        </w:rPr>
        <w:t>Repeated Insult Patch Test with Coumarin</w:t>
      </w:r>
      <w:r w:rsidRPr="00E92157">
        <w:t xml:space="preserve">. RIFM Report Number </w:t>
      </w:r>
      <w:r w:rsidR="00B01E1F">
        <w:t>47161. Woodcliff Lake, NJ, USA.</w:t>
      </w:r>
    </w:p>
    <w:p w:rsidR="00BF5B8E" w:rsidRPr="00E92157" w:rsidRDefault="00BF5B8E" w:rsidP="00C8096A">
      <w:pPr>
        <w:pStyle w:val="EndNoteBibliography"/>
        <w:ind w:left="720" w:hanging="720"/>
        <w:jc w:val="left"/>
      </w:pPr>
      <w:r w:rsidRPr="00E92157">
        <w:t xml:space="preserve">Research Institute for Fragrance Materials. (2005). </w:t>
      </w:r>
      <w:r w:rsidRPr="00E92157">
        <w:rPr>
          <w:i/>
        </w:rPr>
        <w:t>Repeated Insult Patch Test with Coumarin</w:t>
      </w:r>
      <w:r w:rsidRPr="00E92157">
        <w:t xml:space="preserve">. RIFM Report Number </w:t>
      </w:r>
      <w:r w:rsidR="00B01E1F">
        <w:t>47274. Woodcliff Lake, NJ, USA.</w:t>
      </w:r>
    </w:p>
    <w:p w:rsidR="00BF5B8E" w:rsidRPr="00E92157" w:rsidRDefault="00BF5B8E" w:rsidP="00C8096A">
      <w:pPr>
        <w:pStyle w:val="EndNoteBibliography"/>
        <w:ind w:left="720" w:hanging="720"/>
        <w:jc w:val="left"/>
      </w:pPr>
      <w:r w:rsidRPr="00E92157">
        <w:t xml:space="preserve">Rietjens, I. M. C. M., Boersma, M. G., Zaleska, M., &amp; Punt, A. (2008). Differences in simulated liver concentrations of toxic coumarin metabolites in rats and different human populations evaluated through physiologically based biokinetic (PBBK) modeling. </w:t>
      </w:r>
      <w:r w:rsidRPr="00E92157">
        <w:rPr>
          <w:i/>
        </w:rPr>
        <w:t>Toxicology in Vitro, 22</w:t>
      </w:r>
      <w:r w:rsidRPr="00E92157">
        <w:t>(8), 1890-1901. doi:</w:t>
      </w:r>
      <w:r w:rsidRPr="00BF5B8E">
        <w:rPr>
          <w:rFonts w:eastAsia="Cambria"/>
        </w:rPr>
        <w:t>https://doi.org/10.1016/j.tiv.2008.09.004</w:t>
      </w:r>
    </w:p>
    <w:p w:rsidR="00BF5B8E" w:rsidRPr="00E92157" w:rsidRDefault="00BF5B8E" w:rsidP="00C8096A">
      <w:pPr>
        <w:pStyle w:val="EndNoteBibliography"/>
        <w:ind w:left="720" w:hanging="720"/>
        <w:jc w:val="left"/>
      </w:pPr>
      <w:r w:rsidRPr="00E92157">
        <w:t xml:space="preserve">Ritschel, W. A., Brady, M. E., &amp; Tan, H. S. (1979). First-pass effect of coumarin in man. </w:t>
      </w:r>
      <w:r w:rsidRPr="00E92157">
        <w:rPr>
          <w:i/>
        </w:rPr>
        <w:t>International journal of clinical pharmacology and biopharmacy, 17</w:t>
      </w:r>
      <w:r w:rsidR="00B01E1F">
        <w:t>(3), 99-103.</w:t>
      </w:r>
    </w:p>
    <w:p w:rsidR="00BF5B8E" w:rsidRPr="00E92157" w:rsidRDefault="00BF5B8E" w:rsidP="00C8096A">
      <w:pPr>
        <w:pStyle w:val="EndNoteBibliography"/>
        <w:ind w:left="720" w:hanging="720"/>
        <w:jc w:val="left"/>
      </w:pPr>
      <w:r w:rsidRPr="00E92157">
        <w:t xml:space="preserve">Ritschel, W. A., Denson, D. D., &amp; Grummich, K. W. (1988). Pharmacokinetics of coumarin and 7-hydroxycoumarin in the rhesus monkey after intravenous and peroral administration. </w:t>
      </w:r>
      <w:r w:rsidRPr="00E92157">
        <w:rPr>
          <w:i/>
        </w:rPr>
        <w:t>Arzneimittel-Forschung, 38</w:t>
      </w:r>
      <w:r w:rsidR="00B01E1F">
        <w:t>(11), 1619-1623.</w:t>
      </w:r>
    </w:p>
    <w:p w:rsidR="00BF5B8E" w:rsidRPr="00E92157" w:rsidRDefault="00BF5B8E" w:rsidP="00C8096A">
      <w:pPr>
        <w:pStyle w:val="EndNoteBibliography"/>
        <w:ind w:left="720" w:hanging="720"/>
        <w:jc w:val="left"/>
      </w:pPr>
      <w:r w:rsidRPr="00E92157">
        <w:t xml:space="preserve">Ritschel, W. A., &amp; Hardt, T. J. (1983). Pharmacokinetics of coumarin, 7-hydroxycoumarin and 7-hydroxycoumarin glucuronide in the blood and brain of gerbils following intraperitoneal administration of coumarin. </w:t>
      </w:r>
      <w:r w:rsidRPr="00E92157">
        <w:rPr>
          <w:i/>
        </w:rPr>
        <w:t>Arzneimittel-Forschung, 33</w:t>
      </w:r>
      <w:r w:rsidR="00B01E1F">
        <w:t>(9), 1254-1258.</w:t>
      </w:r>
    </w:p>
    <w:p w:rsidR="00BF5B8E" w:rsidRPr="00E92157" w:rsidRDefault="00BF5B8E" w:rsidP="00C8096A">
      <w:pPr>
        <w:pStyle w:val="EndNoteBibliography"/>
        <w:ind w:left="720" w:hanging="720"/>
        <w:jc w:val="left"/>
      </w:pPr>
      <w:r w:rsidRPr="00E92157">
        <w:t xml:space="preserve">Ritschel, W. A., &amp; Hussain, S. A. (1988). Transdermal absorption and topical bioavailability of coumarin. </w:t>
      </w:r>
      <w:r w:rsidRPr="00E92157">
        <w:rPr>
          <w:i/>
        </w:rPr>
        <w:t>Methods and findings in experimental and clinical pharmacology, 10</w:t>
      </w:r>
      <w:r w:rsidR="00B01E1F">
        <w:t>(3), 165-169.</w:t>
      </w:r>
    </w:p>
    <w:p w:rsidR="00BF5B8E" w:rsidRPr="00E92157" w:rsidRDefault="00BF5B8E" w:rsidP="00C8096A">
      <w:pPr>
        <w:pStyle w:val="EndNoteBibliography"/>
        <w:ind w:left="720" w:hanging="720"/>
        <w:jc w:val="left"/>
      </w:pPr>
      <w:r w:rsidRPr="00E92157">
        <w:t xml:space="preserve">Ritschel, W. A., Sabouni, A., &amp; Hussain, A. S. (1989). Percutaneous absorption of coumarin, griseofulvin and propranolol across human scalp and abdominal skin. </w:t>
      </w:r>
      <w:r w:rsidRPr="00E92157">
        <w:rPr>
          <w:i/>
        </w:rPr>
        <w:t>Methods and findings in experimental and clinical pharmacology, 11 10</w:t>
      </w:r>
      <w:r w:rsidR="00B01E1F">
        <w:t>, 643-646.</w:t>
      </w:r>
    </w:p>
    <w:p w:rsidR="00BF5B8E" w:rsidRPr="00E92157" w:rsidRDefault="00BF5B8E" w:rsidP="00C8096A">
      <w:pPr>
        <w:pStyle w:val="EndNoteBibliography"/>
        <w:ind w:left="720" w:hanging="720"/>
        <w:jc w:val="left"/>
      </w:pPr>
      <w:r w:rsidRPr="00E92157">
        <w:t xml:space="preserve">Roll, R., &amp; Bar, F. (1967). Effect of coumarin on pregnant mice. </w:t>
      </w:r>
      <w:r w:rsidRPr="00E92157">
        <w:rPr>
          <w:i/>
        </w:rPr>
        <w:t>Arznetimittel-Forsch (Drug Research), 17</w:t>
      </w:r>
      <w:r w:rsidR="00B01E1F">
        <w:t>(1), 97-100.</w:t>
      </w:r>
    </w:p>
    <w:p w:rsidR="00BF5B8E" w:rsidRPr="00E92157" w:rsidRDefault="00BF5B8E" w:rsidP="00C8096A">
      <w:pPr>
        <w:pStyle w:val="EndNoteBibliography"/>
        <w:ind w:left="720" w:hanging="720"/>
        <w:jc w:val="left"/>
      </w:pPr>
      <w:r w:rsidRPr="00E92157">
        <w:t xml:space="preserve">Schnuch, A., Aberer, W., Agathos, M., Becker, D., Brasch, J., Elsner, P., </w:t>
      </w:r>
      <w:r w:rsidR="00C8096A">
        <w:t xml:space="preserve">... </w:t>
      </w:r>
      <w:r w:rsidRPr="00E92157">
        <w:t xml:space="preserve">Szliska, C. (2008). Patch testing with contact allergens. </w:t>
      </w:r>
      <w:r w:rsidRPr="00E92157">
        <w:rPr>
          <w:i/>
        </w:rPr>
        <w:t>Journal of the German Dermatologic Society, 6</w:t>
      </w:r>
      <w:r w:rsidRPr="00E92157">
        <w:t>(9), 770-775. doi:doi:10.1111/j.1610-0387.2009.06787.x</w:t>
      </w:r>
    </w:p>
    <w:p w:rsidR="00BF5B8E" w:rsidRPr="00E92157" w:rsidRDefault="00BF5B8E" w:rsidP="00C8096A">
      <w:pPr>
        <w:pStyle w:val="EndNoteBibliography"/>
        <w:ind w:left="720" w:hanging="720"/>
        <w:jc w:val="left"/>
      </w:pPr>
      <w:r w:rsidRPr="00E92157">
        <w:lastRenderedPageBreak/>
        <w:t xml:space="preserve">Shilling, W. H., Crampton, R. F., &amp; Longland, R. C. (1969). Metabolism of Coumarin in Man. </w:t>
      </w:r>
      <w:r w:rsidRPr="00E92157">
        <w:rPr>
          <w:i/>
        </w:rPr>
        <w:t>Nature, 221</w:t>
      </w:r>
      <w:r w:rsidRPr="00E92157">
        <w:t>, 664. doi:10.1038/221664b0</w:t>
      </w:r>
    </w:p>
    <w:p w:rsidR="00BF5B8E" w:rsidRPr="00E92157" w:rsidRDefault="00BF5B8E" w:rsidP="00C8096A">
      <w:pPr>
        <w:pStyle w:val="EndNoteBibliography"/>
        <w:ind w:left="720" w:hanging="720"/>
        <w:jc w:val="left"/>
      </w:pPr>
      <w:r w:rsidRPr="00E92157">
        <w:t xml:space="preserve">Tanaka, Y., Fujii, W., Hori, H., Kitagawa, Y., &amp; Ozaki, K. (2017). Changes in coumarin kinetics and subcellular localization of CYP2E1 contribute to bile duct damage and reduce hepatocellular damage after repeated administration of coumarin in rats. </w:t>
      </w:r>
      <w:r w:rsidRPr="00E92157">
        <w:rPr>
          <w:i/>
        </w:rPr>
        <w:t>Toxicology Letters, 280</w:t>
      </w:r>
      <w:r w:rsidRPr="00E92157">
        <w:t>, 99-105. doi:</w:t>
      </w:r>
      <w:r w:rsidRPr="00BF5B8E">
        <w:rPr>
          <w:rFonts w:eastAsia="Cambria"/>
        </w:rPr>
        <w:t>https://doi.org/10.1016/j.toxlet.2017.08.007</w:t>
      </w:r>
    </w:p>
    <w:p w:rsidR="00BF5B8E" w:rsidRPr="00E92157" w:rsidRDefault="00BF5B8E" w:rsidP="00C8096A">
      <w:pPr>
        <w:pStyle w:val="EndNoteBibliography"/>
        <w:ind w:left="720" w:hanging="720"/>
        <w:jc w:val="left"/>
        <w:rPr>
          <w:u w:val="single"/>
        </w:rPr>
      </w:pPr>
      <w:r w:rsidRPr="00E92157">
        <w:t xml:space="preserve">Therapeutic Goods Administration. (2016, 22 January). Australian regulatory guidelines for sunscreens. Version 1.1. Retrieved from </w:t>
      </w:r>
      <w:r w:rsidRPr="00BF5B8E">
        <w:rPr>
          <w:rFonts w:eastAsia="Cambria"/>
        </w:rPr>
        <w:t>https://www.tga.gov.au/publication/australian-regulatory-guidelines-sunscreens-args</w:t>
      </w:r>
    </w:p>
    <w:p w:rsidR="00BF5B8E" w:rsidRPr="00E92157" w:rsidRDefault="00BF5B8E" w:rsidP="00C8096A">
      <w:pPr>
        <w:pStyle w:val="EndNoteBibliography"/>
        <w:ind w:left="720" w:hanging="720"/>
        <w:jc w:val="left"/>
        <w:rPr>
          <w:u w:val="single"/>
        </w:rPr>
      </w:pPr>
      <w:r w:rsidRPr="00E92157">
        <w:t xml:space="preserve">U.S. National Library of Medicine - Toxicology Data Network. Coumarin [NF]. Retrieved from </w:t>
      </w:r>
      <w:r w:rsidRPr="00BF5B8E">
        <w:rPr>
          <w:rFonts w:eastAsia="Cambria"/>
        </w:rPr>
        <w:t>https://chem.nlm.nih.gov/chemidplus/name/coumarin</w:t>
      </w:r>
    </w:p>
    <w:p w:rsidR="00BF5B8E" w:rsidRPr="00E92157" w:rsidRDefault="00BF5B8E" w:rsidP="00C8096A">
      <w:pPr>
        <w:pStyle w:val="EndNoteBibliography"/>
        <w:ind w:left="720" w:hanging="720"/>
        <w:jc w:val="left"/>
      </w:pPr>
      <w:r w:rsidRPr="00E92157">
        <w:t xml:space="preserve">Ueno, I., &amp; Hirono, I. (1981). Non-carcinogenic response to coumarin in Syrian golden hamsters. </w:t>
      </w:r>
      <w:r w:rsidRPr="00E92157">
        <w:rPr>
          <w:i/>
        </w:rPr>
        <w:t>Food and Cosmetics Toxicology, 19</w:t>
      </w:r>
      <w:r w:rsidRPr="00E92157">
        <w:t>, 353-355. doi:</w:t>
      </w:r>
      <w:r w:rsidRPr="00BF5B8E">
        <w:rPr>
          <w:rFonts w:eastAsia="Cambria"/>
        </w:rPr>
        <w:t>https://doi.org/10.1016/0015-6264(81)90395-3</w:t>
      </w:r>
    </w:p>
    <w:p w:rsidR="00BF5B8E" w:rsidRPr="00E92157" w:rsidRDefault="00BF5B8E" w:rsidP="00C8096A">
      <w:pPr>
        <w:pStyle w:val="EndNoteBibliography"/>
        <w:ind w:left="720" w:hanging="720"/>
        <w:jc w:val="left"/>
      </w:pPr>
      <w:r w:rsidRPr="00E92157">
        <w:t xml:space="preserve">United Nations. (2017). Key Findings and Advance Tables. </w:t>
      </w:r>
      <w:r w:rsidRPr="00E92157">
        <w:rPr>
          <w:i/>
        </w:rPr>
        <w:t>World Population Prospects</w:t>
      </w:r>
      <w:r w:rsidR="00B01E1F">
        <w:t>.</w:t>
      </w:r>
    </w:p>
    <w:p w:rsidR="00BF5B8E" w:rsidRPr="00E92157" w:rsidRDefault="00BF5B8E" w:rsidP="00C8096A">
      <w:pPr>
        <w:pStyle w:val="EndNoteBibliography"/>
        <w:ind w:left="720" w:hanging="720"/>
        <w:jc w:val="left"/>
      </w:pPr>
      <w:r w:rsidRPr="00E92157">
        <w:t xml:space="preserve">Vassallo, J. D., Hicks, S. M., Daston, G. P., &amp; Lehman-McKeeman, L. D. (2004). Metabolic Detoxification Determines Species Differences in Coumarin-Induced Hepatotoxicity. </w:t>
      </w:r>
      <w:r w:rsidRPr="00E92157">
        <w:rPr>
          <w:i/>
        </w:rPr>
        <w:t>Toxicological Sciences, 80</w:t>
      </w:r>
      <w:r w:rsidRPr="00E92157">
        <w:t>(2), 249-257. doi:10.1093/toxsci/kfh162</w:t>
      </w:r>
    </w:p>
    <w:p w:rsidR="00BF5B8E" w:rsidRPr="00E92157" w:rsidRDefault="00BF5B8E" w:rsidP="00C8096A">
      <w:pPr>
        <w:pStyle w:val="EndNoteBibliography"/>
        <w:ind w:left="720" w:hanging="720"/>
        <w:jc w:val="left"/>
      </w:pPr>
      <w:r w:rsidRPr="00E92157">
        <w:t xml:space="preserve">Volkov, A., Dobbinson, S., Wakefield, M., &amp; Slevin, T. (2013). Seven-year trends in sun protection and sunburn among Australian adolescents and adults. </w:t>
      </w:r>
      <w:r w:rsidRPr="00E92157">
        <w:rPr>
          <w:i/>
        </w:rPr>
        <w:t>Australian and New Zealand Journal of Public Health, 37</w:t>
      </w:r>
      <w:r w:rsidRPr="00E92157">
        <w:t>(1), 63-69. doi:doi:10.1111/1753-6405.12012</w:t>
      </w:r>
    </w:p>
    <w:p w:rsidR="00BF5B8E" w:rsidRPr="00E92157" w:rsidRDefault="00BF5B8E" w:rsidP="00C8096A">
      <w:pPr>
        <w:pStyle w:val="EndNoteBibliography"/>
        <w:ind w:left="720" w:hanging="720"/>
        <w:jc w:val="left"/>
      </w:pPr>
      <w:r w:rsidRPr="00E92157">
        <w:t xml:space="preserve">World Health Organization. (1996). Coumarin: regulatory action. In </w:t>
      </w:r>
      <w:r w:rsidRPr="00E92157">
        <w:rPr>
          <w:i/>
        </w:rPr>
        <w:t>WHO Drug Information</w:t>
      </w:r>
      <w:r w:rsidRPr="00E92157">
        <w:t xml:space="preserve"> (Vol. 10, pp. 188-189). Geneva.</w:t>
      </w:r>
    </w:p>
    <w:p w:rsidR="00BF5B8E" w:rsidRPr="00E92157" w:rsidRDefault="00BF5B8E" w:rsidP="00C8096A">
      <w:pPr>
        <w:pStyle w:val="EndNoteBibliography"/>
        <w:ind w:left="720" w:hanging="720"/>
        <w:jc w:val="left"/>
      </w:pPr>
      <w:r w:rsidRPr="00E92157">
        <w:t xml:space="preserve">World Health Organization. (2000). Coumarin. In </w:t>
      </w:r>
      <w:r w:rsidRPr="00E92157">
        <w:rPr>
          <w:i/>
        </w:rPr>
        <w:t>SOME INDUSTRIAL CHEMICALS</w:t>
      </w:r>
      <w:r w:rsidRPr="00E92157">
        <w:t xml:space="preserve"> (Vol. 77 of IARC MONOGRAPHS ON THE EVALUATION OF CARCINOGENIC RISKS TO HUMANS, pp. 193-225). Lyon.</w:t>
      </w:r>
    </w:p>
    <w:p w:rsidR="00BF5B8E" w:rsidRPr="00E92157" w:rsidRDefault="00BF5B8E" w:rsidP="00C8096A">
      <w:pPr>
        <w:pStyle w:val="EndNoteBibliography"/>
        <w:ind w:left="720" w:hanging="720"/>
        <w:jc w:val="left"/>
      </w:pPr>
      <w:r w:rsidRPr="00E92157">
        <w:t xml:space="preserve">Yourick, J. J., &amp; Bronaugh, R. L. (1997). Percutaneous absorption and metabolism of Coumarin in human and rat skin. </w:t>
      </w:r>
      <w:r w:rsidRPr="00E92157">
        <w:rPr>
          <w:i/>
        </w:rPr>
        <w:t>Journal of applied toxicology : JAT, 17 3</w:t>
      </w:r>
      <w:r w:rsidR="00B01E1F">
        <w:t>, 153-158.</w:t>
      </w:r>
    </w:p>
    <w:p w:rsidR="000E0E79" w:rsidRDefault="00BF5B8E" w:rsidP="00B01E1F">
      <w:pPr>
        <w:pStyle w:val="EndNoteBibliography"/>
        <w:ind w:left="720" w:hanging="720"/>
        <w:jc w:val="left"/>
      </w:pPr>
      <w:r w:rsidRPr="00E92157">
        <w:t xml:space="preserve">Zhuo, X., Gu, J., Zhang, Q. Y., Spink, D. C., Kaminsky, L. S., &amp; Ding, X. (1999). Biotransformation of coumarin by rodent and human cytochromes P-450: metabolic basis of tissue-selective toxicity in olfactory mucosa of rats and mice. </w:t>
      </w:r>
      <w:r w:rsidRPr="00E92157">
        <w:rPr>
          <w:i/>
        </w:rPr>
        <w:t>Journal of Pharmacology and Experimental Therapeutics, 288</w:t>
      </w:r>
      <w:r w:rsidR="00B01E1F">
        <w:t>(2), 463-471.</w:t>
      </w:r>
      <w:r w:rsidR="000E0E79">
        <w:br w:type="page"/>
      </w:r>
    </w:p>
    <w:bookmarkEnd w:id="2"/>
    <w:bookmarkEnd w:id="3"/>
    <w:p w:rsidR="00BF5B8E" w:rsidRPr="00215D48" w:rsidRDefault="00BF5B8E" w:rsidP="00CF066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F5B8E" w:rsidRPr="00215D48" w:rsidTr="008A65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BF5B8E" w:rsidRPr="00215D48" w:rsidRDefault="00BF5B8E" w:rsidP="008A65A8">
            <w:bookmarkStart w:id="136" w:name="ColumnTitle_4"/>
            <w:r w:rsidRPr="00215D48">
              <w:t>Version</w:t>
            </w:r>
          </w:p>
        </w:tc>
        <w:tc>
          <w:tcPr>
            <w:tcW w:w="3242" w:type="dxa"/>
          </w:tcPr>
          <w:p w:rsidR="00BF5B8E" w:rsidRPr="00215D48" w:rsidRDefault="00BF5B8E" w:rsidP="008A65A8">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BF5B8E" w:rsidRPr="00215D48" w:rsidRDefault="00BF5B8E" w:rsidP="008A65A8">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BF5B8E" w:rsidRPr="00215D48" w:rsidRDefault="00BF5B8E" w:rsidP="008A65A8">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36"/>
      <w:tr w:rsidR="00BF5B8E" w:rsidRPr="00215D48" w:rsidTr="008A65A8">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F5B8E" w:rsidRPr="00215D48" w:rsidRDefault="00BF5B8E" w:rsidP="008A65A8">
            <w:r w:rsidRPr="00215D48">
              <w:t>V1.0</w:t>
            </w:r>
          </w:p>
        </w:tc>
        <w:tc>
          <w:tcPr>
            <w:tcW w:w="3242" w:type="dxa"/>
          </w:tcPr>
          <w:p w:rsidR="00BF5B8E" w:rsidRPr="00215D48" w:rsidRDefault="00BF5B8E" w:rsidP="008A65A8">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BF5B8E" w:rsidRPr="00215D48" w:rsidRDefault="00BF5B8E" w:rsidP="008A65A8">
            <w:pPr>
              <w:cnfStyle w:val="000000000000" w:firstRow="0" w:lastRow="0" w:firstColumn="0" w:lastColumn="0" w:oddVBand="0" w:evenVBand="0" w:oddHBand="0" w:evenHBand="0" w:firstRowFirstColumn="0" w:firstRowLastColumn="0" w:lastRowFirstColumn="0" w:lastRowLastColumn="0"/>
            </w:pPr>
            <w:r>
              <w:t xml:space="preserve">Complementary Medicines Evaluation </w:t>
            </w:r>
            <w:r w:rsidRPr="00215D48">
              <w:t>Section</w:t>
            </w:r>
          </w:p>
        </w:tc>
        <w:tc>
          <w:tcPr>
            <w:tcW w:w="1808" w:type="dxa"/>
          </w:tcPr>
          <w:p w:rsidR="00BF5B8E" w:rsidRPr="00215D48" w:rsidRDefault="0036055E" w:rsidP="008A65A8">
            <w:pPr>
              <w:cnfStyle w:val="000000000000" w:firstRow="0" w:lastRow="0" w:firstColumn="0" w:lastColumn="0" w:oddVBand="0" w:evenVBand="0" w:oddHBand="0" w:evenHBand="0" w:firstRowFirstColumn="0" w:firstRowLastColumn="0" w:lastRowFirstColumn="0" w:lastRowLastColumn="0"/>
            </w:pPr>
            <w:r>
              <w:t>Dec</w:t>
            </w:r>
            <w:r w:rsidR="00B01E1F">
              <w:t>ember</w:t>
            </w:r>
            <w:r w:rsidR="00BF5B8E">
              <w:t xml:space="preserve"> 2019</w:t>
            </w:r>
          </w:p>
        </w:tc>
      </w:tr>
    </w:tbl>
    <w:p w:rsidR="00BF5B8E" w:rsidRPr="00215D48" w:rsidRDefault="00BF5B8E" w:rsidP="008A65A8">
      <w:pPr>
        <w:spacing w:before="0" w:after="0" w:line="240" w:lineRule="auto"/>
        <w:rPr>
          <w:sz w:val="20"/>
        </w:rPr>
        <w:sectPr w:rsidR="00BF5B8E" w:rsidRPr="00215D48" w:rsidSect="008A65A8">
          <w:footnotePr>
            <w:numFmt w:val="chicago"/>
          </w:footnotePr>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BF5B8E" w:rsidRPr="00215D48" w:rsidTr="008A65A8">
        <w:trPr>
          <w:trHeight w:hRule="exact" w:val="565"/>
          <w:jc w:val="center"/>
        </w:trPr>
        <w:tc>
          <w:tcPr>
            <w:tcW w:w="9145" w:type="dxa"/>
          </w:tcPr>
          <w:p w:rsidR="00BF5B8E" w:rsidRPr="00215D48" w:rsidRDefault="00BF5B8E" w:rsidP="008A65A8">
            <w:pPr>
              <w:pStyle w:val="TGASignoff"/>
            </w:pPr>
            <w:r w:rsidRPr="00215D48">
              <w:lastRenderedPageBreak/>
              <w:t>Therapeutic Goods Administration</w:t>
            </w:r>
          </w:p>
        </w:tc>
      </w:tr>
      <w:tr w:rsidR="00BF5B8E" w:rsidRPr="00215D48" w:rsidTr="008A65A8">
        <w:trPr>
          <w:trHeight w:val="963"/>
          <w:jc w:val="center"/>
        </w:trPr>
        <w:tc>
          <w:tcPr>
            <w:tcW w:w="9145" w:type="dxa"/>
            <w:tcMar>
              <w:top w:w="28" w:type="dxa"/>
            </w:tcMar>
          </w:tcPr>
          <w:p w:rsidR="00BF5B8E" w:rsidRPr="00215D48" w:rsidRDefault="00BF5B8E" w:rsidP="008A65A8">
            <w:pPr>
              <w:pStyle w:val="Address"/>
              <w:jc w:val="center"/>
            </w:pPr>
            <w:r w:rsidRPr="00215D48">
              <w:t>PO Box 100 Woden ACT 2606 Australia</w:t>
            </w:r>
          </w:p>
          <w:p w:rsidR="00BF5B8E" w:rsidRDefault="00BF5B8E">
            <w:pPr>
              <w:pStyle w:val="Address"/>
              <w:jc w:val="center"/>
              <w:rPr>
                <w:sz w:val="22"/>
                <w:szCs w:val="22"/>
              </w:rPr>
            </w:pPr>
            <w:r w:rsidRPr="00215D48">
              <w:t xml:space="preserve">Email: </w:t>
            </w:r>
            <w:hyperlink r:id="rId22" w:history="1">
              <w:r w:rsidRPr="00215D48">
                <w:rPr>
                  <w:rStyle w:val="Hyperlink"/>
                </w:rPr>
                <w:t>info@tga.gov.au</w:t>
              </w:r>
            </w:hyperlink>
            <w:r w:rsidRPr="00215D48">
              <w:t xml:space="preserve">  Phone: 1800 020 653  Fax: </w:t>
            </w:r>
            <w:r w:rsidRPr="00BA0DFC">
              <w:t>02 6203 1605</w:t>
            </w:r>
          </w:p>
          <w:p w:rsidR="00BF5B8E" w:rsidRPr="00215D48" w:rsidRDefault="00D23E7D">
            <w:pPr>
              <w:pStyle w:val="Address"/>
              <w:jc w:val="center"/>
              <w:rPr>
                <w:rStyle w:val="Hyperlink"/>
                <w:b/>
                <w:color w:val="auto"/>
                <w:sz w:val="22"/>
                <w:u w:val="none"/>
              </w:rPr>
            </w:pPr>
            <w:hyperlink r:id="rId23" w:history="1">
              <w:r w:rsidR="00BF5B8E" w:rsidRPr="00C4721A">
                <w:rPr>
                  <w:rStyle w:val="Hyperlink"/>
                  <w:b/>
                </w:rPr>
                <w:t>https://www.tga.gov.au</w:t>
              </w:r>
            </w:hyperlink>
          </w:p>
        </w:tc>
      </w:tr>
      <w:tr w:rsidR="00BF5B8E" w:rsidRPr="00215D48" w:rsidTr="008A65A8">
        <w:trPr>
          <w:trHeight w:val="251"/>
          <w:jc w:val="center"/>
        </w:trPr>
        <w:tc>
          <w:tcPr>
            <w:tcW w:w="9145" w:type="dxa"/>
            <w:tcMar>
              <w:top w:w="28" w:type="dxa"/>
            </w:tcMar>
          </w:tcPr>
          <w:p w:rsidR="00BF5B8E" w:rsidRPr="00215D48" w:rsidRDefault="000E0E79" w:rsidP="000E0E79">
            <w:pPr>
              <w:pStyle w:val="Address"/>
              <w:jc w:val="center"/>
            </w:pPr>
            <w:r>
              <w:t xml:space="preserve">Reference: </w:t>
            </w:r>
            <w:r w:rsidRPr="000E0E79">
              <w:t>D19-5857826</w:t>
            </w:r>
            <w:r>
              <w:t xml:space="preserve"> </w:t>
            </w:r>
          </w:p>
        </w:tc>
      </w:tr>
    </w:tbl>
    <w:p w:rsidR="00BF5B8E" w:rsidRPr="00215D48" w:rsidRDefault="00BF5B8E" w:rsidP="00CF066C">
      <w:pPr>
        <w:rPr>
          <w:sz w:val="20"/>
        </w:rPr>
      </w:pPr>
    </w:p>
    <w:sectPr w:rsidR="00BF5B8E" w:rsidRPr="00215D48" w:rsidSect="008A65A8">
      <w:headerReference w:type="first" r:id="rId24"/>
      <w:footerReference w:type="first" r:id="rId25"/>
      <w:footnotePr>
        <w:numFmt w:val="chicago"/>
      </w:footnotePr>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344" w:rsidRDefault="00D05344" w:rsidP="00BF5B8E">
      <w:pPr>
        <w:spacing w:before="0" w:after="0" w:line="240" w:lineRule="auto"/>
      </w:pPr>
      <w:r>
        <w:separator/>
      </w:r>
    </w:p>
  </w:endnote>
  <w:endnote w:type="continuationSeparator" w:id="0">
    <w:p w:rsidR="00D05344" w:rsidRDefault="00D05344" w:rsidP="00BF5B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D05344" w:rsidRPr="00257138" w:rsidTr="008A65A8">
      <w:trPr>
        <w:trHeight w:val="423"/>
      </w:trPr>
      <w:tc>
        <w:tcPr>
          <w:tcW w:w="4360" w:type="dxa"/>
          <w:tcBorders>
            <w:top w:val="single" w:sz="4" w:space="0" w:color="auto"/>
          </w:tcBorders>
        </w:tcPr>
        <w:p w:rsidR="00D05344" w:rsidRDefault="00D05344" w:rsidP="008A65A8">
          <w:pPr>
            <w:pStyle w:val="Footer"/>
          </w:pPr>
        </w:p>
        <w:p w:rsidR="00D05344" w:rsidRPr="00257138" w:rsidRDefault="00D05344" w:rsidP="008A65A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D05344" w:rsidRDefault="00D05344" w:rsidP="008A65A8">
              <w:pPr>
                <w:pStyle w:val="Footer"/>
                <w:jc w:val="right"/>
              </w:pPr>
            </w:p>
            <w:p w:rsidR="00D05344" w:rsidRPr="00257138" w:rsidRDefault="00D05344" w:rsidP="008A65A8">
              <w:pPr>
                <w:pStyle w:val="Footer"/>
                <w:jc w:val="right"/>
              </w:pPr>
              <w:r w:rsidRPr="00257138">
                <w:t xml:space="preserve">Page </w:t>
              </w:r>
              <w:r>
                <w:fldChar w:fldCharType="begin"/>
              </w:r>
              <w:r>
                <w:instrText xml:space="preserve"> PAGE </w:instrText>
              </w:r>
              <w:r>
                <w:fldChar w:fldCharType="separate"/>
              </w:r>
              <w:r>
                <w:rPr>
                  <w:noProof/>
                </w:rPr>
                <w:t>1</w:t>
              </w:r>
              <w:r>
                <w:rPr>
                  <w:noProof/>
                </w:rPr>
                <w:fldChar w:fldCharType="end"/>
              </w:r>
              <w:r w:rsidRPr="00257138">
                <w:t xml:space="preserve"> of </w:t>
              </w:r>
              <w:r w:rsidR="00D23E7D">
                <w:fldChar w:fldCharType="begin"/>
              </w:r>
              <w:r w:rsidR="00D23E7D">
                <w:instrText xml:space="preserve"> NUMPAGES  </w:instrText>
              </w:r>
              <w:r w:rsidR="00D23E7D">
                <w:fldChar w:fldCharType="separate"/>
              </w:r>
              <w:r>
                <w:rPr>
                  <w:noProof/>
                </w:rPr>
                <w:t>40</w:t>
              </w:r>
              <w:r w:rsidR="00D23E7D">
                <w:rPr>
                  <w:noProof/>
                </w:rPr>
                <w:fldChar w:fldCharType="end"/>
              </w:r>
            </w:p>
          </w:sdtContent>
        </w:sdt>
      </w:tc>
    </w:tr>
    <w:tr w:rsidR="00D05344" w:rsidRPr="00257138" w:rsidTr="008A65A8">
      <w:trPr>
        <w:trHeight w:val="263"/>
      </w:trPr>
      <w:tc>
        <w:tcPr>
          <w:tcW w:w="4360" w:type="dxa"/>
        </w:tcPr>
        <w:p w:rsidR="00D05344" w:rsidRPr="00257138" w:rsidRDefault="00D05344" w:rsidP="008A65A8">
          <w:pPr>
            <w:pStyle w:val="Footer"/>
          </w:pPr>
          <w:r w:rsidRPr="00257138">
            <w:t xml:space="preserve">V1.0 </w:t>
          </w:r>
          <w:r>
            <w:t>Month</w:t>
          </w:r>
          <w:r w:rsidRPr="00257138">
            <w:t xml:space="preserve"> 201</w:t>
          </w:r>
          <w:r>
            <w:t>2</w:t>
          </w:r>
        </w:p>
      </w:tc>
      <w:tc>
        <w:tcPr>
          <w:tcW w:w="4360" w:type="dxa"/>
        </w:tcPr>
        <w:p w:rsidR="00D05344" w:rsidRPr="00257138" w:rsidRDefault="00D05344" w:rsidP="008A65A8">
          <w:pPr>
            <w:pStyle w:val="Footer"/>
            <w:jc w:val="right"/>
          </w:pPr>
        </w:p>
      </w:tc>
    </w:tr>
  </w:tbl>
  <w:p w:rsidR="00D05344" w:rsidRPr="00826007" w:rsidRDefault="00D05344" w:rsidP="008A65A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344" w:rsidRDefault="00D05344" w:rsidP="008A65A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D05344" w:rsidRPr="004A3084" w:rsidTr="008A65A8">
      <w:trPr>
        <w:trHeight w:val="423"/>
      </w:trPr>
      <w:tc>
        <w:tcPr>
          <w:tcW w:w="7338" w:type="dxa"/>
          <w:tcBorders>
            <w:top w:val="single" w:sz="4" w:space="0" w:color="auto"/>
          </w:tcBorders>
        </w:tcPr>
        <w:p w:rsidR="00D05344" w:rsidRPr="004A3084" w:rsidRDefault="00D05344" w:rsidP="009E54C5">
          <w:pPr>
            <w:pStyle w:val="Footer"/>
          </w:pPr>
          <w:r>
            <w:t xml:space="preserve">Safety review – </w:t>
          </w:r>
          <w:proofErr w:type="spellStart"/>
          <w:r>
            <w:t>coumarin</w:t>
          </w:r>
          <w:proofErr w:type="spellEnd"/>
          <w:r>
            <w:t xml:space="preserve"> for use in </w:t>
          </w:r>
          <w:r w:rsidR="009E54C5">
            <w:t>topical listed medicines</w:t>
          </w:r>
          <w:r w:rsidR="009E54C5">
            <w:br/>
            <w:t>V1.0 Dec</w:t>
          </w:r>
          <w:r>
            <w:t>ember 2019</w:t>
          </w:r>
        </w:p>
      </w:tc>
      <w:tc>
        <w:tcPr>
          <w:tcW w:w="1382" w:type="dxa"/>
          <w:tcBorders>
            <w:top w:val="single" w:sz="4" w:space="0" w:color="auto"/>
          </w:tcBorders>
        </w:tcPr>
        <w:sdt>
          <w:sdtPr>
            <w:id w:val="1112168515"/>
            <w:docPartObj>
              <w:docPartGallery w:val="Page Numbers (Top of Page)"/>
              <w:docPartUnique/>
            </w:docPartObj>
          </w:sdtPr>
          <w:sdtEndPr/>
          <w:sdtContent>
            <w:sdt>
              <w:sdtPr>
                <w:id w:val="-2105014423"/>
                <w:docPartObj>
                  <w:docPartGallery w:val="Page Numbers (Top of Page)"/>
                  <w:docPartUnique/>
                </w:docPartObj>
              </w:sdtPr>
              <w:sdtEndPr/>
              <w:sdtContent>
                <w:p w:rsidR="00D05344" w:rsidRPr="004A3084" w:rsidRDefault="00D05344" w:rsidP="008A65A8">
                  <w:pPr>
                    <w:pStyle w:val="Footer"/>
                    <w:ind w:right="-33"/>
                    <w:jc w:val="right"/>
                  </w:pPr>
                  <w:r w:rsidRPr="004A3084">
                    <w:t xml:space="preserve">Page </w:t>
                  </w:r>
                  <w:r w:rsidRPr="00175FD3">
                    <w:rPr>
                      <w:szCs w:val="21"/>
                    </w:rPr>
                    <w:fldChar w:fldCharType="begin"/>
                  </w:r>
                  <w:r w:rsidRPr="00175FD3">
                    <w:rPr>
                      <w:szCs w:val="21"/>
                    </w:rPr>
                    <w:instrText xml:space="preserve"> PAGE   \* MERGEFORMAT </w:instrText>
                  </w:r>
                  <w:r w:rsidRPr="00175FD3">
                    <w:rPr>
                      <w:szCs w:val="21"/>
                    </w:rPr>
                    <w:fldChar w:fldCharType="separate"/>
                  </w:r>
                  <w:r w:rsidR="00D23E7D" w:rsidRPr="00D23E7D">
                    <w:rPr>
                      <w:noProof/>
                    </w:rPr>
                    <w:t>14</w:t>
                  </w:r>
                  <w:r w:rsidRPr="00175FD3">
                    <w:rPr>
                      <w:noProof/>
                      <w:szCs w:val="21"/>
                    </w:rPr>
                    <w:fldChar w:fldCharType="end"/>
                  </w:r>
                  <w:r w:rsidRPr="004A3084">
                    <w:t xml:space="preserve"> of </w:t>
                  </w:r>
                  <w:fldSimple w:instr=" NUMPAGES   \* MERGEFORMAT ">
                    <w:r w:rsidR="00D23E7D">
                      <w:rPr>
                        <w:noProof/>
                      </w:rPr>
                      <w:t>38</w:t>
                    </w:r>
                  </w:fldSimple>
                </w:p>
              </w:sdtContent>
            </w:sdt>
          </w:sdtContent>
        </w:sdt>
      </w:tc>
    </w:tr>
  </w:tbl>
  <w:p w:rsidR="00D05344" w:rsidRDefault="00D05344" w:rsidP="0021353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7830"/>
    </w:tblGrid>
    <w:tr w:rsidR="00D05344" w:rsidRPr="004A3084" w:rsidTr="008A65A8">
      <w:trPr>
        <w:trHeight w:val="423"/>
      </w:trPr>
      <w:tc>
        <w:tcPr>
          <w:tcW w:w="7338" w:type="dxa"/>
          <w:tcBorders>
            <w:top w:val="single" w:sz="4" w:space="0" w:color="auto"/>
          </w:tcBorders>
        </w:tcPr>
        <w:p w:rsidR="00D05344" w:rsidRPr="004A3084" w:rsidRDefault="00D05344" w:rsidP="009E54C5">
          <w:pPr>
            <w:pStyle w:val="Footer"/>
          </w:pPr>
          <w:r>
            <w:t xml:space="preserve">Safety review – </w:t>
          </w:r>
          <w:proofErr w:type="spellStart"/>
          <w:r>
            <w:t>coumarin</w:t>
          </w:r>
          <w:proofErr w:type="spellEnd"/>
          <w:r>
            <w:t xml:space="preserve"> for use in topical listed medicines</w:t>
          </w:r>
          <w:r w:rsidRPr="004A3084">
            <w:t xml:space="preserve"> </w:t>
          </w:r>
          <w:r>
            <w:br/>
            <w:t xml:space="preserve">V1.0 </w:t>
          </w:r>
          <w:r w:rsidR="009E54C5">
            <w:t>Dec</w:t>
          </w:r>
          <w:r>
            <w:t>ember 2019</w:t>
          </w:r>
        </w:p>
      </w:tc>
      <w:tc>
        <w:tcPr>
          <w:tcW w:w="7830" w:type="dxa"/>
          <w:tcBorders>
            <w:top w:val="single" w:sz="4" w:space="0" w:color="auto"/>
          </w:tcBorders>
        </w:tcPr>
        <w:sdt>
          <w:sdtPr>
            <w:id w:val="-1371989962"/>
            <w:docPartObj>
              <w:docPartGallery w:val="Page Numbers (Top of Page)"/>
              <w:docPartUnique/>
            </w:docPartObj>
          </w:sdtPr>
          <w:sdtEndPr/>
          <w:sdtContent>
            <w:sdt>
              <w:sdtPr>
                <w:id w:val="517825767"/>
                <w:docPartObj>
                  <w:docPartGallery w:val="Page Numbers (Top of Page)"/>
                  <w:docPartUnique/>
                </w:docPartObj>
              </w:sdtPr>
              <w:sdtEndPr/>
              <w:sdtContent>
                <w:sdt>
                  <w:sdtPr>
                    <w:id w:val="1501690829"/>
                    <w:docPartObj>
                      <w:docPartGallery w:val="Page Numbers (Top of Page)"/>
                      <w:docPartUnique/>
                    </w:docPartObj>
                  </w:sdtPr>
                  <w:sdtEndPr/>
                  <w:sdtContent>
                    <w:p w:rsidR="00D05344" w:rsidRPr="004A3084" w:rsidRDefault="00D05344" w:rsidP="008A65A8">
                      <w:pPr>
                        <w:pStyle w:val="Footer"/>
                        <w:jc w:val="right"/>
                      </w:pPr>
                      <w:r w:rsidRPr="004A3084">
                        <w:t xml:space="preserve">Page </w:t>
                      </w:r>
                      <w:r w:rsidRPr="00175FD3">
                        <w:rPr>
                          <w:szCs w:val="21"/>
                        </w:rPr>
                        <w:fldChar w:fldCharType="begin"/>
                      </w:r>
                      <w:r w:rsidRPr="00175FD3">
                        <w:rPr>
                          <w:szCs w:val="21"/>
                        </w:rPr>
                        <w:instrText xml:space="preserve"> PAGE   \* MERGEFORMAT </w:instrText>
                      </w:r>
                      <w:r w:rsidRPr="00175FD3">
                        <w:rPr>
                          <w:szCs w:val="21"/>
                        </w:rPr>
                        <w:fldChar w:fldCharType="separate"/>
                      </w:r>
                      <w:r w:rsidR="00D23E7D" w:rsidRPr="00D23E7D">
                        <w:rPr>
                          <w:noProof/>
                        </w:rPr>
                        <w:t>21</w:t>
                      </w:r>
                      <w:r w:rsidRPr="00175FD3">
                        <w:rPr>
                          <w:noProof/>
                          <w:szCs w:val="21"/>
                        </w:rPr>
                        <w:fldChar w:fldCharType="end"/>
                      </w:r>
                      <w:r w:rsidRPr="004A3084">
                        <w:t xml:space="preserve"> of </w:t>
                      </w:r>
                      <w:fldSimple w:instr=" NUMPAGES   \* MERGEFORMAT ">
                        <w:r w:rsidR="00D23E7D">
                          <w:rPr>
                            <w:noProof/>
                          </w:rPr>
                          <w:t>38</w:t>
                        </w:r>
                      </w:fldSimple>
                    </w:p>
                  </w:sdtContent>
                </w:sdt>
              </w:sdtContent>
            </w:sdt>
          </w:sdtContent>
        </w:sdt>
      </w:tc>
    </w:tr>
  </w:tbl>
  <w:p w:rsidR="00D05344" w:rsidRPr="00826007" w:rsidRDefault="00D05344" w:rsidP="008A65A8">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D05344" w:rsidRPr="004A3084" w:rsidTr="008A65A8">
      <w:trPr>
        <w:trHeight w:val="423"/>
      </w:trPr>
      <w:tc>
        <w:tcPr>
          <w:tcW w:w="7338" w:type="dxa"/>
          <w:tcBorders>
            <w:top w:val="single" w:sz="4" w:space="0" w:color="auto"/>
          </w:tcBorders>
        </w:tcPr>
        <w:p w:rsidR="00D05344" w:rsidRPr="004A3084" w:rsidRDefault="00D05344" w:rsidP="0036055E">
          <w:pPr>
            <w:pStyle w:val="Footer"/>
          </w:pPr>
          <w:r>
            <w:t xml:space="preserve">Safety review – </w:t>
          </w:r>
          <w:proofErr w:type="spellStart"/>
          <w:r>
            <w:t>coumarin</w:t>
          </w:r>
          <w:proofErr w:type="spellEnd"/>
          <w:r>
            <w:t xml:space="preserve"> for use in topical listed medicines</w:t>
          </w:r>
          <w:r w:rsidRPr="004A3084">
            <w:t xml:space="preserve"> </w:t>
          </w:r>
          <w:r>
            <w:br/>
            <w:t xml:space="preserve">V1.0 </w:t>
          </w:r>
          <w:r w:rsidR="0036055E">
            <w:t>Dec</w:t>
          </w:r>
          <w:r>
            <w:t>ember 2019</w:t>
          </w:r>
        </w:p>
      </w:tc>
      <w:tc>
        <w:tcPr>
          <w:tcW w:w="1382" w:type="dxa"/>
          <w:tcBorders>
            <w:top w:val="single" w:sz="4" w:space="0" w:color="auto"/>
          </w:tcBorders>
        </w:tcPr>
        <w:sdt>
          <w:sdtPr>
            <w:id w:val="262116434"/>
            <w:docPartObj>
              <w:docPartGallery w:val="Page Numbers (Top of Page)"/>
              <w:docPartUnique/>
            </w:docPartObj>
          </w:sdtPr>
          <w:sdtEndPr/>
          <w:sdtContent>
            <w:sdt>
              <w:sdtPr>
                <w:id w:val="1795715761"/>
                <w:docPartObj>
                  <w:docPartGallery w:val="Page Numbers (Top of Page)"/>
                  <w:docPartUnique/>
                </w:docPartObj>
              </w:sdtPr>
              <w:sdtEndPr/>
              <w:sdtContent>
                <w:sdt>
                  <w:sdtPr>
                    <w:id w:val="149725243"/>
                    <w:docPartObj>
                      <w:docPartGallery w:val="Page Numbers (Top of Page)"/>
                      <w:docPartUnique/>
                    </w:docPartObj>
                  </w:sdtPr>
                  <w:sdtEndPr/>
                  <w:sdtContent>
                    <w:sdt>
                      <w:sdtPr>
                        <w:id w:val="1464694726"/>
                        <w:docPartObj>
                          <w:docPartGallery w:val="Page Numbers (Top of Page)"/>
                          <w:docPartUnique/>
                        </w:docPartObj>
                      </w:sdtPr>
                      <w:sdtEndPr/>
                      <w:sdtContent>
                        <w:sdt>
                          <w:sdtPr>
                            <w:id w:val="1351067729"/>
                            <w:docPartObj>
                              <w:docPartGallery w:val="Page Numbers (Top of Page)"/>
                              <w:docPartUnique/>
                            </w:docPartObj>
                          </w:sdtPr>
                          <w:sdtEndPr/>
                          <w:sdtContent>
                            <w:sdt>
                              <w:sdtPr>
                                <w:id w:val="1543405650"/>
                                <w:docPartObj>
                                  <w:docPartGallery w:val="Page Numbers (Top of Page)"/>
                                  <w:docPartUnique/>
                                </w:docPartObj>
                              </w:sdtPr>
                              <w:sdtEndPr/>
                              <w:sdtContent>
                                <w:sdt>
                                  <w:sdtPr>
                                    <w:id w:val="639618147"/>
                                    <w:docPartObj>
                                      <w:docPartGallery w:val="Page Numbers (Top of Page)"/>
                                      <w:docPartUnique/>
                                    </w:docPartObj>
                                  </w:sdtPr>
                                  <w:sdtEndPr/>
                                  <w:sdtContent>
                                    <w:sdt>
                                      <w:sdtPr>
                                        <w:id w:val="1691482006"/>
                                        <w:docPartObj>
                                          <w:docPartGallery w:val="Page Numbers (Top of Page)"/>
                                          <w:docPartUnique/>
                                        </w:docPartObj>
                                      </w:sdtPr>
                                      <w:sdtEndPr/>
                                      <w:sdtContent>
                                        <w:p w:rsidR="00D05344" w:rsidRPr="004A3084" w:rsidRDefault="00D05344" w:rsidP="008A65A8">
                                          <w:pPr>
                                            <w:pStyle w:val="Footer"/>
                                            <w:jc w:val="right"/>
                                          </w:pPr>
                                          <w:r w:rsidRPr="004A3084">
                                            <w:t xml:space="preserve">Page </w:t>
                                          </w:r>
                                          <w:r w:rsidRPr="00175FD3">
                                            <w:rPr>
                                              <w:szCs w:val="21"/>
                                            </w:rPr>
                                            <w:fldChar w:fldCharType="begin"/>
                                          </w:r>
                                          <w:r w:rsidRPr="00175FD3">
                                            <w:rPr>
                                              <w:szCs w:val="21"/>
                                            </w:rPr>
                                            <w:instrText xml:space="preserve"> PAGE   \* MERGEFORMAT </w:instrText>
                                          </w:r>
                                          <w:r w:rsidRPr="00175FD3">
                                            <w:rPr>
                                              <w:szCs w:val="21"/>
                                            </w:rPr>
                                            <w:fldChar w:fldCharType="separate"/>
                                          </w:r>
                                          <w:r w:rsidR="00D23E7D" w:rsidRPr="00D23E7D">
                                            <w:rPr>
                                              <w:noProof/>
                                            </w:rPr>
                                            <w:t>23</w:t>
                                          </w:r>
                                          <w:r w:rsidRPr="00175FD3">
                                            <w:rPr>
                                              <w:noProof/>
                                              <w:szCs w:val="21"/>
                                            </w:rPr>
                                            <w:fldChar w:fldCharType="end"/>
                                          </w:r>
                                          <w:r w:rsidRPr="004A3084">
                                            <w:t xml:space="preserve"> of </w:t>
                                          </w:r>
                                          <w:fldSimple w:instr=" NUMPAGES   \* MERGEFORMAT ">
                                            <w:r w:rsidR="00D23E7D">
                                              <w:rPr>
                                                <w:noProof/>
                                              </w:rPr>
                                              <w:t>38</w:t>
                                            </w:r>
                                          </w:fldSimple>
                                        </w:p>
                                      </w:sdtContent>
                                    </w:sdt>
                                  </w:sdtContent>
                                </w:sdt>
                              </w:sdtContent>
                            </w:sdt>
                          </w:sdtContent>
                        </w:sdt>
                      </w:sdtContent>
                    </w:sdt>
                  </w:sdtContent>
                </w:sdt>
              </w:sdtContent>
            </w:sdt>
          </w:sdtContent>
        </w:sdt>
      </w:tc>
    </w:tr>
  </w:tbl>
  <w:p w:rsidR="00D05344" w:rsidRPr="00826007" w:rsidRDefault="00D05344" w:rsidP="008A65A8">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344" w:rsidRPr="008E3C43" w:rsidRDefault="00D05344" w:rsidP="008A6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344" w:rsidRDefault="00D05344" w:rsidP="00BF5B8E">
      <w:pPr>
        <w:spacing w:before="0" w:after="0" w:line="240" w:lineRule="auto"/>
      </w:pPr>
      <w:r>
        <w:separator/>
      </w:r>
    </w:p>
  </w:footnote>
  <w:footnote w:type="continuationSeparator" w:id="0">
    <w:p w:rsidR="00D05344" w:rsidRDefault="00D05344" w:rsidP="00BF5B8E">
      <w:pPr>
        <w:spacing w:before="0" w:after="0" w:line="240" w:lineRule="auto"/>
      </w:pPr>
      <w:r>
        <w:continuationSeparator/>
      </w:r>
    </w:p>
  </w:footnote>
  <w:footnote w:id="1">
    <w:p w:rsidR="00D05344" w:rsidRPr="00C62F4E" w:rsidRDefault="00D05344" w:rsidP="008A65A8">
      <w:pPr>
        <w:pStyle w:val="FootnoteText"/>
        <w:rPr>
          <w:lang w:val="en-US"/>
        </w:rPr>
      </w:pPr>
      <w:r>
        <w:rPr>
          <w:rStyle w:val="FootnoteReference"/>
        </w:rPr>
        <w:footnoteRef/>
      </w:r>
      <w:r>
        <w:t xml:space="preserve"> Sunscreen daily usage </w:t>
      </w:r>
      <w:r>
        <w:rPr>
          <w:lang w:val="en-US"/>
        </w:rPr>
        <w:t xml:space="preserve">discussed in </w:t>
      </w:r>
      <w:r>
        <w:rPr>
          <w:lang w:val="en-US"/>
        </w:rPr>
        <w:fldChar w:fldCharType="begin"/>
      </w:r>
      <w:r>
        <w:rPr>
          <w:lang w:val="en-US"/>
        </w:rPr>
        <w:instrText xml:space="preserve"> REF _Ref523923356 \r \h </w:instrText>
      </w:r>
      <w:r>
        <w:rPr>
          <w:lang w:val="en-US"/>
        </w:rPr>
      </w:r>
      <w:r>
        <w:rPr>
          <w:lang w:val="en-US"/>
        </w:rPr>
        <w:fldChar w:fldCharType="separate"/>
      </w:r>
      <w:r>
        <w:rPr>
          <w:lang w:val="en-US"/>
        </w:rPr>
        <w:t>2.2</w:t>
      </w:r>
      <w:r>
        <w:rPr>
          <w:lang w:val="en-US"/>
        </w:rPr>
        <w:fldChar w:fldCharType="end"/>
      </w:r>
      <w:r>
        <w:rPr>
          <w:lang w:val="en-US"/>
        </w:rPr>
        <w:t xml:space="preserve"> - </w:t>
      </w:r>
      <w:r>
        <w:rPr>
          <w:lang w:val="en-US"/>
        </w:rPr>
        <w:fldChar w:fldCharType="begin"/>
      </w:r>
      <w:r>
        <w:rPr>
          <w:lang w:val="en-US"/>
        </w:rPr>
        <w:instrText xml:space="preserve"> REF _Ref523923365 \h </w:instrText>
      </w:r>
      <w:r>
        <w:rPr>
          <w:lang w:val="en-US"/>
        </w:rPr>
      </w:r>
      <w:r>
        <w:rPr>
          <w:lang w:val="en-US"/>
        </w:rPr>
        <w:fldChar w:fldCharType="separate"/>
      </w:r>
      <w:r w:rsidRPr="00344DCE">
        <w:t>Exposure from All Sources</w:t>
      </w:r>
      <w:r>
        <w:rPr>
          <w:lang w:val="en-US"/>
        </w:rPr>
        <w:fldChar w:fldCharType="end"/>
      </w:r>
    </w:p>
  </w:footnote>
  <w:footnote w:id="2">
    <w:p w:rsidR="00D05344" w:rsidRPr="00D40611" w:rsidRDefault="00D05344" w:rsidP="008A65A8">
      <w:pPr>
        <w:pStyle w:val="FootnoteText"/>
        <w:rPr>
          <w:lang w:val="en-US"/>
        </w:rPr>
      </w:pPr>
      <w:r>
        <w:rPr>
          <w:rStyle w:val="FootnoteReference"/>
        </w:rPr>
        <w:footnoteRef/>
      </w:r>
      <w:r>
        <w:t xml:space="preserve"> Total dermal absorption of </w:t>
      </w:r>
      <w:proofErr w:type="spellStart"/>
      <w:r>
        <w:t>coumarin</w:t>
      </w:r>
      <w:proofErr w:type="spellEnd"/>
      <w:r>
        <w:t xml:space="preserve"> in an oil-in-water emulsion (see </w:t>
      </w:r>
      <w:r>
        <w:fldChar w:fldCharType="begin"/>
      </w:r>
      <w:r>
        <w:instrText xml:space="preserve"> REF _Ref519517960 \r \h </w:instrText>
      </w:r>
      <w:r>
        <w:fldChar w:fldCharType="separate"/>
      </w:r>
      <w:r>
        <w:t>3.1.1</w:t>
      </w:r>
      <w:r>
        <w:fldChar w:fldCharType="end"/>
      </w:r>
      <w:r>
        <w:t xml:space="preserve"> - </w:t>
      </w:r>
      <w:r>
        <w:fldChar w:fldCharType="begin"/>
      </w:r>
      <w:r>
        <w:instrText xml:space="preserve"> REF _Ref519517960 \h </w:instrText>
      </w:r>
      <w:r>
        <w:fldChar w:fldCharType="separate"/>
      </w:r>
      <w:r w:rsidRPr="000E0E79">
        <w:t>Absorption</w:t>
      </w:r>
      <w:r>
        <w:fldChar w:fldCharType="end"/>
      </w:r>
      <w:r>
        <w:t>)</w:t>
      </w:r>
    </w:p>
  </w:footnote>
  <w:footnote w:id="3">
    <w:p w:rsidR="00D05344" w:rsidRPr="007C581A" w:rsidRDefault="00D05344" w:rsidP="008A65A8">
      <w:pPr>
        <w:pStyle w:val="FootnoteText"/>
        <w:rPr>
          <w:lang w:val="en-US"/>
        </w:rPr>
      </w:pPr>
      <w:r>
        <w:rPr>
          <w:rStyle w:val="FootnoteReference"/>
        </w:rPr>
        <w:footnoteRef/>
      </w:r>
      <w:r>
        <w:t xml:space="preserve"> </w:t>
      </w:r>
      <w:r>
        <w:rPr>
          <w:noProof/>
        </w:rPr>
        <w:t>(Lide, 2002-2003)</w:t>
      </w:r>
    </w:p>
  </w:footnote>
  <w:footnote w:id="4">
    <w:p w:rsidR="00D05344" w:rsidRPr="00D10232" w:rsidRDefault="00D05344" w:rsidP="008A65A8">
      <w:pPr>
        <w:pStyle w:val="FootnoteText"/>
        <w:rPr>
          <w:lang w:val="en-US"/>
        </w:rPr>
      </w:pPr>
      <w:r>
        <w:rPr>
          <w:rStyle w:val="FootnoteReference"/>
        </w:rPr>
        <w:footnoteRef/>
      </w:r>
      <w:r>
        <w:t xml:space="preserve"> ‘</w:t>
      </w:r>
      <w:r>
        <w:rPr>
          <w:lang w:val="en-US"/>
        </w:rPr>
        <w:t>-</w:t>
      </w:r>
      <w:r>
        <w:t>’</w:t>
      </w:r>
      <w:r>
        <w:rPr>
          <w:lang w:val="en-US"/>
        </w:rPr>
        <w:t xml:space="preserve"> = Not examined</w:t>
      </w:r>
    </w:p>
  </w:footnote>
  <w:footnote w:id="5">
    <w:p w:rsidR="00D05344" w:rsidRPr="00833B21" w:rsidRDefault="00D05344" w:rsidP="008A65A8">
      <w:pPr>
        <w:pStyle w:val="FootnoteText"/>
        <w:rPr>
          <w:lang w:val="en-US"/>
        </w:rPr>
      </w:pPr>
      <w:r>
        <w:rPr>
          <w:rStyle w:val="FootnoteReference"/>
        </w:rPr>
        <w:footnoteRef/>
      </w:r>
      <w:r>
        <w:t xml:space="preserve"> </w:t>
      </w:r>
      <w:r>
        <w:rPr>
          <w:lang w:val="en-US"/>
        </w:rPr>
        <w:t xml:space="preserve">Adjusted as discussed in </w:t>
      </w:r>
      <w:r>
        <w:rPr>
          <w:lang w:val="en-US"/>
        </w:rPr>
        <w:fldChar w:fldCharType="begin"/>
      </w:r>
      <w:r>
        <w:rPr>
          <w:lang w:val="en-US"/>
        </w:rPr>
        <w:instrText xml:space="preserve"> REF _Ref525285238 \r \h </w:instrText>
      </w:r>
      <w:r>
        <w:rPr>
          <w:lang w:val="en-US"/>
        </w:rPr>
      </w:r>
      <w:r>
        <w:rPr>
          <w:lang w:val="en-US"/>
        </w:rPr>
        <w:fldChar w:fldCharType="separate"/>
      </w:r>
      <w:r>
        <w:rPr>
          <w:lang w:val="en-US"/>
        </w:rPr>
        <w:t>2.2</w:t>
      </w:r>
      <w:r>
        <w:rPr>
          <w:lang w:val="en-US"/>
        </w:rPr>
        <w:fldChar w:fldCharType="end"/>
      </w:r>
      <w:r>
        <w:rPr>
          <w:lang w:val="en-US"/>
        </w:rPr>
        <w:t xml:space="preserve"> </w:t>
      </w:r>
      <w:r>
        <w:rPr>
          <w:lang w:val="en-US"/>
        </w:rPr>
        <w:fldChar w:fldCharType="begin"/>
      </w:r>
      <w:r>
        <w:rPr>
          <w:lang w:val="en-US"/>
        </w:rPr>
        <w:instrText xml:space="preserve"> REF _Ref525285242 \h </w:instrText>
      </w:r>
      <w:r>
        <w:rPr>
          <w:lang w:val="en-US"/>
        </w:rPr>
      </w:r>
      <w:r>
        <w:rPr>
          <w:lang w:val="en-US"/>
        </w:rPr>
        <w:fldChar w:fldCharType="separate"/>
      </w:r>
      <w:r w:rsidRPr="00344DCE">
        <w:t>Exposure from All Sources</w:t>
      </w:r>
      <w:r>
        <w:rPr>
          <w:lang w:val="en-US"/>
        </w:rPr>
        <w:fldChar w:fldCharType="end"/>
      </w:r>
    </w:p>
  </w:footnote>
  <w:footnote w:id="6">
    <w:p w:rsidR="00D05344" w:rsidRPr="00457F5C" w:rsidRDefault="00D05344" w:rsidP="008A65A8">
      <w:pPr>
        <w:pStyle w:val="FootnoteText"/>
        <w:rPr>
          <w:lang w:val="en-US"/>
        </w:rPr>
      </w:pPr>
      <w:r>
        <w:rPr>
          <w:rStyle w:val="FootnoteReference"/>
        </w:rPr>
        <w:footnoteRef/>
      </w:r>
      <w:r>
        <w:t xml:space="preserve"> </w:t>
      </w:r>
      <w:r>
        <w:rPr>
          <w:lang w:val="en-US"/>
        </w:rPr>
        <w:t>‘ND’ = Not disclosed</w:t>
      </w:r>
    </w:p>
  </w:footnote>
  <w:footnote w:id="7">
    <w:p w:rsidR="00D05344" w:rsidRPr="00D47AB5" w:rsidRDefault="00D05344" w:rsidP="008A65A8">
      <w:pPr>
        <w:pStyle w:val="FootnoteText"/>
        <w:rPr>
          <w:lang w:val="en-US"/>
        </w:rPr>
      </w:pPr>
      <w:r>
        <w:rPr>
          <w:rStyle w:val="FootnoteReference"/>
        </w:rPr>
        <w:footnoteRef/>
      </w:r>
      <w:r>
        <w:t xml:space="preserve"> </w:t>
      </w:r>
      <w:r>
        <w:rPr>
          <w:lang w:val="en-US"/>
        </w:rPr>
        <w:t xml:space="preserve">The current IFRA standard for </w:t>
      </w:r>
      <w:proofErr w:type="spellStart"/>
      <w:r>
        <w:rPr>
          <w:lang w:val="en-US"/>
        </w:rPr>
        <w:t>coumarin</w:t>
      </w:r>
      <w:proofErr w:type="spellEnd"/>
      <w:r>
        <w:rPr>
          <w:lang w:val="en-US"/>
        </w:rPr>
        <w:t xml:space="preserve"> indicates the document should be reviewed in 2013. However, an updated standard was not available.</w:t>
      </w:r>
    </w:p>
  </w:footnote>
  <w:footnote w:id="8">
    <w:p w:rsidR="00D05344" w:rsidRDefault="00D05344" w:rsidP="008A65A8">
      <w:pPr>
        <w:pStyle w:val="FootnoteText"/>
      </w:pPr>
      <w:r>
        <w:rPr>
          <w:rStyle w:val="FootnoteReference"/>
        </w:rPr>
        <w:footnoteRef/>
      </w:r>
      <w:r>
        <w:t xml:space="preserve"> This is g</w:t>
      </w:r>
      <w:r w:rsidRPr="001A229A">
        <w:t xml:space="preserve">reater than </w:t>
      </w:r>
      <w:r>
        <w:t xml:space="preserve">the specified dose of </w:t>
      </w:r>
      <w:r w:rsidRPr="001A229A">
        <w:t>2</w:t>
      </w:r>
      <w:r>
        <w:t xml:space="preserve"> </w:t>
      </w:r>
      <w:r w:rsidRPr="001A229A">
        <w:t>mg/cm</w:t>
      </w:r>
      <w:r w:rsidRPr="001A229A">
        <w:rPr>
          <w:vertAlign w:val="superscript"/>
        </w:rPr>
        <w:t>2</w:t>
      </w:r>
      <w:r>
        <w:t xml:space="preserve"> for sunscreen testing according to ISO 24444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344" w:rsidRDefault="00D05344" w:rsidP="008A65A8">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D05344" w:rsidRPr="002B29B2" w:rsidTr="008A65A8">
      <w:trPr>
        <w:trHeight w:hRule="exact" w:val="8845"/>
      </w:trPr>
      <w:tc>
        <w:tcPr>
          <w:tcW w:w="11964" w:type="dxa"/>
          <w:vAlign w:val="center"/>
        </w:tcPr>
        <w:p w:rsidR="00D05344" w:rsidRPr="002B29B2" w:rsidRDefault="00D23E7D" w:rsidP="008A65A8">
          <w:pPr>
            <w:ind w:left="-57"/>
            <w:rPr>
              <w:noProof/>
            </w:rPr>
          </w:pPr>
          <w:sdt>
            <w:sdtPr>
              <w:rPr>
                <w:noProof/>
              </w:rPr>
              <w:id w:val="1926993388"/>
              <w:showingPlcHdr/>
              <w:picture/>
            </w:sdtPr>
            <w:sdtEndPr/>
            <w:sdtContent>
              <w:r w:rsidR="00D05344" w:rsidRPr="00F71E1E">
                <w:rPr>
                  <w:noProof/>
                </w:rPr>
                <w:drawing>
                  <wp:inline distT="0" distB="0" distL="0" distR="0" wp14:anchorId="082B9E88" wp14:editId="0C6D70EC">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D05344" w:rsidRDefault="00D05344" w:rsidP="008A65A8">
    <w:pPr>
      <w:rPr>
        <w:noProof/>
      </w:rPr>
    </w:pPr>
    <w:r>
      <w:rPr>
        <w:noProof/>
        <w:lang w:eastAsia="en-AU"/>
      </w:rPr>
      <w:drawing>
        <wp:anchor distT="0" distB="0" distL="114300" distR="114300" simplePos="0" relativeHeight="251661312"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0288"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344" w:rsidRDefault="00D05344" w:rsidP="008A65A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344" w:rsidRPr="00FE501F" w:rsidRDefault="00D05344" w:rsidP="008A65A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F956FE"/>
    <w:multiLevelType w:val="hybridMultilevel"/>
    <w:tmpl w:val="360A6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2C32B6"/>
    <w:multiLevelType w:val="hybridMultilevel"/>
    <w:tmpl w:val="7DBABB0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BEC0E88"/>
    <w:multiLevelType w:val="hybridMultilevel"/>
    <w:tmpl w:val="791EE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87B35"/>
    <w:multiLevelType w:val="multilevel"/>
    <w:tmpl w:val="C73E09E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isLgl/>
      <w:lvlText w:val="%1.%2.%3.%4"/>
      <w:lvlJc w:val="left"/>
      <w:pPr>
        <w:tabs>
          <w:tab w:val="num" w:pos="992"/>
        </w:tabs>
        <w:ind w:left="0" w:firstLine="0"/>
      </w:pPr>
      <w:rPr>
        <w:rFonts w:hint="default"/>
      </w:r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7" w15:restartNumberingAfterBreak="0">
    <w:nsid w:val="0CF25A2E"/>
    <w:multiLevelType w:val="hybridMultilevel"/>
    <w:tmpl w:val="D1507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53F11"/>
    <w:multiLevelType w:val="multilevel"/>
    <w:tmpl w:val="575CEDBE"/>
    <w:styleLink w:val="NumberBullet"/>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88F592F"/>
    <w:multiLevelType w:val="hybridMultilevel"/>
    <w:tmpl w:val="3C88A826"/>
    <w:lvl w:ilvl="0" w:tplc="C8F61C4E">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D8469C"/>
    <w:multiLevelType w:val="hybridMultilevel"/>
    <w:tmpl w:val="451E1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D96358"/>
    <w:multiLevelType w:val="hybridMultilevel"/>
    <w:tmpl w:val="B51ECC94"/>
    <w:lvl w:ilvl="0" w:tplc="04D25D3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8C4AF3"/>
    <w:multiLevelType w:val="hybridMultilevel"/>
    <w:tmpl w:val="4CDE5AC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29D0F59"/>
    <w:multiLevelType w:val="hybridMultilevel"/>
    <w:tmpl w:val="102851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47197B"/>
    <w:multiLevelType w:val="hybridMultilevel"/>
    <w:tmpl w:val="4F54D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DB2B0C"/>
    <w:multiLevelType w:val="hybridMultilevel"/>
    <w:tmpl w:val="6526DA1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32466E21"/>
    <w:multiLevelType w:val="hybridMultilevel"/>
    <w:tmpl w:val="D68C795C"/>
    <w:lvl w:ilvl="0" w:tplc="0BD42AE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245EB6"/>
    <w:multiLevelType w:val="hybridMultilevel"/>
    <w:tmpl w:val="5BDC5C32"/>
    <w:lvl w:ilvl="0" w:tplc="4B52F902">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457E0F"/>
    <w:multiLevelType w:val="hybridMultilevel"/>
    <w:tmpl w:val="967C9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0E112E"/>
    <w:multiLevelType w:val="hybridMultilevel"/>
    <w:tmpl w:val="184433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582218"/>
    <w:multiLevelType w:val="hybridMultilevel"/>
    <w:tmpl w:val="C868B314"/>
    <w:lvl w:ilvl="0" w:tplc="84FAC9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0411D1"/>
    <w:multiLevelType w:val="hybridMultilevel"/>
    <w:tmpl w:val="502AF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4B180C"/>
    <w:multiLevelType w:val="hybridMultilevel"/>
    <w:tmpl w:val="55B8EE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E60EA5"/>
    <w:multiLevelType w:val="hybridMultilevel"/>
    <w:tmpl w:val="121626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9158BF"/>
    <w:multiLevelType w:val="hybridMultilevel"/>
    <w:tmpl w:val="E0E0838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93B1C64"/>
    <w:multiLevelType w:val="hybridMultilevel"/>
    <w:tmpl w:val="C112560E"/>
    <w:lvl w:ilvl="0" w:tplc="ED5A50C4">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701B70"/>
    <w:multiLevelType w:val="hybridMultilevel"/>
    <w:tmpl w:val="12F0CC38"/>
    <w:lvl w:ilvl="0" w:tplc="3446B2D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06079D"/>
    <w:multiLevelType w:val="hybridMultilevel"/>
    <w:tmpl w:val="2430C952"/>
    <w:lvl w:ilvl="0" w:tplc="00645E90">
      <w:start w:val="1"/>
      <w:numFmt w:val="decimal"/>
      <w:lvlText w:val="%1)"/>
      <w:lvlJc w:val="left"/>
      <w:pPr>
        <w:ind w:left="720" w:hanging="360"/>
      </w:pPr>
      <w:rPr>
        <w:rFonts w:hint="default"/>
        <w:b/>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C30BDE"/>
    <w:multiLevelType w:val="hybridMultilevel"/>
    <w:tmpl w:val="97AC1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B8008D"/>
    <w:multiLevelType w:val="hybridMultilevel"/>
    <w:tmpl w:val="5990415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371834"/>
    <w:multiLevelType w:val="hybridMultilevel"/>
    <w:tmpl w:val="DD664E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932786"/>
    <w:multiLevelType w:val="hybridMultilevel"/>
    <w:tmpl w:val="0600A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59709C"/>
    <w:multiLevelType w:val="hybridMultilevel"/>
    <w:tmpl w:val="D2546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A16BEA"/>
    <w:multiLevelType w:val="hybridMultilevel"/>
    <w:tmpl w:val="9B742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89640D"/>
    <w:multiLevelType w:val="multilevel"/>
    <w:tmpl w:val="58EA8F30"/>
    <w:lvl w:ilvl="0">
      <w:start w:val="1"/>
      <w:numFmt w:val="decimal"/>
      <w:pStyle w:val="Heading2"/>
      <w:lvlText w:val="%1"/>
      <w:lvlJc w:val="left"/>
      <w:pPr>
        <w:ind w:left="680" w:hanging="680"/>
      </w:pPr>
      <w:rPr>
        <w:rFonts w:hint="default"/>
      </w:rPr>
    </w:lvl>
    <w:lvl w:ilvl="1">
      <w:start w:val="1"/>
      <w:numFmt w:val="decimal"/>
      <w:pStyle w:val="Heading3"/>
      <w:lvlText w:val="%1.%2"/>
      <w:lvlJc w:val="left"/>
      <w:pPr>
        <w:ind w:left="680" w:hanging="680"/>
      </w:pPr>
      <w:rPr>
        <w:rFonts w:hint="default"/>
      </w:rPr>
    </w:lvl>
    <w:lvl w:ilvl="2">
      <w:start w:val="1"/>
      <w:numFmt w:val="decimal"/>
      <w:pStyle w:val="Heading4"/>
      <w:lvlText w:val="%1.%2.%3"/>
      <w:lvlJc w:val="left"/>
      <w:pPr>
        <w:ind w:left="680" w:hanging="680"/>
      </w:pPr>
      <w:rPr>
        <w:rFonts w:hint="default"/>
      </w:rPr>
    </w:lvl>
    <w:lvl w:ilvl="3">
      <w:start w:val="1"/>
      <w:numFmt w:val="decimal"/>
      <w:pStyle w:val="Heading5"/>
      <w:isLgl/>
      <w:lvlText w:val="%1.%2.%3.%4"/>
      <w:lvlJc w:val="left"/>
      <w:pPr>
        <w:tabs>
          <w:tab w:val="num" w:pos="992"/>
        </w:tabs>
        <w:ind w:left="0" w:firstLine="0"/>
      </w:pPr>
      <w:rPr>
        <w:rFonts w:hint="default"/>
      </w:rPr>
    </w:lvl>
    <w:lvl w:ilvl="4">
      <w:start w:val="1"/>
      <w:numFmt w:val="decimal"/>
      <w:pStyle w:val="Default"/>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num w:numId="1">
    <w:abstractNumId w:val="2"/>
  </w:num>
  <w:num w:numId="2">
    <w:abstractNumId w:val="1"/>
  </w:num>
  <w:num w:numId="3">
    <w:abstractNumId w:val="10"/>
  </w:num>
  <w:num w:numId="4">
    <w:abstractNumId w:val="0"/>
  </w:num>
  <w:num w:numId="5">
    <w:abstractNumId w:val="8"/>
  </w:num>
  <w:num w:numId="6">
    <w:abstractNumId w:val="9"/>
  </w:num>
  <w:num w:numId="7">
    <w:abstractNumId w:val="28"/>
  </w:num>
  <w:num w:numId="8">
    <w:abstractNumId w:val="6"/>
  </w:num>
  <w:num w:numId="9">
    <w:abstractNumId w:val="19"/>
  </w:num>
  <w:num w:numId="10">
    <w:abstractNumId w:val="16"/>
  </w:num>
  <w:num w:numId="11">
    <w:abstractNumId w:val="23"/>
  </w:num>
  <w:num w:numId="12">
    <w:abstractNumId w:val="12"/>
  </w:num>
  <w:num w:numId="13">
    <w:abstractNumId w:val="5"/>
  </w:num>
  <w:num w:numId="14">
    <w:abstractNumId w:val="7"/>
  </w:num>
  <w:num w:numId="15">
    <w:abstractNumId w:val="27"/>
  </w:num>
  <w:num w:numId="16">
    <w:abstractNumId w:val="31"/>
  </w:num>
  <w:num w:numId="17">
    <w:abstractNumId w:val="18"/>
  </w:num>
  <w:num w:numId="18">
    <w:abstractNumId w:val="15"/>
  </w:num>
  <w:num w:numId="19">
    <w:abstractNumId w:val="35"/>
  </w:num>
  <w:num w:numId="20">
    <w:abstractNumId w:val="17"/>
  </w:num>
  <w:num w:numId="21">
    <w:abstractNumId w:val="36"/>
  </w:num>
  <w:num w:numId="22">
    <w:abstractNumId w:val="21"/>
  </w:num>
  <w:num w:numId="23">
    <w:abstractNumId w:val="14"/>
  </w:num>
  <w:num w:numId="24">
    <w:abstractNumId w:val="34"/>
  </w:num>
  <w:num w:numId="25">
    <w:abstractNumId w:val="4"/>
  </w:num>
  <w:num w:numId="26">
    <w:abstractNumId w:val="20"/>
  </w:num>
  <w:num w:numId="27">
    <w:abstractNumId w:val="26"/>
  </w:num>
  <w:num w:numId="28">
    <w:abstractNumId w:val="24"/>
  </w:num>
  <w:num w:numId="29">
    <w:abstractNumId w:val="6"/>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isLgl/>
        <w:lvlText w:val="%1.%2.%3.%4"/>
        <w:lvlJc w:val="left"/>
        <w:pPr>
          <w:tabs>
            <w:tab w:val="num" w:pos="284"/>
          </w:tabs>
          <w:ind w:left="0" w:firstLine="0"/>
        </w:pPr>
        <w:rPr>
          <w:rFonts w:hint="default"/>
        </w:rPr>
      </w:lvl>
    </w:lvlOverride>
    <w:lvlOverride w:ilvl="4">
      <w:lvl w:ilvl="4">
        <w:start w:val="1"/>
        <w:numFmt w:val="decimal"/>
        <w:isLgl/>
        <w:lvlText w:val="%1.%2.%3.%4.%5"/>
        <w:lvlJc w:val="left"/>
        <w:pPr>
          <w:ind w:left="680" w:hanging="680"/>
        </w:pPr>
        <w:rPr>
          <w:rFonts w:hint="default"/>
        </w:rPr>
      </w:lvl>
    </w:lvlOverride>
    <w:lvlOverride w:ilvl="5">
      <w:lvl w:ilvl="5">
        <w:start w:val="1"/>
        <w:numFmt w:val="decimal"/>
        <w:isLgl/>
        <w:lvlText w:val="%1.%2.%3.%4.%5.%6"/>
        <w:lvlJc w:val="left"/>
        <w:pPr>
          <w:ind w:left="680" w:hanging="680"/>
        </w:pPr>
        <w:rPr>
          <w:rFonts w:hint="default"/>
        </w:rPr>
      </w:lvl>
    </w:lvlOverride>
    <w:lvlOverride w:ilvl="6">
      <w:lvl w:ilvl="6">
        <w:start w:val="1"/>
        <w:numFmt w:val="decimal"/>
        <w:isLgl/>
        <w:lvlText w:val="%1.%2.%3.%4.%5.%6.%7"/>
        <w:lvlJc w:val="left"/>
        <w:pPr>
          <w:ind w:left="680" w:hanging="680"/>
        </w:pPr>
        <w:rPr>
          <w:rFonts w:hint="default"/>
        </w:rPr>
      </w:lvl>
    </w:lvlOverride>
    <w:lvlOverride w:ilvl="7">
      <w:lvl w:ilvl="7">
        <w:start w:val="1"/>
        <w:numFmt w:val="decimal"/>
        <w:isLgl/>
        <w:lvlText w:val="%1.%2.%3.%4.%5.%6.%7.%8"/>
        <w:lvlJc w:val="left"/>
        <w:pPr>
          <w:ind w:left="680" w:hanging="680"/>
        </w:pPr>
        <w:rPr>
          <w:rFonts w:hint="default"/>
        </w:rPr>
      </w:lvl>
    </w:lvlOverride>
    <w:lvlOverride w:ilvl="8">
      <w:lvl w:ilvl="8">
        <w:start w:val="1"/>
        <w:numFmt w:val="decimal"/>
        <w:isLgl/>
        <w:lvlText w:val="%1.%2.%3.%4.%5.%6.%7.%8.%9"/>
        <w:lvlJc w:val="left"/>
        <w:pPr>
          <w:ind w:left="680" w:hanging="680"/>
        </w:pPr>
        <w:rPr>
          <w:rFonts w:hint="default"/>
        </w:rPr>
      </w:lvl>
    </w:lvlOverride>
  </w:num>
  <w:num w:numId="30">
    <w:abstractNumId w:val="25"/>
  </w:num>
  <w:num w:numId="31">
    <w:abstractNumId w:val="3"/>
  </w:num>
  <w:num w:numId="32">
    <w:abstractNumId w:val="32"/>
  </w:num>
  <w:num w:numId="33">
    <w:abstractNumId w:val="33"/>
  </w:num>
  <w:num w:numId="34">
    <w:abstractNumId w:val="29"/>
  </w:num>
  <w:num w:numId="35">
    <w:abstractNumId w:val="22"/>
  </w:num>
  <w:num w:numId="36">
    <w:abstractNumId w:val="30"/>
  </w:num>
  <w:num w:numId="37">
    <w:abstractNumId w:val="13"/>
  </w:num>
  <w:num w:numId="38">
    <w:abstractNumId w:val="3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removePersonalInformation/>
  <w:removeDateAndTime/>
  <w:proofState w:spelling="clean" w:grammar="clean"/>
  <w:defaultTabStop w:val="720"/>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F5B8E"/>
    <w:rsid w:val="00085403"/>
    <w:rsid w:val="000D5A21"/>
    <w:rsid w:val="000E0E79"/>
    <w:rsid w:val="0021353C"/>
    <w:rsid w:val="00280050"/>
    <w:rsid w:val="0036055E"/>
    <w:rsid w:val="003A4E54"/>
    <w:rsid w:val="004162E4"/>
    <w:rsid w:val="00455127"/>
    <w:rsid w:val="004C6833"/>
    <w:rsid w:val="00537873"/>
    <w:rsid w:val="007C34B5"/>
    <w:rsid w:val="008A65A8"/>
    <w:rsid w:val="009B3E2C"/>
    <w:rsid w:val="009E54C5"/>
    <w:rsid w:val="00A652D0"/>
    <w:rsid w:val="00B01E1F"/>
    <w:rsid w:val="00BC62D4"/>
    <w:rsid w:val="00BD1D2E"/>
    <w:rsid w:val="00BF5B8E"/>
    <w:rsid w:val="00C8096A"/>
    <w:rsid w:val="00CF066C"/>
    <w:rsid w:val="00D05344"/>
    <w:rsid w:val="00D23E7D"/>
    <w:rsid w:val="00DE0EF5"/>
    <w:rsid w:val="00DF5D93"/>
    <w:rsid w:val="00F14D6C"/>
    <w:rsid w:val="00FC76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5B8E"/>
    <w:pPr>
      <w:spacing w:before="120" w:after="180" w:line="240" w:lineRule="atLeast"/>
    </w:pPr>
    <w:rPr>
      <w:rFonts w:ascii="Cambria" w:eastAsia="Cambria" w:hAnsi="Cambria"/>
      <w:sz w:val="22"/>
      <w:szCs w:val="20"/>
    </w:rPr>
  </w:style>
  <w:style w:type="paragraph" w:styleId="Heading1">
    <w:name w:val="heading 1"/>
    <w:basedOn w:val="Normal"/>
    <w:next w:val="Normal"/>
    <w:link w:val="Heading1Char"/>
    <w:qFormat/>
    <w:rsid w:val="00BF5B8E"/>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0E0E79"/>
    <w:pPr>
      <w:keepNext/>
      <w:keepLines/>
      <w:numPr>
        <w:numId w:val="38"/>
      </w:numPr>
      <w:spacing w:before="360" w:after="120"/>
      <w:ind w:left="992" w:hanging="992"/>
      <w:outlineLvl w:val="1"/>
    </w:pPr>
    <w:rPr>
      <w:rFonts w:ascii="Arial" w:eastAsia="Times New Roman" w:hAnsi="Arial"/>
      <w:b/>
      <w:bCs/>
      <w:sz w:val="38"/>
      <w:szCs w:val="38"/>
    </w:rPr>
  </w:style>
  <w:style w:type="paragraph" w:styleId="Heading3">
    <w:name w:val="heading 3"/>
    <w:basedOn w:val="Normal"/>
    <w:next w:val="Normal"/>
    <w:link w:val="Heading3Char"/>
    <w:qFormat/>
    <w:rsid w:val="000E0E79"/>
    <w:pPr>
      <w:keepNext/>
      <w:keepLines/>
      <w:numPr>
        <w:ilvl w:val="1"/>
        <w:numId w:val="38"/>
      </w:numPr>
      <w:spacing w:before="360" w:after="120"/>
      <w:ind w:left="992" w:hanging="992"/>
      <w:outlineLvl w:val="2"/>
    </w:pPr>
    <w:rPr>
      <w:rFonts w:ascii="Arial" w:eastAsia="Times New Roman" w:hAnsi="Arial"/>
      <w:b/>
      <w:bCs/>
      <w:sz w:val="32"/>
      <w:szCs w:val="32"/>
    </w:rPr>
  </w:style>
  <w:style w:type="paragraph" w:styleId="Heading4">
    <w:name w:val="heading 4"/>
    <w:basedOn w:val="Normal"/>
    <w:next w:val="Normal"/>
    <w:link w:val="Heading4Char"/>
    <w:qFormat/>
    <w:rsid w:val="000E0E79"/>
    <w:pPr>
      <w:keepNext/>
      <w:keepLines/>
      <w:numPr>
        <w:ilvl w:val="2"/>
        <w:numId w:val="38"/>
      </w:numPr>
      <w:spacing w:before="360" w:after="120"/>
      <w:ind w:left="992" w:hanging="992"/>
      <w:outlineLvl w:val="3"/>
    </w:pPr>
    <w:rPr>
      <w:rFonts w:ascii="Arial" w:hAnsi="Arial" w:cs="Arial"/>
      <w:b/>
      <w:bCs/>
      <w:sz w:val="26"/>
      <w:szCs w:val="26"/>
    </w:rPr>
  </w:style>
  <w:style w:type="paragraph" w:styleId="Heading5">
    <w:name w:val="heading 5"/>
    <w:basedOn w:val="Normal"/>
    <w:next w:val="Normal"/>
    <w:link w:val="Heading5Char"/>
    <w:uiPriority w:val="9"/>
    <w:qFormat/>
    <w:rsid w:val="000E0E79"/>
    <w:pPr>
      <w:keepNext/>
      <w:keepLines/>
      <w:numPr>
        <w:ilvl w:val="3"/>
        <w:numId w:val="38"/>
      </w:numPr>
      <w:spacing w:before="360" w:after="120"/>
      <w:ind w:left="992" w:hanging="992"/>
      <w:outlineLvl w:val="4"/>
    </w:pPr>
    <w:rPr>
      <w:rFonts w:eastAsia="Times New Roman"/>
      <w:b/>
      <w:bCs/>
      <w:color w:val="001523"/>
      <w:sz w:val="26"/>
      <w:szCs w:val="26"/>
    </w:rPr>
  </w:style>
  <w:style w:type="paragraph" w:styleId="Heading6">
    <w:name w:val="heading 6"/>
    <w:basedOn w:val="Normal"/>
    <w:next w:val="Normal"/>
    <w:link w:val="Heading6Char"/>
    <w:uiPriority w:val="9"/>
    <w:qFormat/>
    <w:rsid w:val="00BF5B8E"/>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qFormat/>
    <w:rsid w:val="00BF5B8E"/>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B8E"/>
    <w:rPr>
      <w:rFonts w:ascii="Arial" w:eastAsia="Times New Roman" w:hAnsi="Arial"/>
      <w:b/>
      <w:bCs/>
      <w:sz w:val="48"/>
      <w:szCs w:val="48"/>
    </w:rPr>
  </w:style>
  <w:style w:type="character" w:customStyle="1" w:styleId="Heading2Char">
    <w:name w:val="Heading 2 Char"/>
    <w:basedOn w:val="DefaultParagraphFont"/>
    <w:link w:val="Heading2"/>
    <w:rsid w:val="000E0E79"/>
    <w:rPr>
      <w:rFonts w:ascii="Arial" w:eastAsia="Times New Roman" w:hAnsi="Arial"/>
      <w:b/>
      <w:bCs/>
      <w:sz w:val="38"/>
      <w:szCs w:val="38"/>
    </w:rPr>
  </w:style>
  <w:style w:type="character" w:customStyle="1" w:styleId="Heading3Char">
    <w:name w:val="Heading 3 Char"/>
    <w:basedOn w:val="DefaultParagraphFont"/>
    <w:link w:val="Heading3"/>
    <w:rsid w:val="000E0E79"/>
    <w:rPr>
      <w:rFonts w:ascii="Arial" w:eastAsia="Times New Roman" w:hAnsi="Arial"/>
      <w:b/>
      <w:bCs/>
      <w:sz w:val="32"/>
      <w:szCs w:val="32"/>
    </w:rPr>
  </w:style>
  <w:style w:type="character" w:customStyle="1" w:styleId="Heading4Char">
    <w:name w:val="Heading 4 Char"/>
    <w:basedOn w:val="DefaultParagraphFont"/>
    <w:link w:val="Heading4"/>
    <w:rsid w:val="000E0E79"/>
    <w:rPr>
      <w:rFonts w:ascii="Arial" w:eastAsia="Cambria" w:hAnsi="Arial" w:cs="Arial"/>
      <w:b/>
      <w:bCs/>
      <w:sz w:val="26"/>
      <w:szCs w:val="26"/>
    </w:rPr>
  </w:style>
  <w:style w:type="character" w:customStyle="1" w:styleId="Heading5Char">
    <w:name w:val="Heading 5 Char"/>
    <w:basedOn w:val="DefaultParagraphFont"/>
    <w:link w:val="Heading5"/>
    <w:uiPriority w:val="9"/>
    <w:rsid w:val="000E0E79"/>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BF5B8E"/>
    <w:rPr>
      <w:rFonts w:ascii="Cambria" w:eastAsia="Times New Roman" w:hAnsi="Cambria"/>
      <w:b/>
      <w:bCs/>
      <w:i/>
      <w:sz w:val="22"/>
      <w:szCs w:val="21"/>
    </w:rPr>
  </w:style>
  <w:style w:type="character" w:customStyle="1" w:styleId="Heading7Char">
    <w:name w:val="Heading 7 Char"/>
    <w:basedOn w:val="DefaultParagraphFont"/>
    <w:link w:val="Heading7"/>
    <w:uiPriority w:val="9"/>
    <w:rsid w:val="00BF5B8E"/>
    <w:rPr>
      <w:rFonts w:ascii="Cambria" w:eastAsia="Times New Roman" w:hAnsi="Cambria"/>
      <w:bCs/>
      <w:i/>
      <w:sz w:val="22"/>
      <w:szCs w:val="22"/>
    </w:rPr>
  </w:style>
  <w:style w:type="paragraph" w:styleId="BalloonText">
    <w:name w:val="Balloon Text"/>
    <w:basedOn w:val="Normal"/>
    <w:link w:val="BalloonTextChar"/>
    <w:uiPriority w:val="99"/>
    <w:semiHidden/>
    <w:unhideWhenUsed/>
    <w:rsid w:val="00BF5B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B8E"/>
    <w:rPr>
      <w:rFonts w:ascii="Tahoma" w:eastAsia="Cambria" w:hAnsi="Tahoma" w:cs="Tahoma"/>
      <w:sz w:val="16"/>
      <w:szCs w:val="16"/>
    </w:rPr>
  </w:style>
  <w:style w:type="paragraph" w:styleId="Date">
    <w:name w:val="Date"/>
    <w:basedOn w:val="Normal"/>
    <w:next w:val="Normal"/>
    <w:link w:val="DateChar"/>
    <w:uiPriority w:val="99"/>
    <w:rsid w:val="00BF5B8E"/>
    <w:pPr>
      <w:spacing w:after="0"/>
    </w:pPr>
    <w:rPr>
      <w:rFonts w:ascii="Arial" w:hAnsi="Arial"/>
      <w:sz w:val="28"/>
    </w:rPr>
  </w:style>
  <w:style w:type="character" w:customStyle="1" w:styleId="DateChar">
    <w:name w:val="Date Char"/>
    <w:basedOn w:val="DefaultParagraphFont"/>
    <w:link w:val="Date"/>
    <w:uiPriority w:val="99"/>
    <w:rsid w:val="00BF5B8E"/>
    <w:rPr>
      <w:rFonts w:ascii="Arial" w:eastAsia="Cambria" w:hAnsi="Arial"/>
      <w:sz w:val="28"/>
      <w:szCs w:val="20"/>
    </w:rPr>
  </w:style>
  <w:style w:type="paragraph" w:customStyle="1" w:styleId="FlowChartWhiteHeading">
    <w:name w:val="Flow Chart White Heading"/>
    <w:basedOn w:val="Normal"/>
    <w:unhideWhenUsed/>
    <w:rsid w:val="00BF5B8E"/>
    <w:pPr>
      <w:jc w:val="center"/>
    </w:pPr>
    <w:rPr>
      <w:rFonts w:ascii="Arial" w:hAnsi="Arial"/>
      <w:b/>
      <w:color w:val="FFFFFF"/>
    </w:rPr>
  </w:style>
  <w:style w:type="paragraph" w:customStyle="1" w:styleId="FlowChartBlackHeading">
    <w:name w:val="Flow Chart Black Heading"/>
    <w:basedOn w:val="FlowChartWhiteHeading"/>
    <w:unhideWhenUsed/>
    <w:rsid w:val="00BF5B8E"/>
    <w:rPr>
      <w:color w:val="auto"/>
    </w:rPr>
  </w:style>
  <w:style w:type="paragraph" w:customStyle="1" w:styleId="FlowChartWhiteText">
    <w:name w:val="Flow Chart White Text"/>
    <w:basedOn w:val="Normal"/>
    <w:unhideWhenUsed/>
    <w:rsid w:val="00BF5B8E"/>
    <w:pPr>
      <w:spacing w:after="0"/>
      <w:jc w:val="center"/>
    </w:pPr>
    <w:rPr>
      <w:color w:val="FFFFFF"/>
    </w:rPr>
  </w:style>
  <w:style w:type="paragraph" w:customStyle="1" w:styleId="FlowchartText">
    <w:name w:val="Flowchart Text"/>
    <w:basedOn w:val="Normal"/>
    <w:unhideWhenUsed/>
    <w:rsid w:val="00BF5B8E"/>
    <w:pPr>
      <w:jc w:val="center"/>
    </w:pPr>
    <w:rPr>
      <w:rFonts w:ascii="Arial" w:hAnsi="Arial"/>
    </w:rPr>
  </w:style>
  <w:style w:type="character" w:styleId="FollowedHyperlink">
    <w:name w:val="FollowedHyperlink"/>
    <w:basedOn w:val="DefaultParagraphFont"/>
    <w:uiPriority w:val="99"/>
    <w:semiHidden/>
    <w:unhideWhenUsed/>
    <w:rsid w:val="00BF5B8E"/>
    <w:rPr>
      <w:color w:val="800080"/>
      <w:u w:val="single"/>
    </w:rPr>
  </w:style>
  <w:style w:type="paragraph" w:styleId="Footer">
    <w:name w:val="footer"/>
    <w:basedOn w:val="Normal"/>
    <w:link w:val="FooterChar"/>
    <w:uiPriority w:val="99"/>
    <w:rsid w:val="00BF5B8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BF5B8E"/>
    <w:rPr>
      <w:rFonts w:ascii="Cambria" w:eastAsia="Cambria" w:hAnsi="Cambria"/>
      <w:sz w:val="17"/>
      <w:szCs w:val="20"/>
    </w:rPr>
  </w:style>
  <w:style w:type="paragraph" w:styleId="Header">
    <w:name w:val="header"/>
    <w:basedOn w:val="Normal"/>
    <w:link w:val="HeaderChar"/>
    <w:uiPriority w:val="99"/>
    <w:rsid w:val="00BF5B8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BF5B8E"/>
    <w:rPr>
      <w:rFonts w:ascii="Cambria" w:eastAsia="Cambria" w:hAnsi="Cambria"/>
      <w:sz w:val="17"/>
      <w:szCs w:val="20"/>
    </w:rPr>
  </w:style>
  <w:style w:type="character" w:styleId="Hyperlink">
    <w:name w:val="Hyperlink"/>
    <w:basedOn w:val="DefaultParagraphFont"/>
    <w:uiPriority w:val="99"/>
    <w:unhideWhenUsed/>
    <w:rsid w:val="00BF5B8E"/>
    <w:rPr>
      <w:color w:val="0000FF"/>
      <w:u w:val="single"/>
    </w:rPr>
  </w:style>
  <w:style w:type="paragraph" w:customStyle="1" w:styleId="LegalCopy">
    <w:name w:val="Legal Copy"/>
    <w:basedOn w:val="Footer"/>
    <w:qFormat/>
    <w:rsid w:val="00BF5B8E"/>
  </w:style>
  <w:style w:type="paragraph" w:customStyle="1" w:styleId="LegalSubheading">
    <w:name w:val="Legal Subheading"/>
    <w:basedOn w:val="Footer"/>
    <w:qFormat/>
    <w:rsid w:val="00BF5B8E"/>
    <w:pPr>
      <w:outlineLvl w:val="1"/>
    </w:pPr>
    <w:rPr>
      <w:b/>
    </w:rPr>
  </w:style>
  <w:style w:type="table" w:styleId="LightShading-Accent2">
    <w:name w:val="Light Shading Accent 2"/>
    <w:basedOn w:val="TableNormal"/>
    <w:uiPriority w:val="60"/>
    <w:rsid w:val="00BF5B8E"/>
    <w:pPr>
      <w:spacing w:after="0" w:line="240" w:lineRule="auto"/>
    </w:pPr>
    <w:rPr>
      <w:rFonts w:ascii="Cambria" w:eastAsia="Calibri" w:hAnsi="Cambria"/>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21353C"/>
    <w:pPr>
      <w:numPr>
        <w:numId w:val="39"/>
      </w:numPr>
      <w:ind w:left="357" w:hanging="357"/>
    </w:pPr>
  </w:style>
  <w:style w:type="paragraph" w:styleId="ListBullet2">
    <w:name w:val="List Bullet 2"/>
    <w:basedOn w:val="Normal"/>
    <w:uiPriority w:val="99"/>
    <w:qFormat/>
    <w:rsid w:val="00BF5B8E"/>
    <w:pPr>
      <w:ind w:left="850" w:hanging="425"/>
    </w:pPr>
  </w:style>
  <w:style w:type="paragraph" w:styleId="ListBullet3">
    <w:name w:val="List Bullet 3"/>
    <w:basedOn w:val="Normal"/>
    <w:uiPriority w:val="99"/>
    <w:qFormat/>
    <w:rsid w:val="00BF5B8E"/>
    <w:pPr>
      <w:numPr>
        <w:numId w:val="6"/>
      </w:numPr>
      <w:ind w:left="1276" w:hanging="425"/>
    </w:pPr>
  </w:style>
  <w:style w:type="numbering" w:customStyle="1" w:styleId="ListBullets">
    <w:name w:val="ListBullets"/>
    <w:uiPriority w:val="99"/>
    <w:locked/>
    <w:rsid w:val="00BF5B8E"/>
    <w:pPr>
      <w:numPr>
        <w:numId w:val="3"/>
      </w:numPr>
    </w:pPr>
  </w:style>
  <w:style w:type="table" w:styleId="MediumGrid2-Accent5">
    <w:name w:val="Medium Grid 2 Accent 5"/>
    <w:basedOn w:val="TableNormal"/>
    <w:uiPriority w:val="68"/>
    <w:rsid w:val="00BF5B8E"/>
    <w:pPr>
      <w:spacing w:after="0" w:line="240" w:lineRule="auto"/>
    </w:pPr>
    <w:rPr>
      <w:rFonts w:ascii="Cambria" w:eastAsia="Times New Roman" w:hAnsi="Cambria"/>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BF5B8E"/>
    <w:pPr>
      <w:ind w:left="425" w:hanging="425"/>
    </w:pPr>
  </w:style>
  <w:style w:type="paragraph" w:customStyle="1" w:styleId="Numberbullet2">
    <w:name w:val="Number bullet 2"/>
    <w:basedOn w:val="ListBullet2"/>
    <w:qFormat/>
    <w:rsid w:val="00BF5B8E"/>
    <w:pPr>
      <w:ind w:left="851" w:hanging="426"/>
    </w:pPr>
  </w:style>
  <w:style w:type="paragraph" w:customStyle="1" w:styleId="Numberbullet3">
    <w:name w:val="Number bullet 3"/>
    <w:basedOn w:val="Normal"/>
    <w:qFormat/>
    <w:rsid w:val="00BF5B8E"/>
    <w:pPr>
      <w:numPr>
        <w:numId w:val="7"/>
      </w:numPr>
      <w:ind w:left="1361" w:hanging="397"/>
    </w:pPr>
  </w:style>
  <w:style w:type="numbering" w:customStyle="1" w:styleId="NumberBullet">
    <w:name w:val="NumberBullet"/>
    <w:uiPriority w:val="99"/>
    <w:locked/>
    <w:rsid w:val="00BF5B8E"/>
    <w:pPr>
      <w:numPr>
        <w:numId w:val="5"/>
      </w:numPr>
    </w:pPr>
  </w:style>
  <w:style w:type="character" w:styleId="PlaceholderText">
    <w:name w:val="Placeholder Text"/>
    <w:basedOn w:val="DefaultParagraphFont"/>
    <w:uiPriority w:val="99"/>
    <w:semiHidden/>
    <w:rsid w:val="00BF5B8E"/>
    <w:rPr>
      <w:color w:val="808080"/>
    </w:rPr>
  </w:style>
  <w:style w:type="paragraph" w:customStyle="1" w:styleId="Reference">
    <w:name w:val="Reference"/>
    <w:basedOn w:val="Normal"/>
    <w:rsid w:val="00BF5B8E"/>
    <w:pPr>
      <w:spacing w:before="40" w:after="0"/>
      <w:ind w:left="170" w:hanging="170"/>
    </w:pPr>
    <w:rPr>
      <w:sz w:val="19"/>
    </w:rPr>
  </w:style>
  <w:style w:type="paragraph" w:styleId="Subtitle">
    <w:name w:val="Subtitle"/>
    <w:basedOn w:val="Normal"/>
    <w:link w:val="SubtitleChar"/>
    <w:uiPriority w:val="11"/>
    <w:qFormat/>
    <w:rsid w:val="0021353C"/>
    <w:pPr>
      <w:framePr w:hSpace="180" w:wrap="around" w:vAnchor="page" w:hAnchor="margin" w:y="3121"/>
      <w:numPr>
        <w:ilvl w:val="1"/>
      </w:numPr>
      <w:spacing w:before="0" w:after="0"/>
    </w:pPr>
    <w:rPr>
      <w:rFonts w:ascii="Arial" w:eastAsia="Times New Roman" w:hAnsi="Arial"/>
      <w:bCs/>
      <w:iCs/>
      <w:color w:val="006DA7"/>
      <w:sz w:val="40"/>
      <w:szCs w:val="24"/>
      <w:lang w:eastAsia="en-AU"/>
    </w:rPr>
  </w:style>
  <w:style w:type="character" w:customStyle="1" w:styleId="SubtitleChar">
    <w:name w:val="Subtitle Char"/>
    <w:basedOn w:val="DefaultParagraphFont"/>
    <w:link w:val="Subtitle"/>
    <w:uiPriority w:val="11"/>
    <w:rsid w:val="0021353C"/>
    <w:rPr>
      <w:rFonts w:ascii="Arial" w:eastAsia="Times New Roman" w:hAnsi="Arial"/>
      <w:bCs/>
      <w:iCs/>
      <w:color w:val="006DA7"/>
      <w:sz w:val="40"/>
      <w:lang w:eastAsia="en-AU"/>
    </w:rPr>
  </w:style>
  <w:style w:type="table" w:styleId="TableGrid">
    <w:name w:val="Table Grid"/>
    <w:basedOn w:val="TableNormal"/>
    <w:uiPriority w:val="59"/>
    <w:rsid w:val="00BF5B8E"/>
    <w:pPr>
      <w:spacing w:after="0" w:line="240" w:lineRule="auto"/>
    </w:pPr>
    <w:rPr>
      <w:rFonts w:ascii="Cambria" w:eastAsia="Cambria" w:hAnsi="Cambria"/>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BF5B8E"/>
    <w:pPr>
      <w:spacing w:after="0" w:line="240" w:lineRule="auto"/>
    </w:pPr>
    <w:rPr>
      <w:rFonts w:ascii="Cambria" w:eastAsia="Cambria" w:hAnsi="Cambria"/>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BF5B8E"/>
    <w:pPr>
      <w:spacing w:before="60" w:after="0" w:line="240" w:lineRule="auto"/>
    </w:pPr>
    <w:rPr>
      <w:rFonts w:ascii="Cambria" w:eastAsia="Cambria" w:hAnsi="Cambria"/>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qFormat/>
    <w:rsid w:val="00BF5B8E"/>
    <w:pPr>
      <w:spacing w:after="360"/>
      <w:jc w:val="center"/>
    </w:pPr>
    <w:rPr>
      <w:rFonts w:ascii="Arial" w:hAnsi="Arial"/>
      <w:b/>
      <w:sz w:val="28"/>
    </w:rPr>
  </w:style>
  <w:style w:type="paragraph" w:styleId="Title">
    <w:name w:val="Title"/>
    <w:link w:val="TitleChar"/>
    <w:uiPriority w:val="10"/>
    <w:qFormat/>
    <w:rsid w:val="00BF5B8E"/>
    <w:pPr>
      <w:spacing w:after="120" w:line="240" w:lineRule="auto"/>
      <w:contextualSpacing/>
      <w:outlineLvl w:val="0"/>
    </w:pPr>
    <w:rPr>
      <w:rFonts w:ascii="Arial" w:eastAsia="Times New Roman" w:hAnsi="Arial"/>
      <w:color w:val="002C47"/>
      <w:spacing w:val="5"/>
      <w:kern w:val="28"/>
      <w:sz w:val="52"/>
      <w:szCs w:val="52"/>
    </w:rPr>
  </w:style>
  <w:style w:type="character" w:customStyle="1" w:styleId="TitleChar">
    <w:name w:val="Title Char"/>
    <w:basedOn w:val="DefaultParagraphFont"/>
    <w:link w:val="Title"/>
    <w:uiPriority w:val="10"/>
    <w:rsid w:val="00BF5B8E"/>
    <w:rPr>
      <w:rFonts w:ascii="Arial" w:eastAsia="Times New Roman" w:hAnsi="Arial"/>
      <w:color w:val="002C47"/>
      <w:spacing w:val="5"/>
      <w:kern w:val="28"/>
      <w:sz w:val="52"/>
      <w:szCs w:val="52"/>
    </w:rPr>
  </w:style>
  <w:style w:type="paragraph" w:styleId="TOC1">
    <w:name w:val="toc 1"/>
    <w:basedOn w:val="Normal"/>
    <w:next w:val="Normal"/>
    <w:uiPriority w:val="39"/>
    <w:unhideWhenUsed/>
    <w:qFormat/>
    <w:rsid w:val="00BF5B8E"/>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qFormat/>
    <w:rsid w:val="00BF5B8E"/>
    <w:pPr>
      <w:keepNext/>
      <w:keepLines/>
      <w:tabs>
        <w:tab w:val="right" w:leader="underscore" w:pos="8505"/>
      </w:tabs>
      <w:spacing w:after="100"/>
      <w:ind w:left="425"/>
    </w:pPr>
    <w:rPr>
      <w:b/>
      <w:sz w:val="25"/>
    </w:rPr>
  </w:style>
  <w:style w:type="paragraph" w:styleId="TOC3">
    <w:name w:val="toc 3"/>
    <w:basedOn w:val="Normal"/>
    <w:next w:val="Normal"/>
    <w:uiPriority w:val="39"/>
    <w:unhideWhenUsed/>
    <w:qFormat/>
    <w:rsid w:val="00BF5B8E"/>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BF5B8E"/>
    <w:pPr>
      <w:framePr w:wrap="around" w:hAnchor="text"/>
      <w:spacing w:after="0" w:line="276" w:lineRule="auto"/>
      <w:outlineLvl w:val="9"/>
    </w:pPr>
    <w:rPr>
      <w:color w:val="002035"/>
      <w:sz w:val="28"/>
      <w:lang w:val="en-US"/>
    </w:rPr>
  </w:style>
  <w:style w:type="paragraph" w:customStyle="1" w:styleId="Subject">
    <w:name w:val="Subject"/>
    <w:basedOn w:val="Normal"/>
    <w:qFormat/>
    <w:rsid w:val="00BF5B8E"/>
    <w:rPr>
      <w:b/>
    </w:rPr>
  </w:style>
  <w:style w:type="numbering" w:customStyle="1" w:styleId="NumberBullet1">
    <w:name w:val="NumberBullet1"/>
    <w:uiPriority w:val="99"/>
    <w:rsid w:val="00BF5B8E"/>
  </w:style>
  <w:style w:type="numbering" w:customStyle="1" w:styleId="ListBullets1">
    <w:name w:val="ListBullets1"/>
    <w:uiPriority w:val="99"/>
    <w:rsid w:val="00BF5B8E"/>
  </w:style>
  <w:style w:type="paragraph" w:styleId="FootnoteText">
    <w:name w:val="footnote text"/>
    <w:basedOn w:val="Normal"/>
    <w:link w:val="FootnoteTextChar"/>
    <w:uiPriority w:val="99"/>
    <w:rsid w:val="00BF5B8E"/>
    <w:pPr>
      <w:keepLines/>
      <w:spacing w:before="0" w:after="0"/>
    </w:pPr>
    <w:rPr>
      <w:sz w:val="20"/>
    </w:rPr>
  </w:style>
  <w:style w:type="character" w:customStyle="1" w:styleId="FootnoteTextChar">
    <w:name w:val="Footnote Text Char"/>
    <w:basedOn w:val="DefaultParagraphFont"/>
    <w:link w:val="FootnoteText"/>
    <w:uiPriority w:val="99"/>
    <w:rsid w:val="00BF5B8E"/>
    <w:rPr>
      <w:rFonts w:ascii="Cambria" w:eastAsia="Cambria" w:hAnsi="Cambria"/>
      <w:sz w:val="20"/>
      <w:szCs w:val="20"/>
    </w:rPr>
  </w:style>
  <w:style w:type="character" w:styleId="FootnoteReference">
    <w:name w:val="footnote reference"/>
    <w:basedOn w:val="DefaultParagraphFont"/>
    <w:uiPriority w:val="99"/>
    <w:semiHidden/>
    <w:unhideWhenUsed/>
    <w:rsid w:val="00BF5B8E"/>
    <w:rPr>
      <w:vertAlign w:val="superscript"/>
    </w:rPr>
  </w:style>
  <w:style w:type="paragraph" w:customStyle="1" w:styleId="NonTOCheading2">
    <w:name w:val="Non TOC heading 2"/>
    <w:basedOn w:val="Normal"/>
    <w:next w:val="Normal"/>
    <w:rsid w:val="00BF5B8E"/>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BF5B8E"/>
    <w:pPr>
      <w:spacing w:after="240" w:line="180" w:lineRule="atLeast"/>
    </w:pPr>
    <w:rPr>
      <w:sz w:val="18"/>
    </w:rPr>
  </w:style>
  <w:style w:type="paragraph" w:customStyle="1" w:styleId="Figuretitle">
    <w:name w:val="Figure title"/>
    <w:basedOn w:val="Normal"/>
    <w:next w:val="Normal"/>
    <w:rsid w:val="00BF5B8E"/>
    <w:rPr>
      <w:b/>
    </w:rPr>
  </w:style>
  <w:style w:type="paragraph" w:customStyle="1" w:styleId="Headernoline">
    <w:name w:val="Header no line"/>
    <w:basedOn w:val="Header"/>
    <w:rsid w:val="00BF5B8E"/>
    <w:pPr>
      <w:pBdr>
        <w:bottom w:val="none" w:sz="0" w:space="0" w:color="auto"/>
      </w:pBdr>
      <w:spacing w:line="240" w:lineRule="atLeast"/>
    </w:pPr>
  </w:style>
  <w:style w:type="paragraph" w:customStyle="1" w:styleId="Quotation">
    <w:name w:val="Quotation"/>
    <w:basedOn w:val="Normal"/>
    <w:next w:val="Normal"/>
    <w:uiPriority w:val="4"/>
    <w:qFormat/>
    <w:rsid w:val="00BF5B8E"/>
    <w:pPr>
      <w:ind w:left="425"/>
    </w:pPr>
    <w:rPr>
      <w:sz w:val="20"/>
    </w:rPr>
  </w:style>
  <w:style w:type="paragraph" w:customStyle="1" w:styleId="Tabledescription">
    <w:name w:val="Table description"/>
    <w:basedOn w:val="Figuredescription"/>
    <w:next w:val="Normal"/>
    <w:rsid w:val="00BF5B8E"/>
  </w:style>
  <w:style w:type="paragraph" w:customStyle="1" w:styleId="Tabletitle">
    <w:name w:val="Table title"/>
    <w:basedOn w:val="Normal"/>
    <w:next w:val="Normal"/>
    <w:rsid w:val="00BF5B8E"/>
    <w:pPr>
      <w:keepNext/>
    </w:pPr>
    <w:rPr>
      <w:b/>
    </w:rPr>
  </w:style>
  <w:style w:type="paragraph" w:styleId="TOC4">
    <w:name w:val="toc 4"/>
    <w:basedOn w:val="Normal"/>
    <w:next w:val="Normal"/>
    <w:autoRedefine/>
    <w:uiPriority w:val="39"/>
    <w:semiHidden/>
    <w:unhideWhenUsed/>
    <w:rsid w:val="00BF5B8E"/>
    <w:pPr>
      <w:tabs>
        <w:tab w:val="right" w:leader="hyphen" w:pos="8505"/>
      </w:tabs>
      <w:spacing w:after="100"/>
      <w:ind w:left="1276"/>
    </w:pPr>
  </w:style>
  <w:style w:type="paragraph" w:styleId="TOC5">
    <w:name w:val="toc 5"/>
    <w:basedOn w:val="Normal"/>
    <w:next w:val="Normal"/>
    <w:autoRedefine/>
    <w:uiPriority w:val="39"/>
    <w:semiHidden/>
    <w:unhideWhenUsed/>
    <w:rsid w:val="00BF5B8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F5B8E"/>
    <w:pPr>
      <w:tabs>
        <w:tab w:val="right" w:pos="8505"/>
      </w:tabs>
      <w:spacing w:after="100"/>
      <w:ind w:left="2126"/>
    </w:pPr>
  </w:style>
  <w:style w:type="paragraph" w:styleId="TOC7">
    <w:name w:val="toc 7"/>
    <w:basedOn w:val="Normal"/>
    <w:next w:val="Normal"/>
    <w:autoRedefine/>
    <w:uiPriority w:val="39"/>
    <w:semiHidden/>
    <w:unhideWhenUsed/>
    <w:rsid w:val="00BF5B8E"/>
    <w:pPr>
      <w:spacing w:after="100"/>
      <w:ind w:left="2211"/>
    </w:pPr>
  </w:style>
  <w:style w:type="paragraph" w:customStyle="1" w:styleId="Address">
    <w:name w:val="Address"/>
    <w:basedOn w:val="Normal"/>
    <w:qFormat/>
    <w:rsid w:val="00BF5B8E"/>
    <w:pPr>
      <w:spacing w:before="0" w:after="0" w:line="240" w:lineRule="auto"/>
    </w:pPr>
    <w:rPr>
      <w:sz w:val="21"/>
    </w:rPr>
  </w:style>
  <w:style w:type="paragraph" w:styleId="EndnoteText">
    <w:name w:val="endnote text"/>
    <w:basedOn w:val="FootnoteText"/>
    <w:link w:val="EndnoteTextChar"/>
    <w:uiPriority w:val="99"/>
    <w:semiHidden/>
    <w:unhideWhenUsed/>
    <w:rsid w:val="00BF5B8E"/>
    <w:rPr>
      <w:rFonts w:asciiTheme="minorHAnsi" w:hAnsiTheme="minorHAnsi" w:cstheme="minorBidi"/>
      <w:szCs w:val="22"/>
    </w:rPr>
  </w:style>
  <w:style w:type="character" w:customStyle="1" w:styleId="EndnoteTextChar">
    <w:name w:val="Endnote Text Char"/>
    <w:basedOn w:val="DefaultParagraphFont"/>
    <w:link w:val="EndnoteText"/>
    <w:uiPriority w:val="99"/>
    <w:semiHidden/>
    <w:rsid w:val="00BF5B8E"/>
    <w:rPr>
      <w:rFonts w:asciiTheme="minorHAnsi" w:eastAsia="Cambria" w:hAnsiTheme="minorHAnsi" w:cstheme="minorBidi"/>
      <w:sz w:val="20"/>
      <w:szCs w:val="22"/>
    </w:rPr>
  </w:style>
  <w:style w:type="character" w:styleId="CommentReference">
    <w:name w:val="annotation reference"/>
    <w:basedOn w:val="DefaultParagraphFont"/>
    <w:uiPriority w:val="99"/>
    <w:semiHidden/>
    <w:unhideWhenUsed/>
    <w:rsid w:val="00BF5B8E"/>
    <w:rPr>
      <w:sz w:val="16"/>
      <w:szCs w:val="16"/>
    </w:rPr>
  </w:style>
  <w:style w:type="paragraph" w:styleId="CommentText">
    <w:name w:val="annotation text"/>
    <w:basedOn w:val="Normal"/>
    <w:link w:val="CommentTextChar"/>
    <w:uiPriority w:val="99"/>
    <w:unhideWhenUsed/>
    <w:rsid w:val="00BF5B8E"/>
    <w:pPr>
      <w:spacing w:line="240" w:lineRule="auto"/>
    </w:pPr>
    <w:rPr>
      <w:sz w:val="20"/>
    </w:rPr>
  </w:style>
  <w:style w:type="character" w:customStyle="1" w:styleId="CommentTextChar">
    <w:name w:val="Comment Text Char"/>
    <w:basedOn w:val="DefaultParagraphFont"/>
    <w:link w:val="CommentText"/>
    <w:uiPriority w:val="99"/>
    <w:rsid w:val="00BF5B8E"/>
    <w:rPr>
      <w:rFonts w:ascii="Cambria" w:eastAsia="Cambria" w:hAnsi="Cambria"/>
      <w:sz w:val="20"/>
      <w:szCs w:val="20"/>
    </w:rPr>
  </w:style>
  <w:style w:type="paragraph" w:styleId="CommentSubject">
    <w:name w:val="annotation subject"/>
    <w:basedOn w:val="CommentText"/>
    <w:next w:val="CommentText"/>
    <w:link w:val="CommentSubjectChar"/>
    <w:uiPriority w:val="99"/>
    <w:semiHidden/>
    <w:unhideWhenUsed/>
    <w:rsid w:val="00BF5B8E"/>
    <w:rPr>
      <w:b/>
      <w:bCs/>
    </w:rPr>
  </w:style>
  <w:style w:type="character" w:customStyle="1" w:styleId="CommentSubjectChar">
    <w:name w:val="Comment Subject Char"/>
    <w:basedOn w:val="CommentTextChar"/>
    <w:link w:val="CommentSubject"/>
    <w:uiPriority w:val="99"/>
    <w:semiHidden/>
    <w:rsid w:val="00BF5B8E"/>
    <w:rPr>
      <w:rFonts w:ascii="Cambria" w:eastAsia="Cambria" w:hAnsi="Cambria"/>
      <w:b/>
      <w:bCs/>
      <w:sz w:val="20"/>
      <w:szCs w:val="20"/>
    </w:rPr>
  </w:style>
  <w:style w:type="paragraph" w:customStyle="1" w:styleId="AxisLabel">
    <w:name w:val="Axis Label"/>
    <w:basedOn w:val="Normal"/>
    <w:qFormat/>
    <w:rsid w:val="00BF5B8E"/>
    <w:pPr>
      <w:keepLines/>
      <w:widowControl w:val="0"/>
      <w:spacing w:before="240" w:after="0" w:line="240" w:lineRule="auto"/>
      <w:jc w:val="both"/>
    </w:pPr>
    <w:rPr>
      <w:rFonts w:ascii="Arial" w:eastAsia="Times New Roman" w:hAnsi="Arial"/>
      <w:noProof/>
      <w:snapToGrid w:val="0"/>
      <w:sz w:val="14"/>
      <w:lang w:eastAsia="en-AU"/>
    </w:rPr>
  </w:style>
  <w:style w:type="paragraph" w:customStyle="1" w:styleId="AxisTitle">
    <w:name w:val="Axis Title"/>
    <w:basedOn w:val="Normal"/>
    <w:qFormat/>
    <w:rsid w:val="00BF5B8E"/>
    <w:pPr>
      <w:keepLines/>
      <w:widowControl w:val="0"/>
      <w:spacing w:before="240" w:after="0" w:line="240" w:lineRule="auto"/>
      <w:jc w:val="both"/>
    </w:pPr>
    <w:rPr>
      <w:rFonts w:ascii="Arial" w:eastAsia="Times New Roman" w:hAnsi="Arial"/>
      <w:snapToGrid w:val="0"/>
      <w:sz w:val="16"/>
    </w:rPr>
  </w:style>
  <w:style w:type="paragraph" w:styleId="Caption">
    <w:name w:val="caption"/>
    <w:basedOn w:val="Normal"/>
    <w:next w:val="Normal"/>
    <w:uiPriority w:val="35"/>
    <w:rsid w:val="00BF5B8E"/>
    <w:pPr>
      <w:keepLines/>
      <w:widowControl w:val="0"/>
      <w:spacing w:after="0" w:line="240" w:lineRule="auto"/>
      <w:jc w:val="both"/>
    </w:pPr>
    <w:rPr>
      <w:rFonts w:asciiTheme="minorHAnsi" w:eastAsia="Times New Roman" w:hAnsiTheme="minorHAnsi"/>
      <w:snapToGrid w:val="0"/>
      <w:sz w:val="19"/>
      <w:szCs w:val="18"/>
    </w:rPr>
  </w:style>
  <w:style w:type="paragraph" w:customStyle="1" w:styleId="Contents">
    <w:name w:val="Contents"/>
    <w:basedOn w:val="Normal"/>
    <w:rsid w:val="00BF5B8E"/>
    <w:pPr>
      <w:keepLines/>
      <w:widowControl w:val="0"/>
      <w:spacing w:before="360" w:after="360" w:line="240" w:lineRule="auto"/>
      <w:jc w:val="both"/>
    </w:pPr>
    <w:rPr>
      <w:rFonts w:ascii="Arial" w:eastAsia="Times New Roman" w:hAnsi="Arial"/>
      <w:b/>
      <w:snapToGrid w:val="0"/>
      <w:sz w:val="48"/>
    </w:rPr>
  </w:style>
  <w:style w:type="paragraph" w:customStyle="1" w:styleId="FigureTitle0">
    <w:name w:val="Figure Title"/>
    <w:basedOn w:val="Normal"/>
    <w:qFormat/>
    <w:rsid w:val="00BF5B8E"/>
    <w:pPr>
      <w:keepLines/>
      <w:widowControl w:val="0"/>
      <w:spacing w:before="240" w:after="0" w:line="220" w:lineRule="atLeast"/>
      <w:jc w:val="both"/>
    </w:pPr>
    <w:rPr>
      <w:rFonts w:asciiTheme="minorHAnsi" w:eastAsia="Times New Roman" w:hAnsiTheme="minorHAnsi"/>
      <w:b/>
      <w:snapToGrid w:val="0"/>
      <w:sz w:val="20"/>
    </w:rPr>
  </w:style>
  <w:style w:type="paragraph" w:customStyle="1" w:styleId="HeaderNoLine0">
    <w:name w:val="Header No Line"/>
    <w:basedOn w:val="Header"/>
    <w:rsid w:val="00BF5B8E"/>
    <w:pPr>
      <w:keepLines/>
      <w:widowControl w:val="0"/>
      <w:pBdr>
        <w:bottom w:val="none" w:sz="0" w:space="0" w:color="auto"/>
      </w:pBdr>
      <w:spacing w:after="120"/>
    </w:pPr>
    <w:rPr>
      <w:rFonts w:asciiTheme="minorHAnsi" w:eastAsia="Times New Roman" w:hAnsiTheme="minorHAnsi"/>
      <w:snapToGrid w:val="0"/>
    </w:rPr>
  </w:style>
  <w:style w:type="paragraph" w:customStyle="1" w:styleId="Key">
    <w:name w:val="Key"/>
    <w:basedOn w:val="Normal"/>
    <w:qFormat/>
    <w:rsid w:val="00BF5B8E"/>
    <w:pPr>
      <w:keepLines/>
      <w:widowControl w:val="0"/>
      <w:spacing w:before="240" w:after="0" w:line="240" w:lineRule="auto"/>
      <w:jc w:val="both"/>
    </w:pPr>
    <w:rPr>
      <w:rFonts w:asciiTheme="minorHAnsi" w:eastAsia="Times New Roman" w:hAnsiTheme="minorHAnsi"/>
      <w:snapToGrid w:val="0"/>
      <w:sz w:val="14"/>
    </w:rPr>
  </w:style>
  <w:style w:type="paragraph" w:customStyle="1" w:styleId="NonTOCHeading20">
    <w:name w:val="Non TOC Heading 2"/>
    <w:basedOn w:val="Normal"/>
    <w:qFormat/>
    <w:rsid w:val="00BF5B8E"/>
    <w:pPr>
      <w:keepNext/>
      <w:keepLines/>
      <w:widowControl w:val="0"/>
      <w:spacing w:before="240" w:after="0" w:line="240" w:lineRule="auto"/>
      <w:jc w:val="both"/>
    </w:pPr>
    <w:rPr>
      <w:rFonts w:ascii="Arial" w:eastAsia="Times New Roman" w:hAnsi="Arial"/>
      <w:b/>
      <w:snapToGrid w:val="0"/>
      <w:sz w:val="32"/>
    </w:rPr>
  </w:style>
  <w:style w:type="paragraph" w:customStyle="1" w:styleId="Notes">
    <w:name w:val="Notes"/>
    <w:basedOn w:val="Normal"/>
    <w:qFormat/>
    <w:locked/>
    <w:rsid w:val="00BF5B8E"/>
    <w:pPr>
      <w:keepLines/>
      <w:widowControl w:val="0"/>
      <w:spacing w:before="240" w:after="0" w:line="240" w:lineRule="auto"/>
      <w:jc w:val="both"/>
    </w:pPr>
    <w:rPr>
      <w:rFonts w:ascii="Arial" w:eastAsia="Times New Roman" w:hAnsi="Arial"/>
      <w:snapToGrid w:val="0"/>
      <w:sz w:val="16"/>
    </w:rPr>
  </w:style>
  <w:style w:type="paragraph" w:customStyle="1" w:styleId="TableHeading">
    <w:name w:val="Table Heading"/>
    <w:basedOn w:val="Normal"/>
    <w:qFormat/>
    <w:rsid w:val="00BF5B8E"/>
    <w:pPr>
      <w:keepLines/>
      <w:widowControl w:val="0"/>
      <w:spacing w:before="240" w:after="0" w:line="240" w:lineRule="auto"/>
      <w:jc w:val="both"/>
    </w:pPr>
    <w:rPr>
      <w:rFonts w:ascii="Calibri" w:eastAsia="Calibri" w:hAnsi="Calibri"/>
      <w:b/>
      <w:snapToGrid w:val="0"/>
      <w:color w:val="FFFFFF"/>
      <w:sz w:val="20"/>
    </w:rPr>
  </w:style>
  <w:style w:type="paragraph" w:customStyle="1" w:styleId="TableHeading1">
    <w:name w:val="Table Heading 1"/>
    <w:basedOn w:val="Normal"/>
    <w:qFormat/>
    <w:rsid w:val="00BF5B8E"/>
    <w:pPr>
      <w:keepLines/>
      <w:widowControl w:val="0"/>
      <w:spacing w:before="240" w:after="0" w:line="240" w:lineRule="auto"/>
      <w:jc w:val="both"/>
    </w:pPr>
    <w:rPr>
      <w:rFonts w:asciiTheme="minorHAnsi" w:eastAsia="Times New Roman" w:hAnsiTheme="minorHAnsi"/>
      <w:b/>
      <w:snapToGrid w:val="0"/>
      <w:color w:val="FFFFFF"/>
      <w:sz w:val="19"/>
    </w:rPr>
  </w:style>
  <w:style w:type="paragraph" w:customStyle="1" w:styleId="TableHeading2">
    <w:name w:val="Table Heading 2"/>
    <w:basedOn w:val="Normal"/>
    <w:qFormat/>
    <w:rsid w:val="00BF5B8E"/>
    <w:pPr>
      <w:keepLines/>
      <w:widowControl w:val="0"/>
      <w:spacing w:before="240" w:after="0" w:line="240" w:lineRule="auto"/>
      <w:jc w:val="both"/>
    </w:pPr>
    <w:rPr>
      <w:rFonts w:asciiTheme="minorHAnsi" w:eastAsia="Times New Roman" w:hAnsiTheme="minorHAnsi"/>
      <w:b/>
      <w:snapToGrid w:val="0"/>
      <w:sz w:val="19"/>
    </w:rPr>
  </w:style>
  <w:style w:type="paragraph" w:customStyle="1" w:styleId="Tabletext">
    <w:name w:val="Table text"/>
    <w:basedOn w:val="Normal"/>
    <w:qFormat/>
    <w:rsid w:val="00BF5B8E"/>
    <w:pPr>
      <w:keepLines/>
      <w:widowControl w:val="0"/>
      <w:spacing w:before="240" w:after="0" w:line="240" w:lineRule="auto"/>
      <w:jc w:val="both"/>
    </w:pPr>
    <w:rPr>
      <w:rFonts w:asciiTheme="minorHAnsi" w:eastAsia="Times New Roman" w:hAnsiTheme="minorHAnsi"/>
      <w:snapToGrid w:val="0"/>
      <w:sz w:val="19"/>
    </w:rPr>
  </w:style>
  <w:style w:type="paragraph" w:customStyle="1" w:styleId="TableTitle0">
    <w:name w:val="Table Title"/>
    <w:basedOn w:val="Normal"/>
    <w:qFormat/>
    <w:rsid w:val="00BF5B8E"/>
    <w:pPr>
      <w:keepNext/>
      <w:keepLines/>
      <w:widowControl w:val="0"/>
      <w:spacing w:before="240" w:after="0" w:line="240" w:lineRule="auto"/>
      <w:jc w:val="both"/>
    </w:pPr>
    <w:rPr>
      <w:rFonts w:asciiTheme="minorHAnsi" w:eastAsia="Times New Roman" w:hAnsiTheme="minorHAnsi"/>
      <w:b/>
      <w:snapToGrid w:val="0"/>
      <w:sz w:val="20"/>
    </w:rPr>
  </w:style>
  <w:style w:type="paragraph" w:customStyle="1" w:styleId="Footnote">
    <w:name w:val="Footnote"/>
    <w:basedOn w:val="FootnoteText"/>
    <w:qFormat/>
    <w:rsid w:val="00BF5B8E"/>
    <w:pPr>
      <w:widowControl w:val="0"/>
      <w:spacing w:after="240" w:line="240" w:lineRule="auto"/>
      <w:jc w:val="both"/>
    </w:pPr>
    <w:rPr>
      <w:rFonts w:asciiTheme="minorHAnsi" w:eastAsia="Times New Roman" w:hAnsiTheme="minorHAnsi"/>
      <w:snapToGrid w:val="0"/>
    </w:rPr>
  </w:style>
  <w:style w:type="paragraph" w:styleId="ListParagraph">
    <w:name w:val="List Paragraph"/>
    <w:basedOn w:val="Normal"/>
    <w:uiPriority w:val="34"/>
    <w:qFormat/>
    <w:rsid w:val="00BF5B8E"/>
    <w:pPr>
      <w:keepLines/>
      <w:widowControl w:val="0"/>
      <w:spacing w:before="240" w:after="0" w:line="240" w:lineRule="auto"/>
      <w:ind w:left="720"/>
      <w:contextualSpacing/>
      <w:jc w:val="both"/>
    </w:pPr>
    <w:rPr>
      <w:rFonts w:asciiTheme="minorHAnsi" w:eastAsia="Times New Roman" w:hAnsiTheme="minorHAnsi"/>
      <w:snapToGrid w:val="0"/>
    </w:rPr>
  </w:style>
  <w:style w:type="paragraph" w:customStyle="1" w:styleId="FigureDescription0">
    <w:name w:val="Figure Description"/>
    <w:basedOn w:val="Normal"/>
    <w:qFormat/>
    <w:rsid w:val="00BF5B8E"/>
    <w:pPr>
      <w:keepLines/>
      <w:widowControl w:val="0"/>
      <w:spacing w:after="0" w:line="240" w:lineRule="auto"/>
      <w:jc w:val="both"/>
    </w:pPr>
    <w:rPr>
      <w:rFonts w:asciiTheme="minorHAnsi" w:eastAsia="Times New Roman" w:hAnsiTheme="minorHAnsi"/>
      <w:snapToGrid w:val="0"/>
      <w:sz w:val="19"/>
    </w:rPr>
  </w:style>
  <w:style w:type="paragraph" w:customStyle="1" w:styleId="TableDescription0">
    <w:name w:val="Table Description"/>
    <w:basedOn w:val="FigureDescription0"/>
    <w:next w:val="Normal"/>
    <w:qFormat/>
    <w:rsid w:val="00BF5B8E"/>
    <w:pPr>
      <w:spacing w:after="240"/>
    </w:pPr>
    <w:rPr>
      <w:szCs w:val="19"/>
    </w:rPr>
  </w:style>
  <w:style w:type="paragraph" w:customStyle="1" w:styleId="Standard">
    <w:name w:val="Standard"/>
    <w:basedOn w:val="Normal"/>
    <w:link w:val="StandardChar"/>
    <w:rsid w:val="00BF5B8E"/>
    <w:pPr>
      <w:keepLines/>
      <w:widowControl w:val="0"/>
      <w:spacing w:before="0" w:after="220" w:line="252" w:lineRule="auto"/>
      <w:jc w:val="both"/>
    </w:pPr>
    <w:rPr>
      <w:rFonts w:asciiTheme="minorHAnsi" w:eastAsia="Times New Roman" w:hAnsiTheme="minorHAnsi"/>
      <w:kern w:val="16"/>
      <w:szCs w:val="24"/>
    </w:rPr>
  </w:style>
  <w:style w:type="character" w:customStyle="1" w:styleId="StandardChar">
    <w:name w:val="Standard Char"/>
    <w:basedOn w:val="DefaultParagraphFont"/>
    <w:link w:val="Standard"/>
    <w:rsid w:val="00BF5B8E"/>
    <w:rPr>
      <w:rFonts w:asciiTheme="minorHAnsi" w:eastAsia="Times New Roman" w:hAnsiTheme="minorHAnsi"/>
      <w:kern w:val="16"/>
      <w:sz w:val="22"/>
    </w:rPr>
  </w:style>
  <w:style w:type="table" w:styleId="LightList-Accent1">
    <w:name w:val="Light List Accent 1"/>
    <w:basedOn w:val="TableNormal"/>
    <w:uiPriority w:val="61"/>
    <w:rsid w:val="00BF5B8E"/>
    <w:pPr>
      <w:spacing w:after="0" w:line="240" w:lineRule="auto"/>
    </w:pPr>
    <w:rPr>
      <w:rFonts w:ascii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Spacing">
    <w:name w:val="No Spacing"/>
    <w:link w:val="NoSpacingChar"/>
    <w:uiPriority w:val="1"/>
    <w:qFormat/>
    <w:rsid w:val="00BF5B8E"/>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F5B8E"/>
    <w:rPr>
      <w:rFonts w:asciiTheme="minorHAnsi" w:eastAsiaTheme="minorEastAsia" w:hAnsiTheme="minorHAnsi" w:cstheme="minorBidi"/>
      <w:sz w:val="22"/>
      <w:szCs w:val="22"/>
      <w:lang w:val="en-US" w:eastAsia="ja-JP"/>
    </w:rPr>
  </w:style>
  <w:style w:type="paragraph" w:customStyle="1" w:styleId="EndNoteBibliographyTitle">
    <w:name w:val="EndNote Bibliography Title"/>
    <w:basedOn w:val="Normal"/>
    <w:link w:val="EndNoteBibliographyTitleChar"/>
    <w:rsid w:val="00BF5B8E"/>
    <w:pPr>
      <w:keepLines/>
      <w:widowControl w:val="0"/>
      <w:spacing w:before="240" w:after="0" w:line="240" w:lineRule="auto"/>
      <w:jc w:val="center"/>
    </w:pPr>
    <w:rPr>
      <w:rFonts w:eastAsia="Times New Roman"/>
      <w:noProof/>
      <w:snapToGrid w:val="0"/>
      <w:sz w:val="24"/>
    </w:rPr>
  </w:style>
  <w:style w:type="character" w:customStyle="1" w:styleId="EndNoteBibliographyTitleChar">
    <w:name w:val="EndNote Bibliography Title Char"/>
    <w:basedOn w:val="DefaultParagraphFont"/>
    <w:link w:val="EndNoteBibliographyTitle"/>
    <w:rsid w:val="00BF5B8E"/>
    <w:rPr>
      <w:rFonts w:ascii="Cambria" w:eastAsia="Times New Roman" w:hAnsi="Cambria"/>
      <w:noProof/>
      <w:snapToGrid w:val="0"/>
      <w:szCs w:val="20"/>
    </w:rPr>
  </w:style>
  <w:style w:type="paragraph" w:customStyle="1" w:styleId="EndNoteBibliography">
    <w:name w:val="EndNote Bibliography"/>
    <w:basedOn w:val="Normal"/>
    <w:link w:val="EndNoteBibliographyChar"/>
    <w:rsid w:val="00BF5B8E"/>
    <w:pPr>
      <w:keepLines/>
      <w:widowControl w:val="0"/>
      <w:spacing w:before="240" w:after="0" w:line="240" w:lineRule="auto"/>
      <w:jc w:val="both"/>
    </w:pPr>
    <w:rPr>
      <w:rFonts w:eastAsia="Times New Roman"/>
      <w:noProof/>
      <w:snapToGrid w:val="0"/>
      <w:sz w:val="24"/>
    </w:rPr>
  </w:style>
  <w:style w:type="character" w:customStyle="1" w:styleId="EndNoteBibliographyChar">
    <w:name w:val="EndNote Bibliography Char"/>
    <w:basedOn w:val="DefaultParagraphFont"/>
    <w:link w:val="EndNoteBibliography"/>
    <w:rsid w:val="00BF5B8E"/>
    <w:rPr>
      <w:rFonts w:ascii="Cambria" w:eastAsia="Times New Roman" w:hAnsi="Cambria"/>
      <w:noProof/>
      <w:snapToGrid w:val="0"/>
      <w:szCs w:val="20"/>
    </w:rPr>
  </w:style>
  <w:style w:type="character" w:styleId="EndnoteReference">
    <w:name w:val="endnote reference"/>
    <w:basedOn w:val="DefaultParagraphFont"/>
    <w:uiPriority w:val="99"/>
    <w:semiHidden/>
    <w:unhideWhenUsed/>
    <w:rsid w:val="00BF5B8E"/>
    <w:rPr>
      <w:vertAlign w:val="superscript"/>
    </w:rPr>
  </w:style>
  <w:style w:type="paragraph" w:styleId="Revision">
    <w:name w:val="Revision"/>
    <w:hidden/>
    <w:uiPriority w:val="99"/>
    <w:semiHidden/>
    <w:rsid w:val="00BF5B8E"/>
    <w:pPr>
      <w:spacing w:after="0" w:line="240" w:lineRule="auto"/>
    </w:pPr>
    <w:rPr>
      <w:rFonts w:eastAsia="Times New Roman"/>
      <w:snapToGrid w:val="0"/>
      <w:szCs w:val="20"/>
    </w:rPr>
  </w:style>
  <w:style w:type="table" w:styleId="LightList-Accent5">
    <w:name w:val="Light List Accent 5"/>
    <w:basedOn w:val="TableNormal"/>
    <w:uiPriority w:val="61"/>
    <w:rsid w:val="00BF5B8E"/>
    <w:pPr>
      <w:spacing w:after="0" w:line="240" w:lineRule="auto"/>
    </w:pPr>
    <w:rPr>
      <w:rFonts w:ascii="Cambria" w:eastAsia="Cambria" w:hAnsi="Cambria"/>
      <w:sz w:val="20"/>
      <w:szCs w:val="20"/>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Default">
    <w:name w:val="Default"/>
    <w:rsid w:val="00BF5B8E"/>
    <w:pPr>
      <w:numPr>
        <w:ilvl w:val="4"/>
        <w:numId w:val="38"/>
      </w:numPr>
      <w:autoSpaceDE w:val="0"/>
      <w:autoSpaceDN w:val="0"/>
      <w:adjustRightInd w:val="0"/>
      <w:spacing w:after="0" w:line="240" w:lineRule="auto"/>
    </w:pPr>
    <w:rPr>
      <w:rFonts w:ascii="Verdana" w:eastAsia="Cambria" w:hAnsi="Verdana" w:cs="Verdana"/>
      <w:color w:val="000000"/>
      <w:lang w:eastAsia="en-AU"/>
    </w:rPr>
  </w:style>
  <w:style w:type="paragraph" w:customStyle="1" w:styleId="EndNoteCategoryHeading">
    <w:name w:val="EndNote Category Heading"/>
    <w:basedOn w:val="Normal"/>
    <w:link w:val="EndNoteCategoryHeadingChar"/>
    <w:rsid w:val="00BF5B8E"/>
    <w:pPr>
      <w:keepLines/>
      <w:widowControl w:val="0"/>
      <w:spacing w:after="120" w:line="240" w:lineRule="auto"/>
    </w:pPr>
    <w:rPr>
      <w:rFonts w:asciiTheme="minorHAnsi" w:eastAsia="Times New Roman" w:hAnsiTheme="minorHAnsi"/>
      <w:snapToGrid w:val="0"/>
    </w:rPr>
  </w:style>
  <w:style w:type="character" w:customStyle="1" w:styleId="EndNoteCategoryHeadingChar">
    <w:name w:val="EndNote Category Heading Char"/>
    <w:basedOn w:val="DefaultParagraphFont"/>
    <w:link w:val="EndNoteCategoryHeading"/>
    <w:rsid w:val="00BF5B8E"/>
    <w:rPr>
      <w:rFonts w:asciiTheme="minorHAnsi" w:eastAsia="Times New Roman" w:hAnsiTheme="minorHAnsi"/>
      <w:snapToGrid w:val="0"/>
      <w:sz w:val="22"/>
      <w:szCs w:val="20"/>
    </w:rPr>
  </w:style>
  <w:style w:type="paragraph" w:customStyle="1" w:styleId="EndNoteCategoryTitle">
    <w:name w:val="EndNote Category Title"/>
    <w:basedOn w:val="Normal"/>
    <w:link w:val="EndNoteCategoryTitleChar"/>
    <w:rsid w:val="00BF5B8E"/>
    <w:pPr>
      <w:keepLines/>
      <w:widowControl w:val="0"/>
      <w:spacing w:after="120" w:line="240" w:lineRule="auto"/>
      <w:jc w:val="center"/>
    </w:pPr>
    <w:rPr>
      <w:rFonts w:asciiTheme="minorHAnsi" w:eastAsia="Times New Roman" w:hAnsiTheme="minorHAnsi"/>
      <w:snapToGrid w:val="0"/>
    </w:rPr>
  </w:style>
  <w:style w:type="character" w:customStyle="1" w:styleId="EndNoteCategoryTitleChar">
    <w:name w:val="EndNote Category Title Char"/>
    <w:basedOn w:val="DefaultParagraphFont"/>
    <w:link w:val="EndNoteCategoryTitle"/>
    <w:rsid w:val="00BF5B8E"/>
    <w:rPr>
      <w:rFonts w:asciiTheme="minorHAnsi" w:eastAsia="Times New Roman" w:hAnsiTheme="minorHAnsi"/>
      <w:snapToGrid w:val="0"/>
      <w:sz w:val="22"/>
      <w:szCs w:val="20"/>
    </w:rPr>
  </w:style>
  <w:style w:type="table" w:customStyle="1" w:styleId="TableTGAblue1">
    <w:name w:val="Table TGA blue1"/>
    <w:basedOn w:val="TableNormal"/>
    <w:uiPriority w:val="99"/>
    <w:qFormat/>
    <w:rsid w:val="00BF5B8E"/>
    <w:pPr>
      <w:keepNext/>
      <w:spacing w:after="0" w:line="240" w:lineRule="auto"/>
    </w:pPr>
    <w:rPr>
      <w:rFonts w:ascii="Cambria" w:eastAsia="Cambria" w:hAnsi="Cambria"/>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s://www.tga.gov.au/tga-regulatory-framework"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tga.gov.au/nonclinical-guidel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a.copyright@tga.gov.au"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doi.org/10.1787/20745788" TargetMode="External"/><Relationship Id="rId23" Type="http://schemas.openxmlformats.org/officeDocument/2006/relationships/hyperlink" Target="https://www.tga.gov.au" TargetMode="External"/><Relationship Id="rId10" Type="http://schemas.openxmlformats.org/officeDocument/2006/relationships/footer" Target="footer2.xml"/><Relationship Id="rId19" Type="http://schemas.openxmlformats.org/officeDocument/2006/relationships/hyperlink" Target="https://doi.org/10.1787/2074578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tga.gov.au/how-tga-regulates" TargetMode="External"/><Relationship Id="rId22" Type="http://schemas.openxmlformats.org/officeDocument/2006/relationships/hyperlink" Target="mailto:info@tga.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12034</Words>
  <Characters>70044</Characters>
  <Application>Microsoft Office Word</Application>
  <DocSecurity>0</DocSecurity>
  <Lines>1751</Lines>
  <Paragraphs>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review: Coumariin for use in topical listed medicines</dc:title>
  <dc:subject>listed medicines</dc:subject>
  <dc:creator/>
  <cp:keywords/>
  <dc:description/>
  <cp:lastModifiedBy/>
  <dcterms:created xsi:type="dcterms:W3CDTF">2019-11-29T02:40:00Z</dcterms:created>
  <dcterms:modified xsi:type="dcterms:W3CDTF">2019-12-02T03:31:00Z</dcterms:modified>
</cp:coreProperties>
</file>