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14:paraId="5153F90D" w14:textId="77777777" w:rsidTr="002B29B2">
        <w:tc>
          <w:tcPr>
            <w:tcW w:w="8720" w:type="dxa"/>
          </w:tcPr>
          <w:p w14:paraId="767A6A7B" w14:textId="26365D83" w:rsidR="00F401EF" w:rsidRPr="00215D48" w:rsidRDefault="007E729F" w:rsidP="00AA6E83">
            <w:pPr>
              <w:pStyle w:val="Title"/>
            </w:pPr>
            <w:r>
              <w:t xml:space="preserve">Safety of low dose </w:t>
            </w:r>
            <w:r w:rsidR="00F0178E">
              <w:t>c</w:t>
            </w:r>
            <w:r>
              <w:t>annabidiol</w:t>
            </w:r>
          </w:p>
        </w:tc>
      </w:tr>
      <w:tr w:rsidR="002B29B2" w:rsidRPr="00215D48" w14:paraId="45EC5C30" w14:textId="77777777" w:rsidTr="002B29B2">
        <w:trPr>
          <w:trHeight w:val="1916"/>
        </w:trPr>
        <w:tc>
          <w:tcPr>
            <w:tcW w:w="8720" w:type="dxa"/>
          </w:tcPr>
          <w:p w14:paraId="1D86580B" w14:textId="77777777" w:rsidR="00F401EF" w:rsidRPr="00215D48" w:rsidRDefault="00F401EF" w:rsidP="002B29B2">
            <w:pPr>
              <w:pStyle w:val="Subtitle"/>
              <w:ind w:left="0"/>
            </w:pPr>
          </w:p>
        </w:tc>
      </w:tr>
      <w:tr w:rsidR="002B29B2" w:rsidRPr="00215D48" w14:paraId="7423003D" w14:textId="77777777" w:rsidTr="002B29B2">
        <w:tc>
          <w:tcPr>
            <w:tcW w:w="8720" w:type="dxa"/>
          </w:tcPr>
          <w:p w14:paraId="17996E23" w14:textId="77777777" w:rsidR="002B29B2" w:rsidRPr="00215D48" w:rsidRDefault="002B29B2" w:rsidP="008876E5">
            <w:pPr>
              <w:pStyle w:val="Date"/>
            </w:pPr>
            <w:r w:rsidRPr="00215D48">
              <w:t xml:space="preserve">Version 1.0, </w:t>
            </w:r>
            <w:r w:rsidR="008876E5">
              <w:t>April</w:t>
            </w:r>
            <w:r w:rsidRPr="00215D48">
              <w:t xml:space="preserve"> </w:t>
            </w:r>
            <w:r w:rsidR="0070600A">
              <w:t>2020</w:t>
            </w:r>
          </w:p>
        </w:tc>
      </w:tr>
    </w:tbl>
    <w:p w14:paraId="7DCD27F5" w14:textId="77777777" w:rsidR="00B24FF5" w:rsidRPr="00215D48" w:rsidRDefault="00B24FF5" w:rsidP="00B24FF5">
      <w:pPr>
        <w:pStyle w:val="ListBullet"/>
        <w:numPr>
          <w:ilvl w:val="0"/>
          <w:numId w:val="0"/>
        </w:numPr>
        <w:sectPr w:rsidR="00B24FF5" w:rsidRPr="00215D48" w:rsidSect="00F401EF">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14:paraId="4282CF53" w14:textId="77777777" w:rsidR="005D1689" w:rsidRPr="00E1198B" w:rsidRDefault="005D1689" w:rsidP="00BA0DFC">
      <w:pPr>
        <w:pStyle w:val="LegalSubheading"/>
      </w:pPr>
      <w:r w:rsidRPr="00BA0DFC">
        <w:lastRenderedPageBreak/>
        <w:t>Copyright</w:t>
      </w:r>
    </w:p>
    <w:p w14:paraId="2F587D98" w14:textId="77777777" w:rsidR="00F274A2" w:rsidRDefault="005D1689" w:rsidP="0029069E">
      <w:pPr>
        <w:pStyle w:val="LegalCopy"/>
        <w:rPr>
          <w:rFonts w:cs="Arial"/>
        </w:rPr>
      </w:pPr>
      <w:r w:rsidRPr="00215D48">
        <w:rPr>
          <w:rFonts w:cs="Arial"/>
        </w:rPr>
        <w:t>© Commonwealth of Australia 20</w:t>
      </w:r>
      <w:r w:rsidR="009074DB">
        <w:rPr>
          <w:rFonts w:cs="Arial"/>
        </w:rPr>
        <w:t>20</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sdt>
      <w:sdtPr>
        <w:rPr>
          <w:rFonts w:ascii="Cambria" w:hAnsi="Cambria"/>
          <w:b w:val="0"/>
          <w:sz w:val="22"/>
        </w:rPr>
        <w:id w:val="21514769"/>
        <w:docPartObj>
          <w:docPartGallery w:val="Table of Contents"/>
          <w:docPartUnique/>
        </w:docPartObj>
      </w:sdtPr>
      <w:sdtEndPr/>
      <w:sdtContent>
        <w:p w14:paraId="70D6ECE8" w14:textId="77777777" w:rsidR="00F401EF" w:rsidRPr="00215D48" w:rsidRDefault="00F401EF" w:rsidP="00D63C01">
          <w:pPr>
            <w:pStyle w:val="NonTOCheading2"/>
          </w:pPr>
          <w:r w:rsidRPr="00215D48">
            <w:t>Contents</w:t>
          </w:r>
        </w:p>
        <w:p w14:paraId="35E7DE84" w14:textId="6149E497" w:rsidR="00AD6D83" w:rsidRDefault="00F859D2">
          <w:pPr>
            <w:pStyle w:val="TOC1"/>
            <w:rPr>
              <w:rFonts w:asciiTheme="minorHAnsi" w:eastAsiaTheme="minorEastAsia" w:hAnsiTheme="minorHAnsi" w:cstheme="minorBidi"/>
              <w:b w:val="0"/>
              <w:noProof/>
              <w:sz w:val="22"/>
              <w:szCs w:val="22"/>
              <w:lang w:eastAsia="en-AU"/>
            </w:rPr>
          </w:pPr>
          <w:r w:rsidRPr="00215D48">
            <w:fldChar w:fldCharType="begin"/>
          </w:r>
          <w:r w:rsidR="00F401EF" w:rsidRPr="00215D48">
            <w:instrText xml:space="preserve"> TOC \h \z \u \t "Heading 2,1,Heading 3,2,Heading 4,3" </w:instrText>
          </w:r>
          <w:r w:rsidRPr="00215D48">
            <w:fldChar w:fldCharType="separate"/>
          </w:r>
          <w:hyperlink w:anchor="_Toc38379336" w:history="1">
            <w:r w:rsidR="00AD6D83" w:rsidRPr="00287A9D">
              <w:rPr>
                <w:rStyle w:val="Hyperlink"/>
                <w:noProof/>
              </w:rPr>
              <w:t>Safety of low dose cannabidiol</w:t>
            </w:r>
            <w:r w:rsidR="00AD6D83">
              <w:rPr>
                <w:noProof/>
                <w:webHidden/>
              </w:rPr>
              <w:tab/>
            </w:r>
            <w:r w:rsidR="00AD6D83">
              <w:rPr>
                <w:noProof/>
                <w:webHidden/>
              </w:rPr>
              <w:fldChar w:fldCharType="begin"/>
            </w:r>
            <w:r w:rsidR="00AD6D83">
              <w:rPr>
                <w:noProof/>
                <w:webHidden/>
              </w:rPr>
              <w:instrText xml:space="preserve"> PAGEREF _Toc38379336 \h </w:instrText>
            </w:r>
            <w:r w:rsidR="00AD6D83">
              <w:rPr>
                <w:noProof/>
                <w:webHidden/>
              </w:rPr>
            </w:r>
            <w:r w:rsidR="00AD6D83">
              <w:rPr>
                <w:noProof/>
                <w:webHidden/>
              </w:rPr>
              <w:fldChar w:fldCharType="separate"/>
            </w:r>
            <w:r w:rsidR="000E466E">
              <w:rPr>
                <w:noProof/>
                <w:webHidden/>
              </w:rPr>
              <w:t>4</w:t>
            </w:r>
            <w:r w:rsidR="00AD6D83">
              <w:rPr>
                <w:noProof/>
                <w:webHidden/>
              </w:rPr>
              <w:fldChar w:fldCharType="end"/>
            </w:r>
          </w:hyperlink>
        </w:p>
        <w:p w14:paraId="1B502CE5" w14:textId="1E5B0FDB" w:rsidR="00AD6D83" w:rsidRDefault="000E466E">
          <w:pPr>
            <w:pStyle w:val="TOC2"/>
            <w:rPr>
              <w:rFonts w:asciiTheme="minorHAnsi" w:eastAsiaTheme="minorEastAsia" w:hAnsiTheme="minorHAnsi" w:cstheme="minorBidi"/>
              <w:b w:val="0"/>
              <w:noProof/>
              <w:sz w:val="22"/>
              <w:szCs w:val="22"/>
              <w:lang w:eastAsia="en-AU"/>
            </w:rPr>
          </w:pPr>
          <w:hyperlink w:anchor="_Toc38379337" w:history="1">
            <w:r w:rsidR="00AD6D83" w:rsidRPr="00287A9D">
              <w:rPr>
                <w:rStyle w:val="Hyperlink"/>
                <w:noProof/>
              </w:rPr>
              <w:t>Introduction</w:t>
            </w:r>
            <w:r w:rsidR="00AD6D83">
              <w:rPr>
                <w:noProof/>
                <w:webHidden/>
              </w:rPr>
              <w:tab/>
            </w:r>
            <w:r w:rsidR="00AD6D83">
              <w:rPr>
                <w:noProof/>
                <w:webHidden/>
              </w:rPr>
              <w:fldChar w:fldCharType="begin"/>
            </w:r>
            <w:r w:rsidR="00AD6D83">
              <w:rPr>
                <w:noProof/>
                <w:webHidden/>
              </w:rPr>
              <w:instrText xml:space="preserve"> PAGEREF _Toc38379337 \h </w:instrText>
            </w:r>
            <w:r w:rsidR="00AD6D83">
              <w:rPr>
                <w:noProof/>
                <w:webHidden/>
              </w:rPr>
            </w:r>
            <w:r w:rsidR="00AD6D83">
              <w:rPr>
                <w:noProof/>
                <w:webHidden/>
              </w:rPr>
              <w:fldChar w:fldCharType="separate"/>
            </w:r>
            <w:r>
              <w:rPr>
                <w:noProof/>
                <w:webHidden/>
              </w:rPr>
              <w:t>4</w:t>
            </w:r>
            <w:r w:rsidR="00AD6D83">
              <w:rPr>
                <w:noProof/>
                <w:webHidden/>
              </w:rPr>
              <w:fldChar w:fldCharType="end"/>
            </w:r>
          </w:hyperlink>
        </w:p>
        <w:p w14:paraId="6DD716D8" w14:textId="216EBEDF" w:rsidR="00AD6D83" w:rsidRDefault="000E466E">
          <w:pPr>
            <w:pStyle w:val="TOC2"/>
            <w:rPr>
              <w:rFonts w:asciiTheme="minorHAnsi" w:eastAsiaTheme="minorEastAsia" w:hAnsiTheme="minorHAnsi" w:cstheme="minorBidi"/>
              <w:b w:val="0"/>
              <w:noProof/>
              <w:sz w:val="22"/>
              <w:szCs w:val="22"/>
              <w:lang w:eastAsia="en-AU"/>
            </w:rPr>
          </w:pPr>
          <w:hyperlink w:anchor="_Toc38379338" w:history="1">
            <w:r w:rsidR="00AD6D83" w:rsidRPr="00287A9D">
              <w:rPr>
                <w:rStyle w:val="Hyperlink"/>
                <w:noProof/>
              </w:rPr>
              <w:t>Background</w:t>
            </w:r>
            <w:r w:rsidR="00AD6D83">
              <w:rPr>
                <w:noProof/>
                <w:webHidden/>
              </w:rPr>
              <w:tab/>
            </w:r>
            <w:r w:rsidR="00AD6D83">
              <w:rPr>
                <w:noProof/>
                <w:webHidden/>
              </w:rPr>
              <w:fldChar w:fldCharType="begin"/>
            </w:r>
            <w:r w:rsidR="00AD6D83">
              <w:rPr>
                <w:noProof/>
                <w:webHidden/>
              </w:rPr>
              <w:instrText xml:space="preserve"> PAGEREF _Toc38379338 \h </w:instrText>
            </w:r>
            <w:r w:rsidR="00AD6D83">
              <w:rPr>
                <w:noProof/>
                <w:webHidden/>
              </w:rPr>
            </w:r>
            <w:r w:rsidR="00AD6D83">
              <w:rPr>
                <w:noProof/>
                <w:webHidden/>
              </w:rPr>
              <w:fldChar w:fldCharType="separate"/>
            </w:r>
            <w:r>
              <w:rPr>
                <w:noProof/>
                <w:webHidden/>
              </w:rPr>
              <w:t>7</w:t>
            </w:r>
            <w:r w:rsidR="00AD6D83">
              <w:rPr>
                <w:noProof/>
                <w:webHidden/>
              </w:rPr>
              <w:fldChar w:fldCharType="end"/>
            </w:r>
          </w:hyperlink>
        </w:p>
        <w:p w14:paraId="6F944B83" w14:textId="7A1D9C95" w:rsidR="00AD6D83" w:rsidRDefault="000E466E">
          <w:pPr>
            <w:pStyle w:val="TOC2"/>
            <w:rPr>
              <w:rFonts w:asciiTheme="minorHAnsi" w:eastAsiaTheme="minorEastAsia" w:hAnsiTheme="minorHAnsi" w:cstheme="minorBidi"/>
              <w:b w:val="0"/>
              <w:noProof/>
              <w:sz w:val="22"/>
              <w:szCs w:val="22"/>
              <w:lang w:eastAsia="en-AU"/>
            </w:rPr>
          </w:pPr>
          <w:hyperlink w:anchor="_Toc38379339" w:history="1">
            <w:r w:rsidR="00AD6D83" w:rsidRPr="00287A9D">
              <w:rPr>
                <w:rStyle w:val="Hyperlink"/>
                <w:noProof/>
              </w:rPr>
              <w:t>Aims</w:t>
            </w:r>
            <w:r w:rsidR="00AD6D83">
              <w:rPr>
                <w:noProof/>
                <w:webHidden/>
              </w:rPr>
              <w:tab/>
            </w:r>
            <w:r w:rsidR="00AD6D83">
              <w:rPr>
                <w:noProof/>
                <w:webHidden/>
              </w:rPr>
              <w:fldChar w:fldCharType="begin"/>
            </w:r>
            <w:r w:rsidR="00AD6D83">
              <w:rPr>
                <w:noProof/>
                <w:webHidden/>
              </w:rPr>
              <w:instrText xml:space="preserve"> PAGEREF _Toc38379339 \h </w:instrText>
            </w:r>
            <w:r w:rsidR="00AD6D83">
              <w:rPr>
                <w:noProof/>
                <w:webHidden/>
              </w:rPr>
            </w:r>
            <w:r w:rsidR="00AD6D83">
              <w:rPr>
                <w:noProof/>
                <w:webHidden/>
              </w:rPr>
              <w:fldChar w:fldCharType="separate"/>
            </w:r>
            <w:r>
              <w:rPr>
                <w:noProof/>
                <w:webHidden/>
              </w:rPr>
              <w:t>7</w:t>
            </w:r>
            <w:r w:rsidR="00AD6D83">
              <w:rPr>
                <w:noProof/>
                <w:webHidden/>
              </w:rPr>
              <w:fldChar w:fldCharType="end"/>
            </w:r>
          </w:hyperlink>
        </w:p>
        <w:p w14:paraId="2721C1EC" w14:textId="0AC24E5E" w:rsidR="00AD6D83" w:rsidRDefault="000E466E">
          <w:pPr>
            <w:pStyle w:val="TOC2"/>
            <w:rPr>
              <w:rFonts w:asciiTheme="minorHAnsi" w:eastAsiaTheme="minorEastAsia" w:hAnsiTheme="minorHAnsi" w:cstheme="minorBidi"/>
              <w:b w:val="0"/>
              <w:noProof/>
              <w:sz w:val="22"/>
              <w:szCs w:val="22"/>
              <w:lang w:eastAsia="en-AU"/>
            </w:rPr>
          </w:pPr>
          <w:hyperlink w:anchor="_Toc38379340" w:history="1">
            <w:r w:rsidR="00AD6D83" w:rsidRPr="00287A9D">
              <w:rPr>
                <w:rStyle w:val="Hyperlink"/>
                <w:noProof/>
              </w:rPr>
              <w:t>Methods</w:t>
            </w:r>
            <w:r w:rsidR="00AD6D83">
              <w:rPr>
                <w:noProof/>
                <w:webHidden/>
              </w:rPr>
              <w:tab/>
            </w:r>
            <w:r w:rsidR="00AD6D83">
              <w:rPr>
                <w:noProof/>
                <w:webHidden/>
              </w:rPr>
              <w:fldChar w:fldCharType="begin"/>
            </w:r>
            <w:r w:rsidR="00AD6D83">
              <w:rPr>
                <w:noProof/>
                <w:webHidden/>
              </w:rPr>
              <w:instrText xml:space="preserve"> PAGEREF _Toc38379340 \h </w:instrText>
            </w:r>
            <w:r w:rsidR="00AD6D83">
              <w:rPr>
                <w:noProof/>
                <w:webHidden/>
              </w:rPr>
            </w:r>
            <w:r w:rsidR="00AD6D83">
              <w:rPr>
                <w:noProof/>
                <w:webHidden/>
              </w:rPr>
              <w:fldChar w:fldCharType="separate"/>
            </w:r>
            <w:r>
              <w:rPr>
                <w:noProof/>
                <w:webHidden/>
              </w:rPr>
              <w:t>8</w:t>
            </w:r>
            <w:r w:rsidR="00AD6D83">
              <w:rPr>
                <w:noProof/>
                <w:webHidden/>
              </w:rPr>
              <w:fldChar w:fldCharType="end"/>
            </w:r>
          </w:hyperlink>
        </w:p>
        <w:p w14:paraId="551952C6" w14:textId="17D4EEC8" w:rsidR="00AD6D83" w:rsidRDefault="000E466E">
          <w:pPr>
            <w:pStyle w:val="TOC3"/>
            <w:rPr>
              <w:rFonts w:asciiTheme="minorHAnsi" w:eastAsiaTheme="minorEastAsia" w:hAnsiTheme="minorHAnsi" w:cstheme="minorBidi"/>
              <w:b w:val="0"/>
              <w:noProof/>
              <w:szCs w:val="22"/>
              <w:lang w:eastAsia="en-AU"/>
            </w:rPr>
          </w:pPr>
          <w:hyperlink w:anchor="_Toc38379341" w:history="1">
            <w:r>
              <w:rPr>
                <w:rStyle w:val="Hyperlink"/>
                <w:noProof/>
              </w:rPr>
              <w:t>Search s</w:t>
            </w:r>
            <w:r w:rsidR="00AD6D83" w:rsidRPr="00287A9D">
              <w:rPr>
                <w:rStyle w:val="Hyperlink"/>
                <w:noProof/>
              </w:rPr>
              <w:t>trategy</w:t>
            </w:r>
            <w:r w:rsidR="00AD6D83">
              <w:rPr>
                <w:noProof/>
                <w:webHidden/>
              </w:rPr>
              <w:tab/>
            </w:r>
            <w:r w:rsidR="00AD6D83">
              <w:rPr>
                <w:noProof/>
                <w:webHidden/>
              </w:rPr>
              <w:fldChar w:fldCharType="begin"/>
            </w:r>
            <w:r w:rsidR="00AD6D83">
              <w:rPr>
                <w:noProof/>
                <w:webHidden/>
              </w:rPr>
              <w:instrText xml:space="preserve"> PAGEREF _Toc38379341 \h </w:instrText>
            </w:r>
            <w:r w:rsidR="00AD6D83">
              <w:rPr>
                <w:noProof/>
                <w:webHidden/>
              </w:rPr>
            </w:r>
            <w:r w:rsidR="00AD6D83">
              <w:rPr>
                <w:noProof/>
                <w:webHidden/>
              </w:rPr>
              <w:fldChar w:fldCharType="separate"/>
            </w:r>
            <w:r>
              <w:rPr>
                <w:noProof/>
                <w:webHidden/>
              </w:rPr>
              <w:t>8</w:t>
            </w:r>
            <w:r w:rsidR="00AD6D83">
              <w:rPr>
                <w:noProof/>
                <w:webHidden/>
              </w:rPr>
              <w:fldChar w:fldCharType="end"/>
            </w:r>
          </w:hyperlink>
        </w:p>
        <w:p w14:paraId="4789602E" w14:textId="356329FF" w:rsidR="00AD6D83" w:rsidRDefault="000E466E">
          <w:pPr>
            <w:pStyle w:val="TOC2"/>
            <w:rPr>
              <w:rFonts w:asciiTheme="minorHAnsi" w:eastAsiaTheme="minorEastAsia" w:hAnsiTheme="minorHAnsi" w:cstheme="minorBidi"/>
              <w:b w:val="0"/>
              <w:noProof/>
              <w:sz w:val="22"/>
              <w:szCs w:val="22"/>
              <w:lang w:eastAsia="en-AU"/>
            </w:rPr>
          </w:pPr>
          <w:hyperlink w:anchor="_Toc38379342" w:history="1">
            <w:r w:rsidR="00AD6D83" w:rsidRPr="00287A9D">
              <w:rPr>
                <w:rStyle w:val="Hyperlink"/>
                <w:noProof/>
              </w:rPr>
              <w:t>Results</w:t>
            </w:r>
            <w:r w:rsidR="00AD6D83">
              <w:rPr>
                <w:noProof/>
                <w:webHidden/>
              </w:rPr>
              <w:tab/>
            </w:r>
            <w:r w:rsidR="00AD6D83">
              <w:rPr>
                <w:noProof/>
                <w:webHidden/>
              </w:rPr>
              <w:fldChar w:fldCharType="begin"/>
            </w:r>
            <w:r w:rsidR="00AD6D83">
              <w:rPr>
                <w:noProof/>
                <w:webHidden/>
              </w:rPr>
              <w:instrText xml:space="preserve"> PAGEREF _Toc38379342 \h </w:instrText>
            </w:r>
            <w:r w:rsidR="00AD6D83">
              <w:rPr>
                <w:noProof/>
                <w:webHidden/>
              </w:rPr>
            </w:r>
            <w:r w:rsidR="00AD6D83">
              <w:rPr>
                <w:noProof/>
                <w:webHidden/>
              </w:rPr>
              <w:fldChar w:fldCharType="separate"/>
            </w:r>
            <w:r>
              <w:rPr>
                <w:noProof/>
                <w:webHidden/>
              </w:rPr>
              <w:t>8</w:t>
            </w:r>
            <w:r w:rsidR="00AD6D83">
              <w:rPr>
                <w:noProof/>
                <w:webHidden/>
              </w:rPr>
              <w:fldChar w:fldCharType="end"/>
            </w:r>
          </w:hyperlink>
        </w:p>
        <w:p w14:paraId="7C3B8DEA" w14:textId="51E33C52" w:rsidR="00AD6D83" w:rsidRDefault="000E466E">
          <w:pPr>
            <w:pStyle w:val="TOC2"/>
            <w:rPr>
              <w:rFonts w:asciiTheme="minorHAnsi" w:eastAsiaTheme="minorEastAsia" w:hAnsiTheme="minorHAnsi" w:cstheme="minorBidi"/>
              <w:b w:val="0"/>
              <w:noProof/>
              <w:sz w:val="22"/>
              <w:szCs w:val="22"/>
              <w:lang w:eastAsia="en-AU"/>
            </w:rPr>
          </w:pPr>
          <w:hyperlink w:anchor="_Toc38379343" w:history="1">
            <w:r w:rsidR="00AD6D83" w:rsidRPr="00287A9D">
              <w:rPr>
                <w:rStyle w:val="Hyperlink"/>
                <w:noProof/>
              </w:rPr>
              <w:t>Pharmacokinetics of cannabidiol</w:t>
            </w:r>
            <w:r w:rsidR="00AD6D83">
              <w:rPr>
                <w:noProof/>
                <w:webHidden/>
              </w:rPr>
              <w:tab/>
            </w:r>
            <w:r w:rsidR="00AD6D83">
              <w:rPr>
                <w:noProof/>
                <w:webHidden/>
              </w:rPr>
              <w:fldChar w:fldCharType="begin"/>
            </w:r>
            <w:r w:rsidR="00AD6D83">
              <w:rPr>
                <w:noProof/>
                <w:webHidden/>
              </w:rPr>
              <w:instrText xml:space="preserve"> PAGEREF _Toc38379343 \h </w:instrText>
            </w:r>
            <w:r w:rsidR="00AD6D83">
              <w:rPr>
                <w:noProof/>
                <w:webHidden/>
              </w:rPr>
            </w:r>
            <w:r w:rsidR="00AD6D83">
              <w:rPr>
                <w:noProof/>
                <w:webHidden/>
              </w:rPr>
              <w:fldChar w:fldCharType="separate"/>
            </w:r>
            <w:r>
              <w:rPr>
                <w:noProof/>
                <w:webHidden/>
              </w:rPr>
              <w:t>8</w:t>
            </w:r>
            <w:r w:rsidR="00AD6D83">
              <w:rPr>
                <w:noProof/>
                <w:webHidden/>
              </w:rPr>
              <w:fldChar w:fldCharType="end"/>
            </w:r>
          </w:hyperlink>
        </w:p>
        <w:p w14:paraId="13C0359C" w14:textId="35780DB5" w:rsidR="00AD6D83" w:rsidRDefault="000E466E">
          <w:pPr>
            <w:pStyle w:val="TOC2"/>
            <w:rPr>
              <w:rFonts w:asciiTheme="minorHAnsi" w:eastAsiaTheme="minorEastAsia" w:hAnsiTheme="minorHAnsi" w:cstheme="minorBidi"/>
              <w:b w:val="0"/>
              <w:noProof/>
              <w:sz w:val="22"/>
              <w:szCs w:val="22"/>
              <w:lang w:eastAsia="en-AU"/>
            </w:rPr>
          </w:pPr>
          <w:hyperlink w:anchor="_Toc38379344" w:history="1">
            <w:r w:rsidR="00AD6D83" w:rsidRPr="00287A9D">
              <w:rPr>
                <w:rStyle w:val="Hyperlink"/>
                <w:noProof/>
              </w:rPr>
              <w:t xml:space="preserve">Dose </w:t>
            </w:r>
            <w:r>
              <w:rPr>
                <w:rStyle w:val="Hyperlink"/>
                <w:noProof/>
              </w:rPr>
              <w:t>r</w:t>
            </w:r>
            <w:r w:rsidR="00AD6D83" w:rsidRPr="00287A9D">
              <w:rPr>
                <w:rStyle w:val="Hyperlink"/>
                <w:noProof/>
              </w:rPr>
              <w:t xml:space="preserve">ange for </w:t>
            </w:r>
            <w:r>
              <w:rPr>
                <w:rStyle w:val="Hyperlink"/>
                <w:noProof/>
              </w:rPr>
              <w:t>t</w:t>
            </w:r>
            <w:r w:rsidR="00AD6D83" w:rsidRPr="00287A9D">
              <w:rPr>
                <w:rStyle w:val="Hyperlink"/>
                <w:noProof/>
              </w:rPr>
              <w:t xml:space="preserve">herapeutic </w:t>
            </w:r>
            <w:r>
              <w:rPr>
                <w:rStyle w:val="Hyperlink"/>
                <w:noProof/>
              </w:rPr>
              <w:t>u</w:t>
            </w:r>
            <w:r w:rsidR="00AD6D83" w:rsidRPr="00287A9D">
              <w:rPr>
                <w:rStyle w:val="Hyperlink"/>
                <w:noProof/>
              </w:rPr>
              <w:t>se</w:t>
            </w:r>
            <w:r w:rsidR="00AD6D83">
              <w:rPr>
                <w:noProof/>
                <w:webHidden/>
              </w:rPr>
              <w:tab/>
            </w:r>
            <w:r w:rsidR="00AD6D83">
              <w:rPr>
                <w:noProof/>
                <w:webHidden/>
              </w:rPr>
              <w:fldChar w:fldCharType="begin"/>
            </w:r>
            <w:r w:rsidR="00AD6D83">
              <w:rPr>
                <w:noProof/>
                <w:webHidden/>
              </w:rPr>
              <w:instrText xml:space="preserve"> PAGEREF _Toc38379344 \h </w:instrText>
            </w:r>
            <w:r w:rsidR="00AD6D83">
              <w:rPr>
                <w:noProof/>
                <w:webHidden/>
              </w:rPr>
            </w:r>
            <w:r w:rsidR="00AD6D83">
              <w:rPr>
                <w:noProof/>
                <w:webHidden/>
              </w:rPr>
              <w:fldChar w:fldCharType="separate"/>
            </w:r>
            <w:r>
              <w:rPr>
                <w:noProof/>
                <w:webHidden/>
              </w:rPr>
              <w:t>9</w:t>
            </w:r>
            <w:r w:rsidR="00AD6D83">
              <w:rPr>
                <w:noProof/>
                <w:webHidden/>
              </w:rPr>
              <w:fldChar w:fldCharType="end"/>
            </w:r>
          </w:hyperlink>
        </w:p>
        <w:p w14:paraId="4FD54EDA" w14:textId="342EBEC2" w:rsidR="00AD6D83" w:rsidRDefault="000E466E">
          <w:pPr>
            <w:pStyle w:val="TOC3"/>
            <w:rPr>
              <w:rFonts w:asciiTheme="minorHAnsi" w:eastAsiaTheme="minorEastAsia" w:hAnsiTheme="minorHAnsi" w:cstheme="minorBidi"/>
              <w:b w:val="0"/>
              <w:noProof/>
              <w:szCs w:val="22"/>
              <w:lang w:eastAsia="en-AU"/>
            </w:rPr>
          </w:pPr>
          <w:hyperlink w:anchor="_Toc38379345" w:history="1">
            <w:r w:rsidR="00AD6D83" w:rsidRPr="00287A9D">
              <w:rPr>
                <w:rStyle w:val="Hyperlink"/>
                <w:noProof/>
              </w:rPr>
              <w:t xml:space="preserve">High </w:t>
            </w:r>
            <w:r>
              <w:rPr>
                <w:rStyle w:val="Hyperlink"/>
                <w:noProof/>
              </w:rPr>
              <w:t>d</w:t>
            </w:r>
            <w:r w:rsidR="00AD6D83" w:rsidRPr="00287A9D">
              <w:rPr>
                <w:rStyle w:val="Hyperlink"/>
                <w:noProof/>
              </w:rPr>
              <w:t xml:space="preserve">ose </w:t>
            </w:r>
            <w:r>
              <w:rPr>
                <w:rStyle w:val="Hyperlink"/>
                <w:noProof/>
              </w:rPr>
              <w:t>r</w:t>
            </w:r>
            <w:r w:rsidR="00AD6D83" w:rsidRPr="00287A9D">
              <w:rPr>
                <w:rStyle w:val="Hyperlink"/>
                <w:noProof/>
              </w:rPr>
              <w:t>ange (10 to ~up to 50 mg/kg/day)</w:t>
            </w:r>
            <w:r w:rsidR="00AD6D83">
              <w:rPr>
                <w:noProof/>
                <w:webHidden/>
              </w:rPr>
              <w:tab/>
            </w:r>
            <w:r w:rsidR="00AD6D83">
              <w:rPr>
                <w:noProof/>
                <w:webHidden/>
              </w:rPr>
              <w:fldChar w:fldCharType="begin"/>
            </w:r>
            <w:r w:rsidR="00AD6D83">
              <w:rPr>
                <w:noProof/>
                <w:webHidden/>
              </w:rPr>
              <w:instrText xml:space="preserve"> PAGEREF _Toc38379345 \h </w:instrText>
            </w:r>
            <w:r w:rsidR="00AD6D83">
              <w:rPr>
                <w:noProof/>
                <w:webHidden/>
              </w:rPr>
            </w:r>
            <w:r w:rsidR="00AD6D83">
              <w:rPr>
                <w:noProof/>
                <w:webHidden/>
              </w:rPr>
              <w:fldChar w:fldCharType="separate"/>
            </w:r>
            <w:r>
              <w:rPr>
                <w:noProof/>
                <w:webHidden/>
              </w:rPr>
              <w:t>9</w:t>
            </w:r>
            <w:r w:rsidR="00AD6D83">
              <w:rPr>
                <w:noProof/>
                <w:webHidden/>
              </w:rPr>
              <w:fldChar w:fldCharType="end"/>
            </w:r>
          </w:hyperlink>
        </w:p>
        <w:p w14:paraId="453EEF57" w14:textId="70B316FB" w:rsidR="00AD6D83" w:rsidRDefault="000E466E">
          <w:pPr>
            <w:pStyle w:val="TOC3"/>
            <w:rPr>
              <w:rFonts w:asciiTheme="minorHAnsi" w:eastAsiaTheme="minorEastAsia" w:hAnsiTheme="minorHAnsi" w:cstheme="minorBidi"/>
              <w:b w:val="0"/>
              <w:noProof/>
              <w:szCs w:val="22"/>
              <w:lang w:eastAsia="en-AU"/>
            </w:rPr>
          </w:pPr>
          <w:hyperlink w:anchor="_Toc38379346" w:history="1">
            <w:r w:rsidR="00AD6D83" w:rsidRPr="00287A9D">
              <w:rPr>
                <w:rStyle w:val="Hyperlink"/>
                <w:noProof/>
              </w:rPr>
              <w:t xml:space="preserve">Medium </w:t>
            </w:r>
            <w:r>
              <w:rPr>
                <w:rStyle w:val="Hyperlink"/>
                <w:noProof/>
              </w:rPr>
              <w:t>d</w:t>
            </w:r>
            <w:r w:rsidR="00AD6D83" w:rsidRPr="00287A9D">
              <w:rPr>
                <w:rStyle w:val="Hyperlink"/>
                <w:noProof/>
              </w:rPr>
              <w:t xml:space="preserve">ose </w:t>
            </w:r>
            <w:r>
              <w:rPr>
                <w:rStyle w:val="Hyperlink"/>
                <w:noProof/>
              </w:rPr>
              <w:t>r</w:t>
            </w:r>
            <w:r w:rsidR="00AD6D83" w:rsidRPr="00287A9D">
              <w:rPr>
                <w:rStyle w:val="Hyperlink"/>
                <w:noProof/>
              </w:rPr>
              <w:t>ange (1 to ~10 mg/kg/day)</w:t>
            </w:r>
            <w:r w:rsidR="00AD6D83">
              <w:rPr>
                <w:noProof/>
                <w:webHidden/>
              </w:rPr>
              <w:tab/>
            </w:r>
            <w:r w:rsidR="00AD6D83">
              <w:rPr>
                <w:noProof/>
                <w:webHidden/>
              </w:rPr>
              <w:fldChar w:fldCharType="begin"/>
            </w:r>
            <w:r w:rsidR="00AD6D83">
              <w:rPr>
                <w:noProof/>
                <w:webHidden/>
              </w:rPr>
              <w:instrText xml:space="preserve"> PAGEREF _Toc38379346 \h </w:instrText>
            </w:r>
            <w:r w:rsidR="00AD6D83">
              <w:rPr>
                <w:noProof/>
                <w:webHidden/>
              </w:rPr>
            </w:r>
            <w:r w:rsidR="00AD6D83">
              <w:rPr>
                <w:noProof/>
                <w:webHidden/>
              </w:rPr>
              <w:fldChar w:fldCharType="separate"/>
            </w:r>
            <w:r>
              <w:rPr>
                <w:noProof/>
                <w:webHidden/>
              </w:rPr>
              <w:t>9</w:t>
            </w:r>
            <w:r w:rsidR="00AD6D83">
              <w:rPr>
                <w:noProof/>
                <w:webHidden/>
              </w:rPr>
              <w:fldChar w:fldCharType="end"/>
            </w:r>
          </w:hyperlink>
        </w:p>
        <w:p w14:paraId="1A70B6E6" w14:textId="721DBA67" w:rsidR="00AD6D83" w:rsidRDefault="000E466E">
          <w:pPr>
            <w:pStyle w:val="TOC3"/>
            <w:rPr>
              <w:rFonts w:asciiTheme="minorHAnsi" w:eastAsiaTheme="minorEastAsia" w:hAnsiTheme="minorHAnsi" w:cstheme="minorBidi"/>
              <w:b w:val="0"/>
              <w:noProof/>
              <w:szCs w:val="22"/>
              <w:lang w:eastAsia="en-AU"/>
            </w:rPr>
          </w:pPr>
          <w:hyperlink w:anchor="_Toc38379347" w:history="1">
            <w:r w:rsidR="00AD6D83" w:rsidRPr="00287A9D">
              <w:rPr>
                <w:rStyle w:val="Hyperlink"/>
                <w:noProof/>
              </w:rPr>
              <w:t xml:space="preserve">Low </w:t>
            </w:r>
            <w:r>
              <w:rPr>
                <w:rStyle w:val="Hyperlink"/>
                <w:noProof/>
              </w:rPr>
              <w:t>d</w:t>
            </w:r>
            <w:r w:rsidR="00AD6D83" w:rsidRPr="00287A9D">
              <w:rPr>
                <w:rStyle w:val="Hyperlink"/>
                <w:noProof/>
              </w:rPr>
              <w:t xml:space="preserve">ose </w:t>
            </w:r>
            <w:r>
              <w:rPr>
                <w:rStyle w:val="Hyperlink"/>
                <w:noProof/>
              </w:rPr>
              <w:t>r</w:t>
            </w:r>
            <w:r w:rsidR="00AD6D83" w:rsidRPr="00287A9D">
              <w:rPr>
                <w:rStyle w:val="Hyperlink"/>
                <w:noProof/>
              </w:rPr>
              <w:t>ange (Less than or equal to 1 mg/kg/day)</w:t>
            </w:r>
            <w:r w:rsidR="00AD6D83">
              <w:rPr>
                <w:noProof/>
                <w:webHidden/>
              </w:rPr>
              <w:tab/>
            </w:r>
            <w:r w:rsidR="00AD6D83">
              <w:rPr>
                <w:noProof/>
                <w:webHidden/>
              </w:rPr>
              <w:fldChar w:fldCharType="begin"/>
            </w:r>
            <w:r w:rsidR="00AD6D83">
              <w:rPr>
                <w:noProof/>
                <w:webHidden/>
              </w:rPr>
              <w:instrText xml:space="preserve"> PAGEREF _Toc38379347 \h </w:instrText>
            </w:r>
            <w:r w:rsidR="00AD6D83">
              <w:rPr>
                <w:noProof/>
                <w:webHidden/>
              </w:rPr>
            </w:r>
            <w:r w:rsidR="00AD6D83">
              <w:rPr>
                <w:noProof/>
                <w:webHidden/>
              </w:rPr>
              <w:fldChar w:fldCharType="separate"/>
            </w:r>
            <w:r>
              <w:rPr>
                <w:noProof/>
                <w:webHidden/>
              </w:rPr>
              <w:t>9</w:t>
            </w:r>
            <w:r w:rsidR="00AD6D83">
              <w:rPr>
                <w:noProof/>
                <w:webHidden/>
              </w:rPr>
              <w:fldChar w:fldCharType="end"/>
            </w:r>
          </w:hyperlink>
        </w:p>
        <w:p w14:paraId="7125444F" w14:textId="1C71E2AD" w:rsidR="00AD6D83" w:rsidRDefault="000E466E">
          <w:pPr>
            <w:pStyle w:val="TOC3"/>
            <w:rPr>
              <w:rFonts w:asciiTheme="minorHAnsi" w:eastAsiaTheme="minorEastAsia" w:hAnsiTheme="minorHAnsi" w:cstheme="minorBidi"/>
              <w:b w:val="0"/>
              <w:noProof/>
              <w:szCs w:val="22"/>
              <w:lang w:eastAsia="en-AU"/>
            </w:rPr>
          </w:pPr>
          <w:hyperlink w:anchor="_Toc38379348" w:history="1">
            <w:r w:rsidR="00AD6D83" w:rsidRPr="00287A9D">
              <w:rPr>
                <w:rStyle w:val="Hyperlink"/>
                <w:noProof/>
              </w:rPr>
              <w:t xml:space="preserve">Recommended </w:t>
            </w:r>
            <w:r>
              <w:rPr>
                <w:rStyle w:val="Hyperlink"/>
                <w:noProof/>
              </w:rPr>
              <w:t>l</w:t>
            </w:r>
            <w:r w:rsidR="00AD6D83" w:rsidRPr="00287A9D">
              <w:rPr>
                <w:rStyle w:val="Hyperlink"/>
                <w:noProof/>
              </w:rPr>
              <w:t xml:space="preserve">ow </w:t>
            </w:r>
            <w:r>
              <w:rPr>
                <w:rStyle w:val="Hyperlink"/>
                <w:noProof/>
              </w:rPr>
              <w:t>d</w:t>
            </w:r>
            <w:r w:rsidR="00AD6D83" w:rsidRPr="00287A9D">
              <w:rPr>
                <w:rStyle w:val="Hyperlink"/>
                <w:noProof/>
              </w:rPr>
              <w:t xml:space="preserve">ose </w:t>
            </w:r>
            <w:r>
              <w:rPr>
                <w:rStyle w:val="Hyperlink"/>
                <w:noProof/>
              </w:rPr>
              <w:t>r</w:t>
            </w:r>
            <w:r w:rsidR="00AD6D83" w:rsidRPr="00287A9D">
              <w:rPr>
                <w:rStyle w:val="Hyperlink"/>
                <w:noProof/>
              </w:rPr>
              <w:t>ange – up to 60mg/day based on a dose of 1 mg/kg/day</w:t>
            </w:r>
            <w:r w:rsidR="00AD6D83">
              <w:rPr>
                <w:noProof/>
                <w:webHidden/>
              </w:rPr>
              <w:tab/>
            </w:r>
            <w:r w:rsidR="00AD6D83">
              <w:rPr>
                <w:noProof/>
                <w:webHidden/>
              </w:rPr>
              <w:fldChar w:fldCharType="begin"/>
            </w:r>
            <w:r w:rsidR="00AD6D83">
              <w:rPr>
                <w:noProof/>
                <w:webHidden/>
              </w:rPr>
              <w:instrText xml:space="preserve"> PAGEREF _Toc38379348 \h </w:instrText>
            </w:r>
            <w:r w:rsidR="00AD6D83">
              <w:rPr>
                <w:noProof/>
                <w:webHidden/>
              </w:rPr>
            </w:r>
            <w:r w:rsidR="00AD6D83">
              <w:rPr>
                <w:noProof/>
                <w:webHidden/>
              </w:rPr>
              <w:fldChar w:fldCharType="separate"/>
            </w:r>
            <w:r>
              <w:rPr>
                <w:noProof/>
                <w:webHidden/>
              </w:rPr>
              <w:t>10</w:t>
            </w:r>
            <w:r w:rsidR="00AD6D83">
              <w:rPr>
                <w:noProof/>
                <w:webHidden/>
              </w:rPr>
              <w:fldChar w:fldCharType="end"/>
            </w:r>
          </w:hyperlink>
        </w:p>
        <w:p w14:paraId="3DBA71BA" w14:textId="01BB7847" w:rsidR="00AD6D83" w:rsidRDefault="000E466E">
          <w:pPr>
            <w:pStyle w:val="TOC2"/>
            <w:rPr>
              <w:rFonts w:asciiTheme="minorHAnsi" w:eastAsiaTheme="minorEastAsia" w:hAnsiTheme="minorHAnsi" w:cstheme="minorBidi"/>
              <w:b w:val="0"/>
              <w:noProof/>
              <w:sz w:val="22"/>
              <w:szCs w:val="22"/>
              <w:lang w:eastAsia="en-AU"/>
            </w:rPr>
          </w:pPr>
          <w:hyperlink w:anchor="_Toc38379349" w:history="1">
            <w:r w:rsidR="00AD6D83" w:rsidRPr="00287A9D">
              <w:rPr>
                <w:rStyle w:val="Hyperlink"/>
                <w:noProof/>
              </w:rPr>
              <w:t>Safety and</w:t>
            </w:r>
            <w:r>
              <w:rPr>
                <w:rStyle w:val="Hyperlink"/>
                <w:noProof/>
              </w:rPr>
              <w:t xml:space="preserve"> a</w:t>
            </w:r>
            <w:r w:rsidR="00AD6D83" w:rsidRPr="00287A9D">
              <w:rPr>
                <w:rStyle w:val="Hyperlink"/>
                <w:noProof/>
              </w:rPr>
              <w:t xml:space="preserve">dverse </w:t>
            </w:r>
            <w:r>
              <w:rPr>
                <w:rStyle w:val="Hyperlink"/>
                <w:noProof/>
              </w:rPr>
              <w:t>e</w:t>
            </w:r>
            <w:r w:rsidR="00AD6D83" w:rsidRPr="00287A9D">
              <w:rPr>
                <w:rStyle w:val="Hyperlink"/>
                <w:noProof/>
              </w:rPr>
              <w:t>vents</w:t>
            </w:r>
            <w:r w:rsidR="00AD6D83">
              <w:rPr>
                <w:noProof/>
                <w:webHidden/>
              </w:rPr>
              <w:tab/>
            </w:r>
            <w:r w:rsidR="00AD6D83">
              <w:rPr>
                <w:noProof/>
                <w:webHidden/>
              </w:rPr>
              <w:fldChar w:fldCharType="begin"/>
            </w:r>
            <w:r w:rsidR="00AD6D83">
              <w:rPr>
                <w:noProof/>
                <w:webHidden/>
              </w:rPr>
              <w:instrText xml:space="preserve"> PAGEREF _Toc38379349 \h </w:instrText>
            </w:r>
            <w:r w:rsidR="00AD6D83">
              <w:rPr>
                <w:noProof/>
                <w:webHidden/>
              </w:rPr>
            </w:r>
            <w:r w:rsidR="00AD6D83">
              <w:rPr>
                <w:noProof/>
                <w:webHidden/>
              </w:rPr>
              <w:fldChar w:fldCharType="separate"/>
            </w:r>
            <w:r>
              <w:rPr>
                <w:noProof/>
                <w:webHidden/>
              </w:rPr>
              <w:t>10</w:t>
            </w:r>
            <w:r w:rsidR="00AD6D83">
              <w:rPr>
                <w:noProof/>
                <w:webHidden/>
              </w:rPr>
              <w:fldChar w:fldCharType="end"/>
            </w:r>
          </w:hyperlink>
        </w:p>
        <w:p w14:paraId="34A9BD1F" w14:textId="6B54FB81" w:rsidR="00AD6D83" w:rsidRDefault="000E466E">
          <w:pPr>
            <w:pStyle w:val="TOC3"/>
            <w:rPr>
              <w:rFonts w:asciiTheme="minorHAnsi" w:eastAsiaTheme="minorEastAsia" w:hAnsiTheme="minorHAnsi" w:cstheme="minorBidi"/>
              <w:b w:val="0"/>
              <w:noProof/>
              <w:szCs w:val="22"/>
              <w:lang w:eastAsia="en-AU"/>
            </w:rPr>
          </w:pPr>
          <w:hyperlink w:anchor="_Toc38379350" w:history="1">
            <w:r w:rsidR="00AD6D83" w:rsidRPr="00287A9D">
              <w:rPr>
                <w:rStyle w:val="Hyperlink"/>
                <w:noProof/>
              </w:rPr>
              <w:t>Drug interactions</w:t>
            </w:r>
            <w:r w:rsidR="00AD6D83">
              <w:rPr>
                <w:noProof/>
                <w:webHidden/>
              </w:rPr>
              <w:tab/>
            </w:r>
            <w:r w:rsidR="00AD6D83">
              <w:rPr>
                <w:noProof/>
                <w:webHidden/>
              </w:rPr>
              <w:fldChar w:fldCharType="begin"/>
            </w:r>
            <w:r w:rsidR="00AD6D83">
              <w:rPr>
                <w:noProof/>
                <w:webHidden/>
              </w:rPr>
              <w:instrText xml:space="preserve"> PAGEREF _Toc38379350 \h </w:instrText>
            </w:r>
            <w:r w:rsidR="00AD6D83">
              <w:rPr>
                <w:noProof/>
                <w:webHidden/>
              </w:rPr>
            </w:r>
            <w:r w:rsidR="00AD6D83">
              <w:rPr>
                <w:noProof/>
                <w:webHidden/>
              </w:rPr>
              <w:fldChar w:fldCharType="separate"/>
            </w:r>
            <w:r>
              <w:rPr>
                <w:noProof/>
                <w:webHidden/>
              </w:rPr>
              <w:t>12</w:t>
            </w:r>
            <w:r w:rsidR="00AD6D83">
              <w:rPr>
                <w:noProof/>
                <w:webHidden/>
              </w:rPr>
              <w:fldChar w:fldCharType="end"/>
            </w:r>
          </w:hyperlink>
        </w:p>
        <w:p w14:paraId="6EC90BDA" w14:textId="56C4A1C7" w:rsidR="00AD6D83" w:rsidRDefault="000E466E">
          <w:pPr>
            <w:pStyle w:val="TOC2"/>
            <w:rPr>
              <w:rFonts w:asciiTheme="minorHAnsi" w:eastAsiaTheme="minorEastAsia" w:hAnsiTheme="minorHAnsi" w:cstheme="minorBidi"/>
              <w:b w:val="0"/>
              <w:noProof/>
              <w:sz w:val="22"/>
              <w:szCs w:val="22"/>
              <w:lang w:eastAsia="en-AU"/>
            </w:rPr>
          </w:pPr>
          <w:hyperlink w:anchor="_Toc38379351" w:history="1">
            <w:r w:rsidR="00AD6D83" w:rsidRPr="00287A9D">
              <w:rPr>
                <w:rStyle w:val="Hyperlink"/>
                <w:noProof/>
              </w:rPr>
              <w:t>Other matters for consideration</w:t>
            </w:r>
            <w:r w:rsidR="00AD6D83">
              <w:rPr>
                <w:noProof/>
                <w:webHidden/>
              </w:rPr>
              <w:tab/>
            </w:r>
            <w:r w:rsidR="00AD6D83">
              <w:rPr>
                <w:noProof/>
                <w:webHidden/>
              </w:rPr>
              <w:fldChar w:fldCharType="begin"/>
            </w:r>
            <w:r w:rsidR="00AD6D83">
              <w:rPr>
                <w:noProof/>
                <w:webHidden/>
              </w:rPr>
              <w:instrText xml:space="preserve"> PAGEREF _Toc38379351 \h </w:instrText>
            </w:r>
            <w:r w:rsidR="00AD6D83">
              <w:rPr>
                <w:noProof/>
                <w:webHidden/>
              </w:rPr>
            </w:r>
            <w:r w:rsidR="00AD6D83">
              <w:rPr>
                <w:noProof/>
                <w:webHidden/>
              </w:rPr>
              <w:fldChar w:fldCharType="separate"/>
            </w:r>
            <w:r>
              <w:rPr>
                <w:noProof/>
                <w:webHidden/>
              </w:rPr>
              <w:t>12</w:t>
            </w:r>
            <w:r w:rsidR="00AD6D83">
              <w:rPr>
                <w:noProof/>
                <w:webHidden/>
              </w:rPr>
              <w:fldChar w:fldCharType="end"/>
            </w:r>
          </w:hyperlink>
        </w:p>
        <w:p w14:paraId="31D88FE0" w14:textId="34F9AEFD" w:rsidR="00AD6D83" w:rsidRDefault="000E466E">
          <w:pPr>
            <w:pStyle w:val="TOC3"/>
            <w:rPr>
              <w:rFonts w:asciiTheme="minorHAnsi" w:eastAsiaTheme="minorEastAsia" w:hAnsiTheme="minorHAnsi" w:cstheme="minorBidi"/>
              <w:b w:val="0"/>
              <w:noProof/>
              <w:szCs w:val="22"/>
              <w:lang w:eastAsia="en-AU"/>
            </w:rPr>
          </w:pPr>
          <w:hyperlink w:anchor="_Toc38379352" w:history="1">
            <w:r w:rsidR="00AD6D83" w:rsidRPr="00287A9D">
              <w:rPr>
                <w:rStyle w:val="Hyperlink"/>
                <w:noProof/>
              </w:rPr>
              <w:t>Optical Isomers (Enantiomers)</w:t>
            </w:r>
            <w:r w:rsidR="00AD6D83">
              <w:rPr>
                <w:noProof/>
                <w:webHidden/>
              </w:rPr>
              <w:tab/>
            </w:r>
            <w:r w:rsidR="00AD6D83">
              <w:rPr>
                <w:noProof/>
                <w:webHidden/>
              </w:rPr>
              <w:fldChar w:fldCharType="begin"/>
            </w:r>
            <w:r w:rsidR="00AD6D83">
              <w:rPr>
                <w:noProof/>
                <w:webHidden/>
              </w:rPr>
              <w:instrText xml:space="preserve"> PAGEREF _Toc38379352 \h </w:instrText>
            </w:r>
            <w:r w:rsidR="00AD6D83">
              <w:rPr>
                <w:noProof/>
                <w:webHidden/>
              </w:rPr>
            </w:r>
            <w:r w:rsidR="00AD6D83">
              <w:rPr>
                <w:noProof/>
                <w:webHidden/>
              </w:rPr>
              <w:fldChar w:fldCharType="separate"/>
            </w:r>
            <w:r>
              <w:rPr>
                <w:noProof/>
                <w:webHidden/>
              </w:rPr>
              <w:t>12</w:t>
            </w:r>
            <w:r w:rsidR="00AD6D83">
              <w:rPr>
                <w:noProof/>
                <w:webHidden/>
              </w:rPr>
              <w:fldChar w:fldCharType="end"/>
            </w:r>
          </w:hyperlink>
        </w:p>
        <w:p w14:paraId="5C144A95" w14:textId="7C6A8685" w:rsidR="00AD6D83" w:rsidRDefault="000E466E">
          <w:pPr>
            <w:pStyle w:val="TOC3"/>
            <w:rPr>
              <w:rFonts w:asciiTheme="minorHAnsi" w:eastAsiaTheme="minorEastAsia" w:hAnsiTheme="minorHAnsi" w:cstheme="minorBidi"/>
              <w:b w:val="0"/>
              <w:noProof/>
              <w:szCs w:val="22"/>
              <w:lang w:eastAsia="en-AU"/>
            </w:rPr>
          </w:pPr>
          <w:hyperlink w:anchor="_Toc38379353" w:history="1">
            <w:r w:rsidR="00AD6D83" w:rsidRPr="00287A9D">
              <w:rPr>
                <w:rStyle w:val="Hyperlink"/>
                <w:noProof/>
              </w:rPr>
              <w:t xml:space="preserve">Entourage </w:t>
            </w:r>
            <w:r>
              <w:rPr>
                <w:rStyle w:val="Hyperlink"/>
                <w:noProof/>
              </w:rPr>
              <w:t>e</w:t>
            </w:r>
            <w:r w:rsidR="00AD6D83" w:rsidRPr="00287A9D">
              <w:rPr>
                <w:rStyle w:val="Hyperlink"/>
                <w:noProof/>
              </w:rPr>
              <w:t>ffect</w:t>
            </w:r>
            <w:r w:rsidR="00AD6D83">
              <w:rPr>
                <w:noProof/>
                <w:webHidden/>
              </w:rPr>
              <w:tab/>
            </w:r>
            <w:r w:rsidR="00AD6D83">
              <w:rPr>
                <w:noProof/>
                <w:webHidden/>
              </w:rPr>
              <w:fldChar w:fldCharType="begin"/>
            </w:r>
            <w:r w:rsidR="00AD6D83">
              <w:rPr>
                <w:noProof/>
                <w:webHidden/>
              </w:rPr>
              <w:instrText xml:space="preserve"> PAGEREF _Toc38379353 \h </w:instrText>
            </w:r>
            <w:r w:rsidR="00AD6D83">
              <w:rPr>
                <w:noProof/>
                <w:webHidden/>
              </w:rPr>
            </w:r>
            <w:r w:rsidR="00AD6D83">
              <w:rPr>
                <w:noProof/>
                <w:webHidden/>
              </w:rPr>
              <w:fldChar w:fldCharType="separate"/>
            </w:r>
            <w:r>
              <w:rPr>
                <w:noProof/>
                <w:webHidden/>
              </w:rPr>
              <w:t>12</w:t>
            </w:r>
            <w:r w:rsidR="00AD6D83">
              <w:rPr>
                <w:noProof/>
                <w:webHidden/>
              </w:rPr>
              <w:fldChar w:fldCharType="end"/>
            </w:r>
          </w:hyperlink>
        </w:p>
        <w:p w14:paraId="117E178A" w14:textId="36E7459F" w:rsidR="00AD6D83" w:rsidRDefault="000E466E">
          <w:pPr>
            <w:pStyle w:val="TOC3"/>
            <w:rPr>
              <w:rFonts w:asciiTheme="minorHAnsi" w:eastAsiaTheme="minorEastAsia" w:hAnsiTheme="minorHAnsi" w:cstheme="minorBidi"/>
              <w:b w:val="0"/>
              <w:noProof/>
              <w:szCs w:val="22"/>
              <w:lang w:eastAsia="en-AU"/>
            </w:rPr>
          </w:pPr>
          <w:hyperlink w:anchor="_Toc38379354" w:history="1">
            <w:r w:rsidR="00AD6D83" w:rsidRPr="00287A9D">
              <w:rPr>
                <w:rStyle w:val="Hyperlink"/>
                <w:noProof/>
              </w:rPr>
              <w:t>Formulation</w:t>
            </w:r>
            <w:r w:rsidR="00AD6D83">
              <w:rPr>
                <w:noProof/>
                <w:webHidden/>
              </w:rPr>
              <w:tab/>
            </w:r>
            <w:r w:rsidR="00AD6D83">
              <w:rPr>
                <w:noProof/>
                <w:webHidden/>
              </w:rPr>
              <w:fldChar w:fldCharType="begin"/>
            </w:r>
            <w:r w:rsidR="00AD6D83">
              <w:rPr>
                <w:noProof/>
                <w:webHidden/>
              </w:rPr>
              <w:instrText xml:space="preserve"> PAGEREF _Toc38379354 \h </w:instrText>
            </w:r>
            <w:r w:rsidR="00AD6D83">
              <w:rPr>
                <w:noProof/>
                <w:webHidden/>
              </w:rPr>
            </w:r>
            <w:r w:rsidR="00AD6D83">
              <w:rPr>
                <w:noProof/>
                <w:webHidden/>
              </w:rPr>
              <w:fldChar w:fldCharType="separate"/>
            </w:r>
            <w:r>
              <w:rPr>
                <w:noProof/>
                <w:webHidden/>
              </w:rPr>
              <w:t>13</w:t>
            </w:r>
            <w:r w:rsidR="00AD6D83">
              <w:rPr>
                <w:noProof/>
                <w:webHidden/>
              </w:rPr>
              <w:fldChar w:fldCharType="end"/>
            </w:r>
          </w:hyperlink>
        </w:p>
        <w:p w14:paraId="2D59C1B5" w14:textId="164AA81E" w:rsidR="00AD6D83" w:rsidRDefault="000E466E">
          <w:pPr>
            <w:pStyle w:val="TOC3"/>
            <w:rPr>
              <w:rFonts w:asciiTheme="minorHAnsi" w:eastAsiaTheme="minorEastAsia" w:hAnsiTheme="minorHAnsi" w:cstheme="minorBidi"/>
              <w:b w:val="0"/>
              <w:noProof/>
              <w:szCs w:val="22"/>
              <w:lang w:eastAsia="en-AU"/>
            </w:rPr>
          </w:pPr>
          <w:hyperlink w:anchor="_Toc38379355" w:history="1">
            <w:r w:rsidR="00AD6D83" w:rsidRPr="00287A9D">
              <w:rPr>
                <w:rStyle w:val="Hyperlink"/>
                <w:noProof/>
              </w:rPr>
              <w:t>Conclusion</w:t>
            </w:r>
            <w:r w:rsidR="00AD6D83">
              <w:rPr>
                <w:noProof/>
                <w:webHidden/>
              </w:rPr>
              <w:tab/>
            </w:r>
            <w:r w:rsidR="00AD6D83">
              <w:rPr>
                <w:noProof/>
                <w:webHidden/>
              </w:rPr>
              <w:fldChar w:fldCharType="begin"/>
            </w:r>
            <w:r w:rsidR="00AD6D83">
              <w:rPr>
                <w:noProof/>
                <w:webHidden/>
              </w:rPr>
              <w:instrText xml:space="preserve"> PAGEREF _Toc38379355 \h </w:instrText>
            </w:r>
            <w:r w:rsidR="00AD6D83">
              <w:rPr>
                <w:noProof/>
                <w:webHidden/>
              </w:rPr>
            </w:r>
            <w:r w:rsidR="00AD6D83">
              <w:rPr>
                <w:noProof/>
                <w:webHidden/>
              </w:rPr>
              <w:fldChar w:fldCharType="separate"/>
            </w:r>
            <w:r>
              <w:rPr>
                <w:noProof/>
                <w:webHidden/>
              </w:rPr>
              <w:t>13</w:t>
            </w:r>
            <w:r w:rsidR="00AD6D83">
              <w:rPr>
                <w:noProof/>
                <w:webHidden/>
              </w:rPr>
              <w:fldChar w:fldCharType="end"/>
            </w:r>
          </w:hyperlink>
        </w:p>
        <w:p w14:paraId="6768F58C" w14:textId="4AECB8DB" w:rsidR="00AD6D83" w:rsidRDefault="000E466E">
          <w:pPr>
            <w:pStyle w:val="TOC2"/>
            <w:rPr>
              <w:rFonts w:asciiTheme="minorHAnsi" w:eastAsiaTheme="minorEastAsia" w:hAnsiTheme="minorHAnsi" w:cstheme="minorBidi"/>
              <w:b w:val="0"/>
              <w:noProof/>
              <w:sz w:val="22"/>
              <w:szCs w:val="22"/>
              <w:lang w:eastAsia="en-AU"/>
            </w:rPr>
          </w:pPr>
          <w:hyperlink w:anchor="_Toc38379356" w:history="1">
            <w:r w:rsidR="00AD6D83" w:rsidRPr="00287A9D">
              <w:rPr>
                <w:rStyle w:val="Hyperlink"/>
                <w:noProof/>
              </w:rPr>
              <w:t>Appendix A</w:t>
            </w:r>
            <w:r w:rsidR="00AD6D83">
              <w:rPr>
                <w:noProof/>
                <w:webHidden/>
              </w:rPr>
              <w:tab/>
            </w:r>
            <w:r w:rsidR="00AD6D83">
              <w:rPr>
                <w:noProof/>
                <w:webHidden/>
              </w:rPr>
              <w:fldChar w:fldCharType="begin"/>
            </w:r>
            <w:r w:rsidR="00AD6D83">
              <w:rPr>
                <w:noProof/>
                <w:webHidden/>
              </w:rPr>
              <w:instrText xml:space="preserve"> PAGEREF _Toc38379356 \h </w:instrText>
            </w:r>
            <w:r w:rsidR="00AD6D83">
              <w:rPr>
                <w:noProof/>
                <w:webHidden/>
              </w:rPr>
            </w:r>
            <w:r w:rsidR="00AD6D83">
              <w:rPr>
                <w:noProof/>
                <w:webHidden/>
              </w:rPr>
              <w:fldChar w:fldCharType="separate"/>
            </w:r>
            <w:r>
              <w:rPr>
                <w:noProof/>
                <w:webHidden/>
              </w:rPr>
              <w:t>14</w:t>
            </w:r>
            <w:r w:rsidR="00AD6D83">
              <w:rPr>
                <w:noProof/>
                <w:webHidden/>
              </w:rPr>
              <w:fldChar w:fldCharType="end"/>
            </w:r>
          </w:hyperlink>
        </w:p>
        <w:p w14:paraId="40A0EFEC" w14:textId="02CEEEEA" w:rsidR="00AD6D83" w:rsidRDefault="000E466E">
          <w:pPr>
            <w:pStyle w:val="TOC3"/>
            <w:rPr>
              <w:rFonts w:asciiTheme="minorHAnsi" w:eastAsiaTheme="minorEastAsia" w:hAnsiTheme="minorHAnsi" w:cstheme="minorBidi"/>
              <w:b w:val="0"/>
              <w:noProof/>
              <w:szCs w:val="22"/>
              <w:lang w:eastAsia="en-AU"/>
            </w:rPr>
          </w:pPr>
          <w:hyperlink w:anchor="_Toc38379357" w:history="1">
            <w:r w:rsidR="00AD6D83" w:rsidRPr="00287A9D">
              <w:rPr>
                <w:rStyle w:val="Hyperlink"/>
                <w:noProof/>
              </w:rPr>
              <w:t xml:space="preserve">Search </w:t>
            </w:r>
            <w:r>
              <w:rPr>
                <w:rStyle w:val="Hyperlink"/>
                <w:noProof/>
              </w:rPr>
              <w:t>s</w:t>
            </w:r>
            <w:bookmarkStart w:id="0" w:name="_GoBack"/>
            <w:bookmarkEnd w:id="0"/>
            <w:r w:rsidR="00AD6D83" w:rsidRPr="00287A9D">
              <w:rPr>
                <w:rStyle w:val="Hyperlink"/>
                <w:noProof/>
              </w:rPr>
              <w:t>trategy</w:t>
            </w:r>
            <w:r w:rsidR="00AD6D83">
              <w:rPr>
                <w:noProof/>
                <w:webHidden/>
              </w:rPr>
              <w:tab/>
            </w:r>
            <w:r w:rsidR="00AD6D83">
              <w:rPr>
                <w:noProof/>
                <w:webHidden/>
              </w:rPr>
              <w:fldChar w:fldCharType="begin"/>
            </w:r>
            <w:r w:rsidR="00AD6D83">
              <w:rPr>
                <w:noProof/>
                <w:webHidden/>
              </w:rPr>
              <w:instrText xml:space="preserve"> PAGEREF _Toc38379357 \h </w:instrText>
            </w:r>
            <w:r w:rsidR="00AD6D83">
              <w:rPr>
                <w:noProof/>
                <w:webHidden/>
              </w:rPr>
            </w:r>
            <w:r w:rsidR="00AD6D83">
              <w:rPr>
                <w:noProof/>
                <w:webHidden/>
              </w:rPr>
              <w:fldChar w:fldCharType="separate"/>
            </w:r>
            <w:r>
              <w:rPr>
                <w:noProof/>
                <w:webHidden/>
              </w:rPr>
              <w:t>14</w:t>
            </w:r>
            <w:r w:rsidR="00AD6D83">
              <w:rPr>
                <w:noProof/>
                <w:webHidden/>
              </w:rPr>
              <w:fldChar w:fldCharType="end"/>
            </w:r>
          </w:hyperlink>
        </w:p>
        <w:p w14:paraId="7921186F" w14:textId="63101CB5" w:rsidR="00AD6D83" w:rsidRDefault="000E466E">
          <w:pPr>
            <w:pStyle w:val="TOC2"/>
            <w:rPr>
              <w:rFonts w:asciiTheme="minorHAnsi" w:eastAsiaTheme="minorEastAsia" w:hAnsiTheme="minorHAnsi" w:cstheme="minorBidi"/>
              <w:b w:val="0"/>
              <w:noProof/>
              <w:sz w:val="22"/>
              <w:szCs w:val="22"/>
              <w:lang w:eastAsia="en-AU"/>
            </w:rPr>
          </w:pPr>
          <w:hyperlink w:anchor="_Toc38379358" w:history="1">
            <w:r w:rsidR="00AD6D83" w:rsidRPr="00287A9D">
              <w:rPr>
                <w:rStyle w:val="Hyperlink"/>
                <w:noProof/>
              </w:rPr>
              <w:t>Appendix B</w:t>
            </w:r>
            <w:r w:rsidR="00AD6D83">
              <w:rPr>
                <w:noProof/>
                <w:webHidden/>
              </w:rPr>
              <w:tab/>
            </w:r>
            <w:r w:rsidR="00AD6D83">
              <w:rPr>
                <w:noProof/>
                <w:webHidden/>
              </w:rPr>
              <w:fldChar w:fldCharType="begin"/>
            </w:r>
            <w:r w:rsidR="00AD6D83">
              <w:rPr>
                <w:noProof/>
                <w:webHidden/>
              </w:rPr>
              <w:instrText xml:space="preserve"> PAGEREF _Toc38379358 \h </w:instrText>
            </w:r>
            <w:r w:rsidR="00AD6D83">
              <w:rPr>
                <w:noProof/>
                <w:webHidden/>
              </w:rPr>
            </w:r>
            <w:r w:rsidR="00AD6D83">
              <w:rPr>
                <w:noProof/>
                <w:webHidden/>
              </w:rPr>
              <w:fldChar w:fldCharType="separate"/>
            </w:r>
            <w:r>
              <w:rPr>
                <w:noProof/>
                <w:webHidden/>
              </w:rPr>
              <w:t>16</w:t>
            </w:r>
            <w:r w:rsidR="00AD6D83">
              <w:rPr>
                <w:noProof/>
                <w:webHidden/>
              </w:rPr>
              <w:fldChar w:fldCharType="end"/>
            </w:r>
          </w:hyperlink>
        </w:p>
        <w:p w14:paraId="05B34327" w14:textId="745A9A93" w:rsidR="00AD6D83" w:rsidRDefault="000E466E">
          <w:pPr>
            <w:pStyle w:val="TOC3"/>
            <w:rPr>
              <w:rFonts w:asciiTheme="minorHAnsi" w:eastAsiaTheme="minorEastAsia" w:hAnsiTheme="minorHAnsi" w:cstheme="minorBidi"/>
              <w:b w:val="0"/>
              <w:noProof/>
              <w:szCs w:val="22"/>
              <w:lang w:eastAsia="en-AU"/>
            </w:rPr>
          </w:pPr>
          <w:hyperlink w:anchor="_Toc38379359" w:history="1">
            <w:r w:rsidR="00AD6D83" w:rsidRPr="00287A9D">
              <w:rPr>
                <w:rStyle w:val="Hyperlink"/>
                <w:noProof/>
              </w:rPr>
              <w:t>References</w:t>
            </w:r>
            <w:r w:rsidR="00AD6D83">
              <w:rPr>
                <w:noProof/>
                <w:webHidden/>
              </w:rPr>
              <w:tab/>
            </w:r>
            <w:r w:rsidR="00AD6D83">
              <w:rPr>
                <w:noProof/>
                <w:webHidden/>
              </w:rPr>
              <w:fldChar w:fldCharType="begin"/>
            </w:r>
            <w:r w:rsidR="00AD6D83">
              <w:rPr>
                <w:noProof/>
                <w:webHidden/>
              </w:rPr>
              <w:instrText xml:space="preserve"> PAGEREF _Toc38379359 \h </w:instrText>
            </w:r>
            <w:r w:rsidR="00AD6D83">
              <w:rPr>
                <w:noProof/>
                <w:webHidden/>
              </w:rPr>
            </w:r>
            <w:r w:rsidR="00AD6D83">
              <w:rPr>
                <w:noProof/>
                <w:webHidden/>
              </w:rPr>
              <w:fldChar w:fldCharType="separate"/>
            </w:r>
            <w:r>
              <w:rPr>
                <w:noProof/>
                <w:webHidden/>
              </w:rPr>
              <w:t>16</w:t>
            </w:r>
            <w:r w:rsidR="00AD6D83">
              <w:rPr>
                <w:noProof/>
                <w:webHidden/>
              </w:rPr>
              <w:fldChar w:fldCharType="end"/>
            </w:r>
          </w:hyperlink>
        </w:p>
        <w:p w14:paraId="4923E724" w14:textId="235F9A00" w:rsidR="00AD6D83" w:rsidRDefault="000E466E">
          <w:pPr>
            <w:pStyle w:val="TOC3"/>
            <w:rPr>
              <w:rFonts w:asciiTheme="minorHAnsi" w:eastAsiaTheme="minorEastAsia" w:hAnsiTheme="minorHAnsi" w:cstheme="minorBidi"/>
              <w:b w:val="0"/>
              <w:noProof/>
              <w:szCs w:val="22"/>
              <w:lang w:eastAsia="en-AU"/>
            </w:rPr>
          </w:pPr>
          <w:hyperlink w:anchor="_Toc38379360" w:history="1">
            <w:r w:rsidR="00AD6D83" w:rsidRPr="00287A9D">
              <w:rPr>
                <w:rStyle w:val="Hyperlink"/>
                <w:noProof/>
              </w:rPr>
              <w:t>Literature reviewed and not referenced (formed part of background knowledge)</w:t>
            </w:r>
            <w:r w:rsidR="00AD6D83">
              <w:rPr>
                <w:noProof/>
                <w:webHidden/>
              </w:rPr>
              <w:tab/>
            </w:r>
            <w:r w:rsidR="00AD6D83">
              <w:rPr>
                <w:noProof/>
                <w:webHidden/>
              </w:rPr>
              <w:fldChar w:fldCharType="begin"/>
            </w:r>
            <w:r w:rsidR="00AD6D83">
              <w:rPr>
                <w:noProof/>
                <w:webHidden/>
              </w:rPr>
              <w:instrText xml:space="preserve"> PAGEREF _Toc38379360 \h </w:instrText>
            </w:r>
            <w:r w:rsidR="00AD6D83">
              <w:rPr>
                <w:noProof/>
                <w:webHidden/>
              </w:rPr>
            </w:r>
            <w:r w:rsidR="00AD6D83">
              <w:rPr>
                <w:noProof/>
                <w:webHidden/>
              </w:rPr>
              <w:fldChar w:fldCharType="separate"/>
            </w:r>
            <w:r>
              <w:rPr>
                <w:noProof/>
                <w:webHidden/>
              </w:rPr>
              <w:t>17</w:t>
            </w:r>
            <w:r w:rsidR="00AD6D83">
              <w:rPr>
                <w:noProof/>
                <w:webHidden/>
              </w:rPr>
              <w:fldChar w:fldCharType="end"/>
            </w:r>
          </w:hyperlink>
        </w:p>
        <w:p w14:paraId="4DB5F861" w14:textId="22BC8931" w:rsidR="00F401EF" w:rsidRPr="00215D48" w:rsidRDefault="00F859D2" w:rsidP="00F401EF">
          <w:r w:rsidRPr="00215D48">
            <w:fldChar w:fldCharType="end"/>
          </w:r>
        </w:p>
      </w:sdtContent>
    </w:sdt>
    <w:p w14:paraId="59067130" w14:textId="514AE6DB" w:rsidR="00AA3EB9" w:rsidRPr="00AA6E83" w:rsidRDefault="00AA3EB9" w:rsidP="00AA6E83">
      <w:pPr>
        <w:pageBreakBefore/>
        <w:spacing w:before="0" w:after="0" w:line="240" w:lineRule="auto"/>
        <w:rPr>
          <w:sz w:val="2"/>
          <w:szCs w:val="2"/>
        </w:rPr>
      </w:pPr>
    </w:p>
    <w:tbl>
      <w:tblPr>
        <w:tblpPr w:leftFromText="180" w:rightFromText="180" w:vertAnchor="text" w:horzAnchor="margin" w:tblpY="80"/>
        <w:tblW w:w="9038" w:type="dxa"/>
        <w:tblLayout w:type="fixed"/>
        <w:tblCellMar>
          <w:left w:w="0" w:type="dxa"/>
          <w:right w:w="0" w:type="dxa"/>
        </w:tblCellMar>
        <w:tblLook w:val="04A0" w:firstRow="1" w:lastRow="0" w:firstColumn="1" w:lastColumn="0" w:noHBand="0" w:noVBand="1"/>
      </w:tblPr>
      <w:tblGrid>
        <w:gridCol w:w="1276"/>
        <w:gridCol w:w="7762"/>
      </w:tblGrid>
      <w:tr w:rsidR="00B050BF" w:rsidRPr="00215D48" w14:paraId="719C16DE" w14:textId="77777777" w:rsidTr="00B050BF">
        <w:tc>
          <w:tcPr>
            <w:tcW w:w="1276" w:type="dxa"/>
            <w:vAlign w:val="center"/>
          </w:tcPr>
          <w:p w14:paraId="67311102" w14:textId="77777777" w:rsidR="00B050BF" w:rsidRPr="00215D48" w:rsidRDefault="00B050BF" w:rsidP="00B050BF">
            <w:pPr>
              <w:spacing w:before="0"/>
              <w:rPr>
                <w:sz w:val="20"/>
              </w:rPr>
            </w:pPr>
            <w:r w:rsidRPr="00215D48">
              <w:rPr>
                <w:noProof/>
                <w:sz w:val="20"/>
                <w:lang w:eastAsia="en-AU"/>
              </w:rPr>
              <w:drawing>
                <wp:inline distT="0" distB="0" distL="0" distR="0" wp14:anchorId="5F1C522D" wp14:editId="5C898327">
                  <wp:extent cx="487681" cy="487681"/>
                  <wp:effectExtent l="19050" t="0" r="7619" b="0"/>
                  <wp:docPr id="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60665A02" w14:textId="15A1D08F" w:rsidR="005A35BE" w:rsidRDefault="005A35BE" w:rsidP="00AA6E83">
            <w:pPr>
              <w:pStyle w:val="ListBullet"/>
            </w:pPr>
            <w:r>
              <w:t xml:space="preserve">The review found that </w:t>
            </w:r>
            <w:r w:rsidR="00F0178E">
              <w:t>c</w:t>
            </w:r>
            <w:r w:rsidR="00B050BF">
              <w:t>annabidiol presents a</w:t>
            </w:r>
            <w:r w:rsidR="006E16C3">
              <w:t xml:space="preserve"> good</w:t>
            </w:r>
            <w:r w:rsidR="00B050BF">
              <w:t xml:space="preserve"> safety and tolerability profile at the low dose</w:t>
            </w:r>
            <w:r>
              <w:t xml:space="preserve"> </w:t>
            </w:r>
            <w:r w:rsidR="00B050BF">
              <w:t>range</w:t>
            </w:r>
            <w:r w:rsidR="00C734C5">
              <w:t xml:space="preserve"> of under 60mg/day</w:t>
            </w:r>
            <w:r>
              <w:t>.</w:t>
            </w:r>
          </w:p>
          <w:p w14:paraId="5197E83A" w14:textId="7BCAC2CE" w:rsidR="00D32E1A" w:rsidRDefault="005A35BE" w:rsidP="00AA6E83">
            <w:pPr>
              <w:pStyle w:val="ListBullet"/>
            </w:pPr>
            <w:r>
              <w:t xml:space="preserve">The </w:t>
            </w:r>
            <w:r w:rsidR="000F21E7">
              <w:t>review identified that there were</w:t>
            </w:r>
            <w:r>
              <w:t xml:space="preserve"> potential conditions for low dose </w:t>
            </w:r>
            <w:r w:rsidR="00F0178E">
              <w:t>c</w:t>
            </w:r>
            <w:r>
              <w:t>annabidiol that would not require oversight by a medical practitioner.</w:t>
            </w:r>
          </w:p>
          <w:p w14:paraId="4BB4C951" w14:textId="6BFD81A7" w:rsidR="00B050BF" w:rsidRPr="00215D48" w:rsidRDefault="00D32E1A" w:rsidP="00AA6E83">
            <w:pPr>
              <w:pStyle w:val="ListBullet"/>
            </w:pPr>
            <w:r>
              <w:t xml:space="preserve">Low dose </w:t>
            </w:r>
            <w:r w:rsidR="00F0178E">
              <w:t>c</w:t>
            </w:r>
            <w:r>
              <w:t>annabidiol</w:t>
            </w:r>
            <w:r w:rsidR="0089269C">
              <w:t xml:space="preserve"> for plant derived CBD or synthetic CBD which only contains the (-) CBD enantiomer</w:t>
            </w:r>
            <w:r w:rsidR="00DC327A">
              <w:t xml:space="preserve"> </w:t>
            </w:r>
            <w:r w:rsidR="00F3640E">
              <w:t>would be</w:t>
            </w:r>
            <w:r>
              <w:t xml:space="preserve"> suitable for consideration for down scheduling</w:t>
            </w:r>
            <w:r w:rsidR="008876E5">
              <w:t>, potentially to</w:t>
            </w:r>
            <w:r w:rsidR="00C734C5">
              <w:t xml:space="preserve"> Schedule 3</w:t>
            </w:r>
            <w:r w:rsidR="008876E5">
              <w:t xml:space="preserve">, given that the conditions for which it is proposed for use require oversight by a healthcare professional and there remains the potential for </w:t>
            </w:r>
            <w:r w:rsidR="007E3736">
              <w:t>d</w:t>
            </w:r>
            <w:r w:rsidR="008876E5">
              <w:t>rug-drug interactions</w:t>
            </w:r>
            <w:r w:rsidR="00C734C5">
              <w:t>.</w:t>
            </w:r>
          </w:p>
        </w:tc>
      </w:tr>
    </w:tbl>
    <w:p w14:paraId="0C2638D0" w14:textId="7BE332F3" w:rsidR="001525B4" w:rsidRDefault="00E67B8A" w:rsidP="00CD0F65">
      <w:pPr>
        <w:pStyle w:val="Heading2"/>
      </w:pPr>
      <w:bookmarkStart w:id="1" w:name="_Toc38379336"/>
      <w:r>
        <w:t xml:space="preserve">Safety of low dose </w:t>
      </w:r>
      <w:r w:rsidR="00F0178E">
        <w:t>c</w:t>
      </w:r>
      <w:r>
        <w:t>annabidiol</w:t>
      </w:r>
      <w:bookmarkEnd w:id="1"/>
    </w:p>
    <w:p w14:paraId="315E4846" w14:textId="77777777" w:rsidR="00C72FD7" w:rsidRPr="00C72FD7" w:rsidRDefault="00C72FD7" w:rsidP="00CD0F65">
      <w:pPr>
        <w:pStyle w:val="Heading3"/>
      </w:pPr>
      <w:bookmarkStart w:id="2" w:name="_Toc38379337"/>
      <w:r>
        <w:t>Introduction</w:t>
      </w:r>
      <w:bookmarkEnd w:id="2"/>
    </w:p>
    <w:p w14:paraId="09076E90" w14:textId="547C786A" w:rsidR="005C2421" w:rsidRDefault="006C4485" w:rsidP="00CD0F65">
      <w:r>
        <w:t>Cannabidiol</w:t>
      </w:r>
      <w:r w:rsidR="00FC47EF">
        <w:t xml:space="preserve"> (CBD)</w:t>
      </w:r>
      <w:r>
        <w:t>, a cannabinoid derived from the Cannabis plant,</w:t>
      </w:r>
      <w:r w:rsidR="0025079E">
        <w:t xml:space="preserve"> is being supplied as a medicine in Australia</w:t>
      </w:r>
      <w:r w:rsidR="00D8305D">
        <w:t>, but often as a component of oils and extracts of cannabis</w:t>
      </w:r>
      <w:r w:rsidR="0025079E">
        <w:t xml:space="preserve">. </w:t>
      </w:r>
      <w:r w:rsidR="00D8305D">
        <w:t>A purified product has recently been approved for treatment of certain p</w:t>
      </w:r>
      <w:r w:rsidR="006F1175">
        <w:t>a</w:t>
      </w:r>
      <w:r w:rsidR="00D8305D">
        <w:t xml:space="preserve">ediatric epilepsies in the US and is under regulatory evaluation in Australia as a registered medicine. </w:t>
      </w:r>
      <w:r w:rsidR="0025079E">
        <w:t xml:space="preserve">There is increasing use, patient demand and health care practitioner interest in </w:t>
      </w:r>
      <w:r w:rsidR="00F36ECB">
        <w:t xml:space="preserve">its use in </w:t>
      </w:r>
      <w:r w:rsidR="000303F8">
        <w:t>clinical practice</w:t>
      </w:r>
      <w:r w:rsidR="00D8305D">
        <w:t>, as well as widespread use in over the counter medicines, complementary medicines and cosmetics in some countries</w:t>
      </w:r>
      <w:r w:rsidR="00CD0F65">
        <w:t>.</w:t>
      </w:r>
    </w:p>
    <w:p w14:paraId="7D294893" w14:textId="3F222F17" w:rsidR="006C4485" w:rsidRDefault="006C4485" w:rsidP="00CD0F65">
      <w:r>
        <w:t>In Australia</w:t>
      </w:r>
      <w:r w:rsidR="00EA2CE4">
        <w:t xml:space="preserve"> </w:t>
      </w:r>
      <w:r w:rsidR="00F36ECB">
        <w:t>CBD</w:t>
      </w:r>
      <w:r>
        <w:t xml:space="preserve"> </w:t>
      </w:r>
      <w:r w:rsidR="00570DE1">
        <w:t xml:space="preserve">is </w:t>
      </w:r>
      <w:r>
        <w:t>currently a schedule 4 substance</w:t>
      </w:r>
      <w:r w:rsidR="00EA2CE4">
        <w:t xml:space="preserve"> and therefore</w:t>
      </w:r>
      <w:r>
        <w:t xml:space="preserve"> </w:t>
      </w:r>
      <w:r w:rsidR="00F36ECB">
        <w:t xml:space="preserve">only </w:t>
      </w:r>
      <w:r>
        <w:t xml:space="preserve">available </w:t>
      </w:r>
      <w:r w:rsidR="00F36ECB">
        <w:t>with</w:t>
      </w:r>
      <w:r>
        <w:t xml:space="preserve"> a prescription.</w:t>
      </w:r>
      <w:r w:rsidR="0025079E">
        <w:t xml:space="preserve"> This access is seen by many as too restrictive noting it is available as an over the counter product (</w:t>
      </w:r>
      <w:r w:rsidR="00D8305D">
        <w:t xml:space="preserve">if provided </w:t>
      </w:r>
      <w:r w:rsidR="0025079E">
        <w:t xml:space="preserve">without medicinal claims) in some </w:t>
      </w:r>
      <w:r w:rsidR="0025079E" w:rsidRPr="002F544D">
        <w:t>jurisdictions</w:t>
      </w:r>
      <w:r w:rsidR="0025079E">
        <w:t xml:space="preserve"> such as the UK and </w:t>
      </w:r>
      <w:r w:rsidR="000303F8">
        <w:t>some US states; and</w:t>
      </w:r>
      <w:r w:rsidR="00D8305D">
        <w:t xml:space="preserve"> is widely available in some countries in other non-prescription products.</w:t>
      </w:r>
      <w:r w:rsidR="00CD0F65">
        <w:t xml:space="preserve"> </w:t>
      </w:r>
      <w:r w:rsidR="005C2421">
        <w:t>However</w:t>
      </w:r>
      <w:r w:rsidR="00EA2CE4">
        <w:t>,</w:t>
      </w:r>
      <w:r w:rsidR="005C2421">
        <w:t xml:space="preserve"> </w:t>
      </w:r>
      <w:r w:rsidR="004516C4">
        <w:t>currently there are no CBD medicines registered on the Australian Registe</w:t>
      </w:r>
      <w:r w:rsidR="00CD0F65">
        <w:t xml:space="preserve">r of Therapeutic Goods (ARTG). </w:t>
      </w:r>
      <w:r w:rsidR="00EA2CE4">
        <w:t>A</w:t>
      </w:r>
      <w:r w:rsidR="004516C4">
        <w:t>ccess is only available through the Special Access Scheme (SAS)</w:t>
      </w:r>
      <w:r w:rsidR="000074A3">
        <w:t xml:space="preserve"> </w:t>
      </w:r>
      <w:r w:rsidR="0025079E">
        <w:t xml:space="preserve">or </w:t>
      </w:r>
      <w:r w:rsidR="00B603CF">
        <w:t xml:space="preserve">Authorised Prescriber </w:t>
      </w:r>
      <w:r w:rsidR="0025079E">
        <w:t xml:space="preserve">(AP) scheme </w:t>
      </w:r>
      <w:r w:rsidR="000074A3">
        <w:t>up</w:t>
      </w:r>
      <w:r w:rsidR="00CD0F65">
        <w:t>on application by a clinician.</w:t>
      </w:r>
    </w:p>
    <w:p w14:paraId="767DC0CB" w14:textId="7A7AFD5B" w:rsidR="00D660E3" w:rsidRPr="001F12C5" w:rsidRDefault="00D660E3" w:rsidP="00CD0F65">
      <w:pPr>
        <w:rPr>
          <w:rFonts w:asciiTheme="minorHAnsi" w:hAnsiTheme="minorHAnsi"/>
          <w:color w:val="000000"/>
          <w:szCs w:val="22"/>
        </w:rPr>
      </w:pPr>
      <w:r w:rsidRPr="001F12C5">
        <w:rPr>
          <w:rFonts w:asciiTheme="minorHAnsi" w:hAnsiTheme="minorHAnsi"/>
          <w:color w:val="000000"/>
          <w:szCs w:val="22"/>
        </w:rPr>
        <w:t>On</w:t>
      </w:r>
      <w:r w:rsidR="00CD0F65">
        <w:rPr>
          <w:rFonts w:asciiTheme="minorHAnsi" w:hAnsiTheme="minorHAnsi"/>
          <w:color w:val="000000"/>
          <w:szCs w:val="22"/>
        </w:rPr>
        <w:t xml:space="preserve"> </w:t>
      </w:r>
      <w:r w:rsidRPr="001F12C5">
        <w:rPr>
          <w:rFonts w:asciiTheme="minorHAnsi" w:hAnsiTheme="minorHAnsi"/>
          <w:color w:val="000000"/>
          <w:szCs w:val="22"/>
        </w:rPr>
        <w:t>14 November 2019, the Senate referred an inquiry into</w:t>
      </w:r>
      <w:r w:rsidR="00CD0F65">
        <w:rPr>
          <w:rFonts w:asciiTheme="minorHAnsi" w:hAnsiTheme="minorHAnsi"/>
          <w:color w:val="000000"/>
          <w:szCs w:val="22"/>
        </w:rPr>
        <w:t xml:space="preserve"> </w:t>
      </w:r>
      <w:hyperlink r:id="rId14" w:history="1">
        <w:r w:rsidRPr="00E44161">
          <w:rPr>
            <w:rStyle w:val="Hyperlink"/>
            <w:rFonts w:asciiTheme="minorHAnsi" w:hAnsiTheme="minorHAnsi"/>
            <w:i/>
            <w:szCs w:val="22"/>
          </w:rPr>
          <w:t>the</w:t>
        </w:r>
        <w:r w:rsidR="00E44161">
          <w:rPr>
            <w:rStyle w:val="Hyperlink"/>
            <w:rFonts w:asciiTheme="minorHAnsi" w:hAnsiTheme="minorHAnsi"/>
            <w:i/>
            <w:szCs w:val="22"/>
          </w:rPr>
          <w:t xml:space="preserve"> c</w:t>
        </w:r>
        <w:r w:rsidRPr="001F12C5">
          <w:rPr>
            <w:rStyle w:val="Hyperlink"/>
            <w:rFonts w:asciiTheme="minorHAnsi" w:hAnsiTheme="minorHAnsi"/>
            <w:i/>
            <w:szCs w:val="22"/>
          </w:rPr>
          <w:t>urrent barriers to patient access to medicinal cannabis in Australia</w:t>
        </w:r>
      </w:hyperlink>
      <w:r w:rsidR="00CD0F65">
        <w:rPr>
          <w:rFonts w:asciiTheme="minorHAnsi" w:hAnsiTheme="minorHAnsi"/>
          <w:color w:val="000000"/>
          <w:szCs w:val="22"/>
        </w:rPr>
        <w:t xml:space="preserve"> t</w:t>
      </w:r>
      <w:r w:rsidRPr="001F12C5">
        <w:rPr>
          <w:rFonts w:asciiTheme="minorHAnsi" w:hAnsiTheme="minorHAnsi"/>
          <w:color w:val="000000"/>
          <w:szCs w:val="22"/>
        </w:rPr>
        <w:t>o the Senate Community Affairs References Committee for inquiry and report by</w:t>
      </w:r>
      <w:r w:rsidR="00CD0F65">
        <w:rPr>
          <w:rFonts w:asciiTheme="minorHAnsi" w:hAnsiTheme="minorHAnsi"/>
          <w:color w:val="000000"/>
          <w:szCs w:val="22"/>
        </w:rPr>
        <w:t xml:space="preserve"> </w:t>
      </w:r>
      <w:r w:rsidRPr="001F12C5">
        <w:rPr>
          <w:rFonts w:asciiTheme="minorHAnsi" w:hAnsiTheme="minorHAnsi"/>
          <w:bCs/>
          <w:color w:val="000000"/>
          <w:szCs w:val="22"/>
        </w:rPr>
        <w:t>26 March 2020</w:t>
      </w:r>
      <w:r w:rsidRPr="001F12C5">
        <w:rPr>
          <w:rFonts w:asciiTheme="minorHAnsi" w:hAnsiTheme="minorHAnsi"/>
          <w:color w:val="000000"/>
          <w:szCs w:val="22"/>
        </w:rPr>
        <w:t>.</w:t>
      </w:r>
    </w:p>
    <w:p w14:paraId="41E729FD" w14:textId="4E7E82DB" w:rsidR="00D660E3" w:rsidRPr="001F12C5" w:rsidRDefault="00D660E3" w:rsidP="00CD0F65">
      <w:pPr>
        <w:rPr>
          <w:color w:val="000000"/>
        </w:rPr>
      </w:pPr>
      <w:r>
        <w:rPr>
          <w:color w:val="000000"/>
        </w:rPr>
        <w:t xml:space="preserve">The </w:t>
      </w:r>
      <w:r w:rsidRPr="001F12C5">
        <w:rPr>
          <w:color w:val="000000"/>
        </w:rPr>
        <w:t xml:space="preserve">Department of Health made a </w:t>
      </w:r>
      <w:hyperlink r:id="rId15" w:history="1">
        <w:r w:rsidRPr="00E44161">
          <w:rPr>
            <w:rStyle w:val="Hyperlink"/>
            <w:rFonts w:asciiTheme="minorHAnsi" w:hAnsiTheme="minorHAnsi"/>
            <w:szCs w:val="22"/>
          </w:rPr>
          <w:t>submission to this Inquiry</w:t>
        </w:r>
      </w:hyperlink>
      <w:r>
        <w:rPr>
          <w:color w:val="000000"/>
        </w:rPr>
        <w:t xml:space="preserve"> in January 2020 and in t</w:t>
      </w:r>
      <w:r w:rsidRPr="001F12C5">
        <w:rPr>
          <w:color w:val="000000"/>
        </w:rPr>
        <w:t>his submission included that the TGA was currently undertaking a safety review of CBD at lower doses, noting that there were only limited published studies. In the submission, the Department also noted that depending on the outcome of the review</w:t>
      </w:r>
      <w:r w:rsidR="00E44161">
        <w:rPr>
          <w:color w:val="000000"/>
        </w:rPr>
        <w:t>,</w:t>
      </w:r>
      <w:r w:rsidRPr="001F12C5">
        <w:rPr>
          <w:color w:val="000000"/>
        </w:rPr>
        <w:t xml:space="preserve"> that</w:t>
      </w:r>
      <w:r w:rsidR="00E44161">
        <w:rPr>
          <w:color w:val="000000"/>
        </w:rPr>
        <w:t xml:space="preserve"> the</w:t>
      </w:r>
      <w:r w:rsidRPr="001F12C5">
        <w:rPr>
          <w:color w:val="000000"/>
        </w:rPr>
        <w:t xml:space="preserve"> scheduling status of low dose CBD products would be considered.</w:t>
      </w:r>
    </w:p>
    <w:p w14:paraId="33D22D6F" w14:textId="0A3D353F" w:rsidR="00621528" w:rsidRDefault="00F3640E" w:rsidP="00CD0F65">
      <w:r>
        <w:t>The Senate Inquiry recommended</w:t>
      </w:r>
      <w:r w:rsidR="0025079E">
        <w:t xml:space="preserve"> ‘</w:t>
      </w:r>
      <w:r w:rsidR="0025079E" w:rsidRPr="0025079E">
        <w:t>as soon as practicable after a safety review and public consultation process is completed, the Department of Health make any appropriate application to the Advisory Committee on Medicines Scheduling in relation to the down-scheduling or de-scheduling of cannabidiol and other non-psychoactive cannabinoids.</w:t>
      </w:r>
      <w:r w:rsidR="0025079E">
        <w:t>’</w:t>
      </w:r>
      <w:r w:rsidR="00F36ECB">
        <w:t xml:space="preserve"> (Recommendation 13)</w:t>
      </w:r>
      <w:r>
        <w:t>.</w:t>
      </w:r>
      <w:r w:rsidR="0025079E">
        <w:t xml:space="preserve"> </w:t>
      </w:r>
      <w:r w:rsidR="00570DE1">
        <w:t xml:space="preserve">The Senate Inquiry also noted </w:t>
      </w:r>
      <w:r w:rsidR="00F36ECB">
        <w:t>that</w:t>
      </w:r>
      <w:r w:rsidR="00570DE1">
        <w:t>,</w:t>
      </w:r>
      <w:r w:rsidR="00F36ECB">
        <w:t xml:space="preserve"> d</w:t>
      </w:r>
      <w:r w:rsidR="00786FC5">
        <w:t>ue to</w:t>
      </w:r>
      <w:r w:rsidR="000074A3">
        <w:t xml:space="preserve"> the differen</w:t>
      </w:r>
      <w:r w:rsidR="000303F8">
        <w:t xml:space="preserve">ces </w:t>
      </w:r>
      <w:r w:rsidR="00EA2CE4">
        <w:t>in regulatory</w:t>
      </w:r>
      <w:r w:rsidR="000074A3">
        <w:t xml:space="preserve"> control </w:t>
      </w:r>
      <w:r w:rsidR="000303F8">
        <w:t xml:space="preserve">internationally </w:t>
      </w:r>
      <w:r w:rsidR="000074A3">
        <w:t xml:space="preserve">and the current restrictions </w:t>
      </w:r>
      <w:r w:rsidR="00EA2CE4">
        <w:t xml:space="preserve">regarding </w:t>
      </w:r>
      <w:r w:rsidR="000074A3">
        <w:t>access</w:t>
      </w:r>
      <w:r w:rsidR="000303F8">
        <w:t xml:space="preserve"> </w:t>
      </w:r>
      <w:r w:rsidR="00EA2CE4">
        <w:t>to an</w:t>
      </w:r>
      <w:r w:rsidR="000303F8">
        <w:t xml:space="preserve"> S4</w:t>
      </w:r>
      <w:r w:rsidR="00EA2CE4">
        <w:t xml:space="preserve"> medicine</w:t>
      </w:r>
      <w:r w:rsidR="00570DE1">
        <w:t>,</w:t>
      </w:r>
      <w:r w:rsidR="000074A3">
        <w:t xml:space="preserve"> t</w:t>
      </w:r>
      <w:r w:rsidR="006C4485">
        <w:t xml:space="preserve">here </w:t>
      </w:r>
      <w:r w:rsidR="00F36ECB">
        <w:t>wa</w:t>
      </w:r>
      <w:r w:rsidR="006C4485">
        <w:t xml:space="preserve">s </w:t>
      </w:r>
      <w:r w:rsidR="00D8305D">
        <w:t xml:space="preserve">a desire </w:t>
      </w:r>
      <w:r w:rsidR="006C4485">
        <w:t xml:space="preserve">to </w:t>
      </w:r>
      <w:r w:rsidR="000303F8">
        <w:t xml:space="preserve">assess whether it could be </w:t>
      </w:r>
      <w:r w:rsidR="006C4485">
        <w:t>more accessible</w:t>
      </w:r>
      <w:r w:rsidR="00D8305D">
        <w:t xml:space="preserve"> to the Australian </w:t>
      </w:r>
      <w:r w:rsidR="006F1175">
        <w:t>p</w:t>
      </w:r>
      <w:r w:rsidR="00D8305D">
        <w:t>ublic, especially at low doses</w:t>
      </w:r>
      <w:r w:rsidR="006C4485">
        <w:t>.</w:t>
      </w:r>
    </w:p>
    <w:p w14:paraId="40B21D7C" w14:textId="10D9ABB2" w:rsidR="001C0905" w:rsidRPr="00786FC5" w:rsidRDefault="00381003" w:rsidP="00CD0F65">
      <w:r>
        <w:t xml:space="preserve">If deemed appropriate for </w:t>
      </w:r>
      <w:r w:rsidR="00A104D1">
        <w:t>increased public access</w:t>
      </w:r>
      <w:r w:rsidR="00EA2CE4">
        <w:t>,</w:t>
      </w:r>
      <w:r w:rsidR="0091118C">
        <w:t xml:space="preserve"> the regulatory options </w:t>
      </w:r>
      <w:r w:rsidR="006F1175">
        <w:t>available and</w:t>
      </w:r>
      <w:r w:rsidR="0091118C">
        <w:t xml:space="preserve"> </w:t>
      </w:r>
      <w:r w:rsidR="00132A47">
        <w:t xml:space="preserve">their relative characteristics </w:t>
      </w:r>
      <w:r w:rsidR="00EA2CE4">
        <w:t xml:space="preserve">must be considered. These are </w:t>
      </w:r>
      <w:r w:rsidR="00F36ECB">
        <w:t>outlined</w:t>
      </w:r>
      <w:r w:rsidR="0091118C">
        <w:t xml:space="preserve"> in </w:t>
      </w:r>
      <w:r w:rsidR="00CD0F65">
        <w:t>Table 1 below.</w:t>
      </w:r>
    </w:p>
    <w:p w14:paraId="0F54C3F3" w14:textId="70000E66" w:rsidR="00132A47" w:rsidRDefault="001930DF" w:rsidP="00CD0F65">
      <w:pPr>
        <w:pStyle w:val="Tabletitle"/>
      </w:pPr>
      <w:r w:rsidRPr="001930DF">
        <w:lastRenderedPageBreak/>
        <w:t xml:space="preserve">Table 1 – Regulatory options available for </w:t>
      </w:r>
      <w:r w:rsidR="00A104D1">
        <w:t>increased access to</w:t>
      </w:r>
      <w:r w:rsidR="00CD0F65">
        <w:t xml:space="preserve"> CBD</w:t>
      </w:r>
    </w:p>
    <w:tbl>
      <w:tblPr>
        <w:tblStyle w:val="TableTGAblue"/>
        <w:tblW w:w="0" w:type="auto"/>
        <w:tblLook w:val="04A0" w:firstRow="1" w:lastRow="0" w:firstColumn="1" w:lastColumn="0" w:noHBand="0" w:noVBand="1"/>
      </w:tblPr>
      <w:tblGrid>
        <w:gridCol w:w="2117"/>
        <w:gridCol w:w="6933"/>
      </w:tblGrid>
      <w:tr w:rsidR="00CD0F65" w14:paraId="2614DA97" w14:textId="77777777" w:rsidTr="00CD0F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Pr>
          <w:p w14:paraId="3475BD78" w14:textId="44E72815" w:rsidR="00CD0F65" w:rsidRDefault="00CD0F65" w:rsidP="00CD0F65">
            <w:r w:rsidRPr="00CC4B02">
              <w:t>Level of regulation</w:t>
            </w:r>
          </w:p>
        </w:tc>
        <w:tc>
          <w:tcPr>
            <w:tcW w:w="6933" w:type="dxa"/>
          </w:tcPr>
          <w:p w14:paraId="23F26B8E" w14:textId="72F98B96" w:rsidR="00CD0F65" w:rsidRDefault="00CD0F65" w:rsidP="00CD0F65">
            <w:pPr>
              <w:cnfStyle w:val="100000000000" w:firstRow="1" w:lastRow="0" w:firstColumn="0" w:lastColumn="0" w:oddVBand="0" w:evenVBand="0" w:oddHBand="0" w:evenHBand="0" w:firstRowFirstColumn="0" w:firstRowLastColumn="0" w:lastRowFirstColumn="0" w:lastRowLastColumn="0"/>
            </w:pPr>
            <w:r w:rsidRPr="00CC4B02">
              <w:t>Regulatory pathway and the relevant characteristics</w:t>
            </w:r>
          </w:p>
        </w:tc>
      </w:tr>
      <w:tr w:rsidR="00CD0F65" w14:paraId="71382F54" w14:textId="77777777" w:rsidTr="00CD0F65">
        <w:tc>
          <w:tcPr>
            <w:cnfStyle w:val="001000000000" w:firstRow="0" w:lastRow="0" w:firstColumn="1" w:lastColumn="0" w:oddVBand="0" w:evenVBand="0" w:oddHBand="0" w:evenHBand="0" w:firstRowFirstColumn="0" w:firstRowLastColumn="0" w:lastRowFirstColumn="0" w:lastRowLastColumn="0"/>
            <w:tcW w:w="2117" w:type="dxa"/>
          </w:tcPr>
          <w:p w14:paraId="4C0E83E3" w14:textId="77777777" w:rsidR="00CD0F65" w:rsidRPr="00CD0F65" w:rsidRDefault="00CD0F65" w:rsidP="00CD0F65">
            <w:pPr>
              <w:rPr>
                <w:b/>
              </w:rPr>
            </w:pPr>
            <w:r w:rsidRPr="00CD0F65">
              <w:rPr>
                <w:b/>
              </w:rPr>
              <w:t>Scheduled</w:t>
            </w:r>
          </w:p>
          <w:p w14:paraId="09128895" w14:textId="63E66904" w:rsidR="00CD0F65" w:rsidRDefault="00CD0F65" w:rsidP="00CD0F65">
            <w:r>
              <w:t>Schedule 3 includes medicines such as orlistat, chloramphenicol eye drops and pseudoephedrine and levonorgestrol (morning after pill)</w:t>
            </w:r>
          </w:p>
        </w:tc>
        <w:tc>
          <w:tcPr>
            <w:tcW w:w="6933" w:type="dxa"/>
          </w:tcPr>
          <w:p w14:paraId="5DC701D5" w14:textId="77777777" w:rsidR="00CD0F65" w:rsidRDefault="00CD0F65" w:rsidP="00CD0F65">
            <w:pPr>
              <w:cnfStyle w:val="000000000000" w:firstRow="0" w:lastRow="0" w:firstColumn="0" w:lastColumn="0" w:oddVBand="0" w:evenVBand="0" w:oddHBand="0" w:evenHBand="0" w:firstRowFirstColumn="0" w:firstRowLastColumn="0" w:lastRowFirstColumn="0" w:lastRowLastColumn="0"/>
              <w:rPr>
                <w:b/>
              </w:rPr>
            </w:pPr>
            <w:r w:rsidRPr="00CD0F65">
              <w:rPr>
                <w:b/>
              </w:rPr>
              <w:t>Schedule 3-Pharmacist Only Medicine</w:t>
            </w:r>
          </w:p>
          <w:p w14:paraId="1AFBDB4E" w14:textId="77777777" w:rsidR="00CD0F65" w:rsidRDefault="00CD0F65" w:rsidP="00F520C9">
            <w:pPr>
              <w:pStyle w:val="ListBullet"/>
              <w:spacing w:after="0"/>
              <w:cnfStyle w:val="000000000000" w:firstRow="0" w:lastRow="0" w:firstColumn="0" w:lastColumn="0" w:oddVBand="0" w:evenVBand="0" w:oddHBand="0" w:evenHBand="0" w:firstRowFirstColumn="0" w:firstRowLastColumn="0" w:lastRowFirstColumn="0" w:lastRowLastColumn="0"/>
            </w:pPr>
            <w:r>
              <w:t xml:space="preserve">Available at pharmacies only and </w:t>
            </w:r>
            <w:r w:rsidRPr="00CD0F65">
              <w:rPr>
                <w:b/>
              </w:rPr>
              <w:t>kept behind the counter</w:t>
            </w:r>
            <w:r>
              <w:t xml:space="preserve">. Requires professional advice from pharmacist to </w:t>
            </w:r>
            <w:r w:rsidRPr="00CD0F65">
              <w:rPr>
                <w:b/>
              </w:rPr>
              <w:t>assess appropriate use</w:t>
            </w:r>
            <w:r>
              <w:t>.</w:t>
            </w:r>
          </w:p>
          <w:p w14:paraId="4B190BD6" w14:textId="77777777" w:rsidR="00CD0F65" w:rsidRDefault="00CD0F65" w:rsidP="00F520C9">
            <w:pPr>
              <w:pStyle w:val="ListBullet"/>
              <w:spacing w:before="0" w:after="0"/>
              <w:cnfStyle w:val="000000000000" w:firstRow="0" w:lastRow="0" w:firstColumn="0" w:lastColumn="0" w:oddVBand="0" w:evenVBand="0" w:oddHBand="0" w:evenHBand="0" w:firstRowFirstColumn="0" w:firstRowLastColumn="0" w:lastRowFirstColumn="0" w:lastRowLastColumn="0"/>
            </w:pPr>
            <w:r>
              <w:t>Regulatory pre-approval is required prior to supply of medicines containing the S3 substance.</w:t>
            </w:r>
          </w:p>
          <w:p w14:paraId="1AE7FC0B" w14:textId="77777777" w:rsidR="00CD0F65" w:rsidRDefault="00CD0F65" w:rsidP="00F520C9">
            <w:pPr>
              <w:pStyle w:val="ListBullet"/>
              <w:spacing w:before="0" w:after="0"/>
              <w:cnfStyle w:val="000000000000" w:firstRow="0" w:lastRow="0" w:firstColumn="0" w:lastColumn="0" w:oddVBand="0" w:evenVBand="0" w:oddHBand="0" w:evenHBand="0" w:firstRowFirstColumn="0" w:firstRowLastColumn="0" w:lastRowFirstColumn="0" w:lastRowLastColumn="0"/>
            </w:pPr>
            <w:r>
              <w:t>Efficacy, safety and quality is pre-assessed.</w:t>
            </w:r>
          </w:p>
          <w:p w14:paraId="50BCE9AB" w14:textId="77777777" w:rsidR="00CD0F65" w:rsidRDefault="00CD0F65" w:rsidP="00F520C9">
            <w:pPr>
              <w:pStyle w:val="ListBullet"/>
              <w:spacing w:before="0" w:after="0"/>
              <w:cnfStyle w:val="000000000000" w:firstRow="0" w:lastRow="0" w:firstColumn="0" w:lastColumn="0" w:oddVBand="0" w:evenVBand="0" w:oddHBand="0" w:evenHBand="0" w:firstRowFirstColumn="0" w:firstRowLastColumn="0" w:lastRowFirstColumn="0" w:lastRowLastColumn="0"/>
            </w:pPr>
            <w:r>
              <w:t>Any changes to the medicine that affects the quality and/or safety and/or efficacy of the medicine are either preapproved or notified to the regulator.</w:t>
            </w:r>
          </w:p>
          <w:p w14:paraId="270E78AC" w14:textId="7A5D1D62" w:rsidR="00CD0F65" w:rsidRPr="00CD0F65" w:rsidRDefault="00CD0F65" w:rsidP="00F520C9">
            <w:pPr>
              <w:pStyle w:val="ListBullet"/>
              <w:spacing w:before="0"/>
              <w:cnfStyle w:val="000000000000" w:firstRow="0" w:lastRow="0" w:firstColumn="0" w:lastColumn="0" w:oddVBand="0" w:evenVBand="0" w:oddHBand="0" w:evenHBand="0" w:firstRowFirstColumn="0" w:firstRowLastColumn="0" w:lastRowFirstColumn="0" w:lastRowLastColumn="0"/>
            </w:pPr>
            <w:r>
              <w:t>Product Information and Consumer Medicine Information documents are required.</w:t>
            </w:r>
          </w:p>
        </w:tc>
      </w:tr>
      <w:tr w:rsidR="00CD0F65" w14:paraId="3CF054A2" w14:textId="77777777" w:rsidTr="00CD0F65">
        <w:tc>
          <w:tcPr>
            <w:cnfStyle w:val="001000000000" w:firstRow="0" w:lastRow="0" w:firstColumn="1" w:lastColumn="0" w:oddVBand="0" w:evenVBand="0" w:oddHBand="0" w:evenHBand="0" w:firstRowFirstColumn="0" w:firstRowLastColumn="0" w:lastRowFirstColumn="0" w:lastRowLastColumn="0"/>
            <w:tcW w:w="2117" w:type="dxa"/>
          </w:tcPr>
          <w:p w14:paraId="489C8FA2" w14:textId="77777777" w:rsidR="00CD0F65" w:rsidRDefault="00CD0F65" w:rsidP="00CD0F65">
            <w:pPr>
              <w:rPr>
                <w:b/>
              </w:rPr>
            </w:pPr>
            <w:r w:rsidRPr="00CD0F65">
              <w:rPr>
                <w:b/>
              </w:rPr>
              <w:t>Scheduled</w:t>
            </w:r>
          </w:p>
          <w:p w14:paraId="137CA959" w14:textId="6669089E" w:rsidR="00CD0F65" w:rsidRPr="00CD0F65" w:rsidRDefault="00CD0F65" w:rsidP="00CD0F65">
            <w:r>
              <w:t>Schedule 2 includes medicines such as paracetamol and ibuprofen in greater than pack sizes of 24, diclofenac 12.5mg or less in a pack size of 20 or less, corticosteroid nasal sprays</w:t>
            </w:r>
          </w:p>
        </w:tc>
        <w:tc>
          <w:tcPr>
            <w:tcW w:w="6933" w:type="dxa"/>
          </w:tcPr>
          <w:p w14:paraId="5163DE0C" w14:textId="77777777" w:rsidR="00CD0F65" w:rsidRPr="00CD0F65" w:rsidRDefault="00CD0F65" w:rsidP="00CD0F65">
            <w:pPr>
              <w:cnfStyle w:val="000000000000" w:firstRow="0" w:lastRow="0" w:firstColumn="0" w:lastColumn="0" w:oddVBand="0" w:evenVBand="0" w:oddHBand="0" w:evenHBand="0" w:firstRowFirstColumn="0" w:firstRowLastColumn="0" w:lastRowFirstColumn="0" w:lastRowLastColumn="0"/>
              <w:rPr>
                <w:b/>
              </w:rPr>
            </w:pPr>
            <w:r w:rsidRPr="00CD0F65">
              <w:rPr>
                <w:b/>
              </w:rPr>
              <w:t>Schedule 2-Pharmacy Medicine</w:t>
            </w:r>
          </w:p>
          <w:p w14:paraId="52C700EA" w14:textId="77777777" w:rsidR="00CD0F65" w:rsidRDefault="00CD0F65" w:rsidP="0035419A">
            <w:pPr>
              <w:pStyle w:val="ListBullet"/>
              <w:spacing w:after="0"/>
              <w:cnfStyle w:val="000000000000" w:firstRow="0" w:lastRow="0" w:firstColumn="0" w:lastColumn="0" w:oddVBand="0" w:evenVBand="0" w:oddHBand="0" w:evenHBand="0" w:firstRowFirstColumn="0" w:firstRowLastColumn="0" w:lastRowFirstColumn="0" w:lastRowLastColumn="0"/>
            </w:pPr>
            <w:r>
              <w:t xml:space="preserve">Available at pharmacies only. Typically available on </w:t>
            </w:r>
            <w:r w:rsidRPr="00CD0F65">
              <w:rPr>
                <w:b/>
              </w:rPr>
              <w:t>accessible</w:t>
            </w:r>
            <w:r>
              <w:t xml:space="preserve"> pharmacy </w:t>
            </w:r>
            <w:r w:rsidRPr="00CD0F65">
              <w:rPr>
                <w:b/>
              </w:rPr>
              <w:t>shelves</w:t>
            </w:r>
            <w:r>
              <w:t>. Purchase does not require advice from a pharmacist.</w:t>
            </w:r>
          </w:p>
          <w:p w14:paraId="377AE1B5" w14:textId="77777777" w:rsidR="00CD0F65" w:rsidRDefault="00CD0F65" w:rsidP="0035419A">
            <w:pPr>
              <w:pStyle w:val="ListBullet"/>
              <w:spacing w:before="0" w:after="0"/>
              <w:cnfStyle w:val="000000000000" w:firstRow="0" w:lastRow="0" w:firstColumn="0" w:lastColumn="0" w:oddVBand="0" w:evenVBand="0" w:oddHBand="0" w:evenHBand="0" w:firstRowFirstColumn="0" w:firstRowLastColumn="0" w:lastRowFirstColumn="0" w:lastRowLastColumn="0"/>
            </w:pPr>
            <w:r>
              <w:t>Regulatory pre-approval is required prior to supply of the medicine containing the S2 substance.</w:t>
            </w:r>
          </w:p>
          <w:p w14:paraId="0031A849" w14:textId="77777777" w:rsidR="00CD0F65" w:rsidRDefault="00CD0F65" w:rsidP="0035419A">
            <w:pPr>
              <w:pStyle w:val="ListBullet"/>
              <w:spacing w:before="0" w:after="0"/>
              <w:cnfStyle w:val="000000000000" w:firstRow="0" w:lastRow="0" w:firstColumn="0" w:lastColumn="0" w:oddVBand="0" w:evenVBand="0" w:oddHBand="0" w:evenHBand="0" w:firstRowFirstColumn="0" w:firstRowLastColumn="0" w:lastRowFirstColumn="0" w:lastRowLastColumn="0"/>
            </w:pPr>
            <w:r>
              <w:t>Efficacy, safety and quality is pre-assessed.</w:t>
            </w:r>
          </w:p>
          <w:p w14:paraId="30796A50" w14:textId="0C11AF98" w:rsidR="00CD0F65" w:rsidRDefault="00CD0F65" w:rsidP="0035419A">
            <w:pPr>
              <w:pStyle w:val="ListBullet"/>
              <w:spacing w:before="0"/>
              <w:cnfStyle w:val="000000000000" w:firstRow="0" w:lastRow="0" w:firstColumn="0" w:lastColumn="0" w:oddVBand="0" w:evenVBand="0" w:oddHBand="0" w:evenHBand="0" w:firstRowFirstColumn="0" w:firstRowLastColumn="0" w:lastRowFirstColumn="0" w:lastRowLastColumn="0"/>
            </w:pPr>
            <w:r>
              <w:t>Any changes to the medicine that affects the quality and/or safety and/or efficacy of the medicine are either preapproved or notified to the regulator.</w:t>
            </w:r>
          </w:p>
        </w:tc>
      </w:tr>
      <w:tr w:rsidR="00CD0F65" w14:paraId="2ABA948E" w14:textId="77777777" w:rsidTr="00CD0F65">
        <w:tc>
          <w:tcPr>
            <w:cnfStyle w:val="001000000000" w:firstRow="0" w:lastRow="0" w:firstColumn="1" w:lastColumn="0" w:oddVBand="0" w:evenVBand="0" w:oddHBand="0" w:evenHBand="0" w:firstRowFirstColumn="0" w:firstRowLastColumn="0" w:lastRowFirstColumn="0" w:lastRowLastColumn="0"/>
            <w:tcW w:w="2117" w:type="dxa"/>
          </w:tcPr>
          <w:p w14:paraId="4B429CE2" w14:textId="77777777" w:rsidR="00CD0F65" w:rsidRDefault="00CD0F65" w:rsidP="00CD0F65">
            <w:pPr>
              <w:rPr>
                <w:b/>
              </w:rPr>
            </w:pPr>
            <w:r w:rsidRPr="00CD0F65">
              <w:rPr>
                <w:b/>
              </w:rPr>
              <w:t>Scheduled</w:t>
            </w:r>
          </w:p>
          <w:p w14:paraId="6AEB8EF6" w14:textId="069B8C3C" w:rsidR="00CD0F65" w:rsidRPr="00CD0F65" w:rsidRDefault="00CD0F65" w:rsidP="00CD0F65">
            <w:r w:rsidRPr="00CD0F65">
              <w:t>Schedule 3 complementary medicines include One-A-Week colecalciferol 7000IU (175mcg).</w:t>
            </w:r>
          </w:p>
        </w:tc>
        <w:tc>
          <w:tcPr>
            <w:tcW w:w="6933" w:type="dxa"/>
          </w:tcPr>
          <w:p w14:paraId="17A7D69C" w14:textId="77777777" w:rsidR="00CD0F65" w:rsidRPr="00CD0F65" w:rsidRDefault="00CD0F65" w:rsidP="00CD0F65">
            <w:pPr>
              <w:cnfStyle w:val="000000000000" w:firstRow="0" w:lastRow="0" w:firstColumn="0" w:lastColumn="0" w:oddVBand="0" w:evenVBand="0" w:oddHBand="0" w:evenHBand="0" w:firstRowFirstColumn="0" w:firstRowLastColumn="0" w:lastRowFirstColumn="0" w:lastRowLastColumn="0"/>
              <w:rPr>
                <w:b/>
              </w:rPr>
            </w:pPr>
            <w:r w:rsidRPr="00CD0F65">
              <w:rPr>
                <w:b/>
              </w:rPr>
              <w:t>Schedule 3 Registered complementary medicines</w:t>
            </w:r>
          </w:p>
          <w:p w14:paraId="197D4683" w14:textId="77777777" w:rsidR="00EA7A73" w:rsidRDefault="00EA7A73" w:rsidP="00764696">
            <w:pPr>
              <w:pStyle w:val="ListBullet"/>
              <w:spacing w:after="0"/>
              <w:cnfStyle w:val="000000000000" w:firstRow="0" w:lastRow="0" w:firstColumn="0" w:lastColumn="0" w:oddVBand="0" w:evenVBand="0" w:oddHBand="0" w:evenHBand="0" w:firstRowFirstColumn="0" w:firstRowLastColumn="0" w:lastRowFirstColumn="0" w:lastRowLastColumn="0"/>
            </w:pPr>
            <w:r>
              <w:t>The active ingredient must be an eligible complementary medicine ingredient, as defined in schedule 14 of the regulations, each having a clearly established identity and a traditional use. CBD being a plant or herbal material is an eligible ingredient.</w:t>
            </w:r>
          </w:p>
          <w:p w14:paraId="7606C11D" w14:textId="2448DB10" w:rsidR="00EA7A73" w:rsidRDefault="00EA7A73" w:rsidP="00764696">
            <w:pPr>
              <w:pStyle w:val="ListBullet"/>
              <w:spacing w:before="0" w:after="0"/>
              <w:cnfStyle w:val="000000000000" w:firstRow="0" w:lastRow="0" w:firstColumn="0" w:lastColumn="0" w:oddVBand="0" w:evenVBand="0" w:oddHBand="0" w:evenHBand="0" w:firstRowFirstColumn="0" w:firstRowLastColumn="0" w:lastRowFirstColumn="0" w:lastRowLastColumn="0"/>
            </w:pPr>
            <w:r>
              <w:t xml:space="preserve">Available at pharmacies only and </w:t>
            </w:r>
            <w:r w:rsidRPr="00EA7A73">
              <w:rPr>
                <w:b/>
              </w:rPr>
              <w:t>kept behind the counter</w:t>
            </w:r>
            <w:r>
              <w:t xml:space="preserve">. </w:t>
            </w:r>
            <w:r w:rsidRPr="00EA7A73">
              <w:rPr>
                <w:b/>
              </w:rPr>
              <w:t>Requires</w:t>
            </w:r>
            <w:r>
              <w:t xml:space="preserve"> professional advice from pharmacist to </w:t>
            </w:r>
            <w:r w:rsidRPr="00EA7A73">
              <w:rPr>
                <w:b/>
              </w:rPr>
              <w:t>assess appropriate use</w:t>
            </w:r>
            <w:r>
              <w:t>.</w:t>
            </w:r>
          </w:p>
          <w:p w14:paraId="7C2B7835" w14:textId="77777777" w:rsidR="00EA7A73" w:rsidRDefault="00EA7A73" w:rsidP="00764696">
            <w:pPr>
              <w:pStyle w:val="ListBullet"/>
              <w:spacing w:before="0" w:after="0"/>
              <w:cnfStyle w:val="000000000000" w:firstRow="0" w:lastRow="0" w:firstColumn="0" w:lastColumn="0" w:oddVBand="0" w:evenVBand="0" w:oddHBand="0" w:evenHBand="0" w:firstRowFirstColumn="0" w:firstRowLastColumn="0" w:lastRowFirstColumn="0" w:lastRowLastColumn="0"/>
            </w:pPr>
            <w:r>
              <w:t>Pre-approval is required prior to supply of the medicine.</w:t>
            </w:r>
          </w:p>
          <w:p w14:paraId="2AAF8111" w14:textId="77777777" w:rsidR="00EA7A73" w:rsidRDefault="00EA7A73" w:rsidP="00764696">
            <w:pPr>
              <w:pStyle w:val="ListBullet"/>
              <w:spacing w:before="0" w:after="0"/>
              <w:cnfStyle w:val="000000000000" w:firstRow="0" w:lastRow="0" w:firstColumn="0" w:lastColumn="0" w:oddVBand="0" w:evenVBand="0" w:oddHBand="0" w:evenHBand="0" w:firstRowFirstColumn="0" w:firstRowLastColumn="0" w:lastRowFirstColumn="0" w:lastRowLastColumn="0"/>
            </w:pPr>
            <w:r>
              <w:t>Efficacy, safety and quality is pre-assessed.</w:t>
            </w:r>
          </w:p>
          <w:p w14:paraId="69D8517A" w14:textId="29F72DBD" w:rsidR="00CD0F65" w:rsidRDefault="00EA7A73" w:rsidP="00764696">
            <w:pPr>
              <w:pStyle w:val="ListBullet"/>
              <w:spacing w:before="0"/>
              <w:cnfStyle w:val="000000000000" w:firstRow="0" w:lastRow="0" w:firstColumn="0" w:lastColumn="0" w:oddVBand="0" w:evenVBand="0" w:oddHBand="0" w:evenHBand="0" w:firstRowFirstColumn="0" w:firstRowLastColumn="0" w:lastRowFirstColumn="0" w:lastRowLastColumn="0"/>
            </w:pPr>
            <w:r>
              <w:t>Any changes to the medicine that affects the quality and/or safety and/or efficacy of the medicine are either preapproved or notified to the regulator.</w:t>
            </w:r>
          </w:p>
        </w:tc>
      </w:tr>
      <w:tr w:rsidR="00CD0F65" w14:paraId="43EB9E00" w14:textId="77777777" w:rsidTr="00CD0F65">
        <w:tc>
          <w:tcPr>
            <w:cnfStyle w:val="001000000000" w:firstRow="0" w:lastRow="0" w:firstColumn="1" w:lastColumn="0" w:oddVBand="0" w:evenVBand="0" w:oddHBand="0" w:evenHBand="0" w:firstRowFirstColumn="0" w:firstRowLastColumn="0" w:lastRowFirstColumn="0" w:lastRowLastColumn="0"/>
            <w:tcW w:w="2117" w:type="dxa"/>
          </w:tcPr>
          <w:p w14:paraId="7C0ED6B9" w14:textId="77777777" w:rsidR="00CD0F65" w:rsidRDefault="00CD0F65" w:rsidP="00CD0F65">
            <w:pPr>
              <w:rPr>
                <w:b/>
              </w:rPr>
            </w:pPr>
            <w:r w:rsidRPr="00CD0F65">
              <w:rPr>
                <w:b/>
              </w:rPr>
              <w:lastRenderedPageBreak/>
              <w:t>Scheduled</w:t>
            </w:r>
          </w:p>
          <w:p w14:paraId="52E1E041" w14:textId="2B121DCE" w:rsidR="00B63648" w:rsidRDefault="00B63648" w:rsidP="00CD0F65">
            <w:r w:rsidRPr="00B63648">
              <w:t>Schedule 2 complementary medicines include iron products that contain &gt; 24mg/ daily dose and folic acid products that contain &gt;500mcg/ daily dose.</w:t>
            </w:r>
          </w:p>
        </w:tc>
        <w:tc>
          <w:tcPr>
            <w:tcW w:w="6933" w:type="dxa"/>
          </w:tcPr>
          <w:p w14:paraId="1B6D2D04" w14:textId="77777777" w:rsidR="00CD0F65" w:rsidRDefault="00B63648" w:rsidP="00CD0F65">
            <w:pPr>
              <w:cnfStyle w:val="000000000000" w:firstRow="0" w:lastRow="0" w:firstColumn="0" w:lastColumn="0" w:oddVBand="0" w:evenVBand="0" w:oddHBand="0" w:evenHBand="0" w:firstRowFirstColumn="0" w:firstRowLastColumn="0" w:lastRowFirstColumn="0" w:lastRowLastColumn="0"/>
              <w:rPr>
                <w:b/>
              </w:rPr>
            </w:pPr>
            <w:r w:rsidRPr="00B63648">
              <w:rPr>
                <w:b/>
              </w:rPr>
              <w:t>Schedule 2 Registered complementary medicines</w:t>
            </w:r>
          </w:p>
          <w:p w14:paraId="2FE3A080" w14:textId="34A93B48" w:rsidR="00B63648" w:rsidRDefault="00B63648" w:rsidP="00764696">
            <w:pPr>
              <w:pStyle w:val="ListBullet"/>
              <w:spacing w:after="0"/>
              <w:cnfStyle w:val="000000000000" w:firstRow="0" w:lastRow="0" w:firstColumn="0" w:lastColumn="0" w:oddVBand="0" w:evenVBand="0" w:oddHBand="0" w:evenHBand="0" w:firstRowFirstColumn="0" w:firstRowLastColumn="0" w:lastRowFirstColumn="0" w:lastRowLastColumn="0"/>
            </w:pPr>
            <w:r>
              <w:t>The active ingredient must be an eligible complementary medicine ingredient, as defined in schedule 14 of the regulations, each having a clearly established identity and a traditional use.</w:t>
            </w:r>
          </w:p>
          <w:p w14:paraId="4A911143" w14:textId="77777777" w:rsidR="00B63648" w:rsidRDefault="00B63648" w:rsidP="00764696">
            <w:pPr>
              <w:pStyle w:val="ListBullet"/>
              <w:spacing w:before="0" w:after="0"/>
              <w:cnfStyle w:val="000000000000" w:firstRow="0" w:lastRow="0" w:firstColumn="0" w:lastColumn="0" w:oddVBand="0" w:evenVBand="0" w:oddHBand="0" w:evenHBand="0" w:firstRowFirstColumn="0" w:firstRowLastColumn="0" w:lastRowFirstColumn="0" w:lastRowLastColumn="0"/>
            </w:pPr>
            <w:r>
              <w:t xml:space="preserve">Available at pharmacies only. Typically available on </w:t>
            </w:r>
            <w:r w:rsidRPr="00B63648">
              <w:rPr>
                <w:b/>
              </w:rPr>
              <w:t>accessible</w:t>
            </w:r>
            <w:r>
              <w:t xml:space="preserve"> pharmacy </w:t>
            </w:r>
            <w:r w:rsidRPr="00B63648">
              <w:rPr>
                <w:b/>
              </w:rPr>
              <w:t>shelves</w:t>
            </w:r>
            <w:r>
              <w:t xml:space="preserve"> and does not require advice from a pharmacist.</w:t>
            </w:r>
          </w:p>
          <w:p w14:paraId="3A500B1C" w14:textId="77777777" w:rsidR="00B63648" w:rsidRDefault="00B63648" w:rsidP="00764696">
            <w:pPr>
              <w:pStyle w:val="ListBullet"/>
              <w:spacing w:before="0" w:after="0"/>
              <w:cnfStyle w:val="000000000000" w:firstRow="0" w:lastRow="0" w:firstColumn="0" w:lastColumn="0" w:oddVBand="0" w:evenVBand="0" w:oddHBand="0" w:evenHBand="0" w:firstRowFirstColumn="0" w:firstRowLastColumn="0" w:lastRowFirstColumn="0" w:lastRowLastColumn="0"/>
            </w:pPr>
            <w:r>
              <w:t>Pre-approval is required prior to supply of the medicine.</w:t>
            </w:r>
          </w:p>
          <w:p w14:paraId="2BC70DDC" w14:textId="77777777" w:rsidR="00B63648" w:rsidRDefault="00B63648" w:rsidP="00764696">
            <w:pPr>
              <w:pStyle w:val="ListBullet"/>
              <w:spacing w:before="0" w:after="0"/>
              <w:cnfStyle w:val="000000000000" w:firstRow="0" w:lastRow="0" w:firstColumn="0" w:lastColumn="0" w:oddVBand="0" w:evenVBand="0" w:oddHBand="0" w:evenHBand="0" w:firstRowFirstColumn="0" w:firstRowLastColumn="0" w:lastRowFirstColumn="0" w:lastRowLastColumn="0"/>
            </w:pPr>
            <w:r>
              <w:t>Efficacy, safety and quality is pre-assessed.</w:t>
            </w:r>
          </w:p>
          <w:p w14:paraId="3E650132" w14:textId="0E6B7EDA" w:rsidR="00B63648" w:rsidRPr="00B63648" w:rsidRDefault="00B63648" w:rsidP="00764696">
            <w:pPr>
              <w:pStyle w:val="ListBullet"/>
              <w:spacing w:before="0"/>
              <w:cnfStyle w:val="000000000000" w:firstRow="0" w:lastRow="0" w:firstColumn="0" w:lastColumn="0" w:oddVBand="0" w:evenVBand="0" w:oddHBand="0" w:evenHBand="0" w:firstRowFirstColumn="0" w:firstRowLastColumn="0" w:lastRowFirstColumn="0" w:lastRowLastColumn="0"/>
            </w:pPr>
            <w:r>
              <w:t>Any changes to the medicine that affects the quality and/or safety and/or efficacy of the medicine are either preapproved or notified to the regulator.</w:t>
            </w:r>
          </w:p>
        </w:tc>
      </w:tr>
      <w:tr w:rsidR="003B3ED9" w14:paraId="167F5E60" w14:textId="77777777" w:rsidTr="00CD0F65">
        <w:tc>
          <w:tcPr>
            <w:cnfStyle w:val="001000000000" w:firstRow="0" w:lastRow="0" w:firstColumn="1" w:lastColumn="0" w:oddVBand="0" w:evenVBand="0" w:oddHBand="0" w:evenHBand="0" w:firstRowFirstColumn="0" w:firstRowLastColumn="0" w:lastRowFirstColumn="0" w:lastRowLastColumn="0"/>
            <w:tcW w:w="2117" w:type="dxa"/>
            <w:vMerge w:val="restart"/>
          </w:tcPr>
          <w:p w14:paraId="623ED094" w14:textId="77777777" w:rsidR="003B3ED9" w:rsidRPr="00B63648" w:rsidRDefault="003B3ED9" w:rsidP="00B63648">
            <w:pPr>
              <w:rPr>
                <w:b/>
              </w:rPr>
            </w:pPr>
            <w:r w:rsidRPr="00B63648">
              <w:rPr>
                <w:b/>
              </w:rPr>
              <w:t>Unscheduled</w:t>
            </w:r>
          </w:p>
          <w:p w14:paraId="411940BD" w14:textId="1ED4AF6F" w:rsidR="003B3ED9" w:rsidRDefault="003B3ED9" w:rsidP="00B63648">
            <w:r>
              <w:t>Includes small pack sizes of paracetamol (pack size of 20 or less) and ibuprofen (pack size 25 or less); complementary medicines such as vitamins and minerals</w:t>
            </w:r>
          </w:p>
        </w:tc>
        <w:tc>
          <w:tcPr>
            <w:tcW w:w="6933" w:type="dxa"/>
          </w:tcPr>
          <w:p w14:paraId="3713CE05" w14:textId="77777777" w:rsidR="003B3ED9" w:rsidRDefault="003B3ED9" w:rsidP="00CD0F65">
            <w:pPr>
              <w:cnfStyle w:val="000000000000" w:firstRow="0" w:lastRow="0" w:firstColumn="0" w:lastColumn="0" w:oddVBand="0" w:evenVBand="0" w:oddHBand="0" w:evenHBand="0" w:firstRowFirstColumn="0" w:firstRowLastColumn="0" w:lastRowFirstColumn="0" w:lastRowLastColumn="0"/>
              <w:rPr>
                <w:b/>
              </w:rPr>
            </w:pPr>
            <w:r w:rsidRPr="00B63648">
              <w:rPr>
                <w:b/>
              </w:rPr>
              <w:t>Assessed listed medicines</w:t>
            </w:r>
          </w:p>
          <w:p w14:paraId="25475321" w14:textId="77777777" w:rsidR="003B3ED9" w:rsidRDefault="003B3ED9" w:rsidP="005375AF">
            <w:pPr>
              <w:pStyle w:val="ListBullet"/>
              <w:spacing w:after="0"/>
              <w:cnfStyle w:val="000000000000" w:firstRow="0" w:lastRow="0" w:firstColumn="0" w:lastColumn="0" w:oddVBand="0" w:evenVBand="0" w:oddHBand="0" w:evenHBand="0" w:firstRowFirstColumn="0" w:firstRowLastColumn="0" w:lastRowFirstColumn="0" w:lastRowLastColumn="0"/>
            </w:pPr>
            <w:r>
              <w:t>Ingredient must be unscheduled (not included in the Poisons Standard in the intended form and quantity).</w:t>
            </w:r>
          </w:p>
          <w:p w14:paraId="3C4CE4BE" w14:textId="148E453C" w:rsidR="003B3ED9" w:rsidRDefault="003B3ED9" w:rsidP="005375AF">
            <w:pPr>
              <w:pStyle w:val="ListBullet"/>
              <w:spacing w:before="0" w:after="0"/>
              <w:cnfStyle w:val="000000000000" w:firstRow="0" w:lastRow="0" w:firstColumn="0" w:lastColumn="0" w:oddVBand="0" w:evenVBand="0" w:oddHBand="0" w:evenHBand="0" w:firstRowFirstColumn="0" w:firstRowLastColumn="0" w:lastRowFirstColumn="0" w:lastRowLastColumn="0"/>
            </w:pPr>
            <w:r>
              <w:t>Ingredient (CBD) must be assessed by TGA and if deemed suitable must be included in the 26 BB Permissible ingredient list. Currently CBD is not included as a permissible ingredient.</w:t>
            </w:r>
          </w:p>
          <w:p w14:paraId="6CF03000" w14:textId="77777777" w:rsidR="003B3ED9" w:rsidRDefault="003B3ED9" w:rsidP="005375AF">
            <w:pPr>
              <w:pStyle w:val="ListBullet"/>
              <w:spacing w:before="0" w:after="0"/>
              <w:cnfStyle w:val="000000000000" w:firstRow="0" w:lastRow="0" w:firstColumn="0" w:lastColumn="0" w:oddVBand="0" w:evenVBand="0" w:oddHBand="0" w:evenHBand="0" w:firstRowFirstColumn="0" w:firstRowLastColumn="0" w:lastRowFirstColumn="0" w:lastRowLastColumn="0"/>
            </w:pPr>
            <w:r>
              <w:t>The evidence for efficacy of the indications are pre-assessed prior to marketing approval.</w:t>
            </w:r>
          </w:p>
          <w:p w14:paraId="556E6E2E" w14:textId="77777777" w:rsidR="003B3ED9" w:rsidRDefault="003B3ED9" w:rsidP="005375AF">
            <w:pPr>
              <w:pStyle w:val="ListBullet"/>
              <w:spacing w:before="0" w:after="0"/>
              <w:cnfStyle w:val="000000000000" w:firstRow="0" w:lastRow="0" w:firstColumn="0" w:lastColumn="0" w:oddVBand="0" w:evenVBand="0" w:oddHBand="0" w:evenHBand="0" w:firstRowFirstColumn="0" w:firstRowLastColumn="0" w:lastRowFirstColumn="0" w:lastRowLastColumn="0"/>
            </w:pPr>
            <w:r>
              <w:t>Quality and safety are not pre assessed.</w:t>
            </w:r>
          </w:p>
          <w:p w14:paraId="0885B00F" w14:textId="77777777" w:rsidR="003B3ED9" w:rsidRDefault="003B3ED9" w:rsidP="005375AF">
            <w:pPr>
              <w:pStyle w:val="ListBullet"/>
              <w:spacing w:before="0" w:after="0"/>
              <w:cnfStyle w:val="000000000000" w:firstRow="0" w:lastRow="0" w:firstColumn="0" w:lastColumn="0" w:oddVBand="0" w:evenVBand="0" w:oddHBand="0" w:evenHBand="0" w:firstRowFirstColumn="0" w:firstRowLastColumn="0" w:lastRowFirstColumn="0" w:lastRowLastColumn="0"/>
            </w:pPr>
            <w:r>
              <w:t>The medicine is readily available in retail outlets without access to advice from a health professional.</w:t>
            </w:r>
          </w:p>
          <w:p w14:paraId="00D56B3B" w14:textId="0BBFDEA8" w:rsidR="003B3ED9" w:rsidRPr="00B63648" w:rsidRDefault="003B3ED9" w:rsidP="005375AF">
            <w:pPr>
              <w:pStyle w:val="ListBullet"/>
              <w:spacing w:before="0"/>
              <w:cnfStyle w:val="000000000000" w:firstRow="0" w:lastRow="0" w:firstColumn="0" w:lastColumn="0" w:oddVBand="0" w:evenVBand="0" w:oddHBand="0" w:evenHBand="0" w:firstRowFirstColumn="0" w:firstRowLastColumn="0" w:lastRowFirstColumn="0" w:lastRowLastColumn="0"/>
            </w:pPr>
            <w:r>
              <w:t>Lower regulatory oversight over changes to manufacture.</w:t>
            </w:r>
          </w:p>
        </w:tc>
      </w:tr>
      <w:tr w:rsidR="003B3ED9" w14:paraId="0E445214" w14:textId="77777777" w:rsidTr="00CD0F65">
        <w:tc>
          <w:tcPr>
            <w:cnfStyle w:val="001000000000" w:firstRow="0" w:lastRow="0" w:firstColumn="1" w:lastColumn="0" w:oddVBand="0" w:evenVBand="0" w:oddHBand="0" w:evenHBand="0" w:firstRowFirstColumn="0" w:firstRowLastColumn="0" w:lastRowFirstColumn="0" w:lastRowLastColumn="0"/>
            <w:tcW w:w="2117" w:type="dxa"/>
            <w:vMerge/>
          </w:tcPr>
          <w:p w14:paraId="2F54353C" w14:textId="77777777" w:rsidR="003B3ED9" w:rsidRDefault="003B3ED9" w:rsidP="00CD0F65"/>
        </w:tc>
        <w:tc>
          <w:tcPr>
            <w:tcW w:w="6933" w:type="dxa"/>
          </w:tcPr>
          <w:p w14:paraId="3EB84A1F" w14:textId="77777777" w:rsidR="003B3ED9" w:rsidRDefault="003B3ED9" w:rsidP="00CD0F65">
            <w:pPr>
              <w:cnfStyle w:val="000000000000" w:firstRow="0" w:lastRow="0" w:firstColumn="0" w:lastColumn="0" w:oddVBand="0" w:evenVBand="0" w:oddHBand="0" w:evenHBand="0" w:firstRowFirstColumn="0" w:firstRowLastColumn="0" w:lastRowFirstColumn="0" w:lastRowLastColumn="0"/>
              <w:rPr>
                <w:b/>
              </w:rPr>
            </w:pPr>
            <w:r w:rsidRPr="00B63648">
              <w:rPr>
                <w:b/>
              </w:rPr>
              <w:t>Listed medicines</w:t>
            </w:r>
          </w:p>
          <w:p w14:paraId="3E9B865D" w14:textId="77777777" w:rsidR="003B3ED9" w:rsidRDefault="003B3ED9" w:rsidP="003B3ED9">
            <w:pPr>
              <w:pStyle w:val="ListBullet"/>
              <w:spacing w:after="0"/>
              <w:cnfStyle w:val="000000000000" w:firstRow="0" w:lastRow="0" w:firstColumn="0" w:lastColumn="0" w:oddVBand="0" w:evenVBand="0" w:oddHBand="0" w:evenHBand="0" w:firstRowFirstColumn="0" w:firstRowLastColumn="0" w:lastRowFirstColumn="0" w:lastRowLastColumn="0"/>
            </w:pPr>
            <w:r>
              <w:t>Ingredient must be unscheduled (not included in the Poisons Standard in the intended form and quantity).</w:t>
            </w:r>
          </w:p>
          <w:p w14:paraId="6F7E7AC5" w14:textId="688CA51A" w:rsidR="003B3ED9" w:rsidRDefault="003B3ED9" w:rsidP="003B3ED9">
            <w:pPr>
              <w:pStyle w:val="ListBullet"/>
              <w:spacing w:before="0" w:after="0"/>
              <w:cnfStyle w:val="000000000000" w:firstRow="0" w:lastRow="0" w:firstColumn="0" w:lastColumn="0" w:oddVBand="0" w:evenVBand="0" w:oddHBand="0" w:evenHBand="0" w:firstRowFirstColumn="0" w:firstRowLastColumn="0" w:lastRowFirstColumn="0" w:lastRowLastColumn="0"/>
            </w:pPr>
            <w:r>
              <w:t>Ingredient (CBD) must be assessed by TGA and if deemed suitable must be included in the 26 BB Permissible ingredient list. Currently CBD is not included as a permissible ingredient.</w:t>
            </w:r>
          </w:p>
          <w:p w14:paraId="6238C15D" w14:textId="77777777" w:rsidR="003B3ED9" w:rsidRDefault="003B3ED9" w:rsidP="003B3ED9">
            <w:pPr>
              <w:pStyle w:val="ListBullet"/>
              <w:spacing w:before="0" w:after="0"/>
              <w:cnfStyle w:val="000000000000" w:firstRow="0" w:lastRow="0" w:firstColumn="0" w:lastColumn="0" w:oddVBand="0" w:evenVBand="0" w:oddHBand="0" w:evenHBand="0" w:firstRowFirstColumn="0" w:firstRowLastColumn="0" w:lastRowFirstColumn="0" w:lastRowLastColumn="0"/>
            </w:pPr>
            <w:r>
              <w:t>Self-listing and self-certifying pathway with pre-set IT rules.</w:t>
            </w:r>
          </w:p>
          <w:p w14:paraId="365EF8E8" w14:textId="77777777" w:rsidR="003B3ED9" w:rsidRPr="00B63648" w:rsidRDefault="003B3ED9" w:rsidP="003B3ED9">
            <w:pPr>
              <w:pStyle w:val="ListBullet"/>
              <w:spacing w:before="0" w:after="0"/>
              <w:cnfStyle w:val="000000000000" w:firstRow="0" w:lastRow="0" w:firstColumn="0" w:lastColumn="0" w:oddVBand="0" w:evenVBand="0" w:oddHBand="0" w:evenHBand="0" w:firstRowFirstColumn="0" w:firstRowLastColumn="0" w:lastRowFirstColumn="0" w:lastRowLastColumn="0"/>
              <w:rPr>
                <w:b/>
              </w:rPr>
            </w:pPr>
            <w:r w:rsidRPr="00B63648">
              <w:rPr>
                <w:b/>
              </w:rPr>
              <w:t>Quality, safety, and efficacy are not pre assessed.</w:t>
            </w:r>
          </w:p>
          <w:p w14:paraId="747FBA3D" w14:textId="77777777" w:rsidR="003B3ED9" w:rsidRDefault="003B3ED9" w:rsidP="003B3ED9">
            <w:pPr>
              <w:pStyle w:val="ListBullet"/>
              <w:spacing w:before="0" w:after="0"/>
              <w:cnfStyle w:val="000000000000" w:firstRow="0" w:lastRow="0" w:firstColumn="0" w:lastColumn="0" w:oddVBand="0" w:evenVBand="0" w:oddHBand="0" w:evenHBand="0" w:firstRowFirstColumn="0" w:firstRowLastColumn="0" w:lastRowFirstColumn="0" w:lastRowLastColumn="0"/>
            </w:pPr>
            <w:r>
              <w:t>Lower regulatory oversight over changes to the medicine manufacture.</w:t>
            </w:r>
          </w:p>
          <w:p w14:paraId="4C8B1227" w14:textId="6318ADD2" w:rsidR="003B3ED9" w:rsidRPr="00B63648" w:rsidRDefault="003B3ED9" w:rsidP="003B3ED9">
            <w:pPr>
              <w:pStyle w:val="ListBullet"/>
              <w:spacing w:before="0"/>
              <w:cnfStyle w:val="000000000000" w:firstRow="0" w:lastRow="0" w:firstColumn="0" w:lastColumn="0" w:oddVBand="0" w:evenVBand="0" w:oddHBand="0" w:evenHBand="0" w:firstRowFirstColumn="0" w:firstRowLastColumn="0" w:lastRowFirstColumn="0" w:lastRowLastColumn="0"/>
            </w:pPr>
            <w:r>
              <w:t>The medicine is readily available in retail outlets without access to advice from a health professional.</w:t>
            </w:r>
          </w:p>
        </w:tc>
      </w:tr>
      <w:tr w:rsidR="003B3ED9" w14:paraId="5B41C33C" w14:textId="77777777" w:rsidTr="00CD0F65">
        <w:tc>
          <w:tcPr>
            <w:cnfStyle w:val="001000000000" w:firstRow="0" w:lastRow="0" w:firstColumn="1" w:lastColumn="0" w:oddVBand="0" w:evenVBand="0" w:oddHBand="0" w:evenHBand="0" w:firstRowFirstColumn="0" w:firstRowLastColumn="0" w:lastRowFirstColumn="0" w:lastRowLastColumn="0"/>
            <w:tcW w:w="2117" w:type="dxa"/>
            <w:vMerge/>
          </w:tcPr>
          <w:p w14:paraId="153CAAA6" w14:textId="77777777" w:rsidR="003B3ED9" w:rsidRDefault="003B3ED9" w:rsidP="00CD0F65"/>
        </w:tc>
        <w:tc>
          <w:tcPr>
            <w:tcW w:w="6933" w:type="dxa"/>
          </w:tcPr>
          <w:p w14:paraId="0176B629" w14:textId="77777777" w:rsidR="003B3ED9" w:rsidRDefault="003B3ED9" w:rsidP="00CD0F65">
            <w:pPr>
              <w:cnfStyle w:val="000000000000" w:firstRow="0" w:lastRow="0" w:firstColumn="0" w:lastColumn="0" w:oddVBand="0" w:evenVBand="0" w:oddHBand="0" w:evenHBand="0" w:firstRowFirstColumn="0" w:firstRowLastColumn="0" w:lastRowFirstColumn="0" w:lastRowLastColumn="0"/>
              <w:rPr>
                <w:b/>
              </w:rPr>
            </w:pPr>
            <w:r w:rsidRPr="00B63648">
              <w:rPr>
                <w:b/>
              </w:rPr>
              <w:t>Registered OTC medicines</w:t>
            </w:r>
          </w:p>
          <w:p w14:paraId="7094BE02" w14:textId="1873E7EE" w:rsidR="003B3ED9" w:rsidRDefault="003B3ED9" w:rsidP="003B3ED9">
            <w:pPr>
              <w:pStyle w:val="ListBullet"/>
              <w:spacing w:after="0"/>
              <w:cnfStyle w:val="000000000000" w:firstRow="0" w:lastRow="0" w:firstColumn="0" w:lastColumn="0" w:oddVBand="0" w:evenVBand="0" w:oddHBand="0" w:evenHBand="0" w:firstRowFirstColumn="0" w:firstRowLastColumn="0" w:lastRowFirstColumn="0" w:lastRowLastColumn="0"/>
            </w:pPr>
            <w:r>
              <w:t>Available for general sale e.g. from supermarkets.</w:t>
            </w:r>
          </w:p>
          <w:p w14:paraId="154A40B9" w14:textId="77777777" w:rsidR="003B3ED9" w:rsidRDefault="003B3ED9" w:rsidP="003B3ED9">
            <w:pPr>
              <w:pStyle w:val="ListBullet"/>
              <w:spacing w:before="0" w:after="0"/>
              <w:cnfStyle w:val="000000000000" w:firstRow="0" w:lastRow="0" w:firstColumn="0" w:lastColumn="0" w:oddVBand="0" w:evenVBand="0" w:oddHBand="0" w:evenHBand="0" w:firstRowFirstColumn="0" w:firstRowLastColumn="0" w:lastRowFirstColumn="0" w:lastRowLastColumn="0"/>
            </w:pPr>
            <w:r>
              <w:t>Pre-approval is required prior to supply of the medicine.</w:t>
            </w:r>
          </w:p>
          <w:p w14:paraId="5CA1C58F" w14:textId="77777777" w:rsidR="003B3ED9" w:rsidRDefault="003B3ED9" w:rsidP="003B3ED9">
            <w:pPr>
              <w:pStyle w:val="ListBullet"/>
              <w:spacing w:before="0" w:after="0"/>
              <w:cnfStyle w:val="000000000000" w:firstRow="0" w:lastRow="0" w:firstColumn="0" w:lastColumn="0" w:oddVBand="0" w:evenVBand="0" w:oddHBand="0" w:evenHBand="0" w:firstRowFirstColumn="0" w:firstRowLastColumn="0" w:lastRowFirstColumn="0" w:lastRowLastColumn="0"/>
            </w:pPr>
            <w:r>
              <w:t>Efficacy, safety and quality is pre-assessed.</w:t>
            </w:r>
          </w:p>
          <w:p w14:paraId="4524DC4F" w14:textId="77777777" w:rsidR="003B3ED9" w:rsidRDefault="003B3ED9" w:rsidP="003B3ED9">
            <w:pPr>
              <w:pStyle w:val="ListBullet"/>
              <w:spacing w:before="0" w:after="0"/>
              <w:cnfStyle w:val="000000000000" w:firstRow="0" w:lastRow="0" w:firstColumn="0" w:lastColumn="0" w:oddVBand="0" w:evenVBand="0" w:oddHBand="0" w:evenHBand="0" w:firstRowFirstColumn="0" w:firstRowLastColumn="0" w:lastRowFirstColumn="0" w:lastRowLastColumn="0"/>
            </w:pPr>
            <w:r>
              <w:t>Any changes to the medicine that affects the quality and/or safety and/or efficacy of the medicine are either preapproved or notified to the regulator.</w:t>
            </w:r>
          </w:p>
          <w:p w14:paraId="536B6D02" w14:textId="3224A8FA" w:rsidR="003B3ED9" w:rsidRPr="00B63648" w:rsidRDefault="003B3ED9" w:rsidP="003B3ED9">
            <w:pPr>
              <w:pStyle w:val="ListBullet"/>
              <w:spacing w:before="0"/>
              <w:cnfStyle w:val="000000000000" w:firstRow="0" w:lastRow="0" w:firstColumn="0" w:lastColumn="0" w:oddVBand="0" w:evenVBand="0" w:oddHBand="0" w:evenHBand="0" w:firstRowFirstColumn="0" w:firstRowLastColumn="0" w:lastRowFirstColumn="0" w:lastRowLastColumn="0"/>
            </w:pPr>
            <w:r>
              <w:t>The medicine is readily available in retail outlets without access to advice from a health professional.</w:t>
            </w:r>
          </w:p>
        </w:tc>
      </w:tr>
      <w:tr w:rsidR="003B3ED9" w14:paraId="4E31067C" w14:textId="77777777" w:rsidTr="00CD0F65">
        <w:tc>
          <w:tcPr>
            <w:cnfStyle w:val="001000000000" w:firstRow="0" w:lastRow="0" w:firstColumn="1" w:lastColumn="0" w:oddVBand="0" w:evenVBand="0" w:oddHBand="0" w:evenHBand="0" w:firstRowFirstColumn="0" w:firstRowLastColumn="0" w:lastRowFirstColumn="0" w:lastRowLastColumn="0"/>
            <w:tcW w:w="2117" w:type="dxa"/>
            <w:vMerge/>
          </w:tcPr>
          <w:p w14:paraId="6E0D7446" w14:textId="77777777" w:rsidR="003B3ED9" w:rsidRDefault="003B3ED9" w:rsidP="00CD0F65"/>
        </w:tc>
        <w:tc>
          <w:tcPr>
            <w:tcW w:w="6933" w:type="dxa"/>
          </w:tcPr>
          <w:p w14:paraId="3DF6B550" w14:textId="77777777" w:rsidR="003B3ED9" w:rsidRDefault="003B3ED9" w:rsidP="00CD0F65">
            <w:pPr>
              <w:cnfStyle w:val="000000000000" w:firstRow="0" w:lastRow="0" w:firstColumn="0" w:lastColumn="0" w:oddVBand="0" w:evenVBand="0" w:oddHBand="0" w:evenHBand="0" w:firstRowFirstColumn="0" w:firstRowLastColumn="0" w:lastRowFirstColumn="0" w:lastRowLastColumn="0"/>
              <w:rPr>
                <w:b/>
              </w:rPr>
            </w:pPr>
            <w:r w:rsidRPr="00B63648">
              <w:rPr>
                <w:b/>
              </w:rPr>
              <w:t>Registered complementary medicines</w:t>
            </w:r>
          </w:p>
          <w:p w14:paraId="79F53D96" w14:textId="0DD5D316" w:rsidR="003B3ED9" w:rsidRDefault="003B3ED9" w:rsidP="003B3ED9">
            <w:pPr>
              <w:pStyle w:val="ListBullet"/>
              <w:spacing w:after="0"/>
              <w:cnfStyle w:val="000000000000" w:firstRow="0" w:lastRow="0" w:firstColumn="0" w:lastColumn="0" w:oddVBand="0" w:evenVBand="0" w:oddHBand="0" w:evenHBand="0" w:firstRowFirstColumn="0" w:firstRowLastColumn="0" w:lastRowFirstColumn="0" w:lastRowLastColumn="0"/>
            </w:pPr>
            <w:r>
              <w:t>The active ingredient must be an eligible complementary medicine ingredient, as defined in schedule 14 of the regulations, each having a clearly established identity and a traditional use.</w:t>
            </w:r>
          </w:p>
          <w:p w14:paraId="50489EF9" w14:textId="3A45A216" w:rsidR="003B3ED9" w:rsidRDefault="003B3ED9" w:rsidP="003B3ED9">
            <w:pPr>
              <w:pStyle w:val="ListBullet"/>
              <w:spacing w:before="0" w:after="0"/>
              <w:cnfStyle w:val="000000000000" w:firstRow="0" w:lastRow="0" w:firstColumn="0" w:lastColumn="0" w:oddVBand="0" w:evenVBand="0" w:oddHBand="0" w:evenHBand="0" w:firstRowFirstColumn="0" w:firstRowLastColumn="0" w:lastRowFirstColumn="0" w:lastRowLastColumn="0"/>
            </w:pPr>
            <w:r>
              <w:t>Available for general sale e.g. from supermarkets</w:t>
            </w:r>
          </w:p>
          <w:p w14:paraId="0D079D7D" w14:textId="77777777" w:rsidR="003B3ED9" w:rsidRDefault="003B3ED9" w:rsidP="003B3ED9">
            <w:pPr>
              <w:pStyle w:val="ListBullet"/>
              <w:spacing w:before="0" w:after="0"/>
              <w:cnfStyle w:val="000000000000" w:firstRow="0" w:lastRow="0" w:firstColumn="0" w:lastColumn="0" w:oddVBand="0" w:evenVBand="0" w:oddHBand="0" w:evenHBand="0" w:firstRowFirstColumn="0" w:firstRowLastColumn="0" w:lastRowFirstColumn="0" w:lastRowLastColumn="0"/>
            </w:pPr>
            <w:r>
              <w:t>Pre-approval is required prior to supply of the medicine.</w:t>
            </w:r>
          </w:p>
          <w:p w14:paraId="78316E84" w14:textId="77777777" w:rsidR="003B3ED9" w:rsidRDefault="003B3ED9" w:rsidP="003B3ED9">
            <w:pPr>
              <w:pStyle w:val="ListBullet"/>
              <w:spacing w:before="0" w:after="0"/>
              <w:cnfStyle w:val="000000000000" w:firstRow="0" w:lastRow="0" w:firstColumn="0" w:lastColumn="0" w:oddVBand="0" w:evenVBand="0" w:oddHBand="0" w:evenHBand="0" w:firstRowFirstColumn="0" w:firstRowLastColumn="0" w:lastRowFirstColumn="0" w:lastRowLastColumn="0"/>
            </w:pPr>
            <w:r>
              <w:t>Efficacy, safety and quality is pre-assessed.</w:t>
            </w:r>
          </w:p>
          <w:p w14:paraId="15328550" w14:textId="1B69C14E" w:rsidR="003B3ED9" w:rsidRPr="00B63648" w:rsidRDefault="003B3ED9" w:rsidP="003B3ED9">
            <w:pPr>
              <w:pStyle w:val="ListBullet"/>
              <w:spacing w:before="0"/>
              <w:cnfStyle w:val="000000000000" w:firstRow="0" w:lastRow="0" w:firstColumn="0" w:lastColumn="0" w:oddVBand="0" w:evenVBand="0" w:oddHBand="0" w:evenHBand="0" w:firstRowFirstColumn="0" w:firstRowLastColumn="0" w:lastRowFirstColumn="0" w:lastRowLastColumn="0"/>
            </w:pPr>
            <w:r>
              <w:t>Any changes to the medicine that affects the quality and/or safety and/or efficacy of the medicine are either preapproved or notified to the regulator.</w:t>
            </w:r>
          </w:p>
        </w:tc>
      </w:tr>
    </w:tbl>
    <w:p w14:paraId="2636FC3A" w14:textId="77777777" w:rsidR="00526DFF" w:rsidRDefault="00526DFF" w:rsidP="003B3ED9">
      <w:pPr>
        <w:pStyle w:val="Heading3"/>
      </w:pPr>
      <w:bookmarkStart w:id="3" w:name="_Toc38379338"/>
      <w:r>
        <w:t>Background</w:t>
      </w:r>
      <w:bookmarkEnd w:id="3"/>
    </w:p>
    <w:p w14:paraId="26770C1F" w14:textId="0BBB6669" w:rsidR="00AA7409" w:rsidRPr="004E59F1" w:rsidRDefault="0096443F" w:rsidP="003B3ED9">
      <w:pPr>
        <w:rPr>
          <w:shd w:val="clear" w:color="auto" w:fill="FFFFFF"/>
        </w:rPr>
      </w:pPr>
      <w:r w:rsidRPr="004E59F1">
        <w:rPr>
          <w:shd w:val="clear" w:color="auto" w:fill="FFFFFF"/>
        </w:rPr>
        <w:t xml:space="preserve">Cannabidiol (CBD) </w:t>
      </w:r>
      <w:r w:rsidR="00A47164" w:rsidRPr="004E59F1">
        <w:rPr>
          <w:shd w:val="clear" w:color="auto" w:fill="FFFFFF"/>
        </w:rPr>
        <w:t>and</w:t>
      </w:r>
      <w:r w:rsidRPr="004E59F1">
        <w:rPr>
          <w:shd w:val="clear" w:color="auto" w:fill="FFFFFF"/>
        </w:rPr>
        <w:t xml:space="preserve"> tetrahydrocannabinol (THC) are the major cannabinoids present in Cannabis</w:t>
      </w:r>
      <w:r w:rsidR="00AA7409" w:rsidRPr="004E59F1">
        <w:rPr>
          <w:shd w:val="clear" w:color="auto" w:fill="FFFFFF"/>
        </w:rPr>
        <w:t>, from the</w:t>
      </w:r>
      <w:r w:rsidR="00AA7409" w:rsidRPr="006F1175">
        <w:rPr>
          <w:shd w:val="clear" w:color="auto" w:fill="FFFFFF"/>
        </w:rPr>
        <w:t xml:space="preserve"> glandular</w:t>
      </w:r>
      <w:r w:rsidR="003B3ED9">
        <w:rPr>
          <w:shd w:val="clear" w:color="auto" w:fill="FFFFFF"/>
        </w:rPr>
        <w:t xml:space="preserve"> </w:t>
      </w:r>
      <w:r w:rsidR="00AA7409" w:rsidRPr="004E59F1">
        <w:t>trichomes</w:t>
      </w:r>
      <w:r w:rsidR="003B3ED9">
        <w:rPr>
          <w:shd w:val="clear" w:color="auto" w:fill="FFFFFF"/>
        </w:rPr>
        <w:t xml:space="preserve"> </w:t>
      </w:r>
      <w:r w:rsidR="00AA7409" w:rsidRPr="006F1175">
        <w:rPr>
          <w:shd w:val="clear" w:color="auto" w:fill="FFFFFF"/>
        </w:rPr>
        <w:t xml:space="preserve">that occur most abundantly on the </w:t>
      </w:r>
      <w:r w:rsidR="00AA7409">
        <w:rPr>
          <w:shd w:val="clear" w:color="auto" w:fill="FFFFFF"/>
        </w:rPr>
        <w:t>flo</w:t>
      </w:r>
      <w:r w:rsidR="00AA7409" w:rsidRPr="006F1175">
        <w:rPr>
          <w:shd w:val="clear" w:color="auto" w:fill="FFFFFF"/>
        </w:rPr>
        <w:t>ral</w:t>
      </w:r>
      <w:r w:rsidR="003B3ED9">
        <w:rPr>
          <w:shd w:val="clear" w:color="auto" w:fill="FFFFFF"/>
        </w:rPr>
        <w:t xml:space="preserve"> </w:t>
      </w:r>
      <w:r w:rsidR="00AA7409" w:rsidRPr="004E59F1">
        <w:t>calyxes</w:t>
      </w:r>
      <w:r w:rsidR="003B3ED9">
        <w:t xml:space="preserve"> </w:t>
      </w:r>
      <w:r w:rsidR="00AA7409" w:rsidRPr="006F1175">
        <w:rPr>
          <w:shd w:val="clear" w:color="auto" w:fill="FFFFFF"/>
        </w:rPr>
        <w:t>and</w:t>
      </w:r>
      <w:r w:rsidR="003B3ED9">
        <w:rPr>
          <w:shd w:val="clear" w:color="auto" w:fill="FFFFFF"/>
        </w:rPr>
        <w:t xml:space="preserve"> </w:t>
      </w:r>
      <w:r w:rsidR="00AA7409" w:rsidRPr="004E59F1">
        <w:t>bracts</w:t>
      </w:r>
      <w:r w:rsidR="003B3ED9">
        <w:t xml:space="preserve"> </w:t>
      </w:r>
      <w:r w:rsidR="00AA7409" w:rsidRPr="006F1175">
        <w:rPr>
          <w:shd w:val="clear" w:color="auto" w:fill="FFFFFF"/>
        </w:rPr>
        <w:t>of female plants.</w:t>
      </w:r>
    </w:p>
    <w:p w14:paraId="4018CCF1" w14:textId="2BE985EF" w:rsidR="009935DE" w:rsidRDefault="00E4383A" w:rsidP="003B3ED9">
      <w:r>
        <w:t>Unlike THC</w:t>
      </w:r>
      <w:r w:rsidR="006F1175">
        <w:t>, CBD</w:t>
      </w:r>
      <w:r>
        <w:t xml:space="preserve"> </w:t>
      </w:r>
      <w:r w:rsidR="00A222B3">
        <w:t xml:space="preserve">is </w:t>
      </w:r>
      <w:r w:rsidR="00500BA0">
        <w:t xml:space="preserve">does </w:t>
      </w:r>
      <w:r w:rsidR="00A222B3">
        <w:t>not</w:t>
      </w:r>
      <w:r w:rsidR="00500BA0">
        <w:t xml:space="preserve"> cause psychomotor or cognitive impairment</w:t>
      </w:r>
      <w:r w:rsidR="002373C6">
        <w:t xml:space="preserve"> or strong psychoactive effects</w:t>
      </w:r>
      <w:r w:rsidR="00A222B3">
        <w:t xml:space="preserve"> as it has relatively weak affinity for CB1</w:t>
      </w:r>
      <w:r w:rsidR="00500BA0">
        <w:t xml:space="preserve"> receptors primarily located in the central nervous system (the major mediator in </w:t>
      </w:r>
      <w:r w:rsidR="00DD42F9">
        <w:t>THC</w:t>
      </w:r>
      <w:r w:rsidR="00500BA0">
        <w:t xml:space="preserve"> for these effects</w:t>
      </w:r>
      <w:r w:rsidR="00DD42F9">
        <w:t>)</w:t>
      </w:r>
      <w:r w:rsidR="00A222B3">
        <w:t xml:space="preserve"> and CB2</w:t>
      </w:r>
      <w:r w:rsidR="00500BA0">
        <w:t xml:space="preserve"> receptors found in the periphery on cells with immune function and in the gastrointestinal tract</w:t>
      </w:r>
      <w:r w:rsidR="00A222B3">
        <w:t>.</w:t>
      </w:r>
      <w:r w:rsidR="003B3ED9">
        <w:t xml:space="preserve"> </w:t>
      </w:r>
      <w:r w:rsidR="00E1159A">
        <w:t xml:space="preserve">In preclinical </w:t>
      </w:r>
      <w:r w:rsidR="00003B06">
        <w:t>studies,</w:t>
      </w:r>
      <w:r w:rsidR="00E1159A">
        <w:t xml:space="preserve"> CBD </w:t>
      </w:r>
      <w:r w:rsidR="00D56F43">
        <w:t>has been found to demonstrate both a favourable safety profile and a wide range of pharmacological</w:t>
      </w:r>
      <w:r w:rsidR="00336F6C">
        <w:t xml:space="preserve"> activity with potential therapeutic </w:t>
      </w:r>
      <w:r w:rsidR="00336F6C" w:rsidRPr="00DA7E81">
        <w:t>use</w:t>
      </w:r>
      <w:r w:rsidR="00DA7E81" w:rsidRPr="00DA7E81">
        <w:rPr>
          <w:vertAlign w:val="superscript"/>
        </w:rPr>
        <w:t>2</w:t>
      </w:r>
      <w:r w:rsidR="00336F6C">
        <w:t>.</w:t>
      </w:r>
    </w:p>
    <w:p w14:paraId="127AFE90" w14:textId="06288F0A" w:rsidR="00FF1E4B" w:rsidRDefault="00404F20" w:rsidP="009935DE">
      <w:r>
        <w:t xml:space="preserve">Recently </w:t>
      </w:r>
      <w:r w:rsidR="00003B06">
        <w:t>Epidiolex, which</w:t>
      </w:r>
      <w:r>
        <w:t xml:space="preserve"> contains purified CBD (≥ 99% CBD) as the only active ingredient, has been approved as a prescripti</w:t>
      </w:r>
      <w:r w:rsidR="00FF1E4B">
        <w:t xml:space="preserve">on medicine for use in </w:t>
      </w:r>
      <w:r w:rsidR="00AA7409">
        <w:t>certain p</w:t>
      </w:r>
      <w:r w:rsidR="007E3736">
        <w:t>a</w:t>
      </w:r>
      <w:r w:rsidR="00AA7409">
        <w:t>ediatric epilepsies</w:t>
      </w:r>
      <w:r w:rsidR="00FF1E4B">
        <w:t xml:space="preserve"> in the United States.</w:t>
      </w:r>
      <w:r w:rsidR="003B3ED9">
        <w:t xml:space="preserve"> </w:t>
      </w:r>
      <w:r w:rsidR="00CA2BA9">
        <w:t xml:space="preserve">The prescribing information (PI) for Epidiolex provides that treatment is </w:t>
      </w:r>
      <w:r w:rsidR="007620D6">
        <w:t>initiated at 2.5 mg/kg and escalated to efficacy.</w:t>
      </w:r>
      <w:r w:rsidR="00632322">
        <w:t xml:space="preserve"> Epidiolex was designated an orphan drug in Australia on 22 November 2019.</w:t>
      </w:r>
    </w:p>
    <w:p w14:paraId="138498F5" w14:textId="65B279AB" w:rsidR="00F86FCB" w:rsidRDefault="00F3640E" w:rsidP="009935DE">
      <w:r>
        <w:t xml:space="preserve">Given that CBD has not been widely used in clinical practice and the evidence for which conditions it is effective </w:t>
      </w:r>
      <w:r w:rsidR="000303F8">
        <w:t xml:space="preserve">has not been </w:t>
      </w:r>
      <w:r w:rsidR="00AA7409">
        <w:t>thoroughly</w:t>
      </w:r>
      <w:r w:rsidR="000303F8">
        <w:t xml:space="preserve"> characterised, it </w:t>
      </w:r>
      <w:r>
        <w:t xml:space="preserve">remains important that whether or not a safe limit </w:t>
      </w:r>
      <w:r w:rsidR="00876CF2">
        <w:t>can</w:t>
      </w:r>
      <w:r>
        <w:t xml:space="preserve"> be identified</w:t>
      </w:r>
      <w:r w:rsidR="00876CF2">
        <w:t>,</w:t>
      </w:r>
      <w:r>
        <w:t xml:space="preserve"> that </w:t>
      </w:r>
      <w:r w:rsidR="00876CF2">
        <w:t xml:space="preserve">the </w:t>
      </w:r>
      <w:r w:rsidR="00632322">
        <w:t>appropriate</w:t>
      </w:r>
      <w:r>
        <w:t xml:space="preserve"> regulatory controls are maintained to ensure both safety and quality</w:t>
      </w:r>
      <w:r w:rsidR="00AA7409">
        <w:t xml:space="preserve"> of products containing CBD</w:t>
      </w:r>
      <w:r w:rsidR="003B3ED9">
        <w:t>.</w:t>
      </w:r>
      <w:r>
        <w:t xml:space="preserve"> </w:t>
      </w:r>
      <w:r w:rsidR="00AA7409">
        <w:t>A</w:t>
      </w:r>
      <w:r w:rsidR="006A41B6">
        <w:t>ny</w:t>
      </w:r>
      <w:r w:rsidR="006608C6">
        <w:t xml:space="preserve"> </w:t>
      </w:r>
      <w:r w:rsidR="004346B2">
        <w:t>re-</w:t>
      </w:r>
      <w:r w:rsidR="006608C6">
        <w:t>consideration of the c</w:t>
      </w:r>
      <w:r w:rsidR="00CB0AA7">
        <w:t>urrent regulatory status of CBD</w:t>
      </w:r>
      <w:r w:rsidR="006A41B6">
        <w:t xml:space="preserve">, </w:t>
      </w:r>
      <w:r w:rsidR="00876CF2">
        <w:t>must</w:t>
      </w:r>
      <w:r w:rsidR="004B675E">
        <w:t xml:space="preserve"> ensure </w:t>
      </w:r>
      <w:r w:rsidR="00876CF2">
        <w:t xml:space="preserve">that </w:t>
      </w:r>
      <w:r w:rsidR="0011001C">
        <w:t xml:space="preserve">a medicine </w:t>
      </w:r>
      <w:r w:rsidR="004403B9">
        <w:t>supplied</w:t>
      </w:r>
      <w:r w:rsidR="0011001C">
        <w:t xml:space="preserve"> under lower medical oversight </w:t>
      </w:r>
      <w:r w:rsidR="00876CF2">
        <w:t xml:space="preserve">is </w:t>
      </w:r>
      <w:r w:rsidR="0011001C">
        <w:t xml:space="preserve">not used </w:t>
      </w:r>
      <w:r w:rsidR="00AA7409">
        <w:t xml:space="preserve">to </w:t>
      </w:r>
      <w:r w:rsidR="0011001C">
        <w:t>substitute</w:t>
      </w:r>
      <w:r w:rsidR="007E3736">
        <w:t xml:space="preserve"> medicines</w:t>
      </w:r>
      <w:r w:rsidR="0011001C">
        <w:t xml:space="preserve"> in conditions</w:t>
      </w:r>
      <w:r w:rsidR="00922ADF">
        <w:t xml:space="preserve"> where medical supervision </w:t>
      </w:r>
      <w:r w:rsidR="004346B2">
        <w:t>i</w:t>
      </w:r>
      <w:r w:rsidR="00A07F09">
        <w:t xml:space="preserve">s </w:t>
      </w:r>
      <w:r w:rsidR="00876CF2">
        <w:t>required. For</w:t>
      </w:r>
      <w:r w:rsidR="000303F8">
        <w:t xml:space="preserve"> example</w:t>
      </w:r>
      <w:r w:rsidR="00876CF2">
        <w:t>,</w:t>
      </w:r>
      <w:r w:rsidR="000303F8">
        <w:t xml:space="preserve"> in the treatment of e</w:t>
      </w:r>
      <w:r w:rsidR="00A07F09">
        <w:t>pilepsy</w:t>
      </w:r>
      <w:r w:rsidR="006A41B6">
        <w:t xml:space="preserve"> or </w:t>
      </w:r>
      <w:r w:rsidR="00351AD1">
        <w:t>schizophrenia</w:t>
      </w:r>
      <w:r w:rsidR="006A41B6">
        <w:t xml:space="preserve"> where medical supervi</w:t>
      </w:r>
      <w:r w:rsidR="003B3ED9">
        <w:t>sion is required and known drug-</w:t>
      </w:r>
      <w:r w:rsidR="006A41B6">
        <w:t xml:space="preserve">drug </w:t>
      </w:r>
      <w:r w:rsidR="00E44161">
        <w:t>interactions and</w:t>
      </w:r>
      <w:r w:rsidR="00500BA0">
        <w:t xml:space="preserve"> pharmacodynamics interactions </w:t>
      </w:r>
      <w:r w:rsidR="003B3ED9">
        <w:t>could lead to patient harm.</w:t>
      </w:r>
    </w:p>
    <w:p w14:paraId="60EC9CC9" w14:textId="2AC841E5" w:rsidR="006608C6" w:rsidRDefault="00876CF2" w:rsidP="007A299E">
      <w:r>
        <w:t>A</w:t>
      </w:r>
      <w:r w:rsidR="006608C6">
        <w:t xml:space="preserve"> reconsideration of the current scheduling status of CBD necessitates </w:t>
      </w:r>
      <w:r w:rsidR="00BE2E7F">
        <w:t>a consideration of a possible dose cut off</w:t>
      </w:r>
      <w:r w:rsidR="006A41B6">
        <w:t>, particularly taking into account</w:t>
      </w:r>
      <w:r w:rsidR="004403B9">
        <w:t xml:space="preserve"> potential for</w:t>
      </w:r>
      <w:r w:rsidR="006A41B6">
        <w:t xml:space="preserve"> drug-drug interactions</w:t>
      </w:r>
      <w:r w:rsidR="00AA7409">
        <w:t xml:space="preserve"> as well as the safety of CBD itself</w:t>
      </w:r>
      <w:r w:rsidR="00BE2E7F">
        <w:t>.</w:t>
      </w:r>
    </w:p>
    <w:p w14:paraId="7047A42E" w14:textId="77777777" w:rsidR="009935DE" w:rsidRPr="009935DE" w:rsidRDefault="009935DE" w:rsidP="007A299E">
      <w:pPr>
        <w:pStyle w:val="Heading3"/>
      </w:pPr>
      <w:bookmarkStart w:id="4" w:name="_Toc38379339"/>
      <w:r>
        <w:t>Aims</w:t>
      </w:r>
      <w:bookmarkEnd w:id="4"/>
    </w:p>
    <w:p w14:paraId="07727EC3" w14:textId="4E048194" w:rsidR="00876CF2" w:rsidRDefault="003E0F42" w:rsidP="006C4485">
      <w:r w:rsidRPr="003E0F42">
        <w:t>The aim of this</w:t>
      </w:r>
      <w:r>
        <w:t xml:space="preserve"> review is to assess the current clinical literature to </w:t>
      </w:r>
      <w:r w:rsidR="0045794A">
        <w:t>investigate</w:t>
      </w:r>
      <w:r>
        <w:t xml:space="preserve"> if there is a low dose for cannabidiol</w:t>
      </w:r>
      <w:r w:rsidR="00876CF2">
        <w:t xml:space="preserve"> </w:t>
      </w:r>
      <w:r w:rsidR="006F1175">
        <w:t xml:space="preserve">with potential therapeutic effect </w:t>
      </w:r>
      <w:r w:rsidR="00876CF2">
        <w:t>and if</w:t>
      </w:r>
      <w:r w:rsidR="00B46C8E">
        <w:t xml:space="preserve"> so,</w:t>
      </w:r>
      <w:r>
        <w:t xml:space="preserve"> what that low dose </w:t>
      </w:r>
      <w:r w:rsidR="006A41B6">
        <w:t>would</w:t>
      </w:r>
      <w:r w:rsidR="007A299E">
        <w:t xml:space="preserve"> be. </w:t>
      </w:r>
      <w:r w:rsidR="00876CF2">
        <w:t xml:space="preserve">It also sought </w:t>
      </w:r>
      <w:r>
        <w:t xml:space="preserve">to determine if the safety profile and characteristics of the low dose CBD </w:t>
      </w:r>
      <w:r w:rsidR="002F47C6">
        <w:t>lends itself to</w:t>
      </w:r>
      <w:r>
        <w:t xml:space="preserve"> consideration for down</w:t>
      </w:r>
      <w:r w:rsidR="002F47C6">
        <w:t xml:space="preserve"> </w:t>
      </w:r>
      <w:r>
        <w:t>scheduling.</w:t>
      </w:r>
    </w:p>
    <w:p w14:paraId="4E75B0AB" w14:textId="77777777" w:rsidR="003E0F42" w:rsidRPr="003E0F42" w:rsidRDefault="006A41B6" w:rsidP="007A299E">
      <w:r>
        <w:lastRenderedPageBreak/>
        <w:t>Th</w:t>
      </w:r>
      <w:r w:rsidR="004403B9">
        <w:t>e</w:t>
      </w:r>
      <w:r>
        <w:t xml:space="preserve"> review </w:t>
      </w:r>
      <w:r w:rsidR="006F50A3">
        <w:t xml:space="preserve">focused on safety and therefore </w:t>
      </w:r>
      <w:r>
        <w:t xml:space="preserve">did not look at the efficacy of low dose CBD </w:t>
      </w:r>
      <w:r w:rsidR="006F50A3">
        <w:t xml:space="preserve">in the management of specific conditions. The review </w:t>
      </w:r>
      <w:r w:rsidR="001E7C32">
        <w:t xml:space="preserve">also </w:t>
      </w:r>
      <w:r>
        <w:t xml:space="preserve">does not make specific recommendations about possible indications for </w:t>
      </w:r>
      <w:r w:rsidR="00351AD1">
        <w:t xml:space="preserve">low dose </w:t>
      </w:r>
      <w:r>
        <w:t>products.</w:t>
      </w:r>
    </w:p>
    <w:p w14:paraId="140761F2" w14:textId="77777777" w:rsidR="00055738" w:rsidRDefault="00055738" w:rsidP="007A299E">
      <w:pPr>
        <w:pStyle w:val="Heading3"/>
      </w:pPr>
      <w:bookmarkStart w:id="5" w:name="_Toc38379340"/>
      <w:r>
        <w:t>Methods</w:t>
      </w:r>
      <w:bookmarkEnd w:id="5"/>
    </w:p>
    <w:p w14:paraId="7A4541E0" w14:textId="4807EF62" w:rsidR="00346C75" w:rsidRDefault="00346C75" w:rsidP="00C3592C">
      <w:pPr>
        <w:pStyle w:val="Heading4"/>
      </w:pPr>
      <w:bookmarkStart w:id="6" w:name="_Toc38379341"/>
      <w:r>
        <w:t xml:space="preserve">Search </w:t>
      </w:r>
      <w:r w:rsidR="007A299E">
        <w:t>s</w:t>
      </w:r>
      <w:r>
        <w:t>trategy</w:t>
      </w:r>
      <w:bookmarkEnd w:id="6"/>
    </w:p>
    <w:p w14:paraId="4DFD1AB9" w14:textId="03AD8359" w:rsidR="00876CF2" w:rsidRDefault="00346C75" w:rsidP="007A299E">
      <w:r>
        <w:t xml:space="preserve">The objective was to identify a broad base of clinical and chemistry literature, which could answer the </w:t>
      </w:r>
      <w:r w:rsidR="00876CF2">
        <w:t xml:space="preserve">following </w:t>
      </w:r>
      <w:r w:rsidR="007A299E">
        <w:t>questions:</w:t>
      </w:r>
    </w:p>
    <w:p w14:paraId="01F6F7DD" w14:textId="35805F9D" w:rsidR="00876CF2" w:rsidRPr="007A299E" w:rsidRDefault="00346C75" w:rsidP="007A299E">
      <w:pPr>
        <w:pStyle w:val="ListBullet"/>
      </w:pPr>
      <w:r>
        <w:t xml:space="preserve">What dose </w:t>
      </w:r>
      <w:r w:rsidRPr="007A299E">
        <w:t xml:space="preserve">range of </w:t>
      </w:r>
      <w:r w:rsidR="00F0178E" w:rsidRPr="007A299E">
        <w:t>c</w:t>
      </w:r>
      <w:r w:rsidRPr="007A299E">
        <w:t xml:space="preserve">annabidiol is </w:t>
      </w:r>
      <w:r w:rsidR="00236AA4" w:rsidRPr="007A299E">
        <w:t>currently being used in clinical practice?</w:t>
      </w:r>
    </w:p>
    <w:p w14:paraId="7A8F85CA" w14:textId="16C7BAC1" w:rsidR="00876CF2" w:rsidRPr="007A299E" w:rsidRDefault="00346C75" w:rsidP="007A299E">
      <w:pPr>
        <w:pStyle w:val="ListBullet"/>
      </w:pPr>
      <w:r w:rsidRPr="007A299E">
        <w:t>Is there a l</w:t>
      </w:r>
      <w:r w:rsidR="007A299E">
        <w:t>ow dose? What is the low dose?</w:t>
      </w:r>
    </w:p>
    <w:p w14:paraId="6F0C928A" w14:textId="798BAE89" w:rsidR="00D02EAF" w:rsidRDefault="00346C75" w:rsidP="007A299E">
      <w:pPr>
        <w:pStyle w:val="ListBullet"/>
      </w:pPr>
      <w:r w:rsidRPr="007A299E">
        <w:t xml:space="preserve">What is the overall </w:t>
      </w:r>
      <w:r w:rsidR="00D51F5C" w:rsidRPr="007A299E">
        <w:t>clin</w:t>
      </w:r>
      <w:r w:rsidR="00D51F5C">
        <w:t xml:space="preserve">ical </w:t>
      </w:r>
      <w:r>
        <w:t xml:space="preserve">safety profile of </w:t>
      </w:r>
      <w:r w:rsidR="001E5299">
        <w:t xml:space="preserve">low dose </w:t>
      </w:r>
      <w:r w:rsidR="007A299E">
        <w:t>cannabidiol?</w:t>
      </w:r>
    </w:p>
    <w:p w14:paraId="505EA826" w14:textId="490D0703" w:rsidR="00346C75" w:rsidRDefault="00346C75" w:rsidP="007A299E">
      <w:r>
        <w:t xml:space="preserve">The following literature search in relation to </w:t>
      </w:r>
      <w:r w:rsidR="00F0178E">
        <w:t>c</w:t>
      </w:r>
      <w:r>
        <w:t xml:space="preserve">annabidiol was </w:t>
      </w:r>
      <w:r w:rsidR="006A41B6">
        <w:t>undertaken</w:t>
      </w:r>
      <w:r>
        <w:t>:</w:t>
      </w:r>
    </w:p>
    <w:p w14:paraId="5A65A8EC" w14:textId="53EEA7C9" w:rsidR="00346C75" w:rsidRPr="00F130CA" w:rsidRDefault="006A41B6" w:rsidP="00F130CA">
      <w:pPr>
        <w:pStyle w:val="ListBullet"/>
      </w:pPr>
      <w:r w:rsidRPr="00F130CA">
        <w:t>Literature published in the l</w:t>
      </w:r>
      <w:r w:rsidR="00346C75" w:rsidRPr="00F130CA">
        <w:t xml:space="preserve">ast </w:t>
      </w:r>
      <w:r w:rsidR="00342F33" w:rsidRPr="00F130CA">
        <w:t>five</w:t>
      </w:r>
      <w:r w:rsidR="007A299E">
        <w:t xml:space="preserve"> years</w:t>
      </w:r>
    </w:p>
    <w:p w14:paraId="090E4DE3" w14:textId="77777777" w:rsidR="00346C75" w:rsidRPr="00F130CA" w:rsidRDefault="00346C75" w:rsidP="00F130CA">
      <w:pPr>
        <w:pStyle w:val="ListBullet"/>
      </w:pPr>
      <w:r w:rsidRPr="00F130CA">
        <w:t xml:space="preserve">Synthetic pathways: extractions and chemical synthesis </w:t>
      </w:r>
      <w:r w:rsidR="006A41B6" w:rsidRPr="00F130CA">
        <w:t xml:space="preserve">including </w:t>
      </w:r>
      <w:r w:rsidRPr="00F130CA">
        <w:t>a recent review of all the current methods available and chemical characterisation with impurity profile and related substances</w:t>
      </w:r>
    </w:p>
    <w:p w14:paraId="04CEC360" w14:textId="77777777" w:rsidR="00346C75" w:rsidRPr="00F130CA" w:rsidRDefault="00346C75" w:rsidP="00F130CA">
      <w:pPr>
        <w:pStyle w:val="ListBullet"/>
      </w:pPr>
      <w:r w:rsidRPr="00F130CA">
        <w:t xml:space="preserve">Clinical trials of cannabidiol </w:t>
      </w:r>
      <w:r w:rsidR="00342F33" w:rsidRPr="00F130CA">
        <w:t>at any dose and for any indication</w:t>
      </w:r>
    </w:p>
    <w:p w14:paraId="0B29FF69" w14:textId="77777777" w:rsidR="00346C75" w:rsidRPr="00F130CA" w:rsidRDefault="00346C75" w:rsidP="00F130CA">
      <w:pPr>
        <w:pStyle w:val="ListBullet"/>
      </w:pPr>
      <w:r w:rsidRPr="00F130CA">
        <w:t>Dose ranging studies</w:t>
      </w:r>
    </w:p>
    <w:p w14:paraId="65382833" w14:textId="77777777" w:rsidR="00346C75" w:rsidRPr="00F130CA" w:rsidRDefault="00346C75" w:rsidP="00F130CA">
      <w:pPr>
        <w:pStyle w:val="ListBullet"/>
      </w:pPr>
      <w:r w:rsidRPr="00F130CA">
        <w:t>Reported adverse events, investigation of adverse events, case reports</w:t>
      </w:r>
    </w:p>
    <w:p w14:paraId="366B0A30" w14:textId="5DCD4C59" w:rsidR="00730306" w:rsidRDefault="00876CF2" w:rsidP="007A299E">
      <w:pPr>
        <w:ind w:left="720" w:hanging="720"/>
      </w:pPr>
      <w:r>
        <w:t xml:space="preserve">The search strategy is outlined in </w:t>
      </w:r>
      <w:hyperlink w:anchor="_Appendix_A" w:history="1">
        <w:r w:rsidR="00342F33" w:rsidRPr="007A299E">
          <w:rPr>
            <w:rStyle w:val="Hyperlink"/>
            <w:b/>
          </w:rPr>
          <w:t>Appendix A</w:t>
        </w:r>
      </w:hyperlink>
      <w:r w:rsidR="00F130CA">
        <w:t xml:space="preserve">. </w:t>
      </w:r>
      <w:r w:rsidR="00346C75">
        <w:t xml:space="preserve">The search was </w:t>
      </w:r>
      <w:r w:rsidR="00A81501">
        <w:t>conducted on 18 December 2019</w:t>
      </w:r>
      <w:r w:rsidR="001A7D6C">
        <w:t>.</w:t>
      </w:r>
    </w:p>
    <w:p w14:paraId="4372AF3A" w14:textId="77777777" w:rsidR="003A6A46" w:rsidRDefault="003A6A46" w:rsidP="007A299E">
      <w:pPr>
        <w:pStyle w:val="Heading3"/>
      </w:pPr>
      <w:bookmarkStart w:id="7" w:name="_Toc38379342"/>
      <w:r>
        <w:t>Results</w:t>
      </w:r>
      <w:bookmarkEnd w:id="7"/>
    </w:p>
    <w:p w14:paraId="21B90B1B" w14:textId="77777777" w:rsidR="0074136E" w:rsidRPr="0074136E" w:rsidRDefault="0074136E" w:rsidP="007A299E">
      <w:r>
        <w:t xml:space="preserve">The </w:t>
      </w:r>
      <w:r w:rsidR="006F1175">
        <w:t>literature analysed</w:t>
      </w:r>
      <w:r>
        <w:t xml:space="preserve"> consisted of a mix of </w:t>
      </w:r>
      <w:r w:rsidR="00003B06">
        <w:t>meta-analys</w:t>
      </w:r>
      <w:r w:rsidR="00342F33">
        <w:t>e</w:t>
      </w:r>
      <w:r w:rsidR="00003B06">
        <w:t>s</w:t>
      </w:r>
      <w:r>
        <w:t xml:space="preserve">, randomised controlled trials (RCTs), clinical investigations, explorative studies, case series and patent applications.  </w:t>
      </w:r>
      <w:r w:rsidR="0070519D" w:rsidRPr="00881342">
        <w:t>This literature was</w:t>
      </w:r>
      <w:r w:rsidR="00732E9D" w:rsidRPr="00881342">
        <w:t xml:space="preserve"> utilised for dose analysis</w:t>
      </w:r>
      <w:r w:rsidR="00732E9D" w:rsidRPr="00E234BA">
        <w:t>.</w:t>
      </w:r>
    </w:p>
    <w:p w14:paraId="52EBC5C7" w14:textId="77777777" w:rsidR="003D56EA" w:rsidRDefault="0053455B" w:rsidP="007A299E">
      <w:pPr>
        <w:pStyle w:val="Heading3"/>
      </w:pPr>
      <w:bookmarkStart w:id="8" w:name="_Toc38379343"/>
      <w:r>
        <w:t>Pharm</w:t>
      </w:r>
      <w:r w:rsidR="00236C01">
        <w:t>a</w:t>
      </w:r>
      <w:r>
        <w:t>cokinetics</w:t>
      </w:r>
      <w:r w:rsidR="003D56EA">
        <w:t xml:space="preserve"> of cannabidiol</w:t>
      </w:r>
      <w:bookmarkEnd w:id="8"/>
    </w:p>
    <w:p w14:paraId="3A0F3B42" w14:textId="27880A4E" w:rsidR="003D56EA" w:rsidRDefault="003D56EA" w:rsidP="003D56EA">
      <w:r>
        <w:t>CBD can be delivered via different routes</w:t>
      </w:r>
      <w:r w:rsidR="00876CF2">
        <w:t xml:space="preserve"> including </w:t>
      </w:r>
      <w:r>
        <w:t>orally, via inhalati</w:t>
      </w:r>
      <w:r w:rsidR="007A299E">
        <w:t>on, vaporisation and topically.</w:t>
      </w:r>
    </w:p>
    <w:p w14:paraId="75613641" w14:textId="3FEE813C" w:rsidR="003D56EA" w:rsidRDefault="003D56EA" w:rsidP="007A299E">
      <w:r>
        <w:t xml:space="preserve">Oral delivery has been assessed in humans and absorption can be erratic resulting in a variable pharmacokinetic profile. Bioavailability is estimated to </w:t>
      </w:r>
      <w:r w:rsidR="00236C01">
        <w:t>average</w:t>
      </w:r>
      <w:r>
        <w:t xml:space="preserve"> 6%</w:t>
      </w:r>
      <w:r w:rsidR="0053455B">
        <w:t xml:space="preserve"> due to significant first-pass effect metabolism and is rapidly distributed into tissues, due to its high lipophilicity is preferentially absorbed in adipose tissue</w:t>
      </w:r>
      <w:r w:rsidR="0053455B">
        <w:rPr>
          <w:vertAlign w:val="superscript"/>
        </w:rPr>
        <w:t>18</w:t>
      </w:r>
      <w:r w:rsidR="007A299E">
        <w:t>.</w:t>
      </w:r>
    </w:p>
    <w:p w14:paraId="2D6B4F4E" w14:textId="77777777" w:rsidR="003D56EA" w:rsidRDefault="0053455B" w:rsidP="007A299E">
      <w:r>
        <w:t xml:space="preserve">CBD has </w:t>
      </w:r>
      <w:r w:rsidR="0041690A">
        <w:t xml:space="preserve">been </w:t>
      </w:r>
      <w:r>
        <w:t>shown to interact with other drugs and this is further discussed in the safety and adverse section of this report.</w:t>
      </w:r>
    </w:p>
    <w:p w14:paraId="08CE2833" w14:textId="6218A02B" w:rsidR="001525B4" w:rsidRDefault="007A299E" w:rsidP="007A299E">
      <w:pPr>
        <w:pStyle w:val="Heading3"/>
      </w:pPr>
      <w:bookmarkStart w:id="9" w:name="_Toc38379344"/>
      <w:r>
        <w:lastRenderedPageBreak/>
        <w:t>Dose r</w:t>
      </w:r>
      <w:r w:rsidR="00CD0447">
        <w:t xml:space="preserve">ange for </w:t>
      </w:r>
      <w:r>
        <w:t>t</w:t>
      </w:r>
      <w:r w:rsidR="00CD0447">
        <w:t xml:space="preserve">herapeutic </w:t>
      </w:r>
      <w:r>
        <w:t>u</w:t>
      </w:r>
      <w:r w:rsidR="00CD0447">
        <w:t>se</w:t>
      </w:r>
      <w:bookmarkEnd w:id="9"/>
    </w:p>
    <w:p w14:paraId="67E8DD3B" w14:textId="7C3ECE1E" w:rsidR="008876E5" w:rsidRDefault="00964B52" w:rsidP="00964B52">
      <w:r>
        <w:t>It has been reported that similar</w:t>
      </w:r>
      <w:r w:rsidR="00236C01">
        <w:t>ly</w:t>
      </w:r>
      <w:r>
        <w:t xml:space="preserve"> to cannabinoids, CBD produces a biphasic response with variable and even opposing effects at different doses of CBD</w:t>
      </w:r>
      <w:r w:rsidR="00F130CA">
        <w:rPr>
          <w:rStyle w:val="EndnoteReference"/>
        </w:rPr>
        <w:endnoteReference w:id="1"/>
      </w:r>
      <w:r w:rsidR="007A299E">
        <w:t xml:space="preserve">. </w:t>
      </w:r>
      <w:r w:rsidR="00F130CA">
        <w:t>High doses of CBD have been observed to increase sleep duration whilst low doses (15 mg) appear to have alerting properties</w:t>
      </w:r>
      <w:r w:rsidR="00F130CA">
        <w:rPr>
          <w:rStyle w:val="EndnoteReference"/>
        </w:rPr>
        <w:endnoteReference w:id="2"/>
      </w:r>
      <w:r w:rsidR="007A299E">
        <w:t xml:space="preserve">. </w:t>
      </w:r>
      <w:r w:rsidR="00F130CA">
        <w:t>The Israeli clinical guide for medical grade cannabis</w:t>
      </w:r>
      <w:r w:rsidR="00F130CA">
        <w:rPr>
          <w:rStyle w:val="EndnoteReference"/>
        </w:rPr>
        <w:endnoteReference w:id="3"/>
      </w:r>
      <w:r w:rsidR="00F130CA">
        <w:t xml:space="preserve"> also notes this biphasic response and provides that in the immune system potentially high doses may correlate with an inhibitory effect whilst low doses may result in the stimulati</w:t>
      </w:r>
      <w:r w:rsidR="007A299E">
        <w:t>on of immune system processes.</w:t>
      </w:r>
    </w:p>
    <w:p w14:paraId="6B7BFCD1" w14:textId="04EA248E" w:rsidR="00F130CA" w:rsidRDefault="008876E5" w:rsidP="00964B52">
      <w:r>
        <w:t>Some studies have claimed that c</w:t>
      </w:r>
      <w:r w:rsidR="002373C6">
        <w:t>annabidiol</w:t>
      </w:r>
      <w:r w:rsidR="00F130CA">
        <w:t xml:space="preserve"> </w:t>
      </w:r>
      <w:r>
        <w:t xml:space="preserve">may </w:t>
      </w:r>
      <w:r w:rsidR="00F130CA">
        <w:t>possess a U-shaped effect, such that very low or very high doses are more effective</w:t>
      </w:r>
      <w:r>
        <w:t xml:space="preserve"> </w:t>
      </w:r>
      <w:r w:rsidR="00F130CA">
        <w:t>than medium doses</w:t>
      </w:r>
      <w:r w:rsidR="00F130CA" w:rsidRPr="009534B4">
        <w:rPr>
          <w:vertAlign w:val="superscript"/>
        </w:rPr>
        <w:t>1</w:t>
      </w:r>
      <w:r w:rsidR="00C26918">
        <w:t xml:space="preserve">. </w:t>
      </w:r>
      <w:r w:rsidR="00F130CA">
        <w:t>We set out to determine if a low dose can be determined from the literature search results.</w:t>
      </w:r>
    </w:p>
    <w:p w14:paraId="0E9EDCB5" w14:textId="5B8D1797" w:rsidR="00F130CA" w:rsidRDefault="00236C01" w:rsidP="005053AF">
      <w:r>
        <w:t>T</w:t>
      </w:r>
      <w:r w:rsidR="00F130CA">
        <w:t>here was a paucity of high quality published t</w:t>
      </w:r>
      <w:r w:rsidR="004E59F1">
        <w:t xml:space="preserve">rials (meta-analyses and RCTs) </w:t>
      </w:r>
      <w:r w:rsidR="00F130CA">
        <w:t xml:space="preserve">with </w:t>
      </w:r>
      <w:r w:rsidR="007E3736">
        <w:t xml:space="preserve">the </w:t>
      </w:r>
      <w:r w:rsidR="00F130CA">
        <w:t>majority of the li</w:t>
      </w:r>
      <w:r w:rsidR="007E3736">
        <w:t xml:space="preserve">terature for analysis being </w:t>
      </w:r>
      <w:r w:rsidR="00F130CA">
        <w:t>lower quality explorative studies or case series</w:t>
      </w:r>
      <w:r w:rsidR="002373C6">
        <w:t xml:space="preserve"> with no placebo control</w:t>
      </w:r>
      <w:r w:rsidR="00C26918">
        <w:t xml:space="preserve">. </w:t>
      </w:r>
      <w:r w:rsidR="00F130CA">
        <w:t xml:space="preserve">Thus, </w:t>
      </w:r>
      <w:r w:rsidR="00F130CA" w:rsidRPr="005053AF">
        <w:t xml:space="preserve">no </w:t>
      </w:r>
      <w:r>
        <w:t xml:space="preserve">clear </w:t>
      </w:r>
      <w:r w:rsidR="00F130CA" w:rsidRPr="005053AF">
        <w:t>conclusions can be drawn on efficacy</w:t>
      </w:r>
      <w:r w:rsidR="00F130CA">
        <w:t xml:space="preserve"> </w:t>
      </w:r>
      <w:r w:rsidR="007E3736">
        <w:t xml:space="preserve">of CBD at low doses </w:t>
      </w:r>
      <w:r w:rsidR="00F130CA" w:rsidRPr="005053AF">
        <w:t>as larger phase III and conclusive efficacy t</w:t>
      </w:r>
      <w:r w:rsidR="00C26918">
        <w:t>rials have not been conducted.</w:t>
      </w:r>
    </w:p>
    <w:p w14:paraId="7F85CC1D" w14:textId="609B8792" w:rsidR="00F130CA" w:rsidRDefault="00F130CA" w:rsidP="005053AF">
      <w:r>
        <w:t>The summarised clinical literature was reviewed to determine broad d</w:t>
      </w:r>
      <w:r w:rsidR="00E05FB6">
        <w:t xml:space="preserve">ose ranges currently utilised. </w:t>
      </w:r>
      <w:r>
        <w:t xml:space="preserve">The dose ranges were stratified and classified as high to low and their </w:t>
      </w:r>
      <w:r w:rsidR="006553FB">
        <w:t>use for</w:t>
      </w:r>
      <w:r>
        <w:t xml:space="preserve"> ea</w:t>
      </w:r>
      <w:r w:rsidR="00E05FB6">
        <w:t xml:space="preserve">ch dose range tier determined. </w:t>
      </w:r>
      <w:r>
        <w:t xml:space="preserve">The clinical studies reviewed were conducted in various </w:t>
      </w:r>
      <w:r w:rsidR="006553FB">
        <w:t>locations and</w:t>
      </w:r>
      <w:r w:rsidR="004E59F1">
        <w:t xml:space="preserve"> </w:t>
      </w:r>
      <w:r w:rsidR="00F61E50">
        <w:t>the average BMI</w:t>
      </w:r>
      <w:r>
        <w:t xml:space="preserve"> </w:t>
      </w:r>
      <w:r w:rsidR="00DC2313">
        <w:t xml:space="preserve">and weight </w:t>
      </w:r>
      <w:r>
        <w:t>of subjects</w:t>
      </w:r>
      <w:r w:rsidR="00E05FB6">
        <w:t xml:space="preserve"> varied according to location. </w:t>
      </w:r>
      <w:r>
        <w:t>A</w:t>
      </w:r>
      <w:r w:rsidR="00F61E50">
        <w:t>s d</w:t>
      </w:r>
      <w:r w:rsidR="00DC2313">
        <w:t>ose is closely related to weight</w:t>
      </w:r>
      <w:r>
        <w:t>, to make the data from clinical trials more widely interpretable and applicable, dose is often reported in mg/kg/day</w:t>
      </w:r>
      <w:r w:rsidR="00236C01">
        <w:t>.</w:t>
      </w:r>
      <w:r w:rsidR="00E05FB6">
        <w:t xml:space="preserve"> </w:t>
      </w:r>
      <w:r>
        <w:t>Where the dose in the literature is reported as mg/day it was converted to mg/kg/day using the global average body mass of 62 kg</w:t>
      </w:r>
      <w:r>
        <w:rPr>
          <w:rStyle w:val="EndnoteReference"/>
        </w:rPr>
        <w:endnoteReference w:id="4"/>
      </w:r>
      <w:r>
        <w:t xml:space="preserve"> (adult), the same conversion method is used to convert back to mg/day (w</w:t>
      </w:r>
      <w:r w:rsidR="00E05FB6">
        <w:t xml:space="preserve">here required) from mg/kg/day. </w:t>
      </w:r>
      <w:r>
        <w:t>Thus, a dose of 1mg/kg/day is equivalent to 62 mg/day and 50 mg/kg/day is equivalent to 3100 mg/day.</w:t>
      </w:r>
    </w:p>
    <w:p w14:paraId="4AF475DC" w14:textId="77777777" w:rsidR="00F130CA" w:rsidRDefault="00F130CA" w:rsidP="0048018B">
      <w:r>
        <w:t>The results of the dose stratification are provided below.</w:t>
      </w:r>
    </w:p>
    <w:p w14:paraId="1F5A668B" w14:textId="01086BE4" w:rsidR="00F130CA" w:rsidRDefault="00F130CA" w:rsidP="00B06D60">
      <w:pPr>
        <w:pStyle w:val="Heading4"/>
      </w:pPr>
      <w:bookmarkStart w:id="10" w:name="_Toc38379345"/>
      <w:r>
        <w:t xml:space="preserve">High </w:t>
      </w:r>
      <w:r w:rsidR="0048018B">
        <w:t>d</w:t>
      </w:r>
      <w:r>
        <w:t xml:space="preserve">ose </w:t>
      </w:r>
      <w:r w:rsidR="0048018B">
        <w:t>r</w:t>
      </w:r>
      <w:r>
        <w:t>ange (10 to ~up to 50 mg/kg/day)</w:t>
      </w:r>
      <w:bookmarkEnd w:id="10"/>
    </w:p>
    <w:p w14:paraId="6A1CB25E" w14:textId="0BEB83F2" w:rsidR="00F130CA" w:rsidRDefault="00F130CA" w:rsidP="0048018B">
      <w:r>
        <w:t xml:space="preserve">Cannabidiol is being investigated in a </w:t>
      </w:r>
      <w:r w:rsidR="00DC2313">
        <w:t>wide</w:t>
      </w:r>
      <w:r w:rsidR="0048018B">
        <w:t xml:space="preserve"> range of clinical conditions. </w:t>
      </w:r>
      <w:r w:rsidR="00DC2313">
        <w:t>Treatment of refractory e</w:t>
      </w:r>
      <w:r>
        <w:t>pilepsy is the most studied condition with dosages of 10 mg/kg/day to 20 mg/kg/day being successfully utilised</w:t>
      </w:r>
      <w:r w:rsidR="00DC2313">
        <w:t xml:space="preserve"> predominantly in children and young adults,</w:t>
      </w:r>
      <w:r>
        <w:t xml:space="preserve"> with the occasional use of a very high dose of 50 mg/kg day</w:t>
      </w:r>
      <w:r>
        <w:rPr>
          <w:rStyle w:val="EndnoteReference"/>
        </w:rPr>
        <w:endnoteReference w:id="5"/>
      </w:r>
      <w:r w:rsidR="0048018B">
        <w:t xml:space="preserve">. </w:t>
      </w:r>
      <w:r w:rsidR="00236C01">
        <w:t>S</w:t>
      </w:r>
      <w:r>
        <w:t xml:space="preserve">tudies in schizophrenia, </w:t>
      </w:r>
      <w:r w:rsidR="000C1C42">
        <w:t>bipolar disorder, Huntington’s d</w:t>
      </w:r>
      <w:r>
        <w:t xml:space="preserve">isease </w:t>
      </w:r>
      <w:r w:rsidR="003413D3">
        <w:t xml:space="preserve">at </w:t>
      </w:r>
      <w:r w:rsidR="003F6784">
        <w:t xml:space="preserve">what </w:t>
      </w:r>
      <w:r w:rsidR="003413D3">
        <w:t xml:space="preserve">would be considered a high dose also have </w:t>
      </w:r>
      <w:r>
        <w:t>mixed results</w:t>
      </w:r>
      <w:r w:rsidR="0048018B">
        <w:t xml:space="preserve"> in terms of efficacy outcomes</w:t>
      </w:r>
      <w:r w:rsidR="0048018B">
        <w:rPr>
          <w:vertAlign w:val="superscript"/>
        </w:rPr>
        <w:t>20,21,</w:t>
      </w:r>
      <w:r w:rsidR="00FC48D5">
        <w:rPr>
          <w:vertAlign w:val="superscript"/>
        </w:rPr>
        <w:t>22</w:t>
      </w:r>
      <w:r w:rsidR="0048018B">
        <w:t>.</w:t>
      </w:r>
    </w:p>
    <w:p w14:paraId="69F3B21D" w14:textId="0C6FF065" w:rsidR="00F130CA" w:rsidRDefault="00F130CA" w:rsidP="005E4A9F">
      <w:pPr>
        <w:pStyle w:val="Heading4"/>
      </w:pPr>
      <w:bookmarkStart w:id="11" w:name="_Toc38379346"/>
      <w:r>
        <w:t xml:space="preserve">Medium </w:t>
      </w:r>
      <w:r w:rsidR="00C95E64">
        <w:t>d</w:t>
      </w:r>
      <w:r>
        <w:t xml:space="preserve">ose </w:t>
      </w:r>
      <w:r w:rsidR="00C95E64">
        <w:t>r</w:t>
      </w:r>
      <w:r>
        <w:t>ange (1 to ~10 mg/kg/day)</w:t>
      </w:r>
      <w:bookmarkEnd w:id="11"/>
    </w:p>
    <w:p w14:paraId="4504E6F0" w14:textId="17E11E0B" w:rsidR="00F130CA" w:rsidRDefault="00F130CA" w:rsidP="00C95E64">
      <w:r>
        <w:t xml:space="preserve">Studies pertaining to </w:t>
      </w:r>
      <w:r w:rsidR="00B2653B">
        <w:t xml:space="preserve">the management of symptoms associated with </w:t>
      </w:r>
      <w:r>
        <w:t>Parkinson’s disease consist of both control</w:t>
      </w:r>
      <w:r w:rsidR="004E59F1">
        <w:t xml:space="preserve">led trials and case studies in </w:t>
      </w:r>
      <w:r>
        <w:t>dose ranges of 1.25 to 7 mg/kg/day</w:t>
      </w:r>
      <w:r w:rsidR="00C74FC6">
        <w:rPr>
          <w:vertAlign w:val="superscript"/>
        </w:rPr>
        <w:t>22</w:t>
      </w:r>
      <w:r w:rsidR="00C95E64">
        <w:t xml:space="preserve">. </w:t>
      </w:r>
      <w:r>
        <w:t>A dose of 5 mg/kg/day has been used in graft-vs-host disease and cannabis dependence</w:t>
      </w:r>
      <w:r>
        <w:rPr>
          <w:vertAlign w:val="superscript"/>
        </w:rPr>
        <w:t>5</w:t>
      </w:r>
      <w:r w:rsidR="00C95E64">
        <w:t>.</w:t>
      </w:r>
    </w:p>
    <w:p w14:paraId="25C0C6D6" w14:textId="6FC12546" w:rsidR="00F130CA" w:rsidRDefault="00F130CA" w:rsidP="00FB6077">
      <w:pPr>
        <w:pStyle w:val="Heading4"/>
      </w:pPr>
      <w:bookmarkStart w:id="12" w:name="_Toc38379347"/>
      <w:r>
        <w:t xml:space="preserve">Low </w:t>
      </w:r>
      <w:r w:rsidR="00C95E64">
        <w:t>d</w:t>
      </w:r>
      <w:r>
        <w:t xml:space="preserve">ose </w:t>
      </w:r>
      <w:r w:rsidR="00C95E64">
        <w:t>r</w:t>
      </w:r>
      <w:r>
        <w:t>ange (Less than or equal to 1 mg/kg/day)</w:t>
      </w:r>
      <w:bookmarkEnd w:id="12"/>
    </w:p>
    <w:p w14:paraId="6F98B610" w14:textId="3AD6EAAE" w:rsidR="00F130CA" w:rsidRDefault="00F130CA" w:rsidP="00964B52">
      <w:r>
        <w:t>1 mg/kg/day or less has been used in anxiety and insomnia secondary to post traumatic stress disorder (25 to 40 mg/day) in a child of 10 years of age</w:t>
      </w:r>
      <w:r>
        <w:rPr>
          <w:rStyle w:val="EndnoteReference"/>
        </w:rPr>
        <w:endnoteReference w:id="6"/>
      </w:r>
      <w:r>
        <w:t xml:space="preserve"> and in adults</w:t>
      </w:r>
      <w:r>
        <w:rPr>
          <w:rStyle w:val="EndnoteReference"/>
        </w:rPr>
        <w:endnoteReference w:id="7"/>
      </w:r>
      <w:r>
        <w:t xml:space="preserve"> (mainly 25 m</w:t>
      </w:r>
      <w:r w:rsidR="00C95E64">
        <w:t xml:space="preserve">g/day, some 50 and 75 mg/day). </w:t>
      </w:r>
      <w:r>
        <w:t>CBD in doses of 1 mg/kg/day or less has also been utilised both locally and systemically in chronic pain of different aetiologies. In chronic refractory pain or defects of neurological function</w:t>
      </w:r>
      <w:r>
        <w:rPr>
          <w:rStyle w:val="EndnoteReference"/>
        </w:rPr>
        <w:endnoteReference w:id="8"/>
      </w:r>
      <w:r>
        <w:t xml:space="preserve"> (22.5 mg/day, 0.4 mg/kg/day) and pain related to systemic sclerosis skin ulcers</w:t>
      </w:r>
      <w:r>
        <w:rPr>
          <w:rStyle w:val="EndnoteReference"/>
        </w:rPr>
        <w:endnoteReference w:id="9"/>
      </w:r>
      <w:r>
        <w:t xml:space="preserve"> (10 mg orally (Systemic), 2 mg locally, 0.2 mg/kg/day).</w:t>
      </w:r>
    </w:p>
    <w:p w14:paraId="55907E56" w14:textId="7C473B35" w:rsidR="00C74FC6" w:rsidRDefault="00C74FC6" w:rsidP="00964B52">
      <w:r>
        <w:t>Low dose cannabidiol (10mg per day</w:t>
      </w:r>
      <w:r w:rsidR="00D00216">
        <w:t>) was</w:t>
      </w:r>
      <w:r>
        <w:t xml:space="preserve"> safe but not effective in the treatment of Crohn’s Diseas</w:t>
      </w:r>
      <w:r w:rsidR="00D00216">
        <w:t>e in a randomised controlled trial</w:t>
      </w:r>
      <w:r w:rsidR="00D00216">
        <w:rPr>
          <w:vertAlign w:val="superscript"/>
        </w:rPr>
        <w:t>1</w:t>
      </w:r>
      <w:r w:rsidR="00D00216">
        <w:t>.</w:t>
      </w:r>
    </w:p>
    <w:p w14:paraId="508D781A" w14:textId="0DE98E30" w:rsidR="00F130CA" w:rsidRDefault="00F130CA" w:rsidP="00964B52">
      <w:r>
        <w:lastRenderedPageBreak/>
        <w:t xml:space="preserve">Cannabidiol </w:t>
      </w:r>
      <w:r w:rsidR="003A0E80">
        <w:t xml:space="preserve">thus </w:t>
      </w:r>
      <w:r>
        <w:t xml:space="preserve">has </w:t>
      </w:r>
      <w:r w:rsidR="003A0E80">
        <w:t xml:space="preserve">been proposed to have </w:t>
      </w:r>
      <w:r w:rsidR="008876E5">
        <w:t xml:space="preserve">a wide </w:t>
      </w:r>
      <w:r>
        <w:t xml:space="preserve">dose range for possible therapeutic use </w:t>
      </w:r>
      <w:r w:rsidR="003A0E80">
        <w:t>from</w:t>
      </w:r>
      <w:r>
        <w:t xml:space="preserve"> less than 1 to 50 mg/kg/day</w:t>
      </w:r>
      <w:r>
        <w:rPr>
          <w:vertAlign w:val="superscript"/>
        </w:rPr>
        <w:t>5</w:t>
      </w:r>
      <w:r w:rsidR="003869AD">
        <w:t xml:space="preserve">. </w:t>
      </w:r>
      <w:r>
        <w:t>In the liter</w:t>
      </w:r>
      <w:r w:rsidR="00AD6D83">
        <w:t>ature, c</w:t>
      </w:r>
      <w:r>
        <w:t>annabidiol in the range of 150 to 600 mg/day (~2.5 to 10 mg/kg/day (adult)) has been classified as ‘high dose’</w:t>
      </w:r>
      <w:r>
        <w:rPr>
          <w:rStyle w:val="EndnoteReference"/>
        </w:rPr>
        <w:endnoteReference w:id="10"/>
      </w:r>
      <w:r w:rsidRPr="00954CE3">
        <w:rPr>
          <w:vertAlign w:val="superscript"/>
        </w:rPr>
        <w:t>,2</w:t>
      </w:r>
      <w:r w:rsidR="008A0CA6">
        <w:t xml:space="preserve"> </w:t>
      </w:r>
      <w:r w:rsidR="00D00216">
        <w:t xml:space="preserve">with a dose of 15 mg/day </w:t>
      </w:r>
      <w:r>
        <w:t>(~0.2mg/kg/day) being classified as low dose</w:t>
      </w:r>
      <w:r w:rsidRPr="008C077C">
        <w:rPr>
          <w:vertAlign w:val="superscript"/>
        </w:rPr>
        <w:t>2</w:t>
      </w:r>
      <w:r>
        <w:t>.</w:t>
      </w:r>
    </w:p>
    <w:p w14:paraId="5E4553B0" w14:textId="03801B54" w:rsidR="00F130CA" w:rsidRPr="003869AD" w:rsidRDefault="00F130CA" w:rsidP="003869AD">
      <w:pPr>
        <w:pStyle w:val="Heading4"/>
      </w:pPr>
      <w:bookmarkStart w:id="13" w:name="_Toc38379348"/>
      <w:r>
        <w:t xml:space="preserve">Recommended </w:t>
      </w:r>
      <w:r w:rsidR="003869AD">
        <w:t>l</w:t>
      </w:r>
      <w:r>
        <w:t xml:space="preserve">ow </w:t>
      </w:r>
      <w:r w:rsidR="003869AD">
        <w:t>d</w:t>
      </w:r>
      <w:r>
        <w:t xml:space="preserve">ose </w:t>
      </w:r>
      <w:r w:rsidR="003869AD">
        <w:t>r</w:t>
      </w:r>
      <w:r>
        <w:t>ange – up to</w:t>
      </w:r>
      <w:r w:rsidR="00AF4808">
        <w:t xml:space="preserve"> 60mg/day based </w:t>
      </w:r>
      <w:r w:rsidR="006553FB">
        <w:t xml:space="preserve">on </w:t>
      </w:r>
      <w:r w:rsidR="00AF4808">
        <w:t>a dose of</w:t>
      </w:r>
      <w:r>
        <w:t xml:space="preserve"> 1 mg/kg/day</w:t>
      </w:r>
      <w:bookmarkEnd w:id="13"/>
    </w:p>
    <w:p w14:paraId="24A86367" w14:textId="2A82E3AA" w:rsidR="003A0E80" w:rsidRDefault="00F130CA" w:rsidP="00964B52">
      <w:r>
        <w:t>From the above analysis</w:t>
      </w:r>
      <w:r w:rsidRPr="004E452C">
        <w:t xml:space="preserve">, a dose of less than or equal to </w:t>
      </w:r>
      <w:r w:rsidRPr="004E452C">
        <w:rPr>
          <w:b/>
        </w:rPr>
        <w:t>1 mg/kg/day</w:t>
      </w:r>
      <w:r w:rsidRPr="004E452C">
        <w:t xml:space="preserve"> (≤62 mg/day (adult) or ~60 mg)</w:t>
      </w:r>
      <w:r w:rsidR="003869AD">
        <w:t xml:space="preserve"> is determined to be low dose. </w:t>
      </w:r>
      <w:r>
        <w:t>T</w:t>
      </w:r>
      <w:r w:rsidRPr="004E452C">
        <w:t>o be suitable for down scheduling to a non-prescription schedule (schedule 3 or schedule 2),</w:t>
      </w:r>
      <w:r>
        <w:t xml:space="preserve"> </w:t>
      </w:r>
      <w:r w:rsidRPr="004E452C">
        <w:t xml:space="preserve">low dose </w:t>
      </w:r>
      <w:r>
        <w:t xml:space="preserve">CBD </w:t>
      </w:r>
      <w:r w:rsidRPr="004E452C">
        <w:t xml:space="preserve">should have minimal crossover with </w:t>
      </w:r>
      <w:r>
        <w:t>conditions which require medical supervision (S4)</w:t>
      </w:r>
      <w:r w:rsidR="003A0E80">
        <w:t xml:space="preserve">. </w:t>
      </w:r>
      <w:r w:rsidR="00A530A7">
        <w:t>CBD</w:t>
      </w:r>
      <w:r>
        <w:t xml:space="preserve"> should have an accepted safety profile for an over the counter medicine, including </w:t>
      </w:r>
      <w:r w:rsidR="004E59F1">
        <w:t xml:space="preserve">minimal drug-drug interactions </w:t>
      </w:r>
      <w:r>
        <w:t>and to treat conditions that are considered to be suitable for a pharmacist to manage</w:t>
      </w:r>
      <w:r w:rsidR="003869AD">
        <w:t>.</w:t>
      </w:r>
    </w:p>
    <w:p w14:paraId="6AFA1F70" w14:textId="3061AAD3" w:rsidR="00F130CA" w:rsidRDefault="00F130CA" w:rsidP="00964B52">
      <w:r w:rsidRPr="004E452C">
        <w:t>As noted above</w:t>
      </w:r>
      <w:r w:rsidR="003A0E80">
        <w:t>,</w:t>
      </w:r>
      <w:r w:rsidRPr="004E452C">
        <w:t xml:space="preserve"> a dose range of 150 mg to 600 mg (or above 2 mg/kg/day) is classified in the clinical literature as high dose and is typically used in </w:t>
      </w:r>
      <w:r w:rsidR="00341A68">
        <w:t>conditions</w:t>
      </w:r>
      <w:r w:rsidR="00A530A7">
        <w:t xml:space="preserve"> such as epilepsy that require medical supervision</w:t>
      </w:r>
      <w:r w:rsidRPr="004E452C">
        <w:t>. Cannabidiol in less than or equal to 1 mg/kg/day (up to ~60 mg/day) has possible utility in the management of chronic and generalised pain of broad aetiologies through both systemic and localised administration and in anxiety and insomnia.</w:t>
      </w:r>
    </w:p>
    <w:p w14:paraId="1894EE4C" w14:textId="7EC347F1" w:rsidR="008876E5" w:rsidRDefault="00AF4808" w:rsidP="00964B52">
      <w:r>
        <w:t xml:space="preserve">The recommended daily dose is based on weight and therefore is limited to evidence about the safety profile for low dose CBD in in </w:t>
      </w:r>
      <w:r w:rsidR="006553FB">
        <w:t xml:space="preserve">essentially </w:t>
      </w:r>
      <w:r>
        <w:t xml:space="preserve">an adult population (that is people of </w:t>
      </w:r>
      <w:r w:rsidR="006E16C3">
        <w:t xml:space="preserve">at least </w:t>
      </w:r>
      <w:r>
        <w:t>60kg)</w:t>
      </w:r>
      <w:r w:rsidR="00F236C1">
        <w:t>.</w:t>
      </w:r>
    </w:p>
    <w:p w14:paraId="24868E96" w14:textId="19BA4CC5" w:rsidR="00AF4808" w:rsidRDefault="006553FB" w:rsidP="00964B52">
      <w:r>
        <w:t>There is limited evidence about the use of low dose CBD (single case study) in children and therefore evidence for and knowledge of the safety of CBD in children is extremely limited.</w:t>
      </w:r>
      <w:r w:rsidR="008876E5">
        <w:t xml:space="preserve"> </w:t>
      </w:r>
      <w:r>
        <w:t>Consideration should be given to whether when considering down scheduling that low dose CBD, i</w:t>
      </w:r>
      <w:r w:rsidR="008876E5">
        <w:t>.</w:t>
      </w:r>
      <w:r>
        <w:t>e</w:t>
      </w:r>
      <w:r w:rsidR="008876E5">
        <w:t>.</w:t>
      </w:r>
      <w:r>
        <w:t xml:space="preserve"> 60mg/day should be limited to management of conditions in adults (i.e. those over 18 years of age)</w:t>
      </w:r>
      <w:r w:rsidR="00F236C1">
        <w:t>.</w:t>
      </w:r>
    </w:p>
    <w:p w14:paraId="5918D414" w14:textId="2F254158" w:rsidR="00F130CA" w:rsidRDefault="00F130CA" w:rsidP="00DF2353">
      <w:pPr>
        <w:pStyle w:val="Heading3"/>
      </w:pPr>
      <w:bookmarkStart w:id="14" w:name="_Toc38379349"/>
      <w:r>
        <w:t xml:space="preserve">Safety and </w:t>
      </w:r>
      <w:r w:rsidR="00DF2353">
        <w:t>a</w:t>
      </w:r>
      <w:r>
        <w:t xml:space="preserve">dverse </w:t>
      </w:r>
      <w:r w:rsidR="00DF2353">
        <w:t>e</w:t>
      </w:r>
      <w:r>
        <w:t>vents</w:t>
      </w:r>
      <w:bookmarkEnd w:id="14"/>
    </w:p>
    <w:p w14:paraId="288CD6F6" w14:textId="72388D25" w:rsidR="00F130CA" w:rsidRDefault="00F130CA" w:rsidP="00DF2353">
      <w:r>
        <w:t xml:space="preserve">The most commonly reported side effects associated with the use of CBD </w:t>
      </w:r>
      <w:r w:rsidR="006F50A3">
        <w:t>were tiredness</w:t>
      </w:r>
      <w:r>
        <w:t xml:space="preserve">, diarrhoea, changes in appetite /weight, transaminase elevations, sedation, sleep disturbances, infection and anaemia.  Additionally, catalepsy </w:t>
      </w:r>
      <w:r w:rsidR="006F50A3">
        <w:t>wa</w:t>
      </w:r>
      <w:r>
        <w:t>s not</w:t>
      </w:r>
      <w:r w:rsidR="006F50A3">
        <w:t xml:space="preserve"> found to be</w:t>
      </w:r>
      <w:r>
        <w:t xml:space="preserve"> induced and physiological parameters such as heart rate, blood pressure and body temperature </w:t>
      </w:r>
      <w:r w:rsidR="00B503F0">
        <w:t xml:space="preserve">were </w:t>
      </w:r>
      <w:r>
        <w:t>not altered</w:t>
      </w:r>
      <w:r w:rsidR="00B503F0">
        <w:t>, and</w:t>
      </w:r>
      <w:r>
        <w:t xml:space="preserve"> psychological and psychomotor functions not adversely affected</w:t>
      </w:r>
      <w:r>
        <w:rPr>
          <w:rStyle w:val="EndnoteReference"/>
        </w:rPr>
        <w:endnoteReference w:id="11"/>
      </w:r>
      <w:r w:rsidR="00DF2353">
        <w:rPr>
          <w:vertAlign w:val="superscript"/>
        </w:rPr>
        <w:t>,</w:t>
      </w:r>
      <w:r>
        <w:rPr>
          <w:rStyle w:val="EndnoteReference"/>
        </w:rPr>
        <w:endnoteReference w:id="12"/>
      </w:r>
      <w:r w:rsidR="00DF2353">
        <w:rPr>
          <w:vertAlign w:val="superscript"/>
        </w:rPr>
        <w:t>,</w:t>
      </w:r>
      <w:r>
        <w:rPr>
          <w:rStyle w:val="EndnoteReference"/>
        </w:rPr>
        <w:endnoteReference w:id="13"/>
      </w:r>
      <w:r w:rsidR="00DF2353">
        <w:t>.</w:t>
      </w:r>
    </w:p>
    <w:p w14:paraId="3E1F7116" w14:textId="365DEA71" w:rsidR="00F130CA" w:rsidRDefault="00F130CA" w:rsidP="00B45DD9">
      <w:r>
        <w:rPr>
          <w:color w:val="222222"/>
        </w:rPr>
        <w:t xml:space="preserve">Bergamaschi et </w:t>
      </w:r>
      <w:r w:rsidRPr="0036773D">
        <w:rPr>
          <w:color w:val="222222"/>
        </w:rPr>
        <w:t>al</w:t>
      </w:r>
      <w:r w:rsidRPr="0036773D">
        <w:t xml:space="preserve"> has reported that adverse events typically displayed a general dose-response relationship</w:t>
      </w:r>
      <w:r w:rsidRPr="0036773D">
        <w:rPr>
          <w:vertAlign w:val="superscript"/>
        </w:rPr>
        <w:t>14</w:t>
      </w:r>
      <w:r w:rsidR="00DF2353">
        <w:t>.</w:t>
      </w:r>
      <w:r>
        <w:t xml:space="preserve"> However, whilst several meta-analyses on the safety and adverse effects of clinical use of </w:t>
      </w:r>
      <w:r w:rsidR="00F0178E">
        <w:t>c</w:t>
      </w:r>
      <w:r>
        <w:t xml:space="preserve">annabidiol </w:t>
      </w:r>
      <w:r w:rsidR="00341A68">
        <w:t>exist</w:t>
      </w:r>
      <w:r>
        <w:rPr>
          <w:rStyle w:val="EndnoteReference"/>
        </w:rPr>
        <w:endnoteReference w:id="14"/>
      </w:r>
      <w:r>
        <w:t>; they largely cover the higher dose ranges of 2 mg/kg/day and above.  There is limited clinical safety data in the form of meta-analysis or higher quality clinical studies in relation to adverse effects at the lower range of 1 mg/kg/day and less (up</w:t>
      </w:r>
      <w:r w:rsidR="00DF2353">
        <w:t xml:space="preserve"> to a maximum of ~ 60 mg/day). </w:t>
      </w:r>
      <w:r>
        <w:t>Hence, relevant large case series and small-scale case studies along with phase I clinical data in healthy volunteers was assessed to ascertain the safety profile of the lower dose range.</w:t>
      </w:r>
    </w:p>
    <w:p w14:paraId="57422B0A" w14:textId="2933AD91" w:rsidR="00F130CA" w:rsidRDefault="00F130CA" w:rsidP="00B45DD9">
      <w:r>
        <w:t xml:space="preserve">Dose related transaminase elevation and hepatic injury was reported for 10 and 20 mg/kg/day (620 to 1240 mg (adult)) dose of </w:t>
      </w:r>
      <w:r w:rsidR="00AD6D83">
        <w:t>c</w:t>
      </w:r>
      <w:r>
        <w:t>annabidiol</w:t>
      </w:r>
      <w:r w:rsidRPr="005A721E">
        <w:rPr>
          <w:vertAlign w:val="superscript"/>
        </w:rPr>
        <w:t>14</w:t>
      </w:r>
      <w:r>
        <w:t xml:space="preserve">. Hepatic injury or abnormal liver function tests were not observed at the lower dose range of 60 mg/daily </w:t>
      </w:r>
      <w:r w:rsidR="00D33AB0">
        <w:t xml:space="preserve">(i.e. 1mg/kg/day) </w:t>
      </w:r>
      <w:r>
        <w:t>and below</w:t>
      </w:r>
      <w:r>
        <w:rPr>
          <w:vertAlign w:val="superscript"/>
        </w:rPr>
        <w:t>1</w:t>
      </w:r>
      <w:r w:rsidR="00DF2353">
        <w:rPr>
          <w:vertAlign w:val="superscript"/>
        </w:rPr>
        <w:t>,</w:t>
      </w:r>
      <w:r w:rsidRPr="00EF747F">
        <w:rPr>
          <w:vertAlign w:val="superscript"/>
        </w:rPr>
        <w:t>6</w:t>
      </w:r>
      <w:r w:rsidR="00DF2353">
        <w:rPr>
          <w:vertAlign w:val="superscript"/>
        </w:rPr>
        <w:t>,</w:t>
      </w:r>
      <w:r w:rsidRPr="00EF747F">
        <w:rPr>
          <w:vertAlign w:val="superscript"/>
        </w:rPr>
        <w:t>7</w:t>
      </w:r>
      <w:r w:rsidR="00DF2353">
        <w:rPr>
          <w:vertAlign w:val="superscript"/>
        </w:rPr>
        <w:t>,</w:t>
      </w:r>
      <w:r w:rsidRPr="00EF747F">
        <w:rPr>
          <w:vertAlign w:val="superscript"/>
        </w:rPr>
        <w:t>8</w:t>
      </w:r>
      <w:r w:rsidR="00DF2353">
        <w:rPr>
          <w:vertAlign w:val="superscript"/>
        </w:rPr>
        <w:t>,</w:t>
      </w:r>
      <w:r>
        <w:rPr>
          <w:vertAlign w:val="superscript"/>
        </w:rPr>
        <w:t>9</w:t>
      </w:r>
      <w:r>
        <w:t>.</w:t>
      </w:r>
    </w:p>
    <w:p w14:paraId="2079F481" w14:textId="2651F365" w:rsidR="00F130CA" w:rsidRDefault="00F130CA" w:rsidP="00B45DD9">
      <w:r>
        <w:t xml:space="preserve">A single dose pharmacokinetic study of oral </w:t>
      </w:r>
      <w:r w:rsidR="00F0178E">
        <w:t>c</w:t>
      </w:r>
      <w:r>
        <w:t xml:space="preserve">annabidiol </w:t>
      </w:r>
      <w:r w:rsidRPr="00DA60A9">
        <w:rPr>
          <w:b/>
        </w:rPr>
        <w:t>10 mg</w:t>
      </w:r>
      <w:r>
        <w:t xml:space="preserve">, </w:t>
      </w:r>
      <w:r w:rsidRPr="00E51B01">
        <w:rPr>
          <w:b/>
        </w:rPr>
        <w:t>100 mg</w:t>
      </w:r>
      <w:r>
        <w:t xml:space="preserve"> and a combination of 10.8 mg THC with 10 mg CBD </w:t>
      </w:r>
      <w:r w:rsidR="00341A68">
        <w:t xml:space="preserve">in healthy volunteers reported </w:t>
      </w:r>
      <w:r>
        <w:t>that overall,</w:t>
      </w:r>
      <w:r w:rsidRPr="00835438">
        <w:t xml:space="preserve"> all formulations were consi</w:t>
      </w:r>
      <w:r>
        <w:t xml:space="preserve">dered safe and tolerable. No adverse events </w:t>
      </w:r>
      <w:r w:rsidR="00B503F0">
        <w:t>were</w:t>
      </w:r>
      <w:r w:rsidR="00B503F0" w:rsidRPr="00835438">
        <w:t xml:space="preserve"> </w:t>
      </w:r>
      <w:r w:rsidRPr="00835438">
        <w:t>considered serious, and none resulted in withdrawal of a subject from the trial. Headache was the most frequentl</w:t>
      </w:r>
      <w:r>
        <w:t xml:space="preserve">y reported adverse event </w:t>
      </w:r>
      <w:r>
        <w:lastRenderedPageBreak/>
        <w:t>(14%– 21%). All adverse event</w:t>
      </w:r>
      <w:r w:rsidRPr="00835438">
        <w:t>s resolved spontaneously without sequel. No clinically significant abnormalities in vital signs, ECG recordings, physical findings or safety laboratory tests were</w:t>
      </w:r>
      <w:r w:rsidR="008876E5">
        <w:t xml:space="preserve"> </w:t>
      </w:r>
      <w:r w:rsidRPr="00835438">
        <w:t>noted</w:t>
      </w:r>
      <w:r>
        <w:rPr>
          <w:rStyle w:val="EndnoteReference"/>
        </w:rPr>
        <w:endnoteReference w:id="15"/>
      </w:r>
      <w:r>
        <w:t>.</w:t>
      </w:r>
    </w:p>
    <w:p w14:paraId="01A5B27D" w14:textId="1B1AD645" w:rsidR="00F130CA" w:rsidRDefault="00F130CA" w:rsidP="00B45DD9">
      <w:r>
        <w:t xml:space="preserve">In a case study utilising approximately </w:t>
      </w:r>
      <w:r w:rsidRPr="00DA60A9">
        <w:rPr>
          <w:b/>
        </w:rPr>
        <w:t>40 mg</w:t>
      </w:r>
      <w:r>
        <w:t xml:space="preserve"> of </w:t>
      </w:r>
      <w:r w:rsidR="00F0178E">
        <w:t>c</w:t>
      </w:r>
      <w:r>
        <w:t xml:space="preserve">annabidiol </w:t>
      </w:r>
      <w:r w:rsidR="00D33AB0">
        <w:t xml:space="preserve">per day over </w:t>
      </w:r>
      <w:r>
        <w:t>5 months in the treatment of paediatric anxiety and insomnia</w:t>
      </w:r>
      <w:r w:rsidR="001842F8">
        <w:t xml:space="preserve"> in a single patient</w:t>
      </w:r>
      <w:r>
        <w:t>, n</w:t>
      </w:r>
      <w:r w:rsidRPr="00DC2237">
        <w:t>o side effects were observed from taking the CBD oil. The investigators routinely monitored for headache, fatigue, and change in appetite or agitation in addition to conducting a routine psych</w:t>
      </w:r>
      <w:r>
        <w:t>i</w:t>
      </w:r>
      <w:r w:rsidRPr="00DC2237">
        <w:t>atric evaluation</w:t>
      </w:r>
      <w:r>
        <w:t xml:space="preserve"> and no adverse effects were reported</w:t>
      </w:r>
      <w:r>
        <w:rPr>
          <w:vertAlign w:val="superscript"/>
        </w:rPr>
        <w:t>6</w:t>
      </w:r>
      <w:r w:rsidRPr="00DC2237">
        <w:t>.</w:t>
      </w:r>
    </w:p>
    <w:p w14:paraId="4CBD0CAC" w14:textId="52E178A0" w:rsidR="00F130CA" w:rsidRDefault="00F130CA" w:rsidP="00B45DD9">
      <w:r>
        <w:t xml:space="preserve">A case series of 72 adults on the use of low dose CBD to manage anxiety and sleep, which utilised mainly </w:t>
      </w:r>
      <w:r w:rsidRPr="00DA60A9">
        <w:rPr>
          <w:b/>
        </w:rPr>
        <w:t>25 mg</w:t>
      </w:r>
      <w:r>
        <w:t xml:space="preserve">/day of </w:t>
      </w:r>
      <w:r w:rsidR="00F0178E">
        <w:t>c</w:t>
      </w:r>
      <w:r>
        <w:t>annabidiol (maximum duration 3 months, with a handful of patients receiving 50 mg/day or 75 mg/day); CBD was reported to be well tolerated with few patients reporting side effects</w:t>
      </w:r>
      <w:r>
        <w:rPr>
          <w:vertAlign w:val="superscript"/>
        </w:rPr>
        <w:t>7</w:t>
      </w:r>
      <w:r>
        <w:t>. Two patients discontinued treatment due to fatigue, three reported sedation (which abated in the first few weeks) and o</w:t>
      </w:r>
      <w:r w:rsidRPr="00192A26">
        <w:t>ne patient with a developmental disorder (aged 21 year</w:t>
      </w:r>
      <w:r>
        <w:t xml:space="preserve">s) was taken off the CBD </w:t>
      </w:r>
      <w:r w:rsidRPr="00192A26">
        <w:t>regimen because of increased sexually inappropriate behaviour.</w:t>
      </w:r>
      <w:r>
        <w:t xml:space="preserve"> However, dose relation was difficult to ascertain, as the authors did not report the specific doses for these subjects.</w:t>
      </w:r>
    </w:p>
    <w:p w14:paraId="0B9C0339" w14:textId="77777777" w:rsidR="00F130CA" w:rsidRDefault="00F130CA" w:rsidP="00B45DD9">
      <w:r>
        <w:t>A</w:t>
      </w:r>
      <w:r>
        <w:rPr>
          <w:b/>
        </w:rPr>
        <w:t xml:space="preserve"> </w:t>
      </w:r>
      <w:r w:rsidRPr="009223E7">
        <w:t xml:space="preserve">study which looked at placebo, THC:CBD and CBD </w:t>
      </w:r>
      <w:r>
        <w:t xml:space="preserve">spray in the treatment of chronic pain in 34 patients (12 weeks duration) found that while CBD alone was not as effective as THC:CBD in managing pain this difference was not marked. In the study, a dose of </w:t>
      </w:r>
      <w:r>
        <w:rPr>
          <w:b/>
        </w:rPr>
        <w:t>22.5</w:t>
      </w:r>
      <w:r w:rsidRPr="00DA60A9">
        <w:rPr>
          <w:b/>
        </w:rPr>
        <w:t xml:space="preserve"> mg</w:t>
      </w:r>
      <w:r>
        <w:t xml:space="preserve"> of CBD was used. Reported adverse events were mild drowsiness and mouth dryness. Rates of daily occurrence of dysphoria/euphoria and drowsiness were lower in users of CBD alone</w:t>
      </w:r>
      <w:r>
        <w:rPr>
          <w:vertAlign w:val="superscript"/>
        </w:rPr>
        <w:t>8</w:t>
      </w:r>
      <w:r>
        <w:t>.</w:t>
      </w:r>
    </w:p>
    <w:p w14:paraId="7B344D63" w14:textId="4D307649" w:rsidR="00F130CA" w:rsidRDefault="00F130CA" w:rsidP="00B45DD9">
      <w:r>
        <w:t xml:space="preserve">In a study of Crohns disease utilising </w:t>
      </w:r>
      <w:r w:rsidRPr="00DA60A9">
        <w:rPr>
          <w:b/>
        </w:rPr>
        <w:t>20 mg</w:t>
      </w:r>
      <w:r>
        <w:t xml:space="preserve">/daily of </w:t>
      </w:r>
      <w:r w:rsidR="00F0178E">
        <w:t>c</w:t>
      </w:r>
      <w:r>
        <w:t xml:space="preserve">annabidiol (20 subjects, 8 weeks duration) the </w:t>
      </w:r>
      <w:r w:rsidRPr="00E451B1">
        <w:t>Haemoglobin, albumin, kidney, and liver function tests remained unchanged. No side effects were observed. Patients d</w:t>
      </w:r>
      <w:r>
        <w:t>id not report</w:t>
      </w:r>
      <w:r w:rsidRPr="00E451B1">
        <w:t xml:space="preserve"> withdrawal sy</w:t>
      </w:r>
      <w:r>
        <w:t>mptoms on treatment cessation and the a</w:t>
      </w:r>
      <w:r w:rsidRPr="00E451B1">
        <w:t>uthors report</w:t>
      </w:r>
      <w:r>
        <w:t>ed</w:t>
      </w:r>
      <w:r w:rsidRPr="00E451B1">
        <w:t xml:space="preserve"> the tolerability and safety profile to be excellent</w:t>
      </w:r>
      <w:r w:rsidRPr="00A039B6">
        <w:rPr>
          <w:vertAlign w:val="superscript"/>
        </w:rPr>
        <w:t>1</w:t>
      </w:r>
      <w:r w:rsidRPr="00E451B1">
        <w:t>.</w:t>
      </w:r>
    </w:p>
    <w:p w14:paraId="2089CB33" w14:textId="5D61B77B" w:rsidR="00F130CA" w:rsidRPr="008B54E1" w:rsidRDefault="0041690A" w:rsidP="00B45DD9">
      <w:r w:rsidRPr="0041690A">
        <w:t>A dose of</w:t>
      </w:r>
      <w:r>
        <w:rPr>
          <w:b/>
        </w:rPr>
        <w:t xml:space="preserve"> </w:t>
      </w:r>
      <w:r w:rsidRPr="0041690A">
        <w:t xml:space="preserve">approximately </w:t>
      </w:r>
      <w:r w:rsidR="00F130CA" w:rsidRPr="00DA60A9">
        <w:rPr>
          <w:b/>
        </w:rPr>
        <w:t>12.5 mg</w:t>
      </w:r>
      <w:r w:rsidR="00F130CA">
        <w:t xml:space="preserve"> of </w:t>
      </w:r>
      <w:r w:rsidR="00F0178E">
        <w:t>c</w:t>
      </w:r>
      <w:r w:rsidR="00F130CA">
        <w:t xml:space="preserve">annabidiol daily was used to treat the pain of </w:t>
      </w:r>
      <w:r w:rsidR="00F130CA" w:rsidRPr="000E4956">
        <w:t>systemic sclerosis skin ulcers</w:t>
      </w:r>
      <w:r w:rsidR="00F130CA">
        <w:t xml:space="preserve"> (10 mg systemically and an additional 2 mg applied locally dur</w:t>
      </w:r>
      <w:r w:rsidR="00EE14AA">
        <w:t xml:space="preserve">ing debridement of the ulcer). </w:t>
      </w:r>
      <w:r w:rsidR="00F130CA">
        <w:t>The s</w:t>
      </w:r>
      <w:r w:rsidR="00F130CA" w:rsidRPr="00294EA7">
        <w:t xml:space="preserve">afety of CBD was evaluated by </w:t>
      </w:r>
      <w:r w:rsidR="00F130CA">
        <w:t xml:space="preserve">examining the </w:t>
      </w:r>
      <w:r w:rsidR="00F130CA" w:rsidRPr="00294EA7">
        <w:t>pa</w:t>
      </w:r>
      <w:r w:rsidR="00F130CA">
        <w:t>tient’s records for evidence of side effects.</w:t>
      </w:r>
      <w:r w:rsidR="00F130CA" w:rsidRPr="00294EA7">
        <w:t xml:space="preserve"> </w:t>
      </w:r>
      <w:r w:rsidR="00F130CA">
        <w:t>V</w:t>
      </w:r>
      <w:r w:rsidR="00F130CA" w:rsidRPr="00294EA7">
        <w:t xml:space="preserve">ital signs and laboratory parameter variations were monitored at each weekly medication. No reported significant side effects </w:t>
      </w:r>
      <w:r w:rsidR="00F130CA">
        <w:t xml:space="preserve">were reported </w:t>
      </w:r>
      <w:r w:rsidR="00F130CA" w:rsidRPr="00294EA7">
        <w:t>with CBD oil</w:t>
      </w:r>
      <w:r w:rsidR="00F130CA">
        <w:rPr>
          <w:vertAlign w:val="superscript"/>
        </w:rPr>
        <w:t>9</w:t>
      </w:r>
      <w:r w:rsidR="00F130CA">
        <w:t>.</w:t>
      </w:r>
    </w:p>
    <w:p w14:paraId="61451D4C" w14:textId="77777777" w:rsidR="00F130CA" w:rsidRDefault="00F130CA" w:rsidP="00B45DD9">
      <w:r>
        <w:t xml:space="preserve">The review by Brown and Winterstein found that CBD and its primary active metabolite 7-hydroxyCBD </w:t>
      </w:r>
      <w:r w:rsidR="00B503F0">
        <w:t xml:space="preserve">had </w:t>
      </w:r>
      <w:r>
        <w:t>similar reported effects on a number of CYP450 enzymes</w:t>
      </w:r>
      <w:r>
        <w:rPr>
          <w:vertAlign w:val="superscript"/>
        </w:rPr>
        <w:t>15</w:t>
      </w:r>
      <w:r>
        <w:t>. The range of potential medicines that could be affected was wide ranging including immunosuppressants, antidepressants, opioids, statins, fungal treatments, antiepileptics, cimetidine and sartans. The review also found that risks of adverse events occurring depended on exposure and that while inhibitory actions or drug transport and pharmacodynamics interactions would be immediate in most cases, inductive effects require prolonged exposure (such as greater than 21 days). Therefore, some adverse effects such as somnolence, insomnia and sleep disturbances are likely to occur with sporadic and acute exposure, other effects such as liver function test abnormalities and weight loss would require prolonged exposure. They also observed that adverse effects appeared to be dose dependent but not necessarily proportional to dose.</w:t>
      </w:r>
    </w:p>
    <w:p w14:paraId="3381C82C" w14:textId="77777777" w:rsidR="00F130CA" w:rsidRDefault="0041690A" w:rsidP="00B45DD9">
      <w:r>
        <w:t>Iffland and Grotenhermen</w:t>
      </w:r>
      <w:r w:rsidR="00F130CA" w:rsidRPr="00F42DB4">
        <w:rPr>
          <w:vertAlign w:val="superscript"/>
        </w:rPr>
        <w:t>12</w:t>
      </w:r>
      <w:r w:rsidR="00F130CA">
        <w:t xml:space="preserve"> undertook an update to the review performed by Bergamaschi et al in 2011 on CBD safety and side effects. They describe that in general the previously described favourable safety profile of CBD use in humans was confirmed and that CBD did not lead to serious adverse effects. The main use of CBD was in the treatment of epilepsy and psychotic disorders. The most commonly reported side effects were tiredness, diarrhoea and changes of appetite/weight. They noted that further study was needed on the action of CBD on hepatic enzymes, drug transporters and interactions with other drugs.</w:t>
      </w:r>
    </w:p>
    <w:p w14:paraId="14E9187A" w14:textId="77777777" w:rsidR="00D33AB0" w:rsidRPr="00100984" w:rsidRDefault="00D33AB0" w:rsidP="00BD6669">
      <w:pPr>
        <w:pStyle w:val="Heading4"/>
      </w:pPr>
      <w:bookmarkStart w:id="15" w:name="_Toc38379350"/>
      <w:r w:rsidRPr="00100984">
        <w:lastRenderedPageBreak/>
        <w:t>Drug interactions</w:t>
      </w:r>
      <w:bookmarkEnd w:id="15"/>
    </w:p>
    <w:p w14:paraId="4D5CC7A7" w14:textId="318B4307" w:rsidR="00F130CA" w:rsidRDefault="00F130CA" w:rsidP="00B45DD9">
      <w:r>
        <w:t>CBD has been reported to show potent inhibitory activity against drug metabolising enzymes CYP2C, CYP2D6 and CYP3A</w:t>
      </w:r>
      <w:r>
        <w:rPr>
          <w:rStyle w:val="EndnoteReference"/>
        </w:rPr>
        <w:endnoteReference w:id="16"/>
      </w:r>
      <w:r>
        <w:t xml:space="preserve"> and has also been reported to affect drug excretion through the </w:t>
      </w:r>
      <w:r w:rsidR="0041690A">
        <w:t>drug transporter p-glycoprotein</w:t>
      </w:r>
      <w:r>
        <w:t>. Thus, the potential for drug-drug interactions with other commonly used medications is high</w:t>
      </w:r>
      <w:r w:rsidRPr="00BA582A">
        <w:rPr>
          <w:vertAlign w:val="superscript"/>
        </w:rPr>
        <w:t>14</w:t>
      </w:r>
      <w:r w:rsidR="00EE14AA">
        <w:rPr>
          <w:vertAlign w:val="superscript"/>
        </w:rPr>
        <w:t>,</w:t>
      </w:r>
      <w:r w:rsidR="005A5DE3">
        <w:rPr>
          <w:vertAlign w:val="superscript"/>
        </w:rPr>
        <w:t>23</w:t>
      </w:r>
      <w:r w:rsidR="0089269C">
        <w:rPr>
          <w:vertAlign w:val="superscript"/>
        </w:rPr>
        <w:t>,24</w:t>
      </w:r>
      <w:r w:rsidR="00EE14AA">
        <w:t>.</w:t>
      </w:r>
    </w:p>
    <w:p w14:paraId="7B642882" w14:textId="77777777" w:rsidR="00F130CA" w:rsidRDefault="00F130CA" w:rsidP="00B45DD9">
      <w:r>
        <w:t xml:space="preserve">A study looking at the interaction between CBD and clonazepam, a CYP2C19 substrate in 25 children with refractory epilepsy found that when administered together </w:t>
      </w:r>
      <w:r w:rsidR="00B503F0">
        <w:t xml:space="preserve">it </w:t>
      </w:r>
      <w:r>
        <w:t>result</w:t>
      </w:r>
      <w:r w:rsidR="006F50A3">
        <w:t>ed</w:t>
      </w:r>
      <w:r>
        <w:t xml:space="preserve"> in a greater a 60 to 500% increase in mean plasma levels of clonazepam and its metabolite after 4 weeks. Therefore, it is expected that other drugs metabolised through the CYP pathways may interact with CBD</w:t>
      </w:r>
      <w:r>
        <w:rPr>
          <w:vertAlign w:val="superscript"/>
        </w:rPr>
        <w:t>18</w:t>
      </w:r>
      <w:r>
        <w:t>.</w:t>
      </w:r>
    </w:p>
    <w:p w14:paraId="4C72F112" w14:textId="3B0B9C82" w:rsidR="00F130CA" w:rsidRDefault="00F130CA" w:rsidP="00EE14AA">
      <w:pPr>
        <w:rPr>
          <w:rFonts w:asciiTheme="minorHAnsi" w:hAnsiTheme="minorHAnsi"/>
          <w:szCs w:val="22"/>
        </w:rPr>
      </w:pPr>
      <w:r>
        <w:t>This CYP mediated drug-drug interaction has been observed at clinically relevant doses in an open label safety study</w:t>
      </w:r>
      <w:r>
        <w:rPr>
          <w:rStyle w:val="EndnoteReference"/>
        </w:rPr>
        <w:endnoteReference w:id="17"/>
      </w:r>
      <w:r>
        <w:t xml:space="preserve"> investigating interactions of CBD with commo</w:t>
      </w:r>
      <w:r w:rsidR="00EE14AA">
        <w:t xml:space="preserve">nly used antiepileptic drugs. </w:t>
      </w:r>
      <w:r>
        <w:t>Where administration of CBD was initiated at 5 mg/kg/day and increased at 5 mg/kg/day every two weeks to a maximum of 50 mg/kg/day and co</w:t>
      </w:r>
      <w:r w:rsidR="008E507F">
        <w:t>-</w:t>
      </w:r>
      <w:r>
        <w:t>administered wit</w:t>
      </w:r>
      <w:r w:rsidR="00341A68">
        <w:t>h common anti-epileptic drugs, i</w:t>
      </w:r>
      <w:r w:rsidRPr="0049096C">
        <w:t>ncreases in topiramate, rufinamide, and N-desmethylclobazam and decrease</w:t>
      </w:r>
      <w:r>
        <w:t>s</w:t>
      </w:r>
      <w:r w:rsidRPr="0049096C">
        <w:t xml:space="preserve"> in </w:t>
      </w:r>
      <w:r w:rsidR="00E44161" w:rsidRPr="0049096C">
        <w:t>clobazam serum</w:t>
      </w:r>
      <w:r w:rsidRPr="0049096C">
        <w:t xml:space="preserve"> levels were seen with increasing CBD dose</w:t>
      </w:r>
      <w:r w:rsidR="00EE14AA">
        <w:t xml:space="preserve">. </w:t>
      </w:r>
      <w:r w:rsidR="008E507F">
        <w:t xml:space="preserve">While </w:t>
      </w:r>
      <w:r w:rsidR="008E507F">
        <w:rPr>
          <w:rFonts w:asciiTheme="minorHAnsi" w:hAnsiTheme="minorHAnsi"/>
          <w:szCs w:val="22"/>
        </w:rPr>
        <w:t>a</w:t>
      </w:r>
      <w:r w:rsidRPr="005F4056">
        <w:rPr>
          <w:rFonts w:asciiTheme="minorHAnsi" w:hAnsiTheme="minorHAnsi"/>
          <w:szCs w:val="22"/>
        </w:rPr>
        <w:t>bnor</w:t>
      </w:r>
      <w:r>
        <w:rPr>
          <w:rFonts w:asciiTheme="minorHAnsi" w:hAnsiTheme="minorHAnsi"/>
          <w:szCs w:val="22"/>
        </w:rPr>
        <w:t xml:space="preserve">mal liver function </w:t>
      </w:r>
      <w:r w:rsidRPr="005F4056">
        <w:rPr>
          <w:rFonts w:asciiTheme="minorHAnsi" w:hAnsiTheme="minorHAnsi"/>
          <w:szCs w:val="22"/>
        </w:rPr>
        <w:t>(</w:t>
      </w:r>
      <w:r w:rsidRPr="005F4056">
        <w:rPr>
          <w:rFonts w:asciiTheme="minorHAnsi" w:eastAsia="Arial Unicode MS" w:hAnsiTheme="minorHAnsi" w:cs="Arial Unicode MS"/>
          <w:szCs w:val="22"/>
        </w:rPr>
        <w:t>AST/ALT levels significantly higher)</w:t>
      </w:r>
      <w:r w:rsidRPr="005F4056">
        <w:rPr>
          <w:rFonts w:asciiTheme="minorHAnsi" w:hAnsiTheme="minorHAnsi"/>
          <w:szCs w:val="22"/>
        </w:rPr>
        <w:t xml:space="preserve"> were noted in participants taking concomitant valproate</w:t>
      </w:r>
      <w:r>
        <w:rPr>
          <w:rFonts w:asciiTheme="minorHAnsi" w:hAnsiTheme="minorHAnsi"/>
          <w:szCs w:val="22"/>
        </w:rPr>
        <w:t>, the same effect was not found with the concomitant use of other epileptics</w:t>
      </w:r>
      <w:r>
        <w:rPr>
          <w:rFonts w:asciiTheme="minorHAnsi" w:hAnsiTheme="minorHAnsi"/>
          <w:szCs w:val="22"/>
          <w:vertAlign w:val="superscript"/>
        </w:rPr>
        <w:t>19</w:t>
      </w:r>
      <w:r w:rsidR="00EE14AA">
        <w:rPr>
          <w:rFonts w:asciiTheme="minorHAnsi" w:hAnsiTheme="minorHAnsi"/>
          <w:szCs w:val="22"/>
        </w:rPr>
        <w:t xml:space="preserve">. </w:t>
      </w:r>
      <w:r>
        <w:rPr>
          <w:rFonts w:asciiTheme="minorHAnsi" w:hAnsiTheme="minorHAnsi"/>
          <w:szCs w:val="22"/>
        </w:rPr>
        <w:t>In four of the 14 children in the study taking concomitant valproate treatment</w:t>
      </w:r>
      <w:r w:rsidR="008E507F">
        <w:rPr>
          <w:rFonts w:asciiTheme="minorHAnsi" w:hAnsiTheme="minorHAnsi"/>
          <w:szCs w:val="22"/>
        </w:rPr>
        <w:t>,</w:t>
      </w:r>
      <w:r>
        <w:rPr>
          <w:rFonts w:asciiTheme="minorHAnsi" w:hAnsiTheme="minorHAnsi"/>
          <w:szCs w:val="22"/>
        </w:rPr>
        <w:t xml:space="preserve"> both CBD and valproate was discontinued due to liver function tests increasing to greater than three times the upper level of normal. Treatment with valproate only was discontinued in one of 8 adults where their liver function increased to two times the upper level of normal.</w:t>
      </w:r>
    </w:p>
    <w:p w14:paraId="70972477" w14:textId="2A4036CE" w:rsidR="00F130CA" w:rsidRPr="005F4056" w:rsidRDefault="00F130CA" w:rsidP="00EE14AA">
      <w:pPr>
        <w:rPr>
          <w:rFonts w:asciiTheme="minorHAnsi" w:hAnsiTheme="minorHAnsi"/>
          <w:szCs w:val="22"/>
        </w:rPr>
      </w:pPr>
      <w:r>
        <w:t xml:space="preserve">In animal studies (rats and mice) the inhibitory effect of CBD on drug metabolising </w:t>
      </w:r>
      <w:r w:rsidR="00E44161">
        <w:t>enzymes have</w:t>
      </w:r>
      <w:r>
        <w:t xml:space="preserve"> been observed for both chronic low dose and high dose</w:t>
      </w:r>
      <w:r w:rsidRPr="00842623">
        <w:rPr>
          <w:vertAlign w:val="superscript"/>
        </w:rPr>
        <w:t>15</w:t>
      </w:r>
      <w:r>
        <w:t xml:space="preserve">, presenting similar potential for drug-drug interaction at </w:t>
      </w:r>
      <w:r w:rsidR="00EE14AA">
        <w:t xml:space="preserve">low doses as well. </w:t>
      </w:r>
      <w:r>
        <w:rPr>
          <w:rFonts w:asciiTheme="minorHAnsi" w:hAnsiTheme="minorHAnsi"/>
          <w:szCs w:val="22"/>
        </w:rPr>
        <w:t>As there is little published data in relation to the investigation of drug-drug interaction at the lower CBD dose range of 60 mg/day or below, the observation in rats and mice remains unconfirmed and uncertain in humans.</w:t>
      </w:r>
    </w:p>
    <w:p w14:paraId="715EDCC4" w14:textId="77777777" w:rsidR="00F130CA" w:rsidRPr="00BA582A" w:rsidRDefault="00F130CA" w:rsidP="00EE14AA">
      <w:r>
        <w:t>Therefore, whilst CBD has been reported to be well tolerated with minimal adverse effects at the low dose range of 60 mg daily and below, the potential for drug-drug interactions should be a consideration for the scheduling of the substance for therapeutic use and the designation of the required level of medical supervision.</w:t>
      </w:r>
    </w:p>
    <w:p w14:paraId="5F484F00" w14:textId="77777777" w:rsidR="00F130CA" w:rsidRDefault="00F130CA" w:rsidP="00EE14AA">
      <w:pPr>
        <w:pStyle w:val="Heading3"/>
      </w:pPr>
      <w:bookmarkStart w:id="16" w:name="_Toc38379351"/>
      <w:r>
        <w:t>Other matters for consideration</w:t>
      </w:r>
      <w:bookmarkEnd w:id="16"/>
    </w:p>
    <w:p w14:paraId="740BA051" w14:textId="77777777" w:rsidR="00F130CA" w:rsidRDefault="00F130CA" w:rsidP="00F37E16">
      <w:pPr>
        <w:pStyle w:val="Heading4"/>
      </w:pPr>
      <w:bookmarkStart w:id="17" w:name="_Toc38379352"/>
      <w:r>
        <w:t>Optical Isomers (Enantiomers)</w:t>
      </w:r>
      <w:bookmarkEnd w:id="17"/>
    </w:p>
    <w:p w14:paraId="7D124426" w14:textId="028F586B" w:rsidR="00F130CA" w:rsidRDefault="00F130CA" w:rsidP="00F37E16">
      <w:r>
        <w:t>Can</w:t>
      </w:r>
      <w:r w:rsidR="00EE14AA">
        <w:t xml:space="preserve">nabidiol is a chiral compound. </w:t>
      </w:r>
      <w:r>
        <w:t>Only the (-) CBD enantiomer is p</w:t>
      </w:r>
      <w:r w:rsidR="00EE14AA">
        <w:t xml:space="preserve">resent in the Cannabis plants. </w:t>
      </w:r>
      <w:r>
        <w:t xml:space="preserve">Consequently, plant derived </w:t>
      </w:r>
      <w:r w:rsidR="00F0178E">
        <w:t>c</w:t>
      </w:r>
      <w:r>
        <w:t>annabidiol is present only as (-) CBD and has low affinity for the CB1 and CB2 receptors,</w:t>
      </w:r>
      <w:r w:rsidR="00EE14AA">
        <w:t xml:space="preserve"> and thus is not psychoactive. </w:t>
      </w:r>
      <w:r>
        <w:t xml:space="preserve">Synthetic </w:t>
      </w:r>
      <w:r w:rsidR="00AD6D83">
        <w:t>c</w:t>
      </w:r>
      <w:r>
        <w:t>annabidiol has the potential to be a racemic mixture, the non-psychoactive (-) CBD or the alternat</w:t>
      </w:r>
      <w:r w:rsidR="00D33AB0">
        <w:t>iv</w:t>
      </w:r>
      <w:r>
        <w:t>e (+) CBD enantiomer. (+) CBD and its derivatives have been reported to bind to both CB1 and CB2 receptors, displaying selectivity towards CB1</w:t>
      </w:r>
      <w:r>
        <w:rPr>
          <w:rStyle w:val="EndnoteReference"/>
        </w:rPr>
        <w:endnoteReference w:id="18"/>
      </w:r>
      <w:r w:rsidR="0089269C">
        <w:rPr>
          <w:vertAlign w:val="superscript"/>
        </w:rPr>
        <w:t>,24</w:t>
      </w:r>
      <w:r>
        <w:t xml:space="preserve"> and is therefore likely to be psychoactive and present diffe</w:t>
      </w:r>
      <w:r w:rsidR="00EE14AA">
        <w:t xml:space="preserve">rent pharmacological activity. </w:t>
      </w:r>
      <w:r>
        <w:t>Therefore, the use of synthetic CBD may have psychoactive potential that would not be found in plant-derived cannabidiol.</w:t>
      </w:r>
      <w:r w:rsidR="009B1163">
        <w:t xml:space="preserve"> This should be considered in any decision to down-schedule CBD.</w:t>
      </w:r>
    </w:p>
    <w:p w14:paraId="40CD6868" w14:textId="0AEC0A56" w:rsidR="00F130CA" w:rsidRPr="00F37E16" w:rsidRDefault="00F130CA" w:rsidP="00EE14AA">
      <w:pPr>
        <w:pStyle w:val="Heading4"/>
      </w:pPr>
      <w:bookmarkStart w:id="18" w:name="_Toc38379353"/>
      <w:r>
        <w:t xml:space="preserve">Entourage </w:t>
      </w:r>
      <w:r w:rsidR="00EE14AA">
        <w:t>e</w:t>
      </w:r>
      <w:r>
        <w:t>ffect</w:t>
      </w:r>
      <w:bookmarkEnd w:id="18"/>
    </w:p>
    <w:p w14:paraId="232B2856" w14:textId="2BDE770E" w:rsidR="00F401EF" w:rsidRDefault="00D33AB0" w:rsidP="00F56B9D">
      <w:r>
        <w:t>Some researchers have claimed that t</w:t>
      </w:r>
      <w:r w:rsidR="00F130CA">
        <w:t xml:space="preserve">he endocannabinoid system demonstrates an ‘entourage effect’, whereby ‘inactive’ metabolites and closely related molecules increased the activity of the </w:t>
      </w:r>
      <w:r w:rsidR="00F130CA">
        <w:lastRenderedPageBreak/>
        <w:t>endogenous cannabinoids</w:t>
      </w:r>
      <w:r>
        <w:t xml:space="preserve">, however the existence of an entourage </w:t>
      </w:r>
      <w:r w:rsidR="00E43DA6">
        <w:t>effect remains disputed</w:t>
      </w:r>
      <w:r w:rsidR="00F130CA">
        <w:rPr>
          <w:rStyle w:val="EndnoteReference"/>
        </w:rPr>
        <w:endnoteReference w:id="19"/>
      </w:r>
      <w:r w:rsidR="00F130CA">
        <w:t>.</w:t>
      </w:r>
      <w:r w:rsidR="00EE14AA">
        <w:t xml:space="preserve"> </w:t>
      </w:r>
      <w:r w:rsidR="00E43DA6">
        <w:t xml:space="preserve">Some studies have also suggested that </w:t>
      </w:r>
      <w:r w:rsidR="008315BB">
        <w:t xml:space="preserve">the presence of THC and other cannabinoids in </w:t>
      </w:r>
      <w:r w:rsidR="007A3B88">
        <w:t>varying ratios</w:t>
      </w:r>
      <w:r w:rsidR="008E507F">
        <w:t>,</w:t>
      </w:r>
      <w:r w:rsidR="007A3B88">
        <w:t xml:space="preserve"> </w:t>
      </w:r>
      <w:r w:rsidR="008315BB">
        <w:t xml:space="preserve">affects the efficacy in different clinical </w:t>
      </w:r>
      <w:r w:rsidR="00BD1DA7">
        <w:t>settings</w:t>
      </w:r>
      <w:r w:rsidR="008315BB">
        <w:t>.</w:t>
      </w:r>
    </w:p>
    <w:p w14:paraId="49B73AD1" w14:textId="77777777" w:rsidR="005010D6" w:rsidRDefault="005010D6" w:rsidP="00EE14AA">
      <w:pPr>
        <w:pStyle w:val="Heading4"/>
      </w:pPr>
      <w:bookmarkStart w:id="19" w:name="_Toc38379354"/>
      <w:r>
        <w:t>Formulation</w:t>
      </w:r>
      <w:bookmarkEnd w:id="19"/>
    </w:p>
    <w:p w14:paraId="03CFAA97" w14:textId="0B7AC589" w:rsidR="000D69C0" w:rsidRDefault="00F35F44" w:rsidP="00F35F44">
      <w:r>
        <w:t xml:space="preserve">Most of the clinical literature reviewed </w:t>
      </w:r>
      <w:r w:rsidR="000055DE">
        <w:t>was in relation to oral route of administration and solution dosage form (oral solution).</w:t>
      </w:r>
      <w:r w:rsidR="00EE14AA">
        <w:t xml:space="preserve"> </w:t>
      </w:r>
      <w:r w:rsidR="00D13180">
        <w:t>Noting</w:t>
      </w:r>
      <w:r w:rsidR="00E43DA6">
        <w:t xml:space="preserve"> that</w:t>
      </w:r>
      <w:r w:rsidR="00D13180">
        <w:t xml:space="preserve"> aerosolised CBD has been reported to yield rapid peak plasma concentrations in 5-10 minutes and ~31% bioavailability, bioavailability from oral delivery was estimated to be 6% due to significant first-pass metabolism.</w:t>
      </w:r>
    </w:p>
    <w:p w14:paraId="15583A05" w14:textId="459306FE" w:rsidR="00D13180" w:rsidRPr="008E27DC" w:rsidRDefault="00AA4EA7" w:rsidP="00EE14AA">
      <w:r>
        <w:t>Bioavailability from oral mu</w:t>
      </w:r>
      <w:r w:rsidR="009B1163">
        <w:t xml:space="preserve">cosal and sublingual routes are considered </w:t>
      </w:r>
      <w:r>
        <w:t xml:space="preserve">similar to oral </w:t>
      </w:r>
      <w:r w:rsidR="00E44161">
        <w:t>delivery,</w:t>
      </w:r>
      <w:r w:rsidR="009B1163">
        <w:t xml:space="preserve"> as they are both subject to the first pass effect and hepatic metabolism</w:t>
      </w:r>
      <w:r>
        <w:t>.</w:t>
      </w:r>
      <w:r w:rsidR="00EE14AA">
        <w:t xml:space="preserve"> </w:t>
      </w:r>
      <w:r w:rsidR="00456706">
        <w:t xml:space="preserve">There is potential for further enhancement </w:t>
      </w:r>
      <w:r w:rsidR="00DC1170">
        <w:t xml:space="preserve">of absorption and plasma concentrations </w:t>
      </w:r>
      <w:r w:rsidR="00F73025">
        <w:t>from</w:t>
      </w:r>
      <w:r w:rsidR="00DC1170">
        <w:t xml:space="preserve"> </w:t>
      </w:r>
      <w:r w:rsidR="00F73025">
        <w:t xml:space="preserve">oral delivery through optimisation </w:t>
      </w:r>
      <w:r w:rsidR="00953A33">
        <w:t xml:space="preserve">of </w:t>
      </w:r>
      <w:r w:rsidR="00F73025">
        <w:t>drug formulation</w:t>
      </w:r>
      <w:r w:rsidR="008E27DC" w:rsidRPr="008E27DC">
        <w:rPr>
          <w:vertAlign w:val="superscript"/>
        </w:rPr>
        <w:t>8</w:t>
      </w:r>
      <w:r w:rsidR="008E27DC">
        <w:t>.</w:t>
      </w:r>
    </w:p>
    <w:p w14:paraId="74B6A057" w14:textId="236CB4BA" w:rsidR="00F35F44" w:rsidRPr="00F35F44" w:rsidRDefault="008E507F" w:rsidP="00EE14AA">
      <w:r>
        <w:t>There</w:t>
      </w:r>
      <w:r w:rsidR="007F53CC">
        <w:t xml:space="preserve"> is scope for further clinical investigation of CBD administration via the other routes of administration and dosage forms</w:t>
      </w:r>
      <w:r w:rsidR="00F73025">
        <w:t xml:space="preserve"> in addition to optimised oral delivery</w:t>
      </w:r>
      <w:r w:rsidR="00EE14AA">
        <w:t xml:space="preserve">. </w:t>
      </w:r>
      <w:r w:rsidR="007F53CC">
        <w:t xml:space="preserve">Vast differences in bioavailability based on dosage forms and route of administration is </w:t>
      </w:r>
      <w:r w:rsidR="00456706">
        <w:t>feasible</w:t>
      </w:r>
      <w:r w:rsidR="00D13180">
        <w:t>.</w:t>
      </w:r>
    </w:p>
    <w:p w14:paraId="1D32113C" w14:textId="77777777" w:rsidR="00A81AED" w:rsidRDefault="006A6995" w:rsidP="00F80DAB">
      <w:pPr>
        <w:pStyle w:val="Heading4"/>
      </w:pPr>
      <w:bookmarkStart w:id="20" w:name="_Toc38379355"/>
      <w:r>
        <w:t>Conclusion</w:t>
      </w:r>
      <w:bookmarkEnd w:id="20"/>
    </w:p>
    <w:p w14:paraId="24CBE65E" w14:textId="0ED2BA39" w:rsidR="008E507F" w:rsidRDefault="007D32FF" w:rsidP="00A00338">
      <w:r>
        <w:t xml:space="preserve">Doses in the range of 1 mg/kg/day </w:t>
      </w:r>
      <w:r w:rsidR="005010D6">
        <w:t>(</w:t>
      </w:r>
      <w:r w:rsidR="009E6832">
        <w:rPr>
          <w:b/>
        </w:rPr>
        <w:t>up</w:t>
      </w:r>
      <w:r w:rsidR="005010D6" w:rsidRPr="005010D6">
        <w:rPr>
          <w:b/>
        </w:rPr>
        <w:t xml:space="preserve"> to </w:t>
      </w:r>
      <w:r w:rsidR="00480F36">
        <w:rPr>
          <w:b/>
        </w:rPr>
        <w:t>~</w:t>
      </w:r>
      <w:r w:rsidR="005010D6" w:rsidRPr="005010D6">
        <w:rPr>
          <w:b/>
        </w:rPr>
        <w:t>60 mg/day</w:t>
      </w:r>
      <w:r w:rsidR="005010D6">
        <w:t xml:space="preserve">) </w:t>
      </w:r>
      <w:r>
        <w:t xml:space="preserve">and less </w:t>
      </w:r>
      <w:r w:rsidR="00E43DA6">
        <w:t xml:space="preserve">may </w:t>
      </w:r>
      <w:r>
        <w:t>ha</w:t>
      </w:r>
      <w:r w:rsidR="00A530A7">
        <w:t>ve</w:t>
      </w:r>
      <w:r>
        <w:t xml:space="preserve"> </w:t>
      </w:r>
      <w:r w:rsidR="00E43DA6">
        <w:t>possible</w:t>
      </w:r>
      <w:r w:rsidR="000F171A">
        <w:t xml:space="preserve"> </w:t>
      </w:r>
      <w:r>
        <w:t xml:space="preserve">clinical utility </w:t>
      </w:r>
      <w:r w:rsidR="000F171A">
        <w:t>when used</w:t>
      </w:r>
      <w:r>
        <w:t xml:space="preserve"> </w:t>
      </w:r>
      <w:r w:rsidR="00A530A7">
        <w:t>via the oral route</w:t>
      </w:r>
      <w:r>
        <w:t xml:space="preserve"> </w:t>
      </w:r>
      <w:r w:rsidR="000F171A">
        <w:t xml:space="preserve">in the management of some conditions that </w:t>
      </w:r>
      <w:r w:rsidR="00847E7F">
        <w:t xml:space="preserve">do not require medical practitioner oversight </w:t>
      </w:r>
      <w:r w:rsidR="006E16C3">
        <w:t xml:space="preserve">and </w:t>
      </w:r>
      <w:r w:rsidR="008876E5">
        <w:t xml:space="preserve">thus </w:t>
      </w:r>
      <w:r w:rsidR="000F171A">
        <w:t>could be c</w:t>
      </w:r>
      <w:r w:rsidR="00F80DAB">
        <w:t>onsidered for down scheduling.</w:t>
      </w:r>
    </w:p>
    <w:p w14:paraId="4350D989" w14:textId="5C03A440" w:rsidR="003304D6" w:rsidRDefault="003304D6" w:rsidP="00A00338">
      <w:r>
        <w:t xml:space="preserve">Given that the safety profile is based </w:t>
      </w:r>
      <w:r w:rsidR="001066C9">
        <w:t>on c</w:t>
      </w:r>
      <w:r>
        <w:t xml:space="preserve">annabidiol having low affinity for the CB1 and CB2 receptors, and thus is not exhibiting psychoactive effects, down scheduling should be limited to plant derived CBD </w:t>
      </w:r>
      <w:r w:rsidR="00DC327A">
        <w:t xml:space="preserve">as it </w:t>
      </w:r>
      <w:r>
        <w:t>is present only as (-) CBD</w:t>
      </w:r>
      <w:r w:rsidR="001066C9">
        <w:t xml:space="preserve"> or synthetic c</w:t>
      </w:r>
      <w:r>
        <w:t>annabidiol only containing the (-) CBD enantiomer.</w:t>
      </w:r>
    </w:p>
    <w:p w14:paraId="3D516723" w14:textId="68B506E9" w:rsidR="002A334B" w:rsidRDefault="000F171A" w:rsidP="00F80DAB">
      <w:r>
        <w:t>At low doses, CBD appears to have a</w:t>
      </w:r>
      <w:r w:rsidR="00D23557">
        <w:t xml:space="preserve">n acceptable </w:t>
      </w:r>
      <w:r w:rsidR="00051535">
        <w:t>safety and tolerability profile</w:t>
      </w:r>
      <w:r w:rsidR="00847E7F">
        <w:t xml:space="preserve">, although it was </w:t>
      </w:r>
      <w:r w:rsidR="00AF156E">
        <w:t xml:space="preserve">evident </w:t>
      </w:r>
      <w:r w:rsidR="00847E7F">
        <w:t xml:space="preserve">that there is </w:t>
      </w:r>
      <w:r w:rsidR="00AF156E">
        <w:t xml:space="preserve">a high </w:t>
      </w:r>
      <w:r w:rsidR="00847E7F">
        <w:t xml:space="preserve">potential for drug-drug interactions when used concomitantly with </w:t>
      </w:r>
      <w:r w:rsidR="00AF156E">
        <w:t xml:space="preserve">many other commonly prescribed </w:t>
      </w:r>
      <w:r w:rsidR="00847E7F">
        <w:t>drugs that are metabolised via CYP pathways</w:t>
      </w:r>
      <w:r w:rsidR="00F80DAB">
        <w:t xml:space="preserve">. </w:t>
      </w:r>
      <w:r w:rsidR="00AF156E">
        <w:t>Currently there is insufficien</w:t>
      </w:r>
      <w:r w:rsidR="002A334B">
        <w:t>t evidence as to whether these would not occu</w:t>
      </w:r>
      <w:r w:rsidR="00F80DAB">
        <w:t>r with the use of low dose CBD.</w:t>
      </w:r>
    </w:p>
    <w:p w14:paraId="76EE6C06" w14:textId="584587A6" w:rsidR="002A334B" w:rsidRDefault="007D32FF" w:rsidP="00A00338">
      <w:r>
        <w:t xml:space="preserve">Whilst there are some minor signals of adverse effects </w:t>
      </w:r>
      <w:r w:rsidR="00CA54D3">
        <w:t>such as mild drowsiness and fatig</w:t>
      </w:r>
      <w:r w:rsidR="000D69C0">
        <w:t>ue, this</w:t>
      </w:r>
      <w:r w:rsidR="00CA54D3">
        <w:t xml:space="preserve"> </w:t>
      </w:r>
      <w:r w:rsidR="001301BE">
        <w:t>c</w:t>
      </w:r>
      <w:r w:rsidR="000F171A">
        <w:t>ould</w:t>
      </w:r>
      <w:r w:rsidR="00CA54D3">
        <w:t xml:space="preserve"> be managed </w:t>
      </w:r>
      <w:r w:rsidR="000D69C0">
        <w:t xml:space="preserve">as for similar S3 </w:t>
      </w:r>
      <w:r w:rsidR="000F171A">
        <w:t>medicine</w:t>
      </w:r>
      <w:r w:rsidR="00E43DA6">
        <w:t>s</w:t>
      </w:r>
      <w:r w:rsidR="000D69C0">
        <w:t>, such as requiring a label that indicates should not use if driving or operating machinery as for other medicines that can cause potential drowsiness</w:t>
      </w:r>
      <w:r w:rsidR="00AF156E">
        <w:t>. Schedule 3 requires that both Product Information and Consumer Medicine Information is available. These documents could include information about drug-drug interactions. In addition, a S3 medicine requires interaction with a pharmacist that would further reduce any unintended drug-drug interactions</w:t>
      </w:r>
      <w:r w:rsidR="00E43DA6">
        <w:t>.</w:t>
      </w:r>
    </w:p>
    <w:p w14:paraId="33B318DE" w14:textId="2CA8DE8A" w:rsidR="00AF4808" w:rsidRDefault="002A334B" w:rsidP="006A6995">
      <w:r>
        <w:t xml:space="preserve">The </w:t>
      </w:r>
      <w:r w:rsidR="00AF4808">
        <w:t xml:space="preserve">consideration of </w:t>
      </w:r>
      <w:r>
        <w:t xml:space="preserve">down scheduling of low dose CBD should only apply to adults (people over 18 years of age), as low dose is defined as 60mg/day based on a dose of 1mg/kg/day. </w:t>
      </w:r>
      <w:r w:rsidR="00100984">
        <w:t xml:space="preserve">At this stage there is little evidence of use in children and therefore of its safety profile in this group. </w:t>
      </w:r>
      <w:r>
        <w:t>Therefore, down scheduling should also consider the person’s age and therefore S3 provides the best mechanism to ensure appropriate and safe use.</w:t>
      </w:r>
      <w:r w:rsidR="00E520A9">
        <w:t xml:space="preserve"> A dose of 60mg/day would not be suitable in children, as a child of 20 kg given </w:t>
      </w:r>
      <w:r w:rsidR="005B31A2">
        <w:t xml:space="preserve">a </w:t>
      </w:r>
      <w:r w:rsidR="00E520A9">
        <w:t>60mg dose per day would be receiving 3mg/kg per day.</w:t>
      </w:r>
    </w:p>
    <w:p w14:paraId="0A0C5DB5" w14:textId="5B9BBFF4" w:rsidR="00BD1DA7" w:rsidRDefault="00AC7762" w:rsidP="00F80DAB">
      <w:pPr>
        <w:rPr>
          <w:b/>
        </w:rPr>
      </w:pPr>
      <w:r>
        <w:t xml:space="preserve">The recommended low dose range for </w:t>
      </w:r>
      <w:r w:rsidR="00DE7F21">
        <w:t xml:space="preserve">consideration of </w:t>
      </w:r>
      <w:r>
        <w:t>down scheduling</w:t>
      </w:r>
      <w:r w:rsidR="00D23557">
        <w:t xml:space="preserve"> to S</w:t>
      </w:r>
      <w:r w:rsidR="008E507F">
        <w:t xml:space="preserve">chedule </w:t>
      </w:r>
      <w:r w:rsidR="00D23557">
        <w:t>3</w:t>
      </w:r>
      <w:r>
        <w:t xml:space="preserve"> is up to a </w:t>
      </w:r>
      <w:r w:rsidRPr="00842E7D">
        <w:rPr>
          <w:b/>
        </w:rPr>
        <w:t>maximum of</w:t>
      </w:r>
      <w:r>
        <w:t xml:space="preserve"> </w:t>
      </w:r>
      <w:r w:rsidRPr="008955F4">
        <w:rPr>
          <w:b/>
        </w:rPr>
        <w:t>60 mg/day</w:t>
      </w:r>
      <w:r w:rsidR="002A334B">
        <w:rPr>
          <w:b/>
        </w:rPr>
        <w:t xml:space="preserve"> </w:t>
      </w:r>
      <w:r w:rsidR="002A334B" w:rsidRPr="00AF4808">
        <w:t>and use in adults over the age of 18 years</w:t>
      </w:r>
      <w:r w:rsidR="003304D6">
        <w:t xml:space="preserve"> for plant derived CBD or synthetic </w:t>
      </w:r>
      <w:r w:rsidR="00E44161">
        <w:t>CBD, which only contains the (-),</w:t>
      </w:r>
      <w:r w:rsidR="003304D6">
        <w:t xml:space="preserve"> CBD enantiomer</w:t>
      </w:r>
      <w:r w:rsidR="00D23557">
        <w:rPr>
          <w:b/>
        </w:rPr>
        <w:t>.</w:t>
      </w:r>
    </w:p>
    <w:p w14:paraId="1773ADEA" w14:textId="77777777" w:rsidR="00BD1DA7" w:rsidRPr="00F130CA" w:rsidRDefault="00BD1DA7" w:rsidP="00F130CA">
      <w:pPr>
        <w:pStyle w:val="Heading3"/>
      </w:pPr>
      <w:bookmarkStart w:id="21" w:name="_Appendix_A"/>
      <w:bookmarkStart w:id="22" w:name="_Toc38379356"/>
      <w:bookmarkEnd w:id="21"/>
      <w:r>
        <w:lastRenderedPageBreak/>
        <w:t>Appendix A</w:t>
      </w:r>
      <w:bookmarkEnd w:id="22"/>
    </w:p>
    <w:p w14:paraId="4BE3B696" w14:textId="067325F8" w:rsidR="00BD1DA7" w:rsidRPr="005707A9" w:rsidRDefault="00F80DAB" w:rsidP="00F130CA">
      <w:pPr>
        <w:pStyle w:val="Heading4"/>
      </w:pPr>
      <w:bookmarkStart w:id="23" w:name="_Toc38379357"/>
      <w:r>
        <w:t>Search s</w:t>
      </w:r>
      <w:r w:rsidR="00BD1DA7" w:rsidRPr="005707A9">
        <w:t>trategy</w:t>
      </w:r>
      <w:bookmarkEnd w:id="23"/>
    </w:p>
    <w:p w14:paraId="79E06464" w14:textId="5E5B76A7" w:rsidR="008E507F" w:rsidRDefault="008E507F" w:rsidP="00F80DAB">
      <w:r>
        <w:t xml:space="preserve">The objective was to identify a broad base of clinical and chemistry literature, which could </w:t>
      </w:r>
      <w:r w:rsidR="00F80DAB">
        <w:t>answer the following questions:</w:t>
      </w:r>
    </w:p>
    <w:p w14:paraId="3078509B" w14:textId="526C0834" w:rsidR="008E507F" w:rsidRDefault="00100984" w:rsidP="008E507F">
      <w:pPr>
        <w:pStyle w:val="ListBullet"/>
      </w:pPr>
      <w:r>
        <w:t xml:space="preserve">What dose range of </w:t>
      </w:r>
      <w:r w:rsidR="00F0178E">
        <w:t>c</w:t>
      </w:r>
      <w:r>
        <w:t>annabidiol is currently being used in clinical practice?</w:t>
      </w:r>
    </w:p>
    <w:p w14:paraId="12B922F4" w14:textId="2E2F8EFF" w:rsidR="008E507F" w:rsidRDefault="008E507F" w:rsidP="00F80DAB">
      <w:pPr>
        <w:pStyle w:val="ListBullet"/>
      </w:pPr>
      <w:r>
        <w:t>Is there a l</w:t>
      </w:r>
      <w:r w:rsidR="00F80DAB">
        <w:t>ow dose? What is the low dose?</w:t>
      </w:r>
    </w:p>
    <w:p w14:paraId="637E998B" w14:textId="0E8DBCAF" w:rsidR="008E507F" w:rsidRDefault="008E507F" w:rsidP="008E507F">
      <w:pPr>
        <w:pStyle w:val="ListBullet"/>
      </w:pPr>
      <w:r>
        <w:t xml:space="preserve">What are the differences between the herbal extract and synthetic </w:t>
      </w:r>
      <w:r w:rsidR="00F0178E">
        <w:t>c</w:t>
      </w:r>
      <w:r>
        <w:t>annabidiol?</w:t>
      </w:r>
    </w:p>
    <w:p w14:paraId="0AD55E76" w14:textId="4693160C" w:rsidR="008E507F" w:rsidRDefault="008E507F" w:rsidP="008E507F">
      <w:pPr>
        <w:pStyle w:val="ListBullet"/>
      </w:pPr>
      <w:r>
        <w:t xml:space="preserve"> What is the overall clinical safety p</w:t>
      </w:r>
      <w:r w:rsidR="00F80DAB">
        <w:t>rofile of low dose cannabidiol?</w:t>
      </w:r>
    </w:p>
    <w:p w14:paraId="36959D19" w14:textId="39D07690" w:rsidR="00BD1DA7" w:rsidRPr="005707A9" w:rsidRDefault="00BD1DA7" w:rsidP="00F80DAB">
      <w:r w:rsidRPr="005707A9">
        <w:t>Assistance wa</w:t>
      </w:r>
      <w:r w:rsidR="00F80DAB">
        <w:t xml:space="preserve">s sought from the TGA library. </w:t>
      </w:r>
      <w:r w:rsidRPr="005707A9">
        <w:t xml:space="preserve">The following literature search in relation to </w:t>
      </w:r>
      <w:r w:rsidR="00F0178E">
        <w:t>c</w:t>
      </w:r>
      <w:r w:rsidRPr="005707A9">
        <w:t>annabidiol was requested:</w:t>
      </w:r>
    </w:p>
    <w:p w14:paraId="24B8A5D2" w14:textId="3818A67D" w:rsidR="00BD1DA7" w:rsidRPr="005707A9" w:rsidRDefault="00BD1DA7" w:rsidP="00F130CA">
      <w:pPr>
        <w:pStyle w:val="ListBullet"/>
      </w:pPr>
      <w:r w:rsidRPr="005707A9">
        <w:t xml:space="preserve">Last </w:t>
      </w:r>
      <w:r w:rsidR="007243F0">
        <w:t>five</w:t>
      </w:r>
      <w:r w:rsidR="00F80DAB">
        <w:t xml:space="preserve"> years</w:t>
      </w:r>
    </w:p>
    <w:p w14:paraId="5ABE25AE" w14:textId="77777777" w:rsidR="00BD1DA7" w:rsidRPr="005707A9" w:rsidRDefault="00BD1DA7" w:rsidP="00F130CA">
      <w:pPr>
        <w:pStyle w:val="ListBullet"/>
      </w:pPr>
      <w:r w:rsidRPr="005707A9">
        <w:t>Synthetic pathways: extractions and chemical synthesis and chemical characterisation with impurity profile and related substances.</w:t>
      </w:r>
    </w:p>
    <w:p w14:paraId="4BB86D7C" w14:textId="77777777" w:rsidR="00BD1DA7" w:rsidRPr="005707A9" w:rsidRDefault="00BD1DA7" w:rsidP="00F130CA">
      <w:pPr>
        <w:pStyle w:val="ListBullet"/>
      </w:pPr>
      <w:r w:rsidRPr="005707A9">
        <w:t xml:space="preserve">Clinical trials of cannabidiol (all clinical </w:t>
      </w:r>
      <w:r w:rsidR="007243F0">
        <w:t>use</w:t>
      </w:r>
      <w:r w:rsidRPr="005707A9">
        <w:t>)</w:t>
      </w:r>
    </w:p>
    <w:p w14:paraId="7D4D0FC0" w14:textId="77777777" w:rsidR="00BD1DA7" w:rsidRPr="005707A9" w:rsidRDefault="00BD1DA7" w:rsidP="00F130CA">
      <w:pPr>
        <w:pStyle w:val="ListBullet"/>
      </w:pPr>
      <w:r w:rsidRPr="005707A9">
        <w:t>Dose ranging studies</w:t>
      </w:r>
    </w:p>
    <w:p w14:paraId="10623390" w14:textId="69B7D22C" w:rsidR="00BD1DA7" w:rsidRPr="00F130CA" w:rsidRDefault="00BD1DA7" w:rsidP="00F130CA">
      <w:pPr>
        <w:pStyle w:val="ListBullet"/>
      </w:pPr>
      <w:r w:rsidRPr="005707A9">
        <w:t>Reported adverse events, investigation of adverse events, case reports</w:t>
      </w:r>
    </w:p>
    <w:p w14:paraId="2260C3B3" w14:textId="77777777" w:rsidR="00BD1DA7" w:rsidRPr="005707A9" w:rsidRDefault="00BD1DA7" w:rsidP="00BD1DA7">
      <w:pPr>
        <w:rPr>
          <w:szCs w:val="22"/>
        </w:rPr>
      </w:pPr>
      <w:r w:rsidRPr="005707A9">
        <w:rPr>
          <w:szCs w:val="22"/>
        </w:rPr>
        <w:t>The following search terms were used to search the OVID database:</w:t>
      </w:r>
    </w:p>
    <w:p w14:paraId="75408031" w14:textId="77777777" w:rsidR="00BD1DA7" w:rsidRPr="00F130CA" w:rsidRDefault="00BD1DA7" w:rsidP="00F130CA">
      <w:pPr>
        <w:pStyle w:val="Numberbullet0"/>
      </w:pPr>
      <w:r w:rsidRPr="00F130CA">
        <w:t>exp cannabidiol derivative/ or exp cannabidiol/ (4325)</w:t>
      </w:r>
    </w:p>
    <w:p w14:paraId="4682D3A8" w14:textId="77777777" w:rsidR="00BD1DA7" w:rsidRPr="00F130CA" w:rsidRDefault="00BD1DA7" w:rsidP="00F130CA">
      <w:pPr>
        <w:pStyle w:val="Numberbullet0"/>
      </w:pPr>
      <w:r w:rsidRPr="00F130CA">
        <w:t>cannabidiol.mp. [mp=title, abstract, heading word, drug trade name, original title, device manufacturer, drug manufacturer, device trade name, keyword, floating subheading word, candidate term word] (4924)</w:t>
      </w:r>
    </w:p>
    <w:p w14:paraId="23FEB79D" w14:textId="77777777" w:rsidR="00BD1DA7" w:rsidRPr="00F130CA" w:rsidRDefault="00BD1DA7" w:rsidP="00F130CA">
      <w:pPr>
        <w:pStyle w:val="Numberbullet0"/>
      </w:pPr>
      <w:r w:rsidRPr="00F130CA">
        <w:t>1 or 2 (4924)</w:t>
      </w:r>
    </w:p>
    <w:p w14:paraId="7DD6C4DE" w14:textId="77777777" w:rsidR="00BD1DA7" w:rsidRPr="00F130CA" w:rsidRDefault="00BD1DA7" w:rsidP="00F130CA">
      <w:pPr>
        <w:pStyle w:val="Numberbullet0"/>
      </w:pPr>
      <w:r w:rsidRPr="00F130CA">
        <w:t>exp drug therapy/ (2694500)</w:t>
      </w:r>
    </w:p>
    <w:p w14:paraId="334B79C0" w14:textId="77777777" w:rsidR="00BD1DA7" w:rsidRPr="00F130CA" w:rsidRDefault="00BD1DA7" w:rsidP="00F130CA">
      <w:pPr>
        <w:pStyle w:val="Numberbullet0"/>
      </w:pPr>
      <w:r w:rsidRPr="00F130CA">
        <w:t>exp drug dose/ (640306)</w:t>
      </w:r>
    </w:p>
    <w:p w14:paraId="718A9363" w14:textId="77777777" w:rsidR="00BD1DA7" w:rsidRPr="00F130CA" w:rsidRDefault="00BD1DA7" w:rsidP="00F130CA">
      <w:pPr>
        <w:pStyle w:val="Numberbullet0"/>
      </w:pPr>
      <w:r w:rsidRPr="00F130CA">
        <w:t>4 or 5 (2734399)</w:t>
      </w:r>
    </w:p>
    <w:p w14:paraId="6C453898" w14:textId="77777777" w:rsidR="00BD1DA7" w:rsidRPr="00F130CA" w:rsidRDefault="00BD1DA7" w:rsidP="00F130CA">
      <w:pPr>
        <w:pStyle w:val="Numberbullet0"/>
      </w:pPr>
      <w:r w:rsidRPr="00F130CA">
        <w:t>exp adverse drug reaction/ (514633)</w:t>
      </w:r>
    </w:p>
    <w:p w14:paraId="36991455" w14:textId="77777777" w:rsidR="00BD1DA7" w:rsidRPr="00F130CA" w:rsidRDefault="00BD1DA7" w:rsidP="00F130CA">
      <w:pPr>
        <w:pStyle w:val="Numberbullet0"/>
      </w:pPr>
      <w:r w:rsidRPr="00F130CA">
        <w:t>exp adverse drug reaction/co, dt, si [Complication, Drug Therapy, Side Effect] (222685)</w:t>
      </w:r>
    </w:p>
    <w:p w14:paraId="29ADD720" w14:textId="77777777" w:rsidR="00BD1DA7" w:rsidRPr="00F130CA" w:rsidRDefault="00BD1DA7" w:rsidP="00F130CA">
      <w:pPr>
        <w:pStyle w:val="Numberbullet0"/>
      </w:pPr>
      <w:r w:rsidRPr="00F130CA">
        <w:t>major clinical study/ or exp drug contraindication/ or drug safety/ (3905058)</w:t>
      </w:r>
    </w:p>
    <w:p w14:paraId="0D229CBA" w14:textId="77777777" w:rsidR="00BD1DA7" w:rsidRPr="00F130CA" w:rsidRDefault="00BD1DA7" w:rsidP="00F130CA">
      <w:pPr>
        <w:pStyle w:val="Numberbullet0"/>
      </w:pPr>
      <w:r w:rsidRPr="00F130CA">
        <w:t>exp drug toxicity/si [Side Effect] (2562)</w:t>
      </w:r>
    </w:p>
    <w:p w14:paraId="03E34498" w14:textId="77777777" w:rsidR="00BD1DA7" w:rsidRPr="00F130CA" w:rsidRDefault="00BD1DA7" w:rsidP="00F130CA">
      <w:pPr>
        <w:pStyle w:val="Numberbullet0"/>
      </w:pPr>
      <w:r w:rsidRPr="00F130CA">
        <w:t>7 or 8 or 9 or 10 (4247370)</w:t>
      </w:r>
    </w:p>
    <w:p w14:paraId="40CB3776" w14:textId="77777777" w:rsidR="00BD1DA7" w:rsidRPr="00F130CA" w:rsidRDefault="00BD1DA7" w:rsidP="00F130CA">
      <w:pPr>
        <w:pStyle w:val="Numberbullet0"/>
      </w:pPr>
      <w:r w:rsidRPr="00F130CA">
        <w:t>exp drug contamination/an [Drug Analysis] (22)</w:t>
      </w:r>
    </w:p>
    <w:p w14:paraId="4F1B8534" w14:textId="77777777" w:rsidR="00BD1DA7" w:rsidRPr="00F130CA" w:rsidRDefault="00BD1DA7" w:rsidP="00F130CA">
      <w:pPr>
        <w:pStyle w:val="Numberbullet0"/>
      </w:pPr>
      <w:r w:rsidRPr="00F130CA">
        <w:t>exp drug analysis/ (388126)</w:t>
      </w:r>
    </w:p>
    <w:p w14:paraId="6DD205D6" w14:textId="77777777" w:rsidR="00BD1DA7" w:rsidRPr="00F130CA" w:rsidRDefault="00BD1DA7" w:rsidP="00F130CA">
      <w:pPr>
        <w:pStyle w:val="Numberbullet0"/>
      </w:pPr>
      <w:r w:rsidRPr="00F130CA">
        <w:t>exp drug comparison/ (128930)</w:t>
      </w:r>
    </w:p>
    <w:p w14:paraId="2D36DCCD" w14:textId="77777777" w:rsidR="00BD1DA7" w:rsidRPr="00F130CA" w:rsidRDefault="00BD1DA7" w:rsidP="00F130CA">
      <w:pPr>
        <w:pStyle w:val="Numberbullet0"/>
      </w:pPr>
      <w:r w:rsidRPr="00F130CA">
        <w:t>exp drug concentration/ (290941)</w:t>
      </w:r>
    </w:p>
    <w:p w14:paraId="2CC17A44" w14:textId="77777777" w:rsidR="00BD1DA7" w:rsidRPr="00F130CA" w:rsidRDefault="00BD1DA7" w:rsidP="00F130CA">
      <w:pPr>
        <w:pStyle w:val="Numberbullet0"/>
      </w:pPr>
      <w:r w:rsidRPr="00F130CA">
        <w:lastRenderedPageBreak/>
        <w:t>exp drug development/ (93022)</w:t>
      </w:r>
    </w:p>
    <w:p w14:paraId="157C5BB9" w14:textId="77777777" w:rsidR="00BD1DA7" w:rsidRPr="00F130CA" w:rsidRDefault="00BD1DA7" w:rsidP="00F130CA">
      <w:pPr>
        <w:pStyle w:val="Numberbullet0"/>
      </w:pPr>
      <w:r w:rsidRPr="00F130CA">
        <w:t>exp drug administration/ (1184001)</w:t>
      </w:r>
    </w:p>
    <w:p w14:paraId="5ED77397" w14:textId="77777777" w:rsidR="00BD1DA7" w:rsidRPr="00F130CA" w:rsidRDefault="00BD1DA7" w:rsidP="00F130CA">
      <w:pPr>
        <w:pStyle w:val="Numberbullet0"/>
      </w:pPr>
      <w:r w:rsidRPr="00F130CA">
        <w:t>drug absorption/ (81563)</w:t>
      </w:r>
    </w:p>
    <w:p w14:paraId="0A7A4838" w14:textId="77777777" w:rsidR="00BD1DA7" w:rsidRPr="00F130CA" w:rsidRDefault="00BD1DA7" w:rsidP="00F130CA">
      <w:pPr>
        <w:pStyle w:val="Numberbullet0"/>
      </w:pPr>
      <w:r w:rsidRPr="00F130CA">
        <w:t>12 or 13 or 14 or 15 or 16 or 17 or 18 (1851501)</w:t>
      </w:r>
    </w:p>
    <w:p w14:paraId="10313016" w14:textId="77777777" w:rsidR="00BD1DA7" w:rsidRPr="00F130CA" w:rsidRDefault="00BD1DA7" w:rsidP="00F130CA">
      <w:pPr>
        <w:pStyle w:val="Numberbullet0"/>
      </w:pPr>
      <w:r w:rsidRPr="00F130CA">
        <w:t>exp drug bioavailability/ (63800)</w:t>
      </w:r>
    </w:p>
    <w:p w14:paraId="4A0E881E" w14:textId="77777777" w:rsidR="00BD1DA7" w:rsidRPr="00F130CA" w:rsidRDefault="00BD1DA7" w:rsidP="00F130CA">
      <w:pPr>
        <w:pStyle w:val="Numberbullet0"/>
      </w:pPr>
      <w:r w:rsidRPr="00F130CA">
        <w:t>exp drug metabolism/ (180654)</w:t>
      </w:r>
    </w:p>
    <w:p w14:paraId="2A88D5B8" w14:textId="77777777" w:rsidR="00BD1DA7" w:rsidRPr="00F130CA" w:rsidRDefault="00BD1DA7" w:rsidP="00F130CA">
      <w:pPr>
        <w:pStyle w:val="Numberbullet0"/>
      </w:pPr>
      <w:r w:rsidRPr="00F130CA">
        <w:t>drug delivery system/ or exp drug structure/ (352666)</w:t>
      </w:r>
    </w:p>
    <w:p w14:paraId="5E7BC01F" w14:textId="77777777" w:rsidR="00BD1DA7" w:rsidRPr="00F130CA" w:rsidRDefault="00BD1DA7" w:rsidP="00F130CA">
      <w:pPr>
        <w:pStyle w:val="Numberbullet0"/>
      </w:pPr>
      <w:r w:rsidRPr="00F130CA">
        <w:t>exp drug synthesis/ or drug delivery system/ (373855)</w:t>
      </w:r>
    </w:p>
    <w:p w14:paraId="4C863BA7" w14:textId="77777777" w:rsidR="00BD1DA7" w:rsidRPr="00F130CA" w:rsidRDefault="00BD1DA7" w:rsidP="00F130CA">
      <w:pPr>
        <w:pStyle w:val="Numberbullet0"/>
      </w:pPr>
      <w:r w:rsidRPr="00F130CA">
        <w:t>synthetic pathways.mp. (1069)</w:t>
      </w:r>
    </w:p>
    <w:p w14:paraId="54AB6011" w14:textId="77777777" w:rsidR="00BD1DA7" w:rsidRPr="00F130CA" w:rsidRDefault="00BD1DA7" w:rsidP="00F130CA">
      <w:pPr>
        <w:pStyle w:val="Numberbullet0"/>
      </w:pPr>
      <w:r w:rsidRPr="00F130CA">
        <w:t>chemical synthesis.mp. or exp synthesis/ (610346)</w:t>
      </w:r>
    </w:p>
    <w:p w14:paraId="4D914351" w14:textId="77777777" w:rsidR="00BD1DA7" w:rsidRPr="00F130CA" w:rsidRDefault="00BD1DA7" w:rsidP="00F130CA">
      <w:pPr>
        <w:pStyle w:val="Numberbullet0"/>
      </w:pPr>
      <w:r w:rsidRPr="00F130CA">
        <w:t>physical chemistry/ or controlled study/ or chemical composition/ (7188130)</w:t>
      </w:r>
    </w:p>
    <w:p w14:paraId="58D05DC8" w14:textId="77777777" w:rsidR="00BD1DA7" w:rsidRPr="00F130CA" w:rsidRDefault="00BD1DA7" w:rsidP="00F130CA">
      <w:pPr>
        <w:pStyle w:val="Numberbullet0"/>
      </w:pPr>
      <w:r w:rsidRPr="00F130CA">
        <w:t>20 or 21 or 22 or 23 or 24 or 25 or 26 (7951305)</w:t>
      </w:r>
    </w:p>
    <w:p w14:paraId="4CAA95F3" w14:textId="77777777" w:rsidR="00BD1DA7" w:rsidRPr="00F130CA" w:rsidRDefault="00BD1DA7" w:rsidP="00F130CA">
      <w:pPr>
        <w:pStyle w:val="Numberbullet0"/>
      </w:pPr>
      <w:r w:rsidRPr="00F130CA">
        <w:t>3 and 6 and 11 and 19 and 27 (62)</w:t>
      </w:r>
    </w:p>
    <w:p w14:paraId="47477261" w14:textId="77777777" w:rsidR="00BD1DA7" w:rsidRPr="00F130CA" w:rsidRDefault="00BD1DA7" w:rsidP="00F130CA">
      <w:pPr>
        <w:pStyle w:val="Numberbullet0"/>
      </w:pPr>
      <w:r w:rsidRPr="00F130CA">
        <w:t>from 28 keep 1-62 (62)</w:t>
      </w:r>
    </w:p>
    <w:p w14:paraId="1AFBCAAF" w14:textId="2026A1D0" w:rsidR="00BD1DA7" w:rsidRPr="005707A9" w:rsidRDefault="00BD1DA7" w:rsidP="004F11FE">
      <w:r w:rsidRPr="005707A9">
        <w:t xml:space="preserve">The search was restricted to the last five years and </w:t>
      </w:r>
      <w:r w:rsidR="004F11FE">
        <w:t xml:space="preserve">conducted on 18 December 2019. </w:t>
      </w:r>
      <w:r w:rsidRPr="005707A9">
        <w:t xml:space="preserve">A total of 150 citations were obtained (Embase and Medline). The titles and abstracts were reviewed to determine relevancy. Articles were excluded from further review based on the following characteristics: literature on cannabis alone, </w:t>
      </w:r>
      <w:r w:rsidR="00F0178E">
        <w:t>c</w:t>
      </w:r>
      <w:r w:rsidRPr="005707A9">
        <w:t>annabidiol of purity less than 95%, mix of cannabinoids (such as THC and CBD) without the purified cannabidiol as a comparator</w:t>
      </w:r>
      <w:r>
        <w:t xml:space="preserve"> and non-clinical (animal or molecular) studies</w:t>
      </w:r>
      <w:r w:rsidR="004F11FE">
        <w:t xml:space="preserve">. </w:t>
      </w:r>
      <w:r w:rsidRPr="005707A9">
        <w:t>The remaining articles were reviewed in full and those found to be relevant to the enquiry included.</w:t>
      </w:r>
    </w:p>
    <w:p w14:paraId="489B4E13" w14:textId="540F09BB" w:rsidR="00BD1DA7" w:rsidRDefault="00BD1DA7" w:rsidP="00BD1DA7">
      <w:pPr>
        <w:rPr>
          <w:szCs w:val="22"/>
        </w:rPr>
      </w:pPr>
      <w:r w:rsidRPr="005707A9">
        <w:rPr>
          <w:szCs w:val="22"/>
        </w:rPr>
        <w:t>The following data was extracted from the i</w:t>
      </w:r>
      <w:r w:rsidR="004F11FE">
        <w:rPr>
          <w:szCs w:val="22"/>
        </w:rPr>
        <w:t xml:space="preserve">ncluded articles and analysed: </w:t>
      </w:r>
      <w:r w:rsidRPr="005707A9">
        <w:rPr>
          <w:szCs w:val="22"/>
        </w:rPr>
        <w:t>The study type and design, population, the dose, form and characterisation of the CBD investigated, the duration, adverse events and efficacy.</w:t>
      </w:r>
    </w:p>
    <w:p w14:paraId="090F1914" w14:textId="67C7319D" w:rsidR="00BD1DA7" w:rsidRDefault="00BD1DA7" w:rsidP="00BD1DA7">
      <w:pPr>
        <w:spacing w:before="0" w:after="0" w:line="240" w:lineRule="auto"/>
        <w:rPr>
          <w:szCs w:val="22"/>
        </w:rPr>
      </w:pPr>
      <w:r>
        <w:rPr>
          <w:szCs w:val="22"/>
        </w:rPr>
        <w:t>Once broad dose ranges were determined, t</w:t>
      </w:r>
      <w:r w:rsidRPr="005707A9">
        <w:rPr>
          <w:szCs w:val="22"/>
        </w:rPr>
        <w:t>he primary search results were supplemented with additional (secondary) searches for low dose cannabidiol of 25 mg daily or less (Library) and in google scholar for: ‘</w:t>
      </w:r>
      <w:r w:rsidR="00F0178E">
        <w:rPr>
          <w:szCs w:val="22"/>
        </w:rPr>
        <w:t>c</w:t>
      </w:r>
      <w:r w:rsidRPr="005707A9">
        <w:rPr>
          <w:szCs w:val="22"/>
        </w:rPr>
        <w:t>annabidiol phase I in healthy volunteers’.</w:t>
      </w:r>
    </w:p>
    <w:p w14:paraId="2DE32384" w14:textId="77777777" w:rsidR="00F130CA" w:rsidRPr="00842E7D" w:rsidRDefault="00BD1DA7" w:rsidP="0053381E">
      <w:pPr>
        <w:pStyle w:val="Heading3"/>
        <w:pageBreakBefore/>
      </w:pPr>
      <w:bookmarkStart w:id="24" w:name="_Toc38379358"/>
      <w:r>
        <w:lastRenderedPageBreak/>
        <w:t>Appendix B</w:t>
      </w:r>
      <w:bookmarkEnd w:id="24"/>
    </w:p>
    <w:p w14:paraId="7DD64A41" w14:textId="77777777" w:rsidR="00BD1DA7" w:rsidRDefault="00BD1DA7" w:rsidP="00F130CA">
      <w:pPr>
        <w:pStyle w:val="Heading4"/>
      </w:pPr>
      <w:bookmarkStart w:id="25" w:name="_Toc38379359"/>
      <w:r>
        <w:t>References</w:t>
      </w:r>
      <w:bookmarkEnd w:id="25"/>
    </w:p>
    <w:p w14:paraId="20EB8E82" w14:textId="77777777" w:rsidR="00F130CA" w:rsidRDefault="00F130CA" w:rsidP="00BD1DA7">
      <w:pPr>
        <w:spacing w:before="0" w:after="0" w:line="240" w:lineRule="auto"/>
        <w:rPr>
          <w:b/>
        </w:rPr>
        <w:sectPr w:rsidR="00F130CA" w:rsidSect="0029069E">
          <w:headerReference w:type="default" r:id="rId16"/>
          <w:footerReference w:type="default" r:id="rId17"/>
          <w:footnotePr>
            <w:pos w:val="beneathText"/>
          </w:footnotePr>
          <w:endnotePr>
            <w:numFmt w:val="decimal"/>
          </w:endnotePr>
          <w:pgSz w:w="11906" w:h="16838" w:code="9"/>
          <w:pgMar w:top="1134" w:right="1418" w:bottom="1361" w:left="1418" w:header="573" w:footer="567" w:gutter="0"/>
          <w:cols w:space="708"/>
          <w:docGrid w:linePitch="360"/>
        </w:sectPr>
      </w:pPr>
    </w:p>
    <w:p w14:paraId="07C6E47A" w14:textId="5F09C5D6" w:rsidR="00F130CA" w:rsidRPr="0053381E" w:rsidRDefault="008866B9" w:rsidP="00786FC5">
      <w:pPr>
        <w:spacing w:after="120" w:line="276" w:lineRule="auto"/>
      </w:pPr>
      <w:r w:rsidRPr="008866B9">
        <w:rPr>
          <w:vertAlign w:val="superscript"/>
        </w:rPr>
        <w:t>22</w:t>
      </w:r>
      <w:r w:rsidRPr="008866B9">
        <w:t xml:space="preserve"> </w:t>
      </w:r>
      <w:r w:rsidRPr="0053381E">
        <w:t xml:space="preserve">Khoury, J.M et al, 2016. Is there a role for cannabidiol in psychiatry? </w:t>
      </w:r>
      <w:r w:rsidRPr="0053381E">
        <w:rPr>
          <w:i/>
        </w:rPr>
        <w:t>The World Journal of Biological Psychiatry</w:t>
      </w:r>
      <w:r w:rsidRPr="0053381E">
        <w:t xml:space="preserve"> Vol 20:2, p101-116</w:t>
      </w:r>
      <w:r w:rsidR="00D00216" w:rsidRPr="0053381E">
        <w:t>.</w:t>
      </w:r>
    </w:p>
    <w:p w14:paraId="14F78161" w14:textId="4B54E418" w:rsidR="005A5DE3" w:rsidRPr="0053381E" w:rsidRDefault="005A5DE3" w:rsidP="00786FC5">
      <w:pPr>
        <w:spacing w:after="120" w:line="276" w:lineRule="auto"/>
      </w:pPr>
      <w:r w:rsidRPr="0053381E">
        <w:rPr>
          <w:vertAlign w:val="superscript"/>
        </w:rPr>
        <w:t xml:space="preserve">23 </w:t>
      </w:r>
      <w:r w:rsidRPr="0053381E">
        <w:t xml:space="preserve">Qian, Y.,Gurley, B.J., Markowitz, J.S., 2019 The potential for Pharmacokinetic Interactions Between Cannabis Products and Conventional Medications. </w:t>
      </w:r>
      <w:r w:rsidRPr="0053381E">
        <w:rPr>
          <w:i/>
        </w:rPr>
        <w:t>J. Clin Psychopharmacol</w:t>
      </w:r>
      <w:r w:rsidRPr="0053381E">
        <w:t>. 2019 Sep/Oct, 39 (5) p462-471.</w:t>
      </w:r>
    </w:p>
    <w:p w14:paraId="12BF54B9" w14:textId="59FABE08" w:rsidR="0089269C" w:rsidRPr="0089269C" w:rsidRDefault="0089269C" w:rsidP="00786FC5">
      <w:pPr>
        <w:spacing w:after="120" w:line="276" w:lineRule="auto"/>
      </w:pPr>
      <w:r w:rsidRPr="0053381E">
        <w:rPr>
          <w:vertAlign w:val="superscript"/>
        </w:rPr>
        <w:t xml:space="preserve">24 </w:t>
      </w:r>
      <w:r w:rsidRPr="0053381E">
        <w:t>Expert Committee on Drug Dependence, World Health Organisation, Thirty-ninth Meeting, Geneva, 6-7 November 2017.</w:t>
      </w:r>
      <w:r>
        <w:t xml:space="preserve"> </w:t>
      </w:r>
      <w:hyperlink r:id="rId18" w:history="1">
        <w:r>
          <w:rPr>
            <w:rStyle w:val="Hyperlink"/>
          </w:rPr>
          <w:t>https://www.who.int/medicines/access/controlled-substances/5.2_CBD.pdf</w:t>
        </w:r>
      </w:hyperlink>
    </w:p>
    <w:p w14:paraId="7437C83A" w14:textId="0FF8F297" w:rsidR="00BD1DA7" w:rsidRPr="0053381E" w:rsidRDefault="00BD1DA7" w:rsidP="0053381E">
      <w:pPr>
        <w:pStyle w:val="Heading4"/>
      </w:pPr>
      <w:bookmarkStart w:id="26" w:name="_Toc38379360"/>
      <w:r w:rsidRPr="005707A9">
        <w:t>Literature reviewed and not referenced (formed part of background knowledge)</w:t>
      </w:r>
      <w:bookmarkEnd w:id="26"/>
    </w:p>
    <w:p w14:paraId="1B0943D9" w14:textId="77777777" w:rsidR="00C2765B" w:rsidRPr="004B36B5" w:rsidRDefault="00C2765B" w:rsidP="0053381E">
      <w:pPr>
        <w:pStyle w:val="ListBullet"/>
      </w:pPr>
      <w:r w:rsidRPr="004B36B5">
        <w:t xml:space="preserve">Bergamaschi, M.M., Queiroz, R.H.C., Chagas, M.H.N., De Oliveira, D.C.G., De Martinis, B.S., Kapczinski, F., Quevedo, J., Roesler, R., Schröder, N., Nardi, A.E. and Martín-Santos, R., 2011. Cannabidiol reduces the anxiety induced by simulated public speaking in treatment-naive social phobia patients. </w:t>
      </w:r>
      <w:r w:rsidRPr="004B36B5">
        <w:rPr>
          <w:i/>
          <w:iCs/>
        </w:rPr>
        <w:t>Neuropsychopharmacology</w:t>
      </w:r>
      <w:r w:rsidRPr="004B36B5">
        <w:t xml:space="preserve">, </w:t>
      </w:r>
      <w:r w:rsidRPr="004B36B5">
        <w:rPr>
          <w:i/>
          <w:iCs/>
        </w:rPr>
        <w:t>36</w:t>
      </w:r>
      <w:r w:rsidRPr="004B36B5">
        <w:t>(6), pp.1219-1226.</w:t>
      </w:r>
    </w:p>
    <w:p w14:paraId="4D7C892A" w14:textId="211AA63F" w:rsidR="00C2765B" w:rsidRPr="004B36B5" w:rsidRDefault="00C2765B" w:rsidP="0053381E">
      <w:pPr>
        <w:pStyle w:val="ListBullet"/>
      </w:pPr>
      <w:r w:rsidRPr="004B36B5">
        <w:t>Bhattacharyya, S., Appiah-Kusi, E., WIlson, R., Hird, A., Bossong, M., Valmaggia, L. and McGuire, P., 2016, October. Effect of cannabidiol on paranoid ideation in a virtual reality environment in individuals at U</w:t>
      </w:r>
      <w:r w:rsidR="004B36B5">
        <w:t xml:space="preserve">ltra High Risk of Psychosis. In </w:t>
      </w:r>
      <w:r w:rsidRPr="004B36B5">
        <w:t>EARLY INTERVENTION IN PSYCHIATRY (Vol. 10, pp. 74-74). 111 RIVER ST, HOBOKEN 07030-5774, NJ USA: WILEY-BLACKWELL.</w:t>
      </w:r>
    </w:p>
    <w:p w14:paraId="3DA6E5FA" w14:textId="77777777" w:rsidR="00C2765B" w:rsidRPr="004B36B5" w:rsidRDefault="00C2765B" w:rsidP="0053381E">
      <w:pPr>
        <w:pStyle w:val="ListBullet"/>
      </w:pPr>
      <w:r w:rsidRPr="004B36B5">
        <w:t xml:space="preserve">Chagas, M.H.N., Zuardi, A.W., Tumas, V., Pena-Pereira, M.A., Sobreira, E.T., Bergamaschi, M.M., dos Santos, A.C., Teixeira, A.L., Hallak, J.E. and Crippa, J.A.S., 2014. Effects of cannabidiol in the treatment of patients with Parkinson’s disease: an exploratory double-blind trial. </w:t>
      </w:r>
      <w:r w:rsidRPr="004B36B5">
        <w:rPr>
          <w:i/>
          <w:iCs/>
        </w:rPr>
        <w:t>Journal of Psychopharmacology</w:t>
      </w:r>
      <w:r w:rsidRPr="004B36B5">
        <w:t xml:space="preserve">, </w:t>
      </w:r>
      <w:r w:rsidRPr="004B36B5">
        <w:rPr>
          <w:i/>
          <w:iCs/>
        </w:rPr>
        <w:t>28</w:t>
      </w:r>
      <w:r w:rsidRPr="004B36B5">
        <w:t>(11), pp.1088-1098.</w:t>
      </w:r>
    </w:p>
    <w:p w14:paraId="46D179DE" w14:textId="77777777" w:rsidR="00C2765B" w:rsidRPr="004B36B5" w:rsidRDefault="00C2765B" w:rsidP="004B36B5">
      <w:pPr>
        <w:pStyle w:val="ListBullet"/>
      </w:pPr>
      <w:r w:rsidRPr="004B36B5">
        <w:t>Devinsky, O., Patel, A.D., Thiele, E.A., Wong, M.H., Appleton, R., Harden, C.L., Greenwood, S., Morrison, G., Sommerville, K. and GWPCARE1 Part A Study Group, 2018. Randomized, dose-ranging safety trial of cannabidiol in Dravet syndrome. Neurology, 90(14), pp.e1204-e1211.</w:t>
      </w:r>
    </w:p>
    <w:p w14:paraId="6D3D0F84" w14:textId="77777777" w:rsidR="00C2765B" w:rsidRPr="004B36B5" w:rsidRDefault="00C2765B" w:rsidP="004B36B5">
      <w:pPr>
        <w:pStyle w:val="ListBullet"/>
        <w:rPr>
          <w:u w:val="single"/>
        </w:rPr>
      </w:pPr>
      <w:r w:rsidRPr="004B36B5">
        <w:t xml:space="preserve">Gallily, R., Yekhtin, Z. and Hanuš, L.O., 2015. Overcoming the bell-shaped dose-response of cannabidiol by using cannabis extract enriched in cannabidiol. </w:t>
      </w:r>
      <w:r w:rsidRPr="004B36B5">
        <w:rPr>
          <w:i/>
          <w:iCs/>
        </w:rPr>
        <w:t>Pharmacology &amp; Pharmacy</w:t>
      </w:r>
      <w:r w:rsidRPr="004B36B5">
        <w:t xml:space="preserve">, </w:t>
      </w:r>
      <w:r w:rsidRPr="004B36B5">
        <w:rPr>
          <w:i/>
          <w:iCs/>
        </w:rPr>
        <w:t>6</w:t>
      </w:r>
      <w:r w:rsidRPr="004B36B5">
        <w:t>(02), p.75.</w:t>
      </w:r>
    </w:p>
    <w:p w14:paraId="5A891AEF" w14:textId="77777777" w:rsidR="00C2765B" w:rsidRPr="004B36B5" w:rsidRDefault="00C2765B" w:rsidP="004B36B5">
      <w:pPr>
        <w:pStyle w:val="ListBullet"/>
      </w:pPr>
      <w:r w:rsidRPr="004B36B5">
        <w:lastRenderedPageBreak/>
        <w:t>Good, P.D., Greer, R.M., Huggett, G.E. and Hardy, J.R., 2019. An Open-Label Pilot Study Testing the Feasibility of Assessing Total Symptom Burden in Trials of Cannabinoid Medications in Palliative Care. Journal of Palliative Medicine.</w:t>
      </w:r>
    </w:p>
    <w:p w14:paraId="58DB36E3" w14:textId="77777777" w:rsidR="00C2765B" w:rsidRPr="004B36B5" w:rsidRDefault="00C2765B" w:rsidP="004B36B5">
      <w:pPr>
        <w:pStyle w:val="ListBullet"/>
      </w:pPr>
      <w:r w:rsidRPr="004B36B5">
        <w:t>Hunter, D., Oldfield, G., Tich, N., Messenheimer, J. and Sebree, T., 2018. Synthetic transdermal cannabidiol for the treatment of knee pain due to osteoarthritis. Osteoarthritis and Cartilage, 26, p.S26.</w:t>
      </w:r>
    </w:p>
    <w:p w14:paraId="6CD58A2A" w14:textId="77777777" w:rsidR="00C2765B" w:rsidRPr="004B36B5" w:rsidRDefault="00C2765B" w:rsidP="004B36B5">
      <w:pPr>
        <w:pStyle w:val="ListBullet"/>
        <w:rPr>
          <w:szCs w:val="22"/>
        </w:rPr>
      </w:pPr>
      <w:r w:rsidRPr="004B36B5">
        <w:rPr>
          <w:szCs w:val="22"/>
        </w:rPr>
        <w:t xml:space="preserve">Leweke, F.M., Piomelli, D., Pahlisch, F., Muhl, D., Gerth, C.W., Hoyer, C., Klosterkötter, J., Hellmich, M. and Koethe, D., 2012. Cannabidiol enhances anandamide signaling and alleviates psychotic symptoms of schizophrenia. </w:t>
      </w:r>
      <w:r w:rsidRPr="004B36B5">
        <w:rPr>
          <w:i/>
          <w:iCs/>
          <w:szCs w:val="22"/>
        </w:rPr>
        <w:t>Translational psychiatry</w:t>
      </w:r>
      <w:r w:rsidRPr="004B36B5">
        <w:rPr>
          <w:szCs w:val="22"/>
        </w:rPr>
        <w:t xml:space="preserve">, </w:t>
      </w:r>
      <w:r w:rsidRPr="004B36B5">
        <w:rPr>
          <w:i/>
          <w:iCs/>
          <w:szCs w:val="22"/>
        </w:rPr>
        <w:t>2</w:t>
      </w:r>
      <w:r w:rsidRPr="004B36B5">
        <w:rPr>
          <w:szCs w:val="22"/>
        </w:rPr>
        <w:t>(3), pp.e94-e94.</w:t>
      </w:r>
    </w:p>
    <w:p w14:paraId="57225615" w14:textId="77777777" w:rsidR="00C2765B" w:rsidRPr="004B36B5" w:rsidRDefault="00C2765B" w:rsidP="004B36B5">
      <w:pPr>
        <w:pStyle w:val="ListBullet"/>
      </w:pPr>
      <w:r w:rsidRPr="004B36B5">
        <w:t>Linares, I.M., Zuardi, A.W., Pereira, L.C., Queiroz, R.H., Mechoulam, R., Guimaraes, F.S. and Crippa, J.A., 2019. Cannabidiol presents an inverted U-shaped dose-response curve in a simulated public speaking test. Brazilian Journal of Psychiatry, 41(1), pp.9-14.</w:t>
      </w:r>
    </w:p>
    <w:p w14:paraId="5B4D41F6" w14:textId="77AAB941" w:rsidR="00C2765B" w:rsidRPr="004B36B5" w:rsidRDefault="00C2765B" w:rsidP="004B36B5">
      <w:pPr>
        <w:pStyle w:val="ListBullet"/>
      </w:pPr>
      <w:r w:rsidRPr="004B36B5">
        <w:t>Martin, R.C., Gaston, T.E., Thompson, M., Ampah, S.B., Cutter, G., Bebin, E.M. and Szaflarski, J.P., 2019. Cognitive functioning following long-term cannabidiol use in adults wit</w:t>
      </w:r>
      <w:r w:rsidR="004B36B5">
        <w:t>h treatment-resistant epilepsy. E</w:t>
      </w:r>
      <w:r w:rsidRPr="004B36B5">
        <w:t>pilepsy &amp; Behavior,</w:t>
      </w:r>
      <w:r w:rsidR="004B36B5">
        <w:t xml:space="preserve"> </w:t>
      </w:r>
      <w:r w:rsidRPr="004B36B5">
        <w:t>97, pp.105-110.</w:t>
      </w:r>
    </w:p>
    <w:p w14:paraId="3DE86E82" w14:textId="77777777" w:rsidR="00C2765B" w:rsidRPr="004B36B5" w:rsidRDefault="00C2765B" w:rsidP="004B36B5">
      <w:pPr>
        <w:pStyle w:val="ListBullet"/>
      </w:pPr>
      <w:r w:rsidRPr="004B36B5">
        <w:t>McGregor I S., Abelev S., Cohen R., Henderson M., Couch D., Cairns E., Arnold J C., Gauld N., unpublished (Manuscript), Access to Cannabidiol without a prescription: A cross country comparison and analysis.</w:t>
      </w:r>
    </w:p>
    <w:p w14:paraId="18E43989" w14:textId="77777777" w:rsidR="00C2765B" w:rsidRPr="004B36B5" w:rsidRDefault="00C2765B" w:rsidP="004B36B5">
      <w:pPr>
        <w:pStyle w:val="ListBullet"/>
      </w:pPr>
      <w:r w:rsidRPr="004B36B5">
        <w:t xml:space="preserve">McGuire, P., Robson, P., Cubala, W.J., Vasile, D., Morrison, P.D., Barron, R., Taylor, A. and Wright, S., 2018. Cannabidiol (CBD) as an adjunctive therapy in schizophrenia: a multicenter randomized controlled trial. </w:t>
      </w:r>
      <w:r w:rsidRPr="004B36B5">
        <w:rPr>
          <w:i/>
          <w:iCs/>
        </w:rPr>
        <w:t>American Journal of Psychiatry</w:t>
      </w:r>
      <w:r w:rsidRPr="004B36B5">
        <w:t xml:space="preserve">, </w:t>
      </w:r>
      <w:r w:rsidRPr="004B36B5">
        <w:rPr>
          <w:i/>
          <w:iCs/>
        </w:rPr>
        <w:t>175</w:t>
      </w:r>
      <w:r w:rsidRPr="004B36B5">
        <w:t>(3), pp.225-231.</w:t>
      </w:r>
    </w:p>
    <w:p w14:paraId="067FFB1D" w14:textId="072A0948" w:rsidR="00C2765B" w:rsidRPr="004B36B5" w:rsidRDefault="00C2765B" w:rsidP="004B36B5">
      <w:pPr>
        <w:pStyle w:val="ListBullet"/>
      </w:pPr>
      <w:r w:rsidRPr="004B36B5">
        <w:t>P Soares, V. and C Campos, A., 2017. Evidences for the anti-panic actions of cannabidiol. Current neuropharmacology,</w:t>
      </w:r>
      <w:r w:rsidR="004B36B5">
        <w:t xml:space="preserve"> </w:t>
      </w:r>
      <w:r w:rsidRPr="004B36B5">
        <w:t>15(2), pp.291-299.</w:t>
      </w:r>
    </w:p>
    <w:p w14:paraId="76D13FCE" w14:textId="77777777" w:rsidR="00C2765B" w:rsidRPr="004B36B5" w:rsidRDefault="00C2765B" w:rsidP="004B36B5">
      <w:pPr>
        <w:pStyle w:val="ListBullet"/>
      </w:pPr>
      <w:r w:rsidRPr="004B36B5">
        <w:t>Pietrafusa, N., Ferretti, A., Trivisano, M., de Palma, L., Calabrese, C., Pavia, G.C., Tondo, I., Cappelletti, S., Vigevano, F. and Specchio, N., 2019. Purified Cannabidiol for Treatment of Refractory Epilepsies in Pediatric Patients with Developmental and Epileptic Encephalopathy. Pediatric Drugs, 21(4), pp.283-290.</w:t>
      </w:r>
    </w:p>
    <w:p w14:paraId="5489AB7C" w14:textId="77777777" w:rsidR="00C2765B" w:rsidRPr="004B36B5" w:rsidRDefault="00C2765B" w:rsidP="004B36B5">
      <w:pPr>
        <w:pStyle w:val="ListBullet"/>
      </w:pPr>
      <w:r w:rsidRPr="004B36B5">
        <w:t xml:space="preserve">Schoedel, K.A., Szeto, I., Setnik, B., Sellers, E.M., Levy-Cooperman, N., Mills, C., Etges, T. and Sommerville, K., 2018. Abuse potential assessment of cannabidiol (CBD) in recreational polydrug users: A randomized, double-blind, controlled trial. </w:t>
      </w:r>
      <w:r w:rsidRPr="004B36B5">
        <w:rPr>
          <w:i/>
          <w:iCs/>
        </w:rPr>
        <w:t>Epilepsy &amp; Behavior</w:t>
      </w:r>
      <w:r w:rsidRPr="004B36B5">
        <w:t xml:space="preserve">, </w:t>
      </w:r>
      <w:r w:rsidRPr="004B36B5">
        <w:rPr>
          <w:i/>
          <w:iCs/>
        </w:rPr>
        <w:t>88</w:t>
      </w:r>
      <w:r w:rsidRPr="004B36B5">
        <w:t>, pp.162-171.</w:t>
      </w:r>
    </w:p>
    <w:p w14:paraId="40849262" w14:textId="77777777" w:rsidR="00C2765B" w:rsidRPr="004B36B5" w:rsidRDefault="00C2765B" w:rsidP="004B36B5">
      <w:pPr>
        <w:pStyle w:val="ListBullet"/>
      </w:pPr>
      <w:r w:rsidRPr="004B36B5">
        <w:t>Taylor, L., Gidal, B., Blakey, G., Tayo, B. and Morrison, G., 2018. A phase I, randomized, double-blind, placebo-controlled, single ascending dose, multiple dose, and food effect trial of the safety, tolerability and pharmacokinetics of highly purified cannabidiol in healthy subjects. CNS drugs, 32(11), pp.1053-1067.</w:t>
      </w:r>
    </w:p>
    <w:p w14:paraId="03992534" w14:textId="77777777" w:rsidR="001A3190" w:rsidRPr="00215D48" w:rsidRDefault="001A3190" w:rsidP="00BA0DFC">
      <w:pPr>
        <w:pStyle w:val="NonTOCheading2"/>
      </w:pPr>
      <w:r w:rsidRPr="00215D48">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1A3190" w:rsidRPr="00215D48" w14:paraId="5FD343ED" w14:textId="77777777" w:rsidTr="00D63C0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2534F42A" w14:textId="77777777" w:rsidR="001A3190" w:rsidRPr="00215D48" w:rsidRDefault="001A3190" w:rsidP="00D63C01">
            <w:bookmarkStart w:id="27" w:name="ColumnTitle_4"/>
            <w:r w:rsidRPr="00215D48">
              <w:t>Version</w:t>
            </w:r>
          </w:p>
        </w:tc>
        <w:tc>
          <w:tcPr>
            <w:tcW w:w="3242" w:type="dxa"/>
          </w:tcPr>
          <w:p w14:paraId="7B87B28A" w14:textId="77777777" w:rsidR="001A3190" w:rsidRPr="00215D48" w:rsidRDefault="001A3190" w:rsidP="00D63C01">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1FD95CAF" w14:textId="77777777" w:rsidR="001A3190" w:rsidRPr="00215D48" w:rsidRDefault="001A3190" w:rsidP="00D63C01">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70C5657C" w14:textId="77777777" w:rsidR="001A3190" w:rsidRPr="00215D48" w:rsidRDefault="001A3190" w:rsidP="00D63C01">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27"/>
      <w:tr w:rsidR="001A3190" w:rsidRPr="00215D48" w14:paraId="76A8E427" w14:textId="77777777" w:rsidTr="00D63C01">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46E1BAEE" w14:textId="77777777" w:rsidR="001A3190" w:rsidRPr="00215D48" w:rsidRDefault="001A3190" w:rsidP="00D63C01">
            <w:r w:rsidRPr="00215D48">
              <w:t>V1.0</w:t>
            </w:r>
          </w:p>
        </w:tc>
        <w:tc>
          <w:tcPr>
            <w:tcW w:w="3242" w:type="dxa"/>
          </w:tcPr>
          <w:p w14:paraId="5CCD2283" w14:textId="77777777" w:rsidR="001A3190" w:rsidRPr="00215D48" w:rsidRDefault="001A3190" w:rsidP="00D63C01">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712" w:type="dxa"/>
          </w:tcPr>
          <w:p w14:paraId="44B1E490" w14:textId="77777777" w:rsidR="001A3190" w:rsidRPr="00215D48" w:rsidRDefault="00D54BB5" w:rsidP="00D63C01">
            <w:pPr>
              <w:cnfStyle w:val="000000000000" w:firstRow="0" w:lastRow="0" w:firstColumn="0" w:lastColumn="0" w:oddVBand="0" w:evenVBand="0" w:oddHBand="0" w:evenHBand="0" w:firstRowFirstColumn="0" w:firstRowLastColumn="0" w:lastRowFirstColumn="0" w:lastRowLastColumn="0"/>
            </w:pPr>
            <w:r>
              <w:t>Medicines Regulation Division (MRD)</w:t>
            </w:r>
          </w:p>
        </w:tc>
        <w:tc>
          <w:tcPr>
            <w:tcW w:w="1808" w:type="dxa"/>
          </w:tcPr>
          <w:p w14:paraId="779A5482" w14:textId="77777777" w:rsidR="001A3190" w:rsidRPr="00215D48" w:rsidRDefault="00AF4808" w:rsidP="00D54BB5">
            <w:pPr>
              <w:cnfStyle w:val="000000000000" w:firstRow="0" w:lastRow="0" w:firstColumn="0" w:lastColumn="0" w:oddVBand="0" w:evenVBand="0" w:oddHBand="0" w:evenHBand="0" w:firstRowFirstColumn="0" w:firstRowLastColumn="0" w:lastRowFirstColumn="0" w:lastRowLastColumn="0"/>
            </w:pPr>
            <w:r>
              <w:t>April</w:t>
            </w:r>
            <w:r w:rsidR="00926B0E">
              <w:t xml:space="preserve"> </w:t>
            </w:r>
            <w:r w:rsidR="00D54BB5">
              <w:t>2020</w:t>
            </w:r>
          </w:p>
        </w:tc>
      </w:tr>
    </w:tbl>
    <w:p w14:paraId="48459FC8" w14:textId="77777777" w:rsidR="00F401EF" w:rsidRPr="00215D48" w:rsidRDefault="00F401EF" w:rsidP="00706634">
      <w:pPr>
        <w:spacing w:before="0" w:after="0" w:line="240" w:lineRule="auto"/>
        <w:rPr>
          <w:sz w:val="20"/>
        </w:rPr>
        <w:sectPr w:rsidR="00F401EF" w:rsidRPr="00215D48" w:rsidSect="00F130CA">
          <w:type w:val="continuous"/>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14:paraId="1C7968B5" w14:textId="77777777" w:rsidTr="00D63C01">
        <w:trPr>
          <w:trHeight w:hRule="exact" w:val="565"/>
          <w:jc w:val="center"/>
        </w:trPr>
        <w:tc>
          <w:tcPr>
            <w:tcW w:w="9145" w:type="dxa"/>
          </w:tcPr>
          <w:p w14:paraId="320F9FFD" w14:textId="77777777" w:rsidR="00C50E5C" w:rsidRPr="00215D48" w:rsidRDefault="00C50E5C" w:rsidP="00D63C01">
            <w:pPr>
              <w:pStyle w:val="TGASignoff"/>
            </w:pPr>
            <w:r w:rsidRPr="00215D48">
              <w:lastRenderedPageBreak/>
              <w:t>Therapeutic Goods Administration</w:t>
            </w:r>
          </w:p>
        </w:tc>
      </w:tr>
      <w:tr w:rsidR="00C50E5C" w:rsidRPr="00215D48" w14:paraId="1AD1368F" w14:textId="77777777" w:rsidTr="00D63C01">
        <w:trPr>
          <w:trHeight w:val="963"/>
          <w:jc w:val="center"/>
        </w:trPr>
        <w:tc>
          <w:tcPr>
            <w:tcW w:w="9145" w:type="dxa"/>
            <w:tcMar>
              <w:top w:w="28" w:type="dxa"/>
            </w:tcMar>
          </w:tcPr>
          <w:p w14:paraId="78B29947" w14:textId="77777777" w:rsidR="00C50E5C" w:rsidRPr="00215D48" w:rsidRDefault="00C50E5C" w:rsidP="00EB5622">
            <w:pPr>
              <w:pStyle w:val="Address"/>
              <w:jc w:val="center"/>
            </w:pPr>
            <w:r w:rsidRPr="00215D48">
              <w:t>PO Box 100 Woden ACT 2606 Australia</w:t>
            </w:r>
          </w:p>
          <w:p w14:paraId="76AF3B77" w14:textId="77777777" w:rsidR="001A3190" w:rsidRDefault="00C50E5C">
            <w:pPr>
              <w:pStyle w:val="Address"/>
              <w:jc w:val="center"/>
              <w:rPr>
                <w:sz w:val="22"/>
                <w:szCs w:val="22"/>
              </w:rPr>
            </w:pPr>
            <w:r w:rsidRPr="00215D48">
              <w:t xml:space="preserve">Email: </w:t>
            </w:r>
            <w:hyperlink r:id="rId19" w:history="1">
              <w:r w:rsidRPr="00215D48">
                <w:rPr>
                  <w:rStyle w:val="Hyperlink"/>
                </w:rPr>
                <w:t>info@tga.gov.au</w:t>
              </w:r>
            </w:hyperlink>
            <w:r w:rsidRPr="00215D48">
              <w:t xml:space="preserve">  Phone: 1800 020 653  Fax: </w:t>
            </w:r>
            <w:r w:rsidR="001A3190" w:rsidRPr="00BA0DFC">
              <w:t>02 6203 1605</w:t>
            </w:r>
          </w:p>
          <w:p w14:paraId="3B893C0B" w14:textId="77777777" w:rsidR="00C50E5C" w:rsidRPr="00215D48" w:rsidRDefault="000E466E">
            <w:pPr>
              <w:pStyle w:val="Address"/>
              <w:jc w:val="center"/>
              <w:rPr>
                <w:rStyle w:val="Hyperlink"/>
                <w:b/>
                <w:color w:val="auto"/>
                <w:sz w:val="22"/>
                <w:u w:val="none"/>
              </w:rPr>
            </w:pPr>
            <w:hyperlink r:id="rId20" w:history="1">
              <w:r w:rsidR="00215D48" w:rsidRPr="00C4721A">
                <w:rPr>
                  <w:rStyle w:val="Hyperlink"/>
                  <w:b/>
                </w:rPr>
                <w:t>https://www.tga.gov.au</w:t>
              </w:r>
            </w:hyperlink>
          </w:p>
        </w:tc>
      </w:tr>
      <w:tr w:rsidR="00C50E5C" w:rsidRPr="00215D48" w14:paraId="55B29CF3" w14:textId="77777777" w:rsidTr="00D63C01">
        <w:trPr>
          <w:trHeight w:val="251"/>
          <w:jc w:val="center"/>
        </w:trPr>
        <w:tc>
          <w:tcPr>
            <w:tcW w:w="9145" w:type="dxa"/>
            <w:tcMar>
              <w:top w:w="28" w:type="dxa"/>
            </w:tcMar>
          </w:tcPr>
          <w:p w14:paraId="6726C724" w14:textId="77777777" w:rsidR="00C50E5C" w:rsidRPr="00215D48" w:rsidRDefault="000E466E" w:rsidP="00EB5622">
            <w:pPr>
              <w:pStyle w:val="Address"/>
              <w:jc w:val="center"/>
            </w:pPr>
            <w:hyperlink r:id="rId21" w:history="1">
              <w:r w:rsidR="008E507F">
                <w:rPr>
                  <w:rStyle w:val="Hyperlink"/>
                </w:rPr>
                <w:t>D20-434925</w:t>
              </w:r>
            </w:hyperlink>
          </w:p>
        </w:tc>
      </w:tr>
    </w:tbl>
    <w:p w14:paraId="403BED32" w14:textId="77777777" w:rsidR="00706634" w:rsidRPr="00215D48" w:rsidRDefault="00706634" w:rsidP="004A3084">
      <w:pPr>
        <w:rPr>
          <w:sz w:val="20"/>
        </w:rPr>
      </w:pPr>
    </w:p>
    <w:sectPr w:rsidR="00706634" w:rsidRPr="00215D48" w:rsidSect="0029069E">
      <w:headerReference w:type="first" r:id="rId22"/>
      <w:footerReference w:type="first" r:id="rId23"/>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02964" w14:textId="77777777" w:rsidR="008A0CA6" w:rsidRDefault="008A0CA6" w:rsidP="00C40A36">
      <w:pPr>
        <w:spacing w:after="0"/>
      </w:pPr>
      <w:r>
        <w:separator/>
      </w:r>
    </w:p>
  </w:endnote>
  <w:endnote w:type="continuationSeparator" w:id="0">
    <w:p w14:paraId="74A3EAAD" w14:textId="77777777" w:rsidR="008A0CA6" w:rsidRDefault="008A0CA6" w:rsidP="00C40A36">
      <w:pPr>
        <w:spacing w:after="0"/>
      </w:pPr>
      <w:r>
        <w:continuationSeparator/>
      </w:r>
    </w:p>
  </w:endnote>
  <w:endnote w:id="1">
    <w:p w14:paraId="419DA079" w14:textId="77777777" w:rsidR="008A0CA6" w:rsidRPr="0053381E" w:rsidRDefault="008A0CA6" w:rsidP="00F130CA">
      <w:pPr>
        <w:pStyle w:val="EndnoteText"/>
        <w:spacing w:before="120" w:after="120"/>
        <w:rPr>
          <w:sz w:val="22"/>
        </w:rPr>
      </w:pPr>
      <w:r w:rsidRPr="00F130CA">
        <w:rPr>
          <w:rStyle w:val="EndnoteReference"/>
          <w:sz w:val="22"/>
        </w:rPr>
        <w:endnoteRef/>
      </w:r>
      <w:r w:rsidRPr="00F130CA">
        <w:rPr>
          <w:sz w:val="22"/>
        </w:rPr>
        <w:t xml:space="preserve"> </w:t>
      </w:r>
      <w:r w:rsidRPr="0053381E">
        <w:rPr>
          <w:sz w:val="22"/>
        </w:rPr>
        <w:t>Naftali, T., Mechulam, R., Marii, A., Gabay, G., Stein, A., Bronshtain, M., Laish, I., Benjaminov, F. and Konikoff, F.M., 2017. Low-dose cannabidiol is safe but not effective in the treatment for Crohn’s disease, a randomized controlled trial. Digestive diseases and sciences, 62(6), pp.1615-1620.</w:t>
      </w:r>
    </w:p>
  </w:endnote>
  <w:endnote w:id="2">
    <w:p w14:paraId="572223D0" w14:textId="77777777" w:rsidR="008A0CA6" w:rsidRPr="0053381E" w:rsidRDefault="008A0CA6" w:rsidP="00F130CA">
      <w:pPr>
        <w:pStyle w:val="EndnoteText"/>
        <w:spacing w:before="120" w:after="120"/>
        <w:rPr>
          <w:sz w:val="22"/>
        </w:rPr>
      </w:pPr>
      <w:r w:rsidRPr="0053381E">
        <w:rPr>
          <w:rStyle w:val="EndnoteReference"/>
          <w:sz w:val="22"/>
        </w:rPr>
        <w:endnoteRef/>
      </w:r>
      <w:r w:rsidRPr="0053381E">
        <w:rPr>
          <w:sz w:val="22"/>
        </w:rPr>
        <w:t xml:space="preserve"> Zuardi, A.W., 2008. Cannabidiol: from an inactive cannabinoid to a drug with wide spectrum of action. </w:t>
      </w:r>
      <w:r w:rsidRPr="0053381E">
        <w:rPr>
          <w:i/>
          <w:iCs/>
          <w:sz w:val="22"/>
        </w:rPr>
        <w:t>Brazilian Journal of Psychiatry</w:t>
      </w:r>
      <w:r w:rsidRPr="0053381E">
        <w:rPr>
          <w:sz w:val="22"/>
        </w:rPr>
        <w:t xml:space="preserve">, </w:t>
      </w:r>
      <w:r w:rsidRPr="0053381E">
        <w:rPr>
          <w:i/>
          <w:iCs/>
          <w:sz w:val="22"/>
        </w:rPr>
        <w:t>30</w:t>
      </w:r>
      <w:r w:rsidRPr="0053381E">
        <w:rPr>
          <w:sz w:val="22"/>
        </w:rPr>
        <w:t>(3), pp.271-280.</w:t>
      </w:r>
    </w:p>
  </w:endnote>
  <w:endnote w:id="3">
    <w:p w14:paraId="53C4C4F1" w14:textId="424A5BF9" w:rsidR="008A0CA6" w:rsidRPr="0053381E" w:rsidRDefault="008A0CA6" w:rsidP="00F130CA">
      <w:pPr>
        <w:pStyle w:val="EndnoteText"/>
        <w:spacing w:before="120" w:after="120"/>
        <w:rPr>
          <w:sz w:val="22"/>
        </w:rPr>
      </w:pPr>
      <w:r w:rsidRPr="0053381E">
        <w:rPr>
          <w:rStyle w:val="EndnoteReference"/>
          <w:sz w:val="22"/>
        </w:rPr>
        <w:endnoteRef/>
      </w:r>
      <w:r w:rsidRPr="0053381E">
        <w:rPr>
          <w:sz w:val="22"/>
        </w:rPr>
        <w:t xml:space="preserve"> Landschaft Y, Albo B, Mechoulam R, Afek A, Medical grade cannabis, clinical guide, IMP_GCP_Israeli medical cannabis good clinical practic</w:t>
      </w:r>
      <w:r w:rsidR="0053381E">
        <w:rPr>
          <w:sz w:val="22"/>
        </w:rPr>
        <w:t>es, Ministry of Health, Israel.</w:t>
      </w:r>
    </w:p>
  </w:endnote>
  <w:endnote w:id="4">
    <w:p w14:paraId="3EC43E59" w14:textId="77777777" w:rsidR="008A0CA6" w:rsidRPr="0053381E" w:rsidRDefault="008A0CA6" w:rsidP="00F130CA">
      <w:pPr>
        <w:pStyle w:val="EndnoteText"/>
        <w:spacing w:before="120" w:after="120"/>
        <w:rPr>
          <w:sz w:val="22"/>
        </w:rPr>
      </w:pPr>
      <w:r w:rsidRPr="0053381E">
        <w:rPr>
          <w:rStyle w:val="EndnoteReference"/>
          <w:sz w:val="22"/>
        </w:rPr>
        <w:endnoteRef/>
      </w:r>
      <w:r w:rsidRPr="0053381E">
        <w:rPr>
          <w:sz w:val="22"/>
        </w:rPr>
        <w:t xml:space="preserve"> Walpole, S.C., Prieto-Merino, D., Edwards, P., Cleland, J., Stevens, G. and Roberts, I., 2012. The weight of nations: an estimation of adult human biomass. </w:t>
      </w:r>
      <w:r w:rsidRPr="0053381E">
        <w:rPr>
          <w:i/>
          <w:iCs/>
          <w:sz w:val="22"/>
        </w:rPr>
        <w:t>BMC public health</w:t>
      </w:r>
      <w:r w:rsidRPr="0053381E">
        <w:rPr>
          <w:sz w:val="22"/>
        </w:rPr>
        <w:t xml:space="preserve">, </w:t>
      </w:r>
      <w:r w:rsidRPr="0053381E">
        <w:rPr>
          <w:i/>
          <w:iCs/>
          <w:sz w:val="22"/>
        </w:rPr>
        <w:t>12</w:t>
      </w:r>
      <w:r w:rsidRPr="0053381E">
        <w:rPr>
          <w:sz w:val="22"/>
        </w:rPr>
        <w:t>(1), p.439.</w:t>
      </w:r>
    </w:p>
  </w:endnote>
  <w:endnote w:id="5">
    <w:p w14:paraId="0998AC49" w14:textId="77777777" w:rsidR="008A0CA6" w:rsidRPr="0053381E" w:rsidRDefault="008A0CA6" w:rsidP="00F130CA">
      <w:pPr>
        <w:pStyle w:val="EndnoteText"/>
        <w:spacing w:before="120" w:after="120"/>
        <w:rPr>
          <w:sz w:val="22"/>
        </w:rPr>
      </w:pPr>
      <w:r w:rsidRPr="0053381E">
        <w:rPr>
          <w:rStyle w:val="EndnoteReference"/>
          <w:sz w:val="22"/>
        </w:rPr>
        <w:endnoteRef/>
      </w:r>
      <w:r w:rsidRPr="0053381E">
        <w:rPr>
          <w:sz w:val="22"/>
        </w:rPr>
        <w:t xml:space="preserve"> Millar, S.A., Stone, N.L., Bellman, Z.D., Yates, A.S., England, T.J. and O'Sullivan, S.E., 2019. A systematic review of cannabidiol dosing in clinical populations. </w:t>
      </w:r>
      <w:r w:rsidRPr="0053381E">
        <w:rPr>
          <w:i/>
          <w:iCs/>
          <w:sz w:val="22"/>
        </w:rPr>
        <w:t>British journal of clinical pharmacology</w:t>
      </w:r>
      <w:r w:rsidRPr="0053381E">
        <w:rPr>
          <w:sz w:val="22"/>
        </w:rPr>
        <w:t xml:space="preserve">, </w:t>
      </w:r>
      <w:r w:rsidRPr="0053381E">
        <w:rPr>
          <w:i/>
          <w:iCs/>
          <w:sz w:val="22"/>
        </w:rPr>
        <w:t>85</w:t>
      </w:r>
      <w:r w:rsidRPr="0053381E">
        <w:rPr>
          <w:sz w:val="22"/>
        </w:rPr>
        <w:t>(9), pp.1888-1900.</w:t>
      </w:r>
    </w:p>
  </w:endnote>
  <w:endnote w:id="6">
    <w:p w14:paraId="411618BA" w14:textId="77777777" w:rsidR="008A0CA6" w:rsidRPr="0053381E" w:rsidRDefault="008A0CA6" w:rsidP="00F130CA">
      <w:pPr>
        <w:pStyle w:val="EndnoteText"/>
        <w:spacing w:before="120" w:after="120"/>
        <w:rPr>
          <w:sz w:val="22"/>
        </w:rPr>
      </w:pPr>
      <w:r w:rsidRPr="0053381E">
        <w:rPr>
          <w:rStyle w:val="EndnoteReference"/>
          <w:sz w:val="22"/>
        </w:rPr>
        <w:endnoteRef/>
      </w:r>
      <w:r w:rsidRPr="0053381E">
        <w:rPr>
          <w:sz w:val="22"/>
        </w:rPr>
        <w:t xml:space="preserve"> Shannon, S. and Opila-Lehman, J., 2016. Effectiveness of cannabidiol oil for pediatric anxiety and insomnia as part of posttraumatic stress disorder: a case report. The Permanente Journal, 20(4).</w:t>
      </w:r>
    </w:p>
  </w:endnote>
  <w:endnote w:id="7">
    <w:p w14:paraId="07BF77DB" w14:textId="77777777" w:rsidR="008A0CA6" w:rsidRPr="0053381E" w:rsidRDefault="008A0CA6" w:rsidP="00F130CA">
      <w:pPr>
        <w:pStyle w:val="EndnoteText"/>
        <w:spacing w:before="120" w:after="120"/>
        <w:rPr>
          <w:sz w:val="22"/>
        </w:rPr>
      </w:pPr>
      <w:r w:rsidRPr="0053381E">
        <w:rPr>
          <w:rStyle w:val="EndnoteReference"/>
          <w:sz w:val="22"/>
        </w:rPr>
        <w:endnoteRef/>
      </w:r>
      <w:r w:rsidRPr="0053381E">
        <w:rPr>
          <w:sz w:val="22"/>
        </w:rPr>
        <w:t xml:space="preserve"> Shannon, S., Lewis, N., Lee, H. and Hughes, S., 2019. Cannabidiol in anxiety and sleep: a large case series. The Permanente Journal, 23</w:t>
      </w:r>
    </w:p>
  </w:endnote>
  <w:endnote w:id="8">
    <w:p w14:paraId="5765CFB1" w14:textId="77777777" w:rsidR="008A0CA6" w:rsidRPr="0053381E" w:rsidRDefault="008A0CA6" w:rsidP="00F130CA">
      <w:pPr>
        <w:pStyle w:val="EndnoteText"/>
        <w:spacing w:before="120" w:after="120"/>
        <w:rPr>
          <w:sz w:val="22"/>
        </w:rPr>
      </w:pPr>
      <w:r w:rsidRPr="0053381E">
        <w:rPr>
          <w:rStyle w:val="EndnoteReference"/>
          <w:sz w:val="22"/>
        </w:rPr>
        <w:endnoteRef/>
      </w:r>
      <w:r w:rsidRPr="0053381E">
        <w:rPr>
          <w:sz w:val="22"/>
        </w:rPr>
        <w:t xml:space="preserve"> Notcutt, W., Price, M., Miller, R., Newport, S., Phillips, C., Simmons, S. and Sansom, C., 2004. Initial experiences with medicinal extracts of cannabis for chronic pain: results from 34 ‘N of 1’studies. Anaesthesia, 59(5), pp.440-452.</w:t>
      </w:r>
    </w:p>
  </w:endnote>
  <w:endnote w:id="9">
    <w:p w14:paraId="77DDAFE9" w14:textId="77777777" w:rsidR="008A0CA6" w:rsidRPr="0053381E" w:rsidRDefault="008A0CA6" w:rsidP="00F130CA">
      <w:pPr>
        <w:pStyle w:val="EndnoteText"/>
        <w:spacing w:before="120" w:after="120"/>
        <w:rPr>
          <w:sz w:val="22"/>
        </w:rPr>
      </w:pPr>
      <w:r w:rsidRPr="0053381E">
        <w:rPr>
          <w:rStyle w:val="EndnoteReference"/>
          <w:sz w:val="22"/>
        </w:rPr>
        <w:endnoteRef/>
      </w:r>
      <w:r w:rsidRPr="0053381E">
        <w:rPr>
          <w:sz w:val="22"/>
        </w:rPr>
        <w:t xml:space="preserve"> Cocchiara, E., Spinella, A., Magnani, L., Lumetti, F., Palermo, A., Baiocchi, G., Salvarani, C. and Giuggioli, D., 2019. AB0645 CANNABINOIDS IN THE TREATMENT OF PAIN RELATED TO SYSTEMIC SCLEROSIS SKIN ULCERS: OUR EXPERIENCE.</w:t>
      </w:r>
    </w:p>
  </w:endnote>
  <w:endnote w:id="10">
    <w:p w14:paraId="0EB26C18" w14:textId="77777777" w:rsidR="008A0CA6" w:rsidRPr="0053381E" w:rsidRDefault="008A0CA6" w:rsidP="00F130CA">
      <w:pPr>
        <w:pStyle w:val="EndnoteText"/>
        <w:spacing w:before="120" w:after="120"/>
        <w:rPr>
          <w:sz w:val="22"/>
        </w:rPr>
      </w:pPr>
      <w:r w:rsidRPr="0053381E">
        <w:rPr>
          <w:rStyle w:val="EndnoteReference"/>
          <w:sz w:val="22"/>
        </w:rPr>
        <w:endnoteRef/>
      </w:r>
      <w:r w:rsidRPr="0053381E">
        <w:rPr>
          <w:sz w:val="22"/>
        </w:rPr>
        <w:t xml:space="preserve"> Zhornitsky, S. and Potvin, S., 2012. Cannabidiol in humans—the quest for therapeutic targets. </w:t>
      </w:r>
      <w:r w:rsidRPr="0053381E">
        <w:rPr>
          <w:i/>
          <w:iCs/>
          <w:sz w:val="22"/>
        </w:rPr>
        <w:t>Pharmaceuticals</w:t>
      </w:r>
      <w:r w:rsidRPr="0053381E">
        <w:rPr>
          <w:sz w:val="22"/>
        </w:rPr>
        <w:t xml:space="preserve">, </w:t>
      </w:r>
      <w:r w:rsidRPr="0053381E">
        <w:rPr>
          <w:i/>
          <w:iCs/>
          <w:sz w:val="22"/>
        </w:rPr>
        <w:t>5</w:t>
      </w:r>
      <w:r w:rsidRPr="0053381E">
        <w:rPr>
          <w:sz w:val="22"/>
        </w:rPr>
        <w:t>(5), pp.529-552.</w:t>
      </w:r>
    </w:p>
  </w:endnote>
  <w:endnote w:id="11">
    <w:p w14:paraId="6DE97E4D" w14:textId="77777777" w:rsidR="008A0CA6" w:rsidRPr="0053381E" w:rsidRDefault="008A0CA6" w:rsidP="00F130CA">
      <w:pPr>
        <w:pStyle w:val="EndnoteText"/>
        <w:spacing w:before="120" w:after="120"/>
        <w:rPr>
          <w:sz w:val="22"/>
        </w:rPr>
      </w:pPr>
      <w:r w:rsidRPr="0053381E">
        <w:rPr>
          <w:rStyle w:val="EndnoteReference"/>
          <w:sz w:val="22"/>
        </w:rPr>
        <w:endnoteRef/>
      </w:r>
      <w:r w:rsidRPr="0053381E">
        <w:rPr>
          <w:sz w:val="22"/>
        </w:rPr>
        <w:t xml:space="preserve"> Iffland, K. and Grotenhermen, F., 2017. An update on safety and side effects of cannabidiol: a review of clinical data and relevant animal studies. </w:t>
      </w:r>
      <w:r w:rsidRPr="0053381E">
        <w:rPr>
          <w:i/>
          <w:iCs/>
          <w:sz w:val="22"/>
        </w:rPr>
        <w:t>Cannabis and cannabinoid research</w:t>
      </w:r>
      <w:r w:rsidRPr="0053381E">
        <w:rPr>
          <w:sz w:val="22"/>
        </w:rPr>
        <w:t xml:space="preserve">, </w:t>
      </w:r>
      <w:r w:rsidRPr="0053381E">
        <w:rPr>
          <w:i/>
          <w:iCs/>
          <w:sz w:val="22"/>
        </w:rPr>
        <w:t>2</w:t>
      </w:r>
      <w:r w:rsidRPr="0053381E">
        <w:rPr>
          <w:sz w:val="22"/>
        </w:rPr>
        <w:t>(1), pp.139-154.</w:t>
      </w:r>
    </w:p>
  </w:endnote>
  <w:endnote w:id="12">
    <w:p w14:paraId="319F48E8" w14:textId="77777777" w:rsidR="008A0CA6" w:rsidRPr="0053381E" w:rsidRDefault="008A0CA6" w:rsidP="00F130CA">
      <w:pPr>
        <w:pStyle w:val="EndnoteText"/>
        <w:spacing w:before="120" w:after="120"/>
        <w:rPr>
          <w:sz w:val="22"/>
        </w:rPr>
      </w:pPr>
      <w:r w:rsidRPr="0053381E">
        <w:rPr>
          <w:rStyle w:val="EndnoteReference"/>
          <w:sz w:val="22"/>
        </w:rPr>
        <w:endnoteRef/>
      </w:r>
      <w:r w:rsidRPr="0053381E">
        <w:rPr>
          <w:sz w:val="22"/>
        </w:rPr>
        <w:t xml:space="preserve"> Machado Bergamaschi, M., Helena Costa Queiroz, R., Waldo Zuardi, A. and Crippa, A.S., 2011. Safety and side effects of cannabidiol, a Cannabis sativa constituent. </w:t>
      </w:r>
      <w:r w:rsidRPr="0053381E">
        <w:rPr>
          <w:i/>
          <w:iCs/>
          <w:sz w:val="22"/>
        </w:rPr>
        <w:t>Current drug safety</w:t>
      </w:r>
      <w:r w:rsidRPr="0053381E">
        <w:rPr>
          <w:sz w:val="22"/>
        </w:rPr>
        <w:t xml:space="preserve">, </w:t>
      </w:r>
      <w:r w:rsidRPr="0053381E">
        <w:rPr>
          <w:i/>
          <w:iCs/>
          <w:sz w:val="22"/>
        </w:rPr>
        <w:t>6</w:t>
      </w:r>
      <w:r w:rsidRPr="0053381E">
        <w:rPr>
          <w:sz w:val="22"/>
        </w:rPr>
        <w:t>(4), pp.237-249.</w:t>
      </w:r>
    </w:p>
  </w:endnote>
  <w:endnote w:id="13">
    <w:p w14:paraId="46BCCCB7" w14:textId="77777777" w:rsidR="008A0CA6" w:rsidRPr="0053381E" w:rsidRDefault="008A0CA6" w:rsidP="00F130CA">
      <w:pPr>
        <w:pStyle w:val="EndnoteText"/>
        <w:spacing w:before="120" w:after="120"/>
        <w:rPr>
          <w:sz w:val="22"/>
        </w:rPr>
      </w:pPr>
      <w:r w:rsidRPr="0053381E">
        <w:rPr>
          <w:rStyle w:val="EndnoteReference"/>
          <w:sz w:val="22"/>
        </w:rPr>
        <w:endnoteRef/>
      </w:r>
      <w:r w:rsidRPr="0053381E">
        <w:rPr>
          <w:sz w:val="22"/>
        </w:rPr>
        <w:t xml:space="preserve"> Brown, J.D. and Winterstein, A.G., 2019. Potential adverse drug events and drug–drug interactions with medical and consumer Cannabidiol (CBD) use. </w:t>
      </w:r>
      <w:r w:rsidRPr="0053381E">
        <w:rPr>
          <w:i/>
          <w:iCs/>
          <w:sz w:val="22"/>
        </w:rPr>
        <w:t>Journal of clinical medicine</w:t>
      </w:r>
      <w:r w:rsidRPr="0053381E">
        <w:rPr>
          <w:sz w:val="22"/>
        </w:rPr>
        <w:t xml:space="preserve">, </w:t>
      </w:r>
      <w:r w:rsidRPr="0053381E">
        <w:rPr>
          <w:i/>
          <w:iCs/>
          <w:sz w:val="22"/>
        </w:rPr>
        <w:t>8</w:t>
      </w:r>
      <w:r w:rsidRPr="0053381E">
        <w:rPr>
          <w:sz w:val="22"/>
        </w:rPr>
        <w:t>(7), p.989.</w:t>
      </w:r>
    </w:p>
  </w:endnote>
  <w:endnote w:id="14">
    <w:p w14:paraId="5406598D" w14:textId="77777777" w:rsidR="008A0CA6" w:rsidRPr="0053381E" w:rsidRDefault="008A0CA6" w:rsidP="00F130CA">
      <w:pPr>
        <w:pStyle w:val="EndnoteText"/>
        <w:spacing w:before="120" w:after="120"/>
        <w:rPr>
          <w:sz w:val="22"/>
        </w:rPr>
      </w:pPr>
      <w:r w:rsidRPr="0053381E">
        <w:rPr>
          <w:rStyle w:val="EndnoteReference"/>
          <w:sz w:val="22"/>
        </w:rPr>
        <w:endnoteRef/>
      </w:r>
      <w:r w:rsidRPr="0053381E">
        <w:rPr>
          <w:sz w:val="22"/>
        </w:rPr>
        <w:t xml:space="preserve"> Huestis, M.A., Solimini, R., Pichini, S., Pacifici, R., Carlier, J. and Busardò, F.P., 2019. Cannabidiol adverse effects and toxicity. Current neuropharmacology, 17(10), pp.974-989.</w:t>
      </w:r>
    </w:p>
  </w:endnote>
  <w:endnote w:id="15">
    <w:p w14:paraId="12A66498" w14:textId="77777777" w:rsidR="008A0CA6" w:rsidRPr="0053381E" w:rsidRDefault="008A0CA6" w:rsidP="00F130CA">
      <w:pPr>
        <w:pStyle w:val="EndnoteText"/>
        <w:spacing w:before="120" w:after="120"/>
        <w:rPr>
          <w:sz w:val="22"/>
        </w:rPr>
      </w:pPr>
      <w:r w:rsidRPr="0053381E">
        <w:rPr>
          <w:rStyle w:val="EndnoteReference"/>
          <w:sz w:val="22"/>
        </w:rPr>
        <w:endnoteRef/>
      </w:r>
      <w:r w:rsidRPr="0053381E">
        <w:rPr>
          <w:sz w:val="22"/>
        </w:rPr>
        <w:t xml:space="preserve"> Atsmon, J., Heffetz, D., Deutsch, L., Deutsch, F. and Sacks, H., 2018. Single‐Dose Pharmacokinetics of Oral Cannabidiol Following Administration of PTL101: A New Formulation Based on Gelatin Matrix Pellets Technology. Clinical pharmacology in drug development, 7(7), pp.751-758.</w:t>
      </w:r>
    </w:p>
  </w:endnote>
  <w:endnote w:id="16">
    <w:p w14:paraId="146DE40D" w14:textId="77777777" w:rsidR="008A0CA6" w:rsidRPr="0053381E" w:rsidRDefault="008A0CA6" w:rsidP="0053381E">
      <w:pPr>
        <w:pStyle w:val="EndnoteText"/>
        <w:keepLines w:val="0"/>
        <w:spacing w:before="120" w:after="120"/>
        <w:rPr>
          <w:sz w:val="22"/>
        </w:rPr>
      </w:pPr>
      <w:r w:rsidRPr="00F130CA">
        <w:rPr>
          <w:rStyle w:val="EndnoteReference"/>
          <w:sz w:val="22"/>
        </w:rPr>
        <w:endnoteRef/>
      </w:r>
      <w:r w:rsidRPr="00F130CA">
        <w:rPr>
          <w:sz w:val="22"/>
        </w:rPr>
        <w:t xml:space="preserve"> </w:t>
      </w:r>
      <w:r w:rsidRPr="0053381E">
        <w:rPr>
          <w:sz w:val="22"/>
        </w:rPr>
        <w:t xml:space="preserve">Fasinu, P.S., Phillips, S., ElSohly, M.A. and Walker, L.A., 2016. Current status and prospects for cannabidiol preparations as new therapeutic agents. </w:t>
      </w:r>
      <w:r w:rsidRPr="0053381E">
        <w:rPr>
          <w:i/>
          <w:iCs/>
          <w:sz w:val="22"/>
        </w:rPr>
        <w:t>Pharmacotherapy: The Journal of Human Pharmacology and Drug Therapy</w:t>
      </w:r>
      <w:r w:rsidRPr="0053381E">
        <w:rPr>
          <w:sz w:val="22"/>
        </w:rPr>
        <w:t xml:space="preserve">, </w:t>
      </w:r>
      <w:r w:rsidRPr="0053381E">
        <w:rPr>
          <w:i/>
          <w:iCs/>
          <w:sz w:val="22"/>
        </w:rPr>
        <w:t>36</w:t>
      </w:r>
      <w:r w:rsidRPr="0053381E">
        <w:rPr>
          <w:sz w:val="22"/>
        </w:rPr>
        <w:t>(7), pp.781-796.</w:t>
      </w:r>
    </w:p>
  </w:endnote>
  <w:endnote w:id="17">
    <w:p w14:paraId="56D28F7A" w14:textId="77777777" w:rsidR="008A0CA6" w:rsidRPr="0053381E" w:rsidRDefault="008A0CA6" w:rsidP="0053381E">
      <w:pPr>
        <w:pStyle w:val="EndnoteText"/>
        <w:keepLines w:val="0"/>
        <w:spacing w:before="120" w:after="120"/>
        <w:rPr>
          <w:sz w:val="22"/>
        </w:rPr>
      </w:pPr>
      <w:r w:rsidRPr="0053381E">
        <w:rPr>
          <w:rStyle w:val="EndnoteReference"/>
          <w:sz w:val="22"/>
        </w:rPr>
        <w:endnoteRef/>
      </w:r>
      <w:r w:rsidRPr="0053381E">
        <w:rPr>
          <w:sz w:val="22"/>
        </w:rPr>
        <w:t xml:space="preserve"> Gaston, T.E., Bebin, E.M., Cutter, G.R., Liu, Y., Szaflarski, J.P. and UAB CBD Program, 2017. Interactions between cannabidiol and commonly used antiepileptic drugs. </w:t>
      </w:r>
      <w:r w:rsidRPr="0053381E">
        <w:rPr>
          <w:i/>
          <w:iCs/>
          <w:sz w:val="22"/>
        </w:rPr>
        <w:t>Epilepsia</w:t>
      </w:r>
      <w:r w:rsidRPr="0053381E">
        <w:rPr>
          <w:sz w:val="22"/>
        </w:rPr>
        <w:t xml:space="preserve">, </w:t>
      </w:r>
      <w:r w:rsidRPr="0053381E">
        <w:rPr>
          <w:i/>
          <w:iCs/>
          <w:sz w:val="22"/>
        </w:rPr>
        <w:t>58</w:t>
      </w:r>
      <w:r w:rsidRPr="0053381E">
        <w:rPr>
          <w:sz w:val="22"/>
        </w:rPr>
        <w:t>(9), pp.1586-1592.</w:t>
      </w:r>
    </w:p>
  </w:endnote>
  <w:endnote w:id="18">
    <w:p w14:paraId="66D72378" w14:textId="77777777" w:rsidR="008A0CA6" w:rsidRPr="0053381E" w:rsidRDefault="008A0CA6" w:rsidP="0053381E">
      <w:pPr>
        <w:pStyle w:val="EndnoteText"/>
        <w:keepLines w:val="0"/>
        <w:spacing w:before="120" w:after="120"/>
        <w:rPr>
          <w:sz w:val="22"/>
        </w:rPr>
      </w:pPr>
      <w:r w:rsidRPr="0053381E">
        <w:rPr>
          <w:rStyle w:val="EndnoteReference"/>
          <w:sz w:val="22"/>
        </w:rPr>
        <w:endnoteRef/>
      </w:r>
      <w:r w:rsidRPr="0053381E">
        <w:rPr>
          <w:sz w:val="22"/>
        </w:rPr>
        <w:t xml:space="preserve"> Morales, P., Reggio, P.H. and Jagerovic, N., 2017. An overview on medicinal chemistry of synthetic and natural derivatives of cannabidiol. </w:t>
      </w:r>
      <w:r w:rsidRPr="0053381E">
        <w:rPr>
          <w:i/>
          <w:iCs/>
          <w:sz w:val="22"/>
        </w:rPr>
        <w:t>Frontiers in pharmacology</w:t>
      </w:r>
      <w:r w:rsidRPr="0053381E">
        <w:rPr>
          <w:sz w:val="22"/>
        </w:rPr>
        <w:t xml:space="preserve">, </w:t>
      </w:r>
      <w:r w:rsidRPr="0053381E">
        <w:rPr>
          <w:i/>
          <w:iCs/>
          <w:sz w:val="22"/>
        </w:rPr>
        <w:t>8</w:t>
      </w:r>
      <w:r w:rsidRPr="0053381E">
        <w:rPr>
          <w:sz w:val="22"/>
        </w:rPr>
        <w:t>, p.422.</w:t>
      </w:r>
    </w:p>
  </w:endnote>
  <w:endnote w:id="19">
    <w:p w14:paraId="66789EDD" w14:textId="4223F7DD" w:rsidR="008A0CA6" w:rsidRPr="0053381E" w:rsidRDefault="008A0CA6" w:rsidP="0053381E">
      <w:pPr>
        <w:pStyle w:val="EndnoteText"/>
        <w:keepLines w:val="0"/>
        <w:spacing w:before="120" w:after="120"/>
        <w:rPr>
          <w:sz w:val="22"/>
        </w:rPr>
      </w:pPr>
      <w:r w:rsidRPr="0053381E">
        <w:rPr>
          <w:rStyle w:val="EndnoteReference"/>
          <w:sz w:val="22"/>
        </w:rPr>
        <w:endnoteRef/>
      </w:r>
      <w:r w:rsidRPr="0053381E">
        <w:rPr>
          <w:sz w:val="22"/>
        </w:rPr>
        <w:t xml:space="preserve"> Russo, E.B., 2019. The case for the entourage effect and conventional breeding of clinical cannabis: no “strain,” no gain. </w:t>
      </w:r>
      <w:r w:rsidRPr="0053381E">
        <w:rPr>
          <w:i/>
          <w:iCs/>
          <w:sz w:val="22"/>
        </w:rPr>
        <w:t>Frontiers in plant science</w:t>
      </w:r>
      <w:r w:rsidRPr="0053381E">
        <w:rPr>
          <w:sz w:val="22"/>
        </w:rPr>
        <w:t xml:space="preserve">, </w:t>
      </w:r>
      <w:r w:rsidRPr="0053381E">
        <w:rPr>
          <w:i/>
          <w:iCs/>
          <w:sz w:val="22"/>
        </w:rPr>
        <w:t>9</w:t>
      </w:r>
      <w:r w:rsidRPr="0053381E">
        <w:rPr>
          <w:sz w:val="22"/>
        </w:rPr>
        <w:t>, p.1969.</w:t>
      </w:r>
    </w:p>
    <w:p w14:paraId="78E8A3E9" w14:textId="36EC8E53" w:rsidR="008A0CA6" w:rsidRPr="0053381E" w:rsidRDefault="008A0CA6" w:rsidP="0053381E">
      <w:pPr>
        <w:pStyle w:val="EndnoteText"/>
        <w:keepLines w:val="0"/>
        <w:spacing w:before="120" w:after="120"/>
        <w:rPr>
          <w:sz w:val="22"/>
        </w:rPr>
      </w:pPr>
      <w:r w:rsidRPr="0053381E">
        <w:rPr>
          <w:sz w:val="22"/>
          <w:vertAlign w:val="superscript"/>
        </w:rPr>
        <w:t xml:space="preserve">20 </w:t>
      </w:r>
      <w:r w:rsidRPr="0053381E">
        <w:rPr>
          <w:sz w:val="22"/>
        </w:rPr>
        <w:t>Mannucci, C et al, 2017.</w:t>
      </w:r>
      <w:r w:rsidRPr="0053381E">
        <w:rPr>
          <w:sz w:val="22"/>
          <w:vertAlign w:val="superscript"/>
        </w:rPr>
        <w:t xml:space="preserve"> </w:t>
      </w:r>
      <w:r w:rsidRPr="0053381E">
        <w:rPr>
          <w:sz w:val="22"/>
        </w:rPr>
        <w:t xml:space="preserve">Neurological Aspects of Medical Use of Cannabidiol. </w:t>
      </w:r>
      <w:r w:rsidRPr="0053381E">
        <w:rPr>
          <w:i/>
          <w:sz w:val="22"/>
        </w:rPr>
        <w:t>CNS Neurol Disord Drug Targets</w:t>
      </w:r>
      <w:r w:rsidRPr="0053381E">
        <w:rPr>
          <w:sz w:val="22"/>
        </w:rPr>
        <w:t xml:space="preserve">. 2017: 16(5):541-553.  </w:t>
      </w:r>
    </w:p>
    <w:p w14:paraId="437C3BAD" w14:textId="7E84BCB3" w:rsidR="008A0CA6" w:rsidRPr="0053381E" w:rsidRDefault="008A0CA6" w:rsidP="0053381E">
      <w:pPr>
        <w:pStyle w:val="EndnoteText"/>
        <w:keepLines w:val="0"/>
        <w:spacing w:before="120" w:after="120"/>
        <w:rPr>
          <w:sz w:val="22"/>
        </w:rPr>
      </w:pPr>
      <w:r w:rsidRPr="0053381E">
        <w:rPr>
          <w:sz w:val="22"/>
          <w:vertAlign w:val="superscript"/>
        </w:rPr>
        <w:t xml:space="preserve">21 </w:t>
      </w:r>
      <w:r w:rsidRPr="0053381E">
        <w:rPr>
          <w:sz w:val="22"/>
        </w:rPr>
        <w:t xml:space="preserve">McGuire, P et al, 2018. Cannabidiol (CBD) as an Adjunctive Therapy in Schizophrenia: A Multicenter Randomized Controlled Trial. </w:t>
      </w:r>
      <w:r w:rsidRPr="0053381E">
        <w:rPr>
          <w:i/>
          <w:sz w:val="22"/>
        </w:rPr>
        <w:t>Am J Psychiatry</w:t>
      </w:r>
      <w:r w:rsidRPr="0053381E">
        <w:rPr>
          <w:sz w:val="22"/>
        </w:rPr>
        <w:t xml:space="preserve"> 175:3, p225-231.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8A0CA6" w:rsidRPr="00257138" w14:paraId="18192E45" w14:textId="77777777" w:rsidTr="000B30E5">
      <w:trPr>
        <w:trHeight w:val="423"/>
      </w:trPr>
      <w:tc>
        <w:tcPr>
          <w:tcW w:w="4360" w:type="dxa"/>
          <w:tcBorders>
            <w:top w:val="single" w:sz="4" w:space="0" w:color="auto"/>
          </w:tcBorders>
        </w:tcPr>
        <w:p w14:paraId="4FC8D909" w14:textId="77777777" w:rsidR="008A0CA6" w:rsidRDefault="008A0CA6" w:rsidP="000B30E5">
          <w:pPr>
            <w:pStyle w:val="Footer"/>
          </w:pPr>
        </w:p>
        <w:p w14:paraId="673B05EF" w14:textId="77777777" w:rsidR="008A0CA6" w:rsidRPr="00257138" w:rsidRDefault="008A0CA6"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5E5F8F98" w14:textId="77777777" w:rsidR="008A0CA6" w:rsidRDefault="008A0CA6" w:rsidP="000B30E5">
              <w:pPr>
                <w:pStyle w:val="Footer"/>
                <w:jc w:val="right"/>
              </w:pPr>
            </w:p>
            <w:p w14:paraId="13149808" w14:textId="77777777" w:rsidR="008A0CA6" w:rsidRPr="00257138" w:rsidRDefault="008A0CA6"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0E466E">
                <w:fldChar w:fldCharType="begin"/>
              </w:r>
              <w:r w:rsidR="000E466E">
                <w:instrText xml:space="preserve"> NUMPAGES  </w:instrText>
              </w:r>
              <w:r w:rsidR="000E466E">
                <w:fldChar w:fldCharType="separate"/>
              </w:r>
              <w:r>
                <w:rPr>
                  <w:noProof/>
                </w:rPr>
                <w:t>10</w:t>
              </w:r>
              <w:r w:rsidR="000E466E">
                <w:rPr>
                  <w:noProof/>
                </w:rPr>
                <w:fldChar w:fldCharType="end"/>
              </w:r>
            </w:p>
          </w:sdtContent>
        </w:sdt>
      </w:tc>
    </w:tr>
    <w:tr w:rsidR="008A0CA6" w:rsidRPr="00257138" w14:paraId="4C5FCE80" w14:textId="77777777" w:rsidTr="000B30E5">
      <w:trPr>
        <w:trHeight w:val="263"/>
      </w:trPr>
      <w:tc>
        <w:tcPr>
          <w:tcW w:w="4360" w:type="dxa"/>
        </w:tcPr>
        <w:p w14:paraId="1910CBDC" w14:textId="77777777" w:rsidR="008A0CA6" w:rsidRPr="00257138" w:rsidRDefault="008A0CA6" w:rsidP="000B30E5">
          <w:pPr>
            <w:pStyle w:val="Footer"/>
          </w:pPr>
          <w:r w:rsidRPr="00257138">
            <w:t xml:space="preserve">V1.0 </w:t>
          </w:r>
          <w:r>
            <w:t>Month</w:t>
          </w:r>
          <w:r w:rsidRPr="00257138">
            <w:t xml:space="preserve"> 201</w:t>
          </w:r>
          <w:r>
            <w:t>2</w:t>
          </w:r>
        </w:p>
      </w:tc>
      <w:tc>
        <w:tcPr>
          <w:tcW w:w="4360" w:type="dxa"/>
        </w:tcPr>
        <w:p w14:paraId="346972A4" w14:textId="77777777" w:rsidR="008A0CA6" w:rsidRPr="00257138" w:rsidRDefault="008A0CA6" w:rsidP="000B30E5">
          <w:pPr>
            <w:pStyle w:val="Footer"/>
            <w:jc w:val="right"/>
          </w:pPr>
        </w:p>
      </w:tc>
    </w:tr>
  </w:tbl>
  <w:p w14:paraId="1281E4F0" w14:textId="77777777" w:rsidR="008A0CA6" w:rsidRPr="00826007" w:rsidRDefault="008A0CA6"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D7C56" w14:textId="77777777" w:rsidR="008A0CA6" w:rsidRDefault="008A0CA6"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8A0CA6" w:rsidRPr="004A3084" w14:paraId="6277F8C8" w14:textId="77777777" w:rsidTr="00231E8D">
      <w:trPr>
        <w:trHeight w:val="423"/>
      </w:trPr>
      <w:tc>
        <w:tcPr>
          <w:tcW w:w="7338" w:type="dxa"/>
          <w:tcBorders>
            <w:top w:val="single" w:sz="4" w:space="0" w:color="auto"/>
          </w:tcBorders>
        </w:tcPr>
        <w:p w14:paraId="6B8EFA43" w14:textId="5CB8AF69" w:rsidR="008A0CA6" w:rsidRPr="004A3084" w:rsidRDefault="008A0CA6" w:rsidP="008876E5">
          <w:pPr>
            <w:pStyle w:val="Footer"/>
          </w:pPr>
          <w:r>
            <w:t>Safety of low dose cannabidiol</w:t>
          </w:r>
          <w:r>
            <w:br/>
            <w:t>V1.0 April 2020</w:t>
          </w:r>
        </w:p>
      </w:tc>
      <w:tc>
        <w:tcPr>
          <w:tcW w:w="1382" w:type="dxa"/>
          <w:tcBorders>
            <w:top w:val="single" w:sz="4" w:space="0" w:color="auto"/>
          </w:tcBorders>
        </w:tcPr>
        <w:sdt>
          <w:sdtPr>
            <w:id w:val="11571659"/>
            <w:docPartObj>
              <w:docPartGallery w:val="Page Numbers (Top of Page)"/>
              <w:docPartUnique/>
            </w:docPartObj>
          </w:sdtPr>
          <w:sdtEndPr/>
          <w:sdtContent>
            <w:p w14:paraId="6723C636" w14:textId="0983F132" w:rsidR="008A0CA6" w:rsidRPr="004A3084" w:rsidRDefault="008A0CA6" w:rsidP="00231E8D">
              <w:pPr>
                <w:pStyle w:val="Footer"/>
                <w:jc w:val="right"/>
              </w:pPr>
              <w:r w:rsidRPr="004A3084">
                <w:t xml:space="preserve">Page </w:t>
              </w:r>
              <w:r>
                <w:fldChar w:fldCharType="begin"/>
              </w:r>
              <w:r>
                <w:instrText xml:space="preserve"> PAGE </w:instrText>
              </w:r>
              <w:r>
                <w:fldChar w:fldCharType="separate"/>
              </w:r>
              <w:r w:rsidR="000E466E">
                <w:rPr>
                  <w:noProof/>
                </w:rPr>
                <w:t>4</w:t>
              </w:r>
              <w:r>
                <w:rPr>
                  <w:noProof/>
                </w:rPr>
                <w:fldChar w:fldCharType="end"/>
              </w:r>
              <w:r w:rsidRPr="004A3084">
                <w:t xml:space="preserve"> of </w:t>
              </w:r>
              <w:r w:rsidR="000E466E">
                <w:fldChar w:fldCharType="begin"/>
              </w:r>
              <w:r w:rsidR="000E466E">
                <w:instrText xml:space="preserve"> NUMPAGES  </w:instrText>
              </w:r>
              <w:r w:rsidR="000E466E">
                <w:fldChar w:fldCharType="separate"/>
              </w:r>
              <w:r w:rsidR="000E466E">
                <w:rPr>
                  <w:noProof/>
                </w:rPr>
                <w:t>20</w:t>
              </w:r>
              <w:r w:rsidR="000E466E">
                <w:rPr>
                  <w:noProof/>
                </w:rPr>
                <w:fldChar w:fldCharType="end"/>
              </w:r>
            </w:p>
          </w:sdtContent>
        </w:sdt>
      </w:tc>
    </w:tr>
  </w:tbl>
  <w:p w14:paraId="2F8FF177" w14:textId="77777777" w:rsidR="008A0CA6" w:rsidRPr="00826007" w:rsidRDefault="008A0CA6"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A16C6" w14:textId="77777777" w:rsidR="008A0CA6" w:rsidRPr="008E3C43" w:rsidRDefault="008A0CA6"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ABC94" w14:textId="77777777" w:rsidR="008A0CA6" w:rsidRDefault="008A0CA6" w:rsidP="00C40A36">
      <w:pPr>
        <w:spacing w:after="0"/>
      </w:pPr>
      <w:r>
        <w:separator/>
      </w:r>
    </w:p>
  </w:footnote>
  <w:footnote w:type="continuationSeparator" w:id="0">
    <w:p w14:paraId="6638639B" w14:textId="77777777" w:rsidR="008A0CA6" w:rsidRDefault="008A0CA6" w:rsidP="00C40A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76B92" w14:textId="77777777" w:rsidR="008A0CA6" w:rsidRDefault="000E466E" w:rsidP="00C3408D">
    <w:pPr>
      <w:pStyle w:val="Header"/>
    </w:pPr>
    <w:sdt>
      <w:sdtPr>
        <w:id w:val="-203553135"/>
        <w:docPartObj>
          <w:docPartGallery w:val="Watermarks"/>
          <w:docPartUnique/>
        </w:docPartObj>
      </w:sdtPr>
      <w:sdtEndPr/>
      <w:sdtContent>
        <w:r>
          <w:rPr>
            <w:noProof/>
          </w:rPr>
          <w:pict w14:anchorId="0899BC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2063"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8A0CA6"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8A0CA6" w:rsidRPr="002B29B2" w14:paraId="205B1D25" w14:textId="77777777" w:rsidTr="00F71E1E">
      <w:trPr>
        <w:trHeight w:hRule="exact" w:val="8845"/>
      </w:trPr>
      <w:tc>
        <w:tcPr>
          <w:tcW w:w="11964" w:type="dxa"/>
          <w:vAlign w:val="center"/>
        </w:tcPr>
        <w:p w14:paraId="3D0FC090" w14:textId="77777777" w:rsidR="008A0CA6" w:rsidRPr="002B29B2" w:rsidRDefault="000E466E" w:rsidP="006A2426">
          <w:pPr>
            <w:ind w:left="-57"/>
            <w:rPr>
              <w:noProof/>
            </w:rPr>
          </w:pPr>
          <w:sdt>
            <w:sdtPr>
              <w:rPr>
                <w:noProof/>
              </w:rPr>
              <w:id w:val="1926993388"/>
              <w:showingPlcHdr/>
              <w:picture/>
            </w:sdtPr>
            <w:sdtEndPr/>
            <w:sdtContent>
              <w:r w:rsidR="008A0CA6" w:rsidRPr="00F71E1E">
                <w:rPr>
                  <w:noProof/>
                  <w:lang w:eastAsia="en-AU"/>
                </w:rPr>
                <w:drawing>
                  <wp:inline distT="0" distB="0" distL="0" distR="0" wp14:anchorId="0CEFB904" wp14:editId="6399878C">
                    <wp:extent cx="7600950" cy="5524191"/>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7601375" cy="5524500"/>
                            </a:xfrm>
                            <a:prstGeom prst="rect">
                              <a:avLst/>
                            </a:prstGeom>
                            <a:noFill/>
                            <a:ln w="9525">
                              <a:noFill/>
                              <a:miter lim="800000"/>
                              <a:headEnd/>
                              <a:tailEnd/>
                            </a:ln>
                          </pic:spPr>
                        </pic:pic>
                      </a:graphicData>
                    </a:graphic>
                  </wp:inline>
                </w:drawing>
              </w:r>
            </w:sdtContent>
          </w:sdt>
        </w:p>
      </w:tc>
    </w:tr>
  </w:tbl>
  <w:p w14:paraId="6279DD32" w14:textId="77777777" w:rsidR="008A0CA6" w:rsidRDefault="008A0CA6" w:rsidP="006D03E5">
    <w:pPr>
      <w:rPr>
        <w:noProof/>
      </w:rPr>
    </w:pPr>
    <w:r>
      <w:rPr>
        <w:noProof/>
        <w:lang w:eastAsia="en-AU"/>
      </w:rPr>
      <w:drawing>
        <wp:anchor distT="0" distB="0" distL="114300" distR="114300" simplePos="0" relativeHeight="251664384" behindDoc="0" locked="0" layoutInCell="1" allowOverlap="1" wp14:anchorId="13F1EF70" wp14:editId="437B4C8A">
          <wp:simplePos x="0" y="0"/>
          <wp:positionH relativeFrom="column">
            <wp:posOffset>-186055</wp:posOffset>
          </wp:positionH>
          <wp:positionV relativeFrom="paragraph">
            <wp:posOffset>-58420</wp:posOffset>
          </wp:positionV>
          <wp:extent cx="3524250" cy="1209675"/>
          <wp:effectExtent l="19050" t="0" r="0" b="0"/>
          <wp:wrapTopAndBottom/>
          <wp:docPr id="4"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2"/>
                  <a:srcRect/>
                  <a:stretch>
                    <a:fillRect/>
                  </a:stretch>
                </pic:blipFill>
                <pic:spPr bwMode="auto">
                  <a:xfrm>
                    <a:off x="0" y="0"/>
                    <a:ext cx="3524250" cy="1209675"/>
                  </a:xfrm>
                  <a:prstGeom prst="rect">
                    <a:avLst/>
                  </a:prstGeom>
                  <a:noFill/>
                  <a:ln w="9525">
                    <a:noFill/>
                    <a:miter lim="800000"/>
                    <a:headEnd/>
                    <a:tailEnd/>
                  </a:ln>
                </pic:spPr>
              </pic:pic>
            </a:graphicData>
          </a:graphic>
        </wp:anchor>
      </w:drawing>
    </w:r>
    <w:r w:rsidRPr="002B29B2">
      <w:rPr>
        <w:noProof/>
        <w:lang w:eastAsia="en-AU"/>
      </w:rPr>
      <w:drawing>
        <wp:anchor distT="0" distB="0" distL="114300" distR="114300" simplePos="0" relativeHeight="251662336" behindDoc="0" locked="0" layoutInCell="0" allowOverlap="1" wp14:anchorId="6C343474" wp14:editId="29CD3CAE">
          <wp:simplePos x="0" y="0"/>
          <wp:positionH relativeFrom="page">
            <wp:posOffset>0</wp:posOffset>
          </wp:positionH>
          <wp:positionV relativeFrom="page">
            <wp:posOffset>4152900</wp:posOffset>
          </wp:positionV>
          <wp:extent cx="7581900" cy="2447925"/>
          <wp:effectExtent l="19050" t="0" r="0" b="0"/>
          <wp:wrapNone/>
          <wp:docPr id="5" name="Picture 5"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3"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1DF38" w14:textId="77777777" w:rsidR="008A0CA6" w:rsidRDefault="008A0CA6"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8E56B" w14:textId="77777777" w:rsidR="008A0CA6" w:rsidRPr="00FE501F" w:rsidRDefault="008A0CA6"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F70A5F"/>
    <w:multiLevelType w:val="hybridMultilevel"/>
    <w:tmpl w:val="FFD8B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16156069"/>
    <w:multiLevelType w:val="hybridMultilevel"/>
    <w:tmpl w:val="DC80C6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7"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17AE13AF"/>
    <w:multiLevelType w:val="hybridMultilevel"/>
    <w:tmpl w:val="83DC2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A07EF3"/>
    <w:multiLevelType w:val="hybridMultilevel"/>
    <w:tmpl w:val="7C96E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284398"/>
    <w:multiLevelType w:val="hybridMultilevel"/>
    <w:tmpl w:val="DB84E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1353B5"/>
    <w:multiLevelType w:val="hybridMultilevel"/>
    <w:tmpl w:val="3B604D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9DA19DC"/>
    <w:multiLevelType w:val="hybridMultilevel"/>
    <w:tmpl w:val="760417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C5D5802"/>
    <w:multiLevelType w:val="hybridMultilevel"/>
    <w:tmpl w:val="EF16E3E2"/>
    <w:lvl w:ilvl="0" w:tplc="DC344D8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C756BDB"/>
    <w:multiLevelType w:val="hybridMultilevel"/>
    <w:tmpl w:val="FE72FD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1FA3B27"/>
    <w:multiLevelType w:val="hybridMultilevel"/>
    <w:tmpl w:val="FF32E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5D91B79"/>
    <w:multiLevelType w:val="hybridMultilevel"/>
    <w:tmpl w:val="4E5C7EF6"/>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B2C695D"/>
    <w:multiLevelType w:val="hybridMultilevel"/>
    <w:tmpl w:val="C8FE5B84"/>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19" w15:restartNumberingAfterBreak="0">
    <w:nsid w:val="63EF0299"/>
    <w:multiLevelType w:val="multilevel"/>
    <w:tmpl w:val="A6C45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A67ADA"/>
    <w:multiLevelType w:val="hybridMultilevel"/>
    <w:tmpl w:val="93F00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ED3744"/>
    <w:multiLevelType w:val="hybridMultilevel"/>
    <w:tmpl w:val="E4F66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0C86EBC"/>
    <w:multiLevelType w:val="hybridMultilevel"/>
    <w:tmpl w:val="3CC8116C"/>
    <w:lvl w:ilvl="0" w:tplc="0C090001">
      <w:start w:val="1"/>
      <w:numFmt w:val="bullet"/>
      <w:lvlText w:val=""/>
      <w:lvlJc w:val="left"/>
      <w:pPr>
        <w:ind w:left="720" w:hanging="360"/>
      </w:pPr>
      <w:rPr>
        <w:rFonts w:ascii="Symbol" w:hAnsi="Symbol" w:hint="default"/>
      </w:rPr>
    </w:lvl>
    <w:lvl w:ilvl="1" w:tplc="994A3F80">
      <w:numFmt w:val="bullet"/>
      <w:lvlText w:val="•"/>
      <w:lvlJc w:val="left"/>
      <w:pPr>
        <w:ind w:left="1800" w:hanging="720"/>
      </w:pPr>
      <w:rPr>
        <w:rFonts w:ascii="Cambria" w:eastAsia="Cambria" w:hAnsi="Cambria"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6305491"/>
    <w:multiLevelType w:val="hybridMultilevel"/>
    <w:tmpl w:val="0E6A69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6C70DCF"/>
    <w:multiLevelType w:val="hybridMultilevel"/>
    <w:tmpl w:val="E84A0F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7"/>
  </w:num>
  <w:num w:numId="5">
    <w:abstractNumId w:val="0"/>
  </w:num>
  <w:num w:numId="6">
    <w:abstractNumId w:val="7"/>
  </w:num>
  <w:num w:numId="7">
    <w:abstractNumId w:val="7"/>
  </w:num>
  <w:num w:numId="8">
    <w:abstractNumId w:val="4"/>
  </w:num>
  <w:num w:numId="9">
    <w:abstractNumId w:val="4"/>
  </w:num>
  <w:num w:numId="10">
    <w:abstractNumId w:val="4"/>
  </w:num>
  <w:num w:numId="11">
    <w:abstractNumId w:val="4"/>
  </w:num>
  <w:num w:numId="12">
    <w:abstractNumId w:val="7"/>
  </w:num>
  <w:num w:numId="13">
    <w:abstractNumId w:val="7"/>
  </w:num>
  <w:num w:numId="14">
    <w:abstractNumId w:val="7"/>
  </w:num>
  <w:num w:numId="15">
    <w:abstractNumId w:val="4"/>
  </w:num>
  <w:num w:numId="16">
    <w:abstractNumId w:val="4"/>
  </w:num>
  <w:num w:numId="17">
    <w:abstractNumId w:val="4"/>
  </w:num>
  <w:num w:numId="18">
    <w:abstractNumId w:val="6"/>
  </w:num>
  <w:num w:numId="19">
    <w:abstractNumId w:val="15"/>
  </w:num>
  <w:num w:numId="20">
    <w:abstractNumId w:val="16"/>
  </w:num>
  <w:num w:numId="21">
    <w:abstractNumId w:val="9"/>
  </w:num>
  <w:num w:numId="22">
    <w:abstractNumId w:val="3"/>
  </w:num>
  <w:num w:numId="23">
    <w:abstractNumId w:val="18"/>
  </w:num>
  <w:num w:numId="24">
    <w:abstractNumId w:val="8"/>
  </w:num>
  <w:num w:numId="25">
    <w:abstractNumId w:val="22"/>
  </w:num>
  <w:num w:numId="26">
    <w:abstractNumId w:val="20"/>
  </w:num>
  <w:num w:numId="27">
    <w:abstractNumId w:val="24"/>
  </w:num>
  <w:num w:numId="28">
    <w:abstractNumId w:val="11"/>
  </w:num>
  <w:num w:numId="29">
    <w:abstractNumId w:val="19"/>
  </w:num>
  <w:num w:numId="30">
    <w:abstractNumId w:val="17"/>
  </w:num>
  <w:num w:numId="31">
    <w:abstractNumId w:val="10"/>
  </w:num>
  <w:num w:numId="32">
    <w:abstractNumId w:val="14"/>
  </w:num>
  <w:num w:numId="33">
    <w:abstractNumId w:val="5"/>
  </w:num>
  <w:num w:numId="34">
    <w:abstractNumId w:val="23"/>
  </w:num>
  <w:num w:numId="35">
    <w:abstractNumId w:val="13"/>
  </w:num>
  <w:num w:numId="36">
    <w:abstractNumId w:val="12"/>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6"/>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64" fill="f" fillcolor="#c6d4e9" strokecolor="#002c47">
      <v:fill color="#c6d4e9" on="f"/>
      <v:stroke color="#002c47"/>
    </o:shapedefaults>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D78"/>
    <w:rsid w:val="00000EFD"/>
    <w:rsid w:val="00002031"/>
    <w:rsid w:val="00002083"/>
    <w:rsid w:val="00003B06"/>
    <w:rsid w:val="000040BA"/>
    <w:rsid w:val="00004734"/>
    <w:rsid w:val="00004C8D"/>
    <w:rsid w:val="000055DE"/>
    <w:rsid w:val="00006B22"/>
    <w:rsid w:val="000074A3"/>
    <w:rsid w:val="00010E4D"/>
    <w:rsid w:val="0001276A"/>
    <w:rsid w:val="00012E37"/>
    <w:rsid w:val="00014D5F"/>
    <w:rsid w:val="00015A94"/>
    <w:rsid w:val="00016BEB"/>
    <w:rsid w:val="00023DF4"/>
    <w:rsid w:val="000246AE"/>
    <w:rsid w:val="0002532E"/>
    <w:rsid w:val="00025C67"/>
    <w:rsid w:val="000303F8"/>
    <w:rsid w:val="00030AF6"/>
    <w:rsid w:val="00031A5C"/>
    <w:rsid w:val="00032FFB"/>
    <w:rsid w:val="000372E9"/>
    <w:rsid w:val="00045ECD"/>
    <w:rsid w:val="00051535"/>
    <w:rsid w:val="000538BF"/>
    <w:rsid w:val="0005559E"/>
    <w:rsid w:val="00055738"/>
    <w:rsid w:val="00057162"/>
    <w:rsid w:val="000674D3"/>
    <w:rsid w:val="000703AB"/>
    <w:rsid w:val="00077775"/>
    <w:rsid w:val="00077F6E"/>
    <w:rsid w:val="00081899"/>
    <w:rsid w:val="000820E7"/>
    <w:rsid w:val="00090471"/>
    <w:rsid w:val="000934A6"/>
    <w:rsid w:val="00094383"/>
    <w:rsid w:val="00096D93"/>
    <w:rsid w:val="000A18EA"/>
    <w:rsid w:val="000A2BD7"/>
    <w:rsid w:val="000A3543"/>
    <w:rsid w:val="000A4371"/>
    <w:rsid w:val="000A4D78"/>
    <w:rsid w:val="000B30E5"/>
    <w:rsid w:val="000B3532"/>
    <w:rsid w:val="000B3A75"/>
    <w:rsid w:val="000B574E"/>
    <w:rsid w:val="000B59C0"/>
    <w:rsid w:val="000B5E4E"/>
    <w:rsid w:val="000B6CAE"/>
    <w:rsid w:val="000B7084"/>
    <w:rsid w:val="000C17DB"/>
    <w:rsid w:val="000C1C42"/>
    <w:rsid w:val="000C5F03"/>
    <w:rsid w:val="000C6F89"/>
    <w:rsid w:val="000D051E"/>
    <w:rsid w:val="000D0851"/>
    <w:rsid w:val="000D157F"/>
    <w:rsid w:val="000D391B"/>
    <w:rsid w:val="000D3D6D"/>
    <w:rsid w:val="000D4593"/>
    <w:rsid w:val="000D494A"/>
    <w:rsid w:val="000D4FC7"/>
    <w:rsid w:val="000D69C0"/>
    <w:rsid w:val="000E466E"/>
    <w:rsid w:val="000F0241"/>
    <w:rsid w:val="000F171A"/>
    <w:rsid w:val="000F1C73"/>
    <w:rsid w:val="000F1D3F"/>
    <w:rsid w:val="000F21E7"/>
    <w:rsid w:val="000F4869"/>
    <w:rsid w:val="000F5176"/>
    <w:rsid w:val="000F5478"/>
    <w:rsid w:val="000F5978"/>
    <w:rsid w:val="000F5B42"/>
    <w:rsid w:val="000F6E6F"/>
    <w:rsid w:val="001003F2"/>
    <w:rsid w:val="00100984"/>
    <w:rsid w:val="00102BDA"/>
    <w:rsid w:val="0010512A"/>
    <w:rsid w:val="0010601F"/>
    <w:rsid w:val="001066C9"/>
    <w:rsid w:val="0011001C"/>
    <w:rsid w:val="00110EA5"/>
    <w:rsid w:val="00115240"/>
    <w:rsid w:val="00115508"/>
    <w:rsid w:val="001210F1"/>
    <w:rsid w:val="00125091"/>
    <w:rsid w:val="00125318"/>
    <w:rsid w:val="001301BE"/>
    <w:rsid w:val="001305A2"/>
    <w:rsid w:val="00132A47"/>
    <w:rsid w:val="00133238"/>
    <w:rsid w:val="00137C45"/>
    <w:rsid w:val="00140FE3"/>
    <w:rsid w:val="0014197B"/>
    <w:rsid w:val="00141EA0"/>
    <w:rsid w:val="0014247A"/>
    <w:rsid w:val="001435C5"/>
    <w:rsid w:val="001435D5"/>
    <w:rsid w:val="00143DBA"/>
    <w:rsid w:val="001447CD"/>
    <w:rsid w:val="001500F7"/>
    <w:rsid w:val="001516B1"/>
    <w:rsid w:val="00152130"/>
    <w:rsid w:val="001525B4"/>
    <w:rsid w:val="00153079"/>
    <w:rsid w:val="00156316"/>
    <w:rsid w:val="00160D85"/>
    <w:rsid w:val="001633EF"/>
    <w:rsid w:val="00165389"/>
    <w:rsid w:val="00165DC3"/>
    <w:rsid w:val="0016695C"/>
    <w:rsid w:val="001713A3"/>
    <w:rsid w:val="001716BD"/>
    <w:rsid w:val="00172A15"/>
    <w:rsid w:val="0017693F"/>
    <w:rsid w:val="00176BC0"/>
    <w:rsid w:val="001779B8"/>
    <w:rsid w:val="00180152"/>
    <w:rsid w:val="0018110E"/>
    <w:rsid w:val="00181684"/>
    <w:rsid w:val="00183F0D"/>
    <w:rsid w:val="001842F8"/>
    <w:rsid w:val="001843C6"/>
    <w:rsid w:val="001850E0"/>
    <w:rsid w:val="00185326"/>
    <w:rsid w:val="0018660B"/>
    <w:rsid w:val="001866C7"/>
    <w:rsid w:val="0018714B"/>
    <w:rsid w:val="00192AAA"/>
    <w:rsid w:val="001930DF"/>
    <w:rsid w:val="001937F7"/>
    <w:rsid w:val="001952FB"/>
    <w:rsid w:val="001954A0"/>
    <w:rsid w:val="00196233"/>
    <w:rsid w:val="001A28EB"/>
    <w:rsid w:val="001A3190"/>
    <w:rsid w:val="001A4F3C"/>
    <w:rsid w:val="001A525F"/>
    <w:rsid w:val="001A7D6C"/>
    <w:rsid w:val="001B09F9"/>
    <w:rsid w:val="001B34A4"/>
    <w:rsid w:val="001B4CE5"/>
    <w:rsid w:val="001B6448"/>
    <w:rsid w:val="001B765D"/>
    <w:rsid w:val="001C0905"/>
    <w:rsid w:val="001C1870"/>
    <w:rsid w:val="001C27A4"/>
    <w:rsid w:val="001C29BF"/>
    <w:rsid w:val="001C3A9E"/>
    <w:rsid w:val="001C3CF5"/>
    <w:rsid w:val="001C67C5"/>
    <w:rsid w:val="001C6F45"/>
    <w:rsid w:val="001C74D6"/>
    <w:rsid w:val="001D08DB"/>
    <w:rsid w:val="001D0DDE"/>
    <w:rsid w:val="001D4D6B"/>
    <w:rsid w:val="001D7224"/>
    <w:rsid w:val="001D7A4E"/>
    <w:rsid w:val="001E07CF"/>
    <w:rsid w:val="001E275A"/>
    <w:rsid w:val="001E5299"/>
    <w:rsid w:val="001E59F1"/>
    <w:rsid w:val="001E7C32"/>
    <w:rsid w:val="001F0C53"/>
    <w:rsid w:val="001F124F"/>
    <w:rsid w:val="001F12C5"/>
    <w:rsid w:val="001F1EBF"/>
    <w:rsid w:val="001F20F9"/>
    <w:rsid w:val="001F3F50"/>
    <w:rsid w:val="001F49EB"/>
    <w:rsid w:val="001F6CBA"/>
    <w:rsid w:val="00201D4E"/>
    <w:rsid w:val="00202E24"/>
    <w:rsid w:val="00204C7C"/>
    <w:rsid w:val="00211ABB"/>
    <w:rsid w:val="002147DB"/>
    <w:rsid w:val="00215D48"/>
    <w:rsid w:val="00217091"/>
    <w:rsid w:val="00220B8A"/>
    <w:rsid w:val="00220E7C"/>
    <w:rsid w:val="002213AB"/>
    <w:rsid w:val="002221F1"/>
    <w:rsid w:val="00223F75"/>
    <w:rsid w:val="002257F3"/>
    <w:rsid w:val="00231E8D"/>
    <w:rsid w:val="00233456"/>
    <w:rsid w:val="002339A5"/>
    <w:rsid w:val="00236320"/>
    <w:rsid w:val="00236362"/>
    <w:rsid w:val="00236AA4"/>
    <w:rsid w:val="00236C01"/>
    <w:rsid w:val="002373C6"/>
    <w:rsid w:val="00237691"/>
    <w:rsid w:val="0024041C"/>
    <w:rsid w:val="00247F61"/>
    <w:rsid w:val="00247FB9"/>
    <w:rsid w:val="0025079E"/>
    <w:rsid w:val="0025156B"/>
    <w:rsid w:val="002539EA"/>
    <w:rsid w:val="002541B5"/>
    <w:rsid w:val="00257138"/>
    <w:rsid w:val="00257848"/>
    <w:rsid w:val="00261A22"/>
    <w:rsid w:val="002654A6"/>
    <w:rsid w:val="00265AE4"/>
    <w:rsid w:val="00265CA5"/>
    <w:rsid w:val="00266B6E"/>
    <w:rsid w:val="0027084A"/>
    <w:rsid w:val="00274E01"/>
    <w:rsid w:val="00284CA6"/>
    <w:rsid w:val="00286434"/>
    <w:rsid w:val="00286C59"/>
    <w:rsid w:val="0029069E"/>
    <w:rsid w:val="00290795"/>
    <w:rsid w:val="00290798"/>
    <w:rsid w:val="00290D28"/>
    <w:rsid w:val="00290D4F"/>
    <w:rsid w:val="00291246"/>
    <w:rsid w:val="00291856"/>
    <w:rsid w:val="00292156"/>
    <w:rsid w:val="00292F39"/>
    <w:rsid w:val="002942D1"/>
    <w:rsid w:val="002A00BD"/>
    <w:rsid w:val="002A0556"/>
    <w:rsid w:val="002A1B8E"/>
    <w:rsid w:val="002A2543"/>
    <w:rsid w:val="002A334B"/>
    <w:rsid w:val="002A3DFC"/>
    <w:rsid w:val="002A5131"/>
    <w:rsid w:val="002A592C"/>
    <w:rsid w:val="002A5B3A"/>
    <w:rsid w:val="002B1638"/>
    <w:rsid w:val="002B25CB"/>
    <w:rsid w:val="002B29B2"/>
    <w:rsid w:val="002C2746"/>
    <w:rsid w:val="002C376C"/>
    <w:rsid w:val="002C6E9C"/>
    <w:rsid w:val="002D2BA6"/>
    <w:rsid w:val="002D6466"/>
    <w:rsid w:val="002E193A"/>
    <w:rsid w:val="002E31DB"/>
    <w:rsid w:val="002E364F"/>
    <w:rsid w:val="002E4A9D"/>
    <w:rsid w:val="002E4C9A"/>
    <w:rsid w:val="002F11F8"/>
    <w:rsid w:val="002F260A"/>
    <w:rsid w:val="002F3F56"/>
    <w:rsid w:val="002F44B5"/>
    <w:rsid w:val="002F454F"/>
    <w:rsid w:val="002F45A0"/>
    <w:rsid w:val="002F47C6"/>
    <w:rsid w:val="002F511F"/>
    <w:rsid w:val="002F544D"/>
    <w:rsid w:val="002F78C9"/>
    <w:rsid w:val="00300350"/>
    <w:rsid w:val="00301FA3"/>
    <w:rsid w:val="003028DD"/>
    <w:rsid w:val="003056B4"/>
    <w:rsid w:val="00311AC0"/>
    <w:rsid w:val="00314D8F"/>
    <w:rsid w:val="00320B7D"/>
    <w:rsid w:val="00323F14"/>
    <w:rsid w:val="00324C55"/>
    <w:rsid w:val="003252DE"/>
    <w:rsid w:val="00327C4D"/>
    <w:rsid w:val="003304D6"/>
    <w:rsid w:val="00330507"/>
    <w:rsid w:val="0033086F"/>
    <w:rsid w:val="00331A02"/>
    <w:rsid w:val="00331DBB"/>
    <w:rsid w:val="00331DEE"/>
    <w:rsid w:val="00335C3B"/>
    <w:rsid w:val="003361D1"/>
    <w:rsid w:val="00336F6C"/>
    <w:rsid w:val="00337571"/>
    <w:rsid w:val="0034070C"/>
    <w:rsid w:val="003413D3"/>
    <w:rsid w:val="00341A68"/>
    <w:rsid w:val="00342F33"/>
    <w:rsid w:val="003439C2"/>
    <w:rsid w:val="00345796"/>
    <w:rsid w:val="00346C75"/>
    <w:rsid w:val="00350236"/>
    <w:rsid w:val="00350B54"/>
    <w:rsid w:val="0035146C"/>
    <w:rsid w:val="00351AD1"/>
    <w:rsid w:val="003521E8"/>
    <w:rsid w:val="0035419A"/>
    <w:rsid w:val="00356070"/>
    <w:rsid w:val="00357700"/>
    <w:rsid w:val="00357C92"/>
    <w:rsid w:val="0036361E"/>
    <w:rsid w:val="003648EC"/>
    <w:rsid w:val="0036504C"/>
    <w:rsid w:val="003664BF"/>
    <w:rsid w:val="0036773D"/>
    <w:rsid w:val="003728F3"/>
    <w:rsid w:val="0037620D"/>
    <w:rsid w:val="00376793"/>
    <w:rsid w:val="0037725D"/>
    <w:rsid w:val="00380403"/>
    <w:rsid w:val="0038055F"/>
    <w:rsid w:val="00381003"/>
    <w:rsid w:val="0038391D"/>
    <w:rsid w:val="003843F6"/>
    <w:rsid w:val="0038440B"/>
    <w:rsid w:val="003869AD"/>
    <w:rsid w:val="00390900"/>
    <w:rsid w:val="00393398"/>
    <w:rsid w:val="00397A77"/>
    <w:rsid w:val="003A0E80"/>
    <w:rsid w:val="003A2DDF"/>
    <w:rsid w:val="003A6A46"/>
    <w:rsid w:val="003A7075"/>
    <w:rsid w:val="003B0E6E"/>
    <w:rsid w:val="003B362C"/>
    <w:rsid w:val="003B37B8"/>
    <w:rsid w:val="003B3ED9"/>
    <w:rsid w:val="003B7B75"/>
    <w:rsid w:val="003B7E39"/>
    <w:rsid w:val="003C02E3"/>
    <w:rsid w:val="003C169A"/>
    <w:rsid w:val="003C3D9B"/>
    <w:rsid w:val="003C45DF"/>
    <w:rsid w:val="003C5125"/>
    <w:rsid w:val="003C58DC"/>
    <w:rsid w:val="003D378C"/>
    <w:rsid w:val="003D3B63"/>
    <w:rsid w:val="003D3FD8"/>
    <w:rsid w:val="003D4FC3"/>
    <w:rsid w:val="003D56EA"/>
    <w:rsid w:val="003D6164"/>
    <w:rsid w:val="003D6B56"/>
    <w:rsid w:val="003E01C0"/>
    <w:rsid w:val="003E0A76"/>
    <w:rsid w:val="003E0A89"/>
    <w:rsid w:val="003E0F42"/>
    <w:rsid w:val="003E3208"/>
    <w:rsid w:val="003F0B04"/>
    <w:rsid w:val="003F2BD5"/>
    <w:rsid w:val="003F2E95"/>
    <w:rsid w:val="003F4557"/>
    <w:rsid w:val="003F6784"/>
    <w:rsid w:val="003F7297"/>
    <w:rsid w:val="003F784C"/>
    <w:rsid w:val="0040134E"/>
    <w:rsid w:val="004027F4"/>
    <w:rsid w:val="00404B57"/>
    <w:rsid w:val="00404F20"/>
    <w:rsid w:val="00406DB9"/>
    <w:rsid w:val="004071E7"/>
    <w:rsid w:val="004104B8"/>
    <w:rsid w:val="00411CBC"/>
    <w:rsid w:val="0041488F"/>
    <w:rsid w:val="0041690A"/>
    <w:rsid w:val="00416BCB"/>
    <w:rsid w:val="004173C9"/>
    <w:rsid w:val="00422006"/>
    <w:rsid w:val="00426282"/>
    <w:rsid w:val="00433154"/>
    <w:rsid w:val="004346B2"/>
    <w:rsid w:val="004403B9"/>
    <w:rsid w:val="0044089D"/>
    <w:rsid w:val="00440A2D"/>
    <w:rsid w:val="00442B72"/>
    <w:rsid w:val="00442DA9"/>
    <w:rsid w:val="00445E14"/>
    <w:rsid w:val="004502F4"/>
    <w:rsid w:val="0045040C"/>
    <w:rsid w:val="00451326"/>
    <w:rsid w:val="004516C4"/>
    <w:rsid w:val="004538E2"/>
    <w:rsid w:val="004564A7"/>
    <w:rsid w:val="00456706"/>
    <w:rsid w:val="0045794A"/>
    <w:rsid w:val="004617BF"/>
    <w:rsid w:val="0046228E"/>
    <w:rsid w:val="00466494"/>
    <w:rsid w:val="00473864"/>
    <w:rsid w:val="004760D6"/>
    <w:rsid w:val="00477C11"/>
    <w:rsid w:val="0048018B"/>
    <w:rsid w:val="00480F36"/>
    <w:rsid w:val="00483D37"/>
    <w:rsid w:val="0049096C"/>
    <w:rsid w:val="004923FF"/>
    <w:rsid w:val="004927EC"/>
    <w:rsid w:val="00494CA4"/>
    <w:rsid w:val="00494E60"/>
    <w:rsid w:val="0049734C"/>
    <w:rsid w:val="004A3084"/>
    <w:rsid w:val="004A4CBF"/>
    <w:rsid w:val="004B2D97"/>
    <w:rsid w:val="004B36B5"/>
    <w:rsid w:val="004B5888"/>
    <w:rsid w:val="004B675E"/>
    <w:rsid w:val="004B7B76"/>
    <w:rsid w:val="004C0070"/>
    <w:rsid w:val="004C100A"/>
    <w:rsid w:val="004C4096"/>
    <w:rsid w:val="004C4984"/>
    <w:rsid w:val="004C6165"/>
    <w:rsid w:val="004C6E9B"/>
    <w:rsid w:val="004D1A30"/>
    <w:rsid w:val="004D3196"/>
    <w:rsid w:val="004D51A6"/>
    <w:rsid w:val="004D75A6"/>
    <w:rsid w:val="004E452C"/>
    <w:rsid w:val="004E59F1"/>
    <w:rsid w:val="004E6B2A"/>
    <w:rsid w:val="004F0F38"/>
    <w:rsid w:val="004F11FE"/>
    <w:rsid w:val="004F1240"/>
    <w:rsid w:val="004F40D8"/>
    <w:rsid w:val="004F484B"/>
    <w:rsid w:val="004F7A29"/>
    <w:rsid w:val="00500BA0"/>
    <w:rsid w:val="005010D6"/>
    <w:rsid w:val="00501921"/>
    <w:rsid w:val="00502AFE"/>
    <w:rsid w:val="00503212"/>
    <w:rsid w:val="005053AF"/>
    <w:rsid w:val="00510035"/>
    <w:rsid w:val="005137B0"/>
    <w:rsid w:val="00515F07"/>
    <w:rsid w:val="00516AA2"/>
    <w:rsid w:val="00516DBA"/>
    <w:rsid w:val="00521740"/>
    <w:rsid w:val="005222E7"/>
    <w:rsid w:val="00523FB1"/>
    <w:rsid w:val="0052500E"/>
    <w:rsid w:val="00526111"/>
    <w:rsid w:val="00526DFF"/>
    <w:rsid w:val="00530354"/>
    <w:rsid w:val="0053381E"/>
    <w:rsid w:val="0053455B"/>
    <w:rsid w:val="005352FC"/>
    <w:rsid w:val="00535D83"/>
    <w:rsid w:val="005375AF"/>
    <w:rsid w:val="0054053C"/>
    <w:rsid w:val="00541FD8"/>
    <w:rsid w:val="005423EF"/>
    <w:rsid w:val="005434C6"/>
    <w:rsid w:val="00543B39"/>
    <w:rsid w:val="00543D96"/>
    <w:rsid w:val="00550096"/>
    <w:rsid w:val="00550A68"/>
    <w:rsid w:val="00555BA6"/>
    <w:rsid w:val="0055653F"/>
    <w:rsid w:val="00557FF9"/>
    <w:rsid w:val="00560037"/>
    <w:rsid w:val="00560E52"/>
    <w:rsid w:val="00562582"/>
    <w:rsid w:val="00564C78"/>
    <w:rsid w:val="005668EA"/>
    <w:rsid w:val="0056735D"/>
    <w:rsid w:val="0056741A"/>
    <w:rsid w:val="00567A2E"/>
    <w:rsid w:val="00570DE1"/>
    <w:rsid w:val="0057564C"/>
    <w:rsid w:val="00576378"/>
    <w:rsid w:val="00577E38"/>
    <w:rsid w:val="00582527"/>
    <w:rsid w:val="00583DDF"/>
    <w:rsid w:val="00584285"/>
    <w:rsid w:val="00585322"/>
    <w:rsid w:val="0059345B"/>
    <w:rsid w:val="00593AD1"/>
    <w:rsid w:val="00594DBD"/>
    <w:rsid w:val="005A1094"/>
    <w:rsid w:val="005A1131"/>
    <w:rsid w:val="005A35BE"/>
    <w:rsid w:val="005A3D6F"/>
    <w:rsid w:val="005A5DE3"/>
    <w:rsid w:val="005A5EEC"/>
    <w:rsid w:val="005B1FD7"/>
    <w:rsid w:val="005B31A2"/>
    <w:rsid w:val="005B474F"/>
    <w:rsid w:val="005C0AF7"/>
    <w:rsid w:val="005C0F77"/>
    <w:rsid w:val="005C162D"/>
    <w:rsid w:val="005C2421"/>
    <w:rsid w:val="005C5570"/>
    <w:rsid w:val="005C5A82"/>
    <w:rsid w:val="005C5FD4"/>
    <w:rsid w:val="005C79A4"/>
    <w:rsid w:val="005C7EE0"/>
    <w:rsid w:val="005D1689"/>
    <w:rsid w:val="005D1CC8"/>
    <w:rsid w:val="005D248B"/>
    <w:rsid w:val="005D5442"/>
    <w:rsid w:val="005D55A3"/>
    <w:rsid w:val="005D6D96"/>
    <w:rsid w:val="005E4A9F"/>
    <w:rsid w:val="005E5568"/>
    <w:rsid w:val="005F026E"/>
    <w:rsid w:val="005F0363"/>
    <w:rsid w:val="005F16D2"/>
    <w:rsid w:val="005F4056"/>
    <w:rsid w:val="005F458A"/>
    <w:rsid w:val="005F5830"/>
    <w:rsid w:val="005F62CA"/>
    <w:rsid w:val="00602ACD"/>
    <w:rsid w:val="006035DA"/>
    <w:rsid w:val="0060542D"/>
    <w:rsid w:val="00605C38"/>
    <w:rsid w:val="006074A0"/>
    <w:rsid w:val="00610D73"/>
    <w:rsid w:val="00617E24"/>
    <w:rsid w:val="00621528"/>
    <w:rsid w:val="006234F6"/>
    <w:rsid w:val="00625015"/>
    <w:rsid w:val="006314D2"/>
    <w:rsid w:val="00632322"/>
    <w:rsid w:val="00637741"/>
    <w:rsid w:val="00640DC2"/>
    <w:rsid w:val="00640FC3"/>
    <w:rsid w:val="00642020"/>
    <w:rsid w:val="00643C90"/>
    <w:rsid w:val="0065200D"/>
    <w:rsid w:val="00652A4A"/>
    <w:rsid w:val="0065337B"/>
    <w:rsid w:val="0065419D"/>
    <w:rsid w:val="006553FB"/>
    <w:rsid w:val="006604D8"/>
    <w:rsid w:val="006608C6"/>
    <w:rsid w:val="00664A5B"/>
    <w:rsid w:val="00666568"/>
    <w:rsid w:val="00667942"/>
    <w:rsid w:val="00675020"/>
    <w:rsid w:val="00680C08"/>
    <w:rsid w:val="006810CF"/>
    <w:rsid w:val="006816FF"/>
    <w:rsid w:val="0068307A"/>
    <w:rsid w:val="0068741A"/>
    <w:rsid w:val="006931B1"/>
    <w:rsid w:val="0069496F"/>
    <w:rsid w:val="00695114"/>
    <w:rsid w:val="006A15AB"/>
    <w:rsid w:val="006A15C0"/>
    <w:rsid w:val="006A2426"/>
    <w:rsid w:val="006A2A31"/>
    <w:rsid w:val="006A38E4"/>
    <w:rsid w:val="006A41B6"/>
    <w:rsid w:val="006A442F"/>
    <w:rsid w:val="006A5ADB"/>
    <w:rsid w:val="006A603B"/>
    <w:rsid w:val="006A6995"/>
    <w:rsid w:val="006B18EC"/>
    <w:rsid w:val="006B30B8"/>
    <w:rsid w:val="006B34C8"/>
    <w:rsid w:val="006C1F3B"/>
    <w:rsid w:val="006C3C41"/>
    <w:rsid w:val="006C3E2A"/>
    <w:rsid w:val="006C43B5"/>
    <w:rsid w:val="006C4485"/>
    <w:rsid w:val="006C642F"/>
    <w:rsid w:val="006C6E1E"/>
    <w:rsid w:val="006D03E5"/>
    <w:rsid w:val="006D3C4D"/>
    <w:rsid w:val="006D5D3E"/>
    <w:rsid w:val="006D6D13"/>
    <w:rsid w:val="006D73EF"/>
    <w:rsid w:val="006E08B3"/>
    <w:rsid w:val="006E0ACF"/>
    <w:rsid w:val="006E16C3"/>
    <w:rsid w:val="006E4E00"/>
    <w:rsid w:val="006F1175"/>
    <w:rsid w:val="006F1604"/>
    <w:rsid w:val="006F2420"/>
    <w:rsid w:val="006F3339"/>
    <w:rsid w:val="006F46EA"/>
    <w:rsid w:val="006F47A6"/>
    <w:rsid w:val="006F50A3"/>
    <w:rsid w:val="006F572E"/>
    <w:rsid w:val="006F6284"/>
    <w:rsid w:val="006F652C"/>
    <w:rsid w:val="006F6C81"/>
    <w:rsid w:val="006F6CDE"/>
    <w:rsid w:val="007046D6"/>
    <w:rsid w:val="0070519D"/>
    <w:rsid w:val="0070581C"/>
    <w:rsid w:val="00705DB0"/>
    <w:rsid w:val="0070600A"/>
    <w:rsid w:val="007060CD"/>
    <w:rsid w:val="00706634"/>
    <w:rsid w:val="00706AFE"/>
    <w:rsid w:val="00711289"/>
    <w:rsid w:val="007157AC"/>
    <w:rsid w:val="007171BF"/>
    <w:rsid w:val="00721826"/>
    <w:rsid w:val="00723626"/>
    <w:rsid w:val="00723A4D"/>
    <w:rsid w:val="00723BF8"/>
    <w:rsid w:val="00723E8D"/>
    <w:rsid w:val="007243F0"/>
    <w:rsid w:val="00724E0E"/>
    <w:rsid w:val="00730306"/>
    <w:rsid w:val="0073203E"/>
    <w:rsid w:val="00732E9D"/>
    <w:rsid w:val="00732FEE"/>
    <w:rsid w:val="007337BE"/>
    <w:rsid w:val="0074136E"/>
    <w:rsid w:val="0074253D"/>
    <w:rsid w:val="0074429B"/>
    <w:rsid w:val="007457C5"/>
    <w:rsid w:val="007477E7"/>
    <w:rsid w:val="007477F8"/>
    <w:rsid w:val="00751EBD"/>
    <w:rsid w:val="00753687"/>
    <w:rsid w:val="00753A56"/>
    <w:rsid w:val="0075524A"/>
    <w:rsid w:val="00756C14"/>
    <w:rsid w:val="00760369"/>
    <w:rsid w:val="007615BC"/>
    <w:rsid w:val="007620D6"/>
    <w:rsid w:val="007622D7"/>
    <w:rsid w:val="00762F05"/>
    <w:rsid w:val="00764696"/>
    <w:rsid w:val="00764FC4"/>
    <w:rsid w:val="007652FF"/>
    <w:rsid w:val="00765682"/>
    <w:rsid w:val="00765876"/>
    <w:rsid w:val="00771329"/>
    <w:rsid w:val="00773EF7"/>
    <w:rsid w:val="00774E1D"/>
    <w:rsid w:val="00775833"/>
    <w:rsid w:val="0077675A"/>
    <w:rsid w:val="007774BE"/>
    <w:rsid w:val="00780355"/>
    <w:rsid w:val="00782E8E"/>
    <w:rsid w:val="00783130"/>
    <w:rsid w:val="0078468B"/>
    <w:rsid w:val="00784A85"/>
    <w:rsid w:val="00785721"/>
    <w:rsid w:val="00785C8D"/>
    <w:rsid w:val="00786FC5"/>
    <w:rsid w:val="00793A59"/>
    <w:rsid w:val="00794317"/>
    <w:rsid w:val="00795DC5"/>
    <w:rsid w:val="007A2162"/>
    <w:rsid w:val="007A299E"/>
    <w:rsid w:val="007A3B88"/>
    <w:rsid w:val="007B305A"/>
    <w:rsid w:val="007B3C16"/>
    <w:rsid w:val="007C0F3D"/>
    <w:rsid w:val="007C1AF7"/>
    <w:rsid w:val="007C701E"/>
    <w:rsid w:val="007C7E39"/>
    <w:rsid w:val="007D1E54"/>
    <w:rsid w:val="007D2AAF"/>
    <w:rsid w:val="007D32FF"/>
    <w:rsid w:val="007D443A"/>
    <w:rsid w:val="007D52D7"/>
    <w:rsid w:val="007E0369"/>
    <w:rsid w:val="007E175B"/>
    <w:rsid w:val="007E3736"/>
    <w:rsid w:val="007E729F"/>
    <w:rsid w:val="007F17AF"/>
    <w:rsid w:val="007F2054"/>
    <w:rsid w:val="007F53CC"/>
    <w:rsid w:val="007F5F17"/>
    <w:rsid w:val="008042B1"/>
    <w:rsid w:val="00810E92"/>
    <w:rsid w:val="00816164"/>
    <w:rsid w:val="00816990"/>
    <w:rsid w:val="00816A37"/>
    <w:rsid w:val="00817B86"/>
    <w:rsid w:val="008202FF"/>
    <w:rsid w:val="00821776"/>
    <w:rsid w:val="00826007"/>
    <w:rsid w:val="00826BB5"/>
    <w:rsid w:val="008277D9"/>
    <w:rsid w:val="008315BB"/>
    <w:rsid w:val="00831CE5"/>
    <w:rsid w:val="008320C3"/>
    <w:rsid w:val="008321F5"/>
    <w:rsid w:val="00832369"/>
    <w:rsid w:val="00834660"/>
    <w:rsid w:val="00836BC2"/>
    <w:rsid w:val="00841032"/>
    <w:rsid w:val="008418EC"/>
    <w:rsid w:val="00842623"/>
    <w:rsid w:val="00842E7D"/>
    <w:rsid w:val="00847E7F"/>
    <w:rsid w:val="00850350"/>
    <w:rsid w:val="00851939"/>
    <w:rsid w:val="00851B13"/>
    <w:rsid w:val="00854CC9"/>
    <w:rsid w:val="0085641B"/>
    <w:rsid w:val="00857136"/>
    <w:rsid w:val="0086095F"/>
    <w:rsid w:val="00867F48"/>
    <w:rsid w:val="00873ED2"/>
    <w:rsid w:val="00876CF2"/>
    <w:rsid w:val="00881342"/>
    <w:rsid w:val="008866B9"/>
    <w:rsid w:val="008876E5"/>
    <w:rsid w:val="0089048E"/>
    <w:rsid w:val="0089269C"/>
    <w:rsid w:val="00892D4A"/>
    <w:rsid w:val="008955F4"/>
    <w:rsid w:val="00896018"/>
    <w:rsid w:val="008A0CA6"/>
    <w:rsid w:val="008A1EF4"/>
    <w:rsid w:val="008A2B9D"/>
    <w:rsid w:val="008A4E54"/>
    <w:rsid w:val="008A5E0B"/>
    <w:rsid w:val="008A6863"/>
    <w:rsid w:val="008A6D59"/>
    <w:rsid w:val="008A7095"/>
    <w:rsid w:val="008A7DC3"/>
    <w:rsid w:val="008B1A25"/>
    <w:rsid w:val="008B4B03"/>
    <w:rsid w:val="008B54E1"/>
    <w:rsid w:val="008B553E"/>
    <w:rsid w:val="008B596F"/>
    <w:rsid w:val="008B5A72"/>
    <w:rsid w:val="008B6CB3"/>
    <w:rsid w:val="008B7BBD"/>
    <w:rsid w:val="008C159F"/>
    <w:rsid w:val="008C1623"/>
    <w:rsid w:val="008C51A9"/>
    <w:rsid w:val="008C63C5"/>
    <w:rsid w:val="008C7541"/>
    <w:rsid w:val="008C7ABD"/>
    <w:rsid w:val="008D3DD7"/>
    <w:rsid w:val="008D5B86"/>
    <w:rsid w:val="008E24D0"/>
    <w:rsid w:val="008E27DC"/>
    <w:rsid w:val="008E3465"/>
    <w:rsid w:val="008E3512"/>
    <w:rsid w:val="008E3C43"/>
    <w:rsid w:val="008E3FF2"/>
    <w:rsid w:val="008E507F"/>
    <w:rsid w:val="008F194C"/>
    <w:rsid w:val="008F1B78"/>
    <w:rsid w:val="008F1CCC"/>
    <w:rsid w:val="008F2967"/>
    <w:rsid w:val="008F54A6"/>
    <w:rsid w:val="008F6EF7"/>
    <w:rsid w:val="008F734B"/>
    <w:rsid w:val="00902CD7"/>
    <w:rsid w:val="0090383B"/>
    <w:rsid w:val="009074DB"/>
    <w:rsid w:val="0091118C"/>
    <w:rsid w:val="009144CF"/>
    <w:rsid w:val="00916368"/>
    <w:rsid w:val="00920330"/>
    <w:rsid w:val="00920FF4"/>
    <w:rsid w:val="009219D7"/>
    <w:rsid w:val="00921D05"/>
    <w:rsid w:val="00921E60"/>
    <w:rsid w:val="009223E7"/>
    <w:rsid w:val="00922ADF"/>
    <w:rsid w:val="00922D53"/>
    <w:rsid w:val="00923B70"/>
    <w:rsid w:val="00925D2E"/>
    <w:rsid w:val="0092600B"/>
    <w:rsid w:val="00926B0E"/>
    <w:rsid w:val="00930237"/>
    <w:rsid w:val="00931DFD"/>
    <w:rsid w:val="00932BBB"/>
    <w:rsid w:val="00935351"/>
    <w:rsid w:val="00945E5A"/>
    <w:rsid w:val="00946BC7"/>
    <w:rsid w:val="00947BE9"/>
    <w:rsid w:val="00953409"/>
    <w:rsid w:val="009534B4"/>
    <w:rsid w:val="00953A33"/>
    <w:rsid w:val="009549BD"/>
    <w:rsid w:val="00961431"/>
    <w:rsid w:val="0096319D"/>
    <w:rsid w:val="00963C08"/>
    <w:rsid w:val="0096443F"/>
    <w:rsid w:val="00964B52"/>
    <w:rsid w:val="00964F68"/>
    <w:rsid w:val="009707B8"/>
    <w:rsid w:val="00974DBB"/>
    <w:rsid w:val="0097757A"/>
    <w:rsid w:val="0099110E"/>
    <w:rsid w:val="0099352E"/>
    <w:rsid w:val="009935DE"/>
    <w:rsid w:val="00994189"/>
    <w:rsid w:val="009947C4"/>
    <w:rsid w:val="00995F03"/>
    <w:rsid w:val="009A4CED"/>
    <w:rsid w:val="009A5BC7"/>
    <w:rsid w:val="009A7AF4"/>
    <w:rsid w:val="009B1163"/>
    <w:rsid w:val="009B1D12"/>
    <w:rsid w:val="009B1F72"/>
    <w:rsid w:val="009B3475"/>
    <w:rsid w:val="009B416B"/>
    <w:rsid w:val="009B4DCF"/>
    <w:rsid w:val="009B68A6"/>
    <w:rsid w:val="009B7316"/>
    <w:rsid w:val="009B773D"/>
    <w:rsid w:val="009C30D9"/>
    <w:rsid w:val="009C4BD5"/>
    <w:rsid w:val="009C73EA"/>
    <w:rsid w:val="009D059A"/>
    <w:rsid w:val="009D259D"/>
    <w:rsid w:val="009D2E04"/>
    <w:rsid w:val="009D5121"/>
    <w:rsid w:val="009D7B77"/>
    <w:rsid w:val="009E0BB0"/>
    <w:rsid w:val="009E3FBB"/>
    <w:rsid w:val="009E45E7"/>
    <w:rsid w:val="009E6832"/>
    <w:rsid w:val="009F018D"/>
    <w:rsid w:val="009F0B33"/>
    <w:rsid w:val="009F357A"/>
    <w:rsid w:val="00A00338"/>
    <w:rsid w:val="00A06152"/>
    <w:rsid w:val="00A07F09"/>
    <w:rsid w:val="00A104D1"/>
    <w:rsid w:val="00A10F0E"/>
    <w:rsid w:val="00A1235B"/>
    <w:rsid w:val="00A14CAC"/>
    <w:rsid w:val="00A14DF7"/>
    <w:rsid w:val="00A20283"/>
    <w:rsid w:val="00A222B3"/>
    <w:rsid w:val="00A22542"/>
    <w:rsid w:val="00A244B6"/>
    <w:rsid w:val="00A26E24"/>
    <w:rsid w:val="00A30A28"/>
    <w:rsid w:val="00A3246D"/>
    <w:rsid w:val="00A33C78"/>
    <w:rsid w:val="00A3411A"/>
    <w:rsid w:val="00A34921"/>
    <w:rsid w:val="00A364FE"/>
    <w:rsid w:val="00A36FA7"/>
    <w:rsid w:val="00A40801"/>
    <w:rsid w:val="00A4235C"/>
    <w:rsid w:val="00A4583E"/>
    <w:rsid w:val="00A47164"/>
    <w:rsid w:val="00A475B7"/>
    <w:rsid w:val="00A47AF7"/>
    <w:rsid w:val="00A47C3E"/>
    <w:rsid w:val="00A50226"/>
    <w:rsid w:val="00A530A7"/>
    <w:rsid w:val="00A533DC"/>
    <w:rsid w:val="00A54751"/>
    <w:rsid w:val="00A5620A"/>
    <w:rsid w:val="00A60BAD"/>
    <w:rsid w:val="00A61908"/>
    <w:rsid w:val="00A644D1"/>
    <w:rsid w:val="00A73A8D"/>
    <w:rsid w:val="00A76AC1"/>
    <w:rsid w:val="00A77452"/>
    <w:rsid w:val="00A81501"/>
    <w:rsid w:val="00A81AED"/>
    <w:rsid w:val="00A8417A"/>
    <w:rsid w:val="00A87334"/>
    <w:rsid w:val="00A87C40"/>
    <w:rsid w:val="00A9717A"/>
    <w:rsid w:val="00A978AF"/>
    <w:rsid w:val="00A97CC4"/>
    <w:rsid w:val="00AA06B7"/>
    <w:rsid w:val="00AA2B92"/>
    <w:rsid w:val="00AA3EB9"/>
    <w:rsid w:val="00AA4EA7"/>
    <w:rsid w:val="00AA6E83"/>
    <w:rsid w:val="00AA7409"/>
    <w:rsid w:val="00AB23DA"/>
    <w:rsid w:val="00AC0826"/>
    <w:rsid w:val="00AC2B40"/>
    <w:rsid w:val="00AC2BB2"/>
    <w:rsid w:val="00AC2C3C"/>
    <w:rsid w:val="00AC3BD9"/>
    <w:rsid w:val="00AC3D45"/>
    <w:rsid w:val="00AC5441"/>
    <w:rsid w:val="00AC62FE"/>
    <w:rsid w:val="00AC7762"/>
    <w:rsid w:val="00AD293A"/>
    <w:rsid w:val="00AD348B"/>
    <w:rsid w:val="00AD5831"/>
    <w:rsid w:val="00AD6D83"/>
    <w:rsid w:val="00AE50EB"/>
    <w:rsid w:val="00AE5AB2"/>
    <w:rsid w:val="00AE64C5"/>
    <w:rsid w:val="00AE65EB"/>
    <w:rsid w:val="00AF0A04"/>
    <w:rsid w:val="00AF156E"/>
    <w:rsid w:val="00AF1D94"/>
    <w:rsid w:val="00AF4808"/>
    <w:rsid w:val="00AF58C1"/>
    <w:rsid w:val="00AF60C5"/>
    <w:rsid w:val="00AF69CB"/>
    <w:rsid w:val="00B009C6"/>
    <w:rsid w:val="00B00ACB"/>
    <w:rsid w:val="00B01548"/>
    <w:rsid w:val="00B01551"/>
    <w:rsid w:val="00B01654"/>
    <w:rsid w:val="00B02B54"/>
    <w:rsid w:val="00B035A9"/>
    <w:rsid w:val="00B050BF"/>
    <w:rsid w:val="00B0682F"/>
    <w:rsid w:val="00B06D60"/>
    <w:rsid w:val="00B073F3"/>
    <w:rsid w:val="00B147DA"/>
    <w:rsid w:val="00B177C5"/>
    <w:rsid w:val="00B21D29"/>
    <w:rsid w:val="00B21FC5"/>
    <w:rsid w:val="00B23323"/>
    <w:rsid w:val="00B24FF5"/>
    <w:rsid w:val="00B25034"/>
    <w:rsid w:val="00B2653B"/>
    <w:rsid w:val="00B33863"/>
    <w:rsid w:val="00B35805"/>
    <w:rsid w:val="00B371D5"/>
    <w:rsid w:val="00B37D17"/>
    <w:rsid w:val="00B4175E"/>
    <w:rsid w:val="00B45DD9"/>
    <w:rsid w:val="00B46347"/>
    <w:rsid w:val="00B4677F"/>
    <w:rsid w:val="00B46C8E"/>
    <w:rsid w:val="00B503F0"/>
    <w:rsid w:val="00B510E1"/>
    <w:rsid w:val="00B54C25"/>
    <w:rsid w:val="00B60032"/>
    <w:rsid w:val="00B603CF"/>
    <w:rsid w:val="00B63648"/>
    <w:rsid w:val="00B71020"/>
    <w:rsid w:val="00B76577"/>
    <w:rsid w:val="00B76B91"/>
    <w:rsid w:val="00B82DAB"/>
    <w:rsid w:val="00B87BB7"/>
    <w:rsid w:val="00B946A9"/>
    <w:rsid w:val="00B9484C"/>
    <w:rsid w:val="00B94CFB"/>
    <w:rsid w:val="00B9551A"/>
    <w:rsid w:val="00B961D2"/>
    <w:rsid w:val="00BA0DFC"/>
    <w:rsid w:val="00BA13AB"/>
    <w:rsid w:val="00BA5921"/>
    <w:rsid w:val="00BB22D1"/>
    <w:rsid w:val="00BB37F1"/>
    <w:rsid w:val="00BC1CAB"/>
    <w:rsid w:val="00BC622A"/>
    <w:rsid w:val="00BD0B28"/>
    <w:rsid w:val="00BD1DA7"/>
    <w:rsid w:val="00BD5E0A"/>
    <w:rsid w:val="00BD6669"/>
    <w:rsid w:val="00BE0A78"/>
    <w:rsid w:val="00BE243C"/>
    <w:rsid w:val="00BE2E7F"/>
    <w:rsid w:val="00BE5C9B"/>
    <w:rsid w:val="00BE6D5C"/>
    <w:rsid w:val="00BE79F0"/>
    <w:rsid w:val="00BF046D"/>
    <w:rsid w:val="00BF105A"/>
    <w:rsid w:val="00BF1D49"/>
    <w:rsid w:val="00BF43F2"/>
    <w:rsid w:val="00BF5D04"/>
    <w:rsid w:val="00C00E3E"/>
    <w:rsid w:val="00C13563"/>
    <w:rsid w:val="00C14835"/>
    <w:rsid w:val="00C1617C"/>
    <w:rsid w:val="00C23477"/>
    <w:rsid w:val="00C24FC6"/>
    <w:rsid w:val="00C26918"/>
    <w:rsid w:val="00C2765B"/>
    <w:rsid w:val="00C3408D"/>
    <w:rsid w:val="00C3592C"/>
    <w:rsid w:val="00C404A6"/>
    <w:rsid w:val="00C40A36"/>
    <w:rsid w:val="00C44419"/>
    <w:rsid w:val="00C44DFD"/>
    <w:rsid w:val="00C45E7B"/>
    <w:rsid w:val="00C46CE1"/>
    <w:rsid w:val="00C471B1"/>
    <w:rsid w:val="00C4743E"/>
    <w:rsid w:val="00C50E5C"/>
    <w:rsid w:val="00C55F0F"/>
    <w:rsid w:val="00C567F5"/>
    <w:rsid w:val="00C57487"/>
    <w:rsid w:val="00C6316B"/>
    <w:rsid w:val="00C634A9"/>
    <w:rsid w:val="00C65DE4"/>
    <w:rsid w:val="00C6707D"/>
    <w:rsid w:val="00C71313"/>
    <w:rsid w:val="00C720E5"/>
    <w:rsid w:val="00C72FD7"/>
    <w:rsid w:val="00C734C5"/>
    <w:rsid w:val="00C74357"/>
    <w:rsid w:val="00C7475B"/>
    <w:rsid w:val="00C74FC6"/>
    <w:rsid w:val="00C76805"/>
    <w:rsid w:val="00C772FF"/>
    <w:rsid w:val="00C7733B"/>
    <w:rsid w:val="00C77E84"/>
    <w:rsid w:val="00C801AF"/>
    <w:rsid w:val="00C80256"/>
    <w:rsid w:val="00C83505"/>
    <w:rsid w:val="00C85953"/>
    <w:rsid w:val="00C87DC4"/>
    <w:rsid w:val="00C9576C"/>
    <w:rsid w:val="00C95B1A"/>
    <w:rsid w:val="00C95B87"/>
    <w:rsid w:val="00C95E64"/>
    <w:rsid w:val="00C960C6"/>
    <w:rsid w:val="00C96377"/>
    <w:rsid w:val="00CA2BA9"/>
    <w:rsid w:val="00CA4401"/>
    <w:rsid w:val="00CA54D3"/>
    <w:rsid w:val="00CA7F9C"/>
    <w:rsid w:val="00CB0AA7"/>
    <w:rsid w:val="00CB6BC0"/>
    <w:rsid w:val="00CB73C5"/>
    <w:rsid w:val="00CC1B7C"/>
    <w:rsid w:val="00CC727F"/>
    <w:rsid w:val="00CD0447"/>
    <w:rsid w:val="00CD0F65"/>
    <w:rsid w:val="00CD1F02"/>
    <w:rsid w:val="00CD2072"/>
    <w:rsid w:val="00CD27AC"/>
    <w:rsid w:val="00CD3092"/>
    <w:rsid w:val="00CD30CC"/>
    <w:rsid w:val="00CD68D9"/>
    <w:rsid w:val="00CD6FCC"/>
    <w:rsid w:val="00CE1BC4"/>
    <w:rsid w:val="00CE411F"/>
    <w:rsid w:val="00CE5067"/>
    <w:rsid w:val="00CE5BB0"/>
    <w:rsid w:val="00CF15C3"/>
    <w:rsid w:val="00CF173D"/>
    <w:rsid w:val="00CF2B6F"/>
    <w:rsid w:val="00CF3A52"/>
    <w:rsid w:val="00CF4791"/>
    <w:rsid w:val="00CF4B64"/>
    <w:rsid w:val="00CF51F3"/>
    <w:rsid w:val="00CF52A9"/>
    <w:rsid w:val="00D00216"/>
    <w:rsid w:val="00D017ED"/>
    <w:rsid w:val="00D02EAF"/>
    <w:rsid w:val="00D11F5C"/>
    <w:rsid w:val="00D13180"/>
    <w:rsid w:val="00D13718"/>
    <w:rsid w:val="00D153B1"/>
    <w:rsid w:val="00D20C54"/>
    <w:rsid w:val="00D216F6"/>
    <w:rsid w:val="00D224FE"/>
    <w:rsid w:val="00D229BA"/>
    <w:rsid w:val="00D23557"/>
    <w:rsid w:val="00D25F22"/>
    <w:rsid w:val="00D27857"/>
    <w:rsid w:val="00D30526"/>
    <w:rsid w:val="00D32545"/>
    <w:rsid w:val="00D32E1A"/>
    <w:rsid w:val="00D33AB0"/>
    <w:rsid w:val="00D361F6"/>
    <w:rsid w:val="00D3646E"/>
    <w:rsid w:val="00D5143C"/>
    <w:rsid w:val="00D51F5C"/>
    <w:rsid w:val="00D53167"/>
    <w:rsid w:val="00D535C0"/>
    <w:rsid w:val="00D54788"/>
    <w:rsid w:val="00D54AF1"/>
    <w:rsid w:val="00D54BB5"/>
    <w:rsid w:val="00D55652"/>
    <w:rsid w:val="00D55C5A"/>
    <w:rsid w:val="00D56F43"/>
    <w:rsid w:val="00D571C5"/>
    <w:rsid w:val="00D636FB"/>
    <w:rsid w:val="00D63C01"/>
    <w:rsid w:val="00D64401"/>
    <w:rsid w:val="00D6493E"/>
    <w:rsid w:val="00D660E3"/>
    <w:rsid w:val="00D76A8A"/>
    <w:rsid w:val="00D82514"/>
    <w:rsid w:val="00D8305D"/>
    <w:rsid w:val="00D83A89"/>
    <w:rsid w:val="00D84F17"/>
    <w:rsid w:val="00D85417"/>
    <w:rsid w:val="00D9141E"/>
    <w:rsid w:val="00D92E7D"/>
    <w:rsid w:val="00D963B2"/>
    <w:rsid w:val="00DA1124"/>
    <w:rsid w:val="00DA24C7"/>
    <w:rsid w:val="00DA381C"/>
    <w:rsid w:val="00DA4CD9"/>
    <w:rsid w:val="00DA60A9"/>
    <w:rsid w:val="00DA643B"/>
    <w:rsid w:val="00DA7E81"/>
    <w:rsid w:val="00DB0C42"/>
    <w:rsid w:val="00DB6E9E"/>
    <w:rsid w:val="00DC001C"/>
    <w:rsid w:val="00DC1170"/>
    <w:rsid w:val="00DC2313"/>
    <w:rsid w:val="00DC327A"/>
    <w:rsid w:val="00DC7527"/>
    <w:rsid w:val="00DD42F9"/>
    <w:rsid w:val="00DD75A3"/>
    <w:rsid w:val="00DD76DE"/>
    <w:rsid w:val="00DD7BDB"/>
    <w:rsid w:val="00DE02AE"/>
    <w:rsid w:val="00DE3C40"/>
    <w:rsid w:val="00DE6A0C"/>
    <w:rsid w:val="00DE6C04"/>
    <w:rsid w:val="00DE6E5C"/>
    <w:rsid w:val="00DE7F21"/>
    <w:rsid w:val="00DF1D7F"/>
    <w:rsid w:val="00DF2353"/>
    <w:rsid w:val="00DF45B9"/>
    <w:rsid w:val="00DF6BE8"/>
    <w:rsid w:val="00E01CD9"/>
    <w:rsid w:val="00E026FF"/>
    <w:rsid w:val="00E02FB4"/>
    <w:rsid w:val="00E055E5"/>
    <w:rsid w:val="00E05FB6"/>
    <w:rsid w:val="00E1159A"/>
    <w:rsid w:val="00E1198B"/>
    <w:rsid w:val="00E11E4D"/>
    <w:rsid w:val="00E1340C"/>
    <w:rsid w:val="00E14B66"/>
    <w:rsid w:val="00E177F4"/>
    <w:rsid w:val="00E20571"/>
    <w:rsid w:val="00E213E0"/>
    <w:rsid w:val="00E21651"/>
    <w:rsid w:val="00E22953"/>
    <w:rsid w:val="00E234BA"/>
    <w:rsid w:val="00E235F7"/>
    <w:rsid w:val="00E239D4"/>
    <w:rsid w:val="00E2461F"/>
    <w:rsid w:val="00E262F9"/>
    <w:rsid w:val="00E30C88"/>
    <w:rsid w:val="00E30E9A"/>
    <w:rsid w:val="00E32A5C"/>
    <w:rsid w:val="00E33765"/>
    <w:rsid w:val="00E36D3C"/>
    <w:rsid w:val="00E40B22"/>
    <w:rsid w:val="00E4383A"/>
    <w:rsid w:val="00E43DA6"/>
    <w:rsid w:val="00E44161"/>
    <w:rsid w:val="00E4588F"/>
    <w:rsid w:val="00E46DA3"/>
    <w:rsid w:val="00E47660"/>
    <w:rsid w:val="00E50AEB"/>
    <w:rsid w:val="00E51235"/>
    <w:rsid w:val="00E51B01"/>
    <w:rsid w:val="00E520A9"/>
    <w:rsid w:val="00E527D3"/>
    <w:rsid w:val="00E55060"/>
    <w:rsid w:val="00E6174F"/>
    <w:rsid w:val="00E65F6B"/>
    <w:rsid w:val="00E67774"/>
    <w:rsid w:val="00E67B8A"/>
    <w:rsid w:val="00E77CC2"/>
    <w:rsid w:val="00E81D95"/>
    <w:rsid w:val="00E841FB"/>
    <w:rsid w:val="00E93CAF"/>
    <w:rsid w:val="00EA16DE"/>
    <w:rsid w:val="00EA1F09"/>
    <w:rsid w:val="00EA2CE4"/>
    <w:rsid w:val="00EA406B"/>
    <w:rsid w:val="00EA41E1"/>
    <w:rsid w:val="00EA6B3C"/>
    <w:rsid w:val="00EA7A73"/>
    <w:rsid w:val="00EA7E1D"/>
    <w:rsid w:val="00EB0798"/>
    <w:rsid w:val="00EB40AD"/>
    <w:rsid w:val="00EB44EF"/>
    <w:rsid w:val="00EB49C9"/>
    <w:rsid w:val="00EB5622"/>
    <w:rsid w:val="00EB586E"/>
    <w:rsid w:val="00EB5FC8"/>
    <w:rsid w:val="00EB688C"/>
    <w:rsid w:val="00EB6CAF"/>
    <w:rsid w:val="00EC08BB"/>
    <w:rsid w:val="00EC1EA9"/>
    <w:rsid w:val="00ED555A"/>
    <w:rsid w:val="00ED5A41"/>
    <w:rsid w:val="00ED6A67"/>
    <w:rsid w:val="00EE14AA"/>
    <w:rsid w:val="00EE1EF8"/>
    <w:rsid w:val="00EE30C7"/>
    <w:rsid w:val="00EE4AFC"/>
    <w:rsid w:val="00EF3B26"/>
    <w:rsid w:val="00EF3F86"/>
    <w:rsid w:val="00EF578B"/>
    <w:rsid w:val="00EF6895"/>
    <w:rsid w:val="00EF6902"/>
    <w:rsid w:val="00EF7103"/>
    <w:rsid w:val="00EF747F"/>
    <w:rsid w:val="00F0178E"/>
    <w:rsid w:val="00F033EC"/>
    <w:rsid w:val="00F04F68"/>
    <w:rsid w:val="00F0622D"/>
    <w:rsid w:val="00F066F9"/>
    <w:rsid w:val="00F07F8D"/>
    <w:rsid w:val="00F12670"/>
    <w:rsid w:val="00F130CA"/>
    <w:rsid w:val="00F14B27"/>
    <w:rsid w:val="00F16044"/>
    <w:rsid w:val="00F21702"/>
    <w:rsid w:val="00F2301F"/>
    <w:rsid w:val="00F23399"/>
    <w:rsid w:val="00F236C1"/>
    <w:rsid w:val="00F2444C"/>
    <w:rsid w:val="00F27030"/>
    <w:rsid w:val="00F274A2"/>
    <w:rsid w:val="00F2789E"/>
    <w:rsid w:val="00F31011"/>
    <w:rsid w:val="00F311D7"/>
    <w:rsid w:val="00F3148D"/>
    <w:rsid w:val="00F31AD1"/>
    <w:rsid w:val="00F3312C"/>
    <w:rsid w:val="00F33B20"/>
    <w:rsid w:val="00F3504F"/>
    <w:rsid w:val="00F35298"/>
    <w:rsid w:val="00F3529E"/>
    <w:rsid w:val="00F35F44"/>
    <w:rsid w:val="00F3640E"/>
    <w:rsid w:val="00F36ECB"/>
    <w:rsid w:val="00F37E16"/>
    <w:rsid w:val="00F401EF"/>
    <w:rsid w:val="00F427F0"/>
    <w:rsid w:val="00F42DB4"/>
    <w:rsid w:val="00F4430C"/>
    <w:rsid w:val="00F47E37"/>
    <w:rsid w:val="00F508CE"/>
    <w:rsid w:val="00F514D2"/>
    <w:rsid w:val="00F520C9"/>
    <w:rsid w:val="00F5215E"/>
    <w:rsid w:val="00F54CA9"/>
    <w:rsid w:val="00F54E54"/>
    <w:rsid w:val="00F55352"/>
    <w:rsid w:val="00F55C64"/>
    <w:rsid w:val="00F56B9D"/>
    <w:rsid w:val="00F61E50"/>
    <w:rsid w:val="00F640B6"/>
    <w:rsid w:val="00F701EA"/>
    <w:rsid w:val="00F70A78"/>
    <w:rsid w:val="00F70BA7"/>
    <w:rsid w:val="00F71E1E"/>
    <w:rsid w:val="00F73025"/>
    <w:rsid w:val="00F80DAB"/>
    <w:rsid w:val="00F80E40"/>
    <w:rsid w:val="00F850D1"/>
    <w:rsid w:val="00F859D2"/>
    <w:rsid w:val="00F864A8"/>
    <w:rsid w:val="00F86FCB"/>
    <w:rsid w:val="00F8709D"/>
    <w:rsid w:val="00F9022D"/>
    <w:rsid w:val="00F916D3"/>
    <w:rsid w:val="00F91CFB"/>
    <w:rsid w:val="00F91ED1"/>
    <w:rsid w:val="00F9276C"/>
    <w:rsid w:val="00FA2B8E"/>
    <w:rsid w:val="00FA43E5"/>
    <w:rsid w:val="00FA470C"/>
    <w:rsid w:val="00FA5B82"/>
    <w:rsid w:val="00FA5E6C"/>
    <w:rsid w:val="00FA639E"/>
    <w:rsid w:val="00FB004C"/>
    <w:rsid w:val="00FB26CD"/>
    <w:rsid w:val="00FB5FD6"/>
    <w:rsid w:val="00FB6077"/>
    <w:rsid w:val="00FC03C8"/>
    <w:rsid w:val="00FC0D1A"/>
    <w:rsid w:val="00FC1750"/>
    <w:rsid w:val="00FC25E4"/>
    <w:rsid w:val="00FC47EF"/>
    <w:rsid w:val="00FC48D5"/>
    <w:rsid w:val="00FC4EF7"/>
    <w:rsid w:val="00FD66E9"/>
    <w:rsid w:val="00FE1DEE"/>
    <w:rsid w:val="00FE206C"/>
    <w:rsid w:val="00FE3EE7"/>
    <w:rsid w:val="00FE48FE"/>
    <w:rsid w:val="00FE501F"/>
    <w:rsid w:val="00FE6716"/>
    <w:rsid w:val="00FE6A32"/>
    <w:rsid w:val="00FE6ECE"/>
    <w:rsid w:val="00FF1E4B"/>
    <w:rsid w:val="00FF2126"/>
    <w:rsid w:val="00FF2993"/>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64" fill="f" fillcolor="#c6d4e9" strokecolor="#002c47">
      <v:fill color="#c6d4e9" on="f"/>
      <v:stroke color="#002c47"/>
    </o:shapedefaults>
    <o:shapelayout v:ext="edit">
      <o:idmap v:ext="edit" data="1"/>
    </o:shapelayout>
  </w:shapeDefaults>
  <w:decimalSymbol w:val="."/>
  <w:listSeparator w:val=","/>
  <w14:docId w14:val="4741E856"/>
  <w15:docId w15:val="{03D995E4-FCF3-458F-A69F-86B6E979D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F260A"/>
    <w:pPr>
      <w:spacing w:before="12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F401EF"/>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F401EF"/>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CB73C5"/>
    <w:rPr>
      <w:rFonts w:ascii="Arial" w:eastAsia="Times New Roman" w:hAnsi="Arial"/>
      <w:b/>
      <w:bCs/>
      <w:sz w:val="38"/>
      <w:szCs w:val="38"/>
      <w:lang w:eastAsia="en-US"/>
    </w:rPr>
  </w:style>
  <w:style w:type="character" w:customStyle="1" w:styleId="Heading3Char">
    <w:name w:val="Heading 3 Char"/>
    <w:basedOn w:val="DefaultParagraphFont"/>
    <w:link w:val="Heading3"/>
    <w:rsid w:val="00CB73C5"/>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AF69CB"/>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592C"/>
    <w:pPr>
      <w:numPr>
        <w:numId w:val="14"/>
      </w:numPr>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FA2B8E"/>
    <w:pPr>
      <w:numPr>
        <w:numId w:val="18"/>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Normal"/>
    <w:uiPriority w:val="3"/>
    <w:qFormat/>
    <w:rsid w:val="00FA2B8E"/>
    <w:pPr>
      <w:numPr>
        <w:numId w:val="19"/>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AF69CB"/>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AF69CB"/>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F401EF"/>
    <w:pPr>
      <w:keepLines/>
      <w:spacing w:before="0" w:after="0"/>
    </w:pPr>
    <w:rPr>
      <w:sz w:val="20"/>
    </w:rPr>
  </w:style>
  <w:style w:type="character" w:customStyle="1" w:styleId="FootnoteTextChar">
    <w:name w:val="Footnote Text Char"/>
    <w:basedOn w:val="DefaultParagraphFont"/>
    <w:link w:val="FootnoteText"/>
    <w:uiPriority w:val="99"/>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AF69CB"/>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unhideWhenUsed/>
    <w:rsid w:val="0045040C"/>
    <w:pPr>
      <w:spacing w:line="240" w:lineRule="auto"/>
    </w:pPr>
    <w:rPr>
      <w:sz w:val="20"/>
    </w:rPr>
  </w:style>
  <w:style w:type="character" w:customStyle="1" w:styleId="CommentTextChar">
    <w:name w:val="Comment Text Char"/>
    <w:basedOn w:val="DefaultParagraphFont"/>
    <w:link w:val="CommentText"/>
    <w:uiPriority w:val="99"/>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styleId="ListParagraph">
    <w:name w:val="List Paragraph"/>
    <w:basedOn w:val="Normal"/>
    <w:uiPriority w:val="34"/>
    <w:qFormat/>
    <w:rsid w:val="00A978AF"/>
    <w:pPr>
      <w:ind w:left="720"/>
      <w:contextualSpacing/>
    </w:pPr>
  </w:style>
  <w:style w:type="paragraph" w:styleId="Revision">
    <w:name w:val="Revision"/>
    <w:hidden/>
    <w:uiPriority w:val="99"/>
    <w:semiHidden/>
    <w:rsid w:val="006A41B6"/>
    <w:rPr>
      <w:sz w:val="22"/>
      <w:lang w:eastAsia="en-US"/>
    </w:rPr>
  </w:style>
  <w:style w:type="character" w:styleId="HTMLCite">
    <w:name w:val="HTML Cite"/>
    <w:basedOn w:val="DefaultParagraphFont"/>
    <w:uiPriority w:val="99"/>
    <w:semiHidden/>
    <w:unhideWhenUsed/>
    <w:rsid w:val="008B54E1"/>
    <w:rPr>
      <w:i/>
      <w:iCs/>
    </w:rPr>
  </w:style>
  <w:style w:type="character" w:customStyle="1" w:styleId="highwire-access-icon">
    <w:name w:val="highwire-access-icon"/>
    <w:basedOn w:val="DefaultParagraphFont"/>
    <w:rsid w:val="008B54E1"/>
  </w:style>
  <w:style w:type="character" w:customStyle="1" w:styleId="name">
    <w:name w:val="name"/>
    <w:basedOn w:val="DefaultParagraphFont"/>
    <w:rsid w:val="008B54E1"/>
  </w:style>
  <w:style w:type="character" w:customStyle="1" w:styleId="author">
    <w:name w:val="author"/>
    <w:basedOn w:val="DefaultParagraphFont"/>
    <w:rsid w:val="003D56EA"/>
  </w:style>
  <w:style w:type="character" w:customStyle="1" w:styleId="chaptertitle">
    <w:name w:val="chaptertitle"/>
    <w:basedOn w:val="DefaultParagraphFont"/>
    <w:rsid w:val="003D56EA"/>
  </w:style>
  <w:style w:type="character" w:customStyle="1" w:styleId="editor">
    <w:name w:val="editor"/>
    <w:basedOn w:val="DefaultParagraphFont"/>
    <w:rsid w:val="003D56EA"/>
  </w:style>
  <w:style w:type="character" w:customStyle="1" w:styleId="booktitle">
    <w:name w:val="booktitle"/>
    <w:basedOn w:val="DefaultParagraphFont"/>
    <w:rsid w:val="003D56EA"/>
  </w:style>
  <w:style w:type="character" w:customStyle="1" w:styleId="publisherlocation">
    <w:name w:val="publisherlocation"/>
    <w:basedOn w:val="DefaultParagraphFont"/>
    <w:rsid w:val="003D56EA"/>
  </w:style>
  <w:style w:type="character" w:customStyle="1" w:styleId="pubyear">
    <w:name w:val="pubyear"/>
    <w:basedOn w:val="DefaultParagraphFont"/>
    <w:rsid w:val="003D56EA"/>
  </w:style>
  <w:style w:type="character" w:customStyle="1" w:styleId="pagefirst">
    <w:name w:val="pagefirst"/>
    <w:basedOn w:val="DefaultParagraphFont"/>
    <w:rsid w:val="003D56EA"/>
  </w:style>
  <w:style w:type="character" w:customStyle="1" w:styleId="pagelast">
    <w:name w:val="pagelast"/>
    <w:basedOn w:val="DefaultParagraphFont"/>
    <w:rsid w:val="003D56EA"/>
  </w:style>
  <w:style w:type="character" w:styleId="EndnoteReference">
    <w:name w:val="endnote reference"/>
    <w:basedOn w:val="DefaultParagraphFont"/>
    <w:uiPriority w:val="99"/>
    <w:semiHidden/>
    <w:unhideWhenUsed/>
    <w:rsid w:val="00F130CA"/>
    <w:rPr>
      <w:vertAlign w:val="superscript"/>
    </w:rPr>
  </w:style>
  <w:style w:type="paragraph" w:styleId="NormalWeb">
    <w:name w:val="Normal (Web)"/>
    <w:basedOn w:val="Normal"/>
    <w:uiPriority w:val="99"/>
    <w:unhideWhenUsed/>
    <w:rsid w:val="00D660E3"/>
    <w:pPr>
      <w:spacing w:before="100" w:beforeAutospacing="1" w:after="100" w:afterAutospacing="1" w:line="240" w:lineRule="auto"/>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207384">
      <w:bodyDiv w:val="1"/>
      <w:marLeft w:val="0"/>
      <w:marRight w:val="0"/>
      <w:marTop w:val="0"/>
      <w:marBottom w:val="0"/>
      <w:divBdr>
        <w:top w:val="none" w:sz="0" w:space="0" w:color="auto"/>
        <w:left w:val="none" w:sz="0" w:space="0" w:color="auto"/>
        <w:bottom w:val="none" w:sz="0" w:space="0" w:color="auto"/>
        <w:right w:val="none" w:sz="0" w:space="0" w:color="auto"/>
      </w:divBdr>
    </w:div>
    <w:div w:id="455409706">
      <w:bodyDiv w:val="1"/>
      <w:marLeft w:val="0"/>
      <w:marRight w:val="0"/>
      <w:marTop w:val="0"/>
      <w:marBottom w:val="0"/>
      <w:divBdr>
        <w:top w:val="none" w:sz="0" w:space="0" w:color="auto"/>
        <w:left w:val="none" w:sz="0" w:space="0" w:color="auto"/>
        <w:bottom w:val="none" w:sz="0" w:space="0" w:color="auto"/>
        <w:right w:val="none" w:sz="0" w:space="0" w:color="auto"/>
      </w:divBdr>
      <w:divsChild>
        <w:div w:id="1408259648">
          <w:marLeft w:val="0"/>
          <w:marRight w:val="0"/>
          <w:marTop w:val="0"/>
          <w:marBottom w:val="0"/>
          <w:divBdr>
            <w:top w:val="none" w:sz="0" w:space="0" w:color="auto"/>
            <w:left w:val="none" w:sz="0" w:space="0" w:color="auto"/>
            <w:bottom w:val="none" w:sz="0" w:space="0" w:color="auto"/>
            <w:right w:val="none" w:sz="0" w:space="0" w:color="auto"/>
          </w:divBdr>
          <w:divsChild>
            <w:div w:id="1855918710">
              <w:marLeft w:val="0"/>
              <w:marRight w:val="0"/>
              <w:marTop w:val="0"/>
              <w:marBottom w:val="0"/>
              <w:divBdr>
                <w:top w:val="none" w:sz="0" w:space="0" w:color="auto"/>
                <w:left w:val="none" w:sz="0" w:space="0" w:color="auto"/>
                <w:bottom w:val="none" w:sz="0" w:space="0" w:color="auto"/>
                <w:right w:val="none" w:sz="0" w:space="0" w:color="auto"/>
              </w:divBdr>
              <w:divsChild>
                <w:div w:id="901794093">
                  <w:marLeft w:val="0"/>
                  <w:marRight w:val="0"/>
                  <w:marTop w:val="0"/>
                  <w:marBottom w:val="0"/>
                  <w:divBdr>
                    <w:top w:val="none" w:sz="0" w:space="0" w:color="auto"/>
                    <w:left w:val="none" w:sz="0" w:space="0" w:color="auto"/>
                    <w:bottom w:val="none" w:sz="0" w:space="0" w:color="auto"/>
                    <w:right w:val="none" w:sz="0" w:space="0" w:color="auto"/>
                  </w:divBdr>
                  <w:divsChild>
                    <w:div w:id="167418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448341">
          <w:marLeft w:val="0"/>
          <w:marRight w:val="0"/>
          <w:marTop w:val="0"/>
          <w:marBottom w:val="0"/>
          <w:divBdr>
            <w:top w:val="none" w:sz="0" w:space="0" w:color="auto"/>
            <w:left w:val="none" w:sz="0" w:space="0" w:color="auto"/>
            <w:bottom w:val="none" w:sz="0" w:space="0" w:color="auto"/>
            <w:right w:val="none" w:sz="0" w:space="0" w:color="auto"/>
          </w:divBdr>
          <w:divsChild>
            <w:div w:id="352994108">
              <w:marLeft w:val="0"/>
              <w:marRight w:val="0"/>
              <w:marTop w:val="0"/>
              <w:marBottom w:val="0"/>
              <w:divBdr>
                <w:top w:val="none" w:sz="0" w:space="0" w:color="auto"/>
                <w:left w:val="none" w:sz="0" w:space="0" w:color="auto"/>
                <w:bottom w:val="none" w:sz="0" w:space="0" w:color="auto"/>
                <w:right w:val="none" w:sz="0" w:space="0" w:color="auto"/>
              </w:divBdr>
              <w:divsChild>
                <w:div w:id="228737793">
                  <w:marLeft w:val="0"/>
                  <w:marRight w:val="0"/>
                  <w:marTop w:val="0"/>
                  <w:marBottom w:val="0"/>
                  <w:divBdr>
                    <w:top w:val="none" w:sz="0" w:space="0" w:color="auto"/>
                    <w:left w:val="none" w:sz="0" w:space="0" w:color="auto"/>
                    <w:bottom w:val="none" w:sz="0" w:space="0" w:color="auto"/>
                    <w:right w:val="none" w:sz="0" w:space="0" w:color="auto"/>
                  </w:divBdr>
                  <w:divsChild>
                    <w:div w:id="1165702588">
                      <w:marLeft w:val="0"/>
                      <w:marRight w:val="0"/>
                      <w:marTop w:val="0"/>
                      <w:marBottom w:val="300"/>
                      <w:divBdr>
                        <w:top w:val="none" w:sz="0" w:space="0" w:color="auto"/>
                        <w:left w:val="none" w:sz="0" w:space="0" w:color="auto"/>
                        <w:bottom w:val="none" w:sz="0" w:space="0" w:color="auto"/>
                        <w:right w:val="none" w:sz="0" w:space="0" w:color="auto"/>
                      </w:divBdr>
                      <w:divsChild>
                        <w:div w:id="911426186">
                          <w:marLeft w:val="0"/>
                          <w:marRight w:val="0"/>
                          <w:marTop w:val="0"/>
                          <w:marBottom w:val="0"/>
                          <w:divBdr>
                            <w:top w:val="none" w:sz="0" w:space="0" w:color="auto"/>
                            <w:left w:val="none" w:sz="0" w:space="0" w:color="auto"/>
                            <w:bottom w:val="none" w:sz="0" w:space="0" w:color="auto"/>
                            <w:right w:val="none" w:sz="0" w:space="0" w:color="auto"/>
                          </w:divBdr>
                          <w:divsChild>
                            <w:div w:id="1694067177">
                              <w:marLeft w:val="0"/>
                              <w:marRight w:val="0"/>
                              <w:marTop w:val="0"/>
                              <w:marBottom w:val="0"/>
                              <w:divBdr>
                                <w:top w:val="none" w:sz="0" w:space="0" w:color="auto"/>
                                <w:left w:val="none" w:sz="0" w:space="0" w:color="auto"/>
                                <w:bottom w:val="none" w:sz="0" w:space="0" w:color="auto"/>
                                <w:right w:val="none" w:sz="0" w:space="0" w:color="auto"/>
                              </w:divBdr>
                              <w:divsChild>
                                <w:div w:id="1222210007">
                                  <w:marLeft w:val="0"/>
                                  <w:marRight w:val="0"/>
                                  <w:marTop w:val="0"/>
                                  <w:marBottom w:val="0"/>
                                  <w:divBdr>
                                    <w:top w:val="none" w:sz="0" w:space="0" w:color="auto"/>
                                    <w:left w:val="none" w:sz="0" w:space="0" w:color="auto"/>
                                    <w:bottom w:val="none" w:sz="0" w:space="0" w:color="auto"/>
                                    <w:right w:val="none" w:sz="0" w:space="0" w:color="auto"/>
                                  </w:divBdr>
                                  <w:divsChild>
                                    <w:div w:id="964233842">
                                      <w:marLeft w:val="0"/>
                                      <w:marRight w:val="0"/>
                                      <w:marTop w:val="0"/>
                                      <w:marBottom w:val="150"/>
                                      <w:divBdr>
                                        <w:top w:val="none" w:sz="0" w:space="0" w:color="auto"/>
                                        <w:left w:val="none" w:sz="0" w:space="0" w:color="auto"/>
                                        <w:bottom w:val="none" w:sz="0" w:space="0" w:color="auto"/>
                                        <w:right w:val="none" w:sz="0" w:space="0" w:color="auto"/>
                                      </w:divBdr>
                                      <w:divsChild>
                                        <w:div w:id="848300504">
                                          <w:marLeft w:val="0"/>
                                          <w:marRight w:val="0"/>
                                          <w:marTop w:val="0"/>
                                          <w:marBottom w:val="0"/>
                                          <w:divBdr>
                                            <w:top w:val="none" w:sz="0" w:space="0" w:color="auto"/>
                                            <w:left w:val="none" w:sz="0" w:space="0" w:color="auto"/>
                                            <w:bottom w:val="none" w:sz="0" w:space="0" w:color="auto"/>
                                            <w:right w:val="none" w:sz="0" w:space="0" w:color="auto"/>
                                          </w:divBdr>
                                          <w:divsChild>
                                            <w:div w:id="2033796359">
                                              <w:marLeft w:val="0"/>
                                              <w:marRight w:val="0"/>
                                              <w:marTop w:val="0"/>
                                              <w:marBottom w:val="0"/>
                                              <w:divBdr>
                                                <w:top w:val="none" w:sz="0" w:space="0" w:color="auto"/>
                                                <w:left w:val="none" w:sz="0" w:space="0" w:color="auto"/>
                                                <w:bottom w:val="none" w:sz="0" w:space="0" w:color="auto"/>
                                                <w:right w:val="none" w:sz="0" w:space="0" w:color="auto"/>
                                              </w:divBdr>
                                              <w:divsChild>
                                                <w:div w:id="4799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hyperlink" Target="https://www.who.int/medicines/access/controlled-substances/5.2_CBD.pdf" TargetMode="External"/><Relationship Id="rId3" Type="http://schemas.openxmlformats.org/officeDocument/2006/relationships/styles" Target="styles.xml"/><Relationship Id="rId21" Type="http://schemas.openxmlformats.org/officeDocument/2006/relationships/hyperlink" Target="el://D20-434925?db=A7&amp;open" TargetMode="Externa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tg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ph.gov.au/Parliamentary_Business/Committees/Senate/Community_Affairs/Medicinalcannabis/Submissions" TargetMode="Externa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mailto:info@tga.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intranet2.central.health/https:/www.aph.gov.au/Parliamentary_Business/Committees/Senate/Community_Affairs/Medicinalcannabis" TargetMode="Externa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C7A15-D989-47CA-B340-75EB6A55A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20</Pages>
  <Words>6601</Words>
  <Characters>37626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TGA</Company>
  <LinksUpToDate>false</LinksUpToDate>
  <CharactersWithSpaces>44139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of low dose cannabidiol</dc:title>
  <dc:subject>safety review</dc:subject>
  <dc:creator>Therapeutic Goods Administration</dc:creator>
  <cp:lastPrinted>2020-03-05T07:07:00Z</cp:lastPrinted>
  <dcterms:created xsi:type="dcterms:W3CDTF">2020-04-17T03:52:00Z</dcterms:created>
  <dcterms:modified xsi:type="dcterms:W3CDTF">2020-04-23T02:34:00Z</dcterms:modified>
</cp:coreProperties>
</file>