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575CFD0" w14:textId="77777777" w:rsidTr="002B29B2">
        <w:tc>
          <w:tcPr>
            <w:tcW w:w="8720" w:type="dxa"/>
          </w:tcPr>
          <w:p w14:paraId="597AC21E" w14:textId="7FE55CE8" w:rsidR="00F401EF" w:rsidRPr="00215D48" w:rsidRDefault="00DE28C7" w:rsidP="002B29B2">
            <w:pPr>
              <w:pStyle w:val="Title"/>
            </w:pPr>
            <w:r>
              <w:t>Reclassification of medical devices that are s</w:t>
            </w:r>
            <w:r w:rsidRPr="00D50B97">
              <w:t>ubstances</w:t>
            </w:r>
            <w:r w:rsidR="0005250B">
              <w:t xml:space="preserve"> to be </w:t>
            </w:r>
            <w:r w:rsidRPr="00D50B97">
              <w:t>introduced into the body or applied to</w:t>
            </w:r>
            <w:r w:rsidR="0005250B">
              <w:t xml:space="preserve"> and absorbed by</w:t>
            </w:r>
            <w:r w:rsidRPr="00D50B97">
              <w:t xml:space="preserve"> the skin</w:t>
            </w:r>
          </w:p>
        </w:tc>
      </w:tr>
      <w:tr w:rsidR="002B29B2" w:rsidRPr="00215D48" w14:paraId="0B356A89" w14:textId="77777777" w:rsidTr="002B29B2">
        <w:trPr>
          <w:trHeight w:val="1916"/>
        </w:trPr>
        <w:tc>
          <w:tcPr>
            <w:tcW w:w="8720" w:type="dxa"/>
          </w:tcPr>
          <w:p w14:paraId="23B25361" w14:textId="67DBCD6B" w:rsidR="00F401EF" w:rsidRPr="00215D48" w:rsidRDefault="00DE28C7" w:rsidP="002B29B2">
            <w:pPr>
              <w:pStyle w:val="Subtitle"/>
              <w:ind w:left="0"/>
            </w:pPr>
            <w:r>
              <w:t>Guidance on the transitional arrangements and obligations</w:t>
            </w:r>
          </w:p>
        </w:tc>
      </w:tr>
      <w:tr w:rsidR="00DE28C7" w:rsidRPr="00215D48" w14:paraId="38EE969C" w14:textId="77777777" w:rsidTr="002B29B2">
        <w:tc>
          <w:tcPr>
            <w:tcW w:w="8720" w:type="dxa"/>
          </w:tcPr>
          <w:p w14:paraId="1B44C963" w14:textId="6D0D4EFB" w:rsidR="00DE28C7" w:rsidRPr="00215D48" w:rsidRDefault="00DE28C7" w:rsidP="00DE28C7">
            <w:pPr>
              <w:pStyle w:val="Date"/>
            </w:pPr>
            <w:r w:rsidRPr="00D86E4E">
              <w:t>Version 1.</w:t>
            </w:r>
            <w:r w:rsidR="00B97481">
              <w:t>3</w:t>
            </w:r>
            <w:r w:rsidRPr="00D86E4E">
              <w:t xml:space="preserve">, </w:t>
            </w:r>
            <w:r w:rsidR="006D6602">
              <w:t>December</w:t>
            </w:r>
            <w:r w:rsidR="00674764">
              <w:t xml:space="preserve"> </w:t>
            </w:r>
            <w:r>
              <w:t>2022</w:t>
            </w:r>
          </w:p>
        </w:tc>
      </w:tr>
    </w:tbl>
    <w:p w14:paraId="3414A8A1"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795E6AE" w14:textId="77777777" w:rsidR="005D1689" w:rsidRPr="00E1198B" w:rsidRDefault="005D1689" w:rsidP="00BA0DFC">
      <w:pPr>
        <w:pStyle w:val="LegalSubheading"/>
      </w:pPr>
      <w:r w:rsidRPr="00BA0DFC">
        <w:lastRenderedPageBreak/>
        <w:t>Copyright</w:t>
      </w:r>
    </w:p>
    <w:p w14:paraId="6CBF71E8" w14:textId="39160B9F" w:rsidR="00F274A2" w:rsidRDefault="005D1689" w:rsidP="0029069E">
      <w:pPr>
        <w:pStyle w:val="LegalCopy"/>
        <w:rPr>
          <w:rFonts w:cs="Arial"/>
        </w:rPr>
      </w:pPr>
      <w:r w:rsidRPr="00215D48">
        <w:rPr>
          <w:rFonts w:cs="Arial"/>
        </w:rPr>
        <w:t>© Commonwealth of Australia 20</w:t>
      </w:r>
      <w:r w:rsidR="00030D34">
        <w:rPr>
          <w:rFonts w:cs="Arial"/>
        </w:rPr>
        <w:t>2</w:t>
      </w:r>
      <w:r w:rsidR="00367F70">
        <w:rPr>
          <w:rFonts w:cs="Arial"/>
        </w:rPr>
        <w:t>2</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3E54C073" w14:textId="76646F6A" w:rsidR="00DE28C7" w:rsidRDefault="00DE28C7" w:rsidP="00821D79">
      <w:pPr>
        <w:pStyle w:val="LegalCopy"/>
        <w:spacing w:before="720"/>
        <w:jc w:val="center"/>
        <w:rPr>
          <w:rFonts w:cs="Arial"/>
        </w:rPr>
      </w:pPr>
      <w:r>
        <w:rPr>
          <w:noProof/>
          <w:lang w:eastAsia="en-AU"/>
        </w:rPr>
        <mc:AlternateContent>
          <mc:Choice Requires="wps">
            <w:drawing>
              <wp:inline distT="0" distB="0" distL="0" distR="0" wp14:anchorId="26653786" wp14:editId="486D1438">
                <wp:extent cx="4785995" cy="1943100"/>
                <wp:effectExtent l="0" t="0" r="146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1943100"/>
                        </a:xfrm>
                        <a:prstGeom prst="rect">
                          <a:avLst/>
                        </a:prstGeom>
                        <a:solidFill>
                          <a:schemeClr val="tx2">
                            <a:lumMod val="10000"/>
                            <a:lumOff val="90000"/>
                          </a:schemeClr>
                        </a:solidFill>
                        <a:ln w="9525">
                          <a:solidFill>
                            <a:srgbClr val="000000"/>
                          </a:solidFill>
                          <a:miter lim="800000"/>
                          <a:headEnd/>
                          <a:tailEnd/>
                        </a:ln>
                      </wps:spPr>
                      <wps:txbx>
                        <w:txbxContent>
                          <w:p w14:paraId="3DC19B7C" w14:textId="77777777" w:rsidR="00DE28C7" w:rsidRDefault="00DE28C7" w:rsidP="00D56344">
                            <w:r>
                              <w:t>The purpose of this guidance is to help sponsors and manufacturers comply with the requirements of the therapeutic goods legislation.</w:t>
                            </w:r>
                          </w:p>
                          <w:p w14:paraId="4776B81E" w14:textId="77777777" w:rsidR="00DE28C7" w:rsidRDefault="00DE28C7" w:rsidP="00D56344">
                            <w: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30822919" w14:textId="77777777" w:rsidR="00DE28C7" w:rsidRDefault="00DE28C7" w:rsidP="00D56344">
                            <w:r>
                              <w:t>This document will evolve over time and updates and clarifications will be included as required. Feedback on the guidance is always welcome.</w:t>
                            </w:r>
                          </w:p>
                          <w:p w14:paraId="0C6F6187" w14:textId="77777777" w:rsidR="00DE28C7" w:rsidRDefault="00DE28C7" w:rsidP="00DE28C7"/>
                        </w:txbxContent>
                      </wps:txbx>
                      <wps:bodyPr rot="0" vert="horz" wrap="square" lIns="91440" tIns="45720" rIns="91440" bIns="45720" anchor="t" anchorCtr="0">
                        <a:noAutofit/>
                      </wps:bodyPr>
                    </wps:wsp>
                  </a:graphicData>
                </a:graphic>
              </wp:inline>
            </w:drawing>
          </mc:Choice>
          <mc:Fallback>
            <w:pict>
              <v:shapetype w14:anchorId="26653786" id="_x0000_t202" coordsize="21600,21600" o:spt="202" path="m,l,21600r21600,l21600,xe">
                <v:stroke joinstyle="miter"/>
                <v:path gradientshapeok="t" o:connecttype="rect"/>
              </v:shapetype>
              <v:shape id="Text Box 2" o:spid="_x0000_s1026" type="#_x0000_t202" style="width:376.8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" fillcolor="#d3eeff [351]">
                <v:textbox>
                  <w:txbxContent>
                    <w:p w14:paraId="3DC19B7C" w14:textId="77777777" w:rsidR="00DE28C7" w:rsidRDefault="00DE28C7" w:rsidP="00D56344">
                      <w:r>
                        <w:t>The purpose of this guidance is to help sponsors and manufacturers comply with the requirements of the therapeutic goods legislation.</w:t>
                      </w:r>
                    </w:p>
                    <w:p w14:paraId="4776B81E" w14:textId="77777777" w:rsidR="00DE28C7" w:rsidRDefault="00DE28C7" w:rsidP="00D56344">
                      <w:r>
                        <w:t>This is a guide only, and sponsors and manufacturers are encouraged to familiarise themselves with the legislative and regulatory requirements in Australia. If necessary, seek professional advice as it is the responsibility of each sponsor and/or manufacturer to understand and comply with these requirements.</w:t>
                      </w:r>
                    </w:p>
                    <w:p w14:paraId="30822919" w14:textId="77777777" w:rsidR="00DE28C7" w:rsidRDefault="00DE28C7" w:rsidP="00D56344">
                      <w:r>
                        <w:t>This document will evolve over time and updates and clarifications will be included as required. Feedback on the guidance is always welcome.</w:t>
                      </w:r>
                    </w:p>
                    <w:p w14:paraId="0C6F6187" w14:textId="77777777" w:rsidR="00DE28C7" w:rsidRDefault="00DE28C7" w:rsidP="00DE28C7"/>
                  </w:txbxContent>
                </v:textbox>
                <w10:anchorlock/>
              </v:shape>
            </w:pict>
          </mc:Fallback>
        </mc:AlternateConten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0781C32D" w14:textId="77777777" w:rsidR="00F401EF" w:rsidRPr="00215D48" w:rsidRDefault="00F401EF" w:rsidP="00035110">
          <w:pPr>
            <w:pStyle w:val="NonTOCheading2"/>
          </w:pPr>
          <w:r w:rsidRPr="00215D48">
            <w:t>Contents</w:t>
          </w:r>
        </w:p>
        <w:p w14:paraId="3F361753" w14:textId="48C8F29E" w:rsidR="00D56344"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1838206" w:history="1">
            <w:r w:rsidR="00D56344" w:rsidRPr="00C56345">
              <w:rPr>
                <w:rStyle w:val="Hyperlink"/>
                <w:noProof/>
              </w:rPr>
              <w:t>About this guidance</w:t>
            </w:r>
            <w:r w:rsidR="00D56344">
              <w:rPr>
                <w:noProof/>
                <w:webHidden/>
              </w:rPr>
              <w:tab/>
            </w:r>
            <w:r w:rsidR="00D56344">
              <w:rPr>
                <w:noProof/>
                <w:webHidden/>
              </w:rPr>
              <w:fldChar w:fldCharType="begin"/>
            </w:r>
            <w:r w:rsidR="00D56344">
              <w:rPr>
                <w:noProof/>
                <w:webHidden/>
              </w:rPr>
              <w:instrText xml:space="preserve"> PAGEREF _Toc121838206 \h </w:instrText>
            </w:r>
            <w:r w:rsidR="00D56344">
              <w:rPr>
                <w:noProof/>
                <w:webHidden/>
              </w:rPr>
            </w:r>
            <w:r w:rsidR="00D56344">
              <w:rPr>
                <w:noProof/>
                <w:webHidden/>
              </w:rPr>
              <w:fldChar w:fldCharType="separate"/>
            </w:r>
            <w:r w:rsidR="00D56344">
              <w:rPr>
                <w:noProof/>
                <w:webHidden/>
              </w:rPr>
              <w:t>4</w:t>
            </w:r>
            <w:r w:rsidR="00D56344">
              <w:rPr>
                <w:noProof/>
                <w:webHidden/>
              </w:rPr>
              <w:fldChar w:fldCharType="end"/>
            </w:r>
          </w:hyperlink>
        </w:p>
        <w:p w14:paraId="19299269" w14:textId="7DDDCE6D"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07" w:history="1">
            <w:r w:rsidR="00D56344" w:rsidRPr="00C56345">
              <w:rPr>
                <w:rStyle w:val="Hyperlink"/>
                <w:noProof/>
              </w:rPr>
              <w:t>Background</w:t>
            </w:r>
            <w:r w:rsidR="00D56344">
              <w:rPr>
                <w:noProof/>
                <w:webHidden/>
              </w:rPr>
              <w:tab/>
            </w:r>
            <w:r w:rsidR="00D56344">
              <w:rPr>
                <w:noProof/>
                <w:webHidden/>
              </w:rPr>
              <w:fldChar w:fldCharType="begin"/>
            </w:r>
            <w:r w:rsidR="00D56344">
              <w:rPr>
                <w:noProof/>
                <w:webHidden/>
              </w:rPr>
              <w:instrText xml:space="preserve"> PAGEREF _Toc121838207 \h </w:instrText>
            </w:r>
            <w:r w:rsidR="00D56344">
              <w:rPr>
                <w:noProof/>
                <w:webHidden/>
              </w:rPr>
            </w:r>
            <w:r w:rsidR="00D56344">
              <w:rPr>
                <w:noProof/>
                <w:webHidden/>
              </w:rPr>
              <w:fldChar w:fldCharType="separate"/>
            </w:r>
            <w:r w:rsidR="00D56344">
              <w:rPr>
                <w:noProof/>
                <w:webHidden/>
              </w:rPr>
              <w:t>4</w:t>
            </w:r>
            <w:r w:rsidR="00D56344">
              <w:rPr>
                <w:noProof/>
                <w:webHidden/>
              </w:rPr>
              <w:fldChar w:fldCharType="end"/>
            </w:r>
          </w:hyperlink>
        </w:p>
        <w:p w14:paraId="6AE29604" w14:textId="13706A99"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08" w:history="1">
            <w:r w:rsidR="00D56344" w:rsidRPr="00C56345">
              <w:rPr>
                <w:rStyle w:val="Hyperlink"/>
                <w:noProof/>
              </w:rPr>
              <w:t>Requirements for reclassification</w:t>
            </w:r>
            <w:r w:rsidR="00D56344">
              <w:rPr>
                <w:noProof/>
                <w:webHidden/>
              </w:rPr>
              <w:tab/>
            </w:r>
            <w:r w:rsidR="00D56344">
              <w:rPr>
                <w:noProof/>
                <w:webHidden/>
              </w:rPr>
              <w:fldChar w:fldCharType="begin"/>
            </w:r>
            <w:r w:rsidR="00D56344">
              <w:rPr>
                <w:noProof/>
                <w:webHidden/>
              </w:rPr>
              <w:instrText xml:space="preserve"> PAGEREF _Toc121838208 \h </w:instrText>
            </w:r>
            <w:r w:rsidR="00D56344">
              <w:rPr>
                <w:noProof/>
                <w:webHidden/>
              </w:rPr>
            </w:r>
            <w:r w:rsidR="00D56344">
              <w:rPr>
                <w:noProof/>
                <w:webHidden/>
              </w:rPr>
              <w:fldChar w:fldCharType="separate"/>
            </w:r>
            <w:r w:rsidR="00D56344">
              <w:rPr>
                <w:noProof/>
                <w:webHidden/>
              </w:rPr>
              <w:t>4</w:t>
            </w:r>
            <w:r w:rsidR="00D56344">
              <w:rPr>
                <w:noProof/>
                <w:webHidden/>
              </w:rPr>
              <w:fldChar w:fldCharType="end"/>
            </w:r>
          </w:hyperlink>
        </w:p>
        <w:p w14:paraId="11A2096C" w14:textId="03DCB2E3"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09" w:history="1">
            <w:r w:rsidR="00D56344" w:rsidRPr="00C56345">
              <w:rPr>
                <w:rStyle w:val="Hyperlink"/>
                <w:noProof/>
              </w:rPr>
              <w:t>Medical devices that are substances for introduction into the body</w:t>
            </w:r>
            <w:r w:rsidR="00D56344">
              <w:rPr>
                <w:noProof/>
                <w:webHidden/>
              </w:rPr>
              <w:tab/>
            </w:r>
            <w:r w:rsidR="00D56344">
              <w:rPr>
                <w:noProof/>
                <w:webHidden/>
              </w:rPr>
              <w:fldChar w:fldCharType="begin"/>
            </w:r>
            <w:r w:rsidR="00D56344">
              <w:rPr>
                <w:noProof/>
                <w:webHidden/>
              </w:rPr>
              <w:instrText xml:space="preserve"> PAGEREF _Toc121838209 \h </w:instrText>
            </w:r>
            <w:r w:rsidR="00D56344">
              <w:rPr>
                <w:noProof/>
                <w:webHidden/>
              </w:rPr>
            </w:r>
            <w:r w:rsidR="00D56344">
              <w:rPr>
                <w:noProof/>
                <w:webHidden/>
              </w:rPr>
              <w:fldChar w:fldCharType="separate"/>
            </w:r>
            <w:r w:rsidR="00D56344">
              <w:rPr>
                <w:noProof/>
                <w:webHidden/>
              </w:rPr>
              <w:t>4</w:t>
            </w:r>
            <w:r w:rsidR="00D56344">
              <w:rPr>
                <w:noProof/>
                <w:webHidden/>
              </w:rPr>
              <w:fldChar w:fldCharType="end"/>
            </w:r>
          </w:hyperlink>
        </w:p>
        <w:p w14:paraId="1050325A" w14:textId="2CFF069C"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10" w:history="1">
            <w:r w:rsidR="00D56344" w:rsidRPr="00C56345">
              <w:rPr>
                <w:rStyle w:val="Hyperlink"/>
                <w:noProof/>
              </w:rPr>
              <w:t>Examples of devices to be reclassified</w:t>
            </w:r>
            <w:r w:rsidR="00D56344">
              <w:rPr>
                <w:noProof/>
                <w:webHidden/>
              </w:rPr>
              <w:tab/>
            </w:r>
            <w:r w:rsidR="00D56344">
              <w:rPr>
                <w:noProof/>
                <w:webHidden/>
              </w:rPr>
              <w:fldChar w:fldCharType="begin"/>
            </w:r>
            <w:r w:rsidR="00D56344">
              <w:rPr>
                <w:noProof/>
                <w:webHidden/>
              </w:rPr>
              <w:instrText xml:space="preserve"> PAGEREF _Toc121838210 \h </w:instrText>
            </w:r>
            <w:r w:rsidR="00D56344">
              <w:rPr>
                <w:noProof/>
                <w:webHidden/>
              </w:rPr>
            </w:r>
            <w:r w:rsidR="00D56344">
              <w:rPr>
                <w:noProof/>
                <w:webHidden/>
              </w:rPr>
              <w:fldChar w:fldCharType="separate"/>
            </w:r>
            <w:r w:rsidR="00D56344">
              <w:rPr>
                <w:noProof/>
                <w:webHidden/>
              </w:rPr>
              <w:t>6</w:t>
            </w:r>
            <w:r w:rsidR="00D56344">
              <w:rPr>
                <w:noProof/>
                <w:webHidden/>
              </w:rPr>
              <w:fldChar w:fldCharType="end"/>
            </w:r>
          </w:hyperlink>
        </w:p>
        <w:p w14:paraId="6FA8706C" w14:textId="457040F9" w:rsidR="00D56344" w:rsidRDefault="007807F2">
          <w:pPr>
            <w:pStyle w:val="TOC3"/>
            <w:rPr>
              <w:rFonts w:asciiTheme="minorHAnsi" w:eastAsiaTheme="minorEastAsia" w:hAnsiTheme="minorHAnsi" w:cstheme="minorBidi"/>
              <w:b w:val="0"/>
              <w:noProof/>
              <w:color w:val="auto"/>
              <w:szCs w:val="22"/>
              <w:lang w:eastAsia="en-AU"/>
            </w:rPr>
          </w:pPr>
          <w:hyperlink w:anchor="_Toc121838211" w:history="1">
            <w:r w:rsidR="00D56344" w:rsidRPr="00C56345">
              <w:rPr>
                <w:rStyle w:val="Hyperlink"/>
                <w:noProof/>
                <w:lang w:eastAsia="en-AU"/>
              </w:rPr>
              <w:t>Exceptions</w:t>
            </w:r>
            <w:r w:rsidR="00D56344">
              <w:rPr>
                <w:noProof/>
                <w:webHidden/>
              </w:rPr>
              <w:tab/>
            </w:r>
            <w:r w:rsidR="00D56344">
              <w:rPr>
                <w:noProof/>
                <w:webHidden/>
              </w:rPr>
              <w:fldChar w:fldCharType="begin"/>
            </w:r>
            <w:r w:rsidR="00D56344">
              <w:rPr>
                <w:noProof/>
                <w:webHidden/>
              </w:rPr>
              <w:instrText xml:space="preserve"> PAGEREF _Toc121838211 \h </w:instrText>
            </w:r>
            <w:r w:rsidR="00D56344">
              <w:rPr>
                <w:noProof/>
                <w:webHidden/>
              </w:rPr>
            </w:r>
            <w:r w:rsidR="00D56344">
              <w:rPr>
                <w:noProof/>
                <w:webHidden/>
              </w:rPr>
              <w:fldChar w:fldCharType="separate"/>
            </w:r>
            <w:r w:rsidR="00D56344">
              <w:rPr>
                <w:noProof/>
                <w:webHidden/>
              </w:rPr>
              <w:t>9</w:t>
            </w:r>
            <w:r w:rsidR="00D56344">
              <w:rPr>
                <w:noProof/>
                <w:webHidden/>
              </w:rPr>
              <w:fldChar w:fldCharType="end"/>
            </w:r>
          </w:hyperlink>
        </w:p>
        <w:p w14:paraId="2BEDD53F" w14:textId="10ED320B"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12" w:history="1">
            <w:r w:rsidR="00D56344" w:rsidRPr="00C56345">
              <w:rPr>
                <w:rStyle w:val="Hyperlink"/>
                <w:noProof/>
              </w:rPr>
              <w:t>Products that are medicines</w:t>
            </w:r>
            <w:r w:rsidR="00D56344">
              <w:rPr>
                <w:noProof/>
                <w:webHidden/>
              </w:rPr>
              <w:tab/>
            </w:r>
            <w:r w:rsidR="00D56344">
              <w:rPr>
                <w:noProof/>
                <w:webHidden/>
              </w:rPr>
              <w:fldChar w:fldCharType="begin"/>
            </w:r>
            <w:r w:rsidR="00D56344">
              <w:rPr>
                <w:noProof/>
                <w:webHidden/>
              </w:rPr>
              <w:instrText xml:space="preserve"> PAGEREF _Toc121838212 \h </w:instrText>
            </w:r>
            <w:r w:rsidR="00D56344">
              <w:rPr>
                <w:noProof/>
                <w:webHidden/>
              </w:rPr>
            </w:r>
            <w:r w:rsidR="00D56344">
              <w:rPr>
                <w:noProof/>
                <w:webHidden/>
              </w:rPr>
              <w:fldChar w:fldCharType="separate"/>
            </w:r>
            <w:r w:rsidR="00D56344">
              <w:rPr>
                <w:noProof/>
                <w:webHidden/>
              </w:rPr>
              <w:t>10</w:t>
            </w:r>
            <w:r w:rsidR="00D56344">
              <w:rPr>
                <w:noProof/>
                <w:webHidden/>
              </w:rPr>
              <w:fldChar w:fldCharType="end"/>
            </w:r>
          </w:hyperlink>
        </w:p>
        <w:p w14:paraId="5E1AAF05" w14:textId="5FD3908D"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13" w:history="1">
            <w:r w:rsidR="00D56344" w:rsidRPr="00C56345">
              <w:rPr>
                <w:rStyle w:val="Hyperlink"/>
                <w:noProof/>
              </w:rPr>
              <w:t>What you need to do</w:t>
            </w:r>
            <w:r w:rsidR="00D56344">
              <w:rPr>
                <w:noProof/>
                <w:webHidden/>
              </w:rPr>
              <w:tab/>
            </w:r>
            <w:r w:rsidR="00D56344">
              <w:rPr>
                <w:noProof/>
                <w:webHidden/>
              </w:rPr>
              <w:fldChar w:fldCharType="begin"/>
            </w:r>
            <w:r w:rsidR="00D56344">
              <w:rPr>
                <w:noProof/>
                <w:webHidden/>
              </w:rPr>
              <w:instrText xml:space="preserve"> PAGEREF _Toc121838213 \h </w:instrText>
            </w:r>
            <w:r w:rsidR="00D56344">
              <w:rPr>
                <w:noProof/>
                <w:webHidden/>
              </w:rPr>
            </w:r>
            <w:r w:rsidR="00D56344">
              <w:rPr>
                <w:noProof/>
                <w:webHidden/>
              </w:rPr>
              <w:fldChar w:fldCharType="separate"/>
            </w:r>
            <w:r w:rsidR="00D56344">
              <w:rPr>
                <w:noProof/>
                <w:webHidden/>
              </w:rPr>
              <w:t>11</w:t>
            </w:r>
            <w:r w:rsidR="00D56344">
              <w:rPr>
                <w:noProof/>
                <w:webHidden/>
              </w:rPr>
              <w:fldChar w:fldCharType="end"/>
            </w:r>
          </w:hyperlink>
        </w:p>
        <w:p w14:paraId="40B94A8D" w14:textId="48B45505"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14" w:history="1">
            <w:r w:rsidR="00D56344" w:rsidRPr="00C56345">
              <w:rPr>
                <w:rStyle w:val="Hyperlink"/>
                <w:noProof/>
              </w:rPr>
              <w:t>Medical devices included in the ARTG prior to 25 November 2021</w:t>
            </w:r>
            <w:r w:rsidR="00D56344">
              <w:rPr>
                <w:noProof/>
                <w:webHidden/>
              </w:rPr>
              <w:tab/>
            </w:r>
            <w:r w:rsidR="00D56344">
              <w:rPr>
                <w:noProof/>
                <w:webHidden/>
              </w:rPr>
              <w:fldChar w:fldCharType="begin"/>
            </w:r>
            <w:r w:rsidR="00D56344">
              <w:rPr>
                <w:noProof/>
                <w:webHidden/>
              </w:rPr>
              <w:instrText xml:space="preserve"> PAGEREF _Toc121838214 \h </w:instrText>
            </w:r>
            <w:r w:rsidR="00D56344">
              <w:rPr>
                <w:noProof/>
                <w:webHidden/>
              </w:rPr>
            </w:r>
            <w:r w:rsidR="00D56344">
              <w:rPr>
                <w:noProof/>
                <w:webHidden/>
              </w:rPr>
              <w:fldChar w:fldCharType="separate"/>
            </w:r>
            <w:r w:rsidR="00D56344">
              <w:rPr>
                <w:noProof/>
                <w:webHidden/>
              </w:rPr>
              <w:t>11</w:t>
            </w:r>
            <w:r w:rsidR="00D56344">
              <w:rPr>
                <w:noProof/>
                <w:webHidden/>
              </w:rPr>
              <w:fldChar w:fldCharType="end"/>
            </w:r>
          </w:hyperlink>
        </w:p>
        <w:p w14:paraId="1F6DE71B" w14:textId="0DE35761"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15" w:history="1">
            <w:r w:rsidR="00D56344" w:rsidRPr="00C56345">
              <w:rPr>
                <w:rStyle w:val="Hyperlink"/>
                <w:noProof/>
              </w:rPr>
              <w:t>Applications to include a medical device in the ARTG lodged before 25 November 2021</w:t>
            </w:r>
            <w:r w:rsidR="00D56344">
              <w:rPr>
                <w:noProof/>
                <w:webHidden/>
              </w:rPr>
              <w:tab/>
            </w:r>
            <w:r w:rsidR="00D56344">
              <w:rPr>
                <w:noProof/>
                <w:webHidden/>
              </w:rPr>
              <w:fldChar w:fldCharType="begin"/>
            </w:r>
            <w:r w:rsidR="00D56344">
              <w:rPr>
                <w:noProof/>
                <w:webHidden/>
              </w:rPr>
              <w:instrText xml:space="preserve"> PAGEREF _Toc121838215 \h </w:instrText>
            </w:r>
            <w:r w:rsidR="00D56344">
              <w:rPr>
                <w:noProof/>
                <w:webHidden/>
              </w:rPr>
            </w:r>
            <w:r w:rsidR="00D56344">
              <w:rPr>
                <w:noProof/>
                <w:webHidden/>
              </w:rPr>
              <w:fldChar w:fldCharType="separate"/>
            </w:r>
            <w:r w:rsidR="00D56344">
              <w:rPr>
                <w:noProof/>
                <w:webHidden/>
              </w:rPr>
              <w:t>11</w:t>
            </w:r>
            <w:r w:rsidR="00D56344">
              <w:rPr>
                <w:noProof/>
                <w:webHidden/>
              </w:rPr>
              <w:fldChar w:fldCharType="end"/>
            </w:r>
          </w:hyperlink>
        </w:p>
        <w:p w14:paraId="5647AF27" w14:textId="628BDEBD" w:rsidR="00D56344" w:rsidRDefault="007807F2">
          <w:pPr>
            <w:pStyle w:val="TOC3"/>
            <w:rPr>
              <w:rFonts w:asciiTheme="minorHAnsi" w:eastAsiaTheme="minorEastAsia" w:hAnsiTheme="minorHAnsi" w:cstheme="minorBidi"/>
              <w:b w:val="0"/>
              <w:noProof/>
              <w:color w:val="auto"/>
              <w:szCs w:val="22"/>
              <w:lang w:eastAsia="en-AU"/>
            </w:rPr>
          </w:pPr>
          <w:hyperlink w:anchor="_Toc121838216" w:history="1">
            <w:r w:rsidR="00D56344" w:rsidRPr="00C56345">
              <w:rPr>
                <w:rStyle w:val="Hyperlink"/>
                <w:noProof/>
              </w:rPr>
              <w:t>Cancelling your ARTG inclusion</w:t>
            </w:r>
            <w:r w:rsidR="00D56344">
              <w:rPr>
                <w:noProof/>
                <w:webHidden/>
              </w:rPr>
              <w:tab/>
            </w:r>
            <w:r w:rsidR="00D56344">
              <w:rPr>
                <w:noProof/>
                <w:webHidden/>
              </w:rPr>
              <w:fldChar w:fldCharType="begin"/>
            </w:r>
            <w:r w:rsidR="00D56344">
              <w:rPr>
                <w:noProof/>
                <w:webHidden/>
              </w:rPr>
              <w:instrText xml:space="preserve"> PAGEREF _Toc121838216 \h </w:instrText>
            </w:r>
            <w:r w:rsidR="00D56344">
              <w:rPr>
                <w:noProof/>
                <w:webHidden/>
              </w:rPr>
            </w:r>
            <w:r w:rsidR="00D56344">
              <w:rPr>
                <w:noProof/>
                <w:webHidden/>
              </w:rPr>
              <w:fldChar w:fldCharType="separate"/>
            </w:r>
            <w:r w:rsidR="00D56344">
              <w:rPr>
                <w:noProof/>
                <w:webHidden/>
              </w:rPr>
              <w:t>12</w:t>
            </w:r>
            <w:r w:rsidR="00D56344">
              <w:rPr>
                <w:noProof/>
                <w:webHidden/>
              </w:rPr>
              <w:fldChar w:fldCharType="end"/>
            </w:r>
          </w:hyperlink>
        </w:p>
        <w:p w14:paraId="17175BCA" w14:textId="744E54AF"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17" w:history="1">
            <w:r w:rsidR="00D56344" w:rsidRPr="00C56345">
              <w:rPr>
                <w:rStyle w:val="Hyperlink"/>
                <w:noProof/>
              </w:rPr>
              <w:t>Applications to include a new medical device in the ARTG on or after 25 November 2021</w:t>
            </w:r>
            <w:r w:rsidR="00D56344">
              <w:rPr>
                <w:noProof/>
                <w:webHidden/>
              </w:rPr>
              <w:tab/>
            </w:r>
            <w:r w:rsidR="00D56344">
              <w:rPr>
                <w:noProof/>
                <w:webHidden/>
              </w:rPr>
              <w:fldChar w:fldCharType="begin"/>
            </w:r>
            <w:r w:rsidR="00D56344">
              <w:rPr>
                <w:noProof/>
                <w:webHidden/>
              </w:rPr>
              <w:instrText xml:space="preserve"> PAGEREF _Toc121838217 \h </w:instrText>
            </w:r>
            <w:r w:rsidR="00D56344">
              <w:rPr>
                <w:noProof/>
                <w:webHidden/>
              </w:rPr>
            </w:r>
            <w:r w:rsidR="00D56344">
              <w:rPr>
                <w:noProof/>
                <w:webHidden/>
              </w:rPr>
              <w:fldChar w:fldCharType="separate"/>
            </w:r>
            <w:r w:rsidR="00D56344">
              <w:rPr>
                <w:noProof/>
                <w:webHidden/>
              </w:rPr>
              <w:t>12</w:t>
            </w:r>
            <w:r w:rsidR="00D56344">
              <w:rPr>
                <w:noProof/>
                <w:webHidden/>
              </w:rPr>
              <w:fldChar w:fldCharType="end"/>
            </w:r>
          </w:hyperlink>
        </w:p>
        <w:p w14:paraId="76290815" w14:textId="04D142E8"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18" w:history="1">
            <w:r w:rsidR="00D56344" w:rsidRPr="00C56345">
              <w:rPr>
                <w:rStyle w:val="Hyperlink"/>
                <w:noProof/>
              </w:rPr>
              <w:t>Application to transition</w:t>
            </w:r>
            <w:r w:rsidR="00D56344">
              <w:rPr>
                <w:noProof/>
                <w:webHidden/>
              </w:rPr>
              <w:tab/>
            </w:r>
            <w:r w:rsidR="00D56344">
              <w:rPr>
                <w:noProof/>
                <w:webHidden/>
              </w:rPr>
              <w:fldChar w:fldCharType="begin"/>
            </w:r>
            <w:r w:rsidR="00D56344">
              <w:rPr>
                <w:noProof/>
                <w:webHidden/>
              </w:rPr>
              <w:instrText xml:space="preserve"> PAGEREF _Toc121838218 \h </w:instrText>
            </w:r>
            <w:r w:rsidR="00D56344">
              <w:rPr>
                <w:noProof/>
                <w:webHidden/>
              </w:rPr>
            </w:r>
            <w:r w:rsidR="00D56344">
              <w:rPr>
                <w:noProof/>
                <w:webHidden/>
              </w:rPr>
              <w:fldChar w:fldCharType="separate"/>
            </w:r>
            <w:r w:rsidR="00D56344">
              <w:rPr>
                <w:noProof/>
                <w:webHidden/>
              </w:rPr>
              <w:t>12</w:t>
            </w:r>
            <w:r w:rsidR="00D56344">
              <w:rPr>
                <w:noProof/>
                <w:webHidden/>
              </w:rPr>
              <w:fldChar w:fldCharType="end"/>
            </w:r>
          </w:hyperlink>
        </w:p>
        <w:p w14:paraId="1F27F435" w14:textId="70BF2419" w:rsidR="00D56344" w:rsidRDefault="007807F2">
          <w:pPr>
            <w:pStyle w:val="TOC3"/>
            <w:rPr>
              <w:rFonts w:asciiTheme="minorHAnsi" w:eastAsiaTheme="minorEastAsia" w:hAnsiTheme="minorHAnsi" w:cstheme="minorBidi"/>
              <w:b w:val="0"/>
              <w:noProof/>
              <w:color w:val="auto"/>
              <w:szCs w:val="22"/>
              <w:lang w:eastAsia="en-AU"/>
            </w:rPr>
          </w:pPr>
          <w:hyperlink w:anchor="_Toc121838219" w:history="1">
            <w:r w:rsidR="00D56344" w:rsidRPr="00C56345">
              <w:rPr>
                <w:rStyle w:val="Hyperlink"/>
                <w:noProof/>
              </w:rPr>
              <w:t>Class IIa and Class IIb devices of the same kind</w:t>
            </w:r>
            <w:r w:rsidR="00D56344">
              <w:rPr>
                <w:noProof/>
                <w:webHidden/>
              </w:rPr>
              <w:tab/>
            </w:r>
            <w:r w:rsidR="00D56344">
              <w:rPr>
                <w:noProof/>
                <w:webHidden/>
              </w:rPr>
              <w:fldChar w:fldCharType="begin"/>
            </w:r>
            <w:r w:rsidR="00D56344">
              <w:rPr>
                <w:noProof/>
                <w:webHidden/>
              </w:rPr>
              <w:instrText xml:space="preserve"> PAGEREF _Toc121838219 \h </w:instrText>
            </w:r>
            <w:r w:rsidR="00D56344">
              <w:rPr>
                <w:noProof/>
                <w:webHidden/>
              </w:rPr>
            </w:r>
            <w:r w:rsidR="00D56344">
              <w:rPr>
                <w:noProof/>
                <w:webHidden/>
              </w:rPr>
              <w:fldChar w:fldCharType="separate"/>
            </w:r>
            <w:r w:rsidR="00D56344">
              <w:rPr>
                <w:noProof/>
                <w:webHidden/>
              </w:rPr>
              <w:t>12</w:t>
            </w:r>
            <w:r w:rsidR="00D56344">
              <w:rPr>
                <w:noProof/>
                <w:webHidden/>
              </w:rPr>
              <w:fldChar w:fldCharType="end"/>
            </w:r>
          </w:hyperlink>
        </w:p>
        <w:p w14:paraId="5AD0625B" w14:textId="07E54D6E"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20" w:history="1">
            <w:r w:rsidR="00D56344" w:rsidRPr="00C56345">
              <w:rPr>
                <w:rStyle w:val="Hyperlink"/>
                <w:rFonts w:asciiTheme="majorHAnsi" w:hAnsiTheme="majorHAnsi" w:cstheme="majorHAnsi"/>
                <w:noProof/>
              </w:rPr>
              <w:t>What to include in your application</w:t>
            </w:r>
            <w:r w:rsidR="00D56344">
              <w:rPr>
                <w:noProof/>
                <w:webHidden/>
              </w:rPr>
              <w:tab/>
            </w:r>
            <w:r w:rsidR="00D56344">
              <w:rPr>
                <w:noProof/>
                <w:webHidden/>
              </w:rPr>
              <w:fldChar w:fldCharType="begin"/>
            </w:r>
            <w:r w:rsidR="00D56344">
              <w:rPr>
                <w:noProof/>
                <w:webHidden/>
              </w:rPr>
              <w:instrText xml:space="preserve"> PAGEREF _Toc121838220 \h </w:instrText>
            </w:r>
            <w:r w:rsidR="00D56344">
              <w:rPr>
                <w:noProof/>
                <w:webHidden/>
              </w:rPr>
            </w:r>
            <w:r w:rsidR="00D56344">
              <w:rPr>
                <w:noProof/>
                <w:webHidden/>
              </w:rPr>
              <w:fldChar w:fldCharType="separate"/>
            </w:r>
            <w:r w:rsidR="00D56344">
              <w:rPr>
                <w:noProof/>
                <w:webHidden/>
              </w:rPr>
              <w:t>13</w:t>
            </w:r>
            <w:r w:rsidR="00D56344">
              <w:rPr>
                <w:noProof/>
                <w:webHidden/>
              </w:rPr>
              <w:fldChar w:fldCharType="end"/>
            </w:r>
          </w:hyperlink>
        </w:p>
        <w:p w14:paraId="075A1361" w14:textId="4F0837E8"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21" w:history="1">
            <w:r w:rsidR="00D56344" w:rsidRPr="00C56345">
              <w:rPr>
                <w:rStyle w:val="Hyperlink"/>
                <w:noProof/>
              </w:rPr>
              <w:t>How to submit a reclassification application</w:t>
            </w:r>
            <w:r w:rsidR="00D56344">
              <w:rPr>
                <w:noProof/>
                <w:webHidden/>
              </w:rPr>
              <w:tab/>
            </w:r>
            <w:r w:rsidR="00D56344">
              <w:rPr>
                <w:noProof/>
                <w:webHidden/>
              </w:rPr>
              <w:fldChar w:fldCharType="begin"/>
            </w:r>
            <w:r w:rsidR="00D56344">
              <w:rPr>
                <w:noProof/>
                <w:webHidden/>
              </w:rPr>
              <w:instrText xml:space="preserve"> PAGEREF _Toc121838221 \h </w:instrText>
            </w:r>
            <w:r w:rsidR="00D56344">
              <w:rPr>
                <w:noProof/>
                <w:webHidden/>
              </w:rPr>
            </w:r>
            <w:r w:rsidR="00D56344">
              <w:rPr>
                <w:noProof/>
                <w:webHidden/>
              </w:rPr>
              <w:fldChar w:fldCharType="separate"/>
            </w:r>
            <w:r w:rsidR="00D56344">
              <w:rPr>
                <w:noProof/>
                <w:webHidden/>
              </w:rPr>
              <w:t>13</w:t>
            </w:r>
            <w:r w:rsidR="00D56344">
              <w:rPr>
                <w:noProof/>
                <w:webHidden/>
              </w:rPr>
              <w:fldChar w:fldCharType="end"/>
            </w:r>
          </w:hyperlink>
        </w:p>
        <w:p w14:paraId="25A62D4F" w14:textId="13CE34B0" w:rsidR="00D56344" w:rsidRDefault="007807F2">
          <w:pPr>
            <w:pStyle w:val="TOC2"/>
            <w:rPr>
              <w:rFonts w:asciiTheme="minorHAnsi" w:eastAsiaTheme="minorEastAsia" w:hAnsiTheme="minorHAnsi" w:cstheme="minorBidi"/>
              <w:b w:val="0"/>
              <w:noProof/>
              <w:color w:val="auto"/>
              <w:sz w:val="22"/>
              <w:szCs w:val="22"/>
              <w:lang w:eastAsia="en-AU"/>
            </w:rPr>
          </w:pPr>
          <w:hyperlink w:anchor="_Toc121838222" w:history="1">
            <w:r w:rsidR="00D56344" w:rsidRPr="00C56345">
              <w:rPr>
                <w:rStyle w:val="Hyperlink"/>
                <w:noProof/>
              </w:rPr>
              <w:t>Fees</w:t>
            </w:r>
            <w:r w:rsidR="00D56344">
              <w:rPr>
                <w:noProof/>
                <w:webHidden/>
              </w:rPr>
              <w:tab/>
            </w:r>
            <w:r w:rsidR="00D56344">
              <w:rPr>
                <w:noProof/>
                <w:webHidden/>
              </w:rPr>
              <w:fldChar w:fldCharType="begin"/>
            </w:r>
            <w:r w:rsidR="00D56344">
              <w:rPr>
                <w:noProof/>
                <w:webHidden/>
              </w:rPr>
              <w:instrText xml:space="preserve"> PAGEREF _Toc121838222 \h </w:instrText>
            </w:r>
            <w:r w:rsidR="00D56344">
              <w:rPr>
                <w:noProof/>
                <w:webHidden/>
              </w:rPr>
            </w:r>
            <w:r w:rsidR="00D56344">
              <w:rPr>
                <w:noProof/>
                <w:webHidden/>
              </w:rPr>
              <w:fldChar w:fldCharType="separate"/>
            </w:r>
            <w:r w:rsidR="00D56344">
              <w:rPr>
                <w:noProof/>
                <w:webHidden/>
              </w:rPr>
              <w:t>14</w:t>
            </w:r>
            <w:r w:rsidR="00D56344">
              <w:rPr>
                <w:noProof/>
                <w:webHidden/>
              </w:rPr>
              <w:fldChar w:fldCharType="end"/>
            </w:r>
          </w:hyperlink>
        </w:p>
        <w:p w14:paraId="7324E499" w14:textId="1BFD9CBE"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23" w:history="1">
            <w:r w:rsidR="00D56344" w:rsidRPr="00C56345">
              <w:rPr>
                <w:rStyle w:val="Hyperlink"/>
                <w:noProof/>
              </w:rPr>
              <w:t>Advertising to consumers</w:t>
            </w:r>
            <w:r w:rsidR="00D56344">
              <w:rPr>
                <w:noProof/>
                <w:webHidden/>
              </w:rPr>
              <w:tab/>
            </w:r>
            <w:r w:rsidR="00D56344">
              <w:rPr>
                <w:noProof/>
                <w:webHidden/>
              </w:rPr>
              <w:fldChar w:fldCharType="begin"/>
            </w:r>
            <w:r w:rsidR="00D56344">
              <w:rPr>
                <w:noProof/>
                <w:webHidden/>
              </w:rPr>
              <w:instrText xml:space="preserve"> PAGEREF _Toc121838223 \h </w:instrText>
            </w:r>
            <w:r w:rsidR="00D56344">
              <w:rPr>
                <w:noProof/>
                <w:webHidden/>
              </w:rPr>
            </w:r>
            <w:r w:rsidR="00D56344">
              <w:rPr>
                <w:noProof/>
                <w:webHidden/>
              </w:rPr>
              <w:fldChar w:fldCharType="separate"/>
            </w:r>
            <w:r w:rsidR="00D56344">
              <w:rPr>
                <w:noProof/>
                <w:webHidden/>
              </w:rPr>
              <w:t>14</w:t>
            </w:r>
            <w:r w:rsidR="00D56344">
              <w:rPr>
                <w:noProof/>
                <w:webHidden/>
              </w:rPr>
              <w:fldChar w:fldCharType="end"/>
            </w:r>
          </w:hyperlink>
        </w:p>
        <w:p w14:paraId="6962A48F" w14:textId="02485EFD"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24" w:history="1">
            <w:r w:rsidR="00D56344" w:rsidRPr="00C56345">
              <w:rPr>
                <w:rStyle w:val="Hyperlink"/>
                <w:noProof/>
              </w:rPr>
              <w:t>If your inclusion application is not successful</w:t>
            </w:r>
            <w:r w:rsidR="00D56344">
              <w:rPr>
                <w:noProof/>
                <w:webHidden/>
              </w:rPr>
              <w:tab/>
            </w:r>
            <w:r w:rsidR="00D56344">
              <w:rPr>
                <w:noProof/>
                <w:webHidden/>
              </w:rPr>
              <w:fldChar w:fldCharType="begin"/>
            </w:r>
            <w:r w:rsidR="00D56344">
              <w:rPr>
                <w:noProof/>
                <w:webHidden/>
              </w:rPr>
              <w:instrText xml:space="preserve"> PAGEREF _Toc121838224 \h </w:instrText>
            </w:r>
            <w:r w:rsidR="00D56344">
              <w:rPr>
                <w:noProof/>
                <w:webHidden/>
              </w:rPr>
            </w:r>
            <w:r w:rsidR="00D56344">
              <w:rPr>
                <w:noProof/>
                <w:webHidden/>
              </w:rPr>
              <w:fldChar w:fldCharType="separate"/>
            </w:r>
            <w:r w:rsidR="00D56344">
              <w:rPr>
                <w:noProof/>
                <w:webHidden/>
              </w:rPr>
              <w:t>14</w:t>
            </w:r>
            <w:r w:rsidR="00D56344">
              <w:rPr>
                <w:noProof/>
                <w:webHidden/>
              </w:rPr>
              <w:fldChar w:fldCharType="end"/>
            </w:r>
          </w:hyperlink>
        </w:p>
        <w:p w14:paraId="08500035" w14:textId="1C0F05EB" w:rsidR="00D56344" w:rsidRDefault="007807F2">
          <w:pPr>
            <w:pStyle w:val="TOC1"/>
            <w:rPr>
              <w:rFonts w:asciiTheme="minorHAnsi" w:eastAsiaTheme="minorEastAsia" w:hAnsiTheme="minorHAnsi" w:cstheme="minorBidi"/>
              <w:b w:val="0"/>
              <w:noProof/>
              <w:color w:val="auto"/>
              <w:sz w:val="22"/>
              <w:szCs w:val="22"/>
              <w:lang w:eastAsia="en-AU"/>
            </w:rPr>
          </w:pPr>
          <w:hyperlink w:anchor="_Toc121838225" w:history="1">
            <w:r w:rsidR="00D56344" w:rsidRPr="00C56345">
              <w:rPr>
                <w:rStyle w:val="Hyperlink"/>
                <w:noProof/>
              </w:rPr>
              <w:t>When to cease supply using your old ARTG entry</w:t>
            </w:r>
            <w:r w:rsidR="00D56344">
              <w:rPr>
                <w:noProof/>
                <w:webHidden/>
              </w:rPr>
              <w:tab/>
            </w:r>
            <w:r w:rsidR="00D56344">
              <w:rPr>
                <w:noProof/>
                <w:webHidden/>
              </w:rPr>
              <w:fldChar w:fldCharType="begin"/>
            </w:r>
            <w:r w:rsidR="00D56344">
              <w:rPr>
                <w:noProof/>
                <w:webHidden/>
              </w:rPr>
              <w:instrText xml:space="preserve"> PAGEREF _Toc121838225 \h </w:instrText>
            </w:r>
            <w:r w:rsidR="00D56344">
              <w:rPr>
                <w:noProof/>
                <w:webHidden/>
              </w:rPr>
            </w:r>
            <w:r w:rsidR="00D56344">
              <w:rPr>
                <w:noProof/>
                <w:webHidden/>
              </w:rPr>
              <w:fldChar w:fldCharType="separate"/>
            </w:r>
            <w:r w:rsidR="00D56344">
              <w:rPr>
                <w:noProof/>
                <w:webHidden/>
              </w:rPr>
              <w:t>15</w:t>
            </w:r>
            <w:r w:rsidR="00D56344">
              <w:rPr>
                <w:noProof/>
                <w:webHidden/>
              </w:rPr>
              <w:fldChar w:fldCharType="end"/>
            </w:r>
          </w:hyperlink>
        </w:p>
        <w:p w14:paraId="32A5DFDB" w14:textId="0024A735" w:rsidR="00F401EF" w:rsidRPr="00215D48" w:rsidRDefault="00F859D2" w:rsidP="00F401EF">
          <w:r w:rsidRPr="00215D48">
            <w:fldChar w:fldCharType="end"/>
          </w:r>
        </w:p>
      </w:sdtContent>
    </w:sdt>
    <w:p w14:paraId="20899C45" w14:textId="77777777" w:rsidR="00AA3EB9" w:rsidRPr="00215D48" w:rsidRDefault="001525B4" w:rsidP="0055653F">
      <w:r w:rsidRPr="00215D48">
        <w:br w:type="page"/>
      </w:r>
    </w:p>
    <w:p w14:paraId="31FE15FC" w14:textId="77777777" w:rsidR="00DE28C7" w:rsidRDefault="00DE28C7" w:rsidP="00DE28C7">
      <w:pPr>
        <w:pStyle w:val="Heading2"/>
      </w:pPr>
      <w:bookmarkStart w:id="0" w:name="_Toc28006850"/>
      <w:bookmarkStart w:id="1" w:name="_Toc53473366"/>
      <w:bookmarkStart w:id="2" w:name="_Toc114577931"/>
      <w:bookmarkStart w:id="3" w:name="_Toc121838206"/>
      <w:bookmarkStart w:id="4" w:name="_Toc23158998"/>
      <w:bookmarkStart w:id="5" w:name="_Toc323739589"/>
      <w:bookmarkStart w:id="6" w:name="_Toc356305216"/>
      <w:r>
        <w:lastRenderedPageBreak/>
        <w:t xml:space="preserve">About this </w:t>
      </w:r>
      <w:r w:rsidRPr="00DE28C7">
        <w:t>guidance</w:t>
      </w:r>
      <w:bookmarkEnd w:id="0"/>
      <w:bookmarkEnd w:id="1"/>
      <w:bookmarkEnd w:id="2"/>
      <w:bookmarkEnd w:id="3"/>
    </w:p>
    <w:p w14:paraId="7B9E3039" w14:textId="77777777" w:rsidR="00DE28C7" w:rsidRPr="003E0A28" w:rsidRDefault="00DE28C7" w:rsidP="00D56344">
      <w:r w:rsidRPr="003E0A28">
        <w:t xml:space="preserve">This guidance aims to assist sponsors of </w:t>
      </w:r>
      <w:r w:rsidRPr="003E0A28">
        <w:rPr>
          <w:b/>
          <w:bCs/>
        </w:rPr>
        <w:t xml:space="preserve">medical devices that are substances for introduction into the body </w:t>
      </w:r>
      <w:r w:rsidRPr="003E0A28">
        <w:t>with meeting their obligations and outlines transitional arrangements to help comply with new regulations.</w:t>
      </w:r>
    </w:p>
    <w:p w14:paraId="7EACE613" w14:textId="77777777" w:rsidR="00DE28C7" w:rsidRPr="003E0A28" w:rsidRDefault="00DE28C7" w:rsidP="00D56344">
      <w:r w:rsidRPr="003E0A28">
        <w:t xml:space="preserve">From </w:t>
      </w:r>
      <w:r w:rsidRPr="003E0A28">
        <w:rPr>
          <w:b/>
        </w:rPr>
        <w:t>25 November 2021,</w:t>
      </w:r>
      <w:r w:rsidRPr="003E0A28">
        <w:t xml:space="preserve"> medical devices that are substances for introduction into the body will be required to meet regulatory requirements demonstrating the safety and performance for </w:t>
      </w:r>
      <w:r w:rsidRPr="003E0A28">
        <w:rPr>
          <w:b/>
        </w:rPr>
        <w:t>Class </w:t>
      </w:r>
      <w:proofErr w:type="spellStart"/>
      <w:r w:rsidRPr="003E0A28">
        <w:rPr>
          <w:b/>
        </w:rPr>
        <w:t>IIa</w:t>
      </w:r>
      <w:proofErr w:type="spellEnd"/>
      <w:r w:rsidRPr="003E0A28">
        <w:rPr>
          <w:b/>
        </w:rPr>
        <w:t xml:space="preserve"> (low-medium risk) or Class IIb (medium-high risk) devices.</w:t>
      </w:r>
    </w:p>
    <w:p w14:paraId="4A037258" w14:textId="77777777" w:rsidR="00DE28C7" w:rsidRPr="00821D79" w:rsidRDefault="00DE28C7" w:rsidP="00821D79">
      <w:pPr>
        <w:pStyle w:val="Heading3"/>
      </w:pPr>
      <w:bookmarkStart w:id="7" w:name="_Toc114577932"/>
      <w:bookmarkStart w:id="8" w:name="_Toc121838207"/>
      <w:bookmarkEnd w:id="4"/>
      <w:r>
        <w:t>Background</w:t>
      </w:r>
      <w:bookmarkEnd w:id="7"/>
      <w:bookmarkEnd w:id="8"/>
    </w:p>
    <w:p w14:paraId="01467529" w14:textId="77777777" w:rsidR="00DE28C7" w:rsidRPr="00D56344" w:rsidRDefault="00DE28C7" w:rsidP="00D56344">
      <w:pPr>
        <w:rPr>
          <w:rFonts w:asciiTheme="majorHAnsi" w:hAnsiTheme="majorHAnsi" w:cstheme="majorHAnsi"/>
        </w:rPr>
      </w:pPr>
      <w:r w:rsidRPr="00D56344">
        <w:rPr>
          <w:rFonts w:asciiTheme="majorHAnsi" w:hAnsiTheme="majorHAnsi" w:cstheme="majorHAnsi"/>
        </w:rPr>
        <w:t xml:space="preserve">In early 2019 Therapeutic Goods Administration (TGA) conducted a </w:t>
      </w:r>
      <w:hyperlink r:id="rId13" w:history="1">
        <w:r w:rsidRPr="00D56344">
          <w:rPr>
            <w:rStyle w:val="Hyperlink"/>
            <w:rFonts w:asciiTheme="majorHAnsi" w:hAnsiTheme="majorHAnsi" w:cstheme="majorHAnsi"/>
          </w:rPr>
          <w:t>public consultation seeking feedback</w:t>
        </w:r>
      </w:hyperlink>
      <w:r w:rsidRPr="00D56344">
        <w:rPr>
          <w:rFonts w:asciiTheme="majorHAnsi" w:hAnsiTheme="majorHAnsi" w:cstheme="majorHAnsi"/>
        </w:rPr>
        <w:t xml:space="preserve"> on a proposal to introduce new classification rules for medical devices composed of substances that are intended to be introduced into the human body through a body orifice, or applied to skin, that are absorbed or dispersed. The proposed regulatory changes supported the commitment made in the </w:t>
      </w:r>
      <w:hyperlink r:id="rId14" w:history="1">
        <w:r w:rsidRPr="00D56344">
          <w:rPr>
            <w:rStyle w:val="Hyperlink"/>
            <w:rFonts w:asciiTheme="majorHAnsi" w:hAnsiTheme="majorHAnsi" w:cstheme="majorHAnsi"/>
          </w:rPr>
          <w:t>Australian Government Response to the Review of Medicines and Medical Devices Regulation</w:t>
        </w:r>
      </w:hyperlink>
      <w:r w:rsidRPr="00D56344">
        <w:rPr>
          <w:rFonts w:asciiTheme="majorHAnsi" w:hAnsiTheme="majorHAnsi" w:cstheme="majorHAnsi"/>
        </w:rPr>
        <w:t xml:space="preserve"> to align Australian medical device regulations, where possible and appropriate, with the European Union framework.</w:t>
      </w:r>
    </w:p>
    <w:p w14:paraId="07095B8C" w14:textId="74C3EA92" w:rsidR="00DE28C7" w:rsidRPr="00D56344" w:rsidRDefault="00DE28C7" w:rsidP="00821D79">
      <w:r w:rsidRPr="00D56344">
        <w:t xml:space="preserve">Stakeholders who responded to the public consultation were broadly supportive of the proposed changes and the </w:t>
      </w:r>
      <w:hyperlink r:id="rId15" w:history="1">
        <w:r w:rsidRPr="00D56344">
          <w:rPr>
            <w:rStyle w:val="Hyperlink"/>
            <w:rFonts w:asciiTheme="majorHAnsi" w:hAnsiTheme="majorHAnsi" w:cstheme="majorHAnsi"/>
            <w:i/>
          </w:rPr>
          <w:t>Therapeutic Goods Legislation Amendment (2019 Measures No.1) Regulations 2019</w:t>
        </w:r>
      </w:hyperlink>
      <w:r w:rsidRPr="00D56344">
        <w:t xml:space="preserve"> was made on 12 December 2019.</w:t>
      </w:r>
    </w:p>
    <w:p w14:paraId="0D09BF70" w14:textId="1B0AE0D9" w:rsidR="00DE28C7" w:rsidRPr="00D56344" w:rsidRDefault="00DE28C7" w:rsidP="00D56344">
      <w:pPr>
        <w:rPr>
          <w:rFonts w:asciiTheme="majorHAnsi" w:hAnsiTheme="majorHAnsi" w:cstheme="majorHAnsi"/>
        </w:rPr>
      </w:pPr>
      <w:r w:rsidRPr="00D56344">
        <w:rPr>
          <w:rFonts w:asciiTheme="majorHAnsi" w:hAnsiTheme="majorHAnsi" w:cstheme="majorHAnsi"/>
        </w:rPr>
        <w:t xml:space="preserve">The </w:t>
      </w:r>
      <w:hyperlink r:id="rId16" w:history="1">
        <w:r w:rsidRPr="00D56344">
          <w:rPr>
            <w:rStyle w:val="Hyperlink"/>
            <w:rFonts w:asciiTheme="majorHAnsi" w:hAnsiTheme="majorHAnsi" w:cstheme="majorHAnsi"/>
          </w:rPr>
          <w:t>amendments</w:t>
        </w:r>
      </w:hyperlink>
      <w:r w:rsidRPr="00D56344">
        <w:rPr>
          <w:rFonts w:asciiTheme="majorHAnsi" w:hAnsiTheme="majorHAnsi" w:cstheme="majorHAnsi"/>
        </w:rPr>
        <w:t xml:space="preserve"> include the introduction of new classification rules for medical devices composed of substances that are intended to be introduced into the human body through a body orifice or applied to skin, to classify these devices as Class </w:t>
      </w:r>
      <w:proofErr w:type="spellStart"/>
      <w:r w:rsidRPr="00D56344">
        <w:rPr>
          <w:rFonts w:asciiTheme="majorHAnsi" w:hAnsiTheme="majorHAnsi" w:cstheme="majorHAnsi"/>
        </w:rPr>
        <w:t>IIa</w:t>
      </w:r>
      <w:proofErr w:type="spellEnd"/>
      <w:r w:rsidRPr="00D56344">
        <w:rPr>
          <w:rFonts w:asciiTheme="majorHAnsi" w:hAnsiTheme="majorHAnsi" w:cstheme="majorHAnsi"/>
        </w:rPr>
        <w:t xml:space="preserve"> (low-medium risk) or Class IIb (medium-high risk) effective from 25 November 2021.</w:t>
      </w:r>
    </w:p>
    <w:p w14:paraId="4A01E5CB" w14:textId="77777777" w:rsidR="00DE28C7" w:rsidRPr="00D56344" w:rsidRDefault="00DE28C7" w:rsidP="00D56344">
      <w:pPr>
        <w:rPr>
          <w:rFonts w:asciiTheme="majorHAnsi" w:hAnsiTheme="majorHAnsi" w:cstheme="majorHAnsi"/>
        </w:rPr>
      </w:pPr>
      <w:r w:rsidRPr="00D56344">
        <w:rPr>
          <w:rFonts w:asciiTheme="majorHAnsi" w:hAnsiTheme="majorHAnsi" w:cstheme="majorHAnsi"/>
        </w:rPr>
        <w:t xml:space="preserve">A further consultation was undertaken in July 2021, with regulatory </w:t>
      </w:r>
      <w:hyperlink r:id="rId17" w:history="1">
        <w:r w:rsidRPr="00D56344">
          <w:rPr>
            <w:rStyle w:val="Hyperlink"/>
            <w:rFonts w:asciiTheme="majorHAnsi" w:hAnsiTheme="majorHAnsi" w:cstheme="majorHAnsi"/>
          </w:rPr>
          <w:t>refinements</w:t>
        </w:r>
      </w:hyperlink>
      <w:r w:rsidRPr="00D56344">
        <w:rPr>
          <w:rFonts w:asciiTheme="majorHAnsi" w:hAnsiTheme="majorHAnsi" w:cstheme="majorHAnsi"/>
        </w:rPr>
        <w:t xml:space="preserve"> made on 29 October 2021 to provide greater clarity around the regulation of these products.</w:t>
      </w:r>
    </w:p>
    <w:p w14:paraId="45D9847C" w14:textId="77777777" w:rsidR="00DE28C7" w:rsidRDefault="00DE28C7" w:rsidP="00DE28C7">
      <w:pPr>
        <w:pStyle w:val="Heading3"/>
      </w:pPr>
      <w:bookmarkStart w:id="9" w:name="_Toc114577933"/>
      <w:bookmarkStart w:id="10" w:name="_Toc121838208"/>
      <w:r>
        <w:t>Requirements for reclassification</w:t>
      </w:r>
      <w:bookmarkEnd w:id="9"/>
      <w:bookmarkEnd w:id="10"/>
    </w:p>
    <w:p w14:paraId="44BC6236" w14:textId="77777777" w:rsidR="00DE28C7" w:rsidRDefault="00DE28C7" w:rsidP="00D56344">
      <w:r>
        <w:t>The requirements include:</w:t>
      </w:r>
    </w:p>
    <w:p w14:paraId="0A10914E" w14:textId="77777777" w:rsidR="00DE28C7" w:rsidRDefault="00DE28C7" w:rsidP="00821D79">
      <w:pPr>
        <w:pStyle w:val="ListBullet"/>
      </w:pPr>
      <w:r>
        <w:t>conformity assessment documents demonstrating procedures appropriate for a Class </w:t>
      </w:r>
      <w:proofErr w:type="spellStart"/>
      <w:r>
        <w:t>IIa</w:t>
      </w:r>
      <w:proofErr w:type="spellEnd"/>
      <w:r>
        <w:t xml:space="preserve"> or Class IIb medical device.</w:t>
      </w:r>
    </w:p>
    <w:p w14:paraId="38A30F17" w14:textId="77777777" w:rsidR="00DE28C7" w:rsidRDefault="00DE28C7" w:rsidP="00821D79">
      <w:pPr>
        <w:pStyle w:val="ListBullet"/>
      </w:pPr>
      <w:r w:rsidRPr="00C51248">
        <w:t xml:space="preserve">more </w:t>
      </w:r>
      <w:r>
        <w:t>detailed</w:t>
      </w:r>
      <w:r w:rsidRPr="00C51248">
        <w:t xml:space="preserve"> assessment of the manufacturer’s quality management systems and assessment of technical documentation related to each device</w:t>
      </w:r>
      <w:r>
        <w:t>.</w:t>
      </w:r>
    </w:p>
    <w:p w14:paraId="6286B035" w14:textId="139D61ED" w:rsidR="00DE28C7" w:rsidRDefault="00DE28C7" w:rsidP="00DE28C7">
      <w:pPr>
        <w:pStyle w:val="Heading2"/>
      </w:pPr>
      <w:bookmarkStart w:id="11" w:name="_Toc114577934"/>
      <w:bookmarkStart w:id="12" w:name="_Toc121838209"/>
      <w:r w:rsidRPr="007F2534">
        <w:t>Medical devices that are substances for introduction into the body</w:t>
      </w:r>
      <w:bookmarkEnd w:id="11"/>
      <w:bookmarkEnd w:id="12"/>
    </w:p>
    <w:p w14:paraId="6422CCB3" w14:textId="0B60976A" w:rsidR="00DE28C7" w:rsidRDefault="00DE28C7" w:rsidP="00D56344">
      <w:r>
        <w:t xml:space="preserve">Medical devices that are </w:t>
      </w:r>
      <w:r w:rsidRPr="00F134D1">
        <w:t>composed of substances</w:t>
      </w:r>
      <w:r>
        <w:t>, or combinations of substances,</w:t>
      </w:r>
      <w:r w:rsidRPr="00F134D1">
        <w:t xml:space="preserve"> </w:t>
      </w:r>
      <w:r>
        <w:t xml:space="preserve">that are </w:t>
      </w:r>
      <w:r w:rsidRPr="00F134D1">
        <w:t xml:space="preserve">introduced into the human body </w:t>
      </w:r>
      <w:r>
        <w:t>through</w:t>
      </w:r>
      <w:r w:rsidRPr="00F134D1">
        <w:t xml:space="preserve"> a body orifice</w:t>
      </w:r>
      <w:r>
        <w:t>,</w:t>
      </w:r>
      <w:r w:rsidRPr="00F134D1">
        <w:t xml:space="preserve"> or applied to</w:t>
      </w:r>
      <w:r>
        <w:t xml:space="preserve"> and absorbed by</w:t>
      </w:r>
      <w:r w:rsidRPr="00F134D1">
        <w:t xml:space="preserve"> the skin</w:t>
      </w:r>
      <w:r>
        <w:t>, may include the following products, depending on how it exerts its effect within the body:</w:t>
      </w:r>
    </w:p>
    <w:p w14:paraId="2613DB00" w14:textId="17C27F37" w:rsidR="00DE28C7" w:rsidRPr="00D56344" w:rsidRDefault="00DE28C7" w:rsidP="00821D79">
      <w:pPr>
        <w:pStyle w:val="ListBullet"/>
      </w:pPr>
      <w:r w:rsidRPr="00D56344">
        <w:t>saline solution nasal sprays</w:t>
      </w:r>
    </w:p>
    <w:p w14:paraId="62C55F06" w14:textId="1B972AB6" w:rsidR="00DE28C7" w:rsidRPr="00D56344" w:rsidRDefault="00DE28C7" w:rsidP="00821D79">
      <w:pPr>
        <w:pStyle w:val="ListBullet"/>
      </w:pPr>
      <w:r w:rsidRPr="00D56344">
        <w:t>lozenges that only exert their effect in the mouth cavity</w:t>
      </w:r>
    </w:p>
    <w:p w14:paraId="48DB42B8" w14:textId="77777777" w:rsidR="00DE28C7" w:rsidRPr="00D56344" w:rsidRDefault="00DE28C7" w:rsidP="00821D79">
      <w:pPr>
        <w:pStyle w:val="ListBullet"/>
      </w:pPr>
      <w:r w:rsidRPr="00D56344">
        <w:t>dentifrices for sensitive teeth</w:t>
      </w:r>
    </w:p>
    <w:p w14:paraId="1E9B6902" w14:textId="114E57C5" w:rsidR="00DE28C7" w:rsidRPr="00D56344" w:rsidRDefault="00DE28C7" w:rsidP="00821D79">
      <w:pPr>
        <w:pStyle w:val="ListBullet"/>
      </w:pPr>
      <w:r w:rsidRPr="00D56344">
        <w:lastRenderedPageBreak/>
        <w:t>resin-based dental materials applied to the tooth surface</w:t>
      </w:r>
    </w:p>
    <w:p w14:paraId="4B18353D" w14:textId="0589D745" w:rsidR="00DE28C7" w:rsidRPr="00D56344" w:rsidRDefault="00DE28C7" w:rsidP="00821D79">
      <w:pPr>
        <w:pStyle w:val="ListBullet"/>
      </w:pPr>
      <w:r w:rsidRPr="00D56344">
        <w:t>some wart removers</w:t>
      </w:r>
    </w:p>
    <w:p w14:paraId="7ABF31E2" w14:textId="77777777" w:rsidR="00DE28C7" w:rsidRPr="00D56344" w:rsidRDefault="00DE28C7" w:rsidP="00821D79">
      <w:pPr>
        <w:pStyle w:val="ListBullet"/>
      </w:pPr>
      <w:r w:rsidRPr="00D56344">
        <w:t>gels for vaginal discomfort (not including anti-fungal or antimicrobial chemicals)</w:t>
      </w:r>
    </w:p>
    <w:p w14:paraId="13E9AB4F" w14:textId="49549451" w:rsidR="00DE28C7" w:rsidRPr="00D56344" w:rsidRDefault="00DE28C7" w:rsidP="00821D79">
      <w:pPr>
        <w:pStyle w:val="ListBullet"/>
      </w:pPr>
      <w:r w:rsidRPr="00D56344">
        <w:t>wound protection gels and creams to treat or prevent minor skin irritations</w:t>
      </w:r>
    </w:p>
    <w:p w14:paraId="065DA116" w14:textId="4CCAB3B4" w:rsidR="00DE28C7" w:rsidRPr="00D56344" w:rsidRDefault="00DE28C7" w:rsidP="00821D79">
      <w:pPr>
        <w:pStyle w:val="ListBullet"/>
      </w:pPr>
      <w:r w:rsidRPr="00D56344">
        <w:t>products for topical use such as creams, gels, or ophthalmic solutions</w:t>
      </w:r>
    </w:p>
    <w:p w14:paraId="50F982FC" w14:textId="77777777" w:rsidR="00DE28C7" w:rsidRPr="00D56344" w:rsidRDefault="00DE28C7" w:rsidP="00821D79">
      <w:pPr>
        <w:pStyle w:val="ListBullet"/>
      </w:pPr>
      <w:r w:rsidRPr="00D56344">
        <w:t xml:space="preserve">weight loss capsules that expand in the stomach to create a feeling of satiety and are not intended to achieve their action in the body by pharmacological, </w:t>
      </w:r>
      <w:proofErr w:type="gramStart"/>
      <w:r w:rsidRPr="00D56344">
        <w:t>immunological</w:t>
      </w:r>
      <w:proofErr w:type="gramEnd"/>
      <w:r w:rsidRPr="00D56344">
        <w:t xml:space="preserve"> or metabolic means.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D56344" w14:paraId="67B6FD66" w14:textId="77777777" w:rsidTr="00CB7C09">
        <w:tc>
          <w:tcPr>
            <w:tcW w:w="1276" w:type="dxa"/>
            <w:vAlign w:val="center"/>
          </w:tcPr>
          <w:p w14:paraId="0F22EE04" w14:textId="77777777" w:rsidR="00DE28C7" w:rsidRPr="00D56344" w:rsidRDefault="00DE28C7" w:rsidP="00CB7C09">
            <w:pPr>
              <w:spacing w:before="0"/>
              <w:rPr>
                <w:rFonts w:asciiTheme="majorHAnsi" w:hAnsiTheme="majorHAnsi" w:cstheme="majorHAnsi"/>
                <w:sz w:val="20"/>
              </w:rPr>
            </w:pPr>
            <w:r w:rsidRPr="00D56344">
              <w:rPr>
                <w:rFonts w:asciiTheme="majorHAnsi" w:hAnsiTheme="majorHAnsi" w:cstheme="majorHAnsi"/>
                <w:noProof/>
                <w:sz w:val="20"/>
                <w:lang w:eastAsia="en-AU"/>
              </w:rPr>
              <w:drawing>
                <wp:inline distT="0" distB="0" distL="0" distR="0" wp14:anchorId="6A69EE78" wp14:editId="7CEE704B">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A11DB94"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t>Please note</w:t>
            </w:r>
          </w:p>
          <w:p w14:paraId="2A21AB96" w14:textId="77777777" w:rsidR="00DE28C7" w:rsidRPr="00D56344" w:rsidRDefault="00DE28C7" w:rsidP="00CB7C09">
            <w:pPr>
              <w:rPr>
                <w:rFonts w:asciiTheme="majorHAnsi" w:hAnsiTheme="majorHAnsi" w:cstheme="majorHAnsi"/>
                <w:b/>
              </w:rPr>
            </w:pPr>
            <w:r w:rsidRPr="00D56344">
              <w:rPr>
                <w:rFonts w:asciiTheme="majorHAnsi" w:hAnsiTheme="majorHAnsi" w:cstheme="majorHAnsi"/>
              </w:rPr>
              <w:t>Only those products composed of substances or of combinations of substances</w:t>
            </w:r>
            <w:r w:rsidRPr="00D56344">
              <w:rPr>
                <w:rFonts w:asciiTheme="majorHAnsi" w:hAnsiTheme="majorHAnsi" w:cstheme="majorHAnsi"/>
                <w:b/>
              </w:rPr>
              <w:t xml:space="preserve"> </w:t>
            </w:r>
            <w:r w:rsidRPr="00D56344">
              <w:rPr>
                <w:rFonts w:asciiTheme="majorHAnsi" w:hAnsiTheme="majorHAnsi" w:cstheme="majorHAnsi"/>
              </w:rPr>
              <w:t xml:space="preserve">that </w:t>
            </w:r>
            <w:r w:rsidRPr="00D56344">
              <w:rPr>
                <w:rFonts w:asciiTheme="majorHAnsi" w:hAnsiTheme="majorHAnsi" w:cstheme="majorHAnsi"/>
                <w:b/>
              </w:rPr>
              <w:t>meet the definition of a medical device</w:t>
            </w:r>
            <w:r w:rsidRPr="00D56344">
              <w:rPr>
                <w:rFonts w:asciiTheme="majorHAnsi" w:hAnsiTheme="majorHAnsi" w:cstheme="majorHAnsi"/>
              </w:rPr>
              <w:t xml:space="preserve"> </w:t>
            </w:r>
            <w:r w:rsidRPr="00D56344">
              <w:rPr>
                <w:rFonts w:asciiTheme="majorHAnsi" w:hAnsiTheme="majorHAnsi" w:cstheme="majorHAnsi"/>
                <w:b/>
                <w:bCs/>
              </w:rPr>
              <w:t>are</w:t>
            </w:r>
            <w:r w:rsidRPr="00D56344">
              <w:rPr>
                <w:rFonts w:asciiTheme="majorHAnsi" w:hAnsiTheme="majorHAnsi" w:cstheme="majorHAnsi"/>
              </w:rPr>
              <w:t xml:space="preserve"> </w:t>
            </w:r>
            <w:r w:rsidRPr="00D56344">
              <w:rPr>
                <w:rFonts w:asciiTheme="majorHAnsi" w:hAnsiTheme="majorHAnsi" w:cstheme="majorHAnsi"/>
                <w:b/>
              </w:rPr>
              <w:t>regulated as medical devices.</w:t>
            </w:r>
          </w:p>
          <w:p w14:paraId="68C065C4" w14:textId="175CD6C9"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Some products </w:t>
            </w:r>
            <w:r w:rsidRPr="00D56344">
              <w:rPr>
                <w:rFonts w:asciiTheme="majorHAnsi" w:hAnsiTheme="majorHAnsi" w:cstheme="majorHAnsi"/>
                <w:b/>
              </w:rPr>
              <w:t>may also fall under the definition of a medicine.</w:t>
            </w:r>
            <w:r w:rsidRPr="00D56344">
              <w:rPr>
                <w:rFonts w:asciiTheme="majorHAnsi" w:hAnsiTheme="majorHAnsi" w:cstheme="majorHAnsi"/>
              </w:rPr>
              <w:t xml:space="preserve"> These products are so called </w:t>
            </w:r>
            <w:r w:rsidRPr="00D56344">
              <w:rPr>
                <w:rFonts w:asciiTheme="majorHAnsi" w:hAnsiTheme="majorHAnsi" w:cstheme="majorHAnsi"/>
                <w:b/>
              </w:rPr>
              <w:t>borderline products</w:t>
            </w:r>
            <w:r w:rsidRPr="00D56344">
              <w:rPr>
                <w:rFonts w:asciiTheme="majorHAnsi" w:hAnsiTheme="majorHAnsi" w:cstheme="majorHAnsi"/>
              </w:rPr>
              <w:t xml:space="preserve"> (when it is not clear whether a given product is a medical device or a medicine). Many products that have been represented as medical devices in other jurisdictions </w:t>
            </w:r>
            <w:proofErr w:type="gramStart"/>
            <w:r w:rsidRPr="00D56344">
              <w:rPr>
                <w:rFonts w:asciiTheme="majorHAnsi" w:hAnsiTheme="majorHAnsi" w:cstheme="majorHAnsi"/>
              </w:rPr>
              <w:t>are considered to be</w:t>
            </w:r>
            <w:proofErr w:type="gramEnd"/>
            <w:r w:rsidRPr="00D56344">
              <w:rPr>
                <w:rFonts w:asciiTheme="majorHAnsi" w:hAnsiTheme="majorHAnsi" w:cstheme="majorHAnsi"/>
              </w:rPr>
              <w:t xml:space="preserve"> medicines in Australia, as their mechanism, including a chemical effect in or on the human body can be characterised as pharmacological, metabolic or immunological and is therefore inconsistent with the definition of a medical device.</w:t>
            </w:r>
          </w:p>
          <w:p w14:paraId="380D0CF6"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The regulatory pathway (medical device or medicine) for such products is determined based on the product’s primary mode of action, intended use and the manufacturer’s claims made regarding the product’s performance, based on the analysis and scientific evidence. The impact or effect the product may have or any other secondary intended purpose and dose administered should also be </w:t>
            </w:r>
            <w:proofErr w:type="gramStart"/>
            <w:r w:rsidRPr="00D56344">
              <w:rPr>
                <w:rFonts w:asciiTheme="majorHAnsi" w:hAnsiTheme="majorHAnsi" w:cstheme="majorHAnsi"/>
              </w:rPr>
              <w:t>taken into account</w:t>
            </w:r>
            <w:proofErr w:type="gramEnd"/>
            <w:r w:rsidRPr="00D56344">
              <w:rPr>
                <w:rFonts w:asciiTheme="majorHAnsi" w:hAnsiTheme="majorHAnsi" w:cstheme="majorHAnsi"/>
              </w:rPr>
              <w:t>.</w:t>
            </w:r>
          </w:p>
        </w:tc>
      </w:tr>
    </w:tbl>
    <w:bookmarkEnd w:id="5"/>
    <w:bookmarkEnd w:id="6"/>
    <w:p w14:paraId="72242F8F"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From 25 November 2021, the following classification rules will apply:</w:t>
      </w:r>
    </w:p>
    <w:p w14:paraId="7141644D" w14:textId="77777777" w:rsidR="00DE28C7" w:rsidRPr="00821D79" w:rsidRDefault="00DE28C7" w:rsidP="00821D79">
      <w:pPr>
        <w:rPr>
          <w:b/>
          <w:bCs/>
          <w:lang w:eastAsia="en-AU"/>
        </w:rPr>
      </w:pPr>
      <w:bookmarkStart w:id="13" w:name="_Toc84601467"/>
      <w:bookmarkStart w:id="14" w:name="_Toc84519666"/>
      <w:bookmarkStart w:id="15" w:name="_Hlk84586045"/>
      <w:r w:rsidRPr="00821D79">
        <w:rPr>
          <w:b/>
          <w:bCs/>
        </w:rPr>
        <w:t xml:space="preserve">Subclause </w:t>
      </w:r>
      <w:r w:rsidRPr="00821D79">
        <w:rPr>
          <w:b/>
          <w:bCs/>
          <w:lang w:eastAsia="en-AU"/>
        </w:rPr>
        <w:t>5.11 of Schedule 2 - Medical devices that are substances to be introduced into the body or applied to and absorbed by the skin</w:t>
      </w:r>
      <w:bookmarkEnd w:id="13"/>
      <w:bookmarkEnd w:id="14"/>
    </w:p>
    <w:p w14:paraId="74B1D8C7" w14:textId="63376D3A" w:rsidR="00DE28C7" w:rsidRPr="00D56344" w:rsidRDefault="00DE28C7" w:rsidP="00821D79">
      <w:pPr>
        <w:rPr>
          <w:lang w:eastAsia="en-AU"/>
        </w:rPr>
      </w:pPr>
      <w:r w:rsidRPr="00D56344">
        <w:rPr>
          <w:lang w:eastAsia="en-AU"/>
        </w:rPr>
        <w:t>If a medical device is composed of substances, or combinations of substances, that are intended to be:</w:t>
      </w:r>
    </w:p>
    <w:p w14:paraId="72807A8D" w14:textId="77777777" w:rsidR="00821D79" w:rsidRPr="00821D79" w:rsidRDefault="00DE28C7" w:rsidP="00821D79">
      <w:pPr>
        <w:pStyle w:val="Numberbullet2"/>
        <w:rPr>
          <w:i/>
          <w:iCs/>
          <w:lang w:eastAsia="en-AU"/>
        </w:rPr>
      </w:pPr>
      <w:r w:rsidRPr="00821D79">
        <w:rPr>
          <w:i/>
          <w:iCs/>
          <w:lang w:eastAsia="en-AU"/>
        </w:rPr>
        <w:t>introduced into the human body through a body orifice; or</w:t>
      </w:r>
    </w:p>
    <w:p w14:paraId="674B4F06" w14:textId="45EA5B26" w:rsidR="00DE28C7" w:rsidRPr="00821D79" w:rsidRDefault="00DE28C7" w:rsidP="00821D79">
      <w:pPr>
        <w:pStyle w:val="Numberbullet2"/>
        <w:rPr>
          <w:i/>
          <w:iCs/>
          <w:lang w:eastAsia="en-AU"/>
        </w:rPr>
      </w:pPr>
      <w:r w:rsidRPr="00821D79">
        <w:rPr>
          <w:rFonts w:asciiTheme="majorHAnsi" w:eastAsia="Times New Roman" w:hAnsiTheme="majorHAnsi" w:cstheme="majorHAnsi"/>
          <w:i/>
          <w:iCs/>
          <w:lang w:eastAsia="en-AU"/>
        </w:rPr>
        <w:t xml:space="preserve">applied to </w:t>
      </w:r>
      <w:r w:rsidRPr="00821D79">
        <w:rPr>
          <w:rFonts w:asciiTheme="majorHAnsi" w:eastAsia="Times New Roman" w:hAnsiTheme="majorHAnsi" w:cstheme="majorHAnsi"/>
          <w:i/>
          <w:iCs/>
        </w:rPr>
        <w:t>and absorbed by</w:t>
      </w:r>
      <w:r w:rsidRPr="00821D79">
        <w:rPr>
          <w:rFonts w:asciiTheme="majorHAnsi" w:eastAsia="Times New Roman" w:hAnsiTheme="majorHAnsi" w:cstheme="majorHAnsi"/>
          <w:i/>
          <w:iCs/>
          <w:lang w:eastAsia="en-AU"/>
        </w:rPr>
        <w:t xml:space="preserve"> the </w:t>
      </w:r>
      <w:proofErr w:type="gramStart"/>
      <w:r w:rsidRPr="00821D79">
        <w:rPr>
          <w:rFonts w:asciiTheme="majorHAnsi" w:eastAsia="Times New Roman" w:hAnsiTheme="majorHAnsi" w:cstheme="majorHAnsi"/>
          <w:i/>
          <w:iCs/>
          <w:lang w:eastAsia="en-AU"/>
        </w:rPr>
        <w:t>skin;</w:t>
      </w:r>
      <w:proofErr w:type="gramEnd"/>
    </w:p>
    <w:p w14:paraId="10F8BA35" w14:textId="77777777" w:rsidR="00821D79" w:rsidRPr="00821D79" w:rsidRDefault="00DE28C7" w:rsidP="00821D79">
      <w:pPr>
        <w:tabs>
          <w:tab w:val="right" w:pos="567"/>
        </w:tabs>
        <w:spacing w:before="40" w:after="0" w:line="240" w:lineRule="auto"/>
        <w:ind w:left="851"/>
        <w:rPr>
          <w:rFonts w:asciiTheme="majorHAnsi" w:eastAsia="Times New Roman" w:hAnsiTheme="majorHAnsi" w:cstheme="majorHAnsi"/>
          <w:i/>
          <w:iCs/>
          <w:lang w:eastAsia="en-AU"/>
        </w:rPr>
      </w:pPr>
      <w:r w:rsidRPr="00821D79">
        <w:rPr>
          <w:rFonts w:asciiTheme="majorHAnsi" w:eastAsia="Times New Roman" w:hAnsiTheme="majorHAnsi" w:cstheme="majorHAnsi"/>
          <w:i/>
          <w:iCs/>
          <w:lang w:eastAsia="en-AU"/>
        </w:rPr>
        <w:t>the device is classified as follows:</w:t>
      </w:r>
    </w:p>
    <w:p w14:paraId="49B68DD8" w14:textId="77777777" w:rsidR="00821D79" w:rsidRPr="00821D79" w:rsidRDefault="00DE28C7" w:rsidP="00821D79">
      <w:pPr>
        <w:pStyle w:val="Numberbullet2"/>
        <w:tabs>
          <w:tab w:val="right" w:pos="851"/>
        </w:tabs>
        <w:spacing w:before="40" w:after="0" w:line="240" w:lineRule="auto"/>
        <w:ind w:hanging="425"/>
        <w:rPr>
          <w:rFonts w:asciiTheme="majorHAnsi" w:eastAsia="Times New Roman" w:hAnsiTheme="majorHAnsi" w:cstheme="majorHAnsi"/>
          <w:i/>
          <w:iCs/>
          <w:lang w:eastAsia="en-AU"/>
        </w:rPr>
      </w:pPr>
      <w:r w:rsidRPr="00821D79">
        <w:rPr>
          <w:i/>
          <w:iCs/>
          <w:lang w:eastAsia="en-AU"/>
        </w:rPr>
        <w:t xml:space="preserve">if the device is introduced into the nasal or oral cavity as far as the pharynx, or is applied to </w:t>
      </w:r>
      <w:r w:rsidRPr="00821D79">
        <w:rPr>
          <w:i/>
          <w:iCs/>
        </w:rPr>
        <w:t>and absorbed by</w:t>
      </w:r>
      <w:r w:rsidRPr="00821D79">
        <w:rPr>
          <w:i/>
          <w:iCs/>
          <w:lang w:eastAsia="en-AU"/>
        </w:rPr>
        <w:t xml:space="preserve"> the skin, and achieves its intended purpose in that cavity or on the skin—Class </w:t>
      </w:r>
      <w:proofErr w:type="spellStart"/>
      <w:proofErr w:type="gramStart"/>
      <w:r w:rsidRPr="00821D79">
        <w:rPr>
          <w:i/>
          <w:iCs/>
          <w:lang w:eastAsia="en-AU"/>
        </w:rPr>
        <w:t>IIa</w:t>
      </w:r>
      <w:proofErr w:type="spellEnd"/>
      <w:r w:rsidRPr="00821D79">
        <w:rPr>
          <w:i/>
          <w:iCs/>
          <w:lang w:eastAsia="en-AU"/>
        </w:rPr>
        <w:t>;</w:t>
      </w:r>
      <w:proofErr w:type="gramEnd"/>
    </w:p>
    <w:p w14:paraId="21F006FA" w14:textId="53AA5CCA" w:rsidR="00DE28C7" w:rsidRPr="00821D79" w:rsidRDefault="00DE28C7" w:rsidP="00821D79">
      <w:pPr>
        <w:pStyle w:val="Numberbullet2"/>
        <w:tabs>
          <w:tab w:val="right" w:pos="851"/>
          <w:tab w:val="right" w:pos="1843"/>
        </w:tabs>
        <w:spacing w:before="40" w:after="0" w:line="240" w:lineRule="auto"/>
        <w:ind w:left="1701" w:hanging="1275"/>
        <w:rPr>
          <w:rFonts w:asciiTheme="majorHAnsi" w:eastAsia="Times New Roman" w:hAnsiTheme="majorHAnsi" w:cstheme="majorHAnsi"/>
          <w:i/>
          <w:iCs/>
          <w:lang w:eastAsia="en-AU"/>
        </w:rPr>
      </w:pPr>
      <w:r w:rsidRPr="00821D79">
        <w:rPr>
          <w:rFonts w:asciiTheme="majorHAnsi" w:eastAsia="Times New Roman" w:hAnsiTheme="majorHAnsi" w:cstheme="majorHAnsi"/>
          <w:i/>
          <w:iCs/>
          <w:lang w:eastAsia="en-AU"/>
        </w:rPr>
        <w:t>in any other case—Class IIb.</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D56344" w14:paraId="5AFBCC20" w14:textId="77777777" w:rsidTr="00CB7C09">
        <w:tc>
          <w:tcPr>
            <w:tcW w:w="1276" w:type="dxa"/>
            <w:vAlign w:val="center"/>
          </w:tcPr>
          <w:bookmarkEnd w:id="15"/>
          <w:p w14:paraId="42A9AAB2" w14:textId="77777777" w:rsidR="00DE28C7" w:rsidRPr="00D56344" w:rsidRDefault="00DE28C7" w:rsidP="00CB7C09">
            <w:pPr>
              <w:spacing w:before="0"/>
              <w:rPr>
                <w:rFonts w:asciiTheme="majorHAnsi" w:hAnsiTheme="majorHAnsi" w:cstheme="majorHAnsi"/>
                <w:sz w:val="20"/>
              </w:rPr>
            </w:pPr>
            <w:r w:rsidRPr="00D56344">
              <w:rPr>
                <w:rFonts w:asciiTheme="majorHAnsi" w:hAnsiTheme="majorHAnsi" w:cstheme="majorHAnsi"/>
                <w:noProof/>
                <w:sz w:val="20"/>
                <w:lang w:eastAsia="en-AU"/>
              </w:rPr>
              <w:lastRenderedPageBreak/>
              <w:drawing>
                <wp:inline distT="0" distB="0" distL="0" distR="0" wp14:anchorId="6256F35E" wp14:editId="3CC33C62">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206425D"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t>Please note</w:t>
            </w:r>
          </w:p>
          <w:p w14:paraId="452C9924"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As per subclause 5.1 of Schedule 2, </w:t>
            </w:r>
            <w:r w:rsidRPr="00D56344">
              <w:rPr>
                <w:rFonts w:asciiTheme="majorHAnsi" w:hAnsiTheme="majorHAnsi" w:cstheme="majorHAnsi"/>
                <w:b/>
                <w:bCs/>
              </w:rPr>
              <w:t>medical devices that incorporates</w:t>
            </w:r>
            <w:r w:rsidRPr="00D56344">
              <w:rPr>
                <w:rFonts w:asciiTheme="majorHAnsi" w:hAnsiTheme="majorHAnsi" w:cstheme="majorHAnsi"/>
              </w:rPr>
              <w:t xml:space="preserve">, or is intended to incorporate, as an integral part, a substance that if used separately, would be a </w:t>
            </w:r>
            <w:r w:rsidRPr="00D56344">
              <w:rPr>
                <w:rFonts w:asciiTheme="majorHAnsi" w:hAnsiTheme="majorHAnsi" w:cstheme="majorHAnsi"/>
                <w:b/>
                <w:bCs/>
              </w:rPr>
              <w:t>medicine</w:t>
            </w:r>
            <w:r w:rsidRPr="00D56344">
              <w:rPr>
                <w:rFonts w:asciiTheme="majorHAnsi" w:hAnsiTheme="majorHAnsi" w:cstheme="majorHAnsi"/>
              </w:rPr>
              <w:t xml:space="preserve">; and is liable to act on a patient’s body with action ancillary to that of the device, is regulated as a </w:t>
            </w:r>
            <w:r w:rsidRPr="00D56344">
              <w:rPr>
                <w:rFonts w:asciiTheme="majorHAnsi" w:hAnsiTheme="majorHAnsi" w:cstheme="majorHAnsi"/>
                <w:b/>
                <w:bCs/>
              </w:rPr>
              <w:t>Class III medical device</w:t>
            </w:r>
            <w:r w:rsidRPr="00D56344">
              <w:rPr>
                <w:rFonts w:asciiTheme="majorHAnsi" w:hAnsiTheme="majorHAnsi" w:cstheme="majorHAnsi"/>
              </w:rPr>
              <w:t xml:space="preserve">. </w:t>
            </w:r>
          </w:p>
        </w:tc>
      </w:tr>
    </w:tbl>
    <w:p w14:paraId="08D2D480" w14:textId="77777777" w:rsidR="00DE28C7" w:rsidRPr="00860BC0" w:rsidRDefault="00DE28C7" w:rsidP="00DE28C7">
      <w:pPr>
        <w:pStyle w:val="Heading3"/>
      </w:pPr>
      <w:bookmarkStart w:id="16" w:name="_Toc114577935"/>
      <w:bookmarkStart w:id="17" w:name="_Toc121838210"/>
      <w:r>
        <w:rPr>
          <w:bCs w:val="0"/>
        </w:rPr>
        <w:t>E</w:t>
      </w:r>
      <w:r w:rsidRPr="00860BC0">
        <w:rPr>
          <w:bCs w:val="0"/>
        </w:rPr>
        <w:t xml:space="preserve">xamples of </w:t>
      </w:r>
      <w:r>
        <w:rPr>
          <w:bCs w:val="0"/>
        </w:rPr>
        <w:t>devices to be reclassified</w:t>
      </w:r>
      <w:bookmarkEnd w:id="16"/>
      <w:bookmarkEnd w:id="17"/>
    </w:p>
    <w:p w14:paraId="1B2EE30E"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In considering the appropriate classification for medical devices composed of substances that are introduced into the human body through a body orifice or the skin, sponsors should consider the following:</w:t>
      </w:r>
    </w:p>
    <w:p w14:paraId="70C95E89" w14:textId="77777777" w:rsidR="00DE28C7" w:rsidRPr="00D56344" w:rsidRDefault="00DE28C7" w:rsidP="00821D79">
      <w:pPr>
        <w:pStyle w:val="ListBullet"/>
      </w:pPr>
      <w:r w:rsidRPr="00D56344">
        <w:rPr>
          <w:b/>
          <w:bCs/>
        </w:rPr>
        <w:t>How is the substance introduced into the human body?</w:t>
      </w:r>
      <w:r w:rsidRPr="00D56344">
        <w:t xml:space="preserve"> For example, through a body orifice, the surface of the eyeball, or the surface of the skin.</w:t>
      </w:r>
    </w:p>
    <w:p w14:paraId="783C8E6D" w14:textId="77777777" w:rsidR="00DE28C7" w:rsidRPr="00D56344" w:rsidRDefault="00DE28C7" w:rsidP="00821D79">
      <w:pPr>
        <w:pStyle w:val="ListBullet"/>
      </w:pPr>
      <w:r w:rsidRPr="00D56344">
        <w:rPr>
          <w:b/>
          <w:bCs/>
        </w:rPr>
        <w:t>For substances applied to the skin, is it absorbed by the body?</w:t>
      </w:r>
      <w:r w:rsidRPr="00D56344">
        <w:t xml:space="preserve"> For example, some products may not be absorbed via the skin whilst others may be absorbed. If the product is not </w:t>
      </w:r>
      <w:r w:rsidRPr="00D56344">
        <w:rPr>
          <w:i/>
          <w:iCs/>
        </w:rPr>
        <w:t>intended</w:t>
      </w:r>
      <w:r w:rsidRPr="00D56344">
        <w:t xml:space="preserve"> to be absorbed by the skin, you may be required to provide evidence that the product is not absorbed. Products that are metabolised in the liver and excreted from the body would be considered a medicine.</w:t>
      </w:r>
    </w:p>
    <w:p w14:paraId="4630D1BA"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Products which are absorbed may present a higher level of risk as its effects may not be easily reversed or ceased if they do not perform as intended. It is important that these factors are considered when evaluating the safety and performance of these products. The level of invasiveness of devices introduced into the human body should also be considered when applying the relevant classification rule.</w:t>
      </w:r>
    </w:p>
    <w:p w14:paraId="59EA9639" w14:textId="7FEC5EED" w:rsidR="00DE28C7" w:rsidRPr="00D56344" w:rsidRDefault="00DE28C7" w:rsidP="00DE28C7">
      <w:pPr>
        <w:rPr>
          <w:rFonts w:asciiTheme="majorHAnsi" w:hAnsiTheme="majorHAnsi" w:cstheme="majorHAnsi"/>
          <w:szCs w:val="22"/>
        </w:rPr>
      </w:pPr>
      <w:r w:rsidRPr="00D56344">
        <w:rPr>
          <w:rFonts w:asciiTheme="majorHAnsi" w:hAnsiTheme="majorHAnsi" w:cstheme="majorHAnsi"/>
          <w:szCs w:val="22"/>
        </w:rPr>
        <w:t>Some examples and explanations of products that may (sometimes erroneously) have been considered medical devices that may be substances, or combinations of substances, and a comparison of the old classification versus the new classification and clarification of appropriate regulatory pathways are provided below.</w:t>
      </w:r>
    </w:p>
    <w:p w14:paraId="1791F7C1" w14:textId="77777777" w:rsidR="00DE28C7" w:rsidRPr="00821D79" w:rsidRDefault="00DE28C7" w:rsidP="00821D79">
      <w:pPr>
        <w:pStyle w:val="Tabletitle"/>
      </w:pPr>
      <w:r w:rsidRPr="00D56344">
        <w:lastRenderedPageBreak/>
        <w:t>Examples of products (where subclause 5.1 of Schedule 2 does not apply)</w:t>
      </w:r>
    </w:p>
    <w:tbl>
      <w:tblPr>
        <w:tblStyle w:val="TableTGAblue"/>
        <w:tblW w:w="9498" w:type="dxa"/>
        <w:tblInd w:w="-10" w:type="dxa"/>
        <w:tblLook w:val="04A0" w:firstRow="1" w:lastRow="0" w:firstColumn="1" w:lastColumn="0" w:noHBand="0" w:noVBand="1"/>
        <w:tblCaption w:val="Examples of devices and comparisons of old and new classifications"/>
        <w:tblDescription w:val="Column 1 describes the device that is a substance or combination of substances. Column 2 describes the old classification. Column 3 describes the new classification."/>
      </w:tblPr>
      <w:tblGrid>
        <w:gridCol w:w="3686"/>
        <w:gridCol w:w="1701"/>
        <w:gridCol w:w="1843"/>
        <w:gridCol w:w="2268"/>
      </w:tblGrid>
      <w:tr w:rsidR="00DE28C7" w:rsidRPr="00D56344" w14:paraId="61FD7723" w14:textId="77777777" w:rsidTr="000A06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vAlign w:val="center"/>
          </w:tcPr>
          <w:p w14:paraId="55DA61EE" w14:textId="77777777" w:rsidR="00DE28C7" w:rsidRPr="00D56344" w:rsidRDefault="00DE28C7" w:rsidP="00CB7C09">
            <w:pPr>
              <w:spacing w:before="300" w:after="240"/>
              <w:rPr>
                <w:rFonts w:asciiTheme="majorHAnsi" w:hAnsiTheme="majorHAnsi" w:cstheme="majorHAnsi"/>
              </w:rPr>
            </w:pPr>
            <w:r w:rsidRPr="00D56344">
              <w:rPr>
                <w:rFonts w:asciiTheme="majorHAnsi" w:hAnsiTheme="majorHAnsi" w:cstheme="majorHAnsi"/>
              </w:rPr>
              <w:t>Medical device</w:t>
            </w:r>
          </w:p>
        </w:tc>
        <w:tc>
          <w:tcPr>
            <w:tcW w:w="1701" w:type="dxa"/>
          </w:tcPr>
          <w:p w14:paraId="35EBD7DB" w14:textId="77777777" w:rsidR="00DE28C7" w:rsidRPr="00D56344" w:rsidRDefault="00DE28C7" w:rsidP="00CB7C0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Old classification</w:t>
            </w:r>
          </w:p>
        </w:tc>
        <w:tc>
          <w:tcPr>
            <w:tcW w:w="1843" w:type="dxa"/>
          </w:tcPr>
          <w:p w14:paraId="33C4B1B8" w14:textId="77777777" w:rsidR="00DE28C7" w:rsidRPr="00D56344" w:rsidRDefault="00DE28C7" w:rsidP="00CB7C0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New classification</w:t>
            </w:r>
          </w:p>
        </w:tc>
        <w:tc>
          <w:tcPr>
            <w:tcW w:w="2268" w:type="dxa"/>
          </w:tcPr>
          <w:p w14:paraId="1BE2AC6C" w14:textId="77777777" w:rsidR="00DE28C7" w:rsidRPr="00D56344" w:rsidRDefault="00DE28C7" w:rsidP="00CB7C0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Regulatory pathway</w:t>
            </w:r>
          </w:p>
        </w:tc>
      </w:tr>
      <w:tr w:rsidR="00DE28C7" w:rsidRPr="00D56344" w14:paraId="03580B01"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53D053A1"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t>Throat lozenge</w:t>
            </w:r>
          </w:p>
          <w:p w14:paraId="7A252020"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An </w:t>
            </w:r>
            <w:proofErr w:type="gramStart"/>
            <w:r w:rsidRPr="00D56344">
              <w:rPr>
                <w:rFonts w:asciiTheme="majorHAnsi" w:hAnsiTheme="majorHAnsi" w:cstheme="majorHAnsi"/>
              </w:rPr>
              <w:t>orally-administered</w:t>
            </w:r>
            <w:proofErr w:type="gramEnd"/>
            <w:r w:rsidRPr="00D56344">
              <w:rPr>
                <w:rFonts w:asciiTheme="majorHAnsi" w:hAnsiTheme="majorHAnsi" w:cstheme="majorHAnsi"/>
              </w:rPr>
              <w:t xml:space="preserve"> tablet designed to be dissolved in the mouth to coat irritated mucous membranes of the throat with a protective mucoadhesive hydrogel complex intended to help reduce irritation and associated symptoms.</w:t>
            </w:r>
          </w:p>
        </w:tc>
        <w:tc>
          <w:tcPr>
            <w:tcW w:w="1701" w:type="dxa"/>
            <w:shd w:val="clear" w:color="auto" w:fill="F2F2F2" w:themeFill="background1" w:themeFillShade="F2"/>
          </w:tcPr>
          <w:p w14:paraId="7D4E6741"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Class I</w:t>
            </w:r>
          </w:p>
          <w:p w14:paraId="43DC1DBA"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D56344">
              <w:rPr>
                <w:rFonts w:asciiTheme="majorHAnsi" w:hAnsiTheme="majorHAnsi" w:cstheme="majorHAnsi"/>
                <w:i/>
                <w:sz w:val="20"/>
                <w:szCs w:val="20"/>
              </w:rPr>
              <w:t>(</w:t>
            </w:r>
            <w:proofErr w:type="gramStart"/>
            <w:r w:rsidRPr="00D56344">
              <w:rPr>
                <w:rFonts w:asciiTheme="majorHAnsi" w:hAnsiTheme="majorHAnsi" w:cstheme="majorHAnsi"/>
                <w:i/>
                <w:sz w:val="20"/>
                <w:szCs w:val="20"/>
              </w:rPr>
              <w:t>transient</w:t>
            </w:r>
            <w:proofErr w:type="gramEnd"/>
            <w:r w:rsidRPr="00D56344">
              <w:rPr>
                <w:rFonts w:asciiTheme="majorHAnsi" w:hAnsiTheme="majorHAnsi" w:cstheme="majorHAnsi"/>
                <w:i/>
                <w:sz w:val="20"/>
                <w:szCs w:val="20"/>
              </w:rPr>
              <w:t xml:space="preserve"> use invasive medical device not intended to be connected to an active medical device)</w:t>
            </w:r>
          </w:p>
        </w:tc>
        <w:tc>
          <w:tcPr>
            <w:tcW w:w="1843" w:type="dxa"/>
            <w:shd w:val="clear" w:color="auto" w:fill="DDF1FF"/>
          </w:tcPr>
          <w:p w14:paraId="6E6D3ECF"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Class </w:t>
            </w:r>
            <w:proofErr w:type="spellStart"/>
            <w:r w:rsidRPr="00D56344">
              <w:rPr>
                <w:rFonts w:asciiTheme="majorHAnsi" w:hAnsiTheme="majorHAnsi" w:cstheme="majorHAnsi"/>
                <w:b/>
              </w:rPr>
              <w:t>IIa</w:t>
            </w:r>
            <w:proofErr w:type="spellEnd"/>
          </w:p>
          <w:p w14:paraId="700F8E05" w14:textId="77777777" w:rsidR="00DE28C7" w:rsidRPr="00D56344" w:rsidRDefault="00DE28C7" w:rsidP="00CB7C09">
            <w:pPr>
              <w:spacing w:after="24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D56344">
              <w:rPr>
                <w:rFonts w:asciiTheme="majorHAnsi" w:hAnsiTheme="majorHAnsi" w:cstheme="majorHAnsi"/>
                <w:i/>
                <w:sz w:val="20"/>
                <w:szCs w:val="20"/>
              </w:rPr>
              <w:t>(</w:t>
            </w:r>
            <w:proofErr w:type="gramStart"/>
            <w:r w:rsidRPr="00D56344">
              <w:rPr>
                <w:rFonts w:asciiTheme="majorHAnsi" w:hAnsiTheme="majorHAnsi" w:cstheme="majorHAnsi"/>
                <w:i/>
                <w:sz w:val="20"/>
                <w:szCs w:val="20"/>
              </w:rPr>
              <w:t>applied</w:t>
            </w:r>
            <w:proofErr w:type="gramEnd"/>
            <w:r w:rsidRPr="00D56344">
              <w:rPr>
                <w:rFonts w:asciiTheme="majorHAnsi" w:hAnsiTheme="majorHAnsi" w:cstheme="majorHAnsi"/>
                <w:i/>
                <w:sz w:val="20"/>
                <w:szCs w:val="20"/>
              </w:rPr>
              <w:t xml:space="preserve"> in the oral cavity as far as the pharynx and achieve their intended purpose on that cavity)</w:t>
            </w:r>
          </w:p>
        </w:tc>
        <w:tc>
          <w:tcPr>
            <w:tcW w:w="2268" w:type="dxa"/>
            <w:shd w:val="clear" w:color="auto" w:fill="DDF1FF"/>
          </w:tcPr>
          <w:p w14:paraId="1FC85BB7" w14:textId="77777777" w:rsidR="00DE28C7" w:rsidRPr="00D56344" w:rsidRDefault="00DE28C7" w:rsidP="00CB7C09">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b/>
              </w:rPr>
              <w:t>Medical device</w:t>
            </w:r>
            <w:r w:rsidRPr="00D56344">
              <w:rPr>
                <w:rFonts w:asciiTheme="majorHAnsi" w:hAnsiTheme="majorHAnsi" w:cstheme="majorHAnsi"/>
              </w:rPr>
              <w:t xml:space="preserve"> – if it is just a barrier for the throat (but must be able to substantiate that it acts as such) and only make claims consistent with the mechanism </w:t>
            </w:r>
            <w:proofErr w:type="gramStart"/>
            <w:r w:rsidRPr="00D56344">
              <w:rPr>
                <w:rFonts w:asciiTheme="majorHAnsi" w:hAnsiTheme="majorHAnsi" w:cstheme="majorHAnsi"/>
              </w:rPr>
              <w:t>i.e.</w:t>
            </w:r>
            <w:proofErr w:type="gramEnd"/>
            <w:r w:rsidRPr="00D56344">
              <w:rPr>
                <w:rFonts w:asciiTheme="majorHAnsi" w:hAnsiTheme="majorHAnsi" w:cstheme="majorHAnsi"/>
              </w:rPr>
              <w:t xml:space="preserve"> moisturise.</w:t>
            </w:r>
          </w:p>
          <w:p w14:paraId="647345BC" w14:textId="77777777" w:rsidR="00DE28C7" w:rsidRPr="00D56344" w:rsidRDefault="00DE28C7" w:rsidP="00CB7C09">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b/>
              </w:rPr>
              <w:t xml:space="preserve">Medicine </w:t>
            </w:r>
            <w:r w:rsidRPr="00D56344">
              <w:rPr>
                <w:rFonts w:asciiTheme="majorHAnsi" w:hAnsiTheme="majorHAnsi" w:cstheme="majorHAnsi"/>
              </w:rPr>
              <w:t>– if the action is to reduce irritation and symptoms.</w:t>
            </w:r>
          </w:p>
          <w:p w14:paraId="3547175D"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color w:val="auto"/>
                <w:szCs w:val="20"/>
              </w:rPr>
              <w:t>Not a therapeutic good</w:t>
            </w:r>
            <w:r w:rsidRPr="00D56344">
              <w:rPr>
                <w:rFonts w:asciiTheme="majorHAnsi" w:hAnsiTheme="majorHAnsi" w:cstheme="majorHAnsi"/>
                <w:color w:val="auto"/>
                <w:szCs w:val="20"/>
              </w:rPr>
              <w:t xml:space="preserve"> – if the action is consistent with normal expectations of food products.</w:t>
            </w:r>
          </w:p>
        </w:tc>
      </w:tr>
      <w:tr w:rsidR="00DE28C7" w:rsidRPr="00D56344" w14:paraId="576A7640"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3AACC06"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t>Saline nasal solution sprays</w:t>
            </w:r>
          </w:p>
          <w:p w14:paraId="2A61F7E5"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Saline nasal solution sprays are intended to penetrate, clear, clean, and sometimes hydrate the nasal passages and sinus cavity for preventive or symptomatic nasal care.</w:t>
            </w:r>
          </w:p>
        </w:tc>
        <w:tc>
          <w:tcPr>
            <w:tcW w:w="1701" w:type="dxa"/>
            <w:shd w:val="clear" w:color="auto" w:fill="F2F2F2" w:themeFill="background1" w:themeFillShade="F2"/>
          </w:tcPr>
          <w:p w14:paraId="0B6FCD62"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Class I</w:t>
            </w:r>
          </w:p>
          <w:p w14:paraId="5B26DD20"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i/>
                <w:sz w:val="20"/>
                <w:szCs w:val="20"/>
              </w:rPr>
              <w:t>(</w:t>
            </w:r>
            <w:proofErr w:type="gramStart"/>
            <w:r w:rsidRPr="00D56344">
              <w:rPr>
                <w:rFonts w:asciiTheme="majorHAnsi" w:hAnsiTheme="majorHAnsi" w:cstheme="majorHAnsi"/>
                <w:i/>
                <w:sz w:val="20"/>
                <w:szCs w:val="20"/>
              </w:rPr>
              <w:t>transient</w:t>
            </w:r>
            <w:proofErr w:type="gramEnd"/>
            <w:r w:rsidRPr="00D56344">
              <w:rPr>
                <w:rFonts w:asciiTheme="majorHAnsi" w:hAnsiTheme="majorHAnsi" w:cstheme="majorHAnsi"/>
                <w:i/>
                <w:sz w:val="20"/>
                <w:szCs w:val="20"/>
              </w:rPr>
              <w:t xml:space="preserve"> use invasive medical device not intended to be connected to an active medical device)</w:t>
            </w:r>
          </w:p>
        </w:tc>
        <w:tc>
          <w:tcPr>
            <w:tcW w:w="1843" w:type="dxa"/>
            <w:shd w:val="clear" w:color="auto" w:fill="DDF1FF"/>
          </w:tcPr>
          <w:p w14:paraId="7CFDFB20"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Class </w:t>
            </w:r>
            <w:proofErr w:type="spellStart"/>
            <w:r w:rsidRPr="00D56344">
              <w:rPr>
                <w:rFonts w:asciiTheme="majorHAnsi" w:hAnsiTheme="majorHAnsi" w:cstheme="majorHAnsi"/>
                <w:b/>
              </w:rPr>
              <w:t>IIa</w:t>
            </w:r>
            <w:proofErr w:type="spellEnd"/>
          </w:p>
          <w:p w14:paraId="3697E70C"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D56344">
              <w:rPr>
                <w:rFonts w:asciiTheme="majorHAnsi" w:hAnsiTheme="majorHAnsi" w:cstheme="majorHAnsi"/>
                <w:i/>
                <w:sz w:val="20"/>
                <w:szCs w:val="20"/>
              </w:rPr>
              <w:t>(</w:t>
            </w:r>
            <w:proofErr w:type="gramStart"/>
            <w:r w:rsidRPr="00D56344">
              <w:rPr>
                <w:rFonts w:asciiTheme="majorHAnsi" w:hAnsiTheme="majorHAnsi" w:cstheme="majorHAnsi"/>
                <w:i/>
                <w:sz w:val="20"/>
                <w:szCs w:val="20"/>
              </w:rPr>
              <w:t>applied</w:t>
            </w:r>
            <w:proofErr w:type="gramEnd"/>
            <w:r w:rsidRPr="00D56344">
              <w:rPr>
                <w:rFonts w:asciiTheme="majorHAnsi" w:hAnsiTheme="majorHAnsi" w:cstheme="majorHAnsi"/>
                <w:i/>
                <w:sz w:val="20"/>
                <w:szCs w:val="20"/>
              </w:rPr>
              <w:t xml:space="preserve"> in the nasal cavity and achieve their intended purpose on that cavity)</w:t>
            </w:r>
          </w:p>
        </w:tc>
        <w:tc>
          <w:tcPr>
            <w:tcW w:w="2268" w:type="dxa"/>
            <w:shd w:val="clear" w:color="auto" w:fill="DDF1FF"/>
          </w:tcPr>
          <w:p w14:paraId="7C878AE7" w14:textId="77777777" w:rsidR="00DE28C7" w:rsidRPr="00D56344"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Medical device</w:t>
            </w:r>
            <w:r w:rsidRPr="00D56344">
              <w:rPr>
                <w:rFonts w:asciiTheme="majorHAnsi" w:hAnsiTheme="majorHAnsi" w:cstheme="majorHAnsi"/>
              </w:rPr>
              <w:t xml:space="preserve"> – if it is just composed of isotonic saline whose mechanism is to irrigate the nasal cavity.</w:t>
            </w:r>
          </w:p>
          <w:p w14:paraId="76E8AE0F"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color w:val="auto"/>
                <w:szCs w:val="20"/>
              </w:rPr>
              <w:t>Medicine</w:t>
            </w:r>
            <w:r w:rsidRPr="00D56344">
              <w:rPr>
                <w:rFonts w:asciiTheme="majorHAnsi" w:hAnsiTheme="majorHAnsi" w:cstheme="majorHAnsi"/>
                <w:color w:val="auto"/>
                <w:szCs w:val="20"/>
              </w:rPr>
              <w:t xml:space="preserve"> – if it is hypertonic saline that has an osmotic effect in the nasal cavity; or contains another substance with an antimicrobial, decongestant, or anti-inflammatory effect.</w:t>
            </w:r>
          </w:p>
        </w:tc>
      </w:tr>
      <w:tr w:rsidR="00DE28C7" w:rsidRPr="00D56344" w14:paraId="694985C1"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2A475862"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lastRenderedPageBreak/>
              <w:t>Anti-snoring device</w:t>
            </w:r>
          </w:p>
          <w:p w14:paraId="0E1666FF"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A substance in the form of a dissolvable lozenge, dissolvable oral strip, throat spray or rinse that typically contains natural ingredients such as eucalyptus oil, glycerol, </w:t>
            </w:r>
            <w:proofErr w:type="gramStart"/>
            <w:r w:rsidRPr="00D56344">
              <w:rPr>
                <w:rFonts w:asciiTheme="majorHAnsi" w:hAnsiTheme="majorHAnsi" w:cstheme="majorHAnsi"/>
              </w:rPr>
              <w:t>menthol</w:t>
            </w:r>
            <w:proofErr w:type="gramEnd"/>
            <w:r w:rsidRPr="00D56344">
              <w:rPr>
                <w:rFonts w:asciiTheme="majorHAnsi" w:hAnsiTheme="majorHAnsi" w:cstheme="majorHAnsi"/>
              </w:rPr>
              <w:t xml:space="preserve"> or peppermint oil intended to lubricate and tone the mucosa in the back of throat to reduce sound vibration and thereby prevent snoring.</w:t>
            </w:r>
          </w:p>
        </w:tc>
        <w:tc>
          <w:tcPr>
            <w:tcW w:w="1701" w:type="dxa"/>
            <w:shd w:val="clear" w:color="auto" w:fill="F2F2F2" w:themeFill="background1" w:themeFillShade="F2"/>
          </w:tcPr>
          <w:p w14:paraId="0C79EB61"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 Class I</w:t>
            </w:r>
          </w:p>
          <w:p w14:paraId="3C479831"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sz w:val="20"/>
                <w:szCs w:val="20"/>
              </w:rPr>
            </w:pPr>
            <w:r w:rsidRPr="00D56344">
              <w:rPr>
                <w:rFonts w:asciiTheme="majorHAnsi" w:hAnsiTheme="majorHAnsi" w:cstheme="majorHAnsi"/>
                <w:i/>
                <w:sz w:val="20"/>
                <w:szCs w:val="20"/>
              </w:rPr>
              <w:t>(short-term use invasive medical device not intended to be connected to an active medical device)</w:t>
            </w:r>
          </w:p>
        </w:tc>
        <w:tc>
          <w:tcPr>
            <w:tcW w:w="1843" w:type="dxa"/>
            <w:shd w:val="clear" w:color="auto" w:fill="DDF1FF"/>
          </w:tcPr>
          <w:p w14:paraId="21A6733C"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Class </w:t>
            </w:r>
            <w:proofErr w:type="spellStart"/>
            <w:r w:rsidRPr="00D56344">
              <w:rPr>
                <w:rFonts w:asciiTheme="majorHAnsi" w:hAnsiTheme="majorHAnsi" w:cstheme="majorHAnsi"/>
                <w:b/>
              </w:rPr>
              <w:t>IIa</w:t>
            </w:r>
            <w:proofErr w:type="spellEnd"/>
          </w:p>
          <w:p w14:paraId="099F79B3"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sz w:val="20"/>
                <w:szCs w:val="20"/>
              </w:rPr>
            </w:pPr>
            <w:r w:rsidRPr="00D56344">
              <w:rPr>
                <w:rFonts w:asciiTheme="majorHAnsi" w:hAnsiTheme="majorHAnsi" w:cstheme="majorHAnsi"/>
                <w:i/>
                <w:sz w:val="20"/>
                <w:szCs w:val="20"/>
              </w:rPr>
              <w:t>(</w:t>
            </w:r>
            <w:proofErr w:type="gramStart"/>
            <w:r w:rsidRPr="00D56344">
              <w:rPr>
                <w:rFonts w:asciiTheme="majorHAnsi" w:hAnsiTheme="majorHAnsi" w:cstheme="majorHAnsi"/>
                <w:i/>
                <w:sz w:val="20"/>
                <w:szCs w:val="20"/>
              </w:rPr>
              <w:t>applied</w:t>
            </w:r>
            <w:proofErr w:type="gramEnd"/>
            <w:r w:rsidRPr="00D56344">
              <w:rPr>
                <w:rFonts w:asciiTheme="majorHAnsi" w:hAnsiTheme="majorHAnsi" w:cstheme="majorHAnsi"/>
                <w:i/>
                <w:sz w:val="20"/>
                <w:szCs w:val="20"/>
              </w:rPr>
              <w:t xml:space="preserve"> in the oral cavity as far as the pharynx and achieve their intended purpose on that cavity)</w:t>
            </w:r>
          </w:p>
        </w:tc>
        <w:tc>
          <w:tcPr>
            <w:tcW w:w="2268" w:type="dxa"/>
            <w:shd w:val="clear" w:color="auto" w:fill="DDF1FF"/>
          </w:tcPr>
          <w:p w14:paraId="460C84A5"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rPr>
              <w:t>Depends on the intended purpose and mode of action; typically, it would not be considered plausible to achieve the desired therapeutic benefit without pharmacological effect.</w:t>
            </w:r>
          </w:p>
        </w:tc>
      </w:tr>
      <w:tr w:rsidR="00DE28C7" w:rsidRPr="00D56344" w14:paraId="2B0DD07F"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449D38D2"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t xml:space="preserve">Skin moisturiser/barrier dressing </w:t>
            </w:r>
          </w:p>
          <w:p w14:paraId="5E99A5DB"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A substance (for example, cream, paste, ointment, gel, foam, or aerosol) intended to be applied to the skin/external mucosa such as the lips to provide a protective moisture barrier to the external environment and/or to soften and sooth the skin. It is typically used for conditions such as dry, itchy, flaky, cracked, denuded, irritated or sun-damaged skin, cheilitis, and/or herpetic skin lesions. It may be intended for sensitive areas such as the areolar, perianal, lips and ears, dry skin and/or deep fissures such as on the feet. It may include a disposable applicator.</w:t>
            </w:r>
          </w:p>
        </w:tc>
        <w:tc>
          <w:tcPr>
            <w:tcW w:w="1701" w:type="dxa"/>
            <w:shd w:val="clear" w:color="auto" w:fill="F2F2F2" w:themeFill="background1" w:themeFillShade="F2"/>
          </w:tcPr>
          <w:p w14:paraId="477CAD08"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 Class I</w:t>
            </w:r>
          </w:p>
          <w:p w14:paraId="1506EA05"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sz w:val="20"/>
                <w:szCs w:val="20"/>
              </w:rPr>
            </w:pPr>
            <w:r w:rsidRPr="00D56344">
              <w:rPr>
                <w:rFonts w:asciiTheme="majorHAnsi" w:hAnsiTheme="majorHAnsi" w:cstheme="majorHAnsi"/>
                <w:i/>
                <w:sz w:val="20"/>
                <w:szCs w:val="20"/>
              </w:rPr>
              <w:t>(non-invasive medical device in contact with injured skin and not absorbed by the skin)</w:t>
            </w:r>
          </w:p>
        </w:tc>
        <w:tc>
          <w:tcPr>
            <w:tcW w:w="1843" w:type="dxa"/>
            <w:shd w:val="clear" w:color="auto" w:fill="DDF1FF"/>
          </w:tcPr>
          <w:p w14:paraId="454C7AB0"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Class </w:t>
            </w:r>
            <w:proofErr w:type="spellStart"/>
            <w:r w:rsidRPr="00D56344">
              <w:rPr>
                <w:rFonts w:asciiTheme="majorHAnsi" w:hAnsiTheme="majorHAnsi" w:cstheme="majorHAnsi"/>
                <w:b/>
              </w:rPr>
              <w:t>IIa</w:t>
            </w:r>
            <w:proofErr w:type="spellEnd"/>
          </w:p>
          <w:p w14:paraId="220B869C"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rPr>
            </w:pPr>
            <w:r w:rsidRPr="00D56344">
              <w:rPr>
                <w:rFonts w:asciiTheme="majorHAnsi" w:hAnsiTheme="majorHAnsi" w:cstheme="majorHAnsi"/>
                <w:i/>
              </w:rPr>
              <w:t>(</w:t>
            </w:r>
            <w:proofErr w:type="gramStart"/>
            <w:r w:rsidRPr="00D56344">
              <w:rPr>
                <w:rFonts w:asciiTheme="majorHAnsi" w:hAnsiTheme="majorHAnsi" w:cstheme="majorHAnsi"/>
                <w:i/>
                <w:sz w:val="20"/>
                <w:szCs w:val="20"/>
              </w:rPr>
              <w:t>applied</w:t>
            </w:r>
            <w:proofErr w:type="gramEnd"/>
            <w:r w:rsidRPr="00D56344">
              <w:rPr>
                <w:rFonts w:asciiTheme="majorHAnsi" w:hAnsiTheme="majorHAnsi" w:cstheme="majorHAnsi"/>
                <w:i/>
                <w:sz w:val="20"/>
                <w:szCs w:val="20"/>
              </w:rPr>
              <w:t xml:space="preserve"> to the skin and is absorbed after application)</w:t>
            </w:r>
          </w:p>
        </w:tc>
        <w:tc>
          <w:tcPr>
            <w:tcW w:w="2268" w:type="dxa"/>
            <w:shd w:val="clear" w:color="auto" w:fill="DDF1FF"/>
          </w:tcPr>
          <w:p w14:paraId="2F37CBE4" w14:textId="77777777" w:rsidR="00DE28C7" w:rsidRPr="00D56344"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Medical device</w:t>
            </w:r>
            <w:r w:rsidRPr="00D56344">
              <w:rPr>
                <w:rFonts w:asciiTheme="majorHAnsi" w:hAnsiTheme="majorHAnsi" w:cstheme="majorHAnsi"/>
              </w:rPr>
              <w:t xml:space="preserve"> – if it is purely a barrier to keep moisture in or out. </w:t>
            </w:r>
          </w:p>
          <w:p w14:paraId="0A95ACAB"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color w:val="auto"/>
                <w:szCs w:val="20"/>
              </w:rPr>
              <w:t xml:space="preserve">Medicine </w:t>
            </w:r>
            <w:r w:rsidRPr="00D56344">
              <w:rPr>
                <w:rFonts w:asciiTheme="majorHAnsi" w:hAnsiTheme="majorHAnsi" w:cstheme="majorHAnsi"/>
                <w:color w:val="auto"/>
                <w:szCs w:val="20"/>
              </w:rPr>
              <w:t>– if it is used to treat skin irritations or lesions and contains an active ingredient for this purpose.</w:t>
            </w:r>
          </w:p>
        </w:tc>
      </w:tr>
      <w:tr w:rsidR="00DE28C7" w:rsidRPr="00D56344" w14:paraId="44C0202A"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616477B0" w14:textId="0B3101E4" w:rsidR="00DE28C7" w:rsidRPr="00D56344" w:rsidRDefault="00DE28C7" w:rsidP="00CB7C09">
            <w:pPr>
              <w:rPr>
                <w:rFonts w:asciiTheme="majorHAnsi" w:hAnsiTheme="majorHAnsi" w:cstheme="majorHAnsi"/>
              </w:rPr>
            </w:pPr>
            <w:r w:rsidRPr="00D56344">
              <w:rPr>
                <w:rFonts w:asciiTheme="majorHAnsi" w:hAnsiTheme="majorHAnsi" w:cstheme="majorHAnsi"/>
                <w:b/>
              </w:rPr>
              <w:t xml:space="preserve">Vaginal gel to maintain pH balance, treat bacterial vaginosis or treat discomfort </w:t>
            </w:r>
            <w:r w:rsidRPr="00D56344">
              <w:rPr>
                <w:rFonts w:asciiTheme="majorHAnsi" w:hAnsiTheme="majorHAnsi" w:cstheme="majorHAnsi"/>
              </w:rPr>
              <w:t>(where it meets the definition of a medical device)</w:t>
            </w:r>
          </w:p>
        </w:tc>
        <w:tc>
          <w:tcPr>
            <w:tcW w:w="1701" w:type="dxa"/>
            <w:shd w:val="clear" w:color="auto" w:fill="F2F2F2" w:themeFill="background1" w:themeFillShade="F2"/>
          </w:tcPr>
          <w:p w14:paraId="66509405"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Class </w:t>
            </w:r>
            <w:proofErr w:type="spellStart"/>
            <w:r w:rsidRPr="00D56344">
              <w:rPr>
                <w:rFonts w:asciiTheme="majorHAnsi" w:hAnsiTheme="majorHAnsi" w:cstheme="majorHAnsi"/>
                <w:b/>
              </w:rPr>
              <w:t>IIa</w:t>
            </w:r>
            <w:proofErr w:type="spellEnd"/>
          </w:p>
          <w:p w14:paraId="3C4B7209"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D56344">
              <w:rPr>
                <w:rFonts w:asciiTheme="majorHAnsi" w:hAnsiTheme="majorHAnsi" w:cstheme="majorHAnsi"/>
                <w:i/>
                <w:sz w:val="20"/>
                <w:szCs w:val="20"/>
              </w:rPr>
              <w:t>(short-term use invasive medical device not intended to be connected to an active medical device)</w:t>
            </w:r>
          </w:p>
        </w:tc>
        <w:tc>
          <w:tcPr>
            <w:tcW w:w="1843" w:type="dxa"/>
            <w:shd w:val="clear" w:color="auto" w:fill="DDF1FF"/>
          </w:tcPr>
          <w:p w14:paraId="244EA00B" w14:textId="3E8B9071" w:rsidR="00DE28C7" w:rsidRPr="002E523B" w:rsidRDefault="00DE28C7" w:rsidP="002E523B">
            <w:pPr>
              <w:spacing w:before="2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Class IIb</w:t>
            </w:r>
          </w:p>
        </w:tc>
        <w:tc>
          <w:tcPr>
            <w:tcW w:w="2268" w:type="dxa"/>
            <w:shd w:val="clear" w:color="auto" w:fill="DDF1FF"/>
          </w:tcPr>
          <w:p w14:paraId="775E8708"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b/>
              </w:rPr>
              <w:t xml:space="preserve">Medicine </w:t>
            </w:r>
            <w:r w:rsidRPr="00D56344">
              <w:rPr>
                <w:rFonts w:asciiTheme="majorHAnsi" w:hAnsiTheme="majorHAnsi" w:cstheme="majorHAnsi"/>
              </w:rPr>
              <w:t>– if this effect within the human body affects the flora.</w:t>
            </w:r>
          </w:p>
          <w:p w14:paraId="006F313A"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rPr>
            </w:pPr>
            <w:r w:rsidRPr="00D56344">
              <w:rPr>
                <w:rFonts w:asciiTheme="majorHAnsi" w:hAnsiTheme="majorHAnsi" w:cstheme="majorHAnsi"/>
                <w:b/>
              </w:rPr>
              <w:t xml:space="preserve">Medical Device </w:t>
            </w:r>
            <w:r w:rsidRPr="00D56344">
              <w:rPr>
                <w:rFonts w:asciiTheme="majorHAnsi" w:hAnsiTheme="majorHAnsi" w:cstheme="majorHAnsi"/>
                <w:bCs/>
              </w:rPr>
              <w:t>– where the therapeutic effect is comfort through lubrication or similar.</w:t>
            </w:r>
          </w:p>
        </w:tc>
      </w:tr>
      <w:tr w:rsidR="00DE28C7" w:rsidRPr="003E0A28" w14:paraId="01B0EF0F" w14:textId="77777777" w:rsidTr="00CB7C09">
        <w:tc>
          <w:tcPr>
            <w:cnfStyle w:val="001000000000" w:firstRow="0" w:lastRow="0" w:firstColumn="1" w:lastColumn="0" w:oddVBand="0" w:evenVBand="0" w:oddHBand="0" w:evenHBand="0" w:firstRowFirstColumn="0" w:firstRowLastColumn="0" w:lastRowFirstColumn="0" w:lastRowLastColumn="0"/>
            <w:tcW w:w="3686" w:type="dxa"/>
          </w:tcPr>
          <w:p w14:paraId="199EB78A"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lastRenderedPageBreak/>
              <w:t>Weight loss capsules that expand in the stomach</w:t>
            </w:r>
          </w:p>
          <w:p w14:paraId="78F3E49F"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An </w:t>
            </w:r>
            <w:proofErr w:type="gramStart"/>
            <w:r w:rsidRPr="00D56344">
              <w:rPr>
                <w:rFonts w:asciiTheme="majorHAnsi" w:hAnsiTheme="majorHAnsi" w:cstheme="majorHAnsi"/>
              </w:rPr>
              <w:t>orally-administered</w:t>
            </w:r>
            <w:proofErr w:type="gramEnd"/>
            <w:r w:rsidRPr="00D56344">
              <w:rPr>
                <w:rFonts w:asciiTheme="majorHAnsi" w:hAnsiTheme="majorHAnsi" w:cstheme="majorHAnsi"/>
              </w:rPr>
              <w:t xml:space="preserve"> device intended to facilitate weight loss and treat obesity through appetite control. It is designed to be swallowed before meals to form a viscous gel in the stomach and/or small intestine to increase distention, creating the sensation of fullness and causing the user to eat less. It may additionally slow down intestinal glucose absorption to improve glycaemic control. It typically includes natural or modified fibre which expands after absorbing water.</w:t>
            </w:r>
          </w:p>
        </w:tc>
        <w:tc>
          <w:tcPr>
            <w:tcW w:w="1701" w:type="dxa"/>
            <w:shd w:val="clear" w:color="auto" w:fill="F2F2F2" w:themeFill="background1" w:themeFillShade="F2"/>
          </w:tcPr>
          <w:p w14:paraId="3F96B082" w14:textId="77777777" w:rsidR="00DE28C7" w:rsidRPr="00D56344" w:rsidRDefault="00DE28C7" w:rsidP="00CB7C09">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 xml:space="preserve">Class </w:t>
            </w:r>
            <w:proofErr w:type="spellStart"/>
            <w:r w:rsidRPr="00D56344">
              <w:rPr>
                <w:rFonts w:asciiTheme="majorHAnsi" w:hAnsiTheme="majorHAnsi" w:cstheme="majorHAnsi"/>
                <w:b/>
              </w:rPr>
              <w:t>IIa</w:t>
            </w:r>
            <w:proofErr w:type="spellEnd"/>
          </w:p>
          <w:p w14:paraId="12FE31BD" w14:textId="77777777" w:rsidR="00DE28C7" w:rsidRPr="00D56344" w:rsidRDefault="00DE28C7" w:rsidP="00CB7C0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20"/>
                <w:szCs w:val="20"/>
              </w:rPr>
            </w:pPr>
            <w:r w:rsidRPr="00D56344">
              <w:rPr>
                <w:rFonts w:asciiTheme="majorHAnsi" w:hAnsiTheme="majorHAnsi" w:cstheme="majorHAnsi"/>
                <w:i/>
                <w:sz w:val="20"/>
                <w:szCs w:val="20"/>
              </w:rPr>
              <w:t>(short-term use invasive medical device not intended to be connected to an active medical device)</w:t>
            </w:r>
          </w:p>
        </w:tc>
        <w:tc>
          <w:tcPr>
            <w:tcW w:w="1843" w:type="dxa"/>
            <w:shd w:val="clear" w:color="auto" w:fill="DDF1FF"/>
          </w:tcPr>
          <w:p w14:paraId="322E9C6E" w14:textId="14D15A8D" w:rsidR="00DE28C7" w:rsidRPr="002E523B" w:rsidRDefault="00DE28C7" w:rsidP="002E523B">
            <w:pPr>
              <w:spacing w:before="2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rPr>
              <w:t>Class IIb</w:t>
            </w:r>
          </w:p>
        </w:tc>
        <w:tc>
          <w:tcPr>
            <w:tcW w:w="2268" w:type="dxa"/>
            <w:shd w:val="clear" w:color="auto" w:fill="DDF1FF"/>
          </w:tcPr>
          <w:p w14:paraId="4134089E" w14:textId="77777777" w:rsidR="00DE28C7" w:rsidRPr="00D56344"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b/>
              </w:rPr>
              <w:t>Medical device</w:t>
            </w:r>
            <w:r w:rsidRPr="00D56344">
              <w:rPr>
                <w:rFonts w:asciiTheme="majorHAnsi" w:hAnsiTheme="majorHAnsi" w:cstheme="majorHAnsi"/>
              </w:rPr>
              <w:t xml:space="preserve"> – if it only expands to create feeling of satiety.</w:t>
            </w:r>
          </w:p>
          <w:p w14:paraId="043B7B61" w14:textId="3C4E34A2" w:rsidR="00DE28C7" w:rsidRPr="00D56344" w:rsidRDefault="00DE28C7" w:rsidP="00CB7C09">
            <w:pPr>
              <w:spacing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b/>
              </w:rPr>
              <w:t>Medicine</w:t>
            </w:r>
            <w:r w:rsidRPr="00D56344">
              <w:rPr>
                <w:rFonts w:asciiTheme="majorHAnsi" w:hAnsiTheme="majorHAnsi" w:cstheme="majorHAnsi"/>
              </w:rPr>
              <w:t xml:space="preserve"> – if it affects absorption in the </w:t>
            </w:r>
            <w:r w:rsidR="00CB4C08" w:rsidRPr="00D56344">
              <w:rPr>
                <w:rFonts w:asciiTheme="majorHAnsi" w:hAnsiTheme="majorHAnsi" w:cstheme="majorHAnsi"/>
              </w:rPr>
              <w:t>gastrointestinal</w:t>
            </w:r>
            <w:r w:rsidRPr="00D56344">
              <w:rPr>
                <w:rFonts w:asciiTheme="majorHAnsi" w:hAnsiTheme="majorHAnsi" w:cstheme="majorHAnsi"/>
              </w:rPr>
              <w:t xml:space="preserve"> system.</w:t>
            </w:r>
          </w:p>
          <w:p w14:paraId="78F8F3E1" w14:textId="77777777" w:rsidR="00DE28C7" w:rsidRPr="00D56344" w:rsidRDefault="00DE28C7" w:rsidP="00CB7C0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D56344">
              <w:rPr>
                <w:rFonts w:asciiTheme="majorHAnsi" w:hAnsiTheme="majorHAnsi" w:cstheme="majorHAnsi"/>
                <w:b/>
                <w:color w:val="auto"/>
                <w:szCs w:val="20"/>
              </w:rPr>
              <w:t>Not a therapeutic good</w:t>
            </w:r>
            <w:r w:rsidRPr="00D56344">
              <w:rPr>
                <w:rFonts w:asciiTheme="majorHAnsi" w:hAnsiTheme="majorHAnsi" w:cstheme="majorHAnsi"/>
                <w:color w:val="auto"/>
                <w:szCs w:val="20"/>
              </w:rPr>
              <w:t xml:space="preserve"> – if the product is composed of food substances and its mechanism is consistent with that of energy-poor food in the alimentary tract.</w:t>
            </w:r>
          </w:p>
        </w:tc>
      </w:tr>
    </w:tbl>
    <w:p w14:paraId="7BCFD0B6" w14:textId="2A029506" w:rsidR="00DE28C7" w:rsidRDefault="00DE28C7" w:rsidP="00DE28C7">
      <w:pPr>
        <w:pStyle w:val="Heading4"/>
        <w:rPr>
          <w:lang w:eastAsia="en-AU"/>
        </w:rPr>
      </w:pPr>
      <w:bookmarkStart w:id="18" w:name="_Toc114577936"/>
      <w:bookmarkStart w:id="19" w:name="_Toc121838211"/>
      <w:r>
        <w:rPr>
          <w:lang w:eastAsia="en-AU"/>
        </w:rPr>
        <w:t>Exceptions</w:t>
      </w:r>
      <w:bookmarkEnd w:id="18"/>
      <w:bookmarkEnd w:id="19"/>
    </w:p>
    <w:p w14:paraId="6E86D425" w14:textId="77777777" w:rsidR="00DE28C7" w:rsidRPr="003E0A28" w:rsidRDefault="00DE28C7" w:rsidP="00D56344">
      <w:r w:rsidRPr="003E0A28">
        <w:rPr>
          <w:b/>
        </w:rPr>
        <w:t>Sterile saline eye irrigation solutions</w:t>
      </w:r>
      <w:r w:rsidRPr="003E0A28">
        <w:t xml:space="preserve"> intended to act on the surface of the eye to flush the eye of irritating particulates/chemicals will remain classified as </w:t>
      </w:r>
      <w:r w:rsidRPr="003E0A28">
        <w:rPr>
          <w:b/>
        </w:rPr>
        <w:t>Class I sterile</w:t>
      </w:r>
      <w:r w:rsidRPr="003E0A28">
        <w:t xml:space="preserve"> medical devices.</w:t>
      </w:r>
    </w:p>
    <w:p w14:paraId="4585944A" w14:textId="77777777" w:rsidR="00DE28C7" w:rsidRPr="003E0A28" w:rsidRDefault="00DE28C7" w:rsidP="00D56344">
      <w:pPr>
        <w:rPr>
          <w:rFonts w:cs="Arial"/>
          <w:color w:val="000000"/>
          <w:szCs w:val="22"/>
          <w:lang w:eastAsia="en-AU"/>
        </w:rPr>
      </w:pPr>
      <w:r w:rsidRPr="003E0A28">
        <w:rPr>
          <w:b/>
        </w:rPr>
        <w:t>Topical nail treatment solutions</w:t>
      </w:r>
      <w:r w:rsidRPr="003E0A28">
        <w:t xml:space="preserve"> designed to treat </w:t>
      </w:r>
      <w:r w:rsidRPr="003E0A28">
        <w:rPr>
          <w:rFonts w:cs="Arial"/>
          <w:color w:val="000000"/>
          <w:szCs w:val="22"/>
          <w:lang w:eastAsia="en-AU"/>
        </w:rPr>
        <w:t xml:space="preserve">infected nails (for example, in the case of onychomycosis) and nail-growth disorders (onychodystrophy) by creating a barrier to microorganisms will remain classified as </w:t>
      </w:r>
      <w:r w:rsidRPr="003E0A28">
        <w:rPr>
          <w:rFonts w:cs="Arial"/>
          <w:b/>
          <w:color w:val="000000"/>
          <w:szCs w:val="22"/>
          <w:lang w:eastAsia="en-AU"/>
        </w:rPr>
        <w:t>Class </w:t>
      </w:r>
      <w:proofErr w:type="spellStart"/>
      <w:r w:rsidRPr="003E0A28">
        <w:rPr>
          <w:rFonts w:cs="Arial"/>
          <w:b/>
          <w:color w:val="000000"/>
          <w:szCs w:val="22"/>
          <w:lang w:eastAsia="en-AU"/>
        </w:rPr>
        <w:t>IIa</w:t>
      </w:r>
      <w:proofErr w:type="spellEnd"/>
      <w:r w:rsidRPr="003E0A28">
        <w:rPr>
          <w:rFonts w:cs="Arial"/>
          <w:color w:val="000000"/>
          <w:szCs w:val="22"/>
          <w:lang w:eastAsia="en-AU"/>
        </w:rPr>
        <w:t xml:space="preserve"> medical devices; products containing ingredients with antibacterial and/or antifungal action are not medical devices and are regulated as medicines.</w:t>
      </w:r>
    </w:p>
    <w:p w14:paraId="3096B6AC" w14:textId="77777777" w:rsidR="00DE28C7" w:rsidRPr="003E0A28" w:rsidRDefault="00DE28C7" w:rsidP="00D56344">
      <w:r w:rsidRPr="003E0A28">
        <w:rPr>
          <w:b/>
        </w:rPr>
        <w:t xml:space="preserve">Dentifrices </w:t>
      </w:r>
      <w:r w:rsidRPr="003E0A28">
        <w:t xml:space="preserve">which are intended for cleaning the surfaces of teeth and which do not contain any substances included in Schedules 2, 3, 4 or 8 of the Poisons Standard, are not regulated as medical devices. Further details are available at </w:t>
      </w:r>
      <w:hyperlink r:id="rId19" w:history="1">
        <w:r w:rsidRPr="002E523B">
          <w:rPr>
            <w:rStyle w:val="Hyperlink"/>
            <w:rFonts w:cs="Arial"/>
          </w:rPr>
          <w:t>Therapeutic Goods (Excluded Goods) Determination 2018</w:t>
        </w:r>
      </w:hyperlink>
      <w:r w:rsidRPr="002E523B">
        <w:rPr>
          <w:rFonts w:cs="Arial"/>
        </w:rPr>
        <w:t>.</w:t>
      </w:r>
    </w:p>
    <w:p w14:paraId="20EAAB85" w14:textId="77777777" w:rsidR="00DE28C7" w:rsidRDefault="00DE28C7" w:rsidP="00DE28C7">
      <w:pPr>
        <w:spacing w:before="0" w:after="0" w:line="240" w:lineRule="auto"/>
        <w:rPr>
          <w:rFonts w:eastAsia="Times New Roman"/>
          <w:b/>
          <w:bCs/>
          <w:sz w:val="38"/>
          <w:szCs w:val="38"/>
        </w:rPr>
      </w:pPr>
      <w:r>
        <w:br w:type="page"/>
      </w:r>
    </w:p>
    <w:p w14:paraId="65C2C848" w14:textId="77777777" w:rsidR="00DE28C7" w:rsidRDefault="00DE28C7" w:rsidP="00DE28C7">
      <w:pPr>
        <w:pStyle w:val="Heading2"/>
      </w:pPr>
      <w:bookmarkStart w:id="20" w:name="_Toc114577937"/>
      <w:bookmarkStart w:id="21" w:name="_Toc121838212"/>
      <w:r>
        <w:lastRenderedPageBreak/>
        <w:t>Products that are medicines</w:t>
      </w:r>
      <w:bookmarkEnd w:id="20"/>
      <w:bookmarkEnd w:id="21"/>
    </w:p>
    <w:p w14:paraId="7C8A707B"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 xml:space="preserve">Chemical substances that are introduced into the human body through a body orifice or the skin, will typically have a pharmacological or metabolic effect on the body. </w:t>
      </w:r>
      <w:proofErr w:type="gramStart"/>
      <w:r w:rsidRPr="00D56344">
        <w:rPr>
          <w:rFonts w:asciiTheme="majorHAnsi" w:hAnsiTheme="majorHAnsi" w:cstheme="majorHAnsi"/>
        </w:rPr>
        <w:t>By definition, such</w:t>
      </w:r>
      <w:proofErr w:type="gramEnd"/>
      <w:r w:rsidRPr="00D56344">
        <w:rPr>
          <w:rFonts w:asciiTheme="majorHAnsi" w:hAnsiTheme="majorHAnsi" w:cstheme="majorHAnsi"/>
        </w:rPr>
        <w:t xml:space="preserve"> products are not medical devices and are characterised as medicines.</w:t>
      </w:r>
    </w:p>
    <w:p w14:paraId="660A2853" w14:textId="39A5E946" w:rsidR="00DE28C7" w:rsidRDefault="00DE28C7" w:rsidP="00DE28C7">
      <w:pPr>
        <w:rPr>
          <w:rFonts w:asciiTheme="majorHAnsi" w:hAnsiTheme="majorHAnsi" w:cstheme="majorHAnsi"/>
        </w:rPr>
      </w:pPr>
      <w:r w:rsidRPr="00D56344">
        <w:rPr>
          <w:rFonts w:asciiTheme="majorHAnsi" w:hAnsiTheme="majorHAnsi" w:cstheme="majorHAnsi"/>
        </w:rPr>
        <w:t>Examples of products</w:t>
      </w:r>
    </w:p>
    <w:tbl>
      <w:tblPr>
        <w:tblStyle w:val="TableTGAblue"/>
        <w:tblW w:w="9044" w:type="dxa"/>
        <w:tblLook w:val="04A0" w:firstRow="1" w:lastRow="0" w:firstColumn="1" w:lastColumn="0" w:noHBand="0" w:noVBand="1"/>
      </w:tblPr>
      <w:tblGrid>
        <w:gridCol w:w="6227"/>
        <w:gridCol w:w="2817"/>
      </w:tblGrid>
      <w:tr w:rsidR="00821D79" w:rsidRPr="00215D48" w14:paraId="14F17704" w14:textId="77777777" w:rsidTr="00821D7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6227" w:type="dxa"/>
          </w:tcPr>
          <w:p w14:paraId="2E216EEF" w14:textId="31B885FC" w:rsidR="00821D79" w:rsidRPr="00215D48" w:rsidRDefault="00821D79" w:rsidP="00821D79">
            <w:r w:rsidRPr="00821D79">
              <w:t>Product</w:t>
            </w:r>
          </w:p>
        </w:tc>
        <w:tc>
          <w:tcPr>
            <w:tcW w:w="2817" w:type="dxa"/>
          </w:tcPr>
          <w:p w14:paraId="53A99DD1" w14:textId="0EF8F223" w:rsidR="00821D79" w:rsidRPr="00215D48" w:rsidRDefault="00821D79" w:rsidP="00821D79">
            <w:pPr>
              <w:cnfStyle w:val="100000000000" w:firstRow="1" w:lastRow="0" w:firstColumn="0" w:lastColumn="0" w:oddVBand="0" w:evenVBand="0" w:oddHBand="0" w:evenHBand="0" w:firstRowFirstColumn="0" w:firstRowLastColumn="0" w:lastRowFirstColumn="0" w:lastRowLastColumn="0"/>
            </w:pPr>
            <w:r w:rsidRPr="00821D79">
              <w:t>Regulatory pathway</w:t>
            </w:r>
          </w:p>
        </w:tc>
        <w:bookmarkStart w:id="22" w:name="ColumnTitle_3"/>
      </w:tr>
      <w:tr w:rsidR="00821D79" w:rsidRPr="00215D48" w14:paraId="67A6A9FA" w14:textId="77777777" w:rsidTr="00821D79">
        <w:trPr>
          <w:trHeight w:val="530"/>
        </w:trPr>
        <w:tc>
          <w:tcPr>
            <w:cnfStyle w:val="001000000000" w:firstRow="0" w:lastRow="0" w:firstColumn="1" w:lastColumn="0" w:oddVBand="0" w:evenVBand="0" w:oddHBand="0" w:evenHBand="0" w:firstRowFirstColumn="0" w:firstRowLastColumn="0" w:lastRowFirstColumn="0" w:lastRowLastColumn="0"/>
            <w:tcW w:w="6227" w:type="dxa"/>
          </w:tcPr>
          <w:p w14:paraId="7F6DD72B" w14:textId="77777777" w:rsidR="00821D79" w:rsidRPr="00D56344" w:rsidRDefault="00821D79" w:rsidP="00821D79">
            <w:pPr>
              <w:rPr>
                <w:rFonts w:asciiTheme="majorHAnsi" w:hAnsiTheme="majorHAnsi" w:cstheme="majorHAnsi"/>
                <w:b/>
                <w:bCs/>
                <w:color w:val="000000"/>
              </w:rPr>
            </w:pPr>
            <w:r w:rsidRPr="00D56344">
              <w:rPr>
                <w:rFonts w:asciiTheme="majorHAnsi" w:hAnsiTheme="majorHAnsi" w:cstheme="majorHAnsi"/>
                <w:b/>
                <w:bCs/>
                <w:color w:val="000000"/>
              </w:rPr>
              <w:t>Salivation stimulation lozenge</w:t>
            </w:r>
          </w:p>
          <w:p w14:paraId="14037C82" w14:textId="33E47E23" w:rsidR="00821D79" w:rsidRPr="00215D48" w:rsidRDefault="00821D79" w:rsidP="00821D79">
            <w:r w:rsidRPr="00D56344">
              <w:rPr>
                <w:rFonts w:asciiTheme="majorHAnsi" w:hAnsiTheme="majorHAnsi" w:cstheme="majorHAnsi"/>
                <w:color w:val="000000"/>
              </w:rPr>
              <w:t xml:space="preserve">An </w:t>
            </w:r>
            <w:proofErr w:type="gramStart"/>
            <w:r w:rsidRPr="00D56344">
              <w:rPr>
                <w:rFonts w:asciiTheme="majorHAnsi" w:hAnsiTheme="majorHAnsi" w:cstheme="majorHAnsi"/>
                <w:color w:val="000000"/>
              </w:rPr>
              <w:t>orally-administered</w:t>
            </w:r>
            <w:proofErr w:type="gramEnd"/>
            <w:r w:rsidRPr="00D56344">
              <w:rPr>
                <w:rFonts w:asciiTheme="majorHAnsi" w:hAnsiTheme="majorHAnsi" w:cstheme="majorHAnsi"/>
                <w:color w:val="000000"/>
              </w:rPr>
              <w:t xml:space="preserve"> tablet intended to increase the secretion of saliva by stimulating the taste receptors of the tongue via the gustatory-salivary reflex and to alleviate the dry mouth symptom (xerostomia) associated with a medical condition or treatment.</w:t>
            </w:r>
          </w:p>
        </w:tc>
        <w:tc>
          <w:tcPr>
            <w:tcW w:w="2817" w:type="dxa"/>
          </w:tcPr>
          <w:p w14:paraId="5FC7E5BF" w14:textId="77777777" w:rsidR="00821D79" w:rsidRPr="00D56344" w:rsidRDefault="00821D79" w:rsidP="00821D79">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56344">
              <w:rPr>
                <w:rFonts w:asciiTheme="majorHAnsi" w:hAnsiTheme="majorHAnsi" w:cstheme="majorHAnsi"/>
                <w:b/>
                <w:bCs/>
                <w:color w:val="000000"/>
              </w:rPr>
              <w:t>Medicine</w:t>
            </w:r>
            <w:r w:rsidRPr="00D56344">
              <w:rPr>
                <w:rFonts w:asciiTheme="majorHAnsi" w:hAnsiTheme="majorHAnsi" w:cstheme="majorHAnsi"/>
                <w:color w:val="000000"/>
              </w:rPr>
              <w:t xml:space="preserve"> – if the lozenge is treating a medical condition.</w:t>
            </w:r>
          </w:p>
          <w:p w14:paraId="64CC4737" w14:textId="12C5B2D8" w:rsidR="00821D79" w:rsidRPr="00215D48" w:rsidRDefault="00821D79" w:rsidP="00821D79">
            <w:pPr>
              <w:cnfStyle w:val="000000000000" w:firstRow="0" w:lastRow="0" w:firstColumn="0" w:lastColumn="0" w:oddVBand="0" w:evenVBand="0" w:oddHBand="0" w:evenHBand="0" w:firstRowFirstColumn="0" w:firstRowLastColumn="0" w:lastRowFirstColumn="0" w:lastRowLastColumn="0"/>
            </w:pPr>
            <w:r w:rsidRPr="00D56344">
              <w:rPr>
                <w:rFonts w:asciiTheme="majorHAnsi" w:hAnsiTheme="majorHAnsi" w:cstheme="majorHAnsi"/>
                <w:b/>
                <w:bCs/>
                <w:color w:val="000000"/>
              </w:rPr>
              <w:t>Not a therapeutic good</w:t>
            </w:r>
            <w:r w:rsidRPr="00D56344">
              <w:rPr>
                <w:rFonts w:asciiTheme="majorHAnsi" w:hAnsiTheme="majorHAnsi" w:cstheme="majorHAnsi"/>
                <w:color w:val="000000"/>
              </w:rPr>
              <w:t xml:space="preserve"> – if the action is consistent with normal expectations of food products.</w:t>
            </w:r>
          </w:p>
        </w:tc>
        <w:bookmarkEnd w:id="22"/>
      </w:tr>
      <w:tr w:rsidR="00821D79" w:rsidRPr="00215D48" w14:paraId="09BDAA31" w14:textId="77777777" w:rsidTr="00821D79">
        <w:trPr>
          <w:trHeight w:val="545"/>
        </w:trPr>
        <w:tc>
          <w:tcPr>
            <w:cnfStyle w:val="001000000000" w:firstRow="0" w:lastRow="0" w:firstColumn="1" w:lastColumn="0" w:oddVBand="0" w:evenVBand="0" w:oddHBand="0" w:evenHBand="0" w:firstRowFirstColumn="0" w:firstRowLastColumn="0" w:lastRowFirstColumn="0" w:lastRowLastColumn="0"/>
            <w:tcW w:w="6227" w:type="dxa"/>
          </w:tcPr>
          <w:p w14:paraId="456AD5DF" w14:textId="77777777" w:rsidR="00821D79" w:rsidRPr="00D56344" w:rsidRDefault="00821D79" w:rsidP="00821D79">
            <w:pPr>
              <w:rPr>
                <w:rFonts w:asciiTheme="majorHAnsi" w:hAnsiTheme="majorHAnsi" w:cstheme="majorHAnsi"/>
                <w:color w:val="000000"/>
              </w:rPr>
            </w:pPr>
            <w:r w:rsidRPr="00D56344">
              <w:rPr>
                <w:rFonts w:asciiTheme="majorHAnsi" w:hAnsiTheme="majorHAnsi" w:cstheme="majorHAnsi"/>
                <w:b/>
                <w:bCs/>
                <w:color w:val="000000"/>
              </w:rPr>
              <w:t xml:space="preserve">Sodium </w:t>
            </w:r>
            <w:proofErr w:type="gramStart"/>
            <w:r w:rsidRPr="00D56344">
              <w:rPr>
                <w:rFonts w:asciiTheme="majorHAnsi" w:hAnsiTheme="majorHAnsi" w:cstheme="majorHAnsi"/>
                <w:b/>
                <w:bCs/>
                <w:color w:val="000000"/>
              </w:rPr>
              <w:t>alginate based</w:t>
            </w:r>
            <w:proofErr w:type="gramEnd"/>
            <w:r w:rsidRPr="00D56344">
              <w:rPr>
                <w:rFonts w:asciiTheme="majorHAnsi" w:hAnsiTheme="majorHAnsi" w:cstheme="majorHAnsi"/>
                <w:b/>
                <w:bCs/>
                <w:color w:val="000000"/>
              </w:rPr>
              <w:t xml:space="preserve"> products for reflux </w:t>
            </w:r>
          </w:p>
          <w:p w14:paraId="01C09BF2" w14:textId="2E9B97D7" w:rsidR="00821D79" w:rsidRPr="00215D48" w:rsidRDefault="00821D79" w:rsidP="00821D79">
            <w:r w:rsidRPr="00D56344">
              <w:rPr>
                <w:rFonts w:asciiTheme="majorHAnsi" w:hAnsiTheme="majorHAnsi" w:cstheme="majorHAnsi"/>
                <w:color w:val="000000"/>
              </w:rPr>
              <w:t>Sodium alginate is the sodium salt of alginic acid and can be used to relieve symptoms of reflux.</w:t>
            </w:r>
          </w:p>
        </w:tc>
        <w:tc>
          <w:tcPr>
            <w:tcW w:w="2817" w:type="dxa"/>
          </w:tcPr>
          <w:p w14:paraId="552B52FA" w14:textId="221CE60E" w:rsidR="00821D79" w:rsidRPr="00215D48" w:rsidRDefault="00821D79" w:rsidP="00821D79">
            <w:pPr>
              <w:cnfStyle w:val="000000000000" w:firstRow="0" w:lastRow="0" w:firstColumn="0" w:lastColumn="0" w:oddVBand="0" w:evenVBand="0" w:oddHBand="0" w:evenHBand="0" w:firstRowFirstColumn="0" w:firstRowLastColumn="0" w:lastRowFirstColumn="0" w:lastRowLastColumn="0"/>
            </w:pPr>
            <w:r w:rsidRPr="00D56344">
              <w:rPr>
                <w:rFonts w:asciiTheme="majorHAnsi" w:hAnsiTheme="majorHAnsi" w:cstheme="majorHAnsi"/>
                <w:b/>
                <w:bCs/>
                <w:color w:val="000000"/>
              </w:rPr>
              <w:t>Medicine</w:t>
            </w:r>
            <w:r w:rsidRPr="00D56344">
              <w:rPr>
                <w:rFonts w:asciiTheme="majorHAnsi" w:hAnsiTheme="majorHAnsi" w:cstheme="majorHAnsi"/>
                <w:color w:val="000000"/>
              </w:rPr>
              <w:t xml:space="preserve"> – if the action is achieved through a chemical reaction in the stomach.</w:t>
            </w:r>
          </w:p>
        </w:tc>
      </w:tr>
      <w:tr w:rsidR="00821D79" w:rsidRPr="00215D48" w14:paraId="2447378A" w14:textId="77777777" w:rsidTr="00821D79">
        <w:trPr>
          <w:trHeight w:val="545"/>
        </w:trPr>
        <w:tc>
          <w:tcPr>
            <w:cnfStyle w:val="001000000000" w:firstRow="0" w:lastRow="0" w:firstColumn="1" w:lastColumn="0" w:oddVBand="0" w:evenVBand="0" w:oddHBand="0" w:evenHBand="0" w:firstRowFirstColumn="0" w:firstRowLastColumn="0" w:lastRowFirstColumn="0" w:lastRowLastColumn="0"/>
            <w:tcW w:w="6227" w:type="dxa"/>
          </w:tcPr>
          <w:p w14:paraId="5B2A61C7" w14:textId="77777777" w:rsidR="00821D79" w:rsidRPr="00D56344" w:rsidRDefault="00821D79" w:rsidP="00821D79">
            <w:pPr>
              <w:rPr>
                <w:rFonts w:asciiTheme="majorHAnsi" w:hAnsiTheme="majorHAnsi" w:cstheme="majorHAnsi"/>
                <w:color w:val="000000"/>
              </w:rPr>
            </w:pPr>
            <w:r w:rsidRPr="00D56344">
              <w:rPr>
                <w:rFonts w:asciiTheme="majorHAnsi" w:hAnsiTheme="majorHAnsi" w:cstheme="majorHAnsi"/>
                <w:b/>
                <w:bCs/>
                <w:color w:val="000000"/>
              </w:rPr>
              <w:t>Gastrointestinal gas suppressant</w:t>
            </w:r>
          </w:p>
          <w:p w14:paraId="29E0FDA7" w14:textId="03F5F56D" w:rsidR="00821D79" w:rsidRPr="00D56344" w:rsidRDefault="00821D79" w:rsidP="00821D79">
            <w:pPr>
              <w:rPr>
                <w:rFonts w:asciiTheme="majorHAnsi" w:hAnsiTheme="majorHAnsi" w:cstheme="majorHAnsi"/>
                <w:b/>
                <w:bCs/>
                <w:color w:val="000000"/>
              </w:rPr>
            </w:pPr>
            <w:r w:rsidRPr="00D56344">
              <w:rPr>
                <w:rFonts w:asciiTheme="majorHAnsi" w:hAnsiTheme="majorHAnsi" w:cstheme="majorHAnsi"/>
                <w:color w:val="000000"/>
              </w:rPr>
              <w:t xml:space="preserve">An </w:t>
            </w:r>
            <w:proofErr w:type="gramStart"/>
            <w:r w:rsidRPr="00D56344">
              <w:rPr>
                <w:rFonts w:asciiTheme="majorHAnsi" w:hAnsiTheme="majorHAnsi" w:cstheme="majorHAnsi"/>
                <w:color w:val="000000"/>
              </w:rPr>
              <w:t>orally-administered</w:t>
            </w:r>
            <w:proofErr w:type="gramEnd"/>
            <w:r w:rsidRPr="00D56344">
              <w:rPr>
                <w:rFonts w:asciiTheme="majorHAnsi" w:hAnsiTheme="majorHAnsi" w:cstheme="majorHAnsi"/>
                <w:color w:val="000000"/>
              </w:rPr>
              <w:t xml:space="preserve"> substance intended to treat disorders of the gastrointestinal (GI) tract caused by gas (for example, swelling of the stomach (aerophagy) and intestine (meteorism) and associated pains/discomforts (cramps, irritable bowel, burping, flatulence). It may also be used to treat functional dyspeptic symptomatology and to prepare for diagnostic abdominal tests (for example, endoscopy, ultrasound scanning). It typically contains simethicone to inhibit the formation of gas bubbles and reduces their surface tension so that they burst; it is available in the form of a non-prescription </w:t>
            </w:r>
            <w:proofErr w:type="gramStart"/>
            <w:r w:rsidRPr="00D56344">
              <w:rPr>
                <w:rFonts w:asciiTheme="majorHAnsi" w:hAnsiTheme="majorHAnsi" w:cstheme="majorHAnsi"/>
                <w:color w:val="000000"/>
              </w:rPr>
              <w:t>over-the-counter</w:t>
            </w:r>
            <w:proofErr w:type="gramEnd"/>
            <w:r w:rsidRPr="00D56344">
              <w:rPr>
                <w:rFonts w:asciiTheme="majorHAnsi" w:hAnsiTheme="majorHAnsi" w:cstheme="majorHAnsi"/>
                <w:color w:val="000000"/>
              </w:rPr>
              <w:t xml:space="preserve"> (OTC) powder, liquid or dissolvable film. After application, this device cannot be reused.</w:t>
            </w:r>
          </w:p>
        </w:tc>
        <w:tc>
          <w:tcPr>
            <w:tcW w:w="2817" w:type="dxa"/>
          </w:tcPr>
          <w:p w14:paraId="376FBDAC" w14:textId="0DD4F9D1" w:rsidR="00821D79" w:rsidRPr="00D56344" w:rsidRDefault="00821D79" w:rsidP="00821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rPr>
            </w:pPr>
            <w:r w:rsidRPr="00D56344">
              <w:rPr>
                <w:rFonts w:asciiTheme="majorHAnsi" w:hAnsiTheme="majorHAnsi" w:cstheme="majorHAnsi"/>
                <w:b/>
                <w:bCs/>
                <w:color w:val="000000"/>
              </w:rPr>
              <w:t>Medicine</w:t>
            </w:r>
            <w:r w:rsidRPr="00D56344">
              <w:rPr>
                <w:rFonts w:asciiTheme="majorHAnsi" w:hAnsiTheme="majorHAnsi" w:cstheme="majorHAnsi"/>
                <w:color w:val="000000"/>
              </w:rPr>
              <w:t xml:space="preserve"> – if the action is achieved through a chemical reaction in the stomach.</w:t>
            </w:r>
          </w:p>
        </w:tc>
      </w:tr>
      <w:tr w:rsidR="00821D79" w:rsidRPr="00215D48" w14:paraId="29AEB74F" w14:textId="77777777" w:rsidTr="00821D79">
        <w:trPr>
          <w:trHeight w:val="545"/>
        </w:trPr>
        <w:tc>
          <w:tcPr>
            <w:cnfStyle w:val="001000000000" w:firstRow="0" w:lastRow="0" w:firstColumn="1" w:lastColumn="0" w:oddVBand="0" w:evenVBand="0" w:oddHBand="0" w:evenHBand="0" w:firstRowFirstColumn="0" w:firstRowLastColumn="0" w:lastRowFirstColumn="0" w:lastRowLastColumn="0"/>
            <w:tcW w:w="6227" w:type="dxa"/>
          </w:tcPr>
          <w:p w14:paraId="2EBB2984" w14:textId="77777777" w:rsidR="00821D79" w:rsidRPr="00D56344" w:rsidRDefault="00821D79" w:rsidP="00821D79">
            <w:pPr>
              <w:rPr>
                <w:rFonts w:asciiTheme="majorHAnsi" w:hAnsiTheme="majorHAnsi" w:cstheme="majorHAnsi"/>
                <w:color w:val="000000"/>
              </w:rPr>
            </w:pPr>
            <w:r w:rsidRPr="00D56344">
              <w:rPr>
                <w:rFonts w:asciiTheme="majorHAnsi" w:hAnsiTheme="majorHAnsi" w:cstheme="majorHAnsi"/>
                <w:b/>
                <w:bCs/>
                <w:color w:val="000000"/>
              </w:rPr>
              <w:t xml:space="preserve">Mineral-based gastrointestinal detoxifier </w:t>
            </w:r>
          </w:p>
          <w:p w14:paraId="6C37860B" w14:textId="5D34824C" w:rsidR="00821D79" w:rsidRPr="00D56344" w:rsidRDefault="00821D79" w:rsidP="00821D79">
            <w:pPr>
              <w:rPr>
                <w:rFonts w:asciiTheme="majorHAnsi" w:hAnsiTheme="majorHAnsi" w:cstheme="majorHAnsi"/>
                <w:b/>
                <w:bCs/>
                <w:color w:val="000000"/>
              </w:rPr>
            </w:pPr>
            <w:r w:rsidRPr="00D56344">
              <w:rPr>
                <w:rFonts w:asciiTheme="majorHAnsi" w:hAnsiTheme="majorHAnsi" w:cstheme="majorHAnsi"/>
                <w:color w:val="000000"/>
              </w:rPr>
              <w:t xml:space="preserve">An </w:t>
            </w:r>
            <w:proofErr w:type="gramStart"/>
            <w:r w:rsidRPr="00D56344">
              <w:rPr>
                <w:rFonts w:asciiTheme="majorHAnsi" w:hAnsiTheme="majorHAnsi" w:cstheme="majorHAnsi"/>
                <w:color w:val="000000"/>
              </w:rPr>
              <w:t>orally-administered</w:t>
            </w:r>
            <w:proofErr w:type="gramEnd"/>
            <w:r w:rsidRPr="00D56344">
              <w:rPr>
                <w:rFonts w:asciiTheme="majorHAnsi" w:hAnsiTheme="majorHAnsi" w:cstheme="majorHAnsi"/>
                <w:color w:val="000000"/>
              </w:rPr>
              <w:t xml:space="preserve"> substance principally comprised of a mineral such as zeolite, intended to absorb, adsorb, and/or chelate and remove harmful exogenous and/or autologous toxins/substances (for example, heavy metals, ammonium, microbial toxins, pesticides, histamine, serotonin, alcohol, and/or bile acids) from some or most of the gastrointestinal (GI) tract. It may also function as an antioxidant. It is provided in various forms (for example, powder, capsule, liquid) and is normally available non-prescription </w:t>
            </w:r>
            <w:proofErr w:type="gramStart"/>
            <w:r w:rsidRPr="00D56344">
              <w:rPr>
                <w:rFonts w:asciiTheme="majorHAnsi" w:hAnsiTheme="majorHAnsi" w:cstheme="majorHAnsi"/>
                <w:color w:val="000000"/>
              </w:rPr>
              <w:t>over-the-counter</w:t>
            </w:r>
            <w:proofErr w:type="gramEnd"/>
            <w:r w:rsidRPr="00D56344">
              <w:rPr>
                <w:rFonts w:asciiTheme="majorHAnsi" w:hAnsiTheme="majorHAnsi" w:cstheme="majorHAnsi"/>
                <w:color w:val="000000"/>
              </w:rPr>
              <w:t xml:space="preserve"> (OTC) for use in the home or health care facility. This is a single-use device.</w:t>
            </w:r>
          </w:p>
        </w:tc>
        <w:tc>
          <w:tcPr>
            <w:tcW w:w="2817" w:type="dxa"/>
          </w:tcPr>
          <w:p w14:paraId="291E5254" w14:textId="4277732D" w:rsidR="00821D79" w:rsidRPr="00D56344" w:rsidRDefault="00821D79" w:rsidP="00821D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rPr>
            </w:pPr>
            <w:r w:rsidRPr="00D56344">
              <w:rPr>
                <w:rFonts w:asciiTheme="majorHAnsi" w:hAnsiTheme="majorHAnsi" w:cstheme="majorHAnsi"/>
                <w:b/>
                <w:bCs/>
                <w:color w:val="000000"/>
              </w:rPr>
              <w:t xml:space="preserve">Medicine </w:t>
            </w:r>
            <w:r w:rsidRPr="00D56344">
              <w:rPr>
                <w:rFonts w:asciiTheme="majorHAnsi" w:hAnsiTheme="majorHAnsi" w:cstheme="majorHAnsi"/>
                <w:color w:val="000000"/>
              </w:rPr>
              <w:t>– if the action is achieved through a chemical reaction in the stomach.</w:t>
            </w:r>
          </w:p>
        </w:tc>
      </w:tr>
    </w:tbl>
    <w:p w14:paraId="2CF3076F" w14:textId="77777777" w:rsidR="00821D79" w:rsidRPr="00D56344" w:rsidRDefault="00821D79" w:rsidP="00DE28C7">
      <w:pPr>
        <w:rPr>
          <w:rFonts w:asciiTheme="majorHAnsi" w:hAnsiTheme="majorHAnsi" w:cstheme="majorHAnsi"/>
        </w:rPr>
      </w:pPr>
    </w:p>
    <w:p w14:paraId="3D3FD0FB" w14:textId="77777777" w:rsidR="00DE28C7" w:rsidRDefault="00DE28C7" w:rsidP="00DE28C7">
      <w:pPr>
        <w:pStyle w:val="Heading2"/>
      </w:pPr>
      <w:bookmarkStart w:id="23" w:name="_Transitional_provisions_for"/>
      <w:bookmarkStart w:id="24" w:name="_Toc36109922"/>
      <w:bookmarkStart w:id="25" w:name="_Toc114577938"/>
      <w:bookmarkStart w:id="26" w:name="_Toc121838213"/>
      <w:bookmarkEnd w:id="23"/>
      <w:r>
        <w:lastRenderedPageBreak/>
        <w:t>What you need to do</w:t>
      </w:r>
      <w:bookmarkEnd w:id="24"/>
      <w:bookmarkEnd w:id="25"/>
      <w:bookmarkEnd w:id="26"/>
    </w:p>
    <w:p w14:paraId="5440FBB5"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If you are the sponsor of a medical device composed of substances that are intended to be introduced into the human body through a body orifice or applied to skin, the actions you will need to take to comply with the new regulations will depend on the status of your product:</w:t>
      </w:r>
    </w:p>
    <w:p w14:paraId="5C053661" w14:textId="77777777" w:rsidR="00DE28C7" w:rsidRPr="00D56344" w:rsidRDefault="007807F2" w:rsidP="00DE28C7">
      <w:pPr>
        <w:pStyle w:val="ListBullet"/>
        <w:numPr>
          <w:ilvl w:val="0"/>
          <w:numId w:val="22"/>
        </w:numPr>
        <w:rPr>
          <w:rFonts w:asciiTheme="majorHAnsi" w:hAnsiTheme="majorHAnsi" w:cstheme="majorHAnsi"/>
        </w:rPr>
      </w:pPr>
      <w:hyperlink w:anchor="_Sponsors_with_a" w:history="1">
        <w:r w:rsidR="00DE28C7" w:rsidRPr="00D56344">
          <w:rPr>
            <w:rStyle w:val="Hyperlink"/>
            <w:rFonts w:asciiTheme="majorHAnsi" w:hAnsiTheme="majorHAnsi" w:cstheme="majorHAnsi"/>
          </w:rPr>
          <w:t>Medical devices included in the ARTG prior to 25 November 2021</w:t>
        </w:r>
      </w:hyperlink>
    </w:p>
    <w:p w14:paraId="4F040918" w14:textId="77777777" w:rsidR="00DE28C7" w:rsidRPr="00D56344" w:rsidRDefault="007807F2" w:rsidP="00DE28C7">
      <w:pPr>
        <w:pStyle w:val="ListBullet"/>
        <w:numPr>
          <w:ilvl w:val="0"/>
          <w:numId w:val="22"/>
        </w:numPr>
        <w:rPr>
          <w:rFonts w:asciiTheme="majorHAnsi" w:hAnsiTheme="majorHAnsi" w:cstheme="majorHAnsi"/>
        </w:rPr>
      </w:pPr>
      <w:hyperlink w:anchor="_Sponsors_with_a_1" w:history="1">
        <w:r w:rsidR="00DE28C7" w:rsidRPr="00D56344">
          <w:rPr>
            <w:rStyle w:val="Hyperlink"/>
            <w:rFonts w:asciiTheme="majorHAnsi" w:hAnsiTheme="majorHAnsi" w:cstheme="majorHAnsi"/>
          </w:rPr>
          <w:t>Applications to include a medical device in the ARTG lodged before 25 November 2021</w:t>
        </w:r>
      </w:hyperlink>
    </w:p>
    <w:p w14:paraId="68DDC019" w14:textId="77777777" w:rsidR="00DE28C7" w:rsidRPr="00D56344" w:rsidRDefault="007807F2" w:rsidP="00DE28C7">
      <w:pPr>
        <w:pStyle w:val="ListBullet"/>
        <w:numPr>
          <w:ilvl w:val="0"/>
          <w:numId w:val="22"/>
        </w:numPr>
        <w:rPr>
          <w:rFonts w:asciiTheme="majorHAnsi" w:hAnsiTheme="majorHAnsi" w:cstheme="majorHAnsi"/>
        </w:rPr>
      </w:pPr>
      <w:hyperlink w:anchor="_Sponsors_intending_to" w:history="1">
        <w:r w:rsidR="00DE28C7" w:rsidRPr="00D56344">
          <w:rPr>
            <w:rStyle w:val="Hyperlink"/>
            <w:rFonts w:asciiTheme="majorHAnsi" w:hAnsiTheme="majorHAnsi" w:cstheme="majorHAnsi"/>
          </w:rPr>
          <w:t>Applications to include a new medical device in the ARTG on or after 25 November 2021</w:t>
        </w:r>
      </w:hyperlink>
    </w:p>
    <w:p w14:paraId="1E1F6BE1" w14:textId="77777777" w:rsidR="00DE28C7" w:rsidRDefault="00DE28C7" w:rsidP="00DE28C7">
      <w:pPr>
        <w:pStyle w:val="Heading3"/>
      </w:pPr>
      <w:bookmarkStart w:id="27" w:name="_Sponsors_with_a"/>
      <w:bookmarkStart w:id="28" w:name="_Toc53473373"/>
      <w:bookmarkStart w:id="29" w:name="_Toc114577939"/>
      <w:bookmarkStart w:id="30" w:name="_Toc121838214"/>
      <w:bookmarkEnd w:id="27"/>
      <w:r>
        <w:t>Medical devices included in the ARTG prior to 25 November 2021</w:t>
      </w:r>
      <w:bookmarkEnd w:id="28"/>
      <w:bookmarkEnd w:id="29"/>
      <w:bookmarkEnd w:id="30"/>
    </w:p>
    <w:p w14:paraId="367A66B0"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If you have a medical device composed of substances that are intended to be introduced into the human body through a body orifice or applied to skin in the ARTG with a start date before 25 November 2021, transitional arrangements are in place to ensure that you can continue to supply your device while you apply for it to be included in the ARTG in accordance with the new classification.</w:t>
      </w:r>
    </w:p>
    <w:p w14:paraId="10C24083"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To continue to supply your device you must:</w:t>
      </w:r>
    </w:p>
    <w:p w14:paraId="07319B83" w14:textId="5AF56DC8" w:rsidR="00DE28C7" w:rsidRPr="00D56344" w:rsidRDefault="007807F2" w:rsidP="00821D79">
      <w:pPr>
        <w:pStyle w:val="ListBullet"/>
      </w:pPr>
      <w:hyperlink w:anchor="_Notifying_the_TGA" w:history="1">
        <w:r w:rsidR="00DE28C7" w:rsidRPr="00D56344">
          <w:rPr>
            <w:rStyle w:val="Hyperlink"/>
            <w:rFonts w:asciiTheme="majorHAnsi" w:hAnsiTheme="majorHAnsi" w:cstheme="majorHAnsi"/>
          </w:rPr>
          <w:t>Notify the TGA</w:t>
        </w:r>
      </w:hyperlink>
      <w:r w:rsidR="00DE28C7" w:rsidRPr="00D56344">
        <w:t xml:space="preserve"> </w:t>
      </w:r>
      <w:r w:rsidR="00DE28C7" w:rsidRPr="00D56344">
        <w:rPr>
          <w:b/>
        </w:rPr>
        <w:t xml:space="preserve">before 25 May 2022 </w:t>
      </w:r>
      <w:r w:rsidR="00DE28C7" w:rsidRPr="00D56344">
        <w:t>that you have an ARTG inclusion that will need to be reclassified.</w:t>
      </w:r>
    </w:p>
    <w:p w14:paraId="1527B3BB" w14:textId="77777777" w:rsidR="00DE28C7" w:rsidRPr="00D56344" w:rsidRDefault="007807F2" w:rsidP="00AA1BFD">
      <w:pPr>
        <w:pStyle w:val="ListBullet"/>
      </w:pPr>
      <w:hyperlink r:id="rId20" w:history="1">
        <w:proofErr w:type="gramStart"/>
        <w:r w:rsidR="00DE28C7" w:rsidRPr="00D56344">
          <w:rPr>
            <w:rStyle w:val="Hyperlink"/>
            <w:rFonts w:asciiTheme="majorHAnsi" w:hAnsiTheme="majorHAnsi" w:cstheme="majorHAnsi"/>
          </w:rPr>
          <w:t>Submit an application</w:t>
        </w:r>
        <w:proofErr w:type="gramEnd"/>
      </w:hyperlink>
      <w:r w:rsidR="00DE28C7" w:rsidRPr="00D56344">
        <w:t xml:space="preserve"> for your device to be included in the ARTG under the correct classification </w:t>
      </w:r>
      <w:r w:rsidR="00DE28C7" w:rsidRPr="00D56344">
        <w:rPr>
          <w:b/>
        </w:rPr>
        <w:t>before</w:t>
      </w:r>
      <w:r w:rsidR="00DE28C7" w:rsidRPr="00D56344">
        <w:t xml:space="preserve"> </w:t>
      </w:r>
      <w:r w:rsidR="00DE28C7" w:rsidRPr="00D56344">
        <w:rPr>
          <w:b/>
        </w:rPr>
        <w:t>1 November 2024.</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D56344" w14:paraId="7F98D422" w14:textId="77777777" w:rsidTr="00CB7C09">
        <w:tc>
          <w:tcPr>
            <w:tcW w:w="1276" w:type="dxa"/>
            <w:vAlign w:val="center"/>
          </w:tcPr>
          <w:p w14:paraId="2F26B6D2" w14:textId="77777777" w:rsidR="00DE28C7" w:rsidRPr="00D56344" w:rsidRDefault="00DE28C7" w:rsidP="00CB7C09">
            <w:pPr>
              <w:spacing w:before="0"/>
              <w:rPr>
                <w:rFonts w:asciiTheme="majorHAnsi" w:hAnsiTheme="majorHAnsi" w:cstheme="majorHAnsi"/>
                <w:sz w:val="20"/>
              </w:rPr>
            </w:pPr>
            <w:r w:rsidRPr="00D56344">
              <w:rPr>
                <w:rFonts w:asciiTheme="majorHAnsi" w:hAnsiTheme="majorHAnsi" w:cstheme="majorHAnsi"/>
              </w:rPr>
              <w:br w:type="page"/>
            </w:r>
            <w:r w:rsidRPr="00D56344">
              <w:rPr>
                <w:rFonts w:asciiTheme="majorHAnsi" w:hAnsiTheme="majorHAnsi" w:cstheme="majorHAnsi"/>
                <w:noProof/>
                <w:sz w:val="20"/>
                <w:lang w:eastAsia="en-AU"/>
              </w:rPr>
              <w:drawing>
                <wp:inline distT="0" distB="0" distL="0" distR="0" wp14:anchorId="28F05046" wp14:editId="26444AA6">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405E5E" w14:textId="77777777" w:rsidR="00DE28C7" w:rsidRPr="00D56344" w:rsidRDefault="00DE28C7" w:rsidP="00CB7C09">
            <w:pPr>
              <w:rPr>
                <w:rFonts w:asciiTheme="majorHAnsi" w:hAnsiTheme="majorHAnsi" w:cstheme="majorHAnsi"/>
                <w:b/>
              </w:rPr>
            </w:pPr>
            <w:r w:rsidRPr="00D56344">
              <w:rPr>
                <w:rFonts w:asciiTheme="majorHAnsi" w:hAnsiTheme="majorHAnsi" w:cstheme="majorHAnsi"/>
                <w:b/>
              </w:rPr>
              <w:t>Please note</w:t>
            </w:r>
          </w:p>
          <w:p w14:paraId="6F71324F"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If you do not intend to continue supplying the device, you should </w:t>
            </w:r>
            <w:hyperlink r:id="rId21" w:history="1">
              <w:r w:rsidRPr="00D56344">
                <w:rPr>
                  <w:rStyle w:val="Hyperlink"/>
                  <w:rFonts w:asciiTheme="majorHAnsi" w:hAnsiTheme="majorHAnsi" w:cstheme="majorHAnsi"/>
                </w:rPr>
                <w:t>cancel your inclusion</w:t>
              </w:r>
            </w:hyperlink>
            <w:r w:rsidRPr="00D56344">
              <w:rPr>
                <w:rFonts w:asciiTheme="majorHAnsi" w:hAnsiTheme="majorHAnsi" w:cstheme="majorHAnsi"/>
              </w:rPr>
              <w:t xml:space="preserve"> </w:t>
            </w:r>
            <w:r w:rsidRPr="00D56344">
              <w:rPr>
                <w:rFonts w:asciiTheme="majorHAnsi" w:hAnsiTheme="majorHAnsi" w:cstheme="majorHAnsi"/>
                <w:b/>
              </w:rPr>
              <w:t>before 25 May 2022</w:t>
            </w:r>
            <w:r w:rsidRPr="00D56344">
              <w:rPr>
                <w:rFonts w:asciiTheme="majorHAnsi" w:hAnsiTheme="majorHAnsi" w:cstheme="majorHAnsi"/>
              </w:rPr>
              <w:t>.</w:t>
            </w:r>
          </w:p>
          <w:p w14:paraId="64A3EBC5" w14:textId="77777777" w:rsidR="00DE28C7" w:rsidRPr="00D56344" w:rsidRDefault="00DE28C7" w:rsidP="00CB7C09">
            <w:pPr>
              <w:rPr>
                <w:rFonts w:asciiTheme="majorHAnsi" w:hAnsiTheme="majorHAnsi" w:cstheme="majorHAnsi"/>
              </w:rPr>
            </w:pPr>
            <w:r w:rsidRPr="00D56344">
              <w:rPr>
                <w:rFonts w:asciiTheme="majorHAnsi" w:hAnsiTheme="majorHAnsi" w:cstheme="majorHAnsi"/>
              </w:rPr>
              <w:t xml:space="preserve">If you </w:t>
            </w:r>
            <w:r w:rsidRPr="00D56344">
              <w:rPr>
                <w:rFonts w:asciiTheme="majorHAnsi" w:hAnsiTheme="majorHAnsi" w:cstheme="majorHAnsi"/>
                <w:b/>
              </w:rPr>
              <w:t>notify</w:t>
            </w:r>
            <w:r w:rsidRPr="00D56344">
              <w:rPr>
                <w:rFonts w:asciiTheme="majorHAnsi" w:hAnsiTheme="majorHAnsi" w:cstheme="majorHAnsi"/>
              </w:rPr>
              <w:t xml:space="preserve"> the TGA of your devices </w:t>
            </w:r>
            <w:r w:rsidRPr="00D56344">
              <w:rPr>
                <w:rFonts w:asciiTheme="majorHAnsi" w:hAnsiTheme="majorHAnsi" w:cstheme="majorHAnsi"/>
                <w:b/>
              </w:rPr>
              <w:t>before 25 May 2022</w:t>
            </w:r>
            <w:r w:rsidRPr="00D56344">
              <w:rPr>
                <w:rFonts w:asciiTheme="majorHAnsi" w:hAnsiTheme="majorHAnsi" w:cstheme="majorHAnsi"/>
              </w:rPr>
              <w:t xml:space="preserve"> but you do not </w:t>
            </w:r>
            <w:proofErr w:type="gramStart"/>
            <w:r w:rsidRPr="00D56344">
              <w:rPr>
                <w:rFonts w:asciiTheme="majorHAnsi" w:hAnsiTheme="majorHAnsi" w:cstheme="majorHAnsi"/>
                <w:b/>
              </w:rPr>
              <w:t>submit an application</w:t>
            </w:r>
            <w:proofErr w:type="gramEnd"/>
            <w:r w:rsidRPr="00D56344">
              <w:rPr>
                <w:rFonts w:asciiTheme="majorHAnsi" w:hAnsiTheme="majorHAnsi" w:cstheme="majorHAnsi"/>
              </w:rPr>
              <w:t xml:space="preserve"> for inclusion of your device in the ARTG with the correct classification </w:t>
            </w:r>
            <w:r w:rsidRPr="00D56344">
              <w:rPr>
                <w:rFonts w:asciiTheme="majorHAnsi" w:hAnsiTheme="majorHAnsi" w:cstheme="majorHAnsi"/>
                <w:b/>
              </w:rPr>
              <w:t>before 1 November 2024</w:t>
            </w:r>
            <w:r w:rsidRPr="00D56344">
              <w:rPr>
                <w:rFonts w:asciiTheme="majorHAnsi" w:hAnsiTheme="majorHAnsi" w:cstheme="majorHAnsi"/>
              </w:rPr>
              <w:t>, you must cease supply of your device from 1 November 2024 and cancel your ARTG inclusion.</w:t>
            </w:r>
          </w:p>
        </w:tc>
      </w:tr>
    </w:tbl>
    <w:p w14:paraId="250F07F3" w14:textId="77777777" w:rsidR="00DE28C7" w:rsidRDefault="00DE28C7" w:rsidP="00DE28C7">
      <w:pPr>
        <w:pStyle w:val="Heading3"/>
      </w:pPr>
      <w:bookmarkStart w:id="31" w:name="_Sponsors_with_a_1"/>
      <w:bookmarkStart w:id="32" w:name="_Toc53473374"/>
      <w:bookmarkStart w:id="33" w:name="_Toc114577940"/>
      <w:bookmarkStart w:id="34" w:name="_Toc121838215"/>
      <w:bookmarkEnd w:id="31"/>
      <w:r>
        <w:t>Applications to include a medical device in the ARTG lodged before 25 November 2021</w:t>
      </w:r>
      <w:bookmarkEnd w:id="32"/>
      <w:bookmarkEnd w:id="33"/>
      <w:bookmarkEnd w:id="34"/>
    </w:p>
    <w:p w14:paraId="4CB0C8D2"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 xml:space="preserve">If you have submitted an </w:t>
      </w:r>
      <w:hyperlink r:id="rId22" w:history="1">
        <w:r w:rsidRPr="00D56344">
          <w:rPr>
            <w:rStyle w:val="Hyperlink"/>
            <w:rFonts w:asciiTheme="majorHAnsi" w:hAnsiTheme="majorHAnsi" w:cstheme="majorHAnsi"/>
          </w:rPr>
          <w:t>application for inclusion</w:t>
        </w:r>
      </w:hyperlink>
      <w:r w:rsidRPr="00D56344">
        <w:rPr>
          <w:rFonts w:asciiTheme="majorHAnsi" w:hAnsiTheme="majorHAnsi" w:cstheme="majorHAnsi"/>
        </w:rPr>
        <w:t xml:space="preserve"> in the ARTG for a medical device composed of substances that are intended to be introduced into the human body through a body orifice or applied to skin before 25 November 2021, your device application will be assessed and the device will be included in the ARTG under the old classification rules.</w:t>
      </w:r>
    </w:p>
    <w:p w14:paraId="35150E6F"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To be eligible for the transitional arrangements to reclassify your device under the new classification rules, you must:</w:t>
      </w:r>
    </w:p>
    <w:p w14:paraId="03D7929E" w14:textId="77777777" w:rsidR="00DE28C7" w:rsidRPr="00D56344" w:rsidRDefault="007807F2" w:rsidP="00821D79">
      <w:pPr>
        <w:pStyle w:val="ListBullet"/>
      </w:pPr>
      <w:hyperlink w:anchor="_Notifying_the_TGA" w:history="1">
        <w:r w:rsidR="00DE28C7" w:rsidRPr="00D56344">
          <w:rPr>
            <w:rStyle w:val="Hyperlink"/>
            <w:rFonts w:asciiTheme="majorHAnsi" w:hAnsiTheme="majorHAnsi" w:cstheme="majorHAnsi"/>
          </w:rPr>
          <w:t>Notify the TGA</w:t>
        </w:r>
      </w:hyperlink>
      <w:r w:rsidR="00DE28C7" w:rsidRPr="00D56344">
        <w:rPr>
          <w:rStyle w:val="Hyperlink"/>
          <w:rFonts w:asciiTheme="majorHAnsi" w:hAnsiTheme="majorHAnsi" w:cstheme="majorHAnsi"/>
        </w:rPr>
        <w:t xml:space="preserve"> </w:t>
      </w:r>
      <w:r w:rsidR="00DE28C7" w:rsidRPr="00D56344">
        <w:t>that you have an ARTG inclusion that will need to be reclassified by whichever is the later date:</w:t>
      </w:r>
    </w:p>
    <w:p w14:paraId="00206628" w14:textId="77777777" w:rsidR="00DE28C7" w:rsidRPr="00821D79" w:rsidRDefault="00DE28C7" w:rsidP="00821D79">
      <w:pPr>
        <w:pStyle w:val="ListBullet2"/>
        <w:rPr>
          <w:b/>
          <w:bCs/>
        </w:rPr>
      </w:pPr>
      <w:r w:rsidRPr="00821D79">
        <w:rPr>
          <w:b/>
          <w:bCs/>
        </w:rPr>
        <w:t>Before 25 May 2022</w:t>
      </w:r>
    </w:p>
    <w:p w14:paraId="75FBCD31" w14:textId="77777777" w:rsidR="00DE28C7" w:rsidRPr="00821D79" w:rsidRDefault="00DE28C7" w:rsidP="00821D79">
      <w:pPr>
        <w:pStyle w:val="ListBullet2"/>
        <w:rPr>
          <w:b/>
          <w:bCs/>
        </w:rPr>
      </w:pPr>
      <w:r w:rsidRPr="00821D79">
        <w:rPr>
          <w:b/>
          <w:bCs/>
        </w:rPr>
        <w:lastRenderedPageBreak/>
        <w:t>Within 2 months of the start date of your ARTG entry</w:t>
      </w:r>
    </w:p>
    <w:p w14:paraId="57FBC7A3" w14:textId="77777777" w:rsidR="00DE28C7" w:rsidRPr="00D56344" w:rsidRDefault="007807F2" w:rsidP="00821D79">
      <w:pPr>
        <w:pStyle w:val="ListBullet"/>
      </w:pPr>
      <w:hyperlink r:id="rId23" w:history="1">
        <w:proofErr w:type="gramStart"/>
        <w:r w:rsidR="00DE28C7" w:rsidRPr="00D56344">
          <w:rPr>
            <w:rStyle w:val="Hyperlink"/>
            <w:rFonts w:asciiTheme="majorHAnsi" w:hAnsiTheme="majorHAnsi" w:cstheme="majorHAnsi"/>
          </w:rPr>
          <w:t>Submit an application</w:t>
        </w:r>
        <w:proofErr w:type="gramEnd"/>
      </w:hyperlink>
      <w:r w:rsidR="00DE28C7" w:rsidRPr="00D56344">
        <w:t xml:space="preserve"> for your device to be included in the ARTG with the correct classification </w:t>
      </w:r>
      <w:r w:rsidR="00DE28C7" w:rsidRPr="00D56344">
        <w:rPr>
          <w:b/>
        </w:rPr>
        <w:t>before 1 November 2024</w:t>
      </w:r>
      <w:r w:rsidR="00DE28C7" w:rsidRPr="00D56344">
        <w:t>.</w:t>
      </w:r>
    </w:p>
    <w:p w14:paraId="7126A396" w14:textId="77777777" w:rsidR="00DE28C7" w:rsidRDefault="00DE28C7" w:rsidP="00DE28C7">
      <w:pPr>
        <w:pStyle w:val="Heading4"/>
      </w:pPr>
      <w:bookmarkStart w:id="35" w:name="_Toc53473375"/>
      <w:bookmarkStart w:id="36" w:name="_Toc114577941"/>
      <w:bookmarkStart w:id="37" w:name="_Toc121838216"/>
      <w:r>
        <w:t>Cancelling your ARTG inclusion</w:t>
      </w:r>
      <w:bookmarkEnd w:id="35"/>
      <w:bookmarkEnd w:id="36"/>
      <w:bookmarkEnd w:id="37"/>
    </w:p>
    <w:p w14:paraId="725E967E" w14:textId="46482727" w:rsidR="00DE28C7" w:rsidRPr="00D56344" w:rsidRDefault="00DE28C7" w:rsidP="00821D79">
      <w:r w:rsidRPr="00D56344">
        <w:t xml:space="preserve">If you </w:t>
      </w:r>
      <w:r w:rsidRPr="00D56344">
        <w:rPr>
          <w:b/>
        </w:rPr>
        <w:t>do not notify</w:t>
      </w:r>
      <w:r w:rsidRPr="00D56344">
        <w:t xml:space="preserve"> the TGA before 25 May 2022 or within two months of the start date for your ARTG entry (whichever is the later date) of your intention to apply for the device to be included in the ARTG under the new classification rules for your </w:t>
      </w:r>
      <w:r w:rsidR="002E523B" w:rsidRPr="00D56344">
        <w:t>device,</w:t>
      </w:r>
      <w:r w:rsidRPr="00D56344">
        <w:t xml:space="preserve"> you will no longer be eligible for the transitional arrangements. </w:t>
      </w:r>
      <w:bookmarkStart w:id="38" w:name="_Hlk86817391"/>
      <w:r w:rsidRPr="00D56344">
        <w:t>You should:</w:t>
      </w:r>
    </w:p>
    <w:p w14:paraId="31C05A48" w14:textId="77777777" w:rsidR="00DE28C7" w:rsidRPr="00D56344" w:rsidRDefault="00DE28C7" w:rsidP="00821D79">
      <w:pPr>
        <w:pStyle w:val="ListBullet"/>
      </w:pPr>
      <w:r w:rsidRPr="00D56344">
        <w:t>cease supply of your device from 25 May 2022</w:t>
      </w:r>
    </w:p>
    <w:bookmarkEnd w:id="38"/>
    <w:p w14:paraId="3B545565" w14:textId="77777777" w:rsidR="00DE28C7" w:rsidRPr="00D56344" w:rsidRDefault="00DE28C7" w:rsidP="00DE28C7">
      <w:pPr>
        <w:pStyle w:val="ListBullet"/>
        <w:numPr>
          <w:ilvl w:val="0"/>
          <w:numId w:val="22"/>
        </w:numPr>
        <w:rPr>
          <w:rFonts w:asciiTheme="majorHAnsi" w:hAnsiTheme="majorHAnsi" w:cstheme="majorHAnsi"/>
        </w:rPr>
      </w:pPr>
      <w:r w:rsidRPr="00D56344">
        <w:rPr>
          <w:color w:val="auto"/>
        </w:rPr>
        <w:fldChar w:fldCharType="begin"/>
      </w:r>
      <w:r w:rsidRPr="00D56344">
        <w:rPr>
          <w:rFonts w:asciiTheme="majorHAnsi" w:hAnsiTheme="majorHAnsi" w:cstheme="majorHAnsi"/>
        </w:rPr>
        <w:instrText xml:space="preserve"> HYPERLINK "https://www.tga.gov.au/form/request-cancel-artg-entry" </w:instrText>
      </w:r>
      <w:r w:rsidRPr="00D56344">
        <w:rPr>
          <w:color w:val="auto"/>
        </w:rPr>
        <w:fldChar w:fldCharType="separate"/>
      </w:r>
      <w:r w:rsidRPr="00D56344">
        <w:rPr>
          <w:rStyle w:val="Hyperlink"/>
          <w:rFonts w:asciiTheme="majorHAnsi" w:hAnsiTheme="majorHAnsi" w:cstheme="majorHAnsi"/>
        </w:rPr>
        <w:t>cancel your ARTG inclusion</w:t>
      </w:r>
      <w:r w:rsidRPr="00D56344">
        <w:rPr>
          <w:rStyle w:val="Hyperlink"/>
          <w:rFonts w:asciiTheme="majorHAnsi" w:hAnsiTheme="majorHAnsi" w:cstheme="majorHAnsi"/>
        </w:rPr>
        <w:fldChar w:fldCharType="end"/>
      </w:r>
      <w:r w:rsidRPr="00D56344">
        <w:rPr>
          <w:rFonts w:asciiTheme="majorHAnsi" w:hAnsiTheme="majorHAnsi" w:cstheme="majorHAnsi"/>
        </w:rPr>
        <w:t>.</w:t>
      </w:r>
    </w:p>
    <w:p w14:paraId="2D5CEA58"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 xml:space="preserve">If you notify the TGA of your device before the due date, but you </w:t>
      </w:r>
      <w:r w:rsidRPr="00D56344">
        <w:rPr>
          <w:rFonts w:asciiTheme="majorHAnsi" w:hAnsiTheme="majorHAnsi" w:cstheme="majorHAnsi"/>
          <w:b/>
        </w:rPr>
        <w:t>do not</w:t>
      </w:r>
      <w:r w:rsidRPr="00D56344">
        <w:rPr>
          <w:rFonts w:asciiTheme="majorHAnsi" w:hAnsiTheme="majorHAnsi" w:cstheme="majorHAnsi"/>
        </w:rPr>
        <w:t xml:space="preserve"> </w:t>
      </w:r>
      <w:proofErr w:type="gramStart"/>
      <w:r w:rsidRPr="00D56344">
        <w:rPr>
          <w:rFonts w:asciiTheme="majorHAnsi" w:hAnsiTheme="majorHAnsi" w:cstheme="majorHAnsi"/>
          <w:b/>
        </w:rPr>
        <w:t>submit an application</w:t>
      </w:r>
      <w:proofErr w:type="gramEnd"/>
      <w:r w:rsidRPr="00D56344">
        <w:rPr>
          <w:rFonts w:asciiTheme="majorHAnsi" w:hAnsiTheme="majorHAnsi" w:cstheme="majorHAnsi"/>
        </w:rPr>
        <w:t xml:space="preserve"> to include your device in the ARTG for the correct classification </w:t>
      </w:r>
      <w:r w:rsidRPr="00D56344">
        <w:rPr>
          <w:rFonts w:asciiTheme="majorHAnsi" w:hAnsiTheme="majorHAnsi" w:cstheme="majorHAnsi"/>
          <w:b/>
        </w:rPr>
        <w:t>before 1 November 2024</w:t>
      </w:r>
      <w:r w:rsidRPr="00D56344">
        <w:rPr>
          <w:rFonts w:asciiTheme="majorHAnsi" w:hAnsiTheme="majorHAnsi" w:cstheme="majorHAnsi"/>
        </w:rPr>
        <w:t>, you must:</w:t>
      </w:r>
    </w:p>
    <w:p w14:paraId="609705F6" w14:textId="16313B54" w:rsidR="00DE28C7" w:rsidRPr="00D56344" w:rsidRDefault="00DE28C7" w:rsidP="00AA1BFD">
      <w:pPr>
        <w:pStyle w:val="ListBullet"/>
      </w:pPr>
      <w:r w:rsidRPr="00D56344">
        <w:t>cease supply of your device from 1 November 2024</w:t>
      </w:r>
    </w:p>
    <w:bookmarkStart w:id="39" w:name="_Sponsors_intending_to"/>
    <w:bookmarkStart w:id="40" w:name="_Toc35782310"/>
    <w:bookmarkStart w:id="41" w:name="_Toc35955002"/>
    <w:bookmarkStart w:id="42" w:name="_Toc36109925"/>
    <w:bookmarkEnd w:id="39"/>
    <w:p w14:paraId="1CCC9FF6" w14:textId="77777777" w:rsidR="00DE28C7" w:rsidRPr="00D56344" w:rsidRDefault="00DE28C7" w:rsidP="00DE28C7">
      <w:pPr>
        <w:pStyle w:val="ListBullet"/>
        <w:numPr>
          <w:ilvl w:val="0"/>
          <w:numId w:val="22"/>
        </w:numPr>
        <w:rPr>
          <w:rFonts w:asciiTheme="majorHAnsi" w:hAnsiTheme="majorHAnsi" w:cstheme="majorHAnsi"/>
        </w:rPr>
      </w:pPr>
      <w:r w:rsidRPr="00D56344">
        <w:rPr>
          <w:color w:val="auto"/>
        </w:rPr>
        <w:fldChar w:fldCharType="begin"/>
      </w:r>
      <w:r w:rsidRPr="00D56344">
        <w:rPr>
          <w:rFonts w:asciiTheme="majorHAnsi" w:hAnsiTheme="majorHAnsi" w:cstheme="majorHAnsi"/>
        </w:rPr>
        <w:instrText xml:space="preserve"> HYPERLINK "https://www.tga.gov.au/form/request-cancel-artg-entry" </w:instrText>
      </w:r>
      <w:r w:rsidRPr="00D56344">
        <w:rPr>
          <w:color w:val="auto"/>
        </w:rPr>
        <w:fldChar w:fldCharType="separate"/>
      </w:r>
      <w:r w:rsidRPr="00D56344">
        <w:rPr>
          <w:rStyle w:val="Hyperlink"/>
          <w:rFonts w:asciiTheme="majorHAnsi" w:hAnsiTheme="majorHAnsi" w:cstheme="majorHAnsi"/>
        </w:rPr>
        <w:t>cancel your ARTG inclusion</w:t>
      </w:r>
      <w:r w:rsidRPr="00D56344">
        <w:rPr>
          <w:rStyle w:val="Hyperlink"/>
          <w:rFonts w:asciiTheme="majorHAnsi" w:hAnsiTheme="majorHAnsi" w:cstheme="majorHAnsi"/>
        </w:rPr>
        <w:fldChar w:fldCharType="end"/>
      </w:r>
      <w:r w:rsidRPr="00D56344">
        <w:rPr>
          <w:rFonts w:asciiTheme="majorHAnsi" w:hAnsiTheme="majorHAnsi" w:cstheme="majorHAnsi"/>
        </w:rPr>
        <w:t>.</w:t>
      </w:r>
    </w:p>
    <w:p w14:paraId="712161ED" w14:textId="77777777" w:rsidR="00DE28C7" w:rsidRPr="003C02D8" w:rsidRDefault="00DE28C7" w:rsidP="00DE28C7">
      <w:pPr>
        <w:pStyle w:val="Heading3"/>
      </w:pPr>
      <w:bookmarkStart w:id="43" w:name="_Toc114577942"/>
      <w:bookmarkStart w:id="44" w:name="_Toc121838217"/>
      <w:r>
        <w:t>Applications to include a new medical device in the ARTG on or after 25 November 2021</w:t>
      </w:r>
      <w:bookmarkEnd w:id="40"/>
      <w:bookmarkEnd w:id="41"/>
      <w:bookmarkEnd w:id="42"/>
      <w:bookmarkEnd w:id="43"/>
      <w:bookmarkEnd w:id="44"/>
    </w:p>
    <w:p w14:paraId="28B6BED4"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 xml:space="preserve">Any </w:t>
      </w:r>
      <w:hyperlink r:id="rId24" w:history="1">
        <w:r w:rsidRPr="00D56344">
          <w:rPr>
            <w:rStyle w:val="Hyperlink"/>
            <w:rFonts w:asciiTheme="majorHAnsi" w:hAnsiTheme="majorHAnsi" w:cstheme="majorHAnsi"/>
          </w:rPr>
          <w:t>application for inclusion</w:t>
        </w:r>
      </w:hyperlink>
      <w:r w:rsidRPr="00D56344">
        <w:rPr>
          <w:rFonts w:asciiTheme="majorHAnsi" w:hAnsiTheme="majorHAnsi" w:cstheme="majorHAnsi"/>
        </w:rPr>
        <w:t xml:space="preserve"> of a new device that is not yet included in the ARTG, submitted to the TGA </w:t>
      </w:r>
      <w:r w:rsidRPr="00D56344">
        <w:rPr>
          <w:rFonts w:asciiTheme="majorHAnsi" w:hAnsiTheme="majorHAnsi" w:cstheme="majorHAnsi"/>
          <w:b/>
        </w:rPr>
        <w:t>on or after 25 November 2021</w:t>
      </w:r>
      <w:r w:rsidRPr="00D56344">
        <w:rPr>
          <w:rFonts w:asciiTheme="majorHAnsi" w:hAnsiTheme="majorHAnsi" w:cstheme="majorHAnsi"/>
        </w:rPr>
        <w:t xml:space="preserve"> must be submitted using the correct classification under the new classification rules.</w:t>
      </w:r>
    </w:p>
    <w:p w14:paraId="05C39D11" w14:textId="79BDBD1C" w:rsidR="00DE28C7" w:rsidRPr="00D56344" w:rsidRDefault="00DE28C7" w:rsidP="00DE28C7">
      <w:pPr>
        <w:rPr>
          <w:rFonts w:asciiTheme="majorHAnsi" w:hAnsiTheme="majorHAnsi" w:cstheme="majorHAnsi"/>
        </w:rPr>
      </w:pPr>
      <w:r w:rsidRPr="00D56344">
        <w:rPr>
          <w:rFonts w:asciiTheme="majorHAnsi" w:hAnsiTheme="majorHAnsi" w:cstheme="majorHAnsi"/>
        </w:rPr>
        <w:t xml:space="preserve">For more information refer to the </w:t>
      </w:r>
      <w:hyperlink r:id="rId25" w:history="1">
        <w:r w:rsidRPr="00D56344">
          <w:rPr>
            <w:rStyle w:val="Hyperlink"/>
            <w:rFonts w:asciiTheme="majorHAnsi" w:hAnsiTheme="majorHAnsi" w:cstheme="majorHAnsi"/>
          </w:rPr>
          <w:t>Medical device inclusion process</w:t>
        </w:r>
      </w:hyperlink>
      <w:r w:rsidRPr="00D56344">
        <w:rPr>
          <w:rFonts w:asciiTheme="majorHAnsi" w:hAnsiTheme="majorHAnsi" w:cstheme="majorHAnsi"/>
        </w:rPr>
        <w:t>.</w:t>
      </w:r>
    </w:p>
    <w:p w14:paraId="3C6D44AE" w14:textId="77777777" w:rsidR="00DE28C7" w:rsidRDefault="00DE28C7" w:rsidP="00DE28C7">
      <w:pPr>
        <w:pStyle w:val="Heading2"/>
      </w:pPr>
      <w:bookmarkStart w:id="45" w:name="_Notifying_the_TGA"/>
      <w:bookmarkStart w:id="46" w:name="_Toc35955004"/>
      <w:bookmarkStart w:id="47" w:name="_Toc36109927"/>
      <w:bookmarkStart w:id="48" w:name="_Toc114577943"/>
      <w:bookmarkStart w:id="49" w:name="_Toc121838218"/>
      <w:bookmarkEnd w:id="45"/>
      <w:r>
        <w:t>Application to transition</w:t>
      </w:r>
      <w:bookmarkEnd w:id="46"/>
      <w:bookmarkEnd w:id="47"/>
      <w:bookmarkEnd w:id="48"/>
      <w:bookmarkEnd w:id="49"/>
    </w:p>
    <w:p w14:paraId="46F0A732" w14:textId="77777777" w:rsidR="00DE28C7" w:rsidRPr="003E0A28" w:rsidRDefault="00DE28C7" w:rsidP="00D56344">
      <w:proofErr w:type="gramStart"/>
      <w:r w:rsidRPr="003E0A28">
        <w:t>In order to</w:t>
      </w:r>
      <w:proofErr w:type="gramEnd"/>
      <w:r w:rsidRPr="003E0A28">
        <w:t xml:space="preserve"> continue supplying your devices, you must submit your application for inclusion in the ARTG for the correct device classification under the new classification rules </w:t>
      </w:r>
      <w:r w:rsidRPr="003E0A28">
        <w:rPr>
          <w:b/>
        </w:rPr>
        <w:t>before 1 November 2024</w:t>
      </w:r>
      <w:r w:rsidRPr="003E0A28">
        <w:t>.  If you have submitted your application before this date, but it has not yet been finalised by the TGA, you are able to continue to supply your devices using your existing ARTG entry until a decision is made about your inclusion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E28C7" w:rsidRPr="003E0A28" w14:paraId="5B3901B8" w14:textId="77777777" w:rsidTr="00CB7C09">
        <w:tc>
          <w:tcPr>
            <w:tcW w:w="1276" w:type="dxa"/>
            <w:vAlign w:val="center"/>
          </w:tcPr>
          <w:p w14:paraId="194AF6CB" w14:textId="77777777" w:rsidR="00DE28C7" w:rsidRPr="003E0A28" w:rsidRDefault="00DE28C7" w:rsidP="00D56344">
            <w:pPr>
              <w:rPr>
                <w:sz w:val="20"/>
              </w:rPr>
            </w:pPr>
            <w:r w:rsidRPr="003E0A28">
              <w:rPr>
                <w:noProof/>
                <w:sz w:val="20"/>
                <w:lang w:eastAsia="en-AU"/>
              </w:rPr>
              <w:drawing>
                <wp:inline distT="0" distB="0" distL="0" distR="0" wp14:anchorId="24F08525" wp14:editId="3A3090D1">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EA841D" w14:textId="77777777" w:rsidR="00DE28C7" w:rsidRPr="003E0A28" w:rsidRDefault="00DE28C7" w:rsidP="00D56344">
            <w:pPr>
              <w:rPr>
                <w:b/>
              </w:rPr>
            </w:pPr>
            <w:r w:rsidRPr="003E0A28">
              <w:rPr>
                <w:b/>
              </w:rPr>
              <w:t>Please note</w:t>
            </w:r>
          </w:p>
          <w:p w14:paraId="1EDB397C" w14:textId="77777777" w:rsidR="00DE28C7" w:rsidRPr="003E0A28" w:rsidRDefault="00DE28C7" w:rsidP="00D56344">
            <w:r w:rsidRPr="003E0A28">
              <w:t xml:space="preserve">You must </w:t>
            </w:r>
            <w:proofErr w:type="gramStart"/>
            <w:r w:rsidRPr="003E0A28">
              <w:t>submit an application</w:t>
            </w:r>
            <w:proofErr w:type="gramEnd"/>
            <w:r w:rsidRPr="003E0A28">
              <w:t xml:space="preserve"> electronically through </w:t>
            </w:r>
            <w:hyperlink r:id="rId26" w:history="1">
              <w:r w:rsidRPr="003E0A28">
                <w:rPr>
                  <w:rStyle w:val="Hyperlink"/>
                  <w:rFonts w:asciiTheme="minorHAnsi" w:hAnsiTheme="minorHAnsi"/>
                </w:rPr>
                <w:t>TGA Business Services</w:t>
              </w:r>
            </w:hyperlink>
            <w:r w:rsidRPr="003E0A28">
              <w:t xml:space="preserve"> using a Class </w:t>
            </w:r>
            <w:proofErr w:type="spellStart"/>
            <w:r w:rsidRPr="003E0A28">
              <w:t>IIa</w:t>
            </w:r>
            <w:proofErr w:type="spellEnd"/>
            <w:r w:rsidRPr="003E0A28">
              <w:t xml:space="preserve"> or Class IIb device application form, depending on the classification of your device.  If you submit your application using any other form (for example, another classification form) your application will </w:t>
            </w:r>
            <w:proofErr w:type="gramStart"/>
            <w:r w:rsidRPr="003E0A28">
              <w:t>fail</w:t>
            </w:r>
            <w:proofErr w:type="gramEnd"/>
            <w:r w:rsidRPr="003E0A28">
              <w:t xml:space="preserve"> and your application fee will </w:t>
            </w:r>
            <w:hyperlink r:id="rId27" w:history="1">
              <w:r w:rsidRPr="003E0A28">
                <w:rPr>
                  <w:rStyle w:val="Hyperlink"/>
                  <w:rFonts w:asciiTheme="minorHAnsi" w:hAnsiTheme="minorHAnsi"/>
                </w:rPr>
                <w:t>not be refunded</w:t>
              </w:r>
            </w:hyperlink>
            <w:r w:rsidRPr="003E0A28">
              <w:t>.</w:t>
            </w:r>
          </w:p>
        </w:tc>
      </w:tr>
    </w:tbl>
    <w:p w14:paraId="3503C81C" w14:textId="77777777" w:rsidR="00DE28C7" w:rsidRDefault="00DE28C7" w:rsidP="00DE28C7">
      <w:pPr>
        <w:pStyle w:val="Heading4"/>
      </w:pPr>
      <w:bookmarkStart w:id="50" w:name="_Toc53473379"/>
      <w:bookmarkStart w:id="51" w:name="_Toc114577944"/>
      <w:bookmarkStart w:id="52" w:name="_Toc121838219"/>
      <w:r>
        <w:t xml:space="preserve">Class </w:t>
      </w:r>
      <w:proofErr w:type="spellStart"/>
      <w:r>
        <w:t>IIa</w:t>
      </w:r>
      <w:proofErr w:type="spellEnd"/>
      <w:r>
        <w:t> and Class IIb devices of the same kind</w:t>
      </w:r>
      <w:bookmarkEnd w:id="50"/>
      <w:bookmarkEnd w:id="51"/>
      <w:bookmarkEnd w:id="52"/>
    </w:p>
    <w:p w14:paraId="6D20B2F6" w14:textId="33BBD6DF" w:rsidR="00DE28C7" w:rsidRPr="003E0A28" w:rsidRDefault="00DE28C7" w:rsidP="00D56344">
      <w:r w:rsidRPr="003E0A28">
        <w:t>Class</w:t>
      </w:r>
      <w:r w:rsidR="002E523B">
        <w:t xml:space="preserve"> </w:t>
      </w:r>
      <w:proofErr w:type="spellStart"/>
      <w:r w:rsidRPr="003E0A28">
        <w:t>IIa</w:t>
      </w:r>
      <w:proofErr w:type="spellEnd"/>
      <w:r w:rsidR="002E523B">
        <w:t xml:space="preserve"> </w:t>
      </w:r>
      <w:r w:rsidRPr="003E0A28">
        <w:t xml:space="preserve">and Class IIb devices </w:t>
      </w:r>
      <w:proofErr w:type="gramStart"/>
      <w:r w:rsidRPr="003E0A28">
        <w:t>are considered to be</w:t>
      </w:r>
      <w:proofErr w:type="gramEnd"/>
      <w:r w:rsidRPr="003E0A28">
        <w:t xml:space="preserve"> of the same ‘kind’ and can be included in one ARTG entry when they have the same:</w:t>
      </w:r>
    </w:p>
    <w:p w14:paraId="1A7E6A93" w14:textId="77777777" w:rsidR="00DE28C7" w:rsidRPr="00D56344" w:rsidRDefault="00DE28C7" w:rsidP="00821D79">
      <w:pPr>
        <w:pStyle w:val="ListBullet"/>
      </w:pPr>
      <w:r w:rsidRPr="00D56344">
        <w:lastRenderedPageBreak/>
        <w:t>sponsor</w:t>
      </w:r>
    </w:p>
    <w:p w14:paraId="7ECB4FC2" w14:textId="77777777" w:rsidR="00DE28C7" w:rsidRPr="00D56344" w:rsidRDefault="00DE28C7" w:rsidP="00821D79">
      <w:pPr>
        <w:pStyle w:val="ListBullet"/>
      </w:pPr>
      <w:r w:rsidRPr="00D56344">
        <w:t>manufacturer</w:t>
      </w:r>
    </w:p>
    <w:p w14:paraId="58BFB4D2" w14:textId="77777777" w:rsidR="00DE28C7" w:rsidRPr="00D56344" w:rsidRDefault="00DE28C7" w:rsidP="00821D79">
      <w:pPr>
        <w:pStyle w:val="ListBullet"/>
      </w:pPr>
      <w:r w:rsidRPr="00D56344">
        <w:t>classification</w:t>
      </w:r>
    </w:p>
    <w:p w14:paraId="4D88B321" w14:textId="77777777" w:rsidR="00DE28C7" w:rsidRPr="00D56344" w:rsidRDefault="00DE28C7" w:rsidP="00821D79">
      <w:pPr>
        <w:pStyle w:val="ListBullet"/>
      </w:pPr>
      <w:r w:rsidRPr="00D56344">
        <w:t>Global Medical Device Nomenclature (GMDN) System Code.</w:t>
      </w:r>
    </w:p>
    <w:p w14:paraId="104CE6D6"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 xml:space="preserve">For more information refer to the </w:t>
      </w:r>
      <w:hyperlink r:id="rId28" w:history="1">
        <w:r w:rsidRPr="00D56344">
          <w:rPr>
            <w:rStyle w:val="Hyperlink"/>
            <w:rFonts w:asciiTheme="majorHAnsi" w:hAnsiTheme="majorHAnsi" w:cstheme="majorHAnsi"/>
          </w:rPr>
          <w:t>Medical device inclusion process</w:t>
        </w:r>
      </w:hyperlink>
      <w:r w:rsidRPr="00D56344">
        <w:rPr>
          <w:rFonts w:asciiTheme="majorHAnsi" w:hAnsiTheme="majorHAnsi" w:cstheme="majorHAnsi"/>
        </w:rPr>
        <w:t>.</w:t>
      </w:r>
    </w:p>
    <w:p w14:paraId="71405E28" w14:textId="77777777" w:rsidR="00DE28C7" w:rsidRPr="00D56344" w:rsidRDefault="00DE28C7" w:rsidP="00DE28C7">
      <w:pPr>
        <w:pStyle w:val="Heading3"/>
        <w:rPr>
          <w:rFonts w:asciiTheme="majorHAnsi" w:hAnsiTheme="majorHAnsi" w:cstheme="majorHAnsi"/>
        </w:rPr>
      </w:pPr>
      <w:bookmarkStart w:id="53" w:name="_Toc114577945"/>
      <w:bookmarkStart w:id="54" w:name="_Toc121838220"/>
      <w:bookmarkStart w:id="55" w:name="_Toc35782315"/>
      <w:bookmarkStart w:id="56" w:name="_Toc35955005"/>
      <w:bookmarkStart w:id="57" w:name="_Toc36109930"/>
      <w:r w:rsidRPr="00D56344">
        <w:rPr>
          <w:rFonts w:asciiTheme="majorHAnsi" w:hAnsiTheme="majorHAnsi" w:cstheme="majorHAnsi"/>
        </w:rPr>
        <w:t xml:space="preserve">What to include in your </w:t>
      </w:r>
      <w:proofErr w:type="gramStart"/>
      <w:r w:rsidRPr="00D56344">
        <w:rPr>
          <w:rFonts w:asciiTheme="majorHAnsi" w:hAnsiTheme="majorHAnsi" w:cstheme="majorHAnsi"/>
        </w:rPr>
        <w:t>application</w:t>
      </w:r>
      <w:bookmarkEnd w:id="53"/>
      <w:bookmarkEnd w:id="54"/>
      <w:proofErr w:type="gramEnd"/>
    </w:p>
    <w:p w14:paraId="4D690A22" w14:textId="7A5D128B" w:rsidR="00DE28C7" w:rsidRPr="003E0A28" w:rsidRDefault="00DE28C7" w:rsidP="00D56344">
      <w:r w:rsidRPr="003E0A28">
        <w:t xml:space="preserve">Applications for ARTG inclusion must be accompanied by </w:t>
      </w:r>
      <w:hyperlink r:id="rId29" w:history="1">
        <w:r w:rsidRPr="003E0A28">
          <w:rPr>
            <w:rStyle w:val="Hyperlink"/>
            <w:rFonts w:asciiTheme="minorHAnsi" w:hAnsiTheme="minorHAnsi"/>
          </w:rPr>
          <w:t>appropriate conformity assessment documentation</w:t>
        </w:r>
      </w:hyperlink>
      <w:r w:rsidRPr="003E0A28">
        <w:t xml:space="preserve"> </w:t>
      </w:r>
      <w:proofErr w:type="gramStart"/>
      <w:r w:rsidRPr="003E0A28">
        <w:t>in order to</w:t>
      </w:r>
      <w:proofErr w:type="gramEnd"/>
      <w:r w:rsidRPr="003E0A28">
        <w:t xml:space="preserve"> pass preliminary assessment.</w:t>
      </w:r>
    </w:p>
    <w:p w14:paraId="51B69FE1" w14:textId="77777777" w:rsidR="00DE28C7" w:rsidRPr="003E0A28" w:rsidRDefault="00DE28C7" w:rsidP="00D56344">
      <w:r w:rsidRPr="003E0A28">
        <w:t xml:space="preserve">The specific documents that you are required to attach are outlined in the final column "Documentation to be provided with the application (Evidence of product assessment)" of Table 2 in the </w:t>
      </w:r>
      <w:hyperlink r:id="rId30" w:history="1">
        <w:r w:rsidRPr="003E0A28">
          <w:rPr>
            <w:rStyle w:val="Hyperlink"/>
            <w:rFonts w:asciiTheme="minorHAnsi" w:hAnsiTheme="minorHAnsi"/>
          </w:rPr>
          <w:t>Use of market authorisation evidence from comparable overseas regulators / assessment bodies for medical devices (including IVDs)</w:t>
        </w:r>
      </w:hyperlink>
      <w:r w:rsidRPr="003E0A28">
        <w:t xml:space="preserve">. This information must be provided in addition to the </w:t>
      </w:r>
      <w:hyperlink r:id="rId31" w:history="1">
        <w:r w:rsidRPr="003E0A28">
          <w:rPr>
            <w:rStyle w:val="Hyperlink"/>
            <w:rFonts w:asciiTheme="minorHAnsi" w:hAnsiTheme="minorHAnsi"/>
          </w:rPr>
          <w:t>manufacturer evidence</w:t>
        </w:r>
      </w:hyperlink>
      <w:r w:rsidRPr="003E0A28">
        <w:t>.</w:t>
      </w:r>
    </w:p>
    <w:p w14:paraId="6620594C" w14:textId="77777777" w:rsidR="00DE28C7" w:rsidRPr="003E0A28" w:rsidRDefault="00DE28C7" w:rsidP="00D56344">
      <w:r w:rsidRPr="003E0A28">
        <w:t xml:space="preserve">Please ensure you allow sufficient time to obtain your conformity assessment documentation </w:t>
      </w:r>
      <w:proofErr w:type="gramStart"/>
      <w:r w:rsidRPr="003E0A28">
        <w:t>in order to</w:t>
      </w:r>
      <w:proofErr w:type="gramEnd"/>
      <w:r w:rsidRPr="003E0A28">
        <w:t xml:space="preserve"> submit your documents with your application.</w:t>
      </w:r>
    </w:p>
    <w:p w14:paraId="020E9B4B" w14:textId="77777777" w:rsidR="00DE28C7" w:rsidRPr="003E0A28" w:rsidRDefault="00DE28C7" w:rsidP="00D56344">
      <w:r w:rsidRPr="003E0A28">
        <w:t xml:space="preserve">If you do </w:t>
      </w:r>
      <w:r w:rsidRPr="003E0A28">
        <w:rPr>
          <w:b/>
          <w:bCs/>
        </w:rPr>
        <w:t>not pass preliminary assessment</w:t>
      </w:r>
      <w:r w:rsidRPr="003E0A28">
        <w:t xml:space="preserve">, your application </w:t>
      </w:r>
      <w:r w:rsidRPr="003E0A28">
        <w:rPr>
          <w:b/>
          <w:bCs/>
        </w:rPr>
        <w:t xml:space="preserve">will be </w:t>
      </w:r>
      <w:proofErr w:type="gramStart"/>
      <w:r w:rsidRPr="003E0A28">
        <w:rPr>
          <w:b/>
          <w:bCs/>
        </w:rPr>
        <w:t>refused</w:t>
      </w:r>
      <w:proofErr w:type="gramEnd"/>
      <w:r w:rsidRPr="003E0A28">
        <w:t xml:space="preserve"> and you will </w:t>
      </w:r>
      <w:r w:rsidRPr="003E0A28">
        <w:rPr>
          <w:b/>
          <w:bCs/>
        </w:rPr>
        <w:t>not be able to transition</w:t>
      </w:r>
      <w:r w:rsidRPr="003E0A28">
        <w:t xml:space="preserve"> your device to the new classification.</w:t>
      </w:r>
    </w:p>
    <w:p w14:paraId="70C9E46B" w14:textId="77777777" w:rsidR="00B97481" w:rsidRDefault="00B97481" w:rsidP="00B97481">
      <w:pPr>
        <w:pStyle w:val="Heading3"/>
      </w:pPr>
      <w:bookmarkStart w:id="58" w:name="_Toc103161577"/>
      <w:bookmarkStart w:id="59" w:name="_Toc103846866"/>
      <w:bookmarkStart w:id="60" w:name="_Toc119506180"/>
      <w:bookmarkStart w:id="61" w:name="_Toc121838221"/>
      <w:bookmarkStart w:id="62" w:name="_Toc114577946"/>
      <w:r>
        <w:t>How to submit a reclassification application</w:t>
      </w:r>
      <w:bookmarkEnd w:id="58"/>
      <w:bookmarkEnd w:id="59"/>
      <w:bookmarkEnd w:id="60"/>
      <w:bookmarkEnd w:id="61"/>
    </w:p>
    <w:p w14:paraId="0C4CBF7B" w14:textId="77777777"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 xml:space="preserve">Create a ‘New Device Application’ from the menu in the </w:t>
      </w:r>
      <w:proofErr w:type="spellStart"/>
      <w:r w:rsidRPr="00D56344">
        <w:rPr>
          <w:rFonts w:asciiTheme="majorHAnsi" w:hAnsiTheme="majorHAnsi" w:cstheme="majorHAnsi"/>
        </w:rPr>
        <w:t>eBS</w:t>
      </w:r>
      <w:proofErr w:type="spellEnd"/>
      <w:r w:rsidRPr="00D56344">
        <w:rPr>
          <w:rFonts w:asciiTheme="majorHAnsi" w:hAnsiTheme="majorHAnsi" w:cstheme="majorHAnsi"/>
        </w:rPr>
        <w:t xml:space="preserve"> Portal</w:t>
      </w:r>
    </w:p>
    <w:p w14:paraId="775A86A8" w14:textId="77777777"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 xml:space="preserve">Select "Medical Device - Included" from the first </w:t>
      </w:r>
      <w:proofErr w:type="gramStart"/>
      <w:r w:rsidRPr="00D56344">
        <w:rPr>
          <w:rFonts w:asciiTheme="majorHAnsi" w:hAnsiTheme="majorHAnsi" w:cstheme="majorHAnsi"/>
        </w:rPr>
        <w:t>drop down</w:t>
      </w:r>
      <w:proofErr w:type="gramEnd"/>
      <w:r w:rsidRPr="00D56344">
        <w:rPr>
          <w:rFonts w:asciiTheme="majorHAnsi" w:hAnsiTheme="majorHAnsi" w:cstheme="majorHAnsi"/>
        </w:rPr>
        <w:t xml:space="preserve"> list provided </w:t>
      </w:r>
    </w:p>
    <w:p w14:paraId="66ECC4FA" w14:textId="77777777" w:rsidR="00B97481" w:rsidRPr="003E0A28" w:rsidRDefault="00B97481" w:rsidP="00B97481">
      <w:pPr>
        <w:ind w:firstLine="720"/>
        <w:rPr>
          <w:rFonts w:asciiTheme="minorHAnsi" w:hAnsiTheme="minorHAnsi"/>
        </w:rPr>
      </w:pPr>
      <w:r w:rsidRPr="003E0A28">
        <w:rPr>
          <w:rFonts w:asciiTheme="minorHAnsi" w:hAnsiTheme="minorHAnsi"/>
          <w:noProof/>
        </w:rPr>
        <w:drawing>
          <wp:inline distT="0" distB="0" distL="0" distR="0" wp14:anchorId="259A0EE0" wp14:editId="22397FF1">
            <wp:extent cx="5759450" cy="6968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r:link="rId33">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51C0E132" w14:textId="77777777"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Select the option to ‘Reclassify an existing register entry’</w:t>
      </w:r>
    </w:p>
    <w:p w14:paraId="6F8C2B54" w14:textId="77777777" w:rsidR="00B97481" w:rsidRPr="00D56344" w:rsidRDefault="00B97481" w:rsidP="00B97481">
      <w:pPr>
        <w:pStyle w:val="ListParagraph"/>
        <w:rPr>
          <w:rFonts w:asciiTheme="majorHAnsi" w:hAnsiTheme="majorHAnsi" w:cstheme="majorHAnsi"/>
        </w:rPr>
      </w:pPr>
      <w:r w:rsidRPr="00D56344">
        <w:rPr>
          <w:rFonts w:asciiTheme="majorHAnsi" w:hAnsiTheme="majorHAnsi" w:cstheme="majorHAnsi"/>
          <w:noProof/>
        </w:rPr>
        <w:drawing>
          <wp:inline distT="0" distB="0" distL="0" distR="0" wp14:anchorId="12EE0EDB" wp14:editId="43CB8EC9">
            <wp:extent cx="5759450" cy="563880"/>
            <wp:effectExtent l="19050" t="19050" r="12700" b="266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59450" cy="563880"/>
                    </a:xfrm>
                    <a:prstGeom prst="rect">
                      <a:avLst/>
                    </a:prstGeom>
                    <a:ln w="3175">
                      <a:solidFill>
                        <a:schemeClr val="tx1"/>
                      </a:solidFill>
                    </a:ln>
                  </pic:spPr>
                </pic:pic>
              </a:graphicData>
            </a:graphic>
          </wp:inline>
        </w:drawing>
      </w:r>
    </w:p>
    <w:p w14:paraId="6F67327E" w14:textId="77777777"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 xml:space="preserve">Search for the ARTG Number to be reclassified: </w:t>
      </w:r>
      <w:proofErr w:type="spellStart"/>
      <w:r w:rsidRPr="00D56344">
        <w:rPr>
          <w:rFonts w:asciiTheme="majorHAnsi" w:hAnsiTheme="majorHAnsi" w:cstheme="majorHAnsi"/>
        </w:rPr>
        <w:t>eg.</w:t>
      </w:r>
      <w:proofErr w:type="spellEnd"/>
      <w:r w:rsidRPr="00D56344">
        <w:rPr>
          <w:rFonts w:asciiTheme="majorHAnsi" w:hAnsiTheme="majorHAnsi" w:cstheme="majorHAnsi"/>
        </w:rPr>
        <w:t xml:space="preserve"> 130099 (example only)</w:t>
      </w:r>
    </w:p>
    <w:p w14:paraId="65090B13" w14:textId="77777777" w:rsidR="00B97481" w:rsidRPr="00D56344" w:rsidRDefault="00B97481" w:rsidP="00B97481">
      <w:pPr>
        <w:ind w:firstLine="360"/>
        <w:rPr>
          <w:rFonts w:asciiTheme="majorHAnsi" w:hAnsiTheme="majorHAnsi" w:cstheme="majorHAnsi"/>
        </w:rPr>
      </w:pPr>
      <w:r w:rsidRPr="00D56344">
        <w:rPr>
          <w:rFonts w:asciiTheme="majorHAnsi" w:hAnsiTheme="majorHAnsi" w:cstheme="majorHAnsi"/>
          <w:noProof/>
        </w:rPr>
        <w:drawing>
          <wp:inline distT="0" distB="0" distL="0" distR="0" wp14:anchorId="4A83663A" wp14:editId="5D26F0EB">
            <wp:extent cx="5759450" cy="577850"/>
            <wp:effectExtent l="19050" t="19050" r="1270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59450" cy="577850"/>
                    </a:xfrm>
                    <a:prstGeom prst="rect">
                      <a:avLst/>
                    </a:prstGeom>
                    <a:ln w="3175">
                      <a:solidFill>
                        <a:schemeClr val="tx1"/>
                      </a:solidFill>
                    </a:ln>
                  </pic:spPr>
                </pic:pic>
              </a:graphicData>
            </a:graphic>
          </wp:inline>
        </w:drawing>
      </w:r>
    </w:p>
    <w:p w14:paraId="26FAC91F" w14:textId="77777777"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Select the "Clone" button.</w:t>
      </w:r>
    </w:p>
    <w:p w14:paraId="7E026F58" w14:textId="77777777"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Allow the system to clone the information associated with the ARTG entry into the application</w:t>
      </w:r>
    </w:p>
    <w:p w14:paraId="3E766EF1" w14:textId="2D4EF7F0" w:rsidR="00B97481" w:rsidRPr="00D56344" w:rsidRDefault="00B97481" w:rsidP="00B97481">
      <w:pPr>
        <w:pStyle w:val="ListParagraph"/>
        <w:numPr>
          <w:ilvl w:val="0"/>
          <w:numId w:val="26"/>
        </w:numPr>
        <w:rPr>
          <w:rFonts w:asciiTheme="majorHAnsi" w:hAnsiTheme="majorHAnsi" w:cstheme="majorHAnsi"/>
        </w:rPr>
      </w:pPr>
      <w:r w:rsidRPr="00D56344">
        <w:rPr>
          <w:rFonts w:asciiTheme="majorHAnsi" w:hAnsiTheme="majorHAnsi" w:cstheme="majorHAnsi"/>
        </w:rPr>
        <w:t xml:space="preserve">Select </w:t>
      </w:r>
      <w:r w:rsidR="006D6602" w:rsidRPr="00D56344">
        <w:rPr>
          <w:rFonts w:asciiTheme="majorHAnsi" w:hAnsiTheme="majorHAnsi" w:cstheme="majorHAnsi"/>
        </w:rPr>
        <w:t>t</w:t>
      </w:r>
      <w:r w:rsidRPr="00D56344">
        <w:rPr>
          <w:rFonts w:asciiTheme="majorHAnsi" w:hAnsiTheme="majorHAnsi" w:cstheme="majorHAnsi"/>
        </w:rPr>
        <w:t xml:space="preserve">he new classification from the drop down provided for the “Reclassification” question. </w:t>
      </w:r>
    </w:p>
    <w:p w14:paraId="608AE3A6" w14:textId="387DC0D2" w:rsidR="00B97481" w:rsidRDefault="00B97481" w:rsidP="00B97481">
      <w:pPr>
        <w:ind w:firstLine="360"/>
      </w:pPr>
      <w:r>
        <w:rPr>
          <w:noProof/>
        </w:rPr>
        <w:drawing>
          <wp:inline distT="0" distB="0" distL="0" distR="0" wp14:anchorId="43148783" wp14:editId="5628B837">
            <wp:extent cx="5759450" cy="277495"/>
            <wp:effectExtent l="19050" t="19050" r="12700" b="273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59450" cy="277495"/>
                    </a:xfrm>
                    <a:prstGeom prst="rect">
                      <a:avLst/>
                    </a:prstGeom>
                    <a:ln w="3175">
                      <a:solidFill>
                        <a:schemeClr val="tx1"/>
                      </a:solidFill>
                    </a:ln>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97481" w:rsidRPr="00215D48" w14:paraId="7EB2C2CD" w14:textId="77777777" w:rsidTr="00D821F7">
        <w:trPr>
          <w:trHeight w:val="1682"/>
        </w:trPr>
        <w:tc>
          <w:tcPr>
            <w:tcW w:w="1276" w:type="dxa"/>
            <w:vAlign w:val="center"/>
          </w:tcPr>
          <w:p w14:paraId="4B4C37D0" w14:textId="77777777" w:rsidR="00B97481" w:rsidRPr="00215D48" w:rsidRDefault="00B97481" w:rsidP="00D821F7">
            <w:pPr>
              <w:spacing w:before="0"/>
              <w:rPr>
                <w:sz w:val="20"/>
              </w:rPr>
            </w:pPr>
            <w:r w:rsidRPr="00215D48">
              <w:rPr>
                <w:noProof/>
                <w:sz w:val="20"/>
                <w:lang w:eastAsia="en-AU"/>
              </w:rPr>
              <w:lastRenderedPageBreak/>
              <w:drawing>
                <wp:inline distT="0" distB="0" distL="0" distR="0" wp14:anchorId="55FD4439" wp14:editId="702F2D73">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605FE9A" w14:textId="77777777" w:rsidR="00B97481" w:rsidRPr="003E0A28" w:rsidRDefault="00B97481" w:rsidP="00D56344">
            <w:r w:rsidRPr="003E0A28">
              <w:t>Please note</w:t>
            </w:r>
          </w:p>
          <w:p w14:paraId="6F054431" w14:textId="77777777" w:rsidR="00B97481" w:rsidRPr="003E0A28" w:rsidRDefault="00B97481" w:rsidP="00D56344">
            <w:r w:rsidRPr="003E0A28">
              <w:t xml:space="preserve">If the GMDN code in the existing entry has been made obsolete or has been updated, the sponsor is responsible for selecting the most appropriate and current code available in the GMDN agency database.  </w:t>
            </w:r>
          </w:p>
          <w:p w14:paraId="3815FB5F" w14:textId="77777777" w:rsidR="00B97481" w:rsidRPr="003E0A28" w:rsidRDefault="00B97481" w:rsidP="00D56344">
            <w:r w:rsidRPr="003E0A28">
              <w:t xml:space="preserve">If you are required to select a new GMDN code that is different to the cloned ARTG entry, you will not be able to validate and submit the application. </w:t>
            </w:r>
          </w:p>
          <w:p w14:paraId="74E210DC" w14:textId="7A20A156" w:rsidR="006D6602" w:rsidRPr="003E0A28" w:rsidRDefault="00B97481" w:rsidP="00D56344">
            <w:r w:rsidRPr="003E0A28">
              <w:t xml:space="preserve">Please save the draft application and email TGA Devices info line at </w:t>
            </w:r>
            <w:proofErr w:type="gramStart"/>
            <w:r w:rsidRPr="003E0A28">
              <w:t>devices@tga.gov.au  for</w:t>
            </w:r>
            <w:proofErr w:type="gramEnd"/>
            <w:r w:rsidRPr="003E0A28">
              <w:t xml:space="preserve"> assistance.</w:t>
            </w:r>
          </w:p>
          <w:p w14:paraId="3E5930D2" w14:textId="68424C9D" w:rsidR="006D6602" w:rsidRPr="003E0A28" w:rsidRDefault="006D6602" w:rsidP="00D56344">
            <w:r w:rsidRPr="003E0A28">
              <w:t>If there is a change of manufacturer, you must submit a new application.</w:t>
            </w:r>
          </w:p>
        </w:tc>
      </w:tr>
    </w:tbl>
    <w:p w14:paraId="05684831" w14:textId="1A42E3BD" w:rsidR="00DE28C7" w:rsidRPr="006D270B" w:rsidRDefault="00DE28C7" w:rsidP="00DE28C7">
      <w:pPr>
        <w:pStyle w:val="Heading3"/>
      </w:pPr>
      <w:bookmarkStart w:id="63" w:name="_Toc121838222"/>
      <w:r>
        <w:t>Fees</w:t>
      </w:r>
      <w:bookmarkEnd w:id="62"/>
      <w:bookmarkEnd w:id="63"/>
    </w:p>
    <w:p w14:paraId="0CA63F45" w14:textId="5F12394C" w:rsidR="00DE28C7" w:rsidRPr="00D56344" w:rsidRDefault="00DE28C7" w:rsidP="00D56344">
      <w:pPr>
        <w:rPr>
          <w:rFonts w:asciiTheme="majorHAnsi" w:hAnsiTheme="majorHAnsi" w:cstheme="majorHAnsi"/>
        </w:rPr>
      </w:pPr>
      <w:r w:rsidRPr="00D56344">
        <w:rPr>
          <w:rFonts w:asciiTheme="majorHAnsi" w:hAnsiTheme="majorHAnsi" w:cstheme="majorHAnsi"/>
        </w:rPr>
        <w:t xml:space="preserve">You will need to pay the relevant </w:t>
      </w:r>
      <w:hyperlink r:id="rId37" w:history="1">
        <w:r w:rsidRPr="00D56344">
          <w:rPr>
            <w:rStyle w:val="Hyperlink"/>
            <w:rFonts w:asciiTheme="majorHAnsi" w:hAnsiTheme="majorHAnsi" w:cstheme="majorHAnsi"/>
          </w:rPr>
          <w:t>application fee</w:t>
        </w:r>
      </w:hyperlink>
      <w:r w:rsidRPr="00D56344">
        <w:rPr>
          <w:rFonts w:asciiTheme="majorHAnsi" w:hAnsiTheme="majorHAnsi" w:cstheme="majorHAnsi"/>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D6602" w:rsidRPr="003E0A28" w14:paraId="689EF6B8" w14:textId="77777777" w:rsidTr="00A37A84">
        <w:trPr>
          <w:trHeight w:val="2481"/>
        </w:trPr>
        <w:tc>
          <w:tcPr>
            <w:tcW w:w="1276" w:type="dxa"/>
            <w:vAlign w:val="center"/>
          </w:tcPr>
          <w:p w14:paraId="516A0FB0" w14:textId="77777777" w:rsidR="006D6602" w:rsidRPr="003E0A28" w:rsidRDefault="006D6602" w:rsidP="00A37A84">
            <w:pPr>
              <w:spacing w:before="0"/>
              <w:rPr>
                <w:rFonts w:asciiTheme="minorHAnsi" w:hAnsiTheme="minorHAnsi"/>
                <w:sz w:val="20"/>
              </w:rPr>
            </w:pPr>
            <w:r w:rsidRPr="003E0A28">
              <w:rPr>
                <w:rFonts w:asciiTheme="minorHAnsi" w:hAnsiTheme="minorHAnsi"/>
                <w:noProof/>
                <w:sz w:val="20"/>
                <w:lang w:eastAsia="en-AU"/>
              </w:rPr>
              <w:drawing>
                <wp:inline distT="0" distB="0" distL="0" distR="0" wp14:anchorId="356BE369" wp14:editId="07000E09">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CE8C62D" w14:textId="77777777" w:rsidR="006D6602" w:rsidRPr="00D56344" w:rsidRDefault="006D6602" w:rsidP="00D56344">
            <w:pPr>
              <w:rPr>
                <w:b/>
                <w:bCs/>
              </w:rPr>
            </w:pPr>
            <w:r w:rsidRPr="00D56344">
              <w:rPr>
                <w:b/>
                <w:bCs/>
              </w:rPr>
              <w:t>Please note</w:t>
            </w:r>
          </w:p>
          <w:p w14:paraId="39079420" w14:textId="77777777" w:rsidR="006D6602" w:rsidRPr="003E0A28" w:rsidRDefault="006D6602" w:rsidP="00D56344">
            <w:r w:rsidRPr="003E0A28">
              <w:t xml:space="preserve">Reclassification applications for Class </w:t>
            </w:r>
            <w:proofErr w:type="spellStart"/>
            <w:r w:rsidRPr="003E0A28">
              <w:t>IIa</w:t>
            </w:r>
            <w:proofErr w:type="spellEnd"/>
            <w:r w:rsidRPr="003E0A28">
              <w:t xml:space="preserve"> or IIb ARTG inclusions will not be subject to a mandatory audit.</w:t>
            </w:r>
          </w:p>
          <w:p w14:paraId="01710A26" w14:textId="79BFE695" w:rsidR="006D6602" w:rsidRPr="00D56344" w:rsidRDefault="006D6602" w:rsidP="006D6602">
            <w:r w:rsidRPr="003E0A28">
              <w:t xml:space="preserve">However, </w:t>
            </w:r>
            <w:r w:rsidRPr="003E0A28">
              <w:rPr>
                <w:bCs/>
              </w:rPr>
              <w:t xml:space="preserve">TGA will select applications for non-mandatory </w:t>
            </w:r>
            <w:r w:rsidRPr="003E0A28">
              <w:rPr>
                <w:bCs/>
                <w:color w:val="auto"/>
              </w:rPr>
              <w:t>audit</w:t>
            </w:r>
            <w:r w:rsidRPr="003E0A28">
              <w:rPr>
                <w:color w:val="auto"/>
              </w:rPr>
              <w:t xml:space="preserve"> if there are any concerns with the application (</w:t>
            </w:r>
            <w:proofErr w:type="gramStart"/>
            <w:r w:rsidRPr="003E0A28">
              <w:rPr>
                <w:color w:val="auto"/>
              </w:rPr>
              <w:t>e.g.</w:t>
            </w:r>
            <w:proofErr w:type="gramEnd"/>
            <w:r w:rsidRPr="003E0A28">
              <w:rPr>
                <w:color w:val="auto"/>
              </w:rPr>
              <w:t xml:space="preserve"> post market signals) or if there are</w:t>
            </w:r>
            <w:r w:rsidRPr="003E0A28">
              <w:rPr>
                <w:bCs/>
                <w:color w:val="auto"/>
              </w:rPr>
              <w:t xml:space="preserve"> </w:t>
            </w:r>
            <w:r w:rsidRPr="003E0A28">
              <w:rPr>
                <w:color w:val="auto"/>
              </w:rPr>
              <w:t>minor changes in the submitted reclassification application. For example</w:t>
            </w:r>
            <w:r w:rsidRPr="003E0A28">
              <w:t>, if the information in the new application is not consistent with the information in the current ARTG entry (such as a rewording of the intended purpose).</w:t>
            </w:r>
          </w:p>
        </w:tc>
      </w:tr>
    </w:tbl>
    <w:p w14:paraId="60D5FEC4" w14:textId="77777777" w:rsidR="00DE28C7" w:rsidRDefault="00DE28C7" w:rsidP="00DE28C7">
      <w:pPr>
        <w:pStyle w:val="Heading2"/>
      </w:pPr>
      <w:bookmarkStart w:id="64" w:name="_Toc114577947"/>
      <w:bookmarkStart w:id="65" w:name="_Toc121838223"/>
      <w:r>
        <w:t>Advertising to consumers</w:t>
      </w:r>
      <w:bookmarkEnd w:id="64"/>
      <w:bookmarkEnd w:id="65"/>
    </w:p>
    <w:p w14:paraId="0C9B8571" w14:textId="77777777" w:rsidR="00DE28C7" w:rsidRPr="009852CC" w:rsidRDefault="00DE28C7" w:rsidP="00821D79">
      <w:r w:rsidRPr="003E0A28">
        <w:t xml:space="preserve">Advertisements for medical devices that are directed to consumers are required to comply with requirements under the legislation. Guidance about the regulation of therapeutic goods advertising is available on the </w:t>
      </w:r>
      <w:hyperlink r:id="rId38" w:history="1">
        <w:r w:rsidRPr="003E0A28">
          <w:rPr>
            <w:rStyle w:val="Hyperlink"/>
            <w:rFonts w:asciiTheme="minorHAnsi" w:hAnsiTheme="minorHAnsi"/>
          </w:rPr>
          <w:t>TGA advertising hub</w:t>
        </w:r>
      </w:hyperlink>
      <w:r>
        <w:t>.</w:t>
      </w:r>
    </w:p>
    <w:p w14:paraId="455B03A3" w14:textId="77777777" w:rsidR="00DE28C7" w:rsidRDefault="00DE28C7" w:rsidP="00DE28C7">
      <w:pPr>
        <w:pStyle w:val="Heading2"/>
      </w:pPr>
      <w:bookmarkStart w:id="66" w:name="_Toc36200297"/>
      <w:bookmarkStart w:id="67" w:name="_Toc36200797"/>
      <w:bookmarkStart w:id="68" w:name="_Toc114577948"/>
      <w:bookmarkStart w:id="69" w:name="_Toc121838224"/>
      <w:bookmarkStart w:id="70" w:name="_Toc36200298"/>
      <w:bookmarkEnd w:id="55"/>
      <w:bookmarkEnd w:id="56"/>
      <w:bookmarkEnd w:id="57"/>
      <w:r>
        <w:t>If your inclusion application is not successful</w:t>
      </w:r>
      <w:bookmarkEnd w:id="66"/>
      <w:bookmarkEnd w:id="67"/>
      <w:bookmarkEnd w:id="68"/>
      <w:bookmarkEnd w:id="69"/>
    </w:p>
    <w:p w14:paraId="4FA757E9" w14:textId="48934F5E" w:rsidR="00DE28C7" w:rsidRPr="003E0A28" w:rsidRDefault="00DE28C7" w:rsidP="00D56344">
      <w:r w:rsidRPr="003E0A28">
        <w:t>If your inclusion application to transition your device to the new classification is not successful, you will be notified of the decision in writing and you will be provided the reasons for the decision.</w:t>
      </w:r>
    </w:p>
    <w:p w14:paraId="61E45B5C" w14:textId="565898CC" w:rsidR="00DE28C7" w:rsidRPr="003E0A28" w:rsidRDefault="00DE28C7" w:rsidP="00D56344">
      <w:r w:rsidRPr="003E0A28">
        <w:t xml:space="preserve">If you are not satisfied with this decision, you may request reconsideration of this initial decision under section 60 of the </w:t>
      </w:r>
      <w:hyperlink r:id="rId39" w:history="1">
        <w:r w:rsidRPr="003E0A28">
          <w:rPr>
            <w:rStyle w:val="Hyperlink"/>
            <w:rFonts w:asciiTheme="minorHAnsi" w:hAnsiTheme="minorHAnsi"/>
            <w:i/>
            <w:iCs/>
          </w:rPr>
          <w:t>Therapeutic Goods Act 1989</w:t>
        </w:r>
      </w:hyperlink>
      <w:r w:rsidRPr="003E0A28">
        <w:rPr>
          <w:i/>
          <w:iCs/>
        </w:rPr>
        <w:t xml:space="preserve"> </w:t>
      </w:r>
      <w:r w:rsidRPr="003E0A28">
        <w:t xml:space="preserve">within </w:t>
      </w:r>
      <w:r w:rsidRPr="003E0A28">
        <w:rPr>
          <w:b/>
        </w:rPr>
        <w:t>90 days</w:t>
      </w:r>
      <w:r w:rsidRPr="003E0A28">
        <w:t xml:space="preserve"> of the decision.</w:t>
      </w:r>
    </w:p>
    <w:p w14:paraId="1091D0D6" w14:textId="1FEAB58F" w:rsidR="00DE28C7" w:rsidRPr="003E0A28" w:rsidRDefault="00DE28C7" w:rsidP="00D56344">
      <w:r w:rsidRPr="003E0A28">
        <w:t>If you are not satisfied with the reconsideration (reviewable decision), you may apply to the Administrative Appeals Tribunal or the court.</w:t>
      </w:r>
    </w:p>
    <w:p w14:paraId="4505513F" w14:textId="77777777" w:rsidR="00DE28C7" w:rsidRDefault="00DE28C7" w:rsidP="00DE28C7">
      <w:pPr>
        <w:pStyle w:val="Heading2"/>
      </w:pPr>
      <w:bookmarkStart w:id="71" w:name="_Toc36200798"/>
      <w:bookmarkStart w:id="72" w:name="_Toc114577949"/>
      <w:bookmarkStart w:id="73" w:name="_Toc121838225"/>
      <w:r>
        <w:lastRenderedPageBreak/>
        <w:t>When to cease supply using your old ARTG entry</w:t>
      </w:r>
      <w:bookmarkEnd w:id="70"/>
      <w:bookmarkEnd w:id="71"/>
      <w:bookmarkEnd w:id="72"/>
      <w:bookmarkEnd w:id="73"/>
    </w:p>
    <w:p w14:paraId="780ABDDE" w14:textId="77777777" w:rsidR="00DE28C7" w:rsidRPr="00D56344" w:rsidRDefault="00DE28C7" w:rsidP="00DE28C7">
      <w:pPr>
        <w:rPr>
          <w:rFonts w:asciiTheme="majorHAnsi" w:hAnsiTheme="majorHAnsi" w:cstheme="majorHAnsi"/>
        </w:rPr>
      </w:pPr>
      <w:r w:rsidRPr="00D56344">
        <w:rPr>
          <w:rFonts w:asciiTheme="majorHAnsi" w:hAnsiTheme="majorHAnsi" w:cstheme="majorHAnsi"/>
        </w:rPr>
        <w:t>If you do not meet your obligations under the transitional arrangements, you will need to cease supply of your device.  The following table outlines the circumstances and timeframes:</w:t>
      </w:r>
    </w:p>
    <w:p w14:paraId="4F22E1A3" w14:textId="1BD34874" w:rsidR="00DE28C7" w:rsidRDefault="00DE28C7" w:rsidP="002E523B">
      <w:pPr>
        <w:pStyle w:val="Tabletitle"/>
      </w:pPr>
      <w:r w:rsidRPr="00D56344">
        <w:t>When to cease supply of your device using an old ARTG entry</w:t>
      </w:r>
    </w:p>
    <w:tbl>
      <w:tblPr>
        <w:tblStyle w:val="TableTGAblue1"/>
        <w:tblW w:w="0" w:type="auto"/>
        <w:tblLook w:val="04A0" w:firstRow="1" w:lastRow="0" w:firstColumn="1" w:lastColumn="0" w:noHBand="0" w:noVBand="1"/>
      </w:tblPr>
      <w:tblGrid>
        <w:gridCol w:w="4514"/>
        <w:gridCol w:w="4495"/>
      </w:tblGrid>
      <w:tr w:rsidR="002E523B" w:rsidRPr="00215D48" w14:paraId="461AE6A4" w14:textId="77777777" w:rsidTr="002E523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4514" w:type="dxa"/>
          </w:tcPr>
          <w:p w14:paraId="7C5DA3FC" w14:textId="65360F19" w:rsidR="002E523B" w:rsidRPr="00215D48" w:rsidRDefault="002E523B" w:rsidP="002E523B">
            <w:r w:rsidRPr="00D731EF">
              <w:t>Circumstance</w:t>
            </w:r>
          </w:p>
        </w:tc>
        <w:tc>
          <w:tcPr>
            <w:tcW w:w="4495" w:type="dxa"/>
          </w:tcPr>
          <w:p w14:paraId="2F68FB6D" w14:textId="65EE222C" w:rsidR="002E523B" w:rsidRPr="00215D48" w:rsidRDefault="002E523B" w:rsidP="002E523B">
            <w:pPr>
              <w:cnfStyle w:val="100000000000" w:firstRow="1" w:lastRow="0" w:firstColumn="0" w:lastColumn="0" w:oddVBand="0" w:evenVBand="0" w:oddHBand="0" w:evenHBand="0" w:firstRowFirstColumn="0" w:firstRowLastColumn="0" w:lastRowFirstColumn="0" w:lastRowLastColumn="0"/>
            </w:pPr>
            <w:r w:rsidRPr="00D731EF">
              <w:t>What to do</w:t>
            </w:r>
          </w:p>
        </w:tc>
      </w:tr>
      <w:tr w:rsidR="002E523B" w:rsidRPr="00215D48" w14:paraId="778484A4" w14:textId="77777777" w:rsidTr="002E523B">
        <w:trPr>
          <w:trHeight w:val="2105"/>
        </w:trPr>
        <w:tc>
          <w:tcPr>
            <w:cnfStyle w:val="001000000000" w:firstRow="0" w:lastRow="0" w:firstColumn="1" w:lastColumn="0" w:oddVBand="0" w:evenVBand="0" w:oddHBand="0" w:evenHBand="0" w:firstRowFirstColumn="0" w:firstRowLastColumn="0" w:lastRowFirstColumn="0" w:lastRowLastColumn="0"/>
            <w:tcW w:w="4514" w:type="dxa"/>
          </w:tcPr>
          <w:p w14:paraId="667B1376" w14:textId="7478CCC2" w:rsidR="002E523B" w:rsidRPr="00215D48" w:rsidRDefault="002E523B" w:rsidP="002E523B">
            <w:r w:rsidRPr="002E523B">
              <w:t xml:space="preserve">You have </w:t>
            </w:r>
            <w:r w:rsidRPr="002E523B">
              <w:rPr>
                <w:b/>
              </w:rPr>
              <w:t>not notified</w:t>
            </w:r>
            <w:r w:rsidRPr="002E523B">
              <w:t xml:space="preserve"> the TGA that your device needs to be reclassified before 25 May 2022, or within two months of inclusion of your device under the old classification rules (whichever is the later date).</w:t>
            </w:r>
          </w:p>
        </w:tc>
        <w:tc>
          <w:tcPr>
            <w:tcW w:w="4495" w:type="dxa"/>
          </w:tcPr>
          <w:p w14:paraId="1AA68B5B" w14:textId="692585E7" w:rsidR="002E523B" w:rsidRPr="00215D48" w:rsidRDefault="002E523B" w:rsidP="00E01406">
            <w:pPr>
              <w:keepNext/>
              <w:cnfStyle w:val="000000000000" w:firstRow="0" w:lastRow="0" w:firstColumn="0" w:lastColumn="0" w:oddVBand="0" w:evenVBand="0" w:oddHBand="0" w:evenHBand="0" w:firstRowFirstColumn="0" w:firstRowLastColumn="0" w:lastRowFirstColumn="0" w:lastRowLastColumn="0"/>
            </w:pPr>
            <w:r w:rsidRPr="002E523B">
              <w:rPr>
                <w:b/>
              </w:rPr>
              <w:t>Cease supply</w:t>
            </w:r>
            <w:r w:rsidRPr="002E523B">
              <w:t xml:space="preserve"> of your devices </w:t>
            </w:r>
            <w:r w:rsidRPr="002E523B">
              <w:rPr>
                <w:b/>
              </w:rPr>
              <w:t>from 25 May 2022</w:t>
            </w:r>
            <w:r w:rsidRPr="002E523B">
              <w:t xml:space="preserve"> or the date that is </w:t>
            </w:r>
            <w:r w:rsidRPr="002E523B">
              <w:rPr>
                <w:b/>
              </w:rPr>
              <w:t>2 months after the start date of your ARTG entry (whichever is the later date)</w:t>
            </w:r>
            <w:r w:rsidRPr="002E523B">
              <w:t>.</w:t>
            </w:r>
          </w:p>
        </w:tc>
      </w:tr>
      <w:tr w:rsidR="002E523B" w:rsidRPr="00215D48" w14:paraId="79D44B69" w14:textId="77777777" w:rsidTr="002E523B">
        <w:trPr>
          <w:trHeight w:val="1656"/>
        </w:trPr>
        <w:tc>
          <w:tcPr>
            <w:cnfStyle w:val="001000000000" w:firstRow="0" w:lastRow="0" w:firstColumn="1" w:lastColumn="0" w:oddVBand="0" w:evenVBand="0" w:oddHBand="0" w:evenHBand="0" w:firstRowFirstColumn="0" w:firstRowLastColumn="0" w:lastRowFirstColumn="0" w:lastRowLastColumn="0"/>
            <w:tcW w:w="4514" w:type="dxa"/>
          </w:tcPr>
          <w:p w14:paraId="35373DAB" w14:textId="605DE41E" w:rsidR="002E523B" w:rsidRPr="002E523B" w:rsidRDefault="002E523B" w:rsidP="002E523B">
            <w:r w:rsidRPr="002E523B">
              <w:t xml:space="preserve">You have </w:t>
            </w:r>
            <w:r w:rsidRPr="002E523B">
              <w:rPr>
                <w:b/>
              </w:rPr>
              <w:t>not</w:t>
            </w:r>
            <w:r w:rsidRPr="002E523B">
              <w:t xml:space="preserve"> </w:t>
            </w:r>
            <w:proofErr w:type="gramStart"/>
            <w:r w:rsidRPr="002E523B">
              <w:rPr>
                <w:b/>
              </w:rPr>
              <w:t>submitted an application</w:t>
            </w:r>
            <w:proofErr w:type="gramEnd"/>
            <w:r w:rsidRPr="002E523B">
              <w:rPr>
                <w:b/>
              </w:rPr>
              <w:t xml:space="preserve"> for inclusion</w:t>
            </w:r>
            <w:r w:rsidRPr="002E523B">
              <w:t xml:space="preserve"> in the ARTG to transition your device to the correct classification </w:t>
            </w:r>
            <w:r w:rsidRPr="002E523B">
              <w:rPr>
                <w:b/>
              </w:rPr>
              <w:t>before 1 November 2024</w:t>
            </w:r>
            <w:r w:rsidRPr="002E523B">
              <w:t>.</w:t>
            </w:r>
          </w:p>
        </w:tc>
        <w:tc>
          <w:tcPr>
            <w:tcW w:w="4495" w:type="dxa"/>
          </w:tcPr>
          <w:p w14:paraId="2345A0A4" w14:textId="0D053F2C" w:rsidR="002E523B" w:rsidRPr="002E523B" w:rsidRDefault="002E523B" w:rsidP="002E523B">
            <w:pPr>
              <w:keepNext/>
              <w:cnfStyle w:val="000000000000" w:firstRow="0" w:lastRow="0" w:firstColumn="0" w:lastColumn="0" w:oddVBand="0" w:evenVBand="0" w:oddHBand="0" w:evenHBand="0" w:firstRowFirstColumn="0" w:firstRowLastColumn="0" w:lastRowFirstColumn="0" w:lastRowLastColumn="0"/>
              <w:rPr>
                <w:b/>
              </w:rPr>
            </w:pPr>
            <w:r w:rsidRPr="002E523B">
              <w:rPr>
                <w:b/>
              </w:rPr>
              <w:t>Cease supply</w:t>
            </w:r>
            <w:r w:rsidRPr="002E523B">
              <w:t xml:space="preserve"> of your devices </w:t>
            </w:r>
            <w:r w:rsidRPr="002E523B">
              <w:rPr>
                <w:b/>
              </w:rPr>
              <w:t>from 1 November 2024.</w:t>
            </w:r>
          </w:p>
        </w:tc>
      </w:tr>
      <w:tr w:rsidR="002E523B" w:rsidRPr="00215D48" w14:paraId="48BB56FE" w14:textId="77777777" w:rsidTr="002E523B">
        <w:trPr>
          <w:trHeight w:val="1426"/>
        </w:trPr>
        <w:tc>
          <w:tcPr>
            <w:cnfStyle w:val="001000000000" w:firstRow="0" w:lastRow="0" w:firstColumn="1" w:lastColumn="0" w:oddVBand="0" w:evenVBand="0" w:oddHBand="0" w:evenHBand="0" w:firstRowFirstColumn="0" w:firstRowLastColumn="0" w:lastRowFirstColumn="0" w:lastRowLastColumn="0"/>
            <w:tcW w:w="4514" w:type="dxa"/>
          </w:tcPr>
          <w:p w14:paraId="633CD4C5" w14:textId="5605318D" w:rsidR="002E523B" w:rsidRPr="002E523B" w:rsidRDefault="002E523B" w:rsidP="002E523B">
            <w:r w:rsidRPr="002E523B">
              <w:t>Your application for inclusion of your device with the correct classification is unsuccessful.</w:t>
            </w:r>
          </w:p>
        </w:tc>
        <w:tc>
          <w:tcPr>
            <w:tcW w:w="4495" w:type="dxa"/>
          </w:tcPr>
          <w:p w14:paraId="2FBB76F7" w14:textId="204AE1EA" w:rsidR="002E523B" w:rsidRPr="002E523B" w:rsidRDefault="002E523B" w:rsidP="002E523B">
            <w:pPr>
              <w:keepNext/>
              <w:cnfStyle w:val="000000000000" w:firstRow="0" w:lastRow="0" w:firstColumn="0" w:lastColumn="0" w:oddVBand="0" w:evenVBand="0" w:oddHBand="0" w:evenHBand="0" w:firstRowFirstColumn="0" w:firstRowLastColumn="0" w:lastRowFirstColumn="0" w:lastRowLastColumn="0"/>
              <w:rPr>
                <w:b/>
              </w:rPr>
            </w:pPr>
            <w:r w:rsidRPr="002E523B">
              <w:rPr>
                <w:b/>
              </w:rPr>
              <w:t>Cease supply</w:t>
            </w:r>
            <w:r w:rsidRPr="002E523B">
              <w:t xml:space="preserve"> of your device from the time that you are </w:t>
            </w:r>
            <w:r w:rsidRPr="002E523B">
              <w:rPr>
                <w:b/>
              </w:rPr>
              <w:t>notified of the outcome</w:t>
            </w:r>
            <w:r w:rsidRPr="002E523B">
              <w:t xml:space="preserve"> of your application.</w:t>
            </w:r>
          </w:p>
        </w:tc>
      </w:tr>
    </w:tbl>
    <w:p w14:paraId="327FCAC3"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3106B024"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B927AE5" w14:textId="77777777" w:rsidR="001A3190" w:rsidRPr="00D56344" w:rsidRDefault="001A3190" w:rsidP="00B33C56">
            <w:pPr>
              <w:rPr>
                <w:rFonts w:asciiTheme="majorHAnsi" w:hAnsiTheme="majorHAnsi" w:cstheme="majorHAnsi"/>
                <w:color w:val="FFFFFF" w:themeColor="background1"/>
              </w:rPr>
            </w:pPr>
            <w:bookmarkStart w:id="74" w:name="ColumnTitle_4"/>
            <w:r w:rsidRPr="00D56344">
              <w:rPr>
                <w:rFonts w:asciiTheme="majorHAnsi" w:hAnsiTheme="majorHAnsi" w:cstheme="majorHAnsi"/>
                <w:color w:val="FFFFFF" w:themeColor="background1"/>
              </w:rPr>
              <w:t>Version</w:t>
            </w:r>
          </w:p>
        </w:tc>
        <w:tc>
          <w:tcPr>
            <w:tcW w:w="3242" w:type="dxa"/>
          </w:tcPr>
          <w:p w14:paraId="6D819E25" w14:textId="77777777" w:rsidR="001A3190" w:rsidRPr="00D56344" w:rsidRDefault="001A3190" w:rsidP="00B33C5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D56344">
              <w:rPr>
                <w:rFonts w:asciiTheme="majorHAnsi" w:hAnsiTheme="majorHAnsi" w:cstheme="majorHAnsi"/>
                <w:color w:val="FFFFFF" w:themeColor="background1"/>
              </w:rPr>
              <w:t>Description of change</w:t>
            </w:r>
          </w:p>
        </w:tc>
        <w:tc>
          <w:tcPr>
            <w:tcW w:w="2712" w:type="dxa"/>
          </w:tcPr>
          <w:p w14:paraId="209CF47E" w14:textId="77777777" w:rsidR="001A3190" w:rsidRPr="00D56344" w:rsidRDefault="001A3190" w:rsidP="00B33C5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D56344">
              <w:rPr>
                <w:rFonts w:asciiTheme="majorHAnsi" w:hAnsiTheme="majorHAnsi" w:cstheme="majorHAnsi"/>
                <w:color w:val="FFFFFF" w:themeColor="background1"/>
              </w:rPr>
              <w:t>Author</w:t>
            </w:r>
          </w:p>
        </w:tc>
        <w:tc>
          <w:tcPr>
            <w:tcW w:w="1808" w:type="dxa"/>
          </w:tcPr>
          <w:p w14:paraId="405C53C6" w14:textId="77777777" w:rsidR="001A3190" w:rsidRPr="00D56344" w:rsidRDefault="001A3190" w:rsidP="00B33C56">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rPr>
            </w:pPr>
            <w:r w:rsidRPr="00D56344">
              <w:rPr>
                <w:rFonts w:asciiTheme="majorHAnsi" w:hAnsiTheme="majorHAnsi" w:cstheme="majorHAnsi"/>
                <w:color w:val="FFFFFF" w:themeColor="background1"/>
              </w:rPr>
              <w:t>Effective date</w:t>
            </w:r>
          </w:p>
        </w:tc>
      </w:tr>
      <w:bookmarkEnd w:id="74"/>
      <w:tr w:rsidR="00143BF6" w:rsidRPr="00215D48" w14:paraId="544A562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8A02D6B" w14:textId="00635312" w:rsidR="00143BF6" w:rsidRPr="00D56344" w:rsidRDefault="00143BF6" w:rsidP="00143BF6">
            <w:pPr>
              <w:rPr>
                <w:rFonts w:asciiTheme="majorHAnsi" w:hAnsiTheme="majorHAnsi" w:cstheme="majorHAnsi"/>
              </w:rPr>
            </w:pPr>
            <w:r w:rsidRPr="00D56344">
              <w:rPr>
                <w:rFonts w:asciiTheme="majorHAnsi" w:hAnsiTheme="majorHAnsi" w:cstheme="majorHAnsi"/>
              </w:rPr>
              <w:t>V1.0</w:t>
            </w:r>
          </w:p>
        </w:tc>
        <w:tc>
          <w:tcPr>
            <w:tcW w:w="3242" w:type="dxa"/>
          </w:tcPr>
          <w:p w14:paraId="63FB41A1" w14:textId="4865C01E"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Draft</w:t>
            </w:r>
          </w:p>
        </w:tc>
        <w:tc>
          <w:tcPr>
            <w:tcW w:w="2712" w:type="dxa"/>
          </w:tcPr>
          <w:p w14:paraId="39119C93" w14:textId="3A5D9A01"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Medical Devices Authorisation Branch</w:t>
            </w:r>
          </w:p>
        </w:tc>
        <w:tc>
          <w:tcPr>
            <w:tcW w:w="1808" w:type="dxa"/>
          </w:tcPr>
          <w:p w14:paraId="73B07A22" w14:textId="314E19F2"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October 2021</w:t>
            </w:r>
          </w:p>
        </w:tc>
      </w:tr>
      <w:tr w:rsidR="00143BF6" w:rsidRPr="00215D48" w14:paraId="089C5BB5"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AD09B91" w14:textId="50E01931" w:rsidR="00143BF6" w:rsidRPr="00D56344" w:rsidRDefault="00143BF6" w:rsidP="00143BF6">
            <w:pPr>
              <w:rPr>
                <w:rFonts w:asciiTheme="majorHAnsi" w:hAnsiTheme="majorHAnsi" w:cstheme="majorHAnsi"/>
              </w:rPr>
            </w:pPr>
            <w:r w:rsidRPr="00D56344">
              <w:rPr>
                <w:rFonts w:asciiTheme="majorHAnsi" w:hAnsiTheme="majorHAnsi" w:cstheme="majorHAnsi"/>
              </w:rPr>
              <w:t>V1.1</w:t>
            </w:r>
          </w:p>
        </w:tc>
        <w:tc>
          <w:tcPr>
            <w:tcW w:w="3242" w:type="dxa"/>
          </w:tcPr>
          <w:p w14:paraId="4FECD13B" w14:textId="403345D1"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Update for regulatory refinements</w:t>
            </w:r>
          </w:p>
        </w:tc>
        <w:tc>
          <w:tcPr>
            <w:tcW w:w="2712" w:type="dxa"/>
          </w:tcPr>
          <w:p w14:paraId="4B23B02E" w14:textId="0A0A34AD"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Medical Devices Authorisation Branch</w:t>
            </w:r>
          </w:p>
        </w:tc>
        <w:tc>
          <w:tcPr>
            <w:tcW w:w="1808" w:type="dxa"/>
          </w:tcPr>
          <w:p w14:paraId="332AB632" w14:textId="44938AD8"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November 2021</w:t>
            </w:r>
          </w:p>
        </w:tc>
      </w:tr>
      <w:tr w:rsidR="00143BF6" w:rsidRPr="00215D48" w14:paraId="7D92F049"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0612FED" w14:textId="6B424A92" w:rsidR="00143BF6" w:rsidRPr="00D56344" w:rsidRDefault="00143BF6" w:rsidP="00143BF6">
            <w:pPr>
              <w:rPr>
                <w:rFonts w:asciiTheme="majorHAnsi" w:hAnsiTheme="majorHAnsi" w:cstheme="majorHAnsi"/>
              </w:rPr>
            </w:pPr>
            <w:r w:rsidRPr="00D56344">
              <w:rPr>
                <w:rFonts w:asciiTheme="majorHAnsi" w:hAnsiTheme="majorHAnsi" w:cstheme="majorHAnsi"/>
              </w:rPr>
              <w:t>V1.2</w:t>
            </w:r>
          </w:p>
        </w:tc>
        <w:tc>
          <w:tcPr>
            <w:tcW w:w="3242" w:type="dxa"/>
          </w:tcPr>
          <w:p w14:paraId="0B7870F1" w14:textId="6933B587"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Updated for clarification</w:t>
            </w:r>
          </w:p>
        </w:tc>
        <w:tc>
          <w:tcPr>
            <w:tcW w:w="2712" w:type="dxa"/>
          </w:tcPr>
          <w:p w14:paraId="269178DC" w14:textId="7FC7EADC"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Medical Devices Authorisation Branch</w:t>
            </w:r>
          </w:p>
        </w:tc>
        <w:tc>
          <w:tcPr>
            <w:tcW w:w="1808" w:type="dxa"/>
          </w:tcPr>
          <w:p w14:paraId="35D66950" w14:textId="3389EC90" w:rsidR="00143BF6" w:rsidRPr="00D56344" w:rsidRDefault="00143BF6"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September 2022</w:t>
            </w:r>
          </w:p>
        </w:tc>
      </w:tr>
      <w:tr w:rsidR="003E0A28" w:rsidRPr="00215D48" w14:paraId="24433DC1"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2F2650C" w14:textId="6AA077BA" w:rsidR="003E0A28" w:rsidRPr="00D56344" w:rsidRDefault="003E0A28" w:rsidP="00143BF6">
            <w:pPr>
              <w:rPr>
                <w:rFonts w:asciiTheme="majorHAnsi" w:hAnsiTheme="majorHAnsi" w:cstheme="majorHAnsi"/>
              </w:rPr>
            </w:pPr>
            <w:r w:rsidRPr="00D56344">
              <w:rPr>
                <w:rFonts w:asciiTheme="majorHAnsi" w:hAnsiTheme="majorHAnsi" w:cstheme="majorHAnsi"/>
              </w:rPr>
              <w:t>V1.3</w:t>
            </w:r>
          </w:p>
        </w:tc>
        <w:tc>
          <w:tcPr>
            <w:tcW w:w="3242" w:type="dxa"/>
          </w:tcPr>
          <w:p w14:paraId="481B3016" w14:textId="261B83EC" w:rsidR="003E0A28" w:rsidRPr="00D56344" w:rsidRDefault="003E0A28"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Updated to include reclassification application steps and for clarification</w:t>
            </w:r>
          </w:p>
        </w:tc>
        <w:tc>
          <w:tcPr>
            <w:tcW w:w="2712" w:type="dxa"/>
          </w:tcPr>
          <w:p w14:paraId="561094B5" w14:textId="243565AC" w:rsidR="003E0A28" w:rsidRPr="00D56344" w:rsidRDefault="003E0A28"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Medical Devices Authorisation Branch</w:t>
            </w:r>
          </w:p>
        </w:tc>
        <w:tc>
          <w:tcPr>
            <w:tcW w:w="1808" w:type="dxa"/>
          </w:tcPr>
          <w:p w14:paraId="5525BFFD" w14:textId="0EB0AA61" w:rsidR="003E0A28" w:rsidRPr="00D56344" w:rsidRDefault="003E0A28" w:rsidP="00143BF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56344">
              <w:rPr>
                <w:rFonts w:asciiTheme="majorHAnsi" w:hAnsiTheme="majorHAnsi" w:cstheme="majorHAnsi"/>
              </w:rPr>
              <w:t>December 2022</w:t>
            </w:r>
          </w:p>
        </w:tc>
      </w:tr>
    </w:tbl>
    <w:p w14:paraId="42D8BE82" w14:textId="77777777" w:rsidR="00F401EF" w:rsidRPr="00215D48" w:rsidRDefault="00F401EF" w:rsidP="00706634">
      <w:pPr>
        <w:spacing w:before="0" w:after="0" w:line="240" w:lineRule="auto"/>
        <w:rPr>
          <w:sz w:val="20"/>
        </w:rPr>
        <w:sectPr w:rsidR="00F401EF" w:rsidRPr="00215D48" w:rsidSect="00AE7C6A">
          <w:headerReference w:type="default" r:id="rId40"/>
          <w:footerReference w:type="default" r:id="rId4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071B731E" w14:textId="77777777" w:rsidTr="00564BBE">
        <w:trPr>
          <w:trHeight w:hRule="exact" w:val="565"/>
          <w:jc w:val="center"/>
        </w:trPr>
        <w:tc>
          <w:tcPr>
            <w:tcW w:w="9145" w:type="dxa"/>
          </w:tcPr>
          <w:p w14:paraId="101169FB" w14:textId="77777777" w:rsidR="00C50E5C" w:rsidRPr="00215D48" w:rsidRDefault="00C50E5C" w:rsidP="00564BBE">
            <w:pPr>
              <w:pStyle w:val="TGASignoff"/>
            </w:pPr>
            <w:r w:rsidRPr="00215D48">
              <w:lastRenderedPageBreak/>
              <w:t>Therapeutic Goods Administration</w:t>
            </w:r>
          </w:p>
        </w:tc>
      </w:tr>
      <w:tr w:rsidR="00C50E5C" w:rsidRPr="00215D48" w14:paraId="7A59C21F" w14:textId="77777777" w:rsidTr="00564BBE">
        <w:trPr>
          <w:trHeight w:val="963"/>
          <w:jc w:val="center"/>
        </w:trPr>
        <w:tc>
          <w:tcPr>
            <w:tcW w:w="9145" w:type="dxa"/>
            <w:tcMar>
              <w:top w:w="28" w:type="dxa"/>
            </w:tcMar>
          </w:tcPr>
          <w:p w14:paraId="431BEA77" w14:textId="77777777" w:rsidR="00C50E5C" w:rsidRPr="00215D48" w:rsidRDefault="00C50E5C" w:rsidP="00EB5622">
            <w:pPr>
              <w:pStyle w:val="Address"/>
              <w:jc w:val="center"/>
            </w:pPr>
            <w:r w:rsidRPr="00215D48">
              <w:t>PO Box 100 Woden ACT 2606 Australia</w:t>
            </w:r>
          </w:p>
          <w:p w14:paraId="20FEA349" w14:textId="77777777" w:rsidR="001A3190" w:rsidRDefault="00C50E5C">
            <w:pPr>
              <w:pStyle w:val="Address"/>
              <w:jc w:val="center"/>
              <w:rPr>
                <w:sz w:val="22"/>
                <w:szCs w:val="22"/>
              </w:rPr>
            </w:pPr>
            <w:r w:rsidRPr="00215D48">
              <w:t xml:space="preserve">Email: </w:t>
            </w:r>
            <w:hyperlink r:id="rId4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63CAE901" w14:textId="77777777" w:rsidR="00C50E5C" w:rsidRPr="00215D48" w:rsidRDefault="007807F2">
            <w:pPr>
              <w:pStyle w:val="Address"/>
              <w:jc w:val="center"/>
              <w:rPr>
                <w:rStyle w:val="Hyperlink"/>
                <w:b/>
                <w:color w:val="auto"/>
                <w:sz w:val="22"/>
                <w:u w:val="none"/>
              </w:rPr>
            </w:pPr>
            <w:hyperlink r:id="rId43" w:history="1">
              <w:r w:rsidR="00215D48" w:rsidRPr="00C4721A">
                <w:rPr>
                  <w:rStyle w:val="Hyperlink"/>
                  <w:b/>
                </w:rPr>
                <w:t>https://www.tga.gov.au</w:t>
              </w:r>
            </w:hyperlink>
          </w:p>
        </w:tc>
      </w:tr>
      <w:tr w:rsidR="00C50E5C" w:rsidRPr="00215D48" w14:paraId="21265080" w14:textId="77777777" w:rsidTr="00564BBE">
        <w:trPr>
          <w:trHeight w:val="251"/>
          <w:jc w:val="center"/>
        </w:trPr>
        <w:tc>
          <w:tcPr>
            <w:tcW w:w="9145" w:type="dxa"/>
            <w:tcMar>
              <w:top w:w="28" w:type="dxa"/>
            </w:tcMar>
          </w:tcPr>
          <w:p w14:paraId="60791BA4" w14:textId="2B55B534" w:rsidR="00C50E5C" w:rsidRPr="00215D48" w:rsidRDefault="00C50E5C" w:rsidP="00EB5622">
            <w:pPr>
              <w:pStyle w:val="Address"/>
              <w:jc w:val="center"/>
            </w:pPr>
            <w:r w:rsidRPr="00215D48">
              <w:t xml:space="preserve">Reference/Publication </w:t>
            </w:r>
            <w:r w:rsidR="00E961AB">
              <w:t>D22-5904802</w:t>
            </w:r>
          </w:p>
        </w:tc>
      </w:tr>
    </w:tbl>
    <w:p w14:paraId="55EB03E2" w14:textId="77777777" w:rsidR="00706634" w:rsidRPr="00215D48" w:rsidRDefault="00706634" w:rsidP="004A3084">
      <w:pPr>
        <w:rPr>
          <w:sz w:val="20"/>
        </w:rPr>
      </w:pPr>
    </w:p>
    <w:sectPr w:rsidR="00706634" w:rsidRPr="00215D48" w:rsidSect="00AE7C6A">
      <w:headerReference w:type="first" r:id="rId44"/>
      <w:footerReference w:type="first" r:id="rId4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9235" w14:textId="77777777" w:rsidR="00AD2C8F" w:rsidRDefault="00AD2C8F" w:rsidP="00C40A36">
      <w:pPr>
        <w:spacing w:after="0"/>
      </w:pPr>
      <w:r>
        <w:separator/>
      </w:r>
    </w:p>
  </w:endnote>
  <w:endnote w:type="continuationSeparator" w:id="0">
    <w:p w14:paraId="711986EF" w14:textId="77777777" w:rsidR="00AD2C8F" w:rsidRDefault="00AD2C8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2F9CBB05" w14:textId="77777777" w:rsidTr="000B30E5">
      <w:trPr>
        <w:trHeight w:val="423"/>
      </w:trPr>
      <w:tc>
        <w:tcPr>
          <w:tcW w:w="4360" w:type="dxa"/>
          <w:tcBorders>
            <w:top w:val="single" w:sz="4" w:space="0" w:color="auto"/>
          </w:tcBorders>
        </w:tcPr>
        <w:p w14:paraId="6349294C" w14:textId="77777777" w:rsidR="00A77452" w:rsidRDefault="00A77452" w:rsidP="000B30E5">
          <w:pPr>
            <w:pStyle w:val="Footer"/>
          </w:pPr>
        </w:p>
        <w:p w14:paraId="08C22C7E"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1C31961F" w14:textId="77777777" w:rsidR="00A77452" w:rsidRDefault="00A77452" w:rsidP="000B30E5">
              <w:pPr>
                <w:pStyle w:val="Footer"/>
                <w:jc w:val="right"/>
              </w:pPr>
            </w:p>
            <w:p w14:paraId="3558ED84"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7807F2">
                <w:fldChar w:fldCharType="begin"/>
              </w:r>
              <w:r w:rsidR="007807F2">
                <w:instrText xml:space="preserve"> NUMPAGES  </w:instrText>
              </w:r>
              <w:r w:rsidR="007807F2">
                <w:fldChar w:fldCharType="separate"/>
              </w:r>
              <w:r w:rsidR="00EB6CAF">
                <w:rPr>
                  <w:noProof/>
                </w:rPr>
                <w:t>2</w:t>
              </w:r>
              <w:r w:rsidR="007807F2">
                <w:rPr>
                  <w:noProof/>
                </w:rPr>
                <w:fldChar w:fldCharType="end"/>
              </w:r>
            </w:p>
          </w:sdtContent>
        </w:sdt>
      </w:tc>
    </w:tr>
    <w:tr w:rsidR="00A77452" w:rsidRPr="00257138" w14:paraId="39616A2D" w14:textId="77777777" w:rsidTr="000B30E5">
      <w:trPr>
        <w:trHeight w:val="263"/>
      </w:trPr>
      <w:tc>
        <w:tcPr>
          <w:tcW w:w="4360" w:type="dxa"/>
        </w:tcPr>
        <w:p w14:paraId="2ABF6F08"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0D1352F0" w14:textId="77777777" w:rsidR="00A77452" w:rsidRPr="00257138" w:rsidRDefault="00A77452" w:rsidP="000B30E5">
          <w:pPr>
            <w:pStyle w:val="Footer"/>
            <w:jc w:val="right"/>
          </w:pPr>
        </w:p>
      </w:tc>
    </w:tr>
  </w:tbl>
  <w:p w14:paraId="69330188"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A432"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7338"/>
      <w:gridCol w:w="1734"/>
    </w:tblGrid>
    <w:tr w:rsidR="00DE28C7" w:rsidRPr="004A3084" w14:paraId="3D42E67F" w14:textId="77777777" w:rsidTr="00DE28C7">
      <w:trPr>
        <w:trHeight w:val="423"/>
      </w:trPr>
      <w:tc>
        <w:tcPr>
          <w:tcW w:w="7338" w:type="dxa"/>
          <w:tcBorders>
            <w:top w:val="single" w:sz="4" w:space="0" w:color="auto"/>
          </w:tcBorders>
        </w:tcPr>
        <w:p w14:paraId="4DF50640" w14:textId="780C1FF5" w:rsidR="00DE28C7" w:rsidRPr="004A3084" w:rsidRDefault="00DE28C7" w:rsidP="00DE28C7">
          <w:pPr>
            <w:pStyle w:val="Footer"/>
          </w:pPr>
          <w:r>
            <w:t>Reclassification of medical devices that are s</w:t>
          </w:r>
          <w:r w:rsidRPr="00D50B97">
            <w:t xml:space="preserve">ubstances introduced into the human body via </w:t>
          </w:r>
          <w:r>
            <w:t xml:space="preserve">a </w:t>
          </w:r>
          <w:r w:rsidRPr="00D50B97">
            <w:t>body orifice or applied to the skin</w:t>
          </w:r>
          <w:r w:rsidRPr="00293602">
            <w:rPr>
              <w:highlight w:val="yellow"/>
            </w:rPr>
            <w:br/>
          </w:r>
          <w:r w:rsidRPr="00D86E4E">
            <w:t>V1.</w:t>
          </w:r>
          <w:r w:rsidR="00B97481">
            <w:t>3</w:t>
          </w:r>
          <w:r>
            <w:t xml:space="preserve"> </w:t>
          </w:r>
          <w:r w:rsidR="006D6602">
            <w:t>December</w:t>
          </w:r>
          <w:r w:rsidR="007807F2">
            <w:t xml:space="preserve"> </w:t>
          </w:r>
          <w:r>
            <w:t>2022</w:t>
          </w:r>
        </w:p>
      </w:tc>
      <w:tc>
        <w:tcPr>
          <w:tcW w:w="7338" w:type="dxa"/>
          <w:tcBorders>
            <w:top w:val="single" w:sz="4" w:space="0" w:color="auto"/>
          </w:tcBorders>
        </w:tcPr>
        <w:p w14:paraId="06980CE0" w14:textId="20EE347C" w:rsidR="00DE28C7" w:rsidRPr="004A3084" w:rsidRDefault="00DE28C7" w:rsidP="00DE28C7">
          <w:pPr>
            <w:pStyle w:val="Footer"/>
          </w:pPr>
        </w:p>
      </w:tc>
      <w:tc>
        <w:tcPr>
          <w:tcW w:w="1734" w:type="dxa"/>
          <w:tcBorders>
            <w:top w:val="single" w:sz="4" w:space="0" w:color="auto"/>
          </w:tcBorders>
        </w:tcPr>
        <w:sdt>
          <w:sdtPr>
            <w:id w:val="11571659"/>
            <w:docPartObj>
              <w:docPartGallery w:val="Page Numbers (Top of Page)"/>
              <w:docPartUnique/>
            </w:docPartObj>
          </w:sdtPr>
          <w:sdtEndPr/>
          <w:sdtContent>
            <w:p w14:paraId="1232ADD1" w14:textId="77777777" w:rsidR="00DE28C7" w:rsidRPr="004A3084" w:rsidRDefault="00DE28C7" w:rsidP="00DE28C7">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7807F2">
                <w:fldChar w:fldCharType="begin"/>
              </w:r>
              <w:r w:rsidR="007807F2">
                <w:instrText xml:space="preserve"> NUMPAGES  </w:instrText>
              </w:r>
              <w:r w:rsidR="007807F2">
                <w:fldChar w:fldCharType="separate"/>
              </w:r>
              <w:r>
                <w:rPr>
                  <w:noProof/>
                </w:rPr>
                <w:t>7</w:t>
              </w:r>
              <w:r w:rsidR="007807F2">
                <w:rPr>
                  <w:noProof/>
                </w:rPr>
                <w:fldChar w:fldCharType="end"/>
              </w:r>
            </w:p>
          </w:sdtContent>
        </w:sdt>
      </w:tc>
    </w:tr>
  </w:tbl>
  <w:p w14:paraId="4A91591F"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B842"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9DAD" w14:textId="77777777" w:rsidR="00AD2C8F" w:rsidRDefault="00AD2C8F" w:rsidP="00C40A36">
      <w:pPr>
        <w:spacing w:after="0"/>
      </w:pPr>
      <w:r>
        <w:separator/>
      </w:r>
    </w:p>
  </w:footnote>
  <w:footnote w:type="continuationSeparator" w:id="0">
    <w:p w14:paraId="7F29F284" w14:textId="77777777" w:rsidR="00AD2C8F" w:rsidRDefault="00AD2C8F"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3186" w14:textId="77777777" w:rsidR="00A77452" w:rsidRDefault="007807F2" w:rsidP="00C3408D">
    <w:pPr>
      <w:pStyle w:val="Header"/>
    </w:pPr>
    <w:sdt>
      <w:sdtPr>
        <w:id w:val="-203553135"/>
        <w:docPartObj>
          <w:docPartGallery w:val="Watermarks"/>
          <w:docPartUnique/>
        </w:docPartObj>
      </w:sdtPr>
      <w:sdtEndPr/>
      <w:sdtContent>
        <w:r>
          <w:rPr>
            <w:noProof/>
          </w:rPr>
          <w:pict w14:anchorId="4F4C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91F2BD3" w14:textId="77777777" w:rsidTr="00F71E1E">
      <w:trPr>
        <w:trHeight w:hRule="exact" w:val="8845"/>
      </w:trPr>
      <w:tc>
        <w:tcPr>
          <w:tcW w:w="11964" w:type="dxa"/>
          <w:vAlign w:val="center"/>
        </w:tcPr>
        <w:p w14:paraId="6A9B7688" w14:textId="77777777" w:rsidR="00A77452" w:rsidRPr="002B29B2" w:rsidRDefault="007807F2"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3DD1F8B8" wp14:editId="3B3F837C">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BE1377C"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EA40152" wp14:editId="44D34F07">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798B87C5" wp14:editId="78E494A9">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D304"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E183"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940513C"/>
    <w:multiLevelType w:val="hybridMultilevel"/>
    <w:tmpl w:val="76F65A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DFF5812"/>
    <w:multiLevelType w:val="hybridMultilevel"/>
    <w:tmpl w:val="DF1CD3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D3470A"/>
    <w:multiLevelType w:val="multilevel"/>
    <w:tmpl w:val="BDCE1BCC"/>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11"/>
  </w:num>
  <w:num w:numId="20">
    <w:abstractNumId w:val="7"/>
  </w:num>
  <w:num w:numId="21">
    <w:abstractNumId w:val="10"/>
  </w:num>
  <w:num w:numId="22">
    <w:abstractNumId w:val="12"/>
  </w:num>
  <w:num w:numId="2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C7"/>
    <w:rsid w:val="00002031"/>
    <w:rsid w:val="000040BA"/>
    <w:rsid w:val="00004734"/>
    <w:rsid w:val="00006B22"/>
    <w:rsid w:val="00010E4D"/>
    <w:rsid w:val="0001276A"/>
    <w:rsid w:val="00016BEB"/>
    <w:rsid w:val="000246AE"/>
    <w:rsid w:val="00025C67"/>
    <w:rsid w:val="00030D34"/>
    <w:rsid w:val="00032FFB"/>
    <w:rsid w:val="0005250B"/>
    <w:rsid w:val="0005559E"/>
    <w:rsid w:val="000703AB"/>
    <w:rsid w:val="000724FC"/>
    <w:rsid w:val="00074CAE"/>
    <w:rsid w:val="00077775"/>
    <w:rsid w:val="00090471"/>
    <w:rsid w:val="000934A6"/>
    <w:rsid w:val="000A06D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3BF6"/>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0E9D"/>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E523B"/>
    <w:rsid w:val="002F11F8"/>
    <w:rsid w:val="002F260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A2DDF"/>
    <w:rsid w:val="003B362C"/>
    <w:rsid w:val="003B7E39"/>
    <w:rsid w:val="003C58DC"/>
    <w:rsid w:val="003D3B63"/>
    <w:rsid w:val="003D6B56"/>
    <w:rsid w:val="003E0A28"/>
    <w:rsid w:val="003E0A89"/>
    <w:rsid w:val="003E3208"/>
    <w:rsid w:val="003F0B04"/>
    <w:rsid w:val="003F282B"/>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2573C"/>
    <w:rsid w:val="00640FC3"/>
    <w:rsid w:val="00642020"/>
    <w:rsid w:val="0065200D"/>
    <w:rsid w:val="0065337B"/>
    <w:rsid w:val="0065419D"/>
    <w:rsid w:val="006604D8"/>
    <w:rsid w:val="00664A5B"/>
    <w:rsid w:val="00667942"/>
    <w:rsid w:val="00674764"/>
    <w:rsid w:val="00680C08"/>
    <w:rsid w:val="0068741A"/>
    <w:rsid w:val="006931B1"/>
    <w:rsid w:val="006974FD"/>
    <w:rsid w:val="006A15C0"/>
    <w:rsid w:val="006A2426"/>
    <w:rsid w:val="006A2A31"/>
    <w:rsid w:val="006A38E4"/>
    <w:rsid w:val="006C1F3B"/>
    <w:rsid w:val="006C3E2A"/>
    <w:rsid w:val="006C43B5"/>
    <w:rsid w:val="006C642F"/>
    <w:rsid w:val="006D03E5"/>
    <w:rsid w:val="006D5D3E"/>
    <w:rsid w:val="006D6602"/>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3703A"/>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07F2"/>
    <w:rsid w:val="00785721"/>
    <w:rsid w:val="0078745C"/>
    <w:rsid w:val="00793A59"/>
    <w:rsid w:val="00795DC5"/>
    <w:rsid w:val="007A2162"/>
    <w:rsid w:val="007B2250"/>
    <w:rsid w:val="007B3C16"/>
    <w:rsid w:val="007C0F3D"/>
    <w:rsid w:val="007C1AF7"/>
    <w:rsid w:val="007D2AAF"/>
    <w:rsid w:val="007E175B"/>
    <w:rsid w:val="007F17AF"/>
    <w:rsid w:val="007F2054"/>
    <w:rsid w:val="00816164"/>
    <w:rsid w:val="00821776"/>
    <w:rsid w:val="00821D79"/>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87334"/>
    <w:rsid w:val="00AA1BFD"/>
    <w:rsid w:val="00AA3EB9"/>
    <w:rsid w:val="00AC2B40"/>
    <w:rsid w:val="00AC2BB2"/>
    <w:rsid w:val="00AC2C3C"/>
    <w:rsid w:val="00AC3BD9"/>
    <w:rsid w:val="00AC3D45"/>
    <w:rsid w:val="00AD2C8F"/>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070C"/>
    <w:rsid w:val="00B4175E"/>
    <w:rsid w:val="00B510E1"/>
    <w:rsid w:val="00B54C25"/>
    <w:rsid w:val="00B76B91"/>
    <w:rsid w:val="00B87BB7"/>
    <w:rsid w:val="00B946A9"/>
    <w:rsid w:val="00B9484C"/>
    <w:rsid w:val="00B94CFB"/>
    <w:rsid w:val="00B97481"/>
    <w:rsid w:val="00BA0DFC"/>
    <w:rsid w:val="00BA7BA5"/>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4C08"/>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56344"/>
    <w:rsid w:val="00D64401"/>
    <w:rsid w:val="00D6493E"/>
    <w:rsid w:val="00D744BD"/>
    <w:rsid w:val="00D85417"/>
    <w:rsid w:val="00D9141E"/>
    <w:rsid w:val="00DA1124"/>
    <w:rsid w:val="00DA24C7"/>
    <w:rsid w:val="00DA381C"/>
    <w:rsid w:val="00DA4CD9"/>
    <w:rsid w:val="00DD75A3"/>
    <w:rsid w:val="00DD76DE"/>
    <w:rsid w:val="00DE02AE"/>
    <w:rsid w:val="00DE28C7"/>
    <w:rsid w:val="00DE6A0C"/>
    <w:rsid w:val="00DE6C04"/>
    <w:rsid w:val="00DF1D7F"/>
    <w:rsid w:val="00DF45B9"/>
    <w:rsid w:val="00DF6BE8"/>
    <w:rsid w:val="00E01406"/>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961AB"/>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A7C37"/>
    <w:rsid w:val="00FC03C8"/>
    <w:rsid w:val="00FC1750"/>
    <w:rsid w:val="00FC25E4"/>
    <w:rsid w:val="00FC44E0"/>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068F1BB0"/>
  <w15:docId w15:val="{3DD20F70-9CC6-492A-AF52-B392358F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DE28C7"/>
    <w:pPr>
      <w:ind w:left="720"/>
      <w:contextualSpacing/>
    </w:pPr>
    <w:rPr>
      <w:rFonts w:ascii="Cambria" w:hAnsi="Cambria"/>
      <w:color w:val="auto"/>
    </w:rPr>
  </w:style>
  <w:style w:type="table" w:customStyle="1" w:styleId="TableTGAblue1">
    <w:name w:val="Table TGA blue1"/>
    <w:basedOn w:val="TableNormal"/>
    <w:uiPriority w:val="99"/>
    <w:qFormat/>
    <w:rsid w:val="002E523B"/>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roposed-new-medical-device-classification-substances-introduced-body-body-orifice-or-applied-skin" TargetMode="External"/><Relationship Id="rId18" Type="http://schemas.openxmlformats.org/officeDocument/2006/relationships/image" Target="media/image4.png"/><Relationship Id="rId26" Type="http://schemas.openxmlformats.org/officeDocument/2006/relationships/hyperlink" Target="https://business.tga.gov.au/" TargetMode="External"/><Relationship Id="rId39" Type="http://schemas.openxmlformats.org/officeDocument/2006/relationships/hyperlink" Target="https://www.legislation.gov.au/Series/C2004A03952" TargetMode="External"/><Relationship Id="rId3" Type="http://schemas.openxmlformats.org/officeDocument/2006/relationships/styles" Target="styles.xml"/><Relationship Id="rId21" Type="http://schemas.openxmlformats.org/officeDocument/2006/relationships/hyperlink" Target="https://www.tga.gov.au/form/request-cancel-artg-entry" TargetMode="External"/><Relationship Id="rId34" Type="http://schemas.openxmlformats.org/officeDocument/2006/relationships/image" Target="media/image6.png"/><Relationship Id="rId42" Type="http://schemas.openxmlformats.org/officeDocument/2006/relationships/hyperlink" Target="mailto:info@tga.gov.a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21L01474" TargetMode="External"/><Relationship Id="rId25" Type="http://schemas.openxmlformats.org/officeDocument/2006/relationships/hyperlink" Target="https://www.tga.gov.au/publication/medical-device-inclusion-process" TargetMode="External"/><Relationship Id="rId33" Type="http://schemas.openxmlformats.org/officeDocument/2006/relationships/image" Target="cid:image001.jpg@01D84445.C4524DB0" TargetMode="External"/><Relationship Id="rId38" Type="http://schemas.openxmlformats.org/officeDocument/2006/relationships/hyperlink" Target="https://www.tga.gov.au/advertising-hub"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tga.gov.au/publication/medical-device-inclusion-process" TargetMode="External"/><Relationship Id="rId29" Type="http://schemas.openxmlformats.org/officeDocument/2006/relationships/hyperlink" Target="https://www.tga.gov.au/supporting-documentation-inclusion-medical-devic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medical-device-inclusion-process" TargetMode="External"/><Relationship Id="rId32" Type="http://schemas.openxmlformats.org/officeDocument/2006/relationships/image" Target="media/image5.jpeg"/><Relationship Id="rId37" Type="http://schemas.openxmlformats.org/officeDocument/2006/relationships/hyperlink" Target="https://www.tga.gov.au/schedule-fees-and-charges" TargetMode="External"/><Relationship Id="rId40" Type="http://schemas.openxmlformats.org/officeDocument/2006/relationships/header" Target="header3.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publication/medical-device-inclusion-process" TargetMode="External"/><Relationship Id="rId28" Type="http://schemas.openxmlformats.org/officeDocument/2006/relationships/hyperlink" Target="https://www.tga.gov.au/publication/medical-device-inclusion-process" TargetMode="External"/><Relationship Id="rId36"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hyperlink" Target="https://www.legislation.gov.au/Series/F2018L01350" TargetMode="External"/><Relationship Id="rId31" Type="http://schemas.openxmlformats.org/officeDocument/2006/relationships/hyperlink" Target="https://www.tga.gov.au/manufacturer-evidence-medical-devices-and-ivd-medical-devices"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publication/medical-device-inclusion-process" TargetMode="External"/><Relationship Id="rId27" Type="http://schemas.openxmlformats.org/officeDocument/2006/relationships/hyperlink" Target="https://www.tga.gov.au/refunds" TargetMode="External"/><Relationship Id="rId30" Type="http://schemas.openxmlformats.org/officeDocument/2006/relationships/hyperlink" Target="https://www.tga.gov.au/publication/use-market-authorisation-evidence-comparable-overseas-regulators-assessment-bodies-medical-devices-including-ivds" TargetMode="External"/><Relationship Id="rId35" Type="http://schemas.openxmlformats.org/officeDocument/2006/relationships/image" Target="media/image7.png"/><Relationship Id="rId43" Type="http://schemas.openxmlformats.org/officeDocument/2006/relationships/hyperlink" Target="https://www.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109</TotalTime>
  <Pages>17</Pages>
  <Words>4794</Words>
  <Characters>25458</Characters>
  <Application>Microsoft Office Word</Application>
  <DocSecurity>0</DocSecurity>
  <Lines>565</Lines>
  <Paragraphs>351</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medical devices that are substances to be introduced into the body or applied to and absorbed by the skin</dc:title>
  <dc:subject>Medical devices regulation</dc:subject>
  <dc:creator>Therapeutic Goods Administration</dc:creator>
  <cp:lastModifiedBy>KOLARIK-O'REILLY, Kristy</cp:lastModifiedBy>
  <cp:revision>11</cp:revision>
  <cp:lastPrinted>2010-12-20T22:59:00Z</cp:lastPrinted>
  <dcterms:created xsi:type="dcterms:W3CDTF">2022-11-17T00:52:00Z</dcterms:created>
  <dcterms:modified xsi:type="dcterms:W3CDTF">2022-12-19T02:09:00Z</dcterms:modified>
</cp:coreProperties>
</file>