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39146A" w:rsidRPr="00215D48" w14:paraId="1E84246A" w14:textId="77777777" w:rsidTr="002B29B2">
        <w:tc>
          <w:tcPr>
            <w:tcW w:w="8720" w:type="dxa"/>
          </w:tcPr>
          <w:p w14:paraId="431883C6" w14:textId="3D1D2747" w:rsidR="0039146A" w:rsidRPr="00215D48" w:rsidRDefault="0039146A" w:rsidP="0039146A">
            <w:pPr>
              <w:pStyle w:val="Title"/>
            </w:pPr>
            <w:r>
              <w:t>Reclassification of active implantable medical devices (AIMD)</w:t>
            </w:r>
          </w:p>
        </w:tc>
      </w:tr>
      <w:tr w:rsidR="0039146A" w:rsidRPr="00215D48" w14:paraId="14D5C566" w14:textId="77777777" w:rsidTr="002B29B2">
        <w:trPr>
          <w:trHeight w:val="1916"/>
        </w:trPr>
        <w:tc>
          <w:tcPr>
            <w:tcW w:w="8720" w:type="dxa"/>
          </w:tcPr>
          <w:p w14:paraId="4E75B60C" w14:textId="086EB199" w:rsidR="0039146A" w:rsidRPr="00215D48" w:rsidRDefault="0039146A" w:rsidP="0039146A">
            <w:pPr>
              <w:pStyle w:val="Subtitle"/>
              <w:ind w:left="0"/>
            </w:pPr>
            <w:r>
              <w:t>Guidance on the transitional arrangements and obligations</w:t>
            </w:r>
          </w:p>
        </w:tc>
      </w:tr>
      <w:tr w:rsidR="002B29B2" w:rsidRPr="00215D48" w14:paraId="48F8DE2B" w14:textId="77777777" w:rsidTr="002B29B2">
        <w:tc>
          <w:tcPr>
            <w:tcW w:w="8720" w:type="dxa"/>
          </w:tcPr>
          <w:p w14:paraId="6802A821" w14:textId="1B14FCB6" w:rsidR="002B29B2" w:rsidRPr="00215D48" w:rsidRDefault="0039146A" w:rsidP="00F54CA9">
            <w:pPr>
              <w:pStyle w:val="Date"/>
            </w:pPr>
            <w:r w:rsidRPr="00365919">
              <w:t>Version 1.</w:t>
            </w:r>
            <w:r w:rsidR="003E4B39">
              <w:t>5</w:t>
            </w:r>
            <w:r w:rsidRPr="00365919">
              <w:t xml:space="preserve">, </w:t>
            </w:r>
            <w:r w:rsidR="003E4B39">
              <w:t>May</w:t>
            </w:r>
            <w:r>
              <w:t xml:space="preserve"> 202</w:t>
            </w:r>
            <w:r w:rsidR="0026281B">
              <w:t>3</w:t>
            </w:r>
          </w:p>
        </w:tc>
      </w:tr>
    </w:tbl>
    <w:p w14:paraId="0E6FEBD8"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76B7773C" w14:textId="77777777" w:rsidR="005D1689" w:rsidRPr="00E1198B" w:rsidRDefault="005D1689" w:rsidP="00BA0DFC">
      <w:pPr>
        <w:pStyle w:val="LegalSubheading"/>
      </w:pPr>
      <w:r w:rsidRPr="00BA0DFC">
        <w:lastRenderedPageBreak/>
        <w:t>Copyright</w:t>
      </w:r>
    </w:p>
    <w:p w14:paraId="77663AB8" w14:textId="0F2F8752" w:rsidR="00F274A2" w:rsidRDefault="005D1689" w:rsidP="0029069E">
      <w:pPr>
        <w:pStyle w:val="LegalCopy"/>
        <w:rPr>
          <w:rFonts w:cs="Arial"/>
        </w:rPr>
      </w:pPr>
      <w:r w:rsidRPr="00215D48">
        <w:rPr>
          <w:rFonts w:cs="Arial"/>
        </w:rPr>
        <w:t>© Commonwealth of Australia 20</w:t>
      </w:r>
      <w:r w:rsidR="00030D34">
        <w:rPr>
          <w:rFonts w:cs="Arial"/>
        </w:rPr>
        <w:t>2</w:t>
      </w:r>
      <w:r w:rsidR="003E4B39">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p w14:paraId="53C92105" w14:textId="6604A08B" w:rsidR="0039146A" w:rsidRDefault="0039146A" w:rsidP="0029069E">
      <w:pPr>
        <w:pStyle w:val="LegalCopy"/>
        <w:rPr>
          <w:rFonts w:cs="Arial"/>
        </w:rPr>
      </w:pPr>
    </w:p>
    <w:p w14:paraId="5A8FEBA1" w14:textId="5E4F7859" w:rsidR="0039146A" w:rsidRDefault="0039146A" w:rsidP="0029069E">
      <w:pPr>
        <w:pStyle w:val="LegalCopy"/>
        <w:rPr>
          <w:rFonts w:cs="Arial"/>
        </w:rPr>
      </w:pPr>
    </w:p>
    <w:p w14:paraId="29C8C7A6" w14:textId="169FF290" w:rsidR="0039146A" w:rsidRDefault="0039146A" w:rsidP="0029069E">
      <w:pPr>
        <w:pStyle w:val="LegalCopy"/>
        <w:rPr>
          <w:rFonts w:cs="Arial"/>
        </w:rPr>
      </w:pPr>
    </w:p>
    <w:p w14:paraId="11294E30" w14:textId="57E39AD5" w:rsidR="0039146A" w:rsidRDefault="0039146A" w:rsidP="0029069E">
      <w:pPr>
        <w:pStyle w:val="LegalCopy"/>
        <w:rPr>
          <w:rFonts w:cs="Arial"/>
        </w:rPr>
      </w:pPr>
      <w:r>
        <w:rPr>
          <w:noProof/>
          <w:lang w:eastAsia="en-AU"/>
        </w:rPr>
        <mc:AlternateContent>
          <mc:Choice Requires="wps">
            <w:drawing>
              <wp:anchor distT="45720" distB="45720" distL="114300" distR="114300" simplePos="0" relativeHeight="251659264" behindDoc="0" locked="0" layoutInCell="1" allowOverlap="1" wp14:anchorId="51B7B9D7" wp14:editId="7D9F9B07">
                <wp:simplePos x="0" y="0"/>
                <wp:positionH relativeFrom="margin">
                  <wp:posOffset>280035</wp:posOffset>
                </wp:positionH>
                <wp:positionV relativeFrom="paragraph">
                  <wp:posOffset>171450</wp:posOffset>
                </wp:positionV>
                <wp:extent cx="4981575" cy="1990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990725"/>
                        </a:xfrm>
                        <a:prstGeom prst="rect">
                          <a:avLst/>
                        </a:prstGeom>
                        <a:solidFill>
                          <a:schemeClr val="tx2">
                            <a:lumMod val="10000"/>
                            <a:lumOff val="90000"/>
                          </a:schemeClr>
                        </a:solidFill>
                        <a:ln w="9525">
                          <a:solidFill>
                            <a:srgbClr val="000000"/>
                          </a:solidFill>
                          <a:miter lim="800000"/>
                          <a:headEnd/>
                          <a:tailEnd/>
                        </a:ln>
                      </wps:spPr>
                      <wps:txbx>
                        <w:txbxContent>
                          <w:p w14:paraId="12E38B0A" w14:textId="77777777" w:rsidR="0039146A" w:rsidRPr="0039146A" w:rsidRDefault="0039146A" w:rsidP="0039146A">
                            <w:pPr>
                              <w:rPr>
                                <w:rFonts w:asciiTheme="minorHAnsi" w:hAnsiTheme="minorHAnsi"/>
                              </w:rPr>
                            </w:pPr>
                            <w:r w:rsidRPr="0039146A">
                              <w:rPr>
                                <w:rFonts w:asciiTheme="minorHAnsi" w:hAnsiTheme="minorHAnsi"/>
                              </w:rPr>
                              <w:t>The purpose of this guidance is to help sponsors and manufacturers comply with the requirements of the therapeutic goods legislation.</w:t>
                            </w:r>
                          </w:p>
                          <w:p w14:paraId="3E59C165" w14:textId="77777777" w:rsidR="0039146A" w:rsidRPr="0039146A" w:rsidRDefault="0039146A" w:rsidP="0039146A">
                            <w:pPr>
                              <w:rPr>
                                <w:rFonts w:asciiTheme="minorHAnsi" w:hAnsiTheme="minorHAnsi"/>
                              </w:rPr>
                            </w:pPr>
                            <w:r w:rsidRPr="0039146A">
                              <w:rPr>
                                <w:rFonts w:asciiTheme="minorHAnsi" w:hAnsiTheme="minorHAnsi"/>
                              </w:rPr>
                              <w:t>This is a guide only, and sponsors and manufacturers are encouraged to familiarise themselves with the legislative and regulatory requirements in Australia. If necessary, seek professional advice as it is the responsibility of each sponsor and/or manufacturer to understand and comply with these requirements.</w:t>
                            </w:r>
                          </w:p>
                          <w:p w14:paraId="145D1377" w14:textId="77777777" w:rsidR="0039146A" w:rsidRPr="0039146A" w:rsidRDefault="0039146A" w:rsidP="0039146A">
                            <w:pPr>
                              <w:rPr>
                                <w:rFonts w:asciiTheme="minorHAnsi" w:hAnsiTheme="minorHAnsi"/>
                              </w:rPr>
                            </w:pPr>
                            <w:r w:rsidRPr="0039146A">
                              <w:rPr>
                                <w:rFonts w:asciiTheme="minorHAnsi" w:hAnsiTheme="minorHAnsi"/>
                              </w:rPr>
                              <w:t>This document will evolve over time and updates and clarifications will be included as required. Feedback on the guidance is always welcome.</w:t>
                            </w:r>
                          </w:p>
                          <w:p w14:paraId="51C0728D" w14:textId="77777777" w:rsidR="0039146A" w:rsidRDefault="0039146A" w:rsidP="003914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7B9D7" id="_x0000_t202" coordsize="21600,21600" o:spt="202" path="m,l,21600r21600,l21600,xe">
                <v:stroke joinstyle="miter"/>
                <v:path gradientshapeok="t" o:connecttype="rect"/>
              </v:shapetype>
              <v:shape id="Text Box 2" o:spid="_x0000_s1026" type="#_x0000_t202" style="position:absolute;margin-left:22.05pt;margin-top:13.5pt;width:392.25pt;height:15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" fillcolor="#d3eeff [351]">
                <v:textbox>
                  <w:txbxContent>
                    <w:p w14:paraId="12E38B0A" w14:textId="77777777" w:rsidR="0039146A" w:rsidRPr="0039146A" w:rsidRDefault="0039146A" w:rsidP="0039146A">
                      <w:pPr>
                        <w:rPr>
                          <w:rFonts w:asciiTheme="minorHAnsi" w:hAnsiTheme="minorHAnsi"/>
                        </w:rPr>
                      </w:pPr>
                      <w:r w:rsidRPr="0039146A">
                        <w:rPr>
                          <w:rFonts w:asciiTheme="minorHAnsi" w:hAnsiTheme="minorHAnsi"/>
                        </w:rPr>
                        <w:t>The purpose of this guidance is to help sponsors and manufacturers comply with the requirements of the therapeutic goods legislation.</w:t>
                      </w:r>
                    </w:p>
                    <w:p w14:paraId="3E59C165" w14:textId="77777777" w:rsidR="0039146A" w:rsidRPr="0039146A" w:rsidRDefault="0039146A" w:rsidP="0039146A">
                      <w:pPr>
                        <w:rPr>
                          <w:rFonts w:asciiTheme="minorHAnsi" w:hAnsiTheme="minorHAnsi"/>
                        </w:rPr>
                      </w:pPr>
                      <w:r w:rsidRPr="0039146A">
                        <w:rPr>
                          <w:rFonts w:asciiTheme="minorHAnsi" w:hAnsiTheme="minorHAnsi"/>
                        </w:rPr>
                        <w:t>This is a guide only, and sponsors and manufacturers are encouraged to familiarise themselves with the legislative and regulatory requirements in Australia. If necessary, seek professional advice as it is the responsibility of each sponsor and/or manufacturer to understand and comply with these requirements.</w:t>
                      </w:r>
                    </w:p>
                    <w:p w14:paraId="145D1377" w14:textId="77777777" w:rsidR="0039146A" w:rsidRPr="0039146A" w:rsidRDefault="0039146A" w:rsidP="0039146A">
                      <w:pPr>
                        <w:rPr>
                          <w:rFonts w:asciiTheme="minorHAnsi" w:hAnsiTheme="minorHAnsi"/>
                        </w:rPr>
                      </w:pPr>
                      <w:r w:rsidRPr="0039146A">
                        <w:rPr>
                          <w:rFonts w:asciiTheme="minorHAnsi" w:hAnsiTheme="minorHAnsi"/>
                        </w:rPr>
                        <w:t>This document will evolve over time and updates and clarifications will be included as required. Feedback on the guidance is always welcome.</w:t>
                      </w:r>
                    </w:p>
                    <w:p w14:paraId="51C0728D" w14:textId="77777777" w:rsidR="0039146A" w:rsidRDefault="0039146A" w:rsidP="0039146A"/>
                  </w:txbxContent>
                </v:textbox>
                <w10:wrap type="square" anchorx="margin"/>
              </v:shape>
            </w:pict>
          </mc:Fallback>
        </mc:AlternateContent>
      </w: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27E7A3D9" w14:textId="77777777" w:rsidR="00F401EF" w:rsidRPr="00215D48" w:rsidRDefault="00F401EF" w:rsidP="00035110">
          <w:pPr>
            <w:pStyle w:val="NonTOCheading2"/>
          </w:pPr>
          <w:r w:rsidRPr="00215D48">
            <w:t>Contents</w:t>
          </w:r>
        </w:p>
        <w:p w14:paraId="42B7E95D" w14:textId="60F02CD4" w:rsidR="00AF4EF5" w:rsidRDefault="00F859D2">
          <w:pPr>
            <w:pStyle w:val="TOC1"/>
            <w:rPr>
              <w:rFonts w:asciiTheme="minorHAnsi" w:eastAsiaTheme="minorEastAsia" w:hAnsiTheme="minorHAnsi" w:cstheme="minorBidi"/>
              <w:b w:val="0"/>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34189268" w:history="1">
            <w:r w:rsidR="00AF4EF5" w:rsidRPr="00497773">
              <w:rPr>
                <w:rStyle w:val="Hyperlink"/>
                <w:noProof/>
              </w:rPr>
              <w:t>About this guidance</w:t>
            </w:r>
            <w:r w:rsidR="00AF4EF5">
              <w:rPr>
                <w:noProof/>
                <w:webHidden/>
              </w:rPr>
              <w:tab/>
            </w:r>
            <w:r w:rsidR="00AF4EF5">
              <w:rPr>
                <w:noProof/>
                <w:webHidden/>
              </w:rPr>
              <w:fldChar w:fldCharType="begin"/>
            </w:r>
            <w:r w:rsidR="00AF4EF5">
              <w:rPr>
                <w:noProof/>
                <w:webHidden/>
              </w:rPr>
              <w:instrText xml:space="preserve"> PAGEREF _Toc134189268 \h </w:instrText>
            </w:r>
            <w:r w:rsidR="00AF4EF5">
              <w:rPr>
                <w:noProof/>
                <w:webHidden/>
              </w:rPr>
            </w:r>
            <w:r w:rsidR="00AF4EF5">
              <w:rPr>
                <w:noProof/>
                <w:webHidden/>
              </w:rPr>
              <w:fldChar w:fldCharType="separate"/>
            </w:r>
            <w:r w:rsidR="00AF4EF5">
              <w:rPr>
                <w:noProof/>
                <w:webHidden/>
              </w:rPr>
              <w:t>4</w:t>
            </w:r>
            <w:r w:rsidR="00AF4EF5">
              <w:rPr>
                <w:noProof/>
                <w:webHidden/>
              </w:rPr>
              <w:fldChar w:fldCharType="end"/>
            </w:r>
          </w:hyperlink>
        </w:p>
        <w:p w14:paraId="24807E36" w14:textId="60C4AA02" w:rsidR="00AF4EF5" w:rsidRDefault="00AF4EF5">
          <w:pPr>
            <w:pStyle w:val="TOC2"/>
            <w:rPr>
              <w:rFonts w:asciiTheme="minorHAnsi" w:eastAsiaTheme="minorEastAsia" w:hAnsiTheme="minorHAnsi" w:cstheme="minorBidi"/>
              <w:b w:val="0"/>
              <w:noProof/>
              <w:color w:val="auto"/>
              <w:sz w:val="22"/>
              <w:szCs w:val="22"/>
              <w:lang w:eastAsia="en-AU"/>
            </w:rPr>
          </w:pPr>
          <w:hyperlink w:anchor="_Toc134189269" w:history="1">
            <w:r w:rsidRPr="00497773">
              <w:rPr>
                <w:rStyle w:val="Hyperlink"/>
                <w:noProof/>
              </w:rPr>
              <w:t>Background</w:t>
            </w:r>
            <w:r>
              <w:rPr>
                <w:noProof/>
                <w:webHidden/>
              </w:rPr>
              <w:tab/>
            </w:r>
            <w:r>
              <w:rPr>
                <w:noProof/>
                <w:webHidden/>
              </w:rPr>
              <w:fldChar w:fldCharType="begin"/>
            </w:r>
            <w:r>
              <w:rPr>
                <w:noProof/>
                <w:webHidden/>
              </w:rPr>
              <w:instrText xml:space="preserve"> PAGEREF _Toc134189269 \h </w:instrText>
            </w:r>
            <w:r>
              <w:rPr>
                <w:noProof/>
                <w:webHidden/>
              </w:rPr>
            </w:r>
            <w:r>
              <w:rPr>
                <w:noProof/>
                <w:webHidden/>
              </w:rPr>
              <w:fldChar w:fldCharType="separate"/>
            </w:r>
            <w:r>
              <w:rPr>
                <w:noProof/>
                <w:webHidden/>
              </w:rPr>
              <w:t>4</w:t>
            </w:r>
            <w:r>
              <w:rPr>
                <w:noProof/>
                <w:webHidden/>
              </w:rPr>
              <w:fldChar w:fldCharType="end"/>
            </w:r>
          </w:hyperlink>
        </w:p>
        <w:p w14:paraId="7076A6E5" w14:textId="7B822808" w:rsidR="00AF4EF5" w:rsidRDefault="00AF4EF5">
          <w:pPr>
            <w:pStyle w:val="TOC1"/>
            <w:rPr>
              <w:rFonts w:asciiTheme="minorHAnsi" w:eastAsiaTheme="minorEastAsia" w:hAnsiTheme="minorHAnsi" w:cstheme="minorBidi"/>
              <w:b w:val="0"/>
              <w:noProof/>
              <w:color w:val="auto"/>
              <w:sz w:val="22"/>
              <w:szCs w:val="22"/>
              <w:lang w:eastAsia="en-AU"/>
            </w:rPr>
          </w:pPr>
          <w:hyperlink w:anchor="_Toc134189270" w:history="1">
            <w:r w:rsidRPr="00497773">
              <w:rPr>
                <w:rStyle w:val="Hyperlink"/>
                <w:noProof/>
              </w:rPr>
              <w:t>Active implantable medical devices</w:t>
            </w:r>
            <w:r>
              <w:rPr>
                <w:noProof/>
                <w:webHidden/>
              </w:rPr>
              <w:tab/>
            </w:r>
            <w:r>
              <w:rPr>
                <w:noProof/>
                <w:webHidden/>
              </w:rPr>
              <w:fldChar w:fldCharType="begin"/>
            </w:r>
            <w:r>
              <w:rPr>
                <w:noProof/>
                <w:webHidden/>
              </w:rPr>
              <w:instrText xml:space="preserve"> PAGEREF _Toc134189270 \h </w:instrText>
            </w:r>
            <w:r>
              <w:rPr>
                <w:noProof/>
                <w:webHidden/>
              </w:rPr>
            </w:r>
            <w:r>
              <w:rPr>
                <w:noProof/>
                <w:webHidden/>
              </w:rPr>
              <w:fldChar w:fldCharType="separate"/>
            </w:r>
            <w:r>
              <w:rPr>
                <w:noProof/>
                <w:webHidden/>
              </w:rPr>
              <w:t>4</w:t>
            </w:r>
            <w:r>
              <w:rPr>
                <w:noProof/>
                <w:webHidden/>
              </w:rPr>
              <w:fldChar w:fldCharType="end"/>
            </w:r>
          </w:hyperlink>
        </w:p>
        <w:p w14:paraId="12ED91C3" w14:textId="5CDF3B25" w:rsidR="00AF4EF5" w:rsidRDefault="00AF4EF5">
          <w:pPr>
            <w:pStyle w:val="TOC2"/>
            <w:rPr>
              <w:rFonts w:asciiTheme="minorHAnsi" w:eastAsiaTheme="minorEastAsia" w:hAnsiTheme="minorHAnsi" w:cstheme="minorBidi"/>
              <w:b w:val="0"/>
              <w:noProof/>
              <w:color w:val="auto"/>
              <w:sz w:val="22"/>
              <w:szCs w:val="22"/>
              <w:lang w:eastAsia="en-AU"/>
            </w:rPr>
          </w:pPr>
          <w:hyperlink w:anchor="_Toc134189271" w:history="1">
            <w:r w:rsidRPr="00497773">
              <w:rPr>
                <w:rStyle w:val="Hyperlink"/>
                <w:noProof/>
              </w:rPr>
              <w:t>Examples of devices to be reclassified to Class III</w:t>
            </w:r>
            <w:r>
              <w:rPr>
                <w:noProof/>
                <w:webHidden/>
              </w:rPr>
              <w:tab/>
            </w:r>
            <w:r>
              <w:rPr>
                <w:noProof/>
                <w:webHidden/>
              </w:rPr>
              <w:fldChar w:fldCharType="begin"/>
            </w:r>
            <w:r>
              <w:rPr>
                <w:noProof/>
                <w:webHidden/>
              </w:rPr>
              <w:instrText xml:space="preserve"> PAGEREF _Toc134189271 \h </w:instrText>
            </w:r>
            <w:r>
              <w:rPr>
                <w:noProof/>
                <w:webHidden/>
              </w:rPr>
            </w:r>
            <w:r>
              <w:rPr>
                <w:noProof/>
                <w:webHidden/>
              </w:rPr>
              <w:fldChar w:fldCharType="separate"/>
            </w:r>
            <w:r>
              <w:rPr>
                <w:noProof/>
                <w:webHidden/>
              </w:rPr>
              <w:t>5</w:t>
            </w:r>
            <w:r>
              <w:rPr>
                <w:noProof/>
                <w:webHidden/>
              </w:rPr>
              <w:fldChar w:fldCharType="end"/>
            </w:r>
          </w:hyperlink>
        </w:p>
        <w:p w14:paraId="3EFD8EFA" w14:textId="726AC722" w:rsidR="00AF4EF5" w:rsidRDefault="00AF4EF5">
          <w:pPr>
            <w:pStyle w:val="TOC1"/>
            <w:rPr>
              <w:rFonts w:asciiTheme="minorHAnsi" w:eastAsiaTheme="minorEastAsia" w:hAnsiTheme="minorHAnsi" w:cstheme="minorBidi"/>
              <w:b w:val="0"/>
              <w:noProof/>
              <w:color w:val="auto"/>
              <w:sz w:val="22"/>
              <w:szCs w:val="22"/>
              <w:lang w:eastAsia="en-AU"/>
            </w:rPr>
          </w:pPr>
          <w:hyperlink w:anchor="_Toc134189272" w:history="1">
            <w:r w:rsidRPr="00497773">
              <w:rPr>
                <w:rStyle w:val="Hyperlink"/>
                <w:noProof/>
              </w:rPr>
              <w:t>What you need to do</w:t>
            </w:r>
            <w:r>
              <w:rPr>
                <w:noProof/>
                <w:webHidden/>
              </w:rPr>
              <w:tab/>
            </w:r>
            <w:r>
              <w:rPr>
                <w:noProof/>
                <w:webHidden/>
              </w:rPr>
              <w:fldChar w:fldCharType="begin"/>
            </w:r>
            <w:r>
              <w:rPr>
                <w:noProof/>
                <w:webHidden/>
              </w:rPr>
              <w:instrText xml:space="preserve"> PAGEREF _Toc134189272 \h </w:instrText>
            </w:r>
            <w:r>
              <w:rPr>
                <w:noProof/>
                <w:webHidden/>
              </w:rPr>
            </w:r>
            <w:r>
              <w:rPr>
                <w:noProof/>
                <w:webHidden/>
              </w:rPr>
              <w:fldChar w:fldCharType="separate"/>
            </w:r>
            <w:r>
              <w:rPr>
                <w:noProof/>
                <w:webHidden/>
              </w:rPr>
              <w:t>5</w:t>
            </w:r>
            <w:r>
              <w:rPr>
                <w:noProof/>
                <w:webHidden/>
              </w:rPr>
              <w:fldChar w:fldCharType="end"/>
            </w:r>
          </w:hyperlink>
        </w:p>
        <w:p w14:paraId="2062DBF2" w14:textId="62392823" w:rsidR="00AF4EF5" w:rsidRDefault="00AF4EF5">
          <w:pPr>
            <w:pStyle w:val="TOC2"/>
            <w:rPr>
              <w:rFonts w:asciiTheme="minorHAnsi" w:eastAsiaTheme="minorEastAsia" w:hAnsiTheme="minorHAnsi" w:cstheme="minorBidi"/>
              <w:b w:val="0"/>
              <w:noProof/>
              <w:color w:val="auto"/>
              <w:sz w:val="22"/>
              <w:szCs w:val="22"/>
              <w:lang w:eastAsia="en-AU"/>
            </w:rPr>
          </w:pPr>
          <w:hyperlink w:anchor="_Toc134189273" w:history="1">
            <w:r w:rsidRPr="00497773">
              <w:rPr>
                <w:rStyle w:val="Hyperlink"/>
                <w:rFonts w:asciiTheme="majorHAnsi" w:hAnsiTheme="majorHAnsi" w:cstheme="majorHAnsi"/>
                <w:noProof/>
              </w:rPr>
              <w:t>Medical devices included in the ARTG pr</w:t>
            </w:r>
            <w:r w:rsidRPr="00497773">
              <w:rPr>
                <w:rStyle w:val="Hyperlink"/>
                <w:noProof/>
              </w:rPr>
              <w:t>ior to 25 November 2021</w:t>
            </w:r>
            <w:r>
              <w:rPr>
                <w:noProof/>
                <w:webHidden/>
              </w:rPr>
              <w:tab/>
            </w:r>
            <w:r>
              <w:rPr>
                <w:noProof/>
                <w:webHidden/>
              </w:rPr>
              <w:fldChar w:fldCharType="begin"/>
            </w:r>
            <w:r>
              <w:rPr>
                <w:noProof/>
                <w:webHidden/>
              </w:rPr>
              <w:instrText xml:space="preserve"> PAGEREF _Toc134189273 \h </w:instrText>
            </w:r>
            <w:r>
              <w:rPr>
                <w:noProof/>
                <w:webHidden/>
              </w:rPr>
            </w:r>
            <w:r>
              <w:rPr>
                <w:noProof/>
                <w:webHidden/>
              </w:rPr>
              <w:fldChar w:fldCharType="separate"/>
            </w:r>
            <w:r>
              <w:rPr>
                <w:noProof/>
                <w:webHidden/>
              </w:rPr>
              <w:t>5</w:t>
            </w:r>
            <w:r>
              <w:rPr>
                <w:noProof/>
                <w:webHidden/>
              </w:rPr>
              <w:fldChar w:fldCharType="end"/>
            </w:r>
          </w:hyperlink>
        </w:p>
        <w:p w14:paraId="0B9CA590" w14:textId="68BA8CDA" w:rsidR="00AF4EF5" w:rsidRDefault="00AF4EF5">
          <w:pPr>
            <w:pStyle w:val="TOC2"/>
            <w:rPr>
              <w:rFonts w:asciiTheme="minorHAnsi" w:eastAsiaTheme="minorEastAsia" w:hAnsiTheme="minorHAnsi" w:cstheme="minorBidi"/>
              <w:b w:val="0"/>
              <w:noProof/>
              <w:color w:val="auto"/>
              <w:sz w:val="22"/>
              <w:szCs w:val="22"/>
              <w:lang w:eastAsia="en-AU"/>
            </w:rPr>
          </w:pPr>
          <w:hyperlink w:anchor="_Toc134189274" w:history="1">
            <w:r w:rsidRPr="00497773">
              <w:rPr>
                <w:rStyle w:val="Hyperlink"/>
                <w:noProof/>
              </w:rPr>
              <w:t>Applications to include a medical device in the ARTG lodged before 25 November 2021</w:t>
            </w:r>
            <w:r>
              <w:rPr>
                <w:noProof/>
                <w:webHidden/>
              </w:rPr>
              <w:tab/>
            </w:r>
            <w:r>
              <w:rPr>
                <w:noProof/>
                <w:webHidden/>
              </w:rPr>
              <w:fldChar w:fldCharType="begin"/>
            </w:r>
            <w:r>
              <w:rPr>
                <w:noProof/>
                <w:webHidden/>
              </w:rPr>
              <w:instrText xml:space="preserve"> PAGEREF _Toc134189274 \h </w:instrText>
            </w:r>
            <w:r>
              <w:rPr>
                <w:noProof/>
                <w:webHidden/>
              </w:rPr>
            </w:r>
            <w:r>
              <w:rPr>
                <w:noProof/>
                <w:webHidden/>
              </w:rPr>
              <w:fldChar w:fldCharType="separate"/>
            </w:r>
            <w:r>
              <w:rPr>
                <w:noProof/>
                <w:webHidden/>
              </w:rPr>
              <w:t>6</w:t>
            </w:r>
            <w:r>
              <w:rPr>
                <w:noProof/>
                <w:webHidden/>
              </w:rPr>
              <w:fldChar w:fldCharType="end"/>
            </w:r>
          </w:hyperlink>
        </w:p>
        <w:p w14:paraId="13884634" w14:textId="060301E7" w:rsidR="00AF4EF5" w:rsidRDefault="00AF4EF5">
          <w:pPr>
            <w:pStyle w:val="TOC3"/>
            <w:rPr>
              <w:rFonts w:asciiTheme="minorHAnsi" w:eastAsiaTheme="minorEastAsia" w:hAnsiTheme="minorHAnsi" w:cstheme="minorBidi"/>
              <w:b w:val="0"/>
              <w:noProof/>
              <w:color w:val="auto"/>
              <w:szCs w:val="22"/>
              <w:lang w:eastAsia="en-AU"/>
            </w:rPr>
          </w:pPr>
          <w:hyperlink w:anchor="_Toc134189275" w:history="1">
            <w:r w:rsidRPr="00497773">
              <w:rPr>
                <w:rStyle w:val="Hyperlink"/>
                <w:noProof/>
              </w:rPr>
              <w:t>Cancelling your ARTG inclusion</w:t>
            </w:r>
            <w:r>
              <w:rPr>
                <w:noProof/>
                <w:webHidden/>
              </w:rPr>
              <w:tab/>
            </w:r>
            <w:r>
              <w:rPr>
                <w:noProof/>
                <w:webHidden/>
              </w:rPr>
              <w:fldChar w:fldCharType="begin"/>
            </w:r>
            <w:r>
              <w:rPr>
                <w:noProof/>
                <w:webHidden/>
              </w:rPr>
              <w:instrText xml:space="preserve"> PAGEREF _Toc134189275 \h </w:instrText>
            </w:r>
            <w:r>
              <w:rPr>
                <w:noProof/>
                <w:webHidden/>
              </w:rPr>
            </w:r>
            <w:r>
              <w:rPr>
                <w:noProof/>
                <w:webHidden/>
              </w:rPr>
              <w:fldChar w:fldCharType="separate"/>
            </w:r>
            <w:r>
              <w:rPr>
                <w:noProof/>
                <w:webHidden/>
              </w:rPr>
              <w:t>6</w:t>
            </w:r>
            <w:r>
              <w:rPr>
                <w:noProof/>
                <w:webHidden/>
              </w:rPr>
              <w:fldChar w:fldCharType="end"/>
            </w:r>
          </w:hyperlink>
        </w:p>
        <w:p w14:paraId="6DF9F7E7" w14:textId="483B28C9" w:rsidR="00AF4EF5" w:rsidRDefault="00AF4EF5">
          <w:pPr>
            <w:pStyle w:val="TOC2"/>
            <w:rPr>
              <w:rFonts w:asciiTheme="minorHAnsi" w:eastAsiaTheme="minorEastAsia" w:hAnsiTheme="minorHAnsi" w:cstheme="minorBidi"/>
              <w:b w:val="0"/>
              <w:noProof/>
              <w:color w:val="auto"/>
              <w:sz w:val="22"/>
              <w:szCs w:val="22"/>
              <w:lang w:eastAsia="en-AU"/>
            </w:rPr>
          </w:pPr>
          <w:hyperlink w:anchor="_Toc134189276" w:history="1">
            <w:r w:rsidRPr="00497773">
              <w:rPr>
                <w:rStyle w:val="Hyperlink"/>
                <w:noProof/>
              </w:rPr>
              <w:t>Applications to include a new medical device on or after 25 November 2021</w:t>
            </w:r>
            <w:r>
              <w:rPr>
                <w:noProof/>
                <w:webHidden/>
              </w:rPr>
              <w:tab/>
            </w:r>
            <w:r>
              <w:rPr>
                <w:noProof/>
                <w:webHidden/>
              </w:rPr>
              <w:fldChar w:fldCharType="begin"/>
            </w:r>
            <w:r>
              <w:rPr>
                <w:noProof/>
                <w:webHidden/>
              </w:rPr>
              <w:instrText xml:space="preserve"> PAGEREF _Toc134189276 \h </w:instrText>
            </w:r>
            <w:r>
              <w:rPr>
                <w:noProof/>
                <w:webHidden/>
              </w:rPr>
            </w:r>
            <w:r>
              <w:rPr>
                <w:noProof/>
                <w:webHidden/>
              </w:rPr>
              <w:fldChar w:fldCharType="separate"/>
            </w:r>
            <w:r>
              <w:rPr>
                <w:noProof/>
                <w:webHidden/>
              </w:rPr>
              <w:t>6</w:t>
            </w:r>
            <w:r>
              <w:rPr>
                <w:noProof/>
                <w:webHidden/>
              </w:rPr>
              <w:fldChar w:fldCharType="end"/>
            </w:r>
          </w:hyperlink>
        </w:p>
        <w:p w14:paraId="29A84FE8" w14:textId="2F0921FC" w:rsidR="00AF4EF5" w:rsidRDefault="00AF4EF5">
          <w:pPr>
            <w:pStyle w:val="TOC2"/>
            <w:rPr>
              <w:rFonts w:asciiTheme="minorHAnsi" w:eastAsiaTheme="minorEastAsia" w:hAnsiTheme="minorHAnsi" w:cstheme="minorBidi"/>
              <w:b w:val="0"/>
              <w:noProof/>
              <w:color w:val="auto"/>
              <w:sz w:val="22"/>
              <w:szCs w:val="22"/>
              <w:lang w:eastAsia="en-AU"/>
            </w:rPr>
          </w:pPr>
          <w:hyperlink w:anchor="_Toc134189277" w:history="1">
            <w:r w:rsidRPr="00497773">
              <w:rPr>
                <w:rStyle w:val="Hyperlink"/>
                <w:noProof/>
              </w:rPr>
              <w:t>Annual Reporting Requirements</w:t>
            </w:r>
            <w:r>
              <w:rPr>
                <w:noProof/>
                <w:webHidden/>
              </w:rPr>
              <w:tab/>
            </w:r>
            <w:r>
              <w:rPr>
                <w:noProof/>
                <w:webHidden/>
              </w:rPr>
              <w:fldChar w:fldCharType="begin"/>
            </w:r>
            <w:r>
              <w:rPr>
                <w:noProof/>
                <w:webHidden/>
              </w:rPr>
              <w:instrText xml:space="preserve"> PAGEREF _Toc134189277 \h </w:instrText>
            </w:r>
            <w:r>
              <w:rPr>
                <w:noProof/>
                <w:webHidden/>
              </w:rPr>
            </w:r>
            <w:r>
              <w:rPr>
                <w:noProof/>
                <w:webHidden/>
              </w:rPr>
              <w:fldChar w:fldCharType="separate"/>
            </w:r>
            <w:r>
              <w:rPr>
                <w:noProof/>
                <w:webHidden/>
              </w:rPr>
              <w:t>7</w:t>
            </w:r>
            <w:r>
              <w:rPr>
                <w:noProof/>
                <w:webHidden/>
              </w:rPr>
              <w:fldChar w:fldCharType="end"/>
            </w:r>
          </w:hyperlink>
        </w:p>
        <w:p w14:paraId="390E3BD7" w14:textId="5B4352EA" w:rsidR="00AF4EF5" w:rsidRDefault="00AF4EF5">
          <w:pPr>
            <w:pStyle w:val="TOC1"/>
            <w:rPr>
              <w:rFonts w:asciiTheme="minorHAnsi" w:eastAsiaTheme="minorEastAsia" w:hAnsiTheme="minorHAnsi" w:cstheme="minorBidi"/>
              <w:b w:val="0"/>
              <w:noProof/>
              <w:color w:val="auto"/>
              <w:sz w:val="22"/>
              <w:szCs w:val="22"/>
              <w:lang w:eastAsia="en-AU"/>
            </w:rPr>
          </w:pPr>
          <w:hyperlink w:anchor="_Toc134189278" w:history="1">
            <w:r w:rsidRPr="00497773">
              <w:rPr>
                <w:rStyle w:val="Hyperlink"/>
                <w:noProof/>
              </w:rPr>
              <w:t>Notifying the TGA</w:t>
            </w:r>
            <w:r>
              <w:rPr>
                <w:noProof/>
                <w:webHidden/>
              </w:rPr>
              <w:tab/>
            </w:r>
            <w:r>
              <w:rPr>
                <w:noProof/>
                <w:webHidden/>
              </w:rPr>
              <w:fldChar w:fldCharType="begin"/>
            </w:r>
            <w:r>
              <w:rPr>
                <w:noProof/>
                <w:webHidden/>
              </w:rPr>
              <w:instrText xml:space="preserve"> PAGEREF _Toc134189278 \h </w:instrText>
            </w:r>
            <w:r>
              <w:rPr>
                <w:noProof/>
                <w:webHidden/>
              </w:rPr>
            </w:r>
            <w:r>
              <w:rPr>
                <w:noProof/>
                <w:webHidden/>
              </w:rPr>
              <w:fldChar w:fldCharType="separate"/>
            </w:r>
            <w:r>
              <w:rPr>
                <w:noProof/>
                <w:webHidden/>
              </w:rPr>
              <w:t>7</w:t>
            </w:r>
            <w:r>
              <w:rPr>
                <w:noProof/>
                <w:webHidden/>
              </w:rPr>
              <w:fldChar w:fldCharType="end"/>
            </w:r>
          </w:hyperlink>
        </w:p>
        <w:p w14:paraId="721A88A9" w14:textId="1B378DA0" w:rsidR="00AF4EF5" w:rsidRDefault="00AF4EF5">
          <w:pPr>
            <w:pStyle w:val="TOC1"/>
            <w:rPr>
              <w:rFonts w:asciiTheme="minorHAnsi" w:eastAsiaTheme="minorEastAsia" w:hAnsiTheme="minorHAnsi" w:cstheme="minorBidi"/>
              <w:b w:val="0"/>
              <w:noProof/>
              <w:color w:val="auto"/>
              <w:sz w:val="22"/>
              <w:szCs w:val="22"/>
              <w:lang w:eastAsia="en-AU"/>
            </w:rPr>
          </w:pPr>
          <w:hyperlink w:anchor="_Toc134189279" w:history="1">
            <w:r w:rsidRPr="00497773">
              <w:rPr>
                <w:rStyle w:val="Hyperlink"/>
                <w:noProof/>
              </w:rPr>
              <w:t>Class III applications for ARTG inclusion</w:t>
            </w:r>
            <w:r>
              <w:rPr>
                <w:noProof/>
                <w:webHidden/>
              </w:rPr>
              <w:tab/>
            </w:r>
            <w:r>
              <w:rPr>
                <w:noProof/>
                <w:webHidden/>
              </w:rPr>
              <w:fldChar w:fldCharType="begin"/>
            </w:r>
            <w:r>
              <w:rPr>
                <w:noProof/>
                <w:webHidden/>
              </w:rPr>
              <w:instrText xml:space="preserve"> PAGEREF _Toc134189279 \h </w:instrText>
            </w:r>
            <w:r>
              <w:rPr>
                <w:noProof/>
                <w:webHidden/>
              </w:rPr>
            </w:r>
            <w:r>
              <w:rPr>
                <w:noProof/>
                <w:webHidden/>
              </w:rPr>
              <w:fldChar w:fldCharType="separate"/>
            </w:r>
            <w:r>
              <w:rPr>
                <w:noProof/>
                <w:webHidden/>
              </w:rPr>
              <w:t>7</w:t>
            </w:r>
            <w:r>
              <w:rPr>
                <w:noProof/>
                <w:webHidden/>
              </w:rPr>
              <w:fldChar w:fldCharType="end"/>
            </w:r>
          </w:hyperlink>
        </w:p>
        <w:p w14:paraId="7EF9A843" w14:textId="75F4E731" w:rsidR="00AF4EF5" w:rsidRDefault="00AF4EF5">
          <w:pPr>
            <w:pStyle w:val="TOC2"/>
            <w:rPr>
              <w:rFonts w:asciiTheme="minorHAnsi" w:eastAsiaTheme="minorEastAsia" w:hAnsiTheme="minorHAnsi" w:cstheme="minorBidi"/>
              <w:b w:val="0"/>
              <w:noProof/>
              <w:color w:val="auto"/>
              <w:sz w:val="22"/>
              <w:szCs w:val="22"/>
              <w:lang w:eastAsia="en-AU"/>
            </w:rPr>
          </w:pPr>
          <w:hyperlink w:anchor="_Toc134189280" w:history="1">
            <w:r w:rsidRPr="00497773">
              <w:rPr>
                <w:rStyle w:val="Hyperlink"/>
                <w:noProof/>
              </w:rPr>
              <w:t>How to submit a reclassification application</w:t>
            </w:r>
            <w:r>
              <w:rPr>
                <w:noProof/>
                <w:webHidden/>
              </w:rPr>
              <w:tab/>
            </w:r>
            <w:r>
              <w:rPr>
                <w:noProof/>
                <w:webHidden/>
              </w:rPr>
              <w:fldChar w:fldCharType="begin"/>
            </w:r>
            <w:r>
              <w:rPr>
                <w:noProof/>
                <w:webHidden/>
              </w:rPr>
              <w:instrText xml:space="preserve"> PAGEREF _Toc134189280 \h </w:instrText>
            </w:r>
            <w:r>
              <w:rPr>
                <w:noProof/>
                <w:webHidden/>
              </w:rPr>
            </w:r>
            <w:r>
              <w:rPr>
                <w:noProof/>
                <w:webHidden/>
              </w:rPr>
              <w:fldChar w:fldCharType="separate"/>
            </w:r>
            <w:r>
              <w:rPr>
                <w:noProof/>
                <w:webHidden/>
              </w:rPr>
              <w:t>7</w:t>
            </w:r>
            <w:r>
              <w:rPr>
                <w:noProof/>
                <w:webHidden/>
              </w:rPr>
              <w:fldChar w:fldCharType="end"/>
            </w:r>
          </w:hyperlink>
        </w:p>
        <w:p w14:paraId="4AB90FB2" w14:textId="7F5DCD6A" w:rsidR="00AF4EF5" w:rsidRDefault="00AF4EF5">
          <w:pPr>
            <w:pStyle w:val="TOC2"/>
            <w:rPr>
              <w:rFonts w:asciiTheme="minorHAnsi" w:eastAsiaTheme="minorEastAsia" w:hAnsiTheme="minorHAnsi" w:cstheme="minorBidi"/>
              <w:b w:val="0"/>
              <w:noProof/>
              <w:color w:val="auto"/>
              <w:sz w:val="22"/>
              <w:szCs w:val="22"/>
              <w:lang w:eastAsia="en-AU"/>
            </w:rPr>
          </w:pPr>
          <w:hyperlink w:anchor="_Toc134189281" w:history="1">
            <w:r w:rsidRPr="00497773">
              <w:rPr>
                <w:rStyle w:val="Hyperlink"/>
                <w:noProof/>
              </w:rPr>
              <w:t>What to include in your application</w:t>
            </w:r>
            <w:r>
              <w:rPr>
                <w:noProof/>
                <w:webHidden/>
              </w:rPr>
              <w:tab/>
            </w:r>
            <w:r>
              <w:rPr>
                <w:noProof/>
                <w:webHidden/>
              </w:rPr>
              <w:fldChar w:fldCharType="begin"/>
            </w:r>
            <w:r>
              <w:rPr>
                <w:noProof/>
                <w:webHidden/>
              </w:rPr>
              <w:instrText xml:space="preserve"> PAGEREF _Toc134189281 \h </w:instrText>
            </w:r>
            <w:r>
              <w:rPr>
                <w:noProof/>
                <w:webHidden/>
              </w:rPr>
            </w:r>
            <w:r>
              <w:rPr>
                <w:noProof/>
                <w:webHidden/>
              </w:rPr>
              <w:fldChar w:fldCharType="separate"/>
            </w:r>
            <w:r>
              <w:rPr>
                <w:noProof/>
                <w:webHidden/>
              </w:rPr>
              <w:t>8</w:t>
            </w:r>
            <w:r>
              <w:rPr>
                <w:noProof/>
                <w:webHidden/>
              </w:rPr>
              <w:fldChar w:fldCharType="end"/>
            </w:r>
          </w:hyperlink>
        </w:p>
        <w:p w14:paraId="389BF528" w14:textId="05191588" w:rsidR="00AF4EF5" w:rsidRDefault="00AF4EF5">
          <w:pPr>
            <w:pStyle w:val="TOC1"/>
            <w:rPr>
              <w:rFonts w:asciiTheme="minorHAnsi" w:eastAsiaTheme="minorEastAsia" w:hAnsiTheme="minorHAnsi" w:cstheme="minorBidi"/>
              <w:b w:val="0"/>
              <w:noProof/>
              <w:color w:val="auto"/>
              <w:sz w:val="22"/>
              <w:szCs w:val="22"/>
              <w:lang w:eastAsia="en-AU"/>
            </w:rPr>
          </w:pPr>
          <w:hyperlink w:anchor="_Toc134189282" w:history="1">
            <w:r w:rsidRPr="00497773">
              <w:rPr>
                <w:rStyle w:val="Hyperlink"/>
                <w:noProof/>
              </w:rPr>
              <w:t>Fees and charges</w:t>
            </w:r>
            <w:r>
              <w:rPr>
                <w:noProof/>
                <w:webHidden/>
              </w:rPr>
              <w:tab/>
            </w:r>
            <w:r>
              <w:rPr>
                <w:noProof/>
                <w:webHidden/>
              </w:rPr>
              <w:fldChar w:fldCharType="begin"/>
            </w:r>
            <w:r>
              <w:rPr>
                <w:noProof/>
                <w:webHidden/>
              </w:rPr>
              <w:instrText xml:space="preserve"> PAGEREF _Toc134189282 \h </w:instrText>
            </w:r>
            <w:r>
              <w:rPr>
                <w:noProof/>
                <w:webHidden/>
              </w:rPr>
            </w:r>
            <w:r>
              <w:rPr>
                <w:noProof/>
                <w:webHidden/>
              </w:rPr>
              <w:fldChar w:fldCharType="separate"/>
            </w:r>
            <w:r>
              <w:rPr>
                <w:noProof/>
                <w:webHidden/>
              </w:rPr>
              <w:t>9</w:t>
            </w:r>
            <w:r>
              <w:rPr>
                <w:noProof/>
                <w:webHidden/>
              </w:rPr>
              <w:fldChar w:fldCharType="end"/>
            </w:r>
          </w:hyperlink>
        </w:p>
        <w:p w14:paraId="5218E309" w14:textId="6629F406" w:rsidR="00AF4EF5" w:rsidRDefault="00AF4EF5">
          <w:pPr>
            <w:pStyle w:val="TOC1"/>
            <w:rPr>
              <w:rFonts w:asciiTheme="minorHAnsi" w:eastAsiaTheme="minorEastAsia" w:hAnsiTheme="minorHAnsi" w:cstheme="minorBidi"/>
              <w:b w:val="0"/>
              <w:noProof/>
              <w:color w:val="auto"/>
              <w:sz w:val="22"/>
              <w:szCs w:val="22"/>
              <w:lang w:eastAsia="en-AU"/>
            </w:rPr>
          </w:pPr>
          <w:hyperlink w:anchor="_Toc134189283" w:history="1">
            <w:r w:rsidRPr="00497773">
              <w:rPr>
                <w:rStyle w:val="Hyperlink"/>
                <w:noProof/>
              </w:rPr>
              <w:t>Amendments to Prostheses List</w:t>
            </w:r>
            <w:r>
              <w:rPr>
                <w:noProof/>
                <w:webHidden/>
              </w:rPr>
              <w:tab/>
            </w:r>
            <w:r>
              <w:rPr>
                <w:noProof/>
                <w:webHidden/>
              </w:rPr>
              <w:fldChar w:fldCharType="begin"/>
            </w:r>
            <w:r>
              <w:rPr>
                <w:noProof/>
                <w:webHidden/>
              </w:rPr>
              <w:instrText xml:space="preserve"> PAGEREF _Toc134189283 \h </w:instrText>
            </w:r>
            <w:r>
              <w:rPr>
                <w:noProof/>
                <w:webHidden/>
              </w:rPr>
            </w:r>
            <w:r>
              <w:rPr>
                <w:noProof/>
                <w:webHidden/>
              </w:rPr>
              <w:fldChar w:fldCharType="separate"/>
            </w:r>
            <w:r>
              <w:rPr>
                <w:noProof/>
                <w:webHidden/>
              </w:rPr>
              <w:t>9</w:t>
            </w:r>
            <w:r>
              <w:rPr>
                <w:noProof/>
                <w:webHidden/>
              </w:rPr>
              <w:fldChar w:fldCharType="end"/>
            </w:r>
          </w:hyperlink>
        </w:p>
        <w:p w14:paraId="1FCAB281" w14:textId="2E13448C" w:rsidR="00AF4EF5" w:rsidRDefault="00AF4EF5">
          <w:pPr>
            <w:pStyle w:val="TOC1"/>
            <w:rPr>
              <w:rFonts w:asciiTheme="minorHAnsi" w:eastAsiaTheme="minorEastAsia" w:hAnsiTheme="minorHAnsi" w:cstheme="minorBidi"/>
              <w:b w:val="0"/>
              <w:noProof/>
              <w:color w:val="auto"/>
              <w:sz w:val="22"/>
              <w:szCs w:val="22"/>
              <w:lang w:eastAsia="en-AU"/>
            </w:rPr>
          </w:pPr>
          <w:hyperlink w:anchor="_Toc134189284" w:history="1">
            <w:r w:rsidRPr="00497773">
              <w:rPr>
                <w:rStyle w:val="Hyperlink"/>
                <w:noProof/>
              </w:rPr>
              <w:t>If your inclusion application is not successful</w:t>
            </w:r>
            <w:r>
              <w:rPr>
                <w:noProof/>
                <w:webHidden/>
              </w:rPr>
              <w:tab/>
            </w:r>
            <w:r>
              <w:rPr>
                <w:noProof/>
                <w:webHidden/>
              </w:rPr>
              <w:fldChar w:fldCharType="begin"/>
            </w:r>
            <w:r>
              <w:rPr>
                <w:noProof/>
                <w:webHidden/>
              </w:rPr>
              <w:instrText xml:space="preserve"> PAGEREF _Toc134189284 \h </w:instrText>
            </w:r>
            <w:r>
              <w:rPr>
                <w:noProof/>
                <w:webHidden/>
              </w:rPr>
            </w:r>
            <w:r>
              <w:rPr>
                <w:noProof/>
                <w:webHidden/>
              </w:rPr>
              <w:fldChar w:fldCharType="separate"/>
            </w:r>
            <w:r>
              <w:rPr>
                <w:noProof/>
                <w:webHidden/>
              </w:rPr>
              <w:t>10</w:t>
            </w:r>
            <w:r>
              <w:rPr>
                <w:noProof/>
                <w:webHidden/>
              </w:rPr>
              <w:fldChar w:fldCharType="end"/>
            </w:r>
          </w:hyperlink>
        </w:p>
        <w:p w14:paraId="3E2EB75C" w14:textId="0614D004" w:rsidR="00AF4EF5" w:rsidRDefault="00AF4EF5">
          <w:pPr>
            <w:pStyle w:val="TOC1"/>
            <w:rPr>
              <w:rFonts w:asciiTheme="minorHAnsi" w:eastAsiaTheme="minorEastAsia" w:hAnsiTheme="minorHAnsi" w:cstheme="minorBidi"/>
              <w:b w:val="0"/>
              <w:noProof/>
              <w:color w:val="auto"/>
              <w:sz w:val="22"/>
              <w:szCs w:val="22"/>
              <w:lang w:eastAsia="en-AU"/>
            </w:rPr>
          </w:pPr>
          <w:hyperlink w:anchor="_Toc134189285" w:history="1">
            <w:r w:rsidRPr="00497773">
              <w:rPr>
                <w:rStyle w:val="Hyperlink"/>
                <w:noProof/>
              </w:rPr>
              <w:t>When to cease supply using your old ARTG entry</w:t>
            </w:r>
            <w:r>
              <w:rPr>
                <w:noProof/>
                <w:webHidden/>
              </w:rPr>
              <w:tab/>
            </w:r>
            <w:r>
              <w:rPr>
                <w:noProof/>
                <w:webHidden/>
              </w:rPr>
              <w:fldChar w:fldCharType="begin"/>
            </w:r>
            <w:r>
              <w:rPr>
                <w:noProof/>
                <w:webHidden/>
              </w:rPr>
              <w:instrText xml:space="preserve"> PAGEREF _Toc134189285 \h </w:instrText>
            </w:r>
            <w:r>
              <w:rPr>
                <w:noProof/>
                <w:webHidden/>
              </w:rPr>
            </w:r>
            <w:r>
              <w:rPr>
                <w:noProof/>
                <w:webHidden/>
              </w:rPr>
              <w:fldChar w:fldCharType="separate"/>
            </w:r>
            <w:r>
              <w:rPr>
                <w:noProof/>
                <w:webHidden/>
              </w:rPr>
              <w:t>10</w:t>
            </w:r>
            <w:r>
              <w:rPr>
                <w:noProof/>
                <w:webHidden/>
              </w:rPr>
              <w:fldChar w:fldCharType="end"/>
            </w:r>
          </w:hyperlink>
        </w:p>
        <w:p w14:paraId="347AC742" w14:textId="213D1C9D" w:rsidR="00F401EF" w:rsidRPr="00215D48" w:rsidRDefault="00F859D2" w:rsidP="00F401EF">
          <w:r w:rsidRPr="00215D48">
            <w:fldChar w:fldCharType="end"/>
          </w:r>
        </w:p>
      </w:sdtContent>
    </w:sdt>
    <w:p w14:paraId="653B0B83" w14:textId="77777777" w:rsidR="00AA3EB9" w:rsidRPr="00215D48" w:rsidRDefault="001525B4" w:rsidP="0055653F">
      <w:r w:rsidRPr="00215D48">
        <w:br w:type="page"/>
      </w:r>
    </w:p>
    <w:p w14:paraId="20E4FF63" w14:textId="77777777" w:rsidR="0039146A" w:rsidRDefault="0039146A" w:rsidP="0039146A">
      <w:pPr>
        <w:pStyle w:val="Heading2"/>
      </w:pPr>
      <w:bookmarkStart w:id="0" w:name="_Toc120887764"/>
      <w:bookmarkStart w:id="1" w:name="_Toc323739590"/>
      <w:bookmarkStart w:id="2" w:name="_Toc356305217"/>
      <w:bookmarkStart w:id="3" w:name="_Toc134189268"/>
      <w:r>
        <w:lastRenderedPageBreak/>
        <w:t>About this guidance</w:t>
      </w:r>
      <w:bookmarkEnd w:id="0"/>
      <w:bookmarkEnd w:id="3"/>
    </w:p>
    <w:p w14:paraId="0C2643D2" w14:textId="77777777" w:rsidR="0039146A" w:rsidRPr="0039146A" w:rsidRDefault="0039146A" w:rsidP="00BF28B9">
      <w:r w:rsidRPr="0039146A">
        <w:t xml:space="preserve">This guidance aims to assist sponsors of </w:t>
      </w:r>
      <w:r w:rsidRPr="0039146A">
        <w:rPr>
          <w:b/>
        </w:rPr>
        <w:t>active implantable medical devices (AIMD)</w:t>
      </w:r>
      <w:r w:rsidRPr="0039146A">
        <w:t xml:space="preserve"> with meeting their obligations and outlines transitional arrangements to help comply with new regulations.</w:t>
      </w:r>
    </w:p>
    <w:p w14:paraId="33049460" w14:textId="77777777" w:rsidR="0039146A" w:rsidRPr="0039146A" w:rsidRDefault="0039146A" w:rsidP="00BF28B9">
      <w:r w:rsidRPr="0039146A">
        <w:t xml:space="preserve">From </w:t>
      </w:r>
      <w:r w:rsidRPr="0039146A">
        <w:rPr>
          <w:b/>
        </w:rPr>
        <w:t>25 November 2021</w:t>
      </w:r>
      <w:r w:rsidRPr="0039146A">
        <w:t xml:space="preserve"> active implantable medical devices will be required to be reclassified </w:t>
      </w:r>
      <w:r w:rsidRPr="0039146A">
        <w:rPr>
          <w:b/>
        </w:rPr>
        <w:t>from Class AIMD to Class III</w:t>
      </w:r>
      <w:r w:rsidRPr="0039146A">
        <w:t xml:space="preserve">. </w:t>
      </w:r>
    </w:p>
    <w:p w14:paraId="51BCEC7C" w14:textId="77777777" w:rsidR="0039146A" w:rsidRDefault="0039146A" w:rsidP="0039146A">
      <w:pPr>
        <w:pStyle w:val="Heading3"/>
      </w:pPr>
      <w:bookmarkStart w:id="4" w:name="_Toc120887765"/>
      <w:bookmarkStart w:id="5" w:name="_Toc134189269"/>
      <w:r>
        <w:t>Background</w:t>
      </w:r>
      <w:bookmarkEnd w:id="4"/>
      <w:bookmarkEnd w:id="5"/>
    </w:p>
    <w:p w14:paraId="57C92112" w14:textId="2D6706EB" w:rsidR="0039146A" w:rsidRPr="00BF28B9" w:rsidRDefault="0039146A" w:rsidP="00BF28B9">
      <w:pPr>
        <w:rPr>
          <w:rFonts w:asciiTheme="majorHAnsi" w:hAnsiTheme="majorHAnsi" w:cstheme="majorHAnsi"/>
        </w:rPr>
      </w:pPr>
      <w:r w:rsidRPr="00BF28B9">
        <w:rPr>
          <w:rFonts w:asciiTheme="majorHAnsi" w:hAnsiTheme="majorHAnsi" w:cstheme="majorHAnsi"/>
        </w:rPr>
        <w:t xml:space="preserve">In early 2019 the Therapeutic Goods Administration (TGA) conducted a </w:t>
      </w:r>
      <w:hyperlink r:id="rId13" w:history="1">
        <w:r w:rsidRPr="00BF28B9">
          <w:rPr>
            <w:rStyle w:val="Hyperlink"/>
            <w:rFonts w:asciiTheme="majorHAnsi" w:hAnsiTheme="majorHAnsi" w:cstheme="majorHAnsi"/>
          </w:rPr>
          <w:t>public consultation seeking feedback</w:t>
        </w:r>
      </w:hyperlink>
      <w:r w:rsidRPr="00BF28B9">
        <w:rPr>
          <w:rFonts w:asciiTheme="majorHAnsi" w:hAnsiTheme="majorHAnsi" w:cstheme="majorHAnsi"/>
        </w:rPr>
        <w:t xml:space="preserve"> on a proposal to reclassify active implantable medical devices and their accessories. The proposed regulatory changes supported the commitment made in the </w:t>
      </w:r>
      <w:r w:rsidR="003E4B39" w:rsidRPr="003E4B39">
        <w:rPr>
          <w:rFonts w:asciiTheme="majorHAnsi" w:hAnsiTheme="majorHAnsi" w:cstheme="majorHAnsi"/>
        </w:rPr>
        <w:t>Australian Government Response to the Review of Medicines and Medical Devices Regulation</w:t>
      </w:r>
      <w:r w:rsidRPr="00BF28B9">
        <w:rPr>
          <w:rFonts w:asciiTheme="majorHAnsi" w:hAnsiTheme="majorHAnsi" w:cstheme="majorHAnsi"/>
        </w:rPr>
        <w:t xml:space="preserve"> to align Australian medical device regulations, where possible and appropriate, with the European Union framework.</w:t>
      </w:r>
    </w:p>
    <w:p w14:paraId="5A068914" w14:textId="77777777" w:rsidR="0039146A" w:rsidRPr="00BF28B9" w:rsidRDefault="0039146A" w:rsidP="00BF28B9">
      <w:pPr>
        <w:rPr>
          <w:rFonts w:asciiTheme="majorHAnsi" w:hAnsiTheme="majorHAnsi" w:cstheme="majorHAnsi"/>
        </w:rPr>
      </w:pPr>
      <w:r w:rsidRPr="00BF28B9">
        <w:rPr>
          <w:rFonts w:asciiTheme="majorHAnsi" w:hAnsiTheme="majorHAnsi" w:cstheme="majorHAnsi"/>
        </w:rPr>
        <w:t xml:space="preserve">Stakeholders who responded to the public consultation were broadly supportive of aligning the Australian medical devices framework with the EU framework; however, there were diverse views regarding the proposal to reclassify accessories to active implantable medical devices. </w:t>
      </w:r>
    </w:p>
    <w:p w14:paraId="47C5A06D" w14:textId="77777777" w:rsidR="0039146A" w:rsidRPr="00BF28B9" w:rsidRDefault="0039146A" w:rsidP="00BF28B9">
      <w:pPr>
        <w:rPr>
          <w:rFonts w:asciiTheme="majorHAnsi" w:hAnsiTheme="majorHAnsi" w:cstheme="majorHAnsi"/>
        </w:rPr>
      </w:pPr>
      <w:r w:rsidRPr="00BF28B9">
        <w:rPr>
          <w:rFonts w:asciiTheme="majorHAnsi" w:hAnsiTheme="majorHAnsi" w:cstheme="majorHAnsi"/>
        </w:rPr>
        <w:t xml:space="preserve">The proposal was refined based on the feedback provided by stakeholders and the </w:t>
      </w:r>
      <w:hyperlink r:id="rId14" w:history="1">
        <w:r w:rsidRPr="00BF28B9">
          <w:rPr>
            <w:rStyle w:val="Hyperlink"/>
            <w:rFonts w:asciiTheme="majorHAnsi" w:hAnsiTheme="majorHAnsi" w:cstheme="majorHAnsi"/>
            <w:i/>
          </w:rPr>
          <w:t>Therapeutic Goods Legislation Amendment (2019 Measures No.1) Regulations 2019</w:t>
        </w:r>
      </w:hyperlink>
      <w:r w:rsidRPr="00BF28B9">
        <w:rPr>
          <w:rFonts w:asciiTheme="majorHAnsi" w:hAnsiTheme="majorHAnsi" w:cstheme="majorHAnsi"/>
        </w:rPr>
        <w:t xml:space="preserve"> was made on 12 December 2019. </w:t>
      </w:r>
    </w:p>
    <w:p w14:paraId="03A85F7A" w14:textId="6C8336F0" w:rsidR="0039146A" w:rsidRPr="00BF28B9" w:rsidRDefault="0039146A" w:rsidP="00BF28B9">
      <w:pPr>
        <w:rPr>
          <w:rFonts w:asciiTheme="majorHAnsi" w:hAnsiTheme="majorHAnsi" w:cstheme="majorHAnsi"/>
        </w:rPr>
      </w:pPr>
      <w:r w:rsidRPr="00BF28B9">
        <w:rPr>
          <w:rFonts w:asciiTheme="majorHAnsi" w:hAnsiTheme="majorHAnsi" w:cstheme="majorHAnsi"/>
        </w:rPr>
        <w:t xml:space="preserve">The </w:t>
      </w:r>
      <w:hyperlink r:id="rId15" w:history="1">
        <w:r w:rsidRPr="00BF28B9">
          <w:rPr>
            <w:rStyle w:val="Hyperlink"/>
            <w:rFonts w:asciiTheme="majorHAnsi" w:hAnsiTheme="majorHAnsi" w:cstheme="majorHAnsi"/>
          </w:rPr>
          <w:t>amendments</w:t>
        </w:r>
      </w:hyperlink>
      <w:r w:rsidRPr="00BF28B9">
        <w:rPr>
          <w:rFonts w:asciiTheme="majorHAnsi" w:hAnsiTheme="majorHAnsi" w:cstheme="majorHAnsi"/>
        </w:rPr>
        <w:t xml:space="preserve"> simplify and reclassify active implantable medical devices from Class AIMD to Class III, effective from 25 November 2021.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9146A" w:rsidRPr="0039146A" w14:paraId="052A21FA" w14:textId="77777777" w:rsidTr="006801FF">
        <w:tc>
          <w:tcPr>
            <w:tcW w:w="1276" w:type="dxa"/>
            <w:vAlign w:val="center"/>
          </w:tcPr>
          <w:p w14:paraId="6D6371AE" w14:textId="77777777" w:rsidR="0039146A" w:rsidRPr="0039146A" w:rsidRDefault="0039146A" w:rsidP="006801FF">
            <w:pPr>
              <w:spacing w:before="0"/>
              <w:rPr>
                <w:rFonts w:asciiTheme="minorHAnsi" w:hAnsiTheme="minorHAnsi"/>
                <w:sz w:val="20"/>
              </w:rPr>
            </w:pPr>
            <w:r w:rsidRPr="0039146A">
              <w:rPr>
                <w:rFonts w:asciiTheme="minorHAnsi" w:hAnsiTheme="minorHAnsi"/>
                <w:noProof/>
                <w:sz w:val="20"/>
                <w:lang w:eastAsia="en-AU"/>
              </w:rPr>
              <w:drawing>
                <wp:inline distT="0" distB="0" distL="0" distR="0" wp14:anchorId="12C58411" wp14:editId="3E683959">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B0D206A" w14:textId="77777777" w:rsidR="0039146A" w:rsidRPr="0039146A" w:rsidRDefault="0039146A" w:rsidP="00BF28B9">
            <w:r w:rsidRPr="0039146A">
              <w:t>Please note</w:t>
            </w:r>
          </w:p>
          <w:p w14:paraId="61A15441" w14:textId="1249D30B" w:rsidR="0039146A" w:rsidRPr="0039146A" w:rsidRDefault="0039146A" w:rsidP="00BF28B9">
            <w:r w:rsidRPr="0039146A">
              <w:t>The conformity assessment procedures applied to Class III medical devices are the same as for Class AIMD medical devices. Therefore, there will be no change to the level of the regulatory requirements or the level of scrutiny for these devices.</w:t>
            </w:r>
          </w:p>
        </w:tc>
      </w:tr>
    </w:tbl>
    <w:p w14:paraId="3C661790" w14:textId="77777777" w:rsidR="0039146A" w:rsidRDefault="0039146A" w:rsidP="0039146A">
      <w:pPr>
        <w:pStyle w:val="Heading2"/>
      </w:pPr>
      <w:bookmarkStart w:id="6" w:name="_Toc120887766"/>
      <w:bookmarkStart w:id="7" w:name="_Toc27486884"/>
      <w:bookmarkStart w:id="8" w:name="_Toc134189270"/>
      <w:r>
        <w:t>Active implantable medical devices</w:t>
      </w:r>
      <w:bookmarkEnd w:id="6"/>
      <w:bookmarkEnd w:id="8"/>
    </w:p>
    <w:p w14:paraId="33A2BB71" w14:textId="77777777" w:rsidR="0039146A" w:rsidRPr="0039146A" w:rsidRDefault="0039146A" w:rsidP="00BF28B9">
      <w:r w:rsidRPr="0039146A">
        <w:t xml:space="preserve">Active implantable medical device is defined in the </w:t>
      </w:r>
      <w:hyperlink r:id="rId17" w:history="1">
        <w:r w:rsidRPr="003E4B39">
          <w:rPr>
            <w:rStyle w:val="Hyperlink"/>
            <w:rFonts w:cs="Arial"/>
            <w:i/>
          </w:rPr>
          <w:t>Therapeutic Goods (Medical Devices) Regulations 2002</w:t>
        </w:r>
      </w:hyperlink>
      <w:r w:rsidRPr="0039146A">
        <w:rPr>
          <w:i/>
        </w:rPr>
        <w:t xml:space="preserve"> </w:t>
      </w:r>
      <w:r w:rsidRPr="0039146A">
        <w:t>(the Regulations):</w:t>
      </w:r>
    </w:p>
    <w:p w14:paraId="04FDA683" w14:textId="77777777" w:rsidR="0039146A" w:rsidRPr="0039146A" w:rsidRDefault="0039146A" w:rsidP="00BF28B9">
      <w:r w:rsidRPr="0039146A">
        <w:rPr>
          <w:b/>
        </w:rPr>
        <w:t>Active implantable medical device</w:t>
      </w:r>
      <w:r w:rsidRPr="0039146A">
        <w:t xml:space="preserve"> or </w:t>
      </w:r>
      <w:r w:rsidRPr="0039146A">
        <w:rPr>
          <w:b/>
        </w:rPr>
        <w:t>AIMD</w:t>
      </w:r>
      <w:r w:rsidRPr="0039146A">
        <w:t xml:space="preserve"> means an active medical device, other than an implantable medical device, that is intended by the manufacturer:</w:t>
      </w:r>
    </w:p>
    <w:p w14:paraId="11E99582" w14:textId="77777777" w:rsidR="0039146A" w:rsidRPr="0039146A" w:rsidRDefault="0039146A" w:rsidP="00BF28B9">
      <w:r w:rsidRPr="0039146A">
        <w:t>(a) either:</w:t>
      </w:r>
    </w:p>
    <w:p w14:paraId="49194C41" w14:textId="77777777" w:rsidR="0039146A" w:rsidRPr="0039146A" w:rsidRDefault="0039146A" w:rsidP="00BF28B9">
      <w:r w:rsidRPr="0039146A">
        <w:t>(</w:t>
      </w:r>
      <w:proofErr w:type="spellStart"/>
      <w:r w:rsidRPr="0039146A">
        <w:t>i</w:t>
      </w:r>
      <w:proofErr w:type="spellEnd"/>
      <w:r w:rsidRPr="0039146A">
        <w:t>) to be, by surgical or medical intervention, introduced wholly, or partially, into the body of a human being; or</w:t>
      </w:r>
    </w:p>
    <w:p w14:paraId="6A8F4402" w14:textId="77777777" w:rsidR="0039146A" w:rsidRPr="0039146A" w:rsidRDefault="0039146A" w:rsidP="00BF28B9">
      <w:r w:rsidRPr="0039146A">
        <w:t>(ii) to be, by medical intervention, introduced into a natural orifice in the body of a human being; and</w:t>
      </w:r>
    </w:p>
    <w:p w14:paraId="1530FE3C" w14:textId="77777777" w:rsidR="0039146A" w:rsidRPr="0039146A" w:rsidRDefault="0039146A" w:rsidP="00BF28B9">
      <w:r w:rsidRPr="0039146A">
        <w:t>(b) to remain in place after the procedure.</w:t>
      </w:r>
    </w:p>
    <w:p w14:paraId="139600CB" w14:textId="77777777" w:rsidR="0039146A" w:rsidRPr="0039146A" w:rsidRDefault="0039146A" w:rsidP="00BF28B9">
      <w:r w:rsidRPr="0039146A">
        <w:lastRenderedPageBreak/>
        <w:t>From 25 November 2021, the following classification rule will apply:</w:t>
      </w:r>
    </w:p>
    <w:p w14:paraId="7CA919AC" w14:textId="77777777" w:rsidR="0039146A" w:rsidRPr="0039146A" w:rsidRDefault="0039146A" w:rsidP="00BF28B9">
      <w:pPr>
        <w:rPr>
          <w:b/>
        </w:rPr>
      </w:pPr>
      <w:r w:rsidRPr="0039146A">
        <w:rPr>
          <w:b/>
        </w:rPr>
        <w:t>Subclause 5.7(1) of Schedule 2:</w:t>
      </w:r>
    </w:p>
    <w:p w14:paraId="7E4AE8F2" w14:textId="77777777" w:rsidR="0039146A" w:rsidRPr="0039146A" w:rsidRDefault="0039146A" w:rsidP="00BF28B9">
      <w:r w:rsidRPr="0039146A">
        <w:t>(1)</w:t>
      </w:r>
      <w:r w:rsidRPr="0039146A">
        <w:tab/>
        <w:t>An active implantable medical device is classified as Class III.</w:t>
      </w:r>
    </w:p>
    <w:p w14:paraId="1AD789B9" w14:textId="77777777" w:rsidR="0039146A" w:rsidRDefault="0039146A" w:rsidP="0039146A">
      <w:pPr>
        <w:pStyle w:val="Heading3"/>
      </w:pPr>
      <w:bookmarkStart w:id="9" w:name="_Toc27486883"/>
      <w:bookmarkStart w:id="10" w:name="_Toc27746681"/>
      <w:bookmarkStart w:id="11" w:name="_Toc120887767"/>
      <w:bookmarkStart w:id="12" w:name="_Toc134189271"/>
      <w:r>
        <w:t>Examples of devices to be reclassified</w:t>
      </w:r>
      <w:bookmarkEnd w:id="9"/>
      <w:bookmarkEnd w:id="10"/>
      <w:r>
        <w:t xml:space="preserve"> to Class III</w:t>
      </w:r>
      <w:bookmarkEnd w:id="11"/>
      <w:bookmarkEnd w:id="12"/>
    </w:p>
    <w:p w14:paraId="59CB30C8" w14:textId="77777777" w:rsidR="0039146A" w:rsidRPr="0039146A" w:rsidRDefault="0039146A" w:rsidP="00BF28B9">
      <w:r w:rsidRPr="0039146A">
        <w:t>Active implantable medical devices that will need to be reclassified to Class III include:</w:t>
      </w:r>
    </w:p>
    <w:p w14:paraId="631B59CC" w14:textId="77777777" w:rsidR="0039146A" w:rsidRPr="00BF28B9" w:rsidRDefault="0039146A" w:rsidP="00BF28B9">
      <w:pPr>
        <w:pStyle w:val="ListBullet"/>
      </w:pPr>
      <w:r w:rsidRPr="00BF28B9">
        <w:t>implantable cardiac pacemakers (for example, single-chamber and dual-chamber pacemakers)</w:t>
      </w:r>
    </w:p>
    <w:p w14:paraId="2B50CB97" w14:textId="77777777" w:rsidR="0039146A" w:rsidRPr="00BF28B9" w:rsidRDefault="0039146A" w:rsidP="00BF28B9">
      <w:pPr>
        <w:pStyle w:val="ListBullet"/>
      </w:pPr>
      <w:r w:rsidRPr="00BF28B9">
        <w:t>implantable cardioverter-defibrillators (ICD)</w:t>
      </w:r>
    </w:p>
    <w:p w14:paraId="559F2995" w14:textId="77777777" w:rsidR="0039146A" w:rsidRPr="00BF28B9" w:rsidRDefault="0039146A" w:rsidP="00BF28B9">
      <w:pPr>
        <w:pStyle w:val="ListBullet"/>
      </w:pPr>
      <w:r w:rsidRPr="00BF28B9">
        <w:t>biventricular pacemaker/defibrillators</w:t>
      </w:r>
    </w:p>
    <w:p w14:paraId="560B2F24" w14:textId="77777777" w:rsidR="0039146A" w:rsidRPr="00BF28B9" w:rsidRDefault="0039146A" w:rsidP="00BF28B9">
      <w:pPr>
        <w:pStyle w:val="ListBullet"/>
      </w:pPr>
      <w:r w:rsidRPr="00BF28B9">
        <w:t>implantable cardiac monitor</w:t>
      </w:r>
    </w:p>
    <w:p w14:paraId="061C5525" w14:textId="77777777" w:rsidR="0039146A" w:rsidRPr="00BF28B9" w:rsidRDefault="0039146A" w:rsidP="00BF28B9">
      <w:pPr>
        <w:pStyle w:val="ListBullet"/>
      </w:pPr>
      <w:r w:rsidRPr="00BF28B9">
        <w:t>cochlear implants</w:t>
      </w:r>
    </w:p>
    <w:p w14:paraId="07FB107C" w14:textId="77777777" w:rsidR="0039146A" w:rsidRPr="00BF28B9" w:rsidRDefault="0039146A" w:rsidP="00BF28B9">
      <w:pPr>
        <w:pStyle w:val="ListBullet"/>
      </w:pPr>
      <w:r w:rsidRPr="00BF28B9">
        <w:t>brain electrical stimulation systems</w:t>
      </w:r>
    </w:p>
    <w:p w14:paraId="45B426AF" w14:textId="77777777" w:rsidR="0039146A" w:rsidRPr="00BF28B9" w:rsidRDefault="0039146A" w:rsidP="00BF28B9">
      <w:pPr>
        <w:pStyle w:val="ListBullet"/>
      </w:pPr>
      <w:r w:rsidRPr="00BF28B9">
        <w:t>spinal cord stimulation systems.</w:t>
      </w:r>
    </w:p>
    <w:p w14:paraId="2B3CE5E9" w14:textId="77777777" w:rsidR="0039146A" w:rsidRDefault="0039146A" w:rsidP="0039146A">
      <w:pPr>
        <w:pStyle w:val="Heading2"/>
      </w:pPr>
      <w:bookmarkStart w:id="13" w:name="_Toc35782307"/>
      <w:bookmarkStart w:id="14" w:name="_Toc35949791"/>
      <w:bookmarkStart w:id="15" w:name="_Toc120887768"/>
      <w:bookmarkStart w:id="16" w:name="_Toc134189272"/>
      <w:r>
        <w:t>What you need to do</w:t>
      </w:r>
      <w:bookmarkEnd w:id="13"/>
      <w:bookmarkEnd w:id="14"/>
      <w:bookmarkEnd w:id="15"/>
      <w:bookmarkEnd w:id="16"/>
    </w:p>
    <w:p w14:paraId="5A4CE96B" w14:textId="77777777" w:rsidR="0039146A" w:rsidRPr="00BF28B9" w:rsidRDefault="0039146A" w:rsidP="00BF28B9">
      <w:pPr>
        <w:rPr>
          <w:rFonts w:asciiTheme="majorHAnsi" w:hAnsiTheme="majorHAnsi" w:cstheme="majorHAnsi"/>
        </w:rPr>
      </w:pPr>
      <w:r w:rsidRPr="0039146A">
        <w:t xml:space="preserve">If you are a sponsor of an active implantable medical device, the actions you will need to take to comply with the new </w:t>
      </w:r>
      <w:r w:rsidRPr="00BF28B9">
        <w:rPr>
          <w:rFonts w:asciiTheme="majorHAnsi" w:hAnsiTheme="majorHAnsi" w:cstheme="majorHAnsi"/>
        </w:rPr>
        <w:t>regulations will depend on the status of your product:</w:t>
      </w:r>
    </w:p>
    <w:p w14:paraId="53A39C8A" w14:textId="77777777" w:rsidR="0039146A" w:rsidRPr="00BF28B9" w:rsidRDefault="0039146A" w:rsidP="00BF28B9">
      <w:pPr>
        <w:pStyle w:val="ListBullet"/>
        <w:rPr>
          <w:rStyle w:val="Hyperlink"/>
          <w:rFonts w:asciiTheme="majorHAnsi" w:hAnsiTheme="majorHAnsi" w:cstheme="majorHAnsi"/>
        </w:rPr>
      </w:pPr>
      <w:r w:rsidRPr="00BF28B9">
        <w:rPr>
          <w:rFonts w:asciiTheme="majorHAnsi" w:hAnsiTheme="majorHAnsi" w:cstheme="majorHAnsi"/>
        </w:rPr>
        <w:fldChar w:fldCharType="begin"/>
      </w:r>
      <w:r w:rsidRPr="00BF28B9">
        <w:rPr>
          <w:rFonts w:asciiTheme="majorHAnsi" w:hAnsiTheme="majorHAnsi" w:cstheme="majorHAnsi"/>
        </w:rPr>
        <w:instrText>HYPERLINK  \l "_Medical_devices_included"</w:instrText>
      </w:r>
      <w:r w:rsidRPr="00BF28B9">
        <w:rPr>
          <w:rFonts w:asciiTheme="majorHAnsi" w:hAnsiTheme="majorHAnsi" w:cstheme="majorHAnsi"/>
        </w:rPr>
        <w:fldChar w:fldCharType="separate"/>
      </w:r>
      <w:r w:rsidRPr="00BF28B9">
        <w:rPr>
          <w:rStyle w:val="Hyperlink"/>
          <w:rFonts w:asciiTheme="majorHAnsi" w:hAnsiTheme="majorHAnsi" w:cstheme="majorHAnsi"/>
        </w:rPr>
        <w:t>Medical devices included in the ARTG prior to 25 November 2021</w:t>
      </w:r>
    </w:p>
    <w:p w14:paraId="46B93ED6" w14:textId="77777777" w:rsidR="0039146A" w:rsidRPr="00BF28B9" w:rsidRDefault="0039146A" w:rsidP="00BF28B9">
      <w:pPr>
        <w:pStyle w:val="ListBullet"/>
        <w:rPr>
          <w:rStyle w:val="Hyperlink"/>
          <w:rFonts w:asciiTheme="majorHAnsi" w:hAnsiTheme="majorHAnsi" w:cstheme="majorHAnsi"/>
        </w:rPr>
      </w:pPr>
      <w:r w:rsidRPr="00BF28B9">
        <w:rPr>
          <w:rFonts w:asciiTheme="majorHAnsi" w:hAnsiTheme="majorHAnsi" w:cstheme="majorHAnsi"/>
        </w:rPr>
        <w:fldChar w:fldCharType="end"/>
      </w:r>
      <w:r w:rsidRPr="00BF28B9">
        <w:rPr>
          <w:rFonts w:asciiTheme="majorHAnsi" w:hAnsiTheme="majorHAnsi" w:cstheme="majorHAnsi"/>
        </w:rPr>
        <w:fldChar w:fldCharType="begin"/>
      </w:r>
      <w:r w:rsidRPr="00BF28B9">
        <w:rPr>
          <w:rFonts w:asciiTheme="majorHAnsi" w:hAnsiTheme="majorHAnsi" w:cstheme="majorHAnsi"/>
        </w:rPr>
        <w:instrText>HYPERLINK  \l "_Applications_to_include"</w:instrText>
      </w:r>
      <w:r w:rsidRPr="00BF28B9">
        <w:rPr>
          <w:rFonts w:asciiTheme="majorHAnsi" w:hAnsiTheme="majorHAnsi" w:cstheme="majorHAnsi"/>
        </w:rPr>
        <w:fldChar w:fldCharType="separate"/>
      </w:r>
      <w:r w:rsidRPr="00BF28B9">
        <w:rPr>
          <w:rStyle w:val="Hyperlink"/>
          <w:rFonts w:asciiTheme="majorHAnsi" w:hAnsiTheme="majorHAnsi" w:cstheme="majorHAnsi"/>
        </w:rPr>
        <w:t>Applications to include a medical device in the ARTG lodged before 25 November 2021</w:t>
      </w:r>
    </w:p>
    <w:p w14:paraId="4BAC7660" w14:textId="77777777" w:rsidR="0039146A" w:rsidRPr="00BF28B9" w:rsidRDefault="0039146A" w:rsidP="00BF28B9">
      <w:pPr>
        <w:pStyle w:val="ListBullet"/>
        <w:rPr>
          <w:rStyle w:val="Hyperlink"/>
          <w:rFonts w:asciiTheme="majorHAnsi" w:hAnsiTheme="majorHAnsi" w:cstheme="majorHAnsi"/>
        </w:rPr>
      </w:pPr>
      <w:r w:rsidRPr="00BF28B9">
        <w:rPr>
          <w:rFonts w:asciiTheme="majorHAnsi" w:hAnsiTheme="majorHAnsi" w:cstheme="majorHAnsi"/>
        </w:rPr>
        <w:fldChar w:fldCharType="end"/>
      </w:r>
      <w:r w:rsidRPr="00BF28B9">
        <w:rPr>
          <w:rFonts w:asciiTheme="majorHAnsi" w:hAnsiTheme="majorHAnsi" w:cstheme="majorHAnsi"/>
        </w:rPr>
        <w:fldChar w:fldCharType="begin"/>
      </w:r>
      <w:r w:rsidRPr="00BF28B9">
        <w:rPr>
          <w:rFonts w:asciiTheme="majorHAnsi" w:hAnsiTheme="majorHAnsi" w:cstheme="majorHAnsi"/>
        </w:rPr>
        <w:instrText>HYPERLINK  \l "_Sponsors_intending_to"</w:instrText>
      </w:r>
      <w:r w:rsidRPr="00BF28B9">
        <w:rPr>
          <w:rFonts w:asciiTheme="majorHAnsi" w:hAnsiTheme="majorHAnsi" w:cstheme="majorHAnsi"/>
        </w:rPr>
        <w:fldChar w:fldCharType="separate"/>
      </w:r>
      <w:r w:rsidRPr="00BF28B9">
        <w:rPr>
          <w:rStyle w:val="Hyperlink"/>
          <w:rFonts w:asciiTheme="majorHAnsi" w:hAnsiTheme="majorHAnsi" w:cstheme="majorHAnsi"/>
        </w:rPr>
        <w:t>Applications to include a new medical device in the ARTG on or after 25 November 2021</w:t>
      </w:r>
    </w:p>
    <w:bookmarkStart w:id="17" w:name="_Medical_devices_included"/>
    <w:bookmarkEnd w:id="17"/>
    <w:p w14:paraId="32462A86" w14:textId="77777777" w:rsidR="0039146A" w:rsidRDefault="0039146A" w:rsidP="0039146A">
      <w:pPr>
        <w:pStyle w:val="Heading3"/>
      </w:pPr>
      <w:r w:rsidRPr="00BF28B9">
        <w:rPr>
          <w:rFonts w:asciiTheme="majorHAnsi" w:eastAsia="Cambria" w:hAnsiTheme="majorHAnsi" w:cstheme="majorHAnsi"/>
        </w:rPr>
        <w:fldChar w:fldCharType="end"/>
      </w:r>
      <w:bookmarkStart w:id="18" w:name="_Sponsors_with_a"/>
      <w:bookmarkStart w:id="19" w:name="_Toc35949792"/>
      <w:bookmarkStart w:id="20" w:name="_Toc120887769"/>
      <w:bookmarkStart w:id="21" w:name="_Toc134189273"/>
      <w:bookmarkEnd w:id="18"/>
      <w:r w:rsidRPr="00BF28B9">
        <w:rPr>
          <w:rFonts w:asciiTheme="majorHAnsi" w:hAnsiTheme="majorHAnsi" w:cstheme="majorHAnsi"/>
        </w:rPr>
        <w:t>Medical devices included in the ARTG pr</w:t>
      </w:r>
      <w:r>
        <w:t xml:space="preserve">ior to 25 </w:t>
      </w:r>
      <w:bookmarkEnd w:id="19"/>
      <w:r>
        <w:t>November 2021</w:t>
      </w:r>
      <w:bookmarkEnd w:id="20"/>
      <w:bookmarkEnd w:id="21"/>
    </w:p>
    <w:p w14:paraId="48DA34DD" w14:textId="77777777" w:rsidR="0039146A" w:rsidRPr="0039146A" w:rsidRDefault="0039146A" w:rsidP="00BF28B9">
      <w:r w:rsidRPr="0039146A">
        <w:t>If you have an active implantable medical device in the ARTG with a start date before 25 November 2021 transitional arrangements are in place to ensure that you can continue to supply your device while you apply for it to be included in the ARTG as a Class III medical device.</w:t>
      </w:r>
    </w:p>
    <w:p w14:paraId="762AE87C" w14:textId="77777777" w:rsidR="0039146A" w:rsidRPr="0039146A" w:rsidRDefault="0039146A" w:rsidP="00BF28B9">
      <w:r w:rsidRPr="0039146A">
        <w:t>If you would like to continue to supply your device you must:</w:t>
      </w:r>
    </w:p>
    <w:p w14:paraId="6725D3F5" w14:textId="77777777" w:rsidR="0039146A" w:rsidRPr="00BF28B9" w:rsidRDefault="00AF4EF5" w:rsidP="00BF28B9">
      <w:pPr>
        <w:pStyle w:val="ListBullet"/>
      </w:pPr>
      <w:hyperlink w:anchor="_Notifying_the_TGA" w:history="1">
        <w:r w:rsidR="0039146A" w:rsidRPr="00BF28B9">
          <w:rPr>
            <w:rStyle w:val="Hyperlink"/>
            <w:color w:val="333F48"/>
            <w:u w:val="none"/>
          </w:rPr>
          <w:t>Notify the TGA</w:t>
        </w:r>
      </w:hyperlink>
      <w:r w:rsidR="0039146A" w:rsidRPr="00BF28B9">
        <w:t xml:space="preserve"> before 25 May 2022 that you have an inclusion that will need to be reclassified; and </w:t>
      </w:r>
    </w:p>
    <w:p w14:paraId="31414209" w14:textId="77777777" w:rsidR="0039146A" w:rsidRPr="00BF28B9" w:rsidRDefault="00AF4EF5" w:rsidP="00BF28B9">
      <w:pPr>
        <w:pStyle w:val="ListBullet"/>
      </w:pPr>
      <w:hyperlink r:id="rId18" w:history="1">
        <w:r w:rsidR="0039146A" w:rsidRPr="00BF28B9">
          <w:rPr>
            <w:rStyle w:val="Hyperlink"/>
            <w:color w:val="333F48"/>
            <w:u w:val="none"/>
          </w:rPr>
          <w:t>Submit an application</w:t>
        </w:r>
      </w:hyperlink>
      <w:r w:rsidR="0039146A" w:rsidRPr="00BF28B9">
        <w:t xml:space="preserve"> for your device to be included in the ARTG as a Class III medical device before 1 November 2024.</w:t>
      </w:r>
    </w:p>
    <w:p w14:paraId="2F8F198E" w14:textId="77777777" w:rsidR="0039146A" w:rsidRDefault="0039146A" w:rsidP="0039146A">
      <w:pPr>
        <w:spacing w:before="0" w:after="0" w:line="240" w:lineRule="auto"/>
      </w:pPr>
      <w:r>
        <w:br w:type="page"/>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9146A" w:rsidRPr="00215D48" w14:paraId="7ECF1158" w14:textId="77777777" w:rsidTr="006801FF">
        <w:tc>
          <w:tcPr>
            <w:tcW w:w="1276" w:type="dxa"/>
            <w:vAlign w:val="center"/>
          </w:tcPr>
          <w:p w14:paraId="1FD41E9A" w14:textId="77777777" w:rsidR="0039146A" w:rsidRPr="00215D48" w:rsidRDefault="0039146A" w:rsidP="006801FF">
            <w:pPr>
              <w:spacing w:before="0"/>
              <w:rPr>
                <w:sz w:val="20"/>
              </w:rPr>
            </w:pPr>
            <w:r w:rsidRPr="00215D48">
              <w:rPr>
                <w:noProof/>
                <w:sz w:val="20"/>
                <w:lang w:eastAsia="en-AU"/>
              </w:rPr>
              <w:lastRenderedPageBreak/>
              <w:drawing>
                <wp:inline distT="0" distB="0" distL="0" distR="0" wp14:anchorId="3F6CD583" wp14:editId="4D47D5AF">
                  <wp:extent cx="487681" cy="487681"/>
                  <wp:effectExtent l="19050" t="0" r="7619" b="0"/>
                  <wp:docPr id="1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7A6AE66" w14:textId="77777777" w:rsidR="0039146A" w:rsidRPr="0039146A" w:rsidRDefault="0039146A" w:rsidP="00BF28B9">
            <w:r w:rsidRPr="0039146A">
              <w:t>Please note</w:t>
            </w:r>
          </w:p>
          <w:p w14:paraId="407D383A" w14:textId="77777777" w:rsidR="0039146A" w:rsidRPr="0039146A" w:rsidRDefault="0039146A" w:rsidP="00BF28B9">
            <w:r w:rsidRPr="0039146A">
              <w:t xml:space="preserve">If you do not intend to continue supplying the device, you should </w:t>
            </w:r>
            <w:hyperlink r:id="rId19" w:history="1">
              <w:r w:rsidRPr="003E4B39">
                <w:rPr>
                  <w:rStyle w:val="Hyperlink"/>
                  <w:rFonts w:cs="Arial"/>
                </w:rPr>
                <w:t>cancel your inclusion</w:t>
              </w:r>
            </w:hyperlink>
            <w:r w:rsidRPr="0039146A">
              <w:t xml:space="preserve"> before 25 May 2022.</w:t>
            </w:r>
          </w:p>
          <w:p w14:paraId="1EE2D340" w14:textId="77777777" w:rsidR="0039146A" w:rsidRPr="00215D48" w:rsidRDefault="0039146A" w:rsidP="00BF28B9">
            <w:r w:rsidRPr="0039146A">
              <w:t>If you notify the TGA of your devices before 25 May 2022 but you do not submit an application for a Class III inclusion before 1 November 2024, you must cease supplying your device from 1 November 2024 and cancel your inclusion.</w:t>
            </w:r>
          </w:p>
        </w:tc>
      </w:tr>
    </w:tbl>
    <w:p w14:paraId="68D947AA" w14:textId="77777777" w:rsidR="0039146A" w:rsidRPr="00D75785" w:rsidRDefault="0039146A" w:rsidP="0039146A">
      <w:pPr>
        <w:pStyle w:val="Heading3"/>
      </w:pPr>
      <w:bookmarkStart w:id="22" w:name="_Sponsors_with_a_1"/>
      <w:bookmarkStart w:id="23" w:name="_Applications_to_include"/>
      <w:bookmarkStart w:id="24" w:name="_Toc120887770"/>
      <w:bookmarkStart w:id="25" w:name="_Toc134189274"/>
      <w:bookmarkEnd w:id="22"/>
      <w:bookmarkEnd w:id="23"/>
      <w:r>
        <w:t>Applications to include a medical device in the ARTG lodged before 25 November 2021</w:t>
      </w:r>
      <w:bookmarkEnd w:id="24"/>
      <w:bookmarkEnd w:id="25"/>
    </w:p>
    <w:p w14:paraId="729F37C5" w14:textId="77777777" w:rsidR="0039146A" w:rsidRPr="0039146A" w:rsidRDefault="0039146A" w:rsidP="00BF28B9">
      <w:r w:rsidRPr="0039146A">
        <w:t xml:space="preserve">If you have submitted an </w:t>
      </w:r>
      <w:hyperlink r:id="rId20" w:history="1">
        <w:r w:rsidRPr="003E4B39">
          <w:rPr>
            <w:rStyle w:val="Hyperlink"/>
            <w:rFonts w:cs="Arial"/>
          </w:rPr>
          <w:t>application for inclusion</w:t>
        </w:r>
      </w:hyperlink>
      <w:r w:rsidRPr="0039146A">
        <w:t xml:space="preserve"> in the ARTG for a Class AIMD device before 25 November 2021, your application will be assessed and the device will be included in the ARTG as a Class AIMD device under the old classification rules. </w:t>
      </w:r>
    </w:p>
    <w:p w14:paraId="612B79CC" w14:textId="77777777" w:rsidR="0039146A" w:rsidRPr="0039146A" w:rsidRDefault="0039146A" w:rsidP="00BF28B9">
      <w:r w:rsidRPr="0039146A">
        <w:t>To be eligible for the transitional arrangements to reclassify your device as a Class III device, you must:</w:t>
      </w:r>
    </w:p>
    <w:p w14:paraId="5BEC836A" w14:textId="77777777" w:rsidR="0039146A" w:rsidRPr="00BF28B9" w:rsidRDefault="00AF4EF5" w:rsidP="00BF28B9">
      <w:pPr>
        <w:pStyle w:val="ListBullet"/>
      </w:pPr>
      <w:hyperlink w:anchor="_Notifying_the_TGA" w:history="1">
        <w:r w:rsidR="0039146A" w:rsidRPr="00BF28B9">
          <w:rPr>
            <w:rStyle w:val="Hyperlink"/>
            <w:color w:val="333F48"/>
            <w:u w:val="none"/>
          </w:rPr>
          <w:t>Notify the TGA</w:t>
        </w:r>
      </w:hyperlink>
      <w:r w:rsidR="0039146A" w:rsidRPr="00BF28B9">
        <w:t xml:space="preserve"> that you have an inclusion that will need to be reclassified by whichever is the later date:</w:t>
      </w:r>
    </w:p>
    <w:p w14:paraId="1B7A6076" w14:textId="77777777" w:rsidR="0039146A" w:rsidRPr="00BF28B9" w:rsidRDefault="0039146A" w:rsidP="0039146A">
      <w:pPr>
        <w:pStyle w:val="ListBullet2"/>
        <w:numPr>
          <w:ilvl w:val="1"/>
          <w:numId w:val="22"/>
        </w:numPr>
        <w:ind w:left="850" w:hanging="425"/>
        <w:rPr>
          <w:rFonts w:asciiTheme="majorHAnsi" w:hAnsiTheme="majorHAnsi" w:cstheme="majorHAnsi"/>
        </w:rPr>
      </w:pPr>
      <w:r w:rsidRPr="00BF28B9">
        <w:rPr>
          <w:rFonts w:asciiTheme="majorHAnsi" w:hAnsiTheme="majorHAnsi" w:cstheme="majorHAnsi"/>
        </w:rPr>
        <w:t>Before 25 May 2022</w:t>
      </w:r>
    </w:p>
    <w:p w14:paraId="40D3585F" w14:textId="77777777" w:rsidR="0039146A" w:rsidRPr="00BF28B9" w:rsidRDefault="0039146A" w:rsidP="0039146A">
      <w:pPr>
        <w:pStyle w:val="ListBullet2"/>
        <w:numPr>
          <w:ilvl w:val="1"/>
          <w:numId w:val="22"/>
        </w:numPr>
        <w:ind w:left="850" w:hanging="425"/>
        <w:rPr>
          <w:rFonts w:asciiTheme="majorHAnsi" w:hAnsiTheme="majorHAnsi" w:cstheme="majorHAnsi"/>
        </w:rPr>
      </w:pPr>
      <w:r w:rsidRPr="00BF28B9">
        <w:rPr>
          <w:rFonts w:asciiTheme="majorHAnsi" w:hAnsiTheme="majorHAnsi" w:cstheme="majorHAnsi"/>
        </w:rPr>
        <w:t>Within 2 months of the start date of your ARTG entry</w:t>
      </w:r>
    </w:p>
    <w:p w14:paraId="06F2159F" w14:textId="5CA6FDB8" w:rsidR="0039146A" w:rsidRPr="00BF28B9" w:rsidRDefault="00AF4EF5" w:rsidP="0039146A">
      <w:pPr>
        <w:pStyle w:val="ListBullet"/>
        <w:numPr>
          <w:ilvl w:val="0"/>
          <w:numId w:val="22"/>
        </w:numPr>
        <w:rPr>
          <w:rFonts w:asciiTheme="majorHAnsi" w:hAnsiTheme="majorHAnsi" w:cstheme="majorHAnsi"/>
        </w:rPr>
      </w:pPr>
      <w:hyperlink r:id="rId21" w:history="1">
        <w:r w:rsidR="0039146A" w:rsidRPr="00BF28B9">
          <w:rPr>
            <w:rStyle w:val="Hyperlink"/>
            <w:rFonts w:asciiTheme="majorHAnsi" w:hAnsiTheme="majorHAnsi" w:cstheme="majorHAnsi"/>
          </w:rPr>
          <w:t>Submit an application</w:t>
        </w:r>
      </w:hyperlink>
      <w:r w:rsidR="0039146A" w:rsidRPr="00BF28B9">
        <w:rPr>
          <w:rFonts w:asciiTheme="majorHAnsi" w:hAnsiTheme="majorHAnsi" w:cstheme="majorHAnsi"/>
        </w:rPr>
        <w:t xml:space="preserve"> for your device to be included in the ARTG as a Class III device </w:t>
      </w:r>
      <w:r w:rsidR="0039146A" w:rsidRPr="00BF28B9">
        <w:rPr>
          <w:rFonts w:asciiTheme="majorHAnsi" w:hAnsiTheme="majorHAnsi" w:cstheme="majorHAnsi"/>
          <w:b/>
        </w:rPr>
        <w:t>before 1 November 2024</w:t>
      </w:r>
      <w:r w:rsidR="0039146A" w:rsidRPr="00BF28B9">
        <w:rPr>
          <w:rFonts w:asciiTheme="majorHAnsi" w:hAnsiTheme="majorHAnsi" w:cstheme="majorHAnsi"/>
        </w:rPr>
        <w:t>.</w:t>
      </w:r>
    </w:p>
    <w:p w14:paraId="103437D3" w14:textId="77777777" w:rsidR="0039146A" w:rsidRDefault="0039146A" w:rsidP="0039146A">
      <w:pPr>
        <w:pStyle w:val="Heading4"/>
      </w:pPr>
      <w:bookmarkStart w:id="26" w:name="_Toc53499460"/>
      <w:bookmarkStart w:id="27" w:name="_Toc120887771"/>
      <w:bookmarkStart w:id="28" w:name="_Toc134189275"/>
      <w:r>
        <w:t>Cancelling your ARTG inclusion</w:t>
      </w:r>
      <w:bookmarkEnd w:id="26"/>
      <w:bookmarkEnd w:id="27"/>
      <w:bookmarkEnd w:id="28"/>
    </w:p>
    <w:p w14:paraId="3E4E62EF" w14:textId="77777777" w:rsidR="0039146A" w:rsidRPr="0039146A" w:rsidRDefault="0039146A" w:rsidP="00BF28B9">
      <w:r w:rsidRPr="0039146A">
        <w:t xml:space="preserve">If you </w:t>
      </w:r>
      <w:r w:rsidRPr="0039146A">
        <w:rPr>
          <w:b/>
        </w:rPr>
        <w:t>do not notify</w:t>
      </w:r>
      <w:r w:rsidRPr="0039146A">
        <w:t xml:space="preserve"> the TGA before 25 May 2022 or within two months of the start date for your ARTG entry (whichever is the later date) of your intention to apply for the device to be included in the ARTG as a Class III device you will no longer be eligible for the transitional arrangements. As soon as possible after those dates you must:</w:t>
      </w:r>
    </w:p>
    <w:p w14:paraId="60363706" w14:textId="77777777" w:rsidR="0039146A" w:rsidRPr="00BF28B9" w:rsidRDefault="0039146A" w:rsidP="0039146A">
      <w:pPr>
        <w:pStyle w:val="ListBullet"/>
        <w:numPr>
          <w:ilvl w:val="0"/>
          <w:numId w:val="22"/>
        </w:numPr>
        <w:rPr>
          <w:rFonts w:asciiTheme="majorHAnsi" w:hAnsiTheme="majorHAnsi" w:cstheme="majorHAnsi"/>
        </w:rPr>
      </w:pPr>
      <w:r w:rsidRPr="00BF28B9">
        <w:rPr>
          <w:rFonts w:asciiTheme="majorHAnsi" w:hAnsiTheme="majorHAnsi" w:cstheme="majorHAnsi"/>
        </w:rPr>
        <w:t xml:space="preserve">cease supply of your device </w:t>
      </w:r>
    </w:p>
    <w:p w14:paraId="1AE9D6F8" w14:textId="64505116" w:rsidR="0039146A" w:rsidRPr="00BF28B9" w:rsidRDefault="00AF4EF5" w:rsidP="0039146A">
      <w:pPr>
        <w:pStyle w:val="ListBullet"/>
        <w:numPr>
          <w:ilvl w:val="0"/>
          <w:numId w:val="22"/>
        </w:numPr>
        <w:rPr>
          <w:rFonts w:asciiTheme="majorHAnsi" w:hAnsiTheme="majorHAnsi" w:cstheme="majorHAnsi"/>
        </w:rPr>
      </w:pPr>
      <w:hyperlink r:id="rId22" w:history="1">
        <w:r w:rsidR="0039146A" w:rsidRPr="00BF28B9">
          <w:rPr>
            <w:rStyle w:val="Hyperlink"/>
            <w:rFonts w:asciiTheme="majorHAnsi" w:hAnsiTheme="majorHAnsi" w:cstheme="majorHAnsi"/>
          </w:rPr>
          <w:t>cancel your inclusion</w:t>
        </w:r>
      </w:hyperlink>
    </w:p>
    <w:p w14:paraId="17E8B041" w14:textId="77777777" w:rsidR="0039146A" w:rsidRPr="0039146A" w:rsidRDefault="0039146A" w:rsidP="00BF28B9">
      <w:r w:rsidRPr="0039146A">
        <w:t xml:space="preserve">If you </w:t>
      </w:r>
      <w:r w:rsidRPr="0039146A">
        <w:rPr>
          <w:b/>
        </w:rPr>
        <w:t>notify</w:t>
      </w:r>
      <w:r w:rsidRPr="0039146A">
        <w:t xml:space="preserve"> the TGA of your device before the due date, but you </w:t>
      </w:r>
      <w:r w:rsidRPr="0039146A">
        <w:rPr>
          <w:b/>
        </w:rPr>
        <w:t>do not</w:t>
      </w:r>
      <w:r w:rsidRPr="0039146A">
        <w:t xml:space="preserve"> </w:t>
      </w:r>
      <w:r w:rsidRPr="0039146A">
        <w:rPr>
          <w:b/>
        </w:rPr>
        <w:t>submit an application</w:t>
      </w:r>
      <w:r w:rsidRPr="0039146A">
        <w:t xml:space="preserve"> for a Class III inclusion </w:t>
      </w:r>
      <w:r w:rsidRPr="0039146A">
        <w:rPr>
          <w:b/>
        </w:rPr>
        <w:t>before 1 November 2024</w:t>
      </w:r>
      <w:r w:rsidRPr="0039146A">
        <w:t>, you must:</w:t>
      </w:r>
    </w:p>
    <w:p w14:paraId="54BE5E04" w14:textId="77777777" w:rsidR="0039146A" w:rsidRPr="00BF28B9" w:rsidRDefault="0039146A" w:rsidP="0039146A">
      <w:pPr>
        <w:pStyle w:val="ListBullet"/>
        <w:numPr>
          <w:ilvl w:val="0"/>
          <w:numId w:val="22"/>
        </w:numPr>
        <w:rPr>
          <w:rFonts w:asciiTheme="majorHAnsi" w:hAnsiTheme="majorHAnsi" w:cstheme="majorHAnsi"/>
        </w:rPr>
      </w:pPr>
      <w:r w:rsidRPr="00BF28B9">
        <w:rPr>
          <w:rFonts w:asciiTheme="majorHAnsi" w:hAnsiTheme="majorHAnsi" w:cstheme="majorHAnsi"/>
        </w:rPr>
        <w:t xml:space="preserve">cease supplying your device from 1 November 2024 </w:t>
      </w:r>
    </w:p>
    <w:p w14:paraId="2629A655" w14:textId="6A01C822" w:rsidR="0039146A" w:rsidRPr="00BF28B9" w:rsidRDefault="00AF4EF5" w:rsidP="0039146A">
      <w:pPr>
        <w:pStyle w:val="ListBullet"/>
        <w:numPr>
          <w:ilvl w:val="0"/>
          <w:numId w:val="22"/>
        </w:numPr>
        <w:rPr>
          <w:rFonts w:asciiTheme="majorHAnsi" w:hAnsiTheme="majorHAnsi" w:cstheme="majorHAnsi"/>
        </w:rPr>
      </w:pPr>
      <w:hyperlink r:id="rId23" w:history="1">
        <w:r w:rsidR="0039146A" w:rsidRPr="00BF28B9">
          <w:rPr>
            <w:rStyle w:val="Hyperlink"/>
            <w:rFonts w:asciiTheme="majorHAnsi" w:hAnsiTheme="majorHAnsi" w:cstheme="majorHAnsi"/>
          </w:rPr>
          <w:t>cancel your inclusion</w:t>
        </w:r>
      </w:hyperlink>
    </w:p>
    <w:p w14:paraId="26DECD6B" w14:textId="77777777" w:rsidR="0039146A" w:rsidRDefault="0039146A" w:rsidP="0039146A">
      <w:pPr>
        <w:pStyle w:val="Heading3"/>
      </w:pPr>
      <w:bookmarkStart w:id="29" w:name="_Sponsors_intending_to"/>
      <w:bookmarkStart w:id="30" w:name="_Toc120887772"/>
      <w:bookmarkStart w:id="31" w:name="_Toc134189276"/>
      <w:bookmarkEnd w:id="29"/>
      <w:r>
        <w:t>Applications</w:t>
      </w:r>
      <w:r w:rsidRPr="007C0856">
        <w:t xml:space="preserve"> </w:t>
      </w:r>
      <w:r>
        <w:t xml:space="preserve">to include </w:t>
      </w:r>
      <w:r w:rsidRPr="007C0856">
        <w:t xml:space="preserve">a new </w:t>
      </w:r>
      <w:r>
        <w:t xml:space="preserve">medical </w:t>
      </w:r>
      <w:r w:rsidRPr="007C0856">
        <w:t xml:space="preserve">device </w:t>
      </w:r>
      <w:r>
        <w:t>on or after 25 November 2021</w:t>
      </w:r>
      <w:bookmarkEnd w:id="30"/>
      <w:bookmarkEnd w:id="31"/>
    </w:p>
    <w:p w14:paraId="4C7B40BC" w14:textId="606D9352" w:rsidR="0039146A" w:rsidRPr="0039146A" w:rsidRDefault="0039146A" w:rsidP="00BF28B9">
      <w:r w:rsidRPr="0039146A">
        <w:t xml:space="preserve">Any </w:t>
      </w:r>
      <w:hyperlink r:id="rId24" w:history="1">
        <w:r w:rsidRPr="003E4B39">
          <w:rPr>
            <w:rStyle w:val="Hyperlink"/>
            <w:rFonts w:cs="Arial"/>
          </w:rPr>
          <w:t>application for inclusion</w:t>
        </w:r>
      </w:hyperlink>
      <w:r w:rsidRPr="0039146A">
        <w:t xml:space="preserve"> of a new active implantable medical device that is not yet included in the ARTG, submitted to the TGA </w:t>
      </w:r>
      <w:r w:rsidRPr="0039146A">
        <w:rPr>
          <w:b/>
        </w:rPr>
        <w:t>on or after 25 November 2021</w:t>
      </w:r>
      <w:r w:rsidRPr="0039146A">
        <w:t>, must be submitted as an application for a Class III medical device.</w:t>
      </w:r>
    </w:p>
    <w:p w14:paraId="2F6F5559" w14:textId="2668A317" w:rsidR="0039146A" w:rsidRPr="0039146A" w:rsidRDefault="0039146A" w:rsidP="00BF28B9">
      <w:r w:rsidRPr="0039146A">
        <w:lastRenderedPageBreak/>
        <w:t xml:space="preserve">For more information refer to the </w:t>
      </w:r>
      <w:hyperlink r:id="rId25" w:history="1">
        <w:r w:rsidRPr="003E4B39">
          <w:rPr>
            <w:rStyle w:val="Hyperlink"/>
            <w:rFonts w:cs="Arial"/>
          </w:rPr>
          <w:t>Medical device inclusion process</w:t>
        </w:r>
      </w:hyperlink>
      <w:r w:rsidRPr="0039146A">
        <w:t>.</w:t>
      </w:r>
    </w:p>
    <w:p w14:paraId="5D2A0422" w14:textId="77777777" w:rsidR="0039146A" w:rsidRDefault="0039146A" w:rsidP="0039146A">
      <w:pPr>
        <w:pStyle w:val="Heading3"/>
      </w:pPr>
      <w:bookmarkStart w:id="32" w:name="_Toc120887773"/>
      <w:bookmarkStart w:id="33" w:name="_Toc134189277"/>
      <w:r>
        <w:t>Annual Reporting Requirements</w:t>
      </w:r>
      <w:bookmarkEnd w:id="32"/>
      <w:bookmarkEnd w:id="33"/>
    </w:p>
    <w:p w14:paraId="2FED6D29" w14:textId="77777777" w:rsidR="0039146A" w:rsidRPr="0039146A" w:rsidRDefault="0039146A" w:rsidP="00BF28B9">
      <w:r w:rsidRPr="0039146A">
        <w:t xml:space="preserve">Regulation 5.11 of the </w:t>
      </w:r>
      <w:hyperlink r:id="rId26" w:history="1">
        <w:r w:rsidRPr="003E4B39">
          <w:rPr>
            <w:rStyle w:val="Hyperlink"/>
            <w:rFonts w:cs="Arial"/>
            <w:i/>
            <w:iCs/>
          </w:rPr>
          <w:t>Therapeutic Goods (Medical Devices) Regulations 2002</w:t>
        </w:r>
      </w:hyperlink>
      <w:r w:rsidRPr="003E4B39">
        <w:rPr>
          <w:rFonts w:cs="Arial"/>
        </w:rPr>
        <w:t xml:space="preserve"> </w:t>
      </w:r>
      <w:r w:rsidRPr="0039146A">
        <w:t xml:space="preserve">specifies conditions applying automatically to a new ARTG inclusion and includes annual reporting requirements for the first 3 years of inclusion in the ARTG. </w:t>
      </w:r>
    </w:p>
    <w:p w14:paraId="42818B72" w14:textId="77777777" w:rsidR="0039146A" w:rsidRPr="0039146A" w:rsidRDefault="00AF4EF5" w:rsidP="00BF28B9">
      <w:hyperlink r:id="rId27" w:history="1">
        <w:r w:rsidR="0039146A" w:rsidRPr="003E4B39">
          <w:rPr>
            <w:rStyle w:val="Hyperlink"/>
            <w:rFonts w:cs="Arial"/>
          </w:rPr>
          <w:t>Amendments</w:t>
        </w:r>
      </w:hyperlink>
      <w:r w:rsidR="0039146A" w:rsidRPr="0039146A">
        <w:t xml:space="preserve"> were made to Regulation 5.11 in July 2020. These amendments specify that the annual reporting period is based on the original inclusion date for the medical device. The amendments apply only to medical devices that were previously subject to annual reporting requirements </w:t>
      </w:r>
      <w:r w:rsidR="0039146A" w:rsidRPr="0039146A">
        <w:rPr>
          <w:b/>
          <w:bCs/>
        </w:rPr>
        <w:t>and</w:t>
      </w:r>
      <w:r w:rsidR="0039146A" w:rsidRPr="0039146A">
        <w:t xml:space="preserve"> are subject to (reclassification) transitional arrangements.</w:t>
      </w:r>
    </w:p>
    <w:p w14:paraId="7ECF6E2D" w14:textId="77777777" w:rsidR="0039146A" w:rsidRPr="0039146A" w:rsidRDefault="0039146A" w:rsidP="00BF28B9">
      <w:r w:rsidRPr="0039146A">
        <w:t xml:space="preserve">For example, a Class AIMD device that is already included in the ARTG for greater than three years and is transitioning to a Class III ARTG inclusion is excluded from 3 year annual reporting requirement. However, for devices that are at a lower classification (e.g. Class </w:t>
      </w:r>
      <w:proofErr w:type="spellStart"/>
      <w:r w:rsidRPr="0039146A">
        <w:t>IIa</w:t>
      </w:r>
      <w:proofErr w:type="spellEnd"/>
      <w:r w:rsidRPr="0039146A">
        <w:t xml:space="preserve">) that are transitioning to Class III, and have not previously been subjected to the 3 years of annual reporting, then these devices would be subject to the 3 years of annual reporting. </w:t>
      </w:r>
    </w:p>
    <w:p w14:paraId="76C2A569" w14:textId="318CC599" w:rsidR="0039146A" w:rsidRDefault="0039146A" w:rsidP="0039146A">
      <w:pPr>
        <w:pStyle w:val="Heading2"/>
      </w:pPr>
      <w:bookmarkStart w:id="34" w:name="_Notifying_the_TGA"/>
      <w:bookmarkStart w:id="35" w:name="_Toc35954349"/>
      <w:bookmarkStart w:id="36" w:name="_Toc120887774"/>
      <w:bookmarkStart w:id="37" w:name="_Toc134189278"/>
      <w:bookmarkEnd w:id="34"/>
      <w:r>
        <w:t>Notifying the TGA</w:t>
      </w:r>
      <w:bookmarkEnd w:id="35"/>
      <w:bookmarkEnd w:id="36"/>
      <w:bookmarkEnd w:id="37"/>
    </w:p>
    <w:p w14:paraId="2450B118" w14:textId="02020E1F" w:rsidR="0039146A" w:rsidRPr="0039146A" w:rsidRDefault="0039146A" w:rsidP="00BF28B9">
      <w:r w:rsidRPr="0039146A">
        <w:t xml:space="preserve">To notify the TGA of your active implantable medical devices that need to be reclassified to Class III, you will need to fill in an online form at </w:t>
      </w:r>
      <w:hyperlink r:id="rId28" w:history="1">
        <w:r w:rsidRPr="00182BC7">
          <w:rPr>
            <w:rStyle w:val="Hyperlink"/>
            <w:rFonts w:cs="Arial"/>
          </w:rPr>
          <w:t>https://consultations.tga.gov.au/tga/reclass-active-implantable-md</w:t>
        </w:r>
      </w:hyperlink>
    </w:p>
    <w:p w14:paraId="46A6BA9D" w14:textId="0FDD5ECB" w:rsidR="0039146A" w:rsidRPr="0039146A" w:rsidRDefault="0039146A" w:rsidP="00BF28B9">
      <w:r w:rsidRPr="0039146A">
        <w:t>The form will be available until 24 May 2022.</w:t>
      </w:r>
    </w:p>
    <w:p w14:paraId="0551EB29" w14:textId="06C4F008" w:rsidR="0039146A" w:rsidRPr="0039146A" w:rsidRDefault="0039146A" w:rsidP="00BF28B9">
      <w:pPr>
        <w:rPr>
          <w:u w:val="single"/>
        </w:rPr>
      </w:pPr>
      <w:r w:rsidRPr="0039146A">
        <w:t>The information you will need to provide includes the existing ARTG number and UPIs for each device and/or variant.</w:t>
      </w:r>
    </w:p>
    <w:p w14:paraId="32B73A5E" w14:textId="77777777" w:rsidR="0039146A" w:rsidRDefault="0039146A" w:rsidP="0039146A">
      <w:pPr>
        <w:pStyle w:val="Heading2"/>
      </w:pPr>
      <w:bookmarkStart w:id="38" w:name="_Toc23159018"/>
      <w:bookmarkStart w:id="39" w:name="_Toc28006869"/>
      <w:bookmarkStart w:id="40" w:name="_Toc53499463"/>
      <w:bookmarkStart w:id="41" w:name="_Toc120887775"/>
      <w:bookmarkStart w:id="42" w:name="_Toc134189279"/>
      <w:r>
        <w:t>Class III applications for ARTG inclusion</w:t>
      </w:r>
      <w:bookmarkEnd w:id="38"/>
      <w:bookmarkEnd w:id="39"/>
      <w:bookmarkEnd w:id="40"/>
      <w:bookmarkEnd w:id="41"/>
      <w:bookmarkEnd w:id="42"/>
    </w:p>
    <w:p w14:paraId="3A470403" w14:textId="5CCCD6A9" w:rsidR="0039146A" w:rsidRPr="0039146A" w:rsidRDefault="0039146A" w:rsidP="00BF28B9">
      <w:r w:rsidRPr="0039146A">
        <w:t xml:space="preserve">To continue supplying your devices, you must submit your application for a Class III inclusion in the ARTG </w:t>
      </w:r>
      <w:r w:rsidRPr="0039146A">
        <w:rPr>
          <w:b/>
        </w:rPr>
        <w:t>before 1 November 2024</w:t>
      </w:r>
      <w:r w:rsidRPr="0039146A">
        <w:t>.  If you have submitted your application before this date, but it has not yet been finalised by the TGA, you are able to continue to supply your devices using your Class AIMD entry until a decision is made about your Class III application.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9146A" w:rsidRPr="0039146A" w14:paraId="6F307035" w14:textId="77777777" w:rsidTr="006801FF">
        <w:trPr>
          <w:trHeight w:val="1682"/>
        </w:trPr>
        <w:tc>
          <w:tcPr>
            <w:tcW w:w="1276" w:type="dxa"/>
            <w:vAlign w:val="center"/>
          </w:tcPr>
          <w:p w14:paraId="5171B517" w14:textId="77777777" w:rsidR="0039146A" w:rsidRPr="0039146A" w:rsidRDefault="0039146A" w:rsidP="006801FF">
            <w:pPr>
              <w:spacing w:before="0"/>
              <w:rPr>
                <w:rFonts w:asciiTheme="minorHAnsi" w:hAnsiTheme="minorHAnsi"/>
                <w:sz w:val="20"/>
              </w:rPr>
            </w:pPr>
            <w:r w:rsidRPr="0039146A">
              <w:rPr>
                <w:rFonts w:asciiTheme="minorHAnsi" w:hAnsiTheme="minorHAnsi"/>
                <w:noProof/>
                <w:sz w:val="20"/>
                <w:lang w:eastAsia="en-AU"/>
              </w:rPr>
              <w:drawing>
                <wp:inline distT="0" distB="0" distL="0" distR="0" wp14:anchorId="57DD8545" wp14:editId="684E9B14">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23D1092" w14:textId="77777777" w:rsidR="0039146A" w:rsidRPr="0039146A" w:rsidRDefault="0039146A" w:rsidP="00BF28B9">
            <w:r w:rsidRPr="0039146A">
              <w:t>Please note</w:t>
            </w:r>
          </w:p>
          <w:p w14:paraId="4BB16304" w14:textId="1DA4E761" w:rsidR="0039146A" w:rsidRPr="0039146A" w:rsidRDefault="0039146A" w:rsidP="00BF28B9">
            <w:r w:rsidRPr="0039146A">
              <w:t xml:space="preserve">You must submit a Class III application electronically through </w:t>
            </w:r>
            <w:hyperlink r:id="rId29" w:history="1">
              <w:r w:rsidRPr="00182BC7">
                <w:rPr>
                  <w:rStyle w:val="Hyperlink"/>
                  <w:rFonts w:cs="Arial"/>
                </w:rPr>
                <w:t>TGA Business Services</w:t>
              </w:r>
            </w:hyperlink>
            <w:r w:rsidRPr="0039146A">
              <w:t xml:space="preserve"> using the Class III device application form. If you submit your application using any other form (for example, another classification form) your application will fail and your application fee will </w:t>
            </w:r>
            <w:hyperlink r:id="rId30" w:history="1">
              <w:r w:rsidRPr="00182BC7">
                <w:rPr>
                  <w:rStyle w:val="Hyperlink"/>
                  <w:rFonts w:cs="Arial"/>
                </w:rPr>
                <w:t>not be refunded</w:t>
              </w:r>
            </w:hyperlink>
            <w:r w:rsidRPr="0039146A">
              <w:t>.</w:t>
            </w:r>
          </w:p>
        </w:tc>
      </w:tr>
    </w:tbl>
    <w:p w14:paraId="304DA6B4" w14:textId="77777777" w:rsidR="0039146A" w:rsidRDefault="0039146A" w:rsidP="0039146A">
      <w:pPr>
        <w:pStyle w:val="Heading3"/>
      </w:pPr>
      <w:bookmarkStart w:id="43" w:name="_Toc103161577"/>
      <w:bookmarkStart w:id="44" w:name="_Toc103846866"/>
      <w:bookmarkStart w:id="45" w:name="_Toc119506154"/>
      <w:bookmarkStart w:id="46" w:name="_Toc120887776"/>
      <w:bookmarkStart w:id="47" w:name="_Toc53499466"/>
      <w:bookmarkStart w:id="48" w:name="_Toc134189280"/>
      <w:r>
        <w:t>How to submit a reclassification application</w:t>
      </w:r>
      <w:bookmarkEnd w:id="43"/>
      <w:bookmarkEnd w:id="44"/>
      <w:bookmarkEnd w:id="45"/>
      <w:bookmarkEnd w:id="46"/>
      <w:bookmarkEnd w:id="48"/>
    </w:p>
    <w:p w14:paraId="2E010E33" w14:textId="77777777" w:rsidR="0039146A" w:rsidRPr="0039146A" w:rsidRDefault="0039146A" w:rsidP="00BF28B9">
      <w:pPr>
        <w:pStyle w:val="Numberbullet0"/>
      </w:pPr>
      <w:r w:rsidRPr="0039146A">
        <w:t xml:space="preserve">Create a ‘New Device Application’ from the menu in the </w:t>
      </w:r>
      <w:proofErr w:type="spellStart"/>
      <w:r w:rsidRPr="0039146A">
        <w:t>eBS</w:t>
      </w:r>
      <w:proofErr w:type="spellEnd"/>
      <w:r w:rsidRPr="0039146A">
        <w:t xml:space="preserve"> Portal</w:t>
      </w:r>
    </w:p>
    <w:p w14:paraId="798A86F3" w14:textId="6306F362" w:rsidR="0039146A" w:rsidRPr="0039146A" w:rsidRDefault="0039146A" w:rsidP="00BF28B9">
      <w:pPr>
        <w:pStyle w:val="Numberbullet0"/>
      </w:pPr>
      <w:r w:rsidRPr="0039146A">
        <w:t xml:space="preserve">Select "Medical Device - Included" from the first drop-down list provided </w:t>
      </w:r>
    </w:p>
    <w:p w14:paraId="526822F8" w14:textId="77777777" w:rsidR="0039146A" w:rsidRDefault="0039146A" w:rsidP="0039146A">
      <w:pPr>
        <w:ind w:firstLine="720"/>
      </w:pPr>
      <w:r>
        <w:rPr>
          <w:noProof/>
        </w:rPr>
        <w:lastRenderedPageBreak/>
        <w:drawing>
          <wp:inline distT="0" distB="0" distL="0" distR="0" wp14:anchorId="2AA04780" wp14:editId="61E3CF4B">
            <wp:extent cx="5759450" cy="696886"/>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1" r:link="rId32">
                      <a:extLst>
                        <a:ext uri="{28A0092B-C50C-407E-A947-70E740481C1C}">
                          <a14:useLocalDpi xmlns:a14="http://schemas.microsoft.com/office/drawing/2010/main" val="0"/>
                        </a:ext>
                      </a:extLst>
                    </a:blip>
                    <a:srcRect r="2046"/>
                    <a:stretch/>
                  </pic:blipFill>
                  <pic:spPr bwMode="auto">
                    <a:xfrm>
                      <a:off x="0" y="0"/>
                      <a:ext cx="5759450" cy="696886"/>
                    </a:xfrm>
                    <a:prstGeom prst="rect">
                      <a:avLst/>
                    </a:prstGeom>
                    <a:noFill/>
                    <a:ln>
                      <a:noFill/>
                    </a:ln>
                    <a:extLst>
                      <a:ext uri="{53640926-AAD7-44D8-BBD7-CCE9431645EC}">
                        <a14:shadowObscured xmlns:a14="http://schemas.microsoft.com/office/drawing/2010/main"/>
                      </a:ext>
                    </a:extLst>
                  </pic:spPr>
                </pic:pic>
              </a:graphicData>
            </a:graphic>
          </wp:inline>
        </w:drawing>
      </w:r>
    </w:p>
    <w:p w14:paraId="00126654" w14:textId="77777777" w:rsidR="0039146A" w:rsidRPr="007A01EA" w:rsidRDefault="0039146A" w:rsidP="0039146A">
      <w:pPr>
        <w:rPr>
          <w:rFonts w:cs="Arial"/>
        </w:rPr>
      </w:pPr>
    </w:p>
    <w:p w14:paraId="5CEC5D03" w14:textId="77777777" w:rsidR="0039146A" w:rsidRPr="006659EF" w:rsidRDefault="0039146A" w:rsidP="0039146A">
      <w:pPr>
        <w:pStyle w:val="ListParagraph"/>
        <w:numPr>
          <w:ilvl w:val="0"/>
          <w:numId w:val="24"/>
        </w:numPr>
        <w:rPr>
          <w:rFonts w:ascii="Arial" w:hAnsi="Arial" w:cs="Arial"/>
        </w:rPr>
      </w:pPr>
      <w:r w:rsidRPr="006659EF">
        <w:rPr>
          <w:rFonts w:ascii="Arial" w:hAnsi="Arial" w:cs="Arial"/>
        </w:rPr>
        <w:t>Select the option to ‘Reclassify an existing register entry’</w:t>
      </w:r>
    </w:p>
    <w:p w14:paraId="72B91447" w14:textId="77777777" w:rsidR="0039146A" w:rsidRPr="006659EF" w:rsidRDefault="0039146A" w:rsidP="0039146A">
      <w:pPr>
        <w:pStyle w:val="ListParagraph"/>
        <w:rPr>
          <w:rFonts w:ascii="Arial" w:hAnsi="Arial" w:cs="Arial"/>
        </w:rPr>
      </w:pPr>
      <w:r w:rsidRPr="006659EF">
        <w:rPr>
          <w:rFonts w:ascii="Arial" w:hAnsi="Arial" w:cs="Arial"/>
          <w:noProof/>
        </w:rPr>
        <w:drawing>
          <wp:inline distT="0" distB="0" distL="0" distR="0" wp14:anchorId="7B944942" wp14:editId="02CB6117">
            <wp:extent cx="5759450" cy="563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59450" cy="563880"/>
                    </a:xfrm>
                    <a:prstGeom prst="rect">
                      <a:avLst/>
                    </a:prstGeom>
                  </pic:spPr>
                </pic:pic>
              </a:graphicData>
            </a:graphic>
          </wp:inline>
        </w:drawing>
      </w:r>
    </w:p>
    <w:p w14:paraId="414BED9D" w14:textId="5B1C86A9" w:rsidR="0039146A" w:rsidRPr="006659EF" w:rsidRDefault="0039146A" w:rsidP="0039146A">
      <w:pPr>
        <w:pStyle w:val="ListParagraph"/>
        <w:numPr>
          <w:ilvl w:val="0"/>
          <w:numId w:val="24"/>
        </w:numPr>
        <w:rPr>
          <w:rFonts w:ascii="Arial" w:hAnsi="Arial" w:cs="Arial"/>
        </w:rPr>
      </w:pPr>
      <w:r w:rsidRPr="006659EF">
        <w:rPr>
          <w:rFonts w:ascii="Arial" w:hAnsi="Arial" w:cs="Arial"/>
        </w:rPr>
        <w:t>Search for the ARTG Number to be reclassified: e.g. 130099 (example only)</w:t>
      </w:r>
    </w:p>
    <w:p w14:paraId="18E789C3" w14:textId="77777777" w:rsidR="0039146A" w:rsidRPr="006659EF" w:rsidRDefault="0039146A" w:rsidP="0039146A">
      <w:pPr>
        <w:ind w:firstLine="360"/>
        <w:rPr>
          <w:rFonts w:cs="Arial"/>
        </w:rPr>
      </w:pPr>
      <w:r w:rsidRPr="006659EF">
        <w:rPr>
          <w:rFonts w:cs="Arial"/>
          <w:noProof/>
        </w:rPr>
        <w:drawing>
          <wp:inline distT="0" distB="0" distL="0" distR="0" wp14:anchorId="4F58696D" wp14:editId="0DD14BAD">
            <wp:extent cx="5759450" cy="577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59450" cy="577850"/>
                    </a:xfrm>
                    <a:prstGeom prst="rect">
                      <a:avLst/>
                    </a:prstGeom>
                  </pic:spPr>
                </pic:pic>
              </a:graphicData>
            </a:graphic>
          </wp:inline>
        </w:drawing>
      </w:r>
    </w:p>
    <w:p w14:paraId="059CBCA2" w14:textId="77777777" w:rsidR="0039146A" w:rsidRPr="006659EF" w:rsidRDefault="0039146A" w:rsidP="0039146A">
      <w:pPr>
        <w:pStyle w:val="ListParagraph"/>
        <w:numPr>
          <w:ilvl w:val="0"/>
          <w:numId w:val="24"/>
        </w:numPr>
        <w:rPr>
          <w:rFonts w:ascii="Arial" w:hAnsi="Arial" w:cs="Arial"/>
        </w:rPr>
      </w:pPr>
      <w:r w:rsidRPr="006659EF">
        <w:rPr>
          <w:rFonts w:ascii="Arial" w:hAnsi="Arial" w:cs="Arial"/>
        </w:rPr>
        <w:t>Select the "Clone" button.</w:t>
      </w:r>
    </w:p>
    <w:p w14:paraId="68FD4E91" w14:textId="77777777" w:rsidR="0039146A" w:rsidRPr="006659EF" w:rsidRDefault="0039146A" w:rsidP="0039146A">
      <w:pPr>
        <w:pStyle w:val="ListParagraph"/>
        <w:numPr>
          <w:ilvl w:val="0"/>
          <w:numId w:val="24"/>
        </w:numPr>
        <w:rPr>
          <w:rFonts w:ascii="Arial" w:hAnsi="Arial" w:cs="Arial"/>
        </w:rPr>
      </w:pPr>
      <w:r w:rsidRPr="006659EF">
        <w:rPr>
          <w:rFonts w:ascii="Arial" w:hAnsi="Arial" w:cs="Arial"/>
        </w:rPr>
        <w:t>Allow the system to clone the information associated with the ARTG entry into the application</w:t>
      </w:r>
    </w:p>
    <w:p w14:paraId="58BC07F6" w14:textId="77777777" w:rsidR="0039146A" w:rsidRPr="006659EF" w:rsidRDefault="0039146A" w:rsidP="0039146A">
      <w:pPr>
        <w:pStyle w:val="ListParagraph"/>
        <w:numPr>
          <w:ilvl w:val="0"/>
          <w:numId w:val="24"/>
        </w:numPr>
        <w:rPr>
          <w:rFonts w:ascii="Arial" w:hAnsi="Arial" w:cs="Arial"/>
        </w:rPr>
      </w:pPr>
      <w:r w:rsidRPr="006659EF">
        <w:rPr>
          <w:rFonts w:ascii="Arial" w:hAnsi="Arial" w:cs="Arial"/>
        </w:rPr>
        <w:t xml:space="preserve">Select the new classification from the drop down provided for the “Reclassification” question. </w:t>
      </w:r>
    </w:p>
    <w:p w14:paraId="408A48CD" w14:textId="0DCF6EDB" w:rsidR="0039146A" w:rsidRDefault="0039146A" w:rsidP="0039146A">
      <w:pPr>
        <w:ind w:firstLine="360"/>
      </w:pPr>
      <w:r>
        <w:rPr>
          <w:noProof/>
        </w:rPr>
        <w:drawing>
          <wp:inline distT="0" distB="0" distL="0" distR="0" wp14:anchorId="3150E47F" wp14:editId="075A9BE8">
            <wp:extent cx="5759450" cy="27749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759450" cy="277495"/>
                    </a:xfrm>
                    <a:prstGeom prst="rect">
                      <a:avLst/>
                    </a:prstGeom>
                  </pic:spPr>
                </pic:pic>
              </a:graphicData>
            </a:graphic>
          </wp:inline>
        </w:drawing>
      </w:r>
    </w:p>
    <w:p w14:paraId="69DC7B08" w14:textId="0075600D" w:rsidR="0039146A" w:rsidRDefault="0039146A" w:rsidP="0039146A">
      <w:pPr>
        <w:ind w:firstLine="360"/>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9146A" w:rsidRPr="00215D48" w14:paraId="3FC99D04" w14:textId="77777777" w:rsidTr="006801FF">
        <w:trPr>
          <w:trHeight w:val="1682"/>
        </w:trPr>
        <w:tc>
          <w:tcPr>
            <w:tcW w:w="1276" w:type="dxa"/>
            <w:vAlign w:val="center"/>
          </w:tcPr>
          <w:p w14:paraId="1417B18C" w14:textId="2381B6B3" w:rsidR="0039146A" w:rsidRPr="00215D48" w:rsidRDefault="0039146A" w:rsidP="006801FF">
            <w:pPr>
              <w:spacing w:before="0"/>
              <w:rPr>
                <w:sz w:val="20"/>
              </w:rPr>
            </w:pPr>
            <w:r w:rsidRPr="00215D48">
              <w:rPr>
                <w:noProof/>
                <w:sz w:val="20"/>
                <w:lang w:eastAsia="en-AU"/>
              </w:rPr>
              <w:drawing>
                <wp:inline distT="0" distB="0" distL="0" distR="0" wp14:anchorId="3A1BB680" wp14:editId="54350E36">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C030FDD" w14:textId="77777777" w:rsidR="0039146A" w:rsidRPr="006659EF" w:rsidRDefault="0039146A" w:rsidP="006801FF">
            <w:pPr>
              <w:rPr>
                <w:rFonts w:asciiTheme="majorHAnsi" w:hAnsiTheme="majorHAnsi" w:cstheme="majorHAnsi"/>
                <w:b/>
              </w:rPr>
            </w:pPr>
            <w:r w:rsidRPr="006659EF">
              <w:rPr>
                <w:rFonts w:asciiTheme="majorHAnsi" w:hAnsiTheme="majorHAnsi" w:cstheme="majorHAnsi"/>
                <w:b/>
              </w:rPr>
              <w:t>Please note</w:t>
            </w:r>
          </w:p>
          <w:p w14:paraId="4C84807A" w14:textId="77777777" w:rsidR="0039146A" w:rsidRPr="006659EF" w:rsidRDefault="0039146A" w:rsidP="006801FF">
            <w:pPr>
              <w:rPr>
                <w:rFonts w:asciiTheme="majorHAnsi" w:hAnsiTheme="majorHAnsi" w:cstheme="majorHAnsi"/>
              </w:rPr>
            </w:pPr>
            <w:r w:rsidRPr="006659EF">
              <w:rPr>
                <w:rFonts w:asciiTheme="majorHAnsi" w:hAnsiTheme="majorHAnsi" w:cstheme="majorHAnsi"/>
              </w:rPr>
              <w:t xml:space="preserve">If the GMDN code in the existing entry has been made obsolete or has been updated, the sponsor is responsible for selecting the most appropriate and current code available in the GMDN agency database.  </w:t>
            </w:r>
          </w:p>
          <w:p w14:paraId="1241B771" w14:textId="77777777" w:rsidR="0039146A" w:rsidRPr="006659EF" w:rsidRDefault="0039146A" w:rsidP="006801FF">
            <w:pPr>
              <w:rPr>
                <w:rFonts w:asciiTheme="majorHAnsi" w:hAnsiTheme="majorHAnsi" w:cstheme="majorHAnsi"/>
              </w:rPr>
            </w:pPr>
            <w:r w:rsidRPr="006659EF">
              <w:rPr>
                <w:rFonts w:asciiTheme="majorHAnsi" w:hAnsiTheme="majorHAnsi" w:cstheme="majorHAnsi"/>
              </w:rPr>
              <w:t xml:space="preserve">If you are required to select a new GMDN code that is different to the cloned ARTG entry, you will not be able to validate and submit the application. </w:t>
            </w:r>
          </w:p>
          <w:p w14:paraId="7E272BD6" w14:textId="353D3B3D" w:rsidR="0039146A" w:rsidRPr="00215D48" w:rsidRDefault="0039146A" w:rsidP="006801FF">
            <w:r w:rsidRPr="006659EF">
              <w:rPr>
                <w:rFonts w:asciiTheme="majorHAnsi" w:hAnsiTheme="majorHAnsi" w:cstheme="majorHAnsi"/>
              </w:rPr>
              <w:t>Please save the draft application and email TGA Devices info line at devices@tga.gov.au for assistance.</w:t>
            </w:r>
          </w:p>
        </w:tc>
      </w:tr>
    </w:tbl>
    <w:p w14:paraId="7C39FDD5" w14:textId="77777777" w:rsidR="0039146A" w:rsidRDefault="0039146A" w:rsidP="0039146A">
      <w:pPr>
        <w:pStyle w:val="Heading3"/>
      </w:pPr>
      <w:bookmarkStart w:id="49" w:name="_Toc120887777"/>
      <w:bookmarkStart w:id="50" w:name="_Toc134189281"/>
      <w:r>
        <w:t>What to include in your application</w:t>
      </w:r>
      <w:bookmarkEnd w:id="47"/>
      <w:bookmarkEnd w:id="49"/>
      <w:bookmarkEnd w:id="50"/>
    </w:p>
    <w:p w14:paraId="57CBD448" w14:textId="77777777" w:rsidR="0039146A" w:rsidRPr="00182BC7" w:rsidRDefault="0039146A" w:rsidP="0039146A">
      <w:pPr>
        <w:pStyle w:val="ListBullet"/>
        <w:numPr>
          <w:ilvl w:val="0"/>
          <w:numId w:val="0"/>
        </w:numPr>
        <w:rPr>
          <w:rFonts w:cs="Arial"/>
        </w:rPr>
      </w:pPr>
      <w:r w:rsidRPr="00182BC7">
        <w:rPr>
          <w:rFonts w:cs="Arial"/>
        </w:rPr>
        <w:t xml:space="preserve">To pass preliminary assessment, Class III applications for ARTG inclusion must be accompanied by conformity assessment documentation as outlined in </w:t>
      </w:r>
      <w:hyperlink r:id="rId36" w:history="1">
        <w:r w:rsidRPr="00182BC7">
          <w:rPr>
            <w:rStyle w:val="Hyperlink"/>
            <w:rFonts w:cs="Arial"/>
          </w:rPr>
          <w:t>supporting documentation for inclusion of a medical device</w:t>
        </w:r>
      </w:hyperlink>
      <w:r w:rsidRPr="00182BC7">
        <w:rPr>
          <w:rFonts w:cs="Arial"/>
        </w:rPr>
        <w:t xml:space="preserve">. This information must be provided in addition to the </w:t>
      </w:r>
      <w:hyperlink r:id="rId37" w:history="1">
        <w:r w:rsidRPr="00182BC7">
          <w:rPr>
            <w:rStyle w:val="Hyperlink"/>
            <w:rFonts w:cs="Arial"/>
          </w:rPr>
          <w:t>manufacturer evidence</w:t>
        </w:r>
      </w:hyperlink>
      <w:r w:rsidRPr="00182BC7">
        <w:rPr>
          <w:rFonts w:cs="Arial"/>
        </w:rPr>
        <w:t>.</w:t>
      </w:r>
    </w:p>
    <w:p w14:paraId="419BAA65" w14:textId="0D36DD93" w:rsidR="0039146A" w:rsidRPr="00182BC7" w:rsidRDefault="0039146A" w:rsidP="0039146A">
      <w:pPr>
        <w:pStyle w:val="ListBullet"/>
        <w:numPr>
          <w:ilvl w:val="0"/>
          <w:numId w:val="0"/>
        </w:numPr>
        <w:rPr>
          <w:rFonts w:cs="Arial"/>
        </w:rPr>
      </w:pPr>
      <w:r w:rsidRPr="00182BC7">
        <w:rPr>
          <w:rFonts w:cs="Arial"/>
        </w:rPr>
        <w:t xml:space="preserve">The specific documents that you are required to attach are outlined in the final column ‘Documentation to be provided with the application (Evidence of product assessment)’ of Table 2 in the </w:t>
      </w:r>
      <w:hyperlink r:id="rId38" w:history="1">
        <w:r w:rsidRPr="00182BC7">
          <w:rPr>
            <w:rStyle w:val="Hyperlink"/>
            <w:rFonts w:cs="Arial"/>
          </w:rPr>
          <w:t>Use of market authorisation evidence from comparable overseas regulators / assessment bodies for medical devices (including IVDs)</w:t>
        </w:r>
      </w:hyperlink>
      <w:r w:rsidRPr="00182BC7">
        <w:rPr>
          <w:rFonts w:cs="Arial"/>
        </w:rPr>
        <w:t>.</w:t>
      </w:r>
    </w:p>
    <w:p w14:paraId="0BE4AF2C" w14:textId="77777777" w:rsidR="0039146A" w:rsidRPr="0039146A" w:rsidRDefault="0039146A" w:rsidP="00BF28B9">
      <w:r w:rsidRPr="0039146A">
        <w:t>Please ensure you allow sufficient time to obtain your conformity assessment documentation in order to submit your documents with your application. For example, it is acceptable to</w:t>
      </w:r>
      <w:r>
        <w:t xml:space="preserve"> </w:t>
      </w:r>
      <w:r>
        <w:lastRenderedPageBreak/>
        <w:t xml:space="preserve">attach </w:t>
      </w:r>
      <w:r w:rsidRPr="0039146A">
        <w:t>valid evidence of design examination for the device issued under Annex 2.4 of EU 90/385/EEC.</w:t>
      </w:r>
    </w:p>
    <w:p w14:paraId="5F20F397" w14:textId="7FFDE0CB" w:rsidR="0039146A" w:rsidRPr="0039146A" w:rsidRDefault="0039146A" w:rsidP="00BF28B9">
      <w:r w:rsidRPr="0039146A">
        <w:t xml:space="preserve">If you do </w:t>
      </w:r>
      <w:r w:rsidRPr="0039146A">
        <w:rPr>
          <w:b/>
          <w:bCs/>
        </w:rPr>
        <w:t>not pass preliminary assessment</w:t>
      </w:r>
      <w:r w:rsidRPr="0039146A">
        <w:t xml:space="preserve">, your application </w:t>
      </w:r>
      <w:r w:rsidRPr="0039146A">
        <w:rPr>
          <w:b/>
          <w:bCs/>
        </w:rPr>
        <w:t>will be refused,</w:t>
      </w:r>
      <w:r w:rsidRPr="0039146A">
        <w:t xml:space="preserve"> and you will </w:t>
      </w:r>
      <w:r w:rsidRPr="0039146A">
        <w:rPr>
          <w:b/>
          <w:bCs/>
        </w:rPr>
        <w:t>not be able to transition</w:t>
      </w:r>
      <w:r w:rsidRPr="0039146A">
        <w:t xml:space="preserve"> your device to the new classification.</w:t>
      </w:r>
    </w:p>
    <w:p w14:paraId="0E2DC213" w14:textId="77777777" w:rsidR="0039146A" w:rsidRDefault="0039146A" w:rsidP="0039146A">
      <w:bookmarkStart w:id="51" w:name="_Hlk103602046"/>
    </w:p>
    <w:tbl>
      <w:tblPr>
        <w:tblW w:w="9038" w:type="dxa"/>
        <w:tblLayout w:type="fixed"/>
        <w:tblCellMar>
          <w:left w:w="0" w:type="dxa"/>
          <w:right w:w="0" w:type="dxa"/>
        </w:tblCellMar>
        <w:tblLook w:val="04A0" w:firstRow="1" w:lastRow="0" w:firstColumn="1" w:lastColumn="0" w:noHBand="0" w:noVBand="1"/>
      </w:tblPr>
      <w:tblGrid>
        <w:gridCol w:w="1276"/>
        <w:gridCol w:w="7762"/>
      </w:tblGrid>
      <w:tr w:rsidR="0039146A" w:rsidRPr="00215D48" w14:paraId="74C83F7E" w14:textId="77777777" w:rsidTr="006801FF">
        <w:trPr>
          <w:trHeight w:val="2481"/>
        </w:trPr>
        <w:tc>
          <w:tcPr>
            <w:tcW w:w="1276" w:type="dxa"/>
            <w:vAlign w:val="center"/>
          </w:tcPr>
          <w:p w14:paraId="0C7AFAB1" w14:textId="77777777" w:rsidR="0039146A" w:rsidRPr="00215D48" w:rsidRDefault="0039146A" w:rsidP="006801FF">
            <w:pPr>
              <w:spacing w:before="0"/>
              <w:rPr>
                <w:sz w:val="20"/>
              </w:rPr>
            </w:pPr>
            <w:bookmarkStart w:id="52" w:name="_Hlk103602038"/>
            <w:r w:rsidRPr="00215D48">
              <w:rPr>
                <w:noProof/>
                <w:sz w:val="20"/>
                <w:lang w:eastAsia="en-AU"/>
              </w:rPr>
              <w:drawing>
                <wp:inline distT="0" distB="0" distL="0" distR="0" wp14:anchorId="126F12EC" wp14:editId="4A35B163">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4F01D15" w14:textId="77777777" w:rsidR="0039146A" w:rsidRPr="0039146A" w:rsidRDefault="0039146A" w:rsidP="00BF28B9">
            <w:r w:rsidRPr="0039146A">
              <w:t>Please note</w:t>
            </w:r>
          </w:p>
          <w:p w14:paraId="6A98A517" w14:textId="17D06649" w:rsidR="0039146A" w:rsidRPr="0039146A" w:rsidRDefault="0039146A" w:rsidP="00BF28B9">
            <w:r w:rsidRPr="0039146A">
              <w:t>Class III applications for ARTG inclusion to reclassify active implantable medical devices will not be subject to mandatory audit.</w:t>
            </w:r>
          </w:p>
          <w:p w14:paraId="7D0243DC" w14:textId="26F5D350" w:rsidR="0039146A" w:rsidRPr="0039146A" w:rsidRDefault="0039146A" w:rsidP="00BF28B9">
            <w:pPr>
              <w:rPr>
                <w:color w:val="auto"/>
              </w:rPr>
            </w:pPr>
            <w:r w:rsidRPr="0039146A">
              <w:t xml:space="preserve">However, </w:t>
            </w:r>
            <w:r w:rsidRPr="0039146A">
              <w:rPr>
                <w:bCs/>
              </w:rPr>
              <w:t>TGA will select applications for non-</w:t>
            </w:r>
            <w:r w:rsidRPr="0039146A">
              <w:rPr>
                <w:bCs/>
                <w:color w:val="auto"/>
              </w:rPr>
              <w:t>mandatory audit</w:t>
            </w:r>
            <w:r w:rsidRPr="0039146A">
              <w:rPr>
                <w:color w:val="auto"/>
              </w:rPr>
              <w:t xml:space="preserve"> if there are any concerns with the application (e.g., post market signals) or if there are</w:t>
            </w:r>
            <w:r w:rsidRPr="0039146A">
              <w:rPr>
                <w:bCs/>
                <w:color w:val="auto"/>
              </w:rPr>
              <w:t xml:space="preserve"> </w:t>
            </w:r>
            <w:r w:rsidRPr="0039146A">
              <w:rPr>
                <w:color w:val="auto"/>
              </w:rPr>
              <w:t>minor changes in the submitted reclassification application. For example, if the information in the new application is not consistent with the information in the current ARTG entry (such as a rewording of the intended purpose).</w:t>
            </w:r>
          </w:p>
          <w:p w14:paraId="1C8D537A" w14:textId="68337AFD" w:rsidR="0039146A" w:rsidRPr="009F0DC4" w:rsidRDefault="0039146A" w:rsidP="00BF28B9">
            <w:pPr>
              <w:rPr>
                <w:color w:val="auto"/>
              </w:rPr>
            </w:pPr>
            <w:r w:rsidRPr="0039146A">
              <w:rPr>
                <w:color w:val="auto"/>
              </w:rPr>
              <w:t xml:space="preserve">If there is a change of manufacturer, you must submit a new </w:t>
            </w:r>
            <w:r w:rsidRPr="009F0DC4">
              <w:rPr>
                <w:color w:val="auto"/>
              </w:rPr>
              <w:t>application.</w:t>
            </w:r>
          </w:p>
        </w:tc>
      </w:tr>
    </w:tbl>
    <w:p w14:paraId="4138AC40" w14:textId="77777777" w:rsidR="0039146A" w:rsidRDefault="0039146A" w:rsidP="0039146A">
      <w:pPr>
        <w:pStyle w:val="Heading2"/>
      </w:pPr>
      <w:bookmarkStart w:id="53" w:name="_Toc120887778"/>
      <w:bookmarkStart w:id="54" w:name="_Toc23159022"/>
      <w:bookmarkStart w:id="55" w:name="_Toc27486903"/>
      <w:bookmarkStart w:id="56" w:name="_Toc27577991"/>
      <w:bookmarkStart w:id="57" w:name="_Toc134189282"/>
      <w:bookmarkEnd w:id="7"/>
      <w:bookmarkEnd w:id="51"/>
      <w:bookmarkEnd w:id="52"/>
      <w:r>
        <w:t>Fees and charges</w:t>
      </w:r>
      <w:bookmarkEnd w:id="53"/>
      <w:bookmarkEnd w:id="57"/>
      <w:r>
        <w:t xml:space="preserve"> </w:t>
      </w:r>
      <w:bookmarkEnd w:id="54"/>
      <w:bookmarkEnd w:id="55"/>
      <w:bookmarkEnd w:id="56"/>
    </w:p>
    <w:p w14:paraId="3634E73F" w14:textId="77777777" w:rsidR="0039146A" w:rsidRPr="006659EF" w:rsidRDefault="0039146A" w:rsidP="00BF28B9">
      <w:pPr>
        <w:rPr>
          <w:rFonts w:asciiTheme="majorHAnsi" w:hAnsiTheme="majorHAnsi" w:cstheme="majorHAnsi"/>
        </w:rPr>
      </w:pPr>
      <w:r w:rsidRPr="006659EF">
        <w:rPr>
          <w:rFonts w:asciiTheme="majorHAnsi" w:hAnsiTheme="majorHAnsi" w:cstheme="majorHAnsi"/>
        </w:rPr>
        <w:t>The Class III application fee will be waived and will not be applicable to Class III applications submitted during the first year of the transition period (25 November 2021 to 24 November 2022 inclusive).</w:t>
      </w:r>
    </w:p>
    <w:p w14:paraId="2698271E" w14:textId="77777777" w:rsidR="0039146A" w:rsidRPr="006659EF" w:rsidRDefault="0039146A" w:rsidP="00BF28B9">
      <w:pPr>
        <w:rPr>
          <w:rFonts w:asciiTheme="majorHAnsi" w:hAnsiTheme="majorHAnsi" w:cstheme="majorHAnsi"/>
        </w:rPr>
      </w:pPr>
      <w:r w:rsidRPr="006659EF">
        <w:rPr>
          <w:rFonts w:asciiTheme="majorHAnsi" w:hAnsiTheme="majorHAnsi" w:cstheme="majorHAnsi"/>
        </w:rPr>
        <w:t>However, the Class III application fee will be payable from the second year of the transition period (25 November 2022) to the end of the transition period (before 1 November 2024).</w:t>
      </w:r>
    </w:p>
    <w:p w14:paraId="36216B76" w14:textId="35375276" w:rsidR="0039146A" w:rsidRPr="006659EF" w:rsidRDefault="0039146A" w:rsidP="00BF28B9">
      <w:pPr>
        <w:rPr>
          <w:rFonts w:asciiTheme="majorHAnsi" w:hAnsiTheme="majorHAnsi" w:cstheme="majorHAnsi"/>
        </w:rPr>
      </w:pPr>
      <w:r w:rsidRPr="006659EF">
        <w:rPr>
          <w:rFonts w:asciiTheme="majorHAnsi" w:hAnsiTheme="majorHAnsi" w:cstheme="majorHAnsi"/>
        </w:rPr>
        <w:t xml:space="preserve">If the device is included in the ARTG as a Class III medical device, then Class III annual charges will apply. </w:t>
      </w:r>
      <w:r w:rsidR="003E4B39" w:rsidRPr="006659EF">
        <w:rPr>
          <w:rFonts w:asciiTheme="majorHAnsi" w:hAnsiTheme="majorHAnsi" w:cstheme="majorHAnsi"/>
        </w:rPr>
        <w:t>However, if at any time during a charge year, the same medical device is included in the ARTG as a Class AIMD and a Class III medical device, then the Class III annual charge is nil.</w:t>
      </w:r>
    </w:p>
    <w:p w14:paraId="3B24653C" w14:textId="77777777" w:rsidR="0039146A" w:rsidRPr="006659EF" w:rsidRDefault="0039146A" w:rsidP="00BF28B9">
      <w:pPr>
        <w:rPr>
          <w:rFonts w:asciiTheme="majorHAnsi" w:hAnsiTheme="majorHAnsi" w:cstheme="majorHAnsi"/>
        </w:rPr>
      </w:pPr>
      <w:r w:rsidRPr="006659EF">
        <w:rPr>
          <w:rFonts w:asciiTheme="majorHAnsi" w:hAnsiTheme="majorHAnsi" w:cstheme="majorHAnsi"/>
        </w:rPr>
        <w:t xml:space="preserve">For more information refer to the TGA’s </w:t>
      </w:r>
      <w:hyperlink r:id="rId39" w:history="1">
        <w:r w:rsidRPr="006659EF">
          <w:rPr>
            <w:rStyle w:val="Hyperlink"/>
            <w:rFonts w:asciiTheme="majorHAnsi" w:hAnsiTheme="majorHAnsi" w:cstheme="majorHAnsi"/>
          </w:rPr>
          <w:t>Schedule of fees and charges</w:t>
        </w:r>
      </w:hyperlink>
      <w:r w:rsidRPr="006659EF">
        <w:rPr>
          <w:rFonts w:asciiTheme="majorHAnsi" w:hAnsiTheme="majorHAnsi" w:cstheme="majorHAnsi"/>
        </w:rPr>
        <w:t>.</w:t>
      </w:r>
    </w:p>
    <w:p w14:paraId="7E4C80B1" w14:textId="77777777" w:rsidR="0039146A" w:rsidRDefault="0039146A" w:rsidP="0039146A">
      <w:pPr>
        <w:pStyle w:val="Heading2"/>
      </w:pPr>
      <w:bookmarkStart w:id="58" w:name="_Toc23159023"/>
      <w:bookmarkStart w:id="59" w:name="_Toc120887779"/>
      <w:bookmarkStart w:id="60" w:name="_Toc134189283"/>
      <w:r>
        <w:t>Amendments to Prostheses List</w:t>
      </w:r>
      <w:bookmarkEnd w:id="58"/>
      <w:bookmarkEnd w:id="59"/>
      <w:bookmarkEnd w:id="60"/>
    </w:p>
    <w:p w14:paraId="57F1F498" w14:textId="77777777" w:rsidR="0039146A" w:rsidRPr="0039146A" w:rsidRDefault="0039146A" w:rsidP="00BF28B9">
      <w:r w:rsidRPr="0039146A">
        <w:t xml:space="preserve">Some surgically implantable prostheses and other eligible devices are listed on the Prostheses List.  The Prostheses List contains information about the device, including the ARTG entry. </w:t>
      </w:r>
    </w:p>
    <w:p w14:paraId="78415371" w14:textId="77777777" w:rsidR="0039146A" w:rsidRPr="0039146A" w:rsidRDefault="0039146A" w:rsidP="00BF28B9">
      <w:r w:rsidRPr="0039146A">
        <w:t xml:space="preserve">If your Class III ARTG inclusion application with the TGA is successful and a new ARTG number is assigned, you should apply for your Prostheses List billing code to be amended to ensure the information entered on the Prostheses List is accurate. </w:t>
      </w:r>
    </w:p>
    <w:p w14:paraId="7D2B0949" w14:textId="77777777" w:rsidR="0039146A" w:rsidRPr="0039146A" w:rsidRDefault="0039146A" w:rsidP="00BF28B9">
      <w:r w:rsidRPr="0039146A">
        <w:t xml:space="preserve">Failure to maintain the currency of your Prostheses List billing codes’ details may result in discrepancies between private hospital records and the Prostheses List, and consequently may cause delays and inaccuracy in benefits paid by private health insurers. </w:t>
      </w:r>
    </w:p>
    <w:p w14:paraId="771043CE" w14:textId="77777777" w:rsidR="0039146A" w:rsidRPr="0039146A" w:rsidRDefault="0039146A" w:rsidP="00BF28B9">
      <w:r w:rsidRPr="0039146A">
        <w:t xml:space="preserve">To update the Prostheses List with your new ARTG numbers, you will need to submit an Amendment Application using the </w:t>
      </w:r>
      <w:hyperlink r:id="rId40" w:history="1">
        <w:r w:rsidRPr="003E4B39">
          <w:rPr>
            <w:rStyle w:val="Hyperlink"/>
            <w:rFonts w:cs="Arial"/>
          </w:rPr>
          <w:t>Prostheses List Management System (PLMS)</w:t>
        </w:r>
      </w:hyperlink>
      <w:r w:rsidRPr="0039146A">
        <w:t xml:space="preserve"> for each of the affected billing codes. When submitting an Amendment Application, please ensure you clearly explain the reason for the change and include relevant supporting documentation. </w:t>
      </w:r>
    </w:p>
    <w:p w14:paraId="460633A4" w14:textId="77777777" w:rsidR="0039146A" w:rsidRPr="0039146A" w:rsidRDefault="0039146A" w:rsidP="00BF28B9">
      <w:r w:rsidRPr="0039146A">
        <w:lastRenderedPageBreak/>
        <w:t xml:space="preserve">Examples of supporting documentation include: </w:t>
      </w:r>
    </w:p>
    <w:p w14:paraId="76F7F384" w14:textId="77777777" w:rsidR="0039146A" w:rsidRPr="00BF28B9" w:rsidRDefault="0039146A" w:rsidP="00BF28B9">
      <w:pPr>
        <w:pStyle w:val="ListBullet"/>
      </w:pPr>
      <w:r w:rsidRPr="00BF28B9">
        <w:t xml:space="preserve">new ARTG certificate </w:t>
      </w:r>
    </w:p>
    <w:p w14:paraId="21460019" w14:textId="77777777" w:rsidR="0039146A" w:rsidRPr="00BF28B9" w:rsidRDefault="0039146A" w:rsidP="00BF28B9">
      <w:pPr>
        <w:pStyle w:val="ListBullet"/>
      </w:pPr>
      <w:r w:rsidRPr="00BF28B9">
        <w:t xml:space="preserve">catalogue or product brochure that provide relevant information about the devices affected by the change. </w:t>
      </w:r>
    </w:p>
    <w:p w14:paraId="157E7D5A" w14:textId="77777777" w:rsidR="0039146A" w:rsidRPr="0039146A" w:rsidRDefault="0039146A" w:rsidP="0039146A">
      <w:pPr>
        <w:rPr>
          <w:rFonts w:asciiTheme="minorHAnsi" w:hAnsiTheme="minorHAnsi"/>
        </w:rPr>
      </w:pPr>
      <w:r w:rsidRPr="00BF28B9">
        <w:t xml:space="preserve">For any further queries about the Prostheses List, please email </w:t>
      </w:r>
      <w:hyperlink r:id="rId41" w:history="1">
        <w:r w:rsidRPr="00BF28B9">
          <w:t>prostheses@health.gov.au</w:t>
        </w:r>
      </w:hyperlink>
      <w:r w:rsidRPr="0039146A">
        <w:rPr>
          <w:rFonts w:asciiTheme="minorHAnsi" w:hAnsiTheme="minorHAnsi"/>
        </w:rPr>
        <w:t>.</w:t>
      </w:r>
    </w:p>
    <w:p w14:paraId="309B9700" w14:textId="77777777" w:rsidR="0039146A" w:rsidRDefault="0039146A" w:rsidP="0039146A">
      <w:pPr>
        <w:pStyle w:val="Heading2"/>
      </w:pPr>
      <w:bookmarkStart w:id="61" w:name="_Toc36200297"/>
      <w:bookmarkStart w:id="62" w:name="_Toc120887780"/>
      <w:bookmarkStart w:id="63" w:name="_Toc35954353"/>
      <w:bookmarkStart w:id="64" w:name="_Toc134189284"/>
      <w:r>
        <w:t>If your inclusion application is not successful</w:t>
      </w:r>
      <w:bookmarkEnd w:id="61"/>
      <w:bookmarkEnd w:id="62"/>
      <w:bookmarkEnd w:id="64"/>
    </w:p>
    <w:p w14:paraId="5BFCA268" w14:textId="77777777" w:rsidR="0039146A" w:rsidRPr="0039146A" w:rsidRDefault="0039146A" w:rsidP="00BF28B9">
      <w:r w:rsidRPr="0039146A">
        <w:t xml:space="preserve">If your inclusion application to transition your device to the new classification is not successful, you will be notified of the decision in writing and you will be provided the reasons for the decision. </w:t>
      </w:r>
    </w:p>
    <w:p w14:paraId="05EF4D98" w14:textId="77777777" w:rsidR="0039146A" w:rsidRPr="0039146A" w:rsidRDefault="0039146A" w:rsidP="00BF28B9">
      <w:r w:rsidRPr="0039146A">
        <w:t xml:space="preserve">If you are not satisfied with this decision, you may request reconsideration of this initial decision under section 60 of the </w:t>
      </w:r>
      <w:hyperlink r:id="rId42" w:history="1">
        <w:r w:rsidRPr="00182BC7">
          <w:rPr>
            <w:rStyle w:val="Hyperlink"/>
            <w:rFonts w:cs="Arial"/>
            <w:i/>
            <w:iCs/>
          </w:rPr>
          <w:t>Therapeutic Goods Act 1989</w:t>
        </w:r>
      </w:hyperlink>
      <w:r w:rsidRPr="003E4B39">
        <w:rPr>
          <w:rFonts w:cs="Arial"/>
          <w:i/>
          <w:iCs/>
        </w:rPr>
        <w:t xml:space="preserve"> </w:t>
      </w:r>
      <w:r w:rsidRPr="0039146A">
        <w:t xml:space="preserve">within </w:t>
      </w:r>
      <w:r w:rsidRPr="0039146A">
        <w:rPr>
          <w:b/>
        </w:rPr>
        <w:t>90 days</w:t>
      </w:r>
      <w:r w:rsidRPr="0039146A">
        <w:t xml:space="preserve"> of the decision. </w:t>
      </w:r>
    </w:p>
    <w:p w14:paraId="48808394" w14:textId="77777777" w:rsidR="0039146A" w:rsidRPr="0039146A" w:rsidRDefault="0039146A" w:rsidP="00BF28B9">
      <w:r w:rsidRPr="0039146A">
        <w:t xml:space="preserve">If you are not satisfied with the reconsideration (reviewable decision), you may apply to the Administrative Appeals Tribunal or the court. </w:t>
      </w:r>
    </w:p>
    <w:p w14:paraId="0544A9EC" w14:textId="77777777" w:rsidR="0039146A" w:rsidRDefault="0039146A" w:rsidP="0039146A">
      <w:pPr>
        <w:pStyle w:val="Heading2"/>
      </w:pPr>
      <w:bookmarkStart w:id="65" w:name="_Toc36200798"/>
      <w:bookmarkStart w:id="66" w:name="_Toc36201047"/>
      <w:bookmarkStart w:id="67" w:name="_Toc53499469"/>
      <w:bookmarkStart w:id="68" w:name="_Toc120887781"/>
      <w:bookmarkStart w:id="69" w:name="_Toc134189285"/>
      <w:bookmarkEnd w:id="63"/>
      <w:r>
        <w:t>When to cease supply using your old ARTG entry</w:t>
      </w:r>
      <w:bookmarkEnd w:id="65"/>
      <w:bookmarkEnd w:id="66"/>
      <w:bookmarkEnd w:id="67"/>
      <w:bookmarkEnd w:id="68"/>
      <w:bookmarkEnd w:id="69"/>
    </w:p>
    <w:p w14:paraId="36377E74" w14:textId="77777777" w:rsidR="0039146A" w:rsidRPr="0039146A" w:rsidRDefault="0039146A" w:rsidP="00BF28B9">
      <w:r w:rsidRPr="0039146A">
        <w:t>If you do not meet your obligations under the transitional arrangements, you will need to cease supply of your device.  The following table outlines the circumstances and timeframes:</w:t>
      </w:r>
    </w:p>
    <w:p w14:paraId="09FAF911" w14:textId="77777777" w:rsidR="0039146A" w:rsidRPr="0039146A" w:rsidRDefault="0039146A" w:rsidP="00BF28B9">
      <w:r w:rsidRPr="0039146A">
        <w:t>When to cease supply using old ARTG entry</w:t>
      </w:r>
    </w:p>
    <w:tbl>
      <w:tblPr>
        <w:tblStyle w:val="TableGrid"/>
        <w:tblW w:w="0" w:type="auto"/>
        <w:tblLook w:val="04A0" w:firstRow="1" w:lastRow="0" w:firstColumn="1" w:lastColumn="0" w:noHBand="0" w:noVBand="1"/>
        <w:tblCaption w:val="When to cease supply using old ARTG entry"/>
        <w:tblDescription w:val="First column describes the circumstance and the second column describes what to do."/>
      </w:tblPr>
      <w:tblGrid>
        <w:gridCol w:w="4508"/>
        <w:gridCol w:w="4508"/>
      </w:tblGrid>
      <w:tr w:rsidR="0039146A" w:rsidRPr="0039146A" w14:paraId="7F081585" w14:textId="77777777" w:rsidTr="006801FF">
        <w:tc>
          <w:tcPr>
            <w:tcW w:w="4508" w:type="dxa"/>
            <w:shd w:val="clear" w:color="auto" w:fill="0070B5" w:themeFill="text2" w:themeFillTint="BF"/>
          </w:tcPr>
          <w:p w14:paraId="7C31BB3E" w14:textId="77777777" w:rsidR="0039146A" w:rsidRPr="0039146A" w:rsidRDefault="0039146A" w:rsidP="00BF28B9">
            <w:pPr>
              <w:rPr>
                <w:color w:val="FFFFFF" w:themeColor="background1"/>
                <w:szCs w:val="22"/>
              </w:rPr>
            </w:pPr>
            <w:r w:rsidRPr="0039146A">
              <w:rPr>
                <w:color w:val="FFFFFF" w:themeColor="background1"/>
                <w:szCs w:val="22"/>
              </w:rPr>
              <w:t>Circumstance</w:t>
            </w:r>
          </w:p>
        </w:tc>
        <w:tc>
          <w:tcPr>
            <w:tcW w:w="4508" w:type="dxa"/>
            <w:shd w:val="clear" w:color="auto" w:fill="0070B5" w:themeFill="text2" w:themeFillTint="BF"/>
          </w:tcPr>
          <w:p w14:paraId="1AE930F6" w14:textId="77777777" w:rsidR="0039146A" w:rsidRPr="0039146A" w:rsidRDefault="0039146A" w:rsidP="00BF28B9">
            <w:pPr>
              <w:rPr>
                <w:color w:val="FFFFFF" w:themeColor="background1"/>
                <w:szCs w:val="22"/>
              </w:rPr>
            </w:pPr>
            <w:r w:rsidRPr="0039146A">
              <w:rPr>
                <w:color w:val="FFFFFF" w:themeColor="background1"/>
                <w:szCs w:val="22"/>
              </w:rPr>
              <w:t>What to do</w:t>
            </w:r>
          </w:p>
        </w:tc>
      </w:tr>
      <w:tr w:rsidR="0039146A" w:rsidRPr="0039146A" w14:paraId="572BCC89" w14:textId="77777777" w:rsidTr="006801FF">
        <w:tc>
          <w:tcPr>
            <w:tcW w:w="4508" w:type="dxa"/>
          </w:tcPr>
          <w:p w14:paraId="742E8C72" w14:textId="77777777" w:rsidR="0039146A" w:rsidRPr="0039146A" w:rsidRDefault="0039146A" w:rsidP="00BF28B9">
            <w:r w:rsidRPr="0039146A">
              <w:t xml:space="preserve">You have </w:t>
            </w:r>
            <w:r w:rsidRPr="0039146A">
              <w:rPr>
                <w:b/>
              </w:rPr>
              <w:t>not notified</w:t>
            </w:r>
            <w:r w:rsidRPr="0039146A">
              <w:t xml:space="preserve"> the TGA that your device needs to be reclassified before 25 May 2022, or within two months of inclusion of your device under the old classification rules (whichever is the later date).</w:t>
            </w:r>
          </w:p>
        </w:tc>
        <w:tc>
          <w:tcPr>
            <w:tcW w:w="4508" w:type="dxa"/>
          </w:tcPr>
          <w:p w14:paraId="38CED871" w14:textId="77777777" w:rsidR="0039146A" w:rsidRPr="0039146A" w:rsidRDefault="0039146A" w:rsidP="00BF28B9">
            <w:r w:rsidRPr="0039146A">
              <w:rPr>
                <w:b/>
              </w:rPr>
              <w:t>Cease supply</w:t>
            </w:r>
            <w:r w:rsidRPr="0039146A">
              <w:t xml:space="preserve"> of your devices </w:t>
            </w:r>
            <w:r w:rsidRPr="0039146A">
              <w:rPr>
                <w:b/>
              </w:rPr>
              <w:t>from 25 May 2022</w:t>
            </w:r>
            <w:r w:rsidRPr="0039146A">
              <w:t xml:space="preserve"> or the date that is </w:t>
            </w:r>
            <w:r w:rsidRPr="0039146A">
              <w:rPr>
                <w:b/>
              </w:rPr>
              <w:t>2 months after the start date of your ARTG entry (whichever is the later date)</w:t>
            </w:r>
            <w:r w:rsidRPr="0039146A">
              <w:t>.</w:t>
            </w:r>
          </w:p>
          <w:p w14:paraId="72523799" w14:textId="77777777" w:rsidR="0039146A" w:rsidRPr="0039146A" w:rsidRDefault="0039146A" w:rsidP="00BF28B9"/>
        </w:tc>
      </w:tr>
      <w:tr w:rsidR="0039146A" w:rsidRPr="0039146A" w14:paraId="22BB86DE" w14:textId="77777777" w:rsidTr="006801FF">
        <w:tc>
          <w:tcPr>
            <w:tcW w:w="4508" w:type="dxa"/>
          </w:tcPr>
          <w:p w14:paraId="46528999" w14:textId="77777777" w:rsidR="0039146A" w:rsidRPr="0039146A" w:rsidRDefault="0039146A" w:rsidP="00BF28B9">
            <w:r w:rsidRPr="0039146A">
              <w:t xml:space="preserve">You have </w:t>
            </w:r>
            <w:r w:rsidRPr="0039146A">
              <w:rPr>
                <w:b/>
              </w:rPr>
              <w:t>not</w:t>
            </w:r>
            <w:r w:rsidRPr="0039146A">
              <w:t xml:space="preserve"> </w:t>
            </w:r>
            <w:r w:rsidRPr="0039146A">
              <w:rPr>
                <w:b/>
              </w:rPr>
              <w:t>submitted an application for inclusion</w:t>
            </w:r>
            <w:r w:rsidRPr="0039146A">
              <w:t xml:space="preserve"> in the ARTG to transition your device to the correct classification </w:t>
            </w:r>
            <w:r w:rsidRPr="0039146A">
              <w:rPr>
                <w:b/>
              </w:rPr>
              <w:t>before 1 November 2024</w:t>
            </w:r>
            <w:r w:rsidRPr="0039146A">
              <w:t>.</w:t>
            </w:r>
          </w:p>
        </w:tc>
        <w:tc>
          <w:tcPr>
            <w:tcW w:w="4508" w:type="dxa"/>
          </w:tcPr>
          <w:p w14:paraId="677586A6" w14:textId="77777777" w:rsidR="0039146A" w:rsidRPr="0039146A" w:rsidRDefault="0039146A" w:rsidP="00BF28B9">
            <w:r w:rsidRPr="0039146A">
              <w:rPr>
                <w:b/>
              </w:rPr>
              <w:t>Cease supply</w:t>
            </w:r>
            <w:r w:rsidRPr="0039146A">
              <w:t xml:space="preserve"> of your devices </w:t>
            </w:r>
            <w:r w:rsidRPr="0039146A">
              <w:rPr>
                <w:b/>
              </w:rPr>
              <w:t>from 1 November 2024.</w:t>
            </w:r>
          </w:p>
        </w:tc>
      </w:tr>
      <w:tr w:rsidR="0039146A" w:rsidRPr="0039146A" w14:paraId="47EA9F75" w14:textId="77777777" w:rsidTr="006801FF">
        <w:tc>
          <w:tcPr>
            <w:tcW w:w="4508" w:type="dxa"/>
          </w:tcPr>
          <w:p w14:paraId="0F31B018" w14:textId="77777777" w:rsidR="0039146A" w:rsidRPr="0039146A" w:rsidRDefault="0039146A" w:rsidP="00BF28B9">
            <w:r w:rsidRPr="0039146A">
              <w:t>Your application for inclusion of your device with the correct classification is unsuccessful.</w:t>
            </w:r>
          </w:p>
        </w:tc>
        <w:tc>
          <w:tcPr>
            <w:tcW w:w="4508" w:type="dxa"/>
          </w:tcPr>
          <w:p w14:paraId="003D3A1A" w14:textId="77777777" w:rsidR="0039146A" w:rsidRPr="0039146A" w:rsidRDefault="0039146A" w:rsidP="00BF28B9">
            <w:r w:rsidRPr="0039146A">
              <w:rPr>
                <w:b/>
              </w:rPr>
              <w:t>Cease supply</w:t>
            </w:r>
            <w:r w:rsidRPr="0039146A">
              <w:t xml:space="preserve"> of your device from the time that you are </w:t>
            </w:r>
            <w:r w:rsidRPr="0039146A">
              <w:rPr>
                <w:b/>
              </w:rPr>
              <w:t>notified of the outcome</w:t>
            </w:r>
            <w:r w:rsidRPr="0039146A">
              <w:t xml:space="preserve"> of your application.</w:t>
            </w:r>
          </w:p>
        </w:tc>
      </w:tr>
    </w:tbl>
    <w:p w14:paraId="0EF42533" w14:textId="77777777" w:rsidR="0039146A" w:rsidRDefault="0039146A" w:rsidP="0039146A"/>
    <w:p w14:paraId="0D5AEA5C" w14:textId="0D08C6DA" w:rsidR="003E4B39" w:rsidRDefault="003E4B39">
      <w:pPr>
        <w:spacing w:before="0" w:after="0" w:line="240" w:lineRule="auto"/>
      </w:pPr>
      <w:r>
        <w:br w:type="page"/>
      </w:r>
    </w:p>
    <w:bookmarkEnd w:id="1"/>
    <w:bookmarkEnd w:id="2"/>
    <w:p w14:paraId="22742896" w14:textId="77777777" w:rsidR="0039146A" w:rsidRPr="00215D48" w:rsidRDefault="0039146A" w:rsidP="0039146A">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39146A" w:rsidRPr="00215D48" w14:paraId="3152101B" w14:textId="77777777" w:rsidTr="006801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5D45BB70" w14:textId="77777777" w:rsidR="0039146A" w:rsidRPr="00BF28B9" w:rsidRDefault="0039146A" w:rsidP="00BF28B9">
            <w:pPr>
              <w:rPr>
                <w:color w:val="FFFFFF" w:themeColor="background1"/>
              </w:rPr>
            </w:pPr>
            <w:bookmarkStart w:id="70" w:name="ColumnTitle_4"/>
            <w:r w:rsidRPr="00BF28B9">
              <w:rPr>
                <w:color w:val="FFFFFF" w:themeColor="background1"/>
              </w:rPr>
              <w:t>Version</w:t>
            </w:r>
          </w:p>
        </w:tc>
        <w:tc>
          <w:tcPr>
            <w:tcW w:w="3242" w:type="dxa"/>
          </w:tcPr>
          <w:p w14:paraId="57349353" w14:textId="77777777" w:rsidR="0039146A" w:rsidRPr="00BF28B9" w:rsidRDefault="0039146A" w:rsidP="00BF28B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F28B9">
              <w:rPr>
                <w:color w:val="FFFFFF" w:themeColor="background1"/>
              </w:rPr>
              <w:t>Description of change</w:t>
            </w:r>
          </w:p>
        </w:tc>
        <w:tc>
          <w:tcPr>
            <w:tcW w:w="2712" w:type="dxa"/>
          </w:tcPr>
          <w:p w14:paraId="1704B69D" w14:textId="77777777" w:rsidR="0039146A" w:rsidRPr="00BF28B9" w:rsidRDefault="0039146A" w:rsidP="00BF28B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F28B9">
              <w:rPr>
                <w:color w:val="FFFFFF" w:themeColor="background1"/>
              </w:rPr>
              <w:t>Author</w:t>
            </w:r>
          </w:p>
        </w:tc>
        <w:tc>
          <w:tcPr>
            <w:tcW w:w="1808" w:type="dxa"/>
          </w:tcPr>
          <w:p w14:paraId="2ADE683F" w14:textId="77777777" w:rsidR="0039146A" w:rsidRPr="00BF28B9" w:rsidRDefault="0039146A" w:rsidP="00BF28B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F28B9">
              <w:rPr>
                <w:color w:val="FFFFFF" w:themeColor="background1"/>
              </w:rPr>
              <w:t>Effective date</w:t>
            </w:r>
          </w:p>
        </w:tc>
      </w:tr>
      <w:bookmarkEnd w:id="70"/>
      <w:tr w:rsidR="0039146A" w:rsidRPr="00215D48" w14:paraId="5A88BD79" w14:textId="77777777" w:rsidTr="006801FF">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4409FC5" w14:textId="77777777" w:rsidR="0039146A" w:rsidRPr="0039146A" w:rsidRDefault="0039146A" w:rsidP="00BF28B9">
            <w:pPr>
              <w:rPr>
                <w:rFonts w:asciiTheme="minorHAnsi" w:hAnsiTheme="minorHAnsi"/>
              </w:rPr>
            </w:pPr>
            <w:r w:rsidRPr="0039146A">
              <w:rPr>
                <w:rFonts w:asciiTheme="minorHAnsi" w:hAnsiTheme="minorHAnsi"/>
              </w:rPr>
              <w:t>V1.0</w:t>
            </w:r>
          </w:p>
        </w:tc>
        <w:tc>
          <w:tcPr>
            <w:tcW w:w="3242" w:type="dxa"/>
          </w:tcPr>
          <w:p w14:paraId="2E3E18BE" w14:textId="77777777" w:rsidR="0039146A" w:rsidRPr="0039146A" w:rsidRDefault="0039146A" w:rsidP="00BF28B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9146A">
              <w:rPr>
                <w:rFonts w:asciiTheme="minorHAnsi" w:hAnsiTheme="minorHAnsi"/>
              </w:rPr>
              <w:t>Original publication</w:t>
            </w:r>
          </w:p>
        </w:tc>
        <w:tc>
          <w:tcPr>
            <w:tcW w:w="2712" w:type="dxa"/>
          </w:tcPr>
          <w:p w14:paraId="1F47F223" w14:textId="77777777" w:rsidR="0039146A" w:rsidRPr="0039146A" w:rsidRDefault="0039146A" w:rsidP="00BF28B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9146A">
              <w:rPr>
                <w:rFonts w:asciiTheme="minorHAnsi" w:hAnsiTheme="minorHAnsi"/>
              </w:rPr>
              <w:t>Medical Devices Authorisation Branch</w:t>
            </w:r>
          </w:p>
        </w:tc>
        <w:tc>
          <w:tcPr>
            <w:tcW w:w="1808" w:type="dxa"/>
          </w:tcPr>
          <w:p w14:paraId="2620FCA3" w14:textId="77777777" w:rsidR="0039146A" w:rsidRPr="0039146A" w:rsidRDefault="0039146A" w:rsidP="00BF28B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9146A">
              <w:rPr>
                <w:rFonts w:asciiTheme="minorHAnsi" w:hAnsiTheme="minorHAnsi"/>
              </w:rPr>
              <w:t>April 2021</w:t>
            </w:r>
          </w:p>
        </w:tc>
      </w:tr>
      <w:tr w:rsidR="0039146A" w:rsidRPr="00215D48" w14:paraId="377E5BE9" w14:textId="77777777" w:rsidTr="006801FF">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AD9B701" w14:textId="77777777" w:rsidR="0039146A" w:rsidRPr="0039146A" w:rsidRDefault="0039146A" w:rsidP="00BF28B9">
            <w:pPr>
              <w:rPr>
                <w:rFonts w:asciiTheme="minorHAnsi" w:hAnsiTheme="minorHAnsi"/>
              </w:rPr>
            </w:pPr>
            <w:r w:rsidRPr="0039146A">
              <w:rPr>
                <w:rFonts w:asciiTheme="minorHAnsi" w:hAnsiTheme="minorHAnsi"/>
              </w:rPr>
              <w:t>V1.1</w:t>
            </w:r>
          </w:p>
        </w:tc>
        <w:tc>
          <w:tcPr>
            <w:tcW w:w="3242" w:type="dxa"/>
          </w:tcPr>
          <w:p w14:paraId="1D4E785C" w14:textId="77777777" w:rsidR="0039146A" w:rsidRPr="0039146A" w:rsidRDefault="0039146A" w:rsidP="00BF28B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9146A">
              <w:rPr>
                <w:rFonts w:asciiTheme="minorHAnsi" w:hAnsiTheme="minorHAnsi"/>
              </w:rPr>
              <w:t>Addition of paragraph related to annual reporting requirements</w:t>
            </w:r>
          </w:p>
        </w:tc>
        <w:tc>
          <w:tcPr>
            <w:tcW w:w="2712" w:type="dxa"/>
          </w:tcPr>
          <w:p w14:paraId="666C107A" w14:textId="77777777" w:rsidR="0039146A" w:rsidRPr="0039146A" w:rsidRDefault="0039146A" w:rsidP="00BF28B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9146A">
              <w:rPr>
                <w:rFonts w:asciiTheme="minorHAnsi" w:hAnsiTheme="minorHAnsi"/>
              </w:rPr>
              <w:t>Medical Devices Authorisation Branch</w:t>
            </w:r>
          </w:p>
        </w:tc>
        <w:tc>
          <w:tcPr>
            <w:tcW w:w="1808" w:type="dxa"/>
          </w:tcPr>
          <w:p w14:paraId="5AC0F4DB" w14:textId="77777777" w:rsidR="0039146A" w:rsidRPr="0039146A" w:rsidRDefault="0039146A" w:rsidP="00BF28B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9146A">
              <w:rPr>
                <w:rFonts w:asciiTheme="minorHAnsi" w:hAnsiTheme="minorHAnsi"/>
              </w:rPr>
              <w:t>March 2022</w:t>
            </w:r>
          </w:p>
        </w:tc>
      </w:tr>
      <w:tr w:rsidR="0039146A" w:rsidRPr="00215D48" w14:paraId="17A403F6" w14:textId="77777777" w:rsidTr="006801FF">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598D822" w14:textId="77777777" w:rsidR="0039146A" w:rsidRPr="0039146A" w:rsidRDefault="0039146A" w:rsidP="00BF28B9">
            <w:pPr>
              <w:rPr>
                <w:rFonts w:asciiTheme="minorHAnsi" w:hAnsiTheme="minorHAnsi"/>
              </w:rPr>
            </w:pPr>
            <w:r w:rsidRPr="0039146A">
              <w:rPr>
                <w:rFonts w:asciiTheme="minorHAnsi" w:hAnsiTheme="minorHAnsi"/>
              </w:rPr>
              <w:t>V1.2</w:t>
            </w:r>
          </w:p>
        </w:tc>
        <w:tc>
          <w:tcPr>
            <w:tcW w:w="3242" w:type="dxa"/>
          </w:tcPr>
          <w:p w14:paraId="53A845B3" w14:textId="77777777" w:rsidR="0039146A" w:rsidRPr="0039146A" w:rsidRDefault="0039146A" w:rsidP="00BF28B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9146A">
              <w:rPr>
                <w:rFonts w:asciiTheme="minorHAnsi" w:hAnsiTheme="minorHAnsi"/>
              </w:rPr>
              <w:t>Addition of application instructions</w:t>
            </w:r>
          </w:p>
        </w:tc>
        <w:tc>
          <w:tcPr>
            <w:tcW w:w="2712" w:type="dxa"/>
          </w:tcPr>
          <w:p w14:paraId="7986CA73" w14:textId="77777777" w:rsidR="0039146A" w:rsidRPr="0039146A" w:rsidRDefault="0039146A" w:rsidP="00BF28B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9146A">
              <w:rPr>
                <w:rFonts w:asciiTheme="minorHAnsi" w:hAnsiTheme="minorHAnsi"/>
              </w:rPr>
              <w:t>Medical Devices Authorisation Branch</w:t>
            </w:r>
          </w:p>
        </w:tc>
        <w:tc>
          <w:tcPr>
            <w:tcW w:w="1808" w:type="dxa"/>
          </w:tcPr>
          <w:p w14:paraId="4311A998" w14:textId="77777777" w:rsidR="0039146A" w:rsidRPr="0039146A" w:rsidRDefault="0039146A" w:rsidP="00BF28B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9146A">
              <w:rPr>
                <w:rFonts w:asciiTheme="minorHAnsi" w:hAnsiTheme="minorHAnsi"/>
              </w:rPr>
              <w:t>June 2022</w:t>
            </w:r>
          </w:p>
        </w:tc>
      </w:tr>
      <w:tr w:rsidR="0039146A" w:rsidRPr="00215D48" w14:paraId="36AB4383" w14:textId="77777777" w:rsidTr="006801FF">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A38C2BF" w14:textId="77777777" w:rsidR="0039146A" w:rsidRPr="0039146A" w:rsidRDefault="0039146A" w:rsidP="00BF28B9">
            <w:pPr>
              <w:rPr>
                <w:rFonts w:asciiTheme="minorHAnsi" w:hAnsiTheme="minorHAnsi"/>
              </w:rPr>
            </w:pPr>
            <w:r w:rsidRPr="0039146A">
              <w:rPr>
                <w:rFonts w:asciiTheme="minorHAnsi" w:hAnsiTheme="minorHAnsi"/>
              </w:rPr>
              <w:t>V1.3</w:t>
            </w:r>
          </w:p>
        </w:tc>
        <w:tc>
          <w:tcPr>
            <w:tcW w:w="3242" w:type="dxa"/>
          </w:tcPr>
          <w:p w14:paraId="3E93CCB7" w14:textId="77777777" w:rsidR="0039146A" w:rsidRPr="0039146A" w:rsidRDefault="0039146A" w:rsidP="00BF28B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9146A">
              <w:rPr>
                <w:rFonts w:asciiTheme="minorHAnsi" w:hAnsiTheme="minorHAnsi"/>
              </w:rPr>
              <w:t>Addition of reclassification instructions</w:t>
            </w:r>
          </w:p>
        </w:tc>
        <w:tc>
          <w:tcPr>
            <w:tcW w:w="2712" w:type="dxa"/>
          </w:tcPr>
          <w:p w14:paraId="47214C37" w14:textId="77777777" w:rsidR="0039146A" w:rsidRPr="0039146A" w:rsidRDefault="0039146A" w:rsidP="00BF28B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9146A">
              <w:rPr>
                <w:rFonts w:asciiTheme="minorHAnsi" w:hAnsiTheme="minorHAnsi"/>
              </w:rPr>
              <w:t>Medical Devices Authorisation Branch</w:t>
            </w:r>
          </w:p>
        </w:tc>
        <w:tc>
          <w:tcPr>
            <w:tcW w:w="1808" w:type="dxa"/>
          </w:tcPr>
          <w:p w14:paraId="6375BB9C" w14:textId="77777777" w:rsidR="0039146A" w:rsidRPr="0039146A" w:rsidRDefault="0039146A" w:rsidP="00BF28B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9146A">
              <w:rPr>
                <w:rFonts w:asciiTheme="minorHAnsi" w:hAnsiTheme="minorHAnsi"/>
              </w:rPr>
              <w:t>December 2022</w:t>
            </w:r>
          </w:p>
        </w:tc>
      </w:tr>
      <w:tr w:rsidR="0026281B" w:rsidRPr="00215D48" w14:paraId="45930AB8" w14:textId="77777777" w:rsidTr="006801FF">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2851782" w14:textId="5CEF5C8E" w:rsidR="0026281B" w:rsidRPr="0039146A" w:rsidRDefault="0026281B" w:rsidP="00BF28B9">
            <w:pPr>
              <w:rPr>
                <w:rFonts w:asciiTheme="minorHAnsi" w:hAnsiTheme="minorHAnsi"/>
              </w:rPr>
            </w:pPr>
            <w:r>
              <w:rPr>
                <w:rFonts w:asciiTheme="minorHAnsi" w:hAnsiTheme="minorHAnsi"/>
              </w:rPr>
              <w:t>V1.4</w:t>
            </w:r>
          </w:p>
        </w:tc>
        <w:tc>
          <w:tcPr>
            <w:tcW w:w="3242" w:type="dxa"/>
          </w:tcPr>
          <w:p w14:paraId="56E3B875" w14:textId="6423021D" w:rsidR="0026281B" w:rsidRPr="0039146A" w:rsidRDefault="0026281B" w:rsidP="00BF28B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Clarification of annual charges</w:t>
            </w:r>
          </w:p>
        </w:tc>
        <w:tc>
          <w:tcPr>
            <w:tcW w:w="2712" w:type="dxa"/>
          </w:tcPr>
          <w:p w14:paraId="79283F5C" w14:textId="69A1495D" w:rsidR="0026281B" w:rsidRPr="0039146A" w:rsidRDefault="0026281B" w:rsidP="00BF28B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9146A">
              <w:rPr>
                <w:rFonts w:asciiTheme="minorHAnsi" w:hAnsiTheme="minorHAnsi"/>
              </w:rPr>
              <w:t>Medical Devices Authorisation Branch</w:t>
            </w:r>
          </w:p>
        </w:tc>
        <w:tc>
          <w:tcPr>
            <w:tcW w:w="1808" w:type="dxa"/>
          </w:tcPr>
          <w:p w14:paraId="1813AAFB" w14:textId="75222231" w:rsidR="0026281B" w:rsidRPr="0039146A" w:rsidRDefault="0026281B" w:rsidP="00BF28B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April 2023</w:t>
            </w:r>
          </w:p>
        </w:tc>
      </w:tr>
      <w:tr w:rsidR="003E4B39" w:rsidRPr="00215D48" w14:paraId="528E8D80" w14:textId="77777777" w:rsidTr="006801FF">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EA6A2A2" w14:textId="5590DC4F" w:rsidR="003E4B39" w:rsidRDefault="003E4B39" w:rsidP="00BF28B9">
            <w:pPr>
              <w:rPr>
                <w:rFonts w:asciiTheme="minorHAnsi" w:hAnsiTheme="minorHAnsi"/>
              </w:rPr>
            </w:pPr>
            <w:r>
              <w:rPr>
                <w:rFonts w:asciiTheme="minorHAnsi" w:hAnsiTheme="minorHAnsi"/>
              </w:rPr>
              <w:t>V1.5</w:t>
            </w:r>
          </w:p>
        </w:tc>
        <w:tc>
          <w:tcPr>
            <w:tcW w:w="3242" w:type="dxa"/>
          </w:tcPr>
          <w:p w14:paraId="19B9F66C" w14:textId="577B65CC" w:rsidR="003E4B39" w:rsidRDefault="003E4B39" w:rsidP="00BF28B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Clarification of annual charges</w:t>
            </w:r>
          </w:p>
        </w:tc>
        <w:tc>
          <w:tcPr>
            <w:tcW w:w="2712" w:type="dxa"/>
          </w:tcPr>
          <w:p w14:paraId="0E2F5159" w14:textId="188A4F16" w:rsidR="003E4B39" w:rsidRPr="0039146A" w:rsidRDefault="003E4B39" w:rsidP="00BF28B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9146A">
              <w:rPr>
                <w:rFonts w:asciiTheme="minorHAnsi" w:hAnsiTheme="minorHAnsi"/>
              </w:rPr>
              <w:t>Medical Devices Authorisation Branch</w:t>
            </w:r>
          </w:p>
        </w:tc>
        <w:tc>
          <w:tcPr>
            <w:tcW w:w="1808" w:type="dxa"/>
          </w:tcPr>
          <w:p w14:paraId="48507B14" w14:textId="5CE6C0B1" w:rsidR="003E4B39" w:rsidRDefault="003E4B39" w:rsidP="00BF28B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May 2023</w:t>
            </w:r>
          </w:p>
        </w:tc>
      </w:tr>
    </w:tbl>
    <w:p w14:paraId="6349CB62" w14:textId="77777777" w:rsidR="0039146A" w:rsidRPr="00215D48" w:rsidRDefault="0039146A" w:rsidP="0039146A">
      <w:pPr>
        <w:spacing w:before="0" w:after="0" w:line="240" w:lineRule="auto"/>
        <w:rPr>
          <w:sz w:val="20"/>
        </w:rPr>
        <w:sectPr w:rsidR="0039146A" w:rsidRPr="00215D48" w:rsidSect="0029069E">
          <w:headerReference w:type="default" r:id="rId43"/>
          <w:footerReference w:type="default" r:id="rId44"/>
          <w:pgSz w:w="11906" w:h="16838" w:code="9"/>
          <w:pgMar w:top="1134" w:right="1418" w:bottom="1361" w:left="1418" w:header="573" w:footer="567" w:gutter="0"/>
          <w:cols w:space="708"/>
          <w:docGrid w:linePitch="360"/>
        </w:sectPr>
      </w:pPr>
    </w:p>
    <w:p w14:paraId="5A4885BA" w14:textId="57C97555" w:rsidR="00706634" w:rsidRDefault="00706634" w:rsidP="0039146A">
      <w:pPr>
        <w:pStyle w:val="Heading2"/>
        <w:rPr>
          <w:sz w:val="20"/>
        </w:rPr>
      </w:pPr>
    </w:p>
    <w:p w14:paraId="66A72641" w14:textId="3573666D" w:rsidR="0039146A" w:rsidRDefault="0039146A" w:rsidP="0039146A"/>
    <w:p w14:paraId="272D4322" w14:textId="0E753989" w:rsidR="0039146A" w:rsidRDefault="0039146A" w:rsidP="0039146A"/>
    <w:p w14:paraId="422CE980" w14:textId="5006BE32" w:rsidR="0039146A" w:rsidRDefault="0039146A" w:rsidP="0039146A"/>
    <w:p w14:paraId="2DBB772E" w14:textId="0BD7F296" w:rsidR="0039146A" w:rsidRDefault="0039146A" w:rsidP="0039146A"/>
    <w:p w14:paraId="768213EB" w14:textId="77431DBF" w:rsidR="0039146A" w:rsidRDefault="0039146A" w:rsidP="0039146A"/>
    <w:p w14:paraId="64D9207F" w14:textId="78C08891" w:rsidR="0039146A" w:rsidRDefault="0039146A" w:rsidP="0039146A"/>
    <w:p w14:paraId="0D441A1D" w14:textId="08AA92B2" w:rsidR="0039146A" w:rsidRDefault="0039146A" w:rsidP="0039146A"/>
    <w:p w14:paraId="12CA6712" w14:textId="79E0DE0D" w:rsidR="0039146A" w:rsidRDefault="0039146A" w:rsidP="0039146A"/>
    <w:p w14:paraId="42B3819F" w14:textId="7B8095FD" w:rsidR="0039146A" w:rsidRDefault="0039146A" w:rsidP="0039146A"/>
    <w:p w14:paraId="0F06F3F7" w14:textId="18C9F152" w:rsidR="0039146A" w:rsidRDefault="0039146A" w:rsidP="0039146A"/>
    <w:p w14:paraId="163B9F2C" w14:textId="0856204C" w:rsidR="0039146A" w:rsidRDefault="0039146A" w:rsidP="0039146A"/>
    <w:p w14:paraId="6B21B7C2" w14:textId="07937781" w:rsidR="0039146A" w:rsidRDefault="0039146A" w:rsidP="0039146A"/>
    <w:p w14:paraId="3F5C443D" w14:textId="51B2B0BA" w:rsidR="0039146A" w:rsidRDefault="0039146A" w:rsidP="0039146A"/>
    <w:p w14:paraId="4F329DDF" w14:textId="63DF46BB" w:rsidR="0039146A" w:rsidRDefault="0039146A" w:rsidP="0039146A"/>
    <w:p w14:paraId="07A96228" w14:textId="0827536E" w:rsidR="0039146A" w:rsidRDefault="0039146A" w:rsidP="0039146A"/>
    <w:p w14:paraId="67B84D98" w14:textId="2485A79F" w:rsidR="0039146A" w:rsidRDefault="0039146A" w:rsidP="0039146A"/>
    <w:p w14:paraId="367C4BB7" w14:textId="597173DC" w:rsidR="0039146A" w:rsidRDefault="0039146A" w:rsidP="0039146A"/>
    <w:p w14:paraId="7076AA97" w14:textId="137B63BC" w:rsidR="0039146A" w:rsidRDefault="0039146A" w:rsidP="0039146A"/>
    <w:p w14:paraId="7FADE6F4" w14:textId="4D821FAB" w:rsidR="0039146A" w:rsidRDefault="0039146A" w:rsidP="0039146A"/>
    <w:p w14:paraId="1405B4DF" w14:textId="39F88902" w:rsidR="0039146A" w:rsidRDefault="0039146A" w:rsidP="0039146A"/>
    <w:p w14:paraId="0EACDBD5" w14:textId="187A4682" w:rsidR="0039146A" w:rsidRDefault="0039146A" w:rsidP="0039146A"/>
    <w:p w14:paraId="25EFB1AF" w14:textId="778052D9" w:rsidR="0039146A" w:rsidRDefault="0039146A" w:rsidP="0039146A"/>
    <w:p w14:paraId="10F74B97" w14:textId="7A1BA3F6" w:rsidR="0039146A" w:rsidRDefault="0039146A" w:rsidP="0039146A"/>
    <w:p w14:paraId="116E18D8" w14:textId="47BBCF57" w:rsidR="0039146A" w:rsidRDefault="0039146A" w:rsidP="0039146A"/>
    <w:p w14:paraId="0B0E1147" w14:textId="35B98E03" w:rsidR="0039146A" w:rsidRDefault="0039146A" w:rsidP="0039146A"/>
    <w:p w14:paraId="2A89CBED" w14:textId="03611DD7" w:rsidR="0039146A" w:rsidRDefault="0039146A" w:rsidP="0039146A"/>
    <w:tbl>
      <w:tblPr>
        <w:tblW w:w="9145" w:type="dxa"/>
        <w:jc w:val="center"/>
        <w:tblLayout w:type="fixed"/>
        <w:tblCellMar>
          <w:left w:w="0" w:type="dxa"/>
          <w:right w:w="0" w:type="dxa"/>
        </w:tblCellMar>
        <w:tblLook w:val="04A0" w:firstRow="1" w:lastRow="0" w:firstColumn="1" w:lastColumn="0" w:noHBand="0" w:noVBand="1"/>
      </w:tblPr>
      <w:tblGrid>
        <w:gridCol w:w="9145"/>
      </w:tblGrid>
      <w:tr w:rsidR="0039146A" w:rsidRPr="00215D48" w14:paraId="4F6F2212" w14:textId="77777777" w:rsidTr="006801FF">
        <w:trPr>
          <w:trHeight w:hRule="exact" w:val="565"/>
          <w:jc w:val="center"/>
        </w:trPr>
        <w:tc>
          <w:tcPr>
            <w:tcW w:w="9145" w:type="dxa"/>
          </w:tcPr>
          <w:p w14:paraId="5ACB9710" w14:textId="77777777" w:rsidR="0039146A" w:rsidRPr="00215D48" w:rsidRDefault="0039146A" w:rsidP="006801FF">
            <w:pPr>
              <w:pStyle w:val="TGASignoff"/>
            </w:pPr>
            <w:r w:rsidRPr="00215D48">
              <w:t>Therapeutic Goods Administration</w:t>
            </w:r>
          </w:p>
        </w:tc>
      </w:tr>
      <w:tr w:rsidR="0039146A" w:rsidRPr="00215D48" w14:paraId="0E558B92" w14:textId="77777777" w:rsidTr="006801FF">
        <w:trPr>
          <w:trHeight w:val="963"/>
          <w:jc w:val="center"/>
        </w:trPr>
        <w:tc>
          <w:tcPr>
            <w:tcW w:w="9145" w:type="dxa"/>
            <w:tcMar>
              <w:top w:w="28" w:type="dxa"/>
            </w:tcMar>
          </w:tcPr>
          <w:p w14:paraId="757ADD89" w14:textId="77777777" w:rsidR="0039146A" w:rsidRPr="00215D48" w:rsidRDefault="0039146A" w:rsidP="006801FF">
            <w:pPr>
              <w:pStyle w:val="Address"/>
              <w:jc w:val="center"/>
            </w:pPr>
            <w:r w:rsidRPr="00215D48">
              <w:t>PO Box 100 Woden ACT 2606 Australia</w:t>
            </w:r>
          </w:p>
          <w:p w14:paraId="0591B82D" w14:textId="77777777" w:rsidR="0039146A" w:rsidRDefault="0039146A" w:rsidP="006801FF">
            <w:pPr>
              <w:pStyle w:val="Address"/>
              <w:jc w:val="center"/>
              <w:rPr>
                <w:sz w:val="22"/>
                <w:szCs w:val="22"/>
              </w:rPr>
            </w:pPr>
            <w:r w:rsidRPr="00215D48">
              <w:t xml:space="preserve">Email: </w:t>
            </w:r>
            <w:hyperlink r:id="rId45" w:history="1">
              <w:r w:rsidRPr="00215D48">
                <w:rPr>
                  <w:rStyle w:val="Hyperlink"/>
                </w:rPr>
                <w:t>info@tga.gov.au</w:t>
              </w:r>
            </w:hyperlink>
            <w:r w:rsidRPr="00215D48">
              <w:t xml:space="preserve">  Phone: 1800 020 653 Fax: </w:t>
            </w:r>
            <w:r w:rsidRPr="00BA0DFC">
              <w:t>02 6203 1605</w:t>
            </w:r>
          </w:p>
          <w:p w14:paraId="42533CF0" w14:textId="77777777" w:rsidR="0039146A" w:rsidRPr="00215D48" w:rsidRDefault="00AF4EF5" w:rsidP="006801FF">
            <w:pPr>
              <w:pStyle w:val="Address"/>
              <w:jc w:val="center"/>
              <w:rPr>
                <w:rStyle w:val="Hyperlink"/>
                <w:b/>
                <w:color w:val="auto"/>
                <w:sz w:val="22"/>
                <w:u w:val="none"/>
              </w:rPr>
            </w:pPr>
            <w:hyperlink r:id="rId46" w:history="1">
              <w:r w:rsidR="0039146A" w:rsidRPr="00C4721A">
                <w:rPr>
                  <w:rStyle w:val="Hyperlink"/>
                  <w:b/>
                </w:rPr>
                <w:t>https://www.tga.gov.au</w:t>
              </w:r>
            </w:hyperlink>
          </w:p>
        </w:tc>
      </w:tr>
    </w:tbl>
    <w:p w14:paraId="07120EBA" w14:textId="77777777" w:rsidR="0039146A" w:rsidRPr="0039146A" w:rsidRDefault="0039146A" w:rsidP="0039146A"/>
    <w:sectPr w:rsidR="0039146A" w:rsidRPr="0039146A" w:rsidSect="0039146A">
      <w:headerReference w:type="first" r:id="rId47"/>
      <w:footerReference w:type="first" r:id="rId48"/>
      <w:pgSz w:w="11906" w:h="16838" w:code="9"/>
      <w:pgMar w:top="1134" w:right="1418" w:bottom="1361" w:left="1418" w:header="57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7D224" w14:textId="77777777" w:rsidR="009A68A4" w:rsidRDefault="009A68A4" w:rsidP="00C40A36">
      <w:pPr>
        <w:spacing w:after="0"/>
      </w:pPr>
      <w:r>
        <w:separator/>
      </w:r>
    </w:p>
    <w:p w14:paraId="35D57E0E" w14:textId="77777777" w:rsidR="009A68A4" w:rsidRDefault="009A68A4"/>
  </w:endnote>
  <w:endnote w:type="continuationSeparator" w:id="0">
    <w:p w14:paraId="0905923E" w14:textId="77777777" w:rsidR="009A68A4" w:rsidRDefault="009A68A4" w:rsidP="00C40A36">
      <w:pPr>
        <w:spacing w:after="0"/>
      </w:pPr>
      <w:r>
        <w:continuationSeparator/>
      </w:r>
    </w:p>
    <w:p w14:paraId="35C812CA" w14:textId="77777777" w:rsidR="009A68A4" w:rsidRDefault="009A6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2DCB0861" w14:textId="77777777" w:rsidTr="000B30E5">
      <w:trPr>
        <w:trHeight w:val="423"/>
      </w:trPr>
      <w:tc>
        <w:tcPr>
          <w:tcW w:w="4360" w:type="dxa"/>
          <w:tcBorders>
            <w:top w:val="single" w:sz="4" w:space="0" w:color="auto"/>
          </w:tcBorders>
        </w:tcPr>
        <w:p w14:paraId="47582D49" w14:textId="77777777" w:rsidR="00A77452" w:rsidRDefault="00A77452" w:rsidP="000B30E5">
          <w:pPr>
            <w:pStyle w:val="Footer"/>
          </w:pPr>
        </w:p>
        <w:p w14:paraId="1CCE2DB3"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2CBC0040" w14:textId="77777777" w:rsidR="00A77452" w:rsidRDefault="00A77452" w:rsidP="000B30E5">
              <w:pPr>
                <w:pStyle w:val="Footer"/>
                <w:jc w:val="right"/>
              </w:pPr>
            </w:p>
            <w:p w14:paraId="43625105"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AF4EF5">
                <w:fldChar w:fldCharType="begin"/>
              </w:r>
              <w:r w:rsidR="00AF4EF5">
                <w:instrText xml:space="preserve"> NUMPAGES  </w:instrText>
              </w:r>
              <w:r w:rsidR="00AF4EF5">
                <w:fldChar w:fldCharType="separate"/>
              </w:r>
              <w:r w:rsidR="00EB6CAF">
                <w:rPr>
                  <w:noProof/>
                </w:rPr>
                <w:t>2</w:t>
              </w:r>
              <w:r w:rsidR="00AF4EF5">
                <w:rPr>
                  <w:noProof/>
                </w:rPr>
                <w:fldChar w:fldCharType="end"/>
              </w:r>
            </w:p>
          </w:sdtContent>
        </w:sdt>
      </w:tc>
    </w:tr>
    <w:tr w:rsidR="00A77452" w:rsidRPr="00257138" w14:paraId="00AAD18D" w14:textId="77777777" w:rsidTr="000B30E5">
      <w:trPr>
        <w:trHeight w:val="263"/>
      </w:trPr>
      <w:tc>
        <w:tcPr>
          <w:tcW w:w="4360" w:type="dxa"/>
        </w:tcPr>
        <w:p w14:paraId="610D49BA"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55D25244" w14:textId="77777777" w:rsidR="00A77452" w:rsidRPr="00257138" w:rsidRDefault="00A77452" w:rsidP="000B30E5">
          <w:pPr>
            <w:pStyle w:val="Footer"/>
            <w:jc w:val="right"/>
          </w:pPr>
        </w:p>
      </w:tc>
    </w:tr>
  </w:tbl>
  <w:p w14:paraId="3435AF58"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3EDE"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39146A" w:rsidRPr="004A3084" w14:paraId="59E9AA60" w14:textId="77777777" w:rsidTr="00231E8D">
      <w:trPr>
        <w:trHeight w:val="423"/>
      </w:trPr>
      <w:tc>
        <w:tcPr>
          <w:tcW w:w="7338" w:type="dxa"/>
          <w:tcBorders>
            <w:top w:val="single" w:sz="4" w:space="0" w:color="auto"/>
          </w:tcBorders>
        </w:tcPr>
        <w:p w14:paraId="703A2FAC" w14:textId="519830C8" w:rsidR="0039146A" w:rsidRPr="004A3084" w:rsidRDefault="0039146A" w:rsidP="00D27507">
          <w:pPr>
            <w:pStyle w:val="Footer"/>
          </w:pPr>
          <w:r>
            <w:t>Reclassification of active implantable medical devices (AIMD)</w:t>
          </w:r>
          <w:r w:rsidRPr="00F53D96">
            <w:rPr>
              <w:highlight w:val="yellow"/>
            </w:rPr>
            <w:br/>
          </w:r>
          <w:r w:rsidRPr="00A34336">
            <w:t>V1.</w:t>
          </w:r>
          <w:r w:rsidR="003E4B39">
            <w:t xml:space="preserve">5 May </w:t>
          </w:r>
          <w:r>
            <w:t>202</w:t>
          </w:r>
          <w:r w:rsidR="007A01EA">
            <w:t>3</w:t>
          </w:r>
        </w:p>
      </w:tc>
      <w:tc>
        <w:tcPr>
          <w:tcW w:w="1382" w:type="dxa"/>
          <w:tcBorders>
            <w:top w:val="single" w:sz="4" w:space="0" w:color="auto"/>
          </w:tcBorders>
        </w:tcPr>
        <w:sdt>
          <w:sdtPr>
            <w:id w:val="11571659"/>
            <w:docPartObj>
              <w:docPartGallery w:val="Page Numbers (Top of Page)"/>
              <w:docPartUnique/>
            </w:docPartObj>
          </w:sdtPr>
          <w:sdtEndPr/>
          <w:sdtContent>
            <w:p w14:paraId="0343C503" w14:textId="7095899C" w:rsidR="0039146A" w:rsidRPr="004A3084" w:rsidRDefault="0039146A" w:rsidP="00231E8D">
              <w:pPr>
                <w:pStyle w:val="Footer"/>
                <w:jc w:val="right"/>
              </w:pPr>
              <w:r w:rsidRPr="004A3084">
                <w:t xml:space="preserve">Page </w:t>
              </w:r>
              <w:r>
                <w:fldChar w:fldCharType="begin"/>
              </w:r>
              <w:r>
                <w:instrText xml:space="preserve"> PAGE </w:instrText>
              </w:r>
              <w:r>
                <w:fldChar w:fldCharType="separate"/>
              </w:r>
              <w:r>
                <w:rPr>
                  <w:noProof/>
                </w:rPr>
                <w:t>3</w:t>
              </w:r>
              <w:r>
                <w:rPr>
                  <w:noProof/>
                </w:rPr>
                <w:fldChar w:fldCharType="end"/>
              </w:r>
              <w:r w:rsidRPr="004A3084">
                <w:t xml:space="preserve"> of </w:t>
              </w:r>
              <w:r w:rsidR="00AF4EF5">
                <w:fldChar w:fldCharType="begin"/>
              </w:r>
              <w:r w:rsidR="00AF4EF5">
                <w:instrText xml:space="preserve"> NUMPAGES  </w:instrText>
              </w:r>
              <w:r w:rsidR="00AF4EF5">
                <w:fldChar w:fldCharType="separate"/>
              </w:r>
              <w:r>
                <w:rPr>
                  <w:noProof/>
                </w:rPr>
                <w:t>11</w:t>
              </w:r>
              <w:r w:rsidR="00AF4EF5">
                <w:rPr>
                  <w:noProof/>
                </w:rPr>
                <w:fldChar w:fldCharType="end"/>
              </w:r>
            </w:p>
          </w:sdtContent>
        </w:sdt>
      </w:tc>
    </w:tr>
  </w:tbl>
  <w:p w14:paraId="743A1E1C" w14:textId="77777777" w:rsidR="0039146A" w:rsidRPr="00826007" w:rsidRDefault="0039146A"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F031"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B46A" w14:textId="77777777" w:rsidR="009A68A4" w:rsidRDefault="009A68A4" w:rsidP="00C40A36">
      <w:pPr>
        <w:spacing w:after="0"/>
      </w:pPr>
      <w:r>
        <w:separator/>
      </w:r>
    </w:p>
    <w:p w14:paraId="271D1F13" w14:textId="77777777" w:rsidR="009A68A4" w:rsidRDefault="009A68A4"/>
  </w:footnote>
  <w:footnote w:type="continuationSeparator" w:id="0">
    <w:p w14:paraId="194E9F9D" w14:textId="77777777" w:rsidR="009A68A4" w:rsidRDefault="009A68A4" w:rsidP="00C40A36">
      <w:pPr>
        <w:spacing w:after="0"/>
      </w:pPr>
      <w:r>
        <w:continuationSeparator/>
      </w:r>
    </w:p>
    <w:p w14:paraId="784E11E3" w14:textId="77777777" w:rsidR="009A68A4" w:rsidRDefault="009A68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85F4" w14:textId="77777777" w:rsidR="00A77452" w:rsidRDefault="00AF4EF5" w:rsidP="00C3408D">
    <w:pPr>
      <w:pStyle w:val="Header"/>
    </w:pPr>
    <w:sdt>
      <w:sdtPr>
        <w:id w:val="-203553135"/>
        <w:docPartObj>
          <w:docPartGallery w:val="Watermarks"/>
          <w:docPartUnique/>
        </w:docPartObj>
      </w:sdtPr>
      <w:sdtEndPr/>
      <w:sdtContent>
        <w:r>
          <w:rPr>
            <w:noProof/>
          </w:rPr>
          <w:pict w14:anchorId="1909D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3EC75691" w14:textId="77777777" w:rsidTr="00F71E1E">
      <w:trPr>
        <w:trHeight w:hRule="exact" w:val="8845"/>
      </w:trPr>
      <w:tc>
        <w:tcPr>
          <w:tcW w:w="11964" w:type="dxa"/>
          <w:vAlign w:val="center"/>
        </w:tcPr>
        <w:p w14:paraId="7E347DB4" w14:textId="77777777" w:rsidR="00A77452" w:rsidRPr="002B29B2" w:rsidRDefault="00AF4EF5"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2AE1ADC5" wp14:editId="2ED42A65">
                    <wp:extent cx="7631430" cy="5523865"/>
                    <wp:effectExtent l="0" t="0" r="7620" b="63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0050D7C4" w14:textId="77777777"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1C6B37A4" wp14:editId="584244FA">
          <wp:simplePos x="0" y="0"/>
          <wp:positionH relativeFrom="page">
            <wp:align>left</wp:align>
          </wp:positionH>
          <wp:positionV relativeFrom="page">
            <wp:posOffset>3239495</wp:posOffset>
          </wp:positionV>
          <wp:extent cx="7663815" cy="4323091"/>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015CFFB8" wp14:editId="67CAE19A">
          <wp:simplePos x="0" y="0"/>
          <wp:positionH relativeFrom="column">
            <wp:posOffset>-186055</wp:posOffset>
          </wp:positionH>
          <wp:positionV relativeFrom="paragraph">
            <wp:posOffset>136525</wp:posOffset>
          </wp:positionV>
          <wp:extent cx="3524250" cy="819150"/>
          <wp:effectExtent l="0" t="0" r="0" b="0"/>
          <wp:wrapTopAndBottom/>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1203" w14:textId="77777777" w:rsidR="0039146A" w:rsidRDefault="0039146A"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E1D3"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34A25D45"/>
    <w:multiLevelType w:val="hybridMultilevel"/>
    <w:tmpl w:val="FF9E1BAC"/>
    <w:lvl w:ilvl="0" w:tplc="2FAC5CAE">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F87440B"/>
    <w:multiLevelType w:val="hybridMultilevel"/>
    <w:tmpl w:val="A896373E"/>
    <w:lvl w:ilvl="0" w:tplc="5E14B5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9"/>
  </w:num>
  <w:num w:numId="20">
    <w:abstractNumId w:val="6"/>
  </w:num>
  <w:num w:numId="21">
    <w:abstractNumId w:val="8"/>
  </w:num>
  <w:num w:numId="22">
    <w:abstractNumId w:val="5"/>
    <w:lvlOverride w:ilvl="0">
      <w:lvl w:ilvl="0">
        <w:start w:val="1"/>
        <w:numFmt w:val="bullet"/>
        <w:pStyle w:val="ListBullet"/>
        <w:lvlText w:val="•"/>
        <w:lvlJc w:val="left"/>
        <w:pPr>
          <w:ind w:left="360" w:hanging="360"/>
        </w:pPr>
        <w:rPr>
          <w:rFonts w:ascii="Arial" w:hAnsi="Arial" w:hint="default"/>
          <w:color w:val="auto"/>
        </w:rPr>
      </w:lvl>
    </w:lvlOverride>
    <w:lvlOverride w:ilvl="1">
      <w:lvl w:ilvl="1">
        <w:start w:val="1"/>
        <w:numFmt w:val="bullet"/>
        <w:pStyle w:val="List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6A"/>
    <w:rsid w:val="00002031"/>
    <w:rsid w:val="000040BA"/>
    <w:rsid w:val="00004734"/>
    <w:rsid w:val="00006B22"/>
    <w:rsid w:val="00010E4D"/>
    <w:rsid w:val="0001276A"/>
    <w:rsid w:val="00016BEB"/>
    <w:rsid w:val="000246AE"/>
    <w:rsid w:val="00025C67"/>
    <w:rsid w:val="00030D34"/>
    <w:rsid w:val="00032FFB"/>
    <w:rsid w:val="0005559E"/>
    <w:rsid w:val="000703AB"/>
    <w:rsid w:val="000724FC"/>
    <w:rsid w:val="00074CAE"/>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2BC7"/>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15D48"/>
    <w:rsid w:val="00217091"/>
    <w:rsid w:val="00220B8A"/>
    <w:rsid w:val="002257F3"/>
    <w:rsid w:val="00231E8D"/>
    <w:rsid w:val="00233456"/>
    <w:rsid w:val="002339A5"/>
    <w:rsid w:val="00237691"/>
    <w:rsid w:val="00247FB9"/>
    <w:rsid w:val="00251A51"/>
    <w:rsid w:val="00257138"/>
    <w:rsid w:val="00257848"/>
    <w:rsid w:val="0026281B"/>
    <w:rsid w:val="0027084A"/>
    <w:rsid w:val="00286434"/>
    <w:rsid w:val="00286C59"/>
    <w:rsid w:val="0029069E"/>
    <w:rsid w:val="00290795"/>
    <w:rsid w:val="002942D1"/>
    <w:rsid w:val="002A0556"/>
    <w:rsid w:val="002A592C"/>
    <w:rsid w:val="002A5B3A"/>
    <w:rsid w:val="002A706C"/>
    <w:rsid w:val="002B1638"/>
    <w:rsid w:val="002B25CB"/>
    <w:rsid w:val="002B29B2"/>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25399"/>
    <w:rsid w:val="00331DBB"/>
    <w:rsid w:val="00335C3B"/>
    <w:rsid w:val="003361D1"/>
    <w:rsid w:val="00350236"/>
    <w:rsid w:val="0035146C"/>
    <w:rsid w:val="003521E8"/>
    <w:rsid w:val="00357700"/>
    <w:rsid w:val="0036361E"/>
    <w:rsid w:val="003664BF"/>
    <w:rsid w:val="00367F70"/>
    <w:rsid w:val="003728F3"/>
    <w:rsid w:val="00376793"/>
    <w:rsid w:val="003843F6"/>
    <w:rsid w:val="00390900"/>
    <w:rsid w:val="0039146A"/>
    <w:rsid w:val="00393398"/>
    <w:rsid w:val="00394EA7"/>
    <w:rsid w:val="003A2DDF"/>
    <w:rsid w:val="003B362C"/>
    <w:rsid w:val="003B7E39"/>
    <w:rsid w:val="003C58DC"/>
    <w:rsid w:val="003D3B63"/>
    <w:rsid w:val="003D6B56"/>
    <w:rsid w:val="003E0A89"/>
    <w:rsid w:val="003E3208"/>
    <w:rsid w:val="003E4B39"/>
    <w:rsid w:val="003F0B04"/>
    <w:rsid w:val="003F282B"/>
    <w:rsid w:val="003F2E95"/>
    <w:rsid w:val="0040134E"/>
    <w:rsid w:val="00404B57"/>
    <w:rsid w:val="00406DB9"/>
    <w:rsid w:val="00416BCB"/>
    <w:rsid w:val="00440A2D"/>
    <w:rsid w:val="00442DA9"/>
    <w:rsid w:val="0045040C"/>
    <w:rsid w:val="004564A7"/>
    <w:rsid w:val="004617BF"/>
    <w:rsid w:val="00473864"/>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40D8"/>
    <w:rsid w:val="004F484B"/>
    <w:rsid w:val="00501921"/>
    <w:rsid w:val="00523FB1"/>
    <w:rsid w:val="00525165"/>
    <w:rsid w:val="00526B28"/>
    <w:rsid w:val="00530354"/>
    <w:rsid w:val="00531B69"/>
    <w:rsid w:val="00535D83"/>
    <w:rsid w:val="0054053C"/>
    <w:rsid w:val="00541FD8"/>
    <w:rsid w:val="005423EF"/>
    <w:rsid w:val="005434C6"/>
    <w:rsid w:val="00543B39"/>
    <w:rsid w:val="00550096"/>
    <w:rsid w:val="0055653F"/>
    <w:rsid w:val="00557FF9"/>
    <w:rsid w:val="00560037"/>
    <w:rsid w:val="005640AC"/>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10D73"/>
    <w:rsid w:val="00625015"/>
    <w:rsid w:val="0062573C"/>
    <w:rsid w:val="00640FC3"/>
    <w:rsid w:val="00642020"/>
    <w:rsid w:val="0065200D"/>
    <w:rsid w:val="0065337B"/>
    <w:rsid w:val="0065419D"/>
    <w:rsid w:val="006604D8"/>
    <w:rsid w:val="00664A5B"/>
    <w:rsid w:val="006659EF"/>
    <w:rsid w:val="00667942"/>
    <w:rsid w:val="00680C08"/>
    <w:rsid w:val="0068741A"/>
    <w:rsid w:val="006931B1"/>
    <w:rsid w:val="006974FD"/>
    <w:rsid w:val="006A15C0"/>
    <w:rsid w:val="006A2426"/>
    <w:rsid w:val="006A2A31"/>
    <w:rsid w:val="006A38E4"/>
    <w:rsid w:val="006B50E7"/>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23BF8"/>
    <w:rsid w:val="00724E0E"/>
    <w:rsid w:val="00732FEE"/>
    <w:rsid w:val="0074253D"/>
    <w:rsid w:val="0074429B"/>
    <w:rsid w:val="007477F8"/>
    <w:rsid w:val="00751EBD"/>
    <w:rsid w:val="00753687"/>
    <w:rsid w:val="00753A56"/>
    <w:rsid w:val="0075524A"/>
    <w:rsid w:val="00756C9D"/>
    <w:rsid w:val="007615BC"/>
    <w:rsid w:val="007622D7"/>
    <w:rsid w:val="00762F05"/>
    <w:rsid w:val="00764FC4"/>
    <w:rsid w:val="007652FF"/>
    <w:rsid w:val="00771329"/>
    <w:rsid w:val="00773EF7"/>
    <w:rsid w:val="00774E1D"/>
    <w:rsid w:val="0077675A"/>
    <w:rsid w:val="00780355"/>
    <w:rsid w:val="00785721"/>
    <w:rsid w:val="007857A5"/>
    <w:rsid w:val="0078745C"/>
    <w:rsid w:val="00793A59"/>
    <w:rsid w:val="00795DC5"/>
    <w:rsid w:val="007A01EA"/>
    <w:rsid w:val="007A216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5641B"/>
    <w:rsid w:val="00857136"/>
    <w:rsid w:val="0089079E"/>
    <w:rsid w:val="0089333A"/>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47BE9"/>
    <w:rsid w:val="0096319D"/>
    <w:rsid w:val="00963C08"/>
    <w:rsid w:val="00964F68"/>
    <w:rsid w:val="009707B8"/>
    <w:rsid w:val="00974DBB"/>
    <w:rsid w:val="0099110E"/>
    <w:rsid w:val="00994189"/>
    <w:rsid w:val="00997116"/>
    <w:rsid w:val="009A4CED"/>
    <w:rsid w:val="009A5BC7"/>
    <w:rsid w:val="009A68A4"/>
    <w:rsid w:val="009B1D12"/>
    <w:rsid w:val="009B3475"/>
    <w:rsid w:val="009B416B"/>
    <w:rsid w:val="009B68A6"/>
    <w:rsid w:val="009C4BD5"/>
    <w:rsid w:val="009D059A"/>
    <w:rsid w:val="009D2E04"/>
    <w:rsid w:val="009D7B77"/>
    <w:rsid w:val="009E0BB0"/>
    <w:rsid w:val="009E3FBB"/>
    <w:rsid w:val="009E45E7"/>
    <w:rsid w:val="009F018D"/>
    <w:rsid w:val="009F0B33"/>
    <w:rsid w:val="009F0DC4"/>
    <w:rsid w:val="00A1235B"/>
    <w:rsid w:val="00A14DF7"/>
    <w:rsid w:val="00A26E24"/>
    <w:rsid w:val="00A3246D"/>
    <w:rsid w:val="00A36FA7"/>
    <w:rsid w:val="00A4235C"/>
    <w:rsid w:val="00A47459"/>
    <w:rsid w:val="00A475B7"/>
    <w:rsid w:val="00A47AF7"/>
    <w:rsid w:val="00A47C3E"/>
    <w:rsid w:val="00A50226"/>
    <w:rsid w:val="00A60BAD"/>
    <w:rsid w:val="00A644D1"/>
    <w:rsid w:val="00A73A8D"/>
    <w:rsid w:val="00A77452"/>
    <w:rsid w:val="00A87334"/>
    <w:rsid w:val="00AA3EB9"/>
    <w:rsid w:val="00AC2B40"/>
    <w:rsid w:val="00AC2BB2"/>
    <w:rsid w:val="00AC2C3C"/>
    <w:rsid w:val="00AC3BD9"/>
    <w:rsid w:val="00AC3D45"/>
    <w:rsid w:val="00AD5831"/>
    <w:rsid w:val="00AE5AB2"/>
    <w:rsid w:val="00AE65EB"/>
    <w:rsid w:val="00AE7C6A"/>
    <w:rsid w:val="00AF1D94"/>
    <w:rsid w:val="00AF4EF5"/>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A0DFC"/>
    <w:rsid w:val="00BA7BA5"/>
    <w:rsid w:val="00BC1CAB"/>
    <w:rsid w:val="00BC622A"/>
    <w:rsid w:val="00BC761B"/>
    <w:rsid w:val="00BD0B28"/>
    <w:rsid w:val="00BE0A78"/>
    <w:rsid w:val="00BE243C"/>
    <w:rsid w:val="00BE79F0"/>
    <w:rsid w:val="00BF046D"/>
    <w:rsid w:val="00BF28B9"/>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4E86"/>
    <w:rsid w:val="00C85953"/>
    <w:rsid w:val="00C87DC4"/>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55652"/>
    <w:rsid w:val="00D64401"/>
    <w:rsid w:val="00D6493E"/>
    <w:rsid w:val="00D744BD"/>
    <w:rsid w:val="00D85417"/>
    <w:rsid w:val="00D9141E"/>
    <w:rsid w:val="00DA1124"/>
    <w:rsid w:val="00DA24C7"/>
    <w:rsid w:val="00DA381C"/>
    <w:rsid w:val="00DA4CD9"/>
    <w:rsid w:val="00DC2133"/>
    <w:rsid w:val="00DD6892"/>
    <w:rsid w:val="00DD75A3"/>
    <w:rsid w:val="00DD76DE"/>
    <w:rsid w:val="00DE02AE"/>
    <w:rsid w:val="00DE6A0C"/>
    <w:rsid w:val="00DE6C04"/>
    <w:rsid w:val="00DF1D7F"/>
    <w:rsid w:val="00DF45B9"/>
    <w:rsid w:val="00DF6BE8"/>
    <w:rsid w:val="00E02FB4"/>
    <w:rsid w:val="00E10287"/>
    <w:rsid w:val="00E1198B"/>
    <w:rsid w:val="00E11E4D"/>
    <w:rsid w:val="00E1340C"/>
    <w:rsid w:val="00E177F4"/>
    <w:rsid w:val="00E20571"/>
    <w:rsid w:val="00E21651"/>
    <w:rsid w:val="00E22953"/>
    <w:rsid w:val="00E235F7"/>
    <w:rsid w:val="00E239D4"/>
    <w:rsid w:val="00E30C88"/>
    <w:rsid w:val="00E32A5C"/>
    <w:rsid w:val="00E40B22"/>
    <w:rsid w:val="00E4588F"/>
    <w:rsid w:val="00E4610C"/>
    <w:rsid w:val="00E46DA3"/>
    <w:rsid w:val="00E47660"/>
    <w:rsid w:val="00E67774"/>
    <w:rsid w:val="00EA16DE"/>
    <w:rsid w:val="00EA1F09"/>
    <w:rsid w:val="00EA406B"/>
    <w:rsid w:val="00EA7E1D"/>
    <w:rsid w:val="00EB0798"/>
    <w:rsid w:val="00EB40AD"/>
    <w:rsid w:val="00EB5622"/>
    <w:rsid w:val="00EB586E"/>
    <w:rsid w:val="00EB5FC8"/>
    <w:rsid w:val="00EB6CAF"/>
    <w:rsid w:val="00ED555A"/>
    <w:rsid w:val="00ED5A41"/>
    <w:rsid w:val="00ED6A67"/>
    <w:rsid w:val="00EE510E"/>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40B6"/>
    <w:rsid w:val="00F646B4"/>
    <w:rsid w:val="00F71E1E"/>
    <w:rsid w:val="00F80E40"/>
    <w:rsid w:val="00F859D2"/>
    <w:rsid w:val="00F8709D"/>
    <w:rsid w:val="00F9022D"/>
    <w:rsid w:val="00FA2B8E"/>
    <w:rsid w:val="00FA43E5"/>
    <w:rsid w:val="00FA5B82"/>
    <w:rsid w:val="00FA639E"/>
    <w:rsid w:val="00FA7C37"/>
    <w:rsid w:val="00FC03C8"/>
    <w:rsid w:val="00FC1750"/>
    <w:rsid w:val="00FC25E4"/>
    <w:rsid w:val="00FC4EF7"/>
    <w:rsid w:val="00FE1DEE"/>
    <w:rsid w:val="00FE206C"/>
    <w:rsid w:val="00FE501F"/>
    <w:rsid w:val="00FE6716"/>
    <w:rsid w:val="00FF2126"/>
    <w:rsid w:val="00FF2993"/>
    <w:rsid w:val="00FF69BE"/>
    <w:rsid w:val="00FF7B93"/>
    <w:rsid w:val="00FF7FC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417E4ADB"/>
  <w15:docId w15:val="{47202A08-E02F-43E2-8AC8-E0D5DC78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610C"/>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paragraph" w:styleId="ListParagraph">
    <w:name w:val="List Paragraph"/>
    <w:basedOn w:val="Normal"/>
    <w:uiPriority w:val="34"/>
    <w:qFormat/>
    <w:rsid w:val="0039146A"/>
    <w:pPr>
      <w:ind w:left="720"/>
      <w:contextualSpacing/>
    </w:pPr>
    <w:rPr>
      <w:rFonts w:ascii="Cambria" w:hAnsi="Cambria"/>
      <w:color w:val="auto"/>
    </w:rPr>
  </w:style>
  <w:style w:type="paragraph" w:styleId="Revision">
    <w:name w:val="Revision"/>
    <w:hidden/>
    <w:uiPriority w:val="99"/>
    <w:semiHidden/>
    <w:rsid w:val="007A01EA"/>
    <w:rPr>
      <w:rFonts w:ascii="Arial" w:hAnsi="Arial"/>
      <w:color w:val="333F48"/>
      <w:sz w:val="22"/>
      <w:lang w:eastAsia="en-US"/>
    </w:rPr>
  </w:style>
  <w:style w:type="character" w:styleId="UnresolvedMention">
    <w:name w:val="Unresolved Mention"/>
    <w:basedOn w:val="DefaultParagraphFont"/>
    <w:uiPriority w:val="99"/>
    <w:semiHidden/>
    <w:unhideWhenUsed/>
    <w:rsid w:val="003E4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consultation/consultation-proposed-changes-classification-active-implantable-medical-devices-and-their-accessories" TargetMode="External"/><Relationship Id="rId18" Type="http://schemas.openxmlformats.org/officeDocument/2006/relationships/hyperlink" Target="https://www.tga.gov.au/publication/medical-device-inclusion-process" TargetMode="External"/><Relationship Id="rId26" Type="http://schemas.openxmlformats.org/officeDocument/2006/relationships/hyperlink" Target="https://www.legislation.gov.au/Series/F2002B00237" TargetMode="External"/><Relationship Id="rId39" Type="http://schemas.openxmlformats.org/officeDocument/2006/relationships/hyperlink" Target="https://www.tga.gov.au/schedule-fees-and-charges" TargetMode="External"/><Relationship Id="rId3" Type="http://schemas.openxmlformats.org/officeDocument/2006/relationships/styles" Target="styles.xml"/><Relationship Id="rId21" Type="http://schemas.openxmlformats.org/officeDocument/2006/relationships/hyperlink" Target="https://www.tga.gov.au/how-we-regulate/supply-therapeutic-good/supply-medical-device/medical-device-inclusion-process" TargetMode="External"/><Relationship Id="rId34" Type="http://schemas.openxmlformats.org/officeDocument/2006/relationships/image" Target="media/image7.png"/><Relationship Id="rId42" Type="http://schemas.openxmlformats.org/officeDocument/2006/relationships/hyperlink" Target="https://www.legislation.gov.au/Series/C2004A03952"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Series/F2002B00237" TargetMode="External"/><Relationship Id="rId25" Type="http://schemas.openxmlformats.org/officeDocument/2006/relationships/hyperlink" Target="https://www.tga.gov.au/publication/medical-device-inclusion-process" TargetMode="External"/><Relationship Id="rId33" Type="http://schemas.openxmlformats.org/officeDocument/2006/relationships/image" Target="media/image6.png"/><Relationship Id="rId38" Type="http://schemas.openxmlformats.org/officeDocument/2006/relationships/hyperlink" Target="https://www.tga.gov.au/news/notices/use-market-authorisation-evidence-comparable-overseas-regulators-assessment-bodies-medical-devices-including-ivds" TargetMode="External"/><Relationship Id="rId46"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tga.gov.au/publication/medical-device-inclusion-process" TargetMode="External"/><Relationship Id="rId29" Type="http://schemas.openxmlformats.org/officeDocument/2006/relationships/hyperlink" Target="https://business.tga.gov.au/" TargetMode="External"/><Relationship Id="rId41" Type="http://schemas.openxmlformats.org/officeDocument/2006/relationships/hyperlink" Target="mailto:prostheses@health.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how-we-regulate/supply-therapeutic-good/supply-medical-device/medical-device-inclusion-process" TargetMode="External"/><Relationship Id="rId32" Type="http://schemas.openxmlformats.org/officeDocument/2006/relationships/image" Target="cid:image001.jpg@01D84445.C4524DB0" TargetMode="External"/><Relationship Id="rId37" Type="http://schemas.openxmlformats.org/officeDocument/2006/relationships/hyperlink" Target="https://www.tga.gov.au/manufacturer-evidence-medical-devices-and-ivd-medical-devices" TargetMode="External"/><Relationship Id="rId40" Type="http://schemas.openxmlformats.org/officeDocument/2006/relationships/hyperlink" Target="http://prostheses.health.gov.au/wps/portal/register/!ut/p/a1/04_Sj9CPykssy0xPLMnMz0vMAfGjzOJNPb09DUwMjLz9nZxcDBw9fUJ9XC0NjQz8TYEKIoEKDHAARwNC-sP1o8BK8JhQkBthkO6oqAgA-HOkGw!!/dl5/d5/L2dBISEvZ0FBIS9nQSEh/?token=Ig_H2rPTQi7zy5rtxYEp1JM2mgRzKRza-km5q7nW4TSdf4J2TV9hxUzxISp46T-WFMnH5Fq7sYEarnzklc6AnYa5T7IzW8yFjcwQl7bSVTH8gRoC0sZ-minZwztMmdTl1cw3z6-jB48IvnhIJIP8UjDqjyyNLvKrti1L4xFpmmDW4C_pmP1O4UYnHuOZHzvd9jdjeNI9trY-1YVcxnLH-OE5TaYAryQQdOIx3G6wv9wmr9gcTj5CPW1uk56brebSndh7RxrN17f6PYzflcaEdQ" TargetMode="External"/><Relationship Id="rId45" Type="http://schemas.openxmlformats.org/officeDocument/2006/relationships/hyperlink" Target="mailto:info@tga.gov.au" TargetMode="External"/><Relationship Id="rId5" Type="http://schemas.openxmlformats.org/officeDocument/2006/relationships/webSettings" Target="webSettings.xml"/><Relationship Id="rId15" Type="http://schemas.openxmlformats.org/officeDocument/2006/relationships/hyperlink" Target="https://www.legislation.gov.au/Details/F2019L01660" TargetMode="External"/><Relationship Id="rId23" Type="http://schemas.openxmlformats.org/officeDocument/2006/relationships/hyperlink" Target="https://www.tga.gov.au/form/request-cancel-artg-entry" TargetMode="External"/><Relationship Id="rId28" Type="http://schemas.openxmlformats.org/officeDocument/2006/relationships/hyperlink" Target="https://consultations.tga.gov.au/tga/reclass-active-implantable-md" TargetMode="External"/><Relationship Id="rId36" Type="http://schemas.openxmlformats.org/officeDocument/2006/relationships/hyperlink" Target="https://www.tga.gov.au/supporting-documentation-inclusion-medical-device"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tga.gov.au/form/request-cancel-artg-entry" TargetMode="External"/><Relationship Id="rId31" Type="http://schemas.openxmlformats.org/officeDocument/2006/relationships/image" Target="media/image5.jpeg"/><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au/Details/F2019L01660" TargetMode="External"/><Relationship Id="rId22" Type="http://schemas.openxmlformats.org/officeDocument/2006/relationships/hyperlink" Target="https://www.tga.gov.au/form/request-cancel-artg-entry" TargetMode="External"/><Relationship Id="rId27" Type="http://schemas.openxmlformats.org/officeDocument/2006/relationships/hyperlink" Target="https://www.legislation.gov.au/Details/F2020L00946" TargetMode="External"/><Relationship Id="rId30" Type="http://schemas.openxmlformats.org/officeDocument/2006/relationships/hyperlink" Target="https://www.tga.gov.au/how-we-regulate/fees-and-payments/refunds" TargetMode="External"/><Relationship Id="rId35" Type="http://schemas.openxmlformats.org/officeDocument/2006/relationships/image" Target="media/image8.png"/><Relationship Id="rId43" Type="http://schemas.openxmlformats.org/officeDocument/2006/relationships/header" Target="header3.xml"/><Relationship Id="rId48" Type="http://schemas.openxmlformats.org/officeDocument/2006/relationships/footer" Target="footer4.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100</TotalTime>
  <Pages>12</Pages>
  <Words>3183</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Reclassification of active implantable medical devices (AIMD)</vt:lpstr>
    </vt:vector>
  </TitlesOfParts>
  <Company>Department of Health and Aged Care</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Reclassification of active implantable medical devices (AIMD)</dc:title>
  <dc:subject>Medical devices regulation</dc:subject>
  <dc:creator>Therapeutic Goods Administration</dc:creator>
  <cp:lastModifiedBy>PITKIN, Brendan</cp:lastModifiedBy>
  <cp:revision>7</cp:revision>
  <cp:lastPrinted>2010-12-20T22:59:00Z</cp:lastPrinted>
  <dcterms:created xsi:type="dcterms:W3CDTF">2023-05-04T06:55:00Z</dcterms:created>
  <dcterms:modified xsi:type="dcterms:W3CDTF">2023-05-05T04:27:00Z</dcterms:modified>
</cp:coreProperties>
</file>