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E37144" w:rsidRPr="00215D48" w14:paraId="37CBDEAF" w14:textId="77777777" w:rsidTr="003E297A">
        <w:tc>
          <w:tcPr>
            <w:tcW w:w="8720" w:type="dxa"/>
          </w:tcPr>
          <w:p w14:paraId="3AE329EB" w14:textId="77777777" w:rsidR="00E37144" w:rsidRPr="00215D48" w:rsidRDefault="00E37144" w:rsidP="003E297A">
            <w:pPr>
              <w:pStyle w:val="Title"/>
            </w:pPr>
            <w:r w:rsidRPr="00FA401E">
              <w:t>Notice of final decisions to amend (or not amend) the current Poisons Standard</w:t>
            </w:r>
          </w:p>
        </w:tc>
      </w:tr>
      <w:tr w:rsidR="00E37144" w:rsidRPr="00215D48" w14:paraId="37AAD99B" w14:textId="77777777" w:rsidTr="003E297A">
        <w:trPr>
          <w:trHeight w:val="1916"/>
        </w:trPr>
        <w:tc>
          <w:tcPr>
            <w:tcW w:w="8720" w:type="dxa"/>
          </w:tcPr>
          <w:p w14:paraId="232AAFE6" w14:textId="77777777" w:rsidR="00E37144" w:rsidRPr="00215D48" w:rsidRDefault="00E37144" w:rsidP="003E297A">
            <w:pPr>
              <w:pStyle w:val="Subtitle"/>
              <w:ind w:left="0"/>
            </w:pPr>
            <w:r w:rsidRPr="00FA401E">
              <w:t>24 August 2020</w:t>
            </w:r>
          </w:p>
        </w:tc>
      </w:tr>
      <w:tr w:rsidR="00E37144" w:rsidRPr="00215D48" w14:paraId="0E5FE0EC" w14:textId="77777777" w:rsidTr="003E297A">
        <w:tc>
          <w:tcPr>
            <w:tcW w:w="8720" w:type="dxa"/>
          </w:tcPr>
          <w:p w14:paraId="306ADAFD" w14:textId="77777777" w:rsidR="00E37144" w:rsidRPr="00215D48" w:rsidRDefault="00E37144" w:rsidP="003E297A">
            <w:pPr>
              <w:pStyle w:val="Date"/>
            </w:pPr>
          </w:p>
        </w:tc>
      </w:tr>
    </w:tbl>
    <w:p w14:paraId="7C1DEE8E" w14:textId="77777777" w:rsidR="0025660C" w:rsidRDefault="0025660C" w:rsidP="0025660C">
      <w:pPr>
        <w:sectPr w:rsidR="0025660C" w:rsidSect="00E57B71">
          <w:footerReference w:type="default" r:id="rId8"/>
          <w:headerReference w:type="first" r:id="rId9"/>
          <w:pgSz w:w="11906" w:h="16838" w:code="9"/>
          <w:pgMar w:top="1134" w:right="1418" w:bottom="1361" w:left="1418" w:header="851" w:footer="768" w:gutter="0"/>
          <w:cols w:space="708"/>
          <w:titlePg/>
          <w:docGrid w:linePitch="360"/>
        </w:sectPr>
      </w:pPr>
      <w:r>
        <w:br w:type="page"/>
      </w:r>
    </w:p>
    <w:p w14:paraId="2355B7A5" w14:textId="77777777" w:rsidR="007907BF" w:rsidRPr="005D4EA1" w:rsidRDefault="007907BF" w:rsidP="007907BF">
      <w:pPr>
        <w:pStyle w:val="LegalSubheading"/>
        <w:pageBreakBefore/>
      </w:pPr>
      <w:r w:rsidRPr="00691723">
        <w:lastRenderedPageBreak/>
        <w:t>Copyright</w:t>
      </w:r>
    </w:p>
    <w:p w14:paraId="2A730ABC" w14:textId="77777777" w:rsidR="007907BF" w:rsidRDefault="007907BF" w:rsidP="007907BF">
      <w:pPr>
        <w:pStyle w:val="LegalCopy"/>
      </w:pPr>
      <w:r w:rsidRPr="009401F6">
        <w:t>© Commonwealth of Australia 20</w:t>
      </w:r>
      <w:r>
        <w:t>20</w:t>
      </w:r>
      <w:r w:rsidRPr="009401F6">
        <w:br/>
      </w:r>
      <w:proofErr w:type="gramStart"/>
      <w:r w:rsidRPr="009401F6">
        <w:t>This</w:t>
      </w:r>
      <w:proofErr w:type="gramEnd"/>
      <w:r w:rsidRPr="009401F6">
        <w:t xml:space="preserve"> work is copyright. </w:t>
      </w:r>
      <w:proofErr w:type="gramStart"/>
      <w:r w:rsidRPr="009401F6">
        <w:t>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w:t>
      </w:r>
      <w:proofErr w:type="gramEnd"/>
      <w:r w:rsidRPr="009401F6">
        <w:t xml:space="preserve"> Apart from rights to use as permitted by the </w:t>
      </w:r>
      <w:r w:rsidRPr="009401F6">
        <w:rPr>
          <w:i/>
        </w:rPr>
        <w:t>Copyright Act 1968</w:t>
      </w:r>
      <w:r w:rsidRPr="009401F6">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w:t>
      </w:r>
      <w:proofErr w:type="gramStart"/>
      <w:r w:rsidRPr="009401F6">
        <w:t>sent</w:t>
      </w:r>
      <w:proofErr w:type="gramEnd"/>
      <w:r w:rsidRPr="009401F6">
        <w:t xml:space="preserve"> to the TGA Copyright Officer, Therapeutic Goods Administration, PO Box 100, Woden ACT 2606 or emailed to &lt;</w:t>
      </w:r>
      <w:hyperlink r:id="rId10" w:history="1">
        <w:r w:rsidRPr="009401F6">
          <w:rPr>
            <w:rStyle w:val="Hyperlink"/>
            <w:rFonts w:cs="Arial"/>
          </w:rPr>
          <w:t>tga.copyright@tga.gov.au</w:t>
        </w:r>
      </w:hyperlink>
      <w:r w:rsidRPr="009401F6">
        <w:t>&gt;</w:t>
      </w:r>
    </w:p>
    <w:p w14:paraId="1A6FA750" w14:textId="68ACE679" w:rsidR="0025660C" w:rsidRPr="00766888" w:rsidRDefault="0025660C" w:rsidP="00ED6B23">
      <w:pPr>
        <w:pStyle w:val="LegalCopy"/>
        <w:tabs>
          <w:tab w:val="clear" w:pos="4513"/>
          <w:tab w:val="clear" w:pos="9026"/>
          <w:tab w:val="left" w:pos="2027"/>
        </w:tabs>
        <w:spacing w:before="12000"/>
      </w:pPr>
    </w:p>
    <w:bookmarkStart w:id="0" w:name="_Toc323740418" w:displacedByCustomXml="next"/>
    <w:bookmarkStart w:id="1" w:name="_Toc328388475" w:displacedByCustomXml="next"/>
    <w:bookmarkStart w:id="2" w:name="_Toc323740419" w:displacedByCustomXml="next"/>
    <w:sdt>
      <w:sdtPr>
        <w:id w:val="21514559"/>
        <w:docPartObj>
          <w:docPartGallery w:val="Table of Contents"/>
          <w:docPartUnique/>
        </w:docPartObj>
      </w:sdtPr>
      <w:sdtEndPr/>
      <w:sdtContent>
        <w:p w14:paraId="0D4D063D" w14:textId="77777777" w:rsidR="0058561F" w:rsidRDefault="0025660C" w:rsidP="00920D1F">
          <w:pPr>
            <w:pStyle w:val="NonTOCheading2"/>
            <w:rPr>
              <w:noProof/>
            </w:rPr>
          </w:pPr>
          <w:r w:rsidRPr="005D16DC">
            <w:rPr>
              <w:rFonts w:asciiTheme="majorHAnsi" w:hAnsiTheme="majorHAnsi" w:cstheme="majorHAnsi"/>
              <w:sz w:val="28"/>
              <w:szCs w:val="28"/>
            </w:rPr>
            <w:t>Contents</w:t>
          </w:r>
          <w:r w:rsidR="008D3724">
            <w:rPr>
              <w:rFonts w:ascii="Cambria" w:hAnsi="Cambria"/>
            </w:rPr>
            <w:fldChar w:fldCharType="begin"/>
          </w:r>
          <w:r w:rsidR="008D3724">
            <w:instrText xml:space="preserve"> TOC \o "1-3" \h \z \u </w:instrText>
          </w:r>
          <w:r w:rsidR="008D3724">
            <w:rPr>
              <w:rFonts w:ascii="Cambria" w:hAnsi="Cambria"/>
            </w:rPr>
            <w:fldChar w:fldCharType="separate"/>
          </w:r>
        </w:p>
        <w:p w14:paraId="5EF50D6D" w14:textId="4B0A3E4B" w:rsidR="0058561F" w:rsidRDefault="00755907">
          <w:pPr>
            <w:pStyle w:val="TOC2"/>
            <w:tabs>
              <w:tab w:val="left" w:pos="851"/>
            </w:tabs>
            <w:rPr>
              <w:rFonts w:asciiTheme="minorHAnsi" w:eastAsiaTheme="minorEastAsia" w:hAnsiTheme="minorHAnsi" w:cstheme="minorBidi"/>
              <w:noProof/>
              <w:szCs w:val="22"/>
              <w:lang w:eastAsia="en-AU"/>
            </w:rPr>
          </w:pPr>
          <w:hyperlink w:anchor="_Toc48996171" w:history="1">
            <w:r w:rsidR="0058561F" w:rsidRPr="00E84D15">
              <w:rPr>
                <w:rStyle w:val="Hyperlink"/>
                <w:noProof/>
              </w:rPr>
              <w:t>1</w:t>
            </w:r>
            <w:r w:rsidR="0058561F">
              <w:rPr>
                <w:rFonts w:asciiTheme="minorHAnsi" w:eastAsiaTheme="minorEastAsia" w:hAnsiTheme="minorHAnsi" w:cstheme="minorBidi"/>
                <w:noProof/>
                <w:szCs w:val="22"/>
                <w:lang w:eastAsia="en-AU"/>
              </w:rPr>
              <w:tab/>
            </w:r>
            <w:r w:rsidR="0058561F" w:rsidRPr="00E84D15">
              <w:rPr>
                <w:rStyle w:val="Hyperlink"/>
                <w:noProof/>
              </w:rPr>
              <w:t>Notice of final decisions to amend (or not amend) the current Poisons Standard</w:t>
            </w:r>
            <w:r w:rsidR="0058561F">
              <w:rPr>
                <w:noProof/>
                <w:webHidden/>
              </w:rPr>
              <w:tab/>
            </w:r>
            <w:r w:rsidR="0058561F">
              <w:rPr>
                <w:noProof/>
                <w:webHidden/>
              </w:rPr>
              <w:fldChar w:fldCharType="begin"/>
            </w:r>
            <w:r w:rsidR="0058561F">
              <w:rPr>
                <w:noProof/>
                <w:webHidden/>
              </w:rPr>
              <w:instrText xml:space="preserve"> PAGEREF _Toc48996171 \h </w:instrText>
            </w:r>
            <w:r w:rsidR="0058561F">
              <w:rPr>
                <w:noProof/>
                <w:webHidden/>
              </w:rPr>
            </w:r>
            <w:r w:rsidR="0058561F">
              <w:rPr>
                <w:noProof/>
                <w:webHidden/>
              </w:rPr>
              <w:fldChar w:fldCharType="separate"/>
            </w:r>
            <w:r w:rsidR="0058561F">
              <w:rPr>
                <w:noProof/>
                <w:webHidden/>
              </w:rPr>
              <w:t>4</w:t>
            </w:r>
            <w:r w:rsidR="0058561F">
              <w:rPr>
                <w:noProof/>
                <w:webHidden/>
              </w:rPr>
              <w:fldChar w:fldCharType="end"/>
            </w:r>
          </w:hyperlink>
        </w:p>
        <w:p w14:paraId="7A11026F" w14:textId="42925338" w:rsidR="0058561F" w:rsidRDefault="00755907">
          <w:pPr>
            <w:pStyle w:val="TOC2"/>
            <w:tabs>
              <w:tab w:val="left" w:pos="851"/>
            </w:tabs>
            <w:rPr>
              <w:rFonts w:asciiTheme="minorHAnsi" w:eastAsiaTheme="minorEastAsia" w:hAnsiTheme="minorHAnsi" w:cstheme="minorBidi"/>
              <w:noProof/>
              <w:szCs w:val="22"/>
              <w:lang w:eastAsia="en-AU"/>
            </w:rPr>
          </w:pPr>
          <w:hyperlink w:anchor="_Toc48996172" w:history="1">
            <w:r w:rsidR="0058561F" w:rsidRPr="00E84D15">
              <w:rPr>
                <w:rStyle w:val="Hyperlink"/>
                <w:noProof/>
              </w:rPr>
              <w:t>2</w:t>
            </w:r>
            <w:r w:rsidR="0058561F">
              <w:rPr>
                <w:rFonts w:asciiTheme="minorHAnsi" w:eastAsiaTheme="minorEastAsia" w:hAnsiTheme="minorHAnsi" w:cstheme="minorBidi"/>
                <w:noProof/>
                <w:szCs w:val="22"/>
                <w:lang w:eastAsia="en-AU"/>
              </w:rPr>
              <w:tab/>
            </w:r>
            <w:r w:rsidR="0058561F" w:rsidRPr="00E84D15">
              <w:rPr>
                <w:rStyle w:val="Hyperlink"/>
                <w:noProof/>
              </w:rPr>
              <w:t>Deferral of the final decision in relation to melatonin</w:t>
            </w:r>
            <w:r w:rsidR="0058561F">
              <w:rPr>
                <w:noProof/>
                <w:webHidden/>
              </w:rPr>
              <w:tab/>
            </w:r>
            <w:r w:rsidR="0058561F">
              <w:rPr>
                <w:noProof/>
                <w:webHidden/>
              </w:rPr>
              <w:fldChar w:fldCharType="begin"/>
            </w:r>
            <w:r w:rsidR="0058561F">
              <w:rPr>
                <w:noProof/>
                <w:webHidden/>
              </w:rPr>
              <w:instrText xml:space="preserve"> PAGEREF _Toc48996172 \h </w:instrText>
            </w:r>
            <w:r w:rsidR="0058561F">
              <w:rPr>
                <w:noProof/>
                <w:webHidden/>
              </w:rPr>
            </w:r>
            <w:r w:rsidR="0058561F">
              <w:rPr>
                <w:noProof/>
                <w:webHidden/>
              </w:rPr>
              <w:fldChar w:fldCharType="separate"/>
            </w:r>
            <w:r w:rsidR="0058561F">
              <w:rPr>
                <w:noProof/>
                <w:webHidden/>
              </w:rPr>
              <w:t>5</w:t>
            </w:r>
            <w:r w:rsidR="0058561F">
              <w:rPr>
                <w:noProof/>
                <w:webHidden/>
              </w:rPr>
              <w:fldChar w:fldCharType="end"/>
            </w:r>
          </w:hyperlink>
        </w:p>
        <w:p w14:paraId="7997557B" w14:textId="66EACDFA" w:rsidR="0058561F" w:rsidRDefault="00755907">
          <w:pPr>
            <w:pStyle w:val="TOC2"/>
            <w:tabs>
              <w:tab w:val="left" w:pos="851"/>
            </w:tabs>
            <w:rPr>
              <w:rFonts w:asciiTheme="minorHAnsi" w:eastAsiaTheme="minorEastAsia" w:hAnsiTheme="minorHAnsi" w:cstheme="minorBidi"/>
              <w:noProof/>
              <w:szCs w:val="22"/>
              <w:lang w:eastAsia="en-AU"/>
            </w:rPr>
          </w:pPr>
          <w:hyperlink w:anchor="_Toc48996173" w:history="1">
            <w:r w:rsidR="0058561F" w:rsidRPr="00E84D15">
              <w:rPr>
                <w:rStyle w:val="Hyperlink"/>
                <w:noProof/>
              </w:rPr>
              <w:t>3</w:t>
            </w:r>
            <w:r w:rsidR="0058561F">
              <w:rPr>
                <w:rFonts w:asciiTheme="minorHAnsi" w:eastAsiaTheme="minorEastAsia" w:hAnsiTheme="minorHAnsi" w:cstheme="minorBidi"/>
                <w:noProof/>
                <w:szCs w:val="22"/>
                <w:lang w:eastAsia="en-AU"/>
              </w:rPr>
              <w:tab/>
            </w:r>
            <w:r w:rsidR="0058561F" w:rsidRPr="00E84D15">
              <w:rPr>
                <w:rStyle w:val="Hyperlink"/>
                <w:noProof/>
              </w:rPr>
              <w:t>Final decisions on proposed amendments to the current Poisons Standard under regulation 42ZCZR</w:t>
            </w:r>
            <w:r w:rsidR="0058561F">
              <w:rPr>
                <w:noProof/>
                <w:webHidden/>
              </w:rPr>
              <w:tab/>
            </w:r>
            <w:r w:rsidR="0058561F">
              <w:rPr>
                <w:noProof/>
                <w:webHidden/>
              </w:rPr>
              <w:fldChar w:fldCharType="begin"/>
            </w:r>
            <w:r w:rsidR="0058561F">
              <w:rPr>
                <w:noProof/>
                <w:webHidden/>
              </w:rPr>
              <w:instrText xml:space="preserve"> PAGEREF _Toc48996173 \h </w:instrText>
            </w:r>
            <w:r w:rsidR="0058561F">
              <w:rPr>
                <w:noProof/>
                <w:webHidden/>
              </w:rPr>
            </w:r>
            <w:r w:rsidR="0058561F">
              <w:rPr>
                <w:noProof/>
                <w:webHidden/>
              </w:rPr>
              <w:fldChar w:fldCharType="separate"/>
            </w:r>
            <w:r w:rsidR="0058561F">
              <w:rPr>
                <w:noProof/>
                <w:webHidden/>
              </w:rPr>
              <w:t>6</w:t>
            </w:r>
            <w:r w:rsidR="0058561F">
              <w:rPr>
                <w:noProof/>
                <w:webHidden/>
              </w:rPr>
              <w:fldChar w:fldCharType="end"/>
            </w:r>
          </w:hyperlink>
        </w:p>
        <w:p w14:paraId="3DB744F2" w14:textId="27B1F925" w:rsidR="0058561F" w:rsidRDefault="00755907">
          <w:pPr>
            <w:pStyle w:val="TOC3"/>
            <w:tabs>
              <w:tab w:val="left" w:pos="1701"/>
            </w:tabs>
            <w:rPr>
              <w:rFonts w:asciiTheme="minorHAnsi" w:eastAsiaTheme="minorEastAsia" w:hAnsiTheme="minorHAnsi" w:cstheme="minorBidi"/>
              <w:noProof/>
              <w:sz w:val="22"/>
              <w:szCs w:val="22"/>
              <w:lang w:eastAsia="en-AU"/>
            </w:rPr>
          </w:pPr>
          <w:hyperlink w:anchor="_Toc48996174" w:history="1">
            <w:r w:rsidR="0058561F" w:rsidRPr="00E84D15">
              <w:rPr>
                <w:rStyle w:val="Hyperlink"/>
                <w:noProof/>
              </w:rPr>
              <w:t>3.1</w:t>
            </w:r>
            <w:r w:rsidR="0058561F">
              <w:rPr>
                <w:rFonts w:asciiTheme="minorHAnsi" w:eastAsiaTheme="minorEastAsia" w:hAnsiTheme="minorHAnsi" w:cstheme="minorBidi"/>
                <w:noProof/>
                <w:sz w:val="22"/>
                <w:szCs w:val="22"/>
                <w:lang w:eastAsia="en-AU"/>
              </w:rPr>
              <w:tab/>
            </w:r>
            <w:r w:rsidR="0058561F" w:rsidRPr="00E84D15">
              <w:rPr>
                <w:rStyle w:val="Hyperlink"/>
                <w:noProof/>
              </w:rPr>
              <w:t>Final decisions on proposed amendments referred to the Advisory Committee on Medicines Scheduling (ACMS #29, March 2020)</w:t>
            </w:r>
            <w:r w:rsidR="0058561F">
              <w:rPr>
                <w:noProof/>
                <w:webHidden/>
              </w:rPr>
              <w:tab/>
            </w:r>
            <w:r w:rsidR="0058561F">
              <w:rPr>
                <w:noProof/>
                <w:webHidden/>
              </w:rPr>
              <w:fldChar w:fldCharType="begin"/>
            </w:r>
            <w:r w:rsidR="0058561F">
              <w:rPr>
                <w:noProof/>
                <w:webHidden/>
              </w:rPr>
              <w:instrText xml:space="preserve"> PAGEREF _Toc48996174 \h </w:instrText>
            </w:r>
            <w:r w:rsidR="0058561F">
              <w:rPr>
                <w:noProof/>
                <w:webHidden/>
              </w:rPr>
            </w:r>
            <w:r w:rsidR="0058561F">
              <w:rPr>
                <w:noProof/>
                <w:webHidden/>
              </w:rPr>
              <w:fldChar w:fldCharType="separate"/>
            </w:r>
            <w:r w:rsidR="0058561F">
              <w:rPr>
                <w:noProof/>
                <w:webHidden/>
              </w:rPr>
              <w:t>6</w:t>
            </w:r>
            <w:r w:rsidR="0058561F">
              <w:rPr>
                <w:noProof/>
                <w:webHidden/>
              </w:rPr>
              <w:fldChar w:fldCharType="end"/>
            </w:r>
          </w:hyperlink>
        </w:p>
        <w:p w14:paraId="3ADCDC18" w14:textId="7D53B7CA" w:rsidR="0058561F" w:rsidRDefault="00755907">
          <w:pPr>
            <w:pStyle w:val="TOC3"/>
            <w:tabs>
              <w:tab w:val="left" w:pos="1701"/>
            </w:tabs>
            <w:rPr>
              <w:rFonts w:asciiTheme="minorHAnsi" w:eastAsiaTheme="minorEastAsia" w:hAnsiTheme="minorHAnsi" w:cstheme="minorBidi"/>
              <w:noProof/>
              <w:sz w:val="22"/>
              <w:szCs w:val="22"/>
              <w:lang w:eastAsia="en-AU"/>
            </w:rPr>
          </w:pPr>
          <w:hyperlink w:anchor="_Toc48996175" w:history="1">
            <w:r w:rsidR="0058561F" w:rsidRPr="00E84D15">
              <w:rPr>
                <w:rStyle w:val="Hyperlink"/>
                <w:noProof/>
              </w:rPr>
              <w:t>3.2</w:t>
            </w:r>
            <w:r w:rsidR="0058561F">
              <w:rPr>
                <w:rFonts w:asciiTheme="minorHAnsi" w:eastAsiaTheme="minorEastAsia" w:hAnsiTheme="minorHAnsi" w:cstheme="minorBidi"/>
                <w:noProof/>
                <w:sz w:val="22"/>
                <w:szCs w:val="22"/>
                <w:lang w:eastAsia="en-AU"/>
              </w:rPr>
              <w:tab/>
            </w:r>
            <w:r w:rsidR="0058561F" w:rsidRPr="00E84D15">
              <w:rPr>
                <w:rStyle w:val="Hyperlink"/>
                <w:noProof/>
              </w:rPr>
              <w:t>Final decisions on proposed amendments referred to the Advisory Committee on Chemicals Scheduling (ACCS #27, March 2020)</w:t>
            </w:r>
            <w:r w:rsidR="0058561F">
              <w:rPr>
                <w:noProof/>
                <w:webHidden/>
              </w:rPr>
              <w:tab/>
            </w:r>
            <w:r w:rsidR="0058561F">
              <w:rPr>
                <w:noProof/>
                <w:webHidden/>
              </w:rPr>
              <w:fldChar w:fldCharType="begin"/>
            </w:r>
            <w:r w:rsidR="0058561F">
              <w:rPr>
                <w:noProof/>
                <w:webHidden/>
              </w:rPr>
              <w:instrText xml:space="preserve"> PAGEREF _Toc48996175 \h </w:instrText>
            </w:r>
            <w:r w:rsidR="0058561F">
              <w:rPr>
                <w:noProof/>
                <w:webHidden/>
              </w:rPr>
            </w:r>
            <w:r w:rsidR="0058561F">
              <w:rPr>
                <w:noProof/>
                <w:webHidden/>
              </w:rPr>
              <w:fldChar w:fldCharType="separate"/>
            </w:r>
            <w:r w:rsidR="0058561F">
              <w:rPr>
                <w:noProof/>
                <w:webHidden/>
              </w:rPr>
              <w:t>14</w:t>
            </w:r>
            <w:r w:rsidR="0058561F">
              <w:rPr>
                <w:noProof/>
                <w:webHidden/>
              </w:rPr>
              <w:fldChar w:fldCharType="end"/>
            </w:r>
          </w:hyperlink>
        </w:p>
        <w:p w14:paraId="45F458F0" w14:textId="0C840282" w:rsidR="0058561F" w:rsidRDefault="00755907">
          <w:pPr>
            <w:pStyle w:val="TOC3"/>
            <w:tabs>
              <w:tab w:val="left" w:pos="1701"/>
            </w:tabs>
            <w:rPr>
              <w:rFonts w:asciiTheme="minorHAnsi" w:eastAsiaTheme="minorEastAsia" w:hAnsiTheme="minorHAnsi" w:cstheme="minorBidi"/>
              <w:noProof/>
              <w:sz w:val="22"/>
              <w:szCs w:val="22"/>
              <w:lang w:eastAsia="en-AU"/>
            </w:rPr>
          </w:pPr>
          <w:hyperlink w:anchor="_Toc48996176" w:history="1">
            <w:r w:rsidR="0058561F" w:rsidRPr="00E84D15">
              <w:rPr>
                <w:rStyle w:val="Hyperlink"/>
                <w:noProof/>
              </w:rPr>
              <w:t>3.3</w:t>
            </w:r>
            <w:r w:rsidR="0058561F">
              <w:rPr>
                <w:rFonts w:asciiTheme="minorHAnsi" w:eastAsiaTheme="minorEastAsia" w:hAnsiTheme="minorHAnsi" w:cstheme="minorBidi"/>
                <w:noProof/>
                <w:sz w:val="22"/>
                <w:szCs w:val="22"/>
                <w:lang w:eastAsia="en-AU"/>
              </w:rPr>
              <w:tab/>
            </w:r>
            <w:r w:rsidR="0058561F" w:rsidRPr="00E84D15">
              <w:rPr>
                <w:rStyle w:val="Hyperlink"/>
                <w:noProof/>
              </w:rPr>
              <w:t>Final decisions on proposed amendments referred to the Advisory Committee on Medicines and Chemicals Scheduling in joint session (Joint ACMS-ACCS #24, March 2020)</w:t>
            </w:r>
            <w:r w:rsidR="0058561F">
              <w:rPr>
                <w:noProof/>
                <w:webHidden/>
              </w:rPr>
              <w:tab/>
            </w:r>
            <w:r w:rsidR="0058561F">
              <w:rPr>
                <w:noProof/>
                <w:webHidden/>
              </w:rPr>
              <w:fldChar w:fldCharType="begin"/>
            </w:r>
            <w:r w:rsidR="0058561F">
              <w:rPr>
                <w:noProof/>
                <w:webHidden/>
              </w:rPr>
              <w:instrText xml:space="preserve"> PAGEREF _Toc48996176 \h </w:instrText>
            </w:r>
            <w:r w:rsidR="0058561F">
              <w:rPr>
                <w:noProof/>
                <w:webHidden/>
              </w:rPr>
            </w:r>
            <w:r w:rsidR="0058561F">
              <w:rPr>
                <w:noProof/>
                <w:webHidden/>
              </w:rPr>
              <w:fldChar w:fldCharType="separate"/>
            </w:r>
            <w:r w:rsidR="0058561F">
              <w:rPr>
                <w:noProof/>
                <w:webHidden/>
              </w:rPr>
              <w:t>20</w:t>
            </w:r>
            <w:r w:rsidR="0058561F">
              <w:rPr>
                <w:noProof/>
                <w:webHidden/>
              </w:rPr>
              <w:fldChar w:fldCharType="end"/>
            </w:r>
          </w:hyperlink>
        </w:p>
        <w:p w14:paraId="4A04CF52" w14:textId="794F284E" w:rsidR="0058561F" w:rsidRDefault="00755907">
          <w:pPr>
            <w:pStyle w:val="TOC2"/>
            <w:tabs>
              <w:tab w:val="left" w:pos="851"/>
            </w:tabs>
            <w:rPr>
              <w:rFonts w:asciiTheme="minorHAnsi" w:eastAsiaTheme="minorEastAsia" w:hAnsiTheme="minorHAnsi" w:cstheme="minorBidi"/>
              <w:noProof/>
              <w:szCs w:val="22"/>
              <w:lang w:eastAsia="en-AU"/>
            </w:rPr>
          </w:pPr>
          <w:hyperlink w:anchor="_Toc48996177" w:history="1">
            <w:r w:rsidR="0058561F" w:rsidRPr="00E84D15">
              <w:rPr>
                <w:rStyle w:val="Hyperlink"/>
                <w:noProof/>
              </w:rPr>
              <w:t>4</w:t>
            </w:r>
            <w:r w:rsidR="0058561F">
              <w:rPr>
                <w:rFonts w:asciiTheme="minorHAnsi" w:eastAsiaTheme="minorEastAsia" w:hAnsiTheme="minorHAnsi" w:cstheme="minorBidi"/>
                <w:noProof/>
                <w:szCs w:val="22"/>
                <w:lang w:eastAsia="en-AU"/>
              </w:rPr>
              <w:tab/>
            </w:r>
            <w:r w:rsidR="0058561F" w:rsidRPr="00E84D15">
              <w:rPr>
                <w:rStyle w:val="Hyperlink"/>
                <w:noProof/>
              </w:rPr>
              <w:t>Final decisions on proposed amendments to the current Poisons Standard under regulation 42ZCZU</w:t>
            </w:r>
            <w:r w:rsidR="0058561F">
              <w:rPr>
                <w:noProof/>
                <w:webHidden/>
              </w:rPr>
              <w:tab/>
            </w:r>
            <w:r w:rsidR="0058561F">
              <w:rPr>
                <w:noProof/>
                <w:webHidden/>
              </w:rPr>
              <w:fldChar w:fldCharType="begin"/>
            </w:r>
            <w:r w:rsidR="0058561F">
              <w:rPr>
                <w:noProof/>
                <w:webHidden/>
              </w:rPr>
              <w:instrText xml:space="preserve"> PAGEREF _Toc48996177 \h </w:instrText>
            </w:r>
            <w:r w:rsidR="0058561F">
              <w:rPr>
                <w:noProof/>
                <w:webHidden/>
              </w:rPr>
            </w:r>
            <w:r w:rsidR="0058561F">
              <w:rPr>
                <w:noProof/>
                <w:webHidden/>
              </w:rPr>
              <w:fldChar w:fldCharType="separate"/>
            </w:r>
            <w:r w:rsidR="0058561F">
              <w:rPr>
                <w:noProof/>
                <w:webHidden/>
              </w:rPr>
              <w:t>26</w:t>
            </w:r>
            <w:r w:rsidR="0058561F">
              <w:rPr>
                <w:noProof/>
                <w:webHidden/>
              </w:rPr>
              <w:fldChar w:fldCharType="end"/>
            </w:r>
          </w:hyperlink>
        </w:p>
        <w:p w14:paraId="3592585A" w14:textId="1A88C95B" w:rsidR="0058561F" w:rsidRDefault="00755907">
          <w:pPr>
            <w:pStyle w:val="TOC3"/>
            <w:tabs>
              <w:tab w:val="left" w:pos="1701"/>
            </w:tabs>
            <w:rPr>
              <w:rFonts w:asciiTheme="minorHAnsi" w:eastAsiaTheme="minorEastAsia" w:hAnsiTheme="minorHAnsi" w:cstheme="minorBidi"/>
              <w:noProof/>
              <w:sz w:val="22"/>
              <w:szCs w:val="22"/>
              <w:lang w:eastAsia="en-AU"/>
            </w:rPr>
          </w:pPr>
          <w:hyperlink w:anchor="_Toc48996178" w:history="1">
            <w:r w:rsidR="0058561F" w:rsidRPr="00E84D15">
              <w:rPr>
                <w:rStyle w:val="Hyperlink"/>
                <w:noProof/>
              </w:rPr>
              <w:t>4.1</w:t>
            </w:r>
            <w:r w:rsidR="0058561F">
              <w:rPr>
                <w:rFonts w:asciiTheme="minorHAnsi" w:eastAsiaTheme="minorEastAsia" w:hAnsiTheme="minorHAnsi" w:cstheme="minorBidi"/>
                <w:noProof/>
                <w:sz w:val="22"/>
                <w:szCs w:val="22"/>
                <w:lang w:eastAsia="en-AU"/>
              </w:rPr>
              <w:tab/>
            </w:r>
            <w:r w:rsidR="0058561F" w:rsidRPr="00E84D15">
              <w:rPr>
                <w:rStyle w:val="Hyperlink"/>
                <w:noProof/>
              </w:rPr>
              <w:t>Final decision in relation to sodium bromide</w:t>
            </w:r>
            <w:r w:rsidR="0058561F">
              <w:rPr>
                <w:noProof/>
                <w:webHidden/>
              </w:rPr>
              <w:tab/>
            </w:r>
            <w:r w:rsidR="0058561F">
              <w:rPr>
                <w:noProof/>
                <w:webHidden/>
              </w:rPr>
              <w:fldChar w:fldCharType="begin"/>
            </w:r>
            <w:r w:rsidR="0058561F">
              <w:rPr>
                <w:noProof/>
                <w:webHidden/>
              </w:rPr>
              <w:instrText xml:space="preserve"> PAGEREF _Toc48996178 \h </w:instrText>
            </w:r>
            <w:r w:rsidR="0058561F">
              <w:rPr>
                <w:noProof/>
                <w:webHidden/>
              </w:rPr>
            </w:r>
            <w:r w:rsidR="0058561F">
              <w:rPr>
                <w:noProof/>
                <w:webHidden/>
              </w:rPr>
              <w:fldChar w:fldCharType="separate"/>
            </w:r>
            <w:r w:rsidR="0058561F">
              <w:rPr>
                <w:noProof/>
                <w:webHidden/>
              </w:rPr>
              <w:t>26</w:t>
            </w:r>
            <w:r w:rsidR="0058561F">
              <w:rPr>
                <w:noProof/>
                <w:webHidden/>
              </w:rPr>
              <w:fldChar w:fldCharType="end"/>
            </w:r>
          </w:hyperlink>
        </w:p>
        <w:p w14:paraId="4A544D2F" w14:textId="1D0F9FEF" w:rsidR="0058561F" w:rsidRDefault="00755907">
          <w:pPr>
            <w:pStyle w:val="TOC3"/>
            <w:tabs>
              <w:tab w:val="left" w:pos="1701"/>
            </w:tabs>
            <w:rPr>
              <w:rFonts w:asciiTheme="minorHAnsi" w:eastAsiaTheme="minorEastAsia" w:hAnsiTheme="minorHAnsi" w:cstheme="minorBidi"/>
              <w:noProof/>
              <w:sz w:val="22"/>
              <w:szCs w:val="22"/>
              <w:lang w:eastAsia="en-AU"/>
            </w:rPr>
          </w:pPr>
          <w:hyperlink w:anchor="_Toc48996179" w:history="1">
            <w:r w:rsidR="0058561F" w:rsidRPr="00E84D15">
              <w:rPr>
                <w:rStyle w:val="Hyperlink"/>
                <w:noProof/>
              </w:rPr>
              <w:t>4.2</w:t>
            </w:r>
            <w:r w:rsidR="0058561F">
              <w:rPr>
                <w:rFonts w:asciiTheme="minorHAnsi" w:eastAsiaTheme="minorEastAsia" w:hAnsiTheme="minorHAnsi" w:cstheme="minorBidi"/>
                <w:noProof/>
                <w:sz w:val="22"/>
                <w:szCs w:val="22"/>
                <w:lang w:eastAsia="en-AU"/>
              </w:rPr>
              <w:tab/>
            </w:r>
            <w:r w:rsidR="0058561F" w:rsidRPr="00E84D15">
              <w:rPr>
                <w:rStyle w:val="Hyperlink"/>
                <w:noProof/>
              </w:rPr>
              <w:t>Final decision in relation to polyoxin D zinc salt</w:t>
            </w:r>
            <w:r w:rsidR="0058561F">
              <w:rPr>
                <w:noProof/>
                <w:webHidden/>
              </w:rPr>
              <w:tab/>
            </w:r>
            <w:r w:rsidR="0058561F">
              <w:rPr>
                <w:noProof/>
                <w:webHidden/>
              </w:rPr>
              <w:fldChar w:fldCharType="begin"/>
            </w:r>
            <w:r w:rsidR="0058561F">
              <w:rPr>
                <w:noProof/>
                <w:webHidden/>
              </w:rPr>
              <w:instrText xml:space="preserve"> PAGEREF _Toc48996179 \h </w:instrText>
            </w:r>
            <w:r w:rsidR="0058561F">
              <w:rPr>
                <w:noProof/>
                <w:webHidden/>
              </w:rPr>
            </w:r>
            <w:r w:rsidR="0058561F">
              <w:rPr>
                <w:noProof/>
                <w:webHidden/>
              </w:rPr>
              <w:fldChar w:fldCharType="separate"/>
            </w:r>
            <w:r w:rsidR="0058561F">
              <w:rPr>
                <w:noProof/>
                <w:webHidden/>
              </w:rPr>
              <w:t>28</w:t>
            </w:r>
            <w:r w:rsidR="0058561F">
              <w:rPr>
                <w:noProof/>
                <w:webHidden/>
              </w:rPr>
              <w:fldChar w:fldCharType="end"/>
            </w:r>
          </w:hyperlink>
        </w:p>
        <w:p w14:paraId="1F21F1C6" w14:textId="5C737BC5" w:rsidR="0058561F" w:rsidRDefault="00755907">
          <w:pPr>
            <w:pStyle w:val="TOC3"/>
            <w:tabs>
              <w:tab w:val="left" w:pos="1701"/>
            </w:tabs>
            <w:rPr>
              <w:rFonts w:asciiTheme="minorHAnsi" w:eastAsiaTheme="minorEastAsia" w:hAnsiTheme="minorHAnsi" w:cstheme="minorBidi"/>
              <w:noProof/>
              <w:sz w:val="22"/>
              <w:szCs w:val="22"/>
              <w:lang w:eastAsia="en-AU"/>
            </w:rPr>
          </w:pPr>
          <w:hyperlink w:anchor="_Toc48996180" w:history="1">
            <w:r w:rsidR="0058561F" w:rsidRPr="00E84D15">
              <w:rPr>
                <w:rStyle w:val="Hyperlink"/>
                <w:noProof/>
              </w:rPr>
              <w:t>4.3</w:t>
            </w:r>
            <w:r w:rsidR="0058561F">
              <w:rPr>
                <w:rFonts w:asciiTheme="minorHAnsi" w:eastAsiaTheme="minorEastAsia" w:hAnsiTheme="minorHAnsi" w:cstheme="minorBidi"/>
                <w:noProof/>
                <w:sz w:val="22"/>
                <w:szCs w:val="22"/>
                <w:lang w:eastAsia="en-AU"/>
              </w:rPr>
              <w:tab/>
            </w:r>
            <w:r w:rsidR="0058561F" w:rsidRPr="00E84D15">
              <w:rPr>
                <w:rStyle w:val="Hyperlink"/>
                <w:noProof/>
              </w:rPr>
              <w:t>Final decision in relation to tigilanol tiglate</w:t>
            </w:r>
            <w:r w:rsidR="0058561F">
              <w:rPr>
                <w:noProof/>
                <w:webHidden/>
              </w:rPr>
              <w:tab/>
            </w:r>
            <w:r w:rsidR="0058561F">
              <w:rPr>
                <w:noProof/>
                <w:webHidden/>
              </w:rPr>
              <w:fldChar w:fldCharType="begin"/>
            </w:r>
            <w:r w:rsidR="0058561F">
              <w:rPr>
                <w:noProof/>
                <w:webHidden/>
              </w:rPr>
              <w:instrText xml:space="preserve"> PAGEREF _Toc48996180 \h </w:instrText>
            </w:r>
            <w:r w:rsidR="0058561F">
              <w:rPr>
                <w:noProof/>
                <w:webHidden/>
              </w:rPr>
            </w:r>
            <w:r w:rsidR="0058561F">
              <w:rPr>
                <w:noProof/>
                <w:webHidden/>
              </w:rPr>
              <w:fldChar w:fldCharType="separate"/>
            </w:r>
            <w:r w:rsidR="0058561F">
              <w:rPr>
                <w:noProof/>
                <w:webHidden/>
              </w:rPr>
              <w:t>30</w:t>
            </w:r>
            <w:r w:rsidR="0058561F">
              <w:rPr>
                <w:noProof/>
                <w:webHidden/>
              </w:rPr>
              <w:fldChar w:fldCharType="end"/>
            </w:r>
          </w:hyperlink>
        </w:p>
        <w:p w14:paraId="7444E968" w14:textId="0D2B91D9" w:rsidR="0058561F" w:rsidRDefault="00755907">
          <w:pPr>
            <w:pStyle w:val="TOC3"/>
            <w:tabs>
              <w:tab w:val="left" w:pos="1701"/>
            </w:tabs>
            <w:rPr>
              <w:rFonts w:asciiTheme="minorHAnsi" w:eastAsiaTheme="minorEastAsia" w:hAnsiTheme="minorHAnsi" w:cstheme="minorBidi"/>
              <w:noProof/>
              <w:sz w:val="22"/>
              <w:szCs w:val="22"/>
              <w:lang w:eastAsia="en-AU"/>
            </w:rPr>
          </w:pPr>
          <w:hyperlink w:anchor="_Toc48996181" w:history="1">
            <w:r w:rsidR="0058561F" w:rsidRPr="00E84D15">
              <w:rPr>
                <w:rStyle w:val="Hyperlink"/>
                <w:noProof/>
              </w:rPr>
              <w:t>4.4</w:t>
            </w:r>
            <w:r w:rsidR="0058561F">
              <w:rPr>
                <w:rFonts w:asciiTheme="minorHAnsi" w:eastAsiaTheme="minorEastAsia" w:hAnsiTheme="minorHAnsi" w:cstheme="minorBidi"/>
                <w:noProof/>
                <w:sz w:val="22"/>
                <w:szCs w:val="22"/>
                <w:lang w:eastAsia="en-AU"/>
              </w:rPr>
              <w:tab/>
            </w:r>
            <w:r w:rsidR="0058561F" w:rsidRPr="00E84D15">
              <w:rPr>
                <w:rStyle w:val="Hyperlink"/>
                <w:noProof/>
              </w:rPr>
              <w:t>Final decision in relation to selenium</w:t>
            </w:r>
            <w:r w:rsidR="0058561F">
              <w:rPr>
                <w:noProof/>
                <w:webHidden/>
              </w:rPr>
              <w:tab/>
            </w:r>
            <w:r w:rsidR="0058561F">
              <w:rPr>
                <w:noProof/>
                <w:webHidden/>
              </w:rPr>
              <w:fldChar w:fldCharType="begin"/>
            </w:r>
            <w:r w:rsidR="0058561F">
              <w:rPr>
                <w:noProof/>
                <w:webHidden/>
              </w:rPr>
              <w:instrText xml:space="preserve"> PAGEREF _Toc48996181 \h </w:instrText>
            </w:r>
            <w:r w:rsidR="0058561F">
              <w:rPr>
                <w:noProof/>
                <w:webHidden/>
              </w:rPr>
            </w:r>
            <w:r w:rsidR="0058561F">
              <w:rPr>
                <w:noProof/>
                <w:webHidden/>
              </w:rPr>
              <w:fldChar w:fldCharType="separate"/>
            </w:r>
            <w:r w:rsidR="0058561F">
              <w:rPr>
                <w:noProof/>
                <w:webHidden/>
              </w:rPr>
              <w:t>31</w:t>
            </w:r>
            <w:r w:rsidR="0058561F">
              <w:rPr>
                <w:noProof/>
                <w:webHidden/>
              </w:rPr>
              <w:fldChar w:fldCharType="end"/>
            </w:r>
          </w:hyperlink>
        </w:p>
        <w:p w14:paraId="12BB28A1" w14:textId="07EEFC42" w:rsidR="0058561F" w:rsidRDefault="00755907">
          <w:pPr>
            <w:pStyle w:val="TOC3"/>
            <w:tabs>
              <w:tab w:val="left" w:pos="1701"/>
            </w:tabs>
            <w:rPr>
              <w:rFonts w:asciiTheme="minorHAnsi" w:eastAsiaTheme="minorEastAsia" w:hAnsiTheme="minorHAnsi" w:cstheme="minorBidi"/>
              <w:noProof/>
              <w:sz w:val="22"/>
              <w:szCs w:val="22"/>
              <w:lang w:eastAsia="en-AU"/>
            </w:rPr>
          </w:pPr>
          <w:hyperlink w:anchor="_Toc48996182" w:history="1">
            <w:r w:rsidR="0058561F" w:rsidRPr="00E84D15">
              <w:rPr>
                <w:rStyle w:val="Hyperlink"/>
                <w:noProof/>
              </w:rPr>
              <w:t>4.5</w:t>
            </w:r>
            <w:r w:rsidR="0058561F">
              <w:rPr>
                <w:rFonts w:asciiTheme="minorHAnsi" w:eastAsiaTheme="minorEastAsia" w:hAnsiTheme="minorHAnsi" w:cstheme="minorBidi"/>
                <w:noProof/>
                <w:sz w:val="22"/>
                <w:szCs w:val="22"/>
                <w:lang w:eastAsia="en-AU"/>
              </w:rPr>
              <w:tab/>
            </w:r>
            <w:r w:rsidR="0058561F" w:rsidRPr="00E84D15">
              <w:rPr>
                <w:rStyle w:val="Hyperlink"/>
                <w:noProof/>
              </w:rPr>
              <w:t>Final decision in relation to fomesafen sodium</w:t>
            </w:r>
            <w:r w:rsidR="0058561F">
              <w:rPr>
                <w:noProof/>
                <w:webHidden/>
              </w:rPr>
              <w:tab/>
            </w:r>
            <w:r w:rsidR="0058561F">
              <w:rPr>
                <w:noProof/>
                <w:webHidden/>
              </w:rPr>
              <w:fldChar w:fldCharType="begin"/>
            </w:r>
            <w:r w:rsidR="0058561F">
              <w:rPr>
                <w:noProof/>
                <w:webHidden/>
              </w:rPr>
              <w:instrText xml:space="preserve"> PAGEREF _Toc48996182 \h </w:instrText>
            </w:r>
            <w:r w:rsidR="0058561F">
              <w:rPr>
                <w:noProof/>
                <w:webHidden/>
              </w:rPr>
            </w:r>
            <w:r w:rsidR="0058561F">
              <w:rPr>
                <w:noProof/>
                <w:webHidden/>
              </w:rPr>
              <w:fldChar w:fldCharType="separate"/>
            </w:r>
            <w:r w:rsidR="0058561F">
              <w:rPr>
                <w:noProof/>
                <w:webHidden/>
              </w:rPr>
              <w:t>33</w:t>
            </w:r>
            <w:r w:rsidR="0058561F">
              <w:rPr>
                <w:noProof/>
                <w:webHidden/>
              </w:rPr>
              <w:fldChar w:fldCharType="end"/>
            </w:r>
          </w:hyperlink>
        </w:p>
        <w:p w14:paraId="3970B339" w14:textId="77777777" w:rsidR="0025660C" w:rsidRDefault="008D3724" w:rsidP="008D3724">
          <w:pPr>
            <w:pStyle w:val="NonTOCheading2"/>
          </w:pPr>
          <w:r>
            <w:rPr>
              <w:sz w:val="32"/>
            </w:rPr>
            <w:fldChar w:fldCharType="end"/>
          </w:r>
        </w:p>
      </w:sdtContent>
    </w:sdt>
    <w:p w14:paraId="33986973" w14:textId="1A44A118" w:rsidR="0025660C" w:rsidRPr="00C31E2C" w:rsidRDefault="00597B50" w:rsidP="00327161">
      <w:pPr>
        <w:pStyle w:val="Heading2"/>
      </w:pPr>
      <w:bookmarkStart w:id="3" w:name="_Toc48996171"/>
      <w:bookmarkEnd w:id="2"/>
      <w:bookmarkEnd w:id="1"/>
      <w:bookmarkEnd w:id="0"/>
      <w:r w:rsidRPr="00597B50">
        <w:lastRenderedPageBreak/>
        <w:t>N</w:t>
      </w:r>
      <w:r w:rsidRPr="00C31E2C">
        <w:t>otice of final decisions to amend (or not amend) the current Poisons Standard</w:t>
      </w:r>
      <w:bookmarkEnd w:id="3"/>
    </w:p>
    <w:p w14:paraId="79122F26" w14:textId="77777777" w:rsidR="00597B50" w:rsidRDefault="00597B50" w:rsidP="00C31E2C">
      <w:r>
        <w:t xml:space="preserve">This web publication constitutes a notice for the purposes of </w:t>
      </w:r>
      <w:r w:rsidRPr="00A24A9F">
        <w:t>regulation</w:t>
      </w:r>
      <w:r>
        <w:t xml:space="preserve"> </w:t>
      </w:r>
      <w:r w:rsidRPr="00F01639">
        <w:t>42ZCZS and regulation 42ZCZX</w:t>
      </w:r>
      <w:r w:rsidRPr="00597B50">
        <w:t xml:space="preserve"> </w:t>
      </w:r>
      <w:r w:rsidRPr="00A24A9F">
        <w:t xml:space="preserve">of the </w:t>
      </w:r>
      <w:r w:rsidRPr="00A24A9F">
        <w:rPr>
          <w:i/>
        </w:rPr>
        <w:t>Therapeutic</w:t>
      </w:r>
      <w:r>
        <w:rPr>
          <w:i/>
        </w:rPr>
        <w:t xml:space="preserve"> </w:t>
      </w:r>
      <w:r w:rsidRPr="00E80A53">
        <w:rPr>
          <w:i/>
        </w:rPr>
        <w:t>Goods Regulations 1990</w:t>
      </w:r>
      <w:r>
        <w:rPr>
          <w:i/>
        </w:rPr>
        <w:t xml:space="preserve"> </w:t>
      </w:r>
      <w:r>
        <w:t xml:space="preserve">(the </w:t>
      </w:r>
      <w:r>
        <w:rPr>
          <w:b/>
        </w:rPr>
        <w:t>Regulations</w:t>
      </w:r>
      <w:r>
        <w:t xml:space="preserve">). In accordance with </w:t>
      </w:r>
      <w:r w:rsidRPr="00F01639">
        <w:t>regulations 42ZCZS and 42CZX,</w:t>
      </w:r>
      <w:r>
        <w:t xml:space="preserve"> this notice publishes:</w:t>
      </w:r>
    </w:p>
    <w:p w14:paraId="49A7C4DB" w14:textId="77777777" w:rsidR="00597B50" w:rsidRDefault="00597B50" w:rsidP="00C31E2C">
      <w:pPr>
        <w:pStyle w:val="ListBullet"/>
      </w:pPr>
      <w:r>
        <w:t xml:space="preserve">the </w:t>
      </w:r>
      <w:r w:rsidRPr="00F01639">
        <w:t>decisions m</w:t>
      </w:r>
      <w:r>
        <w:t xml:space="preserve">ade by a delegate of the Secretary pursuant to </w:t>
      </w:r>
      <w:r w:rsidRPr="00F01639">
        <w:t>regulations 42ZCZR</w:t>
      </w:r>
      <w:r w:rsidR="00F01639">
        <w:t xml:space="preserve"> and</w:t>
      </w:r>
      <w:r w:rsidRPr="00597B50">
        <w:t xml:space="preserve"> 42ZCZU;</w:t>
      </w:r>
    </w:p>
    <w:p w14:paraId="4437EFBB" w14:textId="5A20DAB0" w:rsidR="00597B50" w:rsidRPr="00F01639" w:rsidRDefault="00597B50" w:rsidP="00C31E2C">
      <w:pPr>
        <w:pStyle w:val="ListBullet"/>
      </w:pPr>
      <w:r w:rsidRPr="00F01639">
        <w:t>the reasons</w:t>
      </w:r>
      <w:r w:rsidR="00C31E2C">
        <w:t xml:space="preserve"> for those final decisions; and</w:t>
      </w:r>
    </w:p>
    <w:p w14:paraId="30F4C189" w14:textId="77777777" w:rsidR="00597B50" w:rsidRPr="00F01639" w:rsidRDefault="00597B50" w:rsidP="00C31E2C">
      <w:pPr>
        <w:pStyle w:val="ListBullet"/>
      </w:pPr>
      <w:proofErr w:type="gramStart"/>
      <w:r w:rsidRPr="00F01639">
        <w:t>the</w:t>
      </w:r>
      <w:proofErr w:type="gramEnd"/>
      <w:r w:rsidRPr="00F01639">
        <w:t xml:space="preserve"> date of effect of </w:t>
      </w:r>
      <w:r w:rsidR="00F01639" w:rsidRPr="00F01639">
        <w:t>those</w:t>
      </w:r>
      <w:r w:rsidRPr="00F01639">
        <w:t xml:space="preserve"> decisions.</w:t>
      </w:r>
    </w:p>
    <w:p w14:paraId="218B216A" w14:textId="4189EF08" w:rsidR="00ED5D05" w:rsidRDefault="006913DE" w:rsidP="00327161">
      <w:pPr>
        <w:pStyle w:val="Heading2"/>
      </w:pPr>
      <w:bookmarkStart w:id="4" w:name="_Toc48996172"/>
      <w:r>
        <w:lastRenderedPageBreak/>
        <w:t>De</w:t>
      </w:r>
      <w:r w:rsidR="00C42F94">
        <w:t>ferral</w:t>
      </w:r>
      <w:r w:rsidR="00717973">
        <w:t xml:space="preserve"> of the final decision</w:t>
      </w:r>
      <w:r w:rsidR="00C42F94">
        <w:t xml:space="preserve"> </w:t>
      </w:r>
      <w:r>
        <w:t>in relation to melatonin</w:t>
      </w:r>
      <w:bookmarkEnd w:id="4"/>
    </w:p>
    <w:p w14:paraId="718DA809" w14:textId="7EE4CE7A" w:rsidR="006913DE" w:rsidRPr="006913DE" w:rsidRDefault="006913DE" w:rsidP="006913DE">
      <w:r>
        <w:t xml:space="preserve">The delegate has </w:t>
      </w:r>
      <w:r w:rsidR="004342F7">
        <w:t xml:space="preserve">made a decision to </w:t>
      </w:r>
      <w:r>
        <w:t xml:space="preserve">defer </w:t>
      </w:r>
      <w:r w:rsidR="00C42F94">
        <w:t>the</w:t>
      </w:r>
      <w:r w:rsidR="000D3F15">
        <w:t>ir</w:t>
      </w:r>
      <w:r w:rsidR="00717973">
        <w:t xml:space="preserve"> </w:t>
      </w:r>
      <w:r w:rsidR="00C42F94">
        <w:t>final decision on melatonin. In accordance with</w:t>
      </w:r>
      <w:r w:rsidR="00C42F94" w:rsidRPr="00C42F94">
        <w:t xml:space="preserve"> regulations 42ZCZ</w:t>
      </w:r>
      <w:r w:rsidR="0094496D">
        <w:t>P</w:t>
      </w:r>
      <w:r w:rsidR="00FE6C24">
        <w:t xml:space="preserve"> </w:t>
      </w:r>
      <w:r w:rsidR="00C42F94" w:rsidRPr="00C42F94">
        <w:t xml:space="preserve">of the </w:t>
      </w:r>
      <w:r w:rsidR="00C42F94" w:rsidRPr="00C42F94">
        <w:rPr>
          <w:i/>
        </w:rPr>
        <w:t>Therapeutic Goods Regulations 1990</w:t>
      </w:r>
      <w:r w:rsidR="00C42F94" w:rsidRPr="00C42F94">
        <w:t xml:space="preserve"> (</w:t>
      </w:r>
      <w:proofErr w:type="spellStart"/>
      <w:r w:rsidR="00C42F94" w:rsidRPr="00C42F94">
        <w:t>Cth</w:t>
      </w:r>
      <w:proofErr w:type="spellEnd"/>
      <w:r w:rsidR="00C42F94" w:rsidRPr="00C42F94">
        <w:t>) (Regulations)</w:t>
      </w:r>
      <w:r w:rsidR="00C42F94">
        <w:t xml:space="preserve"> t</w:t>
      </w:r>
      <w:r w:rsidRPr="006913DE">
        <w:t xml:space="preserve">he delegate </w:t>
      </w:r>
      <w:r w:rsidR="00D357AD">
        <w:t>made</w:t>
      </w:r>
      <w:r w:rsidRPr="006913DE">
        <w:t xml:space="preserve"> a </w:t>
      </w:r>
      <w:hyperlink r:id="rId11" w:history="1">
        <w:r w:rsidRPr="00E36AA7">
          <w:rPr>
            <w:rStyle w:val="Hyperlink"/>
          </w:rPr>
          <w:t>ca</w:t>
        </w:r>
        <w:r w:rsidR="000D3F15" w:rsidRPr="00E36AA7">
          <w:rPr>
            <w:rStyle w:val="Hyperlink"/>
          </w:rPr>
          <w:t>ll for further submission</w:t>
        </w:r>
      </w:hyperlink>
      <w:r w:rsidR="000D3F15">
        <w:t xml:space="preserve"> specifically in</w:t>
      </w:r>
      <w:r w:rsidR="004675CF">
        <w:t xml:space="preserve"> relation to the </w:t>
      </w:r>
      <w:r w:rsidR="004675CF" w:rsidRPr="006913DE">
        <w:t>1 October 2020 implementation date</w:t>
      </w:r>
      <w:r w:rsidR="004675CF">
        <w:t xml:space="preserve"> set out in their</w:t>
      </w:r>
      <w:r w:rsidRPr="006913DE">
        <w:t xml:space="preserve"> </w:t>
      </w:r>
      <w:hyperlink r:id="rId12" w:history="1">
        <w:r w:rsidRPr="00C42F94">
          <w:rPr>
            <w:rStyle w:val="Hyperlink"/>
          </w:rPr>
          <w:t>interim decision</w:t>
        </w:r>
      </w:hyperlink>
      <w:r w:rsidR="000D3F15">
        <w:t xml:space="preserve">. </w:t>
      </w:r>
      <w:r w:rsidR="00D357AD">
        <w:t>The closing date for</w:t>
      </w:r>
      <w:r w:rsidR="00327161">
        <w:t xml:space="preserve"> submissions is 28 August 2020.</w:t>
      </w:r>
    </w:p>
    <w:p w14:paraId="62745AE0" w14:textId="5B9BFC81" w:rsidR="006913DE" w:rsidRPr="006913DE" w:rsidRDefault="006913DE" w:rsidP="00327161">
      <w:pPr>
        <w:pStyle w:val="Heading2"/>
      </w:pPr>
      <w:bookmarkStart w:id="5" w:name="_Toc48996173"/>
      <w:r w:rsidRPr="006913DE">
        <w:lastRenderedPageBreak/>
        <w:t>Final decisions on proposed amendments to the current Poisons Standard under regulation 42ZCZR</w:t>
      </w:r>
      <w:bookmarkEnd w:id="5"/>
    </w:p>
    <w:p w14:paraId="24CF3C16" w14:textId="0BA9F915" w:rsidR="00FA029A" w:rsidRPr="00FA029A" w:rsidRDefault="00F41DCE" w:rsidP="00327161">
      <w:pPr>
        <w:pStyle w:val="Heading3"/>
      </w:pPr>
      <w:bookmarkStart w:id="6" w:name="_Toc48996174"/>
      <w:r>
        <w:t>Final</w:t>
      </w:r>
      <w:r w:rsidR="00FA029A" w:rsidRPr="00FA029A">
        <w:t xml:space="preserve"> decisions on proposed amendments referred to the Advisory Committee o</w:t>
      </w:r>
      <w:r w:rsidR="00FA029A">
        <w:t>n Medicines Scheduling (ACMS #</w:t>
      </w:r>
      <w:r w:rsidR="008B28DF">
        <w:t>29, March</w:t>
      </w:r>
      <w:r w:rsidR="00FA029A">
        <w:t xml:space="preserve"> </w:t>
      </w:r>
      <w:r w:rsidR="00FA029A" w:rsidRPr="008B28DF">
        <w:t>20</w:t>
      </w:r>
      <w:r w:rsidR="008B28DF" w:rsidRPr="008B28DF">
        <w:t>20</w:t>
      </w:r>
      <w:r w:rsidR="00FA029A" w:rsidRPr="008B28DF">
        <w:t>)</w:t>
      </w:r>
      <w:bookmarkEnd w:id="6"/>
    </w:p>
    <w:p w14:paraId="3D40E35F" w14:textId="77777777" w:rsidR="0025660C" w:rsidRDefault="00F56D63" w:rsidP="00327161">
      <w:pPr>
        <w:pStyle w:val="Heading4"/>
      </w:pPr>
      <w:bookmarkStart w:id="7" w:name="_Toc46325255"/>
      <w:bookmarkStart w:id="8" w:name="_Toc46325611"/>
      <w:bookmarkStart w:id="9" w:name="_Toc46327427"/>
      <w:bookmarkStart w:id="10" w:name="_Toc46412213"/>
      <w:bookmarkStart w:id="11" w:name="_Final_decision_in"/>
      <w:bookmarkStart w:id="12" w:name="_Toc46325256"/>
      <w:bookmarkStart w:id="13" w:name="_Toc46325612"/>
      <w:bookmarkStart w:id="14" w:name="_Toc46327428"/>
      <w:bookmarkStart w:id="15" w:name="_Toc46412214"/>
      <w:bookmarkStart w:id="16" w:name="_Toc46325257"/>
      <w:bookmarkStart w:id="17" w:name="_Toc46325613"/>
      <w:bookmarkStart w:id="18" w:name="_Toc46327429"/>
      <w:bookmarkStart w:id="19" w:name="_Toc46412215"/>
      <w:bookmarkStart w:id="20" w:name="_Toc46325258"/>
      <w:bookmarkStart w:id="21" w:name="_Toc46325614"/>
      <w:bookmarkStart w:id="22" w:name="_Toc46327430"/>
      <w:bookmarkStart w:id="23" w:name="_Toc46412216"/>
      <w:bookmarkStart w:id="24" w:name="_Toc46325259"/>
      <w:bookmarkStart w:id="25" w:name="_Toc46325615"/>
      <w:bookmarkStart w:id="26" w:name="_Toc46327431"/>
      <w:bookmarkStart w:id="27" w:name="_Toc46412217"/>
      <w:bookmarkStart w:id="28" w:name="_Final_decision_in_1"/>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t xml:space="preserve">Final decision in relation to </w:t>
      </w:r>
      <w:proofErr w:type="spellStart"/>
      <w:r w:rsidR="003D4393" w:rsidRPr="003D4393">
        <w:t>rizatriptan</w:t>
      </w:r>
      <w:proofErr w:type="spellEnd"/>
    </w:p>
    <w:p w14:paraId="7D5F8302" w14:textId="42797FFA" w:rsidR="00335BEC" w:rsidRPr="008036B7" w:rsidRDefault="00327161" w:rsidP="00B94F6F">
      <w:pPr>
        <w:pStyle w:val="Heading5"/>
      </w:pPr>
      <w:r>
        <w:t>Final decision</w:t>
      </w:r>
    </w:p>
    <w:p w14:paraId="5431D937" w14:textId="77777777" w:rsidR="00335BEC" w:rsidRDefault="00335BEC" w:rsidP="00327161">
      <w:r>
        <w:t xml:space="preserve">Pursuant to regulation 42ZCZR of the Regulations, a Delegate of the Secretary has made a final decision </w:t>
      </w:r>
      <w:r w:rsidRPr="00A06489">
        <w:t xml:space="preserve">to confirm the </w:t>
      </w:r>
      <w:hyperlink r:id="rId13" w:history="1">
        <w:r w:rsidRPr="00A06489">
          <w:rPr>
            <w:rStyle w:val="Hyperlink"/>
          </w:rPr>
          <w:t>interim decision</w:t>
        </w:r>
      </w:hyperlink>
      <w:r w:rsidRPr="00A06489">
        <w:t xml:space="preserve"> and amend the current Poisons Standard in relation to </w:t>
      </w:r>
      <w:proofErr w:type="spellStart"/>
      <w:r w:rsidR="00A06489" w:rsidRPr="00A06489">
        <w:t>rizatriptan</w:t>
      </w:r>
      <w:proofErr w:type="spellEnd"/>
      <w:r w:rsidR="00516E40" w:rsidRPr="00A06489">
        <w:t xml:space="preserve"> </w:t>
      </w:r>
      <w:r w:rsidRPr="00A06489">
        <w:t>as follows:</w:t>
      </w:r>
    </w:p>
    <w:p w14:paraId="1766E5A1" w14:textId="77777777" w:rsidR="00A06489" w:rsidRPr="00825441" w:rsidRDefault="00A06489" w:rsidP="00327161">
      <w:pPr>
        <w:ind w:left="426"/>
        <w:rPr>
          <w:b/>
        </w:rPr>
      </w:pPr>
      <w:r w:rsidRPr="00825441">
        <w:rPr>
          <w:b/>
        </w:rPr>
        <w:t xml:space="preserve">Schedule </w:t>
      </w:r>
      <w:proofErr w:type="gramStart"/>
      <w:r w:rsidRPr="00825441">
        <w:rPr>
          <w:b/>
        </w:rPr>
        <w:t>4</w:t>
      </w:r>
      <w:proofErr w:type="gramEnd"/>
      <w:r w:rsidRPr="00825441">
        <w:rPr>
          <w:b/>
        </w:rPr>
        <w:t xml:space="preserve"> – Amend Entry</w:t>
      </w:r>
    </w:p>
    <w:p w14:paraId="61841260" w14:textId="77777777" w:rsidR="00A06489" w:rsidRDefault="00A06489" w:rsidP="00327161">
      <w:pPr>
        <w:ind w:left="426"/>
      </w:pPr>
      <w:r>
        <w:t xml:space="preserve">RIZATRIPTAN </w:t>
      </w:r>
      <w:r w:rsidRPr="00825441">
        <w:rPr>
          <w:b/>
          <w:color w:val="FF0000"/>
        </w:rPr>
        <w:t>except</w:t>
      </w:r>
      <w:r w:rsidRPr="00825441">
        <w:rPr>
          <w:color w:val="FF0000"/>
        </w:rPr>
        <w:t xml:space="preserve"> when included in Schedule 3.</w:t>
      </w:r>
    </w:p>
    <w:p w14:paraId="22C1D241" w14:textId="77777777" w:rsidR="00A06489" w:rsidRPr="00825441" w:rsidRDefault="00A06489" w:rsidP="00327161">
      <w:pPr>
        <w:ind w:left="426"/>
        <w:rPr>
          <w:b/>
        </w:rPr>
      </w:pPr>
      <w:r w:rsidRPr="00825441">
        <w:rPr>
          <w:b/>
        </w:rPr>
        <w:t>Schedule 3 – New Entry</w:t>
      </w:r>
    </w:p>
    <w:p w14:paraId="00ABD83E" w14:textId="77777777" w:rsidR="00A06489" w:rsidRDefault="00A06489" w:rsidP="00327161">
      <w:pPr>
        <w:ind w:left="426"/>
      </w:pPr>
      <w:r w:rsidRPr="00825441">
        <w:rPr>
          <w:color w:val="FF0000"/>
        </w:rPr>
        <w:t>RIZATRIPTAN when in divided oral preparations containing 5 milligrams or less per dosage unit and when sold in a pack containing not more than 2 dosage units for the acute relief of migraine in patients who have a stable, well-established pattern of migraine symptoms.</w:t>
      </w:r>
    </w:p>
    <w:p w14:paraId="5B9360B8" w14:textId="77777777" w:rsidR="00A06489" w:rsidRPr="00825441" w:rsidRDefault="00A06489" w:rsidP="00327161">
      <w:pPr>
        <w:ind w:left="426"/>
        <w:rPr>
          <w:b/>
        </w:rPr>
      </w:pPr>
      <w:r w:rsidRPr="00825441">
        <w:rPr>
          <w:b/>
        </w:rPr>
        <w:t>Appendix H – New Entry</w:t>
      </w:r>
    </w:p>
    <w:p w14:paraId="3FF25467" w14:textId="77777777" w:rsidR="00A06489" w:rsidRDefault="00A06489" w:rsidP="00327161">
      <w:pPr>
        <w:ind w:left="426"/>
      </w:pPr>
      <w:r w:rsidRPr="00825441">
        <w:rPr>
          <w:color w:val="FF0000"/>
        </w:rPr>
        <w:t>RIZATRIPTAN</w:t>
      </w:r>
    </w:p>
    <w:p w14:paraId="4E9CC564" w14:textId="77777777" w:rsidR="00A06489" w:rsidRPr="00825441" w:rsidRDefault="00A06489" w:rsidP="00327161">
      <w:pPr>
        <w:ind w:left="426"/>
        <w:rPr>
          <w:b/>
        </w:rPr>
      </w:pPr>
      <w:r w:rsidRPr="00825441">
        <w:rPr>
          <w:b/>
        </w:rPr>
        <w:t>Index –Amend Entry</w:t>
      </w:r>
    </w:p>
    <w:p w14:paraId="6F4D5C3A" w14:textId="77777777" w:rsidR="00A06489" w:rsidRPr="00825441" w:rsidRDefault="00A06489" w:rsidP="00327161">
      <w:pPr>
        <w:ind w:left="426"/>
        <w:rPr>
          <w:b/>
        </w:rPr>
      </w:pPr>
      <w:r w:rsidRPr="00825441">
        <w:rPr>
          <w:b/>
        </w:rPr>
        <w:t>RIZATRIPTAN</w:t>
      </w:r>
    </w:p>
    <w:p w14:paraId="05D8012E" w14:textId="77777777" w:rsidR="00A06489" w:rsidRPr="00335BEC" w:rsidRDefault="00A06489" w:rsidP="00327161">
      <w:pPr>
        <w:ind w:left="426"/>
      </w:pPr>
      <w:r>
        <w:t xml:space="preserve">Schedule </w:t>
      </w:r>
      <w:proofErr w:type="gramStart"/>
      <w:r>
        <w:t>4</w:t>
      </w:r>
      <w:proofErr w:type="gramEnd"/>
      <w:r>
        <w:br/>
      </w:r>
      <w:r w:rsidRPr="00825441">
        <w:rPr>
          <w:color w:val="FF0000"/>
        </w:rPr>
        <w:t>Schedule 3</w:t>
      </w:r>
      <w:r w:rsidRPr="00825441">
        <w:rPr>
          <w:color w:val="FF0000"/>
        </w:rPr>
        <w:br/>
        <w:t>Appendix H</w:t>
      </w:r>
    </w:p>
    <w:p w14:paraId="4AB1E899" w14:textId="0C51FFC5" w:rsidR="00436C41" w:rsidRDefault="0018678A" w:rsidP="00B94F6F">
      <w:pPr>
        <w:pStyle w:val="Heading5"/>
      </w:pPr>
      <w:r>
        <w:t>Materials considered</w:t>
      </w:r>
    </w:p>
    <w:p w14:paraId="263519D7" w14:textId="77777777" w:rsidR="006A64F4" w:rsidRDefault="006A64F4" w:rsidP="006A64F4">
      <w:r>
        <w:t>In making this final decision, the Delegate considered the following material:</w:t>
      </w:r>
    </w:p>
    <w:p w14:paraId="5E2D01EE" w14:textId="77777777" w:rsidR="006A64F4" w:rsidRDefault="006A64F4" w:rsidP="00B94F6F">
      <w:pPr>
        <w:pStyle w:val="ListBullet"/>
      </w:pPr>
      <w:r w:rsidRPr="00A06489">
        <w:t xml:space="preserve">The </w:t>
      </w:r>
      <w:hyperlink r:id="rId14" w:history="1">
        <w:r w:rsidR="003A0110" w:rsidRPr="00A06489">
          <w:rPr>
            <w:rStyle w:val="Hyperlink"/>
          </w:rPr>
          <w:t>application</w:t>
        </w:r>
      </w:hyperlink>
      <w:r w:rsidR="0020028B" w:rsidRPr="00A06489">
        <w:t xml:space="preserve"> </w:t>
      </w:r>
      <w:r w:rsidRPr="00A06489">
        <w:t>to</w:t>
      </w:r>
      <w:r>
        <w:t xml:space="preserve"> amend the current Poisons Standard with respect to </w:t>
      </w:r>
      <w:proofErr w:type="spellStart"/>
      <w:r w:rsidR="00A06489" w:rsidRPr="00A06489">
        <w:t>rizatriptan</w:t>
      </w:r>
      <w:proofErr w:type="spellEnd"/>
      <w:r>
        <w:t>;</w:t>
      </w:r>
    </w:p>
    <w:p w14:paraId="7FAFE378" w14:textId="1159A814" w:rsidR="00D763E2" w:rsidRDefault="00D763E2" w:rsidP="00B94F6F">
      <w:pPr>
        <w:pStyle w:val="ListBullet"/>
      </w:pPr>
      <w:r w:rsidRPr="00637563">
        <w:t xml:space="preserve">The </w:t>
      </w:r>
      <w:r w:rsidR="00637563" w:rsidRPr="00637563">
        <w:t xml:space="preserve">five </w:t>
      </w:r>
      <w:hyperlink r:id="rId15" w:history="1">
        <w:r w:rsidR="003A0110" w:rsidRPr="00A06489">
          <w:rPr>
            <w:rStyle w:val="Hyperlink"/>
          </w:rPr>
          <w:t>public submissions</w:t>
        </w:r>
      </w:hyperlink>
      <w:r w:rsidR="00A06489">
        <w:t xml:space="preserve"> </w:t>
      </w:r>
      <w:r>
        <w:t xml:space="preserve">received in response to </w:t>
      </w:r>
      <w:r w:rsidRPr="00A06489">
        <w:t xml:space="preserve">the </w:t>
      </w:r>
      <w:hyperlink r:id="rId16" w:history="1">
        <w:r w:rsidR="003A0110" w:rsidRPr="00A06489">
          <w:rPr>
            <w:rStyle w:val="Hyperlink"/>
          </w:rPr>
          <w:t>pre-meeting consultation</w:t>
        </w:r>
      </w:hyperlink>
      <w:r w:rsidRPr="00A06489">
        <w:t xml:space="preserve"> under</w:t>
      </w:r>
      <w:r>
        <w:t xml:space="preserve"> regula</w:t>
      </w:r>
      <w:r w:rsidR="0018678A">
        <w:t>tion 42ZCZK of the Regulations;</w:t>
      </w:r>
    </w:p>
    <w:p w14:paraId="19B674E6" w14:textId="77777777" w:rsidR="006A64F4" w:rsidRDefault="002C1418" w:rsidP="00B94F6F">
      <w:pPr>
        <w:pStyle w:val="ListBullet"/>
      </w:pPr>
      <w:r>
        <w:t xml:space="preserve">The advice received from the </w:t>
      </w:r>
      <w:r w:rsidR="00E81BC9" w:rsidRPr="00637563">
        <w:t>Advisory Committee on M</w:t>
      </w:r>
      <w:r w:rsidR="00637563" w:rsidRPr="00637563">
        <w:t>edicines Scheduling (ACMS #29);</w:t>
      </w:r>
    </w:p>
    <w:p w14:paraId="07AF4A3D" w14:textId="77777777" w:rsidR="006A64F4" w:rsidRDefault="006A64F4" w:rsidP="00B94F6F">
      <w:pPr>
        <w:pStyle w:val="ListBullet"/>
      </w:pPr>
      <w:r>
        <w:t>The</w:t>
      </w:r>
      <w:r w:rsidR="00637563">
        <w:t xml:space="preserve"> one</w:t>
      </w:r>
      <w:r>
        <w:t xml:space="preserve"> public submission received in response to the </w:t>
      </w:r>
      <w:hyperlink r:id="rId17" w:history="1">
        <w:r w:rsidR="008B7C43" w:rsidRPr="00637563">
          <w:rPr>
            <w:rStyle w:val="Hyperlink"/>
          </w:rPr>
          <w:t>interim decision consultation</w:t>
        </w:r>
      </w:hyperlink>
      <w:r w:rsidR="008B7C43">
        <w:t xml:space="preserve"> </w:t>
      </w:r>
      <w:r w:rsidR="002C1418" w:rsidRPr="002C1418">
        <w:t>under regulation 42ZCZP of the Regulations</w:t>
      </w:r>
      <w:r>
        <w:t>;</w:t>
      </w:r>
    </w:p>
    <w:p w14:paraId="6ABFBFDA" w14:textId="77777777" w:rsidR="006A64F4" w:rsidRDefault="001169AC" w:rsidP="00B94F6F">
      <w:pPr>
        <w:pStyle w:val="ListBullet"/>
      </w:pPr>
      <w:r w:rsidRPr="001169AC">
        <w:t xml:space="preserve">Subsection 52E(1) of </w:t>
      </w:r>
      <w:r w:rsidRPr="001169AC">
        <w:rPr>
          <w:i/>
        </w:rPr>
        <w:t>the Therapeutic Goods Act 1989</w:t>
      </w:r>
      <w:r w:rsidRPr="001169AC">
        <w:t>, in particular (a) the risks and benefits of the use of a substance; (b) the purposes for which a substance is to be used and the extent of use of a substance; (c) the toxicity of a substance; (d) the dosage, formulation, labelling, packaging and presentation of a substance; and (e) the potential for abuse of a substance; and (f) any other matters considered nec</w:t>
      </w:r>
      <w:r w:rsidR="00637563">
        <w:t>essary to protect public health</w:t>
      </w:r>
      <w:r w:rsidR="006A64F4">
        <w:t>;</w:t>
      </w:r>
    </w:p>
    <w:p w14:paraId="59300927" w14:textId="77777777" w:rsidR="006A64F4" w:rsidRDefault="002C1418" w:rsidP="00B94F6F">
      <w:pPr>
        <w:pStyle w:val="ListBullet"/>
        <w:spacing w:after="140"/>
        <w:ind w:left="357" w:hanging="357"/>
      </w:pPr>
      <w:r w:rsidRPr="002C1418">
        <w:lastRenderedPageBreak/>
        <w:t xml:space="preserve">The Australian Health Ministers’ Advisory Council’s </w:t>
      </w:r>
      <w:hyperlink r:id="rId18" w:history="1">
        <w:r w:rsidR="006A64F4" w:rsidRPr="001A7580">
          <w:rPr>
            <w:rStyle w:val="Hyperlink"/>
          </w:rPr>
          <w:t>Scheduling Policy Framework</w:t>
        </w:r>
      </w:hyperlink>
      <w:r w:rsidR="006A64F4">
        <w:t xml:space="preserve"> (SPF 2018); </w:t>
      </w:r>
      <w:r w:rsidR="006A64F4" w:rsidRPr="001751D7">
        <w:t>and</w:t>
      </w:r>
    </w:p>
    <w:p w14:paraId="22DBF9C8" w14:textId="77777777" w:rsidR="002C1418" w:rsidRDefault="002C1418" w:rsidP="00B94F6F">
      <w:pPr>
        <w:pStyle w:val="ListBullet"/>
        <w:spacing w:after="140"/>
        <w:ind w:left="357" w:hanging="357"/>
      </w:pPr>
      <w:r>
        <w:t xml:space="preserve">The </w:t>
      </w:r>
      <w:hyperlink r:id="rId19" w:history="1">
        <w:r w:rsidR="006A64F4" w:rsidRPr="001A7580">
          <w:rPr>
            <w:rStyle w:val="Hyperlink"/>
          </w:rPr>
          <w:t>Scheduling handbook: Guidance for amending the Poisons Standard</w:t>
        </w:r>
      </w:hyperlink>
      <w:r w:rsidR="00E40BD2">
        <w:t>.</w:t>
      </w:r>
    </w:p>
    <w:p w14:paraId="6C0A349C" w14:textId="77777777" w:rsidR="00436C41" w:rsidRDefault="00436C41" w:rsidP="00B94F6F">
      <w:pPr>
        <w:pStyle w:val="Heading5"/>
      </w:pPr>
      <w:r w:rsidRPr="00436C41">
        <w:t>Reasons for the final decision (including findings on material questions of fact)</w:t>
      </w:r>
    </w:p>
    <w:p w14:paraId="5E914566" w14:textId="0B01A1A2" w:rsidR="003E7390" w:rsidRDefault="003E7390" w:rsidP="003E7390">
      <w:r>
        <w:t xml:space="preserve">I have made </w:t>
      </w:r>
      <w:r w:rsidR="00EC5570">
        <w:t xml:space="preserve">a final decision to confirm </w:t>
      </w:r>
      <w:r w:rsidR="000D114D">
        <w:t xml:space="preserve">both </w:t>
      </w:r>
      <w:r w:rsidR="00EC5570">
        <w:t xml:space="preserve">my </w:t>
      </w:r>
      <w:hyperlink r:id="rId20" w:history="1">
        <w:r w:rsidRPr="001169AC">
          <w:rPr>
            <w:rStyle w:val="Hyperlink"/>
          </w:rPr>
          <w:t>interim decision</w:t>
        </w:r>
      </w:hyperlink>
      <w:r w:rsidR="000D114D">
        <w:rPr>
          <w:rStyle w:val="Hyperlink"/>
        </w:rPr>
        <w:t xml:space="preserve"> and the reasons published in my interim decision,</w:t>
      </w:r>
      <w:r w:rsidR="00EC5570">
        <w:t xml:space="preserve"> to amend</w:t>
      </w:r>
      <w:r>
        <w:t xml:space="preserve"> the current Poisons Standard </w:t>
      </w:r>
      <w:r w:rsidR="00265883" w:rsidRPr="00265883">
        <w:t xml:space="preserve">to down-schedule </w:t>
      </w:r>
      <w:proofErr w:type="spellStart"/>
      <w:r w:rsidR="00265883" w:rsidRPr="00265883">
        <w:t>rizatriptan</w:t>
      </w:r>
      <w:proofErr w:type="spellEnd"/>
      <w:r w:rsidR="00265883" w:rsidRPr="00265883">
        <w:t xml:space="preserve"> from Schedule 4 to Schedule 3</w:t>
      </w:r>
      <w:r>
        <w:t xml:space="preserve">. </w:t>
      </w:r>
      <w:r w:rsidR="002D1D70" w:rsidRPr="006C405C">
        <w:t>My reasons for making the final decision are those set out in the interim decision</w:t>
      </w:r>
      <w:r w:rsidR="002D1D70">
        <w:t xml:space="preserve">. </w:t>
      </w:r>
      <w:r>
        <w:t xml:space="preserve">In making my final decision, I have taken into account the material detailed in the interim decision and </w:t>
      </w:r>
      <w:r w:rsidR="00A30ED5">
        <w:t>the public submission</w:t>
      </w:r>
      <w:r>
        <w:t xml:space="preserve"> received before the second closing date in response to the call for further submissions published on </w:t>
      </w:r>
      <w:r w:rsidR="00BD3D29">
        <w:t>10 June 2020</w:t>
      </w:r>
      <w:r w:rsidR="001169AC">
        <w:t xml:space="preserve"> under regulation 42</w:t>
      </w:r>
      <w:r>
        <w:t>ZCZP of the Regulations.</w:t>
      </w:r>
      <w:r w:rsidR="00265883">
        <w:t xml:space="preserve"> I note the public submission was in </w:t>
      </w:r>
      <w:r w:rsidR="00B94F6F">
        <w:t>support of my interim decision.</w:t>
      </w:r>
    </w:p>
    <w:p w14:paraId="0620364C" w14:textId="7C2246EB" w:rsidR="00335BEC" w:rsidRPr="00B94F6F" w:rsidRDefault="00B94F6F" w:rsidP="00B94F6F">
      <w:pPr>
        <w:pStyle w:val="Heading5"/>
      </w:pPr>
      <w:r w:rsidRPr="00B94F6F">
        <w:t>Date of effect of the decision</w:t>
      </w:r>
    </w:p>
    <w:p w14:paraId="1CCFA5BA" w14:textId="77777777" w:rsidR="00265883" w:rsidRPr="00265883" w:rsidRDefault="00265883" w:rsidP="00265883">
      <w:pPr>
        <w:rPr>
          <w:b/>
        </w:rPr>
      </w:pPr>
      <w:r w:rsidRPr="00265883">
        <w:rPr>
          <w:b/>
        </w:rPr>
        <w:t>1 February 2021</w:t>
      </w:r>
    </w:p>
    <w:p w14:paraId="6515992D" w14:textId="77777777" w:rsidR="00F41DCE" w:rsidRDefault="003D4393" w:rsidP="00B94F6F">
      <w:pPr>
        <w:pStyle w:val="Heading4"/>
      </w:pPr>
      <w:r>
        <w:t xml:space="preserve">Final decision in relation to </w:t>
      </w:r>
      <w:r w:rsidRPr="003D4393">
        <w:t>ondansetron</w:t>
      </w:r>
    </w:p>
    <w:p w14:paraId="08A22D91" w14:textId="3C3B1D71" w:rsidR="00F41DCE" w:rsidRPr="008036B7" w:rsidRDefault="00B94F6F" w:rsidP="00B94F6F">
      <w:pPr>
        <w:pStyle w:val="Heading5"/>
      </w:pPr>
      <w:r>
        <w:t>Final decision</w:t>
      </w:r>
    </w:p>
    <w:p w14:paraId="50BABB76" w14:textId="1AAA4080" w:rsidR="00F41DCE" w:rsidRPr="00335BEC" w:rsidRDefault="00F41DCE" w:rsidP="00B94F6F">
      <w:r>
        <w:t xml:space="preserve">Pursuant to regulation 42ZCZR of the Regulations, a Delegate of the Secretary has made a final </w:t>
      </w:r>
      <w:r w:rsidRPr="00AC4956">
        <w:t xml:space="preserve">decision to </w:t>
      </w:r>
      <w:r w:rsidR="00265883" w:rsidRPr="00AC4956">
        <w:t>confirm</w:t>
      </w:r>
      <w:r w:rsidRPr="00AC4956">
        <w:t xml:space="preserve"> the interim decision and</w:t>
      </w:r>
      <w:r w:rsidR="00265883" w:rsidRPr="00AC4956">
        <w:t xml:space="preserve"> </w:t>
      </w:r>
      <w:r w:rsidRPr="00AC4956">
        <w:t xml:space="preserve">not amend the current Poisons Standard in relation to </w:t>
      </w:r>
      <w:r w:rsidR="00AC4956" w:rsidRPr="00AC4956">
        <w:t>ondansetron</w:t>
      </w:r>
      <w:r w:rsidRPr="00AC4956">
        <w:t>.</w:t>
      </w:r>
    </w:p>
    <w:p w14:paraId="26B68904" w14:textId="662E9FD0" w:rsidR="00F41DCE" w:rsidRDefault="00F41DCE" w:rsidP="00B94F6F">
      <w:pPr>
        <w:pStyle w:val="Heading5"/>
      </w:pPr>
      <w:r>
        <w:t>Materials considered</w:t>
      </w:r>
    </w:p>
    <w:p w14:paraId="43B32E8D" w14:textId="77777777" w:rsidR="00F41DCE" w:rsidRDefault="00F41DCE" w:rsidP="00F41DCE">
      <w:r>
        <w:t>In making this final decision, the Delegate considered the following material:</w:t>
      </w:r>
    </w:p>
    <w:p w14:paraId="4C0DB7BB" w14:textId="77777777" w:rsidR="00F41DCE" w:rsidRDefault="00F41DCE" w:rsidP="00B94F6F">
      <w:pPr>
        <w:pStyle w:val="ListBullet"/>
        <w:spacing w:after="140"/>
        <w:ind w:left="357" w:hanging="357"/>
      </w:pPr>
      <w:r>
        <w:t xml:space="preserve">The </w:t>
      </w:r>
      <w:hyperlink r:id="rId21" w:history="1">
        <w:r w:rsidRPr="00CC46EF">
          <w:rPr>
            <w:rStyle w:val="Hyperlink"/>
          </w:rPr>
          <w:t>application</w:t>
        </w:r>
      </w:hyperlink>
      <w:r>
        <w:t xml:space="preserve"> to amend the current Poisons Standard with respect to</w:t>
      </w:r>
      <w:r w:rsidR="00CC46EF">
        <w:t xml:space="preserve"> </w:t>
      </w:r>
      <w:r w:rsidR="00CC46EF" w:rsidRPr="00CC46EF">
        <w:t>ondansetron</w:t>
      </w:r>
      <w:r>
        <w:t>;</w:t>
      </w:r>
    </w:p>
    <w:p w14:paraId="454E58F9" w14:textId="21702402" w:rsidR="00F41DCE" w:rsidRDefault="00F41DCE" w:rsidP="00B94F6F">
      <w:pPr>
        <w:pStyle w:val="ListBullet"/>
        <w:spacing w:after="140"/>
        <w:ind w:left="357" w:hanging="357"/>
      </w:pPr>
      <w:r w:rsidRPr="00CC46EF">
        <w:t xml:space="preserve">The </w:t>
      </w:r>
      <w:r w:rsidR="00CC46EF" w:rsidRPr="00CC46EF">
        <w:t>five</w:t>
      </w:r>
      <w:r w:rsidRPr="00CC46EF">
        <w:t xml:space="preserve"> </w:t>
      </w:r>
      <w:hyperlink r:id="rId22" w:history="1">
        <w:r w:rsidRPr="00CC46EF">
          <w:rPr>
            <w:rStyle w:val="Hyperlink"/>
          </w:rPr>
          <w:t>public submissions</w:t>
        </w:r>
      </w:hyperlink>
      <w:r>
        <w:t xml:space="preserve"> received in response to </w:t>
      </w:r>
      <w:r w:rsidRPr="00CC46EF">
        <w:t xml:space="preserve">the </w:t>
      </w:r>
      <w:hyperlink r:id="rId23" w:history="1">
        <w:r w:rsidRPr="00CC46EF">
          <w:rPr>
            <w:rStyle w:val="Hyperlink"/>
          </w:rPr>
          <w:t>pre-meeting consultation</w:t>
        </w:r>
      </w:hyperlink>
      <w:r w:rsidRPr="00CC46EF">
        <w:t xml:space="preserve"> under</w:t>
      </w:r>
      <w:r>
        <w:t xml:space="preserve"> regulation</w:t>
      </w:r>
      <w:r w:rsidR="00982A8C">
        <w:t xml:space="preserve"> 42ZCZK of the Regulations;</w:t>
      </w:r>
    </w:p>
    <w:p w14:paraId="69B832B4" w14:textId="77777777" w:rsidR="00F41DCE" w:rsidRPr="00CC46EF" w:rsidRDefault="00F41DCE" w:rsidP="00B94F6F">
      <w:pPr>
        <w:pStyle w:val="ListBullet"/>
        <w:spacing w:after="140"/>
        <w:ind w:left="357" w:hanging="357"/>
      </w:pPr>
      <w:r>
        <w:t xml:space="preserve">The advice received from </w:t>
      </w:r>
      <w:r w:rsidRPr="00CC46EF">
        <w:t>the Advisory Committee o</w:t>
      </w:r>
      <w:r w:rsidR="00CC46EF" w:rsidRPr="00CC46EF">
        <w:t>n Medicines Scheduling (ACMS #29)</w:t>
      </w:r>
      <w:r w:rsidRPr="00CC46EF">
        <w:t>;</w:t>
      </w:r>
    </w:p>
    <w:p w14:paraId="5A7E12F5" w14:textId="77777777" w:rsidR="00F41DCE" w:rsidRDefault="00982A8C" w:rsidP="00B94F6F">
      <w:pPr>
        <w:pStyle w:val="ListBullet"/>
        <w:spacing w:after="140"/>
        <w:ind w:left="357" w:hanging="357"/>
      </w:pPr>
      <w:r>
        <w:t xml:space="preserve"> The one</w:t>
      </w:r>
      <w:r w:rsidR="00F41DCE">
        <w:t xml:space="preserve"> public submission received in response to the </w:t>
      </w:r>
      <w:hyperlink r:id="rId24" w:history="1">
        <w:r w:rsidR="00F41DCE" w:rsidRPr="00982A8C">
          <w:rPr>
            <w:rStyle w:val="Hyperlink"/>
          </w:rPr>
          <w:t>interim decision consultation</w:t>
        </w:r>
      </w:hyperlink>
      <w:r w:rsidR="00F41DCE">
        <w:t xml:space="preserve"> </w:t>
      </w:r>
      <w:r w:rsidR="00F41DCE" w:rsidRPr="002C1418">
        <w:t>under regulation 42ZCZP of the Regulations</w:t>
      </w:r>
      <w:r w:rsidR="00F41DCE">
        <w:t>;</w:t>
      </w:r>
    </w:p>
    <w:p w14:paraId="31AA2C9A" w14:textId="77777777" w:rsidR="00F41DCE" w:rsidRDefault="00F41DCE" w:rsidP="00B94F6F">
      <w:pPr>
        <w:pStyle w:val="ListBullet"/>
        <w:spacing w:after="140"/>
        <w:ind w:left="357" w:hanging="357"/>
      </w:pPr>
      <w:r w:rsidRPr="001169AC">
        <w:t xml:space="preserve">Subsection 52E(1) of </w:t>
      </w:r>
      <w:r w:rsidRPr="001169AC">
        <w:rPr>
          <w:i/>
        </w:rPr>
        <w:t>the Therapeutic Goods Act 1989</w:t>
      </w:r>
      <w:r w:rsidRPr="001169AC">
        <w:t>, in particular (a) the risks and benefits of the use of a substance; (b) the purposes for which a substance is to be used and the extent of use of a substance; (c) the toxicity of a substance; (d) the dosage, formulation, labelling, packaging and presentation of a substance;</w:t>
      </w:r>
      <w:r w:rsidR="00982A8C">
        <w:t xml:space="preserve"> </w:t>
      </w:r>
      <w:r w:rsidRPr="001169AC">
        <w:t>and (f) any other matters considered nece</w:t>
      </w:r>
      <w:r w:rsidR="00DC5C68">
        <w:t>ssary to protect public health</w:t>
      </w:r>
      <w:r>
        <w:t>;</w:t>
      </w:r>
    </w:p>
    <w:p w14:paraId="687DE37D" w14:textId="77777777" w:rsidR="00F41DCE" w:rsidRDefault="00F41DCE" w:rsidP="00B94F6F">
      <w:pPr>
        <w:pStyle w:val="ListBullet"/>
        <w:spacing w:after="140"/>
        <w:ind w:left="357" w:hanging="357"/>
      </w:pPr>
      <w:r w:rsidRPr="002C1418">
        <w:t xml:space="preserve">The Australian Health Ministers’ Advisory Council’s </w:t>
      </w:r>
      <w:hyperlink r:id="rId25" w:history="1">
        <w:r w:rsidRPr="001A7580">
          <w:rPr>
            <w:rStyle w:val="Hyperlink"/>
          </w:rPr>
          <w:t>Scheduling Policy Framework</w:t>
        </w:r>
      </w:hyperlink>
      <w:r>
        <w:t xml:space="preserve"> (SPF 2018</w:t>
      </w:r>
      <w:r w:rsidRPr="00D32FF0">
        <w:t>); and</w:t>
      </w:r>
    </w:p>
    <w:p w14:paraId="408D208E" w14:textId="77777777" w:rsidR="00F41DCE" w:rsidRDefault="00F41DCE" w:rsidP="00B94F6F">
      <w:pPr>
        <w:pStyle w:val="ListBullet"/>
        <w:spacing w:after="140"/>
        <w:ind w:left="357" w:hanging="357"/>
      </w:pPr>
      <w:r>
        <w:t xml:space="preserve">The </w:t>
      </w:r>
      <w:hyperlink r:id="rId26" w:history="1">
        <w:r w:rsidRPr="001A7580">
          <w:rPr>
            <w:rStyle w:val="Hyperlink"/>
          </w:rPr>
          <w:t>Scheduling handbook: Guidance for amending the Poisons Standard</w:t>
        </w:r>
      </w:hyperlink>
      <w:r>
        <w:t>.</w:t>
      </w:r>
    </w:p>
    <w:p w14:paraId="0126C1E1" w14:textId="77777777" w:rsidR="00F41DCE" w:rsidRDefault="00F41DCE" w:rsidP="00B94F6F">
      <w:pPr>
        <w:pStyle w:val="Heading5"/>
      </w:pPr>
      <w:r w:rsidRPr="00436C41">
        <w:t>Reasons for the final decision (including findings on material questions of fact)</w:t>
      </w:r>
    </w:p>
    <w:p w14:paraId="46E8837E" w14:textId="4CC7B11D" w:rsidR="00F41DCE" w:rsidRDefault="00F41DCE" w:rsidP="00B94F6F">
      <w:r>
        <w:t xml:space="preserve">I have made </w:t>
      </w:r>
      <w:r w:rsidR="00D32FF0">
        <w:t xml:space="preserve">a final decision to confirm my </w:t>
      </w:r>
      <w:hyperlink r:id="rId27" w:history="1">
        <w:r w:rsidRPr="001169AC">
          <w:rPr>
            <w:rStyle w:val="Hyperlink"/>
          </w:rPr>
          <w:t>interim decision</w:t>
        </w:r>
      </w:hyperlink>
      <w:r w:rsidR="00D32FF0">
        <w:t xml:space="preserve"> not</w:t>
      </w:r>
      <w:r w:rsidR="00A30ED5">
        <w:t xml:space="preserve"> to</w:t>
      </w:r>
      <w:r w:rsidR="00D32FF0">
        <w:t xml:space="preserve"> amend </w:t>
      </w:r>
      <w:r>
        <w:t xml:space="preserve">the current Poisons Standard with respect to </w:t>
      </w:r>
      <w:r w:rsidR="00D32FF0" w:rsidRPr="00CC46EF">
        <w:t>ondansetron</w:t>
      </w:r>
      <w:r>
        <w:t>.</w:t>
      </w:r>
      <w:r w:rsidR="00D32FF0">
        <w:t xml:space="preserve"> </w:t>
      </w:r>
      <w:r w:rsidR="00D32FF0" w:rsidRPr="00D455FB">
        <w:t>Specifically,</w:t>
      </w:r>
      <w:r w:rsidR="003832FF">
        <w:t xml:space="preserve"> I confirm my </w:t>
      </w:r>
      <w:r w:rsidR="00612666">
        <w:t xml:space="preserve">interim </w:t>
      </w:r>
      <w:r w:rsidR="003832FF">
        <w:t xml:space="preserve">decision </w:t>
      </w:r>
      <w:r w:rsidR="00D32FF0" w:rsidRPr="00D455FB">
        <w:t>not to down-schedule ondansetron from Schedule 4 to Schedule 3.</w:t>
      </w:r>
      <w:r w:rsidR="006C405C">
        <w:t xml:space="preserve"> </w:t>
      </w:r>
      <w:r w:rsidR="006C405C" w:rsidRPr="006C405C">
        <w:t>My reasons for making the final decision are those set out in the interim decision</w:t>
      </w:r>
      <w:r w:rsidR="006C405C">
        <w:t xml:space="preserve">. </w:t>
      </w:r>
      <w:r>
        <w:t xml:space="preserve">In making my final decision, I have taken into account the material detailed </w:t>
      </w:r>
      <w:r w:rsidR="00D32FF0">
        <w:t xml:space="preserve">in the interim decision and the public submission </w:t>
      </w:r>
      <w:r>
        <w:t xml:space="preserve">received before the second closing date in response to the call for further submissions published on </w:t>
      </w:r>
      <w:r w:rsidR="00D32FF0">
        <w:t>10 June 2020</w:t>
      </w:r>
      <w:r>
        <w:t xml:space="preserve"> </w:t>
      </w:r>
      <w:r>
        <w:lastRenderedPageBreak/>
        <w:t>under regulation 42ZCZP of the Regulations.</w:t>
      </w:r>
      <w:r w:rsidR="004308EB">
        <w:t xml:space="preserve"> I note the public submission was in </w:t>
      </w:r>
      <w:r w:rsidR="00B94F6F">
        <w:t>support of my interim decision.</w:t>
      </w:r>
    </w:p>
    <w:p w14:paraId="61095FCD" w14:textId="54706458" w:rsidR="00F41DCE" w:rsidRDefault="00B94F6F" w:rsidP="00B94F6F">
      <w:pPr>
        <w:pStyle w:val="Heading5"/>
      </w:pPr>
      <w:r>
        <w:t>Date of effect of the decision</w:t>
      </w:r>
    </w:p>
    <w:p w14:paraId="3FAD1769" w14:textId="7AF346D1" w:rsidR="00F41DCE" w:rsidRPr="004308EB" w:rsidRDefault="006C405C" w:rsidP="00F41DCE">
      <w:pPr>
        <w:rPr>
          <w:b/>
        </w:rPr>
      </w:pPr>
      <w:r w:rsidRPr="004308EB">
        <w:rPr>
          <w:b/>
        </w:rPr>
        <w:t>2</w:t>
      </w:r>
      <w:r>
        <w:rPr>
          <w:b/>
        </w:rPr>
        <w:t>4</w:t>
      </w:r>
      <w:r w:rsidRPr="004308EB">
        <w:rPr>
          <w:b/>
        </w:rPr>
        <w:t xml:space="preserve"> </w:t>
      </w:r>
      <w:r w:rsidR="004308EB" w:rsidRPr="004308EB">
        <w:rPr>
          <w:b/>
        </w:rPr>
        <w:t>August 2020</w:t>
      </w:r>
    </w:p>
    <w:p w14:paraId="6E67EC1C" w14:textId="77777777" w:rsidR="003D4393" w:rsidRDefault="003D4393" w:rsidP="00B94F6F">
      <w:pPr>
        <w:pStyle w:val="Heading4"/>
      </w:pPr>
      <w:r>
        <w:t xml:space="preserve">Final decision in relation to </w:t>
      </w:r>
      <w:proofErr w:type="spellStart"/>
      <w:r w:rsidRPr="003D4393">
        <w:t>adapalene</w:t>
      </w:r>
      <w:proofErr w:type="spellEnd"/>
    </w:p>
    <w:p w14:paraId="23D9EDA0" w14:textId="7C5AE527" w:rsidR="003D4393" w:rsidRPr="008036B7" w:rsidRDefault="003D4393" w:rsidP="00B94F6F">
      <w:pPr>
        <w:pStyle w:val="Heading5"/>
      </w:pPr>
      <w:r>
        <w:t xml:space="preserve">Final </w:t>
      </w:r>
      <w:r w:rsidR="00B94F6F">
        <w:t>d</w:t>
      </w:r>
      <w:r>
        <w:t>ecision</w:t>
      </w:r>
    </w:p>
    <w:p w14:paraId="7A7DEBE9" w14:textId="77777777" w:rsidR="003D4393" w:rsidRDefault="003D4393" w:rsidP="003D4393">
      <w:r>
        <w:t xml:space="preserve">Pursuant to regulation 42ZCZR of the Regulations, a Delegate of the Secretary has made a final decision </w:t>
      </w:r>
      <w:r w:rsidRPr="00CA0030">
        <w:t xml:space="preserve">to </w:t>
      </w:r>
      <w:r w:rsidR="00CA0030" w:rsidRPr="00CA0030">
        <w:t>confirm</w:t>
      </w:r>
      <w:r w:rsidRPr="00CA0030">
        <w:t xml:space="preserve"> the interim decision and amend the current Poisons Standard in relation to</w:t>
      </w:r>
      <w:r w:rsidR="00CA0030" w:rsidRPr="00CA0030">
        <w:t xml:space="preserve"> </w:t>
      </w:r>
      <w:proofErr w:type="spellStart"/>
      <w:r w:rsidR="00CA0030" w:rsidRPr="00CA0030">
        <w:t>adapalene</w:t>
      </w:r>
      <w:proofErr w:type="spellEnd"/>
      <w:r w:rsidR="00CA0030" w:rsidRPr="00CA0030">
        <w:t xml:space="preserve"> as follows:</w:t>
      </w:r>
    </w:p>
    <w:p w14:paraId="4BD05336" w14:textId="77777777" w:rsidR="00414DA2" w:rsidRPr="00CE0D29" w:rsidRDefault="00414DA2" w:rsidP="00B94F6F">
      <w:pPr>
        <w:ind w:left="426"/>
        <w:rPr>
          <w:b/>
        </w:rPr>
      </w:pPr>
      <w:r w:rsidRPr="00CE0D29">
        <w:rPr>
          <w:b/>
        </w:rPr>
        <w:t xml:space="preserve">Schedule </w:t>
      </w:r>
      <w:proofErr w:type="gramStart"/>
      <w:r w:rsidRPr="00CE0D29">
        <w:rPr>
          <w:b/>
        </w:rPr>
        <w:t>4</w:t>
      </w:r>
      <w:proofErr w:type="gramEnd"/>
      <w:r w:rsidRPr="00CE0D29">
        <w:rPr>
          <w:b/>
        </w:rPr>
        <w:t xml:space="preserve"> – Amend Entry</w:t>
      </w:r>
    </w:p>
    <w:p w14:paraId="12152B57" w14:textId="77777777" w:rsidR="00414DA2" w:rsidRDefault="00414DA2" w:rsidP="00B94F6F">
      <w:pPr>
        <w:ind w:left="426"/>
      </w:pPr>
      <w:r>
        <w:t xml:space="preserve">ADAPALENE </w:t>
      </w:r>
      <w:r w:rsidRPr="00CE0D29">
        <w:rPr>
          <w:b/>
          <w:color w:val="FF0000"/>
        </w:rPr>
        <w:t>except</w:t>
      </w:r>
      <w:r w:rsidRPr="00CE0D29">
        <w:rPr>
          <w:color w:val="FF0000"/>
        </w:rPr>
        <w:t xml:space="preserve"> when included in Schedule 3</w:t>
      </w:r>
      <w:r w:rsidRPr="00E421D6">
        <w:rPr>
          <w:color w:val="FF0000"/>
        </w:rPr>
        <w:t>.</w:t>
      </w:r>
    </w:p>
    <w:p w14:paraId="512C7196" w14:textId="77777777" w:rsidR="00414DA2" w:rsidRPr="00CE0D29" w:rsidRDefault="00414DA2" w:rsidP="00B94F6F">
      <w:pPr>
        <w:ind w:left="426"/>
        <w:rPr>
          <w:b/>
        </w:rPr>
      </w:pPr>
      <w:r w:rsidRPr="00CE0D29">
        <w:rPr>
          <w:b/>
        </w:rPr>
        <w:t>Schedule 3 – New Entry</w:t>
      </w:r>
    </w:p>
    <w:p w14:paraId="310E5E2F" w14:textId="77777777" w:rsidR="00414DA2" w:rsidRDefault="00414DA2" w:rsidP="00B94F6F">
      <w:pPr>
        <w:ind w:left="426"/>
      </w:pPr>
      <w:r w:rsidRPr="00CE0D29">
        <w:rPr>
          <w:color w:val="FF0000"/>
        </w:rPr>
        <w:t xml:space="preserve">ADAPALENE in topical preparations containing 0.1 per cent or less of </w:t>
      </w:r>
      <w:proofErr w:type="spellStart"/>
      <w:r w:rsidRPr="00CE0D29">
        <w:rPr>
          <w:color w:val="FF0000"/>
        </w:rPr>
        <w:t>adapalene</w:t>
      </w:r>
      <w:proofErr w:type="spellEnd"/>
      <w:r w:rsidRPr="00CE0D29">
        <w:rPr>
          <w:color w:val="FF0000"/>
        </w:rPr>
        <w:t xml:space="preserve"> for the treatment of </w:t>
      </w:r>
      <w:r w:rsidRPr="00CE0D29">
        <w:rPr>
          <w:i/>
          <w:color w:val="FF0000"/>
        </w:rPr>
        <w:t>acne vulgaris</w:t>
      </w:r>
      <w:r w:rsidRPr="00CE0D29">
        <w:rPr>
          <w:color w:val="FF0000"/>
        </w:rPr>
        <w:t xml:space="preserve"> in adults and in</w:t>
      </w:r>
      <w:r>
        <w:rPr>
          <w:color w:val="FF0000"/>
        </w:rPr>
        <w:t xml:space="preserve"> children over 12 years of age.</w:t>
      </w:r>
    </w:p>
    <w:p w14:paraId="0F4010FC" w14:textId="77777777" w:rsidR="00414DA2" w:rsidRPr="00CE0D29" w:rsidRDefault="00414DA2" w:rsidP="00B94F6F">
      <w:pPr>
        <w:ind w:left="426"/>
        <w:rPr>
          <w:b/>
        </w:rPr>
      </w:pPr>
      <w:r>
        <w:rPr>
          <w:b/>
        </w:rPr>
        <w:t>Appendix H – New Entry</w:t>
      </w:r>
    </w:p>
    <w:p w14:paraId="27D85A35" w14:textId="77777777" w:rsidR="00414DA2" w:rsidRDefault="00414DA2" w:rsidP="00B94F6F">
      <w:pPr>
        <w:ind w:left="426"/>
      </w:pPr>
      <w:r w:rsidRPr="00CE0D29">
        <w:rPr>
          <w:color w:val="FF0000"/>
        </w:rPr>
        <w:t>ADAPALENE</w:t>
      </w:r>
    </w:p>
    <w:p w14:paraId="320961BF" w14:textId="77777777" w:rsidR="00414DA2" w:rsidRPr="00CE0D29" w:rsidRDefault="00414DA2" w:rsidP="00B94F6F">
      <w:pPr>
        <w:ind w:left="426"/>
        <w:rPr>
          <w:b/>
        </w:rPr>
      </w:pPr>
      <w:r w:rsidRPr="00CE0D29">
        <w:rPr>
          <w:b/>
        </w:rPr>
        <w:t>Index – Amend Entry</w:t>
      </w:r>
    </w:p>
    <w:p w14:paraId="2CF7A299" w14:textId="77777777" w:rsidR="00414DA2" w:rsidRDefault="00414DA2" w:rsidP="00B94F6F">
      <w:pPr>
        <w:ind w:left="426"/>
      </w:pPr>
      <w:r>
        <w:t>ADAPALENE</w:t>
      </w:r>
    </w:p>
    <w:p w14:paraId="332582A0" w14:textId="77777777" w:rsidR="00414DA2" w:rsidRPr="00335BEC" w:rsidRDefault="00414DA2" w:rsidP="00B94F6F">
      <w:pPr>
        <w:ind w:left="426"/>
      </w:pPr>
      <w:r>
        <w:t xml:space="preserve">Schedule </w:t>
      </w:r>
      <w:proofErr w:type="gramStart"/>
      <w:r>
        <w:t>4</w:t>
      </w:r>
      <w:proofErr w:type="gramEnd"/>
      <w:r>
        <w:br/>
      </w:r>
      <w:r w:rsidRPr="00CE0D29">
        <w:rPr>
          <w:color w:val="FF0000"/>
        </w:rPr>
        <w:t>Schedule 3</w:t>
      </w:r>
      <w:r w:rsidRPr="00CE0D29">
        <w:rPr>
          <w:color w:val="FF0000"/>
        </w:rPr>
        <w:br/>
        <w:t>Appendix H</w:t>
      </w:r>
    </w:p>
    <w:p w14:paraId="4111130F" w14:textId="55A81C29" w:rsidR="003D4393" w:rsidRDefault="003262D3" w:rsidP="00B94F6F">
      <w:pPr>
        <w:pStyle w:val="Heading5"/>
      </w:pPr>
      <w:r>
        <w:t>Materials considered</w:t>
      </w:r>
    </w:p>
    <w:p w14:paraId="4715059C" w14:textId="77777777" w:rsidR="003D4393" w:rsidRDefault="003D4393" w:rsidP="003D4393">
      <w:r>
        <w:t>In making this final decision, the Delegate considered the following material:</w:t>
      </w:r>
    </w:p>
    <w:p w14:paraId="0C84FF60" w14:textId="77777777" w:rsidR="003D4393" w:rsidRDefault="003D4393" w:rsidP="00C31E2C">
      <w:pPr>
        <w:pStyle w:val="ListBullet"/>
      </w:pPr>
      <w:r>
        <w:t xml:space="preserve">The </w:t>
      </w:r>
      <w:hyperlink r:id="rId28" w:history="1">
        <w:r w:rsidRPr="00CA0030">
          <w:rPr>
            <w:rStyle w:val="Hyperlink"/>
          </w:rPr>
          <w:t>application</w:t>
        </w:r>
      </w:hyperlink>
      <w:r w:rsidRPr="00CA0030">
        <w:t xml:space="preserve"> to</w:t>
      </w:r>
      <w:r>
        <w:t xml:space="preserve"> amend the current Poisons Standard with respect to </w:t>
      </w:r>
      <w:proofErr w:type="spellStart"/>
      <w:r w:rsidR="00CA0030" w:rsidRPr="00CA0030">
        <w:t>adapalene</w:t>
      </w:r>
      <w:proofErr w:type="spellEnd"/>
      <w:r>
        <w:t>;</w:t>
      </w:r>
    </w:p>
    <w:p w14:paraId="6545C736" w14:textId="5FBCF306" w:rsidR="003D4393" w:rsidRDefault="003D4393" w:rsidP="00C31E2C">
      <w:pPr>
        <w:pStyle w:val="ListBullet"/>
      </w:pPr>
      <w:r>
        <w:t xml:space="preserve">The </w:t>
      </w:r>
      <w:r w:rsidR="00CA0030" w:rsidRPr="00CA0030">
        <w:t xml:space="preserve">six </w:t>
      </w:r>
      <w:hyperlink r:id="rId29" w:history="1">
        <w:r w:rsidRPr="00CA0030">
          <w:rPr>
            <w:rStyle w:val="Hyperlink"/>
          </w:rPr>
          <w:t>public submissions</w:t>
        </w:r>
      </w:hyperlink>
      <w:r>
        <w:t xml:space="preserve"> received in response </w:t>
      </w:r>
      <w:r w:rsidRPr="00CA0030">
        <w:t xml:space="preserve">to the </w:t>
      </w:r>
      <w:hyperlink r:id="rId30" w:history="1">
        <w:r w:rsidRPr="00CA0030">
          <w:rPr>
            <w:rStyle w:val="Hyperlink"/>
          </w:rPr>
          <w:t>pre-meeting consultation</w:t>
        </w:r>
      </w:hyperlink>
      <w:r w:rsidRPr="00CA0030">
        <w:t xml:space="preserve"> under</w:t>
      </w:r>
      <w:r>
        <w:t xml:space="preserve"> regul</w:t>
      </w:r>
      <w:r w:rsidR="00CA0030">
        <w:t>ation 42ZCZK of the Regulations;</w:t>
      </w:r>
    </w:p>
    <w:p w14:paraId="40F84B71" w14:textId="77777777" w:rsidR="003D4393" w:rsidRDefault="00CA0030" w:rsidP="00C31E2C">
      <w:pPr>
        <w:pStyle w:val="ListBullet"/>
      </w:pPr>
      <w:r>
        <w:t xml:space="preserve">The advice received from </w:t>
      </w:r>
      <w:r w:rsidRPr="00CC46EF">
        <w:t>the Advisory Committee on Medicines Scheduling (ACMS #29)</w:t>
      </w:r>
      <w:r>
        <w:t>;</w:t>
      </w:r>
    </w:p>
    <w:p w14:paraId="10730C50" w14:textId="77777777" w:rsidR="003D4393" w:rsidRDefault="003D4393" w:rsidP="00C31E2C">
      <w:pPr>
        <w:pStyle w:val="ListBullet"/>
      </w:pPr>
      <w:r>
        <w:t>Th</w:t>
      </w:r>
      <w:r w:rsidR="00CA0030">
        <w:t>e one</w:t>
      </w:r>
      <w:r>
        <w:t xml:space="preserve"> public submission received in response to the </w:t>
      </w:r>
      <w:hyperlink r:id="rId31" w:history="1">
        <w:r w:rsidRPr="00CA0030">
          <w:rPr>
            <w:rStyle w:val="Hyperlink"/>
          </w:rPr>
          <w:t>interim decision consultation</w:t>
        </w:r>
      </w:hyperlink>
      <w:r>
        <w:t xml:space="preserve"> </w:t>
      </w:r>
      <w:r w:rsidRPr="002C1418">
        <w:t>under regulation 42ZCZP of the Regulations</w:t>
      </w:r>
      <w:r>
        <w:t>;</w:t>
      </w:r>
    </w:p>
    <w:p w14:paraId="28AC1FDF" w14:textId="396D841C" w:rsidR="003D4393" w:rsidRPr="00346D7C" w:rsidRDefault="00CA0030" w:rsidP="00C31E2C">
      <w:pPr>
        <w:pStyle w:val="ListBullet"/>
        <w:rPr>
          <w:szCs w:val="22"/>
        </w:rPr>
      </w:pPr>
      <w:r w:rsidRPr="005B7BF4">
        <w:t xml:space="preserve">Section 52E of the </w:t>
      </w:r>
      <w:r w:rsidRPr="005B7BF4">
        <w:rPr>
          <w:i/>
        </w:rPr>
        <w:t>Therapeutic Goods Act 1989</w:t>
      </w:r>
      <w:r w:rsidRPr="00EF7D65">
        <w:t xml:space="preserve">, in particular </w:t>
      </w:r>
      <w:r>
        <w:t>(a) the risks and benefits of the use of a substance; (b) the purpose for which a substance is to be used and the and extent of use of a substance; (c) the toxicity of a substance; (d) the dosage, formulation, labelling, packaging and presentation of a substance; and (e) the pote</w:t>
      </w:r>
      <w:r w:rsidR="003262D3">
        <w:t>ntial for abuse of a substance;</w:t>
      </w:r>
    </w:p>
    <w:p w14:paraId="6E4F7A70" w14:textId="77777777" w:rsidR="003D4393" w:rsidRDefault="003D4393" w:rsidP="00C31E2C">
      <w:pPr>
        <w:pStyle w:val="ListBullet"/>
      </w:pPr>
      <w:r w:rsidRPr="002C1418">
        <w:t xml:space="preserve">The Australian Health Ministers’ Advisory Council’s </w:t>
      </w:r>
      <w:hyperlink r:id="rId32" w:history="1">
        <w:r w:rsidRPr="001A7580">
          <w:rPr>
            <w:rStyle w:val="Hyperlink"/>
          </w:rPr>
          <w:t>Scheduling Policy Framework</w:t>
        </w:r>
      </w:hyperlink>
      <w:r>
        <w:t xml:space="preserve"> (SPF 2018</w:t>
      </w:r>
      <w:r w:rsidRPr="00346D7C">
        <w:t>); and</w:t>
      </w:r>
    </w:p>
    <w:p w14:paraId="7A18FF03" w14:textId="77777777" w:rsidR="003D4393" w:rsidRDefault="003D4393" w:rsidP="00C31E2C">
      <w:pPr>
        <w:pStyle w:val="ListBullet"/>
      </w:pPr>
      <w:r>
        <w:t xml:space="preserve">The </w:t>
      </w:r>
      <w:hyperlink r:id="rId33" w:history="1">
        <w:r w:rsidRPr="001A7580">
          <w:rPr>
            <w:rStyle w:val="Hyperlink"/>
          </w:rPr>
          <w:t>Scheduling handbook: Guidance for amending the Poisons Standard</w:t>
        </w:r>
      </w:hyperlink>
      <w:r>
        <w:t>.</w:t>
      </w:r>
    </w:p>
    <w:p w14:paraId="2BFC1EB0" w14:textId="77777777" w:rsidR="003D4393" w:rsidRDefault="003D4393" w:rsidP="003262D3">
      <w:pPr>
        <w:pStyle w:val="Heading5"/>
      </w:pPr>
      <w:r w:rsidRPr="00436C41">
        <w:lastRenderedPageBreak/>
        <w:t>Reasons for the final decision (including findings on material questions of fact)</w:t>
      </w:r>
    </w:p>
    <w:p w14:paraId="0231FE83" w14:textId="498B8CB7" w:rsidR="003D4393" w:rsidRDefault="003D4393" w:rsidP="003D4393">
      <w:r>
        <w:t xml:space="preserve">I have made </w:t>
      </w:r>
      <w:r w:rsidR="00BB6331">
        <w:t xml:space="preserve">a final decision to confirm my </w:t>
      </w:r>
      <w:hyperlink r:id="rId34" w:history="1">
        <w:r w:rsidRPr="001169AC">
          <w:rPr>
            <w:rStyle w:val="Hyperlink"/>
          </w:rPr>
          <w:t>interim decision</w:t>
        </w:r>
      </w:hyperlink>
      <w:r w:rsidR="00BB6331">
        <w:t xml:space="preserve"> to amend</w:t>
      </w:r>
      <w:r>
        <w:t xml:space="preserve"> the current Poisons Standard </w:t>
      </w:r>
      <w:r w:rsidR="00BB6044" w:rsidRPr="00BB6044">
        <w:t xml:space="preserve">to down-schedule </w:t>
      </w:r>
      <w:proofErr w:type="spellStart"/>
      <w:r w:rsidR="00BB6044" w:rsidRPr="00BB6044">
        <w:t>adapalene</w:t>
      </w:r>
      <w:proofErr w:type="spellEnd"/>
      <w:r w:rsidR="00BB6044" w:rsidRPr="00BB6044">
        <w:t xml:space="preserve"> to Schedule 3 with restrictions on</w:t>
      </w:r>
      <w:r w:rsidR="00FC754B">
        <w:t xml:space="preserve"> the preparation and indication</w:t>
      </w:r>
      <w:r>
        <w:t xml:space="preserve">. </w:t>
      </w:r>
      <w:r w:rsidR="006C405C" w:rsidRPr="006C405C">
        <w:t>My reasons for making the final decision are those set out in the interim decision</w:t>
      </w:r>
      <w:r w:rsidR="006C405C">
        <w:t xml:space="preserve">. </w:t>
      </w:r>
      <w:r>
        <w:t>In making my final decision, I have taken into account the material detail</w:t>
      </w:r>
      <w:r w:rsidR="00BB6331">
        <w:t xml:space="preserve">ed in the interim decision and the public submission </w:t>
      </w:r>
      <w:r>
        <w:t xml:space="preserve">received before the second closing date in response to the call for further submissions published on </w:t>
      </w:r>
      <w:r w:rsidR="00BB6331">
        <w:t>10 June 2020</w:t>
      </w:r>
      <w:r>
        <w:t xml:space="preserve"> under regulation 42ZCZP of the Regulations.</w:t>
      </w:r>
      <w:r w:rsidR="000C031C">
        <w:t xml:space="preserve"> I note the public submission was in support of my interim decision.</w:t>
      </w:r>
    </w:p>
    <w:p w14:paraId="52FDA062" w14:textId="1280FFF9" w:rsidR="003D4393" w:rsidRDefault="003D4393" w:rsidP="00B94F6F">
      <w:pPr>
        <w:pStyle w:val="Heading5"/>
      </w:pPr>
      <w:r>
        <w:t>Date of effect of the</w:t>
      </w:r>
      <w:r w:rsidR="003262D3">
        <w:t xml:space="preserve"> decision</w:t>
      </w:r>
    </w:p>
    <w:p w14:paraId="66FEC3AA" w14:textId="77777777" w:rsidR="003D4393" w:rsidRPr="005F1BDF" w:rsidRDefault="005F1BDF" w:rsidP="003D4393">
      <w:pPr>
        <w:rPr>
          <w:b/>
        </w:rPr>
      </w:pPr>
      <w:r w:rsidRPr="005F1BDF">
        <w:rPr>
          <w:b/>
        </w:rPr>
        <w:t>1 June 2021</w:t>
      </w:r>
    </w:p>
    <w:p w14:paraId="56A54F76" w14:textId="77777777" w:rsidR="003D4393" w:rsidRDefault="003D4393" w:rsidP="003262D3">
      <w:pPr>
        <w:pStyle w:val="Heading4"/>
      </w:pPr>
      <w:r>
        <w:t xml:space="preserve">Final decision in relation to </w:t>
      </w:r>
      <w:r w:rsidRPr="003D4393">
        <w:t xml:space="preserve">Selective Serotonin Reuptake Inhibitors (SSRI) </w:t>
      </w:r>
    </w:p>
    <w:p w14:paraId="1EE641A1" w14:textId="59191EAF" w:rsidR="003D4393" w:rsidRPr="008036B7" w:rsidRDefault="003262D3" w:rsidP="00B94F6F">
      <w:pPr>
        <w:pStyle w:val="Heading5"/>
      </w:pPr>
      <w:r>
        <w:t>Final decision</w:t>
      </w:r>
    </w:p>
    <w:p w14:paraId="02707637" w14:textId="3253D4C0" w:rsidR="003D4393" w:rsidRPr="00335BEC" w:rsidRDefault="003D4393" w:rsidP="003D4393">
      <w:r>
        <w:t xml:space="preserve">Pursuant to regulation 42ZCZR of the Regulations, a Delegate of the Secretary has made a final </w:t>
      </w:r>
      <w:r w:rsidRPr="00FC754B">
        <w:t xml:space="preserve">decision to </w:t>
      </w:r>
      <w:r w:rsidR="00BB6044" w:rsidRPr="00FC754B">
        <w:t>confirm</w:t>
      </w:r>
      <w:r w:rsidRPr="00FC754B">
        <w:t xml:space="preserve"> the interim decision not amend the current Poisons Standard in relation to </w:t>
      </w:r>
      <w:r w:rsidR="00BB6044" w:rsidRPr="00FC754B">
        <w:t>a Selective Serotonin Reuptake Inhibitors (SSRI) group entry</w:t>
      </w:r>
      <w:r w:rsidRPr="00FC754B">
        <w:t>.</w:t>
      </w:r>
    </w:p>
    <w:p w14:paraId="2F73BC5A" w14:textId="79229B86" w:rsidR="003D4393" w:rsidRDefault="003262D3" w:rsidP="00B94F6F">
      <w:pPr>
        <w:pStyle w:val="Heading5"/>
      </w:pPr>
      <w:r>
        <w:t>Materials considered</w:t>
      </w:r>
    </w:p>
    <w:p w14:paraId="060D8E29" w14:textId="77777777" w:rsidR="003D4393" w:rsidRDefault="003D4393" w:rsidP="003D4393">
      <w:r>
        <w:t>In making this final decision, the Delegate considered the following material:</w:t>
      </w:r>
    </w:p>
    <w:p w14:paraId="51136D9F" w14:textId="77777777" w:rsidR="003D4393" w:rsidRDefault="003D4393" w:rsidP="00C31E2C">
      <w:pPr>
        <w:pStyle w:val="ListBullet"/>
      </w:pPr>
      <w:r>
        <w:t xml:space="preserve">The </w:t>
      </w:r>
      <w:hyperlink r:id="rId35" w:history="1">
        <w:r w:rsidRPr="00FC754B">
          <w:rPr>
            <w:rStyle w:val="Hyperlink"/>
          </w:rPr>
          <w:t>proposal</w:t>
        </w:r>
      </w:hyperlink>
      <w:r w:rsidRPr="00FC754B">
        <w:t xml:space="preserve"> to</w:t>
      </w:r>
      <w:r>
        <w:t xml:space="preserve"> amend the current Poisons Standard with respect to </w:t>
      </w:r>
      <w:r w:rsidR="00FC754B" w:rsidRPr="00FC754B">
        <w:t>a Selective Serotonin Reuptake Inhibitors (SSRI) group entry</w:t>
      </w:r>
      <w:r>
        <w:t>;</w:t>
      </w:r>
    </w:p>
    <w:p w14:paraId="71614579" w14:textId="3599CD08" w:rsidR="003D4393" w:rsidRDefault="003D4393" w:rsidP="00C31E2C">
      <w:pPr>
        <w:pStyle w:val="ListBullet"/>
      </w:pPr>
      <w:r>
        <w:t>T</w:t>
      </w:r>
      <w:r w:rsidR="00FC754B">
        <w:t>he three</w:t>
      </w:r>
      <w:r>
        <w:t xml:space="preserve"> </w:t>
      </w:r>
      <w:hyperlink r:id="rId36" w:history="1">
        <w:r w:rsidRPr="00FC754B">
          <w:rPr>
            <w:rStyle w:val="Hyperlink"/>
          </w:rPr>
          <w:t>public submissions</w:t>
        </w:r>
      </w:hyperlink>
      <w:r w:rsidRPr="00FC754B">
        <w:t xml:space="preserve"> received</w:t>
      </w:r>
      <w:r>
        <w:t xml:space="preserve"> in response to </w:t>
      </w:r>
      <w:r w:rsidRPr="00FC754B">
        <w:t xml:space="preserve">the </w:t>
      </w:r>
      <w:hyperlink r:id="rId37" w:history="1">
        <w:r w:rsidRPr="00FC754B">
          <w:rPr>
            <w:rStyle w:val="Hyperlink"/>
          </w:rPr>
          <w:t>pre-meeting consultation</w:t>
        </w:r>
      </w:hyperlink>
      <w:r w:rsidRPr="00FC754B">
        <w:t xml:space="preserve"> under</w:t>
      </w:r>
      <w:r>
        <w:t xml:space="preserve"> regula</w:t>
      </w:r>
      <w:r w:rsidR="003262D3">
        <w:t>tion 42ZCZK of the Regulations;</w:t>
      </w:r>
    </w:p>
    <w:p w14:paraId="3BB3358F" w14:textId="77777777" w:rsidR="003D4393" w:rsidRDefault="00FC754B" w:rsidP="00C31E2C">
      <w:pPr>
        <w:pStyle w:val="ListBullet"/>
      </w:pPr>
      <w:r>
        <w:t xml:space="preserve">The advice received from </w:t>
      </w:r>
      <w:r w:rsidRPr="00CC46EF">
        <w:t>the Advisory Committee on Medicines Scheduling (ACMS #29)</w:t>
      </w:r>
      <w:r>
        <w:t>;</w:t>
      </w:r>
    </w:p>
    <w:p w14:paraId="651A7980" w14:textId="77777777" w:rsidR="003D4393" w:rsidRDefault="00091D4A" w:rsidP="00C31E2C">
      <w:pPr>
        <w:pStyle w:val="ListBullet"/>
      </w:pPr>
      <w:r>
        <w:t>The one</w:t>
      </w:r>
      <w:r w:rsidR="003D4393">
        <w:t xml:space="preserve"> public submission</w:t>
      </w:r>
      <w:r w:rsidRPr="00091D4A">
        <w:t xml:space="preserve"> </w:t>
      </w:r>
      <w:r w:rsidR="003D4393" w:rsidRPr="00091D4A">
        <w:t>received</w:t>
      </w:r>
      <w:r w:rsidR="003D4393">
        <w:t xml:space="preserve"> in response to the </w:t>
      </w:r>
      <w:hyperlink r:id="rId38" w:history="1">
        <w:r w:rsidR="003D4393" w:rsidRPr="00091D4A">
          <w:rPr>
            <w:rStyle w:val="Hyperlink"/>
          </w:rPr>
          <w:t>interim decision consultation</w:t>
        </w:r>
      </w:hyperlink>
      <w:r w:rsidR="003D4393">
        <w:t xml:space="preserve"> </w:t>
      </w:r>
      <w:r w:rsidR="003D4393" w:rsidRPr="002C1418">
        <w:t>under regulation 42ZCZP of the Regulations</w:t>
      </w:r>
      <w:r w:rsidR="003D4393">
        <w:t>;</w:t>
      </w:r>
    </w:p>
    <w:p w14:paraId="43B41970" w14:textId="35A95A31" w:rsidR="003D4393" w:rsidRDefault="00AD040D" w:rsidP="00C31E2C">
      <w:pPr>
        <w:pStyle w:val="ListBullet"/>
      </w:pPr>
      <w:r w:rsidRPr="005B7BF4">
        <w:t xml:space="preserve">Section 52E of the </w:t>
      </w:r>
      <w:r w:rsidRPr="005B7BF4">
        <w:rPr>
          <w:i/>
        </w:rPr>
        <w:t>Therapeutic Goods Act 1989</w:t>
      </w:r>
      <w:r w:rsidRPr="00EF7D65">
        <w:t xml:space="preserve">, in particular </w:t>
      </w:r>
      <w:r>
        <w:t>(a) the risks and benefits of the use of a substance; (b) the purpose for which a substance is to be used and the and extent of use of a substance; (c) the toxicity of a substance; (d) the dosage, formulation, labelling, packaging and presentation of a substance; (e) the potential for abuse of a substance; and (f) any other matters that the Secretary considers necessary to pro</w:t>
      </w:r>
      <w:r w:rsidR="003262D3">
        <w:t>tect public health;</w:t>
      </w:r>
    </w:p>
    <w:p w14:paraId="6F40B3C7" w14:textId="77777777" w:rsidR="003D4393" w:rsidRDefault="003D4393" w:rsidP="00C31E2C">
      <w:pPr>
        <w:pStyle w:val="ListBullet"/>
      </w:pPr>
      <w:r w:rsidRPr="002C1418">
        <w:t xml:space="preserve">The Australian Health Ministers’ Advisory Council’s </w:t>
      </w:r>
      <w:hyperlink r:id="rId39" w:history="1">
        <w:r w:rsidRPr="001A7580">
          <w:rPr>
            <w:rStyle w:val="Hyperlink"/>
          </w:rPr>
          <w:t>Scheduling Policy Framework</w:t>
        </w:r>
      </w:hyperlink>
      <w:r>
        <w:t xml:space="preserve"> (SPF 2018</w:t>
      </w:r>
      <w:r w:rsidRPr="00AD040D">
        <w:t>); and</w:t>
      </w:r>
    </w:p>
    <w:p w14:paraId="203DCE2F" w14:textId="77777777" w:rsidR="003D4393" w:rsidRDefault="003D4393" w:rsidP="00C31E2C">
      <w:pPr>
        <w:pStyle w:val="ListBullet"/>
      </w:pPr>
      <w:r>
        <w:t xml:space="preserve">The </w:t>
      </w:r>
      <w:hyperlink r:id="rId40" w:history="1">
        <w:r w:rsidRPr="001A7580">
          <w:rPr>
            <w:rStyle w:val="Hyperlink"/>
          </w:rPr>
          <w:t>Scheduling handbook: Guidance for amending the Poisons Standard</w:t>
        </w:r>
      </w:hyperlink>
      <w:r>
        <w:t>.</w:t>
      </w:r>
    </w:p>
    <w:p w14:paraId="7E1BA255" w14:textId="77777777" w:rsidR="003D4393" w:rsidRDefault="003D4393" w:rsidP="00B94F6F">
      <w:pPr>
        <w:pStyle w:val="Heading5"/>
      </w:pPr>
      <w:r w:rsidRPr="00436C41">
        <w:t>Reasons for the final decision (including findings on material questions of fact)</w:t>
      </w:r>
    </w:p>
    <w:p w14:paraId="052F9F1A" w14:textId="6F1965DF" w:rsidR="003D4393" w:rsidRDefault="003D4393" w:rsidP="003D4393">
      <w:r>
        <w:t xml:space="preserve">I have made </w:t>
      </w:r>
      <w:r w:rsidR="00AD040D">
        <w:t xml:space="preserve">a final decision to confirm my </w:t>
      </w:r>
      <w:hyperlink r:id="rId41" w:history="1">
        <w:r w:rsidRPr="001169AC">
          <w:rPr>
            <w:rStyle w:val="Hyperlink"/>
          </w:rPr>
          <w:t>interim decision</w:t>
        </w:r>
      </w:hyperlink>
      <w:r w:rsidR="00492844">
        <w:t xml:space="preserve"> </w:t>
      </w:r>
      <w:r w:rsidR="00AD040D">
        <w:t xml:space="preserve">not </w:t>
      </w:r>
      <w:r w:rsidR="00AD5E74">
        <w:t xml:space="preserve">to </w:t>
      </w:r>
      <w:r w:rsidR="00AD040D">
        <w:t xml:space="preserve">amend </w:t>
      </w:r>
      <w:r>
        <w:t xml:space="preserve">the current Poisons Standard with respect </w:t>
      </w:r>
      <w:r w:rsidR="00AD040D">
        <w:t>a Se</w:t>
      </w:r>
      <w:r w:rsidR="00AD040D" w:rsidRPr="009F237B">
        <w:t>lective Serotonin Reuptake Inhibitors (SSRI) group entry</w:t>
      </w:r>
      <w:r w:rsidR="00AD040D">
        <w:t xml:space="preserve">. </w:t>
      </w:r>
      <w:r w:rsidR="001F32B5" w:rsidRPr="001F32B5">
        <w:t>My reasons for making the final decision are those set out in the interim decision</w:t>
      </w:r>
      <w:r w:rsidR="00F276C0">
        <w:t>.</w:t>
      </w:r>
      <w:r w:rsidR="001F32B5" w:rsidRPr="001F32B5">
        <w:t xml:space="preserve"> </w:t>
      </w:r>
      <w:r>
        <w:t xml:space="preserve">In making my final decision, I have taken into account the material detailed in the interim decision and </w:t>
      </w:r>
      <w:r w:rsidR="00AD040D">
        <w:t xml:space="preserve">the public submission </w:t>
      </w:r>
      <w:r>
        <w:t xml:space="preserve">received before the second closing date in response to the call for further submissions published on </w:t>
      </w:r>
      <w:r w:rsidR="00AD040D">
        <w:t>10 June 2020</w:t>
      </w:r>
      <w:r>
        <w:t xml:space="preserve"> under regulation 42ZCZP of the Regulations.</w:t>
      </w:r>
      <w:r w:rsidR="00AD040D">
        <w:t xml:space="preserve"> I note the public submission was in support of my interim decision.</w:t>
      </w:r>
    </w:p>
    <w:p w14:paraId="0EF7649E" w14:textId="3D1E1D3C" w:rsidR="003D4393" w:rsidRDefault="003D4393" w:rsidP="00B94F6F">
      <w:pPr>
        <w:pStyle w:val="Heading5"/>
      </w:pPr>
      <w:r>
        <w:lastRenderedPageBreak/>
        <w:t>Date of ef</w:t>
      </w:r>
      <w:r w:rsidR="003262D3">
        <w:t>fect of the decision</w:t>
      </w:r>
    </w:p>
    <w:p w14:paraId="43DBAF68" w14:textId="3819EBE0" w:rsidR="003D4393" w:rsidRPr="00AD040D" w:rsidRDefault="00191B7E" w:rsidP="003D4393">
      <w:pPr>
        <w:rPr>
          <w:b/>
        </w:rPr>
      </w:pPr>
      <w:r w:rsidRPr="00AD040D">
        <w:rPr>
          <w:b/>
        </w:rPr>
        <w:t>2</w:t>
      </w:r>
      <w:r>
        <w:rPr>
          <w:b/>
        </w:rPr>
        <w:t>4</w:t>
      </w:r>
      <w:r w:rsidRPr="00AD040D">
        <w:rPr>
          <w:b/>
        </w:rPr>
        <w:t xml:space="preserve"> </w:t>
      </w:r>
      <w:r w:rsidR="00AD040D" w:rsidRPr="00AD040D">
        <w:rPr>
          <w:b/>
        </w:rPr>
        <w:t>August 2020</w:t>
      </w:r>
    </w:p>
    <w:p w14:paraId="5DE4F07C" w14:textId="77777777" w:rsidR="003D4393" w:rsidRDefault="003D4393" w:rsidP="003D4393">
      <w:pPr>
        <w:pStyle w:val="Heading4"/>
      </w:pPr>
      <w:r>
        <w:t xml:space="preserve">Final decision in relation to </w:t>
      </w:r>
      <w:r w:rsidRPr="003D4393">
        <w:t>ranitidine</w:t>
      </w:r>
    </w:p>
    <w:p w14:paraId="32EABEBB" w14:textId="4883218E" w:rsidR="003D4393" w:rsidRPr="008036B7" w:rsidRDefault="003262D3" w:rsidP="00B94F6F">
      <w:pPr>
        <w:pStyle w:val="Heading5"/>
      </w:pPr>
      <w:r>
        <w:t>Final decision</w:t>
      </w:r>
    </w:p>
    <w:p w14:paraId="72A3E52C" w14:textId="51C5DB67" w:rsidR="003D4393" w:rsidRPr="00335BEC" w:rsidRDefault="003D4393" w:rsidP="003D4393">
      <w:r>
        <w:t xml:space="preserve">Pursuant to regulation </w:t>
      </w:r>
      <w:r w:rsidRPr="00822DC7">
        <w:t xml:space="preserve">42ZCZR of the Regulations, a Delegate of the Secretary has made a final decision to </w:t>
      </w:r>
      <w:r w:rsidR="00822DC7" w:rsidRPr="00822DC7">
        <w:t>confirm</w:t>
      </w:r>
      <w:r w:rsidRPr="00822DC7">
        <w:t xml:space="preserve"> the interim decision not</w:t>
      </w:r>
      <w:r w:rsidR="00291A53">
        <w:t xml:space="preserve"> to</w:t>
      </w:r>
      <w:r w:rsidRPr="00822DC7">
        <w:t xml:space="preserve"> amend the current P</w:t>
      </w:r>
      <w:r w:rsidR="00822DC7" w:rsidRPr="00822DC7">
        <w:t>oisons Standard in relation to ranitidine</w:t>
      </w:r>
      <w:r w:rsidRPr="00822DC7">
        <w:t>.</w:t>
      </w:r>
    </w:p>
    <w:p w14:paraId="149BAFA4" w14:textId="0BE6C000" w:rsidR="003D4393" w:rsidRDefault="003262D3" w:rsidP="00B94F6F">
      <w:pPr>
        <w:pStyle w:val="Heading5"/>
      </w:pPr>
      <w:r>
        <w:t>Materials considered</w:t>
      </w:r>
    </w:p>
    <w:p w14:paraId="33ADD45C" w14:textId="77777777" w:rsidR="003D4393" w:rsidRDefault="003D4393" w:rsidP="003D4393">
      <w:r>
        <w:t>In making this final decision, the Delegate considered the following material:</w:t>
      </w:r>
    </w:p>
    <w:p w14:paraId="2EB8A697" w14:textId="77777777" w:rsidR="003D4393" w:rsidRDefault="003D4393" w:rsidP="00C31E2C">
      <w:pPr>
        <w:pStyle w:val="ListBullet"/>
      </w:pPr>
      <w:r>
        <w:t xml:space="preserve">The </w:t>
      </w:r>
      <w:hyperlink r:id="rId42" w:history="1">
        <w:r w:rsidRPr="00822DC7">
          <w:rPr>
            <w:rStyle w:val="Hyperlink"/>
          </w:rPr>
          <w:t>application</w:t>
        </w:r>
      </w:hyperlink>
      <w:r w:rsidRPr="00822DC7">
        <w:t xml:space="preserve"> to</w:t>
      </w:r>
      <w:r>
        <w:t xml:space="preserve"> amend the current Poisons Standard with respect to </w:t>
      </w:r>
      <w:r w:rsidR="00822DC7" w:rsidRPr="00822DC7">
        <w:t>ranitidine</w:t>
      </w:r>
      <w:r>
        <w:t>;</w:t>
      </w:r>
    </w:p>
    <w:p w14:paraId="7CDBA82C" w14:textId="76DCAD81" w:rsidR="003D4393" w:rsidRDefault="003D4393" w:rsidP="00C31E2C">
      <w:pPr>
        <w:pStyle w:val="ListBullet"/>
      </w:pPr>
      <w:r>
        <w:t>T</w:t>
      </w:r>
      <w:r w:rsidR="00822DC7">
        <w:t>he four</w:t>
      </w:r>
      <w:r>
        <w:t xml:space="preserve"> </w:t>
      </w:r>
      <w:hyperlink r:id="rId43" w:history="1">
        <w:r w:rsidRPr="00822DC7">
          <w:rPr>
            <w:rStyle w:val="Hyperlink"/>
          </w:rPr>
          <w:t>public submissions</w:t>
        </w:r>
      </w:hyperlink>
      <w:r>
        <w:t xml:space="preserve"> received in response to </w:t>
      </w:r>
      <w:r w:rsidRPr="00822DC7">
        <w:t xml:space="preserve">the </w:t>
      </w:r>
      <w:hyperlink r:id="rId44" w:history="1">
        <w:r w:rsidRPr="00822DC7">
          <w:rPr>
            <w:rStyle w:val="Hyperlink"/>
          </w:rPr>
          <w:t>pre-meeting consultation</w:t>
        </w:r>
      </w:hyperlink>
      <w:r w:rsidRPr="00822DC7">
        <w:t xml:space="preserve"> under</w:t>
      </w:r>
      <w:r>
        <w:t xml:space="preserve"> regula</w:t>
      </w:r>
      <w:r w:rsidR="003262D3">
        <w:t>tion 42ZCZK of the Regulations;</w:t>
      </w:r>
    </w:p>
    <w:p w14:paraId="11CF9E77" w14:textId="77777777" w:rsidR="003D4393" w:rsidRDefault="007F6E1C" w:rsidP="00C31E2C">
      <w:pPr>
        <w:pStyle w:val="ListBullet"/>
      </w:pPr>
      <w:r>
        <w:t xml:space="preserve">The advice received from </w:t>
      </w:r>
      <w:r w:rsidRPr="00CC46EF">
        <w:t>the Advisory Committee on Medicines Scheduling (ACMS #29)</w:t>
      </w:r>
      <w:r>
        <w:t>;</w:t>
      </w:r>
    </w:p>
    <w:p w14:paraId="64FF0615" w14:textId="12DE0B67" w:rsidR="003D4393" w:rsidRDefault="007F6E1C" w:rsidP="00C31E2C">
      <w:pPr>
        <w:pStyle w:val="ListBullet"/>
      </w:pPr>
      <w:r>
        <w:t xml:space="preserve">The </w:t>
      </w:r>
      <w:r w:rsidR="00F10CDA">
        <w:t xml:space="preserve">two </w:t>
      </w:r>
      <w:r w:rsidR="003D4393">
        <w:t>public submission</w:t>
      </w:r>
      <w:r w:rsidR="00D41CBF">
        <w:t>s</w:t>
      </w:r>
      <w:r w:rsidR="003D4393">
        <w:t xml:space="preserve"> received in response to the </w:t>
      </w:r>
      <w:hyperlink r:id="rId45" w:history="1">
        <w:r w:rsidR="003D4393" w:rsidRPr="007F6E1C">
          <w:rPr>
            <w:rStyle w:val="Hyperlink"/>
          </w:rPr>
          <w:t>interim decision consultation</w:t>
        </w:r>
      </w:hyperlink>
      <w:r w:rsidR="003D4393">
        <w:t xml:space="preserve"> </w:t>
      </w:r>
      <w:r w:rsidR="003D4393" w:rsidRPr="002C1418">
        <w:t>under regulation 42ZCZP of the Regulations</w:t>
      </w:r>
      <w:r w:rsidR="003D4393">
        <w:t>;</w:t>
      </w:r>
    </w:p>
    <w:p w14:paraId="26993F14" w14:textId="151D7EDA" w:rsidR="003D4393" w:rsidRDefault="007F6E1C" w:rsidP="00C31E2C">
      <w:pPr>
        <w:pStyle w:val="ListBullet"/>
      </w:pPr>
      <w:r w:rsidRPr="005B7BF4">
        <w:t xml:space="preserve">Section 52E of the </w:t>
      </w:r>
      <w:r w:rsidRPr="008A568B">
        <w:rPr>
          <w:i/>
        </w:rPr>
        <w:t>Therapeutic Goods Act 1989</w:t>
      </w:r>
      <w:r w:rsidRPr="00EF7D65">
        <w:t xml:space="preserve">, in particular </w:t>
      </w:r>
      <w:r w:rsidRPr="00EC0E2E">
        <w:t>(a) the risks and benefits of the use of a substance; (b) the purposes for which a substance is to be used and the extent of use of a substance; (c) the toxicity of a substance; (d) the dosage, formulation, labelling, packaging and presentation of a substance;</w:t>
      </w:r>
      <w:r>
        <w:t xml:space="preserve"> and </w:t>
      </w:r>
      <w:r w:rsidRPr="00EC0E2E">
        <w:t>(e) the potential for abuse of a substance</w:t>
      </w:r>
      <w:r w:rsidR="003262D3">
        <w:t>;</w:t>
      </w:r>
    </w:p>
    <w:p w14:paraId="6015A7DF" w14:textId="77777777" w:rsidR="003D4393" w:rsidRDefault="003D4393" w:rsidP="00C31E2C">
      <w:pPr>
        <w:pStyle w:val="ListBullet"/>
      </w:pPr>
      <w:r w:rsidRPr="002C1418">
        <w:t xml:space="preserve">The Australian Health Ministers’ Advisory Council’s </w:t>
      </w:r>
      <w:hyperlink r:id="rId46" w:history="1">
        <w:r w:rsidRPr="001A7580">
          <w:rPr>
            <w:rStyle w:val="Hyperlink"/>
          </w:rPr>
          <w:t>Scheduling Policy Framework</w:t>
        </w:r>
      </w:hyperlink>
      <w:r>
        <w:t xml:space="preserve"> (SPF 2018); </w:t>
      </w:r>
      <w:r w:rsidRPr="00296C11">
        <w:t>and</w:t>
      </w:r>
    </w:p>
    <w:p w14:paraId="39D60C66" w14:textId="77777777" w:rsidR="003D4393" w:rsidRDefault="003D4393" w:rsidP="00C31E2C">
      <w:pPr>
        <w:pStyle w:val="ListBullet"/>
      </w:pPr>
      <w:r>
        <w:t xml:space="preserve">The </w:t>
      </w:r>
      <w:hyperlink r:id="rId47" w:history="1">
        <w:r w:rsidRPr="001A7580">
          <w:rPr>
            <w:rStyle w:val="Hyperlink"/>
          </w:rPr>
          <w:t>Scheduling handbook: Guidance for amending the Poisons Standard</w:t>
        </w:r>
      </w:hyperlink>
      <w:r>
        <w:t>.</w:t>
      </w:r>
    </w:p>
    <w:p w14:paraId="63A67E98" w14:textId="77777777" w:rsidR="003D4393" w:rsidRDefault="003D4393" w:rsidP="00B94F6F">
      <w:pPr>
        <w:pStyle w:val="Heading5"/>
      </w:pPr>
      <w:r w:rsidRPr="00436C41">
        <w:t>Reasons for the final decision (including findings on material questions of fact)</w:t>
      </w:r>
    </w:p>
    <w:p w14:paraId="05536962" w14:textId="3F396904" w:rsidR="00A31959" w:rsidRDefault="003D4393" w:rsidP="003D4393">
      <w:r>
        <w:t>I have made a f</w:t>
      </w:r>
      <w:r w:rsidR="00DD406D">
        <w:t xml:space="preserve">inal decision to confirm my </w:t>
      </w:r>
      <w:hyperlink r:id="rId48" w:history="1">
        <w:r w:rsidRPr="001169AC">
          <w:rPr>
            <w:rStyle w:val="Hyperlink"/>
          </w:rPr>
          <w:t>interim decision</w:t>
        </w:r>
      </w:hyperlink>
      <w:r w:rsidR="00492844">
        <w:t xml:space="preserve"> </w:t>
      </w:r>
      <w:r w:rsidR="00DD406D">
        <w:t xml:space="preserve">not </w:t>
      </w:r>
      <w:r w:rsidR="00EC1381">
        <w:t xml:space="preserve">to </w:t>
      </w:r>
      <w:r w:rsidR="00DD406D">
        <w:t xml:space="preserve">amend </w:t>
      </w:r>
      <w:r>
        <w:t xml:space="preserve">the current Poisons Standard with respect to </w:t>
      </w:r>
      <w:r w:rsidR="00DD406D" w:rsidRPr="00DD406D">
        <w:t>ranitidine</w:t>
      </w:r>
      <w:r>
        <w:t xml:space="preserve">. </w:t>
      </w:r>
      <w:r w:rsidR="00A31959" w:rsidRPr="00A31959">
        <w:t xml:space="preserve">My view is that the current scheduling of ranitidine is appropriate. </w:t>
      </w:r>
      <w:r w:rsidR="00191B7E" w:rsidRPr="00191B7E">
        <w:t>My reasons for making the final decision are those set out in the interim decision</w:t>
      </w:r>
      <w:r w:rsidR="00191B7E">
        <w:t xml:space="preserve">. </w:t>
      </w:r>
      <w:r>
        <w:t>In making my final decision, I have taken into account the material detail</w:t>
      </w:r>
      <w:r w:rsidR="00DD406D">
        <w:t>ed in the interim decision and the public submission</w:t>
      </w:r>
      <w:r>
        <w:t xml:space="preserve"> received before the second closing date in response to the call for further submissions published on </w:t>
      </w:r>
      <w:r w:rsidR="00AD4249">
        <w:t>10 June 2020</w:t>
      </w:r>
      <w:r>
        <w:t xml:space="preserve"> under regulation 42ZCZP of the Regulations.</w:t>
      </w:r>
      <w:r w:rsidR="00A31959">
        <w:t xml:space="preserve"> The public submission proposes to an alternate scheduling of ranitidine</w:t>
      </w:r>
      <w:r w:rsidR="00492844">
        <w:t xml:space="preserve"> to increase the pack size availability of Schedule 3 ranitidine, which in my view, is a matter for </w:t>
      </w:r>
      <w:r w:rsidR="00EC1381">
        <w:t xml:space="preserve">a </w:t>
      </w:r>
      <w:r w:rsidR="00492844">
        <w:t xml:space="preserve">separate scheduling application. </w:t>
      </w:r>
      <w:r w:rsidR="00EF7B1C">
        <w:t>Hence</w:t>
      </w:r>
      <w:r w:rsidR="00492844">
        <w:t xml:space="preserve">, I have not relied on the material in public submission in making my </w:t>
      </w:r>
      <w:r w:rsidR="005453ED">
        <w:t xml:space="preserve">final </w:t>
      </w:r>
      <w:r w:rsidR="00492844">
        <w:t>decision to retain the cu</w:t>
      </w:r>
      <w:r w:rsidR="003262D3">
        <w:t>rrent scheduling of ranitidine.</w:t>
      </w:r>
    </w:p>
    <w:p w14:paraId="6BFE981C" w14:textId="49854B43" w:rsidR="003D4393" w:rsidRDefault="00DA4BBE" w:rsidP="00B94F6F">
      <w:pPr>
        <w:pStyle w:val="Heading5"/>
      </w:pPr>
      <w:r>
        <w:t>Date of effect of the decision</w:t>
      </w:r>
    </w:p>
    <w:p w14:paraId="211E5D44" w14:textId="0AB4DB20" w:rsidR="003D4393" w:rsidRPr="004862EB" w:rsidRDefault="00191B7E" w:rsidP="003D4393">
      <w:pPr>
        <w:rPr>
          <w:b/>
        </w:rPr>
      </w:pPr>
      <w:r w:rsidRPr="004862EB">
        <w:rPr>
          <w:b/>
        </w:rPr>
        <w:t>2</w:t>
      </w:r>
      <w:r>
        <w:rPr>
          <w:b/>
        </w:rPr>
        <w:t>4</w:t>
      </w:r>
      <w:r w:rsidRPr="004862EB">
        <w:rPr>
          <w:b/>
        </w:rPr>
        <w:t xml:space="preserve"> </w:t>
      </w:r>
      <w:r w:rsidR="004862EB" w:rsidRPr="004862EB">
        <w:rPr>
          <w:b/>
        </w:rPr>
        <w:t>August 2020</w:t>
      </w:r>
    </w:p>
    <w:p w14:paraId="24ECAD2E" w14:textId="77777777" w:rsidR="003D4393" w:rsidRDefault="003D4393" w:rsidP="00DA4BBE">
      <w:pPr>
        <w:pStyle w:val="Heading4"/>
      </w:pPr>
      <w:r>
        <w:lastRenderedPageBreak/>
        <w:t xml:space="preserve">Final decision in relation to </w:t>
      </w:r>
      <w:r w:rsidR="003B5815" w:rsidRPr="003B5815">
        <w:t>fexofenadine</w:t>
      </w:r>
    </w:p>
    <w:p w14:paraId="26BC8F62" w14:textId="2DADB780" w:rsidR="003D4393" w:rsidRPr="008036B7" w:rsidRDefault="00DA4BBE" w:rsidP="00DA4BBE">
      <w:pPr>
        <w:pStyle w:val="Heading5"/>
      </w:pPr>
      <w:r>
        <w:t>Final decision</w:t>
      </w:r>
    </w:p>
    <w:p w14:paraId="2AD57BFE" w14:textId="77777777" w:rsidR="003D4393" w:rsidRDefault="003D4393" w:rsidP="00DA4BBE">
      <w:pPr>
        <w:keepNext/>
      </w:pPr>
      <w:r>
        <w:t xml:space="preserve">Pursuant to regulation 42ZCZR of the Regulations, a Delegate of the Secretary has made a final decision </w:t>
      </w:r>
      <w:r w:rsidRPr="004F067A">
        <w:t xml:space="preserve">to </w:t>
      </w:r>
      <w:r w:rsidR="004F067A" w:rsidRPr="004F067A">
        <w:t>confirm</w:t>
      </w:r>
      <w:r w:rsidRPr="004F067A">
        <w:t xml:space="preserve"> the interim decision and amend the current Poisons Standard in relation to </w:t>
      </w:r>
      <w:r w:rsidR="004F067A" w:rsidRPr="004F067A">
        <w:t>fexofenadine as follows:</w:t>
      </w:r>
    </w:p>
    <w:p w14:paraId="5B028D7F" w14:textId="77777777" w:rsidR="004F067A" w:rsidRPr="00B77CFE" w:rsidRDefault="004F067A" w:rsidP="004F067A">
      <w:pPr>
        <w:ind w:left="426"/>
        <w:rPr>
          <w:b/>
        </w:rPr>
      </w:pPr>
      <w:r w:rsidRPr="00B77CFE">
        <w:rPr>
          <w:b/>
        </w:rPr>
        <w:t xml:space="preserve">Schedule </w:t>
      </w:r>
      <w:proofErr w:type="gramStart"/>
      <w:r w:rsidRPr="00B77CFE">
        <w:rPr>
          <w:b/>
        </w:rPr>
        <w:t>4</w:t>
      </w:r>
      <w:proofErr w:type="gramEnd"/>
      <w:r w:rsidRPr="00B77CFE">
        <w:rPr>
          <w:b/>
        </w:rPr>
        <w:t xml:space="preserve"> – Amend Entry</w:t>
      </w:r>
    </w:p>
    <w:p w14:paraId="0BFB3342" w14:textId="77777777" w:rsidR="004F067A" w:rsidRDefault="004F067A" w:rsidP="004F067A">
      <w:pPr>
        <w:ind w:left="426"/>
      </w:pPr>
      <w:r>
        <w:t xml:space="preserve">FEXOFENADINE </w:t>
      </w:r>
      <w:r>
        <w:rPr>
          <w:rStyle w:val="fontstyle21"/>
        </w:rPr>
        <w:t>except</w:t>
      </w:r>
      <w:r>
        <w:t>:</w:t>
      </w:r>
    </w:p>
    <w:p w14:paraId="3EEA1097" w14:textId="6D8209A8" w:rsidR="004F067A" w:rsidRPr="00DA4BBE" w:rsidRDefault="00DA4BBE" w:rsidP="00DA4BBE">
      <w:pPr>
        <w:pStyle w:val="Numberbullet2a"/>
      </w:pPr>
      <w:r w:rsidRPr="00DA4BBE">
        <w:t>when included in Schedule 2;</w:t>
      </w:r>
    </w:p>
    <w:p w14:paraId="348B51BD" w14:textId="0C40FE3C" w:rsidR="004F067A" w:rsidRDefault="00191B7E" w:rsidP="00DA4BBE">
      <w:pPr>
        <w:pStyle w:val="Numberbullet2a"/>
      </w:pPr>
      <w:r w:rsidRPr="0055178A">
        <w:rPr>
          <w:strike/>
          <w:color w:val="FF0000"/>
        </w:rPr>
        <w:t>or</w:t>
      </w:r>
      <w:r w:rsidR="004F067A" w:rsidRPr="00094077">
        <w:rPr>
          <w:color w:val="FF0000"/>
        </w:rPr>
        <w:t xml:space="preserve"> </w:t>
      </w:r>
      <w:r w:rsidR="004F067A" w:rsidRPr="00C74DD6">
        <w:rPr>
          <w:color w:val="FF0000"/>
        </w:rPr>
        <w:t>in divided preparations</w:t>
      </w:r>
      <w:r w:rsidR="004F067A">
        <w:t xml:space="preserve"> for the treatment of seasonal allergic rhinitis in adults and children</w:t>
      </w:r>
      <w:r w:rsidR="00DA4BBE">
        <w:t xml:space="preserve"> 12 years of age and over when:</w:t>
      </w:r>
    </w:p>
    <w:p w14:paraId="5FCB942D" w14:textId="77777777" w:rsidR="004F067A" w:rsidRPr="003D711B" w:rsidRDefault="004F067A" w:rsidP="003D711B">
      <w:pPr>
        <w:pStyle w:val="Numberbullet3i"/>
        <w:ind w:left="1134"/>
      </w:pPr>
      <w:r w:rsidRPr="00936C62">
        <w:t>in a</w:t>
      </w:r>
      <w:r w:rsidRPr="003D711B">
        <w:t xml:space="preserve"> primary pack containing 20 dosage units or less and not more than 10 days’ supply; and</w:t>
      </w:r>
    </w:p>
    <w:p w14:paraId="20007E5B" w14:textId="77777777" w:rsidR="004F067A" w:rsidRPr="00A43356" w:rsidRDefault="004F067A" w:rsidP="003D711B">
      <w:pPr>
        <w:pStyle w:val="Numberbullet3i"/>
        <w:ind w:left="1134"/>
        <w:rPr>
          <w:color w:val="FF0000"/>
        </w:rPr>
      </w:pPr>
      <w:r w:rsidRPr="003D711B">
        <w:t>labelled with a r</w:t>
      </w:r>
      <w:r w:rsidRPr="00936C62">
        <w:t>ecommended daily dose not exceeding 120 mg of fexofenadine</w:t>
      </w:r>
      <w:r w:rsidRPr="00A43356">
        <w:rPr>
          <w:color w:val="FF0000"/>
        </w:rPr>
        <w:t>;</w:t>
      </w:r>
    </w:p>
    <w:p w14:paraId="4DFC3423" w14:textId="77777777" w:rsidR="004F067A" w:rsidRPr="001032B5" w:rsidRDefault="004F067A" w:rsidP="00A84344">
      <w:pPr>
        <w:pStyle w:val="Numberbullet2ared"/>
        <w:ind w:left="709" w:hanging="357"/>
      </w:pPr>
      <w:r w:rsidRPr="001032B5">
        <w:t>for the treatment of seasonal allergic rhinitis in adults and children 12 years of age and over when:</w:t>
      </w:r>
    </w:p>
    <w:p w14:paraId="5F68FCB4" w14:textId="77777777" w:rsidR="004F067A" w:rsidRDefault="004F067A" w:rsidP="00FC0ADC">
      <w:pPr>
        <w:pStyle w:val="Numberbullet3ired"/>
      </w:pPr>
      <w:r w:rsidRPr="003555D7">
        <w:t>in a primary pack containing 5 dosage units or less and not more than 5 days’ supply; and</w:t>
      </w:r>
    </w:p>
    <w:p w14:paraId="59B364FF" w14:textId="77777777" w:rsidR="004F067A" w:rsidRPr="003555D7" w:rsidRDefault="004F067A" w:rsidP="00FC0ADC">
      <w:pPr>
        <w:pStyle w:val="Numberbullet3ired"/>
      </w:pPr>
      <w:r w:rsidRPr="003555D7">
        <w:t>labelled with a recommended daily dose not exceeding 180 mg of fexofenadine</w:t>
      </w:r>
      <w:r>
        <w:t>; or</w:t>
      </w:r>
    </w:p>
    <w:p w14:paraId="52368226" w14:textId="77777777" w:rsidR="004F067A" w:rsidRPr="00FC0ADC" w:rsidRDefault="004F067A" w:rsidP="00A84344">
      <w:pPr>
        <w:pStyle w:val="Numberbullet2ared"/>
        <w:ind w:left="709"/>
      </w:pPr>
      <w:r w:rsidRPr="00FC0ADC">
        <w:t>for the treatment of seasonal allergic rhinitis and children 6 years of age and over when:</w:t>
      </w:r>
    </w:p>
    <w:p w14:paraId="102BBAC8" w14:textId="77777777" w:rsidR="004F067A" w:rsidRPr="00FC0ADC" w:rsidRDefault="004F067A" w:rsidP="00FC0ADC">
      <w:pPr>
        <w:pStyle w:val="Numberbullet3ired"/>
        <w:numPr>
          <w:ilvl w:val="0"/>
          <w:numId w:val="35"/>
        </w:numPr>
        <w:rPr>
          <w:bCs/>
        </w:rPr>
      </w:pPr>
      <w:r w:rsidRPr="00FC0ADC">
        <w:t>in a primary pack containing 20 dosage units or less and not more than 10 days’ supply; and</w:t>
      </w:r>
    </w:p>
    <w:p w14:paraId="78A94F5D" w14:textId="77777777" w:rsidR="004F067A" w:rsidRPr="00FC0ADC" w:rsidRDefault="004F067A" w:rsidP="00FC0ADC">
      <w:pPr>
        <w:pStyle w:val="Numberbullet3ired"/>
        <w:rPr>
          <w:rStyle w:val="fontstyle21"/>
        </w:rPr>
      </w:pPr>
      <w:proofErr w:type="gramStart"/>
      <w:r w:rsidRPr="00FC0ADC">
        <w:t>labelled</w:t>
      </w:r>
      <w:proofErr w:type="gramEnd"/>
      <w:r w:rsidRPr="00FC0ADC">
        <w:t xml:space="preserve"> with a recommended daily dose not exceeding 60 mg of fexofenadine.</w:t>
      </w:r>
    </w:p>
    <w:p w14:paraId="3ED4F323" w14:textId="77777777" w:rsidR="00A84344" w:rsidRDefault="004F067A" w:rsidP="004F067A">
      <w:pPr>
        <w:rPr>
          <w:rStyle w:val="fontstyle21"/>
        </w:rPr>
      </w:pPr>
      <w:r>
        <w:rPr>
          <w:rStyle w:val="fontstyle21"/>
        </w:rPr>
        <w:t xml:space="preserve">Schedule </w:t>
      </w:r>
      <w:proofErr w:type="gramStart"/>
      <w:r>
        <w:rPr>
          <w:rStyle w:val="fontstyle21"/>
        </w:rPr>
        <w:t>2</w:t>
      </w:r>
      <w:proofErr w:type="gramEnd"/>
      <w:r>
        <w:rPr>
          <w:rStyle w:val="fontstyle21"/>
        </w:rPr>
        <w:t xml:space="preserve"> – Amend Entry</w:t>
      </w:r>
    </w:p>
    <w:p w14:paraId="12569248" w14:textId="7B333B8C" w:rsidR="004F067A" w:rsidRDefault="004F067A" w:rsidP="004F067A">
      <w:r>
        <w:t xml:space="preserve">FEXOFENADINE in preparations for oral use </w:t>
      </w:r>
      <w:r>
        <w:rPr>
          <w:rStyle w:val="fontstyle21"/>
        </w:rPr>
        <w:t xml:space="preserve">except </w:t>
      </w:r>
      <w:r>
        <w:t>in divided preparations:</w:t>
      </w:r>
    </w:p>
    <w:p w14:paraId="1E36926D" w14:textId="46F3EFD4" w:rsidR="004F067A" w:rsidRDefault="004F067A" w:rsidP="002D42B8">
      <w:pPr>
        <w:pStyle w:val="Numberbullet2a"/>
        <w:numPr>
          <w:ilvl w:val="0"/>
          <w:numId w:val="37"/>
        </w:numPr>
        <w:ind w:left="709" w:hanging="357"/>
      </w:pPr>
      <w:r>
        <w:t>for the treatment of seasonal allergic rhinitis in adults and children 12 years of age</w:t>
      </w:r>
      <w:r w:rsidR="00DE5486">
        <w:t xml:space="preserve"> </w:t>
      </w:r>
      <w:r>
        <w:t>and over when:</w:t>
      </w:r>
    </w:p>
    <w:p w14:paraId="2E9C10E7" w14:textId="77777777" w:rsidR="004F067A" w:rsidRPr="00936C62" w:rsidRDefault="004F067A" w:rsidP="00A84344">
      <w:pPr>
        <w:pStyle w:val="Numberbullet3i"/>
        <w:numPr>
          <w:ilvl w:val="0"/>
          <w:numId w:val="38"/>
        </w:numPr>
        <w:ind w:left="1134"/>
      </w:pPr>
      <w:r w:rsidRPr="00936C62">
        <w:t>in a primary pack containing 20 dosage units or less and not more than 10 days’ supply; and</w:t>
      </w:r>
    </w:p>
    <w:p w14:paraId="34413553" w14:textId="77777777" w:rsidR="004F067A" w:rsidRPr="00A43356" w:rsidRDefault="004F067A" w:rsidP="00A84344">
      <w:pPr>
        <w:pStyle w:val="Numberbullet3ired"/>
        <w:numPr>
          <w:ilvl w:val="0"/>
          <w:numId w:val="39"/>
        </w:numPr>
      </w:pPr>
      <w:r w:rsidRPr="00A43356">
        <w:t>labelled with a recommended daily dose not exceeding 120 mg of fexofenadine;</w:t>
      </w:r>
    </w:p>
    <w:p w14:paraId="6B245D17" w14:textId="376C1DD7" w:rsidR="004F067A" w:rsidRPr="0068543D" w:rsidRDefault="004F067A" w:rsidP="00A84344">
      <w:pPr>
        <w:pStyle w:val="Numberbullet2ared"/>
        <w:numPr>
          <w:ilvl w:val="0"/>
          <w:numId w:val="42"/>
        </w:numPr>
        <w:ind w:left="709"/>
      </w:pPr>
      <w:r w:rsidRPr="007D0A10">
        <w:t>for the treatment of seasonal allergic rhinitis in adults and children 12 years of age</w:t>
      </w:r>
      <w:r w:rsidR="00DE5486">
        <w:t xml:space="preserve"> </w:t>
      </w:r>
      <w:r w:rsidRPr="007D0A10">
        <w:t>and over when:</w:t>
      </w:r>
    </w:p>
    <w:p w14:paraId="6D142082" w14:textId="110DC4F1" w:rsidR="004F067A" w:rsidRPr="00A84344" w:rsidRDefault="004F067A" w:rsidP="00A84344">
      <w:pPr>
        <w:pStyle w:val="Numberbullet3ired"/>
        <w:numPr>
          <w:ilvl w:val="0"/>
          <w:numId w:val="40"/>
        </w:numPr>
        <w:rPr>
          <w:color w:val="000000"/>
          <w:szCs w:val="22"/>
        </w:rPr>
      </w:pPr>
      <w:r w:rsidRPr="0068543D">
        <w:t>in a primary pack containing 5 dosage units or less and not more than 5 days’</w:t>
      </w:r>
      <w:r w:rsidR="00DE5486">
        <w:t xml:space="preserve"> </w:t>
      </w:r>
      <w:r w:rsidRPr="0068543D">
        <w:t>supply; and</w:t>
      </w:r>
    </w:p>
    <w:p w14:paraId="382FFD75" w14:textId="77777777" w:rsidR="004F067A" w:rsidRPr="007D0A10" w:rsidRDefault="004F067A" w:rsidP="00A84344">
      <w:pPr>
        <w:pStyle w:val="Numberbullet3ired"/>
      </w:pPr>
      <w:r w:rsidRPr="0068543D">
        <w:t>labelled with a recommended daily dose not exceeding 180 mg of fexofenadine</w:t>
      </w:r>
      <w:r>
        <w:t>; or</w:t>
      </w:r>
    </w:p>
    <w:p w14:paraId="241B5071" w14:textId="77777777" w:rsidR="004F067A" w:rsidRPr="00002FCF" w:rsidRDefault="004F067A" w:rsidP="00920D1F">
      <w:pPr>
        <w:pStyle w:val="Numberbullet2ared"/>
        <w:ind w:left="709"/>
      </w:pPr>
      <w:r w:rsidRPr="00002FCF">
        <w:t>for the treatment of seasonal allergic rhinitis and children 6 years of age and over when:</w:t>
      </w:r>
    </w:p>
    <w:p w14:paraId="46E9B7D9" w14:textId="46117098" w:rsidR="004F067A" w:rsidRDefault="004F067A" w:rsidP="00A84344">
      <w:pPr>
        <w:pStyle w:val="Numberbullet3ired"/>
        <w:numPr>
          <w:ilvl w:val="0"/>
          <w:numId w:val="41"/>
        </w:numPr>
      </w:pPr>
      <w:r w:rsidRPr="0068543D">
        <w:t>in a primary pack containing 20 dosage units or less and not more than 10 days’</w:t>
      </w:r>
      <w:r w:rsidR="00A64EEA">
        <w:t xml:space="preserve"> </w:t>
      </w:r>
      <w:r w:rsidRPr="0068543D">
        <w:t>supply; and</w:t>
      </w:r>
    </w:p>
    <w:p w14:paraId="0F3ECD89" w14:textId="77777777" w:rsidR="004F067A" w:rsidRPr="00ED71D4" w:rsidRDefault="004F067A" w:rsidP="00A84344">
      <w:pPr>
        <w:pStyle w:val="Numberbullet3ired"/>
      </w:pPr>
      <w:proofErr w:type="gramStart"/>
      <w:r w:rsidRPr="0068543D">
        <w:t>labelled</w:t>
      </w:r>
      <w:proofErr w:type="gramEnd"/>
      <w:r w:rsidRPr="0068543D">
        <w:t xml:space="preserve"> with a recommended daily dose not exceeding 60 mg of fexofenadine</w:t>
      </w:r>
      <w:r>
        <w:t>.</w:t>
      </w:r>
    </w:p>
    <w:p w14:paraId="775FC21B" w14:textId="28833BC5" w:rsidR="003D4393" w:rsidRDefault="00DE5486" w:rsidP="00B94F6F">
      <w:pPr>
        <w:pStyle w:val="Heading5"/>
      </w:pPr>
      <w:r>
        <w:lastRenderedPageBreak/>
        <w:t>Materials considered</w:t>
      </w:r>
    </w:p>
    <w:p w14:paraId="2FA66EA2" w14:textId="77777777" w:rsidR="003D4393" w:rsidRDefault="003D4393" w:rsidP="003D4393">
      <w:r>
        <w:t>In making this final decision, the Delegate considered the following material:</w:t>
      </w:r>
    </w:p>
    <w:p w14:paraId="1EEF1B30" w14:textId="77777777" w:rsidR="003D4393" w:rsidRDefault="003D4393" w:rsidP="00C31E2C">
      <w:pPr>
        <w:pStyle w:val="ListBullet"/>
      </w:pPr>
      <w:r>
        <w:t>The</w:t>
      </w:r>
      <w:hyperlink r:id="rId49" w:history="1">
        <w:r w:rsidRPr="0082519C">
          <w:rPr>
            <w:rStyle w:val="Hyperlink"/>
          </w:rPr>
          <w:t xml:space="preserve"> application</w:t>
        </w:r>
      </w:hyperlink>
      <w:r w:rsidRPr="0082519C">
        <w:t xml:space="preserve"> to amend</w:t>
      </w:r>
      <w:r>
        <w:t xml:space="preserve"> the current Poisons Standard with respect to</w:t>
      </w:r>
      <w:r w:rsidR="005E7F9F">
        <w:t xml:space="preserve"> </w:t>
      </w:r>
      <w:r w:rsidR="005E7F9F" w:rsidRPr="005E7F9F">
        <w:t>fexofenadine</w:t>
      </w:r>
      <w:r>
        <w:t>;</w:t>
      </w:r>
    </w:p>
    <w:p w14:paraId="55F2CE36" w14:textId="2362D074" w:rsidR="003D4393" w:rsidRDefault="003D4393" w:rsidP="00C31E2C">
      <w:pPr>
        <w:pStyle w:val="ListBullet"/>
      </w:pPr>
      <w:r>
        <w:t xml:space="preserve">The </w:t>
      </w:r>
      <w:r w:rsidR="005E7F9F">
        <w:t xml:space="preserve">four </w:t>
      </w:r>
      <w:hyperlink r:id="rId50" w:history="1">
        <w:r w:rsidRPr="00612666">
          <w:rPr>
            <w:rStyle w:val="Hyperlink"/>
          </w:rPr>
          <w:t>public submissions</w:t>
        </w:r>
      </w:hyperlink>
      <w:r w:rsidRPr="00612666">
        <w:t xml:space="preserve"> received</w:t>
      </w:r>
      <w:r>
        <w:t xml:space="preserve"> in response to </w:t>
      </w:r>
      <w:r w:rsidRPr="00612666">
        <w:t xml:space="preserve">the </w:t>
      </w:r>
      <w:hyperlink r:id="rId51" w:history="1">
        <w:r w:rsidRPr="00612666">
          <w:rPr>
            <w:rStyle w:val="Hyperlink"/>
          </w:rPr>
          <w:t>pre-meeting consultation</w:t>
        </w:r>
      </w:hyperlink>
      <w:r w:rsidRPr="00612666">
        <w:t xml:space="preserve"> under</w:t>
      </w:r>
      <w:r>
        <w:t xml:space="preserve"> regula</w:t>
      </w:r>
      <w:r w:rsidR="00B71E8D">
        <w:t>tion 42ZCZK of the Regulations;</w:t>
      </w:r>
    </w:p>
    <w:p w14:paraId="5EDDDC49" w14:textId="77777777" w:rsidR="003D4393" w:rsidRDefault="00612666" w:rsidP="00C31E2C">
      <w:pPr>
        <w:pStyle w:val="ListBullet"/>
      </w:pPr>
      <w:r>
        <w:t xml:space="preserve">The advice received from </w:t>
      </w:r>
      <w:r w:rsidRPr="00CC46EF">
        <w:t>the Advisory Committee on Medicines Scheduling (ACMS #29)</w:t>
      </w:r>
      <w:r>
        <w:t>;</w:t>
      </w:r>
    </w:p>
    <w:p w14:paraId="0058C13A" w14:textId="77777777" w:rsidR="003D4393" w:rsidRDefault="00612666" w:rsidP="00C31E2C">
      <w:pPr>
        <w:pStyle w:val="ListBullet"/>
      </w:pPr>
      <w:r>
        <w:t>The one</w:t>
      </w:r>
      <w:r w:rsidR="003D4393">
        <w:t xml:space="preserve"> public submission received in response to the </w:t>
      </w:r>
      <w:hyperlink r:id="rId52" w:history="1">
        <w:r w:rsidR="003D4393" w:rsidRPr="00612666">
          <w:rPr>
            <w:rStyle w:val="Hyperlink"/>
          </w:rPr>
          <w:t>interim decision consultation</w:t>
        </w:r>
      </w:hyperlink>
      <w:r w:rsidR="003D4393">
        <w:t xml:space="preserve"> </w:t>
      </w:r>
      <w:r w:rsidR="003D4393" w:rsidRPr="002C1418">
        <w:t>under regulation 42ZCZP of the Regulations</w:t>
      </w:r>
      <w:r w:rsidR="003D4393">
        <w:t>;</w:t>
      </w:r>
    </w:p>
    <w:p w14:paraId="67F98657" w14:textId="6516569F" w:rsidR="003D4393" w:rsidRPr="00B26750" w:rsidRDefault="00B26750" w:rsidP="00C31E2C">
      <w:pPr>
        <w:pStyle w:val="ListBullet"/>
        <w:rPr>
          <w:b/>
        </w:rPr>
      </w:pPr>
      <w:r w:rsidRPr="005B7BF4">
        <w:t xml:space="preserve">Section 52E of the </w:t>
      </w:r>
      <w:r w:rsidRPr="005B7BF4">
        <w:rPr>
          <w:i/>
        </w:rPr>
        <w:t>Therapeutic Goods Act 1989</w:t>
      </w:r>
      <w:r w:rsidRPr="00EF7D65">
        <w:t xml:space="preserve">, in particular </w:t>
      </w:r>
      <w:r>
        <w:t>(a) the risks and benefits of the use of a substance; (b) the purpose for which a substance is to be used and the and extent of use of a substance; (c) the toxicity of a substance; and (d) the dosage, formulation, labelling, packaging a</w:t>
      </w:r>
      <w:r w:rsidR="00B71E8D">
        <w:t>nd presentation of a substance;</w:t>
      </w:r>
    </w:p>
    <w:p w14:paraId="6AA3A141" w14:textId="0543D29B" w:rsidR="003D4393" w:rsidRDefault="003D4393" w:rsidP="00C31E2C">
      <w:pPr>
        <w:pStyle w:val="ListBullet"/>
      </w:pPr>
      <w:r w:rsidRPr="002C1418">
        <w:t xml:space="preserve">The Australian Health Ministers’ Advisory Council’s </w:t>
      </w:r>
      <w:hyperlink r:id="rId53" w:history="1">
        <w:r w:rsidRPr="001A7580">
          <w:rPr>
            <w:rStyle w:val="Hyperlink"/>
          </w:rPr>
          <w:t>Scheduling Policy Framework</w:t>
        </w:r>
      </w:hyperlink>
      <w:r w:rsidR="002B0F83">
        <w:t xml:space="preserve"> (SPF 2018);</w:t>
      </w:r>
      <w:r w:rsidR="00B94027">
        <w:t xml:space="preserve"> and</w:t>
      </w:r>
    </w:p>
    <w:p w14:paraId="226E2730" w14:textId="77777777" w:rsidR="003D4393" w:rsidRDefault="003D4393" w:rsidP="00C31E2C">
      <w:pPr>
        <w:pStyle w:val="ListBullet"/>
      </w:pPr>
      <w:r>
        <w:t xml:space="preserve">The </w:t>
      </w:r>
      <w:hyperlink r:id="rId54" w:history="1">
        <w:r w:rsidRPr="001A7580">
          <w:rPr>
            <w:rStyle w:val="Hyperlink"/>
          </w:rPr>
          <w:t>Scheduling handbook: Guidance for amending the Poisons Standard</w:t>
        </w:r>
      </w:hyperlink>
      <w:r>
        <w:t>.</w:t>
      </w:r>
    </w:p>
    <w:p w14:paraId="76E2177A" w14:textId="77777777" w:rsidR="003D4393" w:rsidRDefault="003D4393" w:rsidP="00B94F6F">
      <w:pPr>
        <w:pStyle w:val="Heading5"/>
      </w:pPr>
      <w:r w:rsidRPr="00436C41">
        <w:t>Reasons for the final decision (including findings on material questions of fact)</w:t>
      </w:r>
    </w:p>
    <w:p w14:paraId="5AABA89E" w14:textId="092125C8" w:rsidR="00E74363" w:rsidRDefault="003D4393" w:rsidP="003D4393">
      <w:r>
        <w:t xml:space="preserve">I have made </w:t>
      </w:r>
      <w:r w:rsidR="00A2455F">
        <w:t xml:space="preserve">a final decision to confirm my </w:t>
      </w:r>
      <w:hyperlink r:id="rId55" w:history="1">
        <w:r w:rsidRPr="001169AC">
          <w:rPr>
            <w:rStyle w:val="Hyperlink"/>
          </w:rPr>
          <w:t>interim decision</w:t>
        </w:r>
      </w:hyperlink>
      <w:r w:rsidR="00A2455F">
        <w:t xml:space="preserve"> to </w:t>
      </w:r>
      <w:r w:rsidR="00823AFD" w:rsidRPr="00823AFD">
        <w:t xml:space="preserve">amend the Schedule 2 and Schedule 4 entries for fexofenadine in the </w:t>
      </w:r>
      <w:r w:rsidR="005D3ADC">
        <w:t xml:space="preserve">current </w:t>
      </w:r>
      <w:r w:rsidR="00823AFD" w:rsidRPr="00823AFD">
        <w:t>Poison Standard</w:t>
      </w:r>
      <w:r w:rsidR="00823AFD">
        <w:t xml:space="preserve">. </w:t>
      </w:r>
      <w:r w:rsidR="00EA5008" w:rsidRPr="00EA5008">
        <w:t>My reasons for making the final decision are those set out in the interim decision</w:t>
      </w:r>
      <w:r w:rsidR="00EA5008">
        <w:t xml:space="preserve">. </w:t>
      </w:r>
      <w:r>
        <w:t xml:space="preserve">In making my final decision, I have taken into account the material detailed in the interim decision and </w:t>
      </w:r>
      <w:r w:rsidR="00A2455F">
        <w:t xml:space="preserve">the public submission </w:t>
      </w:r>
      <w:r>
        <w:t xml:space="preserve">received before the second closing date in response to the call for further submissions published on </w:t>
      </w:r>
      <w:r w:rsidR="00A2455F">
        <w:t>10 June 2020</w:t>
      </w:r>
      <w:r>
        <w:t xml:space="preserve"> under regulation 42ZCZP of the Regulations.</w:t>
      </w:r>
    </w:p>
    <w:p w14:paraId="067094A3" w14:textId="72552B10" w:rsidR="003D4393" w:rsidRDefault="00823AFD" w:rsidP="003D4393">
      <w:r>
        <w:t xml:space="preserve">I have </w:t>
      </w:r>
      <w:r w:rsidR="00E74363">
        <w:t>considered the</w:t>
      </w:r>
      <w:r w:rsidR="001A6F39">
        <w:t xml:space="preserve"> public submission in opposition raising</w:t>
      </w:r>
      <w:r>
        <w:t xml:space="preserve"> concern </w:t>
      </w:r>
      <w:r w:rsidR="001A6F39">
        <w:t xml:space="preserve">that </w:t>
      </w:r>
      <w:r w:rsidR="001A6F39" w:rsidRPr="00823AFD">
        <w:t xml:space="preserve">broadening the availability of fexofenadine to </w:t>
      </w:r>
      <w:r w:rsidR="001A6F39">
        <w:t xml:space="preserve">the </w:t>
      </w:r>
      <w:r w:rsidR="001A6F39" w:rsidRPr="00823AFD">
        <w:t>general sale</w:t>
      </w:r>
      <w:r w:rsidR="001A6F39">
        <w:t xml:space="preserve"> level will reduce health professional </w:t>
      </w:r>
      <w:r w:rsidR="00EB1FAA">
        <w:t>consultation and</w:t>
      </w:r>
      <w:r>
        <w:t xml:space="preserve"> </w:t>
      </w:r>
      <w:r w:rsidR="00891E2C">
        <w:t>may</w:t>
      </w:r>
      <w:r w:rsidR="00EB1FAA">
        <w:t xml:space="preserve"> </w:t>
      </w:r>
      <w:r w:rsidR="001A6F39">
        <w:t xml:space="preserve">lead to </w:t>
      </w:r>
      <w:r>
        <w:t>inappropriate self-selection</w:t>
      </w:r>
      <w:r w:rsidR="00891E2C">
        <w:t xml:space="preserve"> of products</w:t>
      </w:r>
      <w:r w:rsidR="00404EC0">
        <w:t xml:space="preserve">. </w:t>
      </w:r>
      <w:r w:rsidR="00EB1FAA">
        <w:t>In my view, s</w:t>
      </w:r>
      <w:r w:rsidR="00EB1FAA" w:rsidRPr="00EB1FAA">
        <w:t xml:space="preserve">easonal allergic rhinitis is a common, easily identified condition that is appropriate for self-management where </w:t>
      </w:r>
      <w:r w:rsidR="009143CC" w:rsidRPr="00EB1FAA">
        <w:t>non-treatment</w:t>
      </w:r>
      <w:r w:rsidR="00EB1FAA" w:rsidRPr="00EB1FAA">
        <w:t xml:space="preserve"> can affect a </w:t>
      </w:r>
      <w:r w:rsidR="009B25B2">
        <w:t>patient’s</w:t>
      </w:r>
      <w:r w:rsidR="00EB1FAA" w:rsidRPr="00EB1FAA">
        <w:t xml:space="preserve"> quality of life.</w:t>
      </w:r>
      <w:r w:rsidR="00EB1FAA">
        <w:t xml:space="preserve"> </w:t>
      </w:r>
      <w:r w:rsidR="009143CC">
        <w:t>Having considered</w:t>
      </w:r>
      <w:r w:rsidR="008C3AA7">
        <w:t xml:space="preserve"> </w:t>
      </w:r>
      <w:r w:rsidR="00A41B8F" w:rsidRPr="00A41B8F">
        <w:t>that fexofenadine has an established safety</w:t>
      </w:r>
      <w:r w:rsidR="00A41B8F">
        <w:t xml:space="preserve"> profile and its </w:t>
      </w:r>
      <w:r w:rsidR="00A41B8F" w:rsidRPr="00A41B8F">
        <w:t>limited propensity for overdose</w:t>
      </w:r>
      <w:r w:rsidR="005C5B5A">
        <w:t>,</w:t>
      </w:r>
      <w:r w:rsidR="00A41B8F">
        <w:t xml:space="preserve"> as detailed in </w:t>
      </w:r>
      <w:r w:rsidR="00263B1E">
        <w:t xml:space="preserve">my reasons for </w:t>
      </w:r>
      <w:r w:rsidR="00A41B8F">
        <w:t xml:space="preserve">my </w:t>
      </w:r>
      <w:hyperlink r:id="rId56" w:history="1">
        <w:r w:rsidR="00A41B8F" w:rsidRPr="00A41B8F">
          <w:rPr>
            <w:rStyle w:val="Hyperlink"/>
          </w:rPr>
          <w:t>interim decision</w:t>
        </w:r>
      </w:hyperlink>
      <w:r w:rsidR="005C5B5A">
        <w:t xml:space="preserve">, </w:t>
      </w:r>
      <w:r>
        <w:t xml:space="preserve">I </w:t>
      </w:r>
      <w:r w:rsidR="00A41B8F">
        <w:t xml:space="preserve">am satisfied that </w:t>
      </w:r>
      <w:r w:rsidR="00A41B8F" w:rsidRPr="00A41B8F">
        <w:t>fexofenadine can be supplied at the general sales level, with reasonable safety, without any access to health professional advice</w:t>
      </w:r>
      <w:r w:rsidR="00B71E8D">
        <w:t>.</w:t>
      </w:r>
    </w:p>
    <w:p w14:paraId="2802DF86" w14:textId="42D568EE" w:rsidR="003D4393" w:rsidRPr="00B71E8D" w:rsidRDefault="00B71E8D" w:rsidP="00B71E8D">
      <w:pPr>
        <w:pStyle w:val="Heading5"/>
      </w:pPr>
      <w:r>
        <w:t>Date of effect of the decision</w:t>
      </w:r>
    </w:p>
    <w:p w14:paraId="1145D4E6" w14:textId="77777777" w:rsidR="003D4393" w:rsidRPr="00276B1F" w:rsidRDefault="00276B1F" w:rsidP="003D4393">
      <w:pPr>
        <w:rPr>
          <w:b/>
        </w:rPr>
      </w:pPr>
      <w:r w:rsidRPr="00276B1F">
        <w:rPr>
          <w:b/>
        </w:rPr>
        <w:t>1 October 2020</w:t>
      </w:r>
    </w:p>
    <w:p w14:paraId="3F053E64" w14:textId="77777777" w:rsidR="003D4393" w:rsidRDefault="003B5815" w:rsidP="003D4393">
      <w:pPr>
        <w:pStyle w:val="Heading4"/>
      </w:pPr>
      <w:r>
        <w:t xml:space="preserve">Final decision in relation to </w:t>
      </w:r>
      <w:proofErr w:type="spellStart"/>
      <w:r>
        <w:t>f</w:t>
      </w:r>
      <w:r w:rsidRPr="003B5815">
        <w:t>lurbiprofen</w:t>
      </w:r>
      <w:proofErr w:type="spellEnd"/>
    </w:p>
    <w:p w14:paraId="47375D11" w14:textId="4FCAFAF4" w:rsidR="003D4393" w:rsidRPr="008036B7" w:rsidRDefault="003D4393" w:rsidP="00B94F6F">
      <w:pPr>
        <w:pStyle w:val="Heading5"/>
      </w:pPr>
      <w:r>
        <w:t xml:space="preserve">Final </w:t>
      </w:r>
      <w:r w:rsidR="00B71E8D">
        <w:t>d</w:t>
      </w:r>
      <w:r>
        <w:t>ecision</w:t>
      </w:r>
    </w:p>
    <w:p w14:paraId="31FA2DBE" w14:textId="6DC11D29" w:rsidR="003D4393" w:rsidRDefault="003D4393" w:rsidP="003D4393">
      <w:r>
        <w:t xml:space="preserve">Pursuant to regulation 42ZCZR of the Regulations, a Delegate of the Secretary has made a final decision </w:t>
      </w:r>
      <w:r w:rsidRPr="009014E5">
        <w:t>to confirm the interim decision</w:t>
      </w:r>
      <w:r w:rsidR="007577F3">
        <w:t>, with a minor editorial change to the wording,</w:t>
      </w:r>
      <w:r w:rsidRPr="009014E5">
        <w:t xml:space="preserve"> and amend the current Poisons Standard in relation to </w:t>
      </w:r>
      <w:proofErr w:type="spellStart"/>
      <w:r w:rsidR="009014E5" w:rsidRPr="009014E5">
        <w:t>flurbiprofen</w:t>
      </w:r>
      <w:proofErr w:type="spellEnd"/>
      <w:r w:rsidR="009014E5" w:rsidRPr="009014E5">
        <w:t xml:space="preserve"> </w:t>
      </w:r>
      <w:r w:rsidRPr="009014E5">
        <w:t>as follows:</w:t>
      </w:r>
    </w:p>
    <w:p w14:paraId="65B9A052" w14:textId="77777777" w:rsidR="009014E5" w:rsidRPr="005C03F2" w:rsidRDefault="009014E5" w:rsidP="009014E5">
      <w:pPr>
        <w:ind w:left="426"/>
        <w:rPr>
          <w:b/>
          <w:szCs w:val="22"/>
        </w:rPr>
      </w:pPr>
      <w:r w:rsidRPr="005C03F2">
        <w:rPr>
          <w:b/>
          <w:szCs w:val="22"/>
        </w:rPr>
        <w:t xml:space="preserve">Schedule </w:t>
      </w:r>
      <w:proofErr w:type="gramStart"/>
      <w:r w:rsidRPr="005C03F2">
        <w:rPr>
          <w:b/>
          <w:szCs w:val="22"/>
        </w:rPr>
        <w:t>4</w:t>
      </w:r>
      <w:proofErr w:type="gramEnd"/>
      <w:r w:rsidRPr="005C03F2">
        <w:rPr>
          <w:b/>
          <w:szCs w:val="22"/>
        </w:rPr>
        <w:t xml:space="preserve"> – Amend Entry</w:t>
      </w:r>
    </w:p>
    <w:p w14:paraId="1D4862E0" w14:textId="77777777" w:rsidR="009014E5" w:rsidRPr="005C03F2" w:rsidRDefault="009014E5" w:rsidP="009014E5">
      <w:pPr>
        <w:ind w:left="426"/>
        <w:rPr>
          <w:rFonts w:cstheme="minorHAnsi"/>
          <w:szCs w:val="22"/>
        </w:rPr>
      </w:pPr>
      <w:r w:rsidRPr="005C03F2">
        <w:rPr>
          <w:rFonts w:cstheme="minorHAnsi"/>
          <w:szCs w:val="22"/>
        </w:rPr>
        <w:t xml:space="preserve">FLURBIPROFEN </w:t>
      </w:r>
      <w:r w:rsidRPr="005C03F2">
        <w:rPr>
          <w:rFonts w:cstheme="minorHAnsi"/>
          <w:b/>
          <w:szCs w:val="22"/>
        </w:rPr>
        <w:t>except</w:t>
      </w:r>
      <w:r w:rsidRPr="005C03F2">
        <w:rPr>
          <w:rFonts w:cstheme="minorHAnsi"/>
          <w:szCs w:val="22"/>
        </w:rPr>
        <w:t xml:space="preserve"> when included</w:t>
      </w:r>
      <w:r>
        <w:rPr>
          <w:rFonts w:cstheme="minorHAnsi"/>
          <w:szCs w:val="22"/>
        </w:rPr>
        <w:t xml:space="preserve"> </w:t>
      </w:r>
      <w:r w:rsidRPr="0012669D">
        <w:rPr>
          <w:rFonts w:cstheme="minorHAnsi"/>
          <w:color w:val="FF0000"/>
          <w:szCs w:val="22"/>
        </w:rPr>
        <w:t xml:space="preserve">in </w:t>
      </w:r>
      <w:r w:rsidRPr="005C03F2">
        <w:rPr>
          <w:rFonts w:cstheme="minorHAnsi"/>
          <w:color w:val="FF0000"/>
          <w:szCs w:val="22"/>
        </w:rPr>
        <w:t xml:space="preserve">or expressly excluded </w:t>
      </w:r>
      <w:r w:rsidRPr="005C03F2">
        <w:rPr>
          <w:rFonts w:cstheme="minorHAnsi"/>
          <w:szCs w:val="22"/>
        </w:rPr>
        <w:t>from Schedule 2.</w:t>
      </w:r>
    </w:p>
    <w:p w14:paraId="7D05F33A" w14:textId="77777777" w:rsidR="009014E5" w:rsidRPr="005C03F2" w:rsidRDefault="009014E5" w:rsidP="00ED7521">
      <w:pPr>
        <w:keepNext/>
        <w:ind w:left="425"/>
        <w:rPr>
          <w:b/>
          <w:szCs w:val="22"/>
        </w:rPr>
      </w:pPr>
      <w:r w:rsidRPr="005C03F2">
        <w:rPr>
          <w:b/>
          <w:szCs w:val="22"/>
        </w:rPr>
        <w:lastRenderedPageBreak/>
        <w:t xml:space="preserve">Schedule </w:t>
      </w:r>
      <w:proofErr w:type="gramStart"/>
      <w:r w:rsidRPr="005C03F2">
        <w:rPr>
          <w:b/>
          <w:szCs w:val="22"/>
        </w:rPr>
        <w:t>2</w:t>
      </w:r>
      <w:proofErr w:type="gramEnd"/>
      <w:r w:rsidRPr="005C03F2">
        <w:rPr>
          <w:b/>
          <w:szCs w:val="22"/>
        </w:rPr>
        <w:t xml:space="preserve"> – Amend Entry</w:t>
      </w:r>
    </w:p>
    <w:p w14:paraId="6850FFB0" w14:textId="77777777" w:rsidR="009014E5" w:rsidRPr="005C03F2" w:rsidRDefault="009014E5" w:rsidP="00ED7521">
      <w:pPr>
        <w:keepNext/>
        <w:spacing w:line="240" w:lineRule="auto"/>
        <w:ind w:left="425"/>
        <w:rPr>
          <w:rFonts w:cstheme="minorHAnsi"/>
          <w:szCs w:val="22"/>
        </w:rPr>
      </w:pPr>
      <w:r w:rsidRPr="005C03F2">
        <w:rPr>
          <w:rFonts w:cstheme="minorHAnsi"/>
          <w:szCs w:val="22"/>
        </w:rPr>
        <w:t>FLURBIPROFEN in preparations for topical oral use when:</w:t>
      </w:r>
    </w:p>
    <w:p w14:paraId="066DFA74" w14:textId="77777777" w:rsidR="009014E5" w:rsidRPr="00D31402" w:rsidRDefault="009014E5" w:rsidP="002D42B8">
      <w:pPr>
        <w:pStyle w:val="Numberbullet2a"/>
        <w:numPr>
          <w:ilvl w:val="0"/>
          <w:numId w:val="43"/>
        </w:numPr>
        <w:ind w:left="851" w:hanging="425"/>
        <w:rPr>
          <w:color w:val="FF0000"/>
        </w:rPr>
      </w:pPr>
      <w:r w:rsidRPr="005C03F2">
        <w:t xml:space="preserve">in divided preparations containing 10 mg or less of </w:t>
      </w:r>
      <w:proofErr w:type="spellStart"/>
      <w:r w:rsidRPr="005C03F2">
        <w:t>flurbiprofen</w:t>
      </w:r>
      <w:proofErr w:type="spellEnd"/>
      <w:r w:rsidRPr="005C03F2">
        <w:t xml:space="preserve"> per dosage </w:t>
      </w:r>
      <w:r w:rsidRPr="00D31402">
        <w:rPr>
          <w:color w:val="FF0000"/>
        </w:rPr>
        <w:t xml:space="preserve">unit </w:t>
      </w:r>
      <w:r w:rsidRPr="00D31402">
        <w:rPr>
          <w:b/>
          <w:color w:val="FF0000"/>
        </w:rPr>
        <w:t>except</w:t>
      </w:r>
      <w:r w:rsidRPr="00D31402">
        <w:rPr>
          <w:color w:val="FF0000"/>
        </w:rPr>
        <w:t xml:space="preserve"> when:</w:t>
      </w:r>
    </w:p>
    <w:p w14:paraId="171C7AE8" w14:textId="77777777" w:rsidR="004B6FB7" w:rsidRDefault="004B6FB7" w:rsidP="007A4B9D">
      <w:pPr>
        <w:pStyle w:val="Numberbullet3ired"/>
        <w:numPr>
          <w:ilvl w:val="0"/>
          <w:numId w:val="45"/>
        </w:numPr>
        <w:ind w:left="1276" w:hanging="425"/>
      </w:pPr>
      <w:r w:rsidRPr="004B6FB7">
        <w:t>in a primary pack containing not more than 16 dosage units</w:t>
      </w:r>
      <w:r>
        <w:t>; and</w:t>
      </w:r>
    </w:p>
    <w:p w14:paraId="1AED46F2" w14:textId="26B70BF7" w:rsidR="004B6FB7" w:rsidRPr="00DB2B24" w:rsidRDefault="004B6FB7" w:rsidP="007A4B9D">
      <w:pPr>
        <w:pStyle w:val="Numberbullet3ired"/>
        <w:ind w:left="1276" w:hanging="425"/>
      </w:pPr>
      <w:proofErr w:type="gramStart"/>
      <w:r w:rsidRPr="00DB2B24">
        <w:t>labelled</w:t>
      </w:r>
      <w:proofErr w:type="gramEnd"/>
      <w:r w:rsidRPr="00DB2B24">
        <w:t xml:space="preserve"> </w:t>
      </w:r>
      <w:r w:rsidR="007577F3">
        <w:t xml:space="preserve">only </w:t>
      </w:r>
      <w:r w:rsidRPr="00DB2B24">
        <w:t xml:space="preserve">for the treatment of </w:t>
      </w:r>
      <w:r w:rsidR="009F730F">
        <w:t xml:space="preserve">adults and </w:t>
      </w:r>
      <w:r w:rsidRPr="00DB2B24">
        <w:t xml:space="preserve">children </w:t>
      </w:r>
      <w:r w:rsidR="009F730F">
        <w:t xml:space="preserve">over </w:t>
      </w:r>
      <w:r w:rsidRPr="00DB2B24">
        <w:t>12 years.</w:t>
      </w:r>
    </w:p>
    <w:p w14:paraId="30DF13C9" w14:textId="77777777" w:rsidR="009014E5" w:rsidRPr="009014E5" w:rsidRDefault="009014E5" w:rsidP="002D42B8">
      <w:pPr>
        <w:pStyle w:val="Numberbullet2a"/>
        <w:ind w:left="851" w:hanging="425"/>
      </w:pPr>
      <w:proofErr w:type="gramStart"/>
      <w:r w:rsidRPr="00DC7EE4">
        <w:t>in</w:t>
      </w:r>
      <w:proofErr w:type="gramEnd"/>
      <w:r w:rsidRPr="00DC7EE4">
        <w:t xml:space="preserve"> undivided preparations containing 0.25 percent or less or 10 mg or less per dose of </w:t>
      </w:r>
      <w:proofErr w:type="spellStart"/>
      <w:r w:rsidRPr="00DC7EE4">
        <w:t>flurbiprofen</w:t>
      </w:r>
      <w:proofErr w:type="spellEnd"/>
      <w:r w:rsidRPr="00DC7EE4">
        <w:t>.</w:t>
      </w:r>
    </w:p>
    <w:p w14:paraId="7906C448" w14:textId="6059C7E0" w:rsidR="003D4393" w:rsidRDefault="00B94027" w:rsidP="00B94F6F">
      <w:pPr>
        <w:pStyle w:val="Heading5"/>
      </w:pPr>
      <w:r>
        <w:t>Materials considered</w:t>
      </w:r>
    </w:p>
    <w:p w14:paraId="13A4FC30" w14:textId="77777777" w:rsidR="003D4393" w:rsidRDefault="003D4393" w:rsidP="003D4393">
      <w:r>
        <w:t>In making this final decision, the Delegate considered the following material:</w:t>
      </w:r>
    </w:p>
    <w:p w14:paraId="3B6B84FF" w14:textId="77777777" w:rsidR="003D4393" w:rsidRDefault="003D4393" w:rsidP="00C31E2C">
      <w:pPr>
        <w:pStyle w:val="ListBullet"/>
      </w:pPr>
      <w:r w:rsidRPr="00DD046E">
        <w:t xml:space="preserve">The </w:t>
      </w:r>
      <w:hyperlink r:id="rId57" w:history="1">
        <w:r w:rsidRPr="00DD046E">
          <w:rPr>
            <w:rStyle w:val="Hyperlink"/>
          </w:rPr>
          <w:t>application</w:t>
        </w:r>
      </w:hyperlink>
      <w:r w:rsidRPr="00DD046E">
        <w:t xml:space="preserve"> to</w:t>
      </w:r>
      <w:r>
        <w:t xml:space="preserve"> amend the current Poisons Standard with respect to</w:t>
      </w:r>
      <w:r w:rsidR="00DD046E">
        <w:t xml:space="preserve"> </w:t>
      </w:r>
      <w:proofErr w:type="spellStart"/>
      <w:r w:rsidR="00DD046E" w:rsidRPr="00DD046E">
        <w:t>flurbiprofen</w:t>
      </w:r>
      <w:proofErr w:type="spellEnd"/>
      <w:r>
        <w:t>;</w:t>
      </w:r>
    </w:p>
    <w:p w14:paraId="26D9F006" w14:textId="71BE36F6" w:rsidR="003D4393" w:rsidRDefault="003D4393" w:rsidP="00C31E2C">
      <w:pPr>
        <w:pStyle w:val="ListBullet"/>
      </w:pPr>
      <w:r>
        <w:t xml:space="preserve">The </w:t>
      </w:r>
      <w:r w:rsidR="00186081" w:rsidRPr="00186081">
        <w:t xml:space="preserve">five </w:t>
      </w:r>
      <w:hyperlink r:id="rId58" w:history="1">
        <w:r w:rsidRPr="00186081">
          <w:rPr>
            <w:rStyle w:val="Hyperlink"/>
          </w:rPr>
          <w:t>public submissions</w:t>
        </w:r>
      </w:hyperlink>
      <w:r>
        <w:t xml:space="preserve"> received in response to the </w:t>
      </w:r>
      <w:hyperlink r:id="rId59" w:history="1">
        <w:r w:rsidRPr="00186081">
          <w:rPr>
            <w:rStyle w:val="Hyperlink"/>
          </w:rPr>
          <w:t>pre-meeting consultation</w:t>
        </w:r>
      </w:hyperlink>
      <w:r w:rsidR="00186081" w:rsidRPr="00186081">
        <w:t xml:space="preserve"> </w:t>
      </w:r>
      <w:r w:rsidRPr="00186081">
        <w:t>under</w:t>
      </w:r>
      <w:r>
        <w:t xml:space="preserve"> regula</w:t>
      </w:r>
      <w:r w:rsidR="00B94027">
        <w:t>tion 42ZCZK of the Regulations;</w:t>
      </w:r>
    </w:p>
    <w:p w14:paraId="11D9D14D" w14:textId="77777777" w:rsidR="003D4393" w:rsidRDefault="00186081" w:rsidP="00C31E2C">
      <w:pPr>
        <w:pStyle w:val="ListBullet"/>
      </w:pPr>
      <w:r>
        <w:t xml:space="preserve">The advice received from </w:t>
      </w:r>
      <w:r w:rsidRPr="00CC46EF">
        <w:t>the Advisory Committee on Medicines Scheduling (ACMS #29)</w:t>
      </w:r>
      <w:r>
        <w:t>;</w:t>
      </w:r>
    </w:p>
    <w:p w14:paraId="6C3F3682" w14:textId="77777777" w:rsidR="003D4393" w:rsidRDefault="00186081" w:rsidP="00C31E2C">
      <w:pPr>
        <w:pStyle w:val="ListBullet"/>
      </w:pPr>
      <w:r>
        <w:t>The one</w:t>
      </w:r>
      <w:r w:rsidR="003D4393">
        <w:t xml:space="preserve"> public submission received in response to the </w:t>
      </w:r>
      <w:hyperlink r:id="rId60" w:history="1">
        <w:r w:rsidR="003D4393" w:rsidRPr="00186081">
          <w:rPr>
            <w:rStyle w:val="Hyperlink"/>
          </w:rPr>
          <w:t>interim decision consultation</w:t>
        </w:r>
      </w:hyperlink>
      <w:r w:rsidR="003D4393">
        <w:t xml:space="preserve"> </w:t>
      </w:r>
      <w:r w:rsidR="003D4393" w:rsidRPr="002C1418">
        <w:t>under regulation 42ZCZP of the Regulations</w:t>
      </w:r>
      <w:r w:rsidR="003D4393">
        <w:t>;</w:t>
      </w:r>
    </w:p>
    <w:p w14:paraId="501B1AA1" w14:textId="1E6EA6D9" w:rsidR="003D4393" w:rsidRDefault="00186081" w:rsidP="00C31E2C">
      <w:pPr>
        <w:pStyle w:val="ListBullet"/>
      </w:pPr>
      <w:r w:rsidRPr="005B7BF4">
        <w:t xml:space="preserve">Section 52E of the </w:t>
      </w:r>
      <w:r w:rsidRPr="00D820A8">
        <w:rPr>
          <w:i/>
        </w:rPr>
        <w:t>Therapeutic Goods Act 1989</w:t>
      </w:r>
      <w:r w:rsidRPr="00EF7D65">
        <w:t xml:space="preserve">, in particular </w:t>
      </w:r>
      <w:r w:rsidRPr="00D820A8">
        <w:t xml:space="preserve">(a) the risks and benefits of the use of a substance; </w:t>
      </w:r>
      <w:r w:rsidRPr="00DC7EE4">
        <w:t>(a) the risks and benefits of the use of a substance; (b) the purpose for which a substance is to be used and the and extent of use of a substance; (c) the toxicity of a substance; and (d) the dosage, formulation, labelling, packaging and present</w:t>
      </w:r>
      <w:r w:rsidR="00B94027">
        <w:t>ation of a substance;</w:t>
      </w:r>
    </w:p>
    <w:p w14:paraId="3AD960A4" w14:textId="77777777" w:rsidR="003D4393" w:rsidRDefault="003D4393" w:rsidP="00C31E2C">
      <w:pPr>
        <w:pStyle w:val="ListBullet"/>
      </w:pPr>
      <w:r w:rsidRPr="002C1418">
        <w:t xml:space="preserve">The Australian Health Ministers’ Advisory Council’s </w:t>
      </w:r>
      <w:hyperlink r:id="rId61" w:history="1">
        <w:r w:rsidRPr="001A7580">
          <w:rPr>
            <w:rStyle w:val="Hyperlink"/>
          </w:rPr>
          <w:t>Scheduling Policy Framework</w:t>
        </w:r>
      </w:hyperlink>
      <w:r>
        <w:t xml:space="preserve"> (SPF 2018); </w:t>
      </w:r>
      <w:r w:rsidRPr="003E0289">
        <w:t>and</w:t>
      </w:r>
    </w:p>
    <w:p w14:paraId="405D385D" w14:textId="77777777" w:rsidR="003D4393" w:rsidRDefault="003D4393" w:rsidP="00C31E2C">
      <w:pPr>
        <w:pStyle w:val="ListBullet"/>
      </w:pPr>
      <w:r>
        <w:t xml:space="preserve">The </w:t>
      </w:r>
      <w:hyperlink r:id="rId62" w:history="1">
        <w:r w:rsidRPr="001A7580">
          <w:rPr>
            <w:rStyle w:val="Hyperlink"/>
          </w:rPr>
          <w:t>Scheduling handbook: Guidance for amending the Poisons Standard</w:t>
        </w:r>
      </w:hyperlink>
      <w:r>
        <w:t>.</w:t>
      </w:r>
    </w:p>
    <w:p w14:paraId="534817E2" w14:textId="77777777" w:rsidR="003D4393" w:rsidRDefault="003D4393" w:rsidP="00B94F6F">
      <w:pPr>
        <w:pStyle w:val="Heading5"/>
      </w:pPr>
      <w:r w:rsidRPr="00436C41">
        <w:t>Reasons for the final decision (including findings on material questions of fact)</w:t>
      </w:r>
    </w:p>
    <w:p w14:paraId="0FC9199D" w14:textId="0684F478" w:rsidR="001F2A73" w:rsidRDefault="003D4393" w:rsidP="00903A51">
      <w:r>
        <w:t xml:space="preserve">I have made </w:t>
      </w:r>
      <w:r w:rsidR="005D3ADC">
        <w:t xml:space="preserve">a final decision to confirm my </w:t>
      </w:r>
      <w:hyperlink r:id="rId63" w:history="1">
        <w:r w:rsidRPr="001169AC">
          <w:rPr>
            <w:rStyle w:val="Hyperlink"/>
          </w:rPr>
          <w:t>interim decision</w:t>
        </w:r>
      </w:hyperlink>
      <w:r w:rsidR="00B14D0E">
        <w:rPr>
          <w:rStyle w:val="Hyperlink"/>
        </w:rPr>
        <w:t>,</w:t>
      </w:r>
      <w:r w:rsidR="00B14D0E" w:rsidRPr="00B14D0E">
        <w:t xml:space="preserve"> </w:t>
      </w:r>
      <w:r w:rsidR="00B14D0E">
        <w:t>with a minor editorial change to the wording,</w:t>
      </w:r>
      <w:r>
        <w:t xml:space="preserve"> </w:t>
      </w:r>
      <w:r w:rsidR="005D3ADC" w:rsidRPr="005D3ADC">
        <w:t xml:space="preserve">to amend the Schedule 2 and Schedule 4 entries for </w:t>
      </w:r>
      <w:proofErr w:type="spellStart"/>
      <w:r w:rsidR="005D3ADC" w:rsidRPr="005D3ADC">
        <w:t>flurbiprofen</w:t>
      </w:r>
      <w:proofErr w:type="spellEnd"/>
      <w:r w:rsidR="005D3ADC" w:rsidRPr="005D3ADC">
        <w:t xml:space="preserve"> in the</w:t>
      </w:r>
      <w:r w:rsidR="005D3ADC">
        <w:t xml:space="preserve"> current</w:t>
      </w:r>
      <w:r w:rsidR="005D3ADC" w:rsidRPr="005D3ADC">
        <w:t xml:space="preserve"> Poison Standard.</w:t>
      </w:r>
      <w:r>
        <w:t xml:space="preserve"> </w:t>
      </w:r>
      <w:r w:rsidR="00EA5008" w:rsidRPr="00EA5008">
        <w:t>My reasons for making the final decision are those set out in the interim decision</w:t>
      </w:r>
      <w:r w:rsidR="00EA5008">
        <w:t xml:space="preserve">. </w:t>
      </w:r>
      <w:r>
        <w:t>In making my final decision, I have taken into account the material detail</w:t>
      </w:r>
      <w:r w:rsidR="005D3ADC">
        <w:t xml:space="preserve">ed in the interim decision and the </w:t>
      </w:r>
      <w:r>
        <w:t>publ</w:t>
      </w:r>
      <w:r w:rsidR="005D3ADC">
        <w:t>ic submission</w:t>
      </w:r>
      <w:r>
        <w:t xml:space="preserve"> received before the second closing date in response to the call for further submissions published on </w:t>
      </w:r>
      <w:r w:rsidR="005D3ADC">
        <w:t>10 June 2020</w:t>
      </w:r>
      <w:r>
        <w:t xml:space="preserve"> under regulation 42ZCZP of the Regulations.</w:t>
      </w:r>
    </w:p>
    <w:p w14:paraId="30E84DB7" w14:textId="4D09F75A" w:rsidR="003D4393" w:rsidRPr="00903A51" w:rsidRDefault="005F1F1A" w:rsidP="00903A51">
      <w:proofErr w:type="spellStart"/>
      <w:r w:rsidRPr="005F1F1A">
        <w:t>F</w:t>
      </w:r>
      <w:r w:rsidR="00903A51">
        <w:t>lur</w:t>
      </w:r>
      <w:r w:rsidR="00780680">
        <w:t>biprofen</w:t>
      </w:r>
      <w:proofErr w:type="spellEnd"/>
      <w:r w:rsidR="00780680">
        <w:t xml:space="preserve"> lozenges </w:t>
      </w:r>
      <w:proofErr w:type="gramStart"/>
      <w:r w:rsidR="00780680">
        <w:t>are typically used</w:t>
      </w:r>
      <w:proofErr w:type="gramEnd"/>
      <w:r w:rsidR="00780680">
        <w:t xml:space="preserve"> </w:t>
      </w:r>
      <w:r w:rsidRPr="005F1F1A">
        <w:t xml:space="preserve">to treat the inflammation and pain </w:t>
      </w:r>
      <w:r w:rsidR="00B55EEE">
        <w:t xml:space="preserve">associated with a sore throat. </w:t>
      </w:r>
      <w:r w:rsidR="00213E37">
        <w:t>I have considered the public subm</w:t>
      </w:r>
      <w:r w:rsidR="001E018F">
        <w:t xml:space="preserve">ission in </w:t>
      </w:r>
      <w:r>
        <w:t>opposition, which</w:t>
      </w:r>
      <w:r w:rsidR="001E018F">
        <w:t xml:space="preserve"> </w:t>
      </w:r>
      <w:r>
        <w:t>claims that</w:t>
      </w:r>
      <w:r w:rsidR="001E018F">
        <w:t xml:space="preserve"> </w:t>
      </w:r>
      <w:r w:rsidR="00903A51">
        <w:t xml:space="preserve">making </w:t>
      </w:r>
      <w:proofErr w:type="spellStart"/>
      <w:r w:rsidR="00903A51">
        <w:t>flu</w:t>
      </w:r>
      <w:r w:rsidR="003A169D">
        <w:t>r</w:t>
      </w:r>
      <w:r w:rsidR="00903A51">
        <w:t>biprofen</w:t>
      </w:r>
      <w:proofErr w:type="spellEnd"/>
      <w:r w:rsidR="00903A51">
        <w:t>-</w:t>
      </w:r>
      <w:r w:rsidR="001E018F" w:rsidRPr="001E018F">
        <w:t>containing products accessible out</w:t>
      </w:r>
      <w:r w:rsidR="00903A51">
        <w:t>side of the pharmacy setting presents</w:t>
      </w:r>
      <w:r w:rsidR="00903A51" w:rsidRPr="00903A51">
        <w:t xml:space="preserve"> a greater risk of COVID-19 spread</w:t>
      </w:r>
      <w:r w:rsidR="00903A51">
        <w:t xml:space="preserve"> on the basis that it may </w:t>
      </w:r>
      <w:r w:rsidR="00903A51" w:rsidRPr="00903A51">
        <w:t>delay</w:t>
      </w:r>
      <w:r w:rsidR="00903A51">
        <w:t xml:space="preserve"> consumer access to COVID-19</w:t>
      </w:r>
      <w:r w:rsidR="00903A51" w:rsidRPr="00903A51">
        <w:t xml:space="preserve"> testing and health professional advice</w:t>
      </w:r>
      <w:r w:rsidR="00B55EEE">
        <w:t xml:space="preserve">. </w:t>
      </w:r>
      <w:r w:rsidR="00903A51" w:rsidRPr="00903A51">
        <w:t>I have not found,</w:t>
      </w:r>
      <w:r w:rsidR="00903A51">
        <w:t xml:space="preserve"> and the submitter has not provided,</w:t>
      </w:r>
      <w:r w:rsidR="00903A51" w:rsidRPr="00903A51">
        <w:t xml:space="preserve"> any compelling evidence</w:t>
      </w:r>
      <w:r w:rsidR="001411C5">
        <w:t xml:space="preserve"> to substantiate these claims or to establish that there is a net risk to public health in down-s</w:t>
      </w:r>
      <w:r w:rsidR="00215004">
        <w:t xml:space="preserve">cheduling </w:t>
      </w:r>
      <w:proofErr w:type="spellStart"/>
      <w:r w:rsidR="001411C5" w:rsidRPr="005D3ADC">
        <w:t>flurbiprofen</w:t>
      </w:r>
      <w:proofErr w:type="spellEnd"/>
      <w:r w:rsidR="001411C5">
        <w:t xml:space="preserve"> as proposed in my </w:t>
      </w:r>
      <w:hyperlink r:id="rId64" w:history="1">
        <w:r w:rsidR="001411C5" w:rsidRPr="001411C5">
          <w:rPr>
            <w:rStyle w:val="Hyperlink"/>
          </w:rPr>
          <w:t>interim decision</w:t>
        </w:r>
      </w:hyperlink>
      <w:r w:rsidR="00B55EEE">
        <w:t>.</w:t>
      </w:r>
    </w:p>
    <w:p w14:paraId="5AFA295D" w14:textId="72B44D62" w:rsidR="003D4393" w:rsidRDefault="00B55EEE" w:rsidP="00B94F6F">
      <w:pPr>
        <w:pStyle w:val="Heading5"/>
      </w:pPr>
      <w:r>
        <w:t>Date of effect of the decision</w:t>
      </w:r>
    </w:p>
    <w:p w14:paraId="4A11C45A" w14:textId="14F90EBB" w:rsidR="003D4393" w:rsidRDefault="002B1410" w:rsidP="00F41DCE">
      <w:r w:rsidRPr="00DC7EE4">
        <w:rPr>
          <w:b/>
          <w:szCs w:val="22"/>
        </w:rPr>
        <w:t>1</w:t>
      </w:r>
      <w:r w:rsidR="00B55EEE">
        <w:rPr>
          <w:b/>
          <w:szCs w:val="22"/>
        </w:rPr>
        <w:t xml:space="preserve"> October </w:t>
      </w:r>
      <w:r w:rsidRPr="00DC7EE4">
        <w:rPr>
          <w:b/>
          <w:szCs w:val="22"/>
        </w:rPr>
        <w:t>2020</w:t>
      </w:r>
    </w:p>
    <w:p w14:paraId="26A69C4B" w14:textId="729D78F2" w:rsidR="00F41DCE" w:rsidRPr="00FA029A" w:rsidRDefault="00F41DCE" w:rsidP="00C962CB">
      <w:pPr>
        <w:pStyle w:val="Heading3"/>
      </w:pPr>
      <w:bookmarkStart w:id="29" w:name="_Toc48996175"/>
      <w:r>
        <w:lastRenderedPageBreak/>
        <w:t>Final</w:t>
      </w:r>
      <w:r w:rsidRPr="00FA029A">
        <w:t xml:space="preserve"> decisions on proposed amendments referred to the </w:t>
      </w:r>
      <w:r w:rsidRPr="0065237C">
        <w:t>Advisory Committee on Chemic</w:t>
      </w:r>
      <w:r>
        <w:t>als Scheduling (ACCS #</w:t>
      </w:r>
      <w:r w:rsidR="008B28DF">
        <w:t>27</w:t>
      </w:r>
      <w:r>
        <w:t>, M</w:t>
      </w:r>
      <w:r w:rsidR="008B28DF">
        <w:t>arch</w:t>
      </w:r>
      <w:r>
        <w:t> </w:t>
      </w:r>
      <w:r w:rsidRPr="008B28DF">
        <w:t>20</w:t>
      </w:r>
      <w:r w:rsidR="008B28DF" w:rsidRPr="008B28DF">
        <w:t>20</w:t>
      </w:r>
      <w:r w:rsidRPr="008B28DF">
        <w:t>)</w:t>
      </w:r>
      <w:bookmarkEnd w:id="29"/>
    </w:p>
    <w:p w14:paraId="60C6BCCA" w14:textId="77777777" w:rsidR="00F41DCE" w:rsidRDefault="00E26EA6" w:rsidP="00C962CB">
      <w:pPr>
        <w:pStyle w:val="Heading4"/>
      </w:pPr>
      <w:r>
        <w:t xml:space="preserve">Final decision in relation to </w:t>
      </w:r>
      <w:r w:rsidRPr="00E26EA6">
        <w:t>carbetamide</w:t>
      </w:r>
    </w:p>
    <w:p w14:paraId="43457F87" w14:textId="2F34C12D" w:rsidR="00327B11" w:rsidRPr="008036B7" w:rsidRDefault="00C962CB" w:rsidP="00C962CB">
      <w:pPr>
        <w:pStyle w:val="Heading5"/>
      </w:pPr>
      <w:r>
        <w:t>Final decision</w:t>
      </w:r>
    </w:p>
    <w:p w14:paraId="5C3A3855" w14:textId="77777777" w:rsidR="00327B11" w:rsidRPr="00310034" w:rsidRDefault="00327B11" w:rsidP="00327B11">
      <w:r w:rsidRPr="00310034">
        <w:t>Pursuant to regulation 42ZCZR of the Regulations, a Delegate of the Secretary has made a final decision to confirm the interim decision and amend the current Poisons Standard in relation to carbetamide as follows:</w:t>
      </w:r>
    </w:p>
    <w:p w14:paraId="408FE9FF" w14:textId="77777777" w:rsidR="00327B11" w:rsidRPr="0065237C" w:rsidRDefault="00327B11" w:rsidP="00C962CB">
      <w:pPr>
        <w:ind w:left="426"/>
        <w:rPr>
          <w:b/>
        </w:rPr>
      </w:pPr>
      <w:r w:rsidRPr="0065237C">
        <w:rPr>
          <w:b/>
        </w:rPr>
        <w:t>Schedule 6 – New Entry</w:t>
      </w:r>
    </w:p>
    <w:p w14:paraId="6C10C2A9" w14:textId="77777777" w:rsidR="00327B11" w:rsidRPr="00040BAB" w:rsidRDefault="00327B11" w:rsidP="00C962CB">
      <w:pPr>
        <w:ind w:left="426"/>
        <w:rPr>
          <w:color w:val="FF0000"/>
        </w:rPr>
      </w:pPr>
      <w:r w:rsidRPr="00040BAB">
        <w:rPr>
          <w:color w:val="FF0000"/>
        </w:rPr>
        <w:t>CARBETAMIDE.</w:t>
      </w:r>
    </w:p>
    <w:p w14:paraId="5A08C43B" w14:textId="77777777" w:rsidR="00327B11" w:rsidRPr="0065237C" w:rsidRDefault="00327B11" w:rsidP="00453FB0">
      <w:pPr>
        <w:pStyle w:val="Tabletitle"/>
        <w:ind w:left="426"/>
      </w:pPr>
      <w:r w:rsidRPr="0065237C">
        <w:t>Appendix B – Delete Entry</w:t>
      </w:r>
    </w:p>
    <w:tbl>
      <w:tblPr>
        <w:tblStyle w:val="TableTGAblue"/>
        <w:tblW w:w="8103" w:type="dxa"/>
        <w:tblInd w:w="534" w:type="dxa"/>
        <w:tblLook w:val="04A0" w:firstRow="1" w:lastRow="0" w:firstColumn="1" w:lastColumn="0" w:noHBand="0" w:noVBand="1"/>
      </w:tblPr>
      <w:tblGrid>
        <w:gridCol w:w="1665"/>
        <w:gridCol w:w="2044"/>
        <w:gridCol w:w="2551"/>
        <w:gridCol w:w="1843"/>
      </w:tblGrid>
      <w:tr w:rsidR="00327B11" w:rsidRPr="0092550D" w14:paraId="78CFAB14" w14:textId="77777777" w:rsidTr="00401C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5" w:type="dxa"/>
          </w:tcPr>
          <w:p w14:paraId="1D5CE892" w14:textId="77777777" w:rsidR="00327B11" w:rsidRPr="0092550D" w:rsidRDefault="00327B11" w:rsidP="00401CB6">
            <w:pPr>
              <w:rPr>
                <w:b w:val="0"/>
                <w:szCs w:val="22"/>
              </w:rPr>
            </w:pPr>
            <w:r w:rsidRPr="0092550D">
              <w:rPr>
                <w:szCs w:val="22"/>
              </w:rPr>
              <w:t>SUBSTANCE</w:t>
            </w:r>
          </w:p>
        </w:tc>
        <w:tc>
          <w:tcPr>
            <w:tcW w:w="2044" w:type="dxa"/>
          </w:tcPr>
          <w:p w14:paraId="1052FA6A" w14:textId="77777777" w:rsidR="00327B11" w:rsidRPr="0092550D" w:rsidRDefault="00327B11" w:rsidP="00401CB6">
            <w:pPr>
              <w:cnfStyle w:val="100000000000" w:firstRow="1" w:lastRow="0" w:firstColumn="0" w:lastColumn="0" w:oddVBand="0" w:evenVBand="0" w:oddHBand="0" w:evenHBand="0" w:firstRowFirstColumn="0" w:firstRowLastColumn="0" w:lastRowFirstColumn="0" w:lastRowLastColumn="0"/>
              <w:rPr>
                <w:b w:val="0"/>
                <w:szCs w:val="22"/>
              </w:rPr>
            </w:pPr>
            <w:r w:rsidRPr="0092550D">
              <w:rPr>
                <w:szCs w:val="22"/>
              </w:rPr>
              <w:t>DATE OF ENTRY</w:t>
            </w:r>
          </w:p>
        </w:tc>
        <w:tc>
          <w:tcPr>
            <w:tcW w:w="2551" w:type="dxa"/>
          </w:tcPr>
          <w:p w14:paraId="5A5D7206" w14:textId="77777777" w:rsidR="00327B11" w:rsidRPr="0092550D" w:rsidRDefault="00327B11" w:rsidP="00401CB6">
            <w:pPr>
              <w:cnfStyle w:val="100000000000" w:firstRow="1" w:lastRow="0" w:firstColumn="0" w:lastColumn="0" w:oddVBand="0" w:evenVBand="0" w:oddHBand="0" w:evenHBand="0" w:firstRowFirstColumn="0" w:firstRowLastColumn="0" w:lastRowFirstColumn="0" w:lastRowLastColumn="0"/>
              <w:rPr>
                <w:b w:val="0"/>
                <w:szCs w:val="22"/>
              </w:rPr>
            </w:pPr>
            <w:r w:rsidRPr="0092550D">
              <w:rPr>
                <w:szCs w:val="22"/>
              </w:rPr>
              <w:t>REASON FOR LISTING</w:t>
            </w:r>
          </w:p>
        </w:tc>
        <w:tc>
          <w:tcPr>
            <w:tcW w:w="1843" w:type="dxa"/>
          </w:tcPr>
          <w:p w14:paraId="4DEC2EE3" w14:textId="77777777" w:rsidR="00327B11" w:rsidRPr="0092550D" w:rsidRDefault="00327B11" w:rsidP="00401CB6">
            <w:pPr>
              <w:cnfStyle w:val="100000000000" w:firstRow="1" w:lastRow="0" w:firstColumn="0" w:lastColumn="0" w:oddVBand="0" w:evenVBand="0" w:oddHBand="0" w:evenHBand="0" w:firstRowFirstColumn="0" w:firstRowLastColumn="0" w:lastRowFirstColumn="0" w:lastRowLastColumn="0"/>
              <w:rPr>
                <w:b w:val="0"/>
                <w:szCs w:val="22"/>
              </w:rPr>
            </w:pPr>
            <w:r w:rsidRPr="0092550D">
              <w:rPr>
                <w:szCs w:val="22"/>
              </w:rPr>
              <w:t>AREA OF USE</w:t>
            </w:r>
          </w:p>
        </w:tc>
      </w:tr>
      <w:tr w:rsidR="00327B11" w:rsidRPr="0092550D" w14:paraId="417D9D2E" w14:textId="77777777" w:rsidTr="00401CB6">
        <w:tc>
          <w:tcPr>
            <w:cnfStyle w:val="001000000000" w:firstRow="0" w:lastRow="0" w:firstColumn="1" w:lastColumn="0" w:oddVBand="0" w:evenVBand="0" w:oddHBand="0" w:evenHBand="0" w:firstRowFirstColumn="0" w:firstRowLastColumn="0" w:lastRowFirstColumn="0" w:lastRowLastColumn="0"/>
            <w:tcW w:w="1665" w:type="dxa"/>
          </w:tcPr>
          <w:p w14:paraId="51E31EB1" w14:textId="77777777" w:rsidR="00327B11" w:rsidRPr="0065237C" w:rsidRDefault="00327B11" w:rsidP="00401CB6">
            <w:pPr>
              <w:rPr>
                <w:strike/>
                <w:szCs w:val="22"/>
              </w:rPr>
            </w:pPr>
            <w:r w:rsidRPr="00BF1EEF">
              <w:rPr>
                <w:strike/>
                <w:color w:val="FF0000"/>
                <w:szCs w:val="22"/>
              </w:rPr>
              <w:t>CARBETAMIDE</w:t>
            </w:r>
          </w:p>
        </w:tc>
        <w:tc>
          <w:tcPr>
            <w:tcW w:w="2044" w:type="dxa"/>
          </w:tcPr>
          <w:p w14:paraId="111D5308" w14:textId="77777777" w:rsidR="00327B11" w:rsidRPr="0065237C" w:rsidRDefault="00327B11" w:rsidP="00401CB6">
            <w:pPr>
              <w:cnfStyle w:val="000000000000" w:firstRow="0" w:lastRow="0" w:firstColumn="0" w:lastColumn="0" w:oddVBand="0" w:evenVBand="0" w:oddHBand="0" w:evenHBand="0" w:firstRowFirstColumn="0" w:firstRowLastColumn="0" w:lastRowFirstColumn="0" w:lastRowLastColumn="0"/>
              <w:rPr>
                <w:strike/>
                <w:szCs w:val="22"/>
              </w:rPr>
            </w:pPr>
            <w:r w:rsidRPr="00BF1EEF">
              <w:rPr>
                <w:strike/>
                <w:color w:val="FF0000"/>
                <w:szCs w:val="22"/>
              </w:rPr>
              <w:t>Aug 1991</w:t>
            </w:r>
          </w:p>
        </w:tc>
        <w:tc>
          <w:tcPr>
            <w:tcW w:w="2551" w:type="dxa"/>
          </w:tcPr>
          <w:p w14:paraId="2D070E82" w14:textId="77777777" w:rsidR="00327B11" w:rsidRPr="0065237C" w:rsidRDefault="00327B11" w:rsidP="00401CB6">
            <w:pPr>
              <w:cnfStyle w:val="000000000000" w:firstRow="0" w:lastRow="0" w:firstColumn="0" w:lastColumn="0" w:oddVBand="0" w:evenVBand="0" w:oddHBand="0" w:evenHBand="0" w:firstRowFirstColumn="0" w:firstRowLastColumn="0" w:lastRowFirstColumn="0" w:lastRowLastColumn="0"/>
              <w:rPr>
                <w:strike/>
                <w:szCs w:val="22"/>
              </w:rPr>
            </w:pPr>
            <w:r w:rsidRPr="00BF1EEF">
              <w:rPr>
                <w:strike/>
                <w:color w:val="FF0000"/>
                <w:szCs w:val="22"/>
              </w:rPr>
              <w:t>a</w:t>
            </w:r>
          </w:p>
        </w:tc>
        <w:tc>
          <w:tcPr>
            <w:tcW w:w="1843" w:type="dxa"/>
          </w:tcPr>
          <w:p w14:paraId="02C45856" w14:textId="77777777" w:rsidR="00327B11" w:rsidRPr="0065237C" w:rsidRDefault="00327B11" w:rsidP="00401CB6">
            <w:pPr>
              <w:cnfStyle w:val="000000000000" w:firstRow="0" w:lastRow="0" w:firstColumn="0" w:lastColumn="0" w:oddVBand="0" w:evenVBand="0" w:oddHBand="0" w:evenHBand="0" w:firstRowFirstColumn="0" w:firstRowLastColumn="0" w:lastRowFirstColumn="0" w:lastRowLastColumn="0"/>
              <w:rPr>
                <w:strike/>
                <w:szCs w:val="22"/>
              </w:rPr>
            </w:pPr>
            <w:r w:rsidRPr="00BF1EEF">
              <w:rPr>
                <w:strike/>
                <w:color w:val="FF0000"/>
                <w:szCs w:val="22"/>
              </w:rPr>
              <w:t>1</w:t>
            </w:r>
          </w:p>
        </w:tc>
      </w:tr>
      <w:tr w:rsidR="00327B11" w:rsidRPr="0092550D" w14:paraId="76C3B49F" w14:textId="77777777" w:rsidTr="00401CB6">
        <w:tc>
          <w:tcPr>
            <w:cnfStyle w:val="001000000000" w:firstRow="0" w:lastRow="0" w:firstColumn="1" w:lastColumn="0" w:oddVBand="0" w:evenVBand="0" w:oddHBand="0" w:evenHBand="0" w:firstRowFirstColumn="0" w:firstRowLastColumn="0" w:lastRowFirstColumn="0" w:lastRowLastColumn="0"/>
            <w:tcW w:w="8103" w:type="dxa"/>
            <w:gridSpan w:val="4"/>
          </w:tcPr>
          <w:p w14:paraId="0B03C190" w14:textId="77777777" w:rsidR="00327B11" w:rsidRPr="0092550D" w:rsidRDefault="00327B11" w:rsidP="00327B11">
            <w:pPr>
              <w:spacing w:before="0" w:after="0"/>
              <w:rPr>
                <w:szCs w:val="22"/>
              </w:rPr>
            </w:pPr>
            <w:r>
              <w:rPr>
                <w:szCs w:val="22"/>
              </w:rPr>
              <w:t>a = Low Toxicity</w:t>
            </w:r>
          </w:p>
          <w:p w14:paraId="2A255F3F" w14:textId="77777777" w:rsidR="00327B11" w:rsidRPr="0092550D" w:rsidRDefault="00327B11" w:rsidP="00327B11">
            <w:pPr>
              <w:spacing w:before="0" w:after="0"/>
              <w:rPr>
                <w:szCs w:val="22"/>
              </w:rPr>
            </w:pPr>
            <w:r w:rsidRPr="0092550D">
              <w:rPr>
                <w:szCs w:val="22"/>
              </w:rPr>
              <w:t>1 = Agriculture</w:t>
            </w:r>
          </w:p>
        </w:tc>
      </w:tr>
    </w:tbl>
    <w:p w14:paraId="4CF53591" w14:textId="77777777" w:rsidR="00327B11" w:rsidRPr="0065237C" w:rsidRDefault="00327B11" w:rsidP="00C962CB">
      <w:pPr>
        <w:ind w:left="426"/>
        <w:rPr>
          <w:b/>
        </w:rPr>
      </w:pPr>
      <w:r w:rsidRPr="0065237C">
        <w:rPr>
          <w:b/>
        </w:rPr>
        <w:t>INDEX – Amend Entry</w:t>
      </w:r>
    </w:p>
    <w:p w14:paraId="7614D49D" w14:textId="77777777" w:rsidR="00327B11" w:rsidRPr="0065237C" w:rsidRDefault="00327B11" w:rsidP="00C962CB">
      <w:pPr>
        <w:ind w:left="426"/>
        <w:rPr>
          <w:b/>
        </w:rPr>
      </w:pPr>
      <w:r w:rsidRPr="0065237C">
        <w:rPr>
          <w:b/>
        </w:rPr>
        <w:t>CARBETAMIDE</w:t>
      </w:r>
    </w:p>
    <w:p w14:paraId="182D7C2E" w14:textId="77777777" w:rsidR="00327B11" w:rsidRPr="00BF1EEF" w:rsidRDefault="00327B11" w:rsidP="00C962CB">
      <w:pPr>
        <w:ind w:left="426"/>
        <w:rPr>
          <w:strike/>
          <w:color w:val="FF0000"/>
        </w:rPr>
      </w:pPr>
      <w:r w:rsidRPr="00BF1EEF">
        <w:rPr>
          <w:strike/>
          <w:color w:val="FF0000"/>
        </w:rPr>
        <w:t>Appendix B, Part 3</w:t>
      </w:r>
    </w:p>
    <w:p w14:paraId="2401AEFA" w14:textId="77777777" w:rsidR="00327B11" w:rsidRPr="00310034" w:rsidRDefault="00327B11" w:rsidP="00C962CB">
      <w:pPr>
        <w:ind w:left="426"/>
        <w:rPr>
          <w:color w:val="FF0000"/>
        </w:rPr>
      </w:pPr>
      <w:r w:rsidRPr="00040BAB">
        <w:rPr>
          <w:color w:val="FF0000"/>
        </w:rPr>
        <w:t>Schedule 6</w:t>
      </w:r>
    </w:p>
    <w:p w14:paraId="6FA2847C" w14:textId="321D0A5C" w:rsidR="00327B11" w:rsidRDefault="00C962CB" w:rsidP="00B94F6F">
      <w:pPr>
        <w:pStyle w:val="Heading5"/>
      </w:pPr>
      <w:r>
        <w:t>Materials considered</w:t>
      </w:r>
    </w:p>
    <w:p w14:paraId="48C176D1" w14:textId="77777777" w:rsidR="00327B11" w:rsidRDefault="00327B11" w:rsidP="00327B11">
      <w:r>
        <w:t>In making this final decision, the Delegate considered the following material:</w:t>
      </w:r>
    </w:p>
    <w:p w14:paraId="40F80DD0" w14:textId="77777777" w:rsidR="00327B11" w:rsidRDefault="00327B11" w:rsidP="00C31E2C">
      <w:pPr>
        <w:pStyle w:val="ListBullet"/>
      </w:pPr>
      <w:r>
        <w:t xml:space="preserve">The </w:t>
      </w:r>
      <w:hyperlink r:id="rId65" w:history="1">
        <w:r w:rsidRPr="0065237C">
          <w:rPr>
            <w:rStyle w:val="Hyperlink"/>
          </w:rPr>
          <w:t>application</w:t>
        </w:r>
      </w:hyperlink>
      <w:r>
        <w:t xml:space="preserve"> to amend the current Poisons Standard with respect to carbetamide;</w:t>
      </w:r>
    </w:p>
    <w:p w14:paraId="0736AEE5" w14:textId="77777777" w:rsidR="00327B11" w:rsidRDefault="00327B11" w:rsidP="00C31E2C">
      <w:pPr>
        <w:pStyle w:val="ListBullet"/>
      </w:pPr>
      <w:r>
        <w:t xml:space="preserve">The advice </w:t>
      </w:r>
      <w:r w:rsidRPr="00310034">
        <w:t>received from the Meeting of the Advisory Committee on Chemicals Scheduling (ACCS#27);</w:t>
      </w:r>
    </w:p>
    <w:p w14:paraId="57E041DC" w14:textId="260EFB3E" w:rsidR="00327B11" w:rsidRDefault="00327B11" w:rsidP="00C31E2C">
      <w:pPr>
        <w:pStyle w:val="ListBullet"/>
      </w:pPr>
      <w:r w:rsidRPr="001169AC">
        <w:t xml:space="preserve">Subsection 52E(1) of </w:t>
      </w:r>
      <w:r w:rsidRPr="001169AC">
        <w:rPr>
          <w:i/>
        </w:rPr>
        <w:t>the Therapeutic Goods Act 1989</w:t>
      </w:r>
      <w:r w:rsidRPr="001169AC">
        <w:t>, in particular (a) the risks and benefits of the use of a substance; (b) the purposes for which a substance is to be used and the extent of use of a substance;</w:t>
      </w:r>
      <w:r>
        <w:t xml:space="preserve"> and</w:t>
      </w:r>
      <w:r w:rsidRPr="001169AC">
        <w:t xml:space="preserve"> (c) the toxicity of a substance</w:t>
      </w:r>
      <w:r>
        <w:t>;</w:t>
      </w:r>
    </w:p>
    <w:p w14:paraId="514B7760" w14:textId="77777777" w:rsidR="00327B11" w:rsidRDefault="00327B11" w:rsidP="00C31E2C">
      <w:pPr>
        <w:pStyle w:val="ListBullet"/>
      </w:pPr>
      <w:r w:rsidRPr="002C1418">
        <w:t xml:space="preserve">The </w:t>
      </w:r>
      <w:r w:rsidRPr="00310034">
        <w:t xml:space="preserve">Australian Health Ministers’ Advisory Council’s </w:t>
      </w:r>
      <w:hyperlink r:id="rId66" w:history="1">
        <w:r w:rsidRPr="00310034">
          <w:rPr>
            <w:rStyle w:val="Hyperlink"/>
          </w:rPr>
          <w:t>Scheduling Policy Framework</w:t>
        </w:r>
      </w:hyperlink>
      <w:r w:rsidRPr="00310034">
        <w:t xml:space="preserve"> (SPF 2018); and</w:t>
      </w:r>
    </w:p>
    <w:p w14:paraId="572F91A3" w14:textId="77777777" w:rsidR="00327B11" w:rsidRDefault="00327B11" w:rsidP="00C31E2C">
      <w:pPr>
        <w:pStyle w:val="ListBullet"/>
      </w:pPr>
      <w:r>
        <w:t xml:space="preserve">The </w:t>
      </w:r>
      <w:hyperlink r:id="rId67" w:history="1">
        <w:r w:rsidRPr="001A7580">
          <w:rPr>
            <w:rStyle w:val="Hyperlink"/>
          </w:rPr>
          <w:t>Scheduling handbook: Guidance for amending the Poisons Standard</w:t>
        </w:r>
      </w:hyperlink>
      <w:r>
        <w:t>.</w:t>
      </w:r>
    </w:p>
    <w:p w14:paraId="56F30C68" w14:textId="77777777" w:rsidR="00327B11" w:rsidRDefault="00327B11" w:rsidP="00B94F6F">
      <w:pPr>
        <w:pStyle w:val="Heading5"/>
      </w:pPr>
      <w:r w:rsidRPr="00436C41">
        <w:t>Reasons for the final decision (including findings on material questions of fact)</w:t>
      </w:r>
    </w:p>
    <w:p w14:paraId="452FC4BA" w14:textId="0BAE8AE8" w:rsidR="00327B11" w:rsidRDefault="00327B11" w:rsidP="00327B11">
      <w:r>
        <w:t xml:space="preserve">I have made a final decision to confirm my </w:t>
      </w:r>
      <w:hyperlink r:id="rId68" w:history="1">
        <w:r w:rsidRPr="001169AC">
          <w:rPr>
            <w:rStyle w:val="Hyperlink"/>
          </w:rPr>
          <w:t>interim decision</w:t>
        </w:r>
      </w:hyperlink>
      <w:r>
        <w:t xml:space="preserve"> to amend the current Poisons Standard, to remove carbetamide from</w:t>
      </w:r>
      <w:r>
        <w:rPr>
          <w:lang w:val="en"/>
        </w:rPr>
        <w:t xml:space="preserve"> </w:t>
      </w:r>
      <w:r w:rsidRPr="007F7B49">
        <w:rPr>
          <w:lang w:val="en"/>
        </w:rPr>
        <w:t xml:space="preserve">Appendix B and </w:t>
      </w:r>
      <w:r>
        <w:rPr>
          <w:lang w:val="en"/>
        </w:rPr>
        <w:t>add</w:t>
      </w:r>
      <w:r w:rsidRPr="007F7B49">
        <w:rPr>
          <w:lang w:val="en"/>
        </w:rPr>
        <w:t xml:space="preserve"> it to Schedule 6.</w:t>
      </w:r>
      <w:r>
        <w:rPr>
          <w:lang w:val="en"/>
        </w:rPr>
        <w:t xml:space="preserve"> </w:t>
      </w:r>
      <w:r w:rsidR="003E3916" w:rsidRPr="003E3916">
        <w:rPr>
          <w:lang w:val="en"/>
        </w:rPr>
        <w:t>My reasons for making the final decision are those set out in the interim decision</w:t>
      </w:r>
      <w:r w:rsidR="003E3916">
        <w:rPr>
          <w:lang w:val="en"/>
        </w:rPr>
        <w:t xml:space="preserve">. </w:t>
      </w:r>
      <w:r>
        <w:t>In making my final decision, I have taken into account the material detailed in the interim decision and</w:t>
      </w:r>
      <w:r w:rsidRPr="00F46D3F">
        <w:t xml:space="preserve"> </w:t>
      </w:r>
      <w:r>
        <w:t xml:space="preserve">have </w:t>
      </w:r>
      <w:r w:rsidRPr="00F46D3F">
        <w:t>note</w:t>
      </w:r>
      <w:r>
        <w:t>d</w:t>
      </w:r>
      <w:r w:rsidRPr="00F46D3F">
        <w:t xml:space="preserve"> that no public submissions </w:t>
      </w:r>
      <w:proofErr w:type="gramStart"/>
      <w:r w:rsidRPr="00F46D3F">
        <w:t>were received</w:t>
      </w:r>
      <w:proofErr w:type="gramEnd"/>
      <w:r w:rsidRPr="00F46D3F">
        <w:t xml:space="preserve"> before the</w:t>
      </w:r>
      <w:r w:rsidRPr="00156981">
        <w:t xml:space="preserve"> </w:t>
      </w:r>
      <w:r w:rsidRPr="005973CF">
        <w:t>second closing date</w:t>
      </w:r>
      <w:r w:rsidRPr="00F46D3F">
        <w:t xml:space="preserve"> </w:t>
      </w:r>
      <w:r>
        <w:t>in response to the call for further submissions published on 10 June 2020 under regulation 42ZCZP of the Regulations.</w:t>
      </w:r>
    </w:p>
    <w:p w14:paraId="549AF055" w14:textId="7EB8DEC7" w:rsidR="00327B11" w:rsidRDefault="00951EA7" w:rsidP="00B94F6F">
      <w:pPr>
        <w:pStyle w:val="Heading5"/>
      </w:pPr>
      <w:r>
        <w:lastRenderedPageBreak/>
        <w:t>Date of effect of the decision</w:t>
      </w:r>
    </w:p>
    <w:p w14:paraId="5702C1C6" w14:textId="77777777" w:rsidR="00327B11" w:rsidRPr="005973CF" w:rsidRDefault="00755907" w:rsidP="00327B11">
      <w:pPr>
        <w:rPr>
          <w:b/>
        </w:rPr>
      </w:pPr>
      <w:sdt>
        <w:sdtPr>
          <w:rPr>
            <w:b/>
          </w:rPr>
          <w:id w:val="224569563"/>
          <w:placeholder>
            <w:docPart w:val="D9299FC480794A4CA40525251C051B4B"/>
          </w:placeholder>
          <w:date w:fullDate="2020-10-01T00:00:00Z">
            <w:dateFormat w:val="d MMMM yyyy"/>
            <w:lid w:val="en-AU"/>
            <w:storeMappedDataAs w:val="dateTime"/>
            <w:calendar w:val="gregorian"/>
          </w:date>
        </w:sdtPr>
        <w:sdtEndPr/>
        <w:sdtContent>
          <w:r w:rsidR="00327B11" w:rsidRPr="00040BAB">
            <w:rPr>
              <w:b/>
            </w:rPr>
            <w:t>1 October 2020</w:t>
          </w:r>
        </w:sdtContent>
      </w:sdt>
    </w:p>
    <w:p w14:paraId="1FD09B0E" w14:textId="77777777" w:rsidR="00327B11" w:rsidRDefault="00327B11" w:rsidP="00327B11">
      <w:pPr>
        <w:pStyle w:val="Heading4"/>
      </w:pPr>
      <w:r>
        <w:t xml:space="preserve">Final decision in relation to </w:t>
      </w:r>
      <w:proofErr w:type="spellStart"/>
      <w:r w:rsidRPr="00E26EA6">
        <w:t>arbutin</w:t>
      </w:r>
      <w:proofErr w:type="spellEnd"/>
    </w:p>
    <w:p w14:paraId="20D91E90" w14:textId="0D86606B" w:rsidR="00327B11" w:rsidRPr="008036B7" w:rsidRDefault="00327B11" w:rsidP="00B94F6F">
      <w:pPr>
        <w:pStyle w:val="Heading5"/>
      </w:pPr>
      <w:r>
        <w:t xml:space="preserve">Final </w:t>
      </w:r>
      <w:r w:rsidR="00010CDD">
        <w:t>decision</w:t>
      </w:r>
    </w:p>
    <w:p w14:paraId="44762FD0" w14:textId="77777777" w:rsidR="00327B11" w:rsidRDefault="00327B11" w:rsidP="00327B11">
      <w:r w:rsidRPr="005973CF">
        <w:t xml:space="preserve">Pursuant to regulation 42ZCZR of the Regulations, a Delegate of the Secretary has made a final decision to </w:t>
      </w:r>
      <w:r>
        <w:t>vary</w:t>
      </w:r>
      <w:r w:rsidRPr="005973CF">
        <w:t xml:space="preserve"> the interim decision and amend the current Poisons Standard in relation to </w:t>
      </w:r>
      <w:proofErr w:type="spellStart"/>
      <w:r w:rsidRPr="005973CF">
        <w:t>arbutin</w:t>
      </w:r>
      <w:proofErr w:type="spellEnd"/>
      <w:r w:rsidRPr="005973CF">
        <w:t xml:space="preserve"> as follows:</w:t>
      </w:r>
    </w:p>
    <w:p w14:paraId="05150C91" w14:textId="568A238C" w:rsidR="00327B11" w:rsidRPr="004B13DA" w:rsidRDefault="00327B11" w:rsidP="00010CDD">
      <w:pPr>
        <w:ind w:left="426"/>
        <w:rPr>
          <w:b/>
        </w:rPr>
      </w:pPr>
      <w:r w:rsidRPr="004B13DA">
        <w:rPr>
          <w:b/>
        </w:rPr>
        <w:t xml:space="preserve">Schedule </w:t>
      </w:r>
      <w:proofErr w:type="gramStart"/>
      <w:r w:rsidRPr="004B13DA">
        <w:rPr>
          <w:b/>
        </w:rPr>
        <w:t>6</w:t>
      </w:r>
      <w:proofErr w:type="gramEnd"/>
      <w:r w:rsidRPr="004B13DA">
        <w:rPr>
          <w:b/>
        </w:rPr>
        <w:t xml:space="preserve"> – New entries</w:t>
      </w:r>
    </w:p>
    <w:p w14:paraId="138FCD87" w14:textId="77777777" w:rsidR="00327B11" w:rsidRPr="007F1466" w:rsidRDefault="00327B11" w:rsidP="00010CDD">
      <w:pPr>
        <w:ind w:left="426"/>
        <w:rPr>
          <w:color w:val="FF0000"/>
        </w:rPr>
      </w:pPr>
      <w:r w:rsidRPr="007F1466">
        <w:rPr>
          <w:color w:val="FF0000"/>
        </w:rPr>
        <w:t xml:space="preserve">ARBUTIN (ALPHA) </w:t>
      </w:r>
      <w:r w:rsidRPr="007F1466">
        <w:rPr>
          <w:b/>
          <w:color w:val="FF0000"/>
        </w:rPr>
        <w:t>except</w:t>
      </w:r>
      <w:r w:rsidRPr="007F1466">
        <w:rPr>
          <w:color w:val="FF0000"/>
        </w:rPr>
        <w:t>:</w:t>
      </w:r>
    </w:p>
    <w:p w14:paraId="0ECC6606" w14:textId="77777777" w:rsidR="00327B11" w:rsidRPr="006F4EA6" w:rsidRDefault="00327B11" w:rsidP="00010CDD">
      <w:pPr>
        <w:pStyle w:val="Numberbullet2ared"/>
        <w:numPr>
          <w:ilvl w:val="0"/>
          <w:numId w:val="48"/>
        </w:numPr>
      </w:pPr>
      <w:r w:rsidRPr="006F4EA6">
        <w:t>in preparations for application to the face containing 2 per cent or less alpha-</w:t>
      </w:r>
      <w:proofErr w:type="spellStart"/>
      <w:r w:rsidRPr="006F4EA6">
        <w:t>arbutin</w:t>
      </w:r>
      <w:proofErr w:type="spellEnd"/>
      <w:r w:rsidRPr="006F4EA6">
        <w:t xml:space="preserve"> with hydroquinone levels of 10mg/kg or less; or</w:t>
      </w:r>
    </w:p>
    <w:p w14:paraId="5272AD93" w14:textId="77777777" w:rsidR="00327B11" w:rsidRPr="006F4EA6" w:rsidRDefault="00327B11" w:rsidP="00010CDD">
      <w:pPr>
        <w:pStyle w:val="Numberbullet2ared"/>
      </w:pPr>
      <w:proofErr w:type="gramStart"/>
      <w:r w:rsidRPr="006F4EA6">
        <w:t>in</w:t>
      </w:r>
      <w:proofErr w:type="gramEnd"/>
      <w:r w:rsidRPr="006F4EA6">
        <w:t xml:space="preserve"> preparations for application to the body containing 0.5 per cent or less alpha-</w:t>
      </w:r>
      <w:proofErr w:type="spellStart"/>
      <w:r w:rsidRPr="006F4EA6">
        <w:t>arbutin</w:t>
      </w:r>
      <w:proofErr w:type="spellEnd"/>
      <w:r w:rsidRPr="006F4EA6">
        <w:t xml:space="preserve"> with hydroquinone levels of 10mg/kg or less.</w:t>
      </w:r>
    </w:p>
    <w:p w14:paraId="1479BF7D" w14:textId="77777777" w:rsidR="00327B11" w:rsidRPr="007F1466" w:rsidRDefault="00327B11" w:rsidP="00010CDD">
      <w:pPr>
        <w:ind w:left="426"/>
        <w:rPr>
          <w:color w:val="FF0000"/>
        </w:rPr>
      </w:pPr>
      <w:r w:rsidRPr="007F1466">
        <w:rPr>
          <w:color w:val="FF0000"/>
        </w:rPr>
        <w:t xml:space="preserve">ARBUTIN (BETA) </w:t>
      </w:r>
      <w:r w:rsidRPr="007F1466">
        <w:rPr>
          <w:b/>
          <w:color w:val="FF0000"/>
        </w:rPr>
        <w:t>except</w:t>
      </w:r>
      <w:r w:rsidRPr="007F1466">
        <w:rPr>
          <w:color w:val="FF0000"/>
        </w:rPr>
        <w:t>:</w:t>
      </w:r>
    </w:p>
    <w:p w14:paraId="1DB3E525" w14:textId="77777777" w:rsidR="00327B11" w:rsidRPr="006F4EA6" w:rsidRDefault="00327B11" w:rsidP="00010CDD">
      <w:pPr>
        <w:pStyle w:val="Numberbullet2ared"/>
        <w:numPr>
          <w:ilvl w:val="0"/>
          <w:numId w:val="49"/>
        </w:numPr>
      </w:pPr>
      <w:r w:rsidRPr="006F4EA6">
        <w:t>when included in Schedule 4; or</w:t>
      </w:r>
    </w:p>
    <w:p w14:paraId="196A81E7" w14:textId="663E5000" w:rsidR="00327B11" w:rsidRPr="006F4EA6" w:rsidRDefault="00640458" w:rsidP="00010CDD">
      <w:pPr>
        <w:pStyle w:val="Numberbullet2ared"/>
      </w:pPr>
      <w:r>
        <w:t xml:space="preserve">oral </w:t>
      </w:r>
      <w:r w:rsidR="00327B11" w:rsidRPr="006F4EA6">
        <w:t>herbal preparations containing 500 mg or less beta-</w:t>
      </w:r>
      <w:proofErr w:type="spellStart"/>
      <w:r w:rsidR="00327B11" w:rsidRPr="006F4EA6">
        <w:t>arbutin</w:t>
      </w:r>
      <w:proofErr w:type="spellEnd"/>
      <w:r w:rsidR="00010CDD">
        <w:t xml:space="preserve"> per recommended daily dose; or</w:t>
      </w:r>
    </w:p>
    <w:p w14:paraId="26063D02" w14:textId="77777777" w:rsidR="00327B11" w:rsidRPr="006F4EA6" w:rsidRDefault="00327B11" w:rsidP="00010CDD">
      <w:pPr>
        <w:pStyle w:val="Numberbullet2ared"/>
      </w:pPr>
      <w:proofErr w:type="gramStart"/>
      <w:r w:rsidRPr="006F4EA6">
        <w:t>in</w:t>
      </w:r>
      <w:proofErr w:type="gramEnd"/>
      <w:r w:rsidRPr="006F4EA6">
        <w:t xml:space="preserve"> preparations for application to the face containing 7 per cent or less beta-</w:t>
      </w:r>
      <w:proofErr w:type="spellStart"/>
      <w:r w:rsidRPr="006F4EA6">
        <w:t>arbutin</w:t>
      </w:r>
      <w:proofErr w:type="spellEnd"/>
      <w:r w:rsidRPr="006F4EA6">
        <w:t xml:space="preserve"> with hydroquinone levels of 10mg/kg or less.</w:t>
      </w:r>
    </w:p>
    <w:p w14:paraId="585F3125" w14:textId="77777777" w:rsidR="00327B11" w:rsidRPr="007F1466" w:rsidRDefault="00327B11" w:rsidP="00010CDD">
      <w:pPr>
        <w:ind w:left="426"/>
        <w:rPr>
          <w:color w:val="FF0000"/>
        </w:rPr>
      </w:pPr>
      <w:r w:rsidRPr="007F1466">
        <w:rPr>
          <w:color w:val="FF0000"/>
        </w:rPr>
        <w:t>ARBUTIN (DEOXY OR OTHER DERIVATIVES).</w:t>
      </w:r>
    </w:p>
    <w:p w14:paraId="56ED33DA" w14:textId="77777777" w:rsidR="00327B11" w:rsidRPr="004A1B97" w:rsidRDefault="00327B11" w:rsidP="00010CDD">
      <w:pPr>
        <w:ind w:left="426"/>
        <w:rPr>
          <w:b/>
        </w:rPr>
      </w:pPr>
      <w:r w:rsidRPr="004A1B97">
        <w:rPr>
          <w:b/>
        </w:rPr>
        <w:t xml:space="preserve">Schedule </w:t>
      </w:r>
      <w:proofErr w:type="gramStart"/>
      <w:r w:rsidRPr="004A1B97">
        <w:rPr>
          <w:b/>
        </w:rPr>
        <w:t>4</w:t>
      </w:r>
      <w:proofErr w:type="gramEnd"/>
      <w:r w:rsidRPr="004A1B97">
        <w:rPr>
          <w:b/>
        </w:rPr>
        <w:t xml:space="preserve"> – New entry</w:t>
      </w:r>
    </w:p>
    <w:p w14:paraId="64EB231C" w14:textId="77777777" w:rsidR="00327B11" w:rsidRPr="007F1466" w:rsidRDefault="00327B11" w:rsidP="00010CDD">
      <w:pPr>
        <w:ind w:left="426"/>
        <w:rPr>
          <w:color w:val="FF0000"/>
        </w:rPr>
      </w:pPr>
      <w:r w:rsidRPr="007F1466">
        <w:rPr>
          <w:color w:val="FF0000"/>
        </w:rPr>
        <w:t>ARBUTIN (BETA) in oral preparations except herbal preparations containing 500 mg or less beta-</w:t>
      </w:r>
      <w:proofErr w:type="spellStart"/>
      <w:r w:rsidRPr="007F1466">
        <w:rPr>
          <w:color w:val="FF0000"/>
        </w:rPr>
        <w:t>arbutin</w:t>
      </w:r>
      <w:proofErr w:type="spellEnd"/>
      <w:r w:rsidRPr="007F1466">
        <w:rPr>
          <w:color w:val="FF0000"/>
        </w:rPr>
        <w:t xml:space="preserve"> per recommended daily dose.</w:t>
      </w:r>
    </w:p>
    <w:p w14:paraId="2BAEDF1C" w14:textId="77777777" w:rsidR="00327B11" w:rsidRPr="004A1B97" w:rsidRDefault="00327B11" w:rsidP="00010CDD">
      <w:pPr>
        <w:ind w:left="426"/>
        <w:rPr>
          <w:b/>
        </w:rPr>
      </w:pPr>
      <w:r w:rsidRPr="004A1B97">
        <w:rPr>
          <w:b/>
        </w:rPr>
        <w:t>Index – New/Amended Entries</w:t>
      </w:r>
    </w:p>
    <w:p w14:paraId="6EB20B43" w14:textId="77777777" w:rsidR="00327B11" w:rsidRPr="007F1466" w:rsidRDefault="00327B11" w:rsidP="00010CDD">
      <w:pPr>
        <w:ind w:left="426"/>
        <w:rPr>
          <w:b/>
          <w:color w:val="FF0000"/>
        </w:rPr>
      </w:pPr>
      <w:r w:rsidRPr="007F1466">
        <w:rPr>
          <w:b/>
          <w:color w:val="FF0000"/>
        </w:rPr>
        <w:t>ARBUTIN (ALPHA)</w:t>
      </w:r>
    </w:p>
    <w:p w14:paraId="3F66FE3A" w14:textId="77777777" w:rsidR="00327B11" w:rsidRPr="007F1466" w:rsidRDefault="00327B11" w:rsidP="00010CDD">
      <w:pPr>
        <w:ind w:left="426"/>
        <w:rPr>
          <w:color w:val="FF0000"/>
        </w:rPr>
      </w:pPr>
      <w:r w:rsidRPr="007F1466">
        <w:rPr>
          <w:color w:val="FF0000"/>
        </w:rPr>
        <w:t>Cross reference: ARBUTIN (BETA); ARBUTIN (DEOXY OR OTHER DERIVATIVES)</w:t>
      </w:r>
    </w:p>
    <w:p w14:paraId="6D33DEB2" w14:textId="77777777" w:rsidR="00327B11" w:rsidRPr="007F1466" w:rsidRDefault="00327B11" w:rsidP="00010CDD">
      <w:pPr>
        <w:ind w:left="426"/>
        <w:rPr>
          <w:color w:val="FF0000"/>
        </w:rPr>
      </w:pPr>
      <w:r w:rsidRPr="007F1466">
        <w:rPr>
          <w:color w:val="FF0000"/>
        </w:rPr>
        <w:t>Schedule 6</w:t>
      </w:r>
    </w:p>
    <w:p w14:paraId="79F33484" w14:textId="77777777" w:rsidR="00327B11" w:rsidRPr="007F1466" w:rsidRDefault="00327B11" w:rsidP="00010CDD">
      <w:pPr>
        <w:ind w:left="426"/>
        <w:rPr>
          <w:b/>
          <w:color w:val="FF0000"/>
        </w:rPr>
      </w:pPr>
      <w:r w:rsidRPr="007F1466">
        <w:rPr>
          <w:b/>
          <w:color w:val="FF0000"/>
        </w:rPr>
        <w:t>ARBUTIN (BETA)</w:t>
      </w:r>
    </w:p>
    <w:p w14:paraId="0232B4DA" w14:textId="77777777" w:rsidR="00327B11" w:rsidRPr="007F1466" w:rsidRDefault="00327B11" w:rsidP="00010CDD">
      <w:pPr>
        <w:ind w:left="426"/>
        <w:rPr>
          <w:color w:val="FF0000"/>
        </w:rPr>
      </w:pPr>
      <w:r w:rsidRPr="007F1466">
        <w:rPr>
          <w:color w:val="FF0000"/>
        </w:rPr>
        <w:t>Cross reference: ARBUTIN (ALPHA); ARBUTIN (DEOXY OR OTHER DERIVATIVES)</w:t>
      </w:r>
    </w:p>
    <w:p w14:paraId="6E50BD46" w14:textId="77777777" w:rsidR="00327B11" w:rsidRPr="007F1466" w:rsidRDefault="00327B11" w:rsidP="00010CDD">
      <w:pPr>
        <w:ind w:left="426"/>
        <w:rPr>
          <w:color w:val="FF0000"/>
        </w:rPr>
      </w:pPr>
      <w:r w:rsidRPr="007F1466">
        <w:rPr>
          <w:color w:val="FF0000"/>
        </w:rPr>
        <w:t>Schedule 6</w:t>
      </w:r>
    </w:p>
    <w:p w14:paraId="2A7A1B79" w14:textId="77777777" w:rsidR="00327B11" w:rsidRPr="007F1466" w:rsidRDefault="00327B11" w:rsidP="00010CDD">
      <w:pPr>
        <w:ind w:left="426"/>
        <w:rPr>
          <w:color w:val="FF0000"/>
        </w:rPr>
      </w:pPr>
      <w:r w:rsidRPr="007F1466">
        <w:rPr>
          <w:color w:val="FF0000"/>
        </w:rPr>
        <w:t>Schedule 4</w:t>
      </w:r>
    </w:p>
    <w:p w14:paraId="297CB0DF" w14:textId="77777777" w:rsidR="00327B11" w:rsidRPr="007F1466" w:rsidRDefault="00327B11" w:rsidP="00010CDD">
      <w:pPr>
        <w:ind w:left="426"/>
        <w:rPr>
          <w:b/>
          <w:color w:val="FF0000"/>
        </w:rPr>
      </w:pPr>
      <w:r w:rsidRPr="007F1466">
        <w:rPr>
          <w:b/>
          <w:color w:val="FF0000"/>
        </w:rPr>
        <w:t>ARBUTIN (DEOXY OR OTHER DERIVATIVES)</w:t>
      </w:r>
    </w:p>
    <w:p w14:paraId="2F9A3287" w14:textId="77777777" w:rsidR="00327B11" w:rsidRPr="007F1466" w:rsidRDefault="00327B11" w:rsidP="00010CDD">
      <w:pPr>
        <w:ind w:left="426"/>
        <w:rPr>
          <w:color w:val="FF0000"/>
        </w:rPr>
      </w:pPr>
      <w:r w:rsidRPr="007F1466">
        <w:rPr>
          <w:color w:val="FF0000"/>
        </w:rPr>
        <w:t>Cross reference: ARBUTIN (ALPHA); ARBUTIN (BETA)</w:t>
      </w:r>
    </w:p>
    <w:p w14:paraId="499144E0" w14:textId="77777777" w:rsidR="00327B11" w:rsidRPr="007F1466" w:rsidRDefault="00327B11" w:rsidP="00010CDD">
      <w:pPr>
        <w:ind w:left="426"/>
        <w:rPr>
          <w:color w:val="FF0000"/>
        </w:rPr>
      </w:pPr>
      <w:r w:rsidRPr="007F1466">
        <w:rPr>
          <w:color w:val="FF0000"/>
        </w:rPr>
        <w:t>Schedule 6</w:t>
      </w:r>
    </w:p>
    <w:p w14:paraId="650C2B6D" w14:textId="77777777" w:rsidR="00327B11" w:rsidRPr="007F1466" w:rsidRDefault="00327B11" w:rsidP="00453FB0">
      <w:pPr>
        <w:keepNext/>
        <w:ind w:left="426"/>
        <w:rPr>
          <w:strike/>
          <w:color w:val="FF0000"/>
        </w:rPr>
      </w:pPr>
      <w:r w:rsidRPr="007F1466">
        <w:rPr>
          <w:strike/>
          <w:color w:val="FF0000"/>
        </w:rPr>
        <w:lastRenderedPageBreak/>
        <w:t>ARBUTIN</w:t>
      </w:r>
    </w:p>
    <w:p w14:paraId="1EEADD93" w14:textId="77777777" w:rsidR="00425805" w:rsidRPr="00425805" w:rsidRDefault="00327B11" w:rsidP="00453FB0">
      <w:pPr>
        <w:ind w:left="426"/>
        <w:rPr>
          <w:strike/>
          <w:color w:val="FF0000"/>
        </w:rPr>
      </w:pPr>
      <w:proofErr w:type="gramStart"/>
      <w:r w:rsidRPr="00425805">
        <w:rPr>
          <w:strike/>
          <w:color w:val="FF0000"/>
        </w:rPr>
        <w:t>cross</w:t>
      </w:r>
      <w:proofErr w:type="gramEnd"/>
      <w:r w:rsidRPr="00425805">
        <w:rPr>
          <w:strike/>
          <w:color w:val="FF0000"/>
        </w:rPr>
        <w:t xml:space="preserve"> reference: HYDROQUINONE</w:t>
      </w:r>
    </w:p>
    <w:p w14:paraId="3343163D" w14:textId="681FAA41" w:rsidR="00327B11" w:rsidRDefault="00327B11" w:rsidP="00453FB0">
      <w:pPr>
        <w:pStyle w:val="Tabletitle"/>
        <w:ind w:left="426"/>
      </w:pPr>
      <w:r w:rsidRPr="00634415">
        <w:t>Appendix E, Part</w:t>
      </w:r>
      <w:r w:rsidRPr="00CE73D7">
        <w:rPr>
          <w:color w:val="FF0000"/>
        </w:rPr>
        <w:t xml:space="preserve"> </w:t>
      </w:r>
      <w:r w:rsidRPr="00CE73D7">
        <w:rPr>
          <w:strike/>
          <w:color w:val="FF0000"/>
        </w:rPr>
        <w:t>3</w:t>
      </w:r>
      <w:r w:rsidR="00CE73D7" w:rsidRPr="00CE73D7">
        <w:rPr>
          <w:color w:val="FF0000"/>
        </w:rPr>
        <w:t xml:space="preserve"> </w:t>
      </w:r>
      <w:r w:rsidR="00CE73D7">
        <w:rPr>
          <w:color w:val="FF0000"/>
        </w:rPr>
        <w:t>2</w:t>
      </w:r>
      <w:r w:rsidRPr="00CE73D7">
        <w:rPr>
          <w:color w:val="FF0000"/>
        </w:rPr>
        <w:t xml:space="preserve"> </w:t>
      </w:r>
      <w:r w:rsidRPr="00634415">
        <w:t>– New entries</w:t>
      </w:r>
    </w:p>
    <w:tbl>
      <w:tblPr>
        <w:tblStyle w:val="TableTGAblue"/>
        <w:tblpPr w:leftFromText="180" w:rightFromText="180" w:vertAnchor="text" w:horzAnchor="margin" w:tblpXSpec="right" w:tblpY="91"/>
        <w:tblW w:w="0" w:type="auto"/>
        <w:tblLook w:val="04A0" w:firstRow="1" w:lastRow="0" w:firstColumn="1" w:lastColumn="0" w:noHBand="0" w:noVBand="1"/>
      </w:tblPr>
      <w:tblGrid>
        <w:gridCol w:w="5486"/>
        <w:gridCol w:w="3008"/>
      </w:tblGrid>
      <w:tr w:rsidR="009D6FF4" w:rsidRPr="00DB2469" w14:paraId="17FFD8AD" w14:textId="77777777" w:rsidTr="00453F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6" w:type="dxa"/>
          </w:tcPr>
          <w:p w14:paraId="2FB8E0BA" w14:textId="77777777" w:rsidR="009D6FF4" w:rsidRPr="00DB2469" w:rsidRDefault="009D6FF4" w:rsidP="00453FB0">
            <w:r w:rsidRPr="00DB2469">
              <w:t>POISON</w:t>
            </w:r>
          </w:p>
        </w:tc>
        <w:tc>
          <w:tcPr>
            <w:tcW w:w="3008" w:type="dxa"/>
          </w:tcPr>
          <w:p w14:paraId="62920CBF" w14:textId="77777777" w:rsidR="009D6FF4" w:rsidRPr="00DB2469" w:rsidRDefault="009D6FF4" w:rsidP="00453FB0">
            <w:pPr>
              <w:cnfStyle w:val="100000000000" w:firstRow="1" w:lastRow="0" w:firstColumn="0" w:lastColumn="0" w:oddVBand="0" w:evenVBand="0" w:oddHBand="0" w:evenHBand="0" w:firstRowFirstColumn="0" w:firstRowLastColumn="0" w:lastRowFirstColumn="0" w:lastRowLastColumn="0"/>
            </w:pPr>
            <w:r w:rsidRPr="00DB2469">
              <w:t xml:space="preserve">STANDARD STATEMENTS </w:t>
            </w:r>
          </w:p>
        </w:tc>
      </w:tr>
      <w:tr w:rsidR="009D6FF4" w:rsidRPr="00DB2469" w14:paraId="3B461F10" w14:textId="77777777" w:rsidTr="00453FB0">
        <w:tc>
          <w:tcPr>
            <w:cnfStyle w:val="001000000000" w:firstRow="0" w:lastRow="0" w:firstColumn="1" w:lastColumn="0" w:oddVBand="0" w:evenVBand="0" w:oddHBand="0" w:evenHBand="0" w:firstRowFirstColumn="0" w:firstRowLastColumn="0" w:lastRowFirstColumn="0" w:lastRowLastColumn="0"/>
            <w:tcW w:w="5486" w:type="dxa"/>
          </w:tcPr>
          <w:p w14:paraId="4D281DCB" w14:textId="77777777" w:rsidR="009D6FF4" w:rsidRPr="00DB2469" w:rsidRDefault="009D6FF4" w:rsidP="00453FB0">
            <w:r w:rsidRPr="00BF1EEF">
              <w:rPr>
                <w:color w:val="FF0000"/>
              </w:rPr>
              <w:t>ARBUTIN when included in Schedule 6.</w:t>
            </w:r>
          </w:p>
        </w:tc>
        <w:tc>
          <w:tcPr>
            <w:tcW w:w="3008" w:type="dxa"/>
          </w:tcPr>
          <w:p w14:paraId="170BD063" w14:textId="77777777" w:rsidR="009D6FF4" w:rsidRPr="00DB2469" w:rsidRDefault="009D6FF4" w:rsidP="00453FB0">
            <w:pPr>
              <w:cnfStyle w:val="000000000000" w:firstRow="0" w:lastRow="0" w:firstColumn="0" w:lastColumn="0" w:oddVBand="0" w:evenVBand="0" w:oddHBand="0" w:evenHBand="0" w:firstRowFirstColumn="0" w:firstRowLastColumn="0" w:lastRowFirstColumn="0" w:lastRowLastColumn="0"/>
            </w:pPr>
            <w:r w:rsidRPr="00BF1EEF">
              <w:rPr>
                <w:color w:val="FF0000"/>
              </w:rPr>
              <w:t>A,G2,G3,E2,R2,S1</w:t>
            </w:r>
          </w:p>
        </w:tc>
      </w:tr>
      <w:tr w:rsidR="009D6FF4" w:rsidRPr="00DB2469" w14:paraId="042E9FB2" w14:textId="77777777" w:rsidTr="00453FB0">
        <w:tc>
          <w:tcPr>
            <w:cnfStyle w:val="001000000000" w:firstRow="0" w:lastRow="0" w:firstColumn="1" w:lastColumn="0" w:oddVBand="0" w:evenVBand="0" w:oddHBand="0" w:evenHBand="0" w:firstRowFirstColumn="0" w:firstRowLastColumn="0" w:lastRowFirstColumn="0" w:lastRowLastColumn="0"/>
            <w:tcW w:w="8494" w:type="dxa"/>
            <w:gridSpan w:val="2"/>
          </w:tcPr>
          <w:p w14:paraId="0C226C07" w14:textId="77777777" w:rsidR="009D6FF4" w:rsidRPr="00DB2469" w:rsidRDefault="009D6FF4" w:rsidP="00453FB0">
            <w:pPr>
              <w:rPr>
                <w:sz w:val="20"/>
              </w:rPr>
            </w:pPr>
            <w:r w:rsidRPr="00DB2469">
              <w:rPr>
                <w:sz w:val="20"/>
              </w:rPr>
              <w:t>A: For advice, contact a Poisons Information Centre (e.g. phone Australia 13 11 26; New Zealand 0800 764 766) or a doctor (at once).</w:t>
            </w:r>
          </w:p>
          <w:p w14:paraId="1F96F966" w14:textId="77777777" w:rsidR="009D6FF4" w:rsidRPr="00DB2469" w:rsidRDefault="009D6FF4" w:rsidP="00453FB0">
            <w:pPr>
              <w:rPr>
                <w:sz w:val="20"/>
              </w:rPr>
            </w:pPr>
            <w:r w:rsidRPr="00DB2469">
              <w:rPr>
                <w:sz w:val="20"/>
              </w:rPr>
              <w:t>G2:</w:t>
            </w:r>
            <w:r w:rsidRPr="00DB2469">
              <w:rPr>
                <w:rFonts w:ascii="Times New Roman" w:hAnsi="Times New Roman"/>
                <w:sz w:val="20"/>
              </w:rPr>
              <w:t xml:space="preserve"> </w:t>
            </w:r>
            <w:r w:rsidRPr="00DB2469">
              <w:rPr>
                <w:sz w:val="20"/>
              </w:rPr>
              <w:t xml:space="preserve">If swallowed, give activated charcoal if instructed. (Note - the words ‘at once’ to </w:t>
            </w:r>
            <w:proofErr w:type="gramStart"/>
            <w:r w:rsidRPr="00DB2469">
              <w:rPr>
                <w:sz w:val="20"/>
              </w:rPr>
              <w:t>be added</w:t>
            </w:r>
            <w:proofErr w:type="gramEnd"/>
            <w:r w:rsidRPr="00DB2469">
              <w:rPr>
                <w:sz w:val="20"/>
              </w:rPr>
              <w:t xml:space="preserve"> to instruction A).</w:t>
            </w:r>
          </w:p>
          <w:p w14:paraId="7DEA8203" w14:textId="77777777" w:rsidR="009D6FF4" w:rsidRPr="00DB2469" w:rsidRDefault="009D6FF4" w:rsidP="00453FB0">
            <w:pPr>
              <w:rPr>
                <w:sz w:val="20"/>
              </w:rPr>
            </w:pPr>
            <w:r w:rsidRPr="00DB2469">
              <w:rPr>
                <w:sz w:val="20"/>
              </w:rPr>
              <w:t>G3: If swallowed, do NOT induce vomiting.</w:t>
            </w:r>
          </w:p>
          <w:p w14:paraId="288AA3A1" w14:textId="77777777" w:rsidR="009D6FF4" w:rsidRPr="00DB2469" w:rsidRDefault="009D6FF4" w:rsidP="00453FB0">
            <w:pPr>
              <w:rPr>
                <w:sz w:val="20"/>
              </w:rPr>
            </w:pPr>
            <w:r w:rsidRPr="00DB2469">
              <w:rPr>
                <w:sz w:val="20"/>
              </w:rPr>
              <w:t>E2: If in eyes, hold eyelids apart and flush the eye continuously with running water. Continue flushing until advised to stop by a Poisons Information Centre (e.g. phone Australia 13 11 26; New Zealand 0800 764 766) or a doctor, or for at least 15 minutes.</w:t>
            </w:r>
          </w:p>
          <w:p w14:paraId="69B418C0" w14:textId="77777777" w:rsidR="009D6FF4" w:rsidRPr="00DB2469" w:rsidRDefault="009D6FF4" w:rsidP="00453FB0">
            <w:pPr>
              <w:rPr>
                <w:sz w:val="20"/>
              </w:rPr>
            </w:pPr>
            <w:r w:rsidRPr="00DB2469">
              <w:rPr>
                <w:sz w:val="20"/>
              </w:rPr>
              <w:t xml:space="preserve">R2: If </w:t>
            </w:r>
            <w:proofErr w:type="gramStart"/>
            <w:r w:rsidRPr="00DB2469">
              <w:rPr>
                <w:sz w:val="20"/>
              </w:rPr>
              <w:t>swallowed</w:t>
            </w:r>
            <w:proofErr w:type="gramEnd"/>
            <w:r w:rsidRPr="00DB2469">
              <w:rPr>
                <w:sz w:val="20"/>
              </w:rPr>
              <w:t xml:space="preserve"> or inhaled, remove from contaminated area. Apply artificial respiration if not breathing. Do not give direct mouth-to-mouth resuscitation. To protect rescuer, use air-viva, oxy-viva or one-way mask. Resuscitate in a well-ventilated area.</w:t>
            </w:r>
          </w:p>
          <w:p w14:paraId="3D265F9B" w14:textId="77777777" w:rsidR="009D6FF4" w:rsidRPr="00DB2469" w:rsidRDefault="009D6FF4" w:rsidP="00453FB0">
            <w:r w:rsidRPr="00DB2469">
              <w:rPr>
                <w:sz w:val="20"/>
              </w:rPr>
              <w:t>S1: If skin or hair contact occurs, remove contaminated clothing and flush skin and hair with running water.</w:t>
            </w:r>
          </w:p>
        </w:tc>
      </w:tr>
    </w:tbl>
    <w:p w14:paraId="22B56F3F" w14:textId="53B1991F" w:rsidR="00327B11" w:rsidRDefault="00327B11" w:rsidP="00453FB0">
      <w:pPr>
        <w:pStyle w:val="Tabletitle"/>
        <w:ind w:left="426"/>
      </w:pPr>
      <w:r w:rsidRPr="00634415">
        <w:t>Appendix F, Part 3 – New entries</w:t>
      </w:r>
    </w:p>
    <w:tbl>
      <w:tblPr>
        <w:tblStyle w:val="TableTGAblue"/>
        <w:tblW w:w="8646" w:type="dxa"/>
        <w:tblInd w:w="416" w:type="dxa"/>
        <w:tblLook w:val="04A0" w:firstRow="1" w:lastRow="0" w:firstColumn="1" w:lastColumn="0" w:noHBand="0" w:noVBand="1"/>
      </w:tblPr>
      <w:tblGrid>
        <w:gridCol w:w="4110"/>
        <w:gridCol w:w="2410"/>
        <w:gridCol w:w="2126"/>
      </w:tblGrid>
      <w:tr w:rsidR="00327B11" w:rsidRPr="00DB2469" w14:paraId="0D2A3C91" w14:textId="77777777" w:rsidTr="004F39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0" w:type="dxa"/>
          </w:tcPr>
          <w:p w14:paraId="25799676" w14:textId="77777777" w:rsidR="00327B11" w:rsidRPr="00DB2469" w:rsidRDefault="00327B11" w:rsidP="00327B11">
            <w:r w:rsidRPr="00DB2469">
              <w:t>POISON</w:t>
            </w:r>
          </w:p>
        </w:tc>
        <w:tc>
          <w:tcPr>
            <w:tcW w:w="2410" w:type="dxa"/>
          </w:tcPr>
          <w:p w14:paraId="448DE6C9" w14:textId="77777777" w:rsidR="00327B11" w:rsidRPr="00DB2469" w:rsidRDefault="00327B11" w:rsidP="004F39E0">
            <w:pPr>
              <w:cnfStyle w:val="100000000000" w:firstRow="1" w:lastRow="0" w:firstColumn="0" w:lastColumn="0" w:oddVBand="0" w:evenVBand="0" w:oddHBand="0" w:evenHBand="0" w:firstRowFirstColumn="0" w:firstRowLastColumn="0" w:lastRowFirstColumn="0" w:lastRowLastColumn="0"/>
              <w:rPr>
                <w:b w:val="0"/>
              </w:rPr>
            </w:pPr>
            <w:r w:rsidRPr="00DB2469">
              <w:t>WARNING STATEMENTS</w:t>
            </w:r>
          </w:p>
        </w:tc>
        <w:tc>
          <w:tcPr>
            <w:tcW w:w="2126" w:type="dxa"/>
          </w:tcPr>
          <w:p w14:paraId="12DB9686" w14:textId="77777777" w:rsidR="00327B11" w:rsidRPr="00DB2469" w:rsidRDefault="00327B11" w:rsidP="004F39E0">
            <w:pPr>
              <w:cnfStyle w:val="100000000000" w:firstRow="1" w:lastRow="0" w:firstColumn="0" w:lastColumn="0" w:oddVBand="0" w:evenVBand="0" w:oddHBand="0" w:evenHBand="0" w:firstRowFirstColumn="0" w:firstRowLastColumn="0" w:lastRowFirstColumn="0" w:lastRowLastColumn="0"/>
              <w:rPr>
                <w:b w:val="0"/>
              </w:rPr>
            </w:pPr>
            <w:r w:rsidRPr="00DB2469">
              <w:t>SAFETY DIRECTION</w:t>
            </w:r>
          </w:p>
        </w:tc>
      </w:tr>
      <w:tr w:rsidR="00327B11" w:rsidRPr="00DB2469" w14:paraId="2AA5FE20" w14:textId="77777777" w:rsidTr="004F39E0">
        <w:tc>
          <w:tcPr>
            <w:cnfStyle w:val="001000000000" w:firstRow="0" w:lastRow="0" w:firstColumn="1" w:lastColumn="0" w:oddVBand="0" w:evenVBand="0" w:oddHBand="0" w:evenHBand="0" w:firstRowFirstColumn="0" w:firstRowLastColumn="0" w:lastRowFirstColumn="0" w:lastRowLastColumn="0"/>
            <w:tcW w:w="4110" w:type="dxa"/>
          </w:tcPr>
          <w:p w14:paraId="28624EC2" w14:textId="77777777" w:rsidR="00327B11" w:rsidRPr="00DB2469" w:rsidRDefault="00327B11" w:rsidP="00327B11">
            <w:pPr>
              <w:rPr>
                <w:color w:val="FF0000"/>
              </w:rPr>
            </w:pPr>
            <w:r w:rsidRPr="00DB2469">
              <w:rPr>
                <w:color w:val="FF0000"/>
              </w:rPr>
              <w:t>ARBUTIN when included in Schedule 6.</w:t>
            </w:r>
          </w:p>
        </w:tc>
        <w:tc>
          <w:tcPr>
            <w:tcW w:w="2410" w:type="dxa"/>
          </w:tcPr>
          <w:p w14:paraId="5E743846" w14:textId="77777777" w:rsidR="00327B11" w:rsidRPr="00DB2469" w:rsidRDefault="00327B11" w:rsidP="004F39E0">
            <w:pPr>
              <w:cnfStyle w:val="000000000000" w:firstRow="0" w:lastRow="0" w:firstColumn="0" w:lastColumn="0" w:oddVBand="0" w:evenVBand="0" w:oddHBand="0" w:evenHBand="0" w:firstRowFirstColumn="0" w:firstRowLastColumn="0" w:lastRowFirstColumn="0" w:lastRowLastColumn="0"/>
              <w:rPr>
                <w:color w:val="FF0000"/>
              </w:rPr>
            </w:pPr>
            <w:r w:rsidRPr="00DB2469">
              <w:rPr>
                <w:color w:val="FF0000"/>
              </w:rPr>
              <w:t>45</w:t>
            </w:r>
          </w:p>
        </w:tc>
        <w:tc>
          <w:tcPr>
            <w:tcW w:w="2126" w:type="dxa"/>
          </w:tcPr>
          <w:p w14:paraId="2B9FC06E" w14:textId="77777777" w:rsidR="00327B11" w:rsidRPr="00DB2469" w:rsidRDefault="00327B11" w:rsidP="004F39E0">
            <w:pPr>
              <w:cnfStyle w:val="000000000000" w:firstRow="0" w:lastRow="0" w:firstColumn="0" w:lastColumn="0" w:oddVBand="0" w:evenVBand="0" w:oddHBand="0" w:evenHBand="0" w:firstRowFirstColumn="0" w:firstRowLastColumn="0" w:lastRowFirstColumn="0" w:lastRowLastColumn="0"/>
              <w:rPr>
                <w:color w:val="FF0000"/>
              </w:rPr>
            </w:pPr>
            <w:r w:rsidRPr="00DB2469">
              <w:rPr>
                <w:color w:val="FF0000"/>
              </w:rPr>
              <w:t>1,4</w:t>
            </w:r>
          </w:p>
        </w:tc>
      </w:tr>
      <w:tr w:rsidR="00327B11" w:rsidRPr="00DB2469" w14:paraId="6E47BD75" w14:textId="77777777" w:rsidTr="00453FB0">
        <w:tc>
          <w:tcPr>
            <w:cnfStyle w:val="001000000000" w:firstRow="0" w:lastRow="0" w:firstColumn="1" w:lastColumn="0" w:oddVBand="0" w:evenVBand="0" w:oddHBand="0" w:evenHBand="0" w:firstRowFirstColumn="0" w:firstRowLastColumn="0" w:lastRowFirstColumn="0" w:lastRowLastColumn="0"/>
            <w:tcW w:w="8646" w:type="dxa"/>
            <w:gridSpan w:val="3"/>
          </w:tcPr>
          <w:p w14:paraId="3D12D403" w14:textId="77777777" w:rsidR="00327B11" w:rsidRPr="00DB2469" w:rsidRDefault="00327B11" w:rsidP="00327B11">
            <w:pPr>
              <w:rPr>
                <w:rFonts w:asciiTheme="minorHAnsi" w:hAnsiTheme="minorHAnsi"/>
                <w:sz w:val="20"/>
                <w:szCs w:val="20"/>
              </w:rPr>
            </w:pPr>
            <w:r w:rsidRPr="00DB2469">
              <w:rPr>
                <w:rFonts w:asciiTheme="minorHAnsi" w:hAnsiTheme="minorHAnsi"/>
                <w:sz w:val="20"/>
                <w:szCs w:val="20"/>
              </w:rPr>
              <w:t>1: Avoid contact with eyes</w:t>
            </w:r>
          </w:p>
          <w:p w14:paraId="165C4E62" w14:textId="77777777" w:rsidR="00327B11" w:rsidRPr="00DB2469" w:rsidRDefault="00327B11" w:rsidP="00327B11">
            <w:pPr>
              <w:rPr>
                <w:rFonts w:asciiTheme="minorHAnsi" w:hAnsiTheme="minorHAnsi"/>
                <w:sz w:val="20"/>
                <w:szCs w:val="20"/>
              </w:rPr>
            </w:pPr>
            <w:r w:rsidRPr="00DB2469">
              <w:rPr>
                <w:rFonts w:asciiTheme="minorHAnsi" w:hAnsiTheme="minorHAnsi"/>
                <w:sz w:val="20"/>
                <w:szCs w:val="20"/>
              </w:rPr>
              <w:t>4: Avoid contact with skin</w:t>
            </w:r>
          </w:p>
          <w:p w14:paraId="6E37D087" w14:textId="77777777" w:rsidR="00327B11" w:rsidRPr="00DB2469" w:rsidRDefault="00327B11" w:rsidP="00327B11">
            <w:r w:rsidRPr="00DB2469">
              <w:rPr>
                <w:rFonts w:asciiTheme="minorHAnsi" w:hAnsiTheme="minorHAnsi"/>
                <w:sz w:val="20"/>
                <w:szCs w:val="20"/>
              </w:rPr>
              <w:t>45:</w:t>
            </w:r>
            <w:r w:rsidRPr="00DB2469">
              <w:rPr>
                <w:sz w:val="20"/>
                <w:szCs w:val="20"/>
              </w:rPr>
              <w:t xml:space="preserve"> WARNING – If a pigmented spot or mole has recently become darker, changed colour, become enlarged or itchy, or bleeds, do not use this product, see your doctor immediately. Do not use on children. Do not use near the </w:t>
            </w:r>
            <w:proofErr w:type="gramStart"/>
            <w:r w:rsidRPr="00DB2469">
              <w:rPr>
                <w:sz w:val="20"/>
                <w:szCs w:val="20"/>
              </w:rPr>
              <w:t>eyes.</w:t>
            </w:r>
            <w:proofErr w:type="gramEnd"/>
            <w:r w:rsidRPr="00DB2469">
              <w:rPr>
                <w:sz w:val="20"/>
                <w:szCs w:val="20"/>
              </w:rPr>
              <w:t xml:space="preserve"> Mild irritation may occur; stop use if it becomes severe. If fading is not evident in three months, seek doctor’s advice.</w:t>
            </w:r>
          </w:p>
        </w:tc>
      </w:tr>
    </w:tbl>
    <w:p w14:paraId="513C196E" w14:textId="00BE159B" w:rsidR="00327B11" w:rsidRDefault="00453FB0" w:rsidP="00B94F6F">
      <w:pPr>
        <w:pStyle w:val="Heading5"/>
      </w:pPr>
      <w:r>
        <w:t>Materials considered</w:t>
      </w:r>
    </w:p>
    <w:p w14:paraId="09A86868" w14:textId="77777777" w:rsidR="00327B11" w:rsidRDefault="00327B11" w:rsidP="00327B11">
      <w:r>
        <w:t>In making this final decision, the Delegate considered the following material:</w:t>
      </w:r>
    </w:p>
    <w:p w14:paraId="1CBA1049" w14:textId="77777777" w:rsidR="00327B11" w:rsidRDefault="00327B11" w:rsidP="00C31E2C">
      <w:pPr>
        <w:pStyle w:val="ListBullet"/>
      </w:pPr>
      <w:r>
        <w:t xml:space="preserve">The </w:t>
      </w:r>
      <w:hyperlink r:id="rId69" w:history="1">
        <w:r w:rsidRPr="00634415">
          <w:rPr>
            <w:rStyle w:val="Hyperlink"/>
          </w:rPr>
          <w:t>scheduling proposal</w:t>
        </w:r>
      </w:hyperlink>
      <w:r>
        <w:t xml:space="preserve"> to amend the current Poisons Standard with respect to </w:t>
      </w:r>
      <w:proofErr w:type="spellStart"/>
      <w:r>
        <w:t>arbutin</w:t>
      </w:r>
      <w:proofErr w:type="spellEnd"/>
      <w:r>
        <w:t>;</w:t>
      </w:r>
    </w:p>
    <w:p w14:paraId="290F8455" w14:textId="77777777" w:rsidR="00327B11" w:rsidRDefault="00327B11" w:rsidP="00C31E2C">
      <w:pPr>
        <w:pStyle w:val="ListBullet"/>
      </w:pPr>
      <w:r w:rsidRPr="00BA44D5">
        <w:t xml:space="preserve">The five </w:t>
      </w:r>
      <w:hyperlink r:id="rId70" w:history="1">
        <w:r w:rsidRPr="00BA44D5">
          <w:rPr>
            <w:rStyle w:val="Hyperlink"/>
          </w:rPr>
          <w:t>public submissions</w:t>
        </w:r>
      </w:hyperlink>
      <w:r>
        <w:t xml:space="preserve"> received in response to </w:t>
      </w:r>
      <w:r w:rsidRPr="00A06489">
        <w:t xml:space="preserve">the </w:t>
      </w:r>
      <w:hyperlink r:id="rId71" w:history="1">
        <w:r w:rsidRPr="00A06489">
          <w:rPr>
            <w:rStyle w:val="Hyperlink"/>
          </w:rPr>
          <w:t>pre-meeting consultation</w:t>
        </w:r>
      </w:hyperlink>
      <w:r w:rsidRPr="00A06489">
        <w:t xml:space="preserve"> under</w:t>
      </w:r>
      <w:r>
        <w:t xml:space="preserve"> regulation 42ZCZK of the Regulations;</w:t>
      </w:r>
    </w:p>
    <w:p w14:paraId="5354731D" w14:textId="77777777" w:rsidR="00327B11" w:rsidRDefault="00327B11" w:rsidP="00C31E2C">
      <w:pPr>
        <w:pStyle w:val="ListBullet"/>
      </w:pPr>
      <w:r>
        <w:t>The advice received from th</w:t>
      </w:r>
      <w:r w:rsidRPr="00BA44D5">
        <w:t>e Meeting of the Advisory Committee on Chemicals Scheduling (ACCS#27);</w:t>
      </w:r>
    </w:p>
    <w:p w14:paraId="69D10F40" w14:textId="77777777" w:rsidR="00327B11" w:rsidRDefault="00327B11" w:rsidP="00C31E2C">
      <w:pPr>
        <w:pStyle w:val="ListBullet"/>
      </w:pPr>
      <w:r>
        <w:lastRenderedPageBreak/>
        <w:t>The three public submission</w:t>
      </w:r>
      <w:r w:rsidRPr="00BA44D5">
        <w:t>s received</w:t>
      </w:r>
      <w:r>
        <w:t xml:space="preserve"> in response to the </w:t>
      </w:r>
      <w:hyperlink r:id="rId72" w:history="1">
        <w:r w:rsidRPr="00637563">
          <w:rPr>
            <w:rStyle w:val="Hyperlink"/>
          </w:rPr>
          <w:t>interim decision consultation</w:t>
        </w:r>
      </w:hyperlink>
      <w:r>
        <w:rPr>
          <w:rStyle w:val="Hyperlink"/>
        </w:rPr>
        <w:t xml:space="preserve"> </w:t>
      </w:r>
      <w:r w:rsidRPr="002C1418">
        <w:t>under regulation 42ZCZP of the Regulations</w:t>
      </w:r>
      <w:r>
        <w:t>;</w:t>
      </w:r>
    </w:p>
    <w:p w14:paraId="144303C9" w14:textId="77777777" w:rsidR="00327B11" w:rsidRDefault="00327B11" w:rsidP="00C31E2C">
      <w:pPr>
        <w:pStyle w:val="ListBullet"/>
      </w:pPr>
      <w:r w:rsidRPr="001169AC">
        <w:t xml:space="preserve">Subsection 52E(1) of </w:t>
      </w:r>
      <w:r w:rsidRPr="001169AC">
        <w:rPr>
          <w:i/>
        </w:rPr>
        <w:t>the Therapeutic Goods Act 1989</w:t>
      </w:r>
      <w:r w:rsidRPr="001169AC">
        <w:t>, in particular (a) the risks and benefits of the use of a substance; (b) the purposes for which a substance is to be used and the extent of use of a substance; (c)</w:t>
      </w:r>
      <w:r>
        <w:t xml:space="preserve"> the toxicity of a substance; </w:t>
      </w:r>
      <w:r w:rsidRPr="001169AC">
        <w:t>and (f) any other matters considered nece</w:t>
      </w:r>
      <w:r>
        <w:t>ssary to protect public health;</w:t>
      </w:r>
    </w:p>
    <w:p w14:paraId="69F50152" w14:textId="77777777" w:rsidR="00327B11" w:rsidRDefault="00327B11" w:rsidP="00C31E2C">
      <w:pPr>
        <w:pStyle w:val="ListBullet"/>
      </w:pPr>
      <w:r w:rsidRPr="002C1418">
        <w:t xml:space="preserve">The Australian Health Ministers’ Advisory Council’s </w:t>
      </w:r>
      <w:hyperlink r:id="rId73" w:history="1">
        <w:r w:rsidRPr="001A7580">
          <w:rPr>
            <w:rStyle w:val="Hyperlink"/>
          </w:rPr>
          <w:t>Scheduling Policy Framework</w:t>
        </w:r>
      </w:hyperlink>
      <w:r>
        <w:t xml:space="preserve"> (SPF 2018); </w:t>
      </w:r>
      <w:r w:rsidRPr="00BA44D5">
        <w:t>and</w:t>
      </w:r>
    </w:p>
    <w:p w14:paraId="774095AE" w14:textId="77777777" w:rsidR="00327B11" w:rsidRDefault="00327B11" w:rsidP="00C31E2C">
      <w:pPr>
        <w:pStyle w:val="ListBullet"/>
      </w:pPr>
      <w:r>
        <w:t xml:space="preserve">The </w:t>
      </w:r>
      <w:hyperlink r:id="rId74" w:history="1">
        <w:r w:rsidRPr="001A7580">
          <w:rPr>
            <w:rStyle w:val="Hyperlink"/>
          </w:rPr>
          <w:t>Scheduling handbook: Guidance for amending the Poisons Standard</w:t>
        </w:r>
      </w:hyperlink>
      <w:r>
        <w:t>.</w:t>
      </w:r>
    </w:p>
    <w:p w14:paraId="03BB2DD3" w14:textId="77777777" w:rsidR="00327B11" w:rsidRDefault="00327B11" w:rsidP="00B94F6F">
      <w:pPr>
        <w:pStyle w:val="Heading5"/>
      </w:pPr>
      <w:r w:rsidRPr="00436C41">
        <w:t>Reasons for the final decision (including findings on material questions of fact)</w:t>
      </w:r>
    </w:p>
    <w:p w14:paraId="3ED9A3A3" w14:textId="232AE2E2" w:rsidR="00327B11" w:rsidRDefault="00327B11" w:rsidP="00327B11">
      <w:r>
        <w:t xml:space="preserve">I have a made a final decision to vary my </w:t>
      </w:r>
      <w:hyperlink r:id="rId75" w:history="1">
        <w:r w:rsidRPr="001169AC">
          <w:rPr>
            <w:rStyle w:val="Hyperlink"/>
          </w:rPr>
          <w:t>interim decision</w:t>
        </w:r>
      </w:hyperlink>
      <w:r>
        <w:t xml:space="preserve"> </w:t>
      </w:r>
      <w:r>
        <w:rPr>
          <w:lang w:val="en"/>
        </w:rPr>
        <w:t xml:space="preserve">to incorporate a minor amendment to clarify the exclusion of </w:t>
      </w:r>
      <w:r w:rsidRPr="005455C7">
        <w:t>herbal preparations containing 500 mg or less beta-</w:t>
      </w:r>
      <w:proofErr w:type="spellStart"/>
      <w:r w:rsidRPr="005455C7">
        <w:t>arbutin</w:t>
      </w:r>
      <w:proofErr w:type="spellEnd"/>
      <w:r>
        <w:t xml:space="preserve"> from the Schedule 6 </w:t>
      </w:r>
      <w:proofErr w:type="spellStart"/>
      <w:r>
        <w:t>arbutin</w:t>
      </w:r>
      <w:proofErr w:type="spellEnd"/>
      <w:r>
        <w:t xml:space="preserve"> (beta) entry.</w:t>
      </w:r>
      <w:r w:rsidR="00F7122D">
        <w:t xml:space="preserve"> </w:t>
      </w:r>
      <w:r w:rsidR="00CE2F99">
        <w:t xml:space="preserve">I have varied the </w:t>
      </w:r>
      <w:r w:rsidR="00416D1D">
        <w:t xml:space="preserve">Appendix E </w:t>
      </w:r>
      <w:proofErr w:type="spellStart"/>
      <w:r w:rsidR="00416D1D">
        <w:t>arbutin</w:t>
      </w:r>
      <w:proofErr w:type="spellEnd"/>
      <w:r w:rsidR="00416D1D">
        <w:t xml:space="preserve"> </w:t>
      </w:r>
      <w:r w:rsidR="00760004">
        <w:t>listing</w:t>
      </w:r>
      <w:r w:rsidR="00416D1D">
        <w:t xml:space="preserve"> to clarify its </w:t>
      </w:r>
      <w:r w:rsidR="00CE2F99">
        <w:t>in</w:t>
      </w:r>
      <w:r w:rsidR="00416D1D">
        <w:t>clusion in</w:t>
      </w:r>
      <w:r w:rsidR="00CE2F99">
        <w:t xml:space="preserve"> Part </w:t>
      </w:r>
      <w:proofErr w:type="gramStart"/>
      <w:r w:rsidR="00CE2F99">
        <w:t>2</w:t>
      </w:r>
      <w:proofErr w:type="gramEnd"/>
      <w:r w:rsidR="00CE2F99">
        <w:t xml:space="preserve"> as it was </w:t>
      </w:r>
      <w:r w:rsidR="00CE2F99" w:rsidRPr="00CE2F99">
        <w:t>erroneously</w:t>
      </w:r>
      <w:r w:rsidR="00760004">
        <w:t xml:space="preserve"> proposed to be </w:t>
      </w:r>
      <w:r w:rsidR="00CE2F99">
        <w:t xml:space="preserve">included in Part 3 </w:t>
      </w:r>
      <w:r w:rsidR="00416D1D">
        <w:t xml:space="preserve">of Appendix E </w:t>
      </w:r>
      <w:r w:rsidR="00CE2F99">
        <w:t>in my interim decision.</w:t>
      </w:r>
      <w:r w:rsidR="00416D1D">
        <w:t xml:space="preserve"> </w:t>
      </w:r>
      <w:r w:rsidR="003233F2">
        <w:t xml:space="preserve">Notwithstanding the aforementioned minor </w:t>
      </w:r>
      <w:r w:rsidR="00CE2F99">
        <w:t>amendments</w:t>
      </w:r>
      <w:r w:rsidR="00416D1D">
        <w:t>,</w:t>
      </w:r>
      <w:r w:rsidR="00CE2F99">
        <w:t xml:space="preserve"> </w:t>
      </w:r>
      <w:r w:rsidR="003233F2">
        <w:t>m</w:t>
      </w:r>
      <w:r w:rsidR="00BE5153" w:rsidRPr="00BE5153">
        <w:t>y reasons for making the final decision are those set out in the interim decision</w:t>
      </w:r>
      <w:r w:rsidR="00BE5153">
        <w:t>.</w:t>
      </w:r>
      <w:r>
        <w:t xml:space="preserve"> In making my final decision, I have taken into account the material detailed in the interim decision and the three public submissions received before the second closing date in response to the call for further submissions published on 10 June 2020 under regulation 42ZCZP of the Regulations.</w:t>
      </w:r>
    </w:p>
    <w:p w14:paraId="3E676F98" w14:textId="40671956" w:rsidR="00327B11" w:rsidRDefault="00327B11" w:rsidP="00327B11">
      <w:r>
        <w:t xml:space="preserve">I have considered the statements made in the public submissions that </w:t>
      </w:r>
      <w:r w:rsidR="005F46E8">
        <w:t xml:space="preserve">oral </w:t>
      </w:r>
      <w:r>
        <w:t>herbal preparations containing 500 mg or less beta-</w:t>
      </w:r>
      <w:proofErr w:type="spellStart"/>
      <w:r>
        <w:t>arbutin</w:t>
      </w:r>
      <w:proofErr w:type="spellEnd"/>
      <w:r>
        <w:t xml:space="preserve"> </w:t>
      </w:r>
      <w:proofErr w:type="gramStart"/>
      <w:r w:rsidR="005F46E8">
        <w:t xml:space="preserve">should be clearly </w:t>
      </w:r>
      <w:r>
        <w:t>excluded</w:t>
      </w:r>
      <w:proofErr w:type="gramEnd"/>
      <w:r>
        <w:t xml:space="preserve"> from the Schedule 6 </w:t>
      </w:r>
      <w:r w:rsidR="005F46E8">
        <w:t>entry</w:t>
      </w:r>
      <w:r>
        <w:t xml:space="preserve">. I </w:t>
      </w:r>
      <w:proofErr w:type="gramStart"/>
      <w:r>
        <w:t>am in agreement</w:t>
      </w:r>
      <w:proofErr w:type="gramEnd"/>
      <w:r>
        <w:t xml:space="preserve"> that these preparations should be explicitly excluded from the Schedule 6 entry and I have a</w:t>
      </w:r>
      <w:r w:rsidR="00F7122D">
        <w:t>mended my decision accordingly.</w:t>
      </w:r>
    </w:p>
    <w:p w14:paraId="2130E9B8" w14:textId="097B2857" w:rsidR="00327B11" w:rsidRDefault="00F7122D" w:rsidP="00B94F6F">
      <w:pPr>
        <w:pStyle w:val="Heading5"/>
      </w:pPr>
      <w:r>
        <w:t>Date of effect of the decision</w:t>
      </w:r>
    </w:p>
    <w:p w14:paraId="6C8306F7" w14:textId="77777777" w:rsidR="00327B11" w:rsidRPr="0094227D" w:rsidRDefault="00755907" w:rsidP="00327B11">
      <w:sdt>
        <w:sdtPr>
          <w:rPr>
            <w:b/>
          </w:rPr>
          <w:id w:val="776609771"/>
          <w:placeholder>
            <w:docPart w:val="B53ADB4734124032AB433C8D7CB36C4D"/>
          </w:placeholder>
          <w:date w:fullDate="2020-10-01T00:00:00Z">
            <w:dateFormat w:val="d MMMM yyyy"/>
            <w:lid w:val="en-AU"/>
            <w:storeMappedDataAs w:val="dateTime"/>
            <w:calendar w:val="gregorian"/>
          </w:date>
        </w:sdtPr>
        <w:sdtEndPr/>
        <w:sdtContent>
          <w:r w:rsidR="00327B11" w:rsidRPr="00A84F00">
            <w:rPr>
              <w:b/>
            </w:rPr>
            <w:t>1 October 2020</w:t>
          </w:r>
        </w:sdtContent>
      </w:sdt>
    </w:p>
    <w:p w14:paraId="79AF2ABD" w14:textId="77777777" w:rsidR="00327B11" w:rsidRDefault="00327B11" w:rsidP="00327B11">
      <w:pPr>
        <w:pStyle w:val="Heading4"/>
      </w:pPr>
      <w:r>
        <w:t xml:space="preserve">Final decision in relation to </w:t>
      </w:r>
      <w:proofErr w:type="spellStart"/>
      <w:r w:rsidRPr="00E26EA6">
        <w:t>aclonifen</w:t>
      </w:r>
      <w:proofErr w:type="spellEnd"/>
    </w:p>
    <w:p w14:paraId="50077BFC" w14:textId="16FAA305" w:rsidR="00327B11" w:rsidRPr="008036B7" w:rsidRDefault="00F7122D" w:rsidP="00B94F6F">
      <w:pPr>
        <w:pStyle w:val="Heading5"/>
      </w:pPr>
      <w:r>
        <w:t>Final decision</w:t>
      </w:r>
    </w:p>
    <w:p w14:paraId="4A2C5EF8" w14:textId="51E18721" w:rsidR="00327B11" w:rsidRDefault="00327B11" w:rsidP="00327B11">
      <w:r>
        <w:t xml:space="preserve">Pursuant to regulation 42ZCZR of the </w:t>
      </w:r>
      <w:r w:rsidRPr="004B545E">
        <w:t xml:space="preserve">Regulations, a Delegate of the Secretary has made a final decision to confirm the interim decision and amend the current Poisons Standard in relation to </w:t>
      </w:r>
      <w:proofErr w:type="spellStart"/>
      <w:r w:rsidRPr="004B545E">
        <w:t>aclonifen</w:t>
      </w:r>
      <w:proofErr w:type="spellEnd"/>
      <w:r w:rsidRPr="004B545E">
        <w:t xml:space="preserve"> as follows</w:t>
      </w:r>
      <w:r w:rsidR="00F7122D">
        <w:t>:</w:t>
      </w:r>
    </w:p>
    <w:p w14:paraId="23442391" w14:textId="77777777" w:rsidR="00327B11" w:rsidRPr="004B545E" w:rsidRDefault="00327B11" w:rsidP="00327B11">
      <w:pPr>
        <w:ind w:left="426"/>
        <w:rPr>
          <w:rStyle w:val="fontstyle21"/>
        </w:rPr>
      </w:pPr>
      <w:r w:rsidRPr="004B545E">
        <w:rPr>
          <w:rStyle w:val="fontstyle21"/>
        </w:rPr>
        <w:t>Schedule 6 – New Entry</w:t>
      </w:r>
    </w:p>
    <w:p w14:paraId="0815327E" w14:textId="50E71DA8" w:rsidR="00327B11" w:rsidRPr="004B545E" w:rsidRDefault="00F7122D" w:rsidP="00327B11">
      <w:pPr>
        <w:ind w:left="426"/>
        <w:rPr>
          <w:rStyle w:val="fontstyle21"/>
          <w:b w:val="0"/>
          <w:color w:val="FF0000"/>
        </w:rPr>
      </w:pPr>
      <w:r>
        <w:rPr>
          <w:rStyle w:val="fontstyle21"/>
          <w:b w:val="0"/>
          <w:color w:val="FF0000"/>
        </w:rPr>
        <w:t>ACLONIFEN.</w:t>
      </w:r>
    </w:p>
    <w:p w14:paraId="303EC3D2" w14:textId="2554C28F" w:rsidR="00327B11" w:rsidRPr="004B545E" w:rsidRDefault="00F7122D" w:rsidP="00327B11">
      <w:pPr>
        <w:ind w:left="426"/>
        <w:rPr>
          <w:rStyle w:val="fontstyle21"/>
        </w:rPr>
      </w:pPr>
      <w:r>
        <w:rPr>
          <w:rStyle w:val="fontstyle21"/>
        </w:rPr>
        <w:t>Index – New Entry</w:t>
      </w:r>
    </w:p>
    <w:p w14:paraId="72EB2408" w14:textId="71EB170F" w:rsidR="00327B11" w:rsidRPr="004B545E" w:rsidRDefault="00F7122D" w:rsidP="00327B11">
      <w:pPr>
        <w:ind w:left="426"/>
        <w:rPr>
          <w:rStyle w:val="fontstyle21"/>
        </w:rPr>
      </w:pPr>
      <w:r>
        <w:rPr>
          <w:rStyle w:val="fontstyle21"/>
        </w:rPr>
        <w:t>ACLONIFEN</w:t>
      </w:r>
    </w:p>
    <w:p w14:paraId="41D23174" w14:textId="77777777" w:rsidR="00327B11" w:rsidRPr="004B545E" w:rsidRDefault="00327B11" w:rsidP="00327B11">
      <w:pPr>
        <w:ind w:left="426"/>
        <w:rPr>
          <w:rFonts w:ascii="Cambria-Bold" w:hAnsi="Cambria-Bold"/>
          <w:bCs/>
          <w:color w:val="FF0000"/>
          <w:szCs w:val="22"/>
        </w:rPr>
      </w:pPr>
      <w:r w:rsidRPr="004B545E">
        <w:rPr>
          <w:rStyle w:val="fontstyle21"/>
          <w:b w:val="0"/>
          <w:color w:val="FF0000"/>
        </w:rPr>
        <w:t>Schedule 6</w:t>
      </w:r>
    </w:p>
    <w:p w14:paraId="37C0145F" w14:textId="441EBE6C" w:rsidR="00327B11" w:rsidRDefault="00F7122D" w:rsidP="00B94F6F">
      <w:pPr>
        <w:pStyle w:val="Heading5"/>
      </w:pPr>
      <w:r>
        <w:t>Materials considered</w:t>
      </w:r>
    </w:p>
    <w:p w14:paraId="5EDA4332" w14:textId="77777777" w:rsidR="00327B11" w:rsidRDefault="00327B11" w:rsidP="00327B11">
      <w:r>
        <w:t>In making this final decision, the Delegate considered the following material:</w:t>
      </w:r>
    </w:p>
    <w:p w14:paraId="7650C853" w14:textId="77777777" w:rsidR="00327B11" w:rsidRDefault="00327B11" w:rsidP="00C31E2C">
      <w:pPr>
        <w:pStyle w:val="ListBullet"/>
      </w:pPr>
      <w:r>
        <w:t xml:space="preserve">The </w:t>
      </w:r>
      <w:hyperlink r:id="rId76" w:history="1">
        <w:r w:rsidRPr="00CF3BC4">
          <w:rPr>
            <w:rStyle w:val="Hyperlink"/>
          </w:rPr>
          <w:t>application</w:t>
        </w:r>
      </w:hyperlink>
      <w:r w:rsidRPr="00CF3BC4">
        <w:t xml:space="preserve"> to amend</w:t>
      </w:r>
      <w:r>
        <w:t xml:space="preserve"> the current Poisons Standard with respect to </w:t>
      </w:r>
      <w:proofErr w:type="spellStart"/>
      <w:r>
        <w:t>aclonifen</w:t>
      </w:r>
      <w:proofErr w:type="spellEnd"/>
      <w:r>
        <w:t>;</w:t>
      </w:r>
    </w:p>
    <w:p w14:paraId="14221F53" w14:textId="77777777" w:rsidR="00327B11" w:rsidRDefault="00327B11" w:rsidP="00C31E2C">
      <w:pPr>
        <w:pStyle w:val="ListBullet"/>
      </w:pPr>
      <w:r>
        <w:t>The advice received from the Meeting of the Advisory Committee on Chemicals Scheduling (ACCS#27);</w:t>
      </w:r>
    </w:p>
    <w:p w14:paraId="7C1880B3" w14:textId="77777777" w:rsidR="00327B11" w:rsidRDefault="00327B11" w:rsidP="00C31E2C">
      <w:pPr>
        <w:pStyle w:val="ListBullet"/>
      </w:pPr>
      <w:r w:rsidRPr="001169AC">
        <w:lastRenderedPageBreak/>
        <w:t xml:space="preserve">Subsection 52E(1) of </w:t>
      </w:r>
      <w:r w:rsidRPr="001169AC">
        <w:rPr>
          <w:i/>
        </w:rPr>
        <w:t>the Therapeutic Goods Act 1989</w:t>
      </w:r>
      <w:r w:rsidRPr="001169AC">
        <w:t>, in particular (a) the risks and benefits of the use of a substance; (b) the purposes for which a substance is to be used and the extent of use of a substance; (c) the toxicity of a substance; (d) the dosage, formulation, labelling, packaging and presentation of a substance; and (e) the pote</w:t>
      </w:r>
      <w:r>
        <w:t>ntial for abuse of a substance;</w:t>
      </w:r>
    </w:p>
    <w:p w14:paraId="530E5327" w14:textId="77777777" w:rsidR="00327B11" w:rsidRDefault="00327B11" w:rsidP="00C31E2C">
      <w:pPr>
        <w:pStyle w:val="ListBullet"/>
      </w:pPr>
      <w:r w:rsidRPr="002C1418">
        <w:t xml:space="preserve">The Australian Health Ministers’ Advisory Council’s </w:t>
      </w:r>
      <w:hyperlink r:id="rId77" w:history="1">
        <w:r w:rsidRPr="001A7580">
          <w:rPr>
            <w:rStyle w:val="Hyperlink"/>
          </w:rPr>
          <w:t>Scheduling Policy Framework</w:t>
        </w:r>
      </w:hyperlink>
      <w:r>
        <w:t xml:space="preserve"> (SPF 2018</w:t>
      </w:r>
      <w:r w:rsidRPr="004C6EAD">
        <w:t>); and</w:t>
      </w:r>
    </w:p>
    <w:p w14:paraId="6798F062" w14:textId="77777777" w:rsidR="00327B11" w:rsidRDefault="00327B11" w:rsidP="00C31E2C">
      <w:pPr>
        <w:pStyle w:val="ListBullet"/>
      </w:pPr>
      <w:r>
        <w:t xml:space="preserve">The </w:t>
      </w:r>
      <w:hyperlink r:id="rId78" w:history="1">
        <w:r w:rsidRPr="001A7580">
          <w:rPr>
            <w:rStyle w:val="Hyperlink"/>
          </w:rPr>
          <w:t>Scheduling handbook: Guidance for amending the Poisons Standard</w:t>
        </w:r>
      </w:hyperlink>
      <w:r>
        <w:t>.</w:t>
      </w:r>
    </w:p>
    <w:p w14:paraId="714ACB0C" w14:textId="77777777" w:rsidR="00327B11" w:rsidRDefault="00327B11" w:rsidP="00B94F6F">
      <w:pPr>
        <w:pStyle w:val="Heading5"/>
      </w:pPr>
      <w:r w:rsidRPr="00436C41">
        <w:t>Reasons for the final decision (including findings on material questions of fact)</w:t>
      </w:r>
    </w:p>
    <w:p w14:paraId="5D5C7754" w14:textId="02C0E581" w:rsidR="00327B11" w:rsidRDefault="00327B11" w:rsidP="00327B11">
      <w:r>
        <w:t xml:space="preserve">I have made a final decision to confirm my </w:t>
      </w:r>
      <w:hyperlink r:id="rId79" w:history="1">
        <w:r w:rsidRPr="001169AC">
          <w:rPr>
            <w:rStyle w:val="Hyperlink"/>
          </w:rPr>
          <w:t>interim decision</w:t>
        </w:r>
      </w:hyperlink>
      <w:r>
        <w:t xml:space="preserve"> to amend the current Poisons Standard with respect to </w:t>
      </w:r>
      <w:proofErr w:type="spellStart"/>
      <w:r w:rsidR="001528F1">
        <w:t>a</w:t>
      </w:r>
      <w:r w:rsidR="001528F1" w:rsidRPr="001528F1">
        <w:t>clonifen</w:t>
      </w:r>
      <w:proofErr w:type="spellEnd"/>
      <w:r>
        <w:t>.</w:t>
      </w:r>
      <w:r w:rsidR="002D058B">
        <w:t xml:space="preserve"> </w:t>
      </w:r>
      <w:r w:rsidR="002D058B" w:rsidRPr="002D058B">
        <w:t>My reasons for making the final decision are those set out in the interim decision</w:t>
      </w:r>
      <w:r w:rsidR="002D058B">
        <w:t>.</w:t>
      </w:r>
      <w:r>
        <w:t xml:space="preserve"> </w:t>
      </w:r>
      <w:r w:rsidRPr="00404FC3">
        <w:t xml:space="preserve">In making my final decision, I have taken into account the material detailed in the interim decision and have noted that no public submissions </w:t>
      </w:r>
      <w:proofErr w:type="gramStart"/>
      <w:r w:rsidRPr="00404FC3">
        <w:t>were received</w:t>
      </w:r>
      <w:proofErr w:type="gramEnd"/>
      <w:r w:rsidRPr="00404FC3">
        <w:t xml:space="preserve"> before the </w:t>
      </w:r>
      <w:r w:rsidRPr="003C7756">
        <w:t>second closing date</w:t>
      </w:r>
      <w:r w:rsidRPr="00404FC3">
        <w:t xml:space="preserve"> in response to the call for further submissions published on</w:t>
      </w:r>
      <w:r>
        <w:t xml:space="preserve"> 10 June 2020 </w:t>
      </w:r>
      <w:r w:rsidRPr="00404FC3">
        <w:t>under regulation 42ZCZP of the Regulations.</w:t>
      </w:r>
    </w:p>
    <w:p w14:paraId="3F5AC7FA" w14:textId="2AFE0460" w:rsidR="00327B11" w:rsidRDefault="00F7122D" w:rsidP="00B94F6F">
      <w:pPr>
        <w:pStyle w:val="Heading5"/>
      </w:pPr>
      <w:r>
        <w:t>Date of effect of the decision</w:t>
      </w:r>
    </w:p>
    <w:p w14:paraId="18B6A255" w14:textId="77777777" w:rsidR="00327B11" w:rsidRPr="003C7756" w:rsidRDefault="00327B11" w:rsidP="00327B11">
      <w:pPr>
        <w:rPr>
          <w:b/>
        </w:rPr>
      </w:pPr>
      <w:r>
        <w:rPr>
          <w:b/>
        </w:rPr>
        <w:t>1 October 2020</w:t>
      </w:r>
    </w:p>
    <w:p w14:paraId="317E488F" w14:textId="77777777" w:rsidR="00327B11" w:rsidRDefault="00327B11" w:rsidP="00327B11">
      <w:pPr>
        <w:pStyle w:val="Heading4"/>
      </w:pPr>
      <w:r>
        <w:t xml:space="preserve">Final decision in relation to </w:t>
      </w:r>
      <w:proofErr w:type="spellStart"/>
      <w:r w:rsidRPr="00E26EA6">
        <w:t>picramic</w:t>
      </w:r>
      <w:proofErr w:type="spellEnd"/>
      <w:r w:rsidRPr="00E26EA6">
        <w:t xml:space="preserve"> acid (including its salts)</w:t>
      </w:r>
    </w:p>
    <w:p w14:paraId="54B259D5" w14:textId="62D87802" w:rsidR="00327B11" w:rsidRPr="008036B7" w:rsidRDefault="00327B11" w:rsidP="00B94F6F">
      <w:pPr>
        <w:pStyle w:val="Heading5"/>
      </w:pPr>
      <w:r>
        <w:t xml:space="preserve">Final </w:t>
      </w:r>
      <w:r w:rsidR="00F7122D">
        <w:t>decision</w:t>
      </w:r>
    </w:p>
    <w:p w14:paraId="592D2FF2" w14:textId="14E8B47C" w:rsidR="00327B11" w:rsidRDefault="00327B11" w:rsidP="00327B11">
      <w:r w:rsidRPr="009A01BE">
        <w:t xml:space="preserve">Pursuant to regulation 42ZCZR of the Regulations, a Delegate of the Secretary has made a final decision to confirm the interim decision and amend the current Poisons Standard in relation to </w:t>
      </w:r>
      <w:proofErr w:type="spellStart"/>
      <w:r w:rsidRPr="009A01BE">
        <w:t>picramic</w:t>
      </w:r>
      <w:proofErr w:type="spellEnd"/>
      <w:r w:rsidRPr="009A01BE">
        <w:t xml:space="preserve"> acid (including its salts) as follows:</w:t>
      </w:r>
    </w:p>
    <w:p w14:paraId="35954283" w14:textId="78A2E0CE" w:rsidR="00327B11" w:rsidRPr="00FB5259" w:rsidRDefault="009C5596" w:rsidP="00327B11">
      <w:pPr>
        <w:ind w:left="426"/>
        <w:rPr>
          <w:b/>
        </w:rPr>
      </w:pPr>
      <w:r>
        <w:rPr>
          <w:b/>
        </w:rPr>
        <w:t>Schedule 6 – New Entry</w:t>
      </w:r>
    </w:p>
    <w:p w14:paraId="3A256F23" w14:textId="3C1E0A48" w:rsidR="00327B11" w:rsidRPr="00FB5259" w:rsidRDefault="00327B11" w:rsidP="00327B11">
      <w:pPr>
        <w:ind w:left="426"/>
        <w:rPr>
          <w:color w:val="FF0000"/>
        </w:rPr>
      </w:pPr>
      <w:r w:rsidRPr="00FB5259">
        <w:rPr>
          <w:color w:val="FF0000"/>
        </w:rPr>
        <w:t xml:space="preserve">PICRAMIC ACID including its salts (excluding other derivatives) </w:t>
      </w:r>
      <w:r w:rsidRPr="00087ED4">
        <w:rPr>
          <w:b/>
          <w:color w:val="FF0000"/>
        </w:rPr>
        <w:t xml:space="preserve">except </w:t>
      </w:r>
      <w:r w:rsidRPr="00FB5259">
        <w:rPr>
          <w:color w:val="FF0000"/>
        </w:rPr>
        <w:t xml:space="preserve">when used in hair dye products at a concentration of 0.6 per cent or less of </w:t>
      </w:r>
      <w:proofErr w:type="spellStart"/>
      <w:r w:rsidRPr="00FB5259">
        <w:rPr>
          <w:color w:val="FF0000"/>
        </w:rPr>
        <w:t>picramic</w:t>
      </w:r>
      <w:proofErr w:type="spellEnd"/>
      <w:r w:rsidRPr="00FB5259">
        <w:rPr>
          <w:color w:val="FF0000"/>
        </w:rPr>
        <w:t xml:space="preserve"> acid after mixing for use when the immediate container and primary pack are labelled</w:t>
      </w:r>
      <w:r w:rsidR="009C5596">
        <w:rPr>
          <w:color w:val="FF0000"/>
        </w:rPr>
        <w:t xml:space="preserve"> with the following statements:</w:t>
      </w:r>
    </w:p>
    <w:p w14:paraId="4925597F" w14:textId="19E0A38F" w:rsidR="00327B11" w:rsidRPr="00FB5259" w:rsidRDefault="00327B11" w:rsidP="009C5596">
      <w:pPr>
        <w:ind w:left="709"/>
        <w:rPr>
          <w:color w:val="FF0000"/>
        </w:rPr>
      </w:pPr>
      <w:r w:rsidRPr="00FB5259">
        <w:rPr>
          <w:color w:val="FF0000"/>
        </w:rPr>
        <w:t>KEE</w:t>
      </w:r>
      <w:r w:rsidR="009C5596">
        <w:rPr>
          <w:color w:val="FF0000"/>
        </w:rPr>
        <w:t>P OUT OF REACH OF CHILDREN, and</w:t>
      </w:r>
    </w:p>
    <w:p w14:paraId="38E7376D" w14:textId="77777777" w:rsidR="00327B11" w:rsidRPr="00FB5259" w:rsidRDefault="00327B11" w:rsidP="009C5596">
      <w:pPr>
        <w:ind w:left="709"/>
        <w:rPr>
          <w:color w:val="FF0000"/>
        </w:rPr>
      </w:pPr>
      <w:r w:rsidRPr="00FB5259">
        <w:rPr>
          <w:color w:val="FF0000"/>
        </w:rPr>
        <w:t xml:space="preserve">WARNING </w:t>
      </w:r>
      <w:proofErr w:type="gramStart"/>
      <w:r w:rsidRPr="00FB5259">
        <w:rPr>
          <w:color w:val="FF0000"/>
        </w:rPr>
        <w:t>‒</w:t>
      </w:r>
      <w:proofErr w:type="gramEnd"/>
      <w:r w:rsidRPr="00FB5259">
        <w:rPr>
          <w:color w:val="FF0000"/>
        </w:rPr>
        <w:t xml:space="preserve"> This product contains ingredients which may cause skin allergy to certain individuals. A preliminary test according to the accompanying directions </w:t>
      </w:r>
      <w:proofErr w:type="gramStart"/>
      <w:r w:rsidRPr="00FB5259">
        <w:rPr>
          <w:color w:val="FF0000"/>
        </w:rPr>
        <w:t>should be made</w:t>
      </w:r>
      <w:proofErr w:type="gramEnd"/>
      <w:r w:rsidRPr="00FB5259">
        <w:rPr>
          <w:color w:val="FF0000"/>
        </w:rPr>
        <w:t xml:space="preserve"> before use. This product </w:t>
      </w:r>
      <w:proofErr w:type="gramStart"/>
      <w:r w:rsidRPr="00FB5259">
        <w:rPr>
          <w:color w:val="FF0000"/>
        </w:rPr>
        <w:t>must not be used</w:t>
      </w:r>
      <w:proofErr w:type="gramEnd"/>
      <w:r w:rsidRPr="00FB5259">
        <w:rPr>
          <w:color w:val="FF0000"/>
        </w:rPr>
        <w:t xml:space="preserve"> for dyeing eyelashes or eyebrows; to do so may be injurious to the eye. </w:t>
      </w:r>
    </w:p>
    <w:p w14:paraId="194625B8" w14:textId="77777777" w:rsidR="00327B11" w:rsidRPr="00FB5259" w:rsidRDefault="00327B11" w:rsidP="009C5596">
      <w:pPr>
        <w:ind w:left="709"/>
        <w:rPr>
          <w:color w:val="FF0000"/>
        </w:rPr>
      </w:pPr>
      <w:proofErr w:type="gramStart"/>
      <w:r w:rsidRPr="00FB5259">
        <w:rPr>
          <w:color w:val="FF0000"/>
        </w:rPr>
        <w:t>written</w:t>
      </w:r>
      <w:proofErr w:type="gramEnd"/>
      <w:r w:rsidRPr="00FB5259">
        <w:rPr>
          <w:color w:val="FF0000"/>
        </w:rPr>
        <w:t xml:space="preserve"> in letters not less than 1.5 mm in height.</w:t>
      </w:r>
    </w:p>
    <w:p w14:paraId="3321C482" w14:textId="6C85FBE5" w:rsidR="00327B11" w:rsidRPr="00FB5259" w:rsidRDefault="00327B11" w:rsidP="009C5596">
      <w:pPr>
        <w:pStyle w:val="Tabletitle"/>
        <w:ind w:left="426"/>
      </w:pPr>
      <w:r w:rsidRPr="00FB5259">
        <w:t>Appendix E, Part</w:t>
      </w:r>
      <w:r w:rsidR="003F6304">
        <w:t xml:space="preserve"> </w:t>
      </w:r>
      <w:r w:rsidRPr="00087ED4">
        <w:rPr>
          <w:strike/>
          <w:color w:val="FF0000"/>
        </w:rPr>
        <w:t>1</w:t>
      </w:r>
      <w:r w:rsidR="00087ED4" w:rsidRPr="00087ED4">
        <w:rPr>
          <w:color w:val="FF0000"/>
        </w:rPr>
        <w:t xml:space="preserve"> </w:t>
      </w:r>
      <w:r w:rsidR="00087ED4">
        <w:rPr>
          <w:color w:val="FF0000"/>
        </w:rPr>
        <w:t>2</w:t>
      </w:r>
      <w:r w:rsidR="009C5596">
        <w:t xml:space="preserve"> – New Entry</w:t>
      </w:r>
    </w:p>
    <w:tbl>
      <w:tblPr>
        <w:tblStyle w:val="TableTGAblue"/>
        <w:tblW w:w="0" w:type="auto"/>
        <w:tblInd w:w="563" w:type="dxa"/>
        <w:tblLook w:val="04A0" w:firstRow="1" w:lastRow="0" w:firstColumn="1" w:lastColumn="0" w:noHBand="0" w:noVBand="1"/>
      </w:tblPr>
      <w:tblGrid>
        <w:gridCol w:w="5523"/>
        <w:gridCol w:w="2835"/>
      </w:tblGrid>
      <w:tr w:rsidR="003F6304" w:rsidRPr="00DB2469" w14:paraId="78FED4B3" w14:textId="77777777" w:rsidTr="009C55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3" w:type="dxa"/>
          </w:tcPr>
          <w:p w14:paraId="5AF47156" w14:textId="77777777" w:rsidR="003F6304" w:rsidRPr="00DB2469" w:rsidRDefault="003F6304" w:rsidP="00D44039">
            <w:r w:rsidRPr="00DB2469">
              <w:t>POISON</w:t>
            </w:r>
          </w:p>
        </w:tc>
        <w:tc>
          <w:tcPr>
            <w:tcW w:w="2835" w:type="dxa"/>
          </w:tcPr>
          <w:p w14:paraId="6EACDF49" w14:textId="77777777" w:rsidR="003F6304" w:rsidRPr="00DB2469" w:rsidRDefault="003F6304" w:rsidP="009C5596">
            <w:pPr>
              <w:cnfStyle w:val="100000000000" w:firstRow="1" w:lastRow="0" w:firstColumn="0" w:lastColumn="0" w:oddVBand="0" w:evenVBand="0" w:oddHBand="0" w:evenHBand="0" w:firstRowFirstColumn="0" w:firstRowLastColumn="0" w:lastRowFirstColumn="0" w:lastRowLastColumn="0"/>
              <w:rPr>
                <w:b w:val="0"/>
              </w:rPr>
            </w:pPr>
            <w:r>
              <w:t>STANDARD STATEMENTS</w:t>
            </w:r>
          </w:p>
        </w:tc>
      </w:tr>
      <w:tr w:rsidR="003F6304" w:rsidRPr="00DB2469" w14:paraId="07EB1C09" w14:textId="77777777" w:rsidTr="009C5596">
        <w:tc>
          <w:tcPr>
            <w:cnfStyle w:val="001000000000" w:firstRow="0" w:lastRow="0" w:firstColumn="1" w:lastColumn="0" w:oddVBand="0" w:evenVBand="0" w:oddHBand="0" w:evenHBand="0" w:firstRowFirstColumn="0" w:firstRowLastColumn="0" w:lastRowFirstColumn="0" w:lastRowLastColumn="0"/>
            <w:tcW w:w="5523" w:type="dxa"/>
          </w:tcPr>
          <w:p w14:paraId="6332C77E" w14:textId="77777777" w:rsidR="003F6304" w:rsidRPr="00DB2469" w:rsidRDefault="003F6304" w:rsidP="00D44039">
            <w:pPr>
              <w:rPr>
                <w:color w:val="FF0000"/>
              </w:rPr>
            </w:pPr>
            <w:r w:rsidRPr="00FB5259">
              <w:rPr>
                <w:color w:val="FF0000"/>
              </w:rPr>
              <w:t>PICRAMIC ACID including its salts (excluding other derivatives)</w:t>
            </w:r>
          </w:p>
        </w:tc>
        <w:tc>
          <w:tcPr>
            <w:tcW w:w="2835" w:type="dxa"/>
          </w:tcPr>
          <w:p w14:paraId="59243DB2" w14:textId="4A3322B1" w:rsidR="003F6304" w:rsidRPr="009C5596" w:rsidRDefault="003F6304" w:rsidP="009C5596">
            <w:pPr>
              <w:cnfStyle w:val="000000000000" w:firstRow="0" w:lastRow="0" w:firstColumn="0" w:lastColumn="0" w:oddVBand="0" w:evenVBand="0" w:oddHBand="0" w:evenHBand="0" w:firstRowFirstColumn="0" w:firstRowLastColumn="0" w:lastRowFirstColumn="0" w:lastRowLastColumn="0"/>
            </w:pPr>
            <w:r>
              <w:rPr>
                <w:color w:val="FF0000"/>
              </w:rPr>
              <w:t>A, E1</w:t>
            </w:r>
          </w:p>
        </w:tc>
      </w:tr>
      <w:tr w:rsidR="003F6304" w:rsidRPr="00DB2469" w14:paraId="71547FA4" w14:textId="77777777" w:rsidTr="009C5596">
        <w:tc>
          <w:tcPr>
            <w:cnfStyle w:val="001000000000" w:firstRow="0" w:lastRow="0" w:firstColumn="1" w:lastColumn="0" w:oddVBand="0" w:evenVBand="0" w:oddHBand="0" w:evenHBand="0" w:firstRowFirstColumn="0" w:firstRowLastColumn="0" w:lastRowFirstColumn="0" w:lastRowLastColumn="0"/>
            <w:tcW w:w="8358" w:type="dxa"/>
            <w:gridSpan w:val="2"/>
          </w:tcPr>
          <w:p w14:paraId="619F270F" w14:textId="77777777" w:rsidR="003F6304" w:rsidRPr="003F6304" w:rsidRDefault="003F6304" w:rsidP="00D44039">
            <w:pPr>
              <w:tabs>
                <w:tab w:val="left" w:pos="1276"/>
              </w:tabs>
              <w:ind w:left="426" w:hanging="394"/>
              <w:rPr>
                <w:color w:val="auto"/>
                <w:sz w:val="20"/>
                <w:szCs w:val="20"/>
              </w:rPr>
            </w:pPr>
            <w:r w:rsidRPr="003F6304">
              <w:rPr>
                <w:color w:val="auto"/>
                <w:sz w:val="20"/>
                <w:szCs w:val="20"/>
              </w:rPr>
              <w:t>A:  For advice, contact a Poisons Information Centre (e.g. phone Australia 13 11 26; New Zealand 0800 764 766) or a doctor (at once).</w:t>
            </w:r>
          </w:p>
          <w:p w14:paraId="70D7DAD3" w14:textId="44A5F622" w:rsidR="003F6304" w:rsidRPr="009C5596" w:rsidRDefault="003F6304" w:rsidP="009C5596">
            <w:pPr>
              <w:ind w:left="457" w:hanging="394"/>
              <w:rPr>
                <w:szCs w:val="22"/>
              </w:rPr>
            </w:pPr>
            <w:r w:rsidRPr="003F6304">
              <w:rPr>
                <w:color w:val="auto"/>
                <w:sz w:val="20"/>
                <w:szCs w:val="20"/>
              </w:rPr>
              <w:t xml:space="preserve">E1: If in </w:t>
            </w:r>
            <w:proofErr w:type="gramStart"/>
            <w:r w:rsidRPr="003F6304">
              <w:rPr>
                <w:color w:val="auto"/>
                <w:sz w:val="20"/>
                <w:szCs w:val="20"/>
              </w:rPr>
              <w:t>eyes</w:t>
            </w:r>
            <w:proofErr w:type="gramEnd"/>
            <w:r w:rsidRPr="003F6304">
              <w:rPr>
                <w:color w:val="auto"/>
                <w:sz w:val="20"/>
                <w:szCs w:val="20"/>
              </w:rPr>
              <w:t xml:space="preserve"> wash out immediately with water.</w:t>
            </w:r>
          </w:p>
        </w:tc>
      </w:tr>
    </w:tbl>
    <w:p w14:paraId="41710796" w14:textId="161D830C" w:rsidR="00327B11" w:rsidRPr="009A01BE" w:rsidRDefault="00327B11" w:rsidP="009C5596">
      <w:pPr>
        <w:pStyle w:val="Tabletitle"/>
        <w:ind w:left="426"/>
      </w:pPr>
      <w:r w:rsidRPr="009A01BE">
        <w:lastRenderedPageBreak/>
        <w:t>Appendix F, Part</w:t>
      </w:r>
      <w:r w:rsidR="00087ED4">
        <w:t xml:space="preserve"> </w:t>
      </w:r>
      <w:r w:rsidR="00087ED4" w:rsidRPr="00087ED4">
        <w:rPr>
          <w:strike/>
          <w:color w:val="FF0000"/>
        </w:rPr>
        <w:t>2</w:t>
      </w:r>
      <w:r w:rsidR="00087ED4">
        <w:rPr>
          <w:color w:val="FF0000"/>
        </w:rPr>
        <w:t xml:space="preserve"> </w:t>
      </w:r>
      <w:r w:rsidR="00087ED4" w:rsidRPr="00087ED4">
        <w:rPr>
          <w:color w:val="FF0000"/>
        </w:rPr>
        <w:t>3</w:t>
      </w:r>
      <w:r w:rsidR="009C5596">
        <w:t>– New Entries</w:t>
      </w:r>
    </w:p>
    <w:tbl>
      <w:tblPr>
        <w:tblStyle w:val="TableTGAblue"/>
        <w:tblW w:w="0" w:type="auto"/>
        <w:tblInd w:w="416" w:type="dxa"/>
        <w:tblLook w:val="04A0" w:firstRow="1" w:lastRow="0" w:firstColumn="1" w:lastColumn="0" w:noHBand="0" w:noVBand="1"/>
      </w:tblPr>
      <w:tblGrid>
        <w:gridCol w:w="5103"/>
        <w:gridCol w:w="1842"/>
        <w:gridCol w:w="1560"/>
      </w:tblGrid>
      <w:tr w:rsidR="00CC46C2" w:rsidRPr="00DB2469" w14:paraId="4EE99D71" w14:textId="77777777" w:rsidTr="009C55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3B444647" w14:textId="77777777" w:rsidR="00CC46C2" w:rsidRPr="00DB2469" w:rsidRDefault="00CC46C2" w:rsidP="00D44039">
            <w:r w:rsidRPr="00DB2469">
              <w:t>POISON</w:t>
            </w:r>
          </w:p>
        </w:tc>
        <w:tc>
          <w:tcPr>
            <w:tcW w:w="1842" w:type="dxa"/>
          </w:tcPr>
          <w:p w14:paraId="4548E8A3" w14:textId="77777777" w:rsidR="00CC46C2" w:rsidRPr="00DB2469" w:rsidRDefault="00CC46C2" w:rsidP="009C5596">
            <w:pPr>
              <w:cnfStyle w:val="100000000000" w:firstRow="1" w:lastRow="0" w:firstColumn="0" w:lastColumn="0" w:oddVBand="0" w:evenVBand="0" w:oddHBand="0" w:evenHBand="0" w:firstRowFirstColumn="0" w:firstRowLastColumn="0" w:lastRowFirstColumn="0" w:lastRowLastColumn="0"/>
              <w:rPr>
                <w:b w:val="0"/>
              </w:rPr>
            </w:pPr>
            <w:r w:rsidRPr="00DB2469">
              <w:t>WARNING STATEMENTS</w:t>
            </w:r>
          </w:p>
        </w:tc>
        <w:tc>
          <w:tcPr>
            <w:tcW w:w="1560" w:type="dxa"/>
          </w:tcPr>
          <w:p w14:paraId="19117CB3" w14:textId="77777777" w:rsidR="00CC46C2" w:rsidRPr="00DB2469" w:rsidRDefault="00CC46C2" w:rsidP="009C5596">
            <w:pPr>
              <w:cnfStyle w:val="100000000000" w:firstRow="1" w:lastRow="0" w:firstColumn="0" w:lastColumn="0" w:oddVBand="0" w:evenVBand="0" w:oddHBand="0" w:evenHBand="0" w:firstRowFirstColumn="0" w:firstRowLastColumn="0" w:lastRowFirstColumn="0" w:lastRowLastColumn="0"/>
              <w:rPr>
                <w:b w:val="0"/>
              </w:rPr>
            </w:pPr>
            <w:r w:rsidRPr="00DB2469">
              <w:t>SAFETY DIRECTION</w:t>
            </w:r>
          </w:p>
        </w:tc>
      </w:tr>
      <w:tr w:rsidR="00CC46C2" w:rsidRPr="00DB2469" w14:paraId="775484D5" w14:textId="77777777" w:rsidTr="009C5596">
        <w:tc>
          <w:tcPr>
            <w:cnfStyle w:val="001000000000" w:firstRow="0" w:lastRow="0" w:firstColumn="1" w:lastColumn="0" w:oddVBand="0" w:evenVBand="0" w:oddHBand="0" w:evenHBand="0" w:firstRowFirstColumn="0" w:firstRowLastColumn="0" w:lastRowFirstColumn="0" w:lastRowLastColumn="0"/>
            <w:tcW w:w="5103" w:type="dxa"/>
          </w:tcPr>
          <w:p w14:paraId="7349DDA7" w14:textId="77777777" w:rsidR="00CC46C2" w:rsidRPr="00DB2469" w:rsidRDefault="00CC46C2" w:rsidP="00D44039">
            <w:pPr>
              <w:rPr>
                <w:color w:val="FF0000"/>
              </w:rPr>
            </w:pPr>
            <w:r w:rsidRPr="00FB5259">
              <w:rPr>
                <w:color w:val="FF0000"/>
              </w:rPr>
              <w:t>PICRAMIC ACID including its salts (excluding other derivatives)</w:t>
            </w:r>
          </w:p>
        </w:tc>
        <w:tc>
          <w:tcPr>
            <w:tcW w:w="1842" w:type="dxa"/>
          </w:tcPr>
          <w:p w14:paraId="73C93531" w14:textId="659F3766" w:rsidR="00CC46C2" w:rsidRPr="00DB2469" w:rsidRDefault="0073360D" w:rsidP="009C5596">
            <w:pPr>
              <w:cnfStyle w:val="000000000000" w:firstRow="0" w:lastRow="0" w:firstColumn="0" w:lastColumn="0" w:oddVBand="0" w:evenVBand="0" w:oddHBand="0" w:evenHBand="0" w:firstRowFirstColumn="0" w:firstRowLastColumn="0" w:lastRowFirstColumn="0" w:lastRowLastColumn="0"/>
              <w:rPr>
                <w:color w:val="FF0000"/>
              </w:rPr>
            </w:pPr>
            <w:r>
              <w:rPr>
                <w:color w:val="FF0000"/>
              </w:rPr>
              <w:t>28</w:t>
            </w:r>
          </w:p>
        </w:tc>
        <w:tc>
          <w:tcPr>
            <w:tcW w:w="1560" w:type="dxa"/>
          </w:tcPr>
          <w:p w14:paraId="090A9DCD" w14:textId="3DD93296" w:rsidR="00CC46C2" w:rsidRPr="00DB2469" w:rsidRDefault="0073360D" w:rsidP="009C5596">
            <w:pPr>
              <w:cnfStyle w:val="000000000000" w:firstRow="0" w:lastRow="0" w:firstColumn="0" w:lastColumn="0" w:oddVBand="0" w:evenVBand="0" w:oddHBand="0" w:evenHBand="0" w:firstRowFirstColumn="0" w:firstRowLastColumn="0" w:lastRowFirstColumn="0" w:lastRowLastColumn="0"/>
              <w:rPr>
                <w:color w:val="FF0000"/>
              </w:rPr>
            </w:pPr>
            <w:r>
              <w:rPr>
                <w:color w:val="FF0000"/>
              </w:rPr>
              <w:t>5</w:t>
            </w:r>
          </w:p>
        </w:tc>
      </w:tr>
      <w:tr w:rsidR="00CC46C2" w:rsidRPr="00DB2469" w14:paraId="0999F2B1" w14:textId="77777777" w:rsidTr="009C5596">
        <w:tc>
          <w:tcPr>
            <w:cnfStyle w:val="001000000000" w:firstRow="0" w:lastRow="0" w:firstColumn="1" w:lastColumn="0" w:oddVBand="0" w:evenVBand="0" w:oddHBand="0" w:evenHBand="0" w:firstRowFirstColumn="0" w:firstRowLastColumn="0" w:lastRowFirstColumn="0" w:lastRowLastColumn="0"/>
            <w:tcW w:w="8505" w:type="dxa"/>
            <w:gridSpan w:val="3"/>
          </w:tcPr>
          <w:p w14:paraId="6A3B5773" w14:textId="08DA6ACC" w:rsidR="0073360D" w:rsidRPr="009C5596" w:rsidRDefault="009C5596" w:rsidP="0073360D">
            <w:pPr>
              <w:rPr>
                <w:color w:val="auto"/>
                <w:sz w:val="20"/>
                <w:szCs w:val="20"/>
              </w:rPr>
            </w:pPr>
            <w:r>
              <w:rPr>
                <w:color w:val="auto"/>
                <w:sz w:val="20"/>
                <w:szCs w:val="20"/>
              </w:rPr>
              <w:t>Warning Statements</w:t>
            </w:r>
          </w:p>
          <w:p w14:paraId="663BB354" w14:textId="77777777" w:rsidR="0073360D" w:rsidRPr="009C5596" w:rsidRDefault="0073360D" w:rsidP="0073360D">
            <w:pPr>
              <w:rPr>
                <w:color w:val="auto"/>
                <w:sz w:val="20"/>
                <w:szCs w:val="20"/>
              </w:rPr>
            </w:pPr>
            <w:r w:rsidRPr="009C5596">
              <w:rPr>
                <w:color w:val="auto"/>
                <w:sz w:val="20"/>
                <w:szCs w:val="20"/>
              </w:rPr>
              <w:t>28: Repeated exposure may cause sensitisation.</w:t>
            </w:r>
          </w:p>
          <w:p w14:paraId="0078C489" w14:textId="2E0739A8" w:rsidR="00CC46C2" w:rsidRPr="009C5596" w:rsidRDefault="00CC46C2" w:rsidP="0073360D">
            <w:pPr>
              <w:rPr>
                <w:color w:val="auto"/>
                <w:sz w:val="20"/>
                <w:szCs w:val="20"/>
              </w:rPr>
            </w:pPr>
            <w:r w:rsidRPr="009C5596">
              <w:rPr>
                <w:color w:val="auto"/>
                <w:sz w:val="20"/>
                <w:szCs w:val="20"/>
              </w:rPr>
              <w:t>Safety Directions – General:</w:t>
            </w:r>
          </w:p>
          <w:p w14:paraId="40F4C798" w14:textId="795710B4" w:rsidR="00CC46C2" w:rsidRPr="009C5596" w:rsidRDefault="00CC46C2" w:rsidP="00D44039">
            <w:pPr>
              <w:rPr>
                <w:color w:val="auto"/>
              </w:rPr>
            </w:pPr>
            <w:r w:rsidRPr="009C5596">
              <w:rPr>
                <w:color w:val="auto"/>
                <w:sz w:val="20"/>
                <w:szCs w:val="20"/>
              </w:rPr>
              <w:t>5: Wear protectiv</w:t>
            </w:r>
            <w:r w:rsidR="0073360D" w:rsidRPr="009C5596">
              <w:rPr>
                <w:color w:val="auto"/>
                <w:sz w:val="20"/>
                <w:szCs w:val="20"/>
              </w:rPr>
              <w:t>e gloves when mixing or using.</w:t>
            </w:r>
          </w:p>
        </w:tc>
      </w:tr>
    </w:tbl>
    <w:p w14:paraId="71901B62" w14:textId="6468C94F" w:rsidR="00327B11" w:rsidRPr="009A01BE" w:rsidRDefault="009C5596" w:rsidP="00327B11">
      <w:pPr>
        <w:ind w:left="426"/>
        <w:rPr>
          <w:b/>
        </w:rPr>
      </w:pPr>
      <w:r>
        <w:rPr>
          <w:b/>
        </w:rPr>
        <w:t>Index – New Entry</w:t>
      </w:r>
    </w:p>
    <w:p w14:paraId="407782B3" w14:textId="0267E2BA" w:rsidR="00327B11" w:rsidRPr="009A01BE" w:rsidRDefault="00327B11" w:rsidP="00327B11">
      <w:pPr>
        <w:ind w:left="426"/>
        <w:rPr>
          <w:b/>
          <w:color w:val="FF0000"/>
        </w:rPr>
      </w:pPr>
      <w:r w:rsidRPr="009A01BE">
        <w:rPr>
          <w:b/>
          <w:color w:val="FF0000"/>
        </w:rPr>
        <w:t>PICR</w:t>
      </w:r>
      <w:r w:rsidR="009C5596">
        <w:rPr>
          <w:b/>
          <w:color w:val="FF0000"/>
        </w:rPr>
        <w:t>AMIC ACID (including its salts)</w:t>
      </w:r>
    </w:p>
    <w:p w14:paraId="43DDEFDC" w14:textId="769FE3EC" w:rsidR="00327B11" w:rsidRPr="009A01BE" w:rsidRDefault="00327B11" w:rsidP="00327B11">
      <w:pPr>
        <w:ind w:left="426"/>
        <w:rPr>
          <w:color w:val="FF0000"/>
        </w:rPr>
      </w:pPr>
      <w:r w:rsidRPr="009A01BE">
        <w:rPr>
          <w:color w:val="FF0000"/>
        </w:rPr>
        <w:t>CROSS-REFER</w:t>
      </w:r>
      <w:r w:rsidR="009C5596">
        <w:rPr>
          <w:color w:val="FF0000"/>
        </w:rPr>
        <w:t xml:space="preserve">ENCE: 2-amino 4 6 </w:t>
      </w:r>
      <w:proofErr w:type="spellStart"/>
      <w:r w:rsidR="009C5596">
        <w:rPr>
          <w:color w:val="FF0000"/>
        </w:rPr>
        <w:t>dinitrophenol</w:t>
      </w:r>
      <w:proofErr w:type="spellEnd"/>
    </w:p>
    <w:p w14:paraId="344794CD" w14:textId="36F9C86D" w:rsidR="00327B11" w:rsidRPr="009A01BE" w:rsidRDefault="009C5596" w:rsidP="00327B11">
      <w:pPr>
        <w:ind w:left="426"/>
        <w:rPr>
          <w:color w:val="FF0000"/>
        </w:rPr>
      </w:pPr>
      <w:r>
        <w:rPr>
          <w:color w:val="FF0000"/>
        </w:rPr>
        <w:t>Schedule 6</w:t>
      </w:r>
    </w:p>
    <w:p w14:paraId="39245A0F" w14:textId="0E1724E9" w:rsidR="00327B11" w:rsidRPr="009A01BE" w:rsidRDefault="009C5596" w:rsidP="00327B11">
      <w:pPr>
        <w:ind w:left="426"/>
        <w:rPr>
          <w:color w:val="FF0000"/>
        </w:rPr>
      </w:pPr>
      <w:r>
        <w:rPr>
          <w:color w:val="FF0000"/>
        </w:rPr>
        <w:t>Appendix E, Part 1</w:t>
      </w:r>
    </w:p>
    <w:p w14:paraId="429FC645" w14:textId="77777777" w:rsidR="00327B11" w:rsidRPr="009A01BE" w:rsidRDefault="00327B11" w:rsidP="00327B11">
      <w:pPr>
        <w:ind w:left="426"/>
        <w:rPr>
          <w:color w:val="FF0000"/>
        </w:rPr>
      </w:pPr>
      <w:r w:rsidRPr="009A01BE">
        <w:rPr>
          <w:color w:val="FF0000"/>
        </w:rPr>
        <w:t>Appendix F, Part 2</w:t>
      </w:r>
    </w:p>
    <w:p w14:paraId="06861039" w14:textId="1BFBE75C" w:rsidR="00327B11" w:rsidRDefault="009C5596" w:rsidP="00B94F6F">
      <w:pPr>
        <w:pStyle w:val="Heading5"/>
      </w:pPr>
      <w:r>
        <w:t>Materials considered</w:t>
      </w:r>
    </w:p>
    <w:p w14:paraId="6029154D" w14:textId="77777777" w:rsidR="00327B11" w:rsidRDefault="00327B11" w:rsidP="00327B11">
      <w:r>
        <w:t>In making this final decision, the Delegate considered the following material:</w:t>
      </w:r>
    </w:p>
    <w:p w14:paraId="23230676" w14:textId="77777777" w:rsidR="00327B11" w:rsidRDefault="00327B11" w:rsidP="00C31E2C">
      <w:pPr>
        <w:pStyle w:val="ListBullet"/>
      </w:pPr>
      <w:r w:rsidRPr="00FB5259">
        <w:t xml:space="preserve">The </w:t>
      </w:r>
      <w:hyperlink r:id="rId80" w:history="1">
        <w:r w:rsidRPr="00FB5259">
          <w:rPr>
            <w:rStyle w:val="Hyperlink"/>
          </w:rPr>
          <w:t>application</w:t>
        </w:r>
      </w:hyperlink>
      <w:r w:rsidRPr="00FB5259">
        <w:t xml:space="preserve"> to amend the current Poisons Standard with respect to </w:t>
      </w:r>
      <w:proofErr w:type="spellStart"/>
      <w:r w:rsidRPr="00FB5259">
        <w:t>picramic</w:t>
      </w:r>
      <w:proofErr w:type="spellEnd"/>
      <w:r w:rsidRPr="00FB5259">
        <w:t xml:space="preserve"> acid;</w:t>
      </w:r>
    </w:p>
    <w:p w14:paraId="11BBAE64" w14:textId="22424702" w:rsidR="00327B11" w:rsidRDefault="00327B11" w:rsidP="00C31E2C">
      <w:pPr>
        <w:pStyle w:val="ListBullet"/>
      </w:pPr>
      <w:r w:rsidRPr="00FB5259">
        <w:t xml:space="preserve">The two </w:t>
      </w:r>
      <w:hyperlink r:id="rId81" w:history="1">
        <w:r w:rsidRPr="00FB5259">
          <w:rPr>
            <w:rStyle w:val="Hyperlink"/>
          </w:rPr>
          <w:t>public submissions</w:t>
        </w:r>
      </w:hyperlink>
      <w:r w:rsidRPr="00FB5259">
        <w:t xml:space="preserve"> received</w:t>
      </w:r>
      <w:r>
        <w:t xml:space="preserve"> in response to the </w:t>
      </w:r>
      <w:hyperlink r:id="rId82" w:history="1">
        <w:r w:rsidRPr="00B9577E">
          <w:rPr>
            <w:rStyle w:val="Hyperlink"/>
          </w:rPr>
          <w:t>pre-meeting consultation</w:t>
        </w:r>
      </w:hyperlink>
      <w:r>
        <w:t xml:space="preserve"> under regula</w:t>
      </w:r>
      <w:r w:rsidR="004961A2">
        <w:t>tion 42ZCZK of the Regulations;</w:t>
      </w:r>
    </w:p>
    <w:p w14:paraId="681DFDC7" w14:textId="77777777" w:rsidR="00327B11" w:rsidRDefault="00327B11" w:rsidP="00C31E2C">
      <w:pPr>
        <w:pStyle w:val="ListBullet"/>
      </w:pPr>
      <w:r>
        <w:t>The advice received from the Meeting of the Advisory Committee on Chemicals Scheduling (ACCS#27);</w:t>
      </w:r>
    </w:p>
    <w:p w14:paraId="619DB81F" w14:textId="77777777" w:rsidR="00327B11" w:rsidRDefault="00327B11" w:rsidP="00C31E2C">
      <w:pPr>
        <w:pStyle w:val="ListBullet"/>
      </w:pPr>
      <w:r>
        <w:t xml:space="preserve">The one public submission received in response to the </w:t>
      </w:r>
      <w:hyperlink r:id="rId83" w:history="1">
        <w:r w:rsidRPr="002C1418">
          <w:rPr>
            <w:rStyle w:val="Hyperlink"/>
          </w:rPr>
          <w:t>interim decision consultation</w:t>
        </w:r>
      </w:hyperlink>
      <w:r>
        <w:t xml:space="preserve"> </w:t>
      </w:r>
      <w:r w:rsidRPr="002C1418">
        <w:t>under regulation 42ZCZP of the Regulations</w:t>
      </w:r>
      <w:r>
        <w:t>;</w:t>
      </w:r>
    </w:p>
    <w:p w14:paraId="7AAD6EA0" w14:textId="124AA065" w:rsidR="00327B11" w:rsidRDefault="00327B11" w:rsidP="00C31E2C">
      <w:pPr>
        <w:pStyle w:val="ListBullet"/>
      </w:pPr>
      <w:r w:rsidRPr="001169AC">
        <w:t xml:space="preserve">Subsection 52E(1) of </w:t>
      </w:r>
      <w:r w:rsidRPr="001169AC">
        <w:rPr>
          <w:i/>
        </w:rPr>
        <w:t>the Therapeutic Goods Act 1989</w:t>
      </w:r>
      <w:r w:rsidRPr="001169AC">
        <w:t>, in particular (a) the risks and benefits of the use of a substance; (b) the purposes for which a substance is to be used and the extent of use of a substance;</w:t>
      </w:r>
      <w:r>
        <w:t xml:space="preserve"> and</w:t>
      </w:r>
      <w:r w:rsidRPr="001169AC">
        <w:t xml:space="preserve"> (c</w:t>
      </w:r>
      <w:r>
        <w:t>) the toxicity of a subst</w:t>
      </w:r>
      <w:r w:rsidR="004961A2">
        <w:t>ance;</w:t>
      </w:r>
    </w:p>
    <w:p w14:paraId="6A79E982" w14:textId="77777777" w:rsidR="00327B11" w:rsidRDefault="00327B11" w:rsidP="00C31E2C">
      <w:pPr>
        <w:pStyle w:val="ListBullet"/>
      </w:pPr>
      <w:r w:rsidRPr="002C1418">
        <w:t xml:space="preserve">The Australian Health Ministers’ Advisory Council’s </w:t>
      </w:r>
      <w:hyperlink r:id="rId84" w:history="1">
        <w:r w:rsidRPr="001A7580">
          <w:rPr>
            <w:rStyle w:val="Hyperlink"/>
          </w:rPr>
          <w:t>Scheduling Policy Framework</w:t>
        </w:r>
      </w:hyperlink>
      <w:r>
        <w:t xml:space="preserve"> (SPF 2018); </w:t>
      </w:r>
      <w:r w:rsidRPr="009A5E6C">
        <w:t>and</w:t>
      </w:r>
    </w:p>
    <w:p w14:paraId="620003F4" w14:textId="77777777" w:rsidR="00327B11" w:rsidRDefault="00327B11" w:rsidP="00C31E2C">
      <w:pPr>
        <w:pStyle w:val="ListBullet"/>
      </w:pPr>
      <w:r>
        <w:t xml:space="preserve">The </w:t>
      </w:r>
      <w:hyperlink r:id="rId85" w:history="1">
        <w:r w:rsidRPr="001A7580">
          <w:rPr>
            <w:rStyle w:val="Hyperlink"/>
          </w:rPr>
          <w:t>Scheduling handbook: Guidance for amending the Poisons Standard</w:t>
        </w:r>
      </w:hyperlink>
      <w:r>
        <w:t>.</w:t>
      </w:r>
    </w:p>
    <w:p w14:paraId="35A49EC7" w14:textId="77777777" w:rsidR="00327B11" w:rsidRDefault="00327B11" w:rsidP="00B94F6F">
      <w:pPr>
        <w:pStyle w:val="Heading5"/>
      </w:pPr>
      <w:r w:rsidRPr="00436C41">
        <w:t>Reasons for the final decision (including findings on material questions of fact)</w:t>
      </w:r>
    </w:p>
    <w:p w14:paraId="7ACC70CF" w14:textId="1B993000" w:rsidR="00931DD7" w:rsidRDefault="00327B11" w:rsidP="00327B11">
      <w:r>
        <w:t xml:space="preserve">I have made a final decision to </w:t>
      </w:r>
      <w:r w:rsidR="00D86506">
        <w:t xml:space="preserve">vary </w:t>
      </w:r>
      <w:r>
        <w:t xml:space="preserve">my </w:t>
      </w:r>
      <w:hyperlink r:id="rId86" w:history="1">
        <w:r w:rsidRPr="001169AC">
          <w:rPr>
            <w:rStyle w:val="Hyperlink"/>
          </w:rPr>
          <w:t>interim decision</w:t>
        </w:r>
      </w:hyperlink>
      <w:r>
        <w:t xml:space="preserve"> to </w:t>
      </w:r>
      <w:r w:rsidR="00D86506">
        <w:t xml:space="preserve">incorporate a minor amendment to clarify the inclusion of the Appendix E </w:t>
      </w:r>
      <w:proofErr w:type="spellStart"/>
      <w:r w:rsidR="00D86506" w:rsidRPr="00D86506">
        <w:t>picramic</w:t>
      </w:r>
      <w:proofErr w:type="spellEnd"/>
      <w:r w:rsidR="00D86506" w:rsidRPr="00D86506">
        <w:t xml:space="preserve"> acid </w:t>
      </w:r>
      <w:r w:rsidR="00D86506">
        <w:t xml:space="preserve">listing in Part 2 as it was erroneously proposed to be included in Part 1 of Appendix E in my interim decision. I have also varied the Appendix F </w:t>
      </w:r>
      <w:proofErr w:type="spellStart"/>
      <w:r w:rsidR="00D86506">
        <w:t>picramic</w:t>
      </w:r>
      <w:proofErr w:type="spellEnd"/>
      <w:r w:rsidR="00D86506">
        <w:t xml:space="preserve"> acid listing to clarify its inclusion in</w:t>
      </w:r>
      <w:r w:rsidR="00575FC8">
        <w:t xml:space="preserve"> Part </w:t>
      </w:r>
      <w:proofErr w:type="gramStart"/>
      <w:r w:rsidR="00575FC8">
        <w:t>3</w:t>
      </w:r>
      <w:proofErr w:type="gramEnd"/>
      <w:r w:rsidR="00575FC8">
        <w:t xml:space="preserve"> of Appendix F as it was erroneously proposed to be included in Part </w:t>
      </w:r>
      <w:r w:rsidR="002C4840">
        <w:t>2</w:t>
      </w:r>
      <w:r w:rsidR="00575FC8">
        <w:t xml:space="preserve"> of Appendix F in my interim decision</w:t>
      </w:r>
      <w:r w:rsidRPr="00BE4B3F">
        <w:t>.</w:t>
      </w:r>
      <w:r w:rsidR="00CC46C2">
        <w:t xml:space="preserve"> </w:t>
      </w:r>
      <w:r w:rsidR="003F6304">
        <w:lastRenderedPageBreak/>
        <w:t>Notwithstanding the aforementioned editorial changes, m</w:t>
      </w:r>
      <w:r w:rsidR="003F6304" w:rsidRPr="003F6304">
        <w:t>y reasons for making the final decision are those set out in the interim decision</w:t>
      </w:r>
      <w:r w:rsidR="003F6304">
        <w:t>.</w:t>
      </w:r>
    </w:p>
    <w:p w14:paraId="076C0ACB" w14:textId="30A01AB1" w:rsidR="00327B11" w:rsidRDefault="00327B11" w:rsidP="00327B11">
      <w:r>
        <w:t>In making my final decision, I have taken into account the material detailed in the interim decision and the one public submission received before the second closing date in response to the call for further submissions published on 10 June 2020 under regulation 42ZCZP of the Regulations.</w:t>
      </w:r>
    </w:p>
    <w:p w14:paraId="56E6C0B2" w14:textId="77777777" w:rsidR="00327B11" w:rsidRDefault="00327B11" w:rsidP="00327B11">
      <w:r>
        <w:t>I have considered the one public submission</w:t>
      </w:r>
      <w:r w:rsidR="00640458">
        <w:t>, which</w:t>
      </w:r>
      <w:r>
        <w:t xml:space="preserve"> </w:t>
      </w:r>
      <w:r w:rsidR="00640458">
        <w:t xml:space="preserve">requests </w:t>
      </w:r>
      <w:r>
        <w:t xml:space="preserve">a change to the implementation date from 1 June 2021 to 1 October 2021. I am of the view that since no immediate health signals </w:t>
      </w:r>
      <w:proofErr w:type="gramStart"/>
      <w:r>
        <w:t>have been identified</w:t>
      </w:r>
      <w:proofErr w:type="gramEnd"/>
      <w:r>
        <w:t xml:space="preserve">, a change in the implementation date to 1 October 2021 is appropriate. This new implementation date will allow industry approximately 13 months for </w:t>
      </w:r>
      <w:r w:rsidRPr="003C329E">
        <w:t>compliance with any labelling and/or reformulation changes.</w:t>
      </w:r>
    </w:p>
    <w:p w14:paraId="6D7B5A48" w14:textId="786ADF8B" w:rsidR="00327B11" w:rsidRDefault="004961A2" w:rsidP="00B94F6F">
      <w:pPr>
        <w:pStyle w:val="Heading5"/>
      </w:pPr>
      <w:r>
        <w:t>Date of effect of the decision</w:t>
      </w:r>
    </w:p>
    <w:p w14:paraId="30437265" w14:textId="12F4C6AE" w:rsidR="00327B11" w:rsidRPr="003C7756" w:rsidRDefault="00327B11" w:rsidP="00327B11">
      <w:pPr>
        <w:rPr>
          <w:b/>
        </w:rPr>
      </w:pPr>
      <w:bookmarkStart w:id="30" w:name="_Toc46754690"/>
      <w:r w:rsidRPr="003C7756">
        <w:rPr>
          <w:b/>
        </w:rPr>
        <w:t xml:space="preserve">1 </w:t>
      </w:r>
      <w:r>
        <w:rPr>
          <w:b/>
        </w:rPr>
        <w:t>October</w:t>
      </w:r>
      <w:r w:rsidR="004961A2">
        <w:rPr>
          <w:b/>
        </w:rPr>
        <w:t xml:space="preserve"> 2021.</w:t>
      </w:r>
    </w:p>
    <w:p w14:paraId="26885872" w14:textId="6EB45654" w:rsidR="00327B11" w:rsidRPr="00F41DCE" w:rsidRDefault="00327B11" w:rsidP="00327B11">
      <w:pPr>
        <w:pStyle w:val="Heading3"/>
      </w:pPr>
      <w:bookmarkStart w:id="31" w:name="_Toc48996176"/>
      <w:r>
        <w:t>Final</w:t>
      </w:r>
      <w:r w:rsidRPr="00FA029A">
        <w:t xml:space="preserve"> decisions on proposed amendments referred to the </w:t>
      </w:r>
      <w:r w:rsidRPr="00F41DCE">
        <w:t>Advisory Committee on Medicines and Chemicals Scheduling in jo</w:t>
      </w:r>
      <w:r>
        <w:t>int session (Joint ACMS-ACCS #</w:t>
      </w:r>
      <w:r w:rsidRPr="008B28DF">
        <w:t>24, March 2020)</w:t>
      </w:r>
      <w:bookmarkEnd w:id="30"/>
      <w:bookmarkEnd w:id="31"/>
    </w:p>
    <w:p w14:paraId="57B5D964" w14:textId="77777777" w:rsidR="00327B11" w:rsidRDefault="00327B11" w:rsidP="00327B11">
      <w:pPr>
        <w:pStyle w:val="Heading4"/>
      </w:pPr>
      <w:r>
        <w:t xml:space="preserve">Final decision in relation to </w:t>
      </w:r>
      <w:r w:rsidRPr="00643DF2">
        <w:t>marker dyes and pigments</w:t>
      </w:r>
    </w:p>
    <w:p w14:paraId="7661B235" w14:textId="548A1453" w:rsidR="00327B11" w:rsidRPr="008036B7" w:rsidRDefault="00A27014" w:rsidP="00B94F6F">
      <w:pPr>
        <w:pStyle w:val="Heading5"/>
      </w:pPr>
      <w:r>
        <w:t>Final decision</w:t>
      </w:r>
    </w:p>
    <w:p w14:paraId="1CFE9624" w14:textId="61D0E71B" w:rsidR="00327B11" w:rsidRDefault="00327B11" w:rsidP="00327B11">
      <w:r>
        <w:t xml:space="preserve">Pursuant to regulation 42ZCZR of the Regulations, a Delegate of the Secretary has made a final </w:t>
      </w:r>
      <w:r w:rsidRPr="00A30E56">
        <w:t>decision to confirm the interim decision and amend the current Poisons Standard in relation to marker dyes and pigments as follows:</w:t>
      </w:r>
    </w:p>
    <w:p w14:paraId="6DD2925B" w14:textId="77777777" w:rsidR="00327B11" w:rsidRPr="00615BF6" w:rsidRDefault="00327B11" w:rsidP="00A27014">
      <w:pPr>
        <w:ind w:left="426"/>
        <w:rPr>
          <w:rStyle w:val="fontstyle21"/>
        </w:rPr>
      </w:pPr>
      <w:r w:rsidRPr="00615BF6">
        <w:rPr>
          <w:rStyle w:val="fontstyle21"/>
        </w:rPr>
        <w:t xml:space="preserve">Part 1 of the Poisons Standard, Interpretation – New Entry </w:t>
      </w:r>
    </w:p>
    <w:p w14:paraId="42459E80" w14:textId="77777777" w:rsidR="00327B11" w:rsidRPr="00615BF6" w:rsidRDefault="00327B11" w:rsidP="00A27014">
      <w:pPr>
        <w:ind w:left="426"/>
        <w:rPr>
          <w:color w:val="FF0000"/>
        </w:rPr>
      </w:pPr>
      <w:r w:rsidRPr="00615BF6">
        <w:rPr>
          <w:color w:val="FF0000"/>
        </w:rPr>
        <w:t>“Marker dyes or pigments” means any product that is added to a liquid used in agricultural or veterinary chemicals to identify or distinguish treated from untreated objects, land or organisms by temporarily imparting colour on the relevant object, land or organism through, for example, spot – or boom-spraying.</w:t>
      </w:r>
    </w:p>
    <w:p w14:paraId="03DE6EA5" w14:textId="7073B5CB" w:rsidR="00327B11" w:rsidRDefault="00A27014" w:rsidP="00B94F6F">
      <w:pPr>
        <w:pStyle w:val="Heading5"/>
      </w:pPr>
      <w:r>
        <w:t>Materials considered</w:t>
      </w:r>
    </w:p>
    <w:p w14:paraId="074750C4" w14:textId="77777777" w:rsidR="00327B11" w:rsidRDefault="00327B11" w:rsidP="00327B11">
      <w:r>
        <w:t>In making this final decision, the Delegate considered the following material:</w:t>
      </w:r>
    </w:p>
    <w:p w14:paraId="55F211BE" w14:textId="77777777" w:rsidR="00327B11" w:rsidRDefault="00327B11" w:rsidP="00C31E2C">
      <w:pPr>
        <w:pStyle w:val="ListBullet"/>
      </w:pPr>
      <w:r w:rsidRPr="00615BF6">
        <w:t xml:space="preserve">The </w:t>
      </w:r>
      <w:hyperlink r:id="rId87" w:history="1">
        <w:r w:rsidRPr="00615BF6">
          <w:rPr>
            <w:rStyle w:val="Hyperlink"/>
          </w:rPr>
          <w:t>scheduling proposal</w:t>
        </w:r>
      </w:hyperlink>
      <w:r w:rsidRPr="00615BF6">
        <w:t xml:space="preserve"> to amend the</w:t>
      </w:r>
      <w:r>
        <w:t xml:space="preserve"> current Poisons Standard with respect to marker dyes and pigments;</w:t>
      </w:r>
    </w:p>
    <w:p w14:paraId="429F9C1C" w14:textId="7E40649A" w:rsidR="00327B11" w:rsidRPr="00615BF6" w:rsidRDefault="00327B11" w:rsidP="00C31E2C">
      <w:pPr>
        <w:pStyle w:val="ListBullet"/>
      </w:pPr>
      <w:r w:rsidRPr="00615BF6">
        <w:t xml:space="preserve">The three </w:t>
      </w:r>
      <w:hyperlink r:id="rId88" w:history="1">
        <w:r w:rsidRPr="00615BF6">
          <w:rPr>
            <w:rStyle w:val="Hyperlink"/>
          </w:rPr>
          <w:t>public submissions</w:t>
        </w:r>
      </w:hyperlink>
      <w:r w:rsidRPr="00615BF6">
        <w:t xml:space="preserve"> received in response to the </w:t>
      </w:r>
      <w:hyperlink r:id="rId89" w:history="1">
        <w:r w:rsidRPr="00615BF6">
          <w:rPr>
            <w:rStyle w:val="Hyperlink"/>
          </w:rPr>
          <w:t>pre-meeting consultation</w:t>
        </w:r>
      </w:hyperlink>
      <w:r w:rsidRPr="00615BF6">
        <w:t xml:space="preserve"> under regul</w:t>
      </w:r>
      <w:r w:rsidR="00A27014">
        <w:t>ation 42ZCZK of the Regulations;</w:t>
      </w:r>
    </w:p>
    <w:p w14:paraId="0034C235" w14:textId="77777777" w:rsidR="00327B11" w:rsidRDefault="00327B11" w:rsidP="00C31E2C">
      <w:pPr>
        <w:pStyle w:val="ListBullet"/>
      </w:pPr>
      <w:r>
        <w:t xml:space="preserve">The advice </w:t>
      </w:r>
      <w:r w:rsidRPr="00615BF6">
        <w:t>received from the Joint meeting of the Advisory Committees on Medicines and Chemicals Scheduling (Joint ACMS-ACCS#24);</w:t>
      </w:r>
      <w:r>
        <w:t xml:space="preserve"> and</w:t>
      </w:r>
    </w:p>
    <w:p w14:paraId="030B0B2D" w14:textId="77777777" w:rsidR="00327B11" w:rsidRDefault="00327B11" w:rsidP="00C31E2C">
      <w:pPr>
        <w:pStyle w:val="ListBullet"/>
      </w:pPr>
      <w:r>
        <w:t xml:space="preserve">The one public submission received in response to the </w:t>
      </w:r>
      <w:hyperlink r:id="rId90" w:history="1">
        <w:r w:rsidRPr="00615BF6">
          <w:rPr>
            <w:rStyle w:val="Hyperlink"/>
          </w:rPr>
          <w:t>interim decision consultation</w:t>
        </w:r>
      </w:hyperlink>
      <w:r>
        <w:t xml:space="preserve"> </w:t>
      </w:r>
      <w:r w:rsidRPr="002C1418">
        <w:t>under regulation 42ZCZP of the Regulations</w:t>
      </w:r>
      <w:r>
        <w:t>.</w:t>
      </w:r>
    </w:p>
    <w:p w14:paraId="59B87F5C" w14:textId="77777777" w:rsidR="00327B11" w:rsidRDefault="00327B11" w:rsidP="00B94F6F">
      <w:pPr>
        <w:pStyle w:val="Heading5"/>
      </w:pPr>
      <w:r w:rsidRPr="00436C41">
        <w:t>Reasons for the final decision (including findings on material questions of fact)</w:t>
      </w:r>
    </w:p>
    <w:p w14:paraId="15FAD59D" w14:textId="378CC565" w:rsidR="00327B11" w:rsidRDefault="00327B11" w:rsidP="00327B11">
      <w:r>
        <w:t xml:space="preserve">I have made a final decision to confirm my </w:t>
      </w:r>
      <w:hyperlink r:id="rId91" w:history="1">
        <w:r w:rsidRPr="001169AC">
          <w:rPr>
            <w:rStyle w:val="Hyperlink"/>
          </w:rPr>
          <w:t>interim decision</w:t>
        </w:r>
      </w:hyperlink>
      <w:r>
        <w:t xml:space="preserve"> to amend the current Poisons Standard </w:t>
      </w:r>
      <w:r w:rsidRPr="00615BF6">
        <w:t>to include an explicit definition of 'marker dyes and pigm</w:t>
      </w:r>
      <w:r>
        <w:t xml:space="preserve">ents' in Part </w:t>
      </w:r>
      <w:proofErr w:type="gramStart"/>
      <w:r>
        <w:t>1</w:t>
      </w:r>
      <w:proofErr w:type="gramEnd"/>
      <w:r>
        <w:t xml:space="preserve">, Interpretation. </w:t>
      </w:r>
      <w:r w:rsidR="002D1D70" w:rsidRPr="006C405C">
        <w:t>My reasons for making the final decision are those set out in the interim decision</w:t>
      </w:r>
      <w:r w:rsidR="002D1D70">
        <w:t xml:space="preserve">. In making my </w:t>
      </w:r>
      <w:r w:rsidR="002D1D70">
        <w:lastRenderedPageBreak/>
        <w:t xml:space="preserve">final decision. </w:t>
      </w:r>
      <w:r>
        <w:t>I have taken into account the material detailed in the interim decision and the one public submission received before the second closing date in response to the call for further submissions published on 10 June 2020 under regulation 42ZCZP of the Regulations.</w:t>
      </w:r>
      <w:r w:rsidRPr="00615BF6">
        <w:t xml:space="preserve"> I note the public submission was in s</w:t>
      </w:r>
      <w:r w:rsidR="00A27014">
        <w:t>upport of my interim decision.</w:t>
      </w:r>
    </w:p>
    <w:p w14:paraId="52E19C7C" w14:textId="4D7779FA" w:rsidR="00327B11" w:rsidRDefault="00327B11" w:rsidP="00B94F6F">
      <w:pPr>
        <w:pStyle w:val="Heading5"/>
      </w:pPr>
      <w:r>
        <w:t xml:space="preserve">Date of </w:t>
      </w:r>
      <w:r w:rsidR="00A27014">
        <w:t>effect of the decision</w:t>
      </w:r>
    </w:p>
    <w:p w14:paraId="343D2095" w14:textId="31AC92C6" w:rsidR="00327B11" w:rsidRDefault="009D6FF4" w:rsidP="00327B11">
      <w:pPr>
        <w:rPr>
          <w:b/>
        </w:rPr>
      </w:pPr>
      <w:r>
        <w:rPr>
          <w:b/>
        </w:rPr>
        <w:t>1 October 2020</w:t>
      </w:r>
    </w:p>
    <w:p w14:paraId="08FC1B84" w14:textId="77777777" w:rsidR="00F86D1E" w:rsidRDefault="00F86D1E" w:rsidP="00F86D1E">
      <w:pPr>
        <w:pStyle w:val="Heading4"/>
      </w:pPr>
      <w:r>
        <w:t>Final decision in relation to nicotine (heated tobacco products)</w:t>
      </w:r>
    </w:p>
    <w:p w14:paraId="4AB85D4F" w14:textId="14C6113E" w:rsidR="00F86D1E" w:rsidRDefault="00070EF7" w:rsidP="00B94F6F">
      <w:pPr>
        <w:pStyle w:val="Heading5"/>
      </w:pPr>
      <w:r>
        <w:t>Final d</w:t>
      </w:r>
      <w:r w:rsidR="00F86D1E">
        <w:t>ecision</w:t>
      </w:r>
    </w:p>
    <w:p w14:paraId="1DE08F0C" w14:textId="459A1D18" w:rsidR="00F86D1E" w:rsidRDefault="00F86D1E" w:rsidP="00F86D1E">
      <w:r>
        <w:t>Pursuant to regulation 42ZCZR of the Regulations, a Delegate of the Secretary has made a final decision to confirm the interim decision, which is not to amend the current scheduling of nicotine in the Poisons Standard, specifically, not exempt from Schedule 7 nicotine when in tobacco when prepared and packed for heating</w:t>
      </w:r>
      <w:r w:rsidR="00070EF7">
        <w:t>.</w:t>
      </w:r>
    </w:p>
    <w:p w14:paraId="4ADC6FB0" w14:textId="0DA74C84" w:rsidR="00F86D1E" w:rsidRDefault="00070EF7" w:rsidP="00B94F6F">
      <w:pPr>
        <w:pStyle w:val="Heading5"/>
      </w:pPr>
      <w:r>
        <w:t>Materials considered</w:t>
      </w:r>
    </w:p>
    <w:p w14:paraId="05B592D9" w14:textId="77777777" w:rsidR="00F86D1E" w:rsidRDefault="00F86D1E" w:rsidP="00F86D1E">
      <w:r>
        <w:t>In making this final decision, the Delegate considered the following material:</w:t>
      </w:r>
    </w:p>
    <w:p w14:paraId="21CF557E" w14:textId="77777777" w:rsidR="00F86D1E" w:rsidRDefault="00F86D1E" w:rsidP="00C31E2C">
      <w:pPr>
        <w:pStyle w:val="ListBullet"/>
        <w:numPr>
          <w:ilvl w:val="0"/>
          <w:numId w:val="29"/>
        </w:numPr>
      </w:pPr>
      <w:r>
        <w:t xml:space="preserve">The </w:t>
      </w:r>
      <w:hyperlink r:id="rId92" w:history="1">
        <w:r>
          <w:rPr>
            <w:rStyle w:val="Hyperlink"/>
          </w:rPr>
          <w:t>application</w:t>
        </w:r>
      </w:hyperlink>
      <w:r>
        <w:t xml:space="preserve"> to amend the current Poisons Standard with respect to nicotine (heated tobacco products);</w:t>
      </w:r>
    </w:p>
    <w:p w14:paraId="2A0F8144" w14:textId="77777777" w:rsidR="00F86D1E" w:rsidRDefault="00F86D1E" w:rsidP="00C31E2C">
      <w:pPr>
        <w:pStyle w:val="ListBullet"/>
        <w:numPr>
          <w:ilvl w:val="0"/>
          <w:numId w:val="29"/>
        </w:numPr>
      </w:pPr>
      <w:r>
        <w:t xml:space="preserve">The 36 </w:t>
      </w:r>
      <w:hyperlink r:id="rId93" w:history="1">
        <w:r>
          <w:rPr>
            <w:rStyle w:val="Hyperlink"/>
          </w:rPr>
          <w:t>public submissions</w:t>
        </w:r>
      </w:hyperlink>
      <w:r>
        <w:t xml:space="preserve"> received in response to the </w:t>
      </w:r>
      <w:hyperlink r:id="rId94" w:history="1">
        <w:r>
          <w:rPr>
            <w:rStyle w:val="Hyperlink"/>
          </w:rPr>
          <w:t>pre-meeting consultation</w:t>
        </w:r>
      </w:hyperlink>
      <w:r>
        <w:rPr>
          <w:rStyle w:val="Hyperlink"/>
        </w:rPr>
        <w:t xml:space="preserve"> </w:t>
      </w:r>
      <w:r>
        <w:t>under regulation 42ZCZK of the Regulations;</w:t>
      </w:r>
    </w:p>
    <w:p w14:paraId="2FDED3EA" w14:textId="77777777" w:rsidR="00F86D1E" w:rsidRDefault="00F86D1E" w:rsidP="00C31E2C">
      <w:pPr>
        <w:pStyle w:val="ListBullet"/>
        <w:numPr>
          <w:ilvl w:val="0"/>
          <w:numId w:val="29"/>
        </w:numPr>
      </w:pPr>
      <w:r>
        <w:t>The advice received from the Joint meeting of the Advisory Committees on Medicines and Chemicals Scheduling (Joint ACMS-ACCS#24);</w:t>
      </w:r>
    </w:p>
    <w:p w14:paraId="1274730E" w14:textId="77777777" w:rsidR="00F86D1E" w:rsidRDefault="00F86D1E" w:rsidP="00C31E2C">
      <w:pPr>
        <w:pStyle w:val="ListBullet"/>
        <w:numPr>
          <w:ilvl w:val="0"/>
          <w:numId w:val="29"/>
        </w:numPr>
      </w:pPr>
      <w:r>
        <w:t>The 85 public submissions received in response to the interim decision consultation under regulation 42ZCZP of the Regulations;</w:t>
      </w:r>
    </w:p>
    <w:p w14:paraId="186E98A9" w14:textId="77777777" w:rsidR="00F86D1E" w:rsidRDefault="00F86D1E" w:rsidP="00C31E2C">
      <w:pPr>
        <w:pStyle w:val="ListBullet"/>
        <w:numPr>
          <w:ilvl w:val="0"/>
          <w:numId w:val="29"/>
        </w:numPr>
      </w:pPr>
      <w:r>
        <w:t xml:space="preserve">Subsection 52E(1) of </w:t>
      </w:r>
      <w:r w:rsidRPr="00C31E2C">
        <w:rPr>
          <w:i/>
        </w:rPr>
        <w:t>the Therapeutic Goods Act 1989</w:t>
      </w:r>
      <w:r>
        <w:t>, in particular (a) the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 any other matters considered necessary to protect public health;</w:t>
      </w:r>
    </w:p>
    <w:p w14:paraId="65E34430" w14:textId="77777777" w:rsidR="00F86D1E" w:rsidRDefault="00F86D1E" w:rsidP="00C31E2C">
      <w:pPr>
        <w:pStyle w:val="ListBullet"/>
        <w:numPr>
          <w:ilvl w:val="0"/>
          <w:numId w:val="29"/>
        </w:numPr>
      </w:pPr>
      <w:r>
        <w:t xml:space="preserve">The Australian Health Ministers’ Advisory Council’s </w:t>
      </w:r>
      <w:hyperlink r:id="rId95" w:history="1">
        <w:r>
          <w:rPr>
            <w:rStyle w:val="Hyperlink"/>
          </w:rPr>
          <w:t>Scheduling Policy Framework</w:t>
        </w:r>
      </w:hyperlink>
      <w:r>
        <w:t xml:space="preserve"> (SPF 2018);</w:t>
      </w:r>
    </w:p>
    <w:p w14:paraId="5ABBD980" w14:textId="77777777" w:rsidR="00F86D1E" w:rsidRDefault="00F86D1E" w:rsidP="00C31E2C">
      <w:pPr>
        <w:pStyle w:val="ListBullet"/>
        <w:numPr>
          <w:ilvl w:val="0"/>
          <w:numId w:val="29"/>
        </w:numPr>
      </w:pPr>
      <w:r>
        <w:t xml:space="preserve">The </w:t>
      </w:r>
      <w:hyperlink r:id="rId96" w:history="1">
        <w:r>
          <w:rPr>
            <w:rStyle w:val="Hyperlink"/>
          </w:rPr>
          <w:t>Scheduling handbook: Guidance for amending the Poisons Standard</w:t>
        </w:r>
      </w:hyperlink>
      <w:r>
        <w:t>;</w:t>
      </w:r>
    </w:p>
    <w:p w14:paraId="7393EB33" w14:textId="77777777" w:rsidR="00F86D1E" w:rsidRDefault="00755907" w:rsidP="00C31E2C">
      <w:pPr>
        <w:pStyle w:val="ListBullet"/>
        <w:numPr>
          <w:ilvl w:val="0"/>
          <w:numId w:val="29"/>
        </w:numPr>
      </w:pPr>
      <w:hyperlink r:id="rId97" w:history="1">
        <w:r w:rsidR="00F86D1E">
          <w:rPr>
            <w:rStyle w:val="Hyperlink"/>
          </w:rPr>
          <w:t>World Health Organisation Heated tobacco products (HTPs)</w:t>
        </w:r>
      </w:hyperlink>
      <w:r w:rsidR="00F86D1E">
        <w:t xml:space="preserve"> market monitoring information sheet;</w:t>
      </w:r>
    </w:p>
    <w:p w14:paraId="0CB2EC5B" w14:textId="77777777" w:rsidR="00F86D1E" w:rsidRDefault="00755907" w:rsidP="00C31E2C">
      <w:pPr>
        <w:pStyle w:val="ListBullet"/>
        <w:numPr>
          <w:ilvl w:val="0"/>
          <w:numId w:val="29"/>
        </w:numPr>
      </w:pPr>
      <w:hyperlink r:id="rId98" w:history="1">
        <w:r w:rsidR="00F86D1E">
          <w:rPr>
            <w:rStyle w:val="Hyperlink"/>
          </w:rPr>
          <w:t>PMI’s own</w:t>
        </w:r>
        <w:r w:rsidR="00F86D1E" w:rsidRPr="00C31E2C">
          <w:rPr>
            <w:rStyle w:val="Hyperlink"/>
            <w:i/>
          </w:rPr>
          <w:t xml:space="preserve"> in vivo</w:t>
        </w:r>
        <w:r w:rsidR="00F86D1E">
          <w:rPr>
            <w:rStyle w:val="Hyperlink"/>
          </w:rPr>
          <w:t xml:space="preserve"> clinical data on biomarkers of potential harm in Americans</w:t>
        </w:r>
      </w:hyperlink>
      <w:r w:rsidR="00F86D1E">
        <w:t xml:space="preserve"> an  analysis of Phillip Morris International data which shows their tobacco heating system is not detectably different from conventional cigarettes;</w:t>
      </w:r>
    </w:p>
    <w:p w14:paraId="47221708" w14:textId="77777777" w:rsidR="00F86D1E" w:rsidRDefault="00755907" w:rsidP="00C31E2C">
      <w:pPr>
        <w:pStyle w:val="ListBullet"/>
        <w:numPr>
          <w:ilvl w:val="0"/>
          <w:numId w:val="29"/>
        </w:numPr>
      </w:pPr>
      <w:hyperlink r:id="rId99" w:history="1">
        <w:r w:rsidR="00F86D1E">
          <w:rPr>
            <w:rStyle w:val="Hyperlink"/>
          </w:rPr>
          <w:t>US Food &amp; Drug Administration (FDA) News Release</w:t>
        </w:r>
      </w:hyperlink>
      <w:r w:rsidR="00F86D1E">
        <w:t xml:space="preserve"> dated 30 April 2019: FDA permits sale of IQOS Tobacco Heating System through premarket tobacco product application pathway;</w:t>
      </w:r>
    </w:p>
    <w:p w14:paraId="01DA5BB0" w14:textId="77777777" w:rsidR="00F86D1E" w:rsidRDefault="00F86D1E" w:rsidP="00C31E2C">
      <w:pPr>
        <w:pStyle w:val="ListBullet"/>
        <w:numPr>
          <w:ilvl w:val="0"/>
          <w:numId w:val="29"/>
        </w:numPr>
      </w:pPr>
      <w:r>
        <w:t xml:space="preserve">The </w:t>
      </w:r>
      <w:hyperlink r:id="rId100" w:history="1">
        <w:r>
          <w:rPr>
            <w:rStyle w:val="Hyperlink"/>
          </w:rPr>
          <w:t>Analysis of FDA’s IQOS marketing authorisation and its policy impacts</w:t>
        </w:r>
      </w:hyperlink>
      <w:r>
        <w:t xml:space="preserve"> which found that the evidence PMPSA submitted did not demonstrate reduction in long-term disease risks and that IQOS aerosol emits toxins with carcinogenic and genotoxic potential. This research also outlined further risks to users, including hepatotoxic, cardiovascular and pulmonary risks.</w:t>
      </w:r>
    </w:p>
    <w:p w14:paraId="30FC10E2" w14:textId="77777777" w:rsidR="00F86D1E" w:rsidRDefault="00755907" w:rsidP="00C31E2C">
      <w:pPr>
        <w:pStyle w:val="ListBullet"/>
        <w:numPr>
          <w:ilvl w:val="0"/>
          <w:numId w:val="29"/>
        </w:numPr>
      </w:pPr>
      <w:hyperlink r:id="rId101" w:history="1">
        <w:r w:rsidR="00F86D1E" w:rsidRPr="00C31E2C">
          <w:rPr>
            <w:rStyle w:val="Hyperlink"/>
            <w:rFonts w:cs="Arial"/>
            <w:lang w:val="en"/>
          </w:rPr>
          <w:t>FDA Authorizes Marketing of IQOS Tobacco Heating System with ‘Reduced Exposure’ Information</w:t>
        </w:r>
      </w:hyperlink>
      <w:r w:rsidR="00F86D1E" w:rsidRPr="00C31E2C">
        <w:rPr>
          <w:rFonts w:cs="Arial"/>
          <w:color w:val="333333"/>
          <w:lang w:val="en"/>
        </w:rPr>
        <w:t xml:space="preserve"> from 7 July notes that </w:t>
      </w:r>
      <w:proofErr w:type="spellStart"/>
      <w:r w:rsidR="00F86D1E" w:rsidRPr="00C31E2C">
        <w:rPr>
          <w:rFonts w:cs="Arial"/>
          <w:color w:val="333333"/>
          <w:lang w:val="en"/>
        </w:rPr>
        <w:t>authorisation</w:t>
      </w:r>
      <w:proofErr w:type="spellEnd"/>
      <w:r w:rsidR="00F86D1E" w:rsidRPr="00C31E2C">
        <w:rPr>
          <w:rFonts w:cs="Arial"/>
          <w:color w:val="333333"/>
          <w:lang w:val="en"/>
        </w:rPr>
        <w:t xml:space="preserve"> for HTP now includes requirements for the company to conduct post market surveillance, including monitoring its increased use amongst youth.</w:t>
      </w:r>
    </w:p>
    <w:p w14:paraId="51206C72" w14:textId="77777777" w:rsidR="00F86D1E" w:rsidRDefault="00755907" w:rsidP="00C31E2C">
      <w:pPr>
        <w:pStyle w:val="ListBullet"/>
        <w:numPr>
          <w:ilvl w:val="0"/>
          <w:numId w:val="29"/>
        </w:numPr>
      </w:pPr>
      <w:hyperlink r:id="rId102" w:history="1">
        <w:r w:rsidR="00F86D1E">
          <w:rPr>
            <w:rStyle w:val="Hyperlink"/>
          </w:rPr>
          <w:t xml:space="preserve">PMI’s heated tobacco products marketing claims of reduced risk and reduced exposure may entice youth to try </w:t>
        </w:r>
        <w:proofErr w:type="gramStart"/>
        <w:r w:rsidR="00F86D1E">
          <w:rPr>
            <w:rStyle w:val="Hyperlink"/>
          </w:rPr>
          <w:t>and</w:t>
        </w:r>
        <w:proofErr w:type="gramEnd"/>
        <w:r w:rsidR="00F86D1E">
          <w:rPr>
            <w:rStyle w:val="Hyperlink"/>
          </w:rPr>
          <w:t xml:space="preserve"> continue using these products</w:t>
        </w:r>
      </w:hyperlink>
      <w:r w:rsidR="00F86D1E">
        <w:t xml:space="preserve"> from the British Medical Journal, assessed the potential misunderstanding of reduced risk claims of HTP and thereby increasing the risk of tobacco initiation.</w:t>
      </w:r>
    </w:p>
    <w:p w14:paraId="63ED20B0" w14:textId="77777777" w:rsidR="00F86D1E" w:rsidRDefault="00755907" w:rsidP="00C31E2C">
      <w:pPr>
        <w:pStyle w:val="ListBullet"/>
        <w:numPr>
          <w:ilvl w:val="0"/>
          <w:numId w:val="29"/>
        </w:numPr>
        <w:rPr>
          <w:rStyle w:val="Hyperlink"/>
        </w:rPr>
      </w:pPr>
      <w:hyperlink r:id="rId103" w:history="1">
        <w:r w:rsidR="00F86D1E">
          <w:rPr>
            <w:rStyle w:val="Hyperlink"/>
          </w:rPr>
          <w:t>WHO statement on heated tobacco products and the US FDA decision regarding IQOS</w:t>
        </w:r>
      </w:hyperlink>
    </w:p>
    <w:p w14:paraId="1B0BE086" w14:textId="77777777" w:rsidR="00F86D1E" w:rsidRDefault="00F86D1E" w:rsidP="00C31E2C">
      <w:pPr>
        <w:pStyle w:val="ListBullet"/>
        <w:numPr>
          <w:ilvl w:val="0"/>
          <w:numId w:val="29"/>
        </w:numPr>
      </w:pPr>
      <w:r w:rsidRPr="00C31E2C">
        <w:rPr>
          <w:lang w:val="en-US"/>
        </w:rPr>
        <w:t xml:space="preserve">The WHO, 2020, </w:t>
      </w:r>
      <w:hyperlink r:id="rId104" w:history="1">
        <w:r>
          <w:rPr>
            <w:rStyle w:val="Hyperlink"/>
          </w:rPr>
          <w:t>Heated tobacco products: A</w:t>
        </w:r>
      </w:hyperlink>
      <w:r>
        <w:rPr>
          <w:rStyle w:val="Hyperlink"/>
        </w:rPr>
        <w:t xml:space="preserve"> brief</w:t>
      </w:r>
      <w:r>
        <w:t xml:space="preserve"> which recommends the preventing the introduction of HTPs.</w:t>
      </w:r>
    </w:p>
    <w:p w14:paraId="31B12D54" w14:textId="77777777" w:rsidR="00F86D1E" w:rsidRDefault="00755907" w:rsidP="00C31E2C">
      <w:pPr>
        <w:pStyle w:val="ListBullet"/>
        <w:numPr>
          <w:ilvl w:val="0"/>
          <w:numId w:val="29"/>
        </w:numPr>
      </w:pPr>
      <w:hyperlink r:id="rId105" w:history="1">
        <w:r w:rsidR="00F86D1E">
          <w:rPr>
            <w:rStyle w:val="Hyperlink"/>
          </w:rPr>
          <w:t>Heated tobacco products: information sheet – 2</w:t>
        </w:r>
        <w:r w:rsidR="00F86D1E" w:rsidRPr="00C31E2C">
          <w:rPr>
            <w:rStyle w:val="Hyperlink"/>
            <w:vertAlign w:val="superscript"/>
          </w:rPr>
          <w:t>nd</w:t>
        </w:r>
        <w:r w:rsidR="00F86D1E">
          <w:rPr>
            <w:rStyle w:val="Hyperlink"/>
          </w:rPr>
          <w:t xml:space="preserve"> edition</w:t>
        </w:r>
      </w:hyperlink>
      <w:r w:rsidR="00F86D1E">
        <w:t xml:space="preserve"> from the World Health Organisation (WHO) 10 July </w:t>
      </w:r>
      <w:proofErr w:type="gramStart"/>
      <w:r w:rsidR="00F86D1E">
        <w:t>2020 which</w:t>
      </w:r>
      <w:proofErr w:type="gramEnd"/>
      <w:r w:rsidR="00F86D1E">
        <w:t xml:space="preserve"> states there is no evidence to demonstrate that HTPs are less harmful than conventional tobacco products. This information sheet also states that all forms of tobacco are harmful, inherently toxic and contains carcinogens, even in its natural form.</w:t>
      </w:r>
    </w:p>
    <w:p w14:paraId="7524AF47" w14:textId="77777777" w:rsidR="00F86D1E" w:rsidRDefault="00F86D1E" w:rsidP="00C31E2C">
      <w:pPr>
        <w:pStyle w:val="ListBullet"/>
        <w:numPr>
          <w:ilvl w:val="0"/>
          <w:numId w:val="29"/>
        </w:numPr>
      </w:pPr>
      <w:r>
        <w:t xml:space="preserve">The </w:t>
      </w:r>
      <w:hyperlink r:id="rId106" w:history="1">
        <w:r>
          <w:rPr>
            <w:rStyle w:val="Hyperlink"/>
          </w:rPr>
          <w:t>Australian Institute of Health and Welfare National Drug Strategy Household Survey 2019 report</w:t>
        </w:r>
      </w:hyperlink>
      <w:proofErr w:type="gramStart"/>
      <w:r>
        <w:t xml:space="preserve"> which shows a decrease in smoking</w:t>
      </w:r>
      <w:proofErr w:type="gramEnd"/>
      <w:r>
        <w:t xml:space="preserve"> rates in Australia.</w:t>
      </w:r>
    </w:p>
    <w:p w14:paraId="1B6526BD" w14:textId="77777777" w:rsidR="00F86D1E" w:rsidRDefault="00F86D1E" w:rsidP="00C31E2C">
      <w:pPr>
        <w:pStyle w:val="ListBullet"/>
        <w:numPr>
          <w:ilvl w:val="0"/>
          <w:numId w:val="29"/>
        </w:numPr>
      </w:pPr>
      <w:r w:rsidRPr="00C31E2C">
        <w:rPr>
          <w:lang w:val="en-US"/>
        </w:rPr>
        <w:t xml:space="preserve">The Centers for Disease Control and Prevention webpage on </w:t>
      </w:r>
      <w:hyperlink r:id="rId107" w:history="1">
        <w:r w:rsidRPr="00C31E2C">
          <w:rPr>
            <w:rStyle w:val="Hyperlink"/>
            <w:lang w:val="en-US"/>
          </w:rPr>
          <w:t>Heated Tobacco Products</w:t>
        </w:r>
      </w:hyperlink>
      <w:r w:rsidRPr="00C31E2C">
        <w:rPr>
          <w:lang w:val="en-US"/>
        </w:rPr>
        <w:t xml:space="preserve"> from 17 July </w:t>
      </w:r>
      <w:proofErr w:type="gramStart"/>
      <w:r w:rsidRPr="00C31E2C">
        <w:rPr>
          <w:lang w:val="en-US"/>
        </w:rPr>
        <w:t>2020 which</w:t>
      </w:r>
      <w:proofErr w:type="gramEnd"/>
      <w:r w:rsidRPr="00C31E2C">
        <w:rPr>
          <w:lang w:val="en-US"/>
        </w:rPr>
        <w:t xml:space="preserve"> advises that the use of any tobacco product - including heated tobacco products - is harmful.</w:t>
      </w:r>
    </w:p>
    <w:p w14:paraId="128BE286" w14:textId="77777777" w:rsidR="00F86D1E" w:rsidRDefault="00F86D1E" w:rsidP="00B94F6F">
      <w:pPr>
        <w:pStyle w:val="Heading5"/>
      </w:pPr>
      <w:r>
        <w:t>Reasons for the final decision (including findings on material questions of fact)</w:t>
      </w:r>
    </w:p>
    <w:p w14:paraId="1B7DFB8F" w14:textId="60863110" w:rsidR="00F86D1E" w:rsidRDefault="00F86D1E" w:rsidP="00F86D1E">
      <w:r>
        <w:t xml:space="preserve">I have made a final decision to confirm my </w:t>
      </w:r>
      <w:hyperlink r:id="rId108" w:history="1">
        <w:r>
          <w:rPr>
            <w:rStyle w:val="Hyperlink"/>
          </w:rPr>
          <w:t>interim decision</w:t>
        </w:r>
      </w:hyperlink>
      <w:r>
        <w:rPr>
          <w:rStyle w:val="Hyperlink"/>
        </w:rPr>
        <w:t>,</w:t>
      </w:r>
      <w:r>
        <w:t xml:space="preserve"> which is not to amend the current scheduling of nicotine in the Poisons Standard, specifically, not exempt from Schedule 7 nicotine when in tobacco when prepared and packed for </w:t>
      </w:r>
      <w:r w:rsidR="00070EF7">
        <w:t xml:space="preserve">heating. </w:t>
      </w:r>
      <w:r>
        <w:t>In making my final decision, and further to the reasons set out in my interim decision, I have taken into consideration the 85 public submissions received before the second closing date in response to the call for further submissions published on 10 June 2020 under regulation 42ZCZQ of the Regulations.</w:t>
      </w:r>
    </w:p>
    <w:p w14:paraId="4B285E5C" w14:textId="6DBDCF0B" w:rsidR="00F86D1E" w:rsidRDefault="00F86D1E" w:rsidP="00F86D1E">
      <w:r>
        <w:t>I note the submissions from the Lung Foundation, Cancer Council Australia, Australian Council on Health and Smoking and National Heart Foundation supported the interim decision, reiterating their strong concerns about the public health risks of exempting heated tobacco products from scheduling. There was one submission from a consumer who was concerned about the use of ni</w:t>
      </w:r>
      <w:r w:rsidR="00070EF7">
        <w:t>cotine products amongst youths.</w:t>
      </w:r>
    </w:p>
    <w:p w14:paraId="66B8DF36" w14:textId="50503CBB" w:rsidR="00F86D1E" w:rsidRDefault="00F86D1E" w:rsidP="00F86D1E">
      <w:r>
        <w:t>I have considered the 82 submissions that opposed my interim decision, including 77 submissions from individuals who, in general, had family members who were trying to quit smoking or were smokers themselves, and were advocating for access to heated tobacco products (HTPs) or e-cigarettes as an alterna</w:t>
      </w:r>
      <w:r w:rsidR="00070EF7">
        <w:t xml:space="preserve">tive to smoking. </w:t>
      </w:r>
      <w:r>
        <w:t xml:space="preserve">I note the five submissions from peak bodies and researchers opposing the interim decision, which outlined similar arguments as made in previous opposing submissions received in response to the </w:t>
      </w:r>
      <w:hyperlink r:id="rId109" w:history="1">
        <w:r>
          <w:rPr>
            <w:rStyle w:val="Hyperlink"/>
          </w:rPr>
          <w:t>pre-meeting consultation</w:t>
        </w:r>
      </w:hyperlink>
      <w:r>
        <w:rPr>
          <w:rStyle w:val="Hyperlink"/>
        </w:rPr>
        <w:t xml:space="preserve"> </w:t>
      </w:r>
      <w:r>
        <w:t>under regulat</w:t>
      </w:r>
      <w:r w:rsidR="00070EF7">
        <w:t>ion 42ZCZK of the Regulations.</w:t>
      </w:r>
    </w:p>
    <w:p w14:paraId="5D581B1E" w14:textId="24C997C4" w:rsidR="00F86D1E" w:rsidRDefault="00F86D1E" w:rsidP="00F86D1E">
      <w:r>
        <w:t>I have considered the applicant’s submission in response to my interim decision, which, in my assessment, does not present compelling evidence to establish a public health benefit from greater access to nicotine in HTPs. There are a number of assertions made by the applicant, which I</w:t>
      </w:r>
      <w:r w:rsidR="00070EF7">
        <w:t xml:space="preserve"> will specifically comment </w:t>
      </w:r>
      <w:proofErr w:type="gramStart"/>
      <w:r w:rsidR="00070EF7">
        <w:t>on</w:t>
      </w:r>
      <w:proofErr w:type="gramEnd"/>
      <w:r w:rsidR="00070EF7">
        <w:t>:</w:t>
      </w:r>
    </w:p>
    <w:p w14:paraId="18153B72" w14:textId="030D6A7E" w:rsidR="00F86D1E" w:rsidRDefault="00F86D1E" w:rsidP="00070EF7">
      <w:pPr>
        <w:pStyle w:val="ListBullet"/>
      </w:pPr>
      <w:r>
        <w:t xml:space="preserve">The statement by the applicant that smoking rates in Australia have stagnated over recent years is not supported by recent data from the Australian Institute of Health and Welfare </w:t>
      </w:r>
      <w:r>
        <w:lastRenderedPageBreak/>
        <w:t>(AIHW)</w:t>
      </w:r>
      <w:r>
        <w:rPr>
          <w:rStyle w:val="FootnoteReference"/>
        </w:rPr>
        <w:footnoteReference w:id="1"/>
      </w:r>
      <w:r>
        <w:t xml:space="preserve">. The AIHW data shows a decrease in smoking rates from 12.2 % in 2016 to 11 % in 2019, which demonstrates that smoking rates in Australia continue to decline. I note this is a 9.8% </w:t>
      </w:r>
      <w:r w:rsidR="00070EF7">
        <w:t>decrease since the 2016 survey.</w:t>
      </w:r>
    </w:p>
    <w:p w14:paraId="01964D53" w14:textId="77777777" w:rsidR="00F86D1E" w:rsidRDefault="00F86D1E" w:rsidP="00070EF7">
      <w:pPr>
        <w:pStyle w:val="ListBullet"/>
      </w:pPr>
      <w:r>
        <w:t>The applicant contends that their product contains less nicotine than conventional cigarettes, making it safer in the case of accidental paediatric exposure. As scheduling affects substances rather than an individual product, I have taken into account that the concentration of nicotine in HTP products, more broadly, is variable and potentially higher than in cigarettes. I remain concerned that HTPs may increase the risk of exposure to greater quantities of nicotine in accidental paediatric exposures.</w:t>
      </w:r>
    </w:p>
    <w:p w14:paraId="7E211282" w14:textId="06A4CDE4" w:rsidR="00F86D1E" w:rsidRDefault="00F86D1E" w:rsidP="00F86D1E">
      <w:r>
        <w:t>I have further considered the regulatory status of HTPs internationally and the guidance from the CDC</w:t>
      </w:r>
      <w:r>
        <w:rPr>
          <w:rStyle w:val="FootnoteReference"/>
        </w:rPr>
        <w:footnoteReference w:id="2"/>
      </w:r>
      <w:r>
        <w:t xml:space="preserve"> and WHO</w:t>
      </w:r>
      <w:r>
        <w:rPr>
          <w:rStyle w:val="FootnoteReference"/>
        </w:rPr>
        <w:footnoteReference w:id="3"/>
      </w:r>
      <w:r>
        <w:t>. I note the recent US FDA authorisation of the marketing</w:t>
      </w:r>
      <w:r>
        <w:rPr>
          <w:rStyle w:val="FootnoteReference"/>
        </w:rPr>
        <w:footnoteReference w:id="4"/>
      </w:r>
      <w:r>
        <w:t xml:space="preserve"> of the IQOS tobacco heating system with ‘reduced exposure’ information. The FDA states: “</w:t>
      </w:r>
      <w:r>
        <w:rPr>
          <w:rStyle w:val="Strong"/>
          <w:rFonts w:cs="Helvetica"/>
          <w:color w:val="333333"/>
          <w:sz w:val="21"/>
          <w:szCs w:val="21"/>
          <w:lang w:val="en"/>
        </w:rPr>
        <w:t xml:space="preserve">these products are not safe, so people, especially young people, who do not currently use tobacco </w:t>
      </w:r>
      <w:proofErr w:type="gramStart"/>
      <w:r>
        <w:rPr>
          <w:rStyle w:val="Strong"/>
          <w:rFonts w:cs="Helvetica"/>
          <w:color w:val="333333"/>
          <w:sz w:val="21"/>
          <w:szCs w:val="21"/>
          <w:lang w:val="en"/>
        </w:rPr>
        <w:t>products</w:t>
      </w:r>
      <w:proofErr w:type="gramEnd"/>
      <w:r>
        <w:rPr>
          <w:rStyle w:val="Strong"/>
          <w:rFonts w:cs="Helvetica"/>
          <w:color w:val="333333"/>
          <w:sz w:val="21"/>
          <w:szCs w:val="21"/>
          <w:lang w:val="en"/>
        </w:rPr>
        <w:t xml:space="preserve"> should not start using them or any other tobacco product.”</w:t>
      </w:r>
      <w:r>
        <w:rPr>
          <w:lang w:val="en"/>
        </w:rPr>
        <w:t xml:space="preserve"> </w:t>
      </w:r>
      <w:r>
        <w:t xml:space="preserve">I note that the FDA will closely monitor these products post-market, including the potential for use among youth. I also note that the FDA did not issue a risk modification order. As such, </w:t>
      </w:r>
      <w:r>
        <w:rPr>
          <w:rFonts w:cs="Helvetica"/>
          <w:color w:val="333333"/>
          <w:sz w:val="21"/>
          <w:szCs w:val="21"/>
          <w:lang w:val="en"/>
        </w:rPr>
        <w:t xml:space="preserve">the exposure modification orders do not permit the company to make any other modified risk claims or any express or implied statements that could mislead consumers into believing that the products are endorsed or approved by the FDA, or that the FDA deems the products to be safe for use by consumers. </w:t>
      </w:r>
      <w:r>
        <w:t>I note the WHO statement regarding heated tobacco products and the US FDA decision on IQOS, reiterates that reducing exposure to harmful chemicals in HTPs does not render them harmless, nor does it translate t</w:t>
      </w:r>
      <w:r w:rsidR="00070EF7">
        <w:t>o reduced risk to human health.</w:t>
      </w:r>
    </w:p>
    <w:p w14:paraId="55D00F9F" w14:textId="77777777" w:rsidR="00F86D1E" w:rsidRDefault="00F86D1E" w:rsidP="00F86D1E">
      <w:proofErr w:type="gramStart"/>
      <w:r>
        <w:t>Having considered the Applicant's proposal, including the data provided with the application and their submission on the interim decision, I reiterate my finding that there are significant safety concerns with HTPs, notably as identified by the Committee, the various risks of use of nicotine when in tobacco when prepared and packed for heating, its toxicity and the potential for abuse with no demonstrated benefit of its use.</w:t>
      </w:r>
      <w:proofErr w:type="gramEnd"/>
      <w:r>
        <w:t xml:space="preserve"> In this regard, I consider that the Applicant's focus on using tobacco cigarettes as a relevant comparator is too narrow and does not fully reflect the matters I am required to take into account, under subsection 52E(1), when making a decision to amend the Poisons Standard.</w:t>
      </w:r>
    </w:p>
    <w:p w14:paraId="29F418A9" w14:textId="76927D40" w:rsidR="00F86D1E" w:rsidRDefault="00F86D1E" w:rsidP="00F86D1E">
      <w:r>
        <w:t>None of the submissions provided have change</w:t>
      </w:r>
      <w:r w:rsidR="00755907">
        <w:t>d</w:t>
      </w:r>
      <w:bookmarkStart w:id="32" w:name="_GoBack"/>
      <w:bookmarkEnd w:id="32"/>
      <w:r>
        <w:t xml:space="preserve"> my assessment that nicotine presents a severe hazard from repeated use leading to potential addiction and a significant risk of producing irreversible toxicity, which may involve serious, acute or chronic health risks or death. I </w:t>
      </w:r>
      <w:proofErr w:type="gramStart"/>
      <w:r>
        <w:t>am not persuaded</w:t>
      </w:r>
      <w:proofErr w:type="gramEnd"/>
      <w:r>
        <w:t xml:space="preserve"> that HTPs would not attract 'never smokers' including youth. </w:t>
      </w:r>
      <w:proofErr w:type="gramStart"/>
      <w:r>
        <w:t>In this regard, I note that the application, if agreed, would exempt nicotine when in tobacco when prepared and packed for heating from all regulation as a poison, which would allow anyone, including previous or non-smokers, to access these products and potentially expose a new cohort to the health risks arising from the use of tobacco If exempted from scheduling, there would be no ability to restrict the supply of HT</w:t>
      </w:r>
      <w:r w:rsidR="00070EF7">
        <w:t>Ps to smokers seeking to quit.</w:t>
      </w:r>
      <w:proofErr w:type="gramEnd"/>
    </w:p>
    <w:p w14:paraId="1462D354" w14:textId="77777777" w:rsidR="00F86D1E" w:rsidRDefault="00F86D1E" w:rsidP="00F86D1E">
      <w:r>
        <w:t>Further, I am satisfied that HTPs can expose users long term to a range of known and unknown toxicants. I am not satisfied that the dosage, formulation, packaging and presentation of nicotine in HTPs mitigates the risk profile of nicotine such as to warrant a less restrictive scheduling classification than is currently in place.</w:t>
      </w:r>
    </w:p>
    <w:p w14:paraId="1ABEF91E" w14:textId="5E86C159" w:rsidR="00F86D1E" w:rsidRDefault="00F86D1E" w:rsidP="00F86D1E">
      <w:pPr>
        <w:spacing w:before="0" w:after="0" w:line="240" w:lineRule="auto"/>
      </w:pPr>
      <w:r>
        <w:t xml:space="preserve">I reiterate my finding from the interim decision that I am not satisfied that there is a net public health benefit from wider availability of nicotine in the form of HTPs. I do not consider that HTPs </w:t>
      </w:r>
      <w:r>
        <w:lastRenderedPageBreak/>
        <w:t xml:space="preserve">would make a significant contribution to population harm reduction if I agreed to amend the Poisons Standard as proposed in the application. I consider that maintaining the current scheduling for HTPs is necessary to protect public health from the risks associated with introducing a new nicotine product for non-therapeutic use. I note that the current pathway to supply Schedule 4 nicotine products for smoking cessation is available for HTPs. An application for registration on the ARTG </w:t>
      </w:r>
      <w:proofErr w:type="gramStart"/>
      <w:r>
        <w:t>could be made</w:t>
      </w:r>
      <w:proofErr w:type="gramEnd"/>
      <w:r>
        <w:t>, which would involve assessment of the safety, efficacy and quality by the TGA, consistent with the requirements for existing nicotine replacement products. Should current smokers wish use HTPs as a method to quit smoking, unregistered HTPs are accessible with a prescription under Schedule 4, consistent with the scheduling of  e-cigarettes containing nicotine.</w:t>
      </w:r>
    </w:p>
    <w:p w14:paraId="2B67B550" w14:textId="32FC2FCC" w:rsidR="00F86D1E" w:rsidRDefault="00070EF7" w:rsidP="00B94F6F">
      <w:pPr>
        <w:pStyle w:val="Heading5"/>
      </w:pPr>
      <w:r>
        <w:t>Date of effect of the decision</w:t>
      </w:r>
    </w:p>
    <w:p w14:paraId="44A3877E" w14:textId="77777777" w:rsidR="00F86D1E" w:rsidRDefault="00F86D1E" w:rsidP="00F86D1E">
      <w:r>
        <w:rPr>
          <w:b/>
        </w:rPr>
        <w:t>24 August 2020</w:t>
      </w:r>
    </w:p>
    <w:p w14:paraId="742EAB1E" w14:textId="77777777" w:rsidR="00327B11" w:rsidRDefault="00327B11" w:rsidP="00070EF7">
      <w:pPr>
        <w:pStyle w:val="Heading4"/>
      </w:pPr>
      <w:r>
        <w:t xml:space="preserve">Final decision in relation to </w:t>
      </w:r>
      <w:r w:rsidRPr="00A30E56">
        <w:t>pentobarbital</w:t>
      </w:r>
    </w:p>
    <w:p w14:paraId="3D679A34" w14:textId="471DEC31" w:rsidR="00327B11" w:rsidRPr="008036B7" w:rsidRDefault="00070EF7" w:rsidP="00B94F6F">
      <w:pPr>
        <w:pStyle w:val="Heading5"/>
      </w:pPr>
      <w:r>
        <w:t>Final decision</w:t>
      </w:r>
    </w:p>
    <w:p w14:paraId="4A93A3EB" w14:textId="77777777" w:rsidR="00327B11" w:rsidRDefault="00327B11" w:rsidP="00327B11">
      <w:pPr>
        <w:rPr>
          <w:highlight w:val="yellow"/>
        </w:rPr>
      </w:pPr>
      <w:r>
        <w:t xml:space="preserve">Pursuant to regulation 42ZCZR of the Regulations, a Delegate of the Secretary has made a final </w:t>
      </w:r>
      <w:r w:rsidRPr="000E6159">
        <w:t>decision to confirm the interim decision and amend the current Poisons Standard in relation to pentobarbital as follows:</w:t>
      </w:r>
    </w:p>
    <w:p w14:paraId="1D043ED9" w14:textId="77777777" w:rsidR="00327B11" w:rsidRDefault="00327B11" w:rsidP="00070EF7">
      <w:pPr>
        <w:pStyle w:val="Tabletitle"/>
        <w:ind w:left="426"/>
      </w:pPr>
      <w:r w:rsidRPr="002F17BF">
        <w:t xml:space="preserve">Appendix D, </w:t>
      </w:r>
      <w:r w:rsidRPr="009D6997">
        <w:rPr>
          <w:color w:val="FF0000"/>
        </w:rPr>
        <w:t xml:space="preserve">Item 9 </w:t>
      </w:r>
      <w:r w:rsidRPr="002F17BF">
        <w:t>– New entry</w:t>
      </w:r>
    </w:p>
    <w:tbl>
      <w:tblPr>
        <w:tblStyle w:val="TableGrid"/>
        <w:tblW w:w="0" w:type="auto"/>
        <w:tblInd w:w="489" w:type="dxa"/>
        <w:tblLook w:val="04A0" w:firstRow="1" w:lastRow="0" w:firstColumn="1" w:lastColumn="0" w:noHBand="0" w:noVBand="1"/>
      </w:tblPr>
      <w:tblGrid>
        <w:gridCol w:w="959"/>
        <w:gridCol w:w="5610"/>
      </w:tblGrid>
      <w:tr w:rsidR="00327B11" w14:paraId="2FEBAB4F" w14:textId="77777777" w:rsidTr="00327B11">
        <w:tc>
          <w:tcPr>
            <w:tcW w:w="959" w:type="dxa"/>
          </w:tcPr>
          <w:p w14:paraId="46EBC174" w14:textId="77777777" w:rsidR="00327B11" w:rsidRPr="009D6997" w:rsidRDefault="00327B11" w:rsidP="00327B11">
            <w:pPr>
              <w:rPr>
                <w:b/>
                <w:color w:val="FF0000"/>
              </w:rPr>
            </w:pPr>
            <w:r w:rsidRPr="009D6997">
              <w:rPr>
                <w:b/>
                <w:color w:val="FF0000"/>
              </w:rPr>
              <w:t xml:space="preserve">9. </w:t>
            </w:r>
          </w:p>
        </w:tc>
        <w:tc>
          <w:tcPr>
            <w:tcW w:w="5610" w:type="dxa"/>
          </w:tcPr>
          <w:p w14:paraId="5D6968F0" w14:textId="77777777" w:rsidR="00327B11" w:rsidRPr="009D6997" w:rsidRDefault="00327B11" w:rsidP="00327B11">
            <w:pPr>
              <w:rPr>
                <w:b/>
                <w:color w:val="FF0000"/>
              </w:rPr>
            </w:pPr>
            <w:r w:rsidRPr="009D6997">
              <w:rPr>
                <w:b/>
                <w:color w:val="FF0000"/>
              </w:rPr>
              <w:t>Poisons which must be stored in a locked container to prevent unauthorised access</w:t>
            </w:r>
          </w:p>
        </w:tc>
      </w:tr>
      <w:tr w:rsidR="00327B11" w14:paraId="6ED62249" w14:textId="77777777" w:rsidTr="00327B11">
        <w:tc>
          <w:tcPr>
            <w:tcW w:w="959" w:type="dxa"/>
          </w:tcPr>
          <w:p w14:paraId="7F17D3A8" w14:textId="77777777" w:rsidR="00327B11" w:rsidRPr="009D6997" w:rsidRDefault="00327B11" w:rsidP="00327B11">
            <w:pPr>
              <w:rPr>
                <w:color w:val="FF0000"/>
              </w:rPr>
            </w:pPr>
          </w:p>
        </w:tc>
        <w:tc>
          <w:tcPr>
            <w:tcW w:w="5610" w:type="dxa"/>
          </w:tcPr>
          <w:p w14:paraId="501FCBB1" w14:textId="77777777" w:rsidR="00327B11" w:rsidRPr="009D6997" w:rsidRDefault="00327B11" w:rsidP="00327B11">
            <w:pPr>
              <w:rPr>
                <w:color w:val="FF0000"/>
              </w:rPr>
            </w:pPr>
            <w:r w:rsidRPr="009D6997">
              <w:rPr>
                <w:color w:val="FF0000"/>
              </w:rPr>
              <w:t>PENTOBARBITAL in injectable preparations.</w:t>
            </w:r>
          </w:p>
        </w:tc>
      </w:tr>
    </w:tbl>
    <w:p w14:paraId="7859F38B" w14:textId="19EB07FE" w:rsidR="00327B11" w:rsidRDefault="00070EF7" w:rsidP="00B94F6F">
      <w:pPr>
        <w:pStyle w:val="Heading5"/>
      </w:pPr>
      <w:r>
        <w:t>Materials considered</w:t>
      </w:r>
    </w:p>
    <w:p w14:paraId="2DE11FD2" w14:textId="77777777" w:rsidR="00327B11" w:rsidRDefault="00327B11" w:rsidP="00327B11">
      <w:r>
        <w:t>In making this final decision, the Delegate considered the following material:</w:t>
      </w:r>
    </w:p>
    <w:p w14:paraId="308E8CBD" w14:textId="77777777" w:rsidR="00327B11" w:rsidRDefault="00327B11" w:rsidP="00C31E2C">
      <w:pPr>
        <w:pStyle w:val="ListBullet"/>
      </w:pPr>
      <w:r>
        <w:t xml:space="preserve">The </w:t>
      </w:r>
      <w:hyperlink r:id="rId110" w:history="1">
        <w:r w:rsidRPr="002F17BF">
          <w:rPr>
            <w:rStyle w:val="Hyperlink"/>
          </w:rPr>
          <w:t>scheduling proposal</w:t>
        </w:r>
      </w:hyperlink>
      <w:r>
        <w:t xml:space="preserve"> to amend the current Poisons Standard with respect to pentobarbital;</w:t>
      </w:r>
    </w:p>
    <w:p w14:paraId="67B9F324" w14:textId="376847B1" w:rsidR="00327B11" w:rsidRPr="00235AE0" w:rsidRDefault="00327B11" w:rsidP="00C31E2C">
      <w:pPr>
        <w:pStyle w:val="ListBullet"/>
      </w:pPr>
      <w:r w:rsidRPr="00235AE0">
        <w:t>The 11</w:t>
      </w:r>
      <w:r>
        <w:t xml:space="preserve"> </w:t>
      </w:r>
      <w:hyperlink r:id="rId111" w:history="1">
        <w:r w:rsidRPr="00615BF6">
          <w:rPr>
            <w:rStyle w:val="Hyperlink"/>
          </w:rPr>
          <w:t>public submissions</w:t>
        </w:r>
      </w:hyperlink>
      <w:r>
        <w:t xml:space="preserve"> </w:t>
      </w:r>
      <w:r w:rsidRPr="00235AE0">
        <w:t>received</w:t>
      </w:r>
      <w:r>
        <w:t xml:space="preserve"> in response to the</w:t>
      </w:r>
      <w:r w:rsidRPr="00A06489">
        <w:t xml:space="preserve"> </w:t>
      </w:r>
      <w:hyperlink r:id="rId112" w:history="1">
        <w:r w:rsidRPr="00235AE0">
          <w:rPr>
            <w:rStyle w:val="Hyperlink"/>
          </w:rPr>
          <w:t>pre-meeting consultation</w:t>
        </w:r>
      </w:hyperlink>
      <w:r w:rsidRPr="00235AE0">
        <w:t xml:space="preserve"> under regula</w:t>
      </w:r>
      <w:r w:rsidR="00070EF7">
        <w:t>tion 42ZCZK of the Regulations;</w:t>
      </w:r>
    </w:p>
    <w:p w14:paraId="63B1AD07" w14:textId="77777777" w:rsidR="00327B11" w:rsidRDefault="00327B11" w:rsidP="00C31E2C">
      <w:pPr>
        <w:pStyle w:val="ListBullet"/>
      </w:pPr>
      <w:r>
        <w:t xml:space="preserve">The advice received from </w:t>
      </w:r>
      <w:r w:rsidRPr="00235AE0">
        <w:t>the Joint meeting of the Advisory Committees on Medicines and Chemicals Scheduling (Joint ACMS-ACCS#24);</w:t>
      </w:r>
    </w:p>
    <w:p w14:paraId="3247D689" w14:textId="77777777" w:rsidR="00327B11" w:rsidRDefault="00327B11" w:rsidP="00C31E2C">
      <w:pPr>
        <w:pStyle w:val="ListBullet"/>
      </w:pPr>
      <w:r w:rsidRPr="001169AC">
        <w:t xml:space="preserve">Subsection 52E(1) of </w:t>
      </w:r>
      <w:r w:rsidRPr="001169AC">
        <w:rPr>
          <w:i/>
        </w:rPr>
        <w:t>the Therapeutic Goods Act 1989</w:t>
      </w:r>
      <w:r w:rsidRPr="001169AC">
        <w:t>, in particular (a) the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 any other matters considered nece</w:t>
      </w:r>
      <w:r>
        <w:t>ssary to protect public health;</w:t>
      </w:r>
    </w:p>
    <w:p w14:paraId="08FE1C51" w14:textId="77777777" w:rsidR="00327B11" w:rsidRDefault="00327B11" w:rsidP="00C31E2C">
      <w:pPr>
        <w:pStyle w:val="ListBullet"/>
      </w:pPr>
      <w:r w:rsidRPr="002C1418">
        <w:t xml:space="preserve">The Australian Health Ministers’ Advisory Council’s </w:t>
      </w:r>
      <w:hyperlink r:id="rId113" w:history="1">
        <w:r w:rsidRPr="001A7580">
          <w:rPr>
            <w:rStyle w:val="Hyperlink"/>
          </w:rPr>
          <w:t>Scheduling Policy Framework</w:t>
        </w:r>
      </w:hyperlink>
      <w:r>
        <w:t xml:space="preserve"> (SPF 2018);</w:t>
      </w:r>
    </w:p>
    <w:p w14:paraId="1790FB09" w14:textId="77777777" w:rsidR="00327B11" w:rsidRDefault="00327B11" w:rsidP="00C31E2C">
      <w:pPr>
        <w:pStyle w:val="ListBullet"/>
      </w:pPr>
      <w:r>
        <w:t xml:space="preserve">The </w:t>
      </w:r>
      <w:hyperlink r:id="rId114" w:history="1">
        <w:r w:rsidRPr="001A7580">
          <w:rPr>
            <w:rStyle w:val="Hyperlink"/>
          </w:rPr>
          <w:t>Scheduling handbook: Guidance for amending the Poisons Standard</w:t>
        </w:r>
      </w:hyperlink>
      <w:r>
        <w:t>;</w:t>
      </w:r>
    </w:p>
    <w:p w14:paraId="2FFB572C" w14:textId="77777777" w:rsidR="00327B11" w:rsidRDefault="00327B11" w:rsidP="00C31E2C">
      <w:pPr>
        <w:pStyle w:val="ListBullet"/>
      </w:pPr>
      <w:r>
        <w:t xml:space="preserve">The </w:t>
      </w:r>
      <w:hyperlink r:id="rId115" w:history="1">
        <w:r w:rsidRPr="008E58F3">
          <w:rPr>
            <w:rStyle w:val="Hyperlink"/>
          </w:rPr>
          <w:t>National Coronial Information System (NCIS) report on pentobarbital-related deaths in Australia 2000 – 2017</w:t>
        </w:r>
      </w:hyperlink>
      <w:r>
        <w:t>; and</w:t>
      </w:r>
    </w:p>
    <w:p w14:paraId="584BF0B9" w14:textId="77777777" w:rsidR="00327B11" w:rsidRPr="002F17BF" w:rsidRDefault="00327B11" w:rsidP="00C31E2C">
      <w:pPr>
        <w:pStyle w:val="ListBullet"/>
      </w:pPr>
      <w:r>
        <w:t>Specialist advice on veterinary medicine from two veterinary surgeons.</w:t>
      </w:r>
    </w:p>
    <w:p w14:paraId="745EDCD2" w14:textId="77777777" w:rsidR="00327B11" w:rsidRDefault="00327B11" w:rsidP="00B94F6F">
      <w:pPr>
        <w:pStyle w:val="Heading5"/>
      </w:pPr>
      <w:r w:rsidRPr="00436C41">
        <w:lastRenderedPageBreak/>
        <w:t>Reasons for the final decision (including findings on material questions of fact)</w:t>
      </w:r>
    </w:p>
    <w:p w14:paraId="764A488A" w14:textId="06C03755" w:rsidR="00327B11" w:rsidRDefault="00327B11" w:rsidP="00327B11">
      <w:r>
        <w:t xml:space="preserve">I have made a final decision to confirm my </w:t>
      </w:r>
      <w:hyperlink r:id="rId116" w:history="1">
        <w:r w:rsidRPr="001169AC">
          <w:rPr>
            <w:rStyle w:val="Hyperlink"/>
          </w:rPr>
          <w:t>interim decision</w:t>
        </w:r>
      </w:hyperlink>
      <w:r>
        <w:t xml:space="preserve"> to amend the current Poisons Standard </w:t>
      </w:r>
      <w:r w:rsidRPr="00235AE0">
        <w:t>to clarify the storage requirements for Schedule 4 injectable pentobarbital through the provision of a new Appendix D listing</w:t>
      </w:r>
      <w:r>
        <w:t xml:space="preserve">. </w:t>
      </w:r>
      <w:r w:rsidR="002D1D70" w:rsidRPr="006C405C">
        <w:t>My reasons for making the final decision are those set out in the interim decision</w:t>
      </w:r>
      <w:r w:rsidR="002D1D70">
        <w:t xml:space="preserve">. </w:t>
      </w:r>
      <w:r>
        <w:t xml:space="preserve">In making my final decision, I have taken into account the material detailed in the interim decision and I have noted that no public submissions </w:t>
      </w:r>
      <w:proofErr w:type="gramStart"/>
      <w:r>
        <w:t>were received</w:t>
      </w:r>
      <w:proofErr w:type="gramEnd"/>
      <w:r>
        <w:t xml:space="preserve"> before the second closing date in response to the call for further submissions published on 10 June 2020 under regulation 42ZCZP of the Regulations.</w:t>
      </w:r>
    </w:p>
    <w:p w14:paraId="1ACDD7D6" w14:textId="44A25A76" w:rsidR="00327B11" w:rsidRDefault="00070EF7" w:rsidP="00B94F6F">
      <w:pPr>
        <w:pStyle w:val="Heading5"/>
      </w:pPr>
      <w:r>
        <w:t>Date of effect of the decision</w:t>
      </w:r>
    </w:p>
    <w:p w14:paraId="65DDF067" w14:textId="77777777" w:rsidR="00327B11" w:rsidRPr="00235AE0" w:rsidRDefault="0014715B" w:rsidP="00327B11">
      <w:pPr>
        <w:rPr>
          <w:b/>
        </w:rPr>
      </w:pPr>
      <w:r>
        <w:rPr>
          <w:b/>
        </w:rPr>
        <w:t>1 October 2020</w:t>
      </w:r>
    </w:p>
    <w:p w14:paraId="0E5C7A16" w14:textId="1E203AB6" w:rsidR="00327B11" w:rsidRPr="00BC2009" w:rsidRDefault="00327B11" w:rsidP="00070EF7">
      <w:pPr>
        <w:pStyle w:val="Heading2"/>
      </w:pPr>
      <w:bookmarkStart w:id="33" w:name="_Final_decision_in_2"/>
      <w:bookmarkStart w:id="34" w:name="_Toc46754691"/>
      <w:bookmarkStart w:id="35" w:name="_Toc48996177"/>
      <w:bookmarkEnd w:id="33"/>
      <w:r w:rsidRPr="00B41852">
        <w:lastRenderedPageBreak/>
        <w:t xml:space="preserve">Final decisions on proposed amendments to the current Poisons Standard under regulation </w:t>
      </w:r>
      <w:r w:rsidRPr="005F3EA0">
        <w:t>42ZCZU</w:t>
      </w:r>
      <w:bookmarkEnd w:id="34"/>
      <w:bookmarkEnd w:id="35"/>
    </w:p>
    <w:p w14:paraId="0CC4493B" w14:textId="12076B6D" w:rsidR="00327B11" w:rsidRDefault="00327B11" w:rsidP="00327B11">
      <w:r w:rsidRPr="00B41852">
        <w:t xml:space="preserve">In my capacity as a delegate of the Secretary for the purpose of regulation </w:t>
      </w:r>
      <w:r w:rsidRPr="005F3EA0">
        <w:t>42ZCZU</w:t>
      </w:r>
      <w:r w:rsidRPr="005F3EA0" w:rsidDel="005F3EA0">
        <w:t xml:space="preserve"> </w:t>
      </w:r>
      <w:r w:rsidRPr="00B41852">
        <w:t xml:space="preserve">of the </w:t>
      </w:r>
      <w:r w:rsidRPr="00B41852">
        <w:rPr>
          <w:i/>
        </w:rPr>
        <w:t>Therapeutic Goods Regulations 1990</w:t>
      </w:r>
      <w:r w:rsidRPr="00B41852">
        <w:t xml:space="preserve"> (</w:t>
      </w:r>
      <w:r w:rsidRPr="00B41852">
        <w:rPr>
          <w:b/>
        </w:rPr>
        <w:t>Regulations</w:t>
      </w:r>
      <w:r w:rsidRPr="00B41852">
        <w:t xml:space="preserve">), I have made final decisions </w:t>
      </w:r>
      <w:r w:rsidR="005F593D">
        <w:t xml:space="preserve">to amend the current Poisons Standard </w:t>
      </w:r>
      <w:r w:rsidR="005F593D" w:rsidRPr="005F593D">
        <w:t xml:space="preserve">in the manner set out in the application </w:t>
      </w:r>
      <w:r w:rsidRPr="00B41852">
        <w:t xml:space="preserve">under regulation </w:t>
      </w:r>
      <w:r w:rsidRPr="005F3EA0">
        <w:t>42ZCZU</w:t>
      </w:r>
      <w:r w:rsidRPr="005F3EA0" w:rsidDel="005F3EA0">
        <w:t xml:space="preserve"> </w:t>
      </w:r>
      <w:r w:rsidRPr="00B41852">
        <w:t>with respec</w:t>
      </w:r>
      <w:r w:rsidR="00070EF7">
        <w:t>t to the following substances:</w:t>
      </w:r>
    </w:p>
    <w:p w14:paraId="613A087D" w14:textId="77777777" w:rsidR="00327B11" w:rsidRDefault="00755907" w:rsidP="00C31E2C">
      <w:pPr>
        <w:pStyle w:val="ListBullet"/>
      </w:pPr>
      <w:hyperlink w:anchor="_Final_decision_in_4" w:history="1">
        <w:r w:rsidR="00327B11" w:rsidRPr="007E194C">
          <w:rPr>
            <w:rStyle w:val="Hyperlink"/>
          </w:rPr>
          <w:t>Sodium bromide</w:t>
        </w:r>
      </w:hyperlink>
      <w:r w:rsidR="00327B11">
        <w:t>;</w:t>
      </w:r>
    </w:p>
    <w:p w14:paraId="0A649C20" w14:textId="77777777" w:rsidR="00327B11" w:rsidRDefault="00755907" w:rsidP="00C31E2C">
      <w:pPr>
        <w:pStyle w:val="ListBullet"/>
      </w:pPr>
      <w:hyperlink w:anchor="_Final_decision_in_5" w:history="1">
        <w:proofErr w:type="spellStart"/>
        <w:r w:rsidR="00327B11" w:rsidRPr="007E194C">
          <w:rPr>
            <w:rStyle w:val="Hyperlink"/>
          </w:rPr>
          <w:t>Polyoxin</w:t>
        </w:r>
        <w:proofErr w:type="spellEnd"/>
        <w:r w:rsidR="00327B11" w:rsidRPr="007E194C">
          <w:rPr>
            <w:rStyle w:val="Hyperlink"/>
          </w:rPr>
          <w:t xml:space="preserve"> D zinc salt</w:t>
        </w:r>
      </w:hyperlink>
      <w:r w:rsidR="00327B11">
        <w:t>;</w:t>
      </w:r>
    </w:p>
    <w:p w14:paraId="50C61CA4" w14:textId="77777777" w:rsidR="00327B11" w:rsidRDefault="00755907" w:rsidP="00C31E2C">
      <w:pPr>
        <w:pStyle w:val="ListBullet"/>
      </w:pPr>
      <w:hyperlink w:anchor="_Final_decision_in_6" w:history="1">
        <w:proofErr w:type="spellStart"/>
        <w:r w:rsidR="00327B11" w:rsidRPr="007E194C">
          <w:rPr>
            <w:rStyle w:val="Hyperlink"/>
          </w:rPr>
          <w:t>Tigilanol</w:t>
        </w:r>
        <w:proofErr w:type="spellEnd"/>
        <w:r w:rsidR="00327B11" w:rsidRPr="007E194C">
          <w:rPr>
            <w:rStyle w:val="Hyperlink"/>
          </w:rPr>
          <w:t xml:space="preserve"> </w:t>
        </w:r>
        <w:proofErr w:type="spellStart"/>
        <w:r w:rsidR="00327B11" w:rsidRPr="007E194C">
          <w:rPr>
            <w:rStyle w:val="Hyperlink"/>
          </w:rPr>
          <w:t>tiglate</w:t>
        </w:r>
        <w:proofErr w:type="spellEnd"/>
      </w:hyperlink>
      <w:r w:rsidR="00327B11">
        <w:t>;</w:t>
      </w:r>
    </w:p>
    <w:p w14:paraId="5B458F13" w14:textId="77777777" w:rsidR="00327B11" w:rsidRDefault="00755907" w:rsidP="00C31E2C">
      <w:pPr>
        <w:pStyle w:val="ListBullet"/>
      </w:pPr>
      <w:hyperlink w:anchor="_Final_decision_in_7" w:history="1">
        <w:r w:rsidR="00327B11" w:rsidRPr="007E194C">
          <w:rPr>
            <w:rStyle w:val="Hyperlink"/>
          </w:rPr>
          <w:t>Selenium</w:t>
        </w:r>
      </w:hyperlink>
      <w:r w:rsidR="00327B11">
        <w:t>; and</w:t>
      </w:r>
    </w:p>
    <w:p w14:paraId="168EC165" w14:textId="77777777" w:rsidR="00327B11" w:rsidRDefault="00755907" w:rsidP="00C31E2C">
      <w:pPr>
        <w:pStyle w:val="ListBullet"/>
      </w:pPr>
      <w:hyperlink w:anchor="_Final_decision_in_8" w:history="1">
        <w:proofErr w:type="spellStart"/>
        <w:r w:rsidR="00327B11" w:rsidRPr="007E194C">
          <w:rPr>
            <w:rStyle w:val="Hyperlink"/>
          </w:rPr>
          <w:t>Fomesafen</w:t>
        </w:r>
        <w:proofErr w:type="spellEnd"/>
        <w:r w:rsidR="00327B11" w:rsidRPr="007E194C">
          <w:rPr>
            <w:rStyle w:val="Hyperlink"/>
          </w:rPr>
          <w:t xml:space="preserve"> sodium</w:t>
        </w:r>
      </w:hyperlink>
      <w:r w:rsidR="00327B11">
        <w:t>.</w:t>
      </w:r>
    </w:p>
    <w:p w14:paraId="7D9DEBF8" w14:textId="0ADE948A" w:rsidR="00327B11" w:rsidRDefault="00327B11" w:rsidP="00327B11">
      <w:pPr>
        <w:pStyle w:val="Heading3"/>
      </w:pPr>
      <w:bookmarkStart w:id="36" w:name="_Final_decision_in_3"/>
      <w:bookmarkStart w:id="37" w:name="_Final_decision_in_4"/>
      <w:bookmarkStart w:id="38" w:name="_Toc48996178"/>
      <w:bookmarkEnd w:id="36"/>
      <w:bookmarkEnd w:id="37"/>
      <w:r>
        <w:t>Final decision in relation to sodium bromide</w:t>
      </w:r>
      <w:bookmarkEnd w:id="38"/>
    </w:p>
    <w:p w14:paraId="2E7296B6" w14:textId="2F4A88F8" w:rsidR="00327B11" w:rsidRDefault="00070EF7" w:rsidP="00327B11">
      <w:pPr>
        <w:pStyle w:val="Heading4"/>
      </w:pPr>
      <w:r>
        <w:t>Final decision</w:t>
      </w:r>
    </w:p>
    <w:p w14:paraId="7D0C8347" w14:textId="77777777" w:rsidR="00327B11" w:rsidRDefault="00327B11" w:rsidP="00327B11">
      <w:r w:rsidRPr="00C546F4">
        <w:t xml:space="preserve">Pursuant to regulation </w:t>
      </w:r>
      <w:r w:rsidRPr="005F3EA0">
        <w:t>42ZCZU</w:t>
      </w:r>
      <w:r w:rsidRPr="005F3EA0" w:rsidDel="005F3EA0">
        <w:t xml:space="preserve"> </w:t>
      </w:r>
      <w:r w:rsidRPr="00C546F4">
        <w:t xml:space="preserve">of the Regulations, a Delegate of the Secretary has made a final </w:t>
      </w:r>
      <w:r w:rsidRPr="00775F5E">
        <w:t>decision to amend the current Poisons Standard in relation to sodium bromide as follows:</w:t>
      </w:r>
    </w:p>
    <w:p w14:paraId="64153FB7" w14:textId="77777777" w:rsidR="00AB10C4" w:rsidRPr="00E50D2B" w:rsidRDefault="00AB10C4" w:rsidP="00070EF7">
      <w:pPr>
        <w:ind w:left="426"/>
        <w:rPr>
          <w:b/>
        </w:rPr>
      </w:pPr>
      <w:bookmarkStart w:id="39" w:name="_Toc366768193"/>
      <w:bookmarkStart w:id="40" w:name="_Toc420405050"/>
      <w:r w:rsidRPr="00E50D2B">
        <w:rPr>
          <w:b/>
        </w:rPr>
        <w:t>Schedule 5 –</w:t>
      </w:r>
      <w:r>
        <w:rPr>
          <w:b/>
        </w:rPr>
        <w:t xml:space="preserve"> </w:t>
      </w:r>
      <w:r w:rsidRPr="00E50D2B">
        <w:rPr>
          <w:b/>
        </w:rPr>
        <w:t>New Entry</w:t>
      </w:r>
    </w:p>
    <w:bookmarkEnd w:id="39"/>
    <w:bookmarkEnd w:id="40"/>
    <w:p w14:paraId="1E3A3250" w14:textId="77777777" w:rsidR="00AB10C4" w:rsidRPr="00E50D2B" w:rsidRDefault="00AB10C4" w:rsidP="00070EF7">
      <w:pPr>
        <w:ind w:left="426"/>
        <w:rPr>
          <w:color w:val="FF0000"/>
        </w:rPr>
      </w:pPr>
      <w:r w:rsidRPr="00E50D2B">
        <w:rPr>
          <w:color w:val="FF0000"/>
        </w:rPr>
        <w:t xml:space="preserve">SODIUM BROMIDE </w:t>
      </w:r>
      <w:r w:rsidRPr="00E50D2B">
        <w:rPr>
          <w:b/>
          <w:color w:val="FF0000"/>
        </w:rPr>
        <w:t>except</w:t>
      </w:r>
      <w:r w:rsidRPr="00E50D2B">
        <w:rPr>
          <w:color w:val="FF0000"/>
        </w:rPr>
        <w:t xml:space="preserve"> when included in Schedule 4</w:t>
      </w:r>
      <w:r>
        <w:rPr>
          <w:color w:val="FF0000"/>
        </w:rPr>
        <w:t>.</w:t>
      </w:r>
    </w:p>
    <w:p w14:paraId="39A8F0F1" w14:textId="77777777" w:rsidR="00AB10C4" w:rsidRPr="00495F84" w:rsidRDefault="00AB10C4" w:rsidP="00070EF7">
      <w:pPr>
        <w:ind w:left="426"/>
        <w:rPr>
          <w:b/>
        </w:rPr>
      </w:pPr>
      <w:r w:rsidRPr="00495F84">
        <w:rPr>
          <w:b/>
        </w:rPr>
        <w:t>Schedule 4</w:t>
      </w:r>
    </w:p>
    <w:p w14:paraId="21302B23" w14:textId="77777777" w:rsidR="00AB10C4" w:rsidRPr="001E2829" w:rsidRDefault="00AB10C4" w:rsidP="00070EF7">
      <w:pPr>
        <w:ind w:left="426"/>
      </w:pPr>
      <w:r w:rsidRPr="001E2829">
        <w:t>SODIUM BROMIDE for therapeutic use.</w:t>
      </w:r>
    </w:p>
    <w:p w14:paraId="4FF3B288" w14:textId="5A21016F" w:rsidR="00AB10C4" w:rsidRPr="005133F7" w:rsidRDefault="00070EF7" w:rsidP="00070EF7">
      <w:pPr>
        <w:ind w:left="426"/>
        <w:rPr>
          <w:b/>
        </w:rPr>
      </w:pPr>
      <w:r>
        <w:rPr>
          <w:b/>
        </w:rPr>
        <w:t>Index – Amend Entry</w:t>
      </w:r>
    </w:p>
    <w:p w14:paraId="5314FCEC" w14:textId="2BFA0148" w:rsidR="00AB10C4" w:rsidRDefault="00070EF7" w:rsidP="00070EF7">
      <w:pPr>
        <w:ind w:left="426"/>
      </w:pPr>
      <w:r>
        <w:t>SODIUM BROMIDE</w:t>
      </w:r>
    </w:p>
    <w:p w14:paraId="6737CAB1" w14:textId="1CD4A06F" w:rsidR="00AB10C4" w:rsidRPr="00E50D2B" w:rsidRDefault="00070EF7" w:rsidP="00070EF7">
      <w:pPr>
        <w:ind w:left="426"/>
        <w:rPr>
          <w:color w:val="FF0000"/>
        </w:rPr>
      </w:pPr>
      <w:r>
        <w:rPr>
          <w:color w:val="FF0000"/>
        </w:rPr>
        <w:t>Schedule 5</w:t>
      </w:r>
    </w:p>
    <w:p w14:paraId="6267C3C9" w14:textId="77777777" w:rsidR="00327B11" w:rsidRDefault="00AB10C4" w:rsidP="00070EF7">
      <w:pPr>
        <w:ind w:left="426"/>
      </w:pPr>
      <w:r>
        <w:t>Schedule 4</w:t>
      </w:r>
    </w:p>
    <w:p w14:paraId="41CEEDE8" w14:textId="175E250A" w:rsidR="00327B11" w:rsidRPr="00367B12" w:rsidRDefault="00367B12" w:rsidP="00367B12">
      <w:pPr>
        <w:pStyle w:val="Heading4"/>
      </w:pPr>
      <w:r>
        <w:t>Materials considered</w:t>
      </w:r>
    </w:p>
    <w:p w14:paraId="3A89A8BC" w14:textId="77777777" w:rsidR="00327B11" w:rsidRDefault="00327B11" w:rsidP="00327B11">
      <w:r>
        <w:t>In making this final decision, the Delegate considered the following material:</w:t>
      </w:r>
    </w:p>
    <w:p w14:paraId="4E1B0AC3" w14:textId="77777777" w:rsidR="00327B11" w:rsidRDefault="00327B11" w:rsidP="00C31E2C">
      <w:pPr>
        <w:pStyle w:val="ListBullet"/>
      </w:pPr>
      <w:r>
        <w:t xml:space="preserve">The </w:t>
      </w:r>
      <w:r w:rsidRPr="00C02858">
        <w:t>application</w:t>
      </w:r>
      <w:r>
        <w:t xml:space="preserve"> to amend the current Poisons Standard with respect to sodium bromide;</w:t>
      </w:r>
    </w:p>
    <w:p w14:paraId="7E78CC34" w14:textId="5C8F48C7" w:rsidR="00327B11" w:rsidRDefault="00327B11" w:rsidP="00C31E2C">
      <w:pPr>
        <w:pStyle w:val="ListBullet"/>
      </w:pPr>
      <w:r w:rsidRPr="001169AC">
        <w:t xml:space="preserve">Subsection 52E(1) of </w:t>
      </w:r>
      <w:r w:rsidRPr="001169AC">
        <w:rPr>
          <w:i/>
        </w:rPr>
        <w:t>the Therapeutic Goods Act 1989</w:t>
      </w:r>
      <w:r w:rsidRPr="001169AC">
        <w:t>, in particular (a) the risks and benefits of the use of a substance; (b) the purposes for which a substance is to be used and the extent of use of a substance; (c) the toxicity of a substance; (d) the dosage, formulation, labelling, packaging and presentation of a substance; and (e) the potential for abuse of a substance; and (f) any other matters considered nec</w:t>
      </w:r>
      <w:r w:rsidR="00846F16">
        <w:t>essary to protect public health;</w:t>
      </w:r>
    </w:p>
    <w:p w14:paraId="7B3EE045" w14:textId="77777777" w:rsidR="00327B11" w:rsidRDefault="00327B11" w:rsidP="00C31E2C">
      <w:pPr>
        <w:pStyle w:val="ListBullet"/>
      </w:pPr>
      <w:r w:rsidRPr="002C1418">
        <w:t xml:space="preserve">The Australian Health Ministers’ Advisory Council’s </w:t>
      </w:r>
      <w:hyperlink r:id="rId117" w:history="1">
        <w:r w:rsidRPr="001A7580">
          <w:rPr>
            <w:rStyle w:val="Hyperlink"/>
          </w:rPr>
          <w:t>Scheduling Policy Framework</w:t>
        </w:r>
      </w:hyperlink>
      <w:r>
        <w:t xml:space="preserve"> (SPF 2018</w:t>
      </w:r>
      <w:r w:rsidRPr="00D8200A">
        <w:t>); and</w:t>
      </w:r>
    </w:p>
    <w:p w14:paraId="362EC129" w14:textId="77777777" w:rsidR="00327B11" w:rsidRDefault="00327B11" w:rsidP="00C31E2C">
      <w:pPr>
        <w:pStyle w:val="ListBullet"/>
      </w:pPr>
      <w:r>
        <w:t xml:space="preserve">The </w:t>
      </w:r>
      <w:hyperlink r:id="rId118" w:history="1">
        <w:r w:rsidRPr="001A7580">
          <w:rPr>
            <w:rStyle w:val="Hyperlink"/>
          </w:rPr>
          <w:t>Scheduling handbook: Guidance for amending the Poisons Standard</w:t>
        </w:r>
      </w:hyperlink>
      <w:r>
        <w:t>.</w:t>
      </w:r>
    </w:p>
    <w:p w14:paraId="3AB512BE" w14:textId="31F67AE8" w:rsidR="00327B11" w:rsidRDefault="00327B11" w:rsidP="00327B11">
      <w:pPr>
        <w:pStyle w:val="Heading4"/>
      </w:pPr>
      <w:r w:rsidRPr="00436C41">
        <w:lastRenderedPageBreak/>
        <w:t>Reasons for the final decision (including findings on material questions of fact)</w:t>
      </w:r>
    </w:p>
    <w:p w14:paraId="1D3C71B4" w14:textId="14038AEC" w:rsidR="00846F16" w:rsidRPr="00367B12" w:rsidRDefault="00846F16" w:rsidP="00846F16">
      <w:pPr>
        <w:spacing w:before="0" w:after="0" w:line="240" w:lineRule="auto"/>
      </w:pPr>
      <w:r w:rsidRPr="00480169">
        <w:rPr>
          <w:rFonts w:asciiTheme="minorHAnsi" w:hAnsiTheme="minorHAnsi"/>
        </w:rPr>
        <w:t>In determining, that this matter will be a delegate-only decision I have taken into account the information provided in the application from the Applicant</w:t>
      </w:r>
      <w:r>
        <w:rPr>
          <w:rFonts w:asciiTheme="minorHAnsi" w:hAnsiTheme="minorHAnsi"/>
        </w:rPr>
        <w:t xml:space="preserve"> (APVMA</w:t>
      </w:r>
      <w:r w:rsidRPr="00480169">
        <w:rPr>
          <w:rFonts w:asciiTheme="minorHAnsi" w:hAnsiTheme="minorHAnsi"/>
        </w:rPr>
        <w:t xml:space="preserve">), and the matters outlined under Section 52E of </w:t>
      </w:r>
      <w:r>
        <w:rPr>
          <w:rFonts w:asciiTheme="minorHAnsi" w:hAnsiTheme="minorHAnsi"/>
          <w:i/>
        </w:rPr>
        <w:t>the Therapeutic Goods Act 1989</w:t>
      </w:r>
      <w:r w:rsidRPr="00480169">
        <w:rPr>
          <w:rFonts w:asciiTheme="minorHAnsi" w:hAnsiTheme="minorHAnsi"/>
        </w:rPr>
        <w:t xml:space="preserve"> and the Scheduling Policy Framework (2018). In </w:t>
      </w:r>
      <w:r w:rsidRPr="007976D2">
        <w:rPr>
          <w:rFonts w:asciiTheme="minorHAnsi" w:hAnsiTheme="minorHAnsi"/>
        </w:rPr>
        <w:t>particular, I note that:</w:t>
      </w:r>
    </w:p>
    <w:p w14:paraId="32E2BE5D" w14:textId="00562CED" w:rsidR="00846F16" w:rsidRPr="00C31295" w:rsidRDefault="00846F16" w:rsidP="008A0677">
      <w:pPr>
        <w:pStyle w:val="ListBullet"/>
        <w:spacing w:after="120"/>
        <w:ind w:left="357" w:hanging="357"/>
      </w:pPr>
      <w:r>
        <w:t xml:space="preserve">The proposed change to the Poisons Standard to include a new entry for sodium bromide in Schedule 5 indicates that there are </w:t>
      </w:r>
      <w:r w:rsidRPr="00C31295">
        <w:t xml:space="preserve">benefits to </w:t>
      </w:r>
      <w:r>
        <w:t xml:space="preserve">public health and safety from its use as an important agent in the control of water-borne pathogens in swimming pools and spas. Sodium bromide </w:t>
      </w:r>
      <w:proofErr w:type="gramStart"/>
      <w:r>
        <w:t>is currently listed</w:t>
      </w:r>
      <w:proofErr w:type="gramEnd"/>
      <w:r>
        <w:t xml:space="preserve"> in Schedule 4 for therapeutic uses. However, sodium bromide </w:t>
      </w:r>
      <w:proofErr w:type="gramStart"/>
      <w:r>
        <w:t>is also used</w:t>
      </w:r>
      <w:proofErr w:type="gramEnd"/>
      <w:r>
        <w:t xml:space="preserve"> in Australia as a sanitiser in swimming pools and spas in combination with other Scheduled chemicals, e.g. sodium </w:t>
      </w:r>
      <w:proofErr w:type="spellStart"/>
      <w:r>
        <w:t>dichloroisocyanurate</w:t>
      </w:r>
      <w:proofErr w:type="spellEnd"/>
      <w:r>
        <w:t xml:space="preserve">. The proposed change to the Poisons Standard would account for the use of sodium bromide alone as a sanitiser in swimming pools and spas. </w:t>
      </w:r>
      <w:r w:rsidRPr="00C31295">
        <w:t>The risks associated with human exposure to the substance have been adequa</w:t>
      </w:r>
      <w:r>
        <w:t xml:space="preserve">tely addressed by the </w:t>
      </w:r>
      <w:r w:rsidRPr="00C31295">
        <w:t>regulator</w:t>
      </w:r>
      <w:r>
        <w:t xml:space="preserve"> of pool and spa chemicals</w:t>
      </w:r>
      <w:r w:rsidRPr="00C31295">
        <w:t xml:space="preserve"> (APVMA) </w:t>
      </w:r>
      <w:r w:rsidRPr="00C31295">
        <w:rPr>
          <w:rFonts w:asciiTheme="minorHAnsi" w:hAnsiTheme="minorHAnsi"/>
        </w:rPr>
        <w:t>(</w:t>
      </w:r>
      <w:proofErr w:type="gramStart"/>
      <w:r w:rsidRPr="00C31295">
        <w:rPr>
          <w:rFonts w:asciiTheme="minorHAnsi" w:hAnsiTheme="minorHAnsi"/>
        </w:rPr>
        <w:t>52E(</w:t>
      </w:r>
      <w:proofErr w:type="gramEnd"/>
      <w:r w:rsidRPr="00C31295">
        <w:rPr>
          <w:rFonts w:asciiTheme="minorHAnsi" w:hAnsiTheme="minorHAnsi"/>
        </w:rPr>
        <w:t>1)(a)).</w:t>
      </w:r>
    </w:p>
    <w:p w14:paraId="3FADC390" w14:textId="77777777" w:rsidR="00846F16" w:rsidRPr="00E82850" w:rsidRDefault="00846F16" w:rsidP="008A0677">
      <w:pPr>
        <w:pStyle w:val="ListBullet"/>
        <w:spacing w:after="120"/>
        <w:ind w:left="357" w:hanging="357"/>
      </w:pPr>
      <w:r w:rsidRPr="00E60EBF">
        <w:t xml:space="preserve">The </w:t>
      </w:r>
      <w:proofErr w:type="gramStart"/>
      <w:r>
        <w:t>purpose</w:t>
      </w:r>
      <w:r w:rsidRPr="00C80667">
        <w:t xml:space="preserve"> and extent for which the substance is to be used has been adequately outlined by </w:t>
      </w:r>
      <w:r>
        <w:t>the a</w:t>
      </w:r>
      <w:r w:rsidRPr="00E82850">
        <w:t>pplicant</w:t>
      </w:r>
      <w:proofErr w:type="gramEnd"/>
      <w:r>
        <w:t xml:space="preserve">. The substance </w:t>
      </w:r>
      <w:proofErr w:type="gramStart"/>
      <w:r>
        <w:t>is currently used</w:t>
      </w:r>
      <w:proofErr w:type="gramEnd"/>
      <w:r>
        <w:t xml:space="preserve"> as a sanitiser (</w:t>
      </w:r>
      <w:r w:rsidRPr="00A62339">
        <w:rPr>
          <w:i/>
        </w:rPr>
        <w:t>ca</w:t>
      </w:r>
      <w:r>
        <w:t xml:space="preserve"> 150 g/kg) in swimming pools and spas in combination with other chemicals. It is currently available for use alone (&gt;98%) in various OECD countries, including Canada and the USA, as a sanitiser in swimming pools and spas</w:t>
      </w:r>
      <w:r w:rsidRPr="00E82850">
        <w:t xml:space="preserve"> (</w:t>
      </w:r>
      <w:proofErr w:type="gramStart"/>
      <w:r w:rsidRPr="00E82850">
        <w:t>52E(</w:t>
      </w:r>
      <w:proofErr w:type="gramEnd"/>
      <w:r w:rsidRPr="00E82850">
        <w:t>1)(b)).</w:t>
      </w:r>
    </w:p>
    <w:p w14:paraId="0834339F" w14:textId="77777777" w:rsidR="00846F16" w:rsidRDefault="00846F16" w:rsidP="008A0677">
      <w:pPr>
        <w:pStyle w:val="ListBullet"/>
        <w:spacing w:after="120"/>
        <w:ind w:left="357" w:hanging="357"/>
      </w:pPr>
      <w:r>
        <w:t xml:space="preserve">Bromine is a naturally occurring element, found in seawater and volcanic rock. It is present as bromide ions in living organisms and in the environment. On addition of an activator e.g. chlorine, sodium bromide will hydrolyse in water to form </w:t>
      </w:r>
      <w:proofErr w:type="spellStart"/>
      <w:r>
        <w:t>hypobromous</w:t>
      </w:r>
      <w:proofErr w:type="spellEnd"/>
      <w:r>
        <w:t xml:space="preserve"> acid, which is the active disinfectant. Swimming pool bromination is currently endorsed in all Australian jurisdictions as a standard method for residual sanitation </w:t>
      </w:r>
      <w:r w:rsidRPr="00E82850">
        <w:rPr>
          <w:rFonts w:asciiTheme="minorHAnsi" w:hAnsiTheme="minorHAnsi"/>
        </w:rPr>
        <w:t>(</w:t>
      </w:r>
      <w:proofErr w:type="gramStart"/>
      <w:r w:rsidRPr="00E82850">
        <w:rPr>
          <w:rFonts w:asciiTheme="minorHAnsi" w:hAnsiTheme="minorHAnsi"/>
        </w:rPr>
        <w:t>52E(</w:t>
      </w:r>
      <w:proofErr w:type="gramEnd"/>
      <w:r w:rsidRPr="00E82850">
        <w:rPr>
          <w:rFonts w:asciiTheme="minorHAnsi" w:hAnsiTheme="minorHAnsi"/>
        </w:rPr>
        <w:t>1)(b)).</w:t>
      </w:r>
    </w:p>
    <w:p w14:paraId="55AD191A" w14:textId="3966C52E" w:rsidR="00846F16" w:rsidRDefault="00846F16" w:rsidP="008A0677">
      <w:pPr>
        <w:pStyle w:val="ListBullet"/>
        <w:spacing w:after="120"/>
        <w:ind w:left="357" w:hanging="357"/>
      </w:pPr>
      <w:r w:rsidRPr="001C3BE3">
        <w:t xml:space="preserve">Sodium bromide has low acute toxicity by oral, dermal and inhalational routes and is a very slight skin and slight eye irritant but not a skin sensitiser (in the GPMT). </w:t>
      </w:r>
      <w:r>
        <w:t xml:space="preserve">Repeat dose toxicity effects on the central nervous system (CNS) and endocrine system </w:t>
      </w:r>
      <w:proofErr w:type="gramStart"/>
      <w:r>
        <w:t>have been seen</w:t>
      </w:r>
      <w:proofErr w:type="gramEnd"/>
      <w:r>
        <w:t xml:space="preserve"> in human studies with sodium bromide, but these effects occurred at high doses compared to normal use and were reversible on cessation of exposure. </w:t>
      </w:r>
      <w:r w:rsidRPr="001C3BE3">
        <w:t xml:space="preserve">Evidence indicates that bromide salts are neither genotoxic nor carcinogenic. </w:t>
      </w:r>
      <w:r>
        <w:t xml:space="preserve">Utilising an internationally established Health Based Guidance Value from the </w:t>
      </w:r>
      <w:r w:rsidRPr="003B0F6D">
        <w:rPr>
          <w:rFonts w:asciiTheme="minorHAnsi" w:hAnsiTheme="minorHAnsi"/>
        </w:rPr>
        <w:t>FAO/WHO J</w:t>
      </w:r>
      <w:r>
        <w:rPr>
          <w:rFonts w:asciiTheme="minorHAnsi" w:hAnsiTheme="minorHAnsi"/>
        </w:rPr>
        <w:t>oint Meeting o</w:t>
      </w:r>
      <w:r w:rsidR="009D6CD8">
        <w:rPr>
          <w:rFonts w:asciiTheme="minorHAnsi" w:hAnsiTheme="minorHAnsi"/>
        </w:rPr>
        <w:t>n</w:t>
      </w:r>
      <w:r>
        <w:rPr>
          <w:rFonts w:asciiTheme="minorHAnsi" w:hAnsiTheme="minorHAnsi"/>
        </w:rPr>
        <w:t xml:space="preserve"> Pesticide Resid</w:t>
      </w:r>
      <w:r w:rsidRPr="003B0F6D">
        <w:rPr>
          <w:rFonts w:asciiTheme="minorHAnsi" w:hAnsiTheme="minorHAnsi"/>
        </w:rPr>
        <w:t>ues (</w:t>
      </w:r>
      <w:r>
        <w:rPr>
          <w:rFonts w:asciiTheme="minorHAnsi" w:hAnsiTheme="minorHAnsi"/>
        </w:rPr>
        <w:t>JMPR)</w:t>
      </w:r>
      <w:r>
        <w:t xml:space="preserve">, i.e. an Acceptable Daily Intake (ADI) for bromide, the Applicant has determined that the risk of adverse human health effects from exposure to sodium bromide in spa or swimming pool water would be negligible. Furthermore, risks associated with the use of products containing sodium bromide during sanitising procedures, can be adequately managed through warning statements, safety directions and first aid instructions on APVMA approved product labels </w:t>
      </w:r>
      <w:r>
        <w:rPr>
          <w:rFonts w:asciiTheme="minorHAnsi" w:hAnsiTheme="minorHAnsi"/>
        </w:rPr>
        <w:t>(52E(1)(c))</w:t>
      </w:r>
      <w:r>
        <w:t>.</w:t>
      </w:r>
    </w:p>
    <w:p w14:paraId="6CA8D914" w14:textId="77777777" w:rsidR="00846F16" w:rsidRPr="001C3BE3" w:rsidRDefault="00846F16" w:rsidP="008A0677">
      <w:pPr>
        <w:pStyle w:val="ListBullet"/>
        <w:spacing w:after="120"/>
        <w:ind w:left="357" w:hanging="357"/>
      </w:pPr>
      <w:r w:rsidRPr="001C3BE3">
        <w:t>It is considered that the toxicity profile of sodium bromide is consistent wi</w:t>
      </w:r>
      <w:r>
        <w:t xml:space="preserve">th a Schedule 5 classification </w:t>
      </w:r>
      <w:r w:rsidRPr="00AD1533">
        <w:rPr>
          <w:rFonts w:asciiTheme="minorHAnsi" w:hAnsiTheme="minorHAnsi"/>
        </w:rPr>
        <w:t>(</w:t>
      </w:r>
      <w:proofErr w:type="gramStart"/>
      <w:r w:rsidRPr="00AD1533">
        <w:rPr>
          <w:rFonts w:asciiTheme="minorHAnsi" w:hAnsiTheme="minorHAnsi"/>
        </w:rPr>
        <w:t>52E(</w:t>
      </w:r>
      <w:proofErr w:type="gramEnd"/>
      <w:r w:rsidRPr="00AD1533">
        <w:rPr>
          <w:rFonts w:asciiTheme="minorHAnsi" w:hAnsiTheme="minorHAnsi"/>
        </w:rPr>
        <w:t>1)(c)).</w:t>
      </w:r>
    </w:p>
    <w:p w14:paraId="249CBDEB" w14:textId="1AA9D52D" w:rsidR="00846F16" w:rsidRPr="001C3BE3" w:rsidRDefault="00846F16" w:rsidP="008A0677">
      <w:pPr>
        <w:pStyle w:val="ListBullet"/>
        <w:spacing w:after="120"/>
        <w:ind w:left="357" w:hanging="357"/>
      </w:pPr>
      <w:r w:rsidRPr="001C3BE3">
        <w:t xml:space="preserve">The applicant has demonstrated that appropriate risk mitigation measures </w:t>
      </w:r>
      <w:proofErr w:type="gramStart"/>
      <w:r w:rsidRPr="001C3BE3">
        <w:t>will be put</w:t>
      </w:r>
      <w:proofErr w:type="gramEnd"/>
      <w:r w:rsidRPr="001C3BE3">
        <w:t xml:space="preserve"> in place for the proposed product containing the substance that may be registered for use in Australia, and that account for the dosage (application rate), formulation, labelling, packaging and presentation of sodium bromide.  As a result, no additional measures are re</w:t>
      </w:r>
      <w:r w:rsidR="00CC3739">
        <w:t xml:space="preserve">quired in the Poisons Standard </w:t>
      </w:r>
      <w:r w:rsidRPr="001C3BE3">
        <w:t>(</w:t>
      </w:r>
      <w:proofErr w:type="gramStart"/>
      <w:r w:rsidRPr="001C3BE3">
        <w:t>53E(</w:t>
      </w:r>
      <w:proofErr w:type="gramEnd"/>
      <w:r w:rsidRPr="001C3BE3">
        <w:t>1)(d)).</w:t>
      </w:r>
    </w:p>
    <w:p w14:paraId="2C2E9858" w14:textId="77777777" w:rsidR="00846F16" w:rsidRPr="005E48AE" w:rsidRDefault="00846F16" w:rsidP="008A0677">
      <w:pPr>
        <w:pStyle w:val="ListBullet"/>
        <w:spacing w:after="120"/>
        <w:ind w:left="357" w:hanging="357"/>
      </w:pPr>
      <w:r w:rsidRPr="00C80667">
        <w:t>There is no information to indicate that the substance could pose a risk to humans from abuse of the substance (52(E</w:t>
      </w:r>
      <w:proofErr w:type="gramStart"/>
      <w:r w:rsidRPr="00C80667">
        <w:t>)(</w:t>
      </w:r>
      <w:proofErr w:type="gramEnd"/>
      <w:r w:rsidRPr="00C80667">
        <w:t>1)(e)).</w:t>
      </w:r>
    </w:p>
    <w:p w14:paraId="129735BF" w14:textId="77777777" w:rsidR="00846F16" w:rsidRPr="00144BE2" w:rsidRDefault="00846F16" w:rsidP="008A0677">
      <w:pPr>
        <w:pStyle w:val="ListBullet"/>
        <w:spacing w:after="120"/>
        <w:ind w:left="357" w:hanging="357"/>
      </w:pPr>
      <w:r w:rsidRPr="00144BE2">
        <w:t>Disinfection by-pro</w:t>
      </w:r>
      <w:r>
        <w:t xml:space="preserve">ducts (DBPs) </w:t>
      </w:r>
      <w:proofErr w:type="gramStart"/>
      <w:r>
        <w:t>are formed</w:t>
      </w:r>
      <w:proofErr w:type="gramEnd"/>
      <w:r>
        <w:t xml:space="preserve"> when</w:t>
      </w:r>
      <w:r w:rsidRPr="00144BE2">
        <w:t xml:space="preserve"> </w:t>
      </w:r>
      <w:r>
        <w:t xml:space="preserve">sanitisers/disinfectants </w:t>
      </w:r>
      <w:r w:rsidRPr="00144BE2">
        <w:t xml:space="preserve">react with each other and with organic and inorganic matter in </w:t>
      </w:r>
      <w:r>
        <w:t xml:space="preserve">swimming pools and </w:t>
      </w:r>
      <w:r w:rsidRPr="00144BE2">
        <w:t>spas.</w:t>
      </w:r>
      <w:r>
        <w:t xml:space="preserve"> Bathers and/or swimmers may</w:t>
      </w:r>
      <w:r w:rsidRPr="00144BE2">
        <w:t xml:space="preserve"> be exposed to sodium bromide dissociation products</w:t>
      </w:r>
      <w:r>
        <w:t xml:space="preserve"> </w:t>
      </w:r>
      <w:r w:rsidRPr="00144BE2">
        <w:t>as well as the activator chemic</w:t>
      </w:r>
      <w:r>
        <w:t>al and disinfection by-products</w:t>
      </w:r>
      <w:r w:rsidRPr="00144BE2">
        <w:t xml:space="preserve"> (DBPs)</w:t>
      </w:r>
      <w:r>
        <w:t xml:space="preserve"> e.g. sodium bromate</w:t>
      </w:r>
      <w:r w:rsidRPr="00144BE2">
        <w:t xml:space="preserve">. The occurrence and type </w:t>
      </w:r>
      <w:r w:rsidRPr="00144BE2">
        <w:lastRenderedPageBreak/>
        <w:t xml:space="preserve">of DBPs depends </w:t>
      </w:r>
      <w:proofErr w:type="gramStart"/>
      <w:r w:rsidRPr="00144BE2">
        <w:t>on a number variables</w:t>
      </w:r>
      <w:proofErr w:type="gramEnd"/>
      <w:r w:rsidRPr="00144BE2">
        <w:t>, including the type of pool, type of disinfectants used, disinfectant dosages, bather loads, temperature and pH of the pool</w:t>
      </w:r>
      <w:r>
        <w:t>/spa</w:t>
      </w:r>
      <w:r w:rsidRPr="00144BE2">
        <w:t xml:space="preserve"> water</w:t>
      </w:r>
      <w:r>
        <w:t xml:space="preserve">. The applicant noted that the risks from exposure to DBP and other substances </w:t>
      </w:r>
      <w:proofErr w:type="gramStart"/>
      <w:r>
        <w:t>were considered</w:t>
      </w:r>
      <w:proofErr w:type="gramEnd"/>
      <w:r>
        <w:t xml:space="preserve"> to be beyond the scope of the current application, as levels in swimming pool water are a function of the quality of the water and methods of disinfection, as opposed to the substance </w:t>
      </w:r>
      <w:r w:rsidRPr="00B47104">
        <w:rPr>
          <w:i/>
        </w:rPr>
        <w:t>per se</w:t>
      </w:r>
      <w:r>
        <w:t xml:space="preserve">. The potential risks associated with exposure to DBPs including bromate and aquatic pathogens, can be mitigated by adherence to State and Territory guidelines/standards on the use of sodium bromide in swimming pools and spas </w:t>
      </w:r>
      <w:r w:rsidRPr="00144BE2">
        <w:rPr>
          <w:rFonts w:asciiTheme="minorHAnsi" w:hAnsiTheme="minorHAnsi"/>
        </w:rPr>
        <w:t>(52(E)(1)(f)).</w:t>
      </w:r>
    </w:p>
    <w:p w14:paraId="4DF5A8B1" w14:textId="14B7DA37" w:rsidR="00846F16" w:rsidRPr="00144BE2" w:rsidRDefault="00846F16" w:rsidP="008A0677">
      <w:pPr>
        <w:pStyle w:val="ListBullet"/>
        <w:spacing w:after="120"/>
        <w:ind w:left="357" w:hanging="357"/>
      </w:pPr>
      <w:proofErr w:type="gramStart"/>
      <w:r w:rsidRPr="00144BE2">
        <w:t xml:space="preserve">An Acceptable Daily Intake (ADI) value of 1 mg/kg </w:t>
      </w:r>
      <w:proofErr w:type="spellStart"/>
      <w:r w:rsidRPr="00144BE2">
        <w:t>bw</w:t>
      </w:r>
      <w:proofErr w:type="spellEnd"/>
      <w:r w:rsidRPr="00144BE2">
        <w:t>/day was established by the FAO/WHO Joint Meeting o</w:t>
      </w:r>
      <w:r w:rsidR="009D6CD8">
        <w:t>n</w:t>
      </w:r>
      <w:r w:rsidRPr="00144BE2">
        <w:t xml:space="preserve"> Pesticide Residues (JMPR) (1998)</w:t>
      </w:r>
      <w:proofErr w:type="gramEnd"/>
      <w:r w:rsidRPr="00144BE2">
        <w:t xml:space="preserve"> for bromide (Br</w:t>
      </w:r>
      <w:r w:rsidRPr="00144BE2">
        <w:rPr>
          <w:vertAlign w:val="superscript"/>
        </w:rPr>
        <w:t>-</w:t>
      </w:r>
      <w:r w:rsidRPr="00144BE2">
        <w:t>)</w:t>
      </w:r>
      <w:r>
        <w:t>. This was</w:t>
      </w:r>
      <w:r w:rsidRPr="00144BE2">
        <w:t xml:space="preserve"> based on a 12-week oral human study using sodium bromide where no neurophysiological or </w:t>
      </w:r>
      <w:proofErr w:type="spellStart"/>
      <w:r w:rsidRPr="00144BE2">
        <w:t>endocrinological</w:t>
      </w:r>
      <w:proofErr w:type="spellEnd"/>
      <w:r w:rsidRPr="00144BE2">
        <w:t xml:space="preserve"> effects were observed at the highest tested dose of 9 mg Br</w:t>
      </w:r>
      <w:r w:rsidRPr="007C5904">
        <w:rPr>
          <w:vertAlign w:val="superscript"/>
        </w:rPr>
        <w:t>-</w:t>
      </w:r>
      <w:r w:rsidRPr="00144BE2">
        <w:t xml:space="preserve">/kg </w:t>
      </w:r>
      <w:proofErr w:type="spellStart"/>
      <w:r w:rsidRPr="00144BE2">
        <w:t>bw</w:t>
      </w:r>
      <w:proofErr w:type="spellEnd"/>
      <w:r w:rsidRPr="00144BE2">
        <w:t xml:space="preserve">/day (equivalent to 11.6 mg/kg </w:t>
      </w:r>
      <w:proofErr w:type="spellStart"/>
      <w:r w:rsidRPr="00144BE2">
        <w:t>bw</w:t>
      </w:r>
      <w:proofErr w:type="spellEnd"/>
      <w:r w:rsidRPr="00144BE2">
        <w:t>/day sodium bromide), using a 10 fold safety factor (52(E)(1)(f)).</w:t>
      </w:r>
    </w:p>
    <w:p w14:paraId="568712A3" w14:textId="2AFB254D" w:rsidR="00846F16" w:rsidRPr="00846F16" w:rsidRDefault="00846F16" w:rsidP="008A0677">
      <w:pPr>
        <w:pStyle w:val="ListBullet"/>
        <w:spacing w:after="120"/>
        <w:ind w:left="357" w:hanging="357"/>
      </w:pPr>
      <w:r w:rsidRPr="00C80667">
        <w:t xml:space="preserve">Therefore, based on the information provided in the application, I have decided to amend the current Poisons Standard in the manner set out in the application. The proposed amendment </w:t>
      </w:r>
      <w:proofErr w:type="gramStart"/>
      <w:r w:rsidRPr="00C80667">
        <w:t>was not referred</w:t>
      </w:r>
      <w:proofErr w:type="gramEnd"/>
      <w:r w:rsidRPr="00C80667">
        <w:t xml:space="preserve"> to an expert advisory committee.</w:t>
      </w:r>
    </w:p>
    <w:p w14:paraId="4673A2E7" w14:textId="76C405FE" w:rsidR="00327B11" w:rsidRDefault="00367B12" w:rsidP="00327B11">
      <w:pPr>
        <w:pStyle w:val="Heading4"/>
      </w:pPr>
      <w:r>
        <w:t>Date of effect of the decision</w:t>
      </w:r>
    </w:p>
    <w:p w14:paraId="5D3D5547" w14:textId="77777777" w:rsidR="00327B11" w:rsidRPr="00EE2AEF" w:rsidRDefault="0014715B" w:rsidP="00327B11">
      <w:pPr>
        <w:rPr>
          <w:b/>
        </w:rPr>
      </w:pPr>
      <w:r>
        <w:rPr>
          <w:b/>
        </w:rPr>
        <w:t>1 October 2020</w:t>
      </w:r>
    </w:p>
    <w:p w14:paraId="14FD6B13" w14:textId="266BB5AD" w:rsidR="00327B11" w:rsidRDefault="00327B11" w:rsidP="00327B11">
      <w:pPr>
        <w:pStyle w:val="Heading3"/>
      </w:pPr>
      <w:bookmarkStart w:id="41" w:name="_Final_decision_in_5"/>
      <w:bookmarkStart w:id="42" w:name="_Toc48996179"/>
      <w:bookmarkEnd w:id="41"/>
      <w:r>
        <w:t xml:space="preserve">Final decision in relation to </w:t>
      </w:r>
      <w:proofErr w:type="spellStart"/>
      <w:r>
        <w:t>polyoxin</w:t>
      </w:r>
      <w:proofErr w:type="spellEnd"/>
      <w:r>
        <w:t xml:space="preserve"> D zinc salt</w:t>
      </w:r>
      <w:bookmarkEnd w:id="42"/>
    </w:p>
    <w:p w14:paraId="5901690E" w14:textId="608038BD" w:rsidR="00327B11" w:rsidRDefault="00367B12" w:rsidP="00327B11">
      <w:pPr>
        <w:pStyle w:val="Heading4"/>
      </w:pPr>
      <w:r>
        <w:t>Final decision</w:t>
      </w:r>
    </w:p>
    <w:p w14:paraId="26281DEC" w14:textId="77777777" w:rsidR="00327B11" w:rsidRDefault="00327B11" w:rsidP="00327B11">
      <w:pPr>
        <w:rPr>
          <w:highlight w:val="yellow"/>
        </w:rPr>
      </w:pPr>
      <w:r w:rsidRPr="00C546F4">
        <w:t xml:space="preserve">Pursuant to regulation </w:t>
      </w:r>
      <w:r w:rsidRPr="005F3EA0">
        <w:t>42ZCZU</w:t>
      </w:r>
      <w:r w:rsidRPr="005F3EA0" w:rsidDel="005F3EA0">
        <w:t xml:space="preserve"> </w:t>
      </w:r>
      <w:r w:rsidRPr="00C546F4">
        <w:t xml:space="preserve">of the Regulations, a </w:t>
      </w:r>
      <w:r w:rsidRPr="00020974">
        <w:t xml:space="preserve">Delegate of the Secretary has made a final decision to amend the current Poisons Standard in relation to </w:t>
      </w:r>
      <w:proofErr w:type="spellStart"/>
      <w:r w:rsidRPr="00020974">
        <w:t>polyoxin</w:t>
      </w:r>
      <w:proofErr w:type="spellEnd"/>
      <w:r w:rsidRPr="00020974">
        <w:t xml:space="preserve"> D zinc salt as follows:</w:t>
      </w:r>
    </w:p>
    <w:p w14:paraId="6C10A66C" w14:textId="77777777" w:rsidR="00327B11" w:rsidRPr="00CD40FB" w:rsidRDefault="00327B11" w:rsidP="00327B11">
      <w:pPr>
        <w:ind w:left="426"/>
        <w:rPr>
          <w:b/>
        </w:rPr>
      </w:pPr>
      <w:r w:rsidRPr="00D56BAC">
        <w:rPr>
          <w:b/>
        </w:rPr>
        <w:t xml:space="preserve">Schedule </w:t>
      </w:r>
      <w:proofErr w:type="gramStart"/>
      <w:r w:rsidRPr="00D56BAC">
        <w:rPr>
          <w:b/>
        </w:rPr>
        <w:t>5</w:t>
      </w:r>
      <w:proofErr w:type="gramEnd"/>
      <w:r w:rsidRPr="00D56BAC">
        <w:rPr>
          <w:b/>
        </w:rPr>
        <w:t xml:space="preserve"> – New</w:t>
      </w:r>
      <w:r>
        <w:rPr>
          <w:b/>
        </w:rPr>
        <w:t xml:space="preserve"> e</w:t>
      </w:r>
      <w:r w:rsidRPr="00D56BAC">
        <w:rPr>
          <w:b/>
        </w:rPr>
        <w:t>ntry</w:t>
      </w:r>
    </w:p>
    <w:p w14:paraId="55CD6635" w14:textId="77777777" w:rsidR="00327B11" w:rsidRPr="00D56BAC" w:rsidRDefault="00327B11" w:rsidP="00327B11">
      <w:pPr>
        <w:ind w:left="426"/>
        <w:rPr>
          <w:color w:val="FF0000"/>
        </w:rPr>
      </w:pPr>
      <w:r w:rsidRPr="00D56BAC">
        <w:rPr>
          <w:color w:val="FF0000"/>
        </w:rPr>
        <w:t>POLYOXIN D ZINC SALT</w:t>
      </w:r>
      <w:r>
        <w:rPr>
          <w:color w:val="FF0000"/>
        </w:rPr>
        <w:t>.</w:t>
      </w:r>
    </w:p>
    <w:p w14:paraId="43D6EB86" w14:textId="78ACAF7C" w:rsidR="00327B11" w:rsidRPr="00D56BAC" w:rsidRDefault="00327B11" w:rsidP="00327B11">
      <w:pPr>
        <w:ind w:left="426"/>
        <w:rPr>
          <w:rFonts w:asciiTheme="minorHAnsi" w:hAnsiTheme="minorHAnsi" w:cstheme="minorHAnsi"/>
          <w:b/>
          <w:szCs w:val="22"/>
        </w:rPr>
      </w:pPr>
      <w:r w:rsidRPr="00D56BAC">
        <w:rPr>
          <w:rFonts w:asciiTheme="minorHAnsi" w:hAnsiTheme="minorHAnsi" w:cstheme="minorHAnsi"/>
          <w:b/>
          <w:szCs w:val="22"/>
        </w:rPr>
        <w:t>Index – New entry</w:t>
      </w:r>
    </w:p>
    <w:p w14:paraId="27165F94" w14:textId="77777777" w:rsidR="00327B11" w:rsidRPr="00D56BAC" w:rsidRDefault="00327B11" w:rsidP="00327B11">
      <w:pPr>
        <w:ind w:left="426"/>
        <w:rPr>
          <w:b/>
          <w:color w:val="FF0000"/>
        </w:rPr>
      </w:pPr>
      <w:r w:rsidRPr="00D56BAC">
        <w:rPr>
          <w:b/>
          <w:color w:val="FF0000"/>
        </w:rPr>
        <w:t>POLYOXIN D ZINC SALT</w:t>
      </w:r>
    </w:p>
    <w:p w14:paraId="205D79D3" w14:textId="77777777" w:rsidR="00327B11" w:rsidRPr="00020974" w:rsidRDefault="00327B11" w:rsidP="00327B11">
      <w:pPr>
        <w:ind w:left="426"/>
        <w:rPr>
          <w:rFonts w:asciiTheme="minorHAnsi" w:hAnsiTheme="minorHAnsi" w:cstheme="minorHAnsi"/>
          <w:color w:val="FF0000"/>
          <w:szCs w:val="22"/>
        </w:rPr>
      </w:pPr>
      <w:r w:rsidRPr="00D56BAC">
        <w:rPr>
          <w:rFonts w:asciiTheme="minorHAnsi" w:hAnsiTheme="minorHAnsi" w:cstheme="minorHAnsi"/>
          <w:color w:val="FF0000"/>
          <w:szCs w:val="22"/>
        </w:rPr>
        <w:t>Schedule 5</w:t>
      </w:r>
    </w:p>
    <w:p w14:paraId="3D174AF3" w14:textId="78BD34B4" w:rsidR="00327B11" w:rsidRDefault="00327B11" w:rsidP="00327B11">
      <w:pPr>
        <w:pStyle w:val="Heading4"/>
      </w:pPr>
      <w:r>
        <w:t>Materials considered</w:t>
      </w:r>
    </w:p>
    <w:p w14:paraId="41A32811" w14:textId="77777777" w:rsidR="00327B11" w:rsidRDefault="00327B11" w:rsidP="00327B11">
      <w:r>
        <w:t>In making this final decision, the Delegate considered the following material:</w:t>
      </w:r>
    </w:p>
    <w:p w14:paraId="2B44DB36" w14:textId="77777777" w:rsidR="00327B11" w:rsidRPr="00775F5E" w:rsidRDefault="00327B11" w:rsidP="00C31E2C">
      <w:pPr>
        <w:pStyle w:val="ListBullet"/>
      </w:pPr>
      <w:r w:rsidRPr="00775F5E">
        <w:t xml:space="preserve">The application to amend the current Poisons Standard with respect to </w:t>
      </w:r>
      <w:proofErr w:type="spellStart"/>
      <w:r w:rsidRPr="00775F5E">
        <w:t>polyoxin</w:t>
      </w:r>
      <w:proofErr w:type="spellEnd"/>
      <w:r w:rsidRPr="00775F5E">
        <w:t xml:space="preserve"> D zinc salt;</w:t>
      </w:r>
    </w:p>
    <w:p w14:paraId="0B9A6197" w14:textId="77777777" w:rsidR="00327B11" w:rsidRDefault="00327B11" w:rsidP="00C31E2C">
      <w:pPr>
        <w:pStyle w:val="ListBullet"/>
      </w:pPr>
      <w:r w:rsidRPr="001169AC">
        <w:t xml:space="preserve">Subsection 52E(1) of </w:t>
      </w:r>
      <w:r w:rsidRPr="001169AC">
        <w:rPr>
          <w:i/>
        </w:rPr>
        <w:t>the Therapeutic Goods Act 1989</w:t>
      </w:r>
      <w:r w:rsidRPr="001169AC">
        <w:t>, in particular (a) the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 any other matters considered nece</w:t>
      </w:r>
      <w:r>
        <w:t>ssary to protect public health;</w:t>
      </w:r>
    </w:p>
    <w:p w14:paraId="3C9E8F75" w14:textId="77777777" w:rsidR="00327B11" w:rsidRDefault="00327B11" w:rsidP="00C31E2C">
      <w:pPr>
        <w:pStyle w:val="ListBullet"/>
      </w:pPr>
      <w:r w:rsidRPr="002C1418">
        <w:t xml:space="preserve">The Australian Health Ministers’ Advisory Council’s </w:t>
      </w:r>
      <w:hyperlink r:id="rId119" w:history="1">
        <w:r w:rsidRPr="001A7580">
          <w:rPr>
            <w:rStyle w:val="Hyperlink"/>
          </w:rPr>
          <w:t>Scheduling Policy Framework</w:t>
        </w:r>
      </w:hyperlink>
      <w:r>
        <w:t xml:space="preserve"> (SPF 2018); </w:t>
      </w:r>
      <w:r w:rsidRPr="00020974">
        <w:t>and</w:t>
      </w:r>
    </w:p>
    <w:p w14:paraId="29F25EC9" w14:textId="77777777" w:rsidR="00327B11" w:rsidRDefault="00327B11" w:rsidP="00C31E2C">
      <w:pPr>
        <w:pStyle w:val="ListBullet"/>
      </w:pPr>
      <w:r>
        <w:t xml:space="preserve">The </w:t>
      </w:r>
      <w:hyperlink r:id="rId120" w:history="1">
        <w:r w:rsidRPr="001A7580">
          <w:rPr>
            <w:rStyle w:val="Hyperlink"/>
          </w:rPr>
          <w:t>Scheduling handbook: Guidance for amending the Poisons Standard</w:t>
        </w:r>
      </w:hyperlink>
      <w:r>
        <w:t>.</w:t>
      </w:r>
    </w:p>
    <w:p w14:paraId="522B1258" w14:textId="77777777" w:rsidR="00327B11" w:rsidRDefault="00327B11" w:rsidP="00327B11">
      <w:pPr>
        <w:pStyle w:val="Heading4"/>
      </w:pPr>
      <w:r w:rsidRPr="00436C41">
        <w:lastRenderedPageBreak/>
        <w:t>Reasons for the final decision (including findings on material questions of fact)</w:t>
      </w:r>
    </w:p>
    <w:p w14:paraId="596BA531" w14:textId="77777777" w:rsidR="00327B11" w:rsidRPr="00243DB7" w:rsidRDefault="00327B11" w:rsidP="00327B11">
      <w:pPr>
        <w:spacing w:before="0" w:after="0" w:line="240" w:lineRule="auto"/>
        <w:rPr>
          <w:rFonts w:asciiTheme="minorHAnsi" w:hAnsiTheme="minorHAnsi"/>
        </w:rPr>
      </w:pPr>
      <w:r w:rsidRPr="00480169">
        <w:rPr>
          <w:rFonts w:asciiTheme="minorHAnsi" w:hAnsiTheme="minorHAnsi"/>
        </w:rPr>
        <w:t>In determining that this matter will be a delegate-only decision I have taken into account the information provided in the application from the Applicant</w:t>
      </w:r>
      <w:r>
        <w:rPr>
          <w:rFonts w:asciiTheme="minorHAnsi" w:hAnsiTheme="minorHAnsi"/>
        </w:rPr>
        <w:t xml:space="preserve"> (APVMA</w:t>
      </w:r>
      <w:r w:rsidRPr="00480169">
        <w:rPr>
          <w:rFonts w:asciiTheme="minorHAnsi" w:hAnsiTheme="minorHAnsi"/>
        </w:rPr>
        <w:t xml:space="preserve">), and the matters outlined under Section 52E of the </w:t>
      </w:r>
      <w:r w:rsidRPr="007E234E">
        <w:rPr>
          <w:rFonts w:asciiTheme="minorHAnsi" w:hAnsiTheme="minorHAnsi"/>
          <w:i/>
        </w:rPr>
        <w:t xml:space="preserve">Therapeutic Goods </w:t>
      </w:r>
      <w:r>
        <w:rPr>
          <w:rFonts w:asciiTheme="minorHAnsi" w:hAnsiTheme="minorHAnsi"/>
        </w:rPr>
        <w:t xml:space="preserve">Act </w:t>
      </w:r>
      <w:r w:rsidRPr="007E234E">
        <w:rPr>
          <w:rFonts w:asciiTheme="minorHAnsi" w:hAnsiTheme="minorHAnsi"/>
          <w:i/>
        </w:rPr>
        <w:t>1989</w:t>
      </w:r>
      <w:r w:rsidRPr="00480169">
        <w:rPr>
          <w:rFonts w:asciiTheme="minorHAnsi" w:hAnsiTheme="minorHAnsi"/>
        </w:rPr>
        <w:t xml:space="preserve"> and the Scheduling Policy Framework (</w:t>
      </w:r>
      <w:r>
        <w:rPr>
          <w:rFonts w:asciiTheme="minorHAnsi" w:hAnsiTheme="minorHAnsi"/>
        </w:rPr>
        <w:t xml:space="preserve">SPF, </w:t>
      </w:r>
      <w:r w:rsidRPr="00480169">
        <w:rPr>
          <w:rFonts w:asciiTheme="minorHAnsi" w:hAnsiTheme="minorHAnsi"/>
        </w:rPr>
        <w:t>2018). In particular, I note that:</w:t>
      </w:r>
    </w:p>
    <w:p w14:paraId="39642B29" w14:textId="77777777" w:rsidR="004E5EF1" w:rsidRDefault="00642452" w:rsidP="00C31E2C">
      <w:pPr>
        <w:pStyle w:val="ListBullet"/>
      </w:pPr>
      <w:r w:rsidRPr="004E5EF1">
        <w:t xml:space="preserve">The proposed change to the Poisons Standard to include a new entry for </w:t>
      </w:r>
      <w:proofErr w:type="spellStart"/>
      <w:r w:rsidRPr="004E5EF1">
        <w:t>Polyoxin</w:t>
      </w:r>
      <w:proofErr w:type="spellEnd"/>
      <w:r w:rsidRPr="004E5EF1">
        <w:t xml:space="preserve"> D zinc </w:t>
      </w:r>
      <w:proofErr w:type="gramStart"/>
      <w:r w:rsidRPr="004E5EF1">
        <w:t>salt,</w:t>
      </w:r>
      <w:proofErr w:type="gramEnd"/>
      <w:r w:rsidRPr="004E5EF1">
        <w:t xml:space="preserve"> indicates that there are benefits to the agricultural industry from the introduction of this fungicidal active constituent. </w:t>
      </w:r>
      <w:proofErr w:type="spellStart"/>
      <w:r w:rsidRPr="004E5EF1">
        <w:t>Polyoxin</w:t>
      </w:r>
      <w:proofErr w:type="spellEnd"/>
      <w:r w:rsidRPr="004E5EF1">
        <w:t xml:space="preserve"> D is a naturally occurring compound, with fungicidal activity, produced by </w:t>
      </w:r>
      <w:r w:rsidRPr="004E5EF1">
        <w:rPr>
          <w:i/>
        </w:rPr>
        <w:t xml:space="preserve">Streptomyces </w:t>
      </w:r>
      <w:proofErr w:type="spellStart"/>
      <w:r w:rsidRPr="004E5EF1">
        <w:rPr>
          <w:i/>
        </w:rPr>
        <w:t>cacaoi</w:t>
      </w:r>
      <w:proofErr w:type="spellEnd"/>
      <w:r w:rsidRPr="004E5EF1">
        <w:rPr>
          <w:i/>
        </w:rPr>
        <w:t xml:space="preserve"> </w:t>
      </w:r>
      <w:r w:rsidRPr="004E5EF1">
        <w:t xml:space="preserve">var. </w:t>
      </w:r>
      <w:proofErr w:type="spellStart"/>
      <w:r w:rsidRPr="004E5EF1">
        <w:rPr>
          <w:i/>
        </w:rPr>
        <w:t>asoensis</w:t>
      </w:r>
      <w:proofErr w:type="spellEnd"/>
      <w:r w:rsidRPr="004E5EF1">
        <w:t xml:space="preserve">. The target enzyme is fungal chitin </w:t>
      </w:r>
      <w:proofErr w:type="spellStart"/>
      <w:r w:rsidRPr="004E5EF1">
        <w:t>synthetase</w:t>
      </w:r>
      <w:proofErr w:type="spellEnd"/>
      <w:r w:rsidRPr="004E5EF1">
        <w:t xml:space="preserve">. </w:t>
      </w:r>
      <w:proofErr w:type="spellStart"/>
      <w:r w:rsidRPr="004E5EF1">
        <w:t>Polyoxin</w:t>
      </w:r>
      <w:proofErr w:type="spellEnd"/>
      <w:r w:rsidRPr="004E5EF1">
        <w:t xml:space="preserve"> D is very </w:t>
      </w:r>
      <w:proofErr w:type="gramStart"/>
      <w:r w:rsidRPr="004E5EF1">
        <w:t>water soluble</w:t>
      </w:r>
      <w:proofErr w:type="gramEnd"/>
      <w:r w:rsidRPr="004E5EF1">
        <w:t xml:space="preserve"> so it is formulated as the zinc salt to give longer residence time on plant surfaces. It is proposed for the control of certain fungal diseases in various food </w:t>
      </w:r>
      <w:proofErr w:type="gramStart"/>
      <w:r w:rsidRPr="004E5EF1">
        <w:t>crops,</w:t>
      </w:r>
      <w:proofErr w:type="gramEnd"/>
      <w:r w:rsidRPr="004E5EF1">
        <w:t xml:space="preserve"> however no products containing </w:t>
      </w:r>
      <w:proofErr w:type="spellStart"/>
      <w:r w:rsidRPr="004E5EF1">
        <w:t>polyoxin</w:t>
      </w:r>
      <w:proofErr w:type="spellEnd"/>
      <w:r w:rsidRPr="004E5EF1">
        <w:t xml:space="preserve"> D zinc salt has been proposed for registration at this time. The risks to human health and safety from the active constituent </w:t>
      </w:r>
      <w:r w:rsidRPr="004E5EF1">
        <w:rPr>
          <w:i/>
        </w:rPr>
        <w:t>per se</w:t>
      </w:r>
      <w:r w:rsidRPr="004E5EF1">
        <w:t xml:space="preserve"> have been addressed by the pesticide regulator (APVMA) in it application (</w:t>
      </w:r>
      <w:proofErr w:type="gramStart"/>
      <w:r w:rsidRPr="004E5EF1">
        <w:t>52E(</w:t>
      </w:r>
      <w:proofErr w:type="gramEnd"/>
      <w:r w:rsidRPr="004E5EF1">
        <w:t>1)(a)).</w:t>
      </w:r>
    </w:p>
    <w:p w14:paraId="4A2B0E71" w14:textId="1058CAAE" w:rsidR="00642452" w:rsidRPr="004E5EF1" w:rsidRDefault="00642452" w:rsidP="00C31E2C">
      <w:pPr>
        <w:pStyle w:val="ListBullet"/>
      </w:pPr>
      <w:proofErr w:type="gramStart"/>
      <w:r w:rsidRPr="004E5EF1">
        <w:rPr>
          <w:lang w:eastAsia="en-AU"/>
        </w:rPr>
        <w:t>The purpose and extent for which the substance is to be used has been adequately outlined by Applicant</w:t>
      </w:r>
      <w:proofErr w:type="gramEnd"/>
      <w:r w:rsidRPr="004E5EF1">
        <w:rPr>
          <w:lang w:eastAsia="en-AU"/>
        </w:rPr>
        <w:t xml:space="preserve">. Products containing </w:t>
      </w:r>
      <w:proofErr w:type="spellStart"/>
      <w:r w:rsidRPr="004E5EF1">
        <w:rPr>
          <w:lang w:eastAsia="en-AU"/>
        </w:rPr>
        <w:t>polyoxin</w:t>
      </w:r>
      <w:proofErr w:type="spellEnd"/>
      <w:r w:rsidRPr="004E5EF1">
        <w:rPr>
          <w:lang w:eastAsia="en-AU"/>
        </w:rPr>
        <w:t xml:space="preserve"> D zinc salt have been approved for use in Japan (&gt;40 years), other countries in Asia, USA (since 1997), Canada (2017) and New Zealand (2016). These products are registered for use in a range of fruit and vegetable crops, as well as turf and ornamentals (</w:t>
      </w:r>
      <w:proofErr w:type="gramStart"/>
      <w:r w:rsidRPr="004E5EF1">
        <w:rPr>
          <w:lang w:eastAsia="en-AU"/>
        </w:rPr>
        <w:t>52E(</w:t>
      </w:r>
      <w:proofErr w:type="gramEnd"/>
      <w:r w:rsidRPr="004E5EF1">
        <w:rPr>
          <w:lang w:eastAsia="en-AU"/>
        </w:rPr>
        <w:t>1)(b)).</w:t>
      </w:r>
    </w:p>
    <w:p w14:paraId="70D5E2EF" w14:textId="4F6BB1E3" w:rsidR="00642452" w:rsidRDefault="00642452" w:rsidP="00367B12">
      <w:pPr>
        <w:pStyle w:val="ListBullet"/>
        <w:rPr>
          <w:rFonts w:ascii="Times New Roman" w:hAnsi="Times New Roman"/>
          <w:lang w:eastAsia="en-AU"/>
        </w:rPr>
      </w:pPr>
      <w:proofErr w:type="spellStart"/>
      <w:r>
        <w:rPr>
          <w:lang w:eastAsia="en-AU"/>
        </w:rPr>
        <w:t>Polyoxin</w:t>
      </w:r>
      <w:proofErr w:type="spellEnd"/>
      <w:r>
        <w:rPr>
          <w:lang w:eastAsia="en-AU"/>
        </w:rPr>
        <w:t xml:space="preserve"> D zinc salt preparations have low acute oral, dermal and inhalational toxicity. </w:t>
      </w:r>
      <w:proofErr w:type="gramStart"/>
      <w:r>
        <w:rPr>
          <w:lang w:eastAsia="en-AU"/>
        </w:rPr>
        <w:t>It is a slight-moderate eye irritant, not a skin irritant but is a weak skin sensitiser in guinea pigs.</w:t>
      </w:r>
      <w:proofErr w:type="gramEnd"/>
      <w:r>
        <w:rPr>
          <w:lang w:eastAsia="en-AU"/>
        </w:rPr>
        <w:t xml:space="preserve"> Mild to no treatment-related effects </w:t>
      </w:r>
      <w:proofErr w:type="gramStart"/>
      <w:r>
        <w:rPr>
          <w:lang w:eastAsia="en-AU"/>
        </w:rPr>
        <w:t>were observed</w:t>
      </w:r>
      <w:proofErr w:type="gramEnd"/>
      <w:r>
        <w:rPr>
          <w:lang w:eastAsia="en-AU"/>
        </w:rPr>
        <w:t xml:space="preserve"> in the short- and long-term repeat dose toxicity studies with </w:t>
      </w:r>
      <w:proofErr w:type="spellStart"/>
      <w:r>
        <w:rPr>
          <w:lang w:eastAsia="en-AU"/>
        </w:rPr>
        <w:t>polyoxin</w:t>
      </w:r>
      <w:proofErr w:type="spellEnd"/>
      <w:r>
        <w:rPr>
          <w:lang w:eastAsia="en-AU"/>
        </w:rPr>
        <w:t xml:space="preserve"> D zinc salt preparations in mice, rats, rabbits and dogs at the highest doses tested. </w:t>
      </w:r>
      <w:proofErr w:type="spellStart"/>
      <w:r>
        <w:rPr>
          <w:lang w:eastAsia="en-AU"/>
        </w:rPr>
        <w:t>Polyoxin</w:t>
      </w:r>
      <w:proofErr w:type="spellEnd"/>
      <w:r>
        <w:rPr>
          <w:lang w:eastAsia="en-AU"/>
        </w:rPr>
        <w:t xml:space="preserve"> D zinc salt preparations did not demonstrate any carcinogenic, developmental or reproductive toxicity, </w:t>
      </w:r>
      <w:proofErr w:type="spellStart"/>
      <w:r>
        <w:rPr>
          <w:lang w:eastAsia="en-AU"/>
        </w:rPr>
        <w:t>immunotoxicity</w:t>
      </w:r>
      <w:proofErr w:type="spellEnd"/>
      <w:r>
        <w:rPr>
          <w:lang w:eastAsia="en-AU"/>
        </w:rPr>
        <w:t xml:space="preserve"> or neurotoxicity potential. The weight of evidence indicates that </w:t>
      </w:r>
      <w:proofErr w:type="spellStart"/>
      <w:r>
        <w:rPr>
          <w:lang w:eastAsia="en-AU"/>
        </w:rPr>
        <w:t>polyoxin</w:t>
      </w:r>
      <w:proofErr w:type="spellEnd"/>
      <w:r>
        <w:rPr>
          <w:lang w:eastAsia="en-AU"/>
        </w:rPr>
        <w:t xml:space="preserve"> D zinc salt preparations do not have genotoxic potential </w:t>
      </w:r>
      <w:r>
        <w:rPr>
          <w:rFonts w:ascii="Times New Roman" w:hAnsi="Times New Roman"/>
          <w:lang w:eastAsia="en-AU"/>
        </w:rPr>
        <w:t>(52(E</w:t>
      </w:r>
      <w:proofErr w:type="gramStart"/>
      <w:r>
        <w:rPr>
          <w:rFonts w:ascii="Times New Roman" w:hAnsi="Times New Roman"/>
          <w:lang w:eastAsia="en-AU"/>
        </w:rPr>
        <w:t>)(</w:t>
      </w:r>
      <w:proofErr w:type="gramEnd"/>
      <w:r>
        <w:rPr>
          <w:rFonts w:ascii="Times New Roman" w:hAnsi="Times New Roman"/>
          <w:lang w:eastAsia="en-AU"/>
        </w:rPr>
        <w:t>1)(c)).</w:t>
      </w:r>
    </w:p>
    <w:p w14:paraId="586FDB84" w14:textId="4467CE26" w:rsidR="00642452" w:rsidRDefault="00642452" w:rsidP="00367B12">
      <w:pPr>
        <w:pStyle w:val="ListBullet"/>
        <w:rPr>
          <w:rFonts w:ascii="Times New Roman" w:hAnsi="Times New Roman"/>
          <w:lang w:eastAsia="en-AU"/>
        </w:rPr>
      </w:pPr>
      <w:r>
        <w:rPr>
          <w:lang w:eastAsia="en-AU"/>
        </w:rPr>
        <w:t xml:space="preserve">The toxicity profile of </w:t>
      </w:r>
      <w:proofErr w:type="spellStart"/>
      <w:r>
        <w:rPr>
          <w:lang w:eastAsia="en-AU"/>
        </w:rPr>
        <w:t>polyoxin</w:t>
      </w:r>
      <w:proofErr w:type="spellEnd"/>
      <w:r>
        <w:rPr>
          <w:lang w:eastAsia="en-AU"/>
        </w:rPr>
        <w:t xml:space="preserve"> D zinc salt is such that it meets the factors for inclusion in Schedule 5 of the Poisons Standard </w:t>
      </w:r>
      <w:r>
        <w:rPr>
          <w:rFonts w:ascii="Times New Roman" w:hAnsi="Times New Roman"/>
          <w:lang w:eastAsia="en-AU"/>
        </w:rPr>
        <w:t>(52(E</w:t>
      </w:r>
      <w:proofErr w:type="gramStart"/>
      <w:r>
        <w:rPr>
          <w:rFonts w:ascii="Times New Roman" w:hAnsi="Times New Roman"/>
          <w:lang w:eastAsia="en-AU"/>
        </w:rPr>
        <w:t>)(</w:t>
      </w:r>
      <w:proofErr w:type="gramEnd"/>
      <w:r>
        <w:rPr>
          <w:rFonts w:ascii="Times New Roman" w:hAnsi="Times New Roman"/>
          <w:lang w:eastAsia="en-AU"/>
        </w:rPr>
        <w:t>1)(c)).</w:t>
      </w:r>
    </w:p>
    <w:p w14:paraId="564537FC" w14:textId="192C5CF9" w:rsidR="00642452" w:rsidRDefault="00642452" w:rsidP="00367B12">
      <w:pPr>
        <w:pStyle w:val="ListBullet"/>
        <w:rPr>
          <w:rFonts w:ascii="Times New Roman" w:hAnsi="Times New Roman"/>
          <w:lang w:eastAsia="en-AU"/>
        </w:rPr>
      </w:pPr>
      <w:r>
        <w:rPr>
          <w:lang w:eastAsia="en-AU"/>
        </w:rPr>
        <w:t xml:space="preserve">At this time, no products </w:t>
      </w:r>
      <w:proofErr w:type="gramStart"/>
      <w:r>
        <w:rPr>
          <w:lang w:eastAsia="en-AU"/>
        </w:rPr>
        <w:t>have been proposed</w:t>
      </w:r>
      <w:proofErr w:type="gramEnd"/>
      <w:r>
        <w:rPr>
          <w:lang w:eastAsia="en-AU"/>
        </w:rPr>
        <w:t xml:space="preserve"> for registration in Australia. Any future products seeking registration in Australia must first seek authorisation from the APVMA, and </w:t>
      </w:r>
      <w:proofErr w:type="gramStart"/>
      <w:r>
        <w:rPr>
          <w:lang w:eastAsia="en-AU"/>
        </w:rPr>
        <w:t>will be labelled</w:t>
      </w:r>
      <w:proofErr w:type="gramEnd"/>
      <w:r>
        <w:rPr>
          <w:lang w:eastAsia="en-AU"/>
        </w:rPr>
        <w:t xml:space="preserve"> with an APVMA approved label. This will set out the directions for use and the required label statements, including: first aid instructions; safety directions; precaution/restraint statements; and re-entry or re-handling statements, as well as instructions for safe storage</w:t>
      </w:r>
      <w:r>
        <w:rPr>
          <w:rFonts w:ascii="Times New Roman" w:hAnsi="Times New Roman"/>
          <w:lang w:eastAsia="en-AU"/>
        </w:rPr>
        <w:t xml:space="preserve"> (52(E</w:t>
      </w:r>
      <w:proofErr w:type="gramStart"/>
      <w:r>
        <w:rPr>
          <w:rFonts w:ascii="Times New Roman" w:hAnsi="Times New Roman"/>
          <w:lang w:eastAsia="en-AU"/>
        </w:rPr>
        <w:t>)(</w:t>
      </w:r>
      <w:proofErr w:type="gramEnd"/>
      <w:r>
        <w:rPr>
          <w:rFonts w:ascii="Times New Roman" w:hAnsi="Times New Roman"/>
          <w:lang w:eastAsia="en-AU"/>
        </w:rPr>
        <w:t>1)(d)).</w:t>
      </w:r>
    </w:p>
    <w:p w14:paraId="3881A101" w14:textId="508C6B79" w:rsidR="00642452" w:rsidRDefault="00642452" w:rsidP="00367B12">
      <w:pPr>
        <w:pStyle w:val="ListBullet"/>
        <w:rPr>
          <w:rFonts w:ascii="Times New Roman" w:hAnsi="Times New Roman"/>
          <w:lang w:eastAsia="en-AU"/>
        </w:rPr>
      </w:pPr>
      <w:r>
        <w:rPr>
          <w:rFonts w:ascii="Times New Roman" w:hAnsi="Times New Roman"/>
          <w:lang w:eastAsia="en-AU"/>
        </w:rPr>
        <w:t>There is no information to indicate that the substance could pose a risk to humans from abuse of the substance (52(E</w:t>
      </w:r>
      <w:proofErr w:type="gramStart"/>
      <w:r>
        <w:rPr>
          <w:rFonts w:ascii="Times New Roman" w:hAnsi="Times New Roman"/>
          <w:lang w:eastAsia="en-AU"/>
        </w:rPr>
        <w:t>)(</w:t>
      </w:r>
      <w:proofErr w:type="gramEnd"/>
      <w:r>
        <w:rPr>
          <w:rFonts w:ascii="Times New Roman" w:hAnsi="Times New Roman"/>
          <w:lang w:eastAsia="en-AU"/>
        </w:rPr>
        <w:t>1)(e)).</w:t>
      </w:r>
    </w:p>
    <w:p w14:paraId="7714E48B" w14:textId="77777777" w:rsidR="00327B11" w:rsidRDefault="00327B11" w:rsidP="00327B11">
      <w:r w:rsidRPr="00C80667">
        <w:t xml:space="preserve">Therefore, based on the information provided in the application, I have decided to amend the current Poisons Standard in the manner set out in the application. The proposed amendment </w:t>
      </w:r>
      <w:proofErr w:type="gramStart"/>
      <w:r w:rsidRPr="00C80667">
        <w:t>was not referred</w:t>
      </w:r>
      <w:proofErr w:type="gramEnd"/>
      <w:r w:rsidRPr="00C80667">
        <w:t xml:space="preserve"> to an expert advisory committee.</w:t>
      </w:r>
    </w:p>
    <w:p w14:paraId="7790A2B3" w14:textId="20B9D6F6" w:rsidR="00327B11" w:rsidRDefault="003E297A" w:rsidP="00327B11">
      <w:pPr>
        <w:pStyle w:val="Heading4"/>
      </w:pPr>
      <w:r>
        <w:t>Date of effect of the decision</w:t>
      </w:r>
    </w:p>
    <w:p w14:paraId="02BEB720" w14:textId="22086622" w:rsidR="00327B11" w:rsidRPr="00020974" w:rsidRDefault="003E297A" w:rsidP="00327B11">
      <w:pPr>
        <w:rPr>
          <w:b/>
        </w:rPr>
      </w:pPr>
      <w:r>
        <w:rPr>
          <w:b/>
        </w:rPr>
        <w:t>1 October 2020.</w:t>
      </w:r>
    </w:p>
    <w:p w14:paraId="6983F11B" w14:textId="12BA8A22" w:rsidR="00327B11" w:rsidRDefault="00327B11" w:rsidP="003E297A">
      <w:pPr>
        <w:pStyle w:val="Heading3"/>
      </w:pPr>
      <w:bookmarkStart w:id="43" w:name="_Final_decision_in_6"/>
      <w:bookmarkStart w:id="44" w:name="_Toc48996180"/>
      <w:bookmarkEnd w:id="43"/>
      <w:r>
        <w:lastRenderedPageBreak/>
        <w:t xml:space="preserve">Final decision in relation to </w:t>
      </w:r>
      <w:proofErr w:type="spellStart"/>
      <w:r>
        <w:t>tigilanol</w:t>
      </w:r>
      <w:proofErr w:type="spellEnd"/>
      <w:r>
        <w:t xml:space="preserve"> </w:t>
      </w:r>
      <w:proofErr w:type="spellStart"/>
      <w:r>
        <w:t>tiglate</w:t>
      </w:r>
      <w:bookmarkEnd w:id="44"/>
      <w:proofErr w:type="spellEnd"/>
    </w:p>
    <w:p w14:paraId="05C598A4" w14:textId="1CFB36E1" w:rsidR="00327B11" w:rsidRDefault="003E297A" w:rsidP="00327B11">
      <w:pPr>
        <w:pStyle w:val="Heading4"/>
      </w:pPr>
      <w:r>
        <w:t>Final decision</w:t>
      </w:r>
    </w:p>
    <w:p w14:paraId="087D916A" w14:textId="77777777" w:rsidR="00327B11" w:rsidRDefault="00327B11" w:rsidP="00327B11">
      <w:r w:rsidRPr="00C546F4">
        <w:t xml:space="preserve">Pursuant to regulation </w:t>
      </w:r>
      <w:r w:rsidRPr="005F3EA0">
        <w:t>42ZCZU</w:t>
      </w:r>
      <w:r w:rsidRPr="005F3EA0" w:rsidDel="005F3EA0">
        <w:t xml:space="preserve"> </w:t>
      </w:r>
      <w:r w:rsidRPr="00C546F4">
        <w:t xml:space="preserve">of the Regulations, a Delegate of the Secretary has made a final </w:t>
      </w:r>
      <w:r w:rsidRPr="00775F5E">
        <w:t xml:space="preserve">decision to amend the current Poisons Standard in relation to </w:t>
      </w:r>
      <w:proofErr w:type="spellStart"/>
      <w:r w:rsidRPr="00775F5E">
        <w:t>tigilanol</w:t>
      </w:r>
      <w:proofErr w:type="spellEnd"/>
      <w:r w:rsidRPr="00775F5E">
        <w:t xml:space="preserve"> </w:t>
      </w:r>
      <w:proofErr w:type="spellStart"/>
      <w:r w:rsidRPr="00775F5E">
        <w:t>tiglate</w:t>
      </w:r>
      <w:proofErr w:type="spellEnd"/>
      <w:r w:rsidRPr="00775F5E">
        <w:t xml:space="preserve"> as follows:</w:t>
      </w:r>
    </w:p>
    <w:p w14:paraId="54404E12" w14:textId="77777777" w:rsidR="00327B11" w:rsidRPr="007A70D4" w:rsidRDefault="00327B11" w:rsidP="00327B11">
      <w:pPr>
        <w:ind w:left="426"/>
        <w:rPr>
          <w:rFonts w:asciiTheme="minorHAnsi" w:hAnsiTheme="minorHAnsi"/>
          <w:b/>
          <w:szCs w:val="22"/>
        </w:rPr>
      </w:pPr>
      <w:r w:rsidRPr="007A70D4">
        <w:rPr>
          <w:rFonts w:asciiTheme="minorHAnsi" w:hAnsiTheme="minorHAnsi"/>
          <w:b/>
          <w:szCs w:val="22"/>
        </w:rPr>
        <w:t>Schedule 4 – New Entry</w:t>
      </w:r>
    </w:p>
    <w:p w14:paraId="41FFFC14" w14:textId="77777777" w:rsidR="00327B11" w:rsidRPr="007A70D4" w:rsidRDefault="00327B11" w:rsidP="003E297A">
      <w:pPr>
        <w:pStyle w:val="ScheduleBody"/>
        <w:ind w:left="426" w:firstLine="0"/>
        <w:rPr>
          <w:rFonts w:asciiTheme="minorHAnsi" w:hAnsiTheme="minorHAnsi"/>
          <w:color w:val="FF0000"/>
          <w:sz w:val="22"/>
          <w:szCs w:val="22"/>
        </w:rPr>
      </w:pPr>
      <w:r w:rsidRPr="007A70D4">
        <w:rPr>
          <w:rFonts w:asciiTheme="minorHAnsi" w:hAnsiTheme="minorHAnsi"/>
          <w:color w:val="FF0000"/>
          <w:sz w:val="22"/>
          <w:szCs w:val="22"/>
        </w:rPr>
        <w:t>TIGILANOL TIGLATE.</w:t>
      </w:r>
    </w:p>
    <w:p w14:paraId="1476688E" w14:textId="77777777" w:rsidR="00327B11" w:rsidRPr="007A70D4" w:rsidRDefault="00327B11" w:rsidP="00327B11">
      <w:pPr>
        <w:ind w:left="426"/>
        <w:rPr>
          <w:rFonts w:asciiTheme="minorHAnsi" w:hAnsiTheme="minorHAnsi"/>
          <w:b/>
          <w:szCs w:val="22"/>
        </w:rPr>
      </w:pPr>
      <w:r w:rsidRPr="007A70D4">
        <w:rPr>
          <w:rFonts w:asciiTheme="minorHAnsi" w:hAnsiTheme="minorHAnsi"/>
          <w:b/>
          <w:szCs w:val="22"/>
        </w:rPr>
        <w:t>Index – New Entry</w:t>
      </w:r>
    </w:p>
    <w:p w14:paraId="1D95C889" w14:textId="77777777" w:rsidR="00327B11" w:rsidRPr="007A70D4" w:rsidRDefault="00327B11" w:rsidP="003E297A">
      <w:pPr>
        <w:pStyle w:val="ScheduleBody"/>
        <w:ind w:left="426" w:firstLine="0"/>
        <w:rPr>
          <w:rFonts w:asciiTheme="minorHAnsi" w:hAnsiTheme="minorHAnsi"/>
          <w:b/>
          <w:color w:val="FF0000"/>
          <w:sz w:val="22"/>
          <w:szCs w:val="22"/>
        </w:rPr>
      </w:pPr>
      <w:r w:rsidRPr="007A70D4">
        <w:rPr>
          <w:rFonts w:asciiTheme="minorHAnsi" w:hAnsiTheme="minorHAnsi"/>
          <w:b/>
          <w:color w:val="FF0000"/>
          <w:sz w:val="22"/>
          <w:szCs w:val="22"/>
        </w:rPr>
        <w:t>TIGILANOL TIGLATE</w:t>
      </w:r>
    </w:p>
    <w:p w14:paraId="163AE50C" w14:textId="77777777" w:rsidR="00327B11" w:rsidRPr="00703FAB" w:rsidRDefault="00327B11" w:rsidP="00327B11">
      <w:pPr>
        <w:ind w:left="426"/>
        <w:rPr>
          <w:rFonts w:asciiTheme="minorHAnsi" w:hAnsiTheme="minorHAnsi"/>
          <w:color w:val="FF0000"/>
          <w:szCs w:val="22"/>
          <w:lang w:eastAsia="en-AU"/>
        </w:rPr>
      </w:pPr>
      <w:r w:rsidRPr="007A70D4">
        <w:rPr>
          <w:rFonts w:asciiTheme="minorHAnsi" w:hAnsiTheme="minorHAnsi"/>
          <w:color w:val="FF0000"/>
          <w:szCs w:val="22"/>
          <w:lang w:eastAsia="en-AU"/>
        </w:rPr>
        <w:t>Schedule 4</w:t>
      </w:r>
    </w:p>
    <w:p w14:paraId="6C71B674" w14:textId="42E1D906" w:rsidR="00327B11" w:rsidRDefault="003E297A" w:rsidP="00327B11">
      <w:pPr>
        <w:pStyle w:val="Heading4"/>
      </w:pPr>
      <w:r>
        <w:t>Materials considered</w:t>
      </w:r>
    </w:p>
    <w:p w14:paraId="617169B6" w14:textId="77777777" w:rsidR="00327B11" w:rsidRDefault="00327B11" w:rsidP="00327B11">
      <w:r>
        <w:t>In making this final decision, the Delegate considered the following material:</w:t>
      </w:r>
    </w:p>
    <w:p w14:paraId="56F168C5" w14:textId="77777777" w:rsidR="00327B11" w:rsidRDefault="00327B11" w:rsidP="00C31E2C">
      <w:pPr>
        <w:pStyle w:val="ListBullet"/>
      </w:pPr>
      <w:r>
        <w:t xml:space="preserve">The </w:t>
      </w:r>
      <w:r w:rsidRPr="00C02858">
        <w:t>application</w:t>
      </w:r>
      <w:r>
        <w:t xml:space="preserve"> to amend the current Poisons Standard with respect to </w:t>
      </w:r>
      <w:proofErr w:type="spellStart"/>
      <w:r>
        <w:t>tigilanol</w:t>
      </w:r>
      <w:proofErr w:type="spellEnd"/>
      <w:r>
        <w:t xml:space="preserve"> </w:t>
      </w:r>
      <w:proofErr w:type="spellStart"/>
      <w:r>
        <w:t>tiglate</w:t>
      </w:r>
      <w:proofErr w:type="spellEnd"/>
      <w:r>
        <w:t>;</w:t>
      </w:r>
    </w:p>
    <w:p w14:paraId="064D3EDD" w14:textId="77777777" w:rsidR="00327B11" w:rsidRDefault="00327B11" w:rsidP="00C31E2C">
      <w:pPr>
        <w:pStyle w:val="ListBullet"/>
      </w:pPr>
      <w:r w:rsidRPr="001169AC">
        <w:t xml:space="preserve">Subsection 52E(1) of </w:t>
      </w:r>
      <w:r w:rsidRPr="001169AC">
        <w:rPr>
          <w:i/>
        </w:rPr>
        <w:t>the Therapeutic Goods Act 1989</w:t>
      </w:r>
      <w:r w:rsidRPr="001169AC">
        <w:t>, in particular (a) the risks and benefits of the use of a substance; (b) the purposes for which a substance is to be used and the extent of use of a substance; (c) the toxicity of a substance; (d) the dosage, formulation, labelling, packaging and presentation of a substance; and (e) the potential for abuse of a substance; and (f) any other matters considered nece</w:t>
      </w:r>
      <w:r>
        <w:t>ssary to protect public health;</w:t>
      </w:r>
    </w:p>
    <w:p w14:paraId="5C7149F9" w14:textId="77777777" w:rsidR="00327B11" w:rsidRDefault="00327B11" w:rsidP="00C31E2C">
      <w:pPr>
        <w:pStyle w:val="ListBullet"/>
      </w:pPr>
      <w:r w:rsidRPr="002C1418">
        <w:t xml:space="preserve">The Australian Health Ministers’ Advisory Council’s </w:t>
      </w:r>
      <w:hyperlink r:id="rId121" w:history="1">
        <w:r w:rsidRPr="001A7580">
          <w:rPr>
            <w:rStyle w:val="Hyperlink"/>
          </w:rPr>
          <w:t>Scheduling Policy Framework</w:t>
        </w:r>
      </w:hyperlink>
      <w:r>
        <w:t xml:space="preserve"> (SPF 2018); </w:t>
      </w:r>
      <w:r w:rsidRPr="00B4597B">
        <w:t>and</w:t>
      </w:r>
    </w:p>
    <w:p w14:paraId="012FBD50" w14:textId="77777777" w:rsidR="00327B11" w:rsidRDefault="00327B11" w:rsidP="00C31E2C">
      <w:pPr>
        <w:pStyle w:val="ListBullet"/>
      </w:pPr>
      <w:r>
        <w:t xml:space="preserve">The </w:t>
      </w:r>
      <w:hyperlink r:id="rId122" w:history="1">
        <w:r w:rsidRPr="001A7580">
          <w:rPr>
            <w:rStyle w:val="Hyperlink"/>
          </w:rPr>
          <w:t>Scheduling handbook: Guidance for amending the Poisons Standard</w:t>
        </w:r>
      </w:hyperlink>
      <w:r>
        <w:t>.</w:t>
      </w:r>
    </w:p>
    <w:p w14:paraId="1F7E5019" w14:textId="77777777" w:rsidR="00327B11" w:rsidRDefault="00327B11" w:rsidP="00327B11">
      <w:pPr>
        <w:pStyle w:val="Heading4"/>
      </w:pPr>
      <w:r w:rsidRPr="00436C41">
        <w:t>Reasons for the final decision (including findings on material questions of fact)</w:t>
      </w:r>
    </w:p>
    <w:p w14:paraId="4BD3A51A" w14:textId="4BEDA4FB" w:rsidR="00327B11" w:rsidRPr="008E58F3" w:rsidRDefault="00327B11" w:rsidP="00327B11">
      <w:pPr>
        <w:spacing w:before="0" w:after="0" w:line="240" w:lineRule="auto"/>
      </w:pPr>
      <w:r w:rsidRPr="00480169">
        <w:rPr>
          <w:rFonts w:asciiTheme="minorHAnsi" w:hAnsiTheme="minorHAnsi"/>
        </w:rPr>
        <w:t>In determining, that this matter will be a delegate-only decision I have taken into account the information provided in the application from the Applicant</w:t>
      </w:r>
      <w:r>
        <w:rPr>
          <w:rFonts w:asciiTheme="minorHAnsi" w:hAnsiTheme="minorHAnsi"/>
        </w:rPr>
        <w:t xml:space="preserve"> (APVMA</w:t>
      </w:r>
      <w:r w:rsidRPr="00480169">
        <w:rPr>
          <w:rFonts w:asciiTheme="minorHAnsi" w:hAnsiTheme="minorHAnsi"/>
        </w:rPr>
        <w:t xml:space="preserve">), and the matters outlined under Section 52E of the </w:t>
      </w:r>
      <w:r w:rsidRPr="000647B9">
        <w:rPr>
          <w:rFonts w:asciiTheme="minorHAnsi" w:hAnsiTheme="minorHAnsi"/>
          <w:i/>
        </w:rPr>
        <w:t>Therapeutic Goods Act</w:t>
      </w:r>
      <w:r w:rsidR="000647B9" w:rsidRPr="000647B9">
        <w:rPr>
          <w:rFonts w:asciiTheme="minorHAnsi" w:hAnsiTheme="minorHAnsi"/>
          <w:i/>
        </w:rPr>
        <w:t xml:space="preserve"> 1989</w:t>
      </w:r>
      <w:r w:rsidRPr="00480169">
        <w:rPr>
          <w:rFonts w:asciiTheme="minorHAnsi" w:hAnsiTheme="minorHAnsi"/>
        </w:rPr>
        <w:t xml:space="preserve"> and the Scheduling Policy Framework (2018). In </w:t>
      </w:r>
      <w:r w:rsidRPr="00F409A7">
        <w:rPr>
          <w:rFonts w:asciiTheme="minorHAnsi" w:hAnsiTheme="minorHAnsi"/>
        </w:rPr>
        <w:t xml:space="preserve">particular, I note </w:t>
      </w:r>
      <w:r w:rsidRPr="005F1F06">
        <w:rPr>
          <w:rFonts w:asciiTheme="minorHAnsi" w:hAnsiTheme="minorHAnsi"/>
        </w:rPr>
        <w:t>that:</w:t>
      </w:r>
    </w:p>
    <w:p w14:paraId="3BAEFBC6" w14:textId="1F0457E4" w:rsidR="00AC0E49" w:rsidRPr="00AC0E49" w:rsidRDefault="00AC0E49" w:rsidP="00C31E2C">
      <w:pPr>
        <w:pStyle w:val="ListBullet"/>
        <w:rPr>
          <w:lang w:eastAsia="en-AU"/>
        </w:rPr>
      </w:pPr>
      <w:r>
        <w:rPr>
          <w:lang w:eastAsia="en-AU"/>
        </w:rPr>
        <w:t xml:space="preserve">The proposed change to the Poisons Standard to include a new entry for </w:t>
      </w:r>
      <w:proofErr w:type="spellStart"/>
      <w:r>
        <w:rPr>
          <w:lang w:eastAsia="en-AU"/>
        </w:rPr>
        <w:t>tigilanol</w:t>
      </w:r>
      <w:proofErr w:type="spellEnd"/>
      <w:r>
        <w:rPr>
          <w:lang w:eastAsia="en-AU"/>
        </w:rPr>
        <w:t xml:space="preserve"> </w:t>
      </w:r>
      <w:proofErr w:type="spellStart"/>
      <w:r>
        <w:rPr>
          <w:lang w:eastAsia="en-AU"/>
        </w:rPr>
        <w:t>tiglate</w:t>
      </w:r>
      <w:proofErr w:type="spellEnd"/>
      <w:r>
        <w:rPr>
          <w:lang w:eastAsia="en-AU"/>
        </w:rPr>
        <w:t xml:space="preserve"> indicates that there are benefits to the veterinary medicine industry from the introduction of this new therapeutic agent for the treatment of mast cell tumours in dogs. The proposed product contains 1 mg/mL of </w:t>
      </w:r>
      <w:proofErr w:type="spellStart"/>
      <w:r>
        <w:rPr>
          <w:lang w:eastAsia="en-AU"/>
        </w:rPr>
        <w:t>tigilanol</w:t>
      </w:r>
      <w:proofErr w:type="spellEnd"/>
      <w:r>
        <w:rPr>
          <w:lang w:eastAsia="en-AU"/>
        </w:rPr>
        <w:t xml:space="preserve"> </w:t>
      </w:r>
      <w:proofErr w:type="spellStart"/>
      <w:r>
        <w:rPr>
          <w:lang w:eastAsia="en-AU"/>
        </w:rPr>
        <w:t>tiglate</w:t>
      </w:r>
      <w:proofErr w:type="spellEnd"/>
      <w:r>
        <w:rPr>
          <w:lang w:eastAsia="en-AU"/>
        </w:rPr>
        <w:t xml:space="preserve">. The product </w:t>
      </w:r>
      <w:proofErr w:type="gramStart"/>
      <w:r>
        <w:rPr>
          <w:lang w:eastAsia="en-AU"/>
        </w:rPr>
        <w:t>is intended to be administered</w:t>
      </w:r>
      <w:proofErr w:type="gramEnd"/>
      <w:r>
        <w:rPr>
          <w:lang w:eastAsia="en-AU"/>
        </w:rPr>
        <w:t xml:space="preserve"> by veterinarians by intra-</w:t>
      </w:r>
      <w:proofErr w:type="spellStart"/>
      <w:r>
        <w:rPr>
          <w:lang w:eastAsia="en-AU"/>
        </w:rPr>
        <w:t>tumoral</w:t>
      </w:r>
      <w:proofErr w:type="spellEnd"/>
      <w:r>
        <w:rPr>
          <w:lang w:eastAsia="en-AU"/>
        </w:rPr>
        <w:t xml:space="preserve"> injection. The most likely human exposure to the </w:t>
      </w:r>
      <w:proofErr w:type="gramStart"/>
      <w:r>
        <w:rPr>
          <w:lang w:eastAsia="en-AU"/>
        </w:rPr>
        <w:t>substance,</w:t>
      </w:r>
      <w:proofErr w:type="gramEnd"/>
      <w:r>
        <w:rPr>
          <w:lang w:eastAsia="en-AU"/>
        </w:rPr>
        <w:t xml:space="preserve"> may be the result of accidental needle stick injury, but adverse effects are considered limited to local inflammatory reactions at the site of self-injection. Accidental eye exposure </w:t>
      </w:r>
      <w:proofErr w:type="gramStart"/>
      <w:r>
        <w:rPr>
          <w:lang w:eastAsia="en-AU"/>
        </w:rPr>
        <w:t>has been reported</w:t>
      </w:r>
      <w:proofErr w:type="gramEnd"/>
      <w:r>
        <w:rPr>
          <w:lang w:eastAsia="en-AU"/>
        </w:rPr>
        <w:t xml:space="preserve"> that resulted in transient eye irritation. The applicant has </w:t>
      </w:r>
      <w:r w:rsidRPr="00AC0E49">
        <w:rPr>
          <w:lang w:eastAsia="en-AU"/>
        </w:rPr>
        <w:t>recommended appropriate label statements to mitigate these risks.  Moreover, exposure to the substance to pet owners or the general public following treatment, is anticipated to be very limited given that the administration is via intra-</w:t>
      </w:r>
      <w:proofErr w:type="spellStart"/>
      <w:r w:rsidRPr="00AC0E49">
        <w:rPr>
          <w:lang w:eastAsia="en-AU"/>
        </w:rPr>
        <w:t>tumoral</w:t>
      </w:r>
      <w:proofErr w:type="spellEnd"/>
      <w:r w:rsidRPr="00AC0E49">
        <w:rPr>
          <w:lang w:eastAsia="en-AU"/>
        </w:rPr>
        <w:t xml:space="preserve"> injection and very limited residual substance is expected to remain on the treated animal’s skin (52E(1)(a)).</w:t>
      </w:r>
    </w:p>
    <w:p w14:paraId="66854A56" w14:textId="77777777" w:rsidR="00AC0E49" w:rsidRDefault="00AC0E49" w:rsidP="00C31E2C">
      <w:pPr>
        <w:pStyle w:val="ListBullet"/>
        <w:rPr>
          <w:lang w:eastAsia="en-AU"/>
        </w:rPr>
      </w:pPr>
      <w:r>
        <w:rPr>
          <w:lang w:eastAsia="en-AU"/>
        </w:rPr>
        <w:t xml:space="preserve">The purposes and extent for which the substance is to </w:t>
      </w:r>
      <w:proofErr w:type="gramStart"/>
      <w:r>
        <w:rPr>
          <w:lang w:eastAsia="en-AU"/>
        </w:rPr>
        <w:t>be used</w:t>
      </w:r>
      <w:proofErr w:type="gramEnd"/>
      <w:r>
        <w:rPr>
          <w:lang w:eastAsia="en-AU"/>
        </w:rPr>
        <w:t xml:space="preserve"> has been adequately outlined by applicant, i.e. for the treatment of cutaneous and subcutaneous mast cell tumours in dogs.  The product containing </w:t>
      </w:r>
      <w:proofErr w:type="spellStart"/>
      <w:r>
        <w:rPr>
          <w:lang w:eastAsia="en-AU"/>
        </w:rPr>
        <w:t>tigilanol</w:t>
      </w:r>
      <w:proofErr w:type="spellEnd"/>
      <w:r>
        <w:rPr>
          <w:lang w:eastAsia="en-AU"/>
        </w:rPr>
        <w:t xml:space="preserve"> </w:t>
      </w:r>
      <w:proofErr w:type="spellStart"/>
      <w:r>
        <w:rPr>
          <w:lang w:eastAsia="en-AU"/>
        </w:rPr>
        <w:t>tiglate</w:t>
      </w:r>
      <w:proofErr w:type="spellEnd"/>
      <w:r>
        <w:rPr>
          <w:lang w:eastAsia="en-AU"/>
        </w:rPr>
        <w:t xml:space="preserve"> will only be made available for use by registered </w:t>
      </w:r>
      <w:r>
        <w:rPr>
          <w:lang w:eastAsia="en-AU"/>
        </w:rPr>
        <w:lastRenderedPageBreak/>
        <w:t>veterinarians based on the requirement for the diagnosis and management of the condition by suitably trained individuals (veterinarians), and the high level of expertise required for the administration of the product by a controlled injection method (52E(1)(b)).</w:t>
      </w:r>
    </w:p>
    <w:p w14:paraId="2281A899" w14:textId="79FD685C" w:rsidR="00AC0E49" w:rsidRDefault="00AC0E49" w:rsidP="00C31E2C">
      <w:pPr>
        <w:pStyle w:val="ListBullet"/>
        <w:rPr>
          <w:lang w:eastAsia="en-AU"/>
        </w:rPr>
      </w:pPr>
      <w:r>
        <w:rPr>
          <w:lang w:eastAsia="en-AU"/>
        </w:rPr>
        <w:t xml:space="preserve">Single and repeat dose toxicity studies </w:t>
      </w:r>
      <w:proofErr w:type="gramStart"/>
      <w:r>
        <w:rPr>
          <w:lang w:eastAsia="en-AU"/>
        </w:rPr>
        <w:t>were conducted</w:t>
      </w:r>
      <w:proofErr w:type="gramEnd"/>
      <w:r>
        <w:rPr>
          <w:lang w:eastAsia="en-AU"/>
        </w:rPr>
        <w:t xml:space="preserve"> with </w:t>
      </w:r>
      <w:proofErr w:type="spellStart"/>
      <w:r>
        <w:rPr>
          <w:lang w:eastAsia="en-AU"/>
        </w:rPr>
        <w:t>tigilanol</w:t>
      </w:r>
      <w:proofErr w:type="spellEnd"/>
      <w:r>
        <w:rPr>
          <w:lang w:eastAsia="en-AU"/>
        </w:rPr>
        <w:t xml:space="preserve"> </w:t>
      </w:r>
      <w:proofErr w:type="spellStart"/>
      <w:r>
        <w:rPr>
          <w:lang w:eastAsia="en-AU"/>
        </w:rPr>
        <w:t>tiglate</w:t>
      </w:r>
      <w:proofErr w:type="spellEnd"/>
      <w:r>
        <w:rPr>
          <w:lang w:eastAsia="en-AU"/>
        </w:rPr>
        <w:t xml:space="preserve">, along with target animal safety studies. The main findings were injection site inflammation after subcutaneous injection and hypotension following intravenous dosing. </w:t>
      </w:r>
      <w:proofErr w:type="spellStart"/>
      <w:r>
        <w:rPr>
          <w:lang w:eastAsia="en-AU"/>
        </w:rPr>
        <w:t>Tigilanol</w:t>
      </w:r>
      <w:proofErr w:type="spellEnd"/>
      <w:r>
        <w:rPr>
          <w:lang w:eastAsia="en-AU"/>
        </w:rPr>
        <w:t xml:space="preserve"> </w:t>
      </w:r>
      <w:proofErr w:type="spellStart"/>
      <w:r>
        <w:rPr>
          <w:lang w:eastAsia="en-AU"/>
        </w:rPr>
        <w:t>tiglate</w:t>
      </w:r>
      <w:proofErr w:type="spellEnd"/>
      <w:r>
        <w:rPr>
          <w:lang w:eastAsia="en-AU"/>
        </w:rPr>
        <w:t xml:space="preserve"> was not genotoxic in a battery of </w:t>
      </w:r>
      <w:r w:rsidRPr="00877DED">
        <w:rPr>
          <w:i/>
          <w:lang w:eastAsia="en-AU"/>
        </w:rPr>
        <w:t>in vivo</w:t>
      </w:r>
      <w:r>
        <w:rPr>
          <w:lang w:eastAsia="en-AU"/>
        </w:rPr>
        <w:t xml:space="preserve"> and </w:t>
      </w:r>
      <w:r w:rsidRPr="00877DED">
        <w:rPr>
          <w:i/>
          <w:lang w:eastAsia="en-AU"/>
        </w:rPr>
        <w:t>in vitro</w:t>
      </w:r>
      <w:r>
        <w:rPr>
          <w:lang w:eastAsia="en-AU"/>
        </w:rPr>
        <w:t xml:space="preserve"> tests.  Carcinogenicity and multigenerational reproductive toxicity studies were not conducted; but these were not considered necessary by the regulator based on the proposed use pattern, in particular as the product is not intended for use in food producing species (52E(1)(c)).</w:t>
      </w:r>
    </w:p>
    <w:p w14:paraId="632DC9E0" w14:textId="694F8526" w:rsidR="00AC0E49" w:rsidRDefault="00AC0E49" w:rsidP="00C31E2C">
      <w:pPr>
        <w:pStyle w:val="ListBullet"/>
        <w:rPr>
          <w:lang w:eastAsia="en-AU"/>
        </w:rPr>
      </w:pPr>
      <w:r>
        <w:rPr>
          <w:lang w:eastAsia="en-AU"/>
        </w:rPr>
        <w:t xml:space="preserve">Studies with the proposed </w:t>
      </w:r>
      <w:proofErr w:type="gramStart"/>
      <w:r>
        <w:rPr>
          <w:lang w:eastAsia="en-AU"/>
        </w:rPr>
        <w:t>product,</w:t>
      </w:r>
      <w:proofErr w:type="gramEnd"/>
      <w:r>
        <w:rPr>
          <w:lang w:eastAsia="en-AU"/>
        </w:rPr>
        <w:t xml:space="preserve"> included an acute dermal toxicity in nude mice (which revealed low acute dermal toxicity), an </w:t>
      </w:r>
      <w:r w:rsidRPr="00877DED">
        <w:rPr>
          <w:i/>
          <w:lang w:eastAsia="en-AU"/>
        </w:rPr>
        <w:t>in vitro</w:t>
      </w:r>
      <w:r>
        <w:rPr>
          <w:lang w:eastAsia="en-AU"/>
        </w:rPr>
        <w:t xml:space="preserve"> skin irritation study (the product was classified as a skin irritant) and an </w:t>
      </w:r>
      <w:r w:rsidRPr="00877DED">
        <w:rPr>
          <w:i/>
          <w:lang w:eastAsia="en-AU"/>
        </w:rPr>
        <w:t>in vitro</w:t>
      </w:r>
      <w:r>
        <w:rPr>
          <w:lang w:eastAsia="en-AU"/>
        </w:rPr>
        <w:t xml:space="preserve"> ocular irritation study (the product was not classified as an ocular irritant). No sensitisation studies were conducted (</w:t>
      </w:r>
      <w:proofErr w:type="gramStart"/>
      <w:r>
        <w:rPr>
          <w:lang w:eastAsia="en-AU"/>
        </w:rPr>
        <w:t>52E(</w:t>
      </w:r>
      <w:proofErr w:type="gramEnd"/>
      <w:r>
        <w:rPr>
          <w:lang w:eastAsia="en-AU"/>
        </w:rPr>
        <w:t>1)(c)).</w:t>
      </w:r>
    </w:p>
    <w:p w14:paraId="6EA67D79" w14:textId="337A8E5E" w:rsidR="00AC0E49" w:rsidRDefault="00AC0E49" w:rsidP="00C31E2C">
      <w:pPr>
        <w:pStyle w:val="ListBullet"/>
        <w:rPr>
          <w:lang w:eastAsia="en-AU"/>
        </w:rPr>
      </w:pPr>
      <w:r>
        <w:rPr>
          <w:lang w:eastAsia="en-AU"/>
        </w:rPr>
        <w:t xml:space="preserve">The toxicity profile and use pattern of </w:t>
      </w:r>
      <w:proofErr w:type="spellStart"/>
      <w:r>
        <w:rPr>
          <w:lang w:eastAsia="en-AU"/>
        </w:rPr>
        <w:t>tigilanol</w:t>
      </w:r>
      <w:proofErr w:type="spellEnd"/>
      <w:r>
        <w:rPr>
          <w:lang w:eastAsia="en-AU"/>
        </w:rPr>
        <w:t xml:space="preserve"> </w:t>
      </w:r>
      <w:proofErr w:type="spellStart"/>
      <w:r>
        <w:rPr>
          <w:lang w:eastAsia="en-AU"/>
        </w:rPr>
        <w:t>tiglate</w:t>
      </w:r>
      <w:proofErr w:type="spellEnd"/>
      <w:r>
        <w:rPr>
          <w:lang w:eastAsia="en-AU"/>
        </w:rPr>
        <w:t xml:space="preserve"> is such that it meets the factors for inclusion in Schedule 4 of the SUSMP (</w:t>
      </w:r>
      <w:proofErr w:type="gramStart"/>
      <w:r>
        <w:rPr>
          <w:lang w:eastAsia="en-AU"/>
        </w:rPr>
        <w:t>52E(</w:t>
      </w:r>
      <w:proofErr w:type="gramEnd"/>
      <w:r>
        <w:rPr>
          <w:lang w:eastAsia="en-AU"/>
        </w:rPr>
        <w:t>1)(c)).</w:t>
      </w:r>
    </w:p>
    <w:p w14:paraId="042888C4" w14:textId="5A82EE1A" w:rsidR="00AC0E49" w:rsidRDefault="00AC0E49" w:rsidP="00C31E2C">
      <w:pPr>
        <w:pStyle w:val="ListBullet"/>
        <w:rPr>
          <w:lang w:eastAsia="en-AU"/>
        </w:rPr>
      </w:pPr>
      <w:r>
        <w:rPr>
          <w:lang w:eastAsia="en-AU"/>
        </w:rPr>
        <w:t xml:space="preserve">The applicant has demonstrated that appropriate risk mitigation measures </w:t>
      </w:r>
      <w:proofErr w:type="gramStart"/>
      <w:r>
        <w:rPr>
          <w:lang w:eastAsia="en-AU"/>
        </w:rPr>
        <w:t>will be put</w:t>
      </w:r>
      <w:proofErr w:type="gramEnd"/>
      <w:r>
        <w:rPr>
          <w:lang w:eastAsia="en-AU"/>
        </w:rPr>
        <w:t xml:space="preserve"> in place for the proposed product containing </w:t>
      </w:r>
      <w:proofErr w:type="spellStart"/>
      <w:r>
        <w:rPr>
          <w:lang w:eastAsia="en-AU"/>
        </w:rPr>
        <w:t>tigilanol</w:t>
      </w:r>
      <w:proofErr w:type="spellEnd"/>
      <w:r>
        <w:rPr>
          <w:lang w:eastAsia="en-AU"/>
        </w:rPr>
        <w:t xml:space="preserve"> </w:t>
      </w:r>
      <w:proofErr w:type="spellStart"/>
      <w:r>
        <w:rPr>
          <w:lang w:eastAsia="en-AU"/>
        </w:rPr>
        <w:t>tiglate</w:t>
      </w:r>
      <w:proofErr w:type="spellEnd"/>
      <w:r>
        <w:rPr>
          <w:lang w:eastAsia="en-AU"/>
        </w:rPr>
        <w:t xml:space="preserve"> that may be registered for use in Australia, and that account for the dosage (application rate), formulation, labelling, packaging and presentation of </w:t>
      </w:r>
      <w:proofErr w:type="spellStart"/>
      <w:r>
        <w:rPr>
          <w:lang w:eastAsia="en-AU"/>
        </w:rPr>
        <w:t>tigilanol</w:t>
      </w:r>
      <w:proofErr w:type="spellEnd"/>
      <w:r>
        <w:rPr>
          <w:lang w:eastAsia="en-AU"/>
        </w:rPr>
        <w:t xml:space="preserve"> </w:t>
      </w:r>
      <w:proofErr w:type="spellStart"/>
      <w:r>
        <w:rPr>
          <w:lang w:eastAsia="en-AU"/>
        </w:rPr>
        <w:t>tiglate</w:t>
      </w:r>
      <w:proofErr w:type="spellEnd"/>
      <w:r>
        <w:rPr>
          <w:lang w:eastAsia="en-AU"/>
        </w:rPr>
        <w:t xml:space="preserve">. As a result, no additional measures are required in the Poisons Standard. Further use of </w:t>
      </w:r>
      <w:proofErr w:type="spellStart"/>
      <w:r>
        <w:rPr>
          <w:lang w:eastAsia="en-AU"/>
        </w:rPr>
        <w:t>tigilanol</w:t>
      </w:r>
      <w:proofErr w:type="spellEnd"/>
      <w:r>
        <w:rPr>
          <w:lang w:eastAsia="en-AU"/>
        </w:rPr>
        <w:t xml:space="preserve"> </w:t>
      </w:r>
      <w:proofErr w:type="spellStart"/>
      <w:r>
        <w:rPr>
          <w:lang w:eastAsia="en-AU"/>
        </w:rPr>
        <w:t>tiglate</w:t>
      </w:r>
      <w:proofErr w:type="spellEnd"/>
      <w:r>
        <w:rPr>
          <w:lang w:eastAsia="en-AU"/>
        </w:rPr>
        <w:t xml:space="preserve"> in other products will be addressed by the veterinary chemicals regulator (APVMA) in any future applications to the regulator (</w:t>
      </w:r>
      <w:proofErr w:type="gramStart"/>
      <w:r>
        <w:rPr>
          <w:lang w:eastAsia="en-AU"/>
        </w:rPr>
        <w:t>53E(</w:t>
      </w:r>
      <w:proofErr w:type="gramEnd"/>
      <w:r>
        <w:rPr>
          <w:lang w:eastAsia="en-AU"/>
        </w:rPr>
        <w:t>1)(d)).</w:t>
      </w:r>
    </w:p>
    <w:p w14:paraId="555077DE" w14:textId="2E26658F" w:rsidR="00AC0E49" w:rsidRDefault="00AC0E49" w:rsidP="00C31E2C">
      <w:pPr>
        <w:pStyle w:val="ListBullet"/>
        <w:rPr>
          <w:lang w:eastAsia="en-AU"/>
        </w:rPr>
      </w:pPr>
      <w:r>
        <w:rPr>
          <w:lang w:eastAsia="en-AU"/>
        </w:rPr>
        <w:t>There is no information to indicate that the substance could pose a risk to humans from abuse of the substance (52(E</w:t>
      </w:r>
      <w:proofErr w:type="gramStart"/>
      <w:r>
        <w:rPr>
          <w:lang w:eastAsia="en-AU"/>
        </w:rPr>
        <w:t>)(</w:t>
      </w:r>
      <w:proofErr w:type="gramEnd"/>
      <w:r>
        <w:rPr>
          <w:lang w:eastAsia="en-AU"/>
        </w:rPr>
        <w:t>1)(e)).</w:t>
      </w:r>
    </w:p>
    <w:p w14:paraId="3C59D418" w14:textId="77777777" w:rsidR="00327B11" w:rsidRPr="008C3304" w:rsidRDefault="00327B11" w:rsidP="00327B11">
      <w:pPr>
        <w:rPr>
          <w:highlight w:val="yellow"/>
        </w:rPr>
      </w:pPr>
      <w:r w:rsidRPr="00446A44">
        <w:t xml:space="preserve">Therefore, based on the information provided in the application, I have decided to amend the current Poisons Standard in the manner set out in the application. The proposed amendment </w:t>
      </w:r>
      <w:proofErr w:type="gramStart"/>
      <w:r w:rsidRPr="00446A44">
        <w:t>was not referred</w:t>
      </w:r>
      <w:proofErr w:type="gramEnd"/>
      <w:r w:rsidRPr="00C80667">
        <w:t xml:space="preserve"> to an expert advisory committee.</w:t>
      </w:r>
    </w:p>
    <w:p w14:paraId="5D2A6A31" w14:textId="084B76CC" w:rsidR="00327B11" w:rsidRDefault="003E297A" w:rsidP="00327B11">
      <w:pPr>
        <w:pStyle w:val="Heading4"/>
      </w:pPr>
      <w:r>
        <w:t>Date of effect of the decision</w:t>
      </w:r>
    </w:p>
    <w:p w14:paraId="3F38D2F6" w14:textId="4919C6AE" w:rsidR="00327B11" w:rsidRPr="00775F5E" w:rsidRDefault="0014715B" w:rsidP="00327B11">
      <w:pPr>
        <w:rPr>
          <w:b/>
        </w:rPr>
      </w:pPr>
      <w:r>
        <w:rPr>
          <w:b/>
        </w:rPr>
        <w:t>1 October 2020</w:t>
      </w:r>
    </w:p>
    <w:p w14:paraId="0201F632" w14:textId="565CBBE7" w:rsidR="00327B11" w:rsidRDefault="00327B11" w:rsidP="00327B11">
      <w:pPr>
        <w:pStyle w:val="Heading3"/>
      </w:pPr>
      <w:bookmarkStart w:id="45" w:name="_Final_decision_in_7"/>
      <w:bookmarkStart w:id="46" w:name="_Toc48996181"/>
      <w:bookmarkEnd w:id="45"/>
      <w:r>
        <w:t>Final decision in relation to selenium</w:t>
      </w:r>
      <w:bookmarkEnd w:id="46"/>
    </w:p>
    <w:p w14:paraId="204E92F0" w14:textId="3452953D" w:rsidR="00327B11" w:rsidRDefault="00327B11" w:rsidP="00327B11">
      <w:pPr>
        <w:pStyle w:val="Heading4"/>
      </w:pPr>
      <w:r>
        <w:t xml:space="preserve">Final </w:t>
      </w:r>
      <w:r w:rsidR="003E297A">
        <w:t>decision</w:t>
      </w:r>
    </w:p>
    <w:p w14:paraId="0167D291" w14:textId="77777777" w:rsidR="00327B11" w:rsidRDefault="00327B11" w:rsidP="00327B11">
      <w:r w:rsidRPr="00C546F4">
        <w:t xml:space="preserve">Pursuant to regulation </w:t>
      </w:r>
      <w:r w:rsidRPr="005F3EA0">
        <w:t>42ZCZU</w:t>
      </w:r>
      <w:r w:rsidRPr="005F3EA0" w:rsidDel="005F3EA0">
        <w:t xml:space="preserve"> </w:t>
      </w:r>
      <w:r w:rsidRPr="00C546F4">
        <w:t xml:space="preserve">of the Regulations, a Delegate of the Secretary has made a final </w:t>
      </w:r>
      <w:r w:rsidRPr="00775F5E">
        <w:t>decision to amend the current Poisons Standard in relation to selenium as follows:</w:t>
      </w:r>
    </w:p>
    <w:p w14:paraId="0705B2D6" w14:textId="20DD8E3A" w:rsidR="00327B11" w:rsidRDefault="00327B11" w:rsidP="00327B11">
      <w:pPr>
        <w:ind w:left="426"/>
        <w:rPr>
          <w:b/>
        </w:rPr>
      </w:pPr>
      <w:r w:rsidRPr="006D5C84">
        <w:rPr>
          <w:b/>
        </w:rPr>
        <w:t xml:space="preserve">Schedule </w:t>
      </w:r>
      <w:proofErr w:type="gramStart"/>
      <w:r w:rsidR="003E297A">
        <w:rPr>
          <w:b/>
        </w:rPr>
        <w:t>4</w:t>
      </w:r>
      <w:proofErr w:type="gramEnd"/>
      <w:r w:rsidR="003E297A">
        <w:rPr>
          <w:b/>
        </w:rPr>
        <w:t xml:space="preserve"> – Amend Entry</w:t>
      </w:r>
    </w:p>
    <w:p w14:paraId="00AA6B07" w14:textId="77777777" w:rsidR="00327B11" w:rsidRPr="001E2829" w:rsidRDefault="00327B11" w:rsidP="00327B11">
      <w:pPr>
        <w:ind w:left="426"/>
      </w:pPr>
      <w:r w:rsidRPr="001E2829">
        <w:t>SELENIUM:</w:t>
      </w:r>
    </w:p>
    <w:p w14:paraId="24D89BC3" w14:textId="77777777" w:rsidR="00327B11" w:rsidRPr="001E2829" w:rsidRDefault="00327B11" w:rsidP="00AB10C4">
      <w:pPr>
        <w:pStyle w:val="Numberbullet2"/>
        <w:numPr>
          <w:ilvl w:val="0"/>
          <w:numId w:val="23"/>
        </w:numPr>
        <w:spacing w:before="0" w:after="120" w:line="240" w:lineRule="auto"/>
      </w:pPr>
      <w:r w:rsidRPr="001E2829">
        <w:t>for human oral use with a recommended daily dose of more than 300 micrograms; or</w:t>
      </w:r>
    </w:p>
    <w:p w14:paraId="24DC4A1E" w14:textId="77777777" w:rsidR="00327B11" w:rsidRPr="001E2829" w:rsidRDefault="00327B11" w:rsidP="00AB10C4">
      <w:pPr>
        <w:pStyle w:val="Numberbullet2"/>
        <w:numPr>
          <w:ilvl w:val="0"/>
          <w:numId w:val="21"/>
        </w:numPr>
        <w:spacing w:before="0" w:after="120" w:line="240" w:lineRule="auto"/>
      </w:pPr>
      <w:r w:rsidRPr="001E2829">
        <w:t xml:space="preserve">for the treatment of animals </w:t>
      </w:r>
      <w:r w:rsidRPr="001E2829">
        <w:rPr>
          <w:b/>
        </w:rPr>
        <w:t>except</w:t>
      </w:r>
      <w:r w:rsidRPr="001E2829">
        <w:t>:</w:t>
      </w:r>
    </w:p>
    <w:p w14:paraId="3214260F" w14:textId="77777777" w:rsidR="00327B11" w:rsidRPr="001E2829" w:rsidRDefault="00327B11" w:rsidP="00AB10C4">
      <w:pPr>
        <w:pStyle w:val="Numberbullet3"/>
        <w:numPr>
          <w:ilvl w:val="0"/>
          <w:numId w:val="24"/>
        </w:numPr>
        <w:spacing w:after="120"/>
      </w:pPr>
      <w:r w:rsidRPr="001E2829">
        <w:t>when included in Schedule 6 or 7;</w:t>
      </w:r>
    </w:p>
    <w:p w14:paraId="4A04DA07" w14:textId="77777777" w:rsidR="00327B11" w:rsidRPr="001E2829" w:rsidRDefault="00327B11" w:rsidP="00AB10C4">
      <w:pPr>
        <w:pStyle w:val="Numberbullet3"/>
        <w:numPr>
          <w:ilvl w:val="0"/>
          <w:numId w:val="22"/>
        </w:numPr>
        <w:spacing w:after="120"/>
      </w:pPr>
      <w:r w:rsidRPr="001E2829">
        <w:t>in solid, slow release bolus preparations</w:t>
      </w:r>
      <w:r w:rsidRPr="008E58F3">
        <w:rPr>
          <w:color w:val="FF0000"/>
        </w:rPr>
        <w:t xml:space="preserve"> </w:t>
      </w:r>
      <w:r w:rsidRPr="008E58F3">
        <w:rPr>
          <w:strike/>
          <w:color w:val="FF0000"/>
        </w:rPr>
        <w:t>each weighing 100 g or more and</w:t>
      </w:r>
      <w:r w:rsidRPr="008E58F3">
        <w:rPr>
          <w:color w:val="FF0000"/>
        </w:rPr>
        <w:t xml:space="preserve"> </w:t>
      </w:r>
      <w:r w:rsidRPr="001E2829">
        <w:t>containing 300 mg or less of selenium per dosage unit;</w:t>
      </w:r>
    </w:p>
    <w:p w14:paraId="372D0A72" w14:textId="77777777" w:rsidR="00327B11" w:rsidRPr="001E2829" w:rsidRDefault="00327B11" w:rsidP="00AB10C4">
      <w:pPr>
        <w:pStyle w:val="Numberbullet3"/>
        <w:numPr>
          <w:ilvl w:val="0"/>
          <w:numId w:val="22"/>
        </w:numPr>
        <w:spacing w:after="120"/>
      </w:pPr>
      <w:r w:rsidRPr="001E2829">
        <w:lastRenderedPageBreak/>
        <w:t>in other divided preparations containing 30 micrograms or less of selenium per dosage unit;</w:t>
      </w:r>
    </w:p>
    <w:p w14:paraId="55F69154" w14:textId="77777777" w:rsidR="00327B11" w:rsidRPr="001E2829" w:rsidRDefault="00327B11" w:rsidP="00AB10C4">
      <w:pPr>
        <w:pStyle w:val="Numberbullet3"/>
        <w:numPr>
          <w:ilvl w:val="0"/>
          <w:numId w:val="22"/>
        </w:numPr>
        <w:spacing w:after="120"/>
      </w:pPr>
      <w:r w:rsidRPr="001E2829">
        <w:t>as elemental selenium, in pellets containing 100 g/kg or less of selenium; or</w:t>
      </w:r>
    </w:p>
    <w:p w14:paraId="6F321C27" w14:textId="77777777" w:rsidR="00327B11" w:rsidRDefault="00327B11" w:rsidP="00AB10C4">
      <w:pPr>
        <w:pStyle w:val="Numberbullet3"/>
        <w:numPr>
          <w:ilvl w:val="0"/>
          <w:numId w:val="22"/>
        </w:numPr>
        <w:spacing w:after="120"/>
      </w:pPr>
      <w:proofErr w:type="gramStart"/>
      <w:r w:rsidRPr="001E2829">
        <w:t>in</w:t>
      </w:r>
      <w:proofErr w:type="gramEnd"/>
      <w:r w:rsidRPr="001E2829">
        <w:t xml:space="preserve"> feeds containing 1 g/tonne or less of selenium.</w:t>
      </w:r>
    </w:p>
    <w:p w14:paraId="706EFFCC" w14:textId="6A869833" w:rsidR="00327B11" w:rsidRDefault="00327B11" w:rsidP="00327B11">
      <w:pPr>
        <w:pStyle w:val="Heading4"/>
      </w:pPr>
      <w:r>
        <w:t>Materials considered</w:t>
      </w:r>
    </w:p>
    <w:p w14:paraId="6D582A38" w14:textId="77777777" w:rsidR="00327B11" w:rsidRDefault="00327B11" w:rsidP="00327B11">
      <w:r>
        <w:t>In making this final decision, the Delegate considered the following material:</w:t>
      </w:r>
    </w:p>
    <w:p w14:paraId="6A58A2F2" w14:textId="77777777" w:rsidR="00327B11" w:rsidRDefault="00327B11" w:rsidP="00C31E2C">
      <w:pPr>
        <w:pStyle w:val="ListBullet"/>
      </w:pPr>
      <w:r>
        <w:t xml:space="preserve">The </w:t>
      </w:r>
      <w:r w:rsidRPr="00C02858">
        <w:t>application</w:t>
      </w:r>
      <w:r>
        <w:t xml:space="preserve"> to amend the current Poisons Standard with respect to selenium;</w:t>
      </w:r>
    </w:p>
    <w:p w14:paraId="657020D0" w14:textId="77777777" w:rsidR="00327B11" w:rsidRDefault="00327B11" w:rsidP="00C31E2C">
      <w:pPr>
        <w:pStyle w:val="ListBullet"/>
      </w:pPr>
      <w:r w:rsidRPr="001169AC">
        <w:t xml:space="preserve">Subsection 52E(1) of </w:t>
      </w:r>
      <w:r w:rsidRPr="001169AC">
        <w:rPr>
          <w:i/>
        </w:rPr>
        <w:t>the Therapeutic Goods Act 1989</w:t>
      </w:r>
      <w:r w:rsidRPr="001169AC">
        <w:t>, in particular (a) the risks and benefits of the use of a substance; (b) the purposes for which a substance is to be used and the extent of use of a substance; (c) the toxicity of a substance; (d) the dosage, formulation, labelling, packaging and presentation of a substance; and (e) the potential for abuse of a substance; and (f) any other matters considered necessary to protect p</w:t>
      </w:r>
      <w:r>
        <w:t>ublic health;</w:t>
      </w:r>
    </w:p>
    <w:p w14:paraId="19A7B1EB" w14:textId="77777777" w:rsidR="00327B11" w:rsidRDefault="00327B11" w:rsidP="00C31E2C">
      <w:pPr>
        <w:pStyle w:val="ListBullet"/>
      </w:pPr>
      <w:r w:rsidRPr="002C1418">
        <w:t xml:space="preserve">The Australian Health Ministers’ Advisory Council’s </w:t>
      </w:r>
      <w:hyperlink r:id="rId123" w:history="1">
        <w:r w:rsidRPr="001A7580">
          <w:rPr>
            <w:rStyle w:val="Hyperlink"/>
          </w:rPr>
          <w:t>Scheduling Policy Framework</w:t>
        </w:r>
      </w:hyperlink>
      <w:r>
        <w:t xml:space="preserve"> (SPF 2</w:t>
      </w:r>
      <w:r w:rsidRPr="00775F5E">
        <w:t>018); and</w:t>
      </w:r>
    </w:p>
    <w:p w14:paraId="51613C7E" w14:textId="77777777" w:rsidR="00327B11" w:rsidRDefault="00327B11" w:rsidP="00C31E2C">
      <w:pPr>
        <w:pStyle w:val="ListBullet"/>
      </w:pPr>
      <w:r>
        <w:t xml:space="preserve">The </w:t>
      </w:r>
      <w:hyperlink r:id="rId124" w:history="1">
        <w:r w:rsidRPr="001A7580">
          <w:rPr>
            <w:rStyle w:val="Hyperlink"/>
          </w:rPr>
          <w:t>Scheduling handbook: Guidance for amending the Poisons Standard</w:t>
        </w:r>
      </w:hyperlink>
      <w:r>
        <w:t>.</w:t>
      </w:r>
    </w:p>
    <w:p w14:paraId="1A5A897D" w14:textId="77777777" w:rsidR="00327B11" w:rsidRDefault="00327B11" w:rsidP="00327B11">
      <w:pPr>
        <w:pStyle w:val="Heading4"/>
      </w:pPr>
      <w:r w:rsidRPr="00436C41">
        <w:t>Reasons for the final decision (including findings on material questions of fact)</w:t>
      </w:r>
    </w:p>
    <w:p w14:paraId="1E59407A" w14:textId="3F89292D" w:rsidR="00327B11" w:rsidRPr="00480169" w:rsidRDefault="00327B11" w:rsidP="00327B11">
      <w:pPr>
        <w:spacing w:after="240"/>
        <w:rPr>
          <w:rFonts w:asciiTheme="minorHAnsi" w:hAnsiTheme="minorHAnsi"/>
        </w:rPr>
      </w:pPr>
      <w:r w:rsidRPr="00480169">
        <w:rPr>
          <w:rFonts w:asciiTheme="minorHAnsi" w:hAnsiTheme="minorHAnsi"/>
        </w:rPr>
        <w:t>In determining, that this matter will be a delegate-only decision I have taken into account the information provided in the application from the Applicant</w:t>
      </w:r>
      <w:r>
        <w:rPr>
          <w:rFonts w:asciiTheme="minorHAnsi" w:hAnsiTheme="minorHAnsi"/>
        </w:rPr>
        <w:t xml:space="preserve"> (APVMA</w:t>
      </w:r>
      <w:r w:rsidRPr="00480169">
        <w:rPr>
          <w:rFonts w:asciiTheme="minorHAnsi" w:hAnsiTheme="minorHAnsi"/>
        </w:rPr>
        <w:t xml:space="preserve">), and the matters outlined under Section 52E of the </w:t>
      </w:r>
      <w:r w:rsidRPr="00BC2C99">
        <w:rPr>
          <w:rFonts w:asciiTheme="minorHAnsi" w:hAnsiTheme="minorHAnsi"/>
          <w:i/>
        </w:rPr>
        <w:t>Therapeutic Goods Act 1989</w:t>
      </w:r>
      <w:r w:rsidRPr="00480169">
        <w:rPr>
          <w:rFonts w:asciiTheme="minorHAnsi" w:hAnsiTheme="minorHAnsi"/>
        </w:rPr>
        <w:t xml:space="preserve"> and the Scheduling Policy Framework (2018). In particular, I note that:</w:t>
      </w:r>
    </w:p>
    <w:p w14:paraId="610B4769" w14:textId="7077F222" w:rsidR="00327B11" w:rsidRPr="008C3304" w:rsidRDefault="00327B11" w:rsidP="003E297A">
      <w:pPr>
        <w:pStyle w:val="ListBullet"/>
        <w:rPr>
          <w:rFonts w:asciiTheme="minorHAnsi" w:hAnsiTheme="minorHAnsi"/>
        </w:rPr>
      </w:pPr>
      <w:r w:rsidRPr="008B1719">
        <w:t>The proposed amendment to the Poisons Standard</w:t>
      </w:r>
      <w:r w:rsidRPr="00E60EBF">
        <w:t xml:space="preserve"> </w:t>
      </w:r>
      <w:r w:rsidRPr="008B1719">
        <w:t>entry is to exempt from scheduling</w:t>
      </w:r>
      <w:r w:rsidRPr="00E60EBF">
        <w:t xml:space="preserve"> </w:t>
      </w:r>
      <w:r w:rsidRPr="008B1719">
        <w:t>selenium products used for the treatment of animals that are solid, slow release bolus preparations for ruminants containing 300 mg or less of selenium per dosage unit based on its human health risk.</w:t>
      </w:r>
      <w:r w:rsidRPr="00E60EBF">
        <w:t xml:space="preserve"> </w:t>
      </w:r>
      <w:r>
        <w:t>The applicant, APVMA indicated the b</w:t>
      </w:r>
      <w:r w:rsidRPr="00406A93">
        <w:t xml:space="preserve">oluses for sheep </w:t>
      </w:r>
      <w:r w:rsidRPr="00C9155E">
        <w:t xml:space="preserve">are of </w:t>
      </w:r>
      <w:r>
        <w:t>a smaller</w:t>
      </w:r>
      <w:r w:rsidRPr="00C9155E">
        <w:t xml:space="preserve"> size </w:t>
      </w:r>
      <w:r>
        <w:t xml:space="preserve">and shape, which </w:t>
      </w:r>
      <w:r w:rsidRPr="00630E05">
        <w:t>reduces the likelihood of regurgitation</w:t>
      </w:r>
      <w:r>
        <w:t>,</w:t>
      </w:r>
      <w:r w:rsidRPr="00B77D80">
        <w:t xml:space="preserve"> </w:t>
      </w:r>
      <w:r>
        <w:t xml:space="preserve">and </w:t>
      </w:r>
      <w:r w:rsidRPr="00B77D80">
        <w:t>requires administ</w:t>
      </w:r>
      <w:r>
        <w:t xml:space="preserve">ration using a bolus applicator. </w:t>
      </w:r>
      <w:r w:rsidRPr="00B77D80">
        <w:t>It would not be physically possible to administer 100 g boluses (required for Schedule 4 exemption) to sheep so the cut-off limit in the SUSMP cannot accommodate for a sheep bolus product.</w:t>
      </w:r>
      <w:r>
        <w:t xml:space="preserve"> No</w:t>
      </w:r>
      <w:r w:rsidRPr="00EA3163">
        <w:t xml:space="preserve"> exposure to public </w:t>
      </w:r>
      <w:proofErr w:type="gramStart"/>
      <w:r w:rsidRPr="00EA3163">
        <w:t>is anticipated</w:t>
      </w:r>
      <w:proofErr w:type="gramEnd"/>
      <w:r w:rsidRPr="00EA3163">
        <w:t xml:space="preserve"> following use</w:t>
      </w:r>
      <w:r>
        <w:t xml:space="preserve"> and the risk is no greater than that of the current approved use </w:t>
      </w:r>
      <w:r w:rsidRPr="00B77D80">
        <w:t>as a dietary supplement, for the treatment of animals</w:t>
      </w:r>
      <w:r>
        <w:t xml:space="preserve">. </w:t>
      </w:r>
      <w:r w:rsidRPr="008C3304">
        <w:rPr>
          <w:rFonts w:asciiTheme="minorHAnsi" w:hAnsiTheme="minorHAnsi"/>
        </w:rPr>
        <w:t>The risks have been adequately addressed by the pesticide regulator (APVMA)</w:t>
      </w:r>
      <w:r>
        <w:rPr>
          <w:rFonts w:asciiTheme="minorHAnsi" w:hAnsiTheme="minorHAnsi"/>
        </w:rPr>
        <w:t xml:space="preserve"> in its application</w:t>
      </w:r>
      <w:r w:rsidR="00AC0E49">
        <w:rPr>
          <w:rFonts w:asciiTheme="minorHAnsi" w:hAnsiTheme="minorHAnsi"/>
        </w:rPr>
        <w:t xml:space="preserve"> </w:t>
      </w:r>
      <w:r w:rsidR="00AC0E49" w:rsidRPr="00AC0E49">
        <w:rPr>
          <w:rFonts w:asciiTheme="minorHAnsi" w:hAnsiTheme="minorHAnsi"/>
        </w:rPr>
        <w:t>(</w:t>
      </w:r>
      <w:proofErr w:type="gramStart"/>
      <w:r w:rsidR="00AC0E49" w:rsidRPr="00AC0E49">
        <w:rPr>
          <w:rFonts w:asciiTheme="minorHAnsi" w:hAnsiTheme="minorHAnsi"/>
        </w:rPr>
        <w:t>52E(</w:t>
      </w:r>
      <w:proofErr w:type="gramEnd"/>
      <w:r w:rsidR="00AC0E49" w:rsidRPr="00AC0E49">
        <w:rPr>
          <w:rFonts w:asciiTheme="minorHAnsi" w:hAnsiTheme="minorHAnsi"/>
        </w:rPr>
        <w:t>1)(a))</w:t>
      </w:r>
      <w:r>
        <w:rPr>
          <w:rFonts w:asciiTheme="minorHAnsi" w:hAnsiTheme="minorHAnsi"/>
        </w:rPr>
        <w:t>.</w:t>
      </w:r>
    </w:p>
    <w:p w14:paraId="142D765E" w14:textId="4CBE71A7" w:rsidR="00877DED" w:rsidRPr="004E5EF1" w:rsidRDefault="00327B11" w:rsidP="003E297A">
      <w:pPr>
        <w:pStyle w:val="ListBullet"/>
      </w:pPr>
      <w:r w:rsidRPr="00E60EBF">
        <w:t>The purposes and extent for which the substance is to be used has been adequately o</w:t>
      </w:r>
      <w:r>
        <w:t>utlined by Applicant</w:t>
      </w:r>
      <w:r w:rsidR="00AC0E49">
        <w:t xml:space="preserve"> </w:t>
      </w:r>
      <w:r w:rsidR="00AC0E49" w:rsidRPr="00AC0E49">
        <w:t>(</w:t>
      </w:r>
      <w:proofErr w:type="gramStart"/>
      <w:r w:rsidR="00AC0E49" w:rsidRPr="00AC0E49">
        <w:t>52E(</w:t>
      </w:r>
      <w:proofErr w:type="gramEnd"/>
      <w:r w:rsidR="00AC0E49" w:rsidRPr="00AC0E49">
        <w:t>1)(b))</w:t>
      </w:r>
      <w:r>
        <w:t>.</w:t>
      </w:r>
    </w:p>
    <w:p w14:paraId="76D5CAF4" w14:textId="452C1AAC" w:rsidR="00AC0E49" w:rsidRPr="00877DED" w:rsidRDefault="00327B11" w:rsidP="003E297A">
      <w:pPr>
        <w:pStyle w:val="ListBullet"/>
      </w:pPr>
      <w:proofErr w:type="gramStart"/>
      <w:r w:rsidRPr="00877DED">
        <w:t>There has been no substantive change in the information available regarding the toxicity of the substance since it was last considered for Scheduling, that would warrant a change to its Scheduling Classification in the Poisons Standard based on the criteria set out in SPF (2018)</w:t>
      </w:r>
      <w:r w:rsidR="00AC0E49" w:rsidRPr="00877DED">
        <w:t xml:space="preserve"> (52E(1)(c)).The dosage, formulation, labelling, packaging and presentation of the substance from its currently approved uses in animal dietary supplement will change as a result of its proposed use as a dietary supplement, for sheep.</w:t>
      </w:r>
      <w:proofErr w:type="gramEnd"/>
      <w:r w:rsidR="00AC0E49" w:rsidRPr="00877DED">
        <w:t xml:space="preserve"> The applicant is responsible for ensuring appropriate labelling. The pattern of potential professional exposure </w:t>
      </w:r>
      <w:proofErr w:type="gramStart"/>
      <w:r w:rsidR="00AC0E49" w:rsidRPr="00877DED">
        <w:t>is expected</w:t>
      </w:r>
      <w:proofErr w:type="gramEnd"/>
      <w:r w:rsidR="00AC0E49" w:rsidRPr="00877DED">
        <w:t xml:space="preserve"> to be of short-term duration, with negligible public exposure. As a result, no additional measures are required in the Poisons Standard. </w:t>
      </w:r>
      <w:proofErr w:type="gramStart"/>
      <w:r w:rsidR="00AC0E49" w:rsidRPr="00877DED">
        <w:t xml:space="preserve">Further use of the substance in other veterinary products will be addressed by the pesticide regulator (APVMA) in any future applications to the </w:t>
      </w:r>
      <w:r w:rsidR="00AC0E49" w:rsidRPr="00877DED">
        <w:lastRenderedPageBreak/>
        <w:t>regulator</w:t>
      </w:r>
      <w:proofErr w:type="gramEnd"/>
      <w:r w:rsidR="00AC0E49" w:rsidRPr="00877DED">
        <w:t>. The proposed amended entry for the substance in the Poisons Standard will not affect selenium-containing ingredients listed under the ARTG (</w:t>
      </w:r>
      <w:proofErr w:type="gramStart"/>
      <w:r w:rsidR="00AC0E49" w:rsidRPr="00877DED">
        <w:t>52E(</w:t>
      </w:r>
      <w:proofErr w:type="gramEnd"/>
      <w:r w:rsidR="00AC0E49" w:rsidRPr="00877DED">
        <w:t>1)(d)).</w:t>
      </w:r>
    </w:p>
    <w:p w14:paraId="4BCDBC39" w14:textId="6621C8D1" w:rsidR="00327B11" w:rsidRDefault="00327B11" w:rsidP="003E297A">
      <w:pPr>
        <w:pStyle w:val="ListBullet"/>
      </w:pPr>
      <w:r w:rsidRPr="00232837">
        <w:t>There is no information to indicate that the substance could pose a risk to humans from abuse</w:t>
      </w:r>
      <w:r>
        <w:t xml:space="preserve"> of the substance</w:t>
      </w:r>
      <w:r w:rsidR="007C5904">
        <w:t xml:space="preserve"> </w:t>
      </w:r>
      <w:r w:rsidR="007C5904" w:rsidRPr="007C5904">
        <w:t>(52(E</w:t>
      </w:r>
      <w:proofErr w:type="gramStart"/>
      <w:r w:rsidR="007C5904" w:rsidRPr="007C5904">
        <w:t>)(</w:t>
      </w:r>
      <w:proofErr w:type="gramEnd"/>
      <w:r w:rsidR="007C5904" w:rsidRPr="007C5904">
        <w:t>1)(e)).</w:t>
      </w:r>
    </w:p>
    <w:p w14:paraId="48F754D8" w14:textId="432C0274" w:rsidR="00327B11" w:rsidRPr="0004450F" w:rsidRDefault="00327B11" w:rsidP="003E297A">
      <w:pPr>
        <w:pStyle w:val="ListBullet"/>
      </w:pPr>
      <w:proofErr w:type="gramStart"/>
      <w:r w:rsidRPr="008B3D9B">
        <w:t>Selenium has been extensively considered by the</w:t>
      </w:r>
      <w:r>
        <w:t xml:space="preserve"> National Drugs and Poisons Schedule Committee</w:t>
      </w:r>
      <w:r w:rsidRPr="008B3D9B">
        <w:t xml:space="preserve"> </w:t>
      </w:r>
      <w:r>
        <w:t>(</w:t>
      </w:r>
      <w:r w:rsidRPr="008B3D9B">
        <w:t>NDPSC</w:t>
      </w:r>
      <w:r>
        <w:t>)</w:t>
      </w:r>
      <w:r w:rsidRPr="008B3D9B">
        <w:t>, the</w:t>
      </w:r>
      <w:r>
        <w:t xml:space="preserve"> Advisory Committee on Medicines Scheduling</w:t>
      </w:r>
      <w:r w:rsidRPr="008B3D9B">
        <w:t xml:space="preserve"> </w:t>
      </w:r>
      <w:r>
        <w:t>(</w:t>
      </w:r>
      <w:r w:rsidRPr="008B3D9B">
        <w:t>ACMS</w:t>
      </w:r>
      <w:r>
        <w:t>)</w:t>
      </w:r>
      <w:proofErr w:type="gramEnd"/>
      <w:r w:rsidRPr="008B3D9B">
        <w:t>, the</w:t>
      </w:r>
      <w:r>
        <w:t xml:space="preserve"> Advisory Committee on Chemical’s Scheduling</w:t>
      </w:r>
      <w:r w:rsidRPr="008B3D9B">
        <w:t xml:space="preserve"> </w:t>
      </w:r>
      <w:r>
        <w:t>(</w:t>
      </w:r>
      <w:r w:rsidRPr="008B3D9B">
        <w:t>ACCS</w:t>
      </w:r>
      <w:r>
        <w:t>)</w:t>
      </w:r>
      <w:r w:rsidRPr="008B3D9B">
        <w:t>, and the Delegate.</w:t>
      </w:r>
      <w:r>
        <w:t xml:space="preserve"> Treatment of animals </w:t>
      </w:r>
      <w:r w:rsidRPr="0004450F">
        <w:t>in solid, slow release bolus preparations each weighing 100 g or more and containing 300 mg or less of selenium per dosage unit</w:t>
      </w:r>
      <w:r>
        <w:t xml:space="preserve"> </w:t>
      </w:r>
      <w:proofErr w:type="gramStart"/>
      <w:r>
        <w:t>have been exempted</w:t>
      </w:r>
      <w:proofErr w:type="gramEnd"/>
      <w:r>
        <w:t xml:space="preserve"> from scheduling. Amending this to treatment of animals </w:t>
      </w:r>
      <w:r w:rsidRPr="0011403A">
        <w:t>in solid, slow release bolus preparations containing 300 mg or less of selenium per dosage unit</w:t>
      </w:r>
      <w:r>
        <w:t xml:space="preserve"> has been adequately justified by the applicant</w:t>
      </w:r>
      <w:r w:rsidR="007C5904">
        <w:t xml:space="preserve"> (52(E)(1)(f</w:t>
      </w:r>
      <w:r w:rsidR="007C5904" w:rsidRPr="007C5904">
        <w:t>)).</w:t>
      </w:r>
    </w:p>
    <w:p w14:paraId="537EC35A" w14:textId="77777777" w:rsidR="00327B11" w:rsidRPr="00956C74" w:rsidRDefault="00327B11" w:rsidP="003E297A">
      <w:r w:rsidRPr="00956C74">
        <w:t>Therefore, I have decided to amend the current Poisons Standard in the manner set out in the application</w:t>
      </w:r>
      <w:r>
        <w:t xml:space="preserve">. The proposed amendment </w:t>
      </w:r>
      <w:proofErr w:type="gramStart"/>
      <w:r>
        <w:t>was not referred</w:t>
      </w:r>
      <w:proofErr w:type="gramEnd"/>
      <w:r>
        <w:t xml:space="preserve"> to an expert advisory committee.</w:t>
      </w:r>
    </w:p>
    <w:p w14:paraId="41192837" w14:textId="61EB1CAA" w:rsidR="00327B11" w:rsidRDefault="003E297A" w:rsidP="00327B11">
      <w:pPr>
        <w:pStyle w:val="Heading4"/>
      </w:pPr>
      <w:r>
        <w:t>Date of effect of the decision</w:t>
      </w:r>
    </w:p>
    <w:p w14:paraId="7D289B9F" w14:textId="6BCF1D1B" w:rsidR="00327B11" w:rsidRPr="00775F5E" w:rsidRDefault="0014715B" w:rsidP="00327B11">
      <w:pPr>
        <w:rPr>
          <w:b/>
        </w:rPr>
      </w:pPr>
      <w:r>
        <w:rPr>
          <w:b/>
        </w:rPr>
        <w:t>1 October 2020</w:t>
      </w:r>
    </w:p>
    <w:p w14:paraId="19E71435" w14:textId="09AF2D96" w:rsidR="00327B11" w:rsidRDefault="00327B11" w:rsidP="00327B11">
      <w:pPr>
        <w:pStyle w:val="Heading3"/>
      </w:pPr>
      <w:bookmarkStart w:id="47" w:name="_Final_decision_in_8"/>
      <w:bookmarkStart w:id="48" w:name="_Toc48996182"/>
      <w:bookmarkEnd w:id="47"/>
      <w:r>
        <w:t xml:space="preserve">Final decision in relation to </w:t>
      </w:r>
      <w:proofErr w:type="spellStart"/>
      <w:r>
        <w:t>fomesafen</w:t>
      </w:r>
      <w:proofErr w:type="spellEnd"/>
      <w:r>
        <w:t xml:space="preserve"> sodium</w:t>
      </w:r>
      <w:bookmarkEnd w:id="48"/>
    </w:p>
    <w:p w14:paraId="50FEE907" w14:textId="731310DB" w:rsidR="00327B11" w:rsidRDefault="003E297A" w:rsidP="00327B11">
      <w:pPr>
        <w:pStyle w:val="Heading4"/>
      </w:pPr>
      <w:r>
        <w:t>Final decision</w:t>
      </w:r>
    </w:p>
    <w:p w14:paraId="5E3E9F16" w14:textId="77777777" w:rsidR="00327B11" w:rsidRDefault="00327B11" w:rsidP="00327B11">
      <w:r w:rsidRPr="00C546F4">
        <w:t xml:space="preserve">Pursuant to regulation </w:t>
      </w:r>
      <w:r w:rsidRPr="005F3EA0">
        <w:t>42ZCZU</w:t>
      </w:r>
      <w:r w:rsidRPr="005F3EA0" w:rsidDel="005F3EA0">
        <w:t xml:space="preserve"> </w:t>
      </w:r>
      <w:r w:rsidRPr="00C546F4">
        <w:t xml:space="preserve">of the Regulations, a Delegate of the Secretary has made a final </w:t>
      </w:r>
      <w:r w:rsidRPr="00775F5E">
        <w:t xml:space="preserve">decision to amend the current Poisons Standard in relation to </w:t>
      </w:r>
      <w:proofErr w:type="spellStart"/>
      <w:r w:rsidRPr="00775F5E">
        <w:t>fomesafen</w:t>
      </w:r>
      <w:proofErr w:type="spellEnd"/>
      <w:r w:rsidRPr="00775F5E">
        <w:t xml:space="preserve"> sodium as follows:</w:t>
      </w:r>
    </w:p>
    <w:p w14:paraId="2369FE43" w14:textId="57399888" w:rsidR="00327B11" w:rsidRPr="00CD40FB" w:rsidRDefault="00327B11" w:rsidP="00327B11">
      <w:pPr>
        <w:ind w:left="426"/>
        <w:rPr>
          <w:b/>
        </w:rPr>
      </w:pPr>
      <w:r w:rsidRPr="00CD40FB">
        <w:rPr>
          <w:b/>
        </w:rPr>
        <w:t xml:space="preserve">Schedule </w:t>
      </w:r>
      <w:r w:rsidR="003E297A">
        <w:rPr>
          <w:b/>
        </w:rPr>
        <w:t>6 – New Entry</w:t>
      </w:r>
    </w:p>
    <w:p w14:paraId="344C2011" w14:textId="77777777" w:rsidR="00327B11" w:rsidRPr="00C14EC2" w:rsidRDefault="00327B11" w:rsidP="00327B11">
      <w:pPr>
        <w:ind w:left="426"/>
        <w:rPr>
          <w:rFonts w:asciiTheme="minorHAnsi" w:hAnsiTheme="minorHAnsi" w:cstheme="minorHAnsi"/>
          <w:color w:val="FF0000"/>
          <w:szCs w:val="22"/>
        </w:rPr>
      </w:pPr>
      <w:r w:rsidRPr="00C14EC2">
        <w:rPr>
          <w:rFonts w:asciiTheme="minorHAnsi" w:hAnsiTheme="minorHAnsi" w:cstheme="minorHAnsi"/>
          <w:color w:val="FF0000"/>
          <w:szCs w:val="22"/>
        </w:rPr>
        <w:t>FOMESAFEN SODIUM</w:t>
      </w:r>
      <w:r>
        <w:rPr>
          <w:rFonts w:asciiTheme="minorHAnsi" w:hAnsiTheme="minorHAnsi" w:cstheme="minorHAnsi"/>
          <w:color w:val="FF0000"/>
          <w:szCs w:val="22"/>
        </w:rPr>
        <w:t>.</w:t>
      </w:r>
    </w:p>
    <w:p w14:paraId="6776E9D7" w14:textId="77777777" w:rsidR="00327B11" w:rsidRDefault="00327B11" w:rsidP="00327B11">
      <w:pPr>
        <w:ind w:left="426"/>
        <w:rPr>
          <w:b/>
        </w:rPr>
      </w:pPr>
      <w:r w:rsidRPr="00C14EC2">
        <w:rPr>
          <w:b/>
        </w:rPr>
        <w:t>Index – New Entry</w:t>
      </w:r>
    </w:p>
    <w:p w14:paraId="57F5C9C0" w14:textId="77777777" w:rsidR="00327B11" w:rsidRDefault="00327B11" w:rsidP="00327B11">
      <w:pPr>
        <w:ind w:left="426"/>
        <w:rPr>
          <w:rFonts w:asciiTheme="minorHAnsi" w:hAnsiTheme="minorHAnsi" w:cstheme="minorHAnsi"/>
          <w:b/>
          <w:color w:val="FF0000"/>
          <w:szCs w:val="22"/>
        </w:rPr>
      </w:pPr>
      <w:r w:rsidRPr="00C14EC2">
        <w:rPr>
          <w:rFonts w:asciiTheme="minorHAnsi" w:hAnsiTheme="minorHAnsi" w:cstheme="minorHAnsi"/>
          <w:b/>
          <w:color w:val="FF0000"/>
          <w:szCs w:val="22"/>
        </w:rPr>
        <w:t>FOMESAFEN SODIUM</w:t>
      </w:r>
    </w:p>
    <w:p w14:paraId="0B49B321" w14:textId="77777777" w:rsidR="00327B11" w:rsidRPr="0023695D" w:rsidRDefault="00327B11" w:rsidP="00327B11">
      <w:pPr>
        <w:ind w:left="426"/>
        <w:rPr>
          <w:rFonts w:asciiTheme="minorHAnsi" w:hAnsiTheme="minorHAnsi" w:cstheme="minorHAnsi"/>
          <w:color w:val="FF0000"/>
          <w:szCs w:val="22"/>
        </w:rPr>
      </w:pPr>
      <w:r w:rsidRPr="003A5933">
        <w:rPr>
          <w:rFonts w:asciiTheme="minorHAnsi" w:hAnsiTheme="minorHAnsi" w:cstheme="minorHAnsi"/>
          <w:color w:val="FF0000"/>
          <w:szCs w:val="22"/>
        </w:rPr>
        <w:t>Schedule 6</w:t>
      </w:r>
    </w:p>
    <w:p w14:paraId="2569AD71" w14:textId="7ED5CF19" w:rsidR="00327B11" w:rsidRDefault="003E297A" w:rsidP="00327B11">
      <w:pPr>
        <w:pStyle w:val="Heading4"/>
      </w:pPr>
      <w:r>
        <w:t>Materials considered</w:t>
      </w:r>
    </w:p>
    <w:p w14:paraId="622F8138" w14:textId="77777777" w:rsidR="00327B11" w:rsidRDefault="00327B11" w:rsidP="00327B11">
      <w:r>
        <w:t>In making this final decision, the Delegate considered the following material:</w:t>
      </w:r>
    </w:p>
    <w:p w14:paraId="537D31E3" w14:textId="77777777" w:rsidR="00327B11" w:rsidRDefault="00327B11" w:rsidP="003E297A">
      <w:pPr>
        <w:pStyle w:val="ListBullet"/>
      </w:pPr>
      <w:r>
        <w:t xml:space="preserve">The </w:t>
      </w:r>
      <w:r w:rsidRPr="00C02858">
        <w:t>application</w:t>
      </w:r>
      <w:r>
        <w:t xml:space="preserve"> to amend the current Poisons Standard with respect to </w:t>
      </w:r>
      <w:proofErr w:type="spellStart"/>
      <w:r>
        <w:t>fomesafen</w:t>
      </w:r>
      <w:proofErr w:type="spellEnd"/>
      <w:r>
        <w:t xml:space="preserve"> sodium;</w:t>
      </w:r>
    </w:p>
    <w:p w14:paraId="04EFA490" w14:textId="47CF1E7B" w:rsidR="00327B11" w:rsidRDefault="00327B11" w:rsidP="00C31E2C">
      <w:pPr>
        <w:pStyle w:val="ListBullet"/>
      </w:pPr>
      <w:r w:rsidRPr="001169AC">
        <w:t xml:space="preserve">Subsection 52E(1) of </w:t>
      </w:r>
      <w:r w:rsidRPr="001169AC">
        <w:rPr>
          <w:i/>
        </w:rPr>
        <w:t>the Therapeutic Goods Act 1989</w:t>
      </w:r>
      <w:r w:rsidRPr="001169AC">
        <w:t>, in particular (a) the risks and benefits of the use of a substance; (b) the purposes for which a substance is to be used and the extent of use of a substance; (c) the toxicity of a substance; (d) the dosage, formulation, labelling, packaging and presentation of a substance; and (e) the potential for abuse of a substance; and (f) any other matters considered nec</w:t>
      </w:r>
      <w:r w:rsidR="000647B9">
        <w:t>essary to protect public health</w:t>
      </w:r>
      <w:r>
        <w:t>;</w:t>
      </w:r>
    </w:p>
    <w:p w14:paraId="7888ECA5" w14:textId="77777777" w:rsidR="00327B11" w:rsidRDefault="00327B11" w:rsidP="00C31E2C">
      <w:pPr>
        <w:pStyle w:val="ListBullet"/>
      </w:pPr>
      <w:r w:rsidRPr="002C1418">
        <w:t xml:space="preserve">The Australian Health Ministers’ Advisory Council’s </w:t>
      </w:r>
      <w:hyperlink r:id="rId125" w:history="1">
        <w:r w:rsidRPr="001A7580">
          <w:rPr>
            <w:rStyle w:val="Hyperlink"/>
          </w:rPr>
          <w:t>Scheduling Policy Framework</w:t>
        </w:r>
      </w:hyperlink>
      <w:r>
        <w:t xml:space="preserve"> (SPF 201</w:t>
      </w:r>
      <w:r w:rsidRPr="00775F5E">
        <w:t>8); and</w:t>
      </w:r>
    </w:p>
    <w:p w14:paraId="37EB68F5" w14:textId="77777777" w:rsidR="00327B11" w:rsidRDefault="00327B11" w:rsidP="00C31E2C">
      <w:pPr>
        <w:pStyle w:val="ListBullet"/>
      </w:pPr>
      <w:r>
        <w:t xml:space="preserve">The </w:t>
      </w:r>
      <w:hyperlink r:id="rId126" w:history="1">
        <w:r w:rsidRPr="001A7580">
          <w:rPr>
            <w:rStyle w:val="Hyperlink"/>
          </w:rPr>
          <w:t>Scheduling handbook: Guidance for amending the Poisons Standard</w:t>
        </w:r>
      </w:hyperlink>
      <w:r>
        <w:t>.</w:t>
      </w:r>
    </w:p>
    <w:p w14:paraId="5D2651F3" w14:textId="77777777" w:rsidR="00327B11" w:rsidRDefault="00327B11" w:rsidP="003E297A">
      <w:pPr>
        <w:pStyle w:val="Heading4"/>
      </w:pPr>
      <w:r w:rsidRPr="00436C41">
        <w:lastRenderedPageBreak/>
        <w:t>Reasons for the final decision (including findings on material questions of fact)</w:t>
      </w:r>
    </w:p>
    <w:p w14:paraId="2222B40A" w14:textId="6DB01337" w:rsidR="00327B11" w:rsidRPr="008A0677" w:rsidRDefault="00327B11" w:rsidP="00327B11">
      <w:pPr>
        <w:spacing w:before="0" w:after="0" w:line="240" w:lineRule="auto"/>
      </w:pPr>
      <w:r w:rsidRPr="00480169">
        <w:rPr>
          <w:rFonts w:asciiTheme="minorHAnsi" w:hAnsiTheme="minorHAnsi"/>
        </w:rPr>
        <w:t>In determining, that this matter will be a delegate-only decision I have taken into account the information provided in the application from the Applicant</w:t>
      </w:r>
      <w:r>
        <w:rPr>
          <w:rFonts w:asciiTheme="minorHAnsi" w:hAnsiTheme="minorHAnsi"/>
        </w:rPr>
        <w:t xml:space="preserve"> (APVMA</w:t>
      </w:r>
      <w:r w:rsidRPr="00480169">
        <w:rPr>
          <w:rFonts w:asciiTheme="minorHAnsi" w:hAnsiTheme="minorHAnsi"/>
        </w:rPr>
        <w:t xml:space="preserve">), and the matters outlined under Section 52E of the </w:t>
      </w:r>
      <w:r w:rsidRPr="00BC2C99">
        <w:rPr>
          <w:rFonts w:asciiTheme="minorHAnsi" w:hAnsiTheme="minorHAnsi"/>
          <w:i/>
        </w:rPr>
        <w:t>Thera</w:t>
      </w:r>
      <w:r w:rsidRPr="008A0677">
        <w:rPr>
          <w:rFonts w:asciiTheme="minorHAnsi" w:hAnsiTheme="minorHAnsi"/>
          <w:i/>
        </w:rPr>
        <w:t>peutic Goods Act</w:t>
      </w:r>
      <w:r w:rsidR="00A878D5" w:rsidRPr="008A0677">
        <w:rPr>
          <w:rFonts w:asciiTheme="minorHAnsi" w:hAnsiTheme="minorHAnsi"/>
          <w:i/>
        </w:rPr>
        <w:t xml:space="preserve"> </w:t>
      </w:r>
      <w:r w:rsidRPr="008A0677">
        <w:rPr>
          <w:rFonts w:asciiTheme="minorHAnsi" w:hAnsiTheme="minorHAnsi"/>
          <w:i/>
        </w:rPr>
        <w:t>1989</w:t>
      </w:r>
      <w:r w:rsidRPr="008A0677">
        <w:rPr>
          <w:rFonts w:asciiTheme="minorHAnsi" w:hAnsiTheme="minorHAnsi"/>
        </w:rPr>
        <w:t xml:space="preserve"> and the Scheduling Policy Framework (2018). In particular, I note that:</w:t>
      </w:r>
    </w:p>
    <w:p w14:paraId="07733B60" w14:textId="690E0BE3" w:rsidR="007C5904" w:rsidRDefault="007C5904" w:rsidP="008A0677">
      <w:pPr>
        <w:pStyle w:val="ListBullet"/>
        <w:spacing w:after="120"/>
        <w:ind w:left="357" w:hanging="357"/>
        <w:rPr>
          <w:rFonts w:ascii="Times New Roman" w:hAnsi="Times New Roman"/>
          <w:lang w:eastAsia="en-AU"/>
        </w:rPr>
      </w:pPr>
      <w:r w:rsidRPr="008A0677">
        <w:rPr>
          <w:lang w:eastAsia="en-AU"/>
        </w:rPr>
        <w:t>The proposed change to the Poiso</w:t>
      </w:r>
      <w:r>
        <w:rPr>
          <w:lang w:eastAsia="en-AU"/>
        </w:rPr>
        <w:t xml:space="preserve">ns Standard to include a new entry for </w:t>
      </w:r>
      <w:proofErr w:type="spellStart"/>
      <w:r>
        <w:rPr>
          <w:lang w:eastAsia="en-AU"/>
        </w:rPr>
        <w:t>fomesafen</w:t>
      </w:r>
      <w:proofErr w:type="spellEnd"/>
      <w:r>
        <w:rPr>
          <w:lang w:eastAsia="en-AU"/>
        </w:rPr>
        <w:t xml:space="preserve"> sodium indicates that there are benefits to the agricultural industry from the introduction of this new herbicide for the control of broad leaf weeds in various food crops. The risks associated with human exposure to the substance have been adequately addressed by the pesticide regulator (APVMA) </w:t>
      </w:r>
      <w:r>
        <w:rPr>
          <w:rFonts w:ascii="Times New Roman" w:hAnsi="Times New Roman"/>
          <w:lang w:eastAsia="en-AU"/>
        </w:rPr>
        <w:t>(</w:t>
      </w:r>
      <w:proofErr w:type="gramStart"/>
      <w:r>
        <w:rPr>
          <w:rFonts w:ascii="Times New Roman" w:hAnsi="Times New Roman"/>
          <w:lang w:eastAsia="en-AU"/>
        </w:rPr>
        <w:t>52E(</w:t>
      </w:r>
      <w:proofErr w:type="gramEnd"/>
      <w:r>
        <w:rPr>
          <w:rFonts w:ascii="Times New Roman" w:hAnsi="Times New Roman"/>
          <w:lang w:eastAsia="en-AU"/>
        </w:rPr>
        <w:t>1)(a)).</w:t>
      </w:r>
    </w:p>
    <w:p w14:paraId="6AB98D84" w14:textId="4FB2493D" w:rsidR="007C5904" w:rsidRDefault="007C5904" w:rsidP="008A0677">
      <w:pPr>
        <w:pStyle w:val="ListBullet"/>
        <w:spacing w:after="120"/>
        <w:ind w:left="357" w:hanging="357"/>
        <w:rPr>
          <w:lang w:eastAsia="en-AU"/>
        </w:rPr>
      </w:pPr>
      <w:r>
        <w:rPr>
          <w:lang w:eastAsia="en-AU"/>
        </w:rPr>
        <w:t xml:space="preserve">The purposes and extent for which the substance is to be used has been adequately outlined by the applicant </w:t>
      </w:r>
      <w:r w:rsidRPr="007C5904">
        <w:rPr>
          <w:lang w:eastAsia="en-AU"/>
        </w:rPr>
        <w:t>(</w:t>
      </w:r>
      <w:proofErr w:type="gramStart"/>
      <w:r w:rsidRPr="007C5904">
        <w:rPr>
          <w:lang w:eastAsia="en-AU"/>
        </w:rPr>
        <w:t>52E(</w:t>
      </w:r>
      <w:proofErr w:type="gramEnd"/>
      <w:r w:rsidRPr="007C5904">
        <w:rPr>
          <w:lang w:eastAsia="en-AU"/>
        </w:rPr>
        <w:t>1)(b)).</w:t>
      </w:r>
    </w:p>
    <w:p w14:paraId="3A0F3042" w14:textId="77777777" w:rsidR="007C5904" w:rsidRDefault="007C5904" w:rsidP="008A0677">
      <w:pPr>
        <w:pStyle w:val="ListBullet"/>
        <w:spacing w:after="120"/>
        <w:ind w:left="357" w:hanging="357"/>
      </w:pPr>
      <w:proofErr w:type="spellStart"/>
      <w:r>
        <w:t>Fomesafen</w:t>
      </w:r>
      <w:proofErr w:type="spellEnd"/>
      <w:r>
        <w:t xml:space="preserve"> sodium is a new substance (active constituent) which </w:t>
      </w:r>
      <w:proofErr w:type="gramStart"/>
      <w:r>
        <w:t>is not currently scheduled</w:t>
      </w:r>
      <w:proofErr w:type="gramEnd"/>
      <w:r>
        <w:t xml:space="preserve"> in the SUSMP. </w:t>
      </w:r>
      <w:proofErr w:type="spellStart"/>
      <w:r>
        <w:t>Fomesafen</w:t>
      </w:r>
      <w:proofErr w:type="spellEnd"/>
      <w:r>
        <w:t xml:space="preserve"> sodium has low acute toxicity by oral, dermal and inhalational routes, is not a skin sensitiser but is a slight to moderate skin irritant and a severe eye irritant. The substance is not a developmental or reproductive toxin, is not genotoxic in a battery of </w:t>
      </w:r>
      <w:r w:rsidRPr="00877DED">
        <w:rPr>
          <w:i/>
        </w:rPr>
        <w:t>in vivo</w:t>
      </w:r>
      <w:r>
        <w:t xml:space="preserve"> and </w:t>
      </w:r>
      <w:r w:rsidRPr="00877DED">
        <w:rPr>
          <w:i/>
        </w:rPr>
        <w:t>in vitro</w:t>
      </w:r>
      <w:r>
        <w:t xml:space="preserve"> assays and did not produce carcinogenic effects of human relevance in life-time studies in mice and rats (52E(1)(c)).</w:t>
      </w:r>
    </w:p>
    <w:p w14:paraId="73BB1875" w14:textId="4D6B5187" w:rsidR="007C5904" w:rsidRDefault="007C5904" w:rsidP="008A0677">
      <w:pPr>
        <w:pStyle w:val="ListBullet"/>
        <w:spacing w:after="120"/>
        <w:ind w:left="357" w:hanging="357"/>
      </w:pPr>
      <w:r>
        <w:t xml:space="preserve">The proposed product containing 240 g/L of </w:t>
      </w:r>
      <w:proofErr w:type="spellStart"/>
      <w:r>
        <w:t>fomesafen</w:t>
      </w:r>
      <w:proofErr w:type="spellEnd"/>
      <w:r>
        <w:t xml:space="preserve"> sodium, has low acute toxicity by the oral, dermal and inhalational routes, is a slight skin and severe eye irritant but is not a skin sensitiser (52E(1)(c)).</w:t>
      </w:r>
    </w:p>
    <w:p w14:paraId="6BA64174" w14:textId="6A128A44" w:rsidR="007C5904" w:rsidRDefault="007C5904" w:rsidP="008A0677">
      <w:pPr>
        <w:pStyle w:val="ListBullet"/>
        <w:spacing w:after="120"/>
        <w:ind w:left="357" w:hanging="357"/>
      </w:pPr>
      <w:r>
        <w:t xml:space="preserve">The toxicity profile of </w:t>
      </w:r>
      <w:proofErr w:type="spellStart"/>
      <w:r>
        <w:t>fomesafen</w:t>
      </w:r>
      <w:proofErr w:type="spellEnd"/>
      <w:r>
        <w:t xml:space="preserve"> sodium is such that it meets the factors for inclusion in Schedule 6 of the SUSMP. The toxicity profile of the proposed product is also consistent with a Schedule 6 signal heading and consequently no cut off to Schedule 5 or exempt</w:t>
      </w:r>
      <w:r w:rsidR="00937F32">
        <w:t>ion</w:t>
      </w:r>
      <w:r>
        <w:t xml:space="preserve"> is supported on the basis of the currently available data (52E(1)(c)).</w:t>
      </w:r>
    </w:p>
    <w:p w14:paraId="6429F035" w14:textId="37866852" w:rsidR="007C5904" w:rsidRDefault="007C5904" w:rsidP="008A0677">
      <w:pPr>
        <w:pStyle w:val="ListBullet"/>
        <w:spacing w:after="120"/>
        <w:ind w:left="357" w:hanging="357"/>
      </w:pPr>
      <w:r>
        <w:t xml:space="preserve">The parent substance, </w:t>
      </w:r>
      <w:proofErr w:type="spellStart"/>
      <w:r>
        <w:t>fomesafen</w:t>
      </w:r>
      <w:proofErr w:type="spellEnd"/>
      <w:r>
        <w:t xml:space="preserve"> acid, is less </w:t>
      </w:r>
      <w:r w:rsidR="00937F32">
        <w:t xml:space="preserve">of an </w:t>
      </w:r>
      <w:r>
        <w:t xml:space="preserve">irritant than the sodium salt (at most a slight skin irritant and slight eye irritant) and has similarly low acute oral, dermal and inhalational toxicity based on the data provided in the application. Although the </w:t>
      </w:r>
      <w:proofErr w:type="spellStart"/>
      <w:r>
        <w:t>fomesafen</w:t>
      </w:r>
      <w:proofErr w:type="spellEnd"/>
      <w:r>
        <w:t xml:space="preserve"> acid may be consistent with a Schedule 5 entry there is no application for use in an agricultural product of the acid as such (</w:t>
      </w:r>
      <w:proofErr w:type="gramStart"/>
      <w:r>
        <w:t>52E(</w:t>
      </w:r>
      <w:proofErr w:type="gramEnd"/>
      <w:r>
        <w:t>1)(c)).</w:t>
      </w:r>
    </w:p>
    <w:p w14:paraId="37F0FED7" w14:textId="76E0AC23" w:rsidR="007C5904" w:rsidRDefault="007C5904" w:rsidP="008A0677">
      <w:pPr>
        <w:pStyle w:val="ListBullet"/>
        <w:spacing w:after="120"/>
        <w:ind w:left="357" w:hanging="357"/>
      </w:pPr>
      <w:r>
        <w:t xml:space="preserve">The applicant has demonstrated that appropriate risk mitigation measures </w:t>
      </w:r>
      <w:proofErr w:type="gramStart"/>
      <w:r>
        <w:t>will be put</w:t>
      </w:r>
      <w:proofErr w:type="gramEnd"/>
      <w:r>
        <w:t xml:space="preserve"> in place for the proposed product containing the substance that may be registered for use in Australia, and that account for the dosage (application rate), formulation, labelling, packaging and pre</w:t>
      </w:r>
      <w:r w:rsidR="0058561F">
        <w:t xml:space="preserve">sentation of </w:t>
      </w:r>
      <w:proofErr w:type="spellStart"/>
      <w:r w:rsidR="0058561F">
        <w:t>fomesafen</w:t>
      </w:r>
      <w:proofErr w:type="spellEnd"/>
      <w:r w:rsidR="0058561F">
        <w:t xml:space="preserve"> sodium. </w:t>
      </w:r>
      <w:r>
        <w:t xml:space="preserve">As a result, no additional measures are required in the Poisons Standard. Further use of </w:t>
      </w:r>
      <w:proofErr w:type="spellStart"/>
      <w:r>
        <w:t>fomesafen</w:t>
      </w:r>
      <w:proofErr w:type="spellEnd"/>
      <w:r>
        <w:t xml:space="preserve"> sodium in other pesticide products will be addressed by the pesticide regulator (APVMA) in any future applications to the regulator (</w:t>
      </w:r>
      <w:proofErr w:type="gramStart"/>
      <w:r>
        <w:t>53E(</w:t>
      </w:r>
      <w:proofErr w:type="gramEnd"/>
      <w:r>
        <w:t>1)(d)).</w:t>
      </w:r>
    </w:p>
    <w:p w14:paraId="336D52ED" w14:textId="15925968" w:rsidR="007C5904" w:rsidRDefault="007C5904" w:rsidP="008A0677">
      <w:pPr>
        <w:pStyle w:val="ListBullet"/>
        <w:spacing w:after="120"/>
        <w:ind w:left="357" w:hanging="357"/>
      </w:pPr>
      <w:r>
        <w:t>There is no information to indicate that the substance could pose a risk to humans from abuse of the substance (52(E</w:t>
      </w:r>
      <w:proofErr w:type="gramStart"/>
      <w:r>
        <w:t>)(</w:t>
      </w:r>
      <w:proofErr w:type="gramEnd"/>
      <w:r>
        <w:t>1)(e)).</w:t>
      </w:r>
    </w:p>
    <w:p w14:paraId="2CF9E408" w14:textId="33A5FBF8" w:rsidR="007C5904" w:rsidRDefault="007C5904" w:rsidP="008A0677">
      <w:pPr>
        <w:pStyle w:val="ListBullet"/>
        <w:spacing w:after="120"/>
        <w:ind w:left="357" w:hanging="357"/>
      </w:pPr>
      <w:r>
        <w:t>National Health Based Guidance Values will be established for the substance that will protect consumers from residues of the substances in food (52(E</w:t>
      </w:r>
      <w:proofErr w:type="gramStart"/>
      <w:r>
        <w:t>)(</w:t>
      </w:r>
      <w:proofErr w:type="gramEnd"/>
      <w:r>
        <w:t>1)(f)).</w:t>
      </w:r>
    </w:p>
    <w:p w14:paraId="0BC46494" w14:textId="77777777" w:rsidR="00327B11" w:rsidRDefault="00327B11" w:rsidP="00327B11">
      <w:r w:rsidRPr="00C80667">
        <w:t xml:space="preserve">Therefore, based on the information provided in the application, I have decided to amend the current Poisons Standard in the manner set out in the application. The proposed amendment </w:t>
      </w:r>
      <w:proofErr w:type="gramStart"/>
      <w:r w:rsidRPr="00C80667">
        <w:t>was not referred</w:t>
      </w:r>
      <w:proofErr w:type="gramEnd"/>
      <w:r w:rsidRPr="00C80667">
        <w:t xml:space="preserve"> to an expert advisory committee.</w:t>
      </w:r>
    </w:p>
    <w:p w14:paraId="08532FB3" w14:textId="0B2D7494" w:rsidR="00327B11" w:rsidRDefault="008A0677" w:rsidP="00327B11">
      <w:pPr>
        <w:pStyle w:val="Heading4"/>
      </w:pPr>
      <w:r>
        <w:t>Date of effect of the decision</w:t>
      </w:r>
    </w:p>
    <w:p w14:paraId="2E61166A" w14:textId="4872D4CD" w:rsidR="00E06A1B" w:rsidRPr="00846F16" w:rsidRDefault="0014715B" w:rsidP="00846F16">
      <w:pPr>
        <w:rPr>
          <w:b/>
        </w:rPr>
      </w:pPr>
      <w:r>
        <w:rPr>
          <w:b/>
        </w:rPr>
        <w:t>1 October 2020</w:t>
      </w:r>
    </w:p>
    <w:sectPr w:rsidR="00E06A1B" w:rsidRPr="00846F16" w:rsidSect="003A48A2">
      <w:headerReference w:type="default" r:id="rId127"/>
      <w:footerReference w:type="default" r:id="rId128"/>
      <w:headerReference w:type="first" r:id="rId129"/>
      <w:footerReference w:type="first" r:id="rId130"/>
      <w:type w:val="continuous"/>
      <w:pgSz w:w="11906" w:h="16838" w:code="9"/>
      <w:pgMar w:top="1134" w:right="1418" w:bottom="1361" w:left="1418" w:header="425"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418108" w14:textId="77777777" w:rsidR="003E297A" w:rsidRDefault="003E297A" w:rsidP="00C40A36">
      <w:pPr>
        <w:spacing w:after="0"/>
      </w:pPr>
      <w:r>
        <w:separator/>
      </w:r>
    </w:p>
  </w:endnote>
  <w:endnote w:type="continuationSeparator" w:id="0">
    <w:p w14:paraId="6C5AAEAB" w14:textId="77777777" w:rsidR="003E297A" w:rsidRDefault="003E297A"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A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ACFFCFA" w:usb2="00000016" w:usb3="00000000" w:csb0="00100001" w:csb1="00000000"/>
  </w:font>
  <w:font w:name="Cambria-Bold">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gridCol w:w="1382"/>
    </w:tblGrid>
    <w:tr w:rsidR="003E297A" w:rsidRPr="00257138" w14:paraId="532A5383" w14:textId="77777777" w:rsidTr="009B00CC">
      <w:trPr>
        <w:trHeight w:val="423"/>
      </w:trPr>
      <w:tc>
        <w:tcPr>
          <w:tcW w:w="7338" w:type="dxa"/>
          <w:tcBorders>
            <w:top w:val="single" w:sz="4" w:space="0" w:color="auto"/>
          </w:tcBorders>
        </w:tcPr>
        <w:p w14:paraId="29BA3993" w14:textId="77777777" w:rsidR="003E297A" w:rsidRDefault="003E297A" w:rsidP="003F3095">
          <w:pPr>
            <w:pStyle w:val="Footer"/>
          </w:pPr>
          <w:r>
            <w:t>Record of the 29th meeting of the Advisory Committee on Medicines Scheduling</w:t>
          </w:r>
        </w:p>
        <w:p w14:paraId="683F938B" w14:textId="77777777" w:rsidR="003E297A" w:rsidRPr="00257138" w:rsidRDefault="003E297A" w:rsidP="003F3095">
          <w:pPr>
            <w:pStyle w:val="Footer"/>
          </w:pPr>
          <w:r>
            <w:t>12 March 2020</w:t>
          </w:r>
          <w:r>
            <w:br/>
          </w:r>
        </w:p>
      </w:tc>
      <w:tc>
        <w:tcPr>
          <w:tcW w:w="1382" w:type="dxa"/>
          <w:tcBorders>
            <w:top w:val="single" w:sz="4" w:space="0" w:color="auto"/>
          </w:tcBorders>
        </w:tcPr>
        <w:sdt>
          <w:sdtPr>
            <w:id w:val="21514580"/>
            <w:docPartObj>
              <w:docPartGallery w:val="Page Numbers (Top of Page)"/>
              <w:docPartUnique/>
            </w:docPartObj>
          </w:sdtPr>
          <w:sdtEndPr/>
          <w:sdtContent>
            <w:p w14:paraId="6A0C1ED9" w14:textId="77777777" w:rsidR="003E297A" w:rsidRDefault="003E297A" w:rsidP="00782870">
              <w:pPr>
                <w:pStyle w:val="Footer"/>
                <w:jc w:val="right"/>
              </w:pPr>
            </w:p>
            <w:p w14:paraId="6E08657D" w14:textId="77777777" w:rsidR="003E297A" w:rsidRPr="00257138" w:rsidRDefault="003E297A" w:rsidP="00782870">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755907">
                <w:fldChar w:fldCharType="begin"/>
              </w:r>
              <w:r w:rsidR="00755907">
                <w:instrText xml:space="preserve"> NUMPAGES  </w:instrText>
              </w:r>
              <w:r w:rsidR="00755907">
                <w:fldChar w:fldCharType="separate"/>
              </w:r>
              <w:r>
                <w:rPr>
                  <w:noProof/>
                </w:rPr>
                <w:t>32</w:t>
              </w:r>
              <w:r w:rsidR="00755907">
                <w:rPr>
                  <w:noProof/>
                </w:rPr>
                <w:fldChar w:fldCharType="end"/>
              </w:r>
            </w:p>
          </w:sdtContent>
        </w:sdt>
      </w:tc>
    </w:tr>
    <w:tr w:rsidR="003E297A" w:rsidRPr="00257138" w14:paraId="2B660EBE" w14:textId="77777777" w:rsidTr="009B00CC">
      <w:trPr>
        <w:trHeight w:val="263"/>
      </w:trPr>
      <w:tc>
        <w:tcPr>
          <w:tcW w:w="7338" w:type="dxa"/>
        </w:tcPr>
        <w:p w14:paraId="19D2A009" w14:textId="77777777" w:rsidR="003E297A" w:rsidRPr="00257138" w:rsidRDefault="003E297A" w:rsidP="00782870">
          <w:pPr>
            <w:pStyle w:val="Footer"/>
          </w:pPr>
        </w:p>
      </w:tc>
      <w:tc>
        <w:tcPr>
          <w:tcW w:w="1382" w:type="dxa"/>
        </w:tcPr>
        <w:p w14:paraId="40522BC6" w14:textId="77777777" w:rsidR="003E297A" w:rsidRPr="00257138" w:rsidRDefault="003E297A" w:rsidP="00782870">
          <w:pPr>
            <w:pStyle w:val="Footer"/>
            <w:jc w:val="right"/>
          </w:pPr>
        </w:p>
      </w:tc>
    </w:tr>
  </w:tbl>
  <w:p w14:paraId="05505144" w14:textId="77777777" w:rsidR="003E297A" w:rsidRPr="00826007" w:rsidRDefault="003E297A" w:rsidP="002001F1">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072" w:type="dxa"/>
      <w:tblBorders>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3E297A" w:rsidRPr="00257138" w14:paraId="00C707B0" w14:textId="77777777" w:rsidTr="009C5596">
      <w:trPr>
        <w:trHeight w:val="423"/>
      </w:trPr>
      <w:tc>
        <w:tcPr>
          <w:tcW w:w="7338" w:type="dxa"/>
        </w:tcPr>
        <w:p w14:paraId="71A9CD76" w14:textId="77777777" w:rsidR="003E297A" w:rsidRDefault="003E297A" w:rsidP="00516E40">
          <w:pPr>
            <w:pStyle w:val="Footer"/>
          </w:pPr>
          <w:r>
            <w:t>Delegate’s final decisions and reasons for decisions (ACCS#27, ACMS#29, Joint ACMS-ACCS #24, March 2020)</w:t>
          </w:r>
        </w:p>
        <w:p w14:paraId="1A3C1B2F" w14:textId="77777777" w:rsidR="003E297A" w:rsidRPr="00257138" w:rsidRDefault="003E297A">
          <w:pPr>
            <w:pStyle w:val="Footer"/>
          </w:pPr>
          <w:r>
            <w:t>24 August 2020</w:t>
          </w:r>
        </w:p>
      </w:tc>
      <w:tc>
        <w:tcPr>
          <w:tcW w:w="1734" w:type="dxa"/>
        </w:tcPr>
        <w:sdt>
          <w:sdtPr>
            <w:id w:val="6788836"/>
            <w:docPartObj>
              <w:docPartGallery w:val="Page Numbers (Top of Page)"/>
              <w:docPartUnique/>
            </w:docPartObj>
          </w:sdtPr>
          <w:sdtEndPr/>
          <w:sdtContent>
            <w:p w14:paraId="0EEBA288" w14:textId="3576CE8A" w:rsidR="003E297A" w:rsidRPr="00257138" w:rsidRDefault="003E297A" w:rsidP="009468C6">
              <w:pPr>
                <w:pStyle w:val="Footer"/>
                <w:jc w:val="right"/>
              </w:pPr>
              <w:r w:rsidRPr="00257138">
                <w:t xml:space="preserve">Page </w:t>
              </w:r>
              <w:r>
                <w:fldChar w:fldCharType="begin"/>
              </w:r>
              <w:r>
                <w:instrText xml:space="preserve"> PAGE </w:instrText>
              </w:r>
              <w:r>
                <w:fldChar w:fldCharType="separate"/>
              </w:r>
              <w:r w:rsidR="00755907">
                <w:rPr>
                  <w:noProof/>
                </w:rPr>
                <w:t>24</w:t>
              </w:r>
              <w:r>
                <w:fldChar w:fldCharType="end"/>
              </w:r>
              <w:r w:rsidRPr="00257138">
                <w:t xml:space="preserve"> of </w:t>
              </w:r>
              <w:r w:rsidR="00755907">
                <w:fldChar w:fldCharType="begin"/>
              </w:r>
              <w:r w:rsidR="00755907">
                <w:instrText xml:space="preserve"> NUMPAGES  </w:instrText>
              </w:r>
              <w:r w:rsidR="00755907">
                <w:fldChar w:fldCharType="separate"/>
              </w:r>
              <w:r w:rsidR="00755907">
                <w:rPr>
                  <w:noProof/>
                </w:rPr>
                <w:t>34</w:t>
              </w:r>
              <w:r w:rsidR="00755907">
                <w:rPr>
                  <w:noProof/>
                </w:rPr>
                <w:fldChar w:fldCharType="end"/>
              </w:r>
            </w:p>
          </w:sdtContent>
        </w:sdt>
      </w:tc>
    </w:tr>
  </w:tbl>
  <w:p w14:paraId="6E7E9AF7" w14:textId="77777777" w:rsidR="003E297A" w:rsidRPr="00826007" w:rsidRDefault="003E297A" w:rsidP="002001F1">
    <w:pPr>
      <w:pStyle w:val="Footer"/>
      <w:tabs>
        <w:tab w:val="left" w:pos="7620"/>
        <w:tab w:val="right" w:pos="8504"/>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072" w:type="dxa"/>
      <w:tblBorders>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513"/>
      <w:gridCol w:w="1559"/>
    </w:tblGrid>
    <w:tr w:rsidR="003E297A" w:rsidRPr="00257138" w14:paraId="508920E5" w14:textId="77777777" w:rsidTr="00C31E2C">
      <w:trPr>
        <w:trHeight w:val="423"/>
      </w:trPr>
      <w:tc>
        <w:tcPr>
          <w:tcW w:w="7513" w:type="dxa"/>
        </w:tcPr>
        <w:p w14:paraId="3CE90F3B" w14:textId="77777777" w:rsidR="003E297A" w:rsidRDefault="003E297A" w:rsidP="003B3562">
          <w:pPr>
            <w:pStyle w:val="Footer"/>
          </w:pPr>
          <w:r>
            <w:t>Delegate’s final decisions and reasons for decisions (ACCS#27, ACMS#29, Joint ACMS-ACCS #24, March 2020)</w:t>
          </w:r>
        </w:p>
        <w:p w14:paraId="53FA222C" w14:textId="4406DE15" w:rsidR="003E297A" w:rsidRPr="00257138" w:rsidRDefault="003E297A" w:rsidP="00C31E2C">
          <w:pPr>
            <w:pStyle w:val="Footer"/>
          </w:pPr>
          <w:r>
            <w:t>24 August 2020</w:t>
          </w:r>
        </w:p>
      </w:tc>
      <w:tc>
        <w:tcPr>
          <w:tcW w:w="1559" w:type="dxa"/>
        </w:tcPr>
        <w:sdt>
          <w:sdtPr>
            <w:id w:val="5342774"/>
            <w:docPartObj>
              <w:docPartGallery w:val="Page Numbers (Top of Page)"/>
              <w:docPartUnique/>
            </w:docPartObj>
          </w:sdtPr>
          <w:sdtEndPr/>
          <w:sdtContent>
            <w:p w14:paraId="3DFDE6B9" w14:textId="1473C685" w:rsidR="003E297A" w:rsidRPr="00257138" w:rsidRDefault="003E297A" w:rsidP="003A48A2">
              <w:pPr>
                <w:pStyle w:val="Footer"/>
                <w:jc w:val="right"/>
              </w:pPr>
              <w:r w:rsidRPr="00257138">
                <w:t xml:space="preserve">Page </w:t>
              </w:r>
              <w:r>
                <w:fldChar w:fldCharType="begin"/>
              </w:r>
              <w:r>
                <w:instrText xml:space="preserve"> PAGE </w:instrText>
              </w:r>
              <w:r>
                <w:fldChar w:fldCharType="separate"/>
              </w:r>
              <w:r w:rsidR="00755907">
                <w:rPr>
                  <w:noProof/>
                </w:rPr>
                <w:t>2</w:t>
              </w:r>
              <w:r>
                <w:rPr>
                  <w:noProof/>
                </w:rPr>
                <w:fldChar w:fldCharType="end"/>
              </w:r>
              <w:r w:rsidRPr="00257138">
                <w:t xml:space="preserve"> of </w:t>
              </w:r>
              <w:r w:rsidR="00755907">
                <w:fldChar w:fldCharType="begin"/>
              </w:r>
              <w:r w:rsidR="00755907">
                <w:instrText xml:space="preserve"> NUMPAGES  </w:instrText>
              </w:r>
              <w:r w:rsidR="00755907">
                <w:fldChar w:fldCharType="separate"/>
              </w:r>
              <w:r w:rsidR="00755907">
                <w:rPr>
                  <w:noProof/>
                </w:rPr>
                <w:t>34</w:t>
              </w:r>
              <w:r w:rsidR="00755907">
                <w:rPr>
                  <w:noProof/>
                </w:rPr>
                <w:fldChar w:fldCharType="end"/>
              </w:r>
            </w:p>
          </w:sdtContent>
        </w:sdt>
      </w:tc>
    </w:tr>
  </w:tbl>
  <w:p w14:paraId="37BFDB4A" w14:textId="77777777" w:rsidR="003E297A" w:rsidRDefault="003E29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73FDF" w14:textId="77777777" w:rsidR="003E297A" w:rsidRDefault="003E297A" w:rsidP="00C40A36">
      <w:pPr>
        <w:spacing w:after="0"/>
      </w:pPr>
      <w:r>
        <w:separator/>
      </w:r>
    </w:p>
  </w:footnote>
  <w:footnote w:type="continuationSeparator" w:id="0">
    <w:p w14:paraId="404DC908" w14:textId="77777777" w:rsidR="003E297A" w:rsidRDefault="003E297A" w:rsidP="00C40A36">
      <w:pPr>
        <w:spacing w:after="0"/>
      </w:pPr>
      <w:r>
        <w:continuationSeparator/>
      </w:r>
    </w:p>
  </w:footnote>
  <w:footnote w:id="1">
    <w:p w14:paraId="0388C632" w14:textId="1D6CBBC6" w:rsidR="003E297A" w:rsidRDefault="003E297A" w:rsidP="00F86D1E">
      <w:pPr>
        <w:pStyle w:val="FootnoteText"/>
      </w:pPr>
      <w:r>
        <w:rPr>
          <w:rStyle w:val="FootnoteReference"/>
        </w:rPr>
        <w:footnoteRef/>
      </w:r>
      <w:r>
        <w:t xml:space="preserve"> Australian Institute of Health and Welfare (AIHW): </w:t>
      </w:r>
      <w:hyperlink r:id="rId1" w:history="1">
        <w:r>
          <w:rPr>
            <w:rStyle w:val="Hyperlink"/>
          </w:rPr>
          <w:t>National Drug Strategy Household Survey 2019</w:t>
        </w:r>
      </w:hyperlink>
      <w:r>
        <w:t>.</w:t>
      </w:r>
    </w:p>
  </w:footnote>
  <w:footnote w:id="2">
    <w:p w14:paraId="31280EB5" w14:textId="77777777" w:rsidR="003E297A" w:rsidRDefault="003E297A" w:rsidP="00F86D1E">
      <w:pPr>
        <w:pStyle w:val="FootnoteText"/>
      </w:pPr>
      <w:r>
        <w:rPr>
          <w:rStyle w:val="FootnoteReference"/>
        </w:rPr>
        <w:footnoteRef/>
      </w:r>
      <w:r>
        <w:t xml:space="preserve"> </w:t>
      </w:r>
      <w:r>
        <w:rPr>
          <w:lang w:val="en-US"/>
        </w:rPr>
        <w:t xml:space="preserve">The Centers for Disease Control and Prevention webpage on </w:t>
      </w:r>
      <w:hyperlink r:id="rId2" w:history="1">
        <w:r>
          <w:rPr>
            <w:rStyle w:val="Hyperlink"/>
            <w:lang w:val="en-US"/>
          </w:rPr>
          <w:t>Heated Tobacco Products</w:t>
        </w:r>
      </w:hyperlink>
      <w:r>
        <w:rPr>
          <w:lang w:val="en-US"/>
        </w:rPr>
        <w:t xml:space="preserve"> from 17 July 2020</w:t>
      </w:r>
    </w:p>
  </w:footnote>
  <w:footnote w:id="3">
    <w:p w14:paraId="68C9057A" w14:textId="77777777" w:rsidR="003E297A" w:rsidRDefault="003E297A" w:rsidP="00F86D1E">
      <w:pPr>
        <w:pStyle w:val="FootnoteText"/>
      </w:pPr>
      <w:r>
        <w:rPr>
          <w:rStyle w:val="FootnoteReference"/>
        </w:rPr>
        <w:footnoteRef/>
      </w:r>
      <w:r>
        <w:t xml:space="preserve"> </w:t>
      </w:r>
      <w:r>
        <w:rPr>
          <w:lang w:val="en-US"/>
        </w:rPr>
        <w:t xml:space="preserve">The WHO, </w:t>
      </w:r>
      <w:hyperlink r:id="rId3" w:history="1">
        <w:r>
          <w:rPr>
            <w:rStyle w:val="Hyperlink"/>
          </w:rPr>
          <w:t>Heated tobacco products: A</w:t>
        </w:r>
      </w:hyperlink>
      <w:r>
        <w:rPr>
          <w:rStyle w:val="Hyperlink"/>
        </w:rPr>
        <w:t xml:space="preserve"> brief</w:t>
      </w:r>
      <w:r w:rsidRPr="00070EF7">
        <w:rPr>
          <w:rStyle w:val="Hyperlink"/>
          <w:color w:val="auto"/>
          <w:u w:val="none"/>
        </w:rPr>
        <w:t xml:space="preserve">, </w:t>
      </w:r>
      <w:r>
        <w:rPr>
          <w:lang w:val="en-US"/>
        </w:rPr>
        <w:t>2020</w:t>
      </w:r>
    </w:p>
  </w:footnote>
  <w:footnote w:id="4">
    <w:p w14:paraId="02E3FD5B" w14:textId="77777777" w:rsidR="003E297A" w:rsidRDefault="003E297A" w:rsidP="00F86D1E">
      <w:pPr>
        <w:pStyle w:val="FootnoteText"/>
      </w:pPr>
      <w:r>
        <w:rPr>
          <w:rStyle w:val="FootnoteReference"/>
        </w:rPr>
        <w:footnoteRef/>
      </w:r>
      <w:r>
        <w:t xml:space="preserve"> </w:t>
      </w:r>
      <w:hyperlink r:id="rId4" w:history="1">
        <w:r>
          <w:rPr>
            <w:rStyle w:val="Hyperlink"/>
            <w:rFonts w:cs="Arial"/>
            <w:lang w:val="en"/>
          </w:rPr>
          <w:t>FDA Authorizes Marketing of IQOS Tobacco Heating System with ‘Reduced Exposure’ Information</w:t>
        </w:r>
      </w:hyperlink>
      <w:r>
        <w:rPr>
          <w:rFonts w:cs="Arial"/>
          <w:color w:val="333333"/>
          <w:lang w:val="en"/>
        </w:rPr>
        <w:t xml:space="preserve"> from 7 July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0BFD6" w14:textId="77777777" w:rsidR="003E297A" w:rsidRDefault="003E297A" w:rsidP="006E08B3">
    <w:pPr>
      <w:rPr>
        <w:noProof/>
      </w:rPr>
    </w:pPr>
    <w:r w:rsidRPr="00E57B71">
      <w:rPr>
        <w:noProof/>
        <w:lang w:eastAsia="en-AU"/>
      </w:rPr>
      <w:drawing>
        <wp:anchor distT="0" distB="0" distL="114300" distR="114300" simplePos="0" relativeHeight="251660288" behindDoc="0" locked="0" layoutInCell="1" allowOverlap="1" wp14:anchorId="46D26EC2" wp14:editId="25CFD07E">
          <wp:simplePos x="0" y="0"/>
          <wp:positionH relativeFrom="column">
            <wp:posOffset>7056</wp:posOffset>
          </wp:positionH>
          <wp:positionV relativeFrom="paragraph">
            <wp:posOffset>-36407</wp:posOffset>
          </wp:positionV>
          <wp:extent cx="3524250" cy="1209675"/>
          <wp:effectExtent l="19050" t="0" r="0" b="0"/>
          <wp:wrapTopAndBottom/>
          <wp:docPr id="25" name="Picture 25"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1"/>
                  <a:srcRect/>
                  <a:stretch>
                    <a:fillRect/>
                  </a:stretch>
                </pic:blipFill>
                <pic:spPr bwMode="auto">
                  <a:xfrm>
                    <a:off x="0" y="0"/>
                    <a:ext cx="3524250" cy="1209675"/>
                  </a:xfrm>
                  <a:prstGeom prst="rect">
                    <a:avLst/>
                  </a:prstGeom>
                  <a:noFill/>
                  <a:ln w="9525">
                    <a:noFill/>
                    <a:miter lim="800000"/>
                    <a:headEnd/>
                    <a:tailEnd/>
                  </a:ln>
                </pic:spPr>
              </pic:pic>
            </a:graphicData>
          </a:graphic>
        </wp:anchor>
      </w:drawing>
    </w:r>
  </w:p>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3E297A" w:rsidRPr="00DE02AE" w14:paraId="6B6794A1" w14:textId="77777777" w:rsidTr="00782870">
      <w:trPr>
        <w:trHeight w:hRule="exact" w:val="8845"/>
      </w:trPr>
      <w:tc>
        <w:tcPr>
          <w:tcW w:w="11964" w:type="dxa"/>
        </w:tcPr>
        <w:p w14:paraId="7DEC4031" w14:textId="77777777" w:rsidR="003E297A" w:rsidRPr="00DE02AE" w:rsidRDefault="003E297A" w:rsidP="00782870">
          <w:pPr>
            <w:pStyle w:val="Date"/>
            <w:ind w:left="-28"/>
          </w:pPr>
          <w:r w:rsidRPr="002B29B2">
            <w:rPr>
              <w:noProof/>
              <w:lang w:eastAsia="en-AU"/>
            </w:rPr>
            <w:drawing>
              <wp:anchor distT="0" distB="0" distL="114300" distR="114300" simplePos="0" relativeHeight="251662336" behindDoc="0" locked="0" layoutInCell="0" allowOverlap="1" wp14:anchorId="3923821C" wp14:editId="22433D8C">
                <wp:simplePos x="0" y="0"/>
                <wp:positionH relativeFrom="page">
                  <wp:posOffset>-22437</wp:posOffset>
                </wp:positionH>
                <wp:positionV relativeFrom="page">
                  <wp:posOffset>-16087</wp:posOffset>
                </wp:positionV>
                <wp:extent cx="7581900" cy="2447925"/>
                <wp:effectExtent l="19050" t="0" r="0" b="0"/>
                <wp:wrapNone/>
                <wp:docPr id="28" name="Picture 2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letct\Desktop\TGA-Swoosh-w-Wordmark-CMYK.gif"/>
                        <pic:cNvPicPr>
                          <a:picLocks noChangeAspect="1" noChangeArrowheads="1"/>
                        </pic:cNvPicPr>
                      </pic:nvPicPr>
                      <pic:blipFill>
                        <a:blip r:embed="rId2" cstate="print"/>
                        <a:srcRect/>
                        <a:stretch>
                          <a:fillRect/>
                        </a:stretch>
                      </pic:blipFill>
                      <pic:spPr bwMode="auto">
                        <a:xfrm>
                          <a:off x="0" y="0"/>
                          <a:ext cx="7581900" cy="2447925"/>
                        </a:xfrm>
                        <a:prstGeom prst="rect">
                          <a:avLst/>
                        </a:prstGeom>
                        <a:noFill/>
                        <a:ln w="9525">
                          <a:noFill/>
                          <a:miter lim="800000"/>
                          <a:headEnd/>
                          <a:tailEnd/>
                        </a:ln>
                      </pic:spPr>
                    </pic:pic>
                  </a:graphicData>
                </a:graphic>
              </wp:anchor>
            </w:drawing>
          </w:r>
          <w:sdt>
            <w:sdtPr>
              <w:id w:val="21514581"/>
              <w:showingPlcHdr/>
              <w:picture/>
            </w:sdtPr>
            <w:sdtEndPr/>
            <w:sdtContent>
              <w:r>
                <w:rPr>
                  <w:noProof/>
                  <w:lang w:eastAsia="en-AU"/>
                </w:rPr>
                <w:drawing>
                  <wp:inline distT="0" distB="0" distL="0" distR="0" wp14:anchorId="089CE161" wp14:editId="057EFE97">
                    <wp:extent cx="7610475" cy="5638800"/>
                    <wp:effectExtent l="19050" t="0" r="9525" b="0"/>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srcRect/>
                            <a:stretch>
                              <a:fillRect/>
                            </a:stretch>
                          </pic:blipFill>
                          <pic:spPr bwMode="auto">
                            <a:xfrm>
                              <a:off x="0" y="0"/>
                              <a:ext cx="7610475" cy="5638800"/>
                            </a:xfrm>
                            <a:prstGeom prst="rect">
                              <a:avLst/>
                            </a:prstGeom>
                            <a:noFill/>
                            <a:ln w="9525">
                              <a:noFill/>
                              <a:miter lim="800000"/>
                              <a:headEnd/>
                              <a:tailEnd/>
                            </a:ln>
                          </pic:spPr>
                        </pic:pic>
                      </a:graphicData>
                    </a:graphic>
                  </wp:inline>
                </w:drawing>
              </w:r>
            </w:sdtContent>
          </w:sdt>
        </w:p>
      </w:tc>
    </w:tr>
  </w:tbl>
  <w:p w14:paraId="7FBDD600" w14:textId="77777777" w:rsidR="003E297A" w:rsidRDefault="003E297A" w:rsidP="006D03E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7C526" w14:textId="6FCA9FBC" w:rsidR="003E297A" w:rsidRPr="00C31E2C" w:rsidRDefault="003E297A" w:rsidP="00C31E2C">
    <w:pPr>
      <w:pBdr>
        <w:bottom w:val="single" w:sz="4" w:space="1" w:color="auto"/>
      </w:pBdr>
      <w:jc w:val="right"/>
      <w:rPr>
        <w:sz w:val="17"/>
        <w:szCs w:val="17"/>
      </w:rPr>
    </w:pPr>
    <w:r w:rsidRPr="00C31E2C">
      <w:rPr>
        <w:sz w:val="17"/>
        <w:szCs w:val="17"/>
      </w:rPr>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EAEAB" w14:textId="4F9AE10D" w:rsidR="003E297A" w:rsidRDefault="003E297A" w:rsidP="00C31E2C">
    <w:pPr>
      <w:pBdr>
        <w:bottom w:val="single" w:sz="4" w:space="1" w:color="auto"/>
      </w:pBdr>
      <w:jc w:val="right"/>
      <w:rPr>
        <w:sz w:val="17"/>
        <w:szCs w:val="17"/>
      </w:rPr>
    </w:pPr>
    <w:r w:rsidRPr="00C31E2C">
      <w:rPr>
        <w:sz w:val="17"/>
        <w:szCs w:val="17"/>
      </w:rPr>
      <w:t>Therapeutic Goods Administration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E6D14"/>
    <w:multiLevelType w:val="hybridMultilevel"/>
    <w:tmpl w:val="16A05C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2" w15:restartNumberingAfterBreak="0">
    <w:nsid w:val="14F666D4"/>
    <w:multiLevelType w:val="hybridMultilevel"/>
    <w:tmpl w:val="5F34CF6C"/>
    <w:lvl w:ilvl="0" w:tplc="068EF09E">
      <w:start w:val="1"/>
      <w:numFmt w:val="lowerRoman"/>
      <w:lvlText w:val="%1)"/>
      <w:lvlJc w:val="left"/>
      <w:pPr>
        <w:ind w:left="1440" w:hanging="360"/>
      </w:pPr>
      <w:rPr>
        <w:rFonts w:hint="default"/>
        <w:color w:val="FF000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168F13E9"/>
    <w:multiLevelType w:val="multilevel"/>
    <w:tmpl w:val="040ECFC2"/>
    <w:styleLink w:val="ListBullets"/>
    <w:lvl w:ilvl="0">
      <w:start w:val="1"/>
      <w:numFmt w:val="bullet"/>
      <w:pStyle w:val="ListBullet"/>
      <w:lvlText w:val="•"/>
      <w:lvlJc w:val="left"/>
      <w:pPr>
        <w:ind w:left="360" w:hanging="360"/>
      </w:pPr>
      <w:rPr>
        <w:rFonts w:ascii="Arial" w:hAnsi="Aria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 w15:restartNumberingAfterBreak="0">
    <w:nsid w:val="1ABD74D0"/>
    <w:multiLevelType w:val="hybridMultilevel"/>
    <w:tmpl w:val="53E6FB28"/>
    <w:lvl w:ilvl="0" w:tplc="E3B8B50C">
      <w:start w:val="1"/>
      <w:numFmt w:val="lowerRoman"/>
      <w:pStyle w:val="ListBulleti"/>
      <w:lvlText w:val="%1)"/>
      <w:lvlJc w:val="left"/>
      <w:pPr>
        <w:ind w:left="1800" w:hanging="360"/>
      </w:pPr>
      <w:rPr>
        <w:rFonts w:hint="default"/>
        <w:b w:val="0"/>
        <w:color w:val="auto"/>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 w15:restartNumberingAfterBreak="0">
    <w:nsid w:val="1CEF3ACD"/>
    <w:multiLevelType w:val="multilevel"/>
    <w:tmpl w:val="9580D220"/>
    <w:lvl w:ilvl="0">
      <w:start w:val="1"/>
      <w:numFmt w:val="decimal"/>
      <w:pStyle w:val="Heading2"/>
      <w:lvlText w:val="%1"/>
      <w:lvlJc w:val="left"/>
      <w:pPr>
        <w:ind w:left="432" w:hanging="432"/>
      </w:pPr>
    </w:lvl>
    <w:lvl w:ilvl="1">
      <w:start w:val="1"/>
      <w:numFmt w:val="decimal"/>
      <w:pStyle w:val="Heading3"/>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0034681"/>
    <w:multiLevelType w:val="hybridMultilevel"/>
    <w:tmpl w:val="D3A0538A"/>
    <w:lvl w:ilvl="0" w:tplc="708C33E8">
      <w:start w:val="1"/>
      <w:numFmt w:val="lowerRoman"/>
      <w:pStyle w:val="Numberbullet3ired"/>
      <w:lvlText w:val="%1)"/>
      <w:lvlJc w:val="left"/>
      <w:pPr>
        <w:ind w:left="1134" w:hanging="360"/>
      </w:pPr>
      <w:rPr>
        <w:rFonts w:hint="default"/>
        <w:b w:val="0"/>
        <w:color w:val="FF0000"/>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 w15:restartNumberingAfterBreak="0">
    <w:nsid w:val="29393ADF"/>
    <w:multiLevelType w:val="hybridMultilevel"/>
    <w:tmpl w:val="B742F92A"/>
    <w:lvl w:ilvl="0" w:tplc="712E9136">
      <w:start w:val="1"/>
      <w:numFmt w:val="lowerLetter"/>
      <w:pStyle w:val="Numberbullet2a"/>
      <w:lvlText w:val="%1)"/>
      <w:lvlJc w:val="left"/>
      <w:pPr>
        <w:ind w:left="1506" w:hanging="360"/>
      </w:pPr>
      <w:rPr>
        <w:rFonts w:hint="default"/>
        <w:color w:val="auto"/>
        <w:u w:color="FF0000"/>
      </w:rPr>
    </w:lvl>
    <w:lvl w:ilvl="1" w:tplc="0C090019" w:tentative="1">
      <w:start w:val="1"/>
      <w:numFmt w:val="lowerLetter"/>
      <w:lvlText w:val="%2."/>
      <w:lvlJc w:val="left"/>
      <w:pPr>
        <w:ind w:left="2226" w:hanging="360"/>
      </w:pPr>
    </w:lvl>
    <w:lvl w:ilvl="2" w:tplc="0C09001B" w:tentative="1">
      <w:start w:val="1"/>
      <w:numFmt w:val="lowerRoman"/>
      <w:lvlText w:val="%3."/>
      <w:lvlJc w:val="right"/>
      <w:pPr>
        <w:ind w:left="2946" w:hanging="180"/>
      </w:pPr>
    </w:lvl>
    <w:lvl w:ilvl="3" w:tplc="0C09000F" w:tentative="1">
      <w:start w:val="1"/>
      <w:numFmt w:val="decimal"/>
      <w:lvlText w:val="%4."/>
      <w:lvlJc w:val="left"/>
      <w:pPr>
        <w:ind w:left="3666" w:hanging="360"/>
      </w:pPr>
    </w:lvl>
    <w:lvl w:ilvl="4" w:tplc="0C090019" w:tentative="1">
      <w:start w:val="1"/>
      <w:numFmt w:val="lowerLetter"/>
      <w:lvlText w:val="%5."/>
      <w:lvlJc w:val="left"/>
      <w:pPr>
        <w:ind w:left="4386" w:hanging="360"/>
      </w:pPr>
    </w:lvl>
    <w:lvl w:ilvl="5" w:tplc="0C09001B" w:tentative="1">
      <w:start w:val="1"/>
      <w:numFmt w:val="lowerRoman"/>
      <w:lvlText w:val="%6."/>
      <w:lvlJc w:val="right"/>
      <w:pPr>
        <w:ind w:left="5106" w:hanging="180"/>
      </w:pPr>
    </w:lvl>
    <w:lvl w:ilvl="6" w:tplc="0C09000F" w:tentative="1">
      <w:start w:val="1"/>
      <w:numFmt w:val="decimal"/>
      <w:lvlText w:val="%7."/>
      <w:lvlJc w:val="left"/>
      <w:pPr>
        <w:ind w:left="5826" w:hanging="360"/>
      </w:pPr>
    </w:lvl>
    <w:lvl w:ilvl="7" w:tplc="0C090019" w:tentative="1">
      <w:start w:val="1"/>
      <w:numFmt w:val="lowerLetter"/>
      <w:lvlText w:val="%8."/>
      <w:lvlJc w:val="left"/>
      <w:pPr>
        <w:ind w:left="6546" w:hanging="360"/>
      </w:pPr>
    </w:lvl>
    <w:lvl w:ilvl="8" w:tplc="0C09001B" w:tentative="1">
      <w:start w:val="1"/>
      <w:numFmt w:val="lowerRoman"/>
      <w:lvlText w:val="%9."/>
      <w:lvlJc w:val="right"/>
      <w:pPr>
        <w:ind w:left="7266" w:hanging="180"/>
      </w:pPr>
    </w:lvl>
  </w:abstractNum>
  <w:abstractNum w:abstractNumId="8" w15:restartNumberingAfterBreak="0">
    <w:nsid w:val="2DA42FC5"/>
    <w:multiLevelType w:val="hybridMultilevel"/>
    <w:tmpl w:val="98D249B2"/>
    <w:lvl w:ilvl="0" w:tplc="985EB8BC">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2E924211"/>
    <w:multiLevelType w:val="hybridMultilevel"/>
    <w:tmpl w:val="340E4A50"/>
    <w:lvl w:ilvl="0" w:tplc="3F52C05A">
      <w:start w:val="1"/>
      <w:numFmt w:val="lowerLetter"/>
      <w:pStyle w:val="ListBulleta"/>
      <w:lvlText w:val="%1)"/>
      <w:lvlJc w:val="left"/>
      <w:pPr>
        <w:ind w:left="1146" w:hanging="360"/>
      </w:pPr>
      <w:rPr>
        <w:color w:val="auto"/>
      </w:rPr>
    </w:lvl>
    <w:lvl w:ilvl="1" w:tplc="0C090019">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0" w15:restartNumberingAfterBreak="0">
    <w:nsid w:val="30B53DC3"/>
    <w:multiLevelType w:val="multilevel"/>
    <w:tmpl w:val="6A386F2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34AD004C"/>
    <w:multiLevelType w:val="hybridMultilevel"/>
    <w:tmpl w:val="FD86B702"/>
    <w:lvl w:ilvl="0" w:tplc="985EB8BC">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38611B7E"/>
    <w:multiLevelType w:val="hybridMultilevel"/>
    <w:tmpl w:val="816EFE50"/>
    <w:lvl w:ilvl="0" w:tplc="09FA2FD2">
      <w:start w:val="1"/>
      <w:numFmt w:val="lowerLetter"/>
      <w:lvlText w:val="%1)"/>
      <w:lvlJc w:val="left"/>
      <w:pPr>
        <w:ind w:left="927"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45EC560">
      <w:start w:val="1"/>
      <w:numFmt w:val="lowerRoman"/>
      <w:lvlText w:val="%2)"/>
      <w:lvlJc w:val="left"/>
      <w:pPr>
        <w:ind w:left="1647" w:hanging="360"/>
      </w:pPr>
      <w:rPr>
        <w:rFonts w:hint="default"/>
      </w:rPr>
    </w:lvl>
    <w:lvl w:ilvl="2" w:tplc="1EDC6928">
      <w:start w:val="1"/>
      <w:numFmt w:val="upperLetter"/>
      <w:lvlText w:val="(%3)"/>
      <w:lvlJc w:val="left"/>
      <w:pPr>
        <w:ind w:left="2367" w:hanging="180"/>
      </w:pPr>
      <w:rPr>
        <w:rFonts w:hint="default"/>
      </w:r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3" w15:restartNumberingAfterBreak="0">
    <w:nsid w:val="3EE35A0F"/>
    <w:multiLevelType w:val="hybridMultilevel"/>
    <w:tmpl w:val="72C424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1C02736"/>
    <w:multiLevelType w:val="hybridMultilevel"/>
    <w:tmpl w:val="8A706AAE"/>
    <w:lvl w:ilvl="0" w:tplc="7ED2A62C">
      <w:start w:val="4"/>
      <w:numFmt w:val="bullet"/>
      <w:lvlText w:val="-"/>
      <w:lvlJc w:val="left"/>
      <w:pPr>
        <w:ind w:left="720" w:hanging="36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058193B"/>
    <w:multiLevelType w:val="hybridMultilevel"/>
    <w:tmpl w:val="5CE08CFE"/>
    <w:lvl w:ilvl="0" w:tplc="76948FAC">
      <w:start w:val="1"/>
      <w:numFmt w:val="lowerLetter"/>
      <w:lvlText w:val="%1)"/>
      <w:lvlJc w:val="left"/>
      <w:pPr>
        <w:ind w:left="720" w:hanging="360"/>
      </w:pPr>
      <w:rPr>
        <w:rFonts w:ascii="Cambria" w:eastAsia="Cambria" w:hAnsi="Cambria" w:cs="Times New Roman"/>
        <w:color w:val="00000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F58701C"/>
    <w:multiLevelType w:val="hybridMultilevel"/>
    <w:tmpl w:val="A9081D14"/>
    <w:lvl w:ilvl="0" w:tplc="71D45692">
      <w:start w:val="3"/>
      <w:numFmt w:val="lowerLetter"/>
      <w:pStyle w:val="Numberbullet2ared"/>
      <w:lvlText w:val="%1)"/>
      <w:lvlJc w:val="left"/>
      <w:pPr>
        <w:ind w:left="928" w:hanging="360"/>
      </w:pPr>
      <w:rPr>
        <w:rFonts w:ascii="Cambria" w:hAnsi="Cambria" w:hint="default"/>
        <w:b w:val="0"/>
        <w:i w:val="0"/>
        <w:color w:val="FF0000"/>
        <w:sz w:val="22"/>
        <w:u w:color="FF0000"/>
      </w:rPr>
    </w:lvl>
    <w:lvl w:ilvl="1" w:tplc="0C090019" w:tentative="1">
      <w:start w:val="1"/>
      <w:numFmt w:val="lowerLetter"/>
      <w:lvlText w:val="%2."/>
      <w:lvlJc w:val="left"/>
      <w:pPr>
        <w:ind w:left="1854" w:hanging="360"/>
      </w:pPr>
    </w:lvl>
    <w:lvl w:ilvl="2" w:tplc="0C09001B" w:tentative="1">
      <w:start w:val="1"/>
      <w:numFmt w:val="lowerRoman"/>
      <w:lvlText w:val="%3."/>
      <w:lvlJc w:val="right"/>
      <w:pPr>
        <w:ind w:left="2574" w:hanging="180"/>
      </w:pPr>
    </w:lvl>
    <w:lvl w:ilvl="3" w:tplc="0C09000F" w:tentative="1">
      <w:start w:val="1"/>
      <w:numFmt w:val="decimal"/>
      <w:lvlText w:val="%4."/>
      <w:lvlJc w:val="left"/>
      <w:pPr>
        <w:ind w:left="3294" w:hanging="360"/>
      </w:pPr>
    </w:lvl>
    <w:lvl w:ilvl="4" w:tplc="0C090019" w:tentative="1">
      <w:start w:val="1"/>
      <w:numFmt w:val="lowerLetter"/>
      <w:lvlText w:val="%5."/>
      <w:lvlJc w:val="left"/>
      <w:pPr>
        <w:ind w:left="4014" w:hanging="360"/>
      </w:pPr>
    </w:lvl>
    <w:lvl w:ilvl="5" w:tplc="0C09001B" w:tentative="1">
      <w:start w:val="1"/>
      <w:numFmt w:val="lowerRoman"/>
      <w:lvlText w:val="%6."/>
      <w:lvlJc w:val="right"/>
      <w:pPr>
        <w:ind w:left="4734" w:hanging="180"/>
      </w:pPr>
    </w:lvl>
    <w:lvl w:ilvl="6" w:tplc="0C09000F" w:tentative="1">
      <w:start w:val="1"/>
      <w:numFmt w:val="decimal"/>
      <w:lvlText w:val="%7."/>
      <w:lvlJc w:val="left"/>
      <w:pPr>
        <w:ind w:left="5454" w:hanging="360"/>
      </w:pPr>
    </w:lvl>
    <w:lvl w:ilvl="7" w:tplc="0C090019" w:tentative="1">
      <w:start w:val="1"/>
      <w:numFmt w:val="lowerLetter"/>
      <w:lvlText w:val="%8."/>
      <w:lvlJc w:val="left"/>
      <w:pPr>
        <w:ind w:left="6174" w:hanging="360"/>
      </w:pPr>
    </w:lvl>
    <w:lvl w:ilvl="8" w:tplc="0C09001B" w:tentative="1">
      <w:start w:val="1"/>
      <w:numFmt w:val="lowerRoman"/>
      <w:lvlText w:val="%9."/>
      <w:lvlJc w:val="right"/>
      <w:pPr>
        <w:ind w:left="6894" w:hanging="180"/>
      </w:pPr>
    </w:lvl>
  </w:abstractNum>
  <w:abstractNum w:abstractNumId="17" w15:restartNumberingAfterBreak="0">
    <w:nsid w:val="610E3095"/>
    <w:multiLevelType w:val="hybridMultilevel"/>
    <w:tmpl w:val="5A0E4528"/>
    <w:lvl w:ilvl="0" w:tplc="85601B6E">
      <w:start w:val="1"/>
      <w:numFmt w:val="lowerRoman"/>
      <w:lvlText w:val="%1)"/>
      <w:lvlJc w:val="left"/>
      <w:pPr>
        <w:ind w:left="1284" w:hanging="360"/>
      </w:pPr>
      <w:rPr>
        <w:rFonts w:hint="default"/>
      </w:rPr>
    </w:lvl>
    <w:lvl w:ilvl="1" w:tplc="1EDC6928">
      <w:start w:val="1"/>
      <w:numFmt w:val="upperLetter"/>
      <w:lvlText w:val="(%2)"/>
      <w:lvlJc w:val="left"/>
      <w:pPr>
        <w:ind w:left="2364" w:hanging="720"/>
      </w:pPr>
      <w:rPr>
        <w:rFonts w:hint="default"/>
      </w:rPr>
    </w:lvl>
    <w:lvl w:ilvl="2" w:tplc="DBBEA6FC">
      <w:start w:val="1"/>
      <w:numFmt w:val="lowerLetter"/>
      <w:lvlText w:val="%3)"/>
      <w:lvlJc w:val="left"/>
      <w:pPr>
        <w:ind w:left="3414" w:hanging="870"/>
      </w:pPr>
      <w:rPr>
        <w:rFonts w:hint="default"/>
      </w:rPr>
    </w:lvl>
    <w:lvl w:ilvl="3" w:tplc="0C09000F" w:tentative="1">
      <w:start w:val="1"/>
      <w:numFmt w:val="decimal"/>
      <w:lvlText w:val="%4."/>
      <w:lvlJc w:val="left"/>
      <w:pPr>
        <w:ind w:left="3444" w:hanging="360"/>
      </w:pPr>
    </w:lvl>
    <w:lvl w:ilvl="4" w:tplc="0C090019" w:tentative="1">
      <w:start w:val="1"/>
      <w:numFmt w:val="lowerLetter"/>
      <w:lvlText w:val="%5."/>
      <w:lvlJc w:val="left"/>
      <w:pPr>
        <w:ind w:left="4164" w:hanging="360"/>
      </w:pPr>
    </w:lvl>
    <w:lvl w:ilvl="5" w:tplc="0C09001B" w:tentative="1">
      <w:start w:val="1"/>
      <w:numFmt w:val="lowerRoman"/>
      <w:lvlText w:val="%6."/>
      <w:lvlJc w:val="right"/>
      <w:pPr>
        <w:ind w:left="4884" w:hanging="180"/>
      </w:pPr>
    </w:lvl>
    <w:lvl w:ilvl="6" w:tplc="0C09000F" w:tentative="1">
      <w:start w:val="1"/>
      <w:numFmt w:val="decimal"/>
      <w:lvlText w:val="%7."/>
      <w:lvlJc w:val="left"/>
      <w:pPr>
        <w:ind w:left="5604" w:hanging="360"/>
      </w:pPr>
    </w:lvl>
    <w:lvl w:ilvl="7" w:tplc="0C090019" w:tentative="1">
      <w:start w:val="1"/>
      <w:numFmt w:val="lowerLetter"/>
      <w:lvlText w:val="%8."/>
      <w:lvlJc w:val="left"/>
      <w:pPr>
        <w:ind w:left="6324" w:hanging="360"/>
      </w:pPr>
    </w:lvl>
    <w:lvl w:ilvl="8" w:tplc="0C09001B" w:tentative="1">
      <w:start w:val="1"/>
      <w:numFmt w:val="lowerRoman"/>
      <w:lvlText w:val="%9."/>
      <w:lvlJc w:val="right"/>
      <w:pPr>
        <w:ind w:left="7044" w:hanging="180"/>
      </w:pPr>
    </w:lvl>
  </w:abstractNum>
  <w:abstractNum w:abstractNumId="18" w15:restartNumberingAfterBreak="0">
    <w:nsid w:val="659F644C"/>
    <w:multiLevelType w:val="hybridMultilevel"/>
    <w:tmpl w:val="1B56132A"/>
    <w:lvl w:ilvl="0" w:tplc="AC9C6EE6">
      <w:start w:val="1"/>
      <w:numFmt w:val="lowerRoman"/>
      <w:pStyle w:val="Numberbullet3i"/>
      <w:lvlText w:val="%1)"/>
      <w:lvlJc w:val="left"/>
      <w:pPr>
        <w:ind w:left="1497" w:hanging="360"/>
      </w:pPr>
      <w:rPr>
        <w:rFonts w:hint="default"/>
        <w:color w:val="auto"/>
      </w:rPr>
    </w:lvl>
    <w:lvl w:ilvl="1" w:tplc="0C090019" w:tentative="1">
      <w:start w:val="1"/>
      <w:numFmt w:val="lowerLetter"/>
      <w:lvlText w:val="%2."/>
      <w:lvlJc w:val="left"/>
      <w:pPr>
        <w:ind w:left="2217" w:hanging="360"/>
      </w:pPr>
    </w:lvl>
    <w:lvl w:ilvl="2" w:tplc="0C09001B" w:tentative="1">
      <w:start w:val="1"/>
      <w:numFmt w:val="lowerRoman"/>
      <w:lvlText w:val="%3."/>
      <w:lvlJc w:val="right"/>
      <w:pPr>
        <w:ind w:left="2937" w:hanging="180"/>
      </w:pPr>
    </w:lvl>
    <w:lvl w:ilvl="3" w:tplc="0C09000F" w:tentative="1">
      <w:start w:val="1"/>
      <w:numFmt w:val="decimal"/>
      <w:lvlText w:val="%4."/>
      <w:lvlJc w:val="left"/>
      <w:pPr>
        <w:ind w:left="3657" w:hanging="360"/>
      </w:pPr>
    </w:lvl>
    <w:lvl w:ilvl="4" w:tplc="0C090019" w:tentative="1">
      <w:start w:val="1"/>
      <w:numFmt w:val="lowerLetter"/>
      <w:lvlText w:val="%5."/>
      <w:lvlJc w:val="left"/>
      <w:pPr>
        <w:ind w:left="4377" w:hanging="360"/>
      </w:pPr>
    </w:lvl>
    <w:lvl w:ilvl="5" w:tplc="0C09001B" w:tentative="1">
      <w:start w:val="1"/>
      <w:numFmt w:val="lowerRoman"/>
      <w:lvlText w:val="%6."/>
      <w:lvlJc w:val="right"/>
      <w:pPr>
        <w:ind w:left="5097" w:hanging="180"/>
      </w:pPr>
    </w:lvl>
    <w:lvl w:ilvl="6" w:tplc="0C09000F" w:tentative="1">
      <w:start w:val="1"/>
      <w:numFmt w:val="decimal"/>
      <w:lvlText w:val="%7."/>
      <w:lvlJc w:val="left"/>
      <w:pPr>
        <w:ind w:left="5817" w:hanging="360"/>
      </w:pPr>
    </w:lvl>
    <w:lvl w:ilvl="7" w:tplc="0C090019" w:tentative="1">
      <w:start w:val="1"/>
      <w:numFmt w:val="lowerLetter"/>
      <w:lvlText w:val="%8."/>
      <w:lvlJc w:val="left"/>
      <w:pPr>
        <w:ind w:left="6537" w:hanging="360"/>
      </w:pPr>
    </w:lvl>
    <w:lvl w:ilvl="8" w:tplc="0C09001B" w:tentative="1">
      <w:start w:val="1"/>
      <w:numFmt w:val="lowerRoman"/>
      <w:lvlText w:val="%9."/>
      <w:lvlJc w:val="right"/>
      <w:pPr>
        <w:ind w:left="7257" w:hanging="180"/>
      </w:pPr>
    </w:lvl>
  </w:abstractNum>
  <w:abstractNum w:abstractNumId="19" w15:restartNumberingAfterBreak="0">
    <w:nsid w:val="7A2F4069"/>
    <w:multiLevelType w:val="hybridMultilevel"/>
    <w:tmpl w:val="5A12C7AE"/>
    <w:lvl w:ilvl="0" w:tplc="CB18134C">
      <w:start w:val="1"/>
      <w:numFmt w:val="lowerLetter"/>
      <w:lvlText w:val="%1)"/>
      <w:lvlJc w:val="left"/>
      <w:pPr>
        <w:ind w:left="1146" w:hanging="360"/>
      </w:pPr>
      <w:rPr>
        <w:color w:val="auto"/>
      </w:rPr>
    </w:lvl>
    <w:lvl w:ilvl="1" w:tplc="0C09001B">
      <w:start w:val="1"/>
      <w:numFmt w:val="lowerRoman"/>
      <w:lvlText w:val="%2."/>
      <w:lvlJc w:val="righ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0" w15:restartNumberingAfterBreak="0">
    <w:nsid w:val="7CCC7163"/>
    <w:multiLevelType w:val="hybridMultilevel"/>
    <w:tmpl w:val="4274EC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3"/>
  </w:num>
  <w:num w:numId="4">
    <w:abstractNumId w:val="1"/>
  </w:num>
  <w:num w:numId="5">
    <w:abstractNumId w:val="5"/>
  </w:num>
  <w:num w:numId="6">
    <w:abstractNumId w:val="15"/>
  </w:num>
  <w:num w:numId="7">
    <w:abstractNumId w:val="9"/>
  </w:num>
  <w:num w:numId="8">
    <w:abstractNumId w:val="4"/>
  </w:num>
  <w:num w:numId="9">
    <w:abstractNumId w:val="8"/>
  </w:num>
  <w:num w:numId="10">
    <w:abstractNumId w:val="2"/>
  </w:num>
  <w:num w:numId="11">
    <w:abstractNumId w:val="11"/>
  </w:num>
  <w:num w:numId="12">
    <w:abstractNumId w:val="6"/>
  </w:num>
  <w:num w:numId="13">
    <w:abstractNumId w:val="13"/>
  </w:num>
  <w:num w:numId="14">
    <w:abstractNumId w:val="4"/>
  </w:num>
  <w:num w:numId="15">
    <w:abstractNumId w:val="4"/>
    <w:lvlOverride w:ilvl="0">
      <w:startOverride w:val="1"/>
    </w:lvlOverride>
  </w:num>
  <w:num w:numId="16">
    <w:abstractNumId w:val="9"/>
    <w:lvlOverride w:ilvl="0">
      <w:startOverride w:val="1"/>
    </w:lvlOverride>
  </w:num>
  <w:num w:numId="17">
    <w:abstractNumId w:val="4"/>
    <w:lvlOverride w:ilvl="0">
      <w:startOverride w:val="1"/>
    </w:lvlOverride>
  </w:num>
  <w:num w:numId="18">
    <w:abstractNumId w:val="1"/>
    <w:lvlOverride w:ilvl="0">
      <w:lvl w:ilvl="0">
        <w:start w:val="1"/>
        <w:numFmt w:val="decimal"/>
        <w:pStyle w:val="Numberbullet0"/>
        <w:lvlText w:val="%1."/>
        <w:lvlJc w:val="left"/>
        <w:pPr>
          <w:ind w:left="785" w:hanging="425"/>
        </w:pPr>
        <w:rPr>
          <w:rFonts w:ascii="Cambria" w:hAnsi="Cambria" w:hint="default"/>
        </w:rPr>
      </w:lvl>
    </w:lvlOverride>
    <w:lvlOverride w:ilvl="1">
      <w:lvl w:ilvl="1">
        <w:start w:val="1"/>
        <w:numFmt w:val="lowerLetter"/>
        <w:pStyle w:val="Numberbullet2"/>
        <w:lvlText w:val="%2)"/>
        <w:lvlJc w:val="left"/>
        <w:pPr>
          <w:ind w:left="1211" w:hanging="426"/>
        </w:pPr>
        <w:rPr>
          <w:rFonts w:hint="default"/>
          <w:i w:val="0"/>
        </w:rPr>
      </w:lvl>
    </w:lvlOverride>
    <w:lvlOverride w:ilvl="2">
      <w:lvl w:ilvl="2">
        <w:start w:val="1"/>
        <w:numFmt w:val="lowerRoman"/>
        <w:pStyle w:val="Numberbullet3"/>
        <w:lvlText w:val="%3."/>
        <w:lvlJc w:val="left"/>
        <w:pPr>
          <w:ind w:left="1636" w:hanging="425"/>
        </w:pPr>
        <w:rPr>
          <w:rFonts w:hint="default"/>
        </w:rPr>
      </w:lvl>
    </w:lvlOverride>
    <w:lvlOverride w:ilvl="3">
      <w:lvl w:ilvl="3">
        <w:start w:val="1"/>
        <w:numFmt w:val="none"/>
        <w:lvlText w:val=""/>
        <w:lvlJc w:val="left"/>
        <w:pPr>
          <w:ind w:left="1636" w:hanging="425"/>
        </w:pPr>
        <w:rPr>
          <w:rFonts w:hint="default"/>
        </w:rPr>
      </w:lvl>
    </w:lvlOverride>
    <w:lvlOverride w:ilvl="4">
      <w:lvl w:ilvl="4">
        <w:start w:val="1"/>
        <w:numFmt w:val="none"/>
        <w:lvlText w:val=""/>
        <w:lvlJc w:val="left"/>
        <w:pPr>
          <w:ind w:left="1636" w:hanging="425"/>
        </w:pPr>
        <w:rPr>
          <w:rFonts w:hint="default"/>
        </w:rPr>
      </w:lvl>
    </w:lvlOverride>
    <w:lvlOverride w:ilvl="5">
      <w:lvl w:ilvl="5">
        <w:start w:val="1"/>
        <w:numFmt w:val="none"/>
        <w:lvlText w:val=""/>
        <w:lvlJc w:val="left"/>
        <w:pPr>
          <w:ind w:left="1636" w:hanging="425"/>
        </w:pPr>
        <w:rPr>
          <w:rFonts w:hint="default"/>
        </w:rPr>
      </w:lvl>
    </w:lvlOverride>
    <w:lvlOverride w:ilvl="6">
      <w:lvl w:ilvl="6">
        <w:start w:val="1"/>
        <w:numFmt w:val="none"/>
        <w:lvlText w:val="%7"/>
        <w:lvlJc w:val="left"/>
        <w:pPr>
          <w:ind w:left="1636" w:hanging="425"/>
        </w:pPr>
        <w:rPr>
          <w:rFonts w:hint="default"/>
        </w:rPr>
      </w:lvl>
    </w:lvlOverride>
    <w:lvlOverride w:ilvl="7">
      <w:lvl w:ilvl="7">
        <w:start w:val="1"/>
        <w:numFmt w:val="none"/>
        <w:lvlText w:val=""/>
        <w:lvlJc w:val="left"/>
        <w:pPr>
          <w:ind w:left="1636" w:hanging="425"/>
        </w:pPr>
        <w:rPr>
          <w:rFonts w:hint="default"/>
        </w:rPr>
      </w:lvl>
    </w:lvlOverride>
    <w:lvlOverride w:ilvl="8">
      <w:lvl w:ilvl="8">
        <w:start w:val="1"/>
        <w:numFmt w:val="none"/>
        <w:lvlText w:val=""/>
        <w:lvlJc w:val="left"/>
        <w:pPr>
          <w:ind w:left="1636" w:hanging="425"/>
        </w:pPr>
        <w:rPr>
          <w:rFonts w:hint="default"/>
        </w:rPr>
      </w:lvl>
    </w:lvlOverride>
  </w:num>
  <w:num w:numId="19">
    <w:abstractNumId w:val="1"/>
    <w:lvlOverride w:ilvl="0">
      <w:startOverride w:val="1"/>
      <w:lvl w:ilvl="0">
        <w:start w:val="1"/>
        <w:numFmt w:val="decimal"/>
        <w:pStyle w:val="Numberbullet0"/>
        <w:lvlText w:val="%1."/>
        <w:lvlJc w:val="left"/>
        <w:pPr>
          <w:ind w:left="785" w:hanging="425"/>
        </w:pPr>
        <w:rPr>
          <w:rFonts w:ascii="Cambria" w:hAnsi="Cambria" w:hint="default"/>
        </w:rPr>
      </w:lvl>
    </w:lvlOverride>
    <w:lvlOverride w:ilvl="1">
      <w:startOverride w:val="1"/>
      <w:lvl w:ilvl="1">
        <w:start w:val="1"/>
        <w:numFmt w:val="lowerLetter"/>
        <w:pStyle w:val="Numberbullet2"/>
        <w:lvlText w:val="%2)"/>
        <w:lvlJc w:val="left"/>
        <w:pPr>
          <w:ind w:left="1211" w:hanging="426"/>
        </w:pPr>
        <w:rPr>
          <w:rFonts w:hint="default"/>
        </w:rPr>
      </w:lvl>
    </w:lvlOverride>
    <w:lvlOverride w:ilvl="2">
      <w:startOverride w:val="1"/>
      <w:lvl w:ilvl="2">
        <w:start w:val="1"/>
        <w:numFmt w:val="lowerRoman"/>
        <w:pStyle w:val="Numberbullet3"/>
        <w:lvlText w:val="%3."/>
        <w:lvlJc w:val="left"/>
        <w:pPr>
          <w:ind w:left="1636" w:hanging="425"/>
        </w:pPr>
        <w:rPr>
          <w:rFonts w:hint="default"/>
        </w:rPr>
      </w:lvl>
    </w:lvlOverride>
    <w:lvlOverride w:ilvl="3">
      <w:startOverride w:val="1"/>
      <w:lvl w:ilvl="3">
        <w:start w:val="1"/>
        <w:numFmt w:val="none"/>
        <w:lvlText w:val=""/>
        <w:lvlJc w:val="left"/>
        <w:pPr>
          <w:ind w:left="1636" w:hanging="425"/>
        </w:pPr>
        <w:rPr>
          <w:rFonts w:hint="default"/>
        </w:rPr>
      </w:lvl>
    </w:lvlOverride>
    <w:lvlOverride w:ilvl="4">
      <w:startOverride w:val="1"/>
      <w:lvl w:ilvl="4">
        <w:start w:val="1"/>
        <w:numFmt w:val="none"/>
        <w:lvlText w:val=""/>
        <w:lvlJc w:val="left"/>
        <w:pPr>
          <w:ind w:left="1636" w:hanging="425"/>
        </w:pPr>
        <w:rPr>
          <w:rFonts w:hint="default"/>
        </w:rPr>
      </w:lvl>
    </w:lvlOverride>
    <w:lvlOverride w:ilvl="5">
      <w:startOverride w:val="1"/>
      <w:lvl w:ilvl="5">
        <w:start w:val="1"/>
        <w:numFmt w:val="none"/>
        <w:lvlText w:val=""/>
        <w:lvlJc w:val="left"/>
        <w:pPr>
          <w:ind w:left="1636" w:hanging="425"/>
        </w:pPr>
        <w:rPr>
          <w:rFonts w:hint="default"/>
        </w:rPr>
      </w:lvl>
    </w:lvlOverride>
    <w:lvlOverride w:ilvl="6">
      <w:startOverride w:val="1"/>
      <w:lvl w:ilvl="6">
        <w:start w:val="1"/>
        <w:numFmt w:val="none"/>
        <w:lvlText w:val="%7"/>
        <w:lvlJc w:val="left"/>
        <w:pPr>
          <w:ind w:left="1636" w:hanging="425"/>
        </w:pPr>
        <w:rPr>
          <w:rFonts w:hint="default"/>
        </w:rPr>
      </w:lvl>
    </w:lvlOverride>
    <w:lvlOverride w:ilvl="7">
      <w:startOverride w:val="1"/>
      <w:lvl w:ilvl="7">
        <w:start w:val="1"/>
        <w:numFmt w:val="none"/>
        <w:lvlText w:val=""/>
        <w:lvlJc w:val="left"/>
        <w:pPr>
          <w:ind w:left="1636" w:hanging="425"/>
        </w:pPr>
        <w:rPr>
          <w:rFonts w:hint="default"/>
        </w:rPr>
      </w:lvl>
    </w:lvlOverride>
    <w:lvlOverride w:ilvl="8">
      <w:startOverride w:val="1"/>
      <w:lvl w:ilvl="8">
        <w:start w:val="1"/>
        <w:numFmt w:val="none"/>
        <w:lvlText w:val=""/>
        <w:lvlJc w:val="left"/>
        <w:pPr>
          <w:ind w:left="1636" w:hanging="425"/>
        </w:pPr>
        <w:rPr>
          <w:rFonts w:hint="default"/>
        </w:rPr>
      </w:lvl>
    </w:lvlOverride>
  </w:num>
  <w:num w:numId="20">
    <w:abstractNumId w:val="1"/>
    <w:lvlOverride w:ilvl="0">
      <w:startOverride w:val="1"/>
      <w:lvl w:ilvl="0">
        <w:start w:val="1"/>
        <w:numFmt w:val="decimal"/>
        <w:pStyle w:val="Numberbullet0"/>
        <w:lvlText w:val="%1."/>
        <w:lvlJc w:val="left"/>
        <w:pPr>
          <w:ind w:left="785" w:hanging="425"/>
        </w:pPr>
        <w:rPr>
          <w:rFonts w:ascii="Cambria" w:hAnsi="Cambria" w:hint="default"/>
        </w:rPr>
      </w:lvl>
    </w:lvlOverride>
    <w:lvlOverride w:ilvl="1">
      <w:startOverride w:val="1"/>
      <w:lvl w:ilvl="1">
        <w:start w:val="1"/>
        <w:numFmt w:val="lowerLetter"/>
        <w:pStyle w:val="Numberbullet2"/>
        <w:lvlText w:val="%2)"/>
        <w:lvlJc w:val="left"/>
        <w:pPr>
          <w:ind w:left="1211" w:hanging="426"/>
        </w:pPr>
        <w:rPr>
          <w:rFonts w:hint="default"/>
        </w:rPr>
      </w:lvl>
    </w:lvlOverride>
    <w:lvlOverride w:ilvl="2">
      <w:startOverride w:val="1"/>
      <w:lvl w:ilvl="2">
        <w:start w:val="1"/>
        <w:numFmt w:val="lowerRoman"/>
        <w:pStyle w:val="Numberbullet3"/>
        <w:lvlText w:val="%3."/>
        <w:lvlJc w:val="left"/>
        <w:pPr>
          <w:ind w:left="1636" w:hanging="425"/>
        </w:pPr>
        <w:rPr>
          <w:rFonts w:hint="default"/>
        </w:rPr>
      </w:lvl>
    </w:lvlOverride>
    <w:lvlOverride w:ilvl="3">
      <w:startOverride w:val="1"/>
      <w:lvl w:ilvl="3">
        <w:start w:val="1"/>
        <w:numFmt w:val="none"/>
        <w:lvlText w:val=""/>
        <w:lvlJc w:val="left"/>
        <w:pPr>
          <w:ind w:left="1636" w:hanging="425"/>
        </w:pPr>
        <w:rPr>
          <w:rFonts w:hint="default"/>
        </w:rPr>
      </w:lvl>
    </w:lvlOverride>
    <w:lvlOverride w:ilvl="4">
      <w:startOverride w:val="1"/>
      <w:lvl w:ilvl="4">
        <w:start w:val="1"/>
        <w:numFmt w:val="none"/>
        <w:lvlText w:val=""/>
        <w:lvlJc w:val="left"/>
        <w:pPr>
          <w:ind w:left="1636" w:hanging="425"/>
        </w:pPr>
        <w:rPr>
          <w:rFonts w:hint="default"/>
        </w:rPr>
      </w:lvl>
    </w:lvlOverride>
    <w:lvlOverride w:ilvl="5">
      <w:startOverride w:val="1"/>
      <w:lvl w:ilvl="5">
        <w:start w:val="1"/>
        <w:numFmt w:val="none"/>
        <w:lvlText w:val=""/>
        <w:lvlJc w:val="left"/>
        <w:pPr>
          <w:ind w:left="1636" w:hanging="425"/>
        </w:pPr>
        <w:rPr>
          <w:rFonts w:hint="default"/>
        </w:rPr>
      </w:lvl>
    </w:lvlOverride>
    <w:lvlOverride w:ilvl="6">
      <w:startOverride w:val="1"/>
      <w:lvl w:ilvl="6">
        <w:start w:val="1"/>
        <w:numFmt w:val="none"/>
        <w:lvlText w:val="%7"/>
        <w:lvlJc w:val="left"/>
        <w:pPr>
          <w:ind w:left="1636" w:hanging="425"/>
        </w:pPr>
        <w:rPr>
          <w:rFonts w:hint="default"/>
        </w:rPr>
      </w:lvl>
    </w:lvlOverride>
    <w:lvlOverride w:ilvl="7">
      <w:startOverride w:val="1"/>
      <w:lvl w:ilvl="7">
        <w:start w:val="1"/>
        <w:numFmt w:val="none"/>
        <w:lvlText w:val=""/>
        <w:lvlJc w:val="left"/>
        <w:pPr>
          <w:ind w:left="1636" w:hanging="425"/>
        </w:pPr>
        <w:rPr>
          <w:rFonts w:hint="default"/>
        </w:rPr>
      </w:lvl>
    </w:lvlOverride>
    <w:lvlOverride w:ilvl="8">
      <w:startOverride w:val="1"/>
      <w:lvl w:ilvl="8">
        <w:start w:val="1"/>
        <w:numFmt w:val="none"/>
        <w:lvlText w:val=""/>
        <w:lvlJc w:val="left"/>
        <w:pPr>
          <w:ind w:left="1636" w:hanging="425"/>
        </w:pPr>
        <w:rPr>
          <w:rFonts w:hint="default"/>
        </w:rPr>
      </w:lvl>
    </w:lvlOverride>
  </w:num>
  <w:num w:numId="21">
    <w:abstractNumId w:val="12"/>
  </w:num>
  <w:num w:numId="22">
    <w:abstractNumId w:val="17"/>
  </w:num>
  <w:num w:numId="23">
    <w:abstractNumId w:val="12"/>
    <w:lvlOverride w:ilvl="0">
      <w:startOverride w:val="1"/>
    </w:lvlOverride>
  </w:num>
  <w:num w:numId="24">
    <w:abstractNumId w:val="17"/>
    <w:lvlOverride w:ilvl="0">
      <w:startOverride w:val="1"/>
    </w:lvlOverride>
  </w:num>
  <w:num w:numId="25">
    <w:abstractNumId w:val="10"/>
  </w:num>
  <w:num w:numId="26">
    <w:abstractNumId w:val="20"/>
  </w:num>
  <w:num w:numId="27">
    <w:abstractNumId w:val="14"/>
  </w:num>
  <w:num w:numId="28">
    <w:abstractNumId w:val="19"/>
  </w:num>
  <w:num w:numId="29">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3"/>
  </w:num>
  <w:num w:numId="32">
    <w:abstractNumId w:val="3"/>
  </w:num>
  <w:num w:numId="33">
    <w:abstractNumId w:val="7"/>
  </w:num>
  <w:num w:numId="34">
    <w:abstractNumId w:val="16"/>
  </w:num>
  <w:num w:numId="35">
    <w:abstractNumId w:val="6"/>
    <w:lvlOverride w:ilvl="0">
      <w:startOverride w:val="1"/>
    </w:lvlOverride>
  </w:num>
  <w:num w:numId="36">
    <w:abstractNumId w:val="18"/>
  </w:num>
  <w:num w:numId="37">
    <w:abstractNumId w:val="7"/>
    <w:lvlOverride w:ilvl="0">
      <w:startOverride w:val="1"/>
    </w:lvlOverride>
  </w:num>
  <w:num w:numId="38">
    <w:abstractNumId w:val="18"/>
    <w:lvlOverride w:ilvl="0">
      <w:startOverride w:val="1"/>
    </w:lvlOverride>
  </w:num>
  <w:num w:numId="39">
    <w:abstractNumId w:val="6"/>
    <w:lvlOverride w:ilvl="0">
      <w:startOverride w:val="2"/>
    </w:lvlOverride>
  </w:num>
  <w:num w:numId="40">
    <w:abstractNumId w:val="6"/>
    <w:lvlOverride w:ilvl="0">
      <w:startOverride w:val="1"/>
    </w:lvlOverride>
  </w:num>
  <w:num w:numId="41">
    <w:abstractNumId w:val="6"/>
    <w:lvlOverride w:ilvl="0">
      <w:startOverride w:val="1"/>
    </w:lvlOverride>
  </w:num>
  <w:num w:numId="42">
    <w:abstractNumId w:val="16"/>
    <w:lvlOverride w:ilvl="0">
      <w:startOverride w:val="2"/>
    </w:lvlOverride>
  </w:num>
  <w:num w:numId="43">
    <w:abstractNumId w:val="7"/>
    <w:lvlOverride w:ilvl="0">
      <w:startOverride w:val="1"/>
    </w:lvlOverride>
  </w:num>
  <w:num w:numId="44">
    <w:abstractNumId w:val="18"/>
    <w:lvlOverride w:ilvl="0">
      <w:startOverride w:val="1"/>
    </w:lvlOverride>
  </w:num>
  <w:num w:numId="45">
    <w:abstractNumId w:val="6"/>
    <w:lvlOverride w:ilvl="0">
      <w:startOverride w:val="1"/>
    </w:lvlOverride>
  </w:num>
  <w:num w:numId="46">
    <w:abstractNumId w:val="16"/>
    <w:lvlOverride w:ilvl="0">
      <w:startOverride w:val="1"/>
    </w:lvlOverride>
  </w:num>
  <w:num w:numId="47">
    <w:abstractNumId w:val="7"/>
    <w:lvlOverride w:ilvl="0">
      <w:startOverride w:val="1"/>
    </w:lvlOverride>
  </w:num>
  <w:num w:numId="48">
    <w:abstractNumId w:val="16"/>
    <w:lvlOverride w:ilvl="0">
      <w:startOverride w:val="1"/>
    </w:lvlOverride>
  </w:num>
  <w:num w:numId="49">
    <w:abstractNumId w:val="16"/>
    <w:lvlOverride w:ilvl="0">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3"/>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6348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648"/>
    <w:rsid w:val="00001B6C"/>
    <w:rsid w:val="00001B7D"/>
    <w:rsid w:val="00002031"/>
    <w:rsid w:val="00002FCF"/>
    <w:rsid w:val="00003EE4"/>
    <w:rsid w:val="000042DA"/>
    <w:rsid w:val="00004734"/>
    <w:rsid w:val="00006AE7"/>
    <w:rsid w:val="00006B22"/>
    <w:rsid w:val="00010CDD"/>
    <w:rsid w:val="00011EA4"/>
    <w:rsid w:val="0001276A"/>
    <w:rsid w:val="00012D9E"/>
    <w:rsid w:val="000131F7"/>
    <w:rsid w:val="00022EBD"/>
    <w:rsid w:val="00023C6E"/>
    <w:rsid w:val="000246AE"/>
    <w:rsid w:val="00025266"/>
    <w:rsid w:val="00025C67"/>
    <w:rsid w:val="000335FC"/>
    <w:rsid w:val="00033F14"/>
    <w:rsid w:val="00041297"/>
    <w:rsid w:val="00042573"/>
    <w:rsid w:val="000465B5"/>
    <w:rsid w:val="0005081A"/>
    <w:rsid w:val="00052322"/>
    <w:rsid w:val="00052E1D"/>
    <w:rsid w:val="00053C6C"/>
    <w:rsid w:val="0005559E"/>
    <w:rsid w:val="00056156"/>
    <w:rsid w:val="00057FFC"/>
    <w:rsid w:val="00061765"/>
    <w:rsid w:val="0006427F"/>
    <w:rsid w:val="000647B9"/>
    <w:rsid w:val="00065585"/>
    <w:rsid w:val="00065D1A"/>
    <w:rsid w:val="00070EF7"/>
    <w:rsid w:val="00072D02"/>
    <w:rsid w:val="00074EBD"/>
    <w:rsid w:val="000755F8"/>
    <w:rsid w:val="00077548"/>
    <w:rsid w:val="00077775"/>
    <w:rsid w:val="0008417D"/>
    <w:rsid w:val="00084E4B"/>
    <w:rsid w:val="00085DD5"/>
    <w:rsid w:val="000860B4"/>
    <w:rsid w:val="000869F6"/>
    <w:rsid w:val="00087ED4"/>
    <w:rsid w:val="00090471"/>
    <w:rsid w:val="00091D4A"/>
    <w:rsid w:val="00094077"/>
    <w:rsid w:val="000A56BE"/>
    <w:rsid w:val="000B0413"/>
    <w:rsid w:val="000B0759"/>
    <w:rsid w:val="000B3532"/>
    <w:rsid w:val="000B3A75"/>
    <w:rsid w:val="000B4278"/>
    <w:rsid w:val="000B56DE"/>
    <w:rsid w:val="000B7084"/>
    <w:rsid w:val="000C031C"/>
    <w:rsid w:val="000C31F2"/>
    <w:rsid w:val="000C5F0B"/>
    <w:rsid w:val="000C6B99"/>
    <w:rsid w:val="000D0ABB"/>
    <w:rsid w:val="000D114D"/>
    <w:rsid w:val="000D2B49"/>
    <w:rsid w:val="000D391B"/>
    <w:rsid w:val="000D3D6D"/>
    <w:rsid w:val="000D3F15"/>
    <w:rsid w:val="000D45F7"/>
    <w:rsid w:val="000D4FC7"/>
    <w:rsid w:val="000E2B01"/>
    <w:rsid w:val="000F04C4"/>
    <w:rsid w:val="000F3A5D"/>
    <w:rsid w:val="000F4869"/>
    <w:rsid w:val="000F5176"/>
    <w:rsid w:val="000F5B42"/>
    <w:rsid w:val="000F67B7"/>
    <w:rsid w:val="000F6E6F"/>
    <w:rsid w:val="001003F2"/>
    <w:rsid w:val="0010140B"/>
    <w:rsid w:val="00101762"/>
    <w:rsid w:val="001032B5"/>
    <w:rsid w:val="0010601F"/>
    <w:rsid w:val="00106BF9"/>
    <w:rsid w:val="00110AE1"/>
    <w:rsid w:val="00110EA5"/>
    <w:rsid w:val="00112440"/>
    <w:rsid w:val="00115240"/>
    <w:rsid w:val="001157F7"/>
    <w:rsid w:val="00116990"/>
    <w:rsid w:val="001169AC"/>
    <w:rsid w:val="00117127"/>
    <w:rsid w:val="001221CC"/>
    <w:rsid w:val="00123BB2"/>
    <w:rsid w:val="00125091"/>
    <w:rsid w:val="00125148"/>
    <w:rsid w:val="00125318"/>
    <w:rsid w:val="0012669D"/>
    <w:rsid w:val="001268BE"/>
    <w:rsid w:val="001305A2"/>
    <w:rsid w:val="00130EB7"/>
    <w:rsid w:val="001327EC"/>
    <w:rsid w:val="00133238"/>
    <w:rsid w:val="00140FE3"/>
    <w:rsid w:val="001411C5"/>
    <w:rsid w:val="0014197B"/>
    <w:rsid w:val="00143B58"/>
    <w:rsid w:val="001447CD"/>
    <w:rsid w:val="0014715B"/>
    <w:rsid w:val="00150A66"/>
    <w:rsid w:val="001516B1"/>
    <w:rsid w:val="001525B4"/>
    <w:rsid w:val="001528F1"/>
    <w:rsid w:val="00155651"/>
    <w:rsid w:val="0015579D"/>
    <w:rsid w:val="00156316"/>
    <w:rsid w:val="00156847"/>
    <w:rsid w:val="00157601"/>
    <w:rsid w:val="001578C5"/>
    <w:rsid w:val="00161226"/>
    <w:rsid w:val="00165389"/>
    <w:rsid w:val="001653CE"/>
    <w:rsid w:val="00171E21"/>
    <w:rsid w:val="00173C6A"/>
    <w:rsid w:val="001751D7"/>
    <w:rsid w:val="0017654E"/>
    <w:rsid w:val="0017693F"/>
    <w:rsid w:val="00176CB0"/>
    <w:rsid w:val="0018056A"/>
    <w:rsid w:val="0018110E"/>
    <w:rsid w:val="00181684"/>
    <w:rsid w:val="00182A4A"/>
    <w:rsid w:val="001843C6"/>
    <w:rsid w:val="001850E0"/>
    <w:rsid w:val="00185CE9"/>
    <w:rsid w:val="00186081"/>
    <w:rsid w:val="00186517"/>
    <w:rsid w:val="0018678A"/>
    <w:rsid w:val="00191B7E"/>
    <w:rsid w:val="00193183"/>
    <w:rsid w:val="0019714A"/>
    <w:rsid w:val="001A1AC4"/>
    <w:rsid w:val="001A3925"/>
    <w:rsid w:val="001A525F"/>
    <w:rsid w:val="001A5FFE"/>
    <w:rsid w:val="001A6F39"/>
    <w:rsid w:val="001B09F9"/>
    <w:rsid w:val="001B0F8B"/>
    <w:rsid w:val="001B5CE3"/>
    <w:rsid w:val="001B6448"/>
    <w:rsid w:val="001C0D8C"/>
    <w:rsid w:val="001C2A9E"/>
    <w:rsid w:val="001C2D91"/>
    <w:rsid w:val="001C5266"/>
    <w:rsid w:val="001C7F0A"/>
    <w:rsid w:val="001E018F"/>
    <w:rsid w:val="001E07CF"/>
    <w:rsid w:val="001E4D76"/>
    <w:rsid w:val="001E51C6"/>
    <w:rsid w:val="001E5555"/>
    <w:rsid w:val="001E59F1"/>
    <w:rsid w:val="001F04D7"/>
    <w:rsid w:val="001F2A73"/>
    <w:rsid w:val="001F32B5"/>
    <w:rsid w:val="001F32EC"/>
    <w:rsid w:val="001F49EB"/>
    <w:rsid w:val="001F6CBA"/>
    <w:rsid w:val="002001F1"/>
    <w:rsid w:val="0020028B"/>
    <w:rsid w:val="00200A9C"/>
    <w:rsid w:val="00201D4E"/>
    <w:rsid w:val="00202086"/>
    <w:rsid w:val="00204DF0"/>
    <w:rsid w:val="00205DA5"/>
    <w:rsid w:val="0020793B"/>
    <w:rsid w:val="002101CA"/>
    <w:rsid w:val="002136C5"/>
    <w:rsid w:val="00213E37"/>
    <w:rsid w:val="002147E0"/>
    <w:rsid w:val="00215004"/>
    <w:rsid w:val="00217630"/>
    <w:rsid w:val="00220B8A"/>
    <w:rsid w:val="002226DD"/>
    <w:rsid w:val="002257F3"/>
    <w:rsid w:val="0023267B"/>
    <w:rsid w:val="00233456"/>
    <w:rsid w:val="002339A5"/>
    <w:rsid w:val="00236140"/>
    <w:rsid w:val="00237587"/>
    <w:rsid w:val="00237C3B"/>
    <w:rsid w:val="00240781"/>
    <w:rsid w:val="00242707"/>
    <w:rsid w:val="002445F4"/>
    <w:rsid w:val="002458D4"/>
    <w:rsid w:val="00245CF3"/>
    <w:rsid w:val="00247223"/>
    <w:rsid w:val="0025120A"/>
    <w:rsid w:val="0025660C"/>
    <w:rsid w:val="00257138"/>
    <w:rsid w:val="00257848"/>
    <w:rsid w:val="00260A3E"/>
    <w:rsid w:val="00263B1E"/>
    <w:rsid w:val="00265883"/>
    <w:rsid w:val="00267925"/>
    <w:rsid w:val="0027084A"/>
    <w:rsid w:val="00275590"/>
    <w:rsid w:val="00276B1F"/>
    <w:rsid w:val="00286434"/>
    <w:rsid w:val="00286C59"/>
    <w:rsid w:val="00291A53"/>
    <w:rsid w:val="002929C2"/>
    <w:rsid w:val="00292BB3"/>
    <w:rsid w:val="002942D1"/>
    <w:rsid w:val="00296C11"/>
    <w:rsid w:val="002A0556"/>
    <w:rsid w:val="002A09EF"/>
    <w:rsid w:val="002A3961"/>
    <w:rsid w:val="002A5857"/>
    <w:rsid w:val="002A5F56"/>
    <w:rsid w:val="002A6E38"/>
    <w:rsid w:val="002B0E0E"/>
    <w:rsid w:val="002B0F83"/>
    <w:rsid w:val="002B1410"/>
    <w:rsid w:val="002B1638"/>
    <w:rsid w:val="002B2D0D"/>
    <w:rsid w:val="002B3304"/>
    <w:rsid w:val="002C07AF"/>
    <w:rsid w:val="002C1418"/>
    <w:rsid w:val="002C383A"/>
    <w:rsid w:val="002C43C3"/>
    <w:rsid w:val="002C4840"/>
    <w:rsid w:val="002C48BF"/>
    <w:rsid w:val="002C6D34"/>
    <w:rsid w:val="002D058B"/>
    <w:rsid w:val="002D0B05"/>
    <w:rsid w:val="002D1D70"/>
    <w:rsid w:val="002D42B8"/>
    <w:rsid w:val="002E4C9A"/>
    <w:rsid w:val="002E5C31"/>
    <w:rsid w:val="002E69BE"/>
    <w:rsid w:val="002F0824"/>
    <w:rsid w:val="002F11F8"/>
    <w:rsid w:val="002F1A27"/>
    <w:rsid w:val="002F3F56"/>
    <w:rsid w:val="002F44B5"/>
    <w:rsid w:val="002F4A73"/>
    <w:rsid w:val="002F53E0"/>
    <w:rsid w:val="00302504"/>
    <w:rsid w:val="00303CBB"/>
    <w:rsid w:val="0030508C"/>
    <w:rsid w:val="003055BD"/>
    <w:rsid w:val="00307EBD"/>
    <w:rsid w:val="00311AC0"/>
    <w:rsid w:val="00314331"/>
    <w:rsid w:val="00316F8D"/>
    <w:rsid w:val="00317318"/>
    <w:rsid w:val="003208A0"/>
    <w:rsid w:val="003233F2"/>
    <w:rsid w:val="003251D0"/>
    <w:rsid w:val="003261C8"/>
    <w:rsid w:val="003262D3"/>
    <w:rsid w:val="00327161"/>
    <w:rsid w:val="00327B11"/>
    <w:rsid w:val="00330A42"/>
    <w:rsid w:val="00331DBB"/>
    <w:rsid w:val="00334439"/>
    <w:rsid w:val="00335BEC"/>
    <w:rsid w:val="00336317"/>
    <w:rsid w:val="003367E4"/>
    <w:rsid w:val="00343736"/>
    <w:rsid w:val="00346D7C"/>
    <w:rsid w:val="003521E8"/>
    <w:rsid w:val="00353AC2"/>
    <w:rsid w:val="003555D7"/>
    <w:rsid w:val="00356F04"/>
    <w:rsid w:val="00360648"/>
    <w:rsid w:val="00360DFD"/>
    <w:rsid w:val="00362170"/>
    <w:rsid w:val="00362375"/>
    <w:rsid w:val="00362473"/>
    <w:rsid w:val="00362F16"/>
    <w:rsid w:val="003662D5"/>
    <w:rsid w:val="003664BF"/>
    <w:rsid w:val="0036794C"/>
    <w:rsid w:val="00367B12"/>
    <w:rsid w:val="003700FA"/>
    <w:rsid w:val="0037036E"/>
    <w:rsid w:val="0037215C"/>
    <w:rsid w:val="003728F3"/>
    <w:rsid w:val="00373D31"/>
    <w:rsid w:val="0038110B"/>
    <w:rsid w:val="003832FF"/>
    <w:rsid w:val="00386152"/>
    <w:rsid w:val="00390900"/>
    <w:rsid w:val="003964E2"/>
    <w:rsid w:val="003A0110"/>
    <w:rsid w:val="003A0B29"/>
    <w:rsid w:val="003A0B68"/>
    <w:rsid w:val="003A169D"/>
    <w:rsid w:val="003A19BA"/>
    <w:rsid w:val="003A48A2"/>
    <w:rsid w:val="003A4A4C"/>
    <w:rsid w:val="003A53D3"/>
    <w:rsid w:val="003B1FAD"/>
    <w:rsid w:val="003B3562"/>
    <w:rsid w:val="003B3601"/>
    <w:rsid w:val="003B5815"/>
    <w:rsid w:val="003B629A"/>
    <w:rsid w:val="003B6E20"/>
    <w:rsid w:val="003B7E39"/>
    <w:rsid w:val="003C04B2"/>
    <w:rsid w:val="003C1BBB"/>
    <w:rsid w:val="003C58DC"/>
    <w:rsid w:val="003C62FC"/>
    <w:rsid w:val="003C7673"/>
    <w:rsid w:val="003D1DEC"/>
    <w:rsid w:val="003D26B4"/>
    <w:rsid w:val="003D4393"/>
    <w:rsid w:val="003D497F"/>
    <w:rsid w:val="003D5D86"/>
    <w:rsid w:val="003D711B"/>
    <w:rsid w:val="003E0289"/>
    <w:rsid w:val="003E074C"/>
    <w:rsid w:val="003E0E6A"/>
    <w:rsid w:val="003E1945"/>
    <w:rsid w:val="003E2889"/>
    <w:rsid w:val="003E297A"/>
    <w:rsid w:val="003E3208"/>
    <w:rsid w:val="003E33D4"/>
    <w:rsid w:val="003E3916"/>
    <w:rsid w:val="003E3CA3"/>
    <w:rsid w:val="003E7390"/>
    <w:rsid w:val="003F0B04"/>
    <w:rsid w:val="003F0D67"/>
    <w:rsid w:val="003F3092"/>
    <w:rsid w:val="003F3095"/>
    <w:rsid w:val="003F48DD"/>
    <w:rsid w:val="003F6304"/>
    <w:rsid w:val="0040134E"/>
    <w:rsid w:val="00401CB6"/>
    <w:rsid w:val="00402EF6"/>
    <w:rsid w:val="00403D3E"/>
    <w:rsid w:val="00404AD5"/>
    <w:rsid w:val="00404EC0"/>
    <w:rsid w:val="0040598C"/>
    <w:rsid w:val="0040726C"/>
    <w:rsid w:val="004072A5"/>
    <w:rsid w:val="00411710"/>
    <w:rsid w:val="0041244F"/>
    <w:rsid w:val="00412E40"/>
    <w:rsid w:val="00414BA2"/>
    <w:rsid w:val="00414DA2"/>
    <w:rsid w:val="00416D1D"/>
    <w:rsid w:val="00421B7E"/>
    <w:rsid w:val="00423F10"/>
    <w:rsid w:val="004247DA"/>
    <w:rsid w:val="00425805"/>
    <w:rsid w:val="004302D7"/>
    <w:rsid w:val="0043074F"/>
    <w:rsid w:val="004308EB"/>
    <w:rsid w:val="00430AAA"/>
    <w:rsid w:val="00432CDD"/>
    <w:rsid w:val="00433211"/>
    <w:rsid w:val="004342F7"/>
    <w:rsid w:val="00435B13"/>
    <w:rsid w:val="00436C41"/>
    <w:rsid w:val="004407B2"/>
    <w:rsid w:val="004409E0"/>
    <w:rsid w:val="00440A2D"/>
    <w:rsid w:val="004422DF"/>
    <w:rsid w:val="004432FB"/>
    <w:rsid w:val="004446E3"/>
    <w:rsid w:val="004454B4"/>
    <w:rsid w:val="0044589C"/>
    <w:rsid w:val="0044722D"/>
    <w:rsid w:val="0044785B"/>
    <w:rsid w:val="00453D8A"/>
    <w:rsid w:val="00453FB0"/>
    <w:rsid w:val="00455ECA"/>
    <w:rsid w:val="004564A7"/>
    <w:rsid w:val="00457FE3"/>
    <w:rsid w:val="004617BF"/>
    <w:rsid w:val="004618AB"/>
    <w:rsid w:val="00461999"/>
    <w:rsid w:val="00464DFB"/>
    <w:rsid w:val="0046516E"/>
    <w:rsid w:val="004658BC"/>
    <w:rsid w:val="004675CF"/>
    <w:rsid w:val="004707F9"/>
    <w:rsid w:val="00470EC2"/>
    <w:rsid w:val="00472080"/>
    <w:rsid w:val="00474264"/>
    <w:rsid w:val="00484BAB"/>
    <w:rsid w:val="00485BFD"/>
    <w:rsid w:val="004862EB"/>
    <w:rsid w:val="00487716"/>
    <w:rsid w:val="004923FF"/>
    <w:rsid w:val="00492844"/>
    <w:rsid w:val="00494E60"/>
    <w:rsid w:val="004961A2"/>
    <w:rsid w:val="004970FD"/>
    <w:rsid w:val="004A2400"/>
    <w:rsid w:val="004A547C"/>
    <w:rsid w:val="004A6F05"/>
    <w:rsid w:val="004B21D7"/>
    <w:rsid w:val="004B2BD3"/>
    <w:rsid w:val="004B545E"/>
    <w:rsid w:val="004B6292"/>
    <w:rsid w:val="004B6701"/>
    <w:rsid w:val="004B6FB7"/>
    <w:rsid w:val="004B7B76"/>
    <w:rsid w:val="004C0070"/>
    <w:rsid w:val="004C241F"/>
    <w:rsid w:val="004C3BFD"/>
    <w:rsid w:val="004C4791"/>
    <w:rsid w:val="004C60B4"/>
    <w:rsid w:val="004C6EAD"/>
    <w:rsid w:val="004D51A6"/>
    <w:rsid w:val="004D6739"/>
    <w:rsid w:val="004D722C"/>
    <w:rsid w:val="004E0A89"/>
    <w:rsid w:val="004E1704"/>
    <w:rsid w:val="004E5523"/>
    <w:rsid w:val="004E5EF1"/>
    <w:rsid w:val="004F067A"/>
    <w:rsid w:val="004F0F38"/>
    <w:rsid w:val="004F39E0"/>
    <w:rsid w:val="004F4580"/>
    <w:rsid w:val="00501179"/>
    <w:rsid w:val="00501921"/>
    <w:rsid w:val="00501CBA"/>
    <w:rsid w:val="005042C1"/>
    <w:rsid w:val="005164BD"/>
    <w:rsid w:val="005168C9"/>
    <w:rsid w:val="00516E40"/>
    <w:rsid w:val="00520F6C"/>
    <w:rsid w:val="00521BEF"/>
    <w:rsid w:val="005220E5"/>
    <w:rsid w:val="005221E1"/>
    <w:rsid w:val="005274DA"/>
    <w:rsid w:val="005302F5"/>
    <w:rsid w:val="00530354"/>
    <w:rsid w:val="00533970"/>
    <w:rsid w:val="00534871"/>
    <w:rsid w:val="0053538C"/>
    <w:rsid w:val="0053781A"/>
    <w:rsid w:val="00541352"/>
    <w:rsid w:val="0054163A"/>
    <w:rsid w:val="005434C6"/>
    <w:rsid w:val="00543B39"/>
    <w:rsid w:val="005453ED"/>
    <w:rsid w:val="00550096"/>
    <w:rsid w:val="00551F1D"/>
    <w:rsid w:val="00552CEF"/>
    <w:rsid w:val="00552DB2"/>
    <w:rsid w:val="005540F9"/>
    <w:rsid w:val="00555921"/>
    <w:rsid w:val="00555926"/>
    <w:rsid w:val="005576C9"/>
    <w:rsid w:val="00557FF9"/>
    <w:rsid w:val="0056013A"/>
    <w:rsid w:val="00560BAF"/>
    <w:rsid w:val="00561B1B"/>
    <w:rsid w:val="005729B0"/>
    <w:rsid w:val="00575A6D"/>
    <w:rsid w:val="00575FC8"/>
    <w:rsid w:val="00576378"/>
    <w:rsid w:val="00577E38"/>
    <w:rsid w:val="005824DB"/>
    <w:rsid w:val="005833E8"/>
    <w:rsid w:val="00585069"/>
    <w:rsid w:val="00585322"/>
    <w:rsid w:val="0058561F"/>
    <w:rsid w:val="00591975"/>
    <w:rsid w:val="00593AD1"/>
    <w:rsid w:val="005955CF"/>
    <w:rsid w:val="00597B50"/>
    <w:rsid w:val="005A1131"/>
    <w:rsid w:val="005A3F2F"/>
    <w:rsid w:val="005A5916"/>
    <w:rsid w:val="005A5A5E"/>
    <w:rsid w:val="005A6119"/>
    <w:rsid w:val="005A6611"/>
    <w:rsid w:val="005B1DEF"/>
    <w:rsid w:val="005C03F2"/>
    <w:rsid w:val="005C0499"/>
    <w:rsid w:val="005C07EC"/>
    <w:rsid w:val="005C1D90"/>
    <w:rsid w:val="005C22EA"/>
    <w:rsid w:val="005C2732"/>
    <w:rsid w:val="005C2FB2"/>
    <w:rsid w:val="005C3414"/>
    <w:rsid w:val="005C5570"/>
    <w:rsid w:val="005C5B5A"/>
    <w:rsid w:val="005C6864"/>
    <w:rsid w:val="005C77F8"/>
    <w:rsid w:val="005C79A4"/>
    <w:rsid w:val="005D060C"/>
    <w:rsid w:val="005D16DC"/>
    <w:rsid w:val="005D3ADC"/>
    <w:rsid w:val="005D4E06"/>
    <w:rsid w:val="005D5442"/>
    <w:rsid w:val="005E1A89"/>
    <w:rsid w:val="005E3393"/>
    <w:rsid w:val="005E3AF3"/>
    <w:rsid w:val="005E5885"/>
    <w:rsid w:val="005E6395"/>
    <w:rsid w:val="005E7F9F"/>
    <w:rsid w:val="005F1BDF"/>
    <w:rsid w:val="005F1F06"/>
    <w:rsid w:val="005F1F1A"/>
    <w:rsid w:val="005F3EA0"/>
    <w:rsid w:val="005F46E8"/>
    <w:rsid w:val="005F593D"/>
    <w:rsid w:val="005F6D54"/>
    <w:rsid w:val="00601594"/>
    <w:rsid w:val="00601FD3"/>
    <w:rsid w:val="0060581D"/>
    <w:rsid w:val="00612666"/>
    <w:rsid w:val="00612B30"/>
    <w:rsid w:val="006131AB"/>
    <w:rsid w:val="00613211"/>
    <w:rsid w:val="006132E8"/>
    <w:rsid w:val="006151D5"/>
    <w:rsid w:val="006210F2"/>
    <w:rsid w:val="0062266E"/>
    <w:rsid w:val="00623676"/>
    <w:rsid w:val="006238C7"/>
    <w:rsid w:val="006240FF"/>
    <w:rsid w:val="00632D4C"/>
    <w:rsid w:val="006352D8"/>
    <w:rsid w:val="00637563"/>
    <w:rsid w:val="006400CB"/>
    <w:rsid w:val="00640458"/>
    <w:rsid w:val="00640FC3"/>
    <w:rsid w:val="00642020"/>
    <w:rsid w:val="00642452"/>
    <w:rsid w:val="00650434"/>
    <w:rsid w:val="00651316"/>
    <w:rsid w:val="00652CEE"/>
    <w:rsid w:val="0065337B"/>
    <w:rsid w:val="0065419D"/>
    <w:rsid w:val="006569C7"/>
    <w:rsid w:val="006604D8"/>
    <w:rsid w:val="00664A5B"/>
    <w:rsid w:val="006664CB"/>
    <w:rsid w:val="00667942"/>
    <w:rsid w:val="006733CD"/>
    <w:rsid w:val="00674BA2"/>
    <w:rsid w:val="00677050"/>
    <w:rsid w:val="006804A8"/>
    <w:rsid w:val="00680C08"/>
    <w:rsid w:val="0068543D"/>
    <w:rsid w:val="00686C19"/>
    <w:rsid w:val="0068741A"/>
    <w:rsid w:val="006913DE"/>
    <w:rsid w:val="00691DBE"/>
    <w:rsid w:val="006931B1"/>
    <w:rsid w:val="006A15C0"/>
    <w:rsid w:val="006A1DC0"/>
    <w:rsid w:val="006A64F4"/>
    <w:rsid w:val="006A748B"/>
    <w:rsid w:val="006A7FD9"/>
    <w:rsid w:val="006B1BCF"/>
    <w:rsid w:val="006B3B74"/>
    <w:rsid w:val="006B3CF2"/>
    <w:rsid w:val="006C0A51"/>
    <w:rsid w:val="006C1A83"/>
    <w:rsid w:val="006C1AD9"/>
    <w:rsid w:val="006C1F3B"/>
    <w:rsid w:val="006C3E2A"/>
    <w:rsid w:val="006C405C"/>
    <w:rsid w:val="006C450D"/>
    <w:rsid w:val="006C57B7"/>
    <w:rsid w:val="006C642F"/>
    <w:rsid w:val="006D03E5"/>
    <w:rsid w:val="006D08C1"/>
    <w:rsid w:val="006D5D3E"/>
    <w:rsid w:val="006D6A23"/>
    <w:rsid w:val="006E08B3"/>
    <w:rsid w:val="006E5071"/>
    <w:rsid w:val="006E5916"/>
    <w:rsid w:val="006F01FE"/>
    <w:rsid w:val="006F1A67"/>
    <w:rsid w:val="006F572E"/>
    <w:rsid w:val="006F65A9"/>
    <w:rsid w:val="007046D6"/>
    <w:rsid w:val="00705DB0"/>
    <w:rsid w:val="00706AFE"/>
    <w:rsid w:val="007105C8"/>
    <w:rsid w:val="00711BAE"/>
    <w:rsid w:val="007127A7"/>
    <w:rsid w:val="00716B7F"/>
    <w:rsid w:val="00717545"/>
    <w:rsid w:val="00717973"/>
    <w:rsid w:val="00717B5D"/>
    <w:rsid w:val="007249F8"/>
    <w:rsid w:val="0072616E"/>
    <w:rsid w:val="0073205A"/>
    <w:rsid w:val="00732B06"/>
    <w:rsid w:val="0073345D"/>
    <w:rsid w:val="0073360D"/>
    <w:rsid w:val="00736B85"/>
    <w:rsid w:val="00736EFA"/>
    <w:rsid w:val="00737627"/>
    <w:rsid w:val="0074253D"/>
    <w:rsid w:val="0074429B"/>
    <w:rsid w:val="007477F8"/>
    <w:rsid w:val="00750368"/>
    <w:rsid w:val="00752544"/>
    <w:rsid w:val="00755907"/>
    <w:rsid w:val="007560C5"/>
    <w:rsid w:val="007577F3"/>
    <w:rsid w:val="00760004"/>
    <w:rsid w:val="007615BC"/>
    <w:rsid w:val="00761AA7"/>
    <w:rsid w:val="00762F05"/>
    <w:rsid w:val="007637F0"/>
    <w:rsid w:val="00763BB7"/>
    <w:rsid w:val="007652FF"/>
    <w:rsid w:val="00765C7B"/>
    <w:rsid w:val="00766729"/>
    <w:rsid w:val="00766888"/>
    <w:rsid w:val="00771329"/>
    <w:rsid w:val="00773EF7"/>
    <w:rsid w:val="007748DC"/>
    <w:rsid w:val="00774E1D"/>
    <w:rsid w:val="0077675A"/>
    <w:rsid w:val="00780355"/>
    <w:rsid w:val="00780680"/>
    <w:rsid w:val="00782870"/>
    <w:rsid w:val="00783116"/>
    <w:rsid w:val="00784124"/>
    <w:rsid w:val="00785721"/>
    <w:rsid w:val="007907BF"/>
    <w:rsid w:val="00793A59"/>
    <w:rsid w:val="00793D99"/>
    <w:rsid w:val="00794519"/>
    <w:rsid w:val="007954D4"/>
    <w:rsid w:val="00797C67"/>
    <w:rsid w:val="007A2162"/>
    <w:rsid w:val="007A2B0B"/>
    <w:rsid w:val="007A4B9D"/>
    <w:rsid w:val="007A58C5"/>
    <w:rsid w:val="007B0412"/>
    <w:rsid w:val="007B0A15"/>
    <w:rsid w:val="007B0ECA"/>
    <w:rsid w:val="007B1ED1"/>
    <w:rsid w:val="007B7F38"/>
    <w:rsid w:val="007C01D0"/>
    <w:rsid w:val="007C0F3D"/>
    <w:rsid w:val="007C187A"/>
    <w:rsid w:val="007C1AF7"/>
    <w:rsid w:val="007C5904"/>
    <w:rsid w:val="007D2CFA"/>
    <w:rsid w:val="007D31C7"/>
    <w:rsid w:val="007D404B"/>
    <w:rsid w:val="007D4385"/>
    <w:rsid w:val="007D61E6"/>
    <w:rsid w:val="007D7B54"/>
    <w:rsid w:val="007E29E1"/>
    <w:rsid w:val="007E3943"/>
    <w:rsid w:val="007E3E3E"/>
    <w:rsid w:val="007E4DCE"/>
    <w:rsid w:val="007E662C"/>
    <w:rsid w:val="007F6B0B"/>
    <w:rsid w:val="007F6E1C"/>
    <w:rsid w:val="008030CD"/>
    <w:rsid w:val="00804357"/>
    <w:rsid w:val="0080449A"/>
    <w:rsid w:val="0081061A"/>
    <w:rsid w:val="00811949"/>
    <w:rsid w:val="00812029"/>
    <w:rsid w:val="008122AC"/>
    <w:rsid w:val="00813E46"/>
    <w:rsid w:val="00817471"/>
    <w:rsid w:val="00821776"/>
    <w:rsid w:val="00822DC7"/>
    <w:rsid w:val="00823AFD"/>
    <w:rsid w:val="0082519C"/>
    <w:rsid w:val="00826007"/>
    <w:rsid w:val="0082653E"/>
    <w:rsid w:val="008266E2"/>
    <w:rsid w:val="00826B51"/>
    <w:rsid w:val="0083209C"/>
    <w:rsid w:val="008321F5"/>
    <w:rsid w:val="00832369"/>
    <w:rsid w:val="00832486"/>
    <w:rsid w:val="0083329F"/>
    <w:rsid w:val="00834660"/>
    <w:rsid w:val="008357ED"/>
    <w:rsid w:val="00836BC2"/>
    <w:rsid w:val="008378FA"/>
    <w:rsid w:val="0084109D"/>
    <w:rsid w:val="00841C82"/>
    <w:rsid w:val="008423DC"/>
    <w:rsid w:val="00846E23"/>
    <w:rsid w:val="00846F16"/>
    <w:rsid w:val="0085641B"/>
    <w:rsid w:val="00857136"/>
    <w:rsid w:val="008617CA"/>
    <w:rsid w:val="008702B3"/>
    <w:rsid w:val="008707DF"/>
    <w:rsid w:val="00871D12"/>
    <w:rsid w:val="00871E49"/>
    <w:rsid w:val="00872807"/>
    <w:rsid w:val="00876EAC"/>
    <w:rsid w:val="00877DED"/>
    <w:rsid w:val="00881EA0"/>
    <w:rsid w:val="00883778"/>
    <w:rsid w:val="0088496A"/>
    <w:rsid w:val="00885586"/>
    <w:rsid w:val="0088678E"/>
    <w:rsid w:val="00886943"/>
    <w:rsid w:val="00887228"/>
    <w:rsid w:val="00891E2C"/>
    <w:rsid w:val="0089392A"/>
    <w:rsid w:val="00893C5D"/>
    <w:rsid w:val="00895CA6"/>
    <w:rsid w:val="00896018"/>
    <w:rsid w:val="00896E1F"/>
    <w:rsid w:val="008A00FE"/>
    <w:rsid w:val="008A0677"/>
    <w:rsid w:val="008A2B9D"/>
    <w:rsid w:val="008A2D18"/>
    <w:rsid w:val="008A5E0B"/>
    <w:rsid w:val="008A69D0"/>
    <w:rsid w:val="008A6A7F"/>
    <w:rsid w:val="008A6B96"/>
    <w:rsid w:val="008A6D59"/>
    <w:rsid w:val="008B0015"/>
    <w:rsid w:val="008B0F10"/>
    <w:rsid w:val="008B2506"/>
    <w:rsid w:val="008B28DF"/>
    <w:rsid w:val="008B2B27"/>
    <w:rsid w:val="008B4B03"/>
    <w:rsid w:val="008B596F"/>
    <w:rsid w:val="008B7C43"/>
    <w:rsid w:val="008C0C69"/>
    <w:rsid w:val="008C159F"/>
    <w:rsid w:val="008C1623"/>
    <w:rsid w:val="008C3AA7"/>
    <w:rsid w:val="008C4BBC"/>
    <w:rsid w:val="008C51A9"/>
    <w:rsid w:val="008C5225"/>
    <w:rsid w:val="008C7E46"/>
    <w:rsid w:val="008D0620"/>
    <w:rsid w:val="008D1287"/>
    <w:rsid w:val="008D3724"/>
    <w:rsid w:val="008D3FCE"/>
    <w:rsid w:val="008D67F7"/>
    <w:rsid w:val="008D7BD4"/>
    <w:rsid w:val="008E382A"/>
    <w:rsid w:val="008E58F3"/>
    <w:rsid w:val="008E6463"/>
    <w:rsid w:val="008F1CCC"/>
    <w:rsid w:val="008F2967"/>
    <w:rsid w:val="008F2AD4"/>
    <w:rsid w:val="008F4A62"/>
    <w:rsid w:val="008F57B4"/>
    <w:rsid w:val="009014E5"/>
    <w:rsid w:val="00903A51"/>
    <w:rsid w:val="00910319"/>
    <w:rsid w:val="0091165D"/>
    <w:rsid w:val="009143CC"/>
    <w:rsid w:val="00915525"/>
    <w:rsid w:val="00917AB4"/>
    <w:rsid w:val="00920330"/>
    <w:rsid w:val="00920D1F"/>
    <w:rsid w:val="00920FF4"/>
    <w:rsid w:val="009219D7"/>
    <w:rsid w:val="00922D53"/>
    <w:rsid w:val="00923B70"/>
    <w:rsid w:val="0092465F"/>
    <w:rsid w:val="009248E3"/>
    <w:rsid w:val="00924FB8"/>
    <w:rsid w:val="00925333"/>
    <w:rsid w:val="0092600B"/>
    <w:rsid w:val="00926BE5"/>
    <w:rsid w:val="00926F1C"/>
    <w:rsid w:val="00930237"/>
    <w:rsid w:val="009310B4"/>
    <w:rsid w:val="00931DD7"/>
    <w:rsid w:val="00932421"/>
    <w:rsid w:val="00936C62"/>
    <w:rsid w:val="00936EE3"/>
    <w:rsid w:val="0093749E"/>
    <w:rsid w:val="00937F32"/>
    <w:rsid w:val="00942751"/>
    <w:rsid w:val="00943A3F"/>
    <w:rsid w:val="0094496D"/>
    <w:rsid w:val="00944B14"/>
    <w:rsid w:val="00945041"/>
    <w:rsid w:val="009468C6"/>
    <w:rsid w:val="00951677"/>
    <w:rsid w:val="00951EA7"/>
    <w:rsid w:val="00952C3D"/>
    <w:rsid w:val="00953EA8"/>
    <w:rsid w:val="00954C9F"/>
    <w:rsid w:val="00955A46"/>
    <w:rsid w:val="009628B7"/>
    <w:rsid w:val="00963C08"/>
    <w:rsid w:val="00963C0D"/>
    <w:rsid w:val="009655A9"/>
    <w:rsid w:val="00966970"/>
    <w:rsid w:val="00967C5A"/>
    <w:rsid w:val="00970367"/>
    <w:rsid w:val="009741DD"/>
    <w:rsid w:val="009752DD"/>
    <w:rsid w:val="00975379"/>
    <w:rsid w:val="00981AC6"/>
    <w:rsid w:val="00981D0A"/>
    <w:rsid w:val="00982A8C"/>
    <w:rsid w:val="009835B6"/>
    <w:rsid w:val="00984CAD"/>
    <w:rsid w:val="00987124"/>
    <w:rsid w:val="00987D65"/>
    <w:rsid w:val="009927F3"/>
    <w:rsid w:val="00993AB0"/>
    <w:rsid w:val="009A190E"/>
    <w:rsid w:val="009A4825"/>
    <w:rsid w:val="009A4CED"/>
    <w:rsid w:val="009A51C8"/>
    <w:rsid w:val="009A5E6C"/>
    <w:rsid w:val="009B00CC"/>
    <w:rsid w:val="009B1D12"/>
    <w:rsid w:val="009B20A0"/>
    <w:rsid w:val="009B25B2"/>
    <w:rsid w:val="009B2B3C"/>
    <w:rsid w:val="009B3475"/>
    <w:rsid w:val="009B416B"/>
    <w:rsid w:val="009B6348"/>
    <w:rsid w:val="009C4BD5"/>
    <w:rsid w:val="009C4E8C"/>
    <w:rsid w:val="009C5596"/>
    <w:rsid w:val="009C5F04"/>
    <w:rsid w:val="009C683C"/>
    <w:rsid w:val="009D0801"/>
    <w:rsid w:val="009D0A6D"/>
    <w:rsid w:val="009D0DC8"/>
    <w:rsid w:val="009D123B"/>
    <w:rsid w:val="009D2144"/>
    <w:rsid w:val="009D2E04"/>
    <w:rsid w:val="009D6CD8"/>
    <w:rsid w:val="009D6FF4"/>
    <w:rsid w:val="009D7B77"/>
    <w:rsid w:val="009E072C"/>
    <w:rsid w:val="009E0BB0"/>
    <w:rsid w:val="009E37F8"/>
    <w:rsid w:val="009E3E1A"/>
    <w:rsid w:val="009E3FBB"/>
    <w:rsid w:val="009E7F2C"/>
    <w:rsid w:val="009F018D"/>
    <w:rsid w:val="009F01FD"/>
    <w:rsid w:val="009F207B"/>
    <w:rsid w:val="009F20E4"/>
    <w:rsid w:val="009F33D6"/>
    <w:rsid w:val="009F730F"/>
    <w:rsid w:val="00A0156E"/>
    <w:rsid w:val="00A06489"/>
    <w:rsid w:val="00A10C68"/>
    <w:rsid w:val="00A1235B"/>
    <w:rsid w:val="00A14DF7"/>
    <w:rsid w:val="00A22E19"/>
    <w:rsid w:val="00A2455F"/>
    <w:rsid w:val="00A27014"/>
    <w:rsid w:val="00A27B10"/>
    <w:rsid w:val="00A30ED5"/>
    <w:rsid w:val="00A31294"/>
    <w:rsid w:val="00A31959"/>
    <w:rsid w:val="00A3246D"/>
    <w:rsid w:val="00A32C51"/>
    <w:rsid w:val="00A342E4"/>
    <w:rsid w:val="00A36E8D"/>
    <w:rsid w:val="00A36FA7"/>
    <w:rsid w:val="00A40944"/>
    <w:rsid w:val="00A418DE"/>
    <w:rsid w:val="00A41B8F"/>
    <w:rsid w:val="00A41E88"/>
    <w:rsid w:val="00A43356"/>
    <w:rsid w:val="00A46795"/>
    <w:rsid w:val="00A46A96"/>
    <w:rsid w:val="00A47209"/>
    <w:rsid w:val="00A475B7"/>
    <w:rsid w:val="00A47AF7"/>
    <w:rsid w:val="00A47C3E"/>
    <w:rsid w:val="00A50226"/>
    <w:rsid w:val="00A50992"/>
    <w:rsid w:val="00A5241F"/>
    <w:rsid w:val="00A60BAD"/>
    <w:rsid w:val="00A615A9"/>
    <w:rsid w:val="00A6253E"/>
    <w:rsid w:val="00A64EEA"/>
    <w:rsid w:val="00A73339"/>
    <w:rsid w:val="00A737A1"/>
    <w:rsid w:val="00A73A8D"/>
    <w:rsid w:val="00A77C79"/>
    <w:rsid w:val="00A8051A"/>
    <w:rsid w:val="00A806AE"/>
    <w:rsid w:val="00A84344"/>
    <w:rsid w:val="00A84A50"/>
    <w:rsid w:val="00A8571D"/>
    <w:rsid w:val="00A87334"/>
    <w:rsid w:val="00A878D5"/>
    <w:rsid w:val="00A92AF1"/>
    <w:rsid w:val="00A92E6D"/>
    <w:rsid w:val="00A934D5"/>
    <w:rsid w:val="00A957C4"/>
    <w:rsid w:val="00AA34FC"/>
    <w:rsid w:val="00AB10C4"/>
    <w:rsid w:val="00AB201E"/>
    <w:rsid w:val="00AB3F92"/>
    <w:rsid w:val="00AB42C4"/>
    <w:rsid w:val="00AB581C"/>
    <w:rsid w:val="00AB5C96"/>
    <w:rsid w:val="00AC0E49"/>
    <w:rsid w:val="00AC262B"/>
    <w:rsid w:val="00AC2B40"/>
    <w:rsid w:val="00AC2BB2"/>
    <w:rsid w:val="00AC2C3C"/>
    <w:rsid w:val="00AC3BD9"/>
    <w:rsid w:val="00AC44FA"/>
    <w:rsid w:val="00AC4956"/>
    <w:rsid w:val="00AC54D1"/>
    <w:rsid w:val="00AC6EBE"/>
    <w:rsid w:val="00AD040D"/>
    <w:rsid w:val="00AD4249"/>
    <w:rsid w:val="00AD4722"/>
    <w:rsid w:val="00AD58C6"/>
    <w:rsid w:val="00AD5E74"/>
    <w:rsid w:val="00AD7E78"/>
    <w:rsid w:val="00AE2270"/>
    <w:rsid w:val="00AE4205"/>
    <w:rsid w:val="00AE6155"/>
    <w:rsid w:val="00AE65EB"/>
    <w:rsid w:val="00AE670F"/>
    <w:rsid w:val="00AF1D94"/>
    <w:rsid w:val="00AF27F0"/>
    <w:rsid w:val="00AF316D"/>
    <w:rsid w:val="00AF3A8C"/>
    <w:rsid w:val="00AF60C5"/>
    <w:rsid w:val="00B009C6"/>
    <w:rsid w:val="00B01548"/>
    <w:rsid w:val="00B138BE"/>
    <w:rsid w:val="00B14D0E"/>
    <w:rsid w:val="00B15AE2"/>
    <w:rsid w:val="00B15C1C"/>
    <w:rsid w:val="00B17A0B"/>
    <w:rsid w:val="00B17CB3"/>
    <w:rsid w:val="00B21D29"/>
    <w:rsid w:val="00B21FC5"/>
    <w:rsid w:val="00B25034"/>
    <w:rsid w:val="00B26750"/>
    <w:rsid w:val="00B27B29"/>
    <w:rsid w:val="00B27EA3"/>
    <w:rsid w:val="00B309BF"/>
    <w:rsid w:val="00B325C7"/>
    <w:rsid w:val="00B33863"/>
    <w:rsid w:val="00B34F51"/>
    <w:rsid w:val="00B37D17"/>
    <w:rsid w:val="00B4175E"/>
    <w:rsid w:val="00B4454F"/>
    <w:rsid w:val="00B451FF"/>
    <w:rsid w:val="00B50EE7"/>
    <w:rsid w:val="00B510E1"/>
    <w:rsid w:val="00B54C25"/>
    <w:rsid w:val="00B55AA0"/>
    <w:rsid w:val="00B55E71"/>
    <w:rsid w:val="00B55EEE"/>
    <w:rsid w:val="00B569FE"/>
    <w:rsid w:val="00B57049"/>
    <w:rsid w:val="00B60801"/>
    <w:rsid w:val="00B617EA"/>
    <w:rsid w:val="00B63485"/>
    <w:rsid w:val="00B6409A"/>
    <w:rsid w:val="00B65D04"/>
    <w:rsid w:val="00B6677B"/>
    <w:rsid w:val="00B71B18"/>
    <w:rsid w:val="00B71E8D"/>
    <w:rsid w:val="00B7359B"/>
    <w:rsid w:val="00B7672F"/>
    <w:rsid w:val="00B76B91"/>
    <w:rsid w:val="00B83FC7"/>
    <w:rsid w:val="00B8473E"/>
    <w:rsid w:val="00B85A71"/>
    <w:rsid w:val="00B86F81"/>
    <w:rsid w:val="00B929EB"/>
    <w:rsid w:val="00B94027"/>
    <w:rsid w:val="00B94276"/>
    <w:rsid w:val="00B94618"/>
    <w:rsid w:val="00B94F6F"/>
    <w:rsid w:val="00B978A9"/>
    <w:rsid w:val="00BA1636"/>
    <w:rsid w:val="00BB0BD8"/>
    <w:rsid w:val="00BB1AC9"/>
    <w:rsid w:val="00BB538A"/>
    <w:rsid w:val="00BB54A5"/>
    <w:rsid w:val="00BB6044"/>
    <w:rsid w:val="00BB6331"/>
    <w:rsid w:val="00BB6DFC"/>
    <w:rsid w:val="00BB7F56"/>
    <w:rsid w:val="00BC18C9"/>
    <w:rsid w:val="00BC1CAB"/>
    <w:rsid w:val="00BC2009"/>
    <w:rsid w:val="00BC2C99"/>
    <w:rsid w:val="00BC4571"/>
    <w:rsid w:val="00BC50DB"/>
    <w:rsid w:val="00BC526C"/>
    <w:rsid w:val="00BC5AC3"/>
    <w:rsid w:val="00BC5AE6"/>
    <w:rsid w:val="00BC622A"/>
    <w:rsid w:val="00BC6BCD"/>
    <w:rsid w:val="00BD3D29"/>
    <w:rsid w:val="00BD48EC"/>
    <w:rsid w:val="00BE0A78"/>
    <w:rsid w:val="00BE5153"/>
    <w:rsid w:val="00BE79F0"/>
    <w:rsid w:val="00BF046D"/>
    <w:rsid w:val="00BF1EEF"/>
    <w:rsid w:val="00BF46E4"/>
    <w:rsid w:val="00BF5D04"/>
    <w:rsid w:val="00BF6D2F"/>
    <w:rsid w:val="00C007D3"/>
    <w:rsid w:val="00C019E6"/>
    <w:rsid w:val="00C0357E"/>
    <w:rsid w:val="00C1305B"/>
    <w:rsid w:val="00C13563"/>
    <w:rsid w:val="00C16CCE"/>
    <w:rsid w:val="00C17E00"/>
    <w:rsid w:val="00C24035"/>
    <w:rsid w:val="00C244D2"/>
    <w:rsid w:val="00C25FC2"/>
    <w:rsid w:val="00C31D44"/>
    <w:rsid w:val="00C31E2C"/>
    <w:rsid w:val="00C32A88"/>
    <w:rsid w:val="00C33FDE"/>
    <w:rsid w:val="00C3534F"/>
    <w:rsid w:val="00C3536F"/>
    <w:rsid w:val="00C356CF"/>
    <w:rsid w:val="00C364D5"/>
    <w:rsid w:val="00C36810"/>
    <w:rsid w:val="00C404A6"/>
    <w:rsid w:val="00C40A36"/>
    <w:rsid w:val="00C42F94"/>
    <w:rsid w:val="00C434EA"/>
    <w:rsid w:val="00C44419"/>
    <w:rsid w:val="00C45E7B"/>
    <w:rsid w:val="00C471B1"/>
    <w:rsid w:val="00C53DC7"/>
    <w:rsid w:val="00C54222"/>
    <w:rsid w:val="00C55437"/>
    <w:rsid w:val="00C55C1A"/>
    <w:rsid w:val="00C56CA1"/>
    <w:rsid w:val="00C6204C"/>
    <w:rsid w:val="00C6316B"/>
    <w:rsid w:val="00C634A9"/>
    <w:rsid w:val="00C6376F"/>
    <w:rsid w:val="00C651B1"/>
    <w:rsid w:val="00C669EE"/>
    <w:rsid w:val="00C73315"/>
    <w:rsid w:val="00C741A3"/>
    <w:rsid w:val="00C74DD6"/>
    <w:rsid w:val="00C76E42"/>
    <w:rsid w:val="00C772FF"/>
    <w:rsid w:val="00C801AF"/>
    <w:rsid w:val="00C80256"/>
    <w:rsid w:val="00C81696"/>
    <w:rsid w:val="00C87CA5"/>
    <w:rsid w:val="00C93228"/>
    <w:rsid w:val="00C94239"/>
    <w:rsid w:val="00C95D76"/>
    <w:rsid w:val="00C962CB"/>
    <w:rsid w:val="00C97023"/>
    <w:rsid w:val="00CA0030"/>
    <w:rsid w:val="00CA068B"/>
    <w:rsid w:val="00CA0F79"/>
    <w:rsid w:val="00CA3A38"/>
    <w:rsid w:val="00CA62E0"/>
    <w:rsid w:val="00CA7F35"/>
    <w:rsid w:val="00CB1520"/>
    <w:rsid w:val="00CB27FE"/>
    <w:rsid w:val="00CB6BC0"/>
    <w:rsid w:val="00CC1B7C"/>
    <w:rsid w:val="00CC314F"/>
    <w:rsid w:val="00CC3739"/>
    <w:rsid w:val="00CC412B"/>
    <w:rsid w:val="00CC46C2"/>
    <w:rsid w:val="00CC46EF"/>
    <w:rsid w:val="00CC50DE"/>
    <w:rsid w:val="00CC727F"/>
    <w:rsid w:val="00CD04CF"/>
    <w:rsid w:val="00CD6A19"/>
    <w:rsid w:val="00CD6EB8"/>
    <w:rsid w:val="00CE0E0D"/>
    <w:rsid w:val="00CE2F99"/>
    <w:rsid w:val="00CE45BE"/>
    <w:rsid w:val="00CE5BB0"/>
    <w:rsid w:val="00CE5E4B"/>
    <w:rsid w:val="00CE73D7"/>
    <w:rsid w:val="00CF15C3"/>
    <w:rsid w:val="00CF2B6F"/>
    <w:rsid w:val="00CF3BC4"/>
    <w:rsid w:val="00CF6340"/>
    <w:rsid w:val="00D017ED"/>
    <w:rsid w:val="00D02AD9"/>
    <w:rsid w:val="00D07496"/>
    <w:rsid w:val="00D07BFC"/>
    <w:rsid w:val="00D12EB5"/>
    <w:rsid w:val="00D135F8"/>
    <w:rsid w:val="00D153B1"/>
    <w:rsid w:val="00D1617A"/>
    <w:rsid w:val="00D21386"/>
    <w:rsid w:val="00D224FE"/>
    <w:rsid w:val="00D229BA"/>
    <w:rsid w:val="00D24C02"/>
    <w:rsid w:val="00D27993"/>
    <w:rsid w:val="00D31402"/>
    <w:rsid w:val="00D32FF0"/>
    <w:rsid w:val="00D346B0"/>
    <w:rsid w:val="00D357AD"/>
    <w:rsid w:val="00D40DA1"/>
    <w:rsid w:val="00D416A2"/>
    <w:rsid w:val="00D41CBF"/>
    <w:rsid w:val="00D426E0"/>
    <w:rsid w:val="00D44039"/>
    <w:rsid w:val="00D46E89"/>
    <w:rsid w:val="00D47415"/>
    <w:rsid w:val="00D50371"/>
    <w:rsid w:val="00D51CD8"/>
    <w:rsid w:val="00D55A5F"/>
    <w:rsid w:val="00D624D6"/>
    <w:rsid w:val="00D63084"/>
    <w:rsid w:val="00D63F91"/>
    <w:rsid w:val="00D6493E"/>
    <w:rsid w:val="00D71E24"/>
    <w:rsid w:val="00D72783"/>
    <w:rsid w:val="00D73C01"/>
    <w:rsid w:val="00D74637"/>
    <w:rsid w:val="00D763E2"/>
    <w:rsid w:val="00D80DD3"/>
    <w:rsid w:val="00D81C76"/>
    <w:rsid w:val="00D82F24"/>
    <w:rsid w:val="00D834EE"/>
    <w:rsid w:val="00D84A25"/>
    <w:rsid w:val="00D855AE"/>
    <w:rsid w:val="00D86506"/>
    <w:rsid w:val="00D86C12"/>
    <w:rsid w:val="00D87F31"/>
    <w:rsid w:val="00D92D6A"/>
    <w:rsid w:val="00D95513"/>
    <w:rsid w:val="00D97D00"/>
    <w:rsid w:val="00DA1124"/>
    <w:rsid w:val="00DA24C7"/>
    <w:rsid w:val="00DA2BE7"/>
    <w:rsid w:val="00DA3BFE"/>
    <w:rsid w:val="00DA46E5"/>
    <w:rsid w:val="00DA4BBE"/>
    <w:rsid w:val="00DA5B9B"/>
    <w:rsid w:val="00DA7A0C"/>
    <w:rsid w:val="00DA7C40"/>
    <w:rsid w:val="00DB2B24"/>
    <w:rsid w:val="00DB33CF"/>
    <w:rsid w:val="00DB34F5"/>
    <w:rsid w:val="00DC38FE"/>
    <w:rsid w:val="00DC55B7"/>
    <w:rsid w:val="00DC5C68"/>
    <w:rsid w:val="00DC7746"/>
    <w:rsid w:val="00DC79D6"/>
    <w:rsid w:val="00DC7EE4"/>
    <w:rsid w:val="00DD046E"/>
    <w:rsid w:val="00DD406D"/>
    <w:rsid w:val="00DD75A3"/>
    <w:rsid w:val="00DE02AE"/>
    <w:rsid w:val="00DE5486"/>
    <w:rsid w:val="00DE6A0C"/>
    <w:rsid w:val="00DE6C04"/>
    <w:rsid w:val="00DF1D7F"/>
    <w:rsid w:val="00DF2F50"/>
    <w:rsid w:val="00E02F98"/>
    <w:rsid w:val="00E02FB4"/>
    <w:rsid w:val="00E0423C"/>
    <w:rsid w:val="00E05B04"/>
    <w:rsid w:val="00E06A1B"/>
    <w:rsid w:val="00E10ABB"/>
    <w:rsid w:val="00E1165A"/>
    <w:rsid w:val="00E1340C"/>
    <w:rsid w:val="00E2020C"/>
    <w:rsid w:val="00E20571"/>
    <w:rsid w:val="00E207D9"/>
    <w:rsid w:val="00E21651"/>
    <w:rsid w:val="00E235F7"/>
    <w:rsid w:val="00E239D4"/>
    <w:rsid w:val="00E26EA6"/>
    <w:rsid w:val="00E313A8"/>
    <w:rsid w:val="00E359E0"/>
    <w:rsid w:val="00E36AA7"/>
    <w:rsid w:val="00E37144"/>
    <w:rsid w:val="00E40B22"/>
    <w:rsid w:val="00E40BD2"/>
    <w:rsid w:val="00E41AD2"/>
    <w:rsid w:val="00E42068"/>
    <w:rsid w:val="00E4307C"/>
    <w:rsid w:val="00E4588F"/>
    <w:rsid w:val="00E46DA3"/>
    <w:rsid w:val="00E476C8"/>
    <w:rsid w:val="00E566F6"/>
    <w:rsid w:val="00E57B71"/>
    <w:rsid w:val="00E61812"/>
    <w:rsid w:val="00E61ECF"/>
    <w:rsid w:val="00E64A11"/>
    <w:rsid w:val="00E72FC4"/>
    <w:rsid w:val="00E73192"/>
    <w:rsid w:val="00E74363"/>
    <w:rsid w:val="00E81BC9"/>
    <w:rsid w:val="00E85439"/>
    <w:rsid w:val="00E85D5D"/>
    <w:rsid w:val="00E860E0"/>
    <w:rsid w:val="00E86502"/>
    <w:rsid w:val="00E86A1F"/>
    <w:rsid w:val="00E8778C"/>
    <w:rsid w:val="00E9008E"/>
    <w:rsid w:val="00E93C46"/>
    <w:rsid w:val="00E9579B"/>
    <w:rsid w:val="00E97275"/>
    <w:rsid w:val="00EA0A0F"/>
    <w:rsid w:val="00EA16DE"/>
    <w:rsid w:val="00EA406B"/>
    <w:rsid w:val="00EA5008"/>
    <w:rsid w:val="00EA5776"/>
    <w:rsid w:val="00EA7AEE"/>
    <w:rsid w:val="00EB0798"/>
    <w:rsid w:val="00EB1FAA"/>
    <w:rsid w:val="00EB28AE"/>
    <w:rsid w:val="00EB2F97"/>
    <w:rsid w:val="00EB34F1"/>
    <w:rsid w:val="00EB3A0D"/>
    <w:rsid w:val="00EB40AD"/>
    <w:rsid w:val="00EB4571"/>
    <w:rsid w:val="00EB4DEF"/>
    <w:rsid w:val="00EB586E"/>
    <w:rsid w:val="00EB5FC8"/>
    <w:rsid w:val="00EB74A7"/>
    <w:rsid w:val="00EC07B5"/>
    <w:rsid w:val="00EC0C6B"/>
    <w:rsid w:val="00EC0CE4"/>
    <w:rsid w:val="00EC1381"/>
    <w:rsid w:val="00EC384E"/>
    <w:rsid w:val="00EC4910"/>
    <w:rsid w:val="00EC5570"/>
    <w:rsid w:val="00EC580A"/>
    <w:rsid w:val="00EC6380"/>
    <w:rsid w:val="00ED5A41"/>
    <w:rsid w:val="00ED5D05"/>
    <w:rsid w:val="00ED6B23"/>
    <w:rsid w:val="00ED71D4"/>
    <w:rsid w:val="00ED7521"/>
    <w:rsid w:val="00EE00CA"/>
    <w:rsid w:val="00EE2AEF"/>
    <w:rsid w:val="00EE2CC3"/>
    <w:rsid w:val="00EE3577"/>
    <w:rsid w:val="00EE3FBA"/>
    <w:rsid w:val="00EE5B35"/>
    <w:rsid w:val="00EF1963"/>
    <w:rsid w:val="00EF3C6A"/>
    <w:rsid w:val="00EF578B"/>
    <w:rsid w:val="00EF7B1C"/>
    <w:rsid w:val="00EF7B95"/>
    <w:rsid w:val="00F01639"/>
    <w:rsid w:val="00F033EC"/>
    <w:rsid w:val="00F0438D"/>
    <w:rsid w:val="00F049A1"/>
    <w:rsid w:val="00F04F68"/>
    <w:rsid w:val="00F071E8"/>
    <w:rsid w:val="00F10A73"/>
    <w:rsid w:val="00F10BD8"/>
    <w:rsid w:val="00F10CDA"/>
    <w:rsid w:val="00F11753"/>
    <w:rsid w:val="00F12670"/>
    <w:rsid w:val="00F14B27"/>
    <w:rsid w:val="00F20118"/>
    <w:rsid w:val="00F23105"/>
    <w:rsid w:val="00F23A34"/>
    <w:rsid w:val="00F24F2F"/>
    <w:rsid w:val="00F25577"/>
    <w:rsid w:val="00F2700C"/>
    <w:rsid w:val="00F276C0"/>
    <w:rsid w:val="00F3148D"/>
    <w:rsid w:val="00F32D36"/>
    <w:rsid w:val="00F3509E"/>
    <w:rsid w:val="00F35298"/>
    <w:rsid w:val="00F3529E"/>
    <w:rsid w:val="00F41DCE"/>
    <w:rsid w:val="00F42D77"/>
    <w:rsid w:val="00F443FD"/>
    <w:rsid w:val="00F46F9A"/>
    <w:rsid w:val="00F47D14"/>
    <w:rsid w:val="00F47E37"/>
    <w:rsid w:val="00F503B4"/>
    <w:rsid w:val="00F50ADC"/>
    <w:rsid w:val="00F50B5E"/>
    <w:rsid w:val="00F50D9D"/>
    <w:rsid w:val="00F521C3"/>
    <w:rsid w:val="00F53E24"/>
    <w:rsid w:val="00F56D63"/>
    <w:rsid w:val="00F640B6"/>
    <w:rsid w:val="00F647EA"/>
    <w:rsid w:val="00F65B15"/>
    <w:rsid w:val="00F70540"/>
    <w:rsid w:val="00F7122D"/>
    <w:rsid w:val="00F76802"/>
    <w:rsid w:val="00F77B67"/>
    <w:rsid w:val="00F80E40"/>
    <w:rsid w:val="00F86D1E"/>
    <w:rsid w:val="00F8767B"/>
    <w:rsid w:val="00F91585"/>
    <w:rsid w:val="00F923D6"/>
    <w:rsid w:val="00F942E9"/>
    <w:rsid w:val="00F95CA6"/>
    <w:rsid w:val="00F9705F"/>
    <w:rsid w:val="00FA029A"/>
    <w:rsid w:val="00FA144A"/>
    <w:rsid w:val="00FA2018"/>
    <w:rsid w:val="00FA3338"/>
    <w:rsid w:val="00FA40D8"/>
    <w:rsid w:val="00FA4C48"/>
    <w:rsid w:val="00FA5B82"/>
    <w:rsid w:val="00FA639E"/>
    <w:rsid w:val="00FA7DF1"/>
    <w:rsid w:val="00FB1B89"/>
    <w:rsid w:val="00FB3817"/>
    <w:rsid w:val="00FC03C8"/>
    <w:rsid w:val="00FC0ADC"/>
    <w:rsid w:val="00FC25E4"/>
    <w:rsid w:val="00FC3E13"/>
    <w:rsid w:val="00FC42B9"/>
    <w:rsid w:val="00FC4EF7"/>
    <w:rsid w:val="00FC754B"/>
    <w:rsid w:val="00FD56A0"/>
    <w:rsid w:val="00FD5947"/>
    <w:rsid w:val="00FD62E3"/>
    <w:rsid w:val="00FD72E5"/>
    <w:rsid w:val="00FE1DEE"/>
    <w:rsid w:val="00FE6C24"/>
    <w:rsid w:val="00FE6E2E"/>
    <w:rsid w:val="00FE705F"/>
    <w:rsid w:val="00FF01FE"/>
    <w:rsid w:val="00FF1448"/>
    <w:rsid w:val="00FF2126"/>
    <w:rsid w:val="00FF25D3"/>
    <w:rsid w:val="00FF4170"/>
    <w:rsid w:val="00FF59FF"/>
    <w:rsid w:val="00FF65C1"/>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326B928"/>
  <w15:docId w15:val="{9FB8A505-8DA2-46F1-8113-1A546668A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1"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A7F35"/>
    <w:pPr>
      <w:spacing w:before="120" w:after="180" w:line="240" w:lineRule="atLeast"/>
    </w:pPr>
    <w:rPr>
      <w:sz w:val="22"/>
      <w:lang w:eastAsia="en-US"/>
    </w:rPr>
  </w:style>
  <w:style w:type="paragraph" w:styleId="Heading1">
    <w:name w:val="heading 1"/>
    <w:basedOn w:val="Heading2"/>
    <w:next w:val="Normal"/>
    <w:link w:val="Heading1Char"/>
    <w:rsid w:val="00D97D00"/>
    <w:pPr>
      <w:outlineLvl w:val="0"/>
    </w:pPr>
  </w:style>
  <w:style w:type="paragraph" w:styleId="Heading2">
    <w:name w:val="heading 2"/>
    <w:basedOn w:val="Normal"/>
    <w:next w:val="Normal"/>
    <w:link w:val="Heading2Char"/>
    <w:qFormat/>
    <w:rsid w:val="00327161"/>
    <w:pPr>
      <w:keepNext/>
      <w:keepLines/>
      <w:pageBreakBefore/>
      <w:numPr>
        <w:numId w:val="5"/>
      </w:numPr>
      <w:spacing w:before="480" w:after="120"/>
      <w:ind w:left="431" w:hanging="431"/>
      <w:outlineLvl w:val="1"/>
    </w:pPr>
    <w:rPr>
      <w:rFonts w:ascii="Arial" w:eastAsia="Times New Roman" w:hAnsi="Arial"/>
      <w:b/>
      <w:bCs/>
      <w:sz w:val="32"/>
      <w:szCs w:val="32"/>
    </w:rPr>
  </w:style>
  <w:style w:type="paragraph" w:styleId="Heading3">
    <w:name w:val="heading 3"/>
    <w:basedOn w:val="Normal"/>
    <w:next w:val="Normal"/>
    <w:link w:val="Heading3Char"/>
    <w:qFormat/>
    <w:rsid w:val="00BC2009"/>
    <w:pPr>
      <w:keepNext/>
      <w:keepLines/>
      <w:numPr>
        <w:ilvl w:val="1"/>
        <w:numId w:val="5"/>
      </w:numPr>
      <w:spacing w:before="480" w:after="120"/>
      <w:outlineLvl w:val="2"/>
    </w:pPr>
    <w:rPr>
      <w:rFonts w:ascii="Arial" w:eastAsia="Times New Roman" w:hAnsi="Arial"/>
      <w:b/>
      <w:bCs/>
      <w:sz w:val="28"/>
      <w:szCs w:val="32"/>
    </w:rPr>
  </w:style>
  <w:style w:type="paragraph" w:styleId="Heading4">
    <w:name w:val="heading 4"/>
    <w:basedOn w:val="Normal"/>
    <w:next w:val="Normal"/>
    <w:link w:val="Heading4Char"/>
    <w:qFormat/>
    <w:rsid w:val="00E97275"/>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B94F6F"/>
    <w:pPr>
      <w:keepNext/>
      <w:keepLines/>
      <w:spacing w:before="240" w:after="120"/>
      <w:ind w:left="1008" w:hanging="1008"/>
      <w:outlineLvl w:val="4"/>
    </w:pPr>
    <w:rPr>
      <w:rFonts w:eastAsia="Times New Roman"/>
      <w:b/>
      <w:bCs/>
      <w:i/>
      <w:szCs w:val="26"/>
    </w:rPr>
  </w:style>
  <w:style w:type="paragraph" w:styleId="Heading6">
    <w:name w:val="heading 6"/>
    <w:basedOn w:val="Normal"/>
    <w:next w:val="Normal"/>
    <w:link w:val="Heading6Char"/>
    <w:uiPriority w:val="9"/>
    <w:rsid w:val="00B138BE"/>
    <w:pPr>
      <w:keepNext/>
      <w:keepLines/>
      <w:numPr>
        <w:ilvl w:val="5"/>
        <w:numId w:val="5"/>
      </w:numPr>
      <w:spacing w:before="240" w:after="120"/>
      <w:outlineLvl w:val="5"/>
    </w:pPr>
    <w:rPr>
      <w:rFonts w:eastAsia="Times New Roman"/>
      <w:b/>
      <w:bCs/>
      <w:i/>
      <w:szCs w:val="21"/>
    </w:rPr>
  </w:style>
  <w:style w:type="paragraph" w:styleId="Heading7">
    <w:name w:val="heading 7"/>
    <w:basedOn w:val="Normal"/>
    <w:next w:val="Normal"/>
    <w:link w:val="Heading7Char"/>
    <w:uiPriority w:val="9"/>
    <w:rsid w:val="00B138BE"/>
    <w:pPr>
      <w:keepNext/>
      <w:keepLines/>
      <w:numPr>
        <w:ilvl w:val="6"/>
        <w:numId w:val="5"/>
      </w:numPr>
      <w:spacing w:before="240" w:after="60" w:line="180" w:lineRule="atLeast"/>
      <w:outlineLvl w:val="6"/>
    </w:pPr>
    <w:rPr>
      <w:rFonts w:eastAsia="Times New Roman"/>
      <w:bCs/>
      <w:i/>
      <w:szCs w:val="22"/>
    </w:rPr>
  </w:style>
  <w:style w:type="paragraph" w:styleId="Heading8">
    <w:name w:val="heading 8"/>
    <w:basedOn w:val="Normal"/>
    <w:next w:val="Normal"/>
    <w:link w:val="Heading8Char"/>
    <w:uiPriority w:val="9"/>
    <w:semiHidden/>
    <w:unhideWhenUsed/>
    <w:qFormat/>
    <w:rsid w:val="00430AAA"/>
    <w:pPr>
      <w:keepNext/>
      <w:keepLines/>
      <w:numPr>
        <w:ilvl w:val="7"/>
        <w:numId w:val="5"/>
      </w:numPr>
      <w:spacing w:before="200" w:after="0"/>
      <w:outlineLvl w:val="7"/>
    </w:pPr>
    <w:rPr>
      <w:rFonts w:asciiTheme="majorHAnsi" w:eastAsiaTheme="majorEastAsia" w:hAnsiTheme="majorHAnsi" w:cstheme="majorBidi"/>
      <w:color w:val="0070B5" w:themeColor="text1" w:themeTint="BF"/>
      <w:sz w:val="20"/>
    </w:rPr>
  </w:style>
  <w:style w:type="paragraph" w:styleId="Heading9">
    <w:name w:val="heading 9"/>
    <w:basedOn w:val="Normal"/>
    <w:next w:val="Normal"/>
    <w:link w:val="Heading9Char"/>
    <w:uiPriority w:val="9"/>
    <w:semiHidden/>
    <w:unhideWhenUsed/>
    <w:qFormat/>
    <w:rsid w:val="00430AAA"/>
    <w:pPr>
      <w:keepNext/>
      <w:keepLines/>
      <w:numPr>
        <w:ilvl w:val="8"/>
        <w:numId w:val="5"/>
      </w:numPr>
      <w:spacing w:before="200" w:after="0"/>
      <w:outlineLvl w:val="8"/>
    </w:pPr>
    <w:rPr>
      <w:rFonts w:asciiTheme="majorHAnsi" w:eastAsiaTheme="majorEastAsia" w:hAnsiTheme="majorHAnsi" w:cstheme="majorBidi"/>
      <w:i/>
      <w:iCs/>
      <w:color w:val="0070B5"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7D00"/>
    <w:rPr>
      <w:rFonts w:ascii="Arial" w:eastAsia="Times New Roman" w:hAnsi="Arial"/>
      <w:b/>
      <w:bCs/>
      <w:sz w:val="32"/>
      <w:szCs w:val="32"/>
      <w:lang w:eastAsia="en-US"/>
    </w:rPr>
  </w:style>
  <w:style w:type="character" w:customStyle="1" w:styleId="Heading2Char">
    <w:name w:val="Heading 2 Char"/>
    <w:basedOn w:val="DefaultParagraphFont"/>
    <w:link w:val="Heading2"/>
    <w:rsid w:val="00327161"/>
    <w:rPr>
      <w:rFonts w:ascii="Arial" w:eastAsia="Times New Roman" w:hAnsi="Arial"/>
      <w:b/>
      <w:bCs/>
      <w:sz w:val="32"/>
      <w:szCs w:val="32"/>
      <w:lang w:eastAsia="en-US"/>
    </w:rPr>
  </w:style>
  <w:style w:type="character" w:customStyle="1" w:styleId="Heading3Char">
    <w:name w:val="Heading 3 Char"/>
    <w:basedOn w:val="DefaultParagraphFont"/>
    <w:link w:val="Heading3"/>
    <w:rsid w:val="00BC2009"/>
    <w:rPr>
      <w:rFonts w:ascii="Arial" w:eastAsia="Times New Roman" w:hAnsi="Arial"/>
      <w:b/>
      <w:bCs/>
      <w:sz w:val="28"/>
      <w:szCs w:val="32"/>
      <w:lang w:eastAsia="en-US"/>
    </w:rPr>
  </w:style>
  <w:style w:type="paragraph" w:customStyle="1" w:styleId="Figuredescription">
    <w:name w:val="Figure description"/>
    <w:basedOn w:val="Normal"/>
    <w:next w:val="Normal"/>
    <w:rsid w:val="00CA62E0"/>
    <w:pPr>
      <w:spacing w:after="240" w:line="180" w:lineRule="atLeast"/>
    </w:pPr>
    <w:rPr>
      <w:sz w:val="18"/>
    </w:rPr>
  </w:style>
  <w:style w:type="paragraph" w:customStyle="1" w:styleId="Figuretitle">
    <w:name w:val="Figure title"/>
    <w:basedOn w:val="Normal"/>
    <w:next w:val="Normal"/>
    <w:rsid w:val="00CA62E0"/>
    <w:pPr>
      <w:outlineLvl w:val="4"/>
    </w:pPr>
    <w:rPr>
      <w:b/>
    </w:rPr>
  </w:style>
  <w:style w:type="paragraph" w:styleId="DocumentMap">
    <w:name w:val="Document Map"/>
    <w:basedOn w:val="Normal"/>
    <w:link w:val="DocumentMapChar"/>
    <w:uiPriority w:val="99"/>
    <w:semiHidden/>
    <w:unhideWhenUsed/>
    <w:rsid w:val="001B5CE3"/>
    <w:pPr>
      <w:spacing w:before="0" w:after="0" w:line="240" w:lineRule="auto"/>
    </w:pPr>
    <w:rPr>
      <w:rFonts w:ascii="Tahoma" w:hAnsi="Tahoma" w:cs="Tahoma"/>
      <w:sz w:val="16"/>
      <w:szCs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DocumentMapChar">
    <w:name w:val="Document Map Char"/>
    <w:basedOn w:val="DefaultParagraphFont"/>
    <w:link w:val="DocumentMap"/>
    <w:uiPriority w:val="99"/>
    <w:semiHidden/>
    <w:rsid w:val="001B5CE3"/>
    <w:rPr>
      <w:rFonts w:ascii="Tahoma" w:hAnsi="Tahoma" w:cs="Tahoma"/>
      <w:sz w:val="16"/>
      <w:szCs w:val="16"/>
      <w:lang w:eastAsia="en-US"/>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E97275"/>
    <w:rPr>
      <w:rFonts w:ascii="Arial" w:hAnsi="Arial"/>
      <w:b/>
      <w:bCs/>
      <w:sz w:val="26"/>
      <w:szCs w:val="26"/>
      <w:lang w:eastAsia="en-US"/>
    </w:rPr>
  </w:style>
  <w:style w:type="character" w:styleId="FollowedHyperlink">
    <w:name w:val="FollowedHyperlink"/>
    <w:basedOn w:val="DefaultParagraphFont"/>
    <w:semiHidden/>
    <w:unhideWhenUsed/>
    <w:rsid w:val="006B3CF2"/>
    <w:rPr>
      <w:color w:val="800080"/>
      <w:u w:val="single"/>
    </w:rPr>
  </w:style>
  <w:style w:type="paragraph" w:styleId="Footer">
    <w:name w:val="footer"/>
    <w:basedOn w:val="Normal"/>
    <w:link w:val="FooterChar"/>
    <w:uiPriority w:val="99"/>
    <w:rsid w:val="00B138BE"/>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B138BE"/>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EB74A7"/>
    <w:pPr>
      <w:pBdr>
        <w:bottom w:val="none" w:sz="0" w:space="0" w:color="auto"/>
      </w:pBdr>
      <w:spacing w:before="240" w:after="120"/>
    </w:pPr>
  </w:style>
  <w:style w:type="character" w:customStyle="1" w:styleId="Heading5Char">
    <w:name w:val="Heading 5 Char"/>
    <w:basedOn w:val="DefaultParagraphFont"/>
    <w:link w:val="Heading5"/>
    <w:uiPriority w:val="9"/>
    <w:rsid w:val="00B94F6F"/>
    <w:rPr>
      <w:rFonts w:eastAsia="Times New Roman"/>
      <w:b/>
      <w:bCs/>
      <w:i/>
      <w:sz w:val="22"/>
      <w:szCs w:val="26"/>
      <w:lang w:eastAsia="en-US"/>
    </w:rPr>
  </w:style>
  <w:style w:type="character" w:customStyle="1" w:styleId="Heading6Char">
    <w:name w:val="Heading 6 Char"/>
    <w:basedOn w:val="DefaultParagraphFont"/>
    <w:link w:val="Heading6"/>
    <w:uiPriority w:val="9"/>
    <w:rsid w:val="00F3148D"/>
    <w:rPr>
      <w:rFonts w:eastAsia="Times New Roman"/>
      <w:b/>
      <w:bCs/>
      <w:i/>
      <w:sz w:val="22"/>
      <w:szCs w:val="21"/>
      <w:lang w:eastAsia="en-US"/>
    </w:rPr>
  </w:style>
  <w:style w:type="character" w:customStyle="1" w:styleId="Heading7Char">
    <w:name w:val="Heading 7 Char"/>
    <w:basedOn w:val="DefaultParagraphFont"/>
    <w:link w:val="Heading7"/>
    <w:uiPriority w:val="9"/>
    <w:rsid w:val="00F3148D"/>
    <w:rPr>
      <w:rFonts w:eastAsia="Times New Roman"/>
      <w:bCs/>
      <w:i/>
      <w:sz w:val="22"/>
      <w:szCs w:val="22"/>
      <w:lang w:eastAsia="en-US"/>
    </w:rPr>
  </w:style>
  <w:style w:type="character" w:styleId="Hyperlink">
    <w:name w:val="Hyperlink"/>
    <w:aliases w:val="OECD Hyperlink"/>
    <w:basedOn w:val="DefaultParagraphFont"/>
    <w:uiPriority w:val="99"/>
    <w:unhideWhenUsed/>
    <w:rsid w:val="00B138BE"/>
    <w:rPr>
      <w:color w:val="0000FF"/>
      <w:u w:val="single"/>
    </w:rPr>
  </w:style>
  <w:style w:type="paragraph" w:customStyle="1" w:styleId="LegalCopy">
    <w:name w:val="Legal Copy"/>
    <w:basedOn w:val="Footer"/>
    <w:unhideWhenUsed/>
    <w:rsid w:val="006B3CF2"/>
  </w:style>
  <w:style w:type="paragraph" w:customStyle="1" w:styleId="LegalSubheading">
    <w:name w:val="Legal Subheading"/>
    <w:basedOn w:val="Footer"/>
    <w:unhideWhenUsed/>
    <w:rsid w:val="006B3CF2"/>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C31E2C"/>
    <w:pPr>
      <w:numPr>
        <w:numId w:val="3"/>
      </w:numPr>
    </w:pPr>
  </w:style>
  <w:style w:type="paragraph" w:styleId="ListBullet2">
    <w:name w:val="List Bullet 2"/>
    <w:basedOn w:val="Normal"/>
    <w:uiPriority w:val="99"/>
    <w:qFormat/>
    <w:rsid w:val="00E313A8"/>
    <w:pPr>
      <w:numPr>
        <w:ilvl w:val="1"/>
        <w:numId w:val="3"/>
      </w:numPr>
    </w:pPr>
  </w:style>
  <w:style w:type="paragraph" w:styleId="ListBullet3">
    <w:name w:val="List Bullet 3"/>
    <w:basedOn w:val="Normal"/>
    <w:uiPriority w:val="99"/>
    <w:qFormat/>
    <w:rsid w:val="00E313A8"/>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E313A8"/>
    <w:pPr>
      <w:numPr>
        <w:numId w:val="4"/>
      </w:numPr>
    </w:pPr>
  </w:style>
  <w:style w:type="paragraph" w:customStyle="1" w:styleId="Numberbullet2">
    <w:name w:val="Number bullet 2"/>
    <w:basedOn w:val="ListBullet2"/>
    <w:qFormat/>
    <w:rsid w:val="00E313A8"/>
    <w:pPr>
      <w:numPr>
        <w:numId w:val="4"/>
      </w:numPr>
      <w:ind w:left="850" w:hanging="425"/>
    </w:pPr>
  </w:style>
  <w:style w:type="paragraph" w:customStyle="1" w:styleId="Numberbullet3">
    <w:name w:val="Number bullet 3"/>
    <w:basedOn w:val="ListBullet3"/>
    <w:uiPriority w:val="3"/>
    <w:qFormat/>
    <w:rsid w:val="00E313A8"/>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B138BE"/>
    <w:pPr>
      <w:spacing w:before="40" w:after="0"/>
      <w:ind w:left="170" w:hanging="170"/>
    </w:pPr>
    <w:rPr>
      <w:sz w:val="19"/>
    </w:rPr>
  </w:style>
  <w:style w:type="paragraph" w:styleId="Subtitle">
    <w:name w:val="Subtitle"/>
    <w:basedOn w:val="Normal"/>
    <w:next w:val="Normal"/>
    <w:link w:val="SubtitleChar"/>
    <w:uiPriority w:val="11"/>
    <w:unhideWhenUsed/>
    <w:rsid w:val="001F04D7"/>
    <w:pPr>
      <w:numPr>
        <w:ilvl w:val="1"/>
      </w:numPr>
      <w:spacing w:after="12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1F04D7"/>
    <w:rPr>
      <w:rFonts w:ascii="Arial" w:eastAsia="Times New Roman" w:hAnsi="Arial"/>
      <w:bCs/>
      <w:iCs/>
      <w:color w:val="006DA7"/>
      <w:sz w:val="40"/>
      <w:szCs w:val="24"/>
      <w:lang w:eastAsia="en-US"/>
    </w:rPr>
  </w:style>
  <w:style w:type="table" w:styleId="TableGrid">
    <w:name w:val="Table Grid"/>
    <w:basedOn w:val="TableNormal"/>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E860E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E860E0"/>
    <w:pPr>
      <w:keepNext/>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styleId="Title">
    <w:name w:val="Title"/>
    <w:next w:val="Normal"/>
    <w:link w:val="TitleChar"/>
    <w:uiPriority w:val="10"/>
    <w:unhideWhenUsed/>
    <w:rsid w:val="009F20E4"/>
    <w:pPr>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9F20E4"/>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D3724"/>
    <w:pPr>
      <w:keepNext/>
      <w:keepLines/>
      <w:tabs>
        <w:tab w:val="right" w:leader="underscore" w:pos="8505"/>
      </w:tabs>
      <w:spacing w:after="200"/>
    </w:pPr>
    <w:rPr>
      <w:rFonts w:ascii="Arial" w:hAnsi="Arial"/>
      <w:b/>
    </w:rPr>
  </w:style>
  <w:style w:type="paragraph" w:styleId="TOC2">
    <w:name w:val="toc 2"/>
    <w:basedOn w:val="Normal"/>
    <w:next w:val="Normal"/>
    <w:uiPriority w:val="39"/>
    <w:unhideWhenUsed/>
    <w:rsid w:val="008D3724"/>
    <w:pPr>
      <w:keepNext/>
      <w:keepLines/>
      <w:tabs>
        <w:tab w:val="right" w:leader="underscore" w:pos="8505"/>
      </w:tabs>
      <w:spacing w:after="100"/>
      <w:ind w:left="425"/>
    </w:pPr>
  </w:style>
  <w:style w:type="paragraph" w:styleId="TOC3">
    <w:name w:val="toc 3"/>
    <w:basedOn w:val="Normal"/>
    <w:next w:val="Normal"/>
    <w:uiPriority w:val="39"/>
    <w:unhideWhenUsed/>
    <w:rsid w:val="008D3724"/>
    <w:pPr>
      <w:keepNext/>
      <w:keepLines/>
      <w:tabs>
        <w:tab w:val="right" w:leader="hyphen" w:pos="8505"/>
      </w:tabs>
      <w:spacing w:after="100"/>
      <w:ind w:left="851"/>
    </w:pPr>
    <w:rPr>
      <w:sz w:val="20"/>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uiPriority w:val="99"/>
    <w:rsid w:val="00B138BE"/>
    <w:pPr>
      <w:keepLines/>
      <w:spacing w:before="0" w:after="0"/>
    </w:pPr>
    <w:rPr>
      <w:sz w:val="20"/>
    </w:rPr>
  </w:style>
  <w:style w:type="character" w:customStyle="1" w:styleId="FootnoteTextChar">
    <w:name w:val="Footnote Text Char"/>
    <w:basedOn w:val="DefaultParagraphFont"/>
    <w:link w:val="FootnoteText"/>
    <w:uiPriority w:val="99"/>
    <w:rsid w:val="001525B4"/>
    <w:rPr>
      <w:lang w:eastAsia="en-US"/>
    </w:rPr>
  </w:style>
  <w:style w:type="character" w:styleId="FootnoteReference">
    <w:name w:val="footnote reference"/>
    <w:basedOn w:val="DefaultParagraphFont"/>
    <w:uiPriority w:val="99"/>
    <w:unhideWhenUsed/>
    <w:rsid w:val="001525B4"/>
    <w:rPr>
      <w:vertAlign w:val="superscript"/>
    </w:rPr>
  </w:style>
  <w:style w:type="paragraph" w:customStyle="1" w:styleId="NonTOCheading2">
    <w:name w:val="Non TOC heading 2"/>
    <w:basedOn w:val="Normal"/>
    <w:next w:val="Normal"/>
    <w:rsid w:val="008D3724"/>
    <w:pPr>
      <w:keepNext/>
      <w:keepLines/>
      <w:spacing w:before="360"/>
    </w:pPr>
    <w:rPr>
      <w:rFonts w:ascii="Arial" w:hAnsi="Arial"/>
      <w:b/>
    </w:rPr>
  </w:style>
  <w:style w:type="paragraph" w:customStyle="1" w:styleId="Quotation">
    <w:name w:val="Quotation"/>
    <w:basedOn w:val="Normal"/>
    <w:next w:val="Normal"/>
    <w:uiPriority w:val="4"/>
    <w:qFormat/>
    <w:rsid w:val="00B138BE"/>
    <w:pPr>
      <w:ind w:left="425"/>
    </w:pPr>
    <w:rPr>
      <w:sz w:val="20"/>
    </w:rPr>
  </w:style>
  <w:style w:type="paragraph" w:customStyle="1" w:styleId="Tabledescription">
    <w:name w:val="Table description"/>
    <w:basedOn w:val="Figuredescription"/>
    <w:next w:val="Normal"/>
    <w:rsid w:val="00CA62E0"/>
  </w:style>
  <w:style w:type="paragraph" w:customStyle="1" w:styleId="Tabletitle">
    <w:name w:val="Table title"/>
    <w:basedOn w:val="Normal"/>
    <w:next w:val="Normal"/>
    <w:rsid w:val="00041297"/>
    <w:pPr>
      <w:keepNext/>
      <w:outlineLvl w:val="4"/>
    </w:pPr>
    <w:rPr>
      <w:b/>
    </w:rPr>
  </w:style>
  <w:style w:type="paragraph" w:styleId="TOC4">
    <w:name w:val="toc 4"/>
    <w:basedOn w:val="Normal"/>
    <w:next w:val="Normal"/>
    <w:autoRedefine/>
    <w:uiPriority w:val="39"/>
    <w:unhideWhenUsed/>
    <w:rsid w:val="00B138BE"/>
    <w:pPr>
      <w:tabs>
        <w:tab w:val="right" w:leader="hyphen" w:pos="8505"/>
      </w:tabs>
      <w:spacing w:after="100"/>
      <w:ind w:left="1276"/>
    </w:pPr>
  </w:style>
  <w:style w:type="paragraph" w:styleId="TOC5">
    <w:name w:val="toc 5"/>
    <w:basedOn w:val="Normal"/>
    <w:next w:val="Normal"/>
    <w:autoRedefine/>
    <w:uiPriority w:val="39"/>
    <w:unhideWhenUsed/>
    <w:rsid w:val="00B138BE"/>
    <w:pPr>
      <w:tabs>
        <w:tab w:val="right" w:leader="dot" w:pos="8505"/>
      </w:tabs>
      <w:spacing w:after="100"/>
      <w:ind w:left="1701"/>
    </w:pPr>
    <w:rPr>
      <w:noProof/>
    </w:rPr>
  </w:style>
  <w:style w:type="paragraph" w:styleId="TOC6">
    <w:name w:val="toc 6"/>
    <w:basedOn w:val="Normal"/>
    <w:next w:val="Normal"/>
    <w:autoRedefine/>
    <w:uiPriority w:val="39"/>
    <w:unhideWhenUsed/>
    <w:rsid w:val="00B138BE"/>
    <w:pPr>
      <w:tabs>
        <w:tab w:val="right" w:pos="8505"/>
      </w:tabs>
      <w:spacing w:after="100"/>
      <w:ind w:left="2126"/>
    </w:pPr>
  </w:style>
  <w:style w:type="paragraph" w:styleId="EndnoteText">
    <w:name w:val="endnote text"/>
    <w:basedOn w:val="FootnoteText"/>
    <w:link w:val="EndnoteTextChar"/>
    <w:semiHidden/>
    <w:unhideWhenUsed/>
    <w:rsid w:val="00732B06"/>
    <w:rPr>
      <w:rFonts w:asciiTheme="minorHAnsi" w:hAnsiTheme="minorHAnsi" w:cstheme="minorBidi"/>
      <w:szCs w:val="22"/>
    </w:rPr>
  </w:style>
  <w:style w:type="character" w:customStyle="1" w:styleId="EndnoteTextChar">
    <w:name w:val="Endnote Text Char"/>
    <w:basedOn w:val="DefaultParagraphFont"/>
    <w:link w:val="EndnoteText"/>
    <w:semiHidden/>
    <w:rsid w:val="00732B06"/>
    <w:rPr>
      <w:rFonts w:asciiTheme="minorHAnsi" w:hAnsiTheme="minorHAnsi" w:cstheme="minorBidi"/>
      <w:szCs w:val="22"/>
      <w:lang w:eastAsia="en-US"/>
    </w:rPr>
  </w:style>
  <w:style w:type="paragraph" w:styleId="ListParagraph">
    <w:name w:val="List Paragraph"/>
    <w:basedOn w:val="Normal"/>
    <w:uiPriority w:val="34"/>
    <w:qFormat/>
    <w:rsid w:val="008D3FCE"/>
    <w:pPr>
      <w:ind w:left="720"/>
      <w:contextualSpacing/>
    </w:pPr>
  </w:style>
  <w:style w:type="character" w:customStyle="1" w:styleId="Heading8Char">
    <w:name w:val="Heading 8 Char"/>
    <w:basedOn w:val="DefaultParagraphFont"/>
    <w:link w:val="Heading8"/>
    <w:uiPriority w:val="9"/>
    <w:semiHidden/>
    <w:rsid w:val="00430AAA"/>
    <w:rPr>
      <w:rFonts w:asciiTheme="majorHAnsi" w:eastAsiaTheme="majorEastAsia" w:hAnsiTheme="majorHAnsi" w:cstheme="majorBidi"/>
      <w:color w:val="0070B5" w:themeColor="text1" w:themeTint="BF"/>
      <w:lang w:eastAsia="en-US"/>
    </w:rPr>
  </w:style>
  <w:style w:type="character" w:customStyle="1" w:styleId="Heading9Char">
    <w:name w:val="Heading 9 Char"/>
    <w:basedOn w:val="DefaultParagraphFont"/>
    <w:link w:val="Heading9"/>
    <w:uiPriority w:val="9"/>
    <w:semiHidden/>
    <w:rsid w:val="00430AAA"/>
    <w:rPr>
      <w:rFonts w:asciiTheme="majorHAnsi" w:eastAsiaTheme="majorEastAsia" w:hAnsiTheme="majorHAnsi" w:cstheme="majorBidi"/>
      <w:i/>
      <w:iCs/>
      <w:color w:val="0070B5" w:themeColor="text1" w:themeTint="BF"/>
      <w:lang w:eastAsia="en-US"/>
    </w:rPr>
  </w:style>
  <w:style w:type="character" w:styleId="CommentReference">
    <w:name w:val="annotation reference"/>
    <w:basedOn w:val="DefaultParagraphFont"/>
    <w:uiPriority w:val="99"/>
    <w:semiHidden/>
    <w:unhideWhenUsed/>
    <w:rsid w:val="00A342E4"/>
    <w:rPr>
      <w:sz w:val="16"/>
      <w:szCs w:val="16"/>
    </w:rPr>
  </w:style>
  <w:style w:type="paragraph" w:styleId="CommentText">
    <w:name w:val="annotation text"/>
    <w:basedOn w:val="Normal"/>
    <w:link w:val="CommentTextChar"/>
    <w:uiPriority w:val="99"/>
    <w:unhideWhenUsed/>
    <w:rsid w:val="00A342E4"/>
    <w:pPr>
      <w:spacing w:line="240" w:lineRule="auto"/>
    </w:pPr>
    <w:rPr>
      <w:sz w:val="20"/>
    </w:rPr>
  </w:style>
  <w:style w:type="character" w:customStyle="1" w:styleId="CommentTextChar">
    <w:name w:val="Comment Text Char"/>
    <w:basedOn w:val="DefaultParagraphFont"/>
    <w:link w:val="CommentText"/>
    <w:uiPriority w:val="99"/>
    <w:rsid w:val="00A342E4"/>
    <w:rPr>
      <w:lang w:eastAsia="en-US"/>
    </w:rPr>
  </w:style>
  <w:style w:type="paragraph" w:styleId="CommentSubject">
    <w:name w:val="annotation subject"/>
    <w:basedOn w:val="CommentText"/>
    <w:next w:val="CommentText"/>
    <w:link w:val="CommentSubjectChar"/>
    <w:uiPriority w:val="99"/>
    <w:semiHidden/>
    <w:unhideWhenUsed/>
    <w:rsid w:val="00A342E4"/>
    <w:rPr>
      <w:b/>
      <w:bCs/>
    </w:rPr>
  </w:style>
  <w:style w:type="character" w:customStyle="1" w:styleId="CommentSubjectChar">
    <w:name w:val="Comment Subject Char"/>
    <w:basedOn w:val="CommentTextChar"/>
    <w:link w:val="CommentSubject"/>
    <w:uiPriority w:val="99"/>
    <w:semiHidden/>
    <w:rsid w:val="00A342E4"/>
    <w:rPr>
      <w:b/>
      <w:bCs/>
      <w:lang w:eastAsia="en-US"/>
    </w:rPr>
  </w:style>
  <w:style w:type="table" w:styleId="LightList-Accent1">
    <w:name w:val="Light List Accent 1"/>
    <w:basedOn w:val="TableNormal"/>
    <w:uiPriority w:val="61"/>
    <w:rsid w:val="00D47415"/>
    <w:rPr>
      <w:rFonts w:asciiTheme="minorHAnsi" w:eastAsiaTheme="minorEastAsia" w:hAnsiTheme="minorHAnsi" w:cstheme="minorBidi"/>
      <w:sz w:val="22"/>
      <w:szCs w:val="22"/>
      <w:lang w:eastAsia="en-US"/>
    </w:rPr>
    <w:tblPr>
      <w:tblStyleRowBandSize w:val="1"/>
      <w:tblStyleColBandSize w:val="1"/>
      <w:tblBorders>
        <w:top w:val="single" w:sz="8" w:space="0" w:color="006EA8" w:themeColor="accent1"/>
        <w:left w:val="single" w:sz="8" w:space="0" w:color="006EA8" w:themeColor="accent1"/>
        <w:bottom w:val="single" w:sz="8" w:space="0" w:color="006EA8" w:themeColor="accent1"/>
        <w:right w:val="single" w:sz="8" w:space="0" w:color="006EA8" w:themeColor="accent1"/>
      </w:tblBorders>
    </w:tblPr>
    <w:tblStylePr w:type="firstRow">
      <w:pPr>
        <w:spacing w:before="0" w:after="0" w:line="240" w:lineRule="auto"/>
      </w:pPr>
      <w:rPr>
        <w:b/>
        <w:bCs/>
        <w:color w:val="FFFFFF" w:themeColor="background1"/>
      </w:rPr>
      <w:tblPr/>
      <w:tcPr>
        <w:shd w:val="clear" w:color="auto" w:fill="006EA8" w:themeFill="accent1"/>
      </w:tcPr>
    </w:tblStylePr>
    <w:tblStylePr w:type="lastRow">
      <w:pPr>
        <w:spacing w:before="0" w:after="0" w:line="240" w:lineRule="auto"/>
      </w:pPr>
      <w:rPr>
        <w:b/>
        <w:bCs/>
      </w:rPr>
      <w:tblPr/>
      <w:tcPr>
        <w:tcBorders>
          <w:top w:val="double" w:sz="6" w:space="0" w:color="006EA8" w:themeColor="accent1"/>
          <w:left w:val="single" w:sz="8" w:space="0" w:color="006EA8" w:themeColor="accent1"/>
          <w:bottom w:val="single" w:sz="8" w:space="0" w:color="006EA8" w:themeColor="accent1"/>
          <w:right w:val="single" w:sz="8" w:space="0" w:color="006EA8" w:themeColor="accent1"/>
        </w:tcBorders>
      </w:tcPr>
    </w:tblStylePr>
    <w:tblStylePr w:type="firstCol">
      <w:rPr>
        <w:b/>
        <w:bCs/>
      </w:rPr>
    </w:tblStylePr>
    <w:tblStylePr w:type="lastCol">
      <w:rPr>
        <w:b/>
        <w:bCs/>
      </w:rPr>
    </w:tblStylePr>
    <w:tblStylePr w:type="band1Vert">
      <w:tblPr/>
      <w:tcPr>
        <w:tcBorders>
          <w:top w:val="single" w:sz="8" w:space="0" w:color="006EA8" w:themeColor="accent1"/>
          <w:left w:val="single" w:sz="8" w:space="0" w:color="006EA8" w:themeColor="accent1"/>
          <w:bottom w:val="single" w:sz="8" w:space="0" w:color="006EA8" w:themeColor="accent1"/>
          <w:right w:val="single" w:sz="8" w:space="0" w:color="006EA8" w:themeColor="accent1"/>
        </w:tcBorders>
      </w:tcPr>
    </w:tblStylePr>
    <w:tblStylePr w:type="band1Horz">
      <w:tblPr/>
      <w:tcPr>
        <w:tcBorders>
          <w:top w:val="single" w:sz="8" w:space="0" w:color="006EA8" w:themeColor="accent1"/>
          <w:left w:val="single" w:sz="8" w:space="0" w:color="006EA8" w:themeColor="accent1"/>
          <w:bottom w:val="single" w:sz="8" w:space="0" w:color="006EA8" w:themeColor="accent1"/>
          <w:right w:val="single" w:sz="8" w:space="0" w:color="006EA8" w:themeColor="accent1"/>
        </w:tcBorders>
      </w:tcPr>
    </w:tblStylePr>
  </w:style>
  <w:style w:type="paragraph" w:styleId="TOC9">
    <w:name w:val="toc 9"/>
    <w:basedOn w:val="Normal"/>
    <w:next w:val="Normal"/>
    <w:autoRedefine/>
    <w:uiPriority w:val="39"/>
    <w:unhideWhenUsed/>
    <w:rsid w:val="008D3724"/>
    <w:pPr>
      <w:spacing w:after="100"/>
      <w:ind w:left="1760"/>
    </w:pPr>
  </w:style>
  <w:style w:type="paragraph" w:customStyle="1" w:styleId="TableTitle0">
    <w:name w:val="Table Title"/>
    <w:basedOn w:val="Normal"/>
    <w:next w:val="Normal"/>
    <w:qFormat/>
    <w:rsid w:val="00FA7DF1"/>
    <w:pPr>
      <w:spacing w:before="180"/>
    </w:pPr>
    <w:rPr>
      <w:b/>
    </w:rPr>
  </w:style>
  <w:style w:type="character" w:styleId="Strong">
    <w:name w:val="Strong"/>
    <w:basedOn w:val="DefaultParagraphFont"/>
    <w:uiPriority w:val="22"/>
    <w:qFormat/>
    <w:rsid w:val="00FA7DF1"/>
    <w:rPr>
      <w:b/>
      <w:bCs/>
    </w:rPr>
  </w:style>
  <w:style w:type="paragraph" w:customStyle="1" w:styleId="Default">
    <w:name w:val="Default"/>
    <w:rsid w:val="00AE6155"/>
    <w:pPr>
      <w:autoSpaceDE w:val="0"/>
      <w:autoSpaceDN w:val="0"/>
      <w:adjustRightInd w:val="0"/>
    </w:pPr>
    <w:rPr>
      <w:rFonts w:ascii="Times New Roman" w:hAnsi="Times New Roman"/>
      <w:color w:val="000000"/>
      <w:sz w:val="24"/>
      <w:szCs w:val="24"/>
    </w:rPr>
  </w:style>
  <w:style w:type="character" w:styleId="EndnoteReference">
    <w:name w:val="endnote reference"/>
    <w:basedOn w:val="DefaultParagraphFont"/>
    <w:uiPriority w:val="99"/>
    <w:semiHidden/>
    <w:unhideWhenUsed/>
    <w:rsid w:val="00871E49"/>
    <w:rPr>
      <w:vertAlign w:val="superscript"/>
    </w:rPr>
  </w:style>
  <w:style w:type="paragraph" w:customStyle="1" w:styleId="Numberbullet3i">
    <w:name w:val="Number bullet 3 i)"/>
    <w:basedOn w:val="Numberbullet3"/>
    <w:uiPriority w:val="1"/>
    <w:qFormat/>
    <w:rsid w:val="00DA4BBE"/>
    <w:pPr>
      <w:numPr>
        <w:ilvl w:val="0"/>
        <w:numId w:val="36"/>
      </w:numPr>
    </w:pPr>
  </w:style>
  <w:style w:type="character" w:customStyle="1" w:styleId="fontstyle21">
    <w:name w:val="fontstyle21"/>
    <w:basedOn w:val="DefaultParagraphFont"/>
    <w:rsid w:val="002B3304"/>
    <w:rPr>
      <w:rFonts w:ascii="Cambria-Bold" w:hAnsi="Cambria-Bold" w:hint="default"/>
      <w:b/>
      <w:bCs/>
      <w:i w:val="0"/>
      <w:iCs w:val="0"/>
      <w:color w:val="000000"/>
      <w:sz w:val="22"/>
      <w:szCs w:val="22"/>
    </w:rPr>
  </w:style>
  <w:style w:type="paragraph" w:styleId="Revision">
    <w:name w:val="Revision"/>
    <w:hidden/>
    <w:uiPriority w:val="99"/>
    <w:semiHidden/>
    <w:rsid w:val="002C48BF"/>
    <w:rPr>
      <w:sz w:val="22"/>
      <w:lang w:eastAsia="en-US"/>
    </w:rPr>
  </w:style>
  <w:style w:type="paragraph" w:customStyle="1" w:styleId="ListBulleta">
    <w:name w:val="List Bullet a)"/>
    <w:basedOn w:val="ListBullet"/>
    <w:uiPriority w:val="1"/>
    <w:qFormat/>
    <w:rsid w:val="005302F5"/>
    <w:pPr>
      <w:numPr>
        <w:numId w:val="7"/>
      </w:numPr>
    </w:pPr>
  </w:style>
  <w:style w:type="paragraph" w:customStyle="1" w:styleId="ListBulleti">
    <w:name w:val="List Bullet i)"/>
    <w:basedOn w:val="ListBullet"/>
    <w:uiPriority w:val="1"/>
    <w:qFormat/>
    <w:rsid w:val="005302F5"/>
    <w:pPr>
      <w:numPr>
        <w:numId w:val="14"/>
      </w:numPr>
    </w:pPr>
  </w:style>
  <w:style w:type="character" w:customStyle="1" w:styleId="Style1">
    <w:name w:val="Style1"/>
    <w:basedOn w:val="DefaultParagraphFont"/>
    <w:uiPriority w:val="1"/>
    <w:rsid w:val="005A5916"/>
    <w:rPr>
      <w:rFonts w:ascii="Cambria" w:hAnsi="Cambria"/>
      <w:sz w:val="22"/>
    </w:rPr>
  </w:style>
  <w:style w:type="paragraph" w:styleId="NormalWeb">
    <w:name w:val="Normal (Web)"/>
    <w:basedOn w:val="Normal"/>
    <w:uiPriority w:val="99"/>
    <w:semiHidden/>
    <w:unhideWhenUsed/>
    <w:rsid w:val="004B545E"/>
    <w:pPr>
      <w:spacing w:before="100" w:beforeAutospacing="1" w:after="100" w:afterAutospacing="1" w:line="240" w:lineRule="auto"/>
    </w:pPr>
    <w:rPr>
      <w:rFonts w:ascii="Times New Roman" w:eastAsia="Times New Roman" w:hAnsi="Times New Roman"/>
      <w:sz w:val="24"/>
      <w:szCs w:val="24"/>
      <w:lang w:eastAsia="en-AU"/>
    </w:rPr>
  </w:style>
  <w:style w:type="paragraph" w:styleId="BodyText">
    <w:name w:val="Body Text"/>
    <w:basedOn w:val="Normal"/>
    <w:link w:val="BodyTextChar"/>
    <w:rsid w:val="00327B11"/>
    <w:pPr>
      <w:spacing w:before="0" w:after="120" w:line="240" w:lineRule="auto"/>
      <w:jc w:val="both"/>
    </w:pPr>
    <w:rPr>
      <w:rFonts w:ascii="Times New Roman" w:eastAsia="Times New Roman" w:hAnsi="Times New Roman"/>
      <w:sz w:val="24"/>
    </w:rPr>
  </w:style>
  <w:style w:type="character" w:customStyle="1" w:styleId="BodyTextChar">
    <w:name w:val="Body Text Char"/>
    <w:basedOn w:val="DefaultParagraphFont"/>
    <w:link w:val="BodyText"/>
    <w:rsid w:val="00327B11"/>
    <w:rPr>
      <w:rFonts w:ascii="Times New Roman" w:eastAsia="Times New Roman" w:hAnsi="Times New Roman"/>
      <w:sz w:val="24"/>
      <w:lang w:eastAsia="en-US"/>
    </w:rPr>
  </w:style>
  <w:style w:type="paragraph" w:customStyle="1" w:styleId="ScheduleBody">
    <w:name w:val="Schedule Body"/>
    <w:basedOn w:val="Normal"/>
    <w:next w:val="Normal"/>
    <w:uiPriority w:val="99"/>
    <w:rsid w:val="00327B11"/>
    <w:pPr>
      <w:spacing w:before="0" w:after="240" w:line="240" w:lineRule="auto"/>
      <w:ind w:left="851" w:hanging="851"/>
    </w:pPr>
    <w:rPr>
      <w:rFonts w:ascii="Times New Roman" w:eastAsia="Times New Roman" w:hAnsi="Times New Roman"/>
      <w:sz w:val="24"/>
      <w:szCs w:val="24"/>
      <w:lang w:eastAsia="en-AU"/>
    </w:rPr>
  </w:style>
  <w:style w:type="paragraph" w:customStyle="1" w:styleId="Numberbullet2a">
    <w:name w:val="Number bullet 2 a)"/>
    <w:basedOn w:val="Numberbullet0"/>
    <w:uiPriority w:val="1"/>
    <w:qFormat/>
    <w:rsid w:val="00D31402"/>
    <w:pPr>
      <w:numPr>
        <w:numId w:val="33"/>
      </w:numPr>
      <w:ind w:left="771" w:hanging="414"/>
    </w:pPr>
  </w:style>
  <w:style w:type="paragraph" w:customStyle="1" w:styleId="Numberbullet2ared">
    <w:name w:val="Number bullet 2 a) red"/>
    <w:basedOn w:val="Numberbullet2a"/>
    <w:uiPriority w:val="1"/>
    <w:qFormat/>
    <w:rsid w:val="00A84344"/>
    <w:pPr>
      <w:numPr>
        <w:numId w:val="34"/>
      </w:numPr>
    </w:pPr>
    <w:rPr>
      <w:color w:val="FF0000"/>
    </w:rPr>
  </w:style>
  <w:style w:type="paragraph" w:customStyle="1" w:styleId="Numberbullet3ired">
    <w:name w:val="Number bullet 3 i) red"/>
    <w:basedOn w:val="Numberbullet3i"/>
    <w:uiPriority w:val="1"/>
    <w:qFormat/>
    <w:rsid w:val="00FC0ADC"/>
    <w:pPr>
      <w:numPr>
        <w:numId w:val="12"/>
      </w:numPr>
    </w:pPr>
    <w:rPr>
      <w:color w:val="FF0000"/>
    </w:rPr>
  </w:style>
  <w:style w:type="paragraph" w:styleId="TOC7">
    <w:name w:val="toc 7"/>
    <w:basedOn w:val="Normal"/>
    <w:next w:val="Normal"/>
    <w:autoRedefine/>
    <w:uiPriority w:val="39"/>
    <w:unhideWhenUsed/>
    <w:rsid w:val="00920D1F"/>
    <w:pPr>
      <w:spacing w:before="0" w:after="100" w:line="259" w:lineRule="auto"/>
      <w:ind w:left="1320"/>
    </w:pPr>
    <w:rPr>
      <w:rFonts w:asciiTheme="minorHAnsi" w:eastAsiaTheme="minorEastAsia" w:hAnsiTheme="minorHAnsi" w:cstheme="minorBidi"/>
      <w:szCs w:val="22"/>
      <w:lang w:eastAsia="en-AU"/>
    </w:rPr>
  </w:style>
  <w:style w:type="paragraph" w:styleId="TOC8">
    <w:name w:val="toc 8"/>
    <w:basedOn w:val="Normal"/>
    <w:next w:val="Normal"/>
    <w:autoRedefine/>
    <w:uiPriority w:val="39"/>
    <w:unhideWhenUsed/>
    <w:rsid w:val="00920D1F"/>
    <w:pPr>
      <w:spacing w:before="0" w:after="100" w:line="259" w:lineRule="auto"/>
      <w:ind w:left="1540"/>
    </w:pPr>
    <w:rPr>
      <w:rFonts w:asciiTheme="minorHAnsi" w:eastAsiaTheme="minorEastAsia" w:hAnsiTheme="minorHAnsi" w:cstheme="minorBidi"/>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786088">
      <w:bodyDiv w:val="1"/>
      <w:marLeft w:val="0"/>
      <w:marRight w:val="0"/>
      <w:marTop w:val="0"/>
      <w:marBottom w:val="0"/>
      <w:divBdr>
        <w:top w:val="none" w:sz="0" w:space="0" w:color="auto"/>
        <w:left w:val="none" w:sz="0" w:space="0" w:color="auto"/>
        <w:bottom w:val="none" w:sz="0" w:space="0" w:color="auto"/>
        <w:right w:val="none" w:sz="0" w:space="0" w:color="auto"/>
      </w:divBdr>
    </w:div>
    <w:div w:id="219051015">
      <w:bodyDiv w:val="1"/>
      <w:marLeft w:val="0"/>
      <w:marRight w:val="0"/>
      <w:marTop w:val="0"/>
      <w:marBottom w:val="0"/>
      <w:divBdr>
        <w:top w:val="none" w:sz="0" w:space="0" w:color="auto"/>
        <w:left w:val="none" w:sz="0" w:space="0" w:color="auto"/>
        <w:bottom w:val="none" w:sz="0" w:space="0" w:color="auto"/>
        <w:right w:val="none" w:sz="0" w:space="0" w:color="auto"/>
      </w:divBdr>
      <w:divsChild>
        <w:div w:id="91711055">
          <w:marLeft w:val="0"/>
          <w:marRight w:val="0"/>
          <w:marTop w:val="0"/>
          <w:marBottom w:val="0"/>
          <w:divBdr>
            <w:top w:val="none" w:sz="0" w:space="0" w:color="auto"/>
            <w:left w:val="none" w:sz="0" w:space="0" w:color="auto"/>
            <w:bottom w:val="none" w:sz="0" w:space="0" w:color="auto"/>
            <w:right w:val="none" w:sz="0" w:space="0" w:color="auto"/>
          </w:divBdr>
          <w:divsChild>
            <w:div w:id="947934281">
              <w:marLeft w:val="0"/>
              <w:marRight w:val="0"/>
              <w:marTop w:val="0"/>
              <w:marBottom w:val="0"/>
              <w:divBdr>
                <w:top w:val="none" w:sz="0" w:space="0" w:color="auto"/>
                <w:left w:val="none" w:sz="0" w:space="0" w:color="auto"/>
                <w:bottom w:val="none" w:sz="0" w:space="0" w:color="auto"/>
                <w:right w:val="none" w:sz="0" w:space="0" w:color="auto"/>
              </w:divBdr>
              <w:divsChild>
                <w:div w:id="2026588667">
                  <w:marLeft w:val="0"/>
                  <w:marRight w:val="0"/>
                  <w:marTop w:val="0"/>
                  <w:marBottom w:val="0"/>
                  <w:divBdr>
                    <w:top w:val="none" w:sz="0" w:space="0" w:color="auto"/>
                    <w:left w:val="none" w:sz="0" w:space="0" w:color="auto"/>
                    <w:bottom w:val="none" w:sz="0" w:space="0" w:color="auto"/>
                    <w:right w:val="none" w:sz="0" w:space="0" w:color="auto"/>
                  </w:divBdr>
                  <w:divsChild>
                    <w:div w:id="1216818015">
                      <w:marLeft w:val="0"/>
                      <w:marRight w:val="0"/>
                      <w:marTop w:val="0"/>
                      <w:marBottom w:val="0"/>
                      <w:divBdr>
                        <w:top w:val="none" w:sz="0" w:space="0" w:color="auto"/>
                        <w:left w:val="none" w:sz="0" w:space="0" w:color="auto"/>
                        <w:bottom w:val="none" w:sz="0" w:space="0" w:color="auto"/>
                        <w:right w:val="none" w:sz="0" w:space="0" w:color="auto"/>
                      </w:divBdr>
                      <w:divsChild>
                        <w:div w:id="1605382192">
                          <w:marLeft w:val="0"/>
                          <w:marRight w:val="0"/>
                          <w:marTop w:val="0"/>
                          <w:marBottom w:val="0"/>
                          <w:divBdr>
                            <w:top w:val="none" w:sz="0" w:space="0" w:color="auto"/>
                            <w:left w:val="none" w:sz="0" w:space="0" w:color="auto"/>
                            <w:bottom w:val="none" w:sz="0" w:space="0" w:color="auto"/>
                            <w:right w:val="none" w:sz="0" w:space="0" w:color="auto"/>
                          </w:divBdr>
                          <w:divsChild>
                            <w:div w:id="637537847">
                              <w:marLeft w:val="0"/>
                              <w:marRight w:val="0"/>
                              <w:marTop w:val="0"/>
                              <w:marBottom w:val="0"/>
                              <w:divBdr>
                                <w:top w:val="none" w:sz="0" w:space="0" w:color="auto"/>
                                <w:left w:val="none" w:sz="0" w:space="0" w:color="auto"/>
                                <w:bottom w:val="none" w:sz="0" w:space="0" w:color="auto"/>
                                <w:right w:val="none" w:sz="0" w:space="0" w:color="auto"/>
                              </w:divBdr>
                              <w:divsChild>
                                <w:div w:id="999314362">
                                  <w:marLeft w:val="0"/>
                                  <w:marRight w:val="0"/>
                                  <w:marTop w:val="0"/>
                                  <w:marBottom w:val="0"/>
                                  <w:divBdr>
                                    <w:top w:val="none" w:sz="0" w:space="0" w:color="auto"/>
                                    <w:left w:val="none" w:sz="0" w:space="0" w:color="auto"/>
                                    <w:bottom w:val="none" w:sz="0" w:space="0" w:color="auto"/>
                                    <w:right w:val="none" w:sz="0" w:space="0" w:color="auto"/>
                                  </w:divBdr>
                                  <w:divsChild>
                                    <w:div w:id="244188605">
                                      <w:marLeft w:val="0"/>
                                      <w:marRight w:val="0"/>
                                      <w:marTop w:val="0"/>
                                      <w:marBottom w:val="0"/>
                                      <w:divBdr>
                                        <w:top w:val="none" w:sz="0" w:space="0" w:color="auto"/>
                                        <w:left w:val="none" w:sz="0" w:space="0" w:color="auto"/>
                                        <w:bottom w:val="none" w:sz="0" w:space="0" w:color="auto"/>
                                        <w:right w:val="none" w:sz="0" w:space="0" w:color="auto"/>
                                      </w:divBdr>
                                      <w:divsChild>
                                        <w:div w:id="2034962510">
                                          <w:marLeft w:val="0"/>
                                          <w:marRight w:val="0"/>
                                          <w:marTop w:val="0"/>
                                          <w:marBottom w:val="0"/>
                                          <w:divBdr>
                                            <w:top w:val="none" w:sz="0" w:space="0" w:color="auto"/>
                                            <w:left w:val="none" w:sz="0" w:space="0" w:color="auto"/>
                                            <w:bottom w:val="none" w:sz="0" w:space="0" w:color="auto"/>
                                            <w:right w:val="none" w:sz="0" w:space="0" w:color="auto"/>
                                          </w:divBdr>
                                          <w:divsChild>
                                            <w:div w:id="184728631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4610507">
      <w:bodyDiv w:val="1"/>
      <w:marLeft w:val="0"/>
      <w:marRight w:val="0"/>
      <w:marTop w:val="0"/>
      <w:marBottom w:val="0"/>
      <w:divBdr>
        <w:top w:val="none" w:sz="0" w:space="0" w:color="auto"/>
        <w:left w:val="none" w:sz="0" w:space="0" w:color="auto"/>
        <w:bottom w:val="none" w:sz="0" w:space="0" w:color="auto"/>
        <w:right w:val="none" w:sz="0" w:space="0" w:color="auto"/>
      </w:divBdr>
    </w:div>
    <w:div w:id="1167094078">
      <w:bodyDiv w:val="1"/>
      <w:marLeft w:val="0"/>
      <w:marRight w:val="0"/>
      <w:marTop w:val="0"/>
      <w:marBottom w:val="0"/>
      <w:divBdr>
        <w:top w:val="none" w:sz="0" w:space="0" w:color="auto"/>
        <w:left w:val="none" w:sz="0" w:space="0" w:color="auto"/>
        <w:bottom w:val="none" w:sz="0" w:space="0" w:color="auto"/>
        <w:right w:val="none" w:sz="0" w:space="0" w:color="auto"/>
      </w:divBdr>
    </w:div>
    <w:div w:id="1691688688">
      <w:bodyDiv w:val="1"/>
      <w:marLeft w:val="0"/>
      <w:marRight w:val="0"/>
      <w:marTop w:val="0"/>
      <w:marBottom w:val="0"/>
      <w:divBdr>
        <w:top w:val="none" w:sz="0" w:space="0" w:color="auto"/>
        <w:left w:val="none" w:sz="0" w:space="0" w:color="auto"/>
        <w:bottom w:val="none" w:sz="0" w:space="0" w:color="auto"/>
        <w:right w:val="none" w:sz="0" w:space="0" w:color="auto"/>
      </w:divBdr>
    </w:div>
    <w:div w:id="170085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tga.gov.au/publication/scheduling-handbook-guidance-amending-poisons-standard" TargetMode="External"/><Relationship Id="rId117" Type="http://schemas.openxmlformats.org/officeDocument/2006/relationships/hyperlink" Target="https://www.tga.gov.au/publication/ahmac-scheduling-policy-framework-medicines-and-chemicals" TargetMode="External"/><Relationship Id="rId21" Type="http://schemas.openxmlformats.org/officeDocument/2006/relationships/hyperlink" Target="https://www.tga.gov.au/consultation-invitation/consultation-proposed-amendments-poisons-standard-accs-acms-and-joint-acmsaccs-meetings-march-2020" TargetMode="External"/><Relationship Id="rId42" Type="http://schemas.openxmlformats.org/officeDocument/2006/relationships/hyperlink" Target="https://www.tga.gov.au/consultation-invitation/consultation-proposed-amendments-poisons-standard-accs-acms-and-joint-acmsaccs-meetings-march-2020" TargetMode="External"/><Relationship Id="rId47" Type="http://schemas.openxmlformats.org/officeDocument/2006/relationships/hyperlink" Target="https://www.tga.gov.au/publication/scheduling-handbook-guidance-amending-poisons-standard" TargetMode="External"/><Relationship Id="rId63" Type="http://schemas.openxmlformats.org/officeDocument/2006/relationships/hyperlink" Target="https://www.tga.gov.au/scheduling-decision-interim/notice-interim-decisions-proposed-amendments-poisons-standard-acmsaccsjoint-acms-accs-meetings-march-2020" TargetMode="External"/><Relationship Id="rId68" Type="http://schemas.openxmlformats.org/officeDocument/2006/relationships/hyperlink" Target="https://www.tga.gov.au/book-page/21-carbetamide" TargetMode="External"/><Relationship Id="rId84" Type="http://schemas.openxmlformats.org/officeDocument/2006/relationships/hyperlink" Target="https://www.tga.gov.au/publication/ahmac-scheduling-policy-framework-medicines-and-chemicals" TargetMode="External"/><Relationship Id="rId89" Type="http://schemas.openxmlformats.org/officeDocument/2006/relationships/hyperlink" Target="https://www.tga.gov.au/consultation-invitation/consultation-proposed-amendments-poisons-standard-joint-accsacms-meetings-march-2020" TargetMode="External"/><Relationship Id="rId112" Type="http://schemas.openxmlformats.org/officeDocument/2006/relationships/hyperlink" Target="https://www.tga.gov.au/consultation-invitation/consultation-proposed-amendments-poisons-standard-accs-acms-and-joint-acmsaccs-meetings-march-2020" TargetMode="External"/><Relationship Id="rId133" Type="http://schemas.openxmlformats.org/officeDocument/2006/relationships/theme" Target="theme/theme1.xml"/><Relationship Id="rId16" Type="http://schemas.openxmlformats.org/officeDocument/2006/relationships/hyperlink" Target="https://www.tga.gov.au/consultation-invitation/consultation-proposed-amendments-poisons-standard-accs-acms-and-joint-acmsaccs-meetings-march-2020" TargetMode="External"/><Relationship Id="rId107" Type="http://schemas.openxmlformats.org/officeDocument/2006/relationships/hyperlink" Target="https://www.cdc.gov/tobacco/basic_information/heated-tobacco-products/index.html" TargetMode="External"/><Relationship Id="rId11" Type="http://schemas.openxmlformats.org/officeDocument/2006/relationships/hyperlink" Target="https://www.tga.gov.au/scheduling-decision-interim/call-further-submissions-interim-decision-amend-current-poisons-standard-relation-melatonin" TargetMode="External"/><Relationship Id="rId32" Type="http://schemas.openxmlformats.org/officeDocument/2006/relationships/hyperlink" Target="https://www.tga.gov.au/publication/ahmac-scheduling-policy-framework-medicines-and-chemicals" TargetMode="External"/><Relationship Id="rId37" Type="http://schemas.openxmlformats.org/officeDocument/2006/relationships/hyperlink" Target="https://www.tga.gov.au/consultation-invitation/consultation-proposed-amendments-poisons-standard-accs-acms-and-joint-acmsaccs-meetings-march-2020" TargetMode="External"/><Relationship Id="rId53" Type="http://schemas.openxmlformats.org/officeDocument/2006/relationships/hyperlink" Target="https://www.tga.gov.au/publication/ahmac-scheduling-policy-framework-medicines-and-chemicals" TargetMode="External"/><Relationship Id="rId58" Type="http://schemas.openxmlformats.org/officeDocument/2006/relationships/hyperlink" Target="https://www.tga.gov.au/scheduling-submission/public-submissions-scheduling-matters-referred-acms-29-accs-27-and-joint-acms-accs-24-meetings-held-march-2020" TargetMode="External"/><Relationship Id="rId74" Type="http://schemas.openxmlformats.org/officeDocument/2006/relationships/hyperlink" Target="https://www.tga.gov.au/publication/scheduling-handbook-guidance-amending-poisons-standard" TargetMode="External"/><Relationship Id="rId79" Type="http://schemas.openxmlformats.org/officeDocument/2006/relationships/hyperlink" Target="https://www.tga.gov.au/book-page/23-aclonifen" TargetMode="External"/><Relationship Id="rId102" Type="http://schemas.openxmlformats.org/officeDocument/2006/relationships/hyperlink" Target="https://tobaccocontrol.bmj.com/content/early/2020/02/06/tobaccocontrol-2019-055318" TargetMode="External"/><Relationship Id="rId123" Type="http://schemas.openxmlformats.org/officeDocument/2006/relationships/hyperlink" Target="https://www.tga.gov.au/publication/ahmac-scheduling-policy-framework-medicines-and-chemicals" TargetMode="External"/><Relationship Id="rId128" Type="http://schemas.openxmlformats.org/officeDocument/2006/relationships/footer" Target="footer2.xml"/><Relationship Id="rId5" Type="http://schemas.openxmlformats.org/officeDocument/2006/relationships/webSettings" Target="webSettings.xml"/><Relationship Id="rId90" Type="http://schemas.openxmlformats.org/officeDocument/2006/relationships/hyperlink" Target="https://www.tga.gov.au/book-page/31-marker-dyes-and-pigments" TargetMode="External"/><Relationship Id="rId95" Type="http://schemas.openxmlformats.org/officeDocument/2006/relationships/hyperlink" Target="https://www.tga.gov.au/publication/ahmac-scheduling-policy-framework-medicines-and-chemicals" TargetMode="External"/><Relationship Id="rId14" Type="http://schemas.openxmlformats.org/officeDocument/2006/relationships/hyperlink" Target="https://www.tga.gov.au/consultation-invitation/consultation-proposed-amendments-poisons-standard-accs-acms-and-joint-acmsaccs-meetings-march-2020" TargetMode="External"/><Relationship Id="rId22" Type="http://schemas.openxmlformats.org/officeDocument/2006/relationships/hyperlink" Target="https://www.tga.gov.au/scheduling-submission/public-submissions-scheduling-matters-referred-acms-29-accs-27-and-joint-acms-accs-24-meetings-held-march-2020" TargetMode="External"/><Relationship Id="rId27" Type="http://schemas.openxmlformats.org/officeDocument/2006/relationships/hyperlink" Target="https://www.tga.gov.au/scheduling-decision-interim/notice-interim-decisions-proposed-amendments-poisons-standard-acmsaccsjoint-acms-accs-meetings-march-2020" TargetMode="External"/><Relationship Id="rId30" Type="http://schemas.openxmlformats.org/officeDocument/2006/relationships/hyperlink" Target="https://www.tga.gov.au/consultation-invitation/consultation-proposed-amendments-poisons-standard-accs-acms-and-joint-acmsaccs-meetings-march-2020" TargetMode="External"/><Relationship Id="rId35" Type="http://schemas.openxmlformats.org/officeDocument/2006/relationships/hyperlink" Target="https://www.tga.gov.au/consultation-invitation/consultation-proposed-amendments-poisons-standard-accs-acms-and-joint-acmsaccs-meetings-march-2020" TargetMode="External"/><Relationship Id="rId43" Type="http://schemas.openxmlformats.org/officeDocument/2006/relationships/hyperlink" Target="https://www.tga.gov.au/scheduling-submission/public-submissions-scheduling-matters-referred-acms-29-accs-27-and-joint-acms-accs-24-meetings-held-march-2020" TargetMode="External"/><Relationship Id="rId48" Type="http://schemas.openxmlformats.org/officeDocument/2006/relationships/hyperlink" Target="https://www.tga.gov.au/scheduling-decision-interim/notice-interim-decisions-proposed-amendments-poisons-standard-acmsaccsjoint-acms-accs-meetings-march-2020" TargetMode="External"/><Relationship Id="rId56" Type="http://schemas.openxmlformats.org/officeDocument/2006/relationships/hyperlink" Target="https://www.tga.gov.au/scheduling-decision-interim/notice-interim-decisions-proposed-amendments-poisons-standard-acmsaccsjoint-acms-accs-meetings-march-2020" TargetMode="External"/><Relationship Id="rId64" Type="http://schemas.openxmlformats.org/officeDocument/2006/relationships/hyperlink" Target="https://www.tga.gov.au/scheduling-decision-interim/notice-interim-decisions-proposed-amendments-poisons-standard-acmsaccsjoint-acms-accs-meetings-march-2020" TargetMode="External"/><Relationship Id="rId69" Type="http://schemas.openxmlformats.org/officeDocument/2006/relationships/hyperlink" Target="https://www.tga.gov.au/consultation-invitation/consultation-proposed-amendments-poisons-standard-accs-acms-and-joint-acmsaccs-meetings-march-2020" TargetMode="External"/><Relationship Id="rId77" Type="http://schemas.openxmlformats.org/officeDocument/2006/relationships/hyperlink" Target="https://www.tga.gov.au/publication/ahmac-scheduling-policy-framework-medicines-and-chemicals" TargetMode="External"/><Relationship Id="rId100" Type="http://schemas.openxmlformats.org/officeDocument/2006/relationships/hyperlink" Target="https://tobaccocontrol.bmj.com/content/early/2020/06/29/tobaccocontrol-2019-055585" TargetMode="External"/><Relationship Id="rId105" Type="http://schemas.openxmlformats.org/officeDocument/2006/relationships/hyperlink" Target="https://www.who.int/publications/i/item/WHO-HEP-HPR-2020.2" TargetMode="External"/><Relationship Id="rId113" Type="http://schemas.openxmlformats.org/officeDocument/2006/relationships/hyperlink" Target="https://www.tga.gov.au/publication/ahmac-scheduling-policy-framework-medicines-and-chemicals" TargetMode="External"/><Relationship Id="rId118" Type="http://schemas.openxmlformats.org/officeDocument/2006/relationships/hyperlink" Target="https://www.tga.gov.au/publication/scheduling-handbook-guidance-amending-poisons-standard" TargetMode="External"/><Relationship Id="rId126" Type="http://schemas.openxmlformats.org/officeDocument/2006/relationships/hyperlink" Target="https://www.tga.gov.au/publication/scheduling-handbook-guidance-amending-poisons-standard" TargetMode="External"/><Relationship Id="rId8" Type="http://schemas.openxmlformats.org/officeDocument/2006/relationships/footer" Target="footer1.xml"/><Relationship Id="rId51" Type="http://schemas.openxmlformats.org/officeDocument/2006/relationships/hyperlink" Target="https://www.tga.gov.au/consultation-invitation/consultation-proposed-amendments-poisons-standard-accs-acms-and-joint-acmsaccs-meetings-march-2020" TargetMode="External"/><Relationship Id="rId72" Type="http://schemas.openxmlformats.org/officeDocument/2006/relationships/hyperlink" Target="https://www.tga.gov.au/scheduling-decision-interim/notice-interim-decisions-proposed-amendments-poisons-standard-acmsaccsjoint-acms-accs-meetings-march-2020" TargetMode="External"/><Relationship Id="rId80" Type="http://schemas.openxmlformats.org/officeDocument/2006/relationships/hyperlink" Target="https://www.tga.gov.au/consultation-invitation/consultation-proposed-amendments-poisons-standard-accs-acms-and-joint-acmsaccs-meetings-march-2020" TargetMode="External"/><Relationship Id="rId85" Type="http://schemas.openxmlformats.org/officeDocument/2006/relationships/hyperlink" Target="https://www.tga.gov.au/publication/scheduling-handbook-guidance-amending-poisons-standard" TargetMode="External"/><Relationship Id="rId93" Type="http://schemas.openxmlformats.org/officeDocument/2006/relationships/hyperlink" Target="https://www.tga.gov.au/scheduling-submission/public-submissions-scheduling-matters-referred-acms-29-accs-27-and-joint-acms-accs-24-meetings-held-march-2020" TargetMode="External"/><Relationship Id="rId98" Type="http://schemas.openxmlformats.org/officeDocument/2006/relationships/hyperlink" Target="https://www.ncbi.nlm.nih.gov/pmc/articles/PMC6202159/" TargetMode="External"/><Relationship Id="rId121" Type="http://schemas.openxmlformats.org/officeDocument/2006/relationships/hyperlink" Target="https://www.tga.gov.au/publication/ahmac-scheduling-policy-framework-medicines-and-chemicals" TargetMode="External"/><Relationship Id="rId3" Type="http://schemas.openxmlformats.org/officeDocument/2006/relationships/styles" Target="styles.xml"/><Relationship Id="rId12" Type="http://schemas.openxmlformats.org/officeDocument/2006/relationships/hyperlink" Target="https://www.tga.gov.au/book-page/13-melatonin" TargetMode="External"/><Relationship Id="rId17" Type="http://schemas.openxmlformats.org/officeDocument/2006/relationships/hyperlink" Target="https://www.tga.gov.au/scheduling-decision-interim/notice-interim-decisions-proposed-amendments-poisons-standard-acmsaccsjoint-acms-accs-meetings-march-2020" TargetMode="External"/><Relationship Id="rId25" Type="http://schemas.openxmlformats.org/officeDocument/2006/relationships/hyperlink" Target="https://www.tga.gov.au/publication/ahmac-scheduling-policy-framework-medicines-and-chemicals" TargetMode="External"/><Relationship Id="rId33" Type="http://schemas.openxmlformats.org/officeDocument/2006/relationships/hyperlink" Target="https://www.tga.gov.au/publication/scheduling-handbook-guidance-amending-poisons-standard" TargetMode="External"/><Relationship Id="rId38" Type="http://schemas.openxmlformats.org/officeDocument/2006/relationships/hyperlink" Target="https://www.tga.gov.au/scheduling-decision-interim/notice-interim-decisions-proposed-amendments-poisons-standard-acmsaccsjoint-acms-accs-meetings-march-2020" TargetMode="External"/><Relationship Id="rId46" Type="http://schemas.openxmlformats.org/officeDocument/2006/relationships/hyperlink" Target="https://www.tga.gov.au/publication/ahmac-scheduling-policy-framework-medicines-and-chemicals" TargetMode="External"/><Relationship Id="rId59" Type="http://schemas.openxmlformats.org/officeDocument/2006/relationships/hyperlink" Target="https://www.tga.gov.au/consultation-invitation/consultation-proposed-amendments-poisons-standard-accs-acms-and-joint-acmsaccs-meetings-march-2020" TargetMode="External"/><Relationship Id="rId67" Type="http://schemas.openxmlformats.org/officeDocument/2006/relationships/hyperlink" Target="https://www.tga.gov.au/publication/scheduling-handbook-guidance-amending-poisons-standard" TargetMode="External"/><Relationship Id="rId103" Type="http://schemas.openxmlformats.org/officeDocument/2006/relationships/hyperlink" Target="https://www.who.int/news-room/detail/27-07-2020-who-statement-on-heated-tobacco-products-and-the-us-fda-decision-regarding-iqos" TargetMode="External"/><Relationship Id="rId108" Type="http://schemas.openxmlformats.org/officeDocument/2006/relationships/hyperlink" Target="https://www.tga.gov.au/scheduling-decision-interim/notice-interim-decisions-proposed-amendments-poisons-standard-acmsaccsjoint-acms-accs-meetings-march-2020" TargetMode="External"/><Relationship Id="rId116" Type="http://schemas.openxmlformats.org/officeDocument/2006/relationships/hyperlink" Target="https://www.tga.gov.au/scheduling-decision-interim/notice-interim-decisions-proposed-amendments-poisons-standard-acmsaccsjoint-acms-accs-meetings-march-2020" TargetMode="External"/><Relationship Id="rId124" Type="http://schemas.openxmlformats.org/officeDocument/2006/relationships/hyperlink" Target="https://www.tga.gov.au/publication/scheduling-handbook-guidance-amending-poisons-standard" TargetMode="External"/><Relationship Id="rId129" Type="http://schemas.openxmlformats.org/officeDocument/2006/relationships/header" Target="header3.xml"/><Relationship Id="rId20" Type="http://schemas.openxmlformats.org/officeDocument/2006/relationships/hyperlink" Target="https://www.tga.gov.au/scheduling-decision-interim/notice-interim-decisions-proposed-amendments-poisons-standard-acmsaccsjoint-acms-accs-meetings-march-2020" TargetMode="External"/><Relationship Id="rId41" Type="http://schemas.openxmlformats.org/officeDocument/2006/relationships/hyperlink" Target="https://www.tga.gov.au/scheduling-decision-interim/notice-interim-decisions-proposed-amendments-poisons-standard-acmsaccsjoint-acms-accs-meetings-march-2020" TargetMode="External"/><Relationship Id="rId54" Type="http://schemas.openxmlformats.org/officeDocument/2006/relationships/hyperlink" Target="https://www.tga.gov.au/publication/scheduling-handbook-guidance-amending-poisons-standard" TargetMode="External"/><Relationship Id="rId62" Type="http://schemas.openxmlformats.org/officeDocument/2006/relationships/hyperlink" Target="https://www.tga.gov.au/publication/scheduling-handbook-guidance-amending-poisons-standard" TargetMode="External"/><Relationship Id="rId70" Type="http://schemas.openxmlformats.org/officeDocument/2006/relationships/hyperlink" Target="https://www.tga.gov.au/scheduling-submission/public-submissions-scheduling-matters-referred-acms-29-accs-27-and-joint-acms-accs-24-meetings-held-march-2020" TargetMode="External"/><Relationship Id="rId75" Type="http://schemas.openxmlformats.org/officeDocument/2006/relationships/hyperlink" Target="https://www.tga.gov.au/scheduling-decision-interim/notice-interim-decisions-proposed-amendments-poisons-standard-acmsaccsjoint-acms-accs-meetings-march-2020" TargetMode="External"/><Relationship Id="rId83" Type="http://schemas.openxmlformats.org/officeDocument/2006/relationships/hyperlink" Target="https://www.tga.gov.au/scheduling-decision-interim/notice-interim-decisions-proposed-amendments-poisons-standard-acmsaccsjoint-acms-accs-meetings-march-2020" TargetMode="External"/><Relationship Id="rId88" Type="http://schemas.openxmlformats.org/officeDocument/2006/relationships/hyperlink" Target="https://www.tga.gov.au/scheduling-submission/public-submissions-scheduling-matters-referred-acms-29-accs-27-and-joint-acms-accs-24-meetings-held-march-2020" TargetMode="External"/><Relationship Id="rId91" Type="http://schemas.openxmlformats.org/officeDocument/2006/relationships/hyperlink" Target="https://www.tga.gov.au/scheduling-decision-interim/notice-interim-decisions-proposed-amendments-poisons-standard-acmsaccsjoint-acms-accs-meetings-march-2020" TargetMode="External"/><Relationship Id="rId96" Type="http://schemas.openxmlformats.org/officeDocument/2006/relationships/hyperlink" Target="https://www.tga.gov.au/publication/scheduling-handbook-guidance-amending-poisons-standard" TargetMode="External"/><Relationship Id="rId111" Type="http://schemas.openxmlformats.org/officeDocument/2006/relationships/hyperlink" Target="https://www.tga.gov.au/scheduling-submission/public-submissions-scheduling-matters-referred-acms-29-accs-27-and-joint-acms-accs-24-meetings-held-march-2020" TargetMode="External"/><Relationship Id="rId132"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tga.gov.au/scheduling-submission/public-submissions-scheduling-matters-referred-acms-29-accs-27-and-joint-acms-accs-24-meetings-held-march-2020" TargetMode="External"/><Relationship Id="rId23" Type="http://schemas.openxmlformats.org/officeDocument/2006/relationships/hyperlink" Target="https://www.tga.gov.au/consultation-invitation/consultation-proposed-amendments-poisons-standard-accs-acms-and-joint-acmsaccs-meetings-march-2020" TargetMode="External"/><Relationship Id="rId28" Type="http://schemas.openxmlformats.org/officeDocument/2006/relationships/hyperlink" Target="https://www.tga.gov.au/consultation-invitation/consultation-proposed-amendments-poisons-standard-accs-acms-and-joint-acmsaccs-meetings-march-2020" TargetMode="External"/><Relationship Id="rId36" Type="http://schemas.openxmlformats.org/officeDocument/2006/relationships/hyperlink" Target="https://www.tga.gov.au/scheduling-submission/public-submissions-scheduling-matters-referred-acms-29-accs-27-and-joint-acms-accs-24-meetings-held-march-2020" TargetMode="External"/><Relationship Id="rId49" Type="http://schemas.openxmlformats.org/officeDocument/2006/relationships/hyperlink" Target="https://www.tga.gov.au/consultation-invitation/consultation-proposed-amendments-poisons-standard-accs-acms-and-joint-acmsaccs-meetings-march-2020" TargetMode="External"/><Relationship Id="rId57" Type="http://schemas.openxmlformats.org/officeDocument/2006/relationships/hyperlink" Target="https://www.tga.gov.au/consultation-invitation/consultation-proposed-amendments-poisons-standard-accs-acms-and-joint-acmsaccs-meetings-march-2020" TargetMode="External"/><Relationship Id="rId106" Type="http://schemas.openxmlformats.org/officeDocument/2006/relationships/hyperlink" Target="https://www.aihw.gov.au/about-our-data/our-data-collections/national-drug-strategy-household-survey/2019-ndshs" TargetMode="External"/><Relationship Id="rId114" Type="http://schemas.openxmlformats.org/officeDocument/2006/relationships/hyperlink" Target="https://www.tga.gov.au/publication/scheduling-handbook-guidance-amending-poisons-standard" TargetMode="External"/><Relationship Id="rId119" Type="http://schemas.openxmlformats.org/officeDocument/2006/relationships/hyperlink" Target="https://www.tga.gov.au/publication/ahmac-scheduling-policy-framework-medicines-and-chemicals" TargetMode="External"/><Relationship Id="rId127" Type="http://schemas.openxmlformats.org/officeDocument/2006/relationships/header" Target="header2.xml"/><Relationship Id="rId10" Type="http://schemas.openxmlformats.org/officeDocument/2006/relationships/hyperlink" Target="mailto:tga.copyright@tga.gov.au" TargetMode="External"/><Relationship Id="rId31" Type="http://schemas.openxmlformats.org/officeDocument/2006/relationships/hyperlink" Target="https://www.tga.gov.au/scheduling-decision-interim/notice-interim-decisions-proposed-amendments-poisons-standard-acmsaccsjoint-acms-accs-meetings-march-2020" TargetMode="External"/><Relationship Id="rId44" Type="http://schemas.openxmlformats.org/officeDocument/2006/relationships/hyperlink" Target="https://www.tga.gov.au/consultation-invitation/consultation-proposed-amendments-poisons-standard-accs-acms-and-joint-acmsaccs-meetings-march-2020" TargetMode="External"/><Relationship Id="rId52" Type="http://schemas.openxmlformats.org/officeDocument/2006/relationships/hyperlink" Target="https://www.tga.gov.au/scheduling-decision-interim/notice-interim-decisions-proposed-amendments-poisons-standard-acmsaccsjoint-acms-accs-meetings-march-2020" TargetMode="External"/><Relationship Id="rId60" Type="http://schemas.openxmlformats.org/officeDocument/2006/relationships/hyperlink" Target="https://www.tga.gov.au/scheduling-decision-interim/notice-interim-decisions-proposed-amendments-poisons-standard-acmsaccsjoint-acms-accs-meetings-march-2020" TargetMode="External"/><Relationship Id="rId65" Type="http://schemas.openxmlformats.org/officeDocument/2006/relationships/hyperlink" Target="https://www.tga.gov.au/consultation-invitation/consultation-proposed-amendments-poisons-standard-accs-acms-and-joint-acmsaccs-meetings-march-2020" TargetMode="External"/><Relationship Id="rId73" Type="http://schemas.openxmlformats.org/officeDocument/2006/relationships/hyperlink" Target="https://www.tga.gov.au/publication/ahmac-scheduling-policy-framework-medicines-and-chemicals" TargetMode="External"/><Relationship Id="rId78" Type="http://schemas.openxmlformats.org/officeDocument/2006/relationships/hyperlink" Target="https://www.tga.gov.au/publication/scheduling-handbook-guidance-amending-poisons-standard" TargetMode="External"/><Relationship Id="rId81" Type="http://schemas.openxmlformats.org/officeDocument/2006/relationships/hyperlink" Target="https://www.tga.gov.au/scheduling-submission/public-submissions-scheduling-matters-referred-acms-29-accs-27-and-joint-acms-accs-24-meetings-held-march-2020" TargetMode="External"/><Relationship Id="rId86" Type="http://schemas.openxmlformats.org/officeDocument/2006/relationships/hyperlink" Target="https://www.tga.gov.au/scheduling-decision-interim/notice-interim-decisions-proposed-amendments-poisons-standard-acmsaccsjoint-acms-accs-meetings-march-2020" TargetMode="External"/><Relationship Id="rId94" Type="http://schemas.openxmlformats.org/officeDocument/2006/relationships/hyperlink" Target="https://www.tga.gov.au/consultation-invitation/consultation-proposed-amendments-poisons-standard-accs-acms-and-joint-acmsaccs-meetings-march-2020" TargetMode="External"/><Relationship Id="rId99" Type="http://schemas.openxmlformats.org/officeDocument/2006/relationships/hyperlink" Target="https://www.fda.gov/news-events/press-announcements/fda-permits-sale-iqos-tobacco-heating-system-through-premarket-tobacco-product-application-pathway" TargetMode="External"/><Relationship Id="rId101" Type="http://schemas.openxmlformats.org/officeDocument/2006/relationships/hyperlink" Target="https://www.fda.gov/news-events/press-announcements/fda-authorizes-marketing-iqos-tobacco-heating-system-reduced-exposure-information" TargetMode="External"/><Relationship Id="rId122" Type="http://schemas.openxmlformats.org/officeDocument/2006/relationships/hyperlink" Target="https://www.tga.gov.au/publication/scheduling-handbook-guidance-amending-poisons-standard" TargetMode="External"/><Relationship Id="rId13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s://www.tga.gov.au/scheduling-decision-interim/notice-interim-decisions-proposed-amendments-poisons-standard-acmsaccsjoint-acms-accs-meetings-march-2020" TargetMode="External"/><Relationship Id="rId18" Type="http://schemas.openxmlformats.org/officeDocument/2006/relationships/hyperlink" Target="https://www.tga.gov.au/publication/ahmac-scheduling-policy-framework-medicines-and-chemicals" TargetMode="External"/><Relationship Id="rId39" Type="http://schemas.openxmlformats.org/officeDocument/2006/relationships/hyperlink" Target="https://www.tga.gov.au/publication/ahmac-scheduling-policy-framework-medicines-and-chemicals" TargetMode="External"/><Relationship Id="rId109" Type="http://schemas.openxmlformats.org/officeDocument/2006/relationships/hyperlink" Target="https://www.tga.gov.au/consultation-invitation/consultation-proposed-amendments-poisons-standard-accs-acms-and-joint-acmsaccs-meetings-march-2020" TargetMode="External"/><Relationship Id="rId34" Type="http://schemas.openxmlformats.org/officeDocument/2006/relationships/hyperlink" Target="https://www.tga.gov.au/scheduling-decision-interim/notice-interim-decisions-proposed-amendments-poisons-standard-acmsaccsjoint-acms-accs-meetings-march-2020" TargetMode="External"/><Relationship Id="rId50" Type="http://schemas.openxmlformats.org/officeDocument/2006/relationships/hyperlink" Target="https://www.tga.gov.au/scheduling-submission/public-submissions-scheduling-matters-referred-acms-29-accs-27-and-joint-acms-accs-24-meetings-held-march-2020" TargetMode="External"/><Relationship Id="rId55" Type="http://schemas.openxmlformats.org/officeDocument/2006/relationships/hyperlink" Target="https://www.tga.gov.au/scheduling-decision-interim/notice-interim-decisions-proposed-amendments-poisons-standard-acmsaccsjoint-acms-accs-meetings-march-2020" TargetMode="External"/><Relationship Id="rId76" Type="http://schemas.openxmlformats.org/officeDocument/2006/relationships/hyperlink" Target="https://www.tga.gov.au/consultation-invitation/consultation-proposed-amendments-poisons-standard-accs-acms-and-joint-acmsaccs-meetings-march-2020" TargetMode="External"/><Relationship Id="rId97" Type="http://schemas.openxmlformats.org/officeDocument/2006/relationships/hyperlink" Target="https://www.who.int/tobacco/publications/prod_regulation/htps-marketing-monitoring/en/" TargetMode="External"/><Relationship Id="rId104" Type="http://schemas.openxmlformats.org/officeDocument/2006/relationships/hyperlink" Target="https://www.euro.who.int/en/health-topics/disease-prevention/tobacco/publications/2020/heated-tobacco-products-a-brief-2020" TargetMode="External"/><Relationship Id="rId120" Type="http://schemas.openxmlformats.org/officeDocument/2006/relationships/hyperlink" Target="https://www.tga.gov.au/publication/scheduling-handbook-guidance-amending-poisons-standard" TargetMode="External"/><Relationship Id="rId125" Type="http://schemas.openxmlformats.org/officeDocument/2006/relationships/hyperlink" Target="https://www.tga.gov.au/publication/ahmac-scheduling-policy-framework-medicines-and-chemicals" TargetMode="External"/><Relationship Id="rId7" Type="http://schemas.openxmlformats.org/officeDocument/2006/relationships/endnotes" Target="endnotes.xml"/><Relationship Id="rId71" Type="http://schemas.openxmlformats.org/officeDocument/2006/relationships/hyperlink" Target="https://www.tga.gov.au/consultation-invitation/consultation-proposed-amendments-poisons-standard-accs-acms-and-joint-acmsaccs-meetings-march-2020" TargetMode="External"/><Relationship Id="rId92" Type="http://schemas.openxmlformats.org/officeDocument/2006/relationships/hyperlink" Target="https://www.tga.gov.au/consultation-invitation/consultation-proposed-amendments-poisons-standard-accs-acms-and-joint-acmsaccs-meetings-march-2020" TargetMode="External"/><Relationship Id="rId2" Type="http://schemas.openxmlformats.org/officeDocument/2006/relationships/numbering" Target="numbering.xml"/><Relationship Id="rId29" Type="http://schemas.openxmlformats.org/officeDocument/2006/relationships/hyperlink" Target="https://www.tga.gov.au/scheduling-submission/public-submissions-scheduling-matters-referred-acms-29-accs-27-and-joint-acms-accs-24-meetings-held-march-2020" TargetMode="External"/><Relationship Id="rId24" Type="http://schemas.openxmlformats.org/officeDocument/2006/relationships/hyperlink" Target="https://www.tga.gov.au/scheduling-decision-interim/notice-interim-decisions-proposed-amendments-poisons-standard-acmsaccsjoint-acms-accs-meetings-march-2020" TargetMode="External"/><Relationship Id="rId40" Type="http://schemas.openxmlformats.org/officeDocument/2006/relationships/hyperlink" Target="https://www.tga.gov.au/publication/scheduling-handbook-guidance-amending-poisons-standard" TargetMode="External"/><Relationship Id="rId45" Type="http://schemas.openxmlformats.org/officeDocument/2006/relationships/hyperlink" Target="https://www.tga.gov.au/scheduling-decision-interim/notice-interim-decisions-proposed-amendments-poisons-standard-acmsaccsjoint-acms-accs-meetings-march-2020" TargetMode="External"/><Relationship Id="rId66" Type="http://schemas.openxmlformats.org/officeDocument/2006/relationships/hyperlink" Target="https://www.tga.gov.au/publication/ahmac-scheduling-policy-framework-medicines-and-chemicals" TargetMode="External"/><Relationship Id="rId87" Type="http://schemas.openxmlformats.org/officeDocument/2006/relationships/hyperlink" Target="https://www.tga.gov.au/consultation-invitation/consultation-proposed-amendments-poisons-standard-joint-accsacms-meetings-march-2020" TargetMode="External"/><Relationship Id="rId110" Type="http://schemas.openxmlformats.org/officeDocument/2006/relationships/hyperlink" Target="https://www.tga.gov.au/consultation-invitation/consultation-proposed-amendments-poisons-standard-accs-acms-and-joint-acmsaccs-meetings-march-2020" TargetMode="External"/><Relationship Id="rId115" Type="http://schemas.openxmlformats.org/officeDocument/2006/relationships/hyperlink" Target="https://www.tga.gov.au/sites/default/files/notice-interim-decisions-proposed-amendments-poisons-standard-acmsaccsjoint-acms-accs-meetings-march-2020-ncis.pdf" TargetMode="External"/><Relationship Id="rId131" Type="http://schemas.openxmlformats.org/officeDocument/2006/relationships/fontTable" Target="fontTable.xml"/><Relationship Id="rId61" Type="http://schemas.openxmlformats.org/officeDocument/2006/relationships/hyperlink" Target="https://www.tga.gov.au/publication/ahmac-scheduling-policy-framework-medicines-and-chemicals" TargetMode="External"/><Relationship Id="rId82" Type="http://schemas.openxmlformats.org/officeDocument/2006/relationships/hyperlink" Target="https://www.tga.gov.au/consultation-invitation/consultation-proposed-amendments-poisons-standard-joint-accsacms-meetings-march-2020" TargetMode="External"/><Relationship Id="rId19" Type="http://schemas.openxmlformats.org/officeDocument/2006/relationships/hyperlink" Target="https://www.tga.gov.au/publication/scheduling-handbook-guidance-amending-poisons-standard"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uro.who.int/en/health-topics/disease-prevention/tobacco/publications/2020/heated-tobacco-products-a-brief-2020" TargetMode="External"/><Relationship Id="rId2" Type="http://schemas.openxmlformats.org/officeDocument/2006/relationships/hyperlink" Target="https://www.cdc.gov/tobacco/basic_information/heated-tobacco-products/index.html" TargetMode="External"/><Relationship Id="rId1" Type="http://schemas.openxmlformats.org/officeDocument/2006/relationships/hyperlink" Target="https://www.aihw.gov.au/about-our-data/our-data-collections/national-drug-strategy-household-survey/2019-ndshs" TargetMode="External"/><Relationship Id="rId4" Type="http://schemas.openxmlformats.org/officeDocument/2006/relationships/hyperlink" Target="https://www.fda.gov/news-events/press-announcements/fda-authorizes-marketing-iqos-tobacco-heating-system-reduced-exposure-informatio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mic\AppData\Local\Hewlett-Packard\HP%20TRIM\TEMP\HPTRIM.7372\R14%201178772%20%20Template%20%23011%20-%20Minutes%20-%20ACM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9299FC480794A4CA40525251C051B4B"/>
        <w:category>
          <w:name w:val="General"/>
          <w:gallery w:val="placeholder"/>
        </w:category>
        <w:types>
          <w:type w:val="bbPlcHdr"/>
        </w:types>
        <w:behaviors>
          <w:behavior w:val="content"/>
        </w:behaviors>
        <w:guid w:val="{23530AA8-BECD-4791-B8CA-AE8B871BABFA}"/>
      </w:docPartPr>
      <w:docPartBody>
        <w:p w:rsidR="0007382C" w:rsidRDefault="0007382C" w:rsidP="0007382C">
          <w:pPr>
            <w:pStyle w:val="D9299FC480794A4CA40525251C051B4B"/>
          </w:pPr>
          <w:r w:rsidRPr="009F476B">
            <w:rPr>
              <w:rStyle w:val="PlaceholderText"/>
            </w:rPr>
            <w:t>Click here to enter a date.</w:t>
          </w:r>
        </w:p>
      </w:docPartBody>
    </w:docPart>
    <w:docPart>
      <w:docPartPr>
        <w:name w:val="B53ADB4734124032AB433C8D7CB36C4D"/>
        <w:category>
          <w:name w:val="General"/>
          <w:gallery w:val="placeholder"/>
        </w:category>
        <w:types>
          <w:type w:val="bbPlcHdr"/>
        </w:types>
        <w:behaviors>
          <w:behavior w:val="content"/>
        </w:behaviors>
        <w:guid w:val="{A6DADE56-80A6-4017-A355-E58D3361E9AD}"/>
      </w:docPartPr>
      <w:docPartBody>
        <w:p w:rsidR="0007382C" w:rsidRDefault="0007382C" w:rsidP="0007382C">
          <w:pPr>
            <w:pStyle w:val="B53ADB4734124032AB433C8D7CB36C4D"/>
          </w:pPr>
          <w:r w:rsidRPr="009F476B">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A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ACFFCFA" w:usb2="00000016" w:usb3="00000000" w:csb0="00100001" w:csb1="00000000"/>
  </w:font>
  <w:font w:name="Cambria-Bold">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82C"/>
    <w:rsid w:val="0007382C"/>
    <w:rsid w:val="00246523"/>
    <w:rsid w:val="002D66CD"/>
    <w:rsid w:val="002E3E12"/>
    <w:rsid w:val="002F173F"/>
    <w:rsid w:val="00301E80"/>
    <w:rsid w:val="0033251D"/>
    <w:rsid w:val="00410B59"/>
    <w:rsid w:val="00462281"/>
    <w:rsid w:val="004E6767"/>
    <w:rsid w:val="005239EF"/>
    <w:rsid w:val="00714051"/>
    <w:rsid w:val="0072225D"/>
    <w:rsid w:val="007D1046"/>
    <w:rsid w:val="009410B8"/>
    <w:rsid w:val="009B67B6"/>
    <w:rsid w:val="00AB7052"/>
    <w:rsid w:val="00AE507B"/>
    <w:rsid w:val="00BB25DB"/>
    <w:rsid w:val="00D8050F"/>
    <w:rsid w:val="00E83785"/>
    <w:rsid w:val="00ED070C"/>
    <w:rsid w:val="00F53B95"/>
    <w:rsid w:val="00FC6435"/>
    <w:rsid w:val="00FE6E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382C"/>
    <w:rPr>
      <w:color w:val="808080"/>
    </w:rPr>
  </w:style>
  <w:style w:type="paragraph" w:customStyle="1" w:styleId="D9299FC480794A4CA40525251C051B4B">
    <w:name w:val="D9299FC480794A4CA40525251C051B4B"/>
    <w:rsid w:val="0007382C"/>
  </w:style>
  <w:style w:type="paragraph" w:customStyle="1" w:styleId="B53ADB4734124032AB433C8D7CB36C4D">
    <w:name w:val="B53ADB4734124032AB433C8D7CB36C4D"/>
    <w:rsid w:val="000738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6604C-02DD-4A95-8AA4-5055FF2DC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R14 1178772  Template #011 - Minutes - ACMS.DOTX</Template>
  <TotalTime>632</TotalTime>
  <Pages>34</Pages>
  <Words>14254</Words>
  <Characters>81251</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TGA</Company>
  <LinksUpToDate>false</LinksUpToDate>
  <CharactersWithSpaces>95315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notice of final decisions - ACMS#29, ACCS#27, Joint ACMS-ACCS#24 (March 2020)</dc:title>
  <dc:subject>scheduling</dc:subject>
  <dc:creator>Therapeutic Goods Administration</dc:creator>
  <dc:description>template v1.4</dc:description>
  <cp:lastPrinted>2020-08-10T04:54:00Z</cp:lastPrinted>
  <dcterms:created xsi:type="dcterms:W3CDTF">2020-08-12T05:08:00Z</dcterms:created>
  <dcterms:modified xsi:type="dcterms:W3CDTF">2020-08-24T01:10:00Z</dcterms:modified>
</cp:coreProperties>
</file>