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68731F41" w14:textId="77777777" w:rsidTr="002B29B2">
        <w:tc>
          <w:tcPr>
            <w:tcW w:w="8720" w:type="dxa"/>
          </w:tcPr>
          <w:p w14:paraId="7EADB12E" w14:textId="08795D53" w:rsidR="00F401EF" w:rsidRPr="00215D48" w:rsidRDefault="0077019C" w:rsidP="00536EFD">
            <w:pPr>
              <w:pStyle w:val="Title"/>
            </w:pPr>
            <w:r>
              <w:t xml:space="preserve">Priority </w:t>
            </w:r>
            <w:r w:rsidR="00E839EE">
              <w:t>a</w:t>
            </w:r>
            <w:r w:rsidR="006C5914">
              <w:t>pp</w:t>
            </w:r>
            <w:r w:rsidR="00A37373">
              <w:t>lica</w:t>
            </w:r>
            <w:r w:rsidR="005F12F3">
              <w:t>nt</w:t>
            </w:r>
            <w:r w:rsidR="00A37373">
              <w:t xml:space="preserve"> </w:t>
            </w:r>
            <w:r w:rsidR="008F4B2A">
              <w:t>guidelines</w:t>
            </w:r>
            <w:r w:rsidR="00F356FC">
              <w:t xml:space="preserve"> for medical devices </w:t>
            </w:r>
            <w:r w:rsidR="00EB1DC5">
              <w:t>(</w:t>
            </w:r>
            <w:r w:rsidR="00F356FC">
              <w:t>including IVD</w:t>
            </w:r>
            <w:r w:rsidR="00EB1DC5">
              <w:t>s)</w:t>
            </w:r>
          </w:p>
        </w:tc>
      </w:tr>
      <w:tr w:rsidR="002B29B2" w:rsidRPr="00215D48" w14:paraId="713F4090" w14:textId="77777777" w:rsidTr="002B29B2">
        <w:trPr>
          <w:trHeight w:val="1916"/>
        </w:trPr>
        <w:tc>
          <w:tcPr>
            <w:tcW w:w="8720" w:type="dxa"/>
          </w:tcPr>
          <w:p w14:paraId="2382F009" w14:textId="7B902F01" w:rsidR="00F401EF" w:rsidRPr="00215D48" w:rsidRDefault="00CD54D0" w:rsidP="00536EFD">
            <w:pPr>
              <w:pStyle w:val="Subtitle"/>
              <w:framePr w:hSpace="0" w:wrap="auto" w:vAnchor="margin" w:hAnchor="text" w:yAlign="inline"/>
            </w:pPr>
            <w:r>
              <w:t>Priority applicant determination c</w:t>
            </w:r>
            <w:r w:rsidR="00EB1DC5">
              <w:t>riteria and</w:t>
            </w:r>
            <w:r w:rsidR="00536EFD">
              <w:t xml:space="preserve"> process</w:t>
            </w:r>
          </w:p>
        </w:tc>
      </w:tr>
      <w:tr w:rsidR="002B29B2" w:rsidRPr="00215D48" w14:paraId="75DC5A56" w14:textId="77777777" w:rsidTr="002B29B2">
        <w:tc>
          <w:tcPr>
            <w:tcW w:w="8720" w:type="dxa"/>
          </w:tcPr>
          <w:p w14:paraId="229CD677" w14:textId="3058872B" w:rsidR="002B29B2" w:rsidRPr="00215D48" w:rsidRDefault="001B6556" w:rsidP="00536EFD">
            <w:pPr>
              <w:pStyle w:val="Date"/>
            </w:pPr>
            <w:r>
              <w:t>Version 2.0,</w:t>
            </w:r>
            <w:r w:rsidR="006F6280">
              <w:t xml:space="preserve"> </w:t>
            </w:r>
            <w:r w:rsidR="00536EFD">
              <w:t>December</w:t>
            </w:r>
            <w:r>
              <w:t xml:space="preserve"> </w:t>
            </w:r>
            <w:r w:rsidR="00903A20">
              <w:t>2020</w:t>
            </w:r>
          </w:p>
        </w:tc>
      </w:tr>
    </w:tbl>
    <w:p w14:paraId="21827D8B"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5F85A7B6" w14:textId="77777777" w:rsidR="001C2B48" w:rsidRPr="00E1198B" w:rsidRDefault="001C2B48" w:rsidP="001C2B48">
      <w:pPr>
        <w:pStyle w:val="LegalSubheading"/>
      </w:pPr>
      <w:r w:rsidRPr="00BA0DFC">
        <w:lastRenderedPageBreak/>
        <w:t>Copyright</w:t>
      </w:r>
    </w:p>
    <w:p w14:paraId="5E011A42" w14:textId="430986D0" w:rsidR="00BE0DDE" w:rsidRDefault="005D1689" w:rsidP="00903A20">
      <w:pPr>
        <w:pStyle w:val="LegalCopy"/>
        <w:spacing w:after="240"/>
        <w:rPr>
          <w:rFonts w:cs="Arial"/>
        </w:rPr>
      </w:pPr>
      <w:r w:rsidRPr="00215D48">
        <w:rPr>
          <w:rFonts w:cs="Arial"/>
        </w:rPr>
        <w:t>© Commonwealth of Australia 20</w:t>
      </w:r>
      <w:r w:rsidR="00903A20">
        <w:rPr>
          <w:rFonts w:cs="Arial"/>
        </w:rPr>
        <w:t>20</w:t>
      </w:r>
      <w:r w:rsidRPr="00215D48">
        <w:rPr>
          <w:rFonts w:cs="Arial"/>
        </w:rPr>
        <w:br/>
      </w:r>
      <w:proofErr w:type="gramStart"/>
      <w:r w:rsidRPr="00215D48">
        <w:rPr>
          <w:rFonts w:cs="Arial"/>
        </w:rPr>
        <w:t>This</w:t>
      </w:r>
      <w:proofErr w:type="gramEnd"/>
      <w:r w:rsidRPr="00215D48">
        <w:rPr>
          <w:rFonts w:cs="Arial"/>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w:t>
      </w:r>
      <w:bookmarkStart w:id="0" w:name="_GoBack"/>
      <w:bookmarkEnd w:id="0"/>
      <w:r w:rsidRPr="00215D48">
        <w:rPr>
          <w:rFonts w:cs="Arial"/>
        </w:rPr>
        <w:t xml:space="preserve">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tbl>
      <w:tblPr>
        <w:tblW w:w="8931" w:type="dxa"/>
        <w:tblInd w:w="170" w:type="dxa"/>
        <w:tblBorders>
          <w:top w:val="single" w:sz="12" w:space="0" w:color="003654" w:themeColor="accent1" w:themeShade="80"/>
          <w:left w:val="single" w:sz="12" w:space="0" w:color="003654" w:themeColor="accent1" w:themeShade="80"/>
          <w:bottom w:val="single" w:sz="12" w:space="0" w:color="003654" w:themeColor="accent1" w:themeShade="80"/>
          <w:right w:val="single" w:sz="12" w:space="0" w:color="003654" w:themeColor="accent1" w:themeShade="80"/>
          <w:insideH w:val="single" w:sz="12" w:space="0" w:color="003654" w:themeColor="accent1" w:themeShade="80"/>
          <w:insideV w:val="single" w:sz="12" w:space="0" w:color="003654" w:themeColor="accent1" w:themeShade="80"/>
        </w:tblBorders>
        <w:shd w:val="clear" w:color="auto" w:fill="E7F5FF"/>
        <w:tblLayout w:type="fixed"/>
        <w:tblCellMar>
          <w:left w:w="0" w:type="dxa"/>
          <w:right w:w="0" w:type="dxa"/>
        </w:tblCellMar>
        <w:tblLook w:val="04A0" w:firstRow="1" w:lastRow="0" w:firstColumn="1" w:lastColumn="0" w:noHBand="0" w:noVBand="1"/>
      </w:tblPr>
      <w:tblGrid>
        <w:gridCol w:w="8931"/>
      </w:tblGrid>
      <w:tr w:rsidR="00BE0DDE" w:rsidRPr="00924247" w14:paraId="285ECF1C" w14:textId="77777777" w:rsidTr="006C12A8">
        <w:trPr>
          <w:trHeight w:val="1206"/>
        </w:trPr>
        <w:tc>
          <w:tcPr>
            <w:tcW w:w="8931" w:type="dxa"/>
            <w:shd w:val="clear" w:color="auto" w:fill="E7F5FF"/>
            <w:tcMar>
              <w:top w:w="170" w:type="dxa"/>
              <w:left w:w="170" w:type="dxa"/>
              <w:bottom w:w="170" w:type="dxa"/>
              <w:right w:w="170" w:type="dxa"/>
            </w:tcMar>
          </w:tcPr>
          <w:p w14:paraId="6B594624" w14:textId="3BC3FBE7" w:rsidR="00BE0DDE" w:rsidRPr="00E90C8E" w:rsidRDefault="00BE0DDE" w:rsidP="006C12A8">
            <w:pPr>
              <w:spacing w:before="0" w:after="120"/>
              <w:rPr>
                <w:color w:val="003654" w:themeColor="accent1" w:themeShade="80"/>
                <w:sz w:val="20"/>
              </w:rPr>
            </w:pPr>
            <w:r w:rsidRPr="00E90C8E">
              <w:rPr>
                <w:color w:val="003654" w:themeColor="accent1" w:themeShade="80"/>
                <w:sz w:val="20"/>
              </w:rPr>
              <w:t xml:space="preserve">The purpose of this guidance is to help </w:t>
            </w:r>
            <w:r>
              <w:rPr>
                <w:color w:val="003654" w:themeColor="accent1" w:themeShade="80"/>
                <w:sz w:val="20"/>
              </w:rPr>
              <w:t>manufacturers and sponsors</w:t>
            </w:r>
            <w:r w:rsidRPr="00E90C8E">
              <w:rPr>
                <w:color w:val="003654" w:themeColor="accent1" w:themeShade="80"/>
                <w:sz w:val="20"/>
              </w:rPr>
              <w:t xml:space="preserve"> understand </w:t>
            </w:r>
            <w:r w:rsidR="008B31D7">
              <w:rPr>
                <w:color w:val="003654" w:themeColor="accent1" w:themeShade="80"/>
                <w:sz w:val="20"/>
              </w:rPr>
              <w:t>legislative requirements and TGA processes</w:t>
            </w:r>
            <w:r w:rsidRPr="00E90C8E">
              <w:rPr>
                <w:color w:val="003654" w:themeColor="accent1" w:themeShade="80"/>
                <w:sz w:val="20"/>
              </w:rPr>
              <w:t xml:space="preserve">, and </w:t>
            </w:r>
            <w:r w:rsidR="00E11448">
              <w:rPr>
                <w:color w:val="003654" w:themeColor="accent1" w:themeShade="80"/>
                <w:sz w:val="20"/>
              </w:rPr>
              <w:t>provide</w:t>
            </w:r>
            <w:r w:rsidR="00953B03">
              <w:rPr>
                <w:color w:val="003654" w:themeColor="accent1" w:themeShade="80"/>
                <w:sz w:val="20"/>
              </w:rPr>
              <w:t xml:space="preserve"> guidance on </w:t>
            </w:r>
            <w:r w:rsidRPr="00E90C8E">
              <w:rPr>
                <w:color w:val="003654" w:themeColor="accent1" w:themeShade="80"/>
                <w:sz w:val="20"/>
              </w:rPr>
              <w:t xml:space="preserve">how </w:t>
            </w:r>
            <w:r>
              <w:rPr>
                <w:color w:val="003654" w:themeColor="accent1" w:themeShade="80"/>
                <w:sz w:val="20"/>
              </w:rPr>
              <w:t xml:space="preserve">to </w:t>
            </w:r>
            <w:r w:rsidRPr="00E90C8E">
              <w:rPr>
                <w:color w:val="003654" w:themeColor="accent1" w:themeShade="80"/>
                <w:sz w:val="20"/>
              </w:rPr>
              <w:t>comply</w:t>
            </w:r>
            <w:r w:rsidR="008B31D7">
              <w:rPr>
                <w:color w:val="003654" w:themeColor="accent1" w:themeShade="80"/>
                <w:sz w:val="20"/>
              </w:rPr>
              <w:t xml:space="preserve"> with</w:t>
            </w:r>
            <w:r w:rsidR="00DB3BD8">
              <w:rPr>
                <w:color w:val="003654" w:themeColor="accent1" w:themeShade="80"/>
                <w:sz w:val="20"/>
              </w:rPr>
              <w:t xml:space="preserve"> these</w:t>
            </w:r>
            <w:r w:rsidR="008B31D7">
              <w:rPr>
                <w:color w:val="003654" w:themeColor="accent1" w:themeShade="80"/>
                <w:sz w:val="20"/>
              </w:rPr>
              <w:t xml:space="preserve"> requirements</w:t>
            </w:r>
            <w:r w:rsidRPr="00E90C8E">
              <w:rPr>
                <w:color w:val="003654" w:themeColor="accent1" w:themeShade="80"/>
                <w:sz w:val="20"/>
              </w:rPr>
              <w:t>.</w:t>
            </w:r>
          </w:p>
          <w:p w14:paraId="5AE4D00F" w14:textId="7047C0E7" w:rsidR="00BE0DDE" w:rsidRPr="00E90C8E" w:rsidRDefault="00BE0DDE" w:rsidP="006C12A8">
            <w:pPr>
              <w:pStyle w:val="ListBullet"/>
              <w:numPr>
                <w:ilvl w:val="0"/>
                <w:numId w:val="0"/>
              </w:numPr>
              <w:spacing w:after="120"/>
              <w:rPr>
                <w:color w:val="003654" w:themeColor="accent1" w:themeShade="80"/>
                <w:sz w:val="20"/>
              </w:rPr>
            </w:pPr>
            <w:r w:rsidRPr="00E90C8E">
              <w:rPr>
                <w:color w:val="003654" w:themeColor="accent1" w:themeShade="80"/>
                <w:sz w:val="20"/>
              </w:rPr>
              <w:t>This is a guide only, and manufacturers and sponsors are encouraged to familiarise themselves with the legislative</w:t>
            </w:r>
            <w:r w:rsidR="00953B03">
              <w:rPr>
                <w:color w:val="003654" w:themeColor="accent1" w:themeShade="80"/>
                <w:sz w:val="20"/>
              </w:rPr>
              <w:t xml:space="preserve"> requirements</w:t>
            </w:r>
            <w:r w:rsidRPr="00E90C8E">
              <w:rPr>
                <w:color w:val="003654" w:themeColor="accent1" w:themeShade="80"/>
                <w:sz w:val="20"/>
              </w:rPr>
              <w:t xml:space="preserve"> and regulatory </w:t>
            </w:r>
            <w:r w:rsidR="00953B03">
              <w:rPr>
                <w:color w:val="003654" w:themeColor="accent1" w:themeShade="80"/>
                <w:sz w:val="20"/>
              </w:rPr>
              <w:t xml:space="preserve">processes </w:t>
            </w:r>
            <w:r w:rsidRPr="00E90C8E">
              <w:rPr>
                <w:color w:val="003654" w:themeColor="accent1" w:themeShade="80"/>
                <w:sz w:val="20"/>
              </w:rPr>
              <w:t xml:space="preserve">in Australia. </w:t>
            </w:r>
            <w:r w:rsidR="00953B03">
              <w:rPr>
                <w:color w:val="003654" w:themeColor="accent1" w:themeShade="80"/>
                <w:sz w:val="20"/>
              </w:rPr>
              <w:t>I</w:t>
            </w:r>
            <w:r w:rsidRPr="00E90C8E">
              <w:rPr>
                <w:color w:val="003654" w:themeColor="accent1" w:themeShade="80"/>
                <w:sz w:val="20"/>
              </w:rPr>
              <w:t xml:space="preserve">t is the responsibility of each manufacturer or sponsor to understand and comply with </w:t>
            </w:r>
            <w:r w:rsidR="00953B03">
              <w:rPr>
                <w:color w:val="003654" w:themeColor="accent1" w:themeShade="80"/>
                <w:sz w:val="20"/>
              </w:rPr>
              <w:t xml:space="preserve">legislative </w:t>
            </w:r>
            <w:r w:rsidRPr="00E90C8E">
              <w:rPr>
                <w:color w:val="003654" w:themeColor="accent1" w:themeShade="80"/>
                <w:sz w:val="20"/>
              </w:rPr>
              <w:t>requirements.</w:t>
            </w:r>
            <w:r w:rsidR="00953B03">
              <w:rPr>
                <w:color w:val="003654" w:themeColor="accent1" w:themeShade="80"/>
                <w:sz w:val="20"/>
              </w:rPr>
              <w:t xml:space="preserve">  If necessary, </w:t>
            </w:r>
            <w:r w:rsidR="00C9597F">
              <w:rPr>
                <w:color w:val="003654" w:themeColor="accent1" w:themeShade="80"/>
                <w:sz w:val="20"/>
              </w:rPr>
              <w:t xml:space="preserve">manufacturers and sponsors should </w:t>
            </w:r>
            <w:r w:rsidR="00953B03">
              <w:rPr>
                <w:color w:val="003654" w:themeColor="accent1" w:themeShade="80"/>
                <w:sz w:val="20"/>
              </w:rPr>
              <w:t>seek professional advice.</w:t>
            </w:r>
          </w:p>
          <w:p w14:paraId="170EA864" w14:textId="375845D3" w:rsidR="00BE0DDE" w:rsidRPr="00924247" w:rsidRDefault="00BE0DDE" w:rsidP="00AB7B4E">
            <w:pPr>
              <w:pStyle w:val="ListBullet"/>
              <w:numPr>
                <w:ilvl w:val="0"/>
                <w:numId w:val="0"/>
              </w:numPr>
              <w:spacing w:after="0"/>
            </w:pPr>
            <w:r w:rsidRPr="00E90C8E">
              <w:rPr>
                <w:color w:val="003654" w:themeColor="accent1" w:themeShade="80"/>
                <w:sz w:val="20"/>
              </w:rPr>
              <w:t xml:space="preserve">This document </w:t>
            </w:r>
            <w:r w:rsidR="00AB7B4E">
              <w:rPr>
                <w:color w:val="003654" w:themeColor="accent1" w:themeShade="80"/>
                <w:sz w:val="20"/>
              </w:rPr>
              <w:t xml:space="preserve">may be </w:t>
            </w:r>
            <w:r w:rsidRPr="00E90C8E">
              <w:rPr>
                <w:color w:val="003654" w:themeColor="accent1" w:themeShade="80"/>
                <w:sz w:val="20"/>
              </w:rPr>
              <w:t>update</w:t>
            </w:r>
            <w:r w:rsidR="00AB7B4E">
              <w:rPr>
                <w:color w:val="003654" w:themeColor="accent1" w:themeShade="80"/>
                <w:sz w:val="20"/>
              </w:rPr>
              <w:t>d over time</w:t>
            </w:r>
            <w:r w:rsidRPr="00E90C8E">
              <w:rPr>
                <w:color w:val="003654" w:themeColor="accent1" w:themeShade="80"/>
                <w:sz w:val="20"/>
              </w:rPr>
              <w:t xml:space="preserve"> as required. Feedback on the guidance is always welcome.</w:t>
            </w:r>
          </w:p>
        </w:tc>
      </w:tr>
    </w:tbl>
    <w:p w14:paraId="583C2349" w14:textId="77777777" w:rsidR="00F274A2" w:rsidRDefault="00F274A2" w:rsidP="0029069E">
      <w:pPr>
        <w:pStyle w:val="LegalCopy"/>
        <w:rPr>
          <w:rFonts w:cs="Arial"/>
        </w:rPr>
      </w:pPr>
      <w:r>
        <w:rPr>
          <w:rFonts w:cs="Arial"/>
        </w:rPr>
        <w:br w:type="page"/>
      </w:r>
    </w:p>
    <w:sdt>
      <w:sdtPr>
        <w:rPr>
          <w:rFonts w:ascii="Cambria" w:hAnsi="Cambria"/>
          <w:b w:val="0"/>
          <w:sz w:val="22"/>
        </w:rPr>
        <w:id w:val="21514769"/>
        <w:docPartObj>
          <w:docPartGallery w:val="Table of Contents"/>
          <w:docPartUnique/>
        </w:docPartObj>
      </w:sdtPr>
      <w:sdtEndPr/>
      <w:sdtContent>
        <w:p w14:paraId="1622979D" w14:textId="7E205144" w:rsidR="00F401EF" w:rsidRPr="00215D48" w:rsidRDefault="00F401EF" w:rsidP="000975E1">
          <w:pPr>
            <w:pStyle w:val="NonTOCheading2"/>
          </w:pPr>
          <w:r w:rsidRPr="00215D48">
            <w:t>Contents</w:t>
          </w:r>
        </w:p>
        <w:p w14:paraId="3D4EBEF8" w14:textId="186DC8C0" w:rsidR="00AD2B93"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55923619" w:history="1">
            <w:r w:rsidR="00AD2B93" w:rsidRPr="00C14979">
              <w:rPr>
                <w:rStyle w:val="Hyperlink"/>
                <w:noProof/>
              </w:rPr>
              <w:t>About these guidelines</w:t>
            </w:r>
            <w:r w:rsidR="00AD2B93">
              <w:rPr>
                <w:noProof/>
                <w:webHidden/>
              </w:rPr>
              <w:tab/>
            </w:r>
            <w:r w:rsidR="00AD2B93">
              <w:rPr>
                <w:noProof/>
                <w:webHidden/>
              </w:rPr>
              <w:fldChar w:fldCharType="begin"/>
            </w:r>
            <w:r w:rsidR="00AD2B93">
              <w:rPr>
                <w:noProof/>
                <w:webHidden/>
              </w:rPr>
              <w:instrText xml:space="preserve"> PAGEREF _Toc55923619 \h </w:instrText>
            </w:r>
            <w:r w:rsidR="00AD2B93">
              <w:rPr>
                <w:noProof/>
                <w:webHidden/>
              </w:rPr>
            </w:r>
            <w:r w:rsidR="00AD2B93">
              <w:rPr>
                <w:noProof/>
                <w:webHidden/>
              </w:rPr>
              <w:fldChar w:fldCharType="separate"/>
            </w:r>
            <w:r w:rsidR="000D5AF0">
              <w:rPr>
                <w:noProof/>
                <w:webHidden/>
              </w:rPr>
              <w:t>5</w:t>
            </w:r>
            <w:r w:rsidR="00AD2B93">
              <w:rPr>
                <w:noProof/>
                <w:webHidden/>
              </w:rPr>
              <w:fldChar w:fldCharType="end"/>
            </w:r>
          </w:hyperlink>
        </w:p>
        <w:p w14:paraId="110106F0" w14:textId="69FAFC4D" w:rsidR="00AD2B93" w:rsidRDefault="001C2B48">
          <w:pPr>
            <w:pStyle w:val="TOC1"/>
            <w:rPr>
              <w:rFonts w:asciiTheme="minorHAnsi" w:eastAsiaTheme="minorEastAsia" w:hAnsiTheme="minorHAnsi" w:cstheme="minorBidi"/>
              <w:b w:val="0"/>
              <w:noProof/>
              <w:sz w:val="22"/>
              <w:szCs w:val="22"/>
              <w:lang w:eastAsia="en-AU"/>
            </w:rPr>
          </w:pPr>
          <w:hyperlink w:anchor="_Toc55923620" w:history="1">
            <w:r w:rsidR="00AD2B93" w:rsidRPr="00C14979">
              <w:rPr>
                <w:rStyle w:val="Hyperlink"/>
                <w:noProof/>
              </w:rPr>
              <w:t>The two types of priority applicant determinations</w:t>
            </w:r>
            <w:r w:rsidR="00AD2B93">
              <w:rPr>
                <w:noProof/>
                <w:webHidden/>
              </w:rPr>
              <w:tab/>
            </w:r>
            <w:r w:rsidR="00AD2B93">
              <w:rPr>
                <w:noProof/>
                <w:webHidden/>
              </w:rPr>
              <w:fldChar w:fldCharType="begin"/>
            </w:r>
            <w:r w:rsidR="00AD2B93">
              <w:rPr>
                <w:noProof/>
                <w:webHidden/>
              </w:rPr>
              <w:instrText xml:space="preserve"> PAGEREF _Toc55923620 \h </w:instrText>
            </w:r>
            <w:r w:rsidR="00AD2B93">
              <w:rPr>
                <w:noProof/>
                <w:webHidden/>
              </w:rPr>
            </w:r>
            <w:r w:rsidR="00AD2B93">
              <w:rPr>
                <w:noProof/>
                <w:webHidden/>
              </w:rPr>
              <w:fldChar w:fldCharType="separate"/>
            </w:r>
            <w:r w:rsidR="000D5AF0">
              <w:rPr>
                <w:noProof/>
                <w:webHidden/>
              </w:rPr>
              <w:t>5</w:t>
            </w:r>
            <w:r w:rsidR="00AD2B93">
              <w:rPr>
                <w:noProof/>
                <w:webHidden/>
              </w:rPr>
              <w:fldChar w:fldCharType="end"/>
            </w:r>
          </w:hyperlink>
        </w:p>
        <w:p w14:paraId="6F73ECAB" w14:textId="6A9E9485" w:rsidR="00AD2B93" w:rsidRDefault="001C2B48">
          <w:pPr>
            <w:pStyle w:val="TOC2"/>
            <w:rPr>
              <w:rFonts w:asciiTheme="minorHAnsi" w:eastAsiaTheme="minorEastAsia" w:hAnsiTheme="minorHAnsi" w:cstheme="minorBidi"/>
              <w:b w:val="0"/>
              <w:noProof/>
              <w:sz w:val="22"/>
              <w:szCs w:val="22"/>
              <w:lang w:eastAsia="en-AU"/>
            </w:rPr>
          </w:pPr>
          <w:hyperlink w:anchor="_Toc55923621" w:history="1">
            <w:r w:rsidR="00AD2B93" w:rsidRPr="00C14979">
              <w:rPr>
                <w:rStyle w:val="Hyperlink"/>
                <w:noProof/>
              </w:rPr>
              <w:t>Conformity assessment (priority applicant) determination</w:t>
            </w:r>
            <w:r w:rsidR="00AD2B93">
              <w:rPr>
                <w:noProof/>
                <w:webHidden/>
              </w:rPr>
              <w:tab/>
            </w:r>
            <w:r w:rsidR="00AD2B93">
              <w:rPr>
                <w:noProof/>
                <w:webHidden/>
              </w:rPr>
              <w:fldChar w:fldCharType="begin"/>
            </w:r>
            <w:r w:rsidR="00AD2B93">
              <w:rPr>
                <w:noProof/>
                <w:webHidden/>
              </w:rPr>
              <w:instrText xml:space="preserve"> PAGEREF _Toc55923621 \h </w:instrText>
            </w:r>
            <w:r w:rsidR="00AD2B93">
              <w:rPr>
                <w:noProof/>
                <w:webHidden/>
              </w:rPr>
            </w:r>
            <w:r w:rsidR="00AD2B93">
              <w:rPr>
                <w:noProof/>
                <w:webHidden/>
              </w:rPr>
              <w:fldChar w:fldCharType="separate"/>
            </w:r>
            <w:r w:rsidR="000D5AF0">
              <w:rPr>
                <w:noProof/>
                <w:webHidden/>
              </w:rPr>
              <w:t>5</w:t>
            </w:r>
            <w:r w:rsidR="00AD2B93">
              <w:rPr>
                <w:noProof/>
                <w:webHidden/>
              </w:rPr>
              <w:fldChar w:fldCharType="end"/>
            </w:r>
          </w:hyperlink>
        </w:p>
        <w:p w14:paraId="4D4B40E6" w14:textId="295F1DE3" w:rsidR="00AD2B93" w:rsidRDefault="001C2B48">
          <w:pPr>
            <w:pStyle w:val="TOC2"/>
            <w:rPr>
              <w:rFonts w:asciiTheme="minorHAnsi" w:eastAsiaTheme="minorEastAsia" w:hAnsiTheme="minorHAnsi" w:cstheme="minorBidi"/>
              <w:b w:val="0"/>
              <w:noProof/>
              <w:sz w:val="22"/>
              <w:szCs w:val="22"/>
              <w:lang w:eastAsia="en-AU"/>
            </w:rPr>
          </w:pPr>
          <w:hyperlink w:anchor="_Toc55923622" w:history="1">
            <w:r w:rsidR="00AD2B93" w:rsidRPr="00C14979">
              <w:rPr>
                <w:rStyle w:val="Hyperlink"/>
                <w:noProof/>
              </w:rPr>
              <w:t>Medical devices (priority applicant) determination</w:t>
            </w:r>
            <w:r w:rsidR="00AD2B93">
              <w:rPr>
                <w:noProof/>
                <w:webHidden/>
              </w:rPr>
              <w:tab/>
            </w:r>
            <w:r w:rsidR="00AD2B93">
              <w:rPr>
                <w:noProof/>
                <w:webHidden/>
              </w:rPr>
              <w:fldChar w:fldCharType="begin"/>
            </w:r>
            <w:r w:rsidR="00AD2B93">
              <w:rPr>
                <w:noProof/>
                <w:webHidden/>
              </w:rPr>
              <w:instrText xml:space="preserve"> PAGEREF _Toc55923622 \h </w:instrText>
            </w:r>
            <w:r w:rsidR="00AD2B93">
              <w:rPr>
                <w:noProof/>
                <w:webHidden/>
              </w:rPr>
            </w:r>
            <w:r w:rsidR="00AD2B93">
              <w:rPr>
                <w:noProof/>
                <w:webHidden/>
              </w:rPr>
              <w:fldChar w:fldCharType="separate"/>
            </w:r>
            <w:r w:rsidR="000D5AF0">
              <w:rPr>
                <w:noProof/>
                <w:webHidden/>
              </w:rPr>
              <w:t>6</w:t>
            </w:r>
            <w:r w:rsidR="00AD2B93">
              <w:rPr>
                <w:noProof/>
                <w:webHidden/>
              </w:rPr>
              <w:fldChar w:fldCharType="end"/>
            </w:r>
          </w:hyperlink>
        </w:p>
        <w:p w14:paraId="5B059D3B" w14:textId="05ABBE08" w:rsidR="00AD2B93" w:rsidRDefault="001C2B48">
          <w:pPr>
            <w:pStyle w:val="TOC1"/>
            <w:rPr>
              <w:rFonts w:asciiTheme="minorHAnsi" w:eastAsiaTheme="minorEastAsia" w:hAnsiTheme="minorHAnsi" w:cstheme="minorBidi"/>
              <w:b w:val="0"/>
              <w:noProof/>
              <w:sz w:val="22"/>
              <w:szCs w:val="22"/>
              <w:lang w:eastAsia="en-AU"/>
            </w:rPr>
          </w:pPr>
          <w:hyperlink w:anchor="_Toc55923623" w:history="1">
            <w:r w:rsidR="00AD2B93" w:rsidRPr="00C14979">
              <w:rPr>
                <w:rStyle w:val="Hyperlink"/>
                <w:noProof/>
              </w:rPr>
              <w:t>Legislative framework</w:t>
            </w:r>
            <w:r w:rsidR="00AD2B93">
              <w:rPr>
                <w:noProof/>
                <w:webHidden/>
              </w:rPr>
              <w:tab/>
            </w:r>
            <w:r w:rsidR="00AD2B93">
              <w:rPr>
                <w:noProof/>
                <w:webHidden/>
              </w:rPr>
              <w:fldChar w:fldCharType="begin"/>
            </w:r>
            <w:r w:rsidR="00AD2B93">
              <w:rPr>
                <w:noProof/>
                <w:webHidden/>
              </w:rPr>
              <w:instrText xml:space="preserve"> PAGEREF _Toc55923623 \h </w:instrText>
            </w:r>
            <w:r w:rsidR="00AD2B93">
              <w:rPr>
                <w:noProof/>
                <w:webHidden/>
              </w:rPr>
            </w:r>
            <w:r w:rsidR="00AD2B93">
              <w:rPr>
                <w:noProof/>
                <w:webHidden/>
              </w:rPr>
              <w:fldChar w:fldCharType="separate"/>
            </w:r>
            <w:r w:rsidR="000D5AF0">
              <w:rPr>
                <w:noProof/>
                <w:webHidden/>
              </w:rPr>
              <w:t>6</w:t>
            </w:r>
            <w:r w:rsidR="00AD2B93">
              <w:rPr>
                <w:noProof/>
                <w:webHidden/>
              </w:rPr>
              <w:fldChar w:fldCharType="end"/>
            </w:r>
          </w:hyperlink>
        </w:p>
        <w:p w14:paraId="016DCCEF" w14:textId="1CA23561" w:rsidR="00AD2B93" w:rsidRDefault="001C2B48">
          <w:pPr>
            <w:pStyle w:val="TOC1"/>
            <w:rPr>
              <w:rFonts w:asciiTheme="minorHAnsi" w:eastAsiaTheme="minorEastAsia" w:hAnsiTheme="minorHAnsi" w:cstheme="minorBidi"/>
              <w:b w:val="0"/>
              <w:noProof/>
              <w:sz w:val="22"/>
              <w:szCs w:val="22"/>
              <w:lang w:eastAsia="en-AU"/>
            </w:rPr>
          </w:pPr>
          <w:hyperlink w:anchor="_Toc55923624" w:history="1">
            <w:r w:rsidR="00AD2B93" w:rsidRPr="00C14979">
              <w:rPr>
                <w:rStyle w:val="Hyperlink"/>
                <w:noProof/>
              </w:rPr>
              <w:t>Criteria for priority applicant determination</w:t>
            </w:r>
            <w:r w:rsidR="00AD2B93">
              <w:rPr>
                <w:noProof/>
                <w:webHidden/>
              </w:rPr>
              <w:tab/>
            </w:r>
            <w:r w:rsidR="00AD2B93">
              <w:rPr>
                <w:noProof/>
                <w:webHidden/>
              </w:rPr>
              <w:fldChar w:fldCharType="begin"/>
            </w:r>
            <w:r w:rsidR="00AD2B93">
              <w:rPr>
                <w:noProof/>
                <w:webHidden/>
              </w:rPr>
              <w:instrText xml:space="preserve"> PAGEREF _Toc55923624 \h </w:instrText>
            </w:r>
            <w:r w:rsidR="00AD2B93">
              <w:rPr>
                <w:noProof/>
                <w:webHidden/>
              </w:rPr>
            </w:r>
            <w:r w:rsidR="00AD2B93">
              <w:rPr>
                <w:noProof/>
                <w:webHidden/>
              </w:rPr>
              <w:fldChar w:fldCharType="separate"/>
            </w:r>
            <w:r w:rsidR="000D5AF0">
              <w:rPr>
                <w:noProof/>
                <w:webHidden/>
              </w:rPr>
              <w:t>7</w:t>
            </w:r>
            <w:r w:rsidR="00AD2B93">
              <w:rPr>
                <w:noProof/>
                <w:webHidden/>
              </w:rPr>
              <w:fldChar w:fldCharType="end"/>
            </w:r>
          </w:hyperlink>
        </w:p>
        <w:p w14:paraId="6C5BA0E6" w14:textId="41E9C539" w:rsidR="00AD2B93" w:rsidRDefault="001C2B48">
          <w:pPr>
            <w:pStyle w:val="TOC1"/>
            <w:rPr>
              <w:rFonts w:asciiTheme="minorHAnsi" w:eastAsiaTheme="minorEastAsia" w:hAnsiTheme="minorHAnsi" w:cstheme="minorBidi"/>
              <w:b w:val="0"/>
              <w:noProof/>
              <w:sz w:val="22"/>
              <w:szCs w:val="22"/>
              <w:lang w:eastAsia="en-AU"/>
            </w:rPr>
          </w:pPr>
          <w:hyperlink w:anchor="_Toc55923625" w:history="1">
            <w:r w:rsidR="00AD2B93" w:rsidRPr="00C14979">
              <w:rPr>
                <w:rStyle w:val="Hyperlink"/>
                <w:noProof/>
              </w:rPr>
              <w:t>Addressing the criteria</w:t>
            </w:r>
            <w:r w:rsidR="00AD2B93">
              <w:rPr>
                <w:noProof/>
                <w:webHidden/>
              </w:rPr>
              <w:tab/>
            </w:r>
            <w:r w:rsidR="00AD2B93">
              <w:rPr>
                <w:noProof/>
                <w:webHidden/>
              </w:rPr>
              <w:fldChar w:fldCharType="begin"/>
            </w:r>
            <w:r w:rsidR="00AD2B93">
              <w:rPr>
                <w:noProof/>
                <w:webHidden/>
              </w:rPr>
              <w:instrText xml:space="preserve"> PAGEREF _Toc55923625 \h </w:instrText>
            </w:r>
            <w:r w:rsidR="00AD2B93">
              <w:rPr>
                <w:noProof/>
                <w:webHidden/>
              </w:rPr>
            </w:r>
            <w:r w:rsidR="00AD2B93">
              <w:rPr>
                <w:noProof/>
                <w:webHidden/>
              </w:rPr>
              <w:fldChar w:fldCharType="separate"/>
            </w:r>
            <w:r w:rsidR="000D5AF0">
              <w:rPr>
                <w:noProof/>
                <w:webHidden/>
              </w:rPr>
              <w:t>7</w:t>
            </w:r>
            <w:r w:rsidR="00AD2B93">
              <w:rPr>
                <w:noProof/>
                <w:webHidden/>
              </w:rPr>
              <w:fldChar w:fldCharType="end"/>
            </w:r>
          </w:hyperlink>
        </w:p>
        <w:p w14:paraId="12387A9D" w14:textId="05501209" w:rsidR="00AD2B93" w:rsidRDefault="001C2B48">
          <w:pPr>
            <w:pStyle w:val="TOC2"/>
            <w:rPr>
              <w:rFonts w:asciiTheme="minorHAnsi" w:eastAsiaTheme="minorEastAsia" w:hAnsiTheme="minorHAnsi" w:cstheme="minorBidi"/>
              <w:b w:val="0"/>
              <w:noProof/>
              <w:sz w:val="22"/>
              <w:szCs w:val="22"/>
              <w:lang w:eastAsia="en-AU"/>
            </w:rPr>
          </w:pPr>
          <w:hyperlink w:anchor="_Toc55923626" w:history="1">
            <w:r w:rsidR="00AD2B93" w:rsidRPr="00C14979">
              <w:rPr>
                <w:rStyle w:val="Hyperlink"/>
                <w:noProof/>
              </w:rPr>
              <w:t>Criterion 1: Life-threatening or seriously debilitating condition</w:t>
            </w:r>
            <w:r w:rsidR="00AD2B93">
              <w:rPr>
                <w:noProof/>
                <w:webHidden/>
              </w:rPr>
              <w:tab/>
            </w:r>
            <w:r w:rsidR="00AD2B93">
              <w:rPr>
                <w:noProof/>
                <w:webHidden/>
              </w:rPr>
              <w:fldChar w:fldCharType="begin"/>
            </w:r>
            <w:r w:rsidR="00AD2B93">
              <w:rPr>
                <w:noProof/>
                <w:webHidden/>
              </w:rPr>
              <w:instrText xml:space="preserve"> PAGEREF _Toc55923626 \h </w:instrText>
            </w:r>
            <w:r w:rsidR="00AD2B93">
              <w:rPr>
                <w:noProof/>
                <w:webHidden/>
              </w:rPr>
            </w:r>
            <w:r w:rsidR="00AD2B93">
              <w:rPr>
                <w:noProof/>
                <w:webHidden/>
              </w:rPr>
              <w:fldChar w:fldCharType="separate"/>
            </w:r>
            <w:r w:rsidR="000D5AF0">
              <w:rPr>
                <w:noProof/>
                <w:webHidden/>
              </w:rPr>
              <w:t>8</w:t>
            </w:r>
            <w:r w:rsidR="00AD2B93">
              <w:rPr>
                <w:noProof/>
                <w:webHidden/>
              </w:rPr>
              <w:fldChar w:fldCharType="end"/>
            </w:r>
          </w:hyperlink>
        </w:p>
        <w:p w14:paraId="1BC49CFF" w14:textId="5669A61F" w:rsidR="00AD2B93" w:rsidRDefault="001C2B48">
          <w:pPr>
            <w:pStyle w:val="TOC2"/>
            <w:rPr>
              <w:rFonts w:asciiTheme="minorHAnsi" w:eastAsiaTheme="minorEastAsia" w:hAnsiTheme="minorHAnsi" w:cstheme="minorBidi"/>
              <w:b w:val="0"/>
              <w:noProof/>
              <w:sz w:val="22"/>
              <w:szCs w:val="22"/>
              <w:lang w:eastAsia="en-AU"/>
            </w:rPr>
          </w:pPr>
          <w:hyperlink w:anchor="_Toc55923627" w:history="1">
            <w:r w:rsidR="00AD2B93" w:rsidRPr="00C14979">
              <w:rPr>
                <w:rStyle w:val="Hyperlink"/>
                <w:noProof/>
              </w:rPr>
              <w:t>Criterion 2: Unmet need/ significant improvement</w:t>
            </w:r>
            <w:r w:rsidR="00AD2B93">
              <w:rPr>
                <w:noProof/>
                <w:webHidden/>
              </w:rPr>
              <w:tab/>
            </w:r>
            <w:r w:rsidR="00AD2B93">
              <w:rPr>
                <w:noProof/>
                <w:webHidden/>
              </w:rPr>
              <w:fldChar w:fldCharType="begin"/>
            </w:r>
            <w:r w:rsidR="00AD2B93">
              <w:rPr>
                <w:noProof/>
                <w:webHidden/>
              </w:rPr>
              <w:instrText xml:space="preserve"> PAGEREF _Toc55923627 \h </w:instrText>
            </w:r>
            <w:r w:rsidR="00AD2B93">
              <w:rPr>
                <w:noProof/>
                <w:webHidden/>
              </w:rPr>
            </w:r>
            <w:r w:rsidR="00AD2B93">
              <w:rPr>
                <w:noProof/>
                <w:webHidden/>
              </w:rPr>
              <w:fldChar w:fldCharType="separate"/>
            </w:r>
            <w:r w:rsidR="000D5AF0">
              <w:rPr>
                <w:noProof/>
                <w:webHidden/>
              </w:rPr>
              <w:t>8</w:t>
            </w:r>
            <w:r w:rsidR="00AD2B93">
              <w:rPr>
                <w:noProof/>
                <w:webHidden/>
              </w:rPr>
              <w:fldChar w:fldCharType="end"/>
            </w:r>
          </w:hyperlink>
        </w:p>
        <w:p w14:paraId="60C7B2CF" w14:textId="677AAD85" w:rsidR="00AD2B93" w:rsidRDefault="001C2B48">
          <w:pPr>
            <w:pStyle w:val="TOC2"/>
            <w:rPr>
              <w:rFonts w:asciiTheme="minorHAnsi" w:eastAsiaTheme="minorEastAsia" w:hAnsiTheme="minorHAnsi" w:cstheme="minorBidi"/>
              <w:b w:val="0"/>
              <w:noProof/>
              <w:sz w:val="22"/>
              <w:szCs w:val="22"/>
              <w:lang w:eastAsia="en-AU"/>
            </w:rPr>
          </w:pPr>
          <w:hyperlink w:anchor="_Toc55923628" w:history="1">
            <w:r w:rsidR="00AD2B93" w:rsidRPr="00C14979">
              <w:rPr>
                <w:rStyle w:val="Hyperlink"/>
                <w:noProof/>
              </w:rPr>
              <w:t>Criterion 3: Major clinical advantage (or in the case of IVDs, major public health benefit)</w:t>
            </w:r>
            <w:r w:rsidR="00AD2B93">
              <w:rPr>
                <w:noProof/>
                <w:webHidden/>
              </w:rPr>
              <w:tab/>
            </w:r>
            <w:r w:rsidR="00AD2B93">
              <w:rPr>
                <w:noProof/>
                <w:webHidden/>
              </w:rPr>
              <w:fldChar w:fldCharType="begin"/>
            </w:r>
            <w:r w:rsidR="00AD2B93">
              <w:rPr>
                <w:noProof/>
                <w:webHidden/>
              </w:rPr>
              <w:instrText xml:space="preserve"> PAGEREF _Toc55923628 \h </w:instrText>
            </w:r>
            <w:r w:rsidR="00AD2B93">
              <w:rPr>
                <w:noProof/>
                <w:webHidden/>
              </w:rPr>
            </w:r>
            <w:r w:rsidR="00AD2B93">
              <w:rPr>
                <w:noProof/>
                <w:webHidden/>
              </w:rPr>
              <w:fldChar w:fldCharType="separate"/>
            </w:r>
            <w:r w:rsidR="000D5AF0">
              <w:rPr>
                <w:noProof/>
                <w:webHidden/>
              </w:rPr>
              <w:t>9</w:t>
            </w:r>
            <w:r w:rsidR="00AD2B93">
              <w:rPr>
                <w:noProof/>
                <w:webHidden/>
              </w:rPr>
              <w:fldChar w:fldCharType="end"/>
            </w:r>
          </w:hyperlink>
        </w:p>
        <w:p w14:paraId="682396AC" w14:textId="438EC26C" w:rsidR="00AD2B93" w:rsidRDefault="001C2B48">
          <w:pPr>
            <w:pStyle w:val="TOC3"/>
            <w:rPr>
              <w:rFonts w:asciiTheme="minorHAnsi" w:eastAsiaTheme="minorEastAsia" w:hAnsiTheme="minorHAnsi" w:cstheme="minorBidi"/>
              <w:b w:val="0"/>
              <w:noProof/>
              <w:szCs w:val="22"/>
              <w:lang w:eastAsia="en-AU"/>
            </w:rPr>
          </w:pPr>
          <w:hyperlink w:anchor="_Toc55923629" w:history="1">
            <w:r w:rsidR="00AD2B93" w:rsidRPr="00C14979">
              <w:rPr>
                <w:rStyle w:val="Hyperlink"/>
                <w:noProof/>
              </w:rPr>
              <w:t>Major clinical advantage</w:t>
            </w:r>
            <w:r w:rsidR="00AD2B93">
              <w:rPr>
                <w:noProof/>
                <w:webHidden/>
              </w:rPr>
              <w:tab/>
            </w:r>
            <w:r w:rsidR="00AD2B93">
              <w:rPr>
                <w:noProof/>
                <w:webHidden/>
              </w:rPr>
              <w:fldChar w:fldCharType="begin"/>
            </w:r>
            <w:r w:rsidR="00AD2B93">
              <w:rPr>
                <w:noProof/>
                <w:webHidden/>
              </w:rPr>
              <w:instrText xml:space="preserve"> PAGEREF _Toc55923629 \h </w:instrText>
            </w:r>
            <w:r w:rsidR="00AD2B93">
              <w:rPr>
                <w:noProof/>
                <w:webHidden/>
              </w:rPr>
            </w:r>
            <w:r w:rsidR="00AD2B93">
              <w:rPr>
                <w:noProof/>
                <w:webHidden/>
              </w:rPr>
              <w:fldChar w:fldCharType="separate"/>
            </w:r>
            <w:r w:rsidR="000D5AF0">
              <w:rPr>
                <w:noProof/>
                <w:webHidden/>
              </w:rPr>
              <w:t>9</w:t>
            </w:r>
            <w:r w:rsidR="00AD2B93">
              <w:rPr>
                <w:noProof/>
                <w:webHidden/>
              </w:rPr>
              <w:fldChar w:fldCharType="end"/>
            </w:r>
          </w:hyperlink>
        </w:p>
        <w:p w14:paraId="38583EC5" w14:textId="4603FA5C" w:rsidR="00AD2B93" w:rsidRDefault="001C2B48">
          <w:pPr>
            <w:pStyle w:val="TOC3"/>
            <w:rPr>
              <w:rFonts w:asciiTheme="minorHAnsi" w:eastAsiaTheme="minorEastAsia" w:hAnsiTheme="minorHAnsi" w:cstheme="minorBidi"/>
              <w:b w:val="0"/>
              <w:noProof/>
              <w:szCs w:val="22"/>
              <w:lang w:eastAsia="en-AU"/>
            </w:rPr>
          </w:pPr>
          <w:hyperlink w:anchor="_Toc55923630" w:history="1">
            <w:r w:rsidR="00AD2B93" w:rsidRPr="00C14979">
              <w:rPr>
                <w:rStyle w:val="Hyperlink"/>
                <w:noProof/>
              </w:rPr>
              <w:t>Quality of evidence</w:t>
            </w:r>
            <w:r w:rsidR="00AD2B93">
              <w:rPr>
                <w:noProof/>
                <w:webHidden/>
              </w:rPr>
              <w:tab/>
            </w:r>
            <w:r w:rsidR="00AD2B93">
              <w:rPr>
                <w:noProof/>
                <w:webHidden/>
              </w:rPr>
              <w:fldChar w:fldCharType="begin"/>
            </w:r>
            <w:r w:rsidR="00AD2B93">
              <w:rPr>
                <w:noProof/>
                <w:webHidden/>
              </w:rPr>
              <w:instrText xml:space="preserve"> PAGEREF _Toc55923630 \h </w:instrText>
            </w:r>
            <w:r w:rsidR="00AD2B93">
              <w:rPr>
                <w:noProof/>
                <w:webHidden/>
              </w:rPr>
            </w:r>
            <w:r w:rsidR="00AD2B93">
              <w:rPr>
                <w:noProof/>
                <w:webHidden/>
              </w:rPr>
              <w:fldChar w:fldCharType="separate"/>
            </w:r>
            <w:r w:rsidR="000D5AF0">
              <w:rPr>
                <w:noProof/>
                <w:webHidden/>
              </w:rPr>
              <w:t>10</w:t>
            </w:r>
            <w:r w:rsidR="00AD2B93">
              <w:rPr>
                <w:noProof/>
                <w:webHidden/>
              </w:rPr>
              <w:fldChar w:fldCharType="end"/>
            </w:r>
          </w:hyperlink>
        </w:p>
        <w:p w14:paraId="2C6CCFD4" w14:textId="4BDD931C" w:rsidR="00AD2B93" w:rsidRDefault="001C2B48">
          <w:pPr>
            <w:pStyle w:val="TOC3"/>
            <w:rPr>
              <w:rFonts w:asciiTheme="minorHAnsi" w:eastAsiaTheme="minorEastAsia" w:hAnsiTheme="minorHAnsi" w:cstheme="minorBidi"/>
              <w:b w:val="0"/>
              <w:noProof/>
              <w:szCs w:val="22"/>
              <w:lang w:eastAsia="en-AU"/>
            </w:rPr>
          </w:pPr>
          <w:hyperlink w:anchor="_Toc55923631" w:history="1">
            <w:r w:rsidR="00AD2B93" w:rsidRPr="00C14979">
              <w:rPr>
                <w:rStyle w:val="Hyperlink"/>
                <w:noProof/>
              </w:rPr>
              <w:t>(i) Breakthrough technology offering a major clinical advantage over existing technology</w:t>
            </w:r>
            <w:r w:rsidR="00AD2B93">
              <w:rPr>
                <w:noProof/>
                <w:webHidden/>
              </w:rPr>
              <w:tab/>
            </w:r>
            <w:r w:rsidR="00AD2B93">
              <w:rPr>
                <w:noProof/>
                <w:webHidden/>
              </w:rPr>
              <w:fldChar w:fldCharType="begin"/>
            </w:r>
            <w:r w:rsidR="00AD2B93">
              <w:rPr>
                <w:noProof/>
                <w:webHidden/>
              </w:rPr>
              <w:instrText xml:space="preserve"> PAGEREF _Toc55923631 \h </w:instrText>
            </w:r>
            <w:r w:rsidR="00AD2B93">
              <w:rPr>
                <w:noProof/>
                <w:webHidden/>
              </w:rPr>
            </w:r>
            <w:r w:rsidR="00AD2B93">
              <w:rPr>
                <w:noProof/>
                <w:webHidden/>
              </w:rPr>
              <w:fldChar w:fldCharType="separate"/>
            </w:r>
            <w:r w:rsidR="000D5AF0">
              <w:rPr>
                <w:noProof/>
                <w:webHidden/>
              </w:rPr>
              <w:t>11</w:t>
            </w:r>
            <w:r w:rsidR="00AD2B93">
              <w:rPr>
                <w:noProof/>
                <w:webHidden/>
              </w:rPr>
              <w:fldChar w:fldCharType="end"/>
            </w:r>
          </w:hyperlink>
        </w:p>
        <w:p w14:paraId="656DBDB2" w14:textId="7613A050" w:rsidR="00AD2B93" w:rsidRDefault="001C2B48">
          <w:pPr>
            <w:pStyle w:val="TOC3"/>
            <w:rPr>
              <w:rFonts w:asciiTheme="minorHAnsi" w:eastAsiaTheme="minorEastAsia" w:hAnsiTheme="minorHAnsi" w:cstheme="minorBidi"/>
              <w:b w:val="0"/>
              <w:noProof/>
              <w:szCs w:val="22"/>
              <w:lang w:eastAsia="en-AU"/>
            </w:rPr>
          </w:pPr>
          <w:hyperlink w:anchor="_Toc55923632" w:history="1">
            <w:r w:rsidR="00AD2B93" w:rsidRPr="00C14979">
              <w:rPr>
                <w:rStyle w:val="Hyperlink"/>
                <w:noProof/>
              </w:rPr>
              <w:t>ii) Major clinical advantage over existing alternatives included in the ARTG</w:t>
            </w:r>
            <w:r w:rsidR="00AD2B93">
              <w:rPr>
                <w:noProof/>
                <w:webHidden/>
              </w:rPr>
              <w:tab/>
            </w:r>
            <w:r w:rsidR="00AD2B93">
              <w:rPr>
                <w:noProof/>
                <w:webHidden/>
              </w:rPr>
              <w:fldChar w:fldCharType="begin"/>
            </w:r>
            <w:r w:rsidR="00AD2B93">
              <w:rPr>
                <w:noProof/>
                <w:webHidden/>
              </w:rPr>
              <w:instrText xml:space="preserve"> PAGEREF _Toc55923632 \h </w:instrText>
            </w:r>
            <w:r w:rsidR="00AD2B93">
              <w:rPr>
                <w:noProof/>
                <w:webHidden/>
              </w:rPr>
            </w:r>
            <w:r w:rsidR="00AD2B93">
              <w:rPr>
                <w:noProof/>
                <w:webHidden/>
              </w:rPr>
              <w:fldChar w:fldCharType="separate"/>
            </w:r>
            <w:r w:rsidR="000D5AF0">
              <w:rPr>
                <w:noProof/>
                <w:webHidden/>
              </w:rPr>
              <w:t>11</w:t>
            </w:r>
            <w:r w:rsidR="00AD2B93">
              <w:rPr>
                <w:noProof/>
                <w:webHidden/>
              </w:rPr>
              <w:fldChar w:fldCharType="end"/>
            </w:r>
          </w:hyperlink>
        </w:p>
        <w:p w14:paraId="3E135305" w14:textId="1A31B978" w:rsidR="00AD2B93" w:rsidRDefault="001C2B48">
          <w:pPr>
            <w:pStyle w:val="TOC3"/>
            <w:rPr>
              <w:rFonts w:asciiTheme="minorHAnsi" w:eastAsiaTheme="minorEastAsia" w:hAnsiTheme="minorHAnsi" w:cstheme="minorBidi"/>
              <w:b w:val="0"/>
              <w:noProof/>
              <w:szCs w:val="22"/>
              <w:lang w:eastAsia="en-AU"/>
            </w:rPr>
          </w:pPr>
          <w:hyperlink w:anchor="_Toc55923633" w:history="1">
            <w:r w:rsidR="00AD2B93" w:rsidRPr="00C14979">
              <w:rPr>
                <w:rStyle w:val="Hyperlink"/>
                <w:noProof/>
              </w:rPr>
              <w:t>iii) In the case of IVDs: Early availability in Australia will result in a major public health benefit</w:t>
            </w:r>
            <w:r w:rsidR="00AD2B93">
              <w:rPr>
                <w:noProof/>
                <w:webHidden/>
              </w:rPr>
              <w:tab/>
            </w:r>
            <w:r w:rsidR="00AD2B93">
              <w:rPr>
                <w:noProof/>
                <w:webHidden/>
              </w:rPr>
              <w:fldChar w:fldCharType="begin"/>
            </w:r>
            <w:r w:rsidR="00AD2B93">
              <w:rPr>
                <w:noProof/>
                <w:webHidden/>
              </w:rPr>
              <w:instrText xml:space="preserve"> PAGEREF _Toc55923633 \h </w:instrText>
            </w:r>
            <w:r w:rsidR="00AD2B93">
              <w:rPr>
                <w:noProof/>
                <w:webHidden/>
              </w:rPr>
            </w:r>
            <w:r w:rsidR="00AD2B93">
              <w:rPr>
                <w:noProof/>
                <w:webHidden/>
              </w:rPr>
              <w:fldChar w:fldCharType="separate"/>
            </w:r>
            <w:r w:rsidR="000D5AF0">
              <w:rPr>
                <w:noProof/>
                <w:webHidden/>
              </w:rPr>
              <w:t>11</w:t>
            </w:r>
            <w:r w:rsidR="00AD2B93">
              <w:rPr>
                <w:noProof/>
                <w:webHidden/>
              </w:rPr>
              <w:fldChar w:fldCharType="end"/>
            </w:r>
          </w:hyperlink>
        </w:p>
        <w:p w14:paraId="0664BC3D" w14:textId="08D1C3B6" w:rsidR="00AD2B93" w:rsidRDefault="001C2B48">
          <w:pPr>
            <w:pStyle w:val="TOC1"/>
            <w:rPr>
              <w:rFonts w:asciiTheme="minorHAnsi" w:eastAsiaTheme="minorEastAsia" w:hAnsiTheme="minorHAnsi" w:cstheme="minorBidi"/>
              <w:b w:val="0"/>
              <w:noProof/>
              <w:sz w:val="22"/>
              <w:szCs w:val="22"/>
              <w:lang w:eastAsia="en-AU"/>
            </w:rPr>
          </w:pPr>
          <w:hyperlink w:anchor="_Toc55923634" w:history="1">
            <w:r w:rsidR="00AD2B93" w:rsidRPr="00C14979">
              <w:rPr>
                <w:rStyle w:val="Hyperlink"/>
                <w:noProof/>
              </w:rPr>
              <w:t>The application process</w:t>
            </w:r>
            <w:r w:rsidR="00AD2B93">
              <w:rPr>
                <w:noProof/>
                <w:webHidden/>
              </w:rPr>
              <w:tab/>
            </w:r>
            <w:r w:rsidR="00AD2B93">
              <w:rPr>
                <w:noProof/>
                <w:webHidden/>
              </w:rPr>
              <w:fldChar w:fldCharType="begin"/>
            </w:r>
            <w:r w:rsidR="00AD2B93">
              <w:rPr>
                <w:noProof/>
                <w:webHidden/>
              </w:rPr>
              <w:instrText xml:space="preserve"> PAGEREF _Toc55923634 \h </w:instrText>
            </w:r>
            <w:r w:rsidR="00AD2B93">
              <w:rPr>
                <w:noProof/>
                <w:webHidden/>
              </w:rPr>
            </w:r>
            <w:r w:rsidR="00AD2B93">
              <w:rPr>
                <w:noProof/>
                <w:webHidden/>
              </w:rPr>
              <w:fldChar w:fldCharType="separate"/>
            </w:r>
            <w:r w:rsidR="000D5AF0">
              <w:rPr>
                <w:noProof/>
                <w:webHidden/>
              </w:rPr>
              <w:t>12</w:t>
            </w:r>
            <w:r w:rsidR="00AD2B93">
              <w:rPr>
                <w:noProof/>
                <w:webHidden/>
              </w:rPr>
              <w:fldChar w:fldCharType="end"/>
            </w:r>
          </w:hyperlink>
        </w:p>
        <w:p w14:paraId="61962655" w14:textId="56DFA5DD" w:rsidR="00AD2B93" w:rsidRDefault="001C2B48">
          <w:pPr>
            <w:pStyle w:val="TOC2"/>
            <w:rPr>
              <w:rFonts w:asciiTheme="minorHAnsi" w:eastAsiaTheme="minorEastAsia" w:hAnsiTheme="minorHAnsi" w:cstheme="minorBidi"/>
              <w:b w:val="0"/>
              <w:noProof/>
              <w:sz w:val="22"/>
              <w:szCs w:val="22"/>
              <w:lang w:eastAsia="en-AU"/>
            </w:rPr>
          </w:pPr>
          <w:hyperlink w:anchor="_Toc55923635" w:history="1">
            <w:r w:rsidR="00AD2B93" w:rsidRPr="00C14979">
              <w:rPr>
                <w:rStyle w:val="Hyperlink"/>
                <w:noProof/>
              </w:rPr>
              <w:t>Pre-submission meeting</w:t>
            </w:r>
            <w:r w:rsidR="00AD2B93">
              <w:rPr>
                <w:noProof/>
                <w:webHidden/>
              </w:rPr>
              <w:tab/>
            </w:r>
            <w:r w:rsidR="00AD2B93">
              <w:rPr>
                <w:noProof/>
                <w:webHidden/>
              </w:rPr>
              <w:fldChar w:fldCharType="begin"/>
            </w:r>
            <w:r w:rsidR="00AD2B93">
              <w:rPr>
                <w:noProof/>
                <w:webHidden/>
              </w:rPr>
              <w:instrText xml:space="preserve"> PAGEREF _Toc55923635 \h </w:instrText>
            </w:r>
            <w:r w:rsidR="00AD2B93">
              <w:rPr>
                <w:noProof/>
                <w:webHidden/>
              </w:rPr>
            </w:r>
            <w:r w:rsidR="00AD2B93">
              <w:rPr>
                <w:noProof/>
                <w:webHidden/>
              </w:rPr>
              <w:fldChar w:fldCharType="separate"/>
            </w:r>
            <w:r w:rsidR="000D5AF0">
              <w:rPr>
                <w:noProof/>
                <w:webHidden/>
              </w:rPr>
              <w:t>12</w:t>
            </w:r>
            <w:r w:rsidR="00AD2B93">
              <w:rPr>
                <w:noProof/>
                <w:webHidden/>
              </w:rPr>
              <w:fldChar w:fldCharType="end"/>
            </w:r>
          </w:hyperlink>
        </w:p>
        <w:p w14:paraId="5849713B" w14:textId="34CDF240" w:rsidR="00AD2B93" w:rsidRDefault="001C2B48">
          <w:pPr>
            <w:pStyle w:val="TOC2"/>
            <w:rPr>
              <w:rFonts w:asciiTheme="minorHAnsi" w:eastAsiaTheme="minorEastAsia" w:hAnsiTheme="minorHAnsi" w:cstheme="minorBidi"/>
              <w:b w:val="0"/>
              <w:noProof/>
              <w:sz w:val="22"/>
              <w:szCs w:val="22"/>
              <w:lang w:eastAsia="en-AU"/>
            </w:rPr>
          </w:pPr>
          <w:hyperlink w:anchor="_Toc55923636" w:history="1">
            <w:r w:rsidR="00AD2B93" w:rsidRPr="00C14979">
              <w:rPr>
                <w:rStyle w:val="Hyperlink"/>
                <w:noProof/>
              </w:rPr>
              <w:t>Lodging an application</w:t>
            </w:r>
            <w:r w:rsidR="00AD2B93">
              <w:rPr>
                <w:noProof/>
                <w:webHidden/>
              </w:rPr>
              <w:tab/>
            </w:r>
            <w:r w:rsidR="00AD2B93">
              <w:rPr>
                <w:noProof/>
                <w:webHidden/>
              </w:rPr>
              <w:fldChar w:fldCharType="begin"/>
            </w:r>
            <w:r w:rsidR="00AD2B93">
              <w:rPr>
                <w:noProof/>
                <w:webHidden/>
              </w:rPr>
              <w:instrText xml:space="preserve"> PAGEREF _Toc55923636 \h </w:instrText>
            </w:r>
            <w:r w:rsidR="00AD2B93">
              <w:rPr>
                <w:noProof/>
                <w:webHidden/>
              </w:rPr>
            </w:r>
            <w:r w:rsidR="00AD2B93">
              <w:rPr>
                <w:noProof/>
                <w:webHidden/>
              </w:rPr>
              <w:fldChar w:fldCharType="separate"/>
            </w:r>
            <w:r w:rsidR="000D5AF0">
              <w:rPr>
                <w:noProof/>
                <w:webHidden/>
              </w:rPr>
              <w:t>13</w:t>
            </w:r>
            <w:r w:rsidR="00AD2B93">
              <w:rPr>
                <w:noProof/>
                <w:webHidden/>
              </w:rPr>
              <w:fldChar w:fldCharType="end"/>
            </w:r>
          </w:hyperlink>
        </w:p>
        <w:p w14:paraId="1489C2EC" w14:textId="0DF9780D" w:rsidR="00AD2B93" w:rsidRDefault="001C2B48">
          <w:pPr>
            <w:pStyle w:val="TOC2"/>
            <w:rPr>
              <w:rFonts w:asciiTheme="minorHAnsi" w:eastAsiaTheme="minorEastAsia" w:hAnsiTheme="minorHAnsi" w:cstheme="minorBidi"/>
              <w:b w:val="0"/>
              <w:noProof/>
              <w:sz w:val="22"/>
              <w:szCs w:val="22"/>
              <w:lang w:eastAsia="en-AU"/>
            </w:rPr>
          </w:pPr>
          <w:hyperlink w:anchor="_Toc55923637" w:history="1">
            <w:r w:rsidR="00AD2B93" w:rsidRPr="00C14979">
              <w:rPr>
                <w:rStyle w:val="Hyperlink"/>
                <w:noProof/>
              </w:rPr>
              <w:t>Supporting information</w:t>
            </w:r>
            <w:r w:rsidR="00AD2B93">
              <w:rPr>
                <w:noProof/>
                <w:webHidden/>
              </w:rPr>
              <w:tab/>
            </w:r>
            <w:r w:rsidR="00AD2B93">
              <w:rPr>
                <w:noProof/>
                <w:webHidden/>
              </w:rPr>
              <w:fldChar w:fldCharType="begin"/>
            </w:r>
            <w:r w:rsidR="00AD2B93">
              <w:rPr>
                <w:noProof/>
                <w:webHidden/>
              </w:rPr>
              <w:instrText xml:space="preserve"> PAGEREF _Toc55923637 \h </w:instrText>
            </w:r>
            <w:r w:rsidR="00AD2B93">
              <w:rPr>
                <w:noProof/>
                <w:webHidden/>
              </w:rPr>
            </w:r>
            <w:r w:rsidR="00AD2B93">
              <w:rPr>
                <w:noProof/>
                <w:webHidden/>
              </w:rPr>
              <w:fldChar w:fldCharType="separate"/>
            </w:r>
            <w:r w:rsidR="000D5AF0">
              <w:rPr>
                <w:noProof/>
                <w:webHidden/>
              </w:rPr>
              <w:t>13</w:t>
            </w:r>
            <w:r w:rsidR="00AD2B93">
              <w:rPr>
                <w:noProof/>
                <w:webHidden/>
              </w:rPr>
              <w:fldChar w:fldCharType="end"/>
            </w:r>
          </w:hyperlink>
        </w:p>
        <w:p w14:paraId="04078D16" w14:textId="347D5C80" w:rsidR="00AD2B93" w:rsidRDefault="001C2B48">
          <w:pPr>
            <w:pStyle w:val="TOC2"/>
            <w:rPr>
              <w:rFonts w:asciiTheme="minorHAnsi" w:eastAsiaTheme="minorEastAsia" w:hAnsiTheme="minorHAnsi" w:cstheme="minorBidi"/>
              <w:b w:val="0"/>
              <w:noProof/>
              <w:sz w:val="22"/>
              <w:szCs w:val="22"/>
              <w:lang w:eastAsia="en-AU"/>
            </w:rPr>
          </w:pPr>
          <w:hyperlink w:anchor="_Toc55923638" w:history="1">
            <w:r w:rsidR="00AD2B93" w:rsidRPr="00C14979">
              <w:rPr>
                <w:rStyle w:val="Hyperlink"/>
                <w:noProof/>
              </w:rPr>
              <w:t>Ensuring your application is complete</w:t>
            </w:r>
            <w:r w:rsidR="00AD2B93">
              <w:rPr>
                <w:noProof/>
                <w:webHidden/>
              </w:rPr>
              <w:tab/>
            </w:r>
            <w:r w:rsidR="00AD2B93">
              <w:rPr>
                <w:noProof/>
                <w:webHidden/>
              </w:rPr>
              <w:fldChar w:fldCharType="begin"/>
            </w:r>
            <w:r w:rsidR="00AD2B93">
              <w:rPr>
                <w:noProof/>
                <w:webHidden/>
              </w:rPr>
              <w:instrText xml:space="preserve"> PAGEREF _Toc55923638 \h </w:instrText>
            </w:r>
            <w:r w:rsidR="00AD2B93">
              <w:rPr>
                <w:noProof/>
                <w:webHidden/>
              </w:rPr>
            </w:r>
            <w:r w:rsidR="00AD2B93">
              <w:rPr>
                <w:noProof/>
                <w:webHidden/>
              </w:rPr>
              <w:fldChar w:fldCharType="separate"/>
            </w:r>
            <w:r w:rsidR="000D5AF0">
              <w:rPr>
                <w:noProof/>
                <w:webHidden/>
              </w:rPr>
              <w:t>13</w:t>
            </w:r>
            <w:r w:rsidR="00AD2B93">
              <w:rPr>
                <w:noProof/>
                <w:webHidden/>
              </w:rPr>
              <w:fldChar w:fldCharType="end"/>
            </w:r>
          </w:hyperlink>
        </w:p>
        <w:p w14:paraId="30BC450F" w14:textId="5CD2D807" w:rsidR="00AD2B93" w:rsidRDefault="001C2B48">
          <w:pPr>
            <w:pStyle w:val="TOC2"/>
            <w:rPr>
              <w:rFonts w:asciiTheme="minorHAnsi" w:eastAsiaTheme="minorEastAsia" w:hAnsiTheme="minorHAnsi" w:cstheme="minorBidi"/>
              <w:b w:val="0"/>
              <w:noProof/>
              <w:sz w:val="22"/>
              <w:szCs w:val="22"/>
              <w:lang w:eastAsia="en-AU"/>
            </w:rPr>
          </w:pPr>
          <w:hyperlink w:anchor="_Toc55923639" w:history="1">
            <w:r w:rsidR="00AD2B93" w:rsidRPr="00C14979">
              <w:rPr>
                <w:rStyle w:val="Hyperlink"/>
                <w:noProof/>
              </w:rPr>
              <w:t>Fees</w:t>
            </w:r>
            <w:r w:rsidR="00AD2B93">
              <w:rPr>
                <w:noProof/>
                <w:webHidden/>
              </w:rPr>
              <w:tab/>
            </w:r>
            <w:r w:rsidR="00AD2B93">
              <w:rPr>
                <w:noProof/>
                <w:webHidden/>
              </w:rPr>
              <w:fldChar w:fldCharType="begin"/>
            </w:r>
            <w:r w:rsidR="00AD2B93">
              <w:rPr>
                <w:noProof/>
                <w:webHidden/>
              </w:rPr>
              <w:instrText xml:space="preserve"> PAGEREF _Toc55923639 \h </w:instrText>
            </w:r>
            <w:r w:rsidR="00AD2B93">
              <w:rPr>
                <w:noProof/>
                <w:webHidden/>
              </w:rPr>
            </w:r>
            <w:r w:rsidR="00AD2B93">
              <w:rPr>
                <w:noProof/>
                <w:webHidden/>
              </w:rPr>
              <w:fldChar w:fldCharType="separate"/>
            </w:r>
            <w:r w:rsidR="000D5AF0">
              <w:rPr>
                <w:noProof/>
                <w:webHidden/>
              </w:rPr>
              <w:t>14</w:t>
            </w:r>
            <w:r w:rsidR="00AD2B93">
              <w:rPr>
                <w:noProof/>
                <w:webHidden/>
              </w:rPr>
              <w:fldChar w:fldCharType="end"/>
            </w:r>
          </w:hyperlink>
        </w:p>
        <w:p w14:paraId="41B20F8A" w14:textId="48717BFE" w:rsidR="00AD2B93" w:rsidRDefault="001C2B48">
          <w:pPr>
            <w:pStyle w:val="TOC2"/>
            <w:rPr>
              <w:rFonts w:asciiTheme="minorHAnsi" w:eastAsiaTheme="minorEastAsia" w:hAnsiTheme="minorHAnsi" w:cstheme="minorBidi"/>
              <w:b w:val="0"/>
              <w:noProof/>
              <w:sz w:val="22"/>
              <w:szCs w:val="22"/>
              <w:lang w:eastAsia="en-AU"/>
            </w:rPr>
          </w:pPr>
          <w:hyperlink w:anchor="_Toc55923640" w:history="1">
            <w:r w:rsidR="00AD2B93" w:rsidRPr="00C14979">
              <w:rPr>
                <w:rStyle w:val="Hyperlink"/>
                <w:noProof/>
              </w:rPr>
              <w:t>Withdrawing your application</w:t>
            </w:r>
            <w:r w:rsidR="00AD2B93">
              <w:rPr>
                <w:noProof/>
                <w:webHidden/>
              </w:rPr>
              <w:tab/>
            </w:r>
            <w:r w:rsidR="00AD2B93">
              <w:rPr>
                <w:noProof/>
                <w:webHidden/>
              </w:rPr>
              <w:fldChar w:fldCharType="begin"/>
            </w:r>
            <w:r w:rsidR="00AD2B93">
              <w:rPr>
                <w:noProof/>
                <w:webHidden/>
              </w:rPr>
              <w:instrText xml:space="preserve"> PAGEREF _Toc55923640 \h </w:instrText>
            </w:r>
            <w:r w:rsidR="00AD2B93">
              <w:rPr>
                <w:noProof/>
                <w:webHidden/>
              </w:rPr>
            </w:r>
            <w:r w:rsidR="00AD2B93">
              <w:rPr>
                <w:noProof/>
                <w:webHidden/>
              </w:rPr>
              <w:fldChar w:fldCharType="separate"/>
            </w:r>
            <w:r w:rsidR="000D5AF0">
              <w:rPr>
                <w:noProof/>
                <w:webHidden/>
              </w:rPr>
              <w:t>14</w:t>
            </w:r>
            <w:r w:rsidR="00AD2B93">
              <w:rPr>
                <w:noProof/>
                <w:webHidden/>
              </w:rPr>
              <w:fldChar w:fldCharType="end"/>
            </w:r>
          </w:hyperlink>
        </w:p>
        <w:p w14:paraId="670AF8B9" w14:textId="15187376" w:rsidR="00AD2B93" w:rsidRDefault="001C2B48">
          <w:pPr>
            <w:pStyle w:val="TOC2"/>
            <w:rPr>
              <w:rFonts w:asciiTheme="minorHAnsi" w:eastAsiaTheme="minorEastAsia" w:hAnsiTheme="minorHAnsi" w:cstheme="minorBidi"/>
              <w:b w:val="0"/>
              <w:noProof/>
              <w:sz w:val="22"/>
              <w:szCs w:val="22"/>
              <w:lang w:eastAsia="en-AU"/>
            </w:rPr>
          </w:pPr>
          <w:hyperlink w:anchor="_Toc55923641" w:history="1">
            <w:r w:rsidR="00AD2B93" w:rsidRPr="00C14979">
              <w:rPr>
                <w:rStyle w:val="Hyperlink"/>
                <w:noProof/>
              </w:rPr>
              <w:t>Special cases - including multiple devices and change applications</w:t>
            </w:r>
            <w:r w:rsidR="00AD2B93">
              <w:rPr>
                <w:noProof/>
                <w:webHidden/>
              </w:rPr>
              <w:tab/>
            </w:r>
            <w:r w:rsidR="00AD2B93">
              <w:rPr>
                <w:noProof/>
                <w:webHidden/>
              </w:rPr>
              <w:fldChar w:fldCharType="begin"/>
            </w:r>
            <w:r w:rsidR="00AD2B93">
              <w:rPr>
                <w:noProof/>
                <w:webHidden/>
              </w:rPr>
              <w:instrText xml:space="preserve"> PAGEREF _Toc55923641 \h </w:instrText>
            </w:r>
            <w:r w:rsidR="00AD2B93">
              <w:rPr>
                <w:noProof/>
                <w:webHidden/>
              </w:rPr>
            </w:r>
            <w:r w:rsidR="00AD2B93">
              <w:rPr>
                <w:noProof/>
                <w:webHidden/>
              </w:rPr>
              <w:fldChar w:fldCharType="separate"/>
            </w:r>
            <w:r w:rsidR="000D5AF0">
              <w:rPr>
                <w:noProof/>
                <w:webHidden/>
              </w:rPr>
              <w:t>14</w:t>
            </w:r>
            <w:r w:rsidR="00AD2B93">
              <w:rPr>
                <w:noProof/>
                <w:webHidden/>
              </w:rPr>
              <w:fldChar w:fldCharType="end"/>
            </w:r>
          </w:hyperlink>
        </w:p>
        <w:p w14:paraId="2AF4B803" w14:textId="306AA4DF" w:rsidR="00AD2B93" w:rsidRDefault="001C2B48">
          <w:pPr>
            <w:pStyle w:val="TOC3"/>
            <w:rPr>
              <w:rFonts w:asciiTheme="minorHAnsi" w:eastAsiaTheme="minorEastAsia" w:hAnsiTheme="minorHAnsi" w:cstheme="minorBidi"/>
              <w:b w:val="0"/>
              <w:noProof/>
              <w:szCs w:val="22"/>
              <w:lang w:eastAsia="en-AU"/>
            </w:rPr>
          </w:pPr>
          <w:hyperlink w:anchor="_Toc55923642" w:history="1">
            <w:r w:rsidR="00AD2B93" w:rsidRPr="00C14979">
              <w:rPr>
                <w:rStyle w:val="Hyperlink"/>
                <w:noProof/>
              </w:rPr>
              <w:t>Multiple devices</w:t>
            </w:r>
            <w:r w:rsidR="00AD2B93">
              <w:rPr>
                <w:noProof/>
                <w:webHidden/>
              </w:rPr>
              <w:tab/>
            </w:r>
            <w:r w:rsidR="00AD2B93">
              <w:rPr>
                <w:noProof/>
                <w:webHidden/>
              </w:rPr>
              <w:fldChar w:fldCharType="begin"/>
            </w:r>
            <w:r w:rsidR="00AD2B93">
              <w:rPr>
                <w:noProof/>
                <w:webHidden/>
              </w:rPr>
              <w:instrText xml:space="preserve"> PAGEREF _Toc55923642 \h </w:instrText>
            </w:r>
            <w:r w:rsidR="00AD2B93">
              <w:rPr>
                <w:noProof/>
                <w:webHidden/>
              </w:rPr>
            </w:r>
            <w:r w:rsidR="00AD2B93">
              <w:rPr>
                <w:noProof/>
                <w:webHidden/>
              </w:rPr>
              <w:fldChar w:fldCharType="separate"/>
            </w:r>
            <w:r w:rsidR="000D5AF0">
              <w:rPr>
                <w:noProof/>
                <w:webHidden/>
              </w:rPr>
              <w:t>14</w:t>
            </w:r>
            <w:r w:rsidR="00AD2B93">
              <w:rPr>
                <w:noProof/>
                <w:webHidden/>
              </w:rPr>
              <w:fldChar w:fldCharType="end"/>
            </w:r>
          </w:hyperlink>
        </w:p>
        <w:p w14:paraId="094406A9" w14:textId="5EC6BE86" w:rsidR="00AD2B93" w:rsidRDefault="001C2B48">
          <w:pPr>
            <w:pStyle w:val="TOC3"/>
            <w:rPr>
              <w:rFonts w:asciiTheme="minorHAnsi" w:eastAsiaTheme="minorEastAsia" w:hAnsiTheme="minorHAnsi" w:cstheme="minorBidi"/>
              <w:b w:val="0"/>
              <w:noProof/>
              <w:szCs w:val="22"/>
              <w:lang w:eastAsia="en-AU"/>
            </w:rPr>
          </w:pPr>
          <w:hyperlink w:anchor="_Toc55923643" w:history="1">
            <w:r w:rsidR="00AD2B93" w:rsidRPr="00C14979">
              <w:rPr>
                <w:rStyle w:val="Hyperlink"/>
                <w:noProof/>
              </w:rPr>
              <w:t>Change applications</w:t>
            </w:r>
            <w:r w:rsidR="00AD2B93">
              <w:rPr>
                <w:noProof/>
                <w:webHidden/>
              </w:rPr>
              <w:tab/>
            </w:r>
            <w:r w:rsidR="00AD2B93">
              <w:rPr>
                <w:noProof/>
                <w:webHidden/>
              </w:rPr>
              <w:fldChar w:fldCharType="begin"/>
            </w:r>
            <w:r w:rsidR="00AD2B93">
              <w:rPr>
                <w:noProof/>
                <w:webHidden/>
              </w:rPr>
              <w:instrText xml:space="preserve"> PAGEREF _Toc55923643 \h </w:instrText>
            </w:r>
            <w:r w:rsidR="00AD2B93">
              <w:rPr>
                <w:noProof/>
                <w:webHidden/>
              </w:rPr>
            </w:r>
            <w:r w:rsidR="00AD2B93">
              <w:rPr>
                <w:noProof/>
                <w:webHidden/>
              </w:rPr>
              <w:fldChar w:fldCharType="separate"/>
            </w:r>
            <w:r w:rsidR="000D5AF0">
              <w:rPr>
                <w:noProof/>
                <w:webHidden/>
              </w:rPr>
              <w:t>15</w:t>
            </w:r>
            <w:r w:rsidR="00AD2B93">
              <w:rPr>
                <w:noProof/>
                <w:webHidden/>
              </w:rPr>
              <w:fldChar w:fldCharType="end"/>
            </w:r>
          </w:hyperlink>
        </w:p>
        <w:p w14:paraId="11C04462" w14:textId="56588BAF" w:rsidR="00AD2B93" w:rsidRDefault="001C2B48">
          <w:pPr>
            <w:pStyle w:val="TOC3"/>
            <w:rPr>
              <w:rFonts w:asciiTheme="minorHAnsi" w:eastAsiaTheme="minorEastAsia" w:hAnsiTheme="minorHAnsi" w:cstheme="minorBidi"/>
              <w:b w:val="0"/>
              <w:noProof/>
              <w:szCs w:val="22"/>
              <w:lang w:eastAsia="en-AU"/>
            </w:rPr>
          </w:pPr>
          <w:hyperlink w:anchor="_Toc55923644" w:history="1">
            <w:r w:rsidR="00AD2B93" w:rsidRPr="00C14979">
              <w:rPr>
                <w:rStyle w:val="Hyperlink"/>
                <w:noProof/>
              </w:rPr>
              <w:t>Other scenarios</w:t>
            </w:r>
            <w:r w:rsidR="00AD2B93">
              <w:rPr>
                <w:noProof/>
                <w:webHidden/>
              </w:rPr>
              <w:tab/>
            </w:r>
            <w:r w:rsidR="00AD2B93">
              <w:rPr>
                <w:noProof/>
                <w:webHidden/>
              </w:rPr>
              <w:fldChar w:fldCharType="begin"/>
            </w:r>
            <w:r w:rsidR="00AD2B93">
              <w:rPr>
                <w:noProof/>
                <w:webHidden/>
              </w:rPr>
              <w:instrText xml:space="preserve"> PAGEREF _Toc55923644 \h </w:instrText>
            </w:r>
            <w:r w:rsidR="00AD2B93">
              <w:rPr>
                <w:noProof/>
                <w:webHidden/>
              </w:rPr>
            </w:r>
            <w:r w:rsidR="00AD2B93">
              <w:rPr>
                <w:noProof/>
                <w:webHidden/>
              </w:rPr>
              <w:fldChar w:fldCharType="separate"/>
            </w:r>
            <w:r w:rsidR="000D5AF0">
              <w:rPr>
                <w:noProof/>
                <w:webHidden/>
              </w:rPr>
              <w:t>15</w:t>
            </w:r>
            <w:r w:rsidR="00AD2B93">
              <w:rPr>
                <w:noProof/>
                <w:webHidden/>
              </w:rPr>
              <w:fldChar w:fldCharType="end"/>
            </w:r>
          </w:hyperlink>
        </w:p>
        <w:p w14:paraId="180C25EA" w14:textId="2F0A2DF0" w:rsidR="00AD2B93" w:rsidRDefault="001C2B48">
          <w:pPr>
            <w:pStyle w:val="TOC1"/>
            <w:rPr>
              <w:rFonts w:asciiTheme="minorHAnsi" w:eastAsiaTheme="minorEastAsia" w:hAnsiTheme="minorHAnsi" w:cstheme="minorBidi"/>
              <w:b w:val="0"/>
              <w:noProof/>
              <w:sz w:val="22"/>
              <w:szCs w:val="22"/>
              <w:lang w:eastAsia="en-AU"/>
            </w:rPr>
          </w:pPr>
          <w:hyperlink w:anchor="_Toc55923645" w:history="1">
            <w:r w:rsidR="00AD2B93" w:rsidRPr="00C14979">
              <w:rPr>
                <w:rStyle w:val="Hyperlink"/>
                <w:noProof/>
              </w:rPr>
              <w:t>The TGA assessment process</w:t>
            </w:r>
            <w:r w:rsidR="00AD2B93">
              <w:rPr>
                <w:noProof/>
                <w:webHidden/>
              </w:rPr>
              <w:tab/>
            </w:r>
            <w:r w:rsidR="00AD2B93">
              <w:rPr>
                <w:noProof/>
                <w:webHidden/>
              </w:rPr>
              <w:fldChar w:fldCharType="begin"/>
            </w:r>
            <w:r w:rsidR="00AD2B93">
              <w:rPr>
                <w:noProof/>
                <w:webHidden/>
              </w:rPr>
              <w:instrText xml:space="preserve"> PAGEREF _Toc55923645 \h </w:instrText>
            </w:r>
            <w:r w:rsidR="00AD2B93">
              <w:rPr>
                <w:noProof/>
                <w:webHidden/>
              </w:rPr>
            </w:r>
            <w:r w:rsidR="00AD2B93">
              <w:rPr>
                <w:noProof/>
                <w:webHidden/>
              </w:rPr>
              <w:fldChar w:fldCharType="separate"/>
            </w:r>
            <w:r w:rsidR="000D5AF0">
              <w:rPr>
                <w:noProof/>
                <w:webHidden/>
              </w:rPr>
              <w:t>15</w:t>
            </w:r>
            <w:r w:rsidR="00AD2B93">
              <w:rPr>
                <w:noProof/>
                <w:webHidden/>
              </w:rPr>
              <w:fldChar w:fldCharType="end"/>
            </w:r>
          </w:hyperlink>
        </w:p>
        <w:p w14:paraId="25175255" w14:textId="65B41B75" w:rsidR="00AD2B93" w:rsidRDefault="001C2B48">
          <w:pPr>
            <w:pStyle w:val="TOC2"/>
            <w:rPr>
              <w:rFonts w:asciiTheme="minorHAnsi" w:eastAsiaTheme="minorEastAsia" w:hAnsiTheme="minorHAnsi" w:cstheme="minorBidi"/>
              <w:b w:val="0"/>
              <w:noProof/>
              <w:sz w:val="22"/>
              <w:szCs w:val="22"/>
              <w:lang w:eastAsia="en-AU"/>
            </w:rPr>
          </w:pPr>
          <w:hyperlink w:anchor="_Toc55923646" w:history="1">
            <w:r w:rsidR="00AD2B93" w:rsidRPr="00C14979">
              <w:rPr>
                <w:rStyle w:val="Hyperlink"/>
                <w:noProof/>
              </w:rPr>
              <w:t>Timeframe</w:t>
            </w:r>
            <w:r w:rsidR="00AD2B93">
              <w:rPr>
                <w:noProof/>
                <w:webHidden/>
              </w:rPr>
              <w:tab/>
            </w:r>
            <w:r w:rsidR="00AD2B93">
              <w:rPr>
                <w:noProof/>
                <w:webHidden/>
              </w:rPr>
              <w:fldChar w:fldCharType="begin"/>
            </w:r>
            <w:r w:rsidR="00AD2B93">
              <w:rPr>
                <w:noProof/>
                <w:webHidden/>
              </w:rPr>
              <w:instrText xml:space="preserve"> PAGEREF _Toc55923646 \h </w:instrText>
            </w:r>
            <w:r w:rsidR="00AD2B93">
              <w:rPr>
                <w:noProof/>
                <w:webHidden/>
              </w:rPr>
            </w:r>
            <w:r w:rsidR="00AD2B93">
              <w:rPr>
                <w:noProof/>
                <w:webHidden/>
              </w:rPr>
              <w:fldChar w:fldCharType="separate"/>
            </w:r>
            <w:r w:rsidR="000D5AF0">
              <w:rPr>
                <w:noProof/>
                <w:webHidden/>
              </w:rPr>
              <w:t>15</w:t>
            </w:r>
            <w:r w:rsidR="00AD2B93">
              <w:rPr>
                <w:noProof/>
                <w:webHidden/>
              </w:rPr>
              <w:fldChar w:fldCharType="end"/>
            </w:r>
          </w:hyperlink>
        </w:p>
        <w:p w14:paraId="0ABE55EF" w14:textId="0CCFAA69" w:rsidR="00AD2B93" w:rsidRDefault="001C2B48">
          <w:pPr>
            <w:pStyle w:val="TOC2"/>
            <w:rPr>
              <w:rFonts w:asciiTheme="minorHAnsi" w:eastAsiaTheme="minorEastAsia" w:hAnsiTheme="minorHAnsi" w:cstheme="minorBidi"/>
              <w:b w:val="0"/>
              <w:noProof/>
              <w:sz w:val="22"/>
              <w:szCs w:val="22"/>
              <w:lang w:eastAsia="en-AU"/>
            </w:rPr>
          </w:pPr>
          <w:hyperlink w:anchor="_Toc55923647" w:history="1">
            <w:r w:rsidR="00AD2B93" w:rsidRPr="00C14979">
              <w:rPr>
                <w:rStyle w:val="Hyperlink"/>
                <w:noProof/>
              </w:rPr>
              <w:t>Requests for additional information</w:t>
            </w:r>
            <w:r w:rsidR="00AD2B93">
              <w:rPr>
                <w:noProof/>
                <w:webHidden/>
              </w:rPr>
              <w:tab/>
            </w:r>
            <w:r w:rsidR="00AD2B93">
              <w:rPr>
                <w:noProof/>
                <w:webHidden/>
              </w:rPr>
              <w:fldChar w:fldCharType="begin"/>
            </w:r>
            <w:r w:rsidR="00AD2B93">
              <w:rPr>
                <w:noProof/>
                <w:webHidden/>
              </w:rPr>
              <w:instrText xml:space="preserve"> PAGEREF _Toc55923647 \h </w:instrText>
            </w:r>
            <w:r w:rsidR="00AD2B93">
              <w:rPr>
                <w:noProof/>
                <w:webHidden/>
              </w:rPr>
            </w:r>
            <w:r w:rsidR="00AD2B93">
              <w:rPr>
                <w:noProof/>
                <w:webHidden/>
              </w:rPr>
              <w:fldChar w:fldCharType="separate"/>
            </w:r>
            <w:r w:rsidR="000D5AF0">
              <w:rPr>
                <w:noProof/>
                <w:webHidden/>
              </w:rPr>
              <w:t>15</w:t>
            </w:r>
            <w:r w:rsidR="00AD2B93">
              <w:rPr>
                <w:noProof/>
                <w:webHidden/>
              </w:rPr>
              <w:fldChar w:fldCharType="end"/>
            </w:r>
          </w:hyperlink>
        </w:p>
        <w:p w14:paraId="42F35723" w14:textId="6360ADC9" w:rsidR="00AD2B93" w:rsidRDefault="001C2B48">
          <w:pPr>
            <w:pStyle w:val="TOC2"/>
            <w:rPr>
              <w:rFonts w:asciiTheme="minorHAnsi" w:eastAsiaTheme="minorEastAsia" w:hAnsiTheme="minorHAnsi" w:cstheme="minorBidi"/>
              <w:b w:val="0"/>
              <w:noProof/>
              <w:sz w:val="22"/>
              <w:szCs w:val="22"/>
              <w:lang w:eastAsia="en-AU"/>
            </w:rPr>
          </w:pPr>
          <w:hyperlink w:anchor="_Toc55923648" w:history="1">
            <w:r w:rsidR="00AD2B93" w:rsidRPr="00C14979">
              <w:rPr>
                <w:rStyle w:val="Hyperlink"/>
                <w:noProof/>
              </w:rPr>
              <w:t>Notifying you of our decision</w:t>
            </w:r>
            <w:r w:rsidR="00AD2B93">
              <w:rPr>
                <w:noProof/>
                <w:webHidden/>
              </w:rPr>
              <w:tab/>
            </w:r>
            <w:r w:rsidR="00AD2B93">
              <w:rPr>
                <w:noProof/>
                <w:webHidden/>
              </w:rPr>
              <w:fldChar w:fldCharType="begin"/>
            </w:r>
            <w:r w:rsidR="00AD2B93">
              <w:rPr>
                <w:noProof/>
                <w:webHidden/>
              </w:rPr>
              <w:instrText xml:space="preserve"> PAGEREF _Toc55923648 \h </w:instrText>
            </w:r>
            <w:r w:rsidR="00AD2B93">
              <w:rPr>
                <w:noProof/>
                <w:webHidden/>
              </w:rPr>
            </w:r>
            <w:r w:rsidR="00AD2B93">
              <w:rPr>
                <w:noProof/>
                <w:webHidden/>
              </w:rPr>
              <w:fldChar w:fldCharType="separate"/>
            </w:r>
            <w:r w:rsidR="000D5AF0">
              <w:rPr>
                <w:noProof/>
                <w:webHidden/>
              </w:rPr>
              <w:t>16</w:t>
            </w:r>
            <w:r w:rsidR="00AD2B93">
              <w:rPr>
                <w:noProof/>
                <w:webHidden/>
              </w:rPr>
              <w:fldChar w:fldCharType="end"/>
            </w:r>
          </w:hyperlink>
        </w:p>
        <w:p w14:paraId="0C62C517" w14:textId="76C5F9E2" w:rsidR="00AD2B93" w:rsidRDefault="001C2B48">
          <w:pPr>
            <w:pStyle w:val="TOC2"/>
            <w:rPr>
              <w:rFonts w:asciiTheme="minorHAnsi" w:eastAsiaTheme="minorEastAsia" w:hAnsiTheme="minorHAnsi" w:cstheme="minorBidi"/>
              <w:b w:val="0"/>
              <w:noProof/>
              <w:sz w:val="22"/>
              <w:szCs w:val="22"/>
              <w:lang w:eastAsia="en-AU"/>
            </w:rPr>
          </w:pPr>
          <w:hyperlink w:anchor="_Toc55923649" w:history="1">
            <w:r w:rsidR="00AD2B93" w:rsidRPr="00C14979">
              <w:rPr>
                <w:rStyle w:val="Hyperlink"/>
                <w:noProof/>
              </w:rPr>
              <w:t>Matters specified in the determination</w:t>
            </w:r>
            <w:r w:rsidR="00AD2B93">
              <w:rPr>
                <w:noProof/>
                <w:webHidden/>
              </w:rPr>
              <w:tab/>
            </w:r>
            <w:r w:rsidR="00AD2B93">
              <w:rPr>
                <w:noProof/>
                <w:webHidden/>
              </w:rPr>
              <w:fldChar w:fldCharType="begin"/>
            </w:r>
            <w:r w:rsidR="00AD2B93">
              <w:rPr>
                <w:noProof/>
                <w:webHidden/>
              </w:rPr>
              <w:instrText xml:space="preserve"> PAGEREF _Toc55923649 \h </w:instrText>
            </w:r>
            <w:r w:rsidR="00AD2B93">
              <w:rPr>
                <w:noProof/>
                <w:webHidden/>
              </w:rPr>
            </w:r>
            <w:r w:rsidR="00AD2B93">
              <w:rPr>
                <w:noProof/>
                <w:webHidden/>
              </w:rPr>
              <w:fldChar w:fldCharType="separate"/>
            </w:r>
            <w:r w:rsidR="000D5AF0">
              <w:rPr>
                <w:noProof/>
                <w:webHidden/>
              </w:rPr>
              <w:t>16</w:t>
            </w:r>
            <w:r w:rsidR="00AD2B93">
              <w:rPr>
                <w:noProof/>
                <w:webHidden/>
              </w:rPr>
              <w:fldChar w:fldCharType="end"/>
            </w:r>
          </w:hyperlink>
        </w:p>
        <w:p w14:paraId="442FC1FF" w14:textId="2EB11E42" w:rsidR="00AD2B93" w:rsidRDefault="001C2B48">
          <w:pPr>
            <w:pStyle w:val="TOC2"/>
            <w:rPr>
              <w:rFonts w:asciiTheme="minorHAnsi" w:eastAsiaTheme="minorEastAsia" w:hAnsiTheme="minorHAnsi" w:cstheme="minorBidi"/>
              <w:b w:val="0"/>
              <w:noProof/>
              <w:sz w:val="22"/>
              <w:szCs w:val="22"/>
              <w:lang w:eastAsia="en-AU"/>
            </w:rPr>
          </w:pPr>
          <w:hyperlink w:anchor="_Toc55923650" w:history="1">
            <w:r w:rsidR="00AD2B93" w:rsidRPr="00C14979">
              <w:rPr>
                <w:rStyle w:val="Hyperlink"/>
                <w:noProof/>
              </w:rPr>
              <w:t>Publication of determination decisions</w:t>
            </w:r>
            <w:r w:rsidR="00AD2B93">
              <w:rPr>
                <w:noProof/>
                <w:webHidden/>
              </w:rPr>
              <w:tab/>
            </w:r>
            <w:r w:rsidR="00AD2B93">
              <w:rPr>
                <w:noProof/>
                <w:webHidden/>
              </w:rPr>
              <w:fldChar w:fldCharType="begin"/>
            </w:r>
            <w:r w:rsidR="00AD2B93">
              <w:rPr>
                <w:noProof/>
                <w:webHidden/>
              </w:rPr>
              <w:instrText xml:space="preserve"> PAGEREF _Toc55923650 \h </w:instrText>
            </w:r>
            <w:r w:rsidR="00AD2B93">
              <w:rPr>
                <w:noProof/>
                <w:webHidden/>
              </w:rPr>
            </w:r>
            <w:r w:rsidR="00AD2B93">
              <w:rPr>
                <w:noProof/>
                <w:webHidden/>
              </w:rPr>
              <w:fldChar w:fldCharType="separate"/>
            </w:r>
            <w:r w:rsidR="000D5AF0">
              <w:rPr>
                <w:noProof/>
                <w:webHidden/>
              </w:rPr>
              <w:t>17</w:t>
            </w:r>
            <w:r w:rsidR="00AD2B93">
              <w:rPr>
                <w:noProof/>
                <w:webHidden/>
              </w:rPr>
              <w:fldChar w:fldCharType="end"/>
            </w:r>
          </w:hyperlink>
        </w:p>
        <w:p w14:paraId="773227C7" w14:textId="4F0C7458" w:rsidR="00AD2B93" w:rsidRDefault="001C2B48">
          <w:pPr>
            <w:pStyle w:val="TOC2"/>
            <w:rPr>
              <w:rFonts w:asciiTheme="minorHAnsi" w:eastAsiaTheme="minorEastAsia" w:hAnsiTheme="minorHAnsi" w:cstheme="minorBidi"/>
              <w:b w:val="0"/>
              <w:noProof/>
              <w:sz w:val="22"/>
              <w:szCs w:val="22"/>
              <w:lang w:eastAsia="en-AU"/>
            </w:rPr>
          </w:pPr>
          <w:hyperlink w:anchor="_Toc55923651" w:history="1">
            <w:r w:rsidR="00AD2B93" w:rsidRPr="00C14979">
              <w:rPr>
                <w:rStyle w:val="Hyperlink"/>
                <w:noProof/>
              </w:rPr>
              <w:t>Steps once priority applicant determination is made</w:t>
            </w:r>
            <w:r w:rsidR="00AD2B93">
              <w:rPr>
                <w:noProof/>
                <w:webHidden/>
              </w:rPr>
              <w:tab/>
            </w:r>
            <w:r w:rsidR="00AD2B93">
              <w:rPr>
                <w:noProof/>
                <w:webHidden/>
              </w:rPr>
              <w:fldChar w:fldCharType="begin"/>
            </w:r>
            <w:r w:rsidR="00AD2B93">
              <w:rPr>
                <w:noProof/>
                <w:webHidden/>
              </w:rPr>
              <w:instrText xml:space="preserve"> PAGEREF _Toc55923651 \h </w:instrText>
            </w:r>
            <w:r w:rsidR="00AD2B93">
              <w:rPr>
                <w:noProof/>
                <w:webHidden/>
              </w:rPr>
            </w:r>
            <w:r w:rsidR="00AD2B93">
              <w:rPr>
                <w:noProof/>
                <w:webHidden/>
              </w:rPr>
              <w:fldChar w:fldCharType="separate"/>
            </w:r>
            <w:r w:rsidR="000D5AF0">
              <w:rPr>
                <w:noProof/>
                <w:webHidden/>
              </w:rPr>
              <w:t>17</w:t>
            </w:r>
            <w:r w:rsidR="00AD2B93">
              <w:rPr>
                <w:noProof/>
                <w:webHidden/>
              </w:rPr>
              <w:fldChar w:fldCharType="end"/>
            </w:r>
          </w:hyperlink>
        </w:p>
        <w:p w14:paraId="5A2CFCD2" w14:textId="5DFDEB39" w:rsidR="00AD2B93" w:rsidRDefault="001C2B48">
          <w:pPr>
            <w:pStyle w:val="TOC3"/>
            <w:rPr>
              <w:rFonts w:asciiTheme="minorHAnsi" w:eastAsiaTheme="minorEastAsia" w:hAnsiTheme="minorHAnsi" w:cstheme="minorBidi"/>
              <w:b w:val="0"/>
              <w:noProof/>
              <w:szCs w:val="22"/>
              <w:lang w:eastAsia="en-AU"/>
            </w:rPr>
          </w:pPr>
          <w:hyperlink w:anchor="_Toc55923652" w:history="1">
            <w:r w:rsidR="00AD2B93" w:rsidRPr="00C14979">
              <w:rPr>
                <w:rStyle w:val="Hyperlink"/>
                <w:noProof/>
              </w:rPr>
              <w:t>Priority consideration process</w:t>
            </w:r>
            <w:r w:rsidR="00AD2B93">
              <w:rPr>
                <w:noProof/>
                <w:webHidden/>
              </w:rPr>
              <w:tab/>
            </w:r>
            <w:r w:rsidR="00AD2B93">
              <w:rPr>
                <w:noProof/>
                <w:webHidden/>
              </w:rPr>
              <w:fldChar w:fldCharType="begin"/>
            </w:r>
            <w:r w:rsidR="00AD2B93">
              <w:rPr>
                <w:noProof/>
                <w:webHidden/>
              </w:rPr>
              <w:instrText xml:space="preserve"> PAGEREF _Toc55923652 \h </w:instrText>
            </w:r>
            <w:r w:rsidR="00AD2B93">
              <w:rPr>
                <w:noProof/>
                <w:webHidden/>
              </w:rPr>
            </w:r>
            <w:r w:rsidR="00AD2B93">
              <w:rPr>
                <w:noProof/>
                <w:webHidden/>
              </w:rPr>
              <w:fldChar w:fldCharType="separate"/>
            </w:r>
            <w:r w:rsidR="000D5AF0">
              <w:rPr>
                <w:noProof/>
                <w:webHidden/>
              </w:rPr>
              <w:t>17</w:t>
            </w:r>
            <w:r w:rsidR="00AD2B93">
              <w:rPr>
                <w:noProof/>
                <w:webHidden/>
              </w:rPr>
              <w:fldChar w:fldCharType="end"/>
            </w:r>
          </w:hyperlink>
        </w:p>
        <w:p w14:paraId="0AEBE420" w14:textId="4EB7C7E4" w:rsidR="00AD2B93" w:rsidRDefault="001C2B48">
          <w:pPr>
            <w:pStyle w:val="TOC2"/>
            <w:rPr>
              <w:rFonts w:asciiTheme="minorHAnsi" w:eastAsiaTheme="minorEastAsia" w:hAnsiTheme="minorHAnsi" w:cstheme="minorBidi"/>
              <w:b w:val="0"/>
              <w:noProof/>
              <w:sz w:val="22"/>
              <w:szCs w:val="22"/>
              <w:lang w:eastAsia="en-AU"/>
            </w:rPr>
          </w:pPr>
          <w:hyperlink w:anchor="_Toc55923653" w:history="1">
            <w:r w:rsidR="00AD2B93" w:rsidRPr="00C14979">
              <w:rPr>
                <w:rStyle w:val="Hyperlink"/>
                <w:noProof/>
              </w:rPr>
              <w:t>Cessation, revocation or re-applying</w:t>
            </w:r>
            <w:r w:rsidR="00AD2B93">
              <w:rPr>
                <w:noProof/>
                <w:webHidden/>
              </w:rPr>
              <w:tab/>
            </w:r>
            <w:r w:rsidR="00AD2B93">
              <w:rPr>
                <w:noProof/>
                <w:webHidden/>
              </w:rPr>
              <w:fldChar w:fldCharType="begin"/>
            </w:r>
            <w:r w:rsidR="00AD2B93">
              <w:rPr>
                <w:noProof/>
                <w:webHidden/>
              </w:rPr>
              <w:instrText xml:space="preserve"> PAGEREF _Toc55923653 \h </w:instrText>
            </w:r>
            <w:r w:rsidR="00AD2B93">
              <w:rPr>
                <w:noProof/>
                <w:webHidden/>
              </w:rPr>
            </w:r>
            <w:r w:rsidR="00AD2B93">
              <w:rPr>
                <w:noProof/>
                <w:webHidden/>
              </w:rPr>
              <w:fldChar w:fldCharType="separate"/>
            </w:r>
            <w:r w:rsidR="000D5AF0">
              <w:rPr>
                <w:noProof/>
                <w:webHidden/>
              </w:rPr>
              <w:t>18</w:t>
            </w:r>
            <w:r w:rsidR="00AD2B93">
              <w:rPr>
                <w:noProof/>
                <w:webHidden/>
              </w:rPr>
              <w:fldChar w:fldCharType="end"/>
            </w:r>
          </w:hyperlink>
        </w:p>
        <w:p w14:paraId="169B5F51" w14:textId="6276EAA3" w:rsidR="00AD2B93" w:rsidRDefault="001C2B48">
          <w:pPr>
            <w:pStyle w:val="TOC3"/>
            <w:rPr>
              <w:rFonts w:asciiTheme="minorHAnsi" w:eastAsiaTheme="minorEastAsia" w:hAnsiTheme="minorHAnsi" w:cstheme="minorBidi"/>
              <w:b w:val="0"/>
              <w:noProof/>
              <w:szCs w:val="22"/>
              <w:lang w:eastAsia="en-AU"/>
            </w:rPr>
          </w:pPr>
          <w:hyperlink w:anchor="_Toc55923654" w:history="1">
            <w:r w:rsidR="00AD2B93" w:rsidRPr="00C14979">
              <w:rPr>
                <w:rStyle w:val="Hyperlink"/>
                <w:noProof/>
              </w:rPr>
              <w:t>Cessation of a priority applicant determination being in force</w:t>
            </w:r>
            <w:r w:rsidR="00AD2B93">
              <w:rPr>
                <w:noProof/>
                <w:webHidden/>
              </w:rPr>
              <w:tab/>
            </w:r>
            <w:r w:rsidR="00AD2B93">
              <w:rPr>
                <w:noProof/>
                <w:webHidden/>
              </w:rPr>
              <w:fldChar w:fldCharType="begin"/>
            </w:r>
            <w:r w:rsidR="00AD2B93">
              <w:rPr>
                <w:noProof/>
                <w:webHidden/>
              </w:rPr>
              <w:instrText xml:space="preserve"> PAGEREF _Toc55923654 \h </w:instrText>
            </w:r>
            <w:r w:rsidR="00AD2B93">
              <w:rPr>
                <w:noProof/>
                <w:webHidden/>
              </w:rPr>
            </w:r>
            <w:r w:rsidR="00AD2B93">
              <w:rPr>
                <w:noProof/>
                <w:webHidden/>
              </w:rPr>
              <w:fldChar w:fldCharType="separate"/>
            </w:r>
            <w:r w:rsidR="000D5AF0">
              <w:rPr>
                <w:noProof/>
                <w:webHidden/>
              </w:rPr>
              <w:t>18</w:t>
            </w:r>
            <w:r w:rsidR="00AD2B93">
              <w:rPr>
                <w:noProof/>
                <w:webHidden/>
              </w:rPr>
              <w:fldChar w:fldCharType="end"/>
            </w:r>
          </w:hyperlink>
        </w:p>
        <w:p w14:paraId="61A46909" w14:textId="02B012A7" w:rsidR="00AD2B93" w:rsidRDefault="001C2B48">
          <w:pPr>
            <w:pStyle w:val="TOC3"/>
            <w:rPr>
              <w:rFonts w:asciiTheme="minorHAnsi" w:eastAsiaTheme="minorEastAsia" w:hAnsiTheme="minorHAnsi" w:cstheme="minorBidi"/>
              <w:b w:val="0"/>
              <w:noProof/>
              <w:szCs w:val="22"/>
              <w:lang w:eastAsia="en-AU"/>
            </w:rPr>
          </w:pPr>
          <w:hyperlink w:anchor="_Toc55923655" w:history="1">
            <w:r w:rsidR="00AD2B93" w:rsidRPr="00C14979">
              <w:rPr>
                <w:rStyle w:val="Hyperlink"/>
                <w:noProof/>
              </w:rPr>
              <w:t>Revocation of a priority applicant determination</w:t>
            </w:r>
            <w:r w:rsidR="00AD2B93">
              <w:rPr>
                <w:noProof/>
                <w:webHidden/>
              </w:rPr>
              <w:tab/>
            </w:r>
            <w:r w:rsidR="00AD2B93">
              <w:rPr>
                <w:noProof/>
                <w:webHidden/>
              </w:rPr>
              <w:fldChar w:fldCharType="begin"/>
            </w:r>
            <w:r w:rsidR="00AD2B93">
              <w:rPr>
                <w:noProof/>
                <w:webHidden/>
              </w:rPr>
              <w:instrText xml:space="preserve"> PAGEREF _Toc55923655 \h </w:instrText>
            </w:r>
            <w:r w:rsidR="00AD2B93">
              <w:rPr>
                <w:noProof/>
                <w:webHidden/>
              </w:rPr>
            </w:r>
            <w:r w:rsidR="00AD2B93">
              <w:rPr>
                <w:noProof/>
                <w:webHidden/>
              </w:rPr>
              <w:fldChar w:fldCharType="separate"/>
            </w:r>
            <w:r w:rsidR="000D5AF0">
              <w:rPr>
                <w:noProof/>
                <w:webHidden/>
              </w:rPr>
              <w:t>18</w:t>
            </w:r>
            <w:r w:rsidR="00AD2B93">
              <w:rPr>
                <w:noProof/>
                <w:webHidden/>
              </w:rPr>
              <w:fldChar w:fldCharType="end"/>
            </w:r>
          </w:hyperlink>
        </w:p>
        <w:p w14:paraId="7B5E6A76" w14:textId="171A7BC9" w:rsidR="00AD2B93" w:rsidRDefault="001C2B48">
          <w:pPr>
            <w:pStyle w:val="TOC3"/>
            <w:rPr>
              <w:rFonts w:asciiTheme="minorHAnsi" w:eastAsiaTheme="minorEastAsia" w:hAnsiTheme="minorHAnsi" w:cstheme="minorBidi"/>
              <w:b w:val="0"/>
              <w:noProof/>
              <w:szCs w:val="22"/>
              <w:lang w:eastAsia="en-AU"/>
            </w:rPr>
          </w:pPr>
          <w:hyperlink w:anchor="_Toc55923656" w:history="1">
            <w:r w:rsidR="00AD2B93" w:rsidRPr="00C14979">
              <w:rPr>
                <w:rStyle w:val="Hyperlink"/>
                <w:noProof/>
              </w:rPr>
              <w:t>Reapplying for a priority applicant determination</w:t>
            </w:r>
            <w:r w:rsidR="00AD2B93">
              <w:rPr>
                <w:noProof/>
                <w:webHidden/>
              </w:rPr>
              <w:tab/>
            </w:r>
            <w:r w:rsidR="00AD2B93">
              <w:rPr>
                <w:noProof/>
                <w:webHidden/>
              </w:rPr>
              <w:fldChar w:fldCharType="begin"/>
            </w:r>
            <w:r w:rsidR="00AD2B93">
              <w:rPr>
                <w:noProof/>
                <w:webHidden/>
              </w:rPr>
              <w:instrText xml:space="preserve"> PAGEREF _Toc55923656 \h </w:instrText>
            </w:r>
            <w:r w:rsidR="00AD2B93">
              <w:rPr>
                <w:noProof/>
                <w:webHidden/>
              </w:rPr>
            </w:r>
            <w:r w:rsidR="00AD2B93">
              <w:rPr>
                <w:noProof/>
                <w:webHidden/>
              </w:rPr>
              <w:fldChar w:fldCharType="separate"/>
            </w:r>
            <w:r w:rsidR="000D5AF0">
              <w:rPr>
                <w:noProof/>
                <w:webHidden/>
              </w:rPr>
              <w:t>18</w:t>
            </w:r>
            <w:r w:rsidR="00AD2B93">
              <w:rPr>
                <w:noProof/>
                <w:webHidden/>
              </w:rPr>
              <w:fldChar w:fldCharType="end"/>
            </w:r>
          </w:hyperlink>
        </w:p>
        <w:p w14:paraId="70273C28" w14:textId="3C8C8026" w:rsidR="00AD2B93" w:rsidRDefault="001C2B48">
          <w:pPr>
            <w:pStyle w:val="TOC1"/>
            <w:rPr>
              <w:rFonts w:asciiTheme="minorHAnsi" w:eastAsiaTheme="minorEastAsia" w:hAnsiTheme="minorHAnsi" w:cstheme="minorBidi"/>
              <w:b w:val="0"/>
              <w:noProof/>
              <w:sz w:val="22"/>
              <w:szCs w:val="22"/>
              <w:lang w:eastAsia="en-AU"/>
            </w:rPr>
          </w:pPr>
          <w:hyperlink w:anchor="_Toc55923657" w:history="1">
            <w:r w:rsidR="00AD2B93" w:rsidRPr="00C14979">
              <w:rPr>
                <w:rStyle w:val="Hyperlink"/>
                <w:noProof/>
              </w:rPr>
              <w:t>Case studies</w:t>
            </w:r>
            <w:r w:rsidR="00AD2B93">
              <w:rPr>
                <w:noProof/>
                <w:webHidden/>
              </w:rPr>
              <w:tab/>
            </w:r>
            <w:r w:rsidR="00AD2B93">
              <w:rPr>
                <w:noProof/>
                <w:webHidden/>
              </w:rPr>
              <w:fldChar w:fldCharType="begin"/>
            </w:r>
            <w:r w:rsidR="00AD2B93">
              <w:rPr>
                <w:noProof/>
                <w:webHidden/>
              </w:rPr>
              <w:instrText xml:space="preserve"> PAGEREF _Toc55923657 \h </w:instrText>
            </w:r>
            <w:r w:rsidR="00AD2B93">
              <w:rPr>
                <w:noProof/>
                <w:webHidden/>
              </w:rPr>
            </w:r>
            <w:r w:rsidR="00AD2B93">
              <w:rPr>
                <w:noProof/>
                <w:webHidden/>
              </w:rPr>
              <w:fldChar w:fldCharType="separate"/>
            </w:r>
            <w:r w:rsidR="000D5AF0">
              <w:rPr>
                <w:noProof/>
                <w:webHidden/>
              </w:rPr>
              <w:t>19</w:t>
            </w:r>
            <w:r w:rsidR="00AD2B93">
              <w:rPr>
                <w:noProof/>
                <w:webHidden/>
              </w:rPr>
              <w:fldChar w:fldCharType="end"/>
            </w:r>
          </w:hyperlink>
        </w:p>
        <w:p w14:paraId="2C3BBE26" w14:textId="78EA6EB4" w:rsidR="00AD2B93" w:rsidRDefault="001C2B48">
          <w:pPr>
            <w:pStyle w:val="TOC2"/>
            <w:rPr>
              <w:rFonts w:asciiTheme="minorHAnsi" w:eastAsiaTheme="minorEastAsia" w:hAnsiTheme="minorHAnsi" w:cstheme="minorBidi"/>
              <w:b w:val="0"/>
              <w:noProof/>
              <w:sz w:val="22"/>
              <w:szCs w:val="22"/>
              <w:lang w:eastAsia="en-AU"/>
            </w:rPr>
          </w:pPr>
          <w:hyperlink w:anchor="_Toc55923658" w:history="1">
            <w:r w:rsidR="00AD2B93" w:rsidRPr="00C14979">
              <w:rPr>
                <w:rStyle w:val="Hyperlink"/>
                <w:noProof/>
              </w:rPr>
              <w:t>Case study 1</w:t>
            </w:r>
            <w:r w:rsidR="00AD2B93">
              <w:rPr>
                <w:noProof/>
                <w:webHidden/>
              </w:rPr>
              <w:tab/>
            </w:r>
            <w:r w:rsidR="00AD2B93">
              <w:rPr>
                <w:noProof/>
                <w:webHidden/>
              </w:rPr>
              <w:fldChar w:fldCharType="begin"/>
            </w:r>
            <w:r w:rsidR="00AD2B93">
              <w:rPr>
                <w:noProof/>
                <w:webHidden/>
              </w:rPr>
              <w:instrText xml:space="preserve"> PAGEREF _Toc55923658 \h </w:instrText>
            </w:r>
            <w:r w:rsidR="00AD2B93">
              <w:rPr>
                <w:noProof/>
                <w:webHidden/>
              </w:rPr>
            </w:r>
            <w:r w:rsidR="00AD2B93">
              <w:rPr>
                <w:noProof/>
                <w:webHidden/>
              </w:rPr>
              <w:fldChar w:fldCharType="separate"/>
            </w:r>
            <w:r w:rsidR="000D5AF0">
              <w:rPr>
                <w:noProof/>
                <w:webHidden/>
              </w:rPr>
              <w:t>19</w:t>
            </w:r>
            <w:r w:rsidR="00AD2B93">
              <w:rPr>
                <w:noProof/>
                <w:webHidden/>
              </w:rPr>
              <w:fldChar w:fldCharType="end"/>
            </w:r>
          </w:hyperlink>
        </w:p>
        <w:p w14:paraId="0AFA75C6" w14:textId="5BB45CC3" w:rsidR="00AD2B93" w:rsidRDefault="001C2B48">
          <w:pPr>
            <w:pStyle w:val="TOC2"/>
            <w:rPr>
              <w:rFonts w:asciiTheme="minorHAnsi" w:eastAsiaTheme="minorEastAsia" w:hAnsiTheme="minorHAnsi" w:cstheme="minorBidi"/>
              <w:b w:val="0"/>
              <w:noProof/>
              <w:sz w:val="22"/>
              <w:szCs w:val="22"/>
              <w:lang w:eastAsia="en-AU"/>
            </w:rPr>
          </w:pPr>
          <w:hyperlink w:anchor="_Toc55923659" w:history="1">
            <w:r w:rsidR="00AD2B93" w:rsidRPr="00C14979">
              <w:rPr>
                <w:rStyle w:val="Hyperlink"/>
                <w:noProof/>
              </w:rPr>
              <w:t>Case study 2</w:t>
            </w:r>
            <w:r w:rsidR="00AD2B93">
              <w:rPr>
                <w:noProof/>
                <w:webHidden/>
              </w:rPr>
              <w:tab/>
            </w:r>
            <w:r w:rsidR="00AD2B93">
              <w:rPr>
                <w:noProof/>
                <w:webHidden/>
              </w:rPr>
              <w:fldChar w:fldCharType="begin"/>
            </w:r>
            <w:r w:rsidR="00AD2B93">
              <w:rPr>
                <w:noProof/>
                <w:webHidden/>
              </w:rPr>
              <w:instrText xml:space="preserve"> PAGEREF _Toc55923659 \h </w:instrText>
            </w:r>
            <w:r w:rsidR="00AD2B93">
              <w:rPr>
                <w:noProof/>
                <w:webHidden/>
              </w:rPr>
            </w:r>
            <w:r w:rsidR="00AD2B93">
              <w:rPr>
                <w:noProof/>
                <w:webHidden/>
              </w:rPr>
              <w:fldChar w:fldCharType="separate"/>
            </w:r>
            <w:r w:rsidR="000D5AF0">
              <w:rPr>
                <w:noProof/>
                <w:webHidden/>
              </w:rPr>
              <w:t>19</w:t>
            </w:r>
            <w:r w:rsidR="00AD2B93">
              <w:rPr>
                <w:noProof/>
                <w:webHidden/>
              </w:rPr>
              <w:fldChar w:fldCharType="end"/>
            </w:r>
          </w:hyperlink>
        </w:p>
        <w:p w14:paraId="4584E8B9" w14:textId="506390B0" w:rsidR="00AD2B93" w:rsidRDefault="001C2B48">
          <w:pPr>
            <w:pStyle w:val="TOC1"/>
            <w:rPr>
              <w:rFonts w:asciiTheme="minorHAnsi" w:eastAsiaTheme="minorEastAsia" w:hAnsiTheme="minorHAnsi" w:cstheme="minorBidi"/>
              <w:b w:val="0"/>
              <w:noProof/>
              <w:sz w:val="22"/>
              <w:szCs w:val="22"/>
              <w:lang w:eastAsia="en-AU"/>
            </w:rPr>
          </w:pPr>
          <w:hyperlink w:anchor="_Toc55923660" w:history="1">
            <w:r w:rsidR="00AD2B93" w:rsidRPr="00C14979">
              <w:rPr>
                <w:rStyle w:val="Hyperlink"/>
                <w:noProof/>
              </w:rPr>
              <w:t>Flowchart of the priority applicant determination process</w:t>
            </w:r>
            <w:r w:rsidR="00AD2B93">
              <w:rPr>
                <w:noProof/>
                <w:webHidden/>
              </w:rPr>
              <w:tab/>
            </w:r>
            <w:r w:rsidR="00AD2B93">
              <w:rPr>
                <w:noProof/>
                <w:webHidden/>
              </w:rPr>
              <w:fldChar w:fldCharType="begin"/>
            </w:r>
            <w:r w:rsidR="00AD2B93">
              <w:rPr>
                <w:noProof/>
                <w:webHidden/>
              </w:rPr>
              <w:instrText xml:space="preserve"> PAGEREF _Toc55923660 \h </w:instrText>
            </w:r>
            <w:r w:rsidR="00AD2B93">
              <w:rPr>
                <w:noProof/>
                <w:webHidden/>
              </w:rPr>
            </w:r>
            <w:r w:rsidR="00AD2B93">
              <w:rPr>
                <w:noProof/>
                <w:webHidden/>
              </w:rPr>
              <w:fldChar w:fldCharType="separate"/>
            </w:r>
            <w:r w:rsidR="000D5AF0">
              <w:rPr>
                <w:noProof/>
                <w:webHidden/>
              </w:rPr>
              <w:t>20</w:t>
            </w:r>
            <w:r w:rsidR="00AD2B93">
              <w:rPr>
                <w:noProof/>
                <w:webHidden/>
              </w:rPr>
              <w:fldChar w:fldCharType="end"/>
            </w:r>
          </w:hyperlink>
        </w:p>
        <w:p w14:paraId="05B3DA32" w14:textId="74D8D420" w:rsidR="00F401EF" w:rsidRPr="00215D48" w:rsidRDefault="00F859D2" w:rsidP="00F401EF">
          <w:r w:rsidRPr="00215D48">
            <w:fldChar w:fldCharType="end"/>
          </w:r>
        </w:p>
      </w:sdtContent>
    </w:sdt>
    <w:p w14:paraId="5730201A" w14:textId="53AB577D" w:rsidR="006F6280" w:rsidRPr="006F6280" w:rsidRDefault="005D54AA" w:rsidP="00536EFD">
      <w:pPr>
        <w:pStyle w:val="Heading2"/>
        <w:pageBreakBefore/>
      </w:pPr>
      <w:bookmarkStart w:id="1" w:name="_Toc499112002"/>
      <w:bookmarkStart w:id="2" w:name="_Toc55923619"/>
      <w:bookmarkStart w:id="3" w:name="_Toc323739589"/>
      <w:bookmarkStart w:id="4" w:name="_Toc356305216"/>
      <w:r>
        <w:lastRenderedPageBreak/>
        <w:t>About th</w:t>
      </w:r>
      <w:r w:rsidR="00E839EE">
        <w:t>ese guidelines</w:t>
      </w:r>
      <w:bookmarkEnd w:id="1"/>
      <w:bookmarkEnd w:id="2"/>
    </w:p>
    <w:p w14:paraId="7A9B8F16" w14:textId="2EADCB21" w:rsidR="00E238B8" w:rsidRDefault="006F6280" w:rsidP="00A35E47">
      <w:r w:rsidRPr="006F6280">
        <w:t>Th</w:t>
      </w:r>
      <w:r w:rsidR="00E839EE">
        <w:t>e</w:t>
      </w:r>
      <w:r w:rsidR="00E11448">
        <w:t xml:space="preserve"> purpose of these</w:t>
      </w:r>
      <w:r w:rsidRPr="006F6280">
        <w:t xml:space="preserve"> guid</w:t>
      </w:r>
      <w:r w:rsidR="00E839EE">
        <w:t>elines</w:t>
      </w:r>
      <w:r w:rsidR="00E11448">
        <w:t xml:space="preserve"> is </w:t>
      </w:r>
      <w:r w:rsidRPr="006F6280">
        <w:t>to assist applicants seeking</w:t>
      </w:r>
      <w:r w:rsidR="008D58DC">
        <w:t xml:space="preserve"> </w:t>
      </w:r>
      <w:r w:rsidR="00342FC5">
        <w:t>a</w:t>
      </w:r>
      <w:r w:rsidR="0040044F">
        <w:t xml:space="preserve"> conformity assessment (priority applicant) determination or a medical devices</w:t>
      </w:r>
      <w:r w:rsidRPr="006F6280">
        <w:t xml:space="preserve"> </w:t>
      </w:r>
      <w:r w:rsidR="0040044F">
        <w:t>(p</w:t>
      </w:r>
      <w:r w:rsidR="0077019C">
        <w:t xml:space="preserve">riority </w:t>
      </w:r>
      <w:r w:rsidR="0040044F">
        <w:t>a</w:t>
      </w:r>
      <w:r w:rsidR="002760B9">
        <w:t>pplicant</w:t>
      </w:r>
      <w:r w:rsidR="0040044F">
        <w:t>)</w:t>
      </w:r>
      <w:r w:rsidR="002760B9">
        <w:t xml:space="preserve"> </w:t>
      </w:r>
      <w:r w:rsidR="0040044F">
        <w:t>d</w:t>
      </w:r>
      <w:r w:rsidR="002760B9">
        <w:t>etermination</w:t>
      </w:r>
      <w:r w:rsidR="00DB1D2D">
        <w:t xml:space="preserve">.  </w:t>
      </w:r>
      <w:r w:rsidR="00E11448">
        <w:t>T</w:t>
      </w:r>
      <w:r w:rsidR="00DB1D2D">
        <w:t xml:space="preserve">hese guidelines </w:t>
      </w:r>
      <w:r w:rsidR="00E11448">
        <w:t xml:space="preserve">generally refer to </w:t>
      </w:r>
      <w:r w:rsidR="00DB1D2D">
        <w:t>such determinations</w:t>
      </w:r>
      <w:r w:rsidR="009A645F">
        <w:t xml:space="preserve">, in </w:t>
      </w:r>
      <w:r w:rsidR="00E238B8">
        <w:t xml:space="preserve">either </w:t>
      </w:r>
      <w:r w:rsidR="009A645F">
        <w:t>case,</w:t>
      </w:r>
      <w:r w:rsidR="00DB1D2D">
        <w:t xml:space="preserve"> </w:t>
      </w:r>
      <w:r w:rsidR="00F75A10">
        <w:t>a</w:t>
      </w:r>
      <w:r w:rsidR="0040044F">
        <w:t>s ‘priority applicant determination</w:t>
      </w:r>
      <w:r w:rsidR="00F75A10">
        <w:t>s</w:t>
      </w:r>
      <w:r w:rsidR="0040044F">
        <w:t>’</w:t>
      </w:r>
      <w:r w:rsidR="00F75A10">
        <w:t>.</w:t>
      </w:r>
    </w:p>
    <w:p w14:paraId="21F90F30" w14:textId="3B254DF8" w:rsidR="005D54AA" w:rsidRDefault="00F75A10" w:rsidP="00A35E47">
      <w:r>
        <w:t>F</w:t>
      </w:r>
      <w:r w:rsidR="00B92C79">
        <w:t>or</w:t>
      </w:r>
      <w:r w:rsidR="0077019C">
        <w:t xml:space="preserve"> </w:t>
      </w:r>
      <w:r w:rsidR="00342FC5">
        <w:t>a medical device</w:t>
      </w:r>
      <w:r w:rsidR="00F46C7C">
        <w:t xml:space="preserve">, including </w:t>
      </w:r>
      <w:r w:rsidR="00E839EE">
        <w:t>an in</w:t>
      </w:r>
      <w:r w:rsidR="00F46C7C">
        <w:t xml:space="preserve"> vitro diagnostic </w:t>
      </w:r>
      <w:r w:rsidR="000415A9">
        <w:t xml:space="preserve">medical device </w:t>
      </w:r>
      <w:r w:rsidR="00F46C7C">
        <w:t>(IVD),</w:t>
      </w:r>
      <w:r w:rsidR="00342FC5">
        <w:t xml:space="preserve"> </w:t>
      </w:r>
      <w:r>
        <w:t xml:space="preserve">priority applicant determinations provide </w:t>
      </w:r>
      <w:r w:rsidR="00342FC5">
        <w:t>for</w:t>
      </w:r>
      <w:r>
        <w:t xml:space="preserve"> a person to be a priority applicant in relation to</w:t>
      </w:r>
      <w:r w:rsidR="00342FC5">
        <w:t xml:space="preserve"> </w:t>
      </w:r>
      <w:r w:rsidR="00351731">
        <w:t>either</w:t>
      </w:r>
      <w:r w:rsidR="005D54AA">
        <w:t>:</w:t>
      </w:r>
    </w:p>
    <w:p w14:paraId="747D0003" w14:textId="16245297" w:rsidR="005D54AA" w:rsidRDefault="00F75A10" w:rsidP="000E28F5">
      <w:pPr>
        <w:pStyle w:val="ListBullet"/>
      </w:pPr>
      <w:r>
        <w:t>an application for a conformity assessment certificate</w:t>
      </w:r>
      <w:r w:rsidR="00B92B7B">
        <w:t xml:space="preserve"> issued by the TGA</w:t>
      </w:r>
      <w:r w:rsidR="008A0183">
        <w:t xml:space="preserve"> </w:t>
      </w:r>
      <w:r>
        <w:t>or</w:t>
      </w:r>
    </w:p>
    <w:p w14:paraId="5BF9A4A7" w14:textId="004A6CB5" w:rsidR="00E52E0F" w:rsidRDefault="00F75A10" w:rsidP="006246F0">
      <w:pPr>
        <w:pStyle w:val="ListBullet"/>
      </w:pPr>
      <w:proofErr w:type="gramStart"/>
      <w:r>
        <w:t>an</w:t>
      </w:r>
      <w:proofErr w:type="gramEnd"/>
      <w:r>
        <w:t xml:space="preserve"> application for </w:t>
      </w:r>
      <w:r w:rsidR="006F6280" w:rsidRPr="006F6280">
        <w:t>inclusion</w:t>
      </w:r>
      <w:r w:rsidR="00351731">
        <w:t xml:space="preserve"> in the </w:t>
      </w:r>
      <w:hyperlink r:id="rId13" w:history="1">
        <w:r w:rsidR="00351731" w:rsidRPr="00342FC5">
          <w:rPr>
            <w:rStyle w:val="Hyperlink"/>
          </w:rPr>
          <w:t>Australian Register of Therapeutic Goods (ARTG</w:t>
        </w:r>
        <w:r w:rsidR="006F6280" w:rsidRPr="00342FC5">
          <w:rPr>
            <w:rStyle w:val="Hyperlink"/>
          </w:rPr>
          <w:t>)</w:t>
        </w:r>
      </w:hyperlink>
      <w:r w:rsidR="00E271B9" w:rsidRPr="00A746D6">
        <w:t>.</w:t>
      </w:r>
    </w:p>
    <w:p w14:paraId="77EF219B" w14:textId="2233F660" w:rsidR="00A27210" w:rsidRDefault="00090A43" w:rsidP="00E271B9">
      <w:r>
        <w:t xml:space="preserve">When a priority applicant determination is made, the </w:t>
      </w:r>
      <w:r w:rsidR="00A31039">
        <w:t>corresponding</w:t>
      </w:r>
      <w:r w:rsidR="008F4B2A">
        <w:t xml:space="preserve"> </w:t>
      </w:r>
      <w:r>
        <w:t xml:space="preserve">application </w:t>
      </w:r>
      <w:r w:rsidR="008F4B2A">
        <w:t>for conformity assessment</w:t>
      </w:r>
      <w:r w:rsidR="009B4284">
        <w:t xml:space="preserve"> </w:t>
      </w:r>
      <w:r w:rsidR="008F4B2A">
        <w:t>or ARTG inclusion</w:t>
      </w:r>
      <w:r w:rsidR="008A0183">
        <w:t xml:space="preserve"> </w:t>
      </w:r>
      <w:r>
        <w:t xml:space="preserve">will </w:t>
      </w:r>
      <w:r w:rsidR="00A31039">
        <w:t>undergo priority</w:t>
      </w:r>
      <w:r w:rsidR="008A0183">
        <w:t xml:space="preserve"> </w:t>
      </w:r>
      <w:r w:rsidR="009B4284">
        <w:t>consideration</w:t>
      </w:r>
      <w:r w:rsidR="00A31039">
        <w:t xml:space="preserve">. This means </w:t>
      </w:r>
      <w:r w:rsidR="003A469B">
        <w:t>th</w:t>
      </w:r>
      <w:r w:rsidR="007F186E">
        <w:t>at</w:t>
      </w:r>
      <w:r w:rsidR="003A469B">
        <w:t xml:space="preserve"> application</w:t>
      </w:r>
      <w:r w:rsidR="00A31039">
        <w:t xml:space="preserve"> will be</w:t>
      </w:r>
      <w:r>
        <w:t xml:space="preserve"> </w:t>
      </w:r>
      <w:r w:rsidR="00001F7C" w:rsidRPr="00001F7C">
        <w:t xml:space="preserve">allocated </w:t>
      </w:r>
      <w:r w:rsidR="00001F7C">
        <w:t>‘</w:t>
      </w:r>
      <w:r w:rsidR="00001F7C" w:rsidRPr="00001F7C">
        <w:t>front-of-queue</w:t>
      </w:r>
      <w:r w:rsidR="00001F7C">
        <w:t>’</w:t>
      </w:r>
      <w:r w:rsidR="00001F7C" w:rsidRPr="00001F7C">
        <w:t xml:space="preserve"> priority throughout the </w:t>
      </w:r>
      <w:r w:rsidR="00001F7C">
        <w:t xml:space="preserve">relevant </w:t>
      </w:r>
      <w:r w:rsidR="00001F7C" w:rsidRPr="00001F7C">
        <w:t>assessment process</w:t>
      </w:r>
      <w:r w:rsidR="00B92C79">
        <w:t>es</w:t>
      </w:r>
      <w:r w:rsidR="009B4284">
        <w:t xml:space="preserve"> by the TGA</w:t>
      </w:r>
      <w:r w:rsidR="00536EFD">
        <w:t>.</w:t>
      </w:r>
    </w:p>
    <w:p w14:paraId="7F9F3757" w14:textId="28F52DA2" w:rsidR="00B92B7B" w:rsidRDefault="00A27210" w:rsidP="00E271B9">
      <w:r>
        <w:t>O</w:t>
      </w:r>
      <w:r w:rsidR="00081C3E">
        <w:t>btaining a priority applicant determination does not, of itself, guarantee approval of the</w:t>
      </w:r>
      <w:r w:rsidR="000B3A1C">
        <w:t xml:space="preserve"> </w:t>
      </w:r>
      <w:r w:rsidR="003A469B">
        <w:t>application</w:t>
      </w:r>
      <w:r w:rsidR="007F186E">
        <w:t xml:space="preserve"> for conformity assessment or inclusion</w:t>
      </w:r>
      <w:r w:rsidR="00B16363">
        <w:t xml:space="preserve">. </w:t>
      </w:r>
      <w:r w:rsidR="00081C3E">
        <w:t>These applications</w:t>
      </w:r>
      <w:r w:rsidR="007F186E">
        <w:t xml:space="preserve"> </w:t>
      </w:r>
      <w:r w:rsidR="00C25EDE">
        <w:t xml:space="preserve">must </w:t>
      </w:r>
      <w:r w:rsidR="007F186E">
        <w:t xml:space="preserve">still </w:t>
      </w:r>
      <w:r w:rsidR="003A469B">
        <w:t>be assessed against</w:t>
      </w:r>
      <w:r w:rsidR="00C25EDE">
        <w:t>, and satisfy,</w:t>
      </w:r>
      <w:r w:rsidR="003A469B">
        <w:t xml:space="preserve"> the</w:t>
      </w:r>
      <w:r w:rsidR="007F186E">
        <w:t xml:space="preserve"> relevant</w:t>
      </w:r>
      <w:r w:rsidR="00A35BE5">
        <w:t xml:space="preserve"> legislative requirements</w:t>
      </w:r>
      <w:r w:rsidR="003A469B">
        <w:t>,</w:t>
      </w:r>
      <w:r w:rsidR="00A35BE5">
        <w:t xml:space="preserve"> in</w:t>
      </w:r>
      <w:r w:rsidR="003A469B">
        <w:t xml:space="preserve"> order for</w:t>
      </w:r>
      <w:r w:rsidR="000B3A1C">
        <w:t xml:space="preserve"> </w:t>
      </w:r>
      <w:r w:rsidR="00DB3BD8">
        <w:t xml:space="preserve">conformity assessment </w:t>
      </w:r>
      <w:r w:rsidR="000B3A1C">
        <w:t>certificat</w:t>
      </w:r>
      <w:r w:rsidR="001636B6">
        <w:t>ion</w:t>
      </w:r>
      <w:r w:rsidR="000B3A1C">
        <w:t xml:space="preserve"> to be issued</w:t>
      </w:r>
      <w:r w:rsidR="001636B6">
        <w:t>, and/or</w:t>
      </w:r>
      <w:r w:rsidR="000B3A1C">
        <w:t xml:space="preserve"> </w:t>
      </w:r>
      <w:r>
        <w:t>f</w:t>
      </w:r>
      <w:r w:rsidR="000B3A1C">
        <w:t>or a kind of device to be included in the ARTG.</w:t>
      </w:r>
    </w:p>
    <w:p w14:paraId="0CACFD60" w14:textId="77777777" w:rsidR="00426CDF" w:rsidRDefault="00E271B9" w:rsidP="00F0422B">
      <w:pPr>
        <w:rPr>
          <w:lang w:val="en"/>
        </w:rPr>
      </w:pPr>
      <w:r>
        <w:t xml:space="preserve">For more information about applications for </w:t>
      </w:r>
      <w:r w:rsidR="00B92B7B">
        <w:t xml:space="preserve">TGA </w:t>
      </w:r>
      <w:r>
        <w:t xml:space="preserve">conformity assessment </w:t>
      </w:r>
      <w:r w:rsidR="00B92B7B">
        <w:t xml:space="preserve">or </w:t>
      </w:r>
      <w:r>
        <w:t xml:space="preserve">for ARTG inclusion refer to </w:t>
      </w:r>
      <w:hyperlink r:id="rId14" w:history="1">
        <w:r w:rsidRPr="00DF05F8">
          <w:rPr>
            <w:rStyle w:val="Hyperlink"/>
            <w:lang w:val="en"/>
          </w:rPr>
          <w:t>Standards, guidelines &amp; publications (medical devices &amp; IVDs)</w:t>
        </w:r>
      </w:hyperlink>
      <w:r>
        <w:rPr>
          <w:lang w:val="en"/>
        </w:rPr>
        <w:t>.</w:t>
      </w:r>
    </w:p>
    <w:p w14:paraId="535D0D5F" w14:textId="644715C9" w:rsidR="00F0422B" w:rsidRPr="00A27210" w:rsidRDefault="00426CDF" w:rsidP="00F0422B">
      <w:pPr>
        <w:rPr>
          <w:lang w:val="en"/>
        </w:rPr>
      </w:pPr>
      <w:r w:rsidRPr="00426CDF">
        <w:t>Priority</w:t>
      </w:r>
      <w:r w:rsidR="009B4284" w:rsidRPr="00426CDF">
        <w:t xml:space="preserve"> applicant d</w:t>
      </w:r>
      <w:r w:rsidR="00DF05F8" w:rsidRPr="00426CDF">
        <w:t>e</w:t>
      </w:r>
      <w:r w:rsidR="003D63AF" w:rsidRPr="00426CDF">
        <w:t>termination</w:t>
      </w:r>
      <w:r w:rsidR="00DF05F8" w:rsidRPr="00426CDF">
        <w:t xml:space="preserve">s </w:t>
      </w:r>
      <w:r w:rsidR="009B4284" w:rsidRPr="00426CDF">
        <w:t xml:space="preserve">cease to be in force </w:t>
      </w:r>
      <w:r w:rsidR="00DF05F8" w:rsidRPr="00426CDF">
        <w:t xml:space="preserve">after 6 months </w:t>
      </w:r>
      <w:r w:rsidR="00A43008" w:rsidRPr="00426CDF">
        <w:t>if no</w:t>
      </w:r>
      <w:r w:rsidR="00DF05F8" w:rsidRPr="00426CDF">
        <w:t xml:space="preserve"> application for</w:t>
      </w:r>
      <w:r w:rsidR="009A3F87" w:rsidRPr="00426CDF">
        <w:t xml:space="preserve"> TGA</w:t>
      </w:r>
      <w:r w:rsidR="009B4284">
        <w:t xml:space="preserve"> </w:t>
      </w:r>
      <w:r w:rsidR="00DF05F8" w:rsidRPr="00DF05F8">
        <w:t>conformity assessment or</w:t>
      </w:r>
      <w:r w:rsidR="00A43008">
        <w:t xml:space="preserve"> ARTG inclusion</w:t>
      </w:r>
      <w:r w:rsidR="009A3F87">
        <w:t xml:space="preserve"> (as relevant)</w:t>
      </w:r>
      <w:r w:rsidR="00A43008">
        <w:t xml:space="preserve"> </w:t>
      </w:r>
      <w:r w:rsidR="00DB3BD8">
        <w:t>is made</w:t>
      </w:r>
      <w:r w:rsidR="00DF05F8" w:rsidRPr="00DF05F8">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238B9" w:rsidRPr="007414F4" w14:paraId="373F6041" w14:textId="77777777" w:rsidTr="00A746D6">
        <w:trPr>
          <w:trHeight w:val="838"/>
        </w:trPr>
        <w:tc>
          <w:tcPr>
            <w:tcW w:w="1276" w:type="dxa"/>
            <w:vAlign w:val="center"/>
          </w:tcPr>
          <w:p w14:paraId="7B16117C" w14:textId="77777777" w:rsidR="003238B9" w:rsidRPr="00215D48" w:rsidRDefault="003238B9" w:rsidP="00A746D6">
            <w:pPr>
              <w:spacing w:before="0"/>
              <w:rPr>
                <w:sz w:val="20"/>
              </w:rPr>
            </w:pPr>
            <w:r w:rsidRPr="00215D48">
              <w:rPr>
                <w:noProof/>
                <w:sz w:val="20"/>
                <w:lang w:eastAsia="en-AU"/>
              </w:rPr>
              <w:drawing>
                <wp:inline distT="0" distB="0" distL="0" distR="0" wp14:anchorId="155C713C" wp14:editId="1670D98D">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2DD09DB8" w14:textId="12934456" w:rsidR="003238B9" w:rsidRPr="007414F4" w:rsidRDefault="00FA576A" w:rsidP="001636B6">
            <w:r>
              <w:t xml:space="preserve">The making of </w:t>
            </w:r>
            <w:r w:rsidR="003238B9" w:rsidRPr="003238B9">
              <w:t xml:space="preserve">a priority </w:t>
            </w:r>
            <w:r>
              <w:t xml:space="preserve">applicant determination </w:t>
            </w:r>
            <w:r w:rsidR="003238B9" w:rsidRPr="003238B9">
              <w:t>does not guarantee approval of the applicat</w:t>
            </w:r>
            <w:r w:rsidR="003238B9">
              <w:t>ion for conformity assessment o</w:t>
            </w:r>
            <w:r>
              <w:t>r</w:t>
            </w:r>
            <w:r w:rsidR="003238B9" w:rsidRPr="003238B9">
              <w:t xml:space="preserve"> ARTG inclusion. </w:t>
            </w:r>
            <w:r w:rsidR="001636B6">
              <w:t>Compliance with</w:t>
            </w:r>
            <w:r>
              <w:t xml:space="preserve"> the Essential Principles</w:t>
            </w:r>
            <w:r w:rsidR="003238B9" w:rsidRPr="003238B9">
              <w:t xml:space="preserve"> is not </w:t>
            </w:r>
            <w:r w:rsidR="001636B6">
              <w:t>assessed</w:t>
            </w:r>
            <w:r w:rsidR="001636B6" w:rsidRPr="003238B9">
              <w:t xml:space="preserve"> </w:t>
            </w:r>
            <w:r w:rsidR="003238B9" w:rsidRPr="003238B9">
              <w:t>as part of a p</w:t>
            </w:r>
            <w:r>
              <w:t>riority applicant determination</w:t>
            </w:r>
            <w:r w:rsidR="003238B9" w:rsidRPr="003238B9">
              <w:t>.</w:t>
            </w:r>
          </w:p>
        </w:tc>
      </w:tr>
    </w:tbl>
    <w:p w14:paraId="218F545A" w14:textId="2625994E" w:rsidR="00E271B9" w:rsidRPr="00536EFD" w:rsidRDefault="00EE4C01" w:rsidP="00536EFD">
      <w:pPr>
        <w:pStyle w:val="Heading2"/>
      </w:pPr>
      <w:bookmarkStart w:id="5" w:name="_Toc55923620"/>
      <w:r>
        <w:t>The two types of</w:t>
      </w:r>
      <w:r w:rsidR="001818AC">
        <w:t xml:space="preserve"> priority applicant determination</w:t>
      </w:r>
      <w:r>
        <w:t>s</w:t>
      </w:r>
      <w:bookmarkEnd w:id="5"/>
    </w:p>
    <w:p w14:paraId="76A2C14A" w14:textId="1EECD66F" w:rsidR="00EE4C01" w:rsidRDefault="00E11448" w:rsidP="00E271B9">
      <w:r>
        <w:t xml:space="preserve">If </w:t>
      </w:r>
      <w:r w:rsidR="00E271B9">
        <w:t>you seek priority consideration</w:t>
      </w:r>
      <w:r>
        <w:t xml:space="preserve"> in relation to a medical device</w:t>
      </w:r>
      <w:r w:rsidR="00E271B9">
        <w:t xml:space="preserve">, you only need to apply for </w:t>
      </w:r>
      <w:r w:rsidR="00E271B9" w:rsidRPr="00375C9F">
        <w:rPr>
          <w:b/>
        </w:rPr>
        <w:t>one</w:t>
      </w:r>
      <w:r w:rsidR="00E271B9">
        <w:t xml:space="preserve"> type of pri</w:t>
      </w:r>
      <w:r w:rsidR="00536EFD">
        <w:t>ority applicant determination.</w:t>
      </w:r>
    </w:p>
    <w:p w14:paraId="54E4E731" w14:textId="72892811" w:rsidR="00FA576A" w:rsidRDefault="00EB3E7A" w:rsidP="00EB3E7A">
      <w:pPr>
        <w:pStyle w:val="Heading3"/>
      </w:pPr>
      <w:bookmarkStart w:id="6" w:name="_Toc55923621"/>
      <w:r>
        <w:t xml:space="preserve">Conformity assessment </w:t>
      </w:r>
      <w:r w:rsidR="002F25EC">
        <w:t xml:space="preserve">(priority applicant) </w:t>
      </w:r>
      <w:r>
        <w:t>determination</w:t>
      </w:r>
      <w:bookmarkEnd w:id="6"/>
    </w:p>
    <w:p w14:paraId="7633147B" w14:textId="037E1FD2" w:rsidR="00EB3E7A" w:rsidRDefault="00E271B9" w:rsidP="00E271B9">
      <w:r>
        <w:t>If you need a TGA-issued conformity assessment certificate, then the relevant priority applicant determination to apply for is a conformity assessment (priority applicant) determination.</w:t>
      </w:r>
    </w:p>
    <w:p w14:paraId="12A3BB38" w14:textId="05B6CCCB" w:rsidR="00E271B9" w:rsidRDefault="00EB3E7A" w:rsidP="00536EFD">
      <w:r>
        <w:t>I</w:t>
      </w:r>
      <w:r w:rsidR="00E271B9">
        <w:t xml:space="preserve">f you obtain TGA conformity assessment, the process for inclusion in the ARTG does not require audit and typically occurs </w:t>
      </w:r>
      <w:r w:rsidR="00C808E8">
        <w:t xml:space="preserve">within </w:t>
      </w:r>
      <w:r w:rsidR="008A6B6A">
        <w:t>a short period of time</w:t>
      </w:r>
      <w:r w:rsidR="009A3F87">
        <w:t xml:space="preserve"> </w:t>
      </w:r>
      <w:r w:rsidR="001818AC">
        <w:t>after</w:t>
      </w:r>
      <w:r w:rsidR="002F25EC">
        <w:t xml:space="preserve"> the </w:t>
      </w:r>
      <w:r w:rsidR="009A3F87">
        <w:t>application</w:t>
      </w:r>
      <w:r w:rsidR="002F25EC">
        <w:t xml:space="preserve"> for inclusion </w:t>
      </w:r>
      <w:r w:rsidR="001636B6">
        <w:t xml:space="preserve">is lodged and the relevant application </w:t>
      </w:r>
      <w:r w:rsidR="002F25EC">
        <w:t>fee is paid</w:t>
      </w:r>
      <w:r w:rsidR="00E271B9">
        <w:t>.</w:t>
      </w:r>
      <w:r w:rsidR="00C25EDE">
        <w:t xml:space="preserve"> </w:t>
      </w:r>
      <w:r w:rsidR="002F25EC">
        <w:t>A</w:t>
      </w:r>
      <w:r w:rsidR="001818AC">
        <w:t xml:space="preserve"> </w:t>
      </w:r>
      <w:r w:rsidR="001636B6">
        <w:t xml:space="preserve">separate </w:t>
      </w:r>
      <w:r w:rsidR="009A3F87">
        <w:t>application for a medical device</w:t>
      </w:r>
      <w:r w:rsidR="00F14BC9">
        <w:t>s</w:t>
      </w:r>
      <w:r w:rsidR="009A3F87">
        <w:t xml:space="preserve"> (priority applicant) determination</w:t>
      </w:r>
      <w:r w:rsidR="00C808E8">
        <w:t xml:space="preserve"> seeking priority consideration in the inclusion process </w:t>
      </w:r>
      <w:r w:rsidR="009A3F87">
        <w:t>is not</w:t>
      </w:r>
      <w:r w:rsidR="007F2C1F">
        <w:t xml:space="preserve"> necessary</w:t>
      </w:r>
      <w:r w:rsidR="009A3F87">
        <w:t>.</w:t>
      </w:r>
    </w:p>
    <w:p w14:paraId="511D87FF" w14:textId="177AAEE0" w:rsidR="00EB3E7A" w:rsidRDefault="00EB3E7A" w:rsidP="002F25EC">
      <w:pPr>
        <w:pStyle w:val="Heading3"/>
      </w:pPr>
      <w:bookmarkStart w:id="7" w:name="_Toc55923622"/>
      <w:r>
        <w:lastRenderedPageBreak/>
        <w:t>Medical devices</w:t>
      </w:r>
      <w:r w:rsidR="002F25EC">
        <w:t xml:space="preserve"> (priority applicant)</w:t>
      </w:r>
      <w:r>
        <w:t xml:space="preserve"> determination</w:t>
      </w:r>
      <w:bookmarkEnd w:id="7"/>
    </w:p>
    <w:p w14:paraId="50D0F3CF" w14:textId="45AFEE5C" w:rsidR="009A3F87" w:rsidRDefault="009A3F87" w:rsidP="00E271B9">
      <w:r>
        <w:t xml:space="preserve">If you do not need </w:t>
      </w:r>
      <w:r w:rsidR="001818AC">
        <w:t>a TGA-issued conformity assessment certificate (for example, you may</w:t>
      </w:r>
      <w:r w:rsidR="007F2C1F">
        <w:t xml:space="preserve"> already have overseas conformity assessment), and you seek priority consideration</w:t>
      </w:r>
      <w:r w:rsidR="00C808E8">
        <w:t xml:space="preserve"> in the inclusion process</w:t>
      </w:r>
      <w:r w:rsidR="007F2C1F">
        <w:t>, then the relevant priority application determination to apply for is a medical devices (priority applicant) determination.</w:t>
      </w:r>
    </w:p>
    <w:p w14:paraId="3BC489ED" w14:textId="1D2D9498" w:rsidR="009A3F87" w:rsidRDefault="009A3F87" w:rsidP="009A3F87">
      <w:r>
        <w:t>If you do not require ‘front-of-queue’ priority consideration (for your conformity assessment application or inclusion application), you do not need to apply for a priority applicant determination.</w:t>
      </w:r>
    </w:p>
    <w:p w14:paraId="4F735224" w14:textId="509C236C" w:rsidR="001102ED" w:rsidRDefault="00D26DC6" w:rsidP="0080312F">
      <w:pPr>
        <w:pStyle w:val="Heading2"/>
      </w:pPr>
      <w:bookmarkStart w:id="8" w:name="_Legislative_framework"/>
      <w:bookmarkStart w:id="9" w:name="_Toc55923623"/>
      <w:bookmarkEnd w:id="8"/>
      <w:r w:rsidRPr="006F02AA">
        <w:t xml:space="preserve">Legislative </w:t>
      </w:r>
      <w:r w:rsidR="004F0503">
        <w:t>framework</w:t>
      </w:r>
      <w:bookmarkEnd w:id="9"/>
    </w:p>
    <w:p w14:paraId="7959AE22" w14:textId="70E80BA8" w:rsidR="00426CDF" w:rsidRPr="00426CDF" w:rsidRDefault="00426CDF" w:rsidP="00426CDF">
      <w:r w:rsidRPr="00426CDF">
        <w:t>The relevant legislation regulating medical devices</w:t>
      </w:r>
      <w:r>
        <w:t xml:space="preserve"> is</w:t>
      </w:r>
      <w:r w:rsidRPr="00426CDF">
        <w:t>:</w:t>
      </w:r>
    </w:p>
    <w:p w14:paraId="007A4D5C" w14:textId="778E59F2" w:rsidR="00426CDF" w:rsidRPr="00426CDF" w:rsidRDefault="001C2B48" w:rsidP="00426CDF">
      <w:pPr>
        <w:pStyle w:val="ListBullet"/>
      </w:pPr>
      <w:hyperlink r:id="rId16" w:history="1">
        <w:r w:rsidR="00426CDF" w:rsidRPr="00426CDF">
          <w:rPr>
            <w:rStyle w:val="Hyperlink"/>
            <w:i/>
          </w:rPr>
          <w:t>Therapeutic Goods Act 1989</w:t>
        </w:r>
      </w:hyperlink>
      <w:r w:rsidR="00426CDF" w:rsidRPr="00426CDF">
        <w:t xml:space="preserve"> (the Act) particularly Chapter 4 of the Act</w:t>
      </w:r>
    </w:p>
    <w:p w14:paraId="1107BD3B" w14:textId="1A05554E" w:rsidR="00426CDF" w:rsidRPr="00426CDF" w:rsidRDefault="001C2B48" w:rsidP="00426CDF">
      <w:pPr>
        <w:pStyle w:val="ListBullet"/>
      </w:pPr>
      <w:hyperlink r:id="rId17" w:history="1">
        <w:r w:rsidR="00426CDF" w:rsidRPr="00426CDF">
          <w:rPr>
            <w:rStyle w:val="Hyperlink"/>
            <w:i/>
          </w:rPr>
          <w:t>Therapeutic Goods (Medical Devices) Regulations 2002</w:t>
        </w:r>
      </w:hyperlink>
      <w:r w:rsidR="00426CDF" w:rsidRPr="00426CDF">
        <w:t xml:space="preserve"> (the Regulations)</w:t>
      </w:r>
      <w:r w:rsidR="00426CDF">
        <w:t>.</w:t>
      </w:r>
    </w:p>
    <w:p w14:paraId="769A4385" w14:textId="68F182F4" w:rsidR="00EF271E" w:rsidRDefault="004F0503" w:rsidP="00536EFD">
      <w:bookmarkStart w:id="10" w:name="_Criteria_for_Priority"/>
      <w:bookmarkStart w:id="11" w:name="_Toc499112003"/>
      <w:bookmarkEnd w:id="10"/>
      <w:r>
        <w:t>The</w:t>
      </w:r>
      <w:r w:rsidR="00DD6B72">
        <w:t xml:space="preserve"> legislative framework for conformity assessment (priority applicant) determinations </w:t>
      </w:r>
      <w:r w:rsidR="00F250FA">
        <w:t xml:space="preserve">and </w:t>
      </w:r>
      <w:r w:rsidR="00DD6B72">
        <w:t>medical device (priority applicant) determinations</w:t>
      </w:r>
      <w:r w:rsidR="00B147E6">
        <w:t xml:space="preserve"> involves separate, but equivalent, provisions</w:t>
      </w:r>
      <w:r w:rsidR="00536EFD">
        <w:t>.</w:t>
      </w:r>
    </w:p>
    <w:p w14:paraId="5D447685" w14:textId="13B21D6F" w:rsidR="00700133" w:rsidRDefault="00EF271E" w:rsidP="002916FF">
      <w:r>
        <w:t>The Act contains framework provisions including that if a priority applicant determination is in force, it may be published on the Department’s website (sections 4</w:t>
      </w:r>
      <w:r w:rsidR="00E74A4B">
        <w:t>1</w:t>
      </w:r>
      <w:r>
        <w:t>ECA and 4</w:t>
      </w:r>
      <w:r w:rsidR="00E74A4B">
        <w:t>1</w:t>
      </w:r>
      <w:r>
        <w:t>FKA, respectively).</w:t>
      </w:r>
    </w:p>
    <w:p w14:paraId="60F91DCB" w14:textId="02D7A2BA" w:rsidR="00F250FA" w:rsidRDefault="00B16363" w:rsidP="002916FF">
      <w:r>
        <w:t>The Regulations (in R</w:t>
      </w:r>
      <w:r w:rsidR="00F250FA">
        <w:t xml:space="preserve">egulations 4.3B to </w:t>
      </w:r>
      <w:r w:rsidR="00CA412A">
        <w:t>4.3E, and 5.4A to 5.4D, respectively) provide for:</w:t>
      </w:r>
    </w:p>
    <w:p w14:paraId="71FB660E" w14:textId="252F5C43" w:rsidR="00CA412A" w:rsidRDefault="000855DC" w:rsidP="009E5486">
      <w:pPr>
        <w:pStyle w:val="ListBullet"/>
      </w:pPr>
      <w:r>
        <w:t>a</w:t>
      </w:r>
      <w:r w:rsidR="00CA412A">
        <w:t>pplication requirements (and the prescribed fee as set out in Schedule 5)</w:t>
      </w:r>
    </w:p>
    <w:p w14:paraId="5A1A78DF" w14:textId="06366922" w:rsidR="00CA412A" w:rsidRDefault="000855DC" w:rsidP="009E5486">
      <w:pPr>
        <w:pStyle w:val="ListBullet"/>
      </w:pPr>
      <w:r>
        <w:t>c</w:t>
      </w:r>
      <w:r w:rsidR="00CA412A">
        <w:t>riteria</w:t>
      </w:r>
    </w:p>
    <w:p w14:paraId="38823843" w14:textId="1470E6C2" w:rsidR="002916FF" w:rsidRDefault="000855DC" w:rsidP="009E5486">
      <w:pPr>
        <w:pStyle w:val="ListBullet"/>
      </w:pPr>
      <w:r>
        <w:t>n</w:t>
      </w:r>
      <w:r w:rsidR="002916FF">
        <w:t>otification of the decision on the application</w:t>
      </w:r>
      <w:r w:rsidR="0080312F">
        <w:t xml:space="preserve"> for a priority applicant determination</w:t>
      </w:r>
    </w:p>
    <w:p w14:paraId="08FA895A" w14:textId="2C8A5F29" w:rsidR="00CA412A" w:rsidRDefault="000855DC" w:rsidP="009E5486">
      <w:pPr>
        <w:pStyle w:val="ListBullet"/>
      </w:pPr>
      <w:r>
        <w:t>s</w:t>
      </w:r>
      <w:r w:rsidR="00CA412A">
        <w:t>pecific information to be set out in the priority applicant determination</w:t>
      </w:r>
    </w:p>
    <w:p w14:paraId="09827461" w14:textId="020A029D" w:rsidR="00CA412A" w:rsidRDefault="000855DC" w:rsidP="009E5486">
      <w:pPr>
        <w:pStyle w:val="ListBullet"/>
      </w:pPr>
      <w:r>
        <w:t>p</w:t>
      </w:r>
      <w:r w:rsidR="002916FF">
        <w:t>eriod when a priority applicant determination is in force</w:t>
      </w:r>
    </w:p>
    <w:p w14:paraId="2CAAC866" w14:textId="60481C3B" w:rsidR="002916FF" w:rsidRDefault="000855DC" w:rsidP="009E5486">
      <w:pPr>
        <w:pStyle w:val="ListBullet"/>
      </w:pPr>
      <w:proofErr w:type="gramStart"/>
      <w:r>
        <w:t>r</w:t>
      </w:r>
      <w:r w:rsidR="002916FF">
        <w:t>evocation</w:t>
      </w:r>
      <w:proofErr w:type="gramEnd"/>
      <w:r w:rsidR="002916FF">
        <w:t xml:space="preserve"> of priority applicant determinations.</w:t>
      </w:r>
    </w:p>
    <w:p w14:paraId="176E8ADF" w14:textId="4DDF9EE3" w:rsidR="00F9422C" w:rsidRDefault="00F9422C" w:rsidP="002916FF">
      <w:r>
        <w:t>The</w:t>
      </w:r>
      <w:r w:rsidR="00EF271E">
        <w:t xml:space="preserve"> Regulations contain a definition for the</w:t>
      </w:r>
      <w:r>
        <w:t xml:space="preserve"> term ‘intended purpose’ </w:t>
      </w:r>
      <w:r w:rsidR="00EF271E">
        <w:t>(</w:t>
      </w:r>
      <w:r>
        <w:t>which is referred to in the criteri</w:t>
      </w:r>
      <w:r w:rsidR="00EF271E">
        <w:t>a)</w:t>
      </w:r>
      <w:r>
        <w:t>:</w:t>
      </w:r>
    </w:p>
    <w:p w14:paraId="73C44AAF" w14:textId="7BC72885" w:rsidR="00F9422C" w:rsidRDefault="00F9422C" w:rsidP="000855DC">
      <w:proofErr w:type="gramStart"/>
      <w:r w:rsidRPr="0080312F">
        <w:rPr>
          <w:b/>
        </w:rPr>
        <w:t>intended</w:t>
      </w:r>
      <w:proofErr w:type="gramEnd"/>
      <w:r w:rsidRPr="0080312F">
        <w:rPr>
          <w:b/>
        </w:rPr>
        <w:t xml:space="preserve"> purpose</w:t>
      </w:r>
      <w:r>
        <w:t>, of a medical device, means the purpose for which the manufacturer of the device intends it to be used, as stated in:</w:t>
      </w:r>
    </w:p>
    <w:p w14:paraId="5B3D25F7" w14:textId="77777777" w:rsidR="009E5486" w:rsidRPr="009E5486" w:rsidRDefault="009E5486" w:rsidP="009E5486">
      <w:pPr>
        <w:numPr>
          <w:ilvl w:val="0"/>
          <w:numId w:val="13"/>
        </w:numPr>
      </w:pPr>
      <w:r w:rsidRPr="009E5486">
        <w:t>the information provided with the device; or</w:t>
      </w:r>
    </w:p>
    <w:p w14:paraId="53E665B9" w14:textId="77777777" w:rsidR="009E5486" w:rsidRPr="009E5486" w:rsidRDefault="009E5486" w:rsidP="009E5486">
      <w:pPr>
        <w:numPr>
          <w:ilvl w:val="0"/>
          <w:numId w:val="13"/>
        </w:numPr>
      </w:pPr>
      <w:r w:rsidRPr="009E5486">
        <w:t>the instructions for use of the device; or</w:t>
      </w:r>
    </w:p>
    <w:p w14:paraId="48D940C0" w14:textId="77777777" w:rsidR="009E5486" w:rsidRPr="009E5486" w:rsidRDefault="009E5486" w:rsidP="009E5486">
      <w:pPr>
        <w:numPr>
          <w:ilvl w:val="0"/>
          <w:numId w:val="13"/>
        </w:numPr>
      </w:pPr>
      <w:r w:rsidRPr="009E5486">
        <w:t>any advertising material applying to the device; or</w:t>
      </w:r>
    </w:p>
    <w:p w14:paraId="5195D7B9" w14:textId="77777777" w:rsidR="009E5486" w:rsidRPr="009E5486" w:rsidRDefault="009E5486" w:rsidP="009E5486">
      <w:pPr>
        <w:numPr>
          <w:ilvl w:val="0"/>
          <w:numId w:val="13"/>
        </w:numPr>
      </w:pPr>
      <w:proofErr w:type="gramStart"/>
      <w:r w:rsidRPr="009E5486">
        <w:t>any</w:t>
      </w:r>
      <w:proofErr w:type="gramEnd"/>
      <w:r w:rsidRPr="009E5486">
        <w:t xml:space="preserve"> technical documentation describing the mechanism of action of the device.</w:t>
      </w:r>
    </w:p>
    <w:p w14:paraId="24866A13" w14:textId="0E7FCA3E" w:rsidR="00F0422B" w:rsidRDefault="008C6C35" w:rsidP="009E5486">
      <w:r>
        <w:t>The</w:t>
      </w:r>
      <w:r w:rsidR="001930AE">
        <w:t xml:space="preserve"> Regulations </w:t>
      </w:r>
      <w:r>
        <w:t xml:space="preserve">also </w:t>
      </w:r>
      <w:r w:rsidR="001930AE">
        <w:t xml:space="preserve">provide </w:t>
      </w:r>
      <w:r>
        <w:t xml:space="preserve">for </w:t>
      </w:r>
      <w:r w:rsidR="00E6393E">
        <w:t xml:space="preserve">applicants to request </w:t>
      </w:r>
      <w:r>
        <w:t>reconsideration</w:t>
      </w:r>
      <w:r w:rsidR="008B6D06">
        <w:t xml:space="preserve"> </w:t>
      </w:r>
      <w:r>
        <w:t>of decisions to refuse to make</w:t>
      </w:r>
      <w:r w:rsidR="00E6393E">
        <w:t>,</w:t>
      </w:r>
      <w:r>
        <w:t xml:space="preserve"> or to revoke</w:t>
      </w:r>
      <w:r w:rsidR="00E6393E">
        <w:t>,</w:t>
      </w:r>
      <w:r>
        <w:t xml:space="preserve"> priority applicant determinations </w:t>
      </w:r>
      <w:r w:rsidR="001930AE">
        <w:t>(</w:t>
      </w:r>
      <w:r w:rsidR="00691236">
        <w:t>R</w:t>
      </w:r>
      <w:r w:rsidR="00536EFD">
        <w:t>egulation 10.7).</w:t>
      </w:r>
    </w:p>
    <w:p w14:paraId="6F028DAA" w14:textId="25740AFA" w:rsidR="006F6280" w:rsidRPr="006F6280" w:rsidRDefault="006F6280" w:rsidP="004F2F79">
      <w:pPr>
        <w:pStyle w:val="Heading2"/>
        <w:spacing w:before="360"/>
      </w:pPr>
      <w:bookmarkStart w:id="12" w:name="_Toc55923624"/>
      <w:r w:rsidRPr="006F6280">
        <w:lastRenderedPageBreak/>
        <w:t>Criteria</w:t>
      </w:r>
      <w:bookmarkEnd w:id="11"/>
      <w:r w:rsidR="0077019C">
        <w:t xml:space="preserve"> for </w:t>
      </w:r>
      <w:r w:rsidR="00991B56">
        <w:t>p</w:t>
      </w:r>
      <w:r w:rsidR="0077019C">
        <w:t xml:space="preserve">riority </w:t>
      </w:r>
      <w:r w:rsidR="002760B9">
        <w:t>applicant determination</w:t>
      </w:r>
      <w:bookmarkEnd w:id="12"/>
    </w:p>
    <w:p w14:paraId="7BD9E127" w14:textId="62ACA0E0" w:rsidR="00104E9D" w:rsidRDefault="009C2DD6" w:rsidP="006246F0">
      <w:r>
        <w:t xml:space="preserve">The Regulations set out </w:t>
      </w:r>
      <w:r w:rsidRPr="0080312F">
        <w:rPr>
          <w:b/>
        </w:rPr>
        <w:t>three</w:t>
      </w:r>
      <w:r>
        <w:t xml:space="preserve"> criteria, </w:t>
      </w:r>
      <w:r w:rsidRPr="0080312F">
        <w:rPr>
          <w:b/>
        </w:rPr>
        <w:t>all of which must be satisfied</w:t>
      </w:r>
      <w:r w:rsidR="00B51A49">
        <w:t xml:space="preserve"> in relation to the medical device</w:t>
      </w:r>
      <w:r w:rsidR="00104E9D">
        <w:t xml:space="preserve"> (referred to in the Regulations as ‘the new device’)</w:t>
      </w:r>
      <w:r w:rsidR="001E7B2B">
        <w:t>, in order t</w:t>
      </w:r>
      <w:r w:rsidR="00E665A1" w:rsidRPr="001A4A76">
        <w:t>o</w:t>
      </w:r>
      <w:r w:rsidR="0077019C" w:rsidRPr="001A4A76">
        <w:t xml:space="preserve"> </w:t>
      </w:r>
      <w:r w:rsidR="002916FF">
        <w:t xml:space="preserve">obtain a </w:t>
      </w:r>
      <w:r w:rsidR="00991B56" w:rsidRPr="001A4A76">
        <w:t>p</w:t>
      </w:r>
      <w:r w:rsidR="0077019C" w:rsidRPr="001A4A76">
        <w:t xml:space="preserve">riority </w:t>
      </w:r>
      <w:r w:rsidR="000745A9">
        <w:t>applicant determination</w:t>
      </w:r>
      <w:r w:rsidR="00536EFD">
        <w:t>.</w:t>
      </w:r>
    </w:p>
    <w:p w14:paraId="40188055" w14:textId="12F9A98E" w:rsidR="00840FB9" w:rsidRDefault="00104E9D" w:rsidP="006246F0">
      <w:r>
        <w:t>The</w:t>
      </w:r>
      <w:r w:rsidR="00566F43" w:rsidRPr="001A4A76">
        <w:t xml:space="preserve"> </w:t>
      </w:r>
      <w:r w:rsidR="006F6280" w:rsidRPr="001A4A76">
        <w:t>criteria</w:t>
      </w:r>
      <w:r>
        <w:t xml:space="preserve"> are</w:t>
      </w:r>
      <w:r w:rsidR="000B3A1C">
        <w:t xml:space="preserve"> set out in</w:t>
      </w:r>
      <w:r w:rsidR="00566F43" w:rsidRPr="001A4A76">
        <w:t xml:space="preserve"> </w:t>
      </w:r>
      <w:r w:rsidR="00E67FE7" w:rsidRPr="001A4A76">
        <w:t xml:space="preserve">in the </w:t>
      </w:r>
      <w:r w:rsidR="00566F43" w:rsidRPr="001A4A76">
        <w:t>table below</w:t>
      </w:r>
      <w:r w:rsidR="000B3A1C">
        <w:t>.</w:t>
      </w:r>
      <w:r w:rsidR="00840FB9">
        <w:t xml:space="preserve"> Note </w:t>
      </w:r>
      <w:r w:rsidR="000855DC">
        <w:t xml:space="preserve">that </w:t>
      </w:r>
      <w:r w:rsidR="00B24433">
        <w:t>c</w:t>
      </w:r>
      <w:r w:rsidR="00840FB9">
        <w:t>riterion 2 and 3 contain requirements in the alternative tha</w:t>
      </w:r>
      <w:r>
        <w:t>t can be met.</w:t>
      </w:r>
    </w:p>
    <w:p w14:paraId="0F225FD3" w14:textId="68CF50D8" w:rsidR="00880697" w:rsidRDefault="000855DC" w:rsidP="000855DC">
      <w:pPr>
        <w:pStyle w:val="Tabletitle"/>
      </w:pPr>
      <w:r>
        <w:t>Criteria for priority applicant determination</w:t>
      </w:r>
    </w:p>
    <w:tbl>
      <w:tblPr>
        <w:tblStyle w:val="TableTGAblue"/>
        <w:tblW w:w="9843" w:type="dxa"/>
        <w:tblLook w:val="04A0" w:firstRow="1" w:lastRow="0" w:firstColumn="1" w:lastColumn="0" w:noHBand="0" w:noVBand="1"/>
        <w:tblCaption w:val="Criteria for priority applicant determination"/>
        <w:tblDescription w:val="A shorthand reference to the criteria is given in column 1.  The full criteria are set out in column 2. "/>
      </w:tblPr>
      <w:tblGrid>
        <w:gridCol w:w="3534"/>
        <w:gridCol w:w="6309"/>
      </w:tblGrid>
      <w:tr w:rsidR="00880697" w:rsidRPr="00215D48" w14:paraId="496FBD6E" w14:textId="77777777" w:rsidTr="00880697">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534" w:type="dxa"/>
          </w:tcPr>
          <w:p w14:paraId="34C2CF49" w14:textId="67992705" w:rsidR="00880697" w:rsidRPr="00215D48" w:rsidRDefault="00880697" w:rsidP="00880697">
            <w:bookmarkStart w:id="13" w:name="ColumnTitle_3"/>
            <w:r>
              <w:t>Criteria</w:t>
            </w:r>
          </w:p>
        </w:tc>
        <w:tc>
          <w:tcPr>
            <w:tcW w:w="6309" w:type="dxa"/>
          </w:tcPr>
          <w:p w14:paraId="3096EEC0" w14:textId="5105C8C0" w:rsidR="00880697" w:rsidRPr="00215D48" w:rsidRDefault="00880697" w:rsidP="00880697">
            <w:pPr>
              <w:cnfStyle w:val="100000000000" w:firstRow="1" w:lastRow="0" w:firstColumn="0" w:lastColumn="0" w:oddVBand="0" w:evenVBand="0" w:oddHBand="0" w:evenHBand="0" w:firstRowFirstColumn="0" w:firstRowLastColumn="0" w:lastRowFirstColumn="0" w:lastRowLastColumn="0"/>
            </w:pPr>
            <w:r>
              <w:t>Description</w:t>
            </w:r>
          </w:p>
        </w:tc>
      </w:tr>
      <w:bookmarkEnd w:id="13"/>
      <w:tr w:rsidR="00880697" w:rsidRPr="0076100E" w14:paraId="486A282F" w14:textId="77777777" w:rsidTr="00880697">
        <w:trPr>
          <w:trHeight w:val="485"/>
        </w:trPr>
        <w:tc>
          <w:tcPr>
            <w:cnfStyle w:val="001000000000" w:firstRow="0" w:lastRow="0" w:firstColumn="1" w:lastColumn="0" w:oddVBand="0" w:evenVBand="0" w:oddHBand="0" w:evenHBand="0" w:firstRowFirstColumn="0" w:firstRowLastColumn="0" w:lastRowFirstColumn="0" w:lastRowLastColumn="0"/>
            <w:tcW w:w="3534" w:type="dxa"/>
          </w:tcPr>
          <w:p w14:paraId="5EC2F6DB" w14:textId="4244AE40" w:rsidR="00880697" w:rsidRPr="0076100E" w:rsidRDefault="00881F36" w:rsidP="00536EFD">
            <w:pPr>
              <w:pStyle w:val="Numberbullet0"/>
              <w:numPr>
                <w:ilvl w:val="0"/>
                <w:numId w:val="29"/>
              </w:numPr>
            </w:pPr>
            <w:r>
              <w:fldChar w:fldCharType="begin"/>
            </w:r>
            <w:r>
              <w:instrText xml:space="preserve"> HYPERLINK  \l "_Criterion_1:_‘Life-threatening" </w:instrText>
            </w:r>
            <w:r>
              <w:fldChar w:fldCharType="separate"/>
            </w:r>
            <w:r w:rsidR="002D7669" w:rsidRPr="00881F36">
              <w:rPr>
                <w:rStyle w:val="Hyperlink"/>
              </w:rPr>
              <w:t>L</w:t>
            </w:r>
            <w:r w:rsidR="00234CB8" w:rsidRPr="00881F36">
              <w:rPr>
                <w:rStyle w:val="Hyperlink"/>
              </w:rPr>
              <w:t>ife-threatening or seriously debilitating cond</w:t>
            </w:r>
            <w:r w:rsidR="008C0B94" w:rsidRPr="00881F36">
              <w:rPr>
                <w:rStyle w:val="Hyperlink"/>
              </w:rPr>
              <w:t>i</w:t>
            </w:r>
            <w:r w:rsidR="00234CB8" w:rsidRPr="00881F36">
              <w:rPr>
                <w:rStyle w:val="Hyperlink"/>
              </w:rPr>
              <w:t>tion</w:t>
            </w:r>
            <w:r>
              <w:fldChar w:fldCharType="end"/>
            </w:r>
          </w:p>
        </w:tc>
        <w:tc>
          <w:tcPr>
            <w:tcW w:w="6309" w:type="dxa"/>
          </w:tcPr>
          <w:p w14:paraId="78851DDA" w14:textId="56EEFA3A" w:rsidR="00880697" w:rsidRPr="0076100E" w:rsidRDefault="0076100E" w:rsidP="00432AFA">
            <w:pPr>
              <w:cnfStyle w:val="000000000000" w:firstRow="0" w:lastRow="0" w:firstColumn="0" w:lastColumn="0" w:oddVBand="0" w:evenVBand="0" w:oddHBand="0" w:evenHBand="0" w:firstRowFirstColumn="0" w:firstRowLastColumn="0" w:lastRowFirstColumn="0" w:lastRowLastColumn="0"/>
            </w:pPr>
            <w:r>
              <w:t>The intended purpose of the new device is the monitoring, treatment, prevention or diagnosis of a life</w:t>
            </w:r>
            <w:r w:rsidR="008C0B94">
              <w:t>-</w:t>
            </w:r>
            <w:r>
              <w:t>threatening or s</w:t>
            </w:r>
            <w:r w:rsidR="00DA733A">
              <w:t>eriously debilitating condition</w:t>
            </w:r>
            <w:r w:rsidR="00881F36">
              <w:t>.</w:t>
            </w:r>
          </w:p>
        </w:tc>
      </w:tr>
      <w:tr w:rsidR="00880697" w:rsidRPr="00215D48" w14:paraId="7A3394BD" w14:textId="77777777" w:rsidTr="00880697">
        <w:trPr>
          <w:trHeight w:val="485"/>
        </w:trPr>
        <w:tc>
          <w:tcPr>
            <w:cnfStyle w:val="001000000000" w:firstRow="0" w:lastRow="0" w:firstColumn="1" w:lastColumn="0" w:oddVBand="0" w:evenVBand="0" w:oddHBand="0" w:evenHBand="0" w:firstRowFirstColumn="0" w:firstRowLastColumn="0" w:lastRowFirstColumn="0" w:lastRowLastColumn="0"/>
            <w:tcW w:w="3534" w:type="dxa"/>
          </w:tcPr>
          <w:p w14:paraId="2B9481D2" w14:textId="14A0BDC1" w:rsidR="00880697" w:rsidRPr="00215D48" w:rsidRDefault="001C2B48" w:rsidP="00536EFD">
            <w:pPr>
              <w:pStyle w:val="Numberbullet0"/>
            </w:pPr>
            <w:hyperlink w:anchor="_Criterion_2_–" w:history="1">
              <w:r w:rsidR="0076100E" w:rsidRPr="0076100E">
                <w:rPr>
                  <w:rStyle w:val="Hyperlink"/>
                </w:rPr>
                <w:t>Unmet need</w:t>
              </w:r>
            </w:hyperlink>
            <w:r w:rsidR="00536EFD">
              <w:rPr>
                <w:rStyle w:val="Hyperlink"/>
              </w:rPr>
              <w:t xml:space="preserve"> </w:t>
            </w:r>
            <w:r w:rsidR="00881F36">
              <w:rPr>
                <w:rStyle w:val="Hyperlink"/>
              </w:rPr>
              <w:t>/ significant improvement</w:t>
            </w:r>
          </w:p>
        </w:tc>
        <w:tc>
          <w:tcPr>
            <w:tcW w:w="6309" w:type="dxa"/>
          </w:tcPr>
          <w:p w14:paraId="77824B72" w14:textId="7185BC45" w:rsidR="0076100E" w:rsidRDefault="00DA733A" w:rsidP="0076100E">
            <w:pPr>
              <w:cnfStyle w:val="000000000000" w:firstRow="0" w:lastRow="0" w:firstColumn="0" w:lastColumn="0" w:oddVBand="0" w:evenVBand="0" w:oddHBand="0" w:evenHBand="0" w:firstRowFirstColumn="0" w:firstRowLastColumn="0" w:lastRowFirstColumn="0" w:lastRowLastColumn="0"/>
            </w:pPr>
            <w:r>
              <w:t>E</w:t>
            </w:r>
            <w:r w:rsidR="0076100E">
              <w:t>ither:</w:t>
            </w:r>
          </w:p>
          <w:p w14:paraId="4182401B" w14:textId="77777777" w:rsidR="00454E4A" w:rsidRPr="00536EFD" w:rsidRDefault="00454E4A" w:rsidP="00454E4A">
            <w:pPr>
              <w:pStyle w:val="Numberbullet3"/>
              <w:cnfStyle w:val="000000000000" w:firstRow="0" w:lastRow="0" w:firstColumn="0" w:lastColumn="0" w:oddVBand="0" w:evenVBand="0" w:oddHBand="0" w:evenHBand="0" w:firstRowFirstColumn="0" w:firstRowLastColumn="0" w:lastRowFirstColumn="0" w:lastRowLastColumn="0"/>
            </w:pPr>
            <w:r w:rsidRPr="00DA733A">
              <w:t xml:space="preserve">no medical devices with that intended purpose are of a kind included in the ARTG, </w:t>
            </w:r>
            <w:r w:rsidRPr="00DA733A">
              <w:rPr>
                <w:b/>
              </w:rPr>
              <w:t>OR</w:t>
            </w:r>
          </w:p>
          <w:p w14:paraId="7B451A98" w14:textId="2076F32B" w:rsidR="00880697" w:rsidRPr="00DA733A" w:rsidRDefault="00454E4A" w:rsidP="00454E4A">
            <w:pPr>
              <w:pStyle w:val="Numberbullet3"/>
              <w:cnfStyle w:val="000000000000" w:firstRow="0" w:lastRow="0" w:firstColumn="0" w:lastColumn="0" w:oddVBand="0" w:evenVBand="0" w:oddHBand="0" w:evenHBand="0" w:firstRowFirstColumn="0" w:firstRowLastColumn="0" w:lastRowFirstColumn="0" w:lastRowLastColumn="0"/>
            </w:pPr>
            <w:proofErr w:type="gramStart"/>
            <w:r w:rsidRPr="00DA733A">
              <w:t>if</w:t>
            </w:r>
            <w:proofErr w:type="gramEnd"/>
            <w:r w:rsidRPr="00DA733A">
              <w:t xml:space="preserve"> one or more medical devices with that intended purpose are of a kind included in the ARTG (the existing devices)</w:t>
            </w:r>
            <w:r>
              <w:t xml:space="preserve">, </w:t>
            </w:r>
            <w:r w:rsidRPr="00DA733A">
              <w:t>there is substantial evidence demonstrating that the safety or performance of the new device when used for that intended purpose provides a significant improvement compared to the exi</w:t>
            </w:r>
            <w:r>
              <w:t>sting devices.</w:t>
            </w:r>
          </w:p>
        </w:tc>
      </w:tr>
      <w:tr w:rsidR="0076100E" w:rsidRPr="00215D48" w14:paraId="36D16F15" w14:textId="77777777" w:rsidTr="00880697">
        <w:trPr>
          <w:trHeight w:val="485"/>
        </w:trPr>
        <w:tc>
          <w:tcPr>
            <w:cnfStyle w:val="001000000000" w:firstRow="0" w:lastRow="0" w:firstColumn="1" w:lastColumn="0" w:oddVBand="0" w:evenVBand="0" w:oddHBand="0" w:evenHBand="0" w:firstRowFirstColumn="0" w:firstRowLastColumn="0" w:lastRowFirstColumn="0" w:lastRowLastColumn="0"/>
            <w:tcW w:w="3534" w:type="dxa"/>
          </w:tcPr>
          <w:p w14:paraId="364747BA" w14:textId="1AA7F9C2" w:rsidR="0076100E" w:rsidRPr="0076100E" w:rsidRDefault="001C2B48" w:rsidP="00884D8F">
            <w:pPr>
              <w:pStyle w:val="Numberbullet0"/>
            </w:pPr>
            <w:hyperlink w:anchor="_Major_clinical_advantage" w:history="1">
              <w:r w:rsidR="0076100E" w:rsidRPr="0076100E">
                <w:rPr>
                  <w:rStyle w:val="Hyperlink"/>
                </w:rPr>
                <w:t xml:space="preserve">Major clinical advantage (or in the case of IVDs, </w:t>
              </w:r>
              <w:r w:rsidR="00227E3F">
                <w:rPr>
                  <w:rStyle w:val="Hyperlink"/>
                </w:rPr>
                <w:t>‘</w:t>
              </w:r>
              <w:r w:rsidR="0076100E" w:rsidRPr="0076100E">
                <w:rPr>
                  <w:rStyle w:val="Hyperlink"/>
                </w:rPr>
                <w:t>major public health benefit</w:t>
              </w:r>
              <w:r w:rsidR="00227E3F">
                <w:rPr>
                  <w:rStyle w:val="Hyperlink"/>
                </w:rPr>
                <w:t>’</w:t>
              </w:r>
              <w:r w:rsidR="0076100E" w:rsidRPr="0076100E">
                <w:rPr>
                  <w:rStyle w:val="Hyperlink"/>
                </w:rPr>
                <w:t>)</w:t>
              </w:r>
            </w:hyperlink>
          </w:p>
        </w:tc>
        <w:tc>
          <w:tcPr>
            <w:tcW w:w="6309" w:type="dxa"/>
          </w:tcPr>
          <w:p w14:paraId="7563C910" w14:textId="77777777" w:rsidR="00454E4A" w:rsidRPr="00863FB7" w:rsidRDefault="00454E4A" w:rsidP="00454E4A">
            <w:pPr>
              <w:pStyle w:val="Numberbullet0"/>
              <w:numPr>
                <w:ilvl w:val="0"/>
                <w:numId w:val="0"/>
              </w:numPr>
              <w:cnfStyle w:val="000000000000" w:firstRow="0" w:lastRow="0" w:firstColumn="0" w:lastColumn="0" w:oddVBand="0" w:evenVBand="0" w:oddHBand="0" w:evenHBand="0" w:firstRowFirstColumn="0" w:firstRowLastColumn="0" w:lastRowFirstColumn="0" w:lastRowLastColumn="0"/>
            </w:pPr>
            <w:r>
              <w:t>A</w:t>
            </w:r>
            <w:r w:rsidRPr="00863FB7">
              <w:t xml:space="preserve">t least </w:t>
            </w:r>
            <w:r w:rsidRPr="000E28F5">
              <w:rPr>
                <w:b/>
              </w:rPr>
              <w:t>one of the following</w:t>
            </w:r>
            <w:r w:rsidRPr="00863FB7">
              <w:t xml:space="preserve"> must apply to the new device:</w:t>
            </w:r>
          </w:p>
          <w:p w14:paraId="1025682C" w14:textId="77777777" w:rsidR="00454E4A" w:rsidRPr="00536EFD" w:rsidRDefault="00454E4A" w:rsidP="00454E4A">
            <w:pPr>
              <w:pStyle w:val="Numberbullet3"/>
              <w:cnfStyle w:val="000000000000" w:firstRow="0" w:lastRow="0" w:firstColumn="0" w:lastColumn="0" w:oddVBand="0" w:evenVBand="0" w:oddHBand="0" w:evenHBand="0" w:firstRowFirstColumn="0" w:firstRowLastColumn="0" w:lastRowFirstColumn="0" w:lastRowLastColumn="0"/>
            </w:pPr>
            <w:r>
              <w:t xml:space="preserve">the new device is a breakthrough technology </w:t>
            </w:r>
            <w:r w:rsidRPr="006D3D5D">
              <w:rPr>
                <w:b/>
              </w:rPr>
              <w:t>AND</w:t>
            </w:r>
            <w:r>
              <w:t xml:space="preserve"> there is evidence that it offers a major clinical advantage over existing technology; </w:t>
            </w:r>
            <w:r w:rsidRPr="006D3D5D">
              <w:rPr>
                <w:b/>
              </w:rPr>
              <w:t>OR</w:t>
            </w:r>
          </w:p>
          <w:p w14:paraId="061A0F1E" w14:textId="77777777" w:rsidR="00454E4A" w:rsidRPr="00536EFD" w:rsidRDefault="00454E4A" w:rsidP="00454E4A">
            <w:pPr>
              <w:pStyle w:val="Numberbullet3"/>
              <w:cnfStyle w:val="000000000000" w:firstRow="0" w:lastRow="0" w:firstColumn="0" w:lastColumn="0" w:oddVBand="0" w:evenVBand="0" w:oddHBand="0" w:evenHBand="0" w:firstRowFirstColumn="0" w:firstRowLastColumn="0" w:lastRowFirstColumn="0" w:lastRowLastColumn="0"/>
            </w:pPr>
            <w:r w:rsidRPr="000B1288">
              <w:t>there</w:t>
            </w:r>
            <w:r>
              <w:t xml:space="preserve"> is evidence that the device offers a major clinical advantage over existing alternatives included in the ARTG; </w:t>
            </w:r>
            <w:r w:rsidRPr="006D3D5D">
              <w:rPr>
                <w:b/>
              </w:rPr>
              <w:t>OR</w:t>
            </w:r>
          </w:p>
          <w:p w14:paraId="67976A2F" w14:textId="5B3256E4" w:rsidR="0076100E" w:rsidRDefault="00454E4A" w:rsidP="00454E4A">
            <w:pPr>
              <w:pStyle w:val="Numberbullet3"/>
              <w:cnfStyle w:val="000000000000" w:firstRow="0" w:lastRow="0" w:firstColumn="0" w:lastColumn="0" w:oddVBand="0" w:evenVBand="0" w:oddHBand="0" w:evenHBand="0" w:firstRowFirstColumn="0" w:firstRowLastColumn="0" w:lastRowFirstColumn="0" w:lastRowLastColumn="0"/>
            </w:pPr>
            <w:proofErr w:type="gramStart"/>
            <w:r>
              <w:t>the</w:t>
            </w:r>
            <w:proofErr w:type="gramEnd"/>
            <w:r>
              <w:t xml:space="preserve"> new device is an IVD medical device and its early availability in Australia will result in a major public health benefit.</w:t>
            </w:r>
          </w:p>
        </w:tc>
      </w:tr>
    </w:tbl>
    <w:p w14:paraId="248AC8AD" w14:textId="0E835984" w:rsidR="00557D96" w:rsidRDefault="000E28F5" w:rsidP="000E28F5">
      <w:pPr>
        <w:pStyle w:val="Heading2"/>
      </w:pPr>
      <w:bookmarkStart w:id="14" w:name="_Addressing_the_criteria"/>
      <w:bookmarkStart w:id="15" w:name="_Toc55923625"/>
      <w:bookmarkEnd w:id="14"/>
      <w:r>
        <w:t>Addressing the criteria</w:t>
      </w:r>
      <w:bookmarkEnd w:id="15"/>
    </w:p>
    <w:p w14:paraId="7B416DDC" w14:textId="37D362A5" w:rsidR="00557D96" w:rsidRDefault="00C102C0" w:rsidP="00A35E47">
      <w:r>
        <w:t>You</w:t>
      </w:r>
      <w:r w:rsidR="006673B1">
        <w:t xml:space="preserve"> </w:t>
      </w:r>
      <w:r>
        <w:t xml:space="preserve">need to </w:t>
      </w:r>
      <w:r w:rsidRPr="000E28F5">
        <w:t>m</w:t>
      </w:r>
      <w:r w:rsidR="00774448" w:rsidRPr="000E28F5">
        <w:t>ake</w:t>
      </w:r>
      <w:r w:rsidR="00774448" w:rsidRPr="00106B00">
        <w:rPr>
          <w:b/>
        </w:rPr>
        <w:t xml:space="preserve"> </w:t>
      </w:r>
      <w:r w:rsidR="00774448" w:rsidRPr="001E6F1B">
        <w:t>a concise, persuasive argument against</w:t>
      </w:r>
      <w:r w:rsidR="00774448" w:rsidRPr="00106B00">
        <w:rPr>
          <w:b/>
        </w:rPr>
        <w:t xml:space="preserve"> </w:t>
      </w:r>
      <w:r w:rsidR="00774448" w:rsidRPr="009D2453">
        <w:rPr>
          <w:b/>
        </w:rPr>
        <w:t xml:space="preserve">all </w:t>
      </w:r>
      <w:r w:rsidR="005B1A66">
        <w:rPr>
          <w:b/>
        </w:rPr>
        <w:t>3</w:t>
      </w:r>
      <w:r w:rsidR="009046AF" w:rsidRPr="00106B00">
        <w:rPr>
          <w:b/>
        </w:rPr>
        <w:t xml:space="preserve"> </w:t>
      </w:r>
      <w:r w:rsidR="00774448" w:rsidRPr="00106B00">
        <w:rPr>
          <w:b/>
        </w:rPr>
        <w:t>criteria</w:t>
      </w:r>
      <w:r w:rsidR="007C544F">
        <w:t xml:space="preserve"> </w:t>
      </w:r>
      <w:r w:rsidR="006673B1">
        <w:t>to demonstrate eligibility for</w:t>
      </w:r>
      <w:r w:rsidR="003554B0">
        <w:t xml:space="preserve"> a</w:t>
      </w:r>
      <w:r w:rsidR="006673B1">
        <w:t xml:space="preserve"> </w:t>
      </w:r>
      <w:r w:rsidR="00100487">
        <w:t>priority applicant determination</w:t>
      </w:r>
      <w:r w:rsidR="00B92C79">
        <w:t>, supported by</w:t>
      </w:r>
      <w:r w:rsidR="00BA537A">
        <w:t xml:space="preserve"> evidence including</w:t>
      </w:r>
      <w:r w:rsidR="00B92C79">
        <w:t xml:space="preserve"> epidemiological</w:t>
      </w:r>
      <w:r w:rsidR="00FD0D4D">
        <w:t xml:space="preserve"> and</w:t>
      </w:r>
      <w:r w:rsidR="00B92C79">
        <w:t xml:space="preserve"> </w:t>
      </w:r>
      <w:r w:rsidR="00FD0D4D">
        <w:t xml:space="preserve">clinical </w:t>
      </w:r>
      <w:r w:rsidR="00B92C79">
        <w:t>evidence</w:t>
      </w:r>
      <w:r w:rsidR="006673B1">
        <w:t xml:space="preserve">. </w:t>
      </w:r>
      <w:r w:rsidR="00DB1CD8">
        <w:t>T</w:t>
      </w:r>
      <w:r w:rsidR="003554B0">
        <w:t>he cr</w:t>
      </w:r>
      <w:r w:rsidR="00881F36">
        <w:t>iterion that is most typically a</w:t>
      </w:r>
      <w:r w:rsidR="003554B0">
        <w:t>n issue is criterion 3</w:t>
      </w:r>
      <w:r w:rsidR="00536EFD">
        <w:t>.</w:t>
      </w:r>
    </w:p>
    <w:p w14:paraId="2E8DE91A" w14:textId="1CB55C80" w:rsidR="00F34353" w:rsidRDefault="008D3BE7" w:rsidP="00C94FCB">
      <w:pPr>
        <w:spacing w:before="240"/>
      </w:pPr>
      <w:r>
        <w:t>The</w:t>
      </w:r>
      <w:r w:rsidR="00BA537A">
        <w:t xml:space="preserve"> </w:t>
      </w:r>
      <w:r>
        <w:t xml:space="preserve">epidemiological and </w:t>
      </w:r>
      <w:r w:rsidR="00BA537A">
        <w:t xml:space="preserve">clinical </w:t>
      </w:r>
      <w:r w:rsidR="0066721A">
        <w:t>e</w:t>
      </w:r>
      <w:r w:rsidR="00F34353" w:rsidRPr="00F34353">
        <w:t>vidence</w:t>
      </w:r>
      <w:r w:rsidR="0066721A">
        <w:t xml:space="preserve"> you provide</w:t>
      </w:r>
      <w:r w:rsidR="00F34353" w:rsidRPr="00F34353">
        <w:t xml:space="preserve"> will be assessed for quality (</w:t>
      </w:r>
      <w:r w:rsidR="005B0854">
        <w:t xml:space="preserve">including for </w:t>
      </w:r>
      <w:r w:rsidR="00F34353" w:rsidRPr="00F34353">
        <w:t>study type, size and design)</w:t>
      </w:r>
      <w:r w:rsidR="0066721A">
        <w:t>.</w:t>
      </w:r>
      <w:r w:rsidR="00F34353" w:rsidRPr="00F34353">
        <w:t xml:space="preserve"> </w:t>
      </w:r>
      <w:r w:rsidR="0066721A">
        <w:t xml:space="preserve"> As relevant, </w:t>
      </w:r>
      <w:r w:rsidR="00AF7A5D">
        <w:t xml:space="preserve">the </w:t>
      </w:r>
      <w:r w:rsidR="00DB1CD8">
        <w:t xml:space="preserve">quality of the </w:t>
      </w:r>
      <w:r w:rsidR="0066721A">
        <w:t xml:space="preserve">evidence will also be </w:t>
      </w:r>
      <w:r w:rsidR="00DB1CD8">
        <w:t>relevant</w:t>
      </w:r>
      <w:r w:rsidR="0066721A">
        <w:t xml:space="preserve"> </w:t>
      </w:r>
      <w:r w:rsidR="00904C18">
        <w:t>when</w:t>
      </w:r>
      <w:r w:rsidR="00F34353" w:rsidRPr="00F34353">
        <w:t xml:space="preserve"> comparability</w:t>
      </w:r>
      <w:r w:rsidR="00881F36">
        <w:t xml:space="preserve"> is a</w:t>
      </w:r>
      <w:r w:rsidR="00904C18">
        <w:t>n issue</w:t>
      </w:r>
      <w:r w:rsidR="001421DE">
        <w:t xml:space="preserve">, </w:t>
      </w:r>
      <w:r w:rsidR="00622A81">
        <w:t>for example,</w:t>
      </w:r>
      <w:r w:rsidR="00F34353" w:rsidRPr="00F34353">
        <w:t xml:space="preserve"> </w:t>
      </w:r>
      <w:r w:rsidR="00A243C6">
        <w:t xml:space="preserve">to </w:t>
      </w:r>
      <w:r w:rsidR="0066721A">
        <w:t>existing devices, technology or alternatives</w:t>
      </w:r>
      <w:r w:rsidR="005B0854">
        <w:t xml:space="preserve"> in the </w:t>
      </w:r>
      <w:r w:rsidR="005B0854">
        <w:lastRenderedPageBreak/>
        <w:t>ARTG</w:t>
      </w:r>
      <w:r w:rsidR="00F34353" w:rsidRPr="00F34353">
        <w:t xml:space="preserve">. </w:t>
      </w:r>
      <w:r w:rsidR="00AF7A5D">
        <w:t>The quality of the evidence you provide, rather than the quantity, is important in</w:t>
      </w:r>
      <w:r w:rsidR="00EA020B">
        <w:t xml:space="preserve"> seeking to</w:t>
      </w:r>
      <w:r w:rsidR="00AF7A5D">
        <w:t xml:space="preserve"> demonstrat</w:t>
      </w:r>
      <w:r w:rsidR="00EA020B">
        <w:t>e</w:t>
      </w:r>
      <w:r w:rsidR="00AF7A5D">
        <w:t xml:space="preserve"> relevant criteria are satisfied.</w:t>
      </w:r>
    </w:p>
    <w:p w14:paraId="18208909" w14:textId="61AF311A" w:rsidR="00EB0FFA" w:rsidRPr="007602A4" w:rsidRDefault="00EB0FFA" w:rsidP="000E28F5">
      <w:pPr>
        <w:pStyle w:val="Heading3"/>
      </w:pPr>
      <w:bookmarkStart w:id="16" w:name="_Criterion_1_–"/>
      <w:bookmarkStart w:id="17" w:name="_Criterion_1:_‘Life-threatening"/>
      <w:bookmarkStart w:id="18" w:name="_Toc55923626"/>
      <w:bookmarkEnd w:id="16"/>
      <w:bookmarkEnd w:id="17"/>
      <w:r w:rsidRPr="007602A4">
        <w:t>Criterion 1</w:t>
      </w:r>
      <w:r w:rsidR="00D51A0F">
        <w:t xml:space="preserve">: </w:t>
      </w:r>
      <w:r w:rsidR="00166331">
        <w:t>L</w:t>
      </w:r>
      <w:r w:rsidR="00ED364E">
        <w:t>ife-threatening or s</w:t>
      </w:r>
      <w:r w:rsidR="00BA4AFD">
        <w:t>erious</w:t>
      </w:r>
      <w:r w:rsidR="00ED364E">
        <w:t>ly debilitating</w:t>
      </w:r>
      <w:r w:rsidR="00BA4AFD">
        <w:t xml:space="preserve"> condition</w:t>
      </w:r>
      <w:bookmarkEnd w:id="18"/>
    </w:p>
    <w:p w14:paraId="337B4966" w14:textId="4536CC97" w:rsidR="00F9422C" w:rsidRDefault="00E92348" w:rsidP="00795477">
      <w:r>
        <w:t>This criterion requires that t</w:t>
      </w:r>
      <w:r w:rsidR="00EF36F7" w:rsidRPr="00361D1D">
        <w:t xml:space="preserve">he </w:t>
      </w:r>
      <w:r w:rsidR="00EF36F7">
        <w:t xml:space="preserve">intended purpose of the medical device </w:t>
      </w:r>
      <w:r>
        <w:t>is</w:t>
      </w:r>
      <w:r w:rsidR="002A4336">
        <w:t xml:space="preserve"> </w:t>
      </w:r>
      <w:r w:rsidR="00EF36F7" w:rsidRPr="001A1580">
        <w:t>the</w:t>
      </w:r>
      <w:r w:rsidR="00C32623">
        <w:t xml:space="preserve"> monitoring, treatment, prevention or diagnosis of a</w:t>
      </w:r>
      <w:r w:rsidR="00EF36F7" w:rsidRPr="001A1580">
        <w:t xml:space="preserve"> </w:t>
      </w:r>
      <w:hyperlink r:id="rId18" w:anchor="id_8769" w:history="1">
        <w:r w:rsidR="00EF36F7" w:rsidRPr="00DC79BC">
          <w:rPr>
            <w:rStyle w:val="Hyperlink"/>
          </w:rPr>
          <w:t>life threatening</w:t>
        </w:r>
      </w:hyperlink>
      <w:r w:rsidR="00EF36F7" w:rsidRPr="001A1580">
        <w:t xml:space="preserve"> and/or </w:t>
      </w:r>
      <w:hyperlink r:id="rId19" w:anchor="id_8774" w:history="1">
        <w:r w:rsidR="00EF36F7" w:rsidRPr="00DC79BC">
          <w:rPr>
            <w:rStyle w:val="Hyperlink"/>
          </w:rPr>
          <w:t>seriously debilitating</w:t>
        </w:r>
      </w:hyperlink>
      <w:r w:rsidR="00EF36F7" w:rsidRPr="001A1580">
        <w:t xml:space="preserve"> </w:t>
      </w:r>
      <w:r w:rsidR="00C32623">
        <w:t>condition</w:t>
      </w:r>
      <w:r w:rsidR="002A4336">
        <w:t>.</w:t>
      </w:r>
    </w:p>
    <w:p w14:paraId="6D4CEFAC" w14:textId="32B5DA07" w:rsidR="00F57D9E" w:rsidRDefault="00B147E6" w:rsidP="00795477">
      <w:r>
        <w:t>T</w:t>
      </w:r>
      <w:r w:rsidR="00F57D9E">
        <w:t>he term ‘intended purpose’ is defined in the Regulations</w:t>
      </w:r>
      <w:r w:rsidR="006029BE">
        <w:t xml:space="preserve"> (see </w:t>
      </w:r>
      <w:hyperlink w:anchor="_Legislative_framework" w:history="1">
        <w:r w:rsidR="006029BE" w:rsidRPr="006029BE">
          <w:rPr>
            <w:rStyle w:val="Hyperlink"/>
          </w:rPr>
          <w:t>Legislative Framework</w:t>
        </w:r>
      </w:hyperlink>
      <w:r w:rsidR="00166331">
        <w:t xml:space="preserve"> above</w:t>
      </w:r>
      <w:r w:rsidR="006029BE">
        <w:t>)</w:t>
      </w:r>
      <w:r w:rsidR="00F57D9E">
        <w:t xml:space="preserve">. In practical terms, the intended purpose is the </w:t>
      </w:r>
      <w:r w:rsidR="00F57D9E" w:rsidRPr="00166331">
        <w:rPr>
          <w:b/>
        </w:rPr>
        <w:t>proposed intended purpose</w:t>
      </w:r>
      <w:r w:rsidR="00F57D9E">
        <w:t xml:space="preserve"> for ARTG inclusion.  This must be the</w:t>
      </w:r>
      <w:r w:rsidR="001501A3">
        <w:t xml:space="preserve"> same as the </w:t>
      </w:r>
      <w:r w:rsidR="001501A3" w:rsidRPr="00166331">
        <w:rPr>
          <w:b/>
        </w:rPr>
        <w:t>stated intended purpose</w:t>
      </w:r>
      <w:r w:rsidR="001501A3">
        <w:t xml:space="preserve"> at the time of the application for a priority applicant determination.</w:t>
      </w:r>
    </w:p>
    <w:p w14:paraId="41A01E62" w14:textId="08E166AD" w:rsidR="00EF36F7" w:rsidRDefault="00ED364E" w:rsidP="00795477">
      <w:r>
        <w:t>The terms</w:t>
      </w:r>
      <w:r w:rsidR="003238B9">
        <w:t xml:space="preserve"> </w:t>
      </w:r>
      <w:hyperlink r:id="rId20" w:anchor="id_8769" w:history="1">
        <w:r w:rsidR="00F9422C" w:rsidRPr="003238B9">
          <w:rPr>
            <w:rStyle w:val="Hyperlink"/>
          </w:rPr>
          <w:t>life-threatening condition</w:t>
        </w:r>
      </w:hyperlink>
      <w:r w:rsidR="00F9422C">
        <w:t xml:space="preserve"> and </w:t>
      </w:r>
      <w:hyperlink r:id="rId21" w:anchor="id_8774" w:history="1">
        <w:r w:rsidR="003238B9">
          <w:rPr>
            <w:rStyle w:val="Hyperlink"/>
          </w:rPr>
          <w:t>seriously debilitating condition</w:t>
        </w:r>
      </w:hyperlink>
      <w:r>
        <w:t xml:space="preserve"> should generally</w:t>
      </w:r>
      <w:r w:rsidR="00C4506C">
        <w:t xml:space="preserve"> be</w:t>
      </w:r>
      <w:r>
        <w:t xml:space="preserve"> understood</w:t>
      </w:r>
      <w:r w:rsidR="00F57D9E">
        <w:t>, and evidence provided,</w:t>
      </w:r>
      <w:r>
        <w:t xml:space="preserve"> </w:t>
      </w:r>
      <w:r w:rsidR="00C4506C">
        <w:t>with reference to the type of matters</w:t>
      </w:r>
      <w:r>
        <w:t xml:space="preserve"> noted </w:t>
      </w:r>
      <w:r w:rsidR="002A4336">
        <w:t>in the glossary</w:t>
      </w:r>
      <w:r w:rsidR="00C4506C">
        <w:t xml:space="preserve"> </w:t>
      </w:r>
      <w:r w:rsidR="008D3BE7">
        <w:t xml:space="preserve">in relation to </w:t>
      </w:r>
      <w:r w:rsidR="00C4506C">
        <w:t>these terms</w:t>
      </w:r>
      <w:r w:rsidR="00F57D9E">
        <w:t>.</w:t>
      </w:r>
    </w:p>
    <w:p w14:paraId="36BA69D2" w14:textId="479B581C" w:rsidR="00EF36F7" w:rsidRDefault="001501A3" w:rsidP="00EF36F7">
      <w:pPr>
        <w:pStyle w:val="ListBullet"/>
        <w:numPr>
          <w:ilvl w:val="0"/>
          <w:numId w:val="0"/>
        </w:numPr>
      </w:pPr>
      <w:r>
        <w:t>I</w:t>
      </w:r>
      <w:r w:rsidR="00EF36F7">
        <w:t xml:space="preserve">n your application, </w:t>
      </w:r>
      <w:r w:rsidR="00E168B6">
        <w:t xml:space="preserve">for example, </w:t>
      </w:r>
      <w:r w:rsidR="00021CD5">
        <w:t>you should provide evidence in support of</w:t>
      </w:r>
      <w:r w:rsidR="004C5885">
        <w:t xml:space="preserve"> </w:t>
      </w:r>
      <w:r w:rsidR="00884D8F">
        <w:rPr>
          <w:b/>
        </w:rPr>
        <w:t>at least one</w:t>
      </w:r>
      <w:r w:rsidR="004C5885">
        <w:t xml:space="preserve"> of the following</w:t>
      </w:r>
      <w:r w:rsidR="00EF36F7">
        <w:t>:</w:t>
      </w:r>
    </w:p>
    <w:p w14:paraId="287A7D6C" w14:textId="5465D904" w:rsidR="00EF36F7" w:rsidRDefault="008368B0" w:rsidP="00EF36F7">
      <w:pPr>
        <w:pStyle w:val="ListBullet"/>
      </w:pPr>
      <w:r>
        <w:t xml:space="preserve">the </w:t>
      </w:r>
      <w:r w:rsidR="00EF36F7" w:rsidRPr="001A1778">
        <w:t>life-threatening</w:t>
      </w:r>
      <w:r w:rsidR="00EF36F7" w:rsidRPr="00361D1D">
        <w:t xml:space="preserve"> nature of the condition based on figures of mortality and life expectancy in </w:t>
      </w:r>
      <w:r w:rsidR="00EF36F7">
        <w:t>Australia</w:t>
      </w:r>
    </w:p>
    <w:p w14:paraId="7E2A73CB" w14:textId="75497837" w:rsidR="00EF36F7" w:rsidRDefault="008368B0" w:rsidP="00F22573">
      <w:pPr>
        <w:pStyle w:val="ListBullet"/>
      </w:pPr>
      <w:proofErr w:type="gramStart"/>
      <w:r>
        <w:t>the</w:t>
      </w:r>
      <w:proofErr w:type="gramEnd"/>
      <w:r>
        <w:t xml:space="preserve"> </w:t>
      </w:r>
      <w:r w:rsidR="00EF36F7" w:rsidRPr="001A1778">
        <w:t>seriously debilitating</w:t>
      </w:r>
      <w:r w:rsidR="00EF36F7" w:rsidRPr="00361D1D">
        <w:t xml:space="preserve"> nature of the condition based on morbidity over the course of the </w:t>
      </w:r>
      <w:r>
        <w:t xml:space="preserve">condition </w:t>
      </w:r>
      <w:r w:rsidR="00EF36F7" w:rsidRPr="00361D1D">
        <w:t xml:space="preserve">and its </w:t>
      </w:r>
      <w:r>
        <w:t xml:space="preserve">impact </w:t>
      </w:r>
      <w:r w:rsidR="00EF36F7" w:rsidRPr="00361D1D">
        <w:t>on p</w:t>
      </w:r>
      <w:r w:rsidR="00EF36F7">
        <w:t>atients’ day-to-day functioning</w:t>
      </w:r>
      <w:r w:rsidR="00F22573">
        <w:t xml:space="preserve"> </w:t>
      </w:r>
      <w:r w:rsidR="00F22573" w:rsidRPr="00F22573">
        <w:t>based on objective and quantifiable medical or epidemiologic information.</w:t>
      </w:r>
      <w:r w:rsidR="007C13A7">
        <w:t xml:space="preserve"> </w:t>
      </w:r>
      <w:r w:rsidR="002B2D97">
        <w:t>Where the evidence is that morbidity is</w:t>
      </w:r>
      <w:r>
        <w:t xml:space="preserve"> s</w:t>
      </w:r>
      <w:r w:rsidR="00F22573" w:rsidRPr="00F22573">
        <w:t>hort-lived and/or self-limiting</w:t>
      </w:r>
      <w:r w:rsidR="00CB405B">
        <w:t>, as a general position</w:t>
      </w:r>
      <w:r w:rsidR="00F22573" w:rsidRPr="00F22573">
        <w:t xml:space="preserve"> </w:t>
      </w:r>
      <w:r w:rsidR="002B2D97">
        <w:t>this would not</w:t>
      </w:r>
      <w:r w:rsidR="00CB405B">
        <w:t xml:space="preserve"> support there being a seriou</w:t>
      </w:r>
      <w:r w:rsidR="00F22573" w:rsidRPr="00F22573">
        <w:t>sly debilitating</w:t>
      </w:r>
      <w:r w:rsidR="002B2D97">
        <w:t xml:space="preserve"> condition</w:t>
      </w:r>
      <w:r w:rsidR="00F22573" w:rsidRPr="00F22573">
        <w:t>.</w:t>
      </w:r>
    </w:p>
    <w:p w14:paraId="61DCC17D" w14:textId="6104145B" w:rsidR="00EB0FFA" w:rsidRPr="007602A4" w:rsidRDefault="00EB0FFA" w:rsidP="00536EFD">
      <w:pPr>
        <w:pStyle w:val="Heading3"/>
      </w:pPr>
      <w:bookmarkStart w:id="19" w:name="_Life_threatening"/>
      <w:bookmarkStart w:id="20" w:name="_Seriously_debilitating"/>
      <w:bookmarkStart w:id="21" w:name="_Criterion_2_–"/>
      <w:bookmarkStart w:id="22" w:name="_Toc55923627"/>
      <w:bookmarkEnd w:id="19"/>
      <w:bookmarkEnd w:id="20"/>
      <w:bookmarkEnd w:id="21"/>
      <w:r w:rsidRPr="007602A4">
        <w:t>Criterion 2</w:t>
      </w:r>
      <w:r w:rsidR="00D51A0F">
        <w:t xml:space="preserve">: </w:t>
      </w:r>
      <w:r w:rsidR="00BA4AFD">
        <w:t>Unmet need</w:t>
      </w:r>
      <w:r w:rsidR="00B21DB4">
        <w:t>/ significant improvement</w:t>
      </w:r>
      <w:bookmarkEnd w:id="22"/>
    </w:p>
    <w:p w14:paraId="248F46A6" w14:textId="348C4D08" w:rsidR="00636EDC" w:rsidRDefault="00636EDC" w:rsidP="00A35E47">
      <w:r>
        <w:t xml:space="preserve">This criterion </w:t>
      </w:r>
      <w:r w:rsidR="007179E6">
        <w:t xml:space="preserve">can </w:t>
      </w:r>
      <w:r>
        <w:t xml:space="preserve">be met in </w:t>
      </w:r>
      <w:r w:rsidRPr="0008135B">
        <w:rPr>
          <w:b/>
        </w:rPr>
        <w:t>one of two ways</w:t>
      </w:r>
      <w:r>
        <w:t>:</w:t>
      </w:r>
    </w:p>
    <w:p w14:paraId="3B36D53C" w14:textId="15CA8D59" w:rsidR="00F54D64" w:rsidRDefault="00636EDC" w:rsidP="007C13A7">
      <w:pPr>
        <w:pStyle w:val="Numberbullet3"/>
        <w:numPr>
          <w:ilvl w:val="2"/>
          <w:numId w:val="31"/>
        </w:numPr>
      </w:pPr>
      <w:r>
        <w:t xml:space="preserve">If there are no devices </w:t>
      </w:r>
      <w:r w:rsidR="00B6499D">
        <w:t>with th</w:t>
      </w:r>
      <w:r w:rsidR="00F51F30">
        <w:t>at</w:t>
      </w:r>
      <w:r w:rsidR="00B6499D">
        <w:t xml:space="preserve"> intended purpose (</w:t>
      </w:r>
      <w:r w:rsidR="00F51F30">
        <w:t>being for the monitoring, treatment, prevention or diagnosis of a life-threatening or seriously debilitating condition</w:t>
      </w:r>
      <w:r w:rsidR="00B6499D">
        <w:t>)</w:t>
      </w:r>
      <w:r w:rsidR="00C20E3D">
        <w:t xml:space="preserve"> of a kind included</w:t>
      </w:r>
      <w:r w:rsidR="00B6499D">
        <w:t xml:space="preserve"> in</w:t>
      </w:r>
      <w:r w:rsidR="00CD6E13">
        <w:t xml:space="preserve"> the ARTG</w:t>
      </w:r>
      <w:r w:rsidR="00691236">
        <w:t>;</w:t>
      </w:r>
      <w:r w:rsidR="00F54D64">
        <w:t xml:space="preserve"> </w:t>
      </w:r>
      <w:r w:rsidR="00F54D64" w:rsidRPr="007C13A7">
        <w:rPr>
          <w:b/>
        </w:rPr>
        <w:t>OR</w:t>
      </w:r>
    </w:p>
    <w:p w14:paraId="17A5B560" w14:textId="716CDDB2" w:rsidR="00324FD6" w:rsidRDefault="00F54D64" w:rsidP="007C13A7">
      <w:pPr>
        <w:pStyle w:val="Numberbullet3"/>
      </w:pPr>
      <w:r>
        <w:t xml:space="preserve">If there </w:t>
      </w:r>
      <w:r w:rsidR="00324FD6">
        <w:t>are</w:t>
      </w:r>
      <w:r>
        <w:t xml:space="preserve"> existing device</w:t>
      </w:r>
      <w:r w:rsidR="00324FD6">
        <w:t>s</w:t>
      </w:r>
      <w:r>
        <w:t xml:space="preserve"> with that intended purpose</w:t>
      </w:r>
      <w:r w:rsidR="00C20E3D">
        <w:t xml:space="preserve"> of a kind included in the ARTG</w:t>
      </w:r>
      <w:r>
        <w:t xml:space="preserve"> –</w:t>
      </w:r>
      <w:r w:rsidR="00324FD6">
        <w:t xml:space="preserve"> there must be substantial evidence demonstrating that the safety or performance of the new device when</w:t>
      </w:r>
      <w:r w:rsidR="00C20E3D">
        <w:t xml:space="preserve"> used for that intended purpose</w:t>
      </w:r>
      <w:r w:rsidR="00324FD6">
        <w:t xml:space="preserve"> provides a significant improvement compared to the existing device(s)</w:t>
      </w:r>
      <w:r w:rsidR="00B6499D">
        <w:t>.</w:t>
      </w:r>
    </w:p>
    <w:p w14:paraId="588CFC34" w14:textId="668AFF2A" w:rsidR="00915608" w:rsidRPr="007703B5" w:rsidRDefault="00887FF5" w:rsidP="00CD6E13">
      <w:r>
        <w:t xml:space="preserve">It may become evident, when doing initial </w:t>
      </w:r>
      <w:r w:rsidR="00B114FF">
        <w:t>searches</w:t>
      </w:r>
      <w:r>
        <w:t>, whether or not there are devices in the ARTG with the same technology, mechanism or approach. However,</w:t>
      </w:r>
      <w:r w:rsidR="00CD6E13">
        <w:t xml:space="preserve"> the critical issue when </w:t>
      </w:r>
      <w:r>
        <w:t xml:space="preserve">considering </w:t>
      </w:r>
      <w:r w:rsidR="00B114FF">
        <w:t>this criterion</w:t>
      </w:r>
      <w:r w:rsidR="003741CD">
        <w:t xml:space="preserve"> is whether</w:t>
      </w:r>
      <w:r w:rsidR="005B0040">
        <w:t xml:space="preserve"> or not</w:t>
      </w:r>
      <w:r w:rsidR="003741CD">
        <w:t xml:space="preserve"> </w:t>
      </w:r>
      <w:r w:rsidR="00915608" w:rsidRPr="007703B5">
        <w:t>there are devices</w:t>
      </w:r>
      <w:r w:rsidR="007703B5">
        <w:t xml:space="preserve"> in the ARTG</w:t>
      </w:r>
      <w:r w:rsidR="00915608" w:rsidRPr="007703B5">
        <w:t xml:space="preserve"> with the </w:t>
      </w:r>
      <w:r w:rsidR="00915608" w:rsidRPr="00D4346E">
        <w:rPr>
          <w:b/>
        </w:rPr>
        <w:t>same intended purpose</w:t>
      </w:r>
      <w:r>
        <w:t xml:space="preserve"> (for the treatment, </w:t>
      </w:r>
      <w:r w:rsidR="00B114FF">
        <w:t>etc.</w:t>
      </w:r>
      <w:r>
        <w:t xml:space="preserve"> of the condition)</w:t>
      </w:r>
      <w:r w:rsidR="007703B5">
        <w:t xml:space="preserve"> </w:t>
      </w:r>
      <w:r w:rsidR="00915608">
        <w:t xml:space="preserve">regardless of the technology, </w:t>
      </w:r>
      <w:r w:rsidR="0096158A">
        <w:t xml:space="preserve">mechanism or </w:t>
      </w:r>
      <w:r w:rsidR="00915608">
        <w:t xml:space="preserve">approach </w:t>
      </w:r>
      <w:r w:rsidR="0096158A">
        <w:t xml:space="preserve">involved </w:t>
      </w:r>
      <w:r w:rsidR="0096158A" w:rsidRPr="009838AB">
        <w:t>(and</w:t>
      </w:r>
      <w:r w:rsidR="00915608" w:rsidRPr="009838AB">
        <w:t xml:space="preserve"> regardless </w:t>
      </w:r>
      <w:r w:rsidR="0096158A" w:rsidRPr="009838AB">
        <w:t>of whether the device is suitable for all or part of the patient population</w:t>
      </w:r>
      <w:r w:rsidR="00915608" w:rsidRPr="009838AB">
        <w:t>).</w:t>
      </w:r>
    </w:p>
    <w:p w14:paraId="67D3D38C" w14:textId="48375361" w:rsidR="000D7930" w:rsidRDefault="00915608" w:rsidP="007703B5">
      <w:pPr>
        <w:pStyle w:val="CommentText"/>
        <w:rPr>
          <w:sz w:val="22"/>
          <w:szCs w:val="22"/>
        </w:rPr>
      </w:pPr>
      <w:r w:rsidRPr="007703B5">
        <w:rPr>
          <w:sz w:val="22"/>
          <w:szCs w:val="22"/>
        </w:rPr>
        <w:t xml:space="preserve">This means that unless it is clear that there are no devices included in the ARTG with the intended purpose of treating, </w:t>
      </w:r>
      <w:r w:rsidR="00B114FF" w:rsidRPr="007703B5">
        <w:rPr>
          <w:sz w:val="22"/>
          <w:szCs w:val="22"/>
        </w:rPr>
        <w:t>etc.</w:t>
      </w:r>
      <w:r w:rsidRPr="007703B5">
        <w:rPr>
          <w:sz w:val="22"/>
          <w:szCs w:val="22"/>
        </w:rPr>
        <w:t>, the particular conditio</w:t>
      </w:r>
      <w:r w:rsidR="0096158A" w:rsidRPr="0096158A">
        <w:rPr>
          <w:sz w:val="22"/>
          <w:szCs w:val="22"/>
        </w:rPr>
        <w:t>n</w:t>
      </w:r>
      <w:r w:rsidRPr="009434E5">
        <w:rPr>
          <w:sz w:val="22"/>
          <w:szCs w:val="22"/>
        </w:rPr>
        <w:t xml:space="preserve">, it is prudent to address the alternative criterion at (ii) in your application (relating </w:t>
      </w:r>
      <w:r w:rsidR="00536EFD">
        <w:rPr>
          <w:sz w:val="22"/>
          <w:szCs w:val="22"/>
        </w:rPr>
        <w:t>to ‘significant improvement’).</w:t>
      </w:r>
    </w:p>
    <w:p w14:paraId="780A2AC3" w14:textId="148F4438" w:rsidR="00D93328" w:rsidRDefault="00CD6E13" w:rsidP="00536EFD">
      <w:pPr>
        <w:keepNext/>
      </w:pPr>
      <w:r>
        <w:lastRenderedPageBreak/>
        <w:t>Therefore</w:t>
      </w:r>
      <w:r w:rsidR="009434E5">
        <w:t>, i</w:t>
      </w:r>
      <w:r w:rsidR="00324FD6">
        <w:t>n your application, you should</w:t>
      </w:r>
      <w:r w:rsidR="00D93328">
        <w:t xml:space="preserve"> provide:</w:t>
      </w:r>
    </w:p>
    <w:p w14:paraId="6129F5EF" w14:textId="635B55E2" w:rsidR="00D93328" w:rsidRDefault="003D16F1" w:rsidP="00E06617">
      <w:pPr>
        <w:pStyle w:val="ListBullet"/>
      </w:pPr>
      <w:r>
        <w:t>if your view is that there are no dev</w:t>
      </w:r>
      <w:r w:rsidR="00884D8F">
        <w:t>ices with that intended purpose:</w:t>
      </w:r>
      <w:r>
        <w:t xml:space="preserve"> </w:t>
      </w:r>
      <w:r w:rsidR="00D93328">
        <w:t>a declaration</w:t>
      </w:r>
      <w:r w:rsidR="009434E5">
        <w:t xml:space="preserve"> to the effect</w:t>
      </w:r>
      <w:r w:rsidR="00D93328">
        <w:t xml:space="preserve"> that there are no medical device(s) of a kind included in the ARTG with the same intended purpose, along with a brief summary of search</w:t>
      </w:r>
      <w:r w:rsidR="00E06617">
        <w:t>es completed to establish this</w:t>
      </w:r>
    </w:p>
    <w:p w14:paraId="5DFAA0D1" w14:textId="35890D51" w:rsidR="000D7930" w:rsidRDefault="00884D8F" w:rsidP="00E06617">
      <w:pPr>
        <w:pStyle w:val="ListBullet"/>
      </w:pPr>
      <w:proofErr w:type="gramStart"/>
      <w:r>
        <w:t>otherwise</w:t>
      </w:r>
      <w:proofErr w:type="gramEnd"/>
      <w:r>
        <w:t>:</w:t>
      </w:r>
      <w:r w:rsidR="009434E5">
        <w:t xml:space="preserve"> </w:t>
      </w:r>
      <w:r w:rsidR="00D93328">
        <w:t>details of existing medical devices</w:t>
      </w:r>
      <w:r w:rsidR="00295BC7">
        <w:t xml:space="preserve"> in the ARTG </w:t>
      </w:r>
      <w:r w:rsidR="009360DA">
        <w:t>used in the monitoring, treatment, prevention or diagnosis</w:t>
      </w:r>
      <w:r w:rsidR="00BC6778">
        <w:t xml:space="preserve"> of the condition</w:t>
      </w:r>
      <w:r w:rsidR="00D93328">
        <w:t>, with a brief analysis of similarities and differences between your device and the existing device(s).</w:t>
      </w:r>
      <w:r w:rsidR="00536EFD">
        <w:t xml:space="preserve"> </w:t>
      </w:r>
      <w:r w:rsidR="000D7930">
        <w:t>Y</w:t>
      </w:r>
      <w:r w:rsidR="00295BC7">
        <w:t>ou</w:t>
      </w:r>
      <w:r w:rsidR="00B21AE9">
        <w:t xml:space="preserve">r analysis should address why </w:t>
      </w:r>
      <w:r w:rsidR="00295BC7">
        <w:t>the safety and performance of your device (when used for th</w:t>
      </w:r>
      <w:r w:rsidR="00BC6778">
        <w:t>e</w:t>
      </w:r>
      <w:r w:rsidR="00295BC7">
        <w:t xml:space="preserve"> intended purpose) provides</w:t>
      </w:r>
      <w:r w:rsidR="007F3F45">
        <w:t xml:space="preserve"> a significant improvement compared to the existing device(s).</w:t>
      </w:r>
    </w:p>
    <w:p w14:paraId="64120EF2" w14:textId="68C05433" w:rsidR="000D7930" w:rsidRDefault="004B093C" w:rsidP="00884D8F">
      <w:r>
        <w:t>I</w:t>
      </w:r>
      <w:r w:rsidR="000D7930">
        <w:t>n addressing</w:t>
      </w:r>
      <w:r w:rsidR="00884D8F">
        <w:t xml:space="preserve"> ‘significant improvement’</w:t>
      </w:r>
      <w:r w:rsidR="000D7930">
        <w:t xml:space="preserve"> you may be able to draw on similar reasoning and facts as to why there is a ‘major clinical advantage’ (as </w:t>
      </w:r>
      <w:r w:rsidR="00B21AE9">
        <w:t>required by</w:t>
      </w:r>
      <w:r w:rsidR="000D7930">
        <w:t xml:space="preserve"> criterion 3</w:t>
      </w:r>
      <w:r w:rsidR="008B6D06">
        <w:t>(</w:t>
      </w:r>
      <w:proofErr w:type="spellStart"/>
      <w:r w:rsidR="008B6D06">
        <w:t>i</w:t>
      </w:r>
      <w:proofErr w:type="spellEnd"/>
      <w:r w:rsidR="008B6D06">
        <w:t>) and (ii)</w:t>
      </w:r>
      <w:r w:rsidR="000D7930">
        <w:t>: see further below).</w:t>
      </w:r>
    </w:p>
    <w:p w14:paraId="733099C6" w14:textId="52DD7725" w:rsidR="002437BA" w:rsidRDefault="000D7930" w:rsidP="00884D8F">
      <w:r>
        <w:t xml:space="preserve">Other factors you may wish to address in discussing ‘significant improvement’ include improved </w:t>
      </w:r>
      <w:r w:rsidR="00536EFD">
        <w:t>accessibility or acceptability.</w:t>
      </w:r>
    </w:p>
    <w:p w14:paraId="65FFD76A" w14:textId="48C73E05" w:rsidR="00EB0FFA" w:rsidRDefault="00EB0FFA" w:rsidP="000E28F5">
      <w:pPr>
        <w:pStyle w:val="Heading3"/>
      </w:pPr>
      <w:bookmarkStart w:id="23" w:name="_Criterion_3_–"/>
      <w:bookmarkStart w:id="24" w:name="_Toc55923628"/>
      <w:bookmarkEnd w:id="23"/>
      <w:r w:rsidRPr="007602A4">
        <w:t>Criterion 3</w:t>
      </w:r>
      <w:r w:rsidR="00D51A0F">
        <w:t>:</w:t>
      </w:r>
      <w:r w:rsidR="00BA4AFD">
        <w:t xml:space="preserve"> </w:t>
      </w:r>
      <w:r w:rsidR="009D7387">
        <w:t>Major</w:t>
      </w:r>
      <w:r w:rsidR="00BA4AFD">
        <w:t xml:space="preserve"> clinical advantage </w:t>
      </w:r>
      <w:r w:rsidR="009D7387" w:rsidRPr="00A77541">
        <w:t>(or</w:t>
      </w:r>
      <w:r w:rsidR="00E92348">
        <w:t xml:space="preserve"> in the case of IVDs,</w:t>
      </w:r>
      <w:r w:rsidR="009D7387" w:rsidRPr="00A77541">
        <w:t xml:space="preserve"> major</w:t>
      </w:r>
      <w:r w:rsidR="00A77541" w:rsidRPr="00A77541">
        <w:t xml:space="preserve"> </w:t>
      </w:r>
      <w:r w:rsidR="00BA4AFD" w:rsidRPr="00A77541">
        <w:t>public health</w:t>
      </w:r>
      <w:r w:rsidR="009D7387" w:rsidRPr="00A77541">
        <w:t xml:space="preserve"> benefit)</w:t>
      </w:r>
      <w:bookmarkEnd w:id="24"/>
    </w:p>
    <w:p w14:paraId="444C5A41" w14:textId="3E807EE6" w:rsidR="00CC3D76" w:rsidRDefault="00CC3D76" w:rsidP="009508FF">
      <w:r>
        <w:t xml:space="preserve">For all medical devices (including IVDs) this criterion </w:t>
      </w:r>
      <w:r w:rsidR="007179E6">
        <w:t xml:space="preserve">can </w:t>
      </w:r>
      <w:r>
        <w:t>be met</w:t>
      </w:r>
      <w:r w:rsidR="00132B12">
        <w:t xml:space="preserve"> where </w:t>
      </w:r>
      <w:r w:rsidR="00132B12" w:rsidRPr="00884D8F">
        <w:rPr>
          <w:b/>
        </w:rPr>
        <w:t>at least one</w:t>
      </w:r>
      <w:r w:rsidR="00132B12">
        <w:t xml:space="preserve"> of the following applies to the device:</w:t>
      </w:r>
    </w:p>
    <w:p w14:paraId="1D8DF294" w14:textId="082D786A" w:rsidR="00132B12" w:rsidRDefault="00132B12" w:rsidP="00536EFD">
      <w:pPr>
        <w:pStyle w:val="ListBullet"/>
      </w:pPr>
      <w:r>
        <w:t>the new device is a breakthrough technology and there is evidence that it offers a major clinical adv</w:t>
      </w:r>
      <w:r w:rsidR="004B093C">
        <w:t>antage over existing technology</w:t>
      </w:r>
    </w:p>
    <w:p w14:paraId="7480CB96" w14:textId="553FD12D" w:rsidR="00132B12" w:rsidRDefault="00132B12" w:rsidP="00536EFD">
      <w:pPr>
        <w:pStyle w:val="ListBullet"/>
      </w:pPr>
      <w:proofErr w:type="gramStart"/>
      <w:r>
        <w:t>there</w:t>
      </w:r>
      <w:proofErr w:type="gramEnd"/>
      <w:r>
        <w:t xml:space="preserve"> is evidence that the new device offers a major clinical advantage over existing alternatives included in the </w:t>
      </w:r>
      <w:r w:rsidR="004B093C">
        <w:t>ARTG</w:t>
      </w:r>
      <w:r>
        <w:t>.</w:t>
      </w:r>
    </w:p>
    <w:p w14:paraId="3E084744" w14:textId="17EBB17F" w:rsidR="00132B12" w:rsidRDefault="00132B12" w:rsidP="009508FF">
      <w:r>
        <w:t xml:space="preserve">In addition, where the new device is an IVD, this criterion </w:t>
      </w:r>
      <w:r w:rsidR="007179E6">
        <w:t xml:space="preserve">can </w:t>
      </w:r>
      <w:r>
        <w:t>be met where its early availability in Australia will result in a major public health benefit.</w:t>
      </w:r>
    </w:p>
    <w:p w14:paraId="4BB61F52" w14:textId="6B876C0B" w:rsidR="007179E6" w:rsidRPr="0034081A" w:rsidRDefault="000234D3" w:rsidP="0034081A">
      <w:pPr>
        <w:pStyle w:val="Heading4"/>
      </w:pPr>
      <w:bookmarkStart w:id="25" w:name="_Major_clinical_advantage_1"/>
      <w:bookmarkStart w:id="26" w:name="_Toc55923629"/>
      <w:bookmarkEnd w:id="25"/>
      <w:r w:rsidRPr="0034081A">
        <w:t>Major clinical advantage</w:t>
      </w:r>
      <w:bookmarkEnd w:id="26"/>
    </w:p>
    <w:p w14:paraId="28ED2112" w14:textId="5F88E762" w:rsidR="00235DD1" w:rsidRDefault="004E788D" w:rsidP="009508FF">
      <w:r>
        <w:t>‘Major clinical advantage’ is a term used in alternatives</w:t>
      </w:r>
      <w:r w:rsidR="000234D3">
        <w:t xml:space="preserve"> (</w:t>
      </w:r>
      <w:proofErr w:type="spellStart"/>
      <w:r w:rsidR="000234D3">
        <w:t>i</w:t>
      </w:r>
      <w:proofErr w:type="spellEnd"/>
      <w:r w:rsidR="000234D3">
        <w:t xml:space="preserve">) and (ii) </w:t>
      </w:r>
      <w:r>
        <w:t>in criterion 3</w:t>
      </w:r>
      <w:r w:rsidR="0034081A">
        <w:t>, which are discussed further below</w:t>
      </w:r>
      <w:r>
        <w:t xml:space="preserve">. </w:t>
      </w:r>
      <w:r w:rsidR="009508FF" w:rsidRPr="009508FF">
        <w:t>A</w:t>
      </w:r>
      <w:r w:rsidR="00474881">
        <w:t xml:space="preserve"> </w:t>
      </w:r>
      <w:r w:rsidR="00474881" w:rsidRPr="008F7E48">
        <w:t>major clinical advantage</w:t>
      </w:r>
      <w:r w:rsidR="00785B86">
        <w:t xml:space="preserve"> should generally be understood as</w:t>
      </w:r>
      <w:r w:rsidR="00474881">
        <w:t xml:space="preserve"> a</w:t>
      </w:r>
      <w:r w:rsidR="009508FF" w:rsidRPr="009508FF">
        <w:t xml:space="preserve">n improvement in the safety </w:t>
      </w:r>
      <w:r w:rsidR="009508FF" w:rsidRPr="00D51A0F">
        <w:rPr>
          <w:b/>
        </w:rPr>
        <w:t>and/or</w:t>
      </w:r>
      <w:r w:rsidR="009508FF" w:rsidRPr="009508FF">
        <w:t xml:space="preserve"> performance of</w:t>
      </w:r>
      <w:r w:rsidR="00474881">
        <w:t xml:space="preserve"> a medical device</w:t>
      </w:r>
      <w:r w:rsidR="009508FF" w:rsidRPr="009508FF">
        <w:t xml:space="preserve"> that is of a </w:t>
      </w:r>
      <w:r w:rsidR="009508FF" w:rsidRPr="008F7E48">
        <w:rPr>
          <w:b/>
        </w:rPr>
        <w:t>magnitude well beyond the minimum threshold</w:t>
      </w:r>
      <w:r w:rsidR="00536EFD">
        <w:t xml:space="preserve"> of clinical significance.</w:t>
      </w:r>
    </w:p>
    <w:p w14:paraId="177B5FD6" w14:textId="10306E68" w:rsidR="00235DD1" w:rsidRDefault="00235DD1" w:rsidP="00235DD1">
      <w:r>
        <w:t xml:space="preserve">A major clinical advantage </w:t>
      </w:r>
      <w:r w:rsidR="00A23410">
        <w:t xml:space="preserve">with respect to </w:t>
      </w:r>
      <w:r>
        <w:t xml:space="preserve">the </w:t>
      </w:r>
      <w:r w:rsidRPr="00235DD1">
        <w:rPr>
          <w:b/>
        </w:rPr>
        <w:t>patient population</w:t>
      </w:r>
      <w:r w:rsidRPr="00235DD1">
        <w:t xml:space="preserve"> </w:t>
      </w:r>
      <w:r>
        <w:t xml:space="preserve">may </w:t>
      </w:r>
      <w:r w:rsidR="0019687C">
        <w:t>comprise</w:t>
      </w:r>
      <w:r w:rsidR="001E041E">
        <w:t>, for example</w:t>
      </w:r>
      <w:r>
        <w:t>:</w:t>
      </w:r>
    </w:p>
    <w:p w14:paraId="654AADAF" w14:textId="7531091A" w:rsidR="00235DD1" w:rsidRPr="00235DD1" w:rsidRDefault="00235DD1" w:rsidP="00884D8F">
      <w:pPr>
        <w:pStyle w:val="ListBullet"/>
      </w:pPr>
      <w:r w:rsidRPr="00235DD1">
        <w:t xml:space="preserve">improved </w:t>
      </w:r>
      <w:r w:rsidRPr="006229D7">
        <w:rPr>
          <w:b/>
        </w:rPr>
        <w:t>performance</w:t>
      </w:r>
      <w:r w:rsidRPr="00235DD1">
        <w:t xml:space="preserve"> for the population relevant to the intended purpose</w:t>
      </w:r>
      <w:r w:rsidR="00FA4B3F">
        <w:t xml:space="preserve"> (</w:t>
      </w:r>
      <w:r w:rsidR="004B093C">
        <w:t xml:space="preserve">for example, </w:t>
      </w:r>
      <w:r w:rsidR="00FA4B3F">
        <w:t xml:space="preserve">reduced </w:t>
      </w:r>
      <w:r w:rsidR="00FA4B3F" w:rsidRPr="00E665A1">
        <w:t>hospitalisation</w:t>
      </w:r>
      <w:r w:rsidR="00FA4B3F" w:rsidRPr="00235DD1">
        <w:rPr>
          <w:lang w:val="en"/>
        </w:rPr>
        <w:t>, improved quality of life</w:t>
      </w:r>
      <w:r w:rsidR="00FA4B3F">
        <w:rPr>
          <w:lang w:val="en"/>
        </w:rPr>
        <w:t xml:space="preserve"> or</w:t>
      </w:r>
      <w:r w:rsidR="00FA4B3F" w:rsidRPr="00235DD1">
        <w:rPr>
          <w:lang w:val="en"/>
        </w:rPr>
        <w:t xml:space="preserve"> better </w:t>
      </w:r>
      <w:r w:rsidR="00FA4B3F">
        <w:rPr>
          <w:lang w:val="en"/>
        </w:rPr>
        <w:t>treatment effectiveness)</w:t>
      </w:r>
    </w:p>
    <w:p w14:paraId="08CE4076" w14:textId="32B11365" w:rsidR="004B093C" w:rsidRDefault="00235DD1" w:rsidP="00884D8F">
      <w:pPr>
        <w:pStyle w:val="ListBullet"/>
      </w:pPr>
      <w:proofErr w:type="gramStart"/>
      <w:r w:rsidRPr="00235DD1">
        <w:t>a</w:t>
      </w:r>
      <w:proofErr w:type="gramEnd"/>
      <w:r w:rsidRPr="00235DD1">
        <w:t xml:space="preserve"> better </w:t>
      </w:r>
      <w:r w:rsidRPr="004B093C">
        <w:rPr>
          <w:b/>
        </w:rPr>
        <w:t>safety</w:t>
      </w:r>
      <w:r w:rsidRPr="00235DD1">
        <w:t xml:space="preserve"> profile for the population relevant to the intended purpose</w:t>
      </w:r>
      <w:r w:rsidR="00FA4B3F">
        <w:t xml:space="preserve"> (</w:t>
      </w:r>
      <w:r w:rsidR="004B093C">
        <w:t>for example,</w:t>
      </w:r>
      <w:r w:rsidR="00FA4B3F">
        <w:t xml:space="preserve"> lower rates of </w:t>
      </w:r>
      <w:r w:rsidR="00D46C82">
        <w:t xml:space="preserve">mortality or </w:t>
      </w:r>
      <w:r w:rsidR="00FA4B3F">
        <w:t>adverse events)</w:t>
      </w:r>
      <w:r w:rsidR="000234D3">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B093C" w:rsidRPr="00215D48" w14:paraId="57313ABC" w14:textId="77777777" w:rsidTr="00465F65">
        <w:trPr>
          <w:trHeight w:val="838"/>
        </w:trPr>
        <w:tc>
          <w:tcPr>
            <w:tcW w:w="1276" w:type="dxa"/>
            <w:vAlign w:val="center"/>
          </w:tcPr>
          <w:p w14:paraId="505D1C7E" w14:textId="0947211E" w:rsidR="004B093C" w:rsidRPr="00215D48" w:rsidRDefault="004B093C" w:rsidP="00465F65">
            <w:pPr>
              <w:spacing w:before="0"/>
              <w:rPr>
                <w:sz w:val="20"/>
              </w:rPr>
            </w:pPr>
            <w:r w:rsidRPr="00215D48">
              <w:rPr>
                <w:noProof/>
                <w:sz w:val="20"/>
                <w:lang w:eastAsia="en-AU"/>
              </w:rPr>
              <w:drawing>
                <wp:inline distT="0" distB="0" distL="0" distR="0" wp14:anchorId="16A7282C" wp14:editId="25BCECB6">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3CA669AF" w14:textId="42506F91" w:rsidR="004B093C" w:rsidRPr="007414F4" w:rsidRDefault="004B093C" w:rsidP="004B093C">
            <w:r w:rsidRPr="004B093C">
              <w:t>Where a device treats an otherwise excluded patient population, then this may be considered to constitute a ‘major clinical advantage’ if the impact of this effect is considered to be sufficient when compared to existing technology or alternativ</w:t>
            </w:r>
            <w:r w:rsidR="00536EFD">
              <w:t>es for that patient population.</w:t>
            </w:r>
          </w:p>
        </w:tc>
      </w:tr>
    </w:tbl>
    <w:p w14:paraId="38118E25" w14:textId="17E55CEB" w:rsidR="00235DD1" w:rsidRPr="00235DD1" w:rsidRDefault="00235DD1" w:rsidP="00235DD1">
      <w:r w:rsidRPr="00235DD1">
        <w:lastRenderedPageBreak/>
        <w:t xml:space="preserve">In your application, </w:t>
      </w:r>
      <w:r w:rsidR="008B0D28">
        <w:t xml:space="preserve">you should </w:t>
      </w:r>
      <w:r w:rsidRPr="00235DD1">
        <w:t>provide a succinct summary of the available evidence with respect to:</w:t>
      </w:r>
    </w:p>
    <w:p w14:paraId="1486E987" w14:textId="317E6BA1" w:rsidR="00235DD1" w:rsidRPr="00235DD1" w:rsidRDefault="00235DD1" w:rsidP="00697D13">
      <w:pPr>
        <w:pStyle w:val="ListBullet"/>
      </w:pPr>
      <w:r w:rsidRPr="00235DD1">
        <w:t>the magnitude of the demonstrated improvement in safety and/or performance</w:t>
      </w:r>
    </w:p>
    <w:p w14:paraId="16B9A07C" w14:textId="4D63281F" w:rsidR="00235DD1" w:rsidRPr="00235DD1" w:rsidRDefault="00235DD1" w:rsidP="00697D13">
      <w:pPr>
        <w:pStyle w:val="ListBullet"/>
      </w:pPr>
      <w:r w:rsidRPr="00235DD1">
        <w:t>the impact on patient outcomes taking into account both safety and performance</w:t>
      </w:r>
    </w:p>
    <w:p w14:paraId="656E49D3" w14:textId="4BE2CB7A" w:rsidR="006C26F7" w:rsidRDefault="006C26F7" w:rsidP="00697D13">
      <w:pPr>
        <w:pStyle w:val="ListBullet"/>
      </w:pPr>
      <w:proofErr w:type="gramStart"/>
      <w:r>
        <w:t>comparison</w:t>
      </w:r>
      <w:proofErr w:type="gramEnd"/>
      <w:r>
        <w:t xml:space="preserve"> of safety and performance outcomes with </w:t>
      </w:r>
      <w:r w:rsidR="000E5672">
        <w:t xml:space="preserve">the current standard of care and/or </w:t>
      </w:r>
      <w:r>
        <w:t xml:space="preserve">other </w:t>
      </w:r>
      <w:r w:rsidR="00235DD1" w:rsidRPr="00235DD1">
        <w:t>medical devices</w:t>
      </w:r>
      <w:r w:rsidR="0033625D">
        <w:t xml:space="preserve"> </w:t>
      </w:r>
      <w:r w:rsidR="00C03FCB">
        <w:t>or alternatives</w:t>
      </w:r>
      <w:r w:rsidR="00235DD1" w:rsidRPr="00235DD1">
        <w:t xml:space="preserve"> </w:t>
      </w:r>
      <w:r w:rsidR="000E5672">
        <w:t>i</w:t>
      </w:r>
      <w:r w:rsidR="00235DD1" w:rsidRPr="00235DD1">
        <w:t>n the ARTG</w:t>
      </w:r>
      <w:r w:rsidR="00C03FCB">
        <w:t>, as relevant</w:t>
      </w:r>
      <w:r w:rsidR="00536EFD">
        <w:t>.</w:t>
      </w:r>
    </w:p>
    <w:p w14:paraId="32095228" w14:textId="60A6A475" w:rsidR="00FA4B3F" w:rsidRDefault="00FA4B3F" w:rsidP="006C26F7">
      <w:pPr>
        <w:spacing w:before="240"/>
      </w:pPr>
      <w:r>
        <w:t xml:space="preserve">Applicants are advised to </w:t>
      </w:r>
      <w:r w:rsidRPr="005D3924">
        <w:rPr>
          <w:b/>
        </w:rPr>
        <w:t>present key data in tabular form</w:t>
      </w:r>
      <w:r>
        <w:t xml:space="preserve"> to aid comparison.</w:t>
      </w:r>
    </w:p>
    <w:p w14:paraId="740009AC" w14:textId="3B303E58" w:rsidR="000234D3" w:rsidRPr="000234D3" w:rsidRDefault="000234D3" w:rsidP="00D4346E">
      <w:pPr>
        <w:pStyle w:val="Heading4"/>
      </w:pPr>
      <w:bookmarkStart w:id="27" w:name="_Toc55923630"/>
      <w:r w:rsidRPr="000234D3">
        <w:t>Quality of evidence</w:t>
      </w:r>
      <w:bookmarkEnd w:id="27"/>
    </w:p>
    <w:p w14:paraId="45863E8B" w14:textId="6F181948" w:rsidR="000E08AC" w:rsidRDefault="00235DD1" w:rsidP="006C26F7">
      <w:pPr>
        <w:spacing w:before="240"/>
      </w:pPr>
      <w:r w:rsidRPr="00235DD1">
        <w:t>Evidence will be assessed for quality (study type, size and design) and</w:t>
      </w:r>
      <w:r w:rsidR="000E5672">
        <w:t xml:space="preserve"> will also be </w:t>
      </w:r>
      <w:r w:rsidR="00FA081D">
        <w:t>considered</w:t>
      </w:r>
      <w:r w:rsidR="000E5672">
        <w:t xml:space="preserve"> in relation to issues involving</w:t>
      </w:r>
      <w:r w:rsidRPr="00235DD1">
        <w:t xml:space="preserve"> comparability. Th</w:t>
      </w:r>
      <w:r w:rsidR="001E041E">
        <w:t>e quality and nature of clinical evidence provided</w:t>
      </w:r>
      <w:r w:rsidRPr="00235DD1">
        <w:t xml:space="preserve"> will be a significant consideration in determining whether sufficient evidence has been provided to demonstrate a major clinical advantage.</w:t>
      </w:r>
    </w:p>
    <w:p w14:paraId="4F2C60DA" w14:textId="4D25FDCB" w:rsidR="00F32E2C" w:rsidRDefault="006D2835" w:rsidP="006C26F7">
      <w:pPr>
        <w:spacing w:before="240"/>
      </w:pPr>
      <w:r>
        <w:t>The following should be noted:</w:t>
      </w:r>
    </w:p>
    <w:p w14:paraId="41C40C38" w14:textId="0DDBE638" w:rsidR="00FB2788" w:rsidRDefault="00FB2788" w:rsidP="000E08AC">
      <w:pPr>
        <w:pStyle w:val="ListBullet"/>
      </w:pPr>
      <w:r>
        <w:t xml:space="preserve">Single arm studies (and other study designs) with no comparator arm are generally considered </w:t>
      </w:r>
      <w:r w:rsidR="007327C1">
        <w:t>inadequate</w:t>
      </w:r>
      <w:r w:rsidR="005D3924">
        <w:t xml:space="preserve"> evidence.</w:t>
      </w:r>
    </w:p>
    <w:p w14:paraId="4C69CEBB" w14:textId="153E06F3" w:rsidR="00FB2788" w:rsidRDefault="00FB2788" w:rsidP="000E08AC">
      <w:pPr>
        <w:pStyle w:val="ListBullet"/>
      </w:pPr>
      <w:r>
        <w:t>Compari</w:t>
      </w:r>
      <w:r w:rsidR="007F3800">
        <w:t>sons of</w:t>
      </w:r>
      <w:r>
        <w:t xml:space="preserve"> datasets obtained th</w:t>
      </w:r>
      <w:r w:rsidR="000E08AC">
        <w:t>rough different methodologies (for example,</w:t>
      </w:r>
      <w:r>
        <w:t xml:space="preserve"> a case series </w:t>
      </w:r>
      <w:r w:rsidR="00D44A69">
        <w:t xml:space="preserve">using the subject device </w:t>
      </w:r>
      <w:r>
        <w:t>with standard of care outcomes established from</w:t>
      </w:r>
      <w:r w:rsidR="0047382C">
        <w:t xml:space="preserve"> a</w:t>
      </w:r>
      <w:r>
        <w:t xml:space="preserve"> literature search) </w:t>
      </w:r>
      <w:r w:rsidR="007F3800">
        <w:t xml:space="preserve">are </w:t>
      </w:r>
      <w:r w:rsidR="0034081A">
        <w:t xml:space="preserve">generally </w:t>
      </w:r>
      <w:r w:rsidR="007F3800">
        <w:t xml:space="preserve">considered poor quality evidence and </w:t>
      </w:r>
      <w:r w:rsidR="002E5C0E">
        <w:t xml:space="preserve">may </w:t>
      </w:r>
      <w:r>
        <w:t xml:space="preserve">be subject to </w:t>
      </w:r>
      <w:r w:rsidR="002E5C0E">
        <w:t>greater scrutiny, as necessary,</w:t>
      </w:r>
      <w:r w:rsidR="0047382C">
        <w:t xml:space="preserve"> </w:t>
      </w:r>
      <w:r w:rsidR="006D2835">
        <w:t>when assessing</w:t>
      </w:r>
      <w:r w:rsidR="002E5C0E">
        <w:t xml:space="preserve"> whether that data supports a</w:t>
      </w:r>
      <w:r w:rsidR="006D2835">
        <w:t xml:space="preserve"> major clinical advanta</w:t>
      </w:r>
      <w:r w:rsidR="005D3924">
        <w:t>ge.</w:t>
      </w:r>
    </w:p>
    <w:p w14:paraId="669A9938" w14:textId="7D08666B" w:rsidR="006D2835" w:rsidRDefault="006D2835" w:rsidP="000E08AC">
      <w:pPr>
        <w:pStyle w:val="ListBullet"/>
      </w:pPr>
      <w:r>
        <w:t>Clinical advantages should</w:t>
      </w:r>
      <w:r w:rsidR="002E5C0E">
        <w:t xml:space="preserve"> generally</w:t>
      </w:r>
      <w:r>
        <w:t xml:space="preserve"> be expressed in terms of person-centred outcomes, such as improvements in mortality or morbidity</w:t>
      </w:r>
      <w:r w:rsidR="007F3800">
        <w:t xml:space="preserve"> (</w:t>
      </w:r>
      <w:r w:rsidR="00541EA1">
        <w:t xml:space="preserve">though </w:t>
      </w:r>
      <w:r w:rsidR="007F3800">
        <w:t>in some instances, a well-characterised biomarker may be acceptable)</w:t>
      </w:r>
      <w:r w:rsidR="005D3924">
        <w:t>.</w:t>
      </w:r>
    </w:p>
    <w:p w14:paraId="475CDBEC" w14:textId="5583289B" w:rsidR="006D2835" w:rsidRDefault="006D2835" w:rsidP="000E08AC">
      <w:pPr>
        <w:pStyle w:val="ListBullet"/>
      </w:pPr>
      <w:r>
        <w:t xml:space="preserve">Where study findings are expressed in terms </w:t>
      </w:r>
      <w:r w:rsidR="00803574">
        <w:t xml:space="preserve">of markers or intermediate measures of safety and performance, a clinically reasoned argument </w:t>
      </w:r>
      <w:r w:rsidR="00DA6391">
        <w:t xml:space="preserve">should </w:t>
      </w:r>
      <w:r w:rsidR="00803574">
        <w:t>be provided linking the study findings with the requirem</w:t>
      </w:r>
      <w:r w:rsidR="005D3924">
        <w:t>ent of major clinical advantage.</w:t>
      </w:r>
    </w:p>
    <w:p w14:paraId="0DC73E24" w14:textId="43F8099B" w:rsidR="006D2835" w:rsidRDefault="00EA1F48" w:rsidP="000E08AC">
      <w:pPr>
        <w:pStyle w:val="ListBullet"/>
      </w:pPr>
      <w:r>
        <w:t xml:space="preserve">Although </w:t>
      </w:r>
      <w:r w:rsidR="006D2835">
        <w:t xml:space="preserve">there is no rule regarding study size, those involving </w:t>
      </w:r>
      <w:r w:rsidR="00904063">
        <w:t xml:space="preserve">a sample size that is not statistically-powered </w:t>
      </w:r>
      <w:r w:rsidR="006D2835">
        <w:t>will generally be considered poor quality evidence.</w:t>
      </w:r>
    </w:p>
    <w:p w14:paraId="551AECCC" w14:textId="721DB436" w:rsidR="005D3924" w:rsidRDefault="00D46C82" w:rsidP="006246F0">
      <w:pPr>
        <w:spacing w:before="240"/>
      </w:pPr>
      <w:r w:rsidRPr="00D46C82">
        <w:t xml:space="preserve">In describing the major clinical advantage, </w:t>
      </w:r>
      <w:r w:rsidR="00EA1F48">
        <w:t>you</w:t>
      </w:r>
      <w:r w:rsidRPr="00D46C82">
        <w:t xml:space="preserve"> should discuss results for all outcomes relevant to </w:t>
      </w:r>
      <w:r w:rsidR="00EA1F48" w:rsidRPr="00D46C82">
        <w:t>th</w:t>
      </w:r>
      <w:r w:rsidR="00EA1F48">
        <w:t>e</w:t>
      </w:r>
      <w:r w:rsidR="00EA1F48" w:rsidRPr="00D46C82">
        <w:t xml:space="preserve"> </w:t>
      </w:r>
      <w:r w:rsidRPr="00D46C82">
        <w:t>device category or intended purpose, although emphasis can be placed on the outcome(s) demonstrat</w:t>
      </w:r>
      <w:r w:rsidR="00536EFD">
        <w:t>ing a major clinical advantage.</w:t>
      </w:r>
    </w:p>
    <w:p w14:paraId="4635C6A2" w14:textId="70DFCF27" w:rsidR="00D46C82" w:rsidRDefault="007C5EAD" w:rsidP="006246F0">
      <w:pPr>
        <w:spacing w:before="240"/>
      </w:pPr>
      <w:r>
        <w:t>Where the context may involve both superior outcomes and inferior outcomes (or safety issues), this may affect t</w:t>
      </w:r>
      <w:r w:rsidR="00D46C82" w:rsidRPr="00D46C82">
        <w:t>he overall determination of</w:t>
      </w:r>
      <w:r>
        <w:t xml:space="preserve"> whether there is</w:t>
      </w:r>
      <w:r w:rsidR="00D46C82" w:rsidRPr="00D46C82">
        <w:t xml:space="preserve"> a major clinical advantage</w:t>
      </w:r>
      <w:r>
        <w:t>.  A balancing</w:t>
      </w:r>
      <w:r w:rsidR="00D46C82" w:rsidRPr="00D46C82">
        <w:t xml:space="preserve"> of benefit</w:t>
      </w:r>
      <w:r>
        <w:t xml:space="preserve"> and</w:t>
      </w:r>
      <w:r w:rsidR="00D46C82" w:rsidRPr="00D46C82">
        <w:t xml:space="preserve"> risk </w:t>
      </w:r>
      <w:r w:rsidR="00EA1F48">
        <w:t>will</w:t>
      </w:r>
      <w:r>
        <w:t xml:space="preserve"> </w:t>
      </w:r>
      <w:r w:rsidR="00EA1F48">
        <w:t>be required</w:t>
      </w:r>
      <w:r>
        <w:t xml:space="preserve"> in considering whether</w:t>
      </w:r>
      <w:r w:rsidR="00D46C82" w:rsidRPr="00D46C82">
        <w:t xml:space="preserve"> any superior outcome is </w:t>
      </w:r>
      <w:r w:rsidR="00D46C82">
        <w:t>outweighed by</w:t>
      </w:r>
      <w:r w:rsidR="00D46C82" w:rsidRPr="00D46C82">
        <w:t xml:space="preserve"> </w:t>
      </w:r>
      <w:r w:rsidR="00D46C82">
        <w:t xml:space="preserve">other </w:t>
      </w:r>
      <w:r w:rsidR="00904063">
        <w:t xml:space="preserve">inferior </w:t>
      </w:r>
      <w:r w:rsidR="00D46C82" w:rsidRPr="00D46C82">
        <w:t>outcomes</w:t>
      </w:r>
      <w:r w:rsidR="00904063">
        <w:t xml:space="preserve"> or safety issues</w:t>
      </w:r>
      <w:r>
        <w:t xml:space="preserve"> </w:t>
      </w:r>
      <w:r w:rsidR="00946DB4">
        <w:t>(</w:t>
      </w:r>
      <w:r w:rsidR="00EA1F48">
        <w:t>and whether a</w:t>
      </w:r>
      <w:r>
        <w:t xml:space="preserve"> major clinical advantage is </w:t>
      </w:r>
      <w:r w:rsidR="00EA1F48">
        <w:t>demonstrated</w:t>
      </w:r>
      <w:r>
        <w:t>)</w:t>
      </w:r>
      <w:r w:rsidR="00D46C82" w:rsidRPr="00D46C82">
        <w:t>.</w:t>
      </w:r>
    </w:p>
    <w:p w14:paraId="7E90E6A9" w14:textId="77777777" w:rsidR="003B547F" w:rsidRDefault="003B547F" w:rsidP="003B547F">
      <w:pPr>
        <w:spacing w:before="240"/>
      </w:pPr>
      <w:r>
        <w:t xml:space="preserve">For further information around meeting clinical evidence requirements </w:t>
      </w:r>
      <w:r w:rsidR="00D44A69">
        <w:t xml:space="preserve">refer to </w:t>
      </w:r>
      <w:hyperlink r:id="rId22" w:history="1">
        <w:r w:rsidR="00D44A69" w:rsidRPr="003E5E0E">
          <w:rPr>
            <w:rStyle w:val="Hyperlink"/>
          </w:rPr>
          <w:t>Clinical Evidence Guidelines for Medical Devices</w:t>
        </w:r>
      </w:hyperlink>
      <w:r>
        <w:t>.</w:t>
      </w:r>
    </w:p>
    <w:p w14:paraId="0B5778A9" w14:textId="57180360" w:rsidR="000B1288" w:rsidRDefault="003B547F" w:rsidP="003B547F">
      <w:pPr>
        <w:spacing w:before="240"/>
      </w:pPr>
      <w:r>
        <w:t xml:space="preserve">The </w:t>
      </w:r>
      <w:hyperlink w:anchor="_Case_studies" w:history="1">
        <w:r w:rsidRPr="003B547F">
          <w:rPr>
            <w:rStyle w:val="Hyperlink"/>
          </w:rPr>
          <w:t>c</w:t>
        </w:r>
        <w:r w:rsidR="00ED6211" w:rsidRPr="003B547F">
          <w:rPr>
            <w:rStyle w:val="Hyperlink"/>
          </w:rPr>
          <w:t>ase studies</w:t>
        </w:r>
      </w:hyperlink>
      <w:r w:rsidR="00ED6211">
        <w:t xml:space="preserve"> b</w:t>
      </w:r>
      <w:r>
        <w:t xml:space="preserve">elow </w:t>
      </w:r>
      <w:r w:rsidR="00ED6211">
        <w:t>set out particular scenarios and discuss the nature of the evidence provided.</w:t>
      </w:r>
      <w:bookmarkStart w:id="28" w:name="_Major_clinical_advantage"/>
      <w:bookmarkEnd w:id="28"/>
    </w:p>
    <w:tbl>
      <w:tblPr>
        <w:tblW w:w="9038" w:type="dxa"/>
        <w:tblLayout w:type="fixed"/>
        <w:tblCellMar>
          <w:left w:w="0" w:type="dxa"/>
          <w:right w:w="0" w:type="dxa"/>
        </w:tblCellMar>
        <w:tblLook w:val="04A0" w:firstRow="1" w:lastRow="0" w:firstColumn="1" w:lastColumn="0" w:noHBand="0" w:noVBand="1"/>
      </w:tblPr>
      <w:tblGrid>
        <w:gridCol w:w="1276"/>
        <w:gridCol w:w="7762"/>
      </w:tblGrid>
      <w:tr w:rsidR="00F356FC" w:rsidRPr="00215D48" w14:paraId="1153B9F0" w14:textId="77777777" w:rsidTr="00AA4997">
        <w:trPr>
          <w:trHeight w:val="838"/>
        </w:trPr>
        <w:tc>
          <w:tcPr>
            <w:tcW w:w="1276" w:type="dxa"/>
            <w:vAlign w:val="center"/>
          </w:tcPr>
          <w:p w14:paraId="019D9820" w14:textId="77777777" w:rsidR="00F356FC" w:rsidRPr="00215D48" w:rsidRDefault="00F356FC" w:rsidP="00AA4997">
            <w:pPr>
              <w:spacing w:before="0"/>
              <w:rPr>
                <w:sz w:val="20"/>
              </w:rPr>
            </w:pPr>
            <w:r w:rsidRPr="00215D48">
              <w:rPr>
                <w:noProof/>
                <w:sz w:val="20"/>
                <w:lang w:eastAsia="en-AU"/>
              </w:rPr>
              <w:lastRenderedPageBreak/>
              <w:drawing>
                <wp:inline distT="0" distB="0" distL="0" distR="0" wp14:anchorId="5410E758" wp14:editId="2787F12D">
                  <wp:extent cx="487681" cy="487681"/>
                  <wp:effectExtent l="19050" t="0" r="7619" b="0"/>
                  <wp:docPr id="1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15E1C51D" w14:textId="135891AC" w:rsidR="00F356FC" w:rsidRPr="007414F4" w:rsidRDefault="00F356FC" w:rsidP="00A47E68">
            <w:pPr>
              <w:pStyle w:val="Numberbullet0"/>
              <w:numPr>
                <w:ilvl w:val="0"/>
                <w:numId w:val="0"/>
              </w:numPr>
              <w:ind w:left="425"/>
            </w:pPr>
            <w:r w:rsidRPr="000E28F5">
              <w:t>Engineering or pre-clinical evidence is</w:t>
            </w:r>
            <w:r w:rsidR="00946DB4">
              <w:t xml:space="preserve"> </w:t>
            </w:r>
            <w:r w:rsidRPr="000E28F5">
              <w:t xml:space="preserve">insufficient on its own; there </w:t>
            </w:r>
            <w:r w:rsidR="0034081A">
              <w:t>should</w:t>
            </w:r>
            <w:r w:rsidRPr="000E28F5">
              <w:t xml:space="preserve"> be sufficient clinical evidence to demonstrate a major clinical advantage </w:t>
            </w:r>
            <w:r w:rsidR="00851794">
              <w:t>(</w:t>
            </w:r>
            <w:r w:rsidRPr="000E28F5">
              <w:t>or public health benefit</w:t>
            </w:r>
            <w:r w:rsidR="00CC3A36">
              <w:t xml:space="preserve"> for IVDs</w:t>
            </w:r>
            <w:r w:rsidR="00851794">
              <w:t>)</w:t>
            </w:r>
            <w:r w:rsidRPr="000E28F5">
              <w:t>.</w:t>
            </w:r>
          </w:p>
        </w:tc>
      </w:tr>
    </w:tbl>
    <w:p w14:paraId="6668AF9E" w14:textId="77777777" w:rsidR="006078F7" w:rsidRPr="00132B12" w:rsidRDefault="006078F7" w:rsidP="006078F7">
      <w:pPr>
        <w:pStyle w:val="Heading4"/>
      </w:pPr>
      <w:bookmarkStart w:id="29" w:name="_Toc55923631"/>
      <w:r w:rsidRPr="00132B12">
        <w:t>(</w:t>
      </w:r>
      <w:proofErr w:type="spellStart"/>
      <w:r w:rsidRPr="00132B12">
        <w:t>i</w:t>
      </w:r>
      <w:proofErr w:type="spellEnd"/>
      <w:r w:rsidRPr="00132B12">
        <w:t xml:space="preserve">) </w:t>
      </w:r>
      <w:r>
        <w:t>B</w:t>
      </w:r>
      <w:r w:rsidRPr="00132B12">
        <w:t>reakthrough technology offer</w:t>
      </w:r>
      <w:r>
        <w:t>ing</w:t>
      </w:r>
      <w:r w:rsidRPr="00132B12">
        <w:t xml:space="preserve"> a major clinical advantage over existing technology</w:t>
      </w:r>
      <w:bookmarkEnd w:id="29"/>
    </w:p>
    <w:p w14:paraId="59262D58" w14:textId="1F917C43" w:rsidR="006078F7" w:rsidRDefault="00087959" w:rsidP="006078F7">
      <w:r>
        <w:rPr>
          <w:bCs/>
        </w:rPr>
        <w:t xml:space="preserve">This alternative (within criterion 3) relates to breakthrough technology. </w:t>
      </w:r>
      <w:r w:rsidR="006078F7">
        <w:t>A breakthrough technology is a</w:t>
      </w:r>
      <w:r w:rsidR="006078F7" w:rsidRPr="00DC1AAF">
        <w:t xml:space="preserve"> novel technology or novel application of an existing technology</w:t>
      </w:r>
      <w:r w:rsidR="006078F7">
        <w:t xml:space="preserve">. Where there is evidence it offers </w:t>
      </w:r>
      <w:r w:rsidR="000E08AC">
        <w:t xml:space="preserve">a </w:t>
      </w:r>
      <w:hyperlink w:anchor="_Major_clinical_advantage_1" w:history="1">
        <w:r w:rsidR="000E08AC" w:rsidRPr="000E08AC">
          <w:rPr>
            <w:rStyle w:val="Hyperlink"/>
          </w:rPr>
          <w:t>major clinical advantage</w:t>
        </w:r>
      </w:hyperlink>
      <w:r w:rsidR="003B547F">
        <w:t xml:space="preserve"> over existing technology, that is,</w:t>
      </w:r>
      <w:r w:rsidR="006078F7">
        <w:t xml:space="preserve"> </w:t>
      </w:r>
      <w:r w:rsidR="006078F7" w:rsidRPr="00DC1AAF">
        <w:t>in the</w:t>
      </w:r>
      <w:r w:rsidR="006078F7">
        <w:t xml:space="preserve"> context of</w:t>
      </w:r>
      <w:r w:rsidR="006078F7" w:rsidRPr="00DC1AAF">
        <w:t xml:space="preserve"> </w:t>
      </w:r>
      <w:r w:rsidR="006078F7">
        <w:t>the monitoring,</w:t>
      </w:r>
      <w:r w:rsidR="006078F7" w:rsidRPr="00DC1AAF">
        <w:t xml:space="preserve"> treatment</w:t>
      </w:r>
      <w:r w:rsidR="006078F7" w:rsidRPr="00423BFB">
        <w:t>, prevention</w:t>
      </w:r>
      <w:r w:rsidR="006078F7">
        <w:t xml:space="preserve"> or diagnosis</w:t>
      </w:r>
      <w:r w:rsidR="006078F7">
        <w:rPr>
          <w:b/>
        </w:rPr>
        <w:t xml:space="preserve"> </w:t>
      </w:r>
      <w:r w:rsidR="006078F7">
        <w:t>of</w:t>
      </w:r>
      <w:r w:rsidR="006078F7" w:rsidRPr="00DC1AAF">
        <w:t xml:space="preserve"> </w:t>
      </w:r>
      <w:r w:rsidR="006078F7">
        <w:t>the</w:t>
      </w:r>
      <w:r w:rsidR="006078F7" w:rsidRPr="00DC1AAF">
        <w:t xml:space="preserve"> </w:t>
      </w:r>
      <w:r w:rsidR="006078F7">
        <w:t xml:space="preserve">relevant </w:t>
      </w:r>
      <w:r w:rsidR="006078F7" w:rsidRPr="00DC1AAF">
        <w:t>condition</w:t>
      </w:r>
      <w:r w:rsidR="006078F7">
        <w:t>, then this criterion is met (noting only one of the alternatives in criterion 3 needs to be met)</w:t>
      </w:r>
      <w:r w:rsidR="006078F7" w:rsidRPr="00DC1AAF">
        <w:t>.</w:t>
      </w:r>
    </w:p>
    <w:p w14:paraId="28A666DB" w14:textId="528A2AA7" w:rsidR="006078F7" w:rsidRDefault="006078F7" w:rsidP="006078F7">
      <w:pPr>
        <w:rPr>
          <w:lang w:val="en"/>
        </w:rPr>
      </w:pPr>
      <w:r>
        <w:t>In your application, you should p</w:t>
      </w:r>
      <w:r w:rsidRPr="006F6280">
        <w:t xml:space="preserve">rovide </w:t>
      </w:r>
      <w:r>
        <w:t>a summary demonstrating novelty and advancement (in monitoring, treatment, prevention or diagnosis) associated with the use of your device</w:t>
      </w:r>
      <w:r w:rsidR="00536EFD">
        <w:rPr>
          <w:lang w:val="en"/>
        </w:rPr>
        <w:t>.</w:t>
      </w:r>
    </w:p>
    <w:p w14:paraId="02282CDC" w14:textId="7D3519FB" w:rsidR="006078F7" w:rsidRDefault="006078F7" w:rsidP="003238B9">
      <w:r>
        <w:t xml:space="preserve">The comparison with the </w:t>
      </w:r>
      <w:r w:rsidRPr="006F6280">
        <w:t>existi</w:t>
      </w:r>
      <w:r>
        <w:t>ng technology should identify any relevant ARTG-listed devices. For breakthrough technology, comparison is generally made with the existing standard of care. Applicants should establish the existing standard of care with reference to the literature and current state of the art.</w:t>
      </w:r>
    </w:p>
    <w:p w14:paraId="38859FBF" w14:textId="4D2F8035" w:rsidR="00602075" w:rsidRPr="006246F0" w:rsidRDefault="00602075" w:rsidP="00946DB4">
      <w:pPr>
        <w:pStyle w:val="Heading4"/>
      </w:pPr>
      <w:bookmarkStart w:id="30" w:name="_Toc55923632"/>
      <w:r w:rsidRPr="006246F0">
        <w:t>ii) Major clinical advantage over existing alternatives included in the ARTG</w:t>
      </w:r>
      <w:bookmarkEnd w:id="30"/>
    </w:p>
    <w:p w14:paraId="6C52B02A" w14:textId="4C81148C" w:rsidR="00BD08F6" w:rsidRDefault="00946DB4" w:rsidP="00602075">
      <w:pPr>
        <w:spacing w:after="120"/>
        <w:rPr>
          <w:bCs/>
        </w:rPr>
      </w:pPr>
      <w:r>
        <w:rPr>
          <w:bCs/>
        </w:rPr>
        <w:t xml:space="preserve">This alternative </w:t>
      </w:r>
      <w:r w:rsidR="0033625D">
        <w:rPr>
          <w:bCs/>
        </w:rPr>
        <w:t>(</w:t>
      </w:r>
      <w:r>
        <w:rPr>
          <w:bCs/>
        </w:rPr>
        <w:t>within criterion 3</w:t>
      </w:r>
      <w:r w:rsidR="0033625D">
        <w:rPr>
          <w:bCs/>
        </w:rPr>
        <w:t>)</w:t>
      </w:r>
      <w:r>
        <w:rPr>
          <w:bCs/>
        </w:rPr>
        <w:t xml:space="preserve"> requires the new device to be compared with existing alternativ</w:t>
      </w:r>
      <w:r w:rsidR="000E08AC">
        <w:rPr>
          <w:bCs/>
        </w:rPr>
        <w:t>es included in the ARTG. A</w:t>
      </w:r>
      <w:r>
        <w:rPr>
          <w:bCs/>
        </w:rPr>
        <w:t xml:space="preserve">n existing alternative does not necessarily have to be a device, it can be any therapeutic good included in the </w:t>
      </w:r>
      <w:r w:rsidR="0033625D">
        <w:rPr>
          <w:bCs/>
        </w:rPr>
        <w:t>ARTG</w:t>
      </w:r>
      <w:r>
        <w:rPr>
          <w:bCs/>
        </w:rPr>
        <w:t>. There must be evidence that the new device</w:t>
      </w:r>
      <w:r w:rsidR="0033625D">
        <w:rPr>
          <w:bCs/>
        </w:rPr>
        <w:t xml:space="preserve"> offers a</w:t>
      </w:r>
      <w:r w:rsidR="00602075" w:rsidRPr="006F6280">
        <w:rPr>
          <w:bCs/>
        </w:rPr>
        <w:t xml:space="preserve"> </w:t>
      </w:r>
      <w:r w:rsidR="00602075">
        <w:rPr>
          <w:bCs/>
        </w:rPr>
        <w:t>major clinical advantage</w:t>
      </w:r>
      <w:r w:rsidR="0033625D">
        <w:rPr>
          <w:bCs/>
        </w:rPr>
        <w:t xml:space="preserve"> over existing alternatives.</w:t>
      </w:r>
    </w:p>
    <w:p w14:paraId="794E3C5F" w14:textId="656E5BF5" w:rsidR="00602075" w:rsidRPr="006F6280" w:rsidRDefault="0033625D" w:rsidP="00602075">
      <w:pPr>
        <w:spacing w:after="120"/>
        <w:rPr>
          <w:bCs/>
        </w:rPr>
      </w:pPr>
      <w:r>
        <w:rPr>
          <w:bCs/>
        </w:rPr>
        <w:t xml:space="preserve">The existence of the </w:t>
      </w:r>
      <w:hyperlink w:anchor="_Major_clinical_advantage_1" w:history="1">
        <w:r w:rsidRPr="000E08AC">
          <w:rPr>
            <w:rStyle w:val="Hyperlink"/>
            <w:bCs/>
          </w:rPr>
          <w:t>major clinical advantage</w:t>
        </w:r>
      </w:hyperlink>
      <w:r>
        <w:rPr>
          <w:bCs/>
        </w:rPr>
        <w:t xml:space="preserve"> should be </w:t>
      </w:r>
      <w:r w:rsidR="00602075">
        <w:rPr>
          <w:bCs/>
        </w:rPr>
        <w:t>supported by sufficient clinical evidence.</w:t>
      </w:r>
    </w:p>
    <w:p w14:paraId="496F0E7C" w14:textId="2019E883" w:rsidR="00602075" w:rsidRPr="006246F0" w:rsidRDefault="00602075" w:rsidP="004E788D">
      <w:pPr>
        <w:pStyle w:val="Heading4"/>
      </w:pPr>
      <w:bookmarkStart w:id="31" w:name="_Toc55923633"/>
      <w:proofErr w:type="gramStart"/>
      <w:r w:rsidRPr="006246F0">
        <w:t>iii</w:t>
      </w:r>
      <w:proofErr w:type="gramEnd"/>
      <w:r w:rsidRPr="006246F0">
        <w:t xml:space="preserve">) </w:t>
      </w:r>
      <w:r w:rsidR="008A58D8">
        <w:t>In the case of</w:t>
      </w:r>
      <w:r w:rsidRPr="006246F0">
        <w:t xml:space="preserve"> IVDs: Early availability in Australia will result in a major public health benefit</w:t>
      </w:r>
      <w:bookmarkEnd w:id="31"/>
    </w:p>
    <w:p w14:paraId="6EF87E8D" w14:textId="0E9703FB" w:rsidR="0057741E" w:rsidRDefault="009F3484" w:rsidP="0057741E">
      <w:r>
        <w:t xml:space="preserve">This </w:t>
      </w:r>
      <w:r w:rsidR="008A58D8">
        <w:t>alternative (within criterion 3)</w:t>
      </w:r>
      <w:r>
        <w:t xml:space="preserve"> relates only to </w:t>
      </w:r>
      <w:r w:rsidR="00652089">
        <w:t>i</w:t>
      </w:r>
      <w:r>
        <w:t xml:space="preserve">n </w:t>
      </w:r>
      <w:r w:rsidR="00652089">
        <w:t>v</w:t>
      </w:r>
      <w:r>
        <w:t xml:space="preserve">itro </w:t>
      </w:r>
      <w:r w:rsidR="00652089">
        <w:t>d</w:t>
      </w:r>
      <w:r>
        <w:t xml:space="preserve">iagnostic </w:t>
      </w:r>
      <w:r w:rsidR="000415A9">
        <w:t xml:space="preserve">medical devices </w:t>
      </w:r>
      <w:r>
        <w:t>(IVD</w:t>
      </w:r>
      <w:r w:rsidR="000415A9">
        <w:t>s</w:t>
      </w:r>
      <w:r>
        <w:t xml:space="preserve">). </w:t>
      </w:r>
      <w:r w:rsidR="00BF68E5">
        <w:t>Note that</w:t>
      </w:r>
      <w:r w:rsidR="0057741E">
        <w:t xml:space="preserve"> it is possible that IVDs may also meet the other alternative requirements with</w:t>
      </w:r>
      <w:r w:rsidR="009A14FC">
        <w:t>in criterion 3</w:t>
      </w:r>
      <w:r w:rsidR="0057741E">
        <w:t>. Only one of the alternatives within criterion 3 must be met in order for criteri</w:t>
      </w:r>
      <w:r w:rsidR="009A14FC">
        <w:t>on 3 to be satisfied.</w:t>
      </w:r>
    </w:p>
    <w:p w14:paraId="00C33C24" w14:textId="1C7C1ABC" w:rsidR="009E0732" w:rsidRDefault="009E0732" w:rsidP="00602075">
      <w:r>
        <w:t>Under this criterion, the decision-maker will assess whether the early availability in Australia of the IVD will result in a major public health benefit. In this context, the term ‘public health’ is generally understood as relating to the health of the Australian population.</w:t>
      </w:r>
    </w:p>
    <w:p w14:paraId="5F6BDAFE" w14:textId="733CC7DF" w:rsidR="00E54A51" w:rsidRDefault="00E54A51" w:rsidP="00602075">
      <w:r>
        <w:t>In the normal course, the type of IVD device that may be expected to result in a major public health benefit (subject to the evidence of that benefit) is a device that provides a new diagnostic test or an improvement to an existing diagnostic test (see further below</w:t>
      </w:r>
      <w:r w:rsidR="001608F4">
        <w:t xml:space="preserve"> in relation to diagnostic tests</w:t>
      </w:r>
      <w:r>
        <w:t>).</w:t>
      </w:r>
    </w:p>
    <w:p w14:paraId="52826138" w14:textId="361A8962" w:rsidR="00340E85" w:rsidRDefault="009E0732" w:rsidP="00602075">
      <w:r>
        <w:t>In your application, you should provide evidence on</w:t>
      </w:r>
      <w:r w:rsidR="00602075" w:rsidRPr="006F6280">
        <w:t xml:space="preserve"> ho</w:t>
      </w:r>
      <w:r w:rsidR="00602075">
        <w:t>w the</w:t>
      </w:r>
      <w:r w:rsidR="00340E85">
        <w:t xml:space="preserve"> availability of the</w:t>
      </w:r>
      <w:r w:rsidR="00602075">
        <w:t xml:space="preserve"> </w:t>
      </w:r>
      <w:r w:rsidR="00E54A51">
        <w:t xml:space="preserve">new </w:t>
      </w:r>
      <w:r w:rsidR="00602075">
        <w:t>IVD</w:t>
      </w:r>
      <w:r w:rsidR="00602075" w:rsidRPr="006F6280">
        <w:t xml:space="preserve"> will </w:t>
      </w:r>
      <w:r w:rsidR="00340E85">
        <w:t xml:space="preserve">benefit </w:t>
      </w:r>
      <w:r w:rsidR="00602075" w:rsidRPr="006F6280">
        <w:t>the h</w:t>
      </w:r>
      <w:r w:rsidR="00602075">
        <w:t>ealth of the Australian</w:t>
      </w:r>
      <w:r w:rsidR="00340E85">
        <w:t xml:space="preserve"> population and the extent of that benefit</w:t>
      </w:r>
      <w:r w:rsidR="00536EFD">
        <w:t>.</w:t>
      </w:r>
    </w:p>
    <w:p w14:paraId="21719C25" w14:textId="4F4B67F6" w:rsidR="00B9010E" w:rsidRDefault="00E54A51" w:rsidP="00B9010E">
      <w:r>
        <w:t>For example, w</w:t>
      </w:r>
      <w:r w:rsidR="00602075">
        <w:t>here there is current</w:t>
      </w:r>
      <w:r w:rsidR="000415A9">
        <w:t>ly</w:t>
      </w:r>
      <w:r w:rsidR="00602075">
        <w:t xml:space="preserve"> </w:t>
      </w:r>
      <w:r w:rsidR="000415A9">
        <w:t xml:space="preserve">no </w:t>
      </w:r>
      <w:r w:rsidR="00602075">
        <w:t xml:space="preserve">diagnostic test, </w:t>
      </w:r>
      <w:r>
        <w:t>‘major public health benefit’ should</w:t>
      </w:r>
      <w:r w:rsidR="00602075">
        <w:t xml:space="preserve"> be demonstrated </w:t>
      </w:r>
      <w:r>
        <w:t xml:space="preserve">with </w:t>
      </w:r>
      <w:r w:rsidR="00602075">
        <w:t>reference to the literature and the state of the art</w:t>
      </w:r>
      <w:r w:rsidR="00B9010E">
        <w:t xml:space="preserve">. </w:t>
      </w:r>
      <w:r w:rsidR="00B9010E" w:rsidRPr="00B9010E">
        <w:t xml:space="preserve">‘Major public health </w:t>
      </w:r>
      <w:r w:rsidR="00B9010E" w:rsidRPr="00B9010E">
        <w:lastRenderedPageBreak/>
        <w:t>benefit’ should be demonstrated through reference to sensitivity, specificity, positive and negative predictive values, likelihood ratios and the impact of the new test on health outcomes.</w:t>
      </w:r>
    </w:p>
    <w:p w14:paraId="6BDA4970" w14:textId="3F9C717D" w:rsidR="0034133D" w:rsidRDefault="006B55AD" w:rsidP="00602075">
      <w:r>
        <w:t>Further, w</w:t>
      </w:r>
      <w:r w:rsidR="00602075">
        <w:t>here there is current</w:t>
      </w:r>
      <w:r w:rsidR="000415A9">
        <w:t>ly</w:t>
      </w:r>
      <w:r w:rsidR="00602075">
        <w:t xml:space="preserve"> </w:t>
      </w:r>
      <w:r w:rsidR="000415A9">
        <w:t xml:space="preserve">a </w:t>
      </w:r>
      <w:r w:rsidR="00602075">
        <w:t xml:space="preserve">diagnostic test, applicants </w:t>
      </w:r>
      <w:r>
        <w:t xml:space="preserve">should </w:t>
      </w:r>
      <w:r w:rsidR="00602075">
        <w:t>provide d</w:t>
      </w:r>
      <w:r w:rsidR="00602075" w:rsidRPr="00A35E47">
        <w:t>ocumentation of the improved sensitivity and specificity of the IVD compared to existing IVDs in the ARTG</w:t>
      </w:r>
      <w:r w:rsidR="009C0DA2">
        <w:t>.</w:t>
      </w:r>
    </w:p>
    <w:p w14:paraId="73EDB328" w14:textId="6749C95A" w:rsidR="00602075" w:rsidRPr="00602075" w:rsidRDefault="00602075" w:rsidP="00602075">
      <w:r>
        <w:t>The</w:t>
      </w:r>
      <w:r w:rsidRPr="00A35E47">
        <w:t xml:space="preserve"> patient population that will benefit from the improved diagnosis and/or </w:t>
      </w:r>
      <w:r w:rsidRPr="006F6280">
        <w:t>treatment</w:t>
      </w:r>
      <w:r>
        <w:t xml:space="preserve"> should be described. </w:t>
      </w:r>
      <w:r w:rsidRPr="00602075">
        <w:t xml:space="preserve">The evidence </w:t>
      </w:r>
      <w:r w:rsidR="00E91D7F">
        <w:t xml:space="preserve">should </w:t>
      </w:r>
      <w:r w:rsidRPr="00602075">
        <w:t>be discussed with reference to:</w:t>
      </w:r>
    </w:p>
    <w:p w14:paraId="00FF08A9" w14:textId="257A4F8F" w:rsidR="00602075" w:rsidRPr="00602075" w:rsidRDefault="00602075" w:rsidP="004E788D">
      <w:pPr>
        <w:numPr>
          <w:ilvl w:val="0"/>
          <w:numId w:val="3"/>
        </w:numPr>
      </w:pPr>
      <w:r w:rsidRPr="00602075">
        <w:t>the particular characteristics of the condition (number of affected patients; transmission of the disease)</w:t>
      </w:r>
    </w:p>
    <w:p w14:paraId="52FBEA13" w14:textId="73DABE94" w:rsidR="00602075" w:rsidRPr="00602075" w:rsidRDefault="00602075" w:rsidP="004E788D">
      <w:pPr>
        <w:numPr>
          <w:ilvl w:val="0"/>
          <w:numId w:val="3"/>
        </w:numPr>
      </w:pPr>
      <w:r w:rsidRPr="00602075">
        <w:t>the other available diagnostics</w:t>
      </w:r>
    </w:p>
    <w:p w14:paraId="211B0526" w14:textId="4B1A483B" w:rsidR="00602075" w:rsidRDefault="00602075" w:rsidP="004E788D">
      <w:pPr>
        <w:numPr>
          <w:ilvl w:val="0"/>
          <w:numId w:val="3"/>
        </w:numPr>
      </w:pPr>
      <w:proofErr w:type="gramStart"/>
      <w:r w:rsidRPr="00602075">
        <w:t>methods</w:t>
      </w:r>
      <w:proofErr w:type="gramEnd"/>
      <w:r w:rsidRPr="00602075">
        <w:t xml:space="preserve"> of treating or preventing the identified condition.</w:t>
      </w:r>
    </w:p>
    <w:p w14:paraId="1E6456FD" w14:textId="25EC9FBC" w:rsidR="000B1288" w:rsidRDefault="00E91D7F" w:rsidP="000B1288">
      <w:r>
        <w:t>In summary</w:t>
      </w:r>
      <w:r w:rsidR="000B1288" w:rsidRPr="006F6280">
        <w:t xml:space="preserve">, </w:t>
      </w:r>
      <w:r w:rsidR="000B1288">
        <w:t xml:space="preserve">you </w:t>
      </w:r>
      <w:r>
        <w:t xml:space="preserve">should </w:t>
      </w:r>
      <w:r w:rsidR="000B1288" w:rsidRPr="005940AF">
        <w:rPr>
          <w:b/>
        </w:rPr>
        <w:t>provide a reasoned public health argument</w:t>
      </w:r>
      <w:r w:rsidR="000B1288">
        <w:t xml:space="preserve"> demonstrating an expected benefit to the health of the Australian population that incorporates device-specific evidence (including</w:t>
      </w:r>
      <w:r w:rsidR="000B1288" w:rsidRPr="006F6280">
        <w:t xml:space="preserve"> </w:t>
      </w:r>
      <w:r w:rsidR="000B1288" w:rsidRPr="002D4463">
        <w:rPr>
          <w:b/>
        </w:rPr>
        <w:t>summaries</w:t>
      </w:r>
      <w:r w:rsidR="000B1288" w:rsidRPr="006F6280">
        <w:t xml:space="preserve"> of </w:t>
      </w:r>
      <w:r w:rsidR="000B1288">
        <w:t>relevant studi</w:t>
      </w:r>
      <w:r w:rsidR="00536EFD">
        <w:t>es) and public health evidence.</w:t>
      </w:r>
    </w:p>
    <w:p w14:paraId="0F4927AE" w14:textId="2D6E028B" w:rsidR="007F016E" w:rsidRDefault="00C117BE" w:rsidP="007F016E">
      <w:pPr>
        <w:pStyle w:val="Heading2"/>
      </w:pPr>
      <w:bookmarkStart w:id="32" w:name="_Toc55923634"/>
      <w:r>
        <w:t>The</w:t>
      </w:r>
      <w:r w:rsidR="007F016E">
        <w:t xml:space="preserve"> application </w:t>
      </w:r>
      <w:r>
        <w:t>process</w:t>
      </w:r>
      <w:bookmarkEnd w:id="32"/>
    </w:p>
    <w:p w14:paraId="6C94C583" w14:textId="67678F53" w:rsidR="00BD08F6" w:rsidRDefault="00532C0B" w:rsidP="006B0D38">
      <w:r>
        <w:t>This part of the guidelines provides information on the application process</w:t>
      </w:r>
      <w:r w:rsidR="00645322">
        <w:t xml:space="preserve"> for a priority applicant determination</w:t>
      </w:r>
      <w:r w:rsidR="00BD08F6">
        <w:t xml:space="preserve"> including the ability to have a pre-submission meeting. </w:t>
      </w:r>
      <w:r w:rsidR="00DE1766">
        <w:t>For more information refer to</w:t>
      </w:r>
      <w:r w:rsidR="00BD08F6">
        <w:t xml:space="preserve"> the </w:t>
      </w:r>
      <w:hyperlink w:anchor="_The_TGA_Assessment" w:history="1">
        <w:r w:rsidR="00BD08F6" w:rsidRPr="00DE1766">
          <w:rPr>
            <w:rStyle w:val="Hyperlink"/>
          </w:rPr>
          <w:t>assessment process</w:t>
        </w:r>
      </w:hyperlink>
      <w:r w:rsidR="00A66755">
        <w:t xml:space="preserve"> and what happens once a decision on your application is made</w:t>
      </w:r>
      <w:r w:rsidR="00536EFD">
        <w:t>.</w:t>
      </w:r>
    </w:p>
    <w:p w14:paraId="3562C02C" w14:textId="191EF54B" w:rsidR="0095560E" w:rsidRPr="00C23886" w:rsidRDefault="0095560E" w:rsidP="0095560E">
      <w:pPr>
        <w:pStyle w:val="Heading3"/>
      </w:pPr>
      <w:bookmarkStart w:id="33" w:name="_Toc55923635"/>
      <w:r w:rsidRPr="00C23886">
        <w:t>Pre-submission meeting</w:t>
      </w:r>
      <w:bookmarkEnd w:id="33"/>
    </w:p>
    <w:p w14:paraId="2873180D" w14:textId="1DCDE74A" w:rsidR="0095560E" w:rsidRDefault="0095560E" w:rsidP="0095560E">
      <w:r>
        <w:t>Y</w:t>
      </w:r>
      <w:r w:rsidRPr="00C23886">
        <w:t xml:space="preserve">ou may </w:t>
      </w:r>
      <w:r>
        <w:t>request</w:t>
      </w:r>
      <w:r w:rsidRPr="00C23886">
        <w:t xml:space="preserve"> a pre-submission meeting with us prior to </w:t>
      </w:r>
      <w:r w:rsidR="00C117BE">
        <w:t xml:space="preserve">submitting </w:t>
      </w:r>
      <w:r w:rsidRPr="00C23886">
        <w:t xml:space="preserve">your application for </w:t>
      </w:r>
      <w:r w:rsidR="00A843D7">
        <w:t xml:space="preserve">a </w:t>
      </w:r>
      <w:r>
        <w:t>p</w:t>
      </w:r>
      <w:r w:rsidRPr="00C23886">
        <w:t xml:space="preserve">riority </w:t>
      </w:r>
      <w:r w:rsidR="000745A9">
        <w:t>applicant determination</w:t>
      </w:r>
      <w:r w:rsidRPr="00C23886">
        <w:t>.</w:t>
      </w:r>
      <w:r w:rsidR="00C117BE">
        <w:t xml:space="preserve"> </w:t>
      </w:r>
      <w:r w:rsidR="00A843D7">
        <w:t>A pre-submission meeting seeks to</w:t>
      </w:r>
      <w:r w:rsidR="00C117BE">
        <w:t xml:space="preserve"> provide non-binding guidance</w:t>
      </w:r>
      <w:r w:rsidR="00A843D7">
        <w:t xml:space="preserve"> or feedback</w:t>
      </w:r>
      <w:r w:rsidR="00C117BE">
        <w:t xml:space="preserve"> on the strength of the </w:t>
      </w:r>
      <w:r w:rsidR="00EA1F48">
        <w:t>proposed application</w:t>
      </w:r>
      <w:r w:rsidR="00C117BE">
        <w:t xml:space="preserve">, and what to include in </w:t>
      </w:r>
      <w:r w:rsidR="00D44A69">
        <w:t>your</w:t>
      </w:r>
      <w:r w:rsidR="00C117BE">
        <w:t xml:space="preserve"> application for</w:t>
      </w:r>
      <w:r w:rsidR="00A843D7">
        <w:t xml:space="preserve"> a</w:t>
      </w:r>
      <w:r w:rsidR="00C117BE">
        <w:t xml:space="preserve"> priority applicant determination.</w:t>
      </w:r>
      <w:r w:rsidR="00A843D7">
        <w:t xml:space="preserve"> No guarantee is given at a pre-submission meeting as to whether a priority applicant determination would be approved.</w:t>
      </w:r>
    </w:p>
    <w:p w14:paraId="772DC9B0" w14:textId="7E96041B" w:rsidR="000852C0" w:rsidRDefault="003B57D1" w:rsidP="0095560E">
      <w:r>
        <w:t xml:space="preserve">To request a pre-submission meeting complete the </w:t>
      </w:r>
      <w:hyperlink r:id="rId23" w:history="1">
        <w:r w:rsidRPr="00B77BB3">
          <w:rPr>
            <w:rStyle w:val="Hyperlink"/>
          </w:rPr>
          <w:t>Request for pre-submission meeting form</w:t>
        </w:r>
      </w:hyperlink>
      <w:r>
        <w:t>. I</w:t>
      </w:r>
      <w:r w:rsidR="000F36A8">
        <w:t>n the ‘</w:t>
      </w:r>
      <w:r w:rsidRPr="003B57D1">
        <w:t>Subject matter for di</w:t>
      </w:r>
      <w:r w:rsidR="000F36A8">
        <w:t>scussion’</w:t>
      </w:r>
      <w:r>
        <w:t xml:space="preserve"> free text field of this</w:t>
      </w:r>
      <w:r w:rsidRPr="003B57D1">
        <w:t xml:space="preserve"> form</w:t>
      </w:r>
      <w:r>
        <w:t>, indicate that the pre-submission request relates to an application for priority applicant determination for a medical device (or IVD)</w:t>
      </w:r>
      <w:r w:rsidR="00536EFD">
        <w:t>.</w:t>
      </w:r>
    </w:p>
    <w:p w14:paraId="2DC9D8D7" w14:textId="365F0ACA" w:rsidR="003B57D1" w:rsidRDefault="003B57D1" w:rsidP="0095560E">
      <w:r>
        <w:t xml:space="preserve">Email your form to </w:t>
      </w:r>
      <w:hyperlink r:id="rId24" w:history="1">
        <w:r w:rsidRPr="00140C01">
          <w:rPr>
            <w:rStyle w:val="Hyperlink"/>
            <w:lang w:val="en-US" w:eastAsia="en-AU"/>
          </w:rPr>
          <w:t>PriorityDevices@health.gov.au</w:t>
        </w:r>
      </w:hyperlink>
      <w:r>
        <w:t xml:space="preserve"> </w:t>
      </w:r>
      <w:r w:rsidR="000852C0">
        <w:t>with the subject</w:t>
      </w:r>
      <w:r w:rsidR="00B543CC">
        <w:t>: Pre-submission meeting r</w:t>
      </w:r>
      <w:r w:rsidRPr="003B57D1">
        <w:t xml:space="preserve">equest </w:t>
      </w:r>
      <w:r w:rsidR="000852C0">
        <w:t>–</w:t>
      </w:r>
      <w:r w:rsidR="00B77BB3" w:rsidRPr="003B57D1">
        <w:t xml:space="preserve"> priority</w:t>
      </w:r>
      <w:r w:rsidR="00B543CC">
        <w:t xml:space="preserve"> applicant determination for </w:t>
      </w:r>
      <w:r w:rsidR="00EE11A3">
        <w:t xml:space="preserve">(name of </w:t>
      </w:r>
      <w:r w:rsidR="00B543CC">
        <w:t>medical device</w:t>
      </w:r>
      <w:r w:rsidR="00EE11A3">
        <w:t xml:space="preserve"> or IVD)</w:t>
      </w:r>
      <w:r w:rsidR="00B543CC">
        <w:t>.</w:t>
      </w:r>
    </w:p>
    <w:p w14:paraId="626E69CF" w14:textId="6BCE9B55" w:rsidR="0095560E" w:rsidRPr="00C23886" w:rsidRDefault="0095560E" w:rsidP="0095560E">
      <w:r>
        <w:t xml:space="preserve">To maximise the benefit of </w:t>
      </w:r>
      <w:r w:rsidR="00A843D7">
        <w:t xml:space="preserve">a </w:t>
      </w:r>
      <w:r>
        <w:t xml:space="preserve">pre-submission meeting </w:t>
      </w:r>
      <w:r w:rsidR="001942C8">
        <w:t xml:space="preserve">you should </w:t>
      </w:r>
      <w:r>
        <w:t xml:space="preserve">provide us with a </w:t>
      </w:r>
      <w:r w:rsidRPr="00DF64A0">
        <w:rPr>
          <w:b/>
        </w:rPr>
        <w:t>briefing package</w:t>
      </w:r>
      <w:r>
        <w:t xml:space="preserve"> at least </w:t>
      </w:r>
      <w:r w:rsidRPr="00DF64A0">
        <w:rPr>
          <w:b/>
        </w:rPr>
        <w:t>one week prior</w:t>
      </w:r>
      <w:r>
        <w:t xml:space="preserve"> to the meeting that includes:</w:t>
      </w:r>
    </w:p>
    <w:p w14:paraId="40DE2827" w14:textId="36049FBE" w:rsidR="0095560E" w:rsidRDefault="0095560E" w:rsidP="0095560E">
      <w:pPr>
        <w:pStyle w:val="ListBullet"/>
      </w:pPr>
      <w:r w:rsidRPr="00C23886">
        <w:t>an agenda</w:t>
      </w:r>
    </w:p>
    <w:p w14:paraId="25B746F9" w14:textId="3C35673D" w:rsidR="0095560E" w:rsidRDefault="000745A9" w:rsidP="0095560E">
      <w:pPr>
        <w:pStyle w:val="ListBullet"/>
      </w:pPr>
      <w:r>
        <w:t>a draft of your</w:t>
      </w:r>
      <w:r w:rsidR="0095560E" w:rsidRPr="00C23886">
        <w:t xml:space="preserve"> application</w:t>
      </w:r>
    </w:p>
    <w:p w14:paraId="032A7A07" w14:textId="23AA09D3" w:rsidR="0095560E" w:rsidRDefault="0095560E" w:rsidP="0095560E">
      <w:pPr>
        <w:pStyle w:val="ListBullet"/>
      </w:pPr>
      <w:r w:rsidRPr="00C23886">
        <w:t>summaries of relevant supporting documents</w:t>
      </w:r>
    </w:p>
    <w:p w14:paraId="0F982188" w14:textId="1C882F52" w:rsidR="0095560E" w:rsidRPr="00C23886" w:rsidRDefault="0095560E" w:rsidP="0095560E">
      <w:pPr>
        <w:pStyle w:val="ListBullet"/>
      </w:pPr>
      <w:proofErr w:type="gramStart"/>
      <w:r>
        <w:t>highlighted</w:t>
      </w:r>
      <w:proofErr w:type="gramEnd"/>
      <w:r w:rsidRPr="00C23886">
        <w:t xml:space="preserve"> questions that you have for the TGA</w:t>
      </w:r>
      <w:r w:rsidR="001942C8">
        <w:t>.</w:t>
      </w:r>
    </w:p>
    <w:p w14:paraId="05AC672A" w14:textId="518E71BF" w:rsidR="00557D96" w:rsidRDefault="00851794" w:rsidP="007D458B">
      <w:pPr>
        <w:pStyle w:val="Heading3"/>
      </w:pPr>
      <w:bookmarkStart w:id="34" w:name="_Toc55923636"/>
      <w:r>
        <w:lastRenderedPageBreak/>
        <w:t>Lodging an application</w:t>
      </w:r>
      <w:bookmarkEnd w:id="34"/>
    </w:p>
    <w:p w14:paraId="6AB53AC1" w14:textId="08DC06FF" w:rsidR="00140C01" w:rsidRDefault="00140C01" w:rsidP="007D458B">
      <w:pPr>
        <w:keepNext/>
        <w:keepLines/>
        <w:rPr>
          <w:lang w:eastAsia="en-AU"/>
        </w:rPr>
      </w:pPr>
      <w:bookmarkStart w:id="35" w:name="_Toc490818770"/>
      <w:bookmarkStart w:id="36" w:name="_Toc499112007"/>
      <w:r w:rsidRPr="00140C01">
        <w:rPr>
          <w:lang w:eastAsia="en-AU"/>
        </w:rPr>
        <w:t>To apply for a priority applicant determination you will need:</w:t>
      </w:r>
    </w:p>
    <w:p w14:paraId="7C050899" w14:textId="04D9932C" w:rsidR="007D458B" w:rsidRDefault="007D458B" w:rsidP="007D458B">
      <w:pPr>
        <w:pStyle w:val="ListBullet"/>
        <w:rPr>
          <w:lang w:eastAsia="en-AU"/>
        </w:rPr>
      </w:pPr>
      <w:r>
        <w:rPr>
          <w:lang w:eastAsia="en-AU"/>
        </w:rPr>
        <w:t>a</w:t>
      </w:r>
      <w:r w:rsidRPr="00140C01">
        <w:rPr>
          <w:lang w:eastAsia="en-AU"/>
        </w:rPr>
        <w:t xml:space="preserve"> TGA client identification number and access t</w:t>
      </w:r>
      <w:r>
        <w:rPr>
          <w:lang w:eastAsia="en-AU"/>
        </w:rPr>
        <w:t>o the business services portal (n</w:t>
      </w:r>
      <w:r w:rsidRPr="00140C01">
        <w:rPr>
          <w:lang w:eastAsia="en-AU"/>
        </w:rPr>
        <w:t xml:space="preserve">ew sponsors will need </w:t>
      </w:r>
      <w:r w:rsidRPr="007E7B74">
        <w:t>to complete</w:t>
      </w:r>
      <w:r w:rsidRPr="007D458B">
        <w:rPr>
          <w:lang w:val="en" w:eastAsia="en-AU"/>
        </w:rPr>
        <w:t xml:space="preserve"> the </w:t>
      </w:r>
      <w:hyperlink r:id="rId25" w:history="1">
        <w:proofErr w:type="spellStart"/>
        <w:r w:rsidRPr="007D458B">
          <w:rPr>
            <w:rStyle w:val="Hyperlink"/>
            <w:lang w:val="en" w:eastAsia="en-AU"/>
          </w:rPr>
          <w:t>Organisation</w:t>
        </w:r>
        <w:proofErr w:type="spellEnd"/>
        <w:r w:rsidRPr="007D458B">
          <w:rPr>
            <w:rStyle w:val="Hyperlink"/>
            <w:lang w:val="en" w:eastAsia="en-AU"/>
          </w:rPr>
          <w:t xml:space="preserve"> details form</w:t>
        </w:r>
      </w:hyperlink>
      <w:r w:rsidRPr="007D458B">
        <w:rPr>
          <w:lang w:val="en" w:eastAsia="en-AU"/>
        </w:rPr>
        <w:t xml:space="preserve"> and submit to the TGA Business Services helpdesk using the address on the bottom of the form</w:t>
      </w:r>
      <w:r w:rsidRPr="007D458B">
        <w:t>)</w:t>
      </w:r>
    </w:p>
    <w:p w14:paraId="29EFAA5F" w14:textId="3CF08380" w:rsidR="007D458B" w:rsidRPr="007D458B" w:rsidRDefault="007D458B" w:rsidP="007D458B">
      <w:pPr>
        <w:pStyle w:val="ListBullet"/>
        <w:rPr>
          <w:rStyle w:val="Hyperlink"/>
          <w:color w:val="auto"/>
          <w:u w:val="none"/>
          <w:lang w:eastAsia="en-AU"/>
        </w:rPr>
      </w:pPr>
      <w:r w:rsidRPr="00140C01">
        <w:t>a</w:t>
      </w:r>
      <w:r w:rsidRPr="00140C01">
        <w:rPr>
          <w:lang w:eastAsia="en-AU"/>
        </w:rPr>
        <w:t xml:space="preserve"> completed</w:t>
      </w:r>
      <w:r w:rsidRPr="007D458B">
        <w:rPr>
          <w:u w:val="single"/>
          <w:lang w:eastAsia="en-AU"/>
        </w:rPr>
        <w:t xml:space="preserve"> </w:t>
      </w:r>
      <w:hyperlink r:id="rId26" w:history="1">
        <w:r w:rsidRPr="00140C01">
          <w:rPr>
            <w:rStyle w:val="Hyperlink"/>
            <w:lang w:eastAsia="en-AU"/>
          </w:rPr>
          <w:t>application form</w:t>
        </w:r>
      </w:hyperlink>
    </w:p>
    <w:p w14:paraId="71F18C9B" w14:textId="1564EECA" w:rsidR="007D458B" w:rsidRPr="00140C01" w:rsidRDefault="007D458B" w:rsidP="007D458B">
      <w:pPr>
        <w:pStyle w:val="ListBullet"/>
        <w:rPr>
          <w:lang w:eastAsia="en-AU"/>
        </w:rPr>
      </w:pPr>
      <w:proofErr w:type="gramStart"/>
      <w:r>
        <w:rPr>
          <w:lang w:eastAsia="en-AU"/>
        </w:rPr>
        <w:t>r</w:t>
      </w:r>
      <w:r w:rsidRPr="00140C01">
        <w:rPr>
          <w:lang w:eastAsia="en-AU"/>
        </w:rPr>
        <w:t>elevant</w:t>
      </w:r>
      <w:proofErr w:type="gramEnd"/>
      <w:r w:rsidRPr="00140C01">
        <w:rPr>
          <w:lang w:eastAsia="en-AU"/>
        </w:rPr>
        <w:t xml:space="preserve"> </w:t>
      </w:r>
      <w:hyperlink w:anchor="_Supporting_information" w:history="1">
        <w:r w:rsidRPr="00140C01">
          <w:rPr>
            <w:rStyle w:val="Hyperlink"/>
            <w:lang w:eastAsia="en-AU"/>
          </w:rPr>
          <w:t>supporting information</w:t>
        </w:r>
      </w:hyperlink>
      <w:r>
        <w:rPr>
          <w:lang w:eastAsia="en-AU"/>
        </w:rPr>
        <w:t>.</w:t>
      </w:r>
    </w:p>
    <w:p w14:paraId="0479241E" w14:textId="32EF4F7F" w:rsidR="00140C01" w:rsidRPr="00140C01" w:rsidRDefault="00140C01" w:rsidP="00140C01">
      <w:pPr>
        <w:pStyle w:val="ListBullet"/>
        <w:numPr>
          <w:ilvl w:val="0"/>
          <w:numId w:val="0"/>
        </w:numPr>
        <w:rPr>
          <w:lang w:val="en-US" w:eastAsia="en-AU"/>
        </w:rPr>
      </w:pPr>
      <w:r w:rsidRPr="00140C01">
        <w:t>The application form and supporting information</w:t>
      </w:r>
      <w:r w:rsidRPr="00140C01">
        <w:rPr>
          <w:lang w:eastAsia="en-AU"/>
        </w:rPr>
        <w:t xml:space="preserve"> should be submitted via email to </w:t>
      </w:r>
      <w:hyperlink r:id="rId27" w:history="1">
        <w:r w:rsidRPr="00140C01">
          <w:rPr>
            <w:rStyle w:val="Hyperlink"/>
            <w:lang w:val="en-US" w:eastAsia="en-AU"/>
          </w:rPr>
          <w:t>PriorityDevices@health.gov.au</w:t>
        </w:r>
      </w:hyperlink>
      <w:r w:rsidRPr="00140C01">
        <w:rPr>
          <w:lang w:val="en-US" w:eastAsia="en-AU"/>
        </w:rPr>
        <w:t>.</w:t>
      </w:r>
    </w:p>
    <w:p w14:paraId="4EE1A6BE" w14:textId="7A7282F8" w:rsidR="00140C01" w:rsidRPr="00140C01" w:rsidRDefault="00140C01" w:rsidP="007D458B">
      <w:pPr>
        <w:rPr>
          <w:u w:val="single"/>
          <w:lang w:val="en-US" w:eastAsia="en-AU"/>
        </w:rPr>
      </w:pPr>
      <w:r w:rsidRPr="00140C01">
        <w:rPr>
          <w:lang w:val="en-US" w:eastAsia="en-AU"/>
        </w:rPr>
        <w:t>If your application is accepted for assessment, your invoice will follow shortly</w:t>
      </w:r>
      <w:r>
        <w:rPr>
          <w:lang w:val="en-US" w:eastAsia="en-AU"/>
        </w:rPr>
        <w:t xml:space="preserve"> afterwards. A</w:t>
      </w:r>
      <w:r w:rsidRPr="00140C01">
        <w:rPr>
          <w:lang w:val="en-US" w:eastAsia="en-AU"/>
        </w:rPr>
        <w:t xml:space="preserve">ssessment of the application </w:t>
      </w:r>
      <w:r w:rsidR="00A66542">
        <w:t xml:space="preserve">for a priority applicant determination </w:t>
      </w:r>
      <w:r w:rsidRPr="00140C01">
        <w:rPr>
          <w:lang w:val="en-US" w:eastAsia="en-AU"/>
        </w:rPr>
        <w:t>cannot occur until you</w:t>
      </w:r>
      <w:r w:rsidR="007D458B">
        <w:rPr>
          <w:lang w:val="en-US" w:eastAsia="en-AU"/>
        </w:rPr>
        <w:t xml:space="preserve"> have paid the application fee.</w:t>
      </w:r>
    </w:p>
    <w:p w14:paraId="3056FBC7" w14:textId="574E5A9E" w:rsidR="00161EB7" w:rsidRDefault="00E33E42" w:rsidP="00734146">
      <w:pPr>
        <w:pStyle w:val="Heading3"/>
      </w:pPr>
      <w:bookmarkStart w:id="37" w:name="_Supporting_information"/>
      <w:bookmarkStart w:id="38" w:name="_Toc55923637"/>
      <w:bookmarkEnd w:id="35"/>
      <w:bookmarkEnd w:id="36"/>
      <w:bookmarkEnd w:id="37"/>
      <w:r>
        <w:t xml:space="preserve">Supporting </w:t>
      </w:r>
      <w:r w:rsidR="00BB56A1">
        <w:t>information</w:t>
      </w:r>
      <w:bookmarkEnd w:id="38"/>
    </w:p>
    <w:p w14:paraId="6538C2A6" w14:textId="37F8CBE8" w:rsidR="00791627" w:rsidRDefault="006C1597" w:rsidP="007D458B">
      <w:r>
        <w:t xml:space="preserve">Your application must </w:t>
      </w:r>
      <w:r w:rsidR="000143FF">
        <w:t>be accompanied by</w:t>
      </w:r>
      <w:r>
        <w:t xml:space="preserve"> written information in such detail as is reasonably necessary to allow the applicat</w:t>
      </w:r>
      <w:r w:rsidR="007E7B74">
        <w:t xml:space="preserve">ion to be properly considered. </w:t>
      </w:r>
      <w:r w:rsidR="006F6280" w:rsidRPr="006F6280">
        <w:t xml:space="preserve">Supporting </w:t>
      </w:r>
      <w:r w:rsidR="00BB56A1">
        <w:t>inform</w:t>
      </w:r>
      <w:r w:rsidR="00BB56A1" w:rsidRPr="006F6280">
        <w:t xml:space="preserve">ation </w:t>
      </w:r>
      <w:r w:rsidR="006F6280" w:rsidRPr="006F6280">
        <w:t xml:space="preserve">can be </w:t>
      </w:r>
      <w:r w:rsidR="000E2003">
        <w:t>provided</w:t>
      </w:r>
      <w:r w:rsidR="000E2003" w:rsidRPr="006F6280">
        <w:t xml:space="preserve"> </w:t>
      </w:r>
      <w:r w:rsidR="006F6280" w:rsidRPr="006F6280">
        <w:t>as attachments</w:t>
      </w:r>
      <w:r w:rsidR="00592591">
        <w:t>, using the format outlined in t</w:t>
      </w:r>
      <w:r w:rsidR="00592591" w:rsidRPr="006F6280">
        <w:t xml:space="preserve">he </w:t>
      </w:r>
      <w:r w:rsidR="00592591">
        <w:t xml:space="preserve">TGA’s </w:t>
      </w:r>
      <w:hyperlink r:id="rId28" w:history="1">
        <w:r w:rsidR="00592591" w:rsidRPr="00F83BC4">
          <w:rPr>
            <w:rStyle w:val="Hyperlink"/>
          </w:rPr>
          <w:t>General dossier requirements</w:t>
        </w:r>
      </w:hyperlink>
      <w:r w:rsidR="00592591" w:rsidRPr="006F6280">
        <w:t>.</w:t>
      </w:r>
    </w:p>
    <w:p w14:paraId="1405C8B4" w14:textId="78D2ECCE" w:rsidR="006F6280" w:rsidRPr="009F092C" w:rsidRDefault="00791627" w:rsidP="007D458B">
      <w:r>
        <w:t xml:space="preserve">Supporting </w:t>
      </w:r>
      <w:r w:rsidR="00BB56A1">
        <w:t>information</w:t>
      </w:r>
      <w:r>
        <w:t xml:space="preserve"> </w:t>
      </w:r>
      <w:r w:rsidR="00BB56A1">
        <w:t xml:space="preserve">generally includes a document that </w:t>
      </w:r>
      <w:hyperlink w:anchor="_Addressing_the_criteria" w:history="1">
        <w:r w:rsidR="00BB56A1" w:rsidRPr="005842E0">
          <w:rPr>
            <w:rStyle w:val="Hyperlink"/>
          </w:rPr>
          <w:t xml:space="preserve">addresses </w:t>
        </w:r>
        <w:r w:rsidR="00D44A69" w:rsidRPr="005842E0">
          <w:rPr>
            <w:rStyle w:val="Hyperlink"/>
          </w:rPr>
          <w:t>all</w:t>
        </w:r>
        <w:r w:rsidR="00BB56A1" w:rsidRPr="005842E0">
          <w:rPr>
            <w:rStyle w:val="Hyperlink"/>
          </w:rPr>
          <w:t xml:space="preserve"> three criteria</w:t>
        </w:r>
      </w:hyperlink>
      <w:r w:rsidR="00BB56A1">
        <w:t xml:space="preserve"> </w:t>
      </w:r>
      <w:r w:rsidR="005D2773">
        <w:t>plus any other</w:t>
      </w:r>
      <w:r w:rsidR="00593981">
        <w:t xml:space="preserve"> relevant information, including</w:t>
      </w:r>
      <w:r w:rsidR="00BB56A1">
        <w:t xml:space="preserve"> </w:t>
      </w:r>
      <w:r w:rsidRPr="000E28F5">
        <w:rPr>
          <w:b/>
        </w:rPr>
        <w:t>summaries</w:t>
      </w:r>
      <w:r>
        <w:t xml:space="preserve"> of</w:t>
      </w:r>
      <w:r w:rsidR="006F6280" w:rsidRPr="009F092C">
        <w:t>:</w:t>
      </w:r>
    </w:p>
    <w:p w14:paraId="7816BA8F" w14:textId="709A4180" w:rsidR="00593981" w:rsidRPr="007E7B74" w:rsidRDefault="00593981" w:rsidP="007E7B74">
      <w:pPr>
        <w:pStyle w:val="ListBullet"/>
      </w:pPr>
      <w:r w:rsidRPr="007E7B74">
        <w:t>relevant</w:t>
      </w:r>
      <w:r w:rsidR="007E7B74" w:rsidRPr="007E7B74">
        <w:t xml:space="preserve"> background discussion and data</w:t>
      </w:r>
    </w:p>
    <w:p w14:paraId="3CF158D7" w14:textId="2AF1B698" w:rsidR="006F6280" w:rsidRPr="007E7B74" w:rsidRDefault="00AF1964" w:rsidP="007E7B74">
      <w:pPr>
        <w:pStyle w:val="ListBullet"/>
      </w:pPr>
      <w:r w:rsidRPr="007E7B74">
        <w:t xml:space="preserve">clinical </w:t>
      </w:r>
      <w:r w:rsidR="00593981" w:rsidRPr="007E7B74">
        <w:t xml:space="preserve">investigations </w:t>
      </w:r>
      <w:r w:rsidR="00BB56A1" w:rsidRPr="007E7B74">
        <w:t>(summaries of study reports</w:t>
      </w:r>
      <w:r w:rsidR="0072792F" w:rsidRPr="007E7B74">
        <w:t xml:space="preserve"> or resultant peer reviewed articles</w:t>
      </w:r>
      <w:r w:rsidR="00BB56A1" w:rsidRPr="007E7B74">
        <w:t>)</w:t>
      </w:r>
      <w:r w:rsidRPr="007E7B74">
        <w:t xml:space="preserve"> provid</w:t>
      </w:r>
      <w:r w:rsidR="00593981" w:rsidRPr="007E7B74">
        <w:t>ing</w:t>
      </w:r>
      <w:r w:rsidRPr="007E7B74">
        <w:t xml:space="preserve"> support </w:t>
      </w:r>
      <w:r w:rsidR="005711FA" w:rsidRPr="007E7B74">
        <w:t>with reference to</w:t>
      </w:r>
      <w:r w:rsidR="00286065" w:rsidRPr="007E7B74">
        <w:t xml:space="preserve"> </w:t>
      </w:r>
      <w:r w:rsidRPr="007E7B74">
        <w:t>the</w:t>
      </w:r>
      <w:r w:rsidR="009F092C" w:rsidRPr="007E7B74">
        <w:t xml:space="preserve"> relevant criteria</w:t>
      </w:r>
    </w:p>
    <w:p w14:paraId="29F11EAA" w14:textId="75D3D998" w:rsidR="00791627" w:rsidRPr="007E7B74" w:rsidRDefault="006F6280" w:rsidP="007D458B">
      <w:pPr>
        <w:pStyle w:val="ListBullet"/>
      </w:pPr>
      <w:proofErr w:type="gramStart"/>
      <w:r w:rsidRPr="007E7B74">
        <w:t>other</w:t>
      </w:r>
      <w:proofErr w:type="gramEnd"/>
      <w:r w:rsidRPr="007E7B74">
        <w:t xml:space="preserve"> important safety </w:t>
      </w:r>
      <w:r w:rsidR="00593981" w:rsidRPr="007E7B74">
        <w:t xml:space="preserve">and performance </w:t>
      </w:r>
      <w:r w:rsidRPr="007E7B74">
        <w:t>data obtained in the preclinical and</w:t>
      </w:r>
      <w:r w:rsidR="00593981" w:rsidRPr="007E7B74">
        <w:t>/or</w:t>
      </w:r>
      <w:r w:rsidRPr="007E7B74">
        <w:t xml:space="preserve"> clinical setting</w:t>
      </w:r>
      <w:r w:rsidR="00593981" w:rsidRPr="007E7B74">
        <w:t>.</w:t>
      </w:r>
    </w:p>
    <w:p w14:paraId="11E9F378" w14:textId="65FA8905" w:rsidR="006F6280" w:rsidRPr="009F092C" w:rsidRDefault="00791627" w:rsidP="007D458B">
      <w:r>
        <w:t xml:space="preserve">The supporting information (separate from the application form) should ideally </w:t>
      </w:r>
      <w:r w:rsidRPr="000E28F5">
        <w:rPr>
          <w:b/>
        </w:rPr>
        <w:t>not exceed</w:t>
      </w:r>
      <w:r>
        <w:t xml:space="preserve"> </w:t>
      </w:r>
      <w:r>
        <w:rPr>
          <w:b/>
        </w:rPr>
        <w:t>2</w:t>
      </w:r>
      <w:r w:rsidRPr="00835677">
        <w:rPr>
          <w:b/>
        </w:rPr>
        <w:t>0 pages</w:t>
      </w:r>
      <w: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4585E" w:rsidRPr="00215D48" w14:paraId="0D2A6893" w14:textId="77777777" w:rsidTr="00104A45">
        <w:trPr>
          <w:trHeight w:val="838"/>
        </w:trPr>
        <w:tc>
          <w:tcPr>
            <w:tcW w:w="1276" w:type="dxa"/>
            <w:vAlign w:val="center"/>
          </w:tcPr>
          <w:p w14:paraId="572E0162" w14:textId="77777777" w:rsidR="0004585E" w:rsidRPr="00215D48" w:rsidRDefault="0004585E" w:rsidP="00024A68">
            <w:pPr>
              <w:spacing w:before="0"/>
              <w:rPr>
                <w:sz w:val="20"/>
              </w:rPr>
            </w:pPr>
            <w:r w:rsidRPr="00215D48">
              <w:rPr>
                <w:noProof/>
                <w:sz w:val="20"/>
                <w:lang w:eastAsia="en-AU"/>
              </w:rPr>
              <w:drawing>
                <wp:inline distT="0" distB="0" distL="0" distR="0" wp14:anchorId="0A8FB218" wp14:editId="45AFEA5B">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348C807F" w14:textId="20BC31EA" w:rsidR="0004585E" w:rsidRPr="007414F4" w:rsidRDefault="0004585E" w:rsidP="007D458B">
            <w:r w:rsidRPr="007414F4">
              <w:t xml:space="preserve">The application, including attachments, should </w:t>
            </w:r>
            <w:r w:rsidR="00EB0FFA" w:rsidRPr="007414F4">
              <w:t>be concise.</w:t>
            </w:r>
            <w:r w:rsidRPr="007414F4">
              <w:t xml:space="preserve"> Do not include full clinical </w:t>
            </w:r>
            <w:r w:rsidR="00276F13" w:rsidRPr="007414F4">
              <w:t xml:space="preserve">or technical </w:t>
            </w:r>
            <w:r w:rsidRPr="007414F4">
              <w:t>reports.</w:t>
            </w:r>
          </w:p>
        </w:tc>
      </w:tr>
    </w:tbl>
    <w:p w14:paraId="31C4BAEC" w14:textId="51AD03A7" w:rsidR="007737C6" w:rsidRDefault="007737C6" w:rsidP="006246F0">
      <w:pPr>
        <w:pStyle w:val="Heading3"/>
      </w:pPr>
      <w:bookmarkStart w:id="39" w:name="_Toc55923638"/>
      <w:r>
        <w:t>Ensuring your application is complete</w:t>
      </w:r>
      <w:bookmarkEnd w:id="39"/>
    </w:p>
    <w:p w14:paraId="4C16C750" w14:textId="02D5FB1F" w:rsidR="00253103" w:rsidRDefault="00253103" w:rsidP="007D458B">
      <w:r>
        <w:t>Please ensure your application</w:t>
      </w:r>
      <w:r w:rsidR="00645322">
        <w:t xml:space="preserve"> for a priority applicant determination</w:t>
      </w:r>
      <w:r>
        <w:t xml:space="preserve"> is complete. </w:t>
      </w:r>
      <w:r w:rsidR="00F47652">
        <w:t>As the TGA aims to assess applications within a rel</w:t>
      </w:r>
      <w:r w:rsidR="00E95AC2">
        <w:t xml:space="preserve">atively short time period (see </w:t>
      </w:r>
      <w:hyperlink w:anchor="_Timeframe" w:history="1">
        <w:r w:rsidR="00E95AC2" w:rsidRPr="00E95AC2">
          <w:rPr>
            <w:rStyle w:val="Hyperlink"/>
          </w:rPr>
          <w:t>Timeframe</w:t>
        </w:r>
      </w:hyperlink>
      <w:r w:rsidR="00F47652">
        <w:t>)</w:t>
      </w:r>
      <w:r>
        <w:t xml:space="preserve">, there is limited capacity for the TGA to seek additional information and clarification from applicants. Uncertainties should be addressed at </w:t>
      </w:r>
      <w:r w:rsidR="00B06C97">
        <w:t xml:space="preserve">a </w:t>
      </w:r>
      <w:r>
        <w:t>pre-submission meeting.</w:t>
      </w:r>
    </w:p>
    <w:p w14:paraId="06BEB17A" w14:textId="021CE8C1" w:rsidR="007414F4" w:rsidRDefault="007737C6" w:rsidP="007D458B">
      <w:r>
        <w:t>The following additional details, i</w:t>
      </w:r>
      <w:r w:rsidR="007414F4">
        <w:t xml:space="preserve">f relevant, </w:t>
      </w:r>
      <w:r>
        <w:t>should be included in your application</w:t>
      </w:r>
      <w:r w:rsidR="007414F4">
        <w:t>:</w:t>
      </w:r>
    </w:p>
    <w:p w14:paraId="2EFA7A1D" w14:textId="0452F34C" w:rsidR="006F6280" w:rsidRPr="006F6280" w:rsidRDefault="00705AFC" w:rsidP="007D458B">
      <w:pPr>
        <w:pStyle w:val="ListBullet"/>
      </w:pPr>
      <w:r>
        <w:t>Whether</w:t>
      </w:r>
      <w:r w:rsidR="006F6280" w:rsidRPr="006F6280">
        <w:t xml:space="preserve"> </w:t>
      </w:r>
      <w:r w:rsidR="005842E0">
        <w:t>you have submitted or are</w:t>
      </w:r>
      <w:r w:rsidR="00606676">
        <w:t xml:space="preserve"> planning to submit, any other related applications regarding</w:t>
      </w:r>
      <w:r w:rsidR="006F6280" w:rsidRPr="006F6280">
        <w:t xml:space="preserve"> </w:t>
      </w:r>
      <w:r w:rsidR="00606676">
        <w:t>therapeutic goods.</w:t>
      </w:r>
    </w:p>
    <w:p w14:paraId="5A2B728A" w14:textId="75AF42D5" w:rsidR="006F6280" w:rsidRPr="00CF022C" w:rsidRDefault="00705AFC" w:rsidP="007414F4">
      <w:pPr>
        <w:pStyle w:val="ListBullet"/>
      </w:pPr>
      <w:r>
        <w:lastRenderedPageBreak/>
        <w:t>C</w:t>
      </w:r>
      <w:r w:rsidR="006F6280" w:rsidRPr="006F6280">
        <w:t>onfirm</w:t>
      </w:r>
      <w:r w:rsidR="007414F4">
        <w:t>ation</w:t>
      </w:r>
      <w:r w:rsidR="006F6280" w:rsidRPr="006F6280">
        <w:t xml:space="preserve"> that</w:t>
      </w:r>
      <w:r w:rsidR="005229D3">
        <w:t xml:space="preserve"> the intention is that</w:t>
      </w:r>
      <w:r w:rsidR="006F6280" w:rsidRPr="006F6280">
        <w:t xml:space="preserve"> an application for conformity assessment</w:t>
      </w:r>
      <w:r w:rsidR="009F092C">
        <w:t xml:space="preserve"> or ARTG inclusion</w:t>
      </w:r>
      <w:r w:rsidR="006F6280" w:rsidRPr="006F6280">
        <w:t xml:space="preserve"> </w:t>
      </w:r>
      <w:r w:rsidR="00BB56A1">
        <w:t>will</w:t>
      </w:r>
      <w:r w:rsidR="006F6280" w:rsidRPr="006F6280">
        <w:t xml:space="preserve"> be submitted within 6 months of</w:t>
      </w:r>
      <w:r w:rsidR="006F6280" w:rsidRPr="00CF022C">
        <w:t xml:space="preserve"> </w:t>
      </w:r>
      <w:r w:rsidR="005229D3">
        <w:t xml:space="preserve">notification of </w:t>
      </w:r>
      <w:r w:rsidR="00645322">
        <w:t>a</w:t>
      </w:r>
      <w:r w:rsidR="00B12B13">
        <w:t xml:space="preserve"> priority applicant </w:t>
      </w:r>
      <w:r w:rsidR="006F6280" w:rsidRPr="00CF022C">
        <w:t>de</w:t>
      </w:r>
      <w:r w:rsidR="003D63AF">
        <w:t>termination</w:t>
      </w:r>
      <w:r w:rsidR="00B12B13">
        <w:t xml:space="preserve"> having been made</w:t>
      </w:r>
      <w:r w:rsidR="005229D3">
        <w:t xml:space="preserve"> </w:t>
      </w:r>
      <w:r w:rsidR="005229D3" w:rsidRPr="00700146">
        <w:rPr>
          <w:b/>
        </w:rPr>
        <w:t>OR</w:t>
      </w:r>
      <w:r w:rsidR="005229D3">
        <w:t xml:space="preserve"> </w:t>
      </w:r>
      <w:r w:rsidR="005842E0">
        <w:t>confirmation of whether</w:t>
      </w:r>
      <w:r w:rsidR="005229D3">
        <w:t xml:space="preserve"> you have already made an application for conformity assessment or</w:t>
      </w:r>
      <w:r w:rsidR="000A741D">
        <w:t xml:space="preserve"> ARTG</w:t>
      </w:r>
      <w:r w:rsidR="005842E0">
        <w:t xml:space="preserve"> inclusion</w:t>
      </w:r>
      <w:r w:rsidR="000A741D">
        <w:t>.</w:t>
      </w:r>
    </w:p>
    <w:p w14:paraId="4FD60753" w14:textId="1F3E1DEB" w:rsidR="000E2003" w:rsidRPr="00CF022C" w:rsidRDefault="00705AFC" w:rsidP="007414F4">
      <w:pPr>
        <w:pStyle w:val="ListBullet"/>
      </w:pPr>
      <w:r>
        <w:t>If</w:t>
      </w:r>
      <w:r w:rsidR="000E2003" w:rsidRPr="00CF022C">
        <w:t xml:space="preserve"> you have regulatory approvals from other ju</w:t>
      </w:r>
      <w:r w:rsidR="007414F4">
        <w:t>risdictions</w:t>
      </w:r>
      <w:r w:rsidR="005711FA">
        <w:t>.</w:t>
      </w:r>
    </w:p>
    <w:p w14:paraId="4AB48890" w14:textId="77777777" w:rsidR="00C771BB" w:rsidRPr="00404F93" w:rsidRDefault="00C771BB" w:rsidP="00C771BB">
      <w:pPr>
        <w:pStyle w:val="Heading3"/>
      </w:pPr>
      <w:bookmarkStart w:id="40" w:name="_Toc55923639"/>
      <w:r>
        <w:t>Fees</w:t>
      </w:r>
      <w:bookmarkEnd w:id="40"/>
    </w:p>
    <w:p w14:paraId="0AE7EA9C" w14:textId="45FC1933" w:rsidR="00C771BB" w:rsidRDefault="00C771BB" w:rsidP="007D458B">
      <w:r>
        <w:t xml:space="preserve">Once you have </w:t>
      </w:r>
      <w:r w:rsidRPr="003E5E0E">
        <w:t>emailed us your application</w:t>
      </w:r>
      <w:r w:rsidR="00A66542">
        <w:t>,</w:t>
      </w:r>
      <w:r>
        <w:t xml:space="preserve"> you will be sent an invoice for the fee which must be paid before we begin assessing your application. </w:t>
      </w:r>
      <w:r w:rsidRPr="00404F93">
        <w:t>Payments can be made</w:t>
      </w:r>
      <w:r>
        <w:t xml:space="preserve"> via EFT, credit card (preferred) or cheque, and instructions on how to pay will be provided with the invoice.</w:t>
      </w:r>
    </w:p>
    <w:p w14:paraId="7E202488" w14:textId="6C21FDE0" w:rsidR="00C771BB" w:rsidRDefault="00C771BB" w:rsidP="007D458B">
      <w:r>
        <w:t xml:space="preserve">For the current priority applicant determination fee for a conformity assessment (priority applicant) determination or for a medical devices (priority applicant) determination, refer to the </w:t>
      </w:r>
      <w:hyperlink r:id="rId29" w:history="1">
        <w:r w:rsidRPr="00440EC0">
          <w:rPr>
            <w:rStyle w:val="Hyperlink"/>
          </w:rPr>
          <w:t>Schedule of fees and charges</w:t>
        </w:r>
      </w:hyperlink>
      <w:r w:rsidR="00705AFC">
        <w:rPr>
          <w:rStyle w:val="Hyperlink"/>
        </w:rP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771BB" w:rsidRPr="00215D48" w14:paraId="60AF4103" w14:textId="77777777" w:rsidTr="00E11448">
        <w:trPr>
          <w:trHeight w:val="617"/>
        </w:trPr>
        <w:tc>
          <w:tcPr>
            <w:tcW w:w="1276" w:type="dxa"/>
            <w:vAlign w:val="center"/>
          </w:tcPr>
          <w:p w14:paraId="322668A6" w14:textId="77777777" w:rsidR="00C771BB" w:rsidRPr="00215D48" w:rsidRDefault="00C771BB" w:rsidP="00E11448">
            <w:pPr>
              <w:spacing w:before="0"/>
              <w:rPr>
                <w:sz w:val="20"/>
              </w:rPr>
            </w:pPr>
            <w:r w:rsidRPr="00215D48">
              <w:rPr>
                <w:noProof/>
                <w:sz w:val="20"/>
                <w:lang w:eastAsia="en-AU"/>
              </w:rPr>
              <w:drawing>
                <wp:inline distT="0" distB="0" distL="0" distR="0" wp14:anchorId="38732CA1" wp14:editId="3583DE5A">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68969DF" w14:textId="77777777" w:rsidR="00C771BB" w:rsidRPr="0095560E" w:rsidRDefault="00C771BB" w:rsidP="007D458B">
            <w:r w:rsidRPr="0095560E">
              <w:t>Do not send payment before you receive an invoice from us.</w:t>
            </w:r>
          </w:p>
        </w:tc>
      </w:tr>
    </w:tbl>
    <w:p w14:paraId="3E5E085A" w14:textId="0EC7E955" w:rsidR="00C771BB" w:rsidRDefault="00C771BB" w:rsidP="007D458B">
      <w:r w:rsidRPr="008C55B0">
        <w:t xml:space="preserve">We </w:t>
      </w:r>
      <w:r w:rsidRPr="00571E25">
        <w:rPr>
          <w:b/>
        </w:rPr>
        <w:t>do not</w:t>
      </w:r>
      <w:r w:rsidRPr="00571E25">
        <w:t xml:space="preserve"> refund</w:t>
      </w:r>
      <w:r>
        <w:t xml:space="preserve"> </w:t>
      </w:r>
      <w:r w:rsidRPr="00571E25">
        <w:t>fees for applications</w:t>
      </w:r>
      <w:r w:rsidRPr="008C55B0">
        <w:t xml:space="preserve"> that are withdrawn before </w:t>
      </w:r>
      <w:r>
        <w:t>a</w:t>
      </w:r>
      <w:r w:rsidRPr="008C55B0">
        <w:t xml:space="preserve"> decision is made</w:t>
      </w:r>
      <w:r>
        <w:t>,</w:t>
      </w:r>
      <w:r w:rsidRPr="008C55B0">
        <w:t xml:space="preserve"> or </w:t>
      </w:r>
      <w:r>
        <w:t>where the delegate refuses to make the pri</w:t>
      </w:r>
      <w:r w:rsidR="007D458B">
        <w:t>ority applicant determination.</w:t>
      </w:r>
    </w:p>
    <w:p w14:paraId="1C70867D" w14:textId="18BD9534" w:rsidR="00604E34" w:rsidRPr="00404F93" w:rsidRDefault="00604E34" w:rsidP="007D458B">
      <w:pPr>
        <w:pStyle w:val="Heading3"/>
      </w:pPr>
      <w:bookmarkStart w:id="41" w:name="_Toc55923640"/>
      <w:r w:rsidRPr="00404F93">
        <w:t>Withdrawing your application</w:t>
      </w:r>
      <w:bookmarkEnd w:id="41"/>
    </w:p>
    <w:p w14:paraId="23E42701" w14:textId="4E9D8BDD" w:rsidR="00604E34" w:rsidRPr="00404F93" w:rsidRDefault="00604E34" w:rsidP="007D458B">
      <w:r w:rsidRPr="00404F93">
        <w:t>Y</w:t>
      </w:r>
      <w:r>
        <w:t>ou may withdraw your</w:t>
      </w:r>
      <w:r w:rsidRPr="00404F93">
        <w:t xml:space="preserve"> application</w:t>
      </w:r>
      <w:r>
        <w:t xml:space="preserve"> for </w:t>
      </w:r>
      <w:r w:rsidR="002B3D3C">
        <w:t xml:space="preserve">a </w:t>
      </w:r>
      <w:r>
        <w:t>priority</w:t>
      </w:r>
      <w:r w:rsidR="002B3D3C">
        <w:t xml:space="preserve"> applicant</w:t>
      </w:r>
      <w:r>
        <w:t xml:space="preserve"> determination</w:t>
      </w:r>
      <w:r w:rsidRPr="00404F93">
        <w:t xml:space="preserve"> at any time before w</w:t>
      </w:r>
      <w:r>
        <w:t xml:space="preserve">e </w:t>
      </w:r>
      <w:r w:rsidR="0010100D">
        <w:t xml:space="preserve">make </w:t>
      </w:r>
      <w:r>
        <w:t>a decision</w:t>
      </w:r>
      <w:r w:rsidR="0010100D">
        <w:t xml:space="preserve"> on your application</w:t>
      </w:r>
      <w:r>
        <w:t>.</w:t>
      </w:r>
    </w:p>
    <w:p w14:paraId="02B910AF" w14:textId="77777777" w:rsidR="00604E34" w:rsidRPr="00404F93" w:rsidRDefault="00604E34" w:rsidP="007D458B">
      <w:r w:rsidRPr="00404F93">
        <w:t xml:space="preserve">To withdraw the application, email </w:t>
      </w:r>
      <w:hyperlink r:id="rId30" w:history="1">
        <w:r w:rsidRPr="005474CB">
          <w:rPr>
            <w:rStyle w:val="Hyperlink"/>
          </w:rPr>
          <w:t>PriorityDevices@health.gov.au</w:t>
        </w:r>
      </w:hyperlink>
      <w:r>
        <w:t xml:space="preserve"> and</w:t>
      </w:r>
      <w:r w:rsidRPr="00404F93">
        <w:t xml:space="preserve"> include:</w:t>
      </w:r>
    </w:p>
    <w:p w14:paraId="10C1A959" w14:textId="5F5D002F" w:rsidR="00604E34" w:rsidRPr="00CF022C" w:rsidRDefault="00604E34" w:rsidP="007D458B">
      <w:pPr>
        <w:pStyle w:val="ListBullet"/>
      </w:pPr>
      <w:r>
        <w:t>a</w:t>
      </w:r>
      <w:r w:rsidRPr="00404F93">
        <w:t xml:space="preserve"> statement that you wish to withdr</w:t>
      </w:r>
      <w:r w:rsidRPr="00CF022C">
        <w:t xml:space="preserve">aw </w:t>
      </w:r>
      <w:r w:rsidR="0010100D">
        <w:t>your</w:t>
      </w:r>
      <w:r w:rsidRPr="00CF022C">
        <w:t xml:space="preserve"> </w:t>
      </w:r>
      <w:r>
        <w:t>priority applicant determination</w:t>
      </w:r>
      <w:r w:rsidRPr="00CF022C">
        <w:t xml:space="preserve"> application</w:t>
      </w:r>
    </w:p>
    <w:p w14:paraId="708A6F68" w14:textId="744A7B53" w:rsidR="00604E34" w:rsidRDefault="00604E34" w:rsidP="00604E34">
      <w:pPr>
        <w:pStyle w:val="ListBullet"/>
      </w:pPr>
      <w:r>
        <w:t>t</w:t>
      </w:r>
      <w:r w:rsidRPr="00CF022C">
        <w:t xml:space="preserve">he </w:t>
      </w:r>
      <w:r>
        <w:t>applicant</w:t>
      </w:r>
      <w:r w:rsidRPr="00CF022C">
        <w:t>’s name</w:t>
      </w:r>
    </w:p>
    <w:p w14:paraId="09E0E2D8" w14:textId="3207975A" w:rsidR="00604E34" w:rsidRPr="00CF022C" w:rsidRDefault="00604E34" w:rsidP="00604E34">
      <w:pPr>
        <w:pStyle w:val="ListBullet"/>
      </w:pPr>
      <w:proofErr w:type="gramStart"/>
      <w:r>
        <w:t>the</w:t>
      </w:r>
      <w:proofErr w:type="gramEnd"/>
      <w:r>
        <w:t xml:space="preserve"> device name</w:t>
      </w:r>
      <w:r w:rsidR="00EE2007">
        <w:t>.</w:t>
      </w:r>
    </w:p>
    <w:p w14:paraId="27AA094A" w14:textId="5E1682ED" w:rsidR="00604E34" w:rsidRDefault="00EE2007" w:rsidP="007D458B">
      <w:r>
        <w:t>As noted above, w</w:t>
      </w:r>
      <w:r w:rsidR="00604E34" w:rsidRPr="00404F93">
        <w:t xml:space="preserve">ithdrawn applications are </w:t>
      </w:r>
      <w:r w:rsidR="00604E34" w:rsidRPr="00276F13">
        <w:rPr>
          <w:b/>
        </w:rPr>
        <w:t>not eligible for a refund</w:t>
      </w:r>
      <w:r w:rsidR="00604E34" w:rsidRPr="00404F93">
        <w:t xml:space="preserve"> of the </w:t>
      </w:r>
      <w:r w:rsidR="00604E34">
        <w:t>priority applicant determination</w:t>
      </w:r>
      <w:r w:rsidR="00604E34" w:rsidRPr="00404F93">
        <w:t xml:space="preserve"> fee</w:t>
      </w:r>
      <w:r>
        <w:t>.</w:t>
      </w:r>
    </w:p>
    <w:p w14:paraId="3210B392" w14:textId="25FA1B11" w:rsidR="004422F6" w:rsidRPr="003E5E0E" w:rsidRDefault="00604E34" w:rsidP="007D458B">
      <w:pPr>
        <w:pStyle w:val="Heading3"/>
      </w:pPr>
      <w:bookmarkStart w:id="42" w:name="_Toc55923641"/>
      <w:r w:rsidRPr="003E5E0E">
        <w:t>Special cases</w:t>
      </w:r>
      <w:r w:rsidR="009F7C4B">
        <w:t xml:space="preserve"> - including</w:t>
      </w:r>
      <w:r w:rsidRPr="003E5E0E">
        <w:t xml:space="preserve"> </w:t>
      </w:r>
      <w:r w:rsidR="009F7C4B">
        <w:t>m</w:t>
      </w:r>
      <w:r w:rsidR="00C320D3" w:rsidRPr="003E5E0E">
        <w:t>ultiple devices</w:t>
      </w:r>
      <w:r w:rsidR="004422F6" w:rsidRPr="003E5E0E">
        <w:t xml:space="preserve"> </w:t>
      </w:r>
      <w:r w:rsidR="001E0FC2" w:rsidRPr="003E5E0E">
        <w:t>and change applications</w:t>
      </w:r>
      <w:bookmarkEnd w:id="42"/>
    </w:p>
    <w:p w14:paraId="0BC51080" w14:textId="6BC944D9" w:rsidR="00ED2AE6" w:rsidRDefault="00ED2AE6" w:rsidP="007D458B">
      <w:pPr>
        <w:pStyle w:val="Heading4"/>
      </w:pPr>
      <w:bookmarkStart w:id="43" w:name="_Toc55923642"/>
      <w:r>
        <w:t>Multiple devices</w:t>
      </w:r>
      <w:bookmarkEnd w:id="43"/>
    </w:p>
    <w:p w14:paraId="477FA030" w14:textId="6B176AF3" w:rsidR="00BB56A1" w:rsidRPr="003E5E0E" w:rsidRDefault="00C320D3" w:rsidP="007D458B">
      <w:r w:rsidRPr="003E5E0E">
        <w:t>Where an applicant seeks priority applicant determination</w:t>
      </w:r>
      <w:r w:rsidR="0010100D">
        <w:t>s</w:t>
      </w:r>
      <w:r w:rsidRPr="003E5E0E">
        <w:t xml:space="preserve"> for more than o</w:t>
      </w:r>
      <w:r w:rsidR="00705AFC">
        <w:t xml:space="preserve">ne device in the same lineage </w:t>
      </w:r>
      <w:r w:rsidR="00FD0370">
        <w:t>(</w:t>
      </w:r>
      <w:r w:rsidR="00FD0370" w:rsidRPr="003E5E0E">
        <w:t>a</w:t>
      </w:r>
      <w:r w:rsidRPr="003E5E0E">
        <w:t xml:space="preserve"> predicate device) or family (similar device), this will generally require separate applications and</w:t>
      </w:r>
      <w:r w:rsidR="000143FF">
        <w:t xml:space="preserve"> the payment of</w:t>
      </w:r>
      <w:r w:rsidRPr="003E5E0E">
        <w:t xml:space="preserve"> separate application fees (full amounts).</w:t>
      </w:r>
    </w:p>
    <w:p w14:paraId="5A892BCD" w14:textId="22961EBD" w:rsidR="00ED2AE6" w:rsidRDefault="00C320D3" w:rsidP="007D458B">
      <w:r w:rsidRPr="003E5E0E">
        <w:t>Likewise, where an applicant seeks priority applicant determination for multiple devices that are designed to be used together</w:t>
      </w:r>
      <w:r w:rsidR="00191440" w:rsidRPr="003E5E0E">
        <w:t xml:space="preserve"> for the same intended purpose</w:t>
      </w:r>
      <w:r w:rsidRPr="003E5E0E">
        <w:t xml:space="preserve">, this </w:t>
      </w:r>
      <w:r w:rsidR="00191440" w:rsidRPr="003E5E0E">
        <w:t>may</w:t>
      </w:r>
      <w:r w:rsidRPr="003E5E0E">
        <w:t xml:space="preserve"> require separate applications</w:t>
      </w:r>
      <w:r w:rsidR="00705AFC">
        <w:t xml:space="preserve"> to</w:t>
      </w:r>
      <w:r w:rsidRPr="003E5E0E">
        <w:t xml:space="preserve"> be submitted</w:t>
      </w:r>
      <w:r w:rsidR="007D458B">
        <w:t>.</w:t>
      </w:r>
    </w:p>
    <w:p w14:paraId="597A6B0C" w14:textId="1DC64671" w:rsidR="00191440" w:rsidRPr="003E5E0E" w:rsidRDefault="00191440" w:rsidP="007D458B">
      <w:r w:rsidRPr="003E5E0E">
        <w:lastRenderedPageBreak/>
        <w:t>However, if the same clinical datasets provide the evidence base for multiple devices, then discussion with the TGA prior to submission is recommended to determine the optimal approach.</w:t>
      </w:r>
    </w:p>
    <w:p w14:paraId="0DF962BD" w14:textId="7BBB7BAF" w:rsidR="005244D1" w:rsidRDefault="005244D1" w:rsidP="007D458B">
      <w:pPr>
        <w:pStyle w:val="Heading4"/>
      </w:pPr>
      <w:bookmarkStart w:id="44" w:name="_Toc55923643"/>
      <w:r>
        <w:t>Change applications</w:t>
      </w:r>
      <w:bookmarkEnd w:id="44"/>
    </w:p>
    <w:p w14:paraId="3A912584" w14:textId="7E8ECE9F" w:rsidR="00E15A57" w:rsidRDefault="00E15A57" w:rsidP="007D458B">
      <w:r w:rsidRPr="00E15A57">
        <w:t>If you propose making a change to extend the intended purpose of a device that is already included in the ARTG, and as a consequence, you need to submit a substantial change notification and application for your TGA-issued conformity assessment certificate, you may also apply for a pri</w:t>
      </w:r>
      <w:r w:rsidR="00207647">
        <w:t>ority applicant determination. </w:t>
      </w:r>
      <w:r w:rsidRPr="00E15A57">
        <w:t>For example, this would be relevant to extending the intended purpose of a Class III, Class AIMD or Class 4 IVD medical device where the change constitutes a substantial change that requires approval by the TGA. The conformity assessment (priority applicant) determination application in this case would be assessed against the criteria with reference to the proposed new intended purpose.</w:t>
      </w:r>
    </w:p>
    <w:p w14:paraId="4E3FBB5E" w14:textId="192BA622" w:rsidR="009F7C4B" w:rsidRPr="003E5E0E" w:rsidRDefault="009F7C4B" w:rsidP="007D458B">
      <w:pPr>
        <w:pStyle w:val="Heading4"/>
      </w:pPr>
      <w:bookmarkStart w:id="45" w:name="_Toc55923644"/>
      <w:r>
        <w:t>Other scenarios</w:t>
      </w:r>
      <w:bookmarkEnd w:id="45"/>
    </w:p>
    <w:p w14:paraId="4096B039" w14:textId="796CF44F" w:rsidR="00604E34" w:rsidRPr="003E5E0E" w:rsidRDefault="00604E34" w:rsidP="007D458B">
      <w:r w:rsidRPr="003E5E0E">
        <w:t xml:space="preserve">Other scenarios may arise where </w:t>
      </w:r>
      <w:r w:rsidR="00B65217" w:rsidRPr="003E5E0E">
        <w:t xml:space="preserve">clarification around the applicability and requirements of </w:t>
      </w:r>
      <w:r w:rsidR="009F7C4B">
        <w:t xml:space="preserve">the </w:t>
      </w:r>
      <w:r w:rsidR="00B65217" w:rsidRPr="003E5E0E">
        <w:t>priority applicant determination process are needed.</w:t>
      </w:r>
    </w:p>
    <w:p w14:paraId="44D1DF8C" w14:textId="3EC9BD53" w:rsidR="00D44A69" w:rsidRDefault="00D44A69" w:rsidP="00C320D3">
      <w:r w:rsidRPr="003E5E0E">
        <w:t xml:space="preserve">The requirements specific to each case can be clarified with the TGA at the pre-submission meeting or via correspondence with </w:t>
      </w:r>
      <w:hyperlink r:id="rId31" w:history="1">
        <w:r w:rsidR="00B65217" w:rsidRPr="003E5E0E">
          <w:rPr>
            <w:rStyle w:val="Hyperlink"/>
          </w:rPr>
          <w:t>PriorityDevices@health.gov.au</w:t>
        </w:r>
      </w:hyperlink>
      <w:r w:rsidRPr="003E5E0E">
        <w:t>.</w:t>
      </w:r>
    </w:p>
    <w:p w14:paraId="488B8EAF" w14:textId="30EA3ED7" w:rsidR="00604E34" w:rsidRDefault="005842E0" w:rsidP="006246F0">
      <w:pPr>
        <w:pStyle w:val="Heading2"/>
      </w:pPr>
      <w:bookmarkStart w:id="46" w:name="_The_TGA_Assessment"/>
      <w:bookmarkStart w:id="47" w:name="_Toc55923645"/>
      <w:bookmarkEnd w:id="46"/>
      <w:r>
        <w:t>The TGA assessment p</w:t>
      </w:r>
      <w:r w:rsidR="00604E34" w:rsidRPr="00604E34">
        <w:t>rocess</w:t>
      </w:r>
      <w:bookmarkEnd w:id="47"/>
    </w:p>
    <w:p w14:paraId="096E6DA8" w14:textId="0568EADF" w:rsidR="00A66755" w:rsidRDefault="00A66755" w:rsidP="00646933">
      <w:r>
        <w:t>A</w:t>
      </w:r>
      <w:r w:rsidRPr="00404F93">
        <w:t xml:space="preserve">fter you </w:t>
      </w:r>
      <w:r w:rsidRPr="003E5E0E">
        <w:t xml:space="preserve">submit your </w:t>
      </w:r>
      <w:hyperlink r:id="rId32" w:history="1">
        <w:r w:rsidR="00515C6B" w:rsidRPr="004A2D26">
          <w:rPr>
            <w:rStyle w:val="Hyperlink"/>
          </w:rPr>
          <w:t>a</w:t>
        </w:r>
        <w:r w:rsidRPr="004A2D26">
          <w:rPr>
            <w:rStyle w:val="Hyperlink"/>
          </w:rPr>
          <w:t>pplication for priority applicant determination</w:t>
        </w:r>
      </w:hyperlink>
      <w:r w:rsidRPr="003E5E0E">
        <w:t xml:space="preserve"> and pay the application fee,</w:t>
      </w:r>
      <w:r w:rsidRPr="00404F93">
        <w:t xml:space="preserve"> </w:t>
      </w:r>
      <w:r>
        <w:t xml:space="preserve">it will be assessed by a TGA delegate against the legislative criteria. </w:t>
      </w:r>
      <w:r w:rsidRPr="00731B96">
        <w:t xml:space="preserve">The </w:t>
      </w:r>
      <w:r>
        <w:t>delegate will consider the information provided in your application and supporting documentation including the strength of the clinical evidence.</w:t>
      </w:r>
    </w:p>
    <w:p w14:paraId="69098F19" w14:textId="77777777" w:rsidR="007D4855" w:rsidRDefault="00253103" w:rsidP="007D4855">
      <w:r>
        <w:t xml:space="preserve">The assessment process is </w:t>
      </w:r>
      <w:r w:rsidR="000E7335">
        <w:t xml:space="preserve">a </w:t>
      </w:r>
      <w:r w:rsidR="00082F6A">
        <w:t>streamlined</w:t>
      </w:r>
      <w:r w:rsidR="000E7335">
        <w:t xml:space="preserve"> one. As noted, once an application has been made, there is limited capacity to seek further information or clarification</w:t>
      </w:r>
      <w:r>
        <w:t>. Sponsors are strongly advised to ensure applications are complete and contain all required information.</w:t>
      </w:r>
      <w:r w:rsidR="000E7335">
        <w:t xml:space="preserve"> Gaps in the information or evidence provided may mean the delegate is not satisfied that the criteria are</w:t>
      </w:r>
      <w:r w:rsidR="000143FF">
        <w:t xml:space="preserve"> </w:t>
      </w:r>
      <w:r w:rsidR="000E7335">
        <w:t>met.</w:t>
      </w:r>
      <w:r w:rsidR="00757439">
        <w:t xml:space="preserve"> If criteria are not met, the application must be refused.</w:t>
      </w:r>
    </w:p>
    <w:p w14:paraId="0BD79676" w14:textId="6C147CED" w:rsidR="00FF6D68" w:rsidRPr="00404F93" w:rsidRDefault="00942E02" w:rsidP="007D4855">
      <w:r>
        <w:t>F</w:t>
      </w:r>
      <w:r w:rsidR="000E7335">
        <w:t xml:space="preserve">rom time to time in the assessment process the </w:t>
      </w:r>
      <w:r w:rsidR="00FF6D68" w:rsidRPr="00404F93">
        <w:t xml:space="preserve">TGA may seek </w:t>
      </w:r>
      <w:r w:rsidR="000E7335">
        <w:t xml:space="preserve">advice from other sources including </w:t>
      </w:r>
      <w:r w:rsidR="00FF6D68">
        <w:t>external</w:t>
      </w:r>
      <w:r w:rsidR="000E7335">
        <w:t xml:space="preserve"> advice</w:t>
      </w:r>
      <w:r w:rsidR="00FF6D68">
        <w:t>.</w:t>
      </w:r>
    </w:p>
    <w:p w14:paraId="502DA996" w14:textId="77777777" w:rsidR="005B5C41" w:rsidRDefault="005B5C41" w:rsidP="00827361">
      <w:pPr>
        <w:pStyle w:val="Heading3"/>
      </w:pPr>
      <w:bookmarkStart w:id="48" w:name="_Timeframe"/>
      <w:bookmarkStart w:id="49" w:name="_Toc55923646"/>
      <w:bookmarkEnd w:id="48"/>
      <w:r>
        <w:t>Timeframe</w:t>
      </w:r>
      <w:bookmarkEnd w:id="49"/>
    </w:p>
    <w:p w14:paraId="1D23C509" w14:textId="6A5B1D1E" w:rsidR="007D0110" w:rsidRDefault="000E7335" w:rsidP="00EE2007">
      <w:pPr>
        <w:pStyle w:val="ListBullet"/>
        <w:numPr>
          <w:ilvl w:val="0"/>
          <w:numId w:val="0"/>
        </w:numPr>
        <w:rPr>
          <w:lang w:val="en-US" w:eastAsia="en-AU"/>
        </w:rPr>
      </w:pPr>
      <w:r>
        <w:rPr>
          <w:lang w:val="en-US" w:eastAsia="en-AU"/>
        </w:rPr>
        <w:t xml:space="preserve">There is no legislated timeframe </w:t>
      </w:r>
      <w:r w:rsidR="00913DAF">
        <w:rPr>
          <w:lang w:val="en-US" w:eastAsia="en-AU"/>
        </w:rPr>
        <w:t>for</w:t>
      </w:r>
      <w:r>
        <w:rPr>
          <w:lang w:val="en-US" w:eastAsia="en-AU"/>
        </w:rPr>
        <w:t xml:space="preserve"> </w:t>
      </w:r>
      <w:r w:rsidR="00913DAF">
        <w:rPr>
          <w:lang w:val="en-US" w:eastAsia="en-AU"/>
        </w:rPr>
        <w:t>making a decision on</w:t>
      </w:r>
      <w:r>
        <w:rPr>
          <w:lang w:val="en-US" w:eastAsia="en-AU"/>
        </w:rPr>
        <w:t xml:space="preserve"> an application for a pri</w:t>
      </w:r>
      <w:r w:rsidR="004A2D26">
        <w:rPr>
          <w:lang w:val="en-US" w:eastAsia="en-AU"/>
        </w:rPr>
        <w:t>ority applicant determination.</w:t>
      </w:r>
    </w:p>
    <w:p w14:paraId="0DCC6EB8" w14:textId="46F4EE2B" w:rsidR="00404F93" w:rsidRPr="00404F93" w:rsidRDefault="00F67389" w:rsidP="00EE2007">
      <w:pPr>
        <w:pStyle w:val="ListBullet"/>
        <w:numPr>
          <w:ilvl w:val="0"/>
          <w:numId w:val="0"/>
        </w:numPr>
      </w:pPr>
      <w:r>
        <w:rPr>
          <w:lang w:val="en-US" w:eastAsia="en-AU"/>
        </w:rPr>
        <w:t>The TGA genera</w:t>
      </w:r>
      <w:r w:rsidR="000E7335">
        <w:rPr>
          <w:lang w:val="en-US" w:eastAsia="en-AU"/>
        </w:rPr>
        <w:t xml:space="preserve">lly aims to assess applications </w:t>
      </w:r>
      <w:r>
        <w:rPr>
          <w:lang w:val="en-US" w:eastAsia="en-AU"/>
        </w:rPr>
        <w:t>within 20 working days</w:t>
      </w:r>
      <w:r w:rsidR="000E7335">
        <w:rPr>
          <w:lang w:val="en-US" w:eastAsia="en-AU"/>
        </w:rPr>
        <w:t xml:space="preserve"> (</w:t>
      </w:r>
      <w:r w:rsidR="009B0304">
        <w:rPr>
          <w:lang w:val="en-US" w:eastAsia="en-AU"/>
        </w:rPr>
        <w:t>with day 1 being the</w:t>
      </w:r>
      <w:r w:rsidR="007D0110">
        <w:rPr>
          <w:lang w:val="en-US" w:eastAsia="en-AU"/>
        </w:rPr>
        <w:t xml:space="preserve"> first</w:t>
      </w:r>
      <w:r w:rsidR="009B0304">
        <w:rPr>
          <w:lang w:val="en-US" w:eastAsia="en-AU"/>
        </w:rPr>
        <w:t xml:space="preserve"> working day </w:t>
      </w:r>
      <w:r>
        <w:rPr>
          <w:lang w:val="en-US" w:eastAsia="en-AU"/>
        </w:rPr>
        <w:t>after the invoice is paid</w:t>
      </w:r>
      <w:r w:rsidR="00913DAF">
        <w:rPr>
          <w:lang w:val="en-US" w:eastAsia="en-AU"/>
        </w:rPr>
        <w:t>)</w:t>
      </w:r>
      <w:r>
        <w:rPr>
          <w:lang w:val="en-US" w:eastAsia="en-AU"/>
        </w:rPr>
        <w:t xml:space="preserve">. </w:t>
      </w:r>
      <w:r w:rsidR="00AC7AAE">
        <w:rPr>
          <w:lang w:val="en-US" w:eastAsia="en-AU"/>
        </w:rPr>
        <w:t xml:space="preserve"> Working days in this context</w:t>
      </w:r>
      <w:r w:rsidR="007D0110">
        <w:rPr>
          <w:lang w:val="en-US" w:eastAsia="en-AU"/>
        </w:rPr>
        <w:t xml:space="preserve"> </w:t>
      </w:r>
      <w:r w:rsidR="008424AA">
        <w:t>excludes weekends</w:t>
      </w:r>
      <w:r w:rsidR="00FF158E">
        <w:t xml:space="preserve"> and </w:t>
      </w:r>
      <w:r w:rsidR="008424AA">
        <w:t>public holidays</w:t>
      </w:r>
      <w:r w:rsidR="00082F6A">
        <w:t xml:space="preserve">. </w:t>
      </w:r>
      <w:r w:rsidR="007D0110">
        <w:t>The 20 working day period</w:t>
      </w:r>
      <w:r w:rsidR="00082F6A">
        <w:t xml:space="preserve"> also excludes time taken to respond to any </w:t>
      </w:r>
      <w:r w:rsidR="007D0110">
        <w:t>r</w:t>
      </w:r>
      <w:r w:rsidR="00082F6A">
        <w:t xml:space="preserve">equests for </w:t>
      </w:r>
      <w:r w:rsidR="007D0110">
        <w:t>a</w:t>
      </w:r>
      <w:r w:rsidR="00082F6A">
        <w:t xml:space="preserve">dditional </w:t>
      </w:r>
      <w:r w:rsidR="007D0110">
        <w:t>i</w:t>
      </w:r>
      <w:r w:rsidR="004A2D26">
        <w:t>nformation.</w:t>
      </w:r>
    </w:p>
    <w:p w14:paraId="45DCFE39" w14:textId="528EED2F" w:rsidR="00404F93" w:rsidRPr="00404F93" w:rsidRDefault="00404F93" w:rsidP="00827361">
      <w:pPr>
        <w:pStyle w:val="Heading3"/>
      </w:pPr>
      <w:bookmarkStart w:id="50" w:name="_Toc499112018"/>
      <w:bookmarkStart w:id="51" w:name="_Toc55923647"/>
      <w:r w:rsidRPr="00404F93">
        <w:t xml:space="preserve">Requests for </w:t>
      </w:r>
      <w:r w:rsidR="00651214">
        <w:t>a</w:t>
      </w:r>
      <w:r w:rsidR="00E22796">
        <w:t>dditional</w:t>
      </w:r>
      <w:r w:rsidRPr="00404F93">
        <w:t xml:space="preserve"> </w:t>
      </w:r>
      <w:r w:rsidR="00651214">
        <w:t>i</w:t>
      </w:r>
      <w:r w:rsidRPr="00404F93">
        <w:t>nformation</w:t>
      </w:r>
      <w:bookmarkEnd w:id="50"/>
      <w:bookmarkEnd w:id="51"/>
    </w:p>
    <w:p w14:paraId="4D998DA9" w14:textId="526B64A7" w:rsidR="00BC0B5E" w:rsidRDefault="007D0110" w:rsidP="00404F93">
      <w:r>
        <w:t>While you are encouraged to provide complete information in your application, w</w:t>
      </w:r>
      <w:r w:rsidR="00112A18">
        <w:t xml:space="preserve">e may </w:t>
      </w:r>
      <w:r w:rsidR="000950E4">
        <w:t xml:space="preserve">require </w:t>
      </w:r>
      <w:r w:rsidR="00404F93" w:rsidRPr="00404F93">
        <w:t xml:space="preserve">additional information or clarification from </w:t>
      </w:r>
      <w:r w:rsidR="00112A18">
        <w:t>you</w:t>
      </w:r>
      <w:r w:rsidR="002D4463">
        <w:t xml:space="preserve"> </w:t>
      </w:r>
      <w:r>
        <w:t>during the assessment process</w:t>
      </w:r>
      <w:r w:rsidR="004A2D26">
        <w:t>.</w:t>
      </w:r>
    </w:p>
    <w:p w14:paraId="6A146B5E" w14:textId="77777777" w:rsidR="00BC0B5E" w:rsidRDefault="007D0110" w:rsidP="00404F93">
      <w:r>
        <w:lastRenderedPageBreak/>
        <w:t xml:space="preserve">Any </w:t>
      </w:r>
      <w:r w:rsidR="00404F93" w:rsidRPr="00404F93">
        <w:t>request</w:t>
      </w:r>
      <w:r>
        <w:t xml:space="preserve"> for additional information</w:t>
      </w:r>
      <w:r w:rsidR="00404F93" w:rsidRPr="00404F93">
        <w:t xml:space="preserve"> will inclu</w:t>
      </w:r>
      <w:r w:rsidR="00112A18">
        <w:t>de</w:t>
      </w:r>
      <w:r w:rsidR="00BC0B5E">
        <w:t>:</w:t>
      </w:r>
    </w:p>
    <w:p w14:paraId="693C812A" w14:textId="77777777" w:rsidR="00BC0B5E" w:rsidRDefault="007D0110" w:rsidP="00BC0B5E">
      <w:pPr>
        <w:pStyle w:val="ListBullet"/>
      </w:pPr>
      <w:r>
        <w:t>the timeframe</w:t>
      </w:r>
      <w:r w:rsidR="00BC0B5E">
        <w:t xml:space="preserve"> in which you should respond</w:t>
      </w:r>
    </w:p>
    <w:p w14:paraId="4A11A6A6" w14:textId="33589AEF" w:rsidR="00112A18" w:rsidRDefault="00404F93" w:rsidP="00BC0B5E">
      <w:pPr>
        <w:pStyle w:val="ListBullet"/>
      </w:pPr>
      <w:proofErr w:type="gramStart"/>
      <w:r w:rsidRPr="00404F93">
        <w:t>details</w:t>
      </w:r>
      <w:proofErr w:type="gramEnd"/>
      <w:r w:rsidRPr="00404F93">
        <w:t xml:space="preserve"> of</w:t>
      </w:r>
      <w:r w:rsidR="007D0110">
        <w:t xml:space="preserve"> how to provide your response (including</w:t>
      </w:r>
      <w:r w:rsidRPr="00404F93">
        <w:t xml:space="preserve"> TGA contact</w:t>
      </w:r>
      <w:r w:rsidR="007D0110">
        <w:t xml:space="preserve"> details)</w:t>
      </w:r>
      <w:r w:rsidRPr="00404F93">
        <w:t>.</w:t>
      </w:r>
    </w:p>
    <w:p w14:paraId="6AAA698C" w14:textId="5A8E5099" w:rsidR="00E22796" w:rsidRDefault="000950E4" w:rsidP="007D4855">
      <w:r>
        <w:t>You will need to provide</w:t>
      </w:r>
      <w:r w:rsidR="004C08DC">
        <w:t xml:space="preserve"> any additional information to us within </w:t>
      </w:r>
      <w:r>
        <w:t xml:space="preserve">the </w:t>
      </w:r>
      <w:r w:rsidR="004C08DC">
        <w:t>time</w:t>
      </w:r>
      <w:r w:rsidR="00104A45">
        <w:t xml:space="preserve"> specified. </w:t>
      </w:r>
      <w:r w:rsidR="004E28B9">
        <w:t xml:space="preserve">This is generally around 5-10 </w:t>
      </w:r>
      <w:r w:rsidR="007D0110">
        <w:t xml:space="preserve">working </w:t>
      </w:r>
      <w:r w:rsidR="004E28B9">
        <w:t xml:space="preserve">days. </w:t>
      </w:r>
      <w:r w:rsidR="00684E98">
        <w:t xml:space="preserve"> Consistent with standard TGA processes, the TGA </w:t>
      </w:r>
      <w:r w:rsidR="00E22796">
        <w:t xml:space="preserve">will ‘stop the clock’ on the </w:t>
      </w:r>
      <w:r w:rsidR="00684E98">
        <w:t xml:space="preserve">expected </w:t>
      </w:r>
      <w:r w:rsidR="00E22796">
        <w:t xml:space="preserve">20 </w:t>
      </w:r>
      <w:r w:rsidR="00684E98">
        <w:t xml:space="preserve">working </w:t>
      </w:r>
      <w:r w:rsidR="00E22796">
        <w:t xml:space="preserve">day assessment </w:t>
      </w:r>
      <w:r w:rsidR="00684E98">
        <w:t>period during the time taken for</w:t>
      </w:r>
      <w:r w:rsidR="00E22796">
        <w:t xml:space="preserve"> you</w:t>
      </w:r>
      <w:r w:rsidR="00684E98">
        <w:t xml:space="preserve"> to</w:t>
      </w:r>
      <w:r w:rsidR="00E22796">
        <w:t xml:space="preserve"> respond</w:t>
      </w:r>
      <w:r w:rsidR="00684E98">
        <w:t xml:space="preserve"> to a request for additional information</w:t>
      </w:r>
      <w:r w:rsidR="00E22796">
        <w:t>.</w:t>
      </w:r>
    </w:p>
    <w:p w14:paraId="2C0FE84E" w14:textId="3229E34C" w:rsidR="00191440" w:rsidRDefault="00E22796" w:rsidP="007D4855">
      <w:r>
        <w:t xml:space="preserve">If </w:t>
      </w:r>
      <w:r w:rsidR="00913DAF">
        <w:t xml:space="preserve">you do not provide a </w:t>
      </w:r>
      <w:r>
        <w:t xml:space="preserve">response within the </w:t>
      </w:r>
      <w:r w:rsidR="002826A6">
        <w:t>time specified</w:t>
      </w:r>
      <w:r w:rsidR="00684E98">
        <w:t xml:space="preserve"> for responding</w:t>
      </w:r>
      <w:r w:rsidR="00EE2007">
        <w:t xml:space="preserve"> </w:t>
      </w:r>
      <w:r w:rsidR="00684E98">
        <w:t>(or within any extension of time agreed to by the TGA)</w:t>
      </w:r>
      <w:r w:rsidR="002826A6">
        <w:t xml:space="preserve">, </w:t>
      </w:r>
      <w:r w:rsidR="00684E98">
        <w:t>the delegate</w:t>
      </w:r>
      <w:r w:rsidR="002826A6">
        <w:t xml:space="preserve"> </w:t>
      </w:r>
      <w:r w:rsidR="00AF4F1F">
        <w:t xml:space="preserve">will make </w:t>
      </w:r>
      <w:r w:rsidR="002826A6">
        <w:t>a</w:t>
      </w:r>
      <w:r w:rsidR="00AF4F1F">
        <w:t xml:space="preserve"> decision based on the information </w:t>
      </w:r>
      <w:r w:rsidR="00684E98">
        <w:t>before t</w:t>
      </w:r>
      <w:r w:rsidR="00515C6B">
        <w:t>hem.</w:t>
      </w:r>
    </w:p>
    <w:p w14:paraId="1CC34E7C" w14:textId="77777777" w:rsidR="00404F93" w:rsidRPr="00404F93" w:rsidRDefault="00404F93" w:rsidP="00827361">
      <w:pPr>
        <w:pStyle w:val="Heading3"/>
      </w:pPr>
      <w:bookmarkStart w:id="52" w:name="_Toc490818782"/>
      <w:bookmarkStart w:id="53" w:name="_Toc499112019"/>
      <w:bookmarkStart w:id="54" w:name="_Toc55923648"/>
      <w:r w:rsidRPr="00404F93">
        <w:t>Notify</w:t>
      </w:r>
      <w:r w:rsidR="00112A18">
        <w:t xml:space="preserve">ing you of our </w:t>
      </w:r>
      <w:r w:rsidRPr="00404F93">
        <w:t>decision</w:t>
      </w:r>
      <w:bookmarkEnd w:id="52"/>
      <w:bookmarkEnd w:id="53"/>
      <w:bookmarkEnd w:id="54"/>
    </w:p>
    <w:p w14:paraId="3760A4C2" w14:textId="5511C9D3" w:rsidR="005B5C41" w:rsidRDefault="00404F93" w:rsidP="00404F93">
      <w:r w:rsidRPr="00404F93">
        <w:t xml:space="preserve">After the delegate has made a decision, you will be advised of the outcome as soon as practicable via a notification letter </w:t>
      </w:r>
      <w:r w:rsidR="00366F4D">
        <w:t>sent by</w:t>
      </w:r>
      <w:r w:rsidRPr="00404F93">
        <w:t xml:space="preserve"> email</w:t>
      </w:r>
      <w:r w:rsidR="00366F4D">
        <w:t>.</w:t>
      </w:r>
    </w:p>
    <w:p w14:paraId="4467D5A1" w14:textId="6AF2730C" w:rsidR="00B46C81" w:rsidRDefault="005B5C41" w:rsidP="00F20B3B">
      <w:r>
        <w:t>The notification letter</w:t>
      </w:r>
      <w:r w:rsidR="00404F93" w:rsidRPr="00404F93">
        <w:t xml:space="preserve"> will</w:t>
      </w:r>
      <w:r w:rsidR="00B46C81">
        <w:t xml:space="preserve"> indicate</w:t>
      </w:r>
      <w:r w:rsidR="001920BD">
        <w:t xml:space="preserve"> </w:t>
      </w:r>
      <w:r w:rsidR="008424AA">
        <w:t xml:space="preserve">whether the </w:t>
      </w:r>
      <w:r w:rsidR="00082F6A">
        <w:t>delegate has made</w:t>
      </w:r>
      <w:r w:rsidR="00913DAF">
        <w:t xml:space="preserve">, </w:t>
      </w:r>
      <w:r w:rsidR="0006657C">
        <w:t>or refused to make</w:t>
      </w:r>
      <w:r w:rsidR="00913DAF">
        <w:t>,</w:t>
      </w:r>
      <w:r w:rsidR="0006657C">
        <w:t xml:space="preserve"> </w:t>
      </w:r>
      <w:r w:rsidR="00082F6A">
        <w:t xml:space="preserve">the </w:t>
      </w:r>
      <w:r w:rsidR="008424AA">
        <w:t xml:space="preserve">priority </w:t>
      </w:r>
      <w:r w:rsidR="003D63AF">
        <w:t>applicant determination</w:t>
      </w:r>
      <w:r w:rsidR="001920BD">
        <w:t>.</w:t>
      </w:r>
    </w:p>
    <w:p w14:paraId="3CA8BB4F" w14:textId="051507DE" w:rsidR="001920BD" w:rsidRDefault="001920BD" w:rsidP="00F20B3B">
      <w:r>
        <w:t>Where a determination has been made, the notification letter will include:</w:t>
      </w:r>
    </w:p>
    <w:p w14:paraId="12DB9470" w14:textId="2A80954E" w:rsidR="004A2D26" w:rsidRDefault="004A2D26" w:rsidP="004A2D26">
      <w:pPr>
        <w:pStyle w:val="ListBullet"/>
      </w:pPr>
      <w:r>
        <w:t xml:space="preserve">relevant </w:t>
      </w:r>
      <w:hyperlink w:anchor="_Matters_specified_in" w:history="1">
        <w:r w:rsidRPr="00FA56F7">
          <w:rPr>
            <w:rStyle w:val="Hyperlink"/>
          </w:rPr>
          <w:t>information about the determination</w:t>
        </w:r>
      </w:hyperlink>
      <w:r>
        <w:t>, including specifying who and to what the determination relates</w:t>
      </w:r>
    </w:p>
    <w:p w14:paraId="21EC9D04" w14:textId="272FBCD4" w:rsidR="004A2D26" w:rsidRDefault="004A2D26" w:rsidP="004A2D26">
      <w:pPr>
        <w:pStyle w:val="ListBullet"/>
      </w:pPr>
      <w:proofErr w:type="gramStart"/>
      <w:r>
        <w:t>t</w:t>
      </w:r>
      <w:r w:rsidRPr="00CF022C">
        <w:t>he</w:t>
      </w:r>
      <w:proofErr w:type="gramEnd"/>
      <w:r w:rsidRPr="00CF022C">
        <w:t xml:space="preserve"> date on which the de</w:t>
      </w:r>
      <w:r>
        <w:t>termination</w:t>
      </w:r>
      <w:r w:rsidRPr="00CF022C">
        <w:t xml:space="preserve"> </w:t>
      </w:r>
      <w:r>
        <w:t xml:space="preserve">comes into force (the day of the notice), and the period that the determination remains in force (a 6 month period, subject to the Regulations: see </w:t>
      </w:r>
      <w:hyperlink w:anchor="_Cessation,_revocation_or" w:history="1">
        <w:r w:rsidRPr="00DB51E2">
          <w:rPr>
            <w:rStyle w:val="Hyperlink"/>
          </w:rPr>
          <w:t>Cessation</w:t>
        </w:r>
      </w:hyperlink>
      <w:r>
        <w:t xml:space="preserve"> of a priority applicant determination being in force).</w:t>
      </w:r>
    </w:p>
    <w:p w14:paraId="2B58117B" w14:textId="3307516E" w:rsidR="00404F93" w:rsidRPr="00CF022C" w:rsidRDefault="0082040C" w:rsidP="002F25EC">
      <w:r>
        <w:t>I</w:t>
      </w:r>
      <w:r w:rsidR="009D77A3">
        <w:t xml:space="preserve">f no application for </w:t>
      </w:r>
      <w:r>
        <w:t>c</w:t>
      </w:r>
      <w:r w:rsidR="009D77A3">
        <w:t xml:space="preserve">onformity </w:t>
      </w:r>
      <w:r>
        <w:t>a</w:t>
      </w:r>
      <w:r w:rsidR="009D77A3">
        <w:t>ssessment</w:t>
      </w:r>
      <w:r>
        <w:t>,</w:t>
      </w:r>
      <w:r w:rsidR="009D77A3">
        <w:t xml:space="preserve"> or ARTG inclusion</w:t>
      </w:r>
      <w:r>
        <w:t>, as relevant,</w:t>
      </w:r>
      <w:r w:rsidR="009D77A3">
        <w:t xml:space="preserve"> has been</w:t>
      </w:r>
      <w:r>
        <w:t xml:space="preserve"> made</w:t>
      </w:r>
      <w:r w:rsidR="00B30607">
        <w:t xml:space="preserve"> (</w:t>
      </w:r>
      <w:r w:rsidR="00EE2007">
        <w:t xml:space="preserve">including </w:t>
      </w:r>
      <w:r w:rsidR="00B30607">
        <w:t>me</w:t>
      </w:r>
      <w:r w:rsidR="00EE2007">
        <w:t>e</w:t>
      </w:r>
      <w:r w:rsidR="00B30607">
        <w:t>t</w:t>
      </w:r>
      <w:r w:rsidR="00EE2007">
        <w:t>ing</w:t>
      </w:r>
      <w:r w:rsidR="00B30607">
        <w:t xml:space="preserve"> application requirements</w:t>
      </w:r>
      <w:r w:rsidR="009D77A3">
        <w:t>)</w:t>
      </w:r>
      <w:r>
        <w:t xml:space="preserve"> before the end of th</w:t>
      </w:r>
      <w:r w:rsidR="0082544B">
        <w:t>e</w:t>
      </w:r>
      <w:r>
        <w:t xml:space="preserve"> 6 month period, the priority applicant determination ceases to be in force. This means any application for conformity assessment, or ARTG inclusion, as relevant, made after this period would not be entitled to priority consideration</w:t>
      </w:r>
      <w:r w:rsidR="00D86C23">
        <w:t xml:space="preserve"> (unless you were successful in </w:t>
      </w:r>
      <w:hyperlink w:anchor="_Cessation,_revocation_or" w:history="1">
        <w:r w:rsidR="00465F65">
          <w:rPr>
            <w:rStyle w:val="Hyperlink"/>
          </w:rPr>
          <w:t>reapplying</w:t>
        </w:r>
      </w:hyperlink>
      <w:r w:rsidR="00D86C23">
        <w:t xml:space="preserve"> for a priority applicant </w:t>
      </w:r>
      <w:r w:rsidR="00465F65">
        <w:t>determination</w:t>
      </w:r>
      <w:r w:rsidR="00D86C23">
        <w:t>)</w:t>
      </w:r>
      <w:r w:rsidR="004A2D26">
        <w:t>.</w:t>
      </w:r>
    </w:p>
    <w:p w14:paraId="6CA367E2" w14:textId="6C842DFA" w:rsidR="00404F93" w:rsidRPr="00CF022C" w:rsidRDefault="0082040C" w:rsidP="001E483C">
      <w:pPr>
        <w:pStyle w:val="ListBullet"/>
        <w:numPr>
          <w:ilvl w:val="0"/>
          <w:numId w:val="0"/>
        </w:numPr>
      </w:pPr>
      <w:r w:rsidRPr="001E483C">
        <w:t>Where the delegate</w:t>
      </w:r>
      <w:r w:rsidR="0006657C" w:rsidRPr="001E483C">
        <w:t xml:space="preserve"> refuses to make the determination</w:t>
      </w:r>
      <w:r w:rsidR="00565A40">
        <w:t>, the notification letter will include</w:t>
      </w:r>
      <w:r w:rsidR="00404F93" w:rsidRPr="00CF022C">
        <w:t xml:space="preserve"> </w:t>
      </w:r>
      <w:r w:rsidR="0006657C">
        <w:t xml:space="preserve">the </w:t>
      </w:r>
      <w:r w:rsidR="00404F93" w:rsidRPr="00CF022C">
        <w:t>reason</w:t>
      </w:r>
      <w:r w:rsidR="00913DAF">
        <w:t>s</w:t>
      </w:r>
      <w:r w:rsidR="00404F93" w:rsidRPr="00CF022C">
        <w:t xml:space="preserve"> for </w:t>
      </w:r>
      <w:r w:rsidR="0006657C">
        <w:t xml:space="preserve">the </w:t>
      </w:r>
      <w:r w:rsidR="00404F93" w:rsidRPr="00CF022C">
        <w:t xml:space="preserve">decision </w:t>
      </w:r>
      <w:r w:rsidR="00565A40">
        <w:t>(</w:t>
      </w:r>
      <w:r w:rsidR="0006657C">
        <w:t xml:space="preserve">and details of the process for requesting </w:t>
      </w:r>
      <w:r w:rsidR="00990554">
        <w:t xml:space="preserve">a </w:t>
      </w:r>
      <w:r w:rsidR="0006657C">
        <w:t>reconsideration of the decision</w:t>
      </w:r>
      <w:r w:rsidR="00FA56F7">
        <w:t>)</w:t>
      </w:r>
      <w:r w:rsidR="0006657C">
        <w:t>.</w:t>
      </w:r>
    </w:p>
    <w:p w14:paraId="2D612087" w14:textId="2FCC6FE1" w:rsidR="00C117BE" w:rsidRDefault="00913DAF" w:rsidP="00C117BE">
      <w:pPr>
        <w:pStyle w:val="Heading3"/>
      </w:pPr>
      <w:bookmarkStart w:id="55" w:name="_Matters_specified_in"/>
      <w:bookmarkStart w:id="56" w:name="_Toc55923649"/>
      <w:bookmarkEnd w:id="55"/>
      <w:r>
        <w:t xml:space="preserve">Matters specified in </w:t>
      </w:r>
      <w:r w:rsidR="00C117BE">
        <w:t>the determination</w:t>
      </w:r>
      <w:bookmarkEnd w:id="56"/>
    </w:p>
    <w:p w14:paraId="0229B676" w14:textId="124C2845" w:rsidR="00C117BE" w:rsidRPr="008D58DC" w:rsidRDefault="00990554" w:rsidP="00C117BE">
      <w:r>
        <w:t xml:space="preserve">Where a </w:t>
      </w:r>
      <w:r w:rsidR="00C117BE">
        <w:t>priority applicant determination</w:t>
      </w:r>
      <w:r w:rsidR="00C117BE" w:rsidRPr="008D58DC">
        <w:t xml:space="preserve"> is</w:t>
      </w:r>
      <w:r>
        <w:t xml:space="preserve"> made</w:t>
      </w:r>
      <w:r w:rsidR="00465F65">
        <w:t xml:space="preserve"> the following</w:t>
      </w:r>
      <w:r>
        <w:t xml:space="preserve"> info</w:t>
      </w:r>
      <w:r w:rsidR="00465F65">
        <w:t>rmation will be specified</w:t>
      </w:r>
      <w:r w:rsidR="00C117BE" w:rsidRPr="008D58DC">
        <w:t>:</w:t>
      </w:r>
    </w:p>
    <w:p w14:paraId="1549710F" w14:textId="267951F1" w:rsidR="00C117BE" w:rsidRPr="008D58DC" w:rsidRDefault="00990554" w:rsidP="00C117BE">
      <w:pPr>
        <w:pStyle w:val="ListBullet"/>
      </w:pPr>
      <w:r>
        <w:t xml:space="preserve">the </w:t>
      </w:r>
      <w:r w:rsidR="00C117BE" w:rsidRPr="008D58DC">
        <w:t>person who is th</w:t>
      </w:r>
      <w:r w:rsidR="00C117BE">
        <w:t>e priority applicant</w:t>
      </w:r>
    </w:p>
    <w:p w14:paraId="3D831C07" w14:textId="2A6D16E6" w:rsidR="00C117BE" w:rsidRPr="008D58DC" w:rsidRDefault="00990554" w:rsidP="00C117BE">
      <w:pPr>
        <w:pStyle w:val="ListBullet"/>
      </w:pPr>
      <w:r>
        <w:t xml:space="preserve">the </w:t>
      </w:r>
      <w:r w:rsidR="00C117BE" w:rsidRPr="008D58DC">
        <w:t>medical device</w:t>
      </w:r>
      <w:r>
        <w:t xml:space="preserve"> to which the determination relates</w:t>
      </w:r>
      <w:r w:rsidR="00C117BE" w:rsidRPr="008D58DC">
        <w:t xml:space="preserve"> (</w:t>
      </w:r>
      <w:r w:rsidR="00C117BE">
        <w:t xml:space="preserve">in respect of </w:t>
      </w:r>
      <w:r w:rsidR="00C117BE">
        <w:rPr>
          <w:bCs/>
        </w:rPr>
        <w:t xml:space="preserve">design, material, </w:t>
      </w:r>
      <w:r w:rsidR="00C117BE" w:rsidRPr="008D58DC">
        <w:rPr>
          <w:bCs/>
        </w:rPr>
        <w:t xml:space="preserve">physical </w:t>
      </w:r>
      <w:r w:rsidR="00C117BE">
        <w:rPr>
          <w:bCs/>
        </w:rPr>
        <w:t xml:space="preserve">characteristics, and a particular </w:t>
      </w:r>
      <w:r w:rsidR="0006657C">
        <w:rPr>
          <w:bCs/>
        </w:rPr>
        <w:t xml:space="preserve">sponsor and </w:t>
      </w:r>
      <w:r w:rsidR="00C117BE">
        <w:rPr>
          <w:bCs/>
        </w:rPr>
        <w:t>manufacturer</w:t>
      </w:r>
      <w:r w:rsidR="00C117BE" w:rsidRPr="008D58DC">
        <w:rPr>
          <w:bCs/>
        </w:rPr>
        <w:t>)</w:t>
      </w:r>
    </w:p>
    <w:p w14:paraId="69D6FF46" w14:textId="23D76B42" w:rsidR="00C117BE" w:rsidRDefault="00990554" w:rsidP="00C117BE">
      <w:pPr>
        <w:pStyle w:val="ListBullet"/>
      </w:pPr>
      <w:proofErr w:type="gramStart"/>
      <w:r>
        <w:t>the</w:t>
      </w:r>
      <w:proofErr w:type="gramEnd"/>
      <w:r>
        <w:t xml:space="preserve"> </w:t>
      </w:r>
      <w:r w:rsidR="00C117BE" w:rsidRPr="00720CF2">
        <w:t xml:space="preserve">intended </w:t>
      </w:r>
      <w:r w:rsidR="00C117BE">
        <w:t>purpose</w:t>
      </w:r>
      <w:r w:rsidR="00C117BE" w:rsidRPr="00720CF2">
        <w:t xml:space="preserve"> of the device</w:t>
      </w:r>
      <w:r>
        <w:t xml:space="preserve"> (consistent with the information in the application).</w:t>
      </w:r>
    </w:p>
    <w:p w14:paraId="3563ACF2" w14:textId="06F33C3B" w:rsidR="00744480" w:rsidRDefault="00C117BE" w:rsidP="004A2D26">
      <w:r>
        <w:t xml:space="preserve">Subsequent (or concurrent) applications for </w:t>
      </w:r>
      <w:r w:rsidR="00990554">
        <w:t>c</w:t>
      </w:r>
      <w:r>
        <w:t xml:space="preserve">onformity </w:t>
      </w:r>
      <w:r w:rsidR="00990554">
        <w:t>a</w:t>
      </w:r>
      <w:r>
        <w:t xml:space="preserve">ssessment or </w:t>
      </w:r>
      <w:r w:rsidR="00915A39">
        <w:t>ARTG</w:t>
      </w:r>
      <w:r w:rsidR="00990554">
        <w:t xml:space="preserve"> </w:t>
      </w:r>
      <w:r>
        <w:t xml:space="preserve">inclusion must correspond to the above and </w:t>
      </w:r>
      <w:r w:rsidR="00990554">
        <w:t xml:space="preserve">this information </w:t>
      </w:r>
      <w:r>
        <w:t>cannot be varied</w:t>
      </w:r>
      <w:r w:rsidR="00913DAF">
        <w:t xml:space="preserve"> by an applicant.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E5E0E" w:rsidRPr="00215D48" w14:paraId="45AD665C" w14:textId="77777777" w:rsidTr="00494591">
        <w:trPr>
          <w:trHeight w:val="838"/>
        </w:trPr>
        <w:tc>
          <w:tcPr>
            <w:tcW w:w="1276" w:type="dxa"/>
            <w:vAlign w:val="center"/>
          </w:tcPr>
          <w:p w14:paraId="3478A23A" w14:textId="77777777" w:rsidR="003E5E0E" w:rsidRPr="00215D48" w:rsidRDefault="003E5E0E" w:rsidP="00494591">
            <w:pPr>
              <w:spacing w:before="0"/>
              <w:rPr>
                <w:sz w:val="20"/>
              </w:rPr>
            </w:pPr>
            <w:r w:rsidRPr="00215D48">
              <w:rPr>
                <w:noProof/>
                <w:sz w:val="20"/>
                <w:lang w:eastAsia="en-AU"/>
              </w:rPr>
              <w:lastRenderedPageBreak/>
              <w:drawing>
                <wp:inline distT="0" distB="0" distL="0" distR="0" wp14:anchorId="283CA666" wp14:editId="39C85BC4">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12F46AAF" w14:textId="4DBBB8EA" w:rsidR="003E5E0E" w:rsidRPr="007414F4" w:rsidRDefault="003E5E0E" w:rsidP="004A2D26">
            <w:r w:rsidRPr="00361D1D">
              <w:t xml:space="preserve">The </w:t>
            </w:r>
            <w:r>
              <w:t>intended purpose</w:t>
            </w:r>
            <w:r w:rsidRPr="00361D1D">
              <w:t xml:space="preserve"> is the </w:t>
            </w:r>
            <w:r w:rsidRPr="00C46D66">
              <w:rPr>
                <w:b/>
              </w:rPr>
              <w:t>proposed intended purpose</w:t>
            </w:r>
            <w:r w:rsidRPr="00361D1D">
              <w:t xml:space="preserve"> for ARTG </w:t>
            </w:r>
            <w:r>
              <w:t>inclusion. This must be the same as the</w:t>
            </w:r>
            <w:r w:rsidRPr="00361D1D">
              <w:t xml:space="preserve"> </w:t>
            </w:r>
            <w:r w:rsidRPr="00C46D66">
              <w:rPr>
                <w:b/>
              </w:rPr>
              <w:t>stated intended purpose</w:t>
            </w:r>
            <w:r w:rsidRPr="00361D1D">
              <w:t xml:space="preserve"> at the time of the </w:t>
            </w:r>
            <w:r w:rsidR="00990554">
              <w:t>a</w:t>
            </w:r>
            <w:r>
              <w:t xml:space="preserve">pplication for </w:t>
            </w:r>
            <w:r w:rsidR="00C522DD">
              <w:t>the p</w:t>
            </w:r>
            <w:r>
              <w:t xml:space="preserve">riority </w:t>
            </w:r>
            <w:r w:rsidR="00C522DD">
              <w:t>a</w:t>
            </w:r>
            <w:r>
              <w:t xml:space="preserve">pplicant </w:t>
            </w:r>
            <w:r w:rsidR="00C522DD">
              <w:t>d</w:t>
            </w:r>
            <w:r w:rsidRPr="00361D1D">
              <w:t>e</w:t>
            </w:r>
            <w:r>
              <w:t>termination</w:t>
            </w:r>
            <w:r w:rsidRPr="00361D1D">
              <w:t>.</w:t>
            </w:r>
          </w:p>
        </w:tc>
      </w:tr>
    </w:tbl>
    <w:p w14:paraId="123611C2" w14:textId="77777777" w:rsidR="00744480" w:rsidRPr="00404F93" w:rsidRDefault="00744480" w:rsidP="006246F0">
      <w:pPr>
        <w:pStyle w:val="Heading3"/>
      </w:pPr>
      <w:bookmarkStart w:id="57" w:name="_Toc55923650"/>
      <w:r w:rsidRPr="00404F93">
        <w:t>Publication of de</w:t>
      </w:r>
      <w:r>
        <w:t>termination</w:t>
      </w:r>
      <w:r w:rsidRPr="00404F93">
        <w:t xml:space="preserve"> decisions</w:t>
      </w:r>
      <w:bookmarkEnd w:id="57"/>
    </w:p>
    <w:p w14:paraId="13EF7D0E" w14:textId="20CB08CC" w:rsidR="00744480" w:rsidRPr="00404F93" w:rsidRDefault="00C522DD" w:rsidP="00744480">
      <w:r>
        <w:t>Where a priority applicant d</w:t>
      </w:r>
      <w:r w:rsidR="00744480" w:rsidRPr="00404F93">
        <w:t>e</w:t>
      </w:r>
      <w:r w:rsidR="00744480">
        <w:t>termination</w:t>
      </w:r>
      <w:r>
        <w:t xml:space="preserve"> is made, the determination</w:t>
      </w:r>
      <w:r w:rsidR="00744480" w:rsidRPr="00404F93">
        <w:t xml:space="preserve"> will be published</w:t>
      </w:r>
      <w:r w:rsidR="00744480">
        <w:t xml:space="preserve"> on the TGA website</w:t>
      </w:r>
      <w:r w:rsidR="004A2D26">
        <w:t>.</w:t>
      </w:r>
    </w:p>
    <w:p w14:paraId="56553FA5" w14:textId="0315A933" w:rsidR="00C117BE" w:rsidRPr="00CF022C" w:rsidRDefault="00744480" w:rsidP="004A2D26">
      <w:r w:rsidRPr="00404F93">
        <w:t xml:space="preserve">We will not publish details of </w:t>
      </w:r>
      <w:r w:rsidR="0002567D">
        <w:t xml:space="preserve">priority applicant determination </w:t>
      </w:r>
      <w:r w:rsidRPr="00404F93">
        <w:t xml:space="preserve">applications that are </w:t>
      </w:r>
      <w:r w:rsidR="007F545D">
        <w:t xml:space="preserve">refused </w:t>
      </w:r>
      <w:r w:rsidRPr="00404F93">
        <w:t>or are withdrawn before a decision</w:t>
      </w:r>
      <w:r w:rsidR="0002567D">
        <w:t xml:space="preserve"> is made</w:t>
      </w:r>
      <w:r w:rsidRPr="00404F93">
        <w:t>.</w:t>
      </w:r>
    </w:p>
    <w:p w14:paraId="1B0F2325" w14:textId="2B63497D" w:rsidR="00E9392F" w:rsidRPr="004A348A" w:rsidRDefault="00E9392F" w:rsidP="004A348A">
      <w:pPr>
        <w:pStyle w:val="Heading3"/>
      </w:pPr>
      <w:bookmarkStart w:id="58" w:name="_Toc55923651"/>
      <w:bookmarkStart w:id="59" w:name="_Toc499112020"/>
      <w:r w:rsidRPr="004A348A">
        <w:t xml:space="preserve">Steps </w:t>
      </w:r>
      <w:r w:rsidR="00634C35" w:rsidRPr="004A348A">
        <w:t>once priority applicant determination</w:t>
      </w:r>
      <w:r w:rsidRPr="004A348A">
        <w:t xml:space="preserve"> is </w:t>
      </w:r>
      <w:r w:rsidR="0006657C" w:rsidRPr="004A348A">
        <w:t>made</w:t>
      </w:r>
      <w:bookmarkEnd w:id="58"/>
    </w:p>
    <w:p w14:paraId="4F757386" w14:textId="6FB12530" w:rsidR="00465F65" w:rsidRDefault="00D52342" w:rsidP="006246F0">
      <w:r>
        <w:t xml:space="preserve">In </w:t>
      </w:r>
      <w:r w:rsidR="00F72BB4">
        <w:t xml:space="preserve">many </w:t>
      </w:r>
      <w:r>
        <w:t xml:space="preserve">cases, a person </w:t>
      </w:r>
      <w:r w:rsidR="00B86204">
        <w:t>will</w:t>
      </w:r>
      <w:r>
        <w:t xml:space="preserve"> firstly make an application for a priority applicant determination and, once they have obtained a determination, then lodge the corresponding application for conformity assessment or ARTG inclusion, as relevant</w:t>
      </w:r>
      <w:r w:rsidR="00F72BB4">
        <w:t xml:space="preserve"> (within the 6 month period</w:t>
      </w:r>
      <w:r w:rsidR="00257F74">
        <w:t xml:space="preserve"> </w:t>
      </w:r>
      <w:r w:rsidR="008D5B54">
        <w:t>it</w:t>
      </w:r>
      <w:r w:rsidR="009F6455">
        <w:t xml:space="preserve"> remains in force,</w:t>
      </w:r>
      <w:r w:rsidR="008D5B54">
        <w:t xml:space="preserve"> as</w:t>
      </w:r>
      <w:r w:rsidR="009F6455">
        <w:t xml:space="preserve"> </w:t>
      </w:r>
      <w:r w:rsidR="00257F74">
        <w:t>referred to above</w:t>
      </w:r>
      <w:r w:rsidR="00F72BB4">
        <w:t>)</w:t>
      </w:r>
      <w:r w:rsidR="004A2D26">
        <w:t>.</w:t>
      </w:r>
    </w:p>
    <w:p w14:paraId="68E5A6E8" w14:textId="4264F550" w:rsidR="00F72BB4" w:rsidRDefault="00257F74" w:rsidP="006246F0">
      <w:r>
        <w:t>However, it is possible that</w:t>
      </w:r>
      <w:r w:rsidR="00D52342">
        <w:t xml:space="preserve"> a person may already have an existing application for </w:t>
      </w:r>
      <w:r w:rsidR="0029538D">
        <w:t xml:space="preserve">TGA </w:t>
      </w:r>
      <w:r w:rsidR="00D52342">
        <w:t>conformity assessment or ARTG inclusion</w:t>
      </w:r>
      <w:r w:rsidR="009F6455">
        <w:t xml:space="preserve"> under review,</w:t>
      </w:r>
      <w:r w:rsidR="00D52342">
        <w:t xml:space="preserve"> and only </w:t>
      </w:r>
      <w:r w:rsidR="00302E85">
        <w:t>apply for</w:t>
      </w:r>
      <w:r w:rsidR="003B6D6A">
        <w:t xml:space="preserve"> and/or</w:t>
      </w:r>
      <w:r w:rsidR="00302E85">
        <w:t xml:space="preserve"> </w:t>
      </w:r>
      <w:r w:rsidR="00D52342">
        <w:t>obtain a priority applica</w:t>
      </w:r>
      <w:r w:rsidR="004A2D26">
        <w:t>nt determination thereafter.</w:t>
      </w:r>
    </w:p>
    <w:p w14:paraId="307365B5" w14:textId="3803B86B" w:rsidR="005865CD" w:rsidRDefault="00F72BB4" w:rsidP="006246F0">
      <w:r>
        <w:t xml:space="preserve">In either case, so long as the priority applicant determination is in force </w:t>
      </w:r>
      <w:r w:rsidR="005865CD">
        <w:t xml:space="preserve">at the time the corresponding application is submitted or being processed </w:t>
      </w:r>
      <w:r>
        <w:t>(and the information specified in the determination</w:t>
      </w:r>
      <w:r w:rsidR="005865CD">
        <w:t xml:space="preserve"> about who and what the determination relates to matches the details in the corresponding application), the corresponding application will be given priority consideration.</w:t>
      </w:r>
    </w:p>
    <w:p w14:paraId="19CA113F" w14:textId="37B69498" w:rsidR="0006657C" w:rsidRDefault="0006657C" w:rsidP="006246F0">
      <w:r>
        <w:t xml:space="preserve">Once </w:t>
      </w:r>
      <w:r w:rsidR="005865CD">
        <w:t xml:space="preserve">a </w:t>
      </w:r>
      <w:r>
        <w:t xml:space="preserve">delegate makes a priority applicant determination, they will advise the relevant TGA section </w:t>
      </w:r>
      <w:r w:rsidR="00D933AB">
        <w:t xml:space="preserve">that </w:t>
      </w:r>
      <w:r>
        <w:t xml:space="preserve">this applies to </w:t>
      </w:r>
      <w:r w:rsidR="005865CD">
        <w:t xml:space="preserve">any subsequent or concurrent </w:t>
      </w:r>
      <w:r>
        <w:t xml:space="preserve">corresponding </w:t>
      </w:r>
      <w:r w:rsidR="00D933AB">
        <w:t xml:space="preserve">application for </w:t>
      </w:r>
      <w:r>
        <w:t>conformity assessment or ARTG</w:t>
      </w:r>
      <w:r w:rsidR="008E7109">
        <w:t xml:space="preserve"> </w:t>
      </w:r>
      <w:r>
        <w:t>inclusio</w:t>
      </w:r>
      <w:r w:rsidR="00D933AB">
        <w:t>n</w:t>
      </w:r>
      <w:r>
        <w:t>.</w:t>
      </w:r>
    </w:p>
    <w:p w14:paraId="20742CF2" w14:textId="3BFE6C9F" w:rsidR="003B6D6A" w:rsidRDefault="005865CD" w:rsidP="0029538D">
      <w:r>
        <w:t>Where you make a subsequent application</w:t>
      </w:r>
      <w:r w:rsidR="00351C6A">
        <w:t xml:space="preserve"> for conformity assessment or ARTG inclusion</w:t>
      </w:r>
      <w:r>
        <w:t>, y</w:t>
      </w:r>
      <w:r w:rsidR="00D933AB">
        <w:t>ou should highlight</w:t>
      </w:r>
      <w:r w:rsidR="001E483C">
        <w:t xml:space="preserve"> (in that application)</w:t>
      </w:r>
      <w:r w:rsidR="00D933AB">
        <w:t xml:space="preserve"> </w:t>
      </w:r>
      <w:r w:rsidR="00257F74">
        <w:t>that a priority applicant determination</w:t>
      </w:r>
      <w:r w:rsidR="00351C6A">
        <w:t xml:space="preserve"> has been made</w:t>
      </w:r>
      <w:r w:rsidR="00D933AB">
        <w:t>.</w:t>
      </w:r>
      <w:r w:rsidR="00257F74">
        <w:t xml:space="preserve"> </w:t>
      </w:r>
      <w:r w:rsidR="00302E85">
        <w:t xml:space="preserve">If you already have a pending application for conformity assessment or ARTG submission, </w:t>
      </w:r>
      <w:r w:rsidR="00257F74">
        <w:t>you</w:t>
      </w:r>
      <w:r w:rsidR="001E483C">
        <w:t xml:space="preserve"> should highlight in your priority applicant determination appl</w:t>
      </w:r>
      <w:r w:rsidR="004A2D26">
        <w:t>ication that this is the case.</w:t>
      </w:r>
    </w:p>
    <w:p w14:paraId="55350F76" w14:textId="7BCADE9E" w:rsidR="00C14153" w:rsidRDefault="00515C6B" w:rsidP="00705421">
      <w:pPr>
        <w:pStyle w:val="Heading4"/>
      </w:pPr>
      <w:bookmarkStart w:id="60" w:name="_Toc55923652"/>
      <w:r>
        <w:t>Priority</w:t>
      </w:r>
      <w:r w:rsidR="003D64B3">
        <w:t xml:space="preserve"> c</w:t>
      </w:r>
      <w:r>
        <w:t>onsideration</w:t>
      </w:r>
      <w:r w:rsidR="00C14153">
        <w:t xml:space="preserve"> process</w:t>
      </w:r>
      <w:bookmarkEnd w:id="60"/>
    </w:p>
    <w:p w14:paraId="59DED1E8" w14:textId="66EA3E0E" w:rsidR="0081459C" w:rsidRDefault="00C14153" w:rsidP="006246F0">
      <w:r>
        <w:t>T</w:t>
      </w:r>
      <w:r w:rsidR="00713840">
        <w:t xml:space="preserve">he </w:t>
      </w:r>
      <w:r w:rsidR="00351C6A">
        <w:t xml:space="preserve">corresponding </w:t>
      </w:r>
      <w:r w:rsidR="00713840">
        <w:t xml:space="preserve">application for </w:t>
      </w:r>
      <w:r w:rsidR="00351C6A">
        <w:t>c</w:t>
      </w:r>
      <w:r w:rsidR="00713840" w:rsidRPr="00705421">
        <w:t xml:space="preserve">onformity </w:t>
      </w:r>
      <w:r w:rsidR="00351C6A">
        <w:t>a</w:t>
      </w:r>
      <w:r w:rsidR="00713840" w:rsidRPr="00705421">
        <w:t>ssessment</w:t>
      </w:r>
      <w:r w:rsidR="00713840" w:rsidRPr="0029538D">
        <w:t xml:space="preserve"> or </w:t>
      </w:r>
      <w:r w:rsidR="00713840" w:rsidRPr="00705421">
        <w:t>ARTG inclusion</w:t>
      </w:r>
      <w:r w:rsidR="00713840">
        <w:rPr>
          <w:b/>
        </w:rPr>
        <w:t xml:space="preserve"> </w:t>
      </w:r>
      <w:r w:rsidR="00713840" w:rsidRPr="00713840">
        <w:t xml:space="preserve">will be </w:t>
      </w:r>
      <w:r w:rsidR="00713840">
        <w:t xml:space="preserve">assigned </w:t>
      </w:r>
      <w:r w:rsidR="00713840" w:rsidRPr="00713840">
        <w:t xml:space="preserve">front-of-queue </w:t>
      </w:r>
      <w:r w:rsidR="00713840">
        <w:t>status through all TGA processes</w:t>
      </w:r>
      <w:r w:rsidR="0051486D">
        <w:t xml:space="preserve">, </w:t>
      </w:r>
      <w:r w:rsidR="00713840">
        <w:t>including technical assessments and bu</w:t>
      </w:r>
      <w:r w:rsidR="0051486D">
        <w:t>siness processes (</w:t>
      </w:r>
      <w:r>
        <w:t>this is referred to as the ‘Priority pathway’ in</w:t>
      </w:r>
      <w:r w:rsidR="00B86204">
        <w:t xml:space="preserve"> </w:t>
      </w:r>
      <w:r w:rsidR="00744480">
        <w:t>the</w:t>
      </w:r>
      <w:r w:rsidR="0081459C">
        <w:t xml:space="preserve"> </w:t>
      </w:r>
      <w:hyperlink w:anchor="_Flowchart_of_the" w:history="1">
        <w:r w:rsidR="00B86204" w:rsidRPr="0081459C">
          <w:rPr>
            <w:rStyle w:val="Hyperlink"/>
          </w:rPr>
          <w:t>Flowchart of the p</w:t>
        </w:r>
        <w:r w:rsidR="00744480" w:rsidRPr="0081459C">
          <w:rPr>
            <w:rStyle w:val="Hyperlink"/>
          </w:rPr>
          <w:t>riority</w:t>
        </w:r>
        <w:r w:rsidR="00B86204" w:rsidRPr="0081459C">
          <w:rPr>
            <w:rStyle w:val="Hyperlink"/>
          </w:rPr>
          <w:t xml:space="preserve"> </w:t>
        </w:r>
        <w:r w:rsidR="0081459C" w:rsidRPr="0081459C">
          <w:rPr>
            <w:rStyle w:val="Hyperlink"/>
          </w:rPr>
          <w:t>applicant determination process</w:t>
        </w:r>
      </w:hyperlink>
      <w:r w:rsidR="0051486D">
        <w:t xml:space="preserve"> below).</w:t>
      </w:r>
    </w:p>
    <w:p w14:paraId="4DCC71B5" w14:textId="4F336812" w:rsidR="00713840" w:rsidRDefault="00713840" w:rsidP="004A2D26">
      <w:r>
        <w:t xml:space="preserve">Whilst the </w:t>
      </w:r>
      <w:r w:rsidR="00B86204">
        <w:t xml:space="preserve">legislated </w:t>
      </w:r>
      <w:r>
        <w:t>time</w:t>
      </w:r>
      <w:r w:rsidR="00B86204">
        <w:t>frames for these corresponding applications</w:t>
      </w:r>
      <w:r w:rsidR="00EC03A4">
        <w:t>, where applicable,</w:t>
      </w:r>
      <w:r>
        <w:t xml:space="preserve"> do not change, th</w:t>
      </w:r>
      <w:r w:rsidR="00B86204">
        <w:t>e</w:t>
      </w:r>
      <w:r>
        <w:t xml:space="preserve"> general result i</w:t>
      </w:r>
      <w:r w:rsidR="00B86204">
        <w:t>s</w:t>
      </w:r>
      <w:r>
        <w:t xml:space="preserve"> significantly reduced times for processing </w:t>
      </w:r>
      <w:r w:rsidR="00B86204">
        <w:t xml:space="preserve">these </w:t>
      </w:r>
      <w:r>
        <w:t>applications.</w:t>
      </w:r>
      <w:r w:rsidR="00C14153">
        <w:t xml:space="preserve"> For example, there is a legislated timeframe</w:t>
      </w:r>
      <w:r w:rsidR="008D5B54">
        <w:t xml:space="preserve"> of 255 working days</w:t>
      </w:r>
      <w:r w:rsidR="00C14153">
        <w:t xml:space="preserve"> for </w:t>
      </w:r>
      <w:r w:rsidR="008D5B54">
        <w:t>making a decision on</w:t>
      </w:r>
      <w:r w:rsidR="0059165D">
        <w:t xml:space="preserve"> </w:t>
      </w:r>
      <w:r w:rsidR="008D5B54">
        <w:t>a</w:t>
      </w:r>
      <w:r w:rsidR="00C14153">
        <w:t xml:space="preserve"> conformity assessment application w</w:t>
      </w:r>
      <w:r w:rsidR="0081459C">
        <w:t xml:space="preserve">here </w:t>
      </w:r>
      <w:r w:rsidR="008D5B54">
        <w:t xml:space="preserve">a design </w:t>
      </w:r>
      <w:r w:rsidR="0081459C">
        <w:t>examination is required.</w:t>
      </w:r>
    </w:p>
    <w:bookmarkEnd w:id="59"/>
    <w:p w14:paraId="3F17C69F" w14:textId="0F090238" w:rsidR="00450189" w:rsidRDefault="007F545D" w:rsidP="004A2D26">
      <w:r>
        <w:t>I</w:t>
      </w:r>
      <w:r w:rsidR="00713840">
        <w:t xml:space="preserve">nformation submitted as part of the application for </w:t>
      </w:r>
      <w:r w:rsidR="003B6D6A">
        <w:t>a p</w:t>
      </w:r>
      <w:r w:rsidR="00713840">
        <w:t xml:space="preserve">riority </w:t>
      </w:r>
      <w:r w:rsidR="003B6D6A">
        <w:t>a</w:t>
      </w:r>
      <w:r w:rsidR="00713840">
        <w:t xml:space="preserve">pplicant </w:t>
      </w:r>
      <w:r w:rsidR="003B6D6A">
        <w:t>d</w:t>
      </w:r>
      <w:r w:rsidR="00713840">
        <w:t>etermination</w:t>
      </w:r>
      <w:r w:rsidR="00713840" w:rsidRPr="00151EB9">
        <w:t xml:space="preserve"> </w:t>
      </w:r>
      <w:r w:rsidR="00713840">
        <w:t>does not automatically become part</w:t>
      </w:r>
      <w:r w:rsidR="00C14153">
        <w:t xml:space="preserve"> of</w:t>
      </w:r>
      <w:r w:rsidR="00713840" w:rsidRPr="00151EB9">
        <w:t xml:space="preserve"> </w:t>
      </w:r>
      <w:r w:rsidR="003B6D6A">
        <w:t xml:space="preserve">any </w:t>
      </w:r>
      <w:r w:rsidR="00713840" w:rsidRPr="00151EB9">
        <w:t xml:space="preserve">subsequent application for </w:t>
      </w:r>
      <w:r w:rsidR="003B6D6A">
        <w:t>c</w:t>
      </w:r>
      <w:r w:rsidR="00713840" w:rsidRPr="00705421">
        <w:t xml:space="preserve">onformity </w:t>
      </w:r>
      <w:r w:rsidR="003B6D6A">
        <w:t>a</w:t>
      </w:r>
      <w:r w:rsidR="00713840" w:rsidRPr="00705421">
        <w:t>ssessment</w:t>
      </w:r>
      <w:r w:rsidR="00713840" w:rsidRPr="0029538D">
        <w:t xml:space="preserve"> or </w:t>
      </w:r>
      <w:r w:rsidR="00713840" w:rsidRPr="00705421">
        <w:t>ARTG inclusion.</w:t>
      </w:r>
      <w:r w:rsidR="00713840">
        <w:rPr>
          <w:b/>
        </w:rPr>
        <w:t xml:space="preserve"> </w:t>
      </w:r>
      <w:r w:rsidR="003B6D6A" w:rsidRPr="00151EB9">
        <w:t>It is your respo</w:t>
      </w:r>
      <w:r w:rsidR="003B6D6A">
        <w:t xml:space="preserve">nsibility to ensure that matters </w:t>
      </w:r>
      <w:r>
        <w:t>included</w:t>
      </w:r>
      <w:r w:rsidR="003B6D6A" w:rsidRPr="00151EB9">
        <w:t xml:space="preserve"> in the </w:t>
      </w:r>
      <w:r w:rsidR="003B6D6A">
        <w:t xml:space="preserve">application for </w:t>
      </w:r>
      <w:r w:rsidR="00E470D2">
        <w:t xml:space="preserve">a </w:t>
      </w:r>
      <w:r w:rsidR="003B6D6A">
        <w:lastRenderedPageBreak/>
        <w:t>priority applicant determination</w:t>
      </w:r>
      <w:r w:rsidR="003B6D6A" w:rsidRPr="00151EB9">
        <w:t xml:space="preserve"> are</w:t>
      </w:r>
      <w:r w:rsidR="003B6D6A">
        <w:t xml:space="preserve"> also</w:t>
      </w:r>
      <w:r w:rsidR="003B6D6A" w:rsidRPr="00151EB9">
        <w:t xml:space="preserve"> </w:t>
      </w:r>
      <w:r>
        <w:t>included</w:t>
      </w:r>
      <w:r w:rsidR="003B6D6A" w:rsidRPr="00151EB9">
        <w:t xml:space="preserve"> in your subsequent application for </w:t>
      </w:r>
      <w:r w:rsidR="003B6D6A">
        <w:t>c</w:t>
      </w:r>
      <w:r w:rsidR="003B6D6A" w:rsidRPr="0087117B">
        <w:t xml:space="preserve">onformity </w:t>
      </w:r>
      <w:r w:rsidR="003B6D6A">
        <w:t>a</w:t>
      </w:r>
      <w:r w:rsidR="003B6D6A" w:rsidRPr="0087117B">
        <w:t>ssessment</w:t>
      </w:r>
      <w:r w:rsidR="00C14153">
        <w:t>,</w:t>
      </w:r>
      <w:r w:rsidR="003B6D6A" w:rsidRPr="0087117B">
        <w:t xml:space="preserve"> or ARTG inclusion</w:t>
      </w:r>
      <w:r w:rsidR="00C14153">
        <w:t>,</w:t>
      </w:r>
      <w:r w:rsidR="003B6D6A">
        <w:t xml:space="preserve"> where this is relevant</w:t>
      </w:r>
      <w:r w:rsidR="00E470D2">
        <w:t xml:space="preserve"> to the criteria for those matters</w:t>
      </w:r>
      <w:r w:rsidR="003B6D6A" w:rsidRPr="0087117B">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B87C24" w:rsidRPr="00215D48" w14:paraId="54835A4A" w14:textId="77777777" w:rsidTr="007E7B74">
        <w:trPr>
          <w:trHeight w:val="838"/>
        </w:trPr>
        <w:tc>
          <w:tcPr>
            <w:tcW w:w="1276" w:type="dxa"/>
            <w:vAlign w:val="center"/>
          </w:tcPr>
          <w:p w14:paraId="63A36D0C" w14:textId="77777777" w:rsidR="00B87C24" w:rsidRPr="00215D48" w:rsidRDefault="00B87C24" w:rsidP="007E7B74">
            <w:pPr>
              <w:spacing w:before="0"/>
              <w:rPr>
                <w:sz w:val="20"/>
              </w:rPr>
            </w:pPr>
            <w:r w:rsidRPr="00215D48">
              <w:rPr>
                <w:noProof/>
                <w:sz w:val="20"/>
                <w:lang w:eastAsia="en-AU"/>
              </w:rPr>
              <w:drawing>
                <wp:inline distT="0" distB="0" distL="0" distR="0" wp14:anchorId="4E2BAEC9" wp14:editId="7CDD300E">
                  <wp:extent cx="487681" cy="487681"/>
                  <wp:effectExtent l="19050" t="0" r="7619" b="0"/>
                  <wp:docPr id="1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0F9B511C" w14:textId="56BAA566" w:rsidR="00B87C24" w:rsidRPr="007414F4" w:rsidRDefault="00B87C24" w:rsidP="004A2D26">
            <w:r>
              <w:t>The criteria for conformity assessment, or for ARTG inclusion, are separate and different to the criteria for obtaining a priority applicant determination (and there will also be differences in processes).</w:t>
            </w:r>
          </w:p>
        </w:tc>
      </w:tr>
    </w:tbl>
    <w:p w14:paraId="4F290168" w14:textId="77777777" w:rsidR="00E470D2" w:rsidRPr="00D26DC6" w:rsidRDefault="00E470D2" w:rsidP="00E470D2">
      <w:pPr>
        <w:rPr>
          <w:lang w:val="en"/>
        </w:rPr>
      </w:pPr>
      <w:r>
        <w:t xml:space="preserve">For more information about applications for TGA conformity assessment or for ARTG inclusion refer to </w:t>
      </w:r>
      <w:hyperlink r:id="rId33" w:history="1">
        <w:r w:rsidRPr="00DF05F8">
          <w:rPr>
            <w:rStyle w:val="Hyperlink"/>
            <w:lang w:val="en"/>
          </w:rPr>
          <w:t>Standards, guidelines &amp; publications (medical devices &amp; IVDs)</w:t>
        </w:r>
      </w:hyperlink>
      <w:r>
        <w:rPr>
          <w:lang w:val="en"/>
        </w:rPr>
        <w:t>.</w:t>
      </w:r>
    </w:p>
    <w:p w14:paraId="60B235BD" w14:textId="359403D3" w:rsidR="008A0EF9" w:rsidRDefault="00E470D2" w:rsidP="006246F0">
      <w:pPr>
        <w:pStyle w:val="Heading3"/>
      </w:pPr>
      <w:bookmarkStart w:id="61" w:name="_Cessation,_revocation_or"/>
      <w:bookmarkStart w:id="62" w:name="_Toc55923653"/>
      <w:bookmarkEnd w:id="61"/>
      <w:r>
        <w:t>C</w:t>
      </w:r>
      <w:r w:rsidR="006D62AB">
        <w:t>essation, r</w:t>
      </w:r>
      <w:bookmarkStart w:id="63" w:name="_Toc499112021"/>
      <w:r w:rsidR="008A0EF9">
        <w:t>evocation</w:t>
      </w:r>
      <w:r w:rsidR="006D62AB">
        <w:t xml:space="preserve"> or r</w:t>
      </w:r>
      <w:r w:rsidR="008A0EF9">
        <w:t>e-</w:t>
      </w:r>
      <w:r w:rsidR="00777798">
        <w:t>applying</w:t>
      </w:r>
      <w:bookmarkEnd w:id="62"/>
      <w:r w:rsidR="008A0EF9">
        <w:t xml:space="preserve"> </w:t>
      </w:r>
    </w:p>
    <w:p w14:paraId="7DFAF66B" w14:textId="5DA654BC" w:rsidR="00827527" w:rsidRPr="006F02AA" w:rsidRDefault="00E470D2" w:rsidP="00FA56F7">
      <w:pPr>
        <w:pStyle w:val="Heading4"/>
      </w:pPr>
      <w:bookmarkStart w:id="64" w:name="_Toc55923654"/>
      <w:bookmarkEnd w:id="63"/>
      <w:r>
        <w:t>Ce</w:t>
      </w:r>
      <w:r w:rsidR="006D62AB">
        <w:t>ssation</w:t>
      </w:r>
      <w:r>
        <w:t xml:space="preserve"> </w:t>
      </w:r>
      <w:r w:rsidR="0051486D" w:rsidRPr="006F02AA">
        <w:t xml:space="preserve">of </w:t>
      </w:r>
      <w:r w:rsidR="00705421">
        <w:t xml:space="preserve">a </w:t>
      </w:r>
      <w:r>
        <w:t>p</w:t>
      </w:r>
      <w:r w:rsidR="0051486D" w:rsidRPr="006F02AA">
        <w:t xml:space="preserve">riority </w:t>
      </w:r>
      <w:r>
        <w:t>a</w:t>
      </w:r>
      <w:r w:rsidR="0051486D" w:rsidRPr="006F02AA">
        <w:t xml:space="preserve">pplicant </w:t>
      </w:r>
      <w:r>
        <w:t>d</w:t>
      </w:r>
      <w:r w:rsidR="0051486D" w:rsidRPr="006F02AA">
        <w:t>etermination</w:t>
      </w:r>
      <w:r w:rsidR="006D62AB">
        <w:t xml:space="preserve"> being in force</w:t>
      </w:r>
      <w:bookmarkEnd w:id="64"/>
    </w:p>
    <w:p w14:paraId="580AF835" w14:textId="64861A05" w:rsidR="000C6B9F" w:rsidRDefault="00E470D2" w:rsidP="004A2D26">
      <w:pPr>
        <w:rPr>
          <w:lang w:val="en"/>
        </w:rPr>
      </w:pPr>
      <w:r>
        <w:rPr>
          <w:lang w:val="en"/>
        </w:rPr>
        <w:t>A p</w:t>
      </w:r>
      <w:r w:rsidR="001102ED">
        <w:rPr>
          <w:lang w:val="en"/>
        </w:rPr>
        <w:t xml:space="preserve">riority </w:t>
      </w:r>
      <w:r>
        <w:rPr>
          <w:lang w:val="en"/>
        </w:rPr>
        <w:t>a</w:t>
      </w:r>
      <w:r w:rsidR="001102ED">
        <w:rPr>
          <w:lang w:val="en"/>
        </w:rPr>
        <w:t>pplicant</w:t>
      </w:r>
      <w:r w:rsidR="000C6B9F" w:rsidRPr="000C6B9F">
        <w:rPr>
          <w:lang w:val="en"/>
        </w:rPr>
        <w:t xml:space="preserve"> </w:t>
      </w:r>
      <w:r>
        <w:rPr>
          <w:lang w:val="en"/>
        </w:rPr>
        <w:t>d</w:t>
      </w:r>
      <w:r w:rsidR="000C6B9F" w:rsidRPr="000C6B9F">
        <w:rPr>
          <w:lang w:val="en"/>
        </w:rPr>
        <w:t>e</w:t>
      </w:r>
      <w:r w:rsidR="006F7702">
        <w:rPr>
          <w:lang w:val="en"/>
        </w:rPr>
        <w:t>termination</w:t>
      </w:r>
      <w:r w:rsidR="000C6B9F" w:rsidRPr="000C6B9F">
        <w:rPr>
          <w:lang w:val="en"/>
        </w:rPr>
        <w:t xml:space="preserve"> will automatically </w:t>
      </w:r>
      <w:r>
        <w:rPr>
          <w:lang w:val="en"/>
        </w:rPr>
        <w:t>cease to be in force</w:t>
      </w:r>
      <w:r w:rsidR="000C6B9F" w:rsidRPr="000C6B9F">
        <w:rPr>
          <w:lang w:val="en"/>
        </w:rPr>
        <w:t xml:space="preserve"> </w:t>
      </w:r>
      <w:r w:rsidR="005479FE">
        <w:rPr>
          <w:b/>
          <w:lang w:val="en"/>
        </w:rPr>
        <w:t>6</w:t>
      </w:r>
      <w:r w:rsidR="000C6B9F" w:rsidRPr="00903F65">
        <w:rPr>
          <w:b/>
          <w:lang w:val="en"/>
        </w:rPr>
        <w:t xml:space="preserve"> months</w:t>
      </w:r>
      <w:r w:rsidR="000C6B9F" w:rsidRPr="000C6B9F">
        <w:rPr>
          <w:lang w:val="en"/>
        </w:rPr>
        <w:t xml:space="preserve"> after the date that you are notified of the deci</w:t>
      </w:r>
      <w:r w:rsidR="009C778B">
        <w:rPr>
          <w:lang w:val="en"/>
        </w:rPr>
        <w:t>sion</w:t>
      </w:r>
      <w:r>
        <w:rPr>
          <w:lang w:val="en"/>
        </w:rPr>
        <w:t xml:space="preserve"> (to make the determination)</w:t>
      </w:r>
      <w:r w:rsidR="00B30607">
        <w:rPr>
          <w:lang w:val="en"/>
        </w:rPr>
        <w:t>,</w:t>
      </w:r>
      <w:r w:rsidR="00AE539E">
        <w:rPr>
          <w:lang w:val="en"/>
        </w:rPr>
        <w:t xml:space="preserve"> </w:t>
      </w:r>
      <w:r w:rsidR="0051486D">
        <w:rPr>
          <w:lang w:val="en"/>
        </w:rPr>
        <w:t xml:space="preserve">if </w:t>
      </w:r>
      <w:r w:rsidR="00705421">
        <w:rPr>
          <w:lang w:val="en"/>
        </w:rPr>
        <w:t>you have not submitted your</w:t>
      </w:r>
      <w:r w:rsidR="00C00A46" w:rsidRPr="00C00A46">
        <w:t xml:space="preserve"> application for </w:t>
      </w:r>
      <w:r>
        <w:t>c</w:t>
      </w:r>
      <w:r w:rsidR="00C00A46" w:rsidRPr="00C00A46">
        <w:t xml:space="preserve">onformity </w:t>
      </w:r>
      <w:r>
        <w:t>a</w:t>
      </w:r>
      <w:r w:rsidR="00C00A46" w:rsidRPr="00C00A46">
        <w:t xml:space="preserve">ssessment or ARTG inclusion </w:t>
      </w:r>
      <w:r w:rsidR="0051486D">
        <w:t>by this time</w:t>
      </w:r>
      <w:r w:rsidR="00B87C24">
        <w:t xml:space="preserve"> (n</w:t>
      </w:r>
      <w:r w:rsidR="00B30607">
        <w:t>ote that</w:t>
      </w:r>
      <w:r w:rsidR="006D62AB">
        <w:t xml:space="preserve"> the</w:t>
      </w:r>
      <w:r w:rsidR="00B30607">
        <w:t xml:space="preserve"> application must also </w:t>
      </w:r>
      <w:r w:rsidR="00B87C24">
        <w:t>meet application requirements</w:t>
      </w:r>
      <w:r w:rsidR="00B30607">
        <w:t>)</w:t>
      </w:r>
      <w:r w:rsidR="00B87C24">
        <w:t>.</w:t>
      </w:r>
    </w:p>
    <w:p w14:paraId="37E0E857" w14:textId="56009BD1" w:rsidR="00C00A46" w:rsidRDefault="00B30607" w:rsidP="004A2D26">
      <w:pPr>
        <w:rPr>
          <w:lang w:val="en"/>
        </w:rPr>
      </w:pPr>
      <w:r>
        <w:rPr>
          <w:lang w:val="en"/>
        </w:rPr>
        <w:t>Where a priority applicant makes (or has already made) an application for conformity assessment or ARTG inclusion before the end of the 6 month period, the p</w:t>
      </w:r>
      <w:r w:rsidR="001102ED">
        <w:rPr>
          <w:lang w:val="en"/>
        </w:rPr>
        <w:t>riority applicant</w:t>
      </w:r>
      <w:r w:rsidR="00C00A46">
        <w:rPr>
          <w:lang w:val="en"/>
        </w:rPr>
        <w:t xml:space="preserve"> de</w:t>
      </w:r>
      <w:r w:rsidR="006F7702">
        <w:rPr>
          <w:lang w:val="en"/>
        </w:rPr>
        <w:t>termination</w:t>
      </w:r>
      <w:r>
        <w:rPr>
          <w:lang w:val="en"/>
        </w:rPr>
        <w:t xml:space="preserve"> remains in</w:t>
      </w:r>
      <w:r w:rsidR="00C631FF">
        <w:rPr>
          <w:lang w:val="en"/>
        </w:rPr>
        <w:t xml:space="preserve"> force during the processing of that application.  However, the determination </w:t>
      </w:r>
      <w:r w:rsidR="00C00A46">
        <w:rPr>
          <w:lang w:val="en"/>
        </w:rPr>
        <w:t xml:space="preserve">will </w:t>
      </w:r>
      <w:r>
        <w:rPr>
          <w:lang w:val="en"/>
        </w:rPr>
        <w:t>cease to be in force where</w:t>
      </w:r>
      <w:r w:rsidR="00603A91">
        <w:rPr>
          <w:lang w:val="en"/>
        </w:rPr>
        <w:t>:</w:t>
      </w:r>
    </w:p>
    <w:p w14:paraId="4A3E26B9" w14:textId="5C5665E1" w:rsidR="00603A91" w:rsidRPr="00603A91" w:rsidRDefault="00603A91" w:rsidP="004A2D26">
      <w:pPr>
        <w:pStyle w:val="ListBullet"/>
      </w:pPr>
      <w:r w:rsidRPr="00603A91">
        <w:t>the priority applicant withdraws the application</w:t>
      </w:r>
      <w:r>
        <w:t xml:space="preserve"> for conformity assessment or ARTG inclusion</w:t>
      </w:r>
    </w:p>
    <w:p w14:paraId="05C53B83" w14:textId="14B4A26B" w:rsidR="004D642C" w:rsidRPr="004A2D26" w:rsidRDefault="00603A91" w:rsidP="004A2D26">
      <w:pPr>
        <w:pStyle w:val="ListBullet"/>
      </w:pPr>
      <w:r w:rsidRPr="00603A91">
        <w:t>the</w:t>
      </w:r>
      <w:r w:rsidR="004D642C">
        <w:t xml:space="preserve"> </w:t>
      </w:r>
      <w:r w:rsidR="006D62AB">
        <w:t xml:space="preserve">application for </w:t>
      </w:r>
      <w:r w:rsidR="004D642C">
        <w:t>conformity assessment</w:t>
      </w:r>
      <w:r w:rsidR="006D62AB">
        <w:t xml:space="preserve"> or ARTG inclusion</w:t>
      </w:r>
      <w:r w:rsidRPr="00603A91">
        <w:t xml:space="preserve"> lapses </w:t>
      </w:r>
      <w:r w:rsidR="00C631FF">
        <w:t>(</w:t>
      </w:r>
      <w:r w:rsidRPr="00603A91">
        <w:t>in accordance with s</w:t>
      </w:r>
      <w:r w:rsidR="00607A8F">
        <w:t>ection</w:t>
      </w:r>
      <w:r w:rsidRPr="00603A91">
        <w:t xml:space="preserve"> 41EG </w:t>
      </w:r>
      <w:r w:rsidR="006D62AB">
        <w:t xml:space="preserve">or section 41FK </w:t>
      </w:r>
      <w:r w:rsidR="00C631FF">
        <w:t>of the Act</w:t>
      </w:r>
      <w:r w:rsidR="006D62AB">
        <w:t>, respectively</w:t>
      </w:r>
      <w:r w:rsidR="00C631FF" w:rsidRPr="006D62AB">
        <w:t>)</w:t>
      </w:r>
    </w:p>
    <w:p w14:paraId="0771C446" w14:textId="2B81FD98" w:rsidR="003177D4" w:rsidRDefault="00603A91" w:rsidP="004A2D26">
      <w:pPr>
        <w:pStyle w:val="ListBullet"/>
      </w:pPr>
      <w:proofErr w:type="gramStart"/>
      <w:r w:rsidRPr="00603A91">
        <w:t>the</w:t>
      </w:r>
      <w:proofErr w:type="gramEnd"/>
      <w:r w:rsidRPr="00603A91">
        <w:t xml:space="preserve"> application for conformity assessment or ARTG inclusion </w:t>
      </w:r>
      <w:r>
        <w:t>is finally determined</w:t>
      </w:r>
      <w:r w:rsidR="00C631FF">
        <w:t>.</w:t>
      </w:r>
    </w:p>
    <w:p w14:paraId="3283680E" w14:textId="64622AF4" w:rsidR="00C00A46" w:rsidRPr="006F02AA" w:rsidRDefault="00C00A46" w:rsidP="00FA56F7">
      <w:pPr>
        <w:pStyle w:val="Heading4"/>
      </w:pPr>
      <w:bookmarkStart w:id="65" w:name="_Toc55923655"/>
      <w:r w:rsidRPr="006F02AA">
        <w:t>Revocation</w:t>
      </w:r>
      <w:r w:rsidR="0051486D" w:rsidRPr="006F02AA">
        <w:t xml:space="preserve"> of </w:t>
      </w:r>
      <w:r w:rsidR="00705421">
        <w:t xml:space="preserve">a </w:t>
      </w:r>
      <w:r w:rsidR="00C631FF">
        <w:t>p</w:t>
      </w:r>
      <w:r w:rsidR="0051486D" w:rsidRPr="006F02AA">
        <w:t xml:space="preserve">riority </w:t>
      </w:r>
      <w:r w:rsidR="00C631FF">
        <w:t>a</w:t>
      </w:r>
      <w:r w:rsidR="0051486D" w:rsidRPr="006F02AA">
        <w:t xml:space="preserve">pplicant </w:t>
      </w:r>
      <w:r w:rsidR="00C631FF">
        <w:t>d</w:t>
      </w:r>
      <w:r w:rsidR="0051486D" w:rsidRPr="006F02AA">
        <w:t>etermination</w:t>
      </w:r>
      <w:bookmarkEnd w:id="65"/>
    </w:p>
    <w:p w14:paraId="763BA485" w14:textId="38D7676D" w:rsidR="000C6B9F" w:rsidRPr="000C6B9F" w:rsidRDefault="0029538D" w:rsidP="00C00A46">
      <w:pPr>
        <w:spacing w:after="120"/>
        <w:rPr>
          <w:lang w:val="en"/>
        </w:rPr>
      </w:pPr>
      <w:r>
        <w:rPr>
          <w:lang w:val="en"/>
        </w:rPr>
        <w:t xml:space="preserve">The </w:t>
      </w:r>
      <w:r w:rsidR="000C6B9F" w:rsidRPr="000C6B9F">
        <w:rPr>
          <w:lang w:val="en"/>
        </w:rPr>
        <w:t xml:space="preserve">TGA </w:t>
      </w:r>
      <w:r>
        <w:rPr>
          <w:lang w:val="en"/>
        </w:rPr>
        <w:t>has a discretionary power</w:t>
      </w:r>
      <w:r w:rsidR="000C6B9F" w:rsidRPr="000C6B9F">
        <w:rPr>
          <w:lang w:val="en"/>
        </w:rPr>
        <w:t xml:space="preserve"> to revoke </w:t>
      </w:r>
      <w:r w:rsidR="00777798">
        <w:rPr>
          <w:lang w:val="en"/>
        </w:rPr>
        <w:t xml:space="preserve">a priority applicant </w:t>
      </w:r>
      <w:r w:rsidR="000C6B9F" w:rsidRPr="000C6B9F">
        <w:rPr>
          <w:lang w:val="en"/>
        </w:rPr>
        <w:t>de</w:t>
      </w:r>
      <w:r w:rsidR="005D638D">
        <w:rPr>
          <w:lang w:val="en"/>
        </w:rPr>
        <w:t>termination</w:t>
      </w:r>
      <w:r w:rsidR="000C6B9F" w:rsidRPr="000C6B9F">
        <w:rPr>
          <w:lang w:val="en"/>
        </w:rPr>
        <w:t xml:space="preserve"> prior to the end of the </w:t>
      </w:r>
      <w:r w:rsidR="00366F4D">
        <w:rPr>
          <w:lang w:val="en"/>
        </w:rPr>
        <w:t>6</w:t>
      </w:r>
      <w:r w:rsidR="000C6B9F" w:rsidRPr="000C6B9F">
        <w:rPr>
          <w:lang w:val="en"/>
        </w:rPr>
        <w:t xml:space="preserve"> month period. This may occur if:</w:t>
      </w:r>
    </w:p>
    <w:p w14:paraId="69236E70" w14:textId="4F97CB3D" w:rsidR="00603A91" w:rsidRPr="00607A8F" w:rsidRDefault="0029538D" w:rsidP="00607A8F">
      <w:pPr>
        <w:pStyle w:val="ListBullet"/>
        <w:spacing w:after="120"/>
        <w:ind w:left="357" w:hanging="357"/>
        <w:rPr>
          <w:lang w:val="en"/>
        </w:rPr>
      </w:pPr>
      <w:r>
        <w:rPr>
          <w:lang w:val="en"/>
        </w:rPr>
        <w:t>you have not made an</w:t>
      </w:r>
      <w:r w:rsidR="009C778B" w:rsidRPr="009C778B">
        <w:rPr>
          <w:lang w:val="en"/>
        </w:rPr>
        <w:t xml:space="preserve"> application</w:t>
      </w:r>
      <w:r w:rsidR="00603A91">
        <w:rPr>
          <w:lang w:val="en"/>
        </w:rPr>
        <w:t xml:space="preserve"> for TGA conformity assessment or ARTG inclusion</w:t>
      </w:r>
      <w:r w:rsidR="00D86C23">
        <w:rPr>
          <w:lang w:val="en"/>
        </w:rPr>
        <w:t>,</w:t>
      </w:r>
      <w:r w:rsidR="001930AE">
        <w:rPr>
          <w:lang w:val="en"/>
        </w:rPr>
        <w:t xml:space="preserve"> or</w:t>
      </w:r>
      <w:r w:rsidR="00D86C23">
        <w:rPr>
          <w:lang w:val="en"/>
        </w:rPr>
        <w:t xml:space="preserve"> you have made such an application but </w:t>
      </w:r>
      <w:r w:rsidR="00B87C24">
        <w:rPr>
          <w:lang w:val="en"/>
        </w:rPr>
        <w:t>it is not effective (</w:t>
      </w:r>
      <w:r w:rsidR="00482C59">
        <w:rPr>
          <w:lang w:val="en"/>
        </w:rPr>
        <w:t>it does not meet app</w:t>
      </w:r>
      <w:r w:rsidR="00A5440D">
        <w:rPr>
          <w:lang w:val="en"/>
        </w:rPr>
        <w:t>lication requirements)</w:t>
      </w:r>
    </w:p>
    <w:p w14:paraId="22993D7A" w14:textId="46D51C36" w:rsidR="000C6B9F" w:rsidRPr="009C778B" w:rsidRDefault="0039377A" w:rsidP="00C00A46">
      <w:pPr>
        <w:pStyle w:val="ListBullet"/>
        <w:spacing w:after="120"/>
        <w:ind w:left="357" w:hanging="357"/>
        <w:rPr>
          <w:lang w:val="en"/>
        </w:rPr>
      </w:pPr>
      <w:proofErr w:type="gramStart"/>
      <w:r>
        <w:rPr>
          <w:lang w:val="en"/>
        </w:rPr>
        <w:t>the</w:t>
      </w:r>
      <w:proofErr w:type="gramEnd"/>
      <w:r>
        <w:rPr>
          <w:lang w:val="en"/>
        </w:rPr>
        <w:t xml:space="preserve"> delegate </w:t>
      </w:r>
      <w:r w:rsidR="009C778B" w:rsidRPr="009C778B">
        <w:rPr>
          <w:lang w:val="en"/>
        </w:rPr>
        <w:t>is satisfied that the</w:t>
      </w:r>
      <w:r>
        <w:rPr>
          <w:lang w:val="en"/>
        </w:rPr>
        <w:t xml:space="preserve"> criteria specified for a priority applicant determination are no longer satisfied in relation to the</w:t>
      </w:r>
      <w:r w:rsidR="009C778B" w:rsidRPr="009C778B">
        <w:rPr>
          <w:lang w:val="en"/>
        </w:rPr>
        <w:t xml:space="preserve"> medical device</w:t>
      </w:r>
      <w:r>
        <w:rPr>
          <w:lang w:val="en"/>
        </w:rPr>
        <w:t>.</w:t>
      </w:r>
    </w:p>
    <w:p w14:paraId="6BD823BF" w14:textId="2875AA8C" w:rsidR="000C6B9F" w:rsidRPr="000C6B9F" w:rsidRDefault="004A348A" w:rsidP="00C00A46">
      <w:pPr>
        <w:spacing w:before="240"/>
        <w:rPr>
          <w:lang w:val="en"/>
        </w:rPr>
      </w:pPr>
      <w:r>
        <w:rPr>
          <w:lang w:val="en"/>
        </w:rPr>
        <w:t>Generally</w:t>
      </w:r>
      <w:r w:rsidR="0039377A">
        <w:rPr>
          <w:lang w:val="en"/>
        </w:rPr>
        <w:t xml:space="preserve">, </w:t>
      </w:r>
      <w:r w:rsidR="000C6B9F" w:rsidRPr="000C6B9F">
        <w:rPr>
          <w:lang w:val="en"/>
        </w:rPr>
        <w:t xml:space="preserve">we will not routinely review </w:t>
      </w:r>
      <w:r w:rsidR="0039377A">
        <w:rPr>
          <w:lang w:val="en"/>
        </w:rPr>
        <w:t>p</w:t>
      </w:r>
      <w:r w:rsidR="0051486D">
        <w:rPr>
          <w:lang w:val="en"/>
        </w:rPr>
        <w:t xml:space="preserve">riority </w:t>
      </w:r>
      <w:r w:rsidR="0039377A">
        <w:rPr>
          <w:lang w:val="en"/>
        </w:rPr>
        <w:t>a</w:t>
      </w:r>
      <w:r w:rsidR="0051486D">
        <w:rPr>
          <w:lang w:val="en"/>
        </w:rPr>
        <w:t xml:space="preserve">pplicant </w:t>
      </w:r>
      <w:r w:rsidR="0039377A">
        <w:rPr>
          <w:lang w:val="en"/>
        </w:rPr>
        <w:t>d</w:t>
      </w:r>
      <w:r w:rsidR="006F7702" w:rsidRPr="000C6B9F">
        <w:rPr>
          <w:lang w:val="en"/>
        </w:rPr>
        <w:t>e</w:t>
      </w:r>
      <w:r w:rsidR="006F7702">
        <w:rPr>
          <w:lang w:val="en"/>
        </w:rPr>
        <w:t>termination</w:t>
      </w:r>
      <w:r w:rsidR="0051486D">
        <w:rPr>
          <w:lang w:val="en"/>
        </w:rPr>
        <w:t>s</w:t>
      </w:r>
      <w:r w:rsidR="000C6B9F" w:rsidRPr="000C6B9F">
        <w:rPr>
          <w:lang w:val="en"/>
        </w:rPr>
        <w:t xml:space="preserve"> </w:t>
      </w:r>
      <w:r w:rsidR="006F7702">
        <w:rPr>
          <w:lang w:val="en"/>
        </w:rPr>
        <w:t>while they remain</w:t>
      </w:r>
      <w:r w:rsidR="001930AE">
        <w:rPr>
          <w:lang w:val="en"/>
        </w:rPr>
        <w:t xml:space="preserve"> </w:t>
      </w:r>
      <w:r w:rsidR="0039377A">
        <w:rPr>
          <w:lang w:val="en"/>
        </w:rPr>
        <w:t>in force</w:t>
      </w:r>
      <w:r w:rsidR="00701BEB">
        <w:rPr>
          <w:lang w:val="en"/>
        </w:rPr>
        <w:t xml:space="preserve"> with a view to </w:t>
      </w:r>
      <w:r w:rsidR="00192154">
        <w:rPr>
          <w:lang w:val="en"/>
        </w:rPr>
        <w:t>considering whether a determination should be revoked</w:t>
      </w:r>
      <w:r w:rsidR="00701BEB">
        <w:rPr>
          <w:lang w:val="en"/>
        </w:rPr>
        <w:t>.</w:t>
      </w:r>
    </w:p>
    <w:p w14:paraId="22331826" w14:textId="3DC4A70A" w:rsidR="0051486D" w:rsidRPr="006F02AA" w:rsidRDefault="00A5440D" w:rsidP="00FA56F7">
      <w:pPr>
        <w:pStyle w:val="Heading4"/>
      </w:pPr>
      <w:bookmarkStart w:id="66" w:name="_Toc55923656"/>
      <w:bookmarkStart w:id="67" w:name="_Toc499112011"/>
      <w:r>
        <w:t>Re</w:t>
      </w:r>
      <w:r w:rsidR="00777798">
        <w:t>applying</w:t>
      </w:r>
      <w:r w:rsidR="00701BEB">
        <w:t xml:space="preserve"> for a p</w:t>
      </w:r>
      <w:r w:rsidR="0051486D" w:rsidRPr="006F02AA">
        <w:t xml:space="preserve">riority </w:t>
      </w:r>
      <w:r w:rsidR="00701BEB">
        <w:t>a</w:t>
      </w:r>
      <w:r w:rsidR="0051486D" w:rsidRPr="006F02AA">
        <w:t xml:space="preserve">pplicant </w:t>
      </w:r>
      <w:r w:rsidR="00701BEB">
        <w:t>d</w:t>
      </w:r>
      <w:r w:rsidR="0051486D" w:rsidRPr="006F02AA">
        <w:t>etermination</w:t>
      </w:r>
      <w:bookmarkEnd w:id="66"/>
    </w:p>
    <w:p w14:paraId="7E23B93F" w14:textId="297CDD75" w:rsidR="004304DF" w:rsidRPr="00404F93" w:rsidRDefault="004304DF" w:rsidP="004304DF">
      <w:r w:rsidRPr="00404F93">
        <w:t xml:space="preserve">If you wish to </w:t>
      </w:r>
      <w:r w:rsidR="0051486D">
        <w:t>re</w:t>
      </w:r>
      <w:r w:rsidR="003D63AF">
        <w:t>apply for</w:t>
      </w:r>
      <w:r w:rsidRPr="00404F93">
        <w:t xml:space="preserve"> </w:t>
      </w:r>
      <w:r w:rsidR="00701BEB">
        <w:t xml:space="preserve">a </w:t>
      </w:r>
      <w:r w:rsidR="002423FB">
        <w:t>p</w:t>
      </w:r>
      <w:r w:rsidRPr="00404F93">
        <w:t xml:space="preserve">riority </w:t>
      </w:r>
      <w:r w:rsidR="003D63AF">
        <w:t>applicant determination</w:t>
      </w:r>
      <w:r w:rsidRPr="00404F93">
        <w:t xml:space="preserve"> </w:t>
      </w:r>
      <w:r w:rsidR="003D63AF">
        <w:t>after a determination has</w:t>
      </w:r>
      <w:r w:rsidR="00701BEB">
        <w:t xml:space="preserve"> ceased</w:t>
      </w:r>
      <w:r w:rsidR="003D63AF">
        <w:t>,</w:t>
      </w:r>
      <w:r w:rsidRPr="00404F93">
        <w:t xml:space="preserve"> you will need to lodge</w:t>
      </w:r>
      <w:r>
        <w:t xml:space="preserve"> a new </w:t>
      </w:r>
      <w:r w:rsidR="00222E88">
        <w:t xml:space="preserve">priority applicant determination </w:t>
      </w:r>
      <w:r>
        <w:t>application.</w:t>
      </w:r>
    </w:p>
    <w:p w14:paraId="3B86ABEF" w14:textId="156017A7" w:rsidR="004304DF" w:rsidRPr="00404F93" w:rsidRDefault="004304DF" w:rsidP="004304DF">
      <w:r w:rsidRPr="00404F93">
        <w:t>We wil</w:t>
      </w:r>
      <w:r>
        <w:t xml:space="preserve">l assess the new </w:t>
      </w:r>
      <w:r w:rsidRPr="00404F93">
        <w:t>application</w:t>
      </w:r>
      <w:r w:rsidR="00222E88">
        <w:t xml:space="preserve"> and the facts of the case</w:t>
      </w:r>
      <w:r w:rsidRPr="00404F93">
        <w:t xml:space="preserve"> </w:t>
      </w:r>
      <w:r w:rsidR="00222E88">
        <w:t xml:space="preserve">as they exist at that time </w:t>
      </w:r>
      <w:r w:rsidR="00777798">
        <w:t>(</w:t>
      </w:r>
      <w:r w:rsidRPr="00404F93">
        <w:t>against the criteria</w:t>
      </w:r>
      <w:r w:rsidR="00777798">
        <w:t>)</w:t>
      </w:r>
      <w:r w:rsidRPr="00404F93">
        <w:t xml:space="preserve">, </w:t>
      </w:r>
      <w:r w:rsidR="00222E88">
        <w:t>noting it is possible that the facts</w:t>
      </w:r>
      <w:r w:rsidRPr="00404F93">
        <w:t xml:space="preserve"> may have changed since the original</w:t>
      </w:r>
      <w:r>
        <w:t xml:space="preserve"> </w:t>
      </w:r>
      <w:r w:rsidR="00222E88">
        <w:t xml:space="preserve">determination </w:t>
      </w:r>
      <w:r>
        <w:t>was made.</w:t>
      </w:r>
    </w:p>
    <w:p w14:paraId="387EC804" w14:textId="2378205B" w:rsidR="00A30AB3" w:rsidRDefault="004304DF" w:rsidP="00547D96">
      <w:r w:rsidRPr="00404F93">
        <w:lastRenderedPageBreak/>
        <w:t xml:space="preserve">For </w:t>
      </w:r>
      <w:r w:rsidR="00777798">
        <w:t xml:space="preserve">new </w:t>
      </w:r>
      <w:r w:rsidRPr="00404F93">
        <w:t xml:space="preserve">applications, you </w:t>
      </w:r>
      <w:r w:rsidR="00222E88">
        <w:t>should</w:t>
      </w:r>
      <w:r w:rsidRPr="00404F93">
        <w:t xml:space="preserve"> provide the reference number for </w:t>
      </w:r>
      <w:r>
        <w:t xml:space="preserve">any relevant </w:t>
      </w:r>
      <w:r w:rsidRPr="00404F93">
        <w:t xml:space="preserve">previous </w:t>
      </w:r>
      <w:r w:rsidR="0051486D">
        <w:t xml:space="preserve">application for </w:t>
      </w:r>
      <w:r w:rsidR="00777798">
        <w:t xml:space="preserve">a </w:t>
      </w:r>
      <w:r w:rsidR="00222E88">
        <w:t>p</w:t>
      </w:r>
      <w:r w:rsidR="0051486D" w:rsidRPr="0051486D">
        <w:t xml:space="preserve">riority </w:t>
      </w:r>
      <w:r w:rsidR="00222E88">
        <w:t>a</w:t>
      </w:r>
      <w:r w:rsidR="0051486D" w:rsidRPr="0051486D">
        <w:t xml:space="preserve">pplicant </w:t>
      </w:r>
      <w:r w:rsidR="00222E88">
        <w:t>d</w:t>
      </w:r>
      <w:r w:rsidR="0051486D" w:rsidRPr="0051486D">
        <w:t>etermination</w:t>
      </w:r>
      <w:r>
        <w:t>.</w:t>
      </w:r>
    </w:p>
    <w:p w14:paraId="63F90B5F" w14:textId="41B7BACD" w:rsidR="00745F7A" w:rsidRDefault="00745F7A" w:rsidP="00547D96">
      <w:r>
        <w:t>If a new priority applicant determination is made, the details of any corresponding application for conformity assessment or ARTG inclusion must match the details of the new priority applicant determination, for priority consideration to occur.</w:t>
      </w:r>
    </w:p>
    <w:p w14:paraId="54954D3F" w14:textId="5DCC1299" w:rsidR="0034059C" w:rsidRDefault="0034059C" w:rsidP="004A2D26">
      <w:pPr>
        <w:pStyle w:val="Heading3"/>
        <w:rPr>
          <w:rStyle w:val="Heading3Char"/>
          <w:rFonts w:eastAsia="Cambria"/>
          <w:b/>
          <w:bCs/>
          <w:sz w:val="38"/>
          <w:szCs w:val="38"/>
        </w:rPr>
      </w:pPr>
      <w:bookmarkStart w:id="68" w:name="_Case_studies"/>
      <w:bookmarkStart w:id="69" w:name="_Toc55923657"/>
      <w:bookmarkEnd w:id="68"/>
      <w:r w:rsidRPr="00474881">
        <w:rPr>
          <w:rStyle w:val="Heading3Char"/>
          <w:rFonts w:eastAsia="Cambria"/>
          <w:b/>
          <w:bCs/>
          <w:sz w:val="38"/>
          <w:szCs w:val="38"/>
        </w:rPr>
        <w:t>Case studies</w:t>
      </w:r>
      <w:bookmarkEnd w:id="69"/>
    </w:p>
    <w:p w14:paraId="78F27143" w14:textId="5D65850E" w:rsidR="00222E88" w:rsidRPr="00F81D65" w:rsidRDefault="00222E88" w:rsidP="00705421">
      <w:r>
        <w:t>The following case studies provide examples of possible scenarios</w:t>
      </w:r>
      <w:r w:rsidR="00F81D65">
        <w:t xml:space="preserve"> and outcomes. Particular </w:t>
      </w:r>
      <w:r w:rsidR="00777798">
        <w:t xml:space="preserve">focus </w:t>
      </w:r>
      <w:r w:rsidR="00F81D65">
        <w:t>is given to the nature and type of evidence provided.</w:t>
      </w:r>
    </w:p>
    <w:p w14:paraId="796BF0B9" w14:textId="4E6A500B" w:rsidR="00E36EBD" w:rsidRDefault="00E36EBD" w:rsidP="004A2D26">
      <w:pPr>
        <w:pStyle w:val="Heading4"/>
      </w:pPr>
      <w:bookmarkStart w:id="70" w:name="_Toc55923658"/>
      <w:r>
        <w:t>Case study 1</w:t>
      </w:r>
      <w:bookmarkEnd w:id="70"/>
    </w:p>
    <w:p w14:paraId="70FC9586" w14:textId="4A332038" w:rsidR="00E07774" w:rsidRDefault="00E36EBD" w:rsidP="001B32F0">
      <w:r>
        <w:rPr>
          <w:b/>
          <w:bCs/>
        </w:rPr>
        <w:t>Bean’s Devices Pty Ltd (Bean’s)</w:t>
      </w:r>
      <w:r>
        <w:t xml:space="preserve"> has developed Medical Device A that treats a common and serious</w:t>
      </w:r>
      <w:r w:rsidR="00222E88">
        <w:t>ly debilitating</w:t>
      </w:r>
      <w:r>
        <w:t xml:space="preserve"> condition, using an established technology used for a novel purpose. The clinical evidence provided consists of an N=80 company-sponsored</w:t>
      </w:r>
      <w:r w:rsidR="00E07774">
        <w:t xml:space="preserve"> (not peer reviewed)</w:t>
      </w:r>
      <w:r>
        <w:t xml:space="preserve">, single arm study, </w:t>
      </w:r>
      <w:r w:rsidR="00F81D65">
        <w:t xml:space="preserve">where the </w:t>
      </w:r>
      <w:r>
        <w:t>results were compared to benchmarks obtained from the literature</w:t>
      </w:r>
      <w:r w:rsidR="00E07774">
        <w:t xml:space="preserve"> regarding the current state of the </w:t>
      </w:r>
      <w:r w:rsidR="006606BC">
        <w:t>art</w:t>
      </w:r>
      <w:r w:rsidR="00E07774">
        <w:t xml:space="preserve"> approach. Comparison of the datasets suggests that Device A achieves comparable performance, with a serious complication rate of 1-2% compared to 5% for the current state of the art treatment</w:t>
      </w:r>
      <w:r w:rsidR="00994A95">
        <w:t>.</w:t>
      </w:r>
    </w:p>
    <w:p w14:paraId="677D83AF" w14:textId="0D7354AB" w:rsidR="00E07774" w:rsidRDefault="00E07774" w:rsidP="00547D96">
      <w:r w:rsidRPr="000E28F5">
        <w:rPr>
          <w:b/>
        </w:rPr>
        <w:t>Outcome</w:t>
      </w:r>
      <w:r>
        <w:t xml:space="preserve">: </w:t>
      </w:r>
      <w:r w:rsidR="00F81D65">
        <w:t xml:space="preserve">A priority applicant determination was not made in relation to </w:t>
      </w:r>
      <w:r>
        <w:t>Device A because the applicant had not provided sufficient clinical evidence</w:t>
      </w:r>
      <w:r w:rsidR="00A36796">
        <w:t xml:space="preserve"> to support their claims</w:t>
      </w:r>
      <w:r w:rsidR="00F81D65">
        <w:t xml:space="preserve"> against the criteria</w:t>
      </w:r>
      <w:r>
        <w:t xml:space="preserve">. The main issue was the poor quality of clinical evidence provided. The </w:t>
      </w:r>
      <w:r w:rsidR="00F81D65">
        <w:t>delegate assessed</w:t>
      </w:r>
      <w:r>
        <w:t xml:space="preserve"> that</w:t>
      </w:r>
      <w:r w:rsidR="00CC10FB">
        <w:t xml:space="preserve"> </w:t>
      </w:r>
      <w:r w:rsidR="00A36796">
        <w:t xml:space="preserve">the claim of a ‘major clinical advantage’ was marginal due to issues such as the </w:t>
      </w:r>
      <w:r w:rsidR="00F81D65">
        <w:t xml:space="preserve">insufficient </w:t>
      </w:r>
      <w:r w:rsidR="00A36796">
        <w:t xml:space="preserve">magnitude of the </w:t>
      </w:r>
      <w:r w:rsidR="008348BF">
        <w:t>effect</w:t>
      </w:r>
      <w:r w:rsidR="00A36796">
        <w:t xml:space="preserve"> and </w:t>
      </w:r>
      <w:r w:rsidR="0034059C">
        <w:t xml:space="preserve">uncertain </w:t>
      </w:r>
      <w:r w:rsidR="00A36796">
        <w:t>comparability of the datasets.</w:t>
      </w:r>
    </w:p>
    <w:p w14:paraId="20290270" w14:textId="39E97DD2" w:rsidR="00A36796" w:rsidRDefault="00A36796" w:rsidP="004A2D26">
      <w:pPr>
        <w:pStyle w:val="Heading4"/>
      </w:pPr>
      <w:bookmarkStart w:id="71" w:name="_Toc55923659"/>
      <w:r>
        <w:t>Case study 2</w:t>
      </w:r>
      <w:bookmarkEnd w:id="71"/>
    </w:p>
    <w:p w14:paraId="4D8CC6F7" w14:textId="071B6F78" w:rsidR="00A36796" w:rsidRDefault="00A36796" w:rsidP="00547D96">
      <w:r>
        <w:rPr>
          <w:b/>
          <w:bCs/>
        </w:rPr>
        <w:t>Bean’s Devices Pty Ltd (Bean’s)</w:t>
      </w:r>
      <w:r>
        <w:t xml:space="preserve"> has developed Medical Device B</w:t>
      </w:r>
      <w:r w:rsidR="0034059C">
        <w:t>, which uses improvements on existing technology to treat a</w:t>
      </w:r>
      <w:r w:rsidR="00CC10FB">
        <w:t xml:space="preserve"> relatively </w:t>
      </w:r>
      <w:r w:rsidR="0034059C">
        <w:t>common but serious</w:t>
      </w:r>
      <w:r w:rsidR="00F81D65">
        <w:t>ly debilitating</w:t>
      </w:r>
      <w:r w:rsidR="0034059C">
        <w:t xml:space="preserve"> condition.</w:t>
      </w:r>
      <w:r w:rsidR="00D72314">
        <w:t xml:space="preserve"> The clinical evidence provided consists of an N=400 Randomised Control Trial, published </w:t>
      </w:r>
      <w:r w:rsidR="00CC10FB">
        <w:t xml:space="preserve">in a peer-reviewed journal. </w:t>
      </w:r>
      <w:r w:rsidR="00F81D65">
        <w:t>A s</w:t>
      </w:r>
      <w:r w:rsidR="00CC10FB">
        <w:t>ummary of the study report indicates that the primary endpoint of all-cause mortality was significantly lower in those who received Device B compared to the major ARTG-listed alternative.</w:t>
      </w:r>
    </w:p>
    <w:p w14:paraId="472CB0D3" w14:textId="001C4555" w:rsidR="00FA56F7" w:rsidRDefault="00CC10FB" w:rsidP="004A2D26">
      <w:r w:rsidRPr="000E28F5">
        <w:rPr>
          <w:b/>
        </w:rPr>
        <w:t>Outcome:</w:t>
      </w:r>
      <w:r>
        <w:t xml:space="preserve"> </w:t>
      </w:r>
      <w:r w:rsidR="00F81D65">
        <w:t xml:space="preserve">A priority applicant determination was made in relation to </w:t>
      </w:r>
      <w:r>
        <w:t xml:space="preserve">Device </w:t>
      </w:r>
      <w:r w:rsidR="00BB1078">
        <w:t>B on</w:t>
      </w:r>
      <w:r>
        <w:t xml:space="preserve"> the basis that sufficient clinical evidence (noting the high quality study design) had been provided to demonstrate a major clinical advantage.</w:t>
      </w:r>
    </w:p>
    <w:p w14:paraId="37B15FBD" w14:textId="65569919" w:rsidR="00DC54AB" w:rsidRDefault="00DC54AB" w:rsidP="004A2D26">
      <w:pPr>
        <w:pStyle w:val="Heading2"/>
        <w:pageBreakBefore/>
      </w:pPr>
      <w:bookmarkStart w:id="72" w:name="_Life-threating"/>
      <w:bookmarkStart w:id="73" w:name="_Major_therapeutic_advance"/>
      <w:bookmarkStart w:id="74" w:name="_Seriously_debilitating_condition"/>
      <w:bookmarkStart w:id="75" w:name="_Flowchart_of_the"/>
      <w:bookmarkStart w:id="76" w:name="_Toc55923660"/>
      <w:bookmarkEnd w:id="3"/>
      <w:bookmarkEnd w:id="4"/>
      <w:bookmarkEnd w:id="67"/>
      <w:bookmarkEnd w:id="72"/>
      <w:bookmarkEnd w:id="73"/>
      <w:bookmarkEnd w:id="74"/>
      <w:bookmarkEnd w:id="75"/>
      <w:r>
        <w:lastRenderedPageBreak/>
        <w:t>Flowchart</w:t>
      </w:r>
      <w:r w:rsidR="00827527">
        <w:t xml:space="preserve"> of </w:t>
      </w:r>
      <w:r w:rsidR="00B86204">
        <w:t xml:space="preserve">the </w:t>
      </w:r>
      <w:r w:rsidR="005D638D">
        <w:t>priority applicant determination</w:t>
      </w:r>
      <w:r w:rsidR="00827527">
        <w:t xml:space="preserve"> process</w:t>
      </w:r>
      <w:bookmarkEnd w:id="76"/>
    </w:p>
    <w:p w14:paraId="637C5407" w14:textId="0137D535" w:rsidR="004D2D04" w:rsidRDefault="006246F0" w:rsidP="006C7CDE">
      <w:pPr>
        <w:ind w:left="284"/>
      </w:pPr>
      <w:r w:rsidRPr="006246F0">
        <w:rPr>
          <w:noProof/>
          <w:lang w:eastAsia="en-AU"/>
        </w:rPr>
        <w:drawing>
          <wp:inline distT="0" distB="0" distL="0" distR="0" wp14:anchorId="06A41262" wp14:editId="5989393B">
            <wp:extent cx="5696228" cy="5303912"/>
            <wp:effectExtent l="0" t="0" r="0" b="0"/>
            <wp:docPr id="8" name="Picture 8" descr="This flowchart is a visual representation of the process described in this guidance." title="Flowchart of the priority applicant determina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health\dfsuserenv\Users\User_19\INOOAY\Desktop\Priority applicant determination process flowchart.jpg"/>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5696228" cy="5303912"/>
                    </a:xfrm>
                    <a:prstGeom prst="rect">
                      <a:avLst/>
                    </a:prstGeom>
                    <a:noFill/>
                    <a:ln>
                      <a:noFill/>
                    </a:ln>
                  </pic:spPr>
                </pic:pic>
              </a:graphicData>
            </a:graphic>
          </wp:inline>
        </w:drawing>
      </w:r>
    </w:p>
    <w:p w14:paraId="79062D4C" w14:textId="77777777" w:rsidR="001A3190" w:rsidRPr="00215D48" w:rsidRDefault="001A3190" w:rsidP="004A2D26">
      <w:pPr>
        <w:pStyle w:val="NonTOCheading2"/>
        <w:pageBreakBefore/>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0668DD9F" w14:textId="77777777" w:rsidTr="000975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7D04A9ED" w14:textId="77777777" w:rsidR="001A3190" w:rsidRPr="00215D48" w:rsidRDefault="001A3190" w:rsidP="000975E1">
            <w:r w:rsidRPr="00215D48">
              <w:t>Version</w:t>
            </w:r>
          </w:p>
        </w:tc>
        <w:tc>
          <w:tcPr>
            <w:tcW w:w="3242" w:type="dxa"/>
          </w:tcPr>
          <w:p w14:paraId="36F7E9E6" w14:textId="77777777" w:rsidR="001A3190" w:rsidRPr="00215D48" w:rsidRDefault="001A3190" w:rsidP="000975E1">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5FD4FFAF" w14:textId="77777777" w:rsidR="001A3190" w:rsidRPr="00215D48" w:rsidRDefault="001A3190" w:rsidP="000975E1">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0961C255" w14:textId="77777777" w:rsidR="001A3190" w:rsidRPr="00215D48" w:rsidRDefault="001A3190" w:rsidP="000975E1">
            <w:pPr>
              <w:cnfStyle w:val="100000000000" w:firstRow="1" w:lastRow="0" w:firstColumn="0" w:lastColumn="0" w:oddVBand="0" w:evenVBand="0" w:oddHBand="0" w:evenHBand="0" w:firstRowFirstColumn="0" w:firstRowLastColumn="0" w:lastRowFirstColumn="0" w:lastRowLastColumn="0"/>
            </w:pPr>
            <w:r w:rsidRPr="00215D48">
              <w:t>Effective date</w:t>
            </w:r>
          </w:p>
        </w:tc>
      </w:tr>
      <w:tr w:rsidR="001A3190" w:rsidRPr="00215D48" w14:paraId="2B94799F" w14:textId="77777777" w:rsidTr="00056F65">
        <w:trPr>
          <w:trHeight w:val="1098"/>
        </w:trPr>
        <w:tc>
          <w:tcPr>
            <w:cnfStyle w:val="001000000000" w:firstRow="0" w:lastRow="0" w:firstColumn="1" w:lastColumn="0" w:oddVBand="0" w:evenVBand="0" w:oddHBand="0" w:evenHBand="0" w:firstRowFirstColumn="0" w:firstRowLastColumn="0" w:lastRowFirstColumn="0" w:lastRowLastColumn="0"/>
            <w:tcW w:w="1276" w:type="dxa"/>
          </w:tcPr>
          <w:p w14:paraId="000ACCB8" w14:textId="77777777" w:rsidR="001A3190" w:rsidRPr="00215D48" w:rsidRDefault="001A3190" w:rsidP="000975E1">
            <w:r w:rsidRPr="00215D48">
              <w:t>V1.0</w:t>
            </w:r>
          </w:p>
        </w:tc>
        <w:tc>
          <w:tcPr>
            <w:tcW w:w="3242" w:type="dxa"/>
          </w:tcPr>
          <w:p w14:paraId="395C6BE9" w14:textId="77777777" w:rsidR="001A3190" w:rsidRPr="00215D48" w:rsidRDefault="001A3190" w:rsidP="000975E1">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29A4A4E9" w14:textId="77777777" w:rsidR="001A3190" w:rsidRPr="00215D48" w:rsidRDefault="00056F65" w:rsidP="000975E1">
            <w:pPr>
              <w:cnfStyle w:val="000000000000" w:firstRow="0" w:lastRow="0" w:firstColumn="0" w:lastColumn="0" w:oddVBand="0" w:evenVBand="0" w:oddHBand="0" w:evenHBand="0" w:firstRowFirstColumn="0" w:firstRowLastColumn="0" w:lastRowFirstColumn="0" w:lastRowLastColumn="0"/>
            </w:pPr>
            <w:r>
              <w:t>Medical Devices Branch, Therapeutic Goods Administration</w:t>
            </w:r>
          </w:p>
        </w:tc>
        <w:tc>
          <w:tcPr>
            <w:tcW w:w="1808" w:type="dxa"/>
          </w:tcPr>
          <w:p w14:paraId="2C5748E6" w14:textId="77777777" w:rsidR="001A3190" w:rsidRPr="00215D48" w:rsidRDefault="00394EAA" w:rsidP="000975E1">
            <w:pPr>
              <w:cnfStyle w:val="000000000000" w:firstRow="0" w:lastRow="0" w:firstColumn="0" w:lastColumn="0" w:oddVBand="0" w:evenVBand="0" w:oddHBand="0" w:evenHBand="0" w:firstRowFirstColumn="0" w:firstRowLastColumn="0" w:lastRowFirstColumn="0" w:lastRowLastColumn="0"/>
            </w:pPr>
            <w:r>
              <w:t>02</w:t>
            </w:r>
            <w:r w:rsidR="00056F65">
              <w:t>/01/2018</w:t>
            </w:r>
          </w:p>
        </w:tc>
      </w:tr>
      <w:tr w:rsidR="00394EAA" w:rsidRPr="00215D48" w14:paraId="3FCF57BA" w14:textId="77777777" w:rsidTr="00056F65">
        <w:trPr>
          <w:trHeight w:val="1098"/>
        </w:trPr>
        <w:tc>
          <w:tcPr>
            <w:cnfStyle w:val="001000000000" w:firstRow="0" w:lastRow="0" w:firstColumn="1" w:lastColumn="0" w:oddVBand="0" w:evenVBand="0" w:oddHBand="0" w:evenHBand="0" w:firstRowFirstColumn="0" w:firstRowLastColumn="0" w:lastRowFirstColumn="0" w:lastRowLastColumn="0"/>
            <w:tcW w:w="1276" w:type="dxa"/>
          </w:tcPr>
          <w:p w14:paraId="7A0A88F9" w14:textId="77777777" w:rsidR="00394EAA" w:rsidRPr="00215D48" w:rsidRDefault="00394EAA" w:rsidP="000975E1">
            <w:r>
              <w:t>V1.1</w:t>
            </w:r>
          </w:p>
        </w:tc>
        <w:tc>
          <w:tcPr>
            <w:tcW w:w="3242" w:type="dxa"/>
          </w:tcPr>
          <w:p w14:paraId="0135ABDA" w14:textId="77777777" w:rsidR="00394EAA" w:rsidRPr="00215D48" w:rsidRDefault="00394EAA" w:rsidP="000975E1">
            <w:pPr>
              <w:cnfStyle w:val="000000000000" w:firstRow="0" w:lastRow="0" w:firstColumn="0" w:lastColumn="0" w:oddVBand="0" w:evenVBand="0" w:oddHBand="0" w:evenHBand="0" w:firstRowFirstColumn="0" w:firstRowLastColumn="0" w:lastRowFirstColumn="0" w:lastRowLastColumn="0"/>
            </w:pPr>
            <w:r>
              <w:t>Application form now provided online.</w:t>
            </w:r>
          </w:p>
        </w:tc>
        <w:tc>
          <w:tcPr>
            <w:tcW w:w="2712" w:type="dxa"/>
          </w:tcPr>
          <w:p w14:paraId="030E732F" w14:textId="77777777" w:rsidR="00394EAA" w:rsidRDefault="00394EAA" w:rsidP="000975E1">
            <w:pPr>
              <w:cnfStyle w:val="000000000000" w:firstRow="0" w:lastRow="0" w:firstColumn="0" w:lastColumn="0" w:oddVBand="0" w:evenVBand="0" w:oddHBand="0" w:evenHBand="0" w:firstRowFirstColumn="0" w:firstRowLastColumn="0" w:lastRowFirstColumn="0" w:lastRowLastColumn="0"/>
            </w:pPr>
            <w:r>
              <w:t>Medical Devices Branch, Therapeutic Goods Administration</w:t>
            </w:r>
          </w:p>
        </w:tc>
        <w:tc>
          <w:tcPr>
            <w:tcW w:w="1808" w:type="dxa"/>
          </w:tcPr>
          <w:p w14:paraId="5C659343" w14:textId="77777777" w:rsidR="00394EAA" w:rsidRDefault="0070373B" w:rsidP="000975E1">
            <w:pPr>
              <w:cnfStyle w:val="000000000000" w:firstRow="0" w:lastRow="0" w:firstColumn="0" w:lastColumn="0" w:oddVBand="0" w:evenVBand="0" w:oddHBand="0" w:evenHBand="0" w:firstRowFirstColumn="0" w:firstRowLastColumn="0" w:lastRowFirstColumn="0" w:lastRowLastColumn="0"/>
            </w:pPr>
            <w:r>
              <w:t>13</w:t>
            </w:r>
            <w:r w:rsidR="00394EAA">
              <w:t>/02/2018</w:t>
            </w:r>
          </w:p>
        </w:tc>
      </w:tr>
      <w:tr w:rsidR="0070373B" w:rsidRPr="00215D48" w14:paraId="621542D2" w14:textId="77777777" w:rsidTr="00056F65">
        <w:trPr>
          <w:trHeight w:val="1098"/>
        </w:trPr>
        <w:tc>
          <w:tcPr>
            <w:cnfStyle w:val="001000000000" w:firstRow="0" w:lastRow="0" w:firstColumn="1" w:lastColumn="0" w:oddVBand="0" w:evenVBand="0" w:oddHBand="0" w:evenHBand="0" w:firstRowFirstColumn="0" w:firstRowLastColumn="0" w:lastRowFirstColumn="0" w:lastRowLastColumn="0"/>
            <w:tcW w:w="1276" w:type="dxa"/>
          </w:tcPr>
          <w:p w14:paraId="106558C2" w14:textId="77777777" w:rsidR="0070373B" w:rsidRDefault="0070373B" w:rsidP="000975E1">
            <w:r>
              <w:t>V1.2</w:t>
            </w:r>
          </w:p>
        </w:tc>
        <w:tc>
          <w:tcPr>
            <w:tcW w:w="3242" w:type="dxa"/>
          </w:tcPr>
          <w:p w14:paraId="1B0ACA51" w14:textId="77777777" w:rsidR="0070373B" w:rsidRDefault="0070373B" w:rsidP="000975E1">
            <w:pPr>
              <w:cnfStyle w:val="000000000000" w:firstRow="0" w:lastRow="0" w:firstColumn="0" w:lastColumn="0" w:oddVBand="0" w:evenVBand="0" w:oddHBand="0" w:evenHBand="0" w:firstRowFirstColumn="0" w:firstRowLastColumn="0" w:lastRowFirstColumn="0" w:lastRowLastColumn="0"/>
            </w:pPr>
            <w:r>
              <w:t>Addition of flowchart illustrating priority review process</w:t>
            </w:r>
            <w:r w:rsidR="006C7CDE">
              <w:t>; update of application form details</w:t>
            </w:r>
            <w:r w:rsidR="00E60F59">
              <w:t>; update of details on lapsing/revocation of designations</w:t>
            </w:r>
            <w:r w:rsidR="0030707D">
              <w:t>, addition of information for Criterion 1</w:t>
            </w:r>
            <w:r w:rsidR="006C7CDE">
              <w:t>.</w:t>
            </w:r>
          </w:p>
        </w:tc>
        <w:tc>
          <w:tcPr>
            <w:tcW w:w="2712" w:type="dxa"/>
          </w:tcPr>
          <w:p w14:paraId="080055FA" w14:textId="77777777" w:rsidR="0070373B" w:rsidRDefault="0070373B" w:rsidP="000975E1">
            <w:pPr>
              <w:cnfStyle w:val="000000000000" w:firstRow="0" w:lastRow="0" w:firstColumn="0" w:lastColumn="0" w:oddVBand="0" w:evenVBand="0" w:oddHBand="0" w:evenHBand="0" w:firstRowFirstColumn="0" w:firstRowLastColumn="0" w:lastRowFirstColumn="0" w:lastRowLastColumn="0"/>
            </w:pPr>
            <w:r>
              <w:t>Medical Devices Branch, Therapeutic Goods Administration</w:t>
            </w:r>
          </w:p>
        </w:tc>
        <w:tc>
          <w:tcPr>
            <w:tcW w:w="1808" w:type="dxa"/>
          </w:tcPr>
          <w:p w14:paraId="0FEF156A" w14:textId="23A11DA4" w:rsidR="0070373B" w:rsidRDefault="00CE30CD" w:rsidP="000975E1">
            <w:pPr>
              <w:cnfStyle w:val="000000000000" w:firstRow="0" w:lastRow="0" w:firstColumn="0" w:lastColumn="0" w:oddVBand="0" w:evenVBand="0" w:oddHBand="0" w:evenHBand="0" w:firstRowFirstColumn="0" w:firstRowLastColumn="0" w:lastRowFirstColumn="0" w:lastRowLastColumn="0"/>
            </w:pPr>
            <w:r>
              <w:t>23</w:t>
            </w:r>
            <w:r w:rsidR="00E60F59">
              <w:t>/08</w:t>
            </w:r>
            <w:r w:rsidR="0070373B">
              <w:t>/2018</w:t>
            </w:r>
          </w:p>
        </w:tc>
      </w:tr>
      <w:tr w:rsidR="00903A20" w:rsidRPr="00215D48" w14:paraId="49C63798" w14:textId="77777777" w:rsidTr="00056F65">
        <w:trPr>
          <w:trHeight w:val="1098"/>
        </w:trPr>
        <w:tc>
          <w:tcPr>
            <w:cnfStyle w:val="001000000000" w:firstRow="0" w:lastRow="0" w:firstColumn="1" w:lastColumn="0" w:oddVBand="0" w:evenVBand="0" w:oddHBand="0" w:evenHBand="0" w:firstRowFirstColumn="0" w:firstRowLastColumn="0" w:lastRowFirstColumn="0" w:lastRowLastColumn="0"/>
            <w:tcW w:w="1276" w:type="dxa"/>
          </w:tcPr>
          <w:p w14:paraId="64B15EC9" w14:textId="345F2D60" w:rsidR="00903A20" w:rsidRDefault="001B32F0" w:rsidP="000975E1">
            <w:r>
              <w:t>V2.0</w:t>
            </w:r>
          </w:p>
        </w:tc>
        <w:tc>
          <w:tcPr>
            <w:tcW w:w="3242" w:type="dxa"/>
          </w:tcPr>
          <w:p w14:paraId="038E1F76" w14:textId="70706E27" w:rsidR="00903A20" w:rsidRDefault="001B32F0" w:rsidP="000975E1">
            <w:pPr>
              <w:cnfStyle w:val="000000000000" w:firstRow="0" w:lastRow="0" w:firstColumn="0" w:lastColumn="0" w:oddVBand="0" w:evenVBand="0" w:oddHBand="0" w:evenHBand="0" w:firstRowFirstColumn="0" w:firstRowLastColumn="0" w:lastRowFirstColumn="0" w:lastRowLastColumn="0"/>
            </w:pPr>
            <w:r>
              <w:t xml:space="preserve">Updated title from </w:t>
            </w:r>
            <w:r w:rsidRPr="001B32F0">
              <w:t>Priority review designations medical devices (including IVDs)</w:t>
            </w:r>
            <w:r>
              <w:t xml:space="preserve"> to Priority applicant guidelines for medical devices (including IVDs). Updated content, including flow chart, to be more accurate, detailed and consistent with current legislation and practices</w:t>
            </w:r>
            <w:r w:rsidR="00B9010E">
              <w:t xml:space="preserve"> in consultation with Regulatory Legal Services Branch</w:t>
            </w:r>
            <w:r>
              <w:t>.</w:t>
            </w:r>
          </w:p>
        </w:tc>
        <w:tc>
          <w:tcPr>
            <w:tcW w:w="2712" w:type="dxa"/>
          </w:tcPr>
          <w:p w14:paraId="7E59AE8E" w14:textId="77777777" w:rsidR="00903A20" w:rsidRDefault="00903A20" w:rsidP="000975E1">
            <w:pPr>
              <w:cnfStyle w:val="000000000000" w:firstRow="0" w:lastRow="0" w:firstColumn="0" w:lastColumn="0" w:oddVBand="0" w:evenVBand="0" w:oddHBand="0" w:evenHBand="0" w:firstRowFirstColumn="0" w:firstRowLastColumn="0" w:lastRowFirstColumn="0" w:lastRowLastColumn="0"/>
            </w:pPr>
            <w:r>
              <w:t>Medical Devices Authorisation Branch, Therapeutic Goods Administration</w:t>
            </w:r>
          </w:p>
        </w:tc>
        <w:tc>
          <w:tcPr>
            <w:tcW w:w="1808" w:type="dxa"/>
          </w:tcPr>
          <w:p w14:paraId="518A82BC" w14:textId="2FE6EADC" w:rsidR="00903A20" w:rsidRDefault="00CE30CD" w:rsidP="000975E1">
            <w:pPr>
              <w:cnfStyle w:val="000000000000" w:firstRow="0" w:lastRow="0" w:firstColumn="0" w:lastColumn="0" w:oddVBand="0" w:evenVBand="0" w:oddHBand="0" w:evenHBand="0" w:firstRowFirstColumn="0" w:firstRowLastColumn="0" w:lastRowFirstColumn="0" w:lastRowLastColumn="0"/>
            </w:pPr>
            <w:r>
              <w:t>02/12</w:t>
            </w:r>
            <w:r w:rsidR="00903A20">
              <w:t>/2020</w:t>
            </w:r>
          </w:p>
        </w:tc>
      </w:tr>
    </w:tbl>
    <w:p w14:paraId="544F9F21" w14:textId="77777777" w:rsidR="00F401EF" w:rsidRPr="00215D48" w:rsidRDefault="00F401EF" w:rsidP="00706634">
      <w:pPr>
        <w:spacing w:before="0" w:after="0" w:line="240" w:lineRule="auto"/>
        <w:rPr>
          <w:sz w:val="20"/>
        </w:rPr>
        <w:sectPr w:rsidR="00F401EF" w:rsidRPr="00215D48" w:rsidSect="0029069E">
          <w:headerReference w:type="default" r:id="rId35"/>
          <w:footerReference w:type="default" r:id="rId36"/>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32051D2B" w14:textId="77777777" w:rsidTr="000975E1">
        <w:trPr>
          <w:trHeight w:hRule="exact" w:val="565"/>
          <w:jc w:val="center"/>
        </w:trPr>
        <w:tc>
          <w:tcPr>
            <w:tcW w:w="9145" w:type="dxa"/>
          </w:tcPr>
          <w:p w14:paraId="0D9897D2" w14:textId="77777777" w:rsidR="00C50E5C" w:rsidRPr="00215D48" w:rsidRDefault="00C50E5C" w:rsidP="000975E1">
            <w:pPr>
              <w:pStyle w:val="TGASignoff"/>
            </w:pPr>
            <w:r w:rsidRPr="00215D48">
              <w:lastRenderedPageBreak/>
              <w:t>Therapeutic Goods Administration</w:t>
            </w:r>
          </w:p>
        </w:tc>
      </w:tr>
      <w:tr w:rsidR="00C50E5C" w:rsidRPr="00215D48" w14:paraId="54833C1E" w14:textId="77777777" w:rsidTr="000975E1">
        <w:trPr>
          <w:trHeight w:val="963"/>
          <w:jc w:val="center"/>
        </w:trPr>
        <w:tc>
          <w:tcPr>
            <w:tcW w:w="9145" w:type="dxa"/>
            <w:tcMar>
              <w:top w:w="28" w:type="dxa"/>
            </w:tcMar>
          </w:tcPr>
          <w:p w14:paraId="093CD836" w14:textId="77777777" w:rsidR="00C50E5C" w:rsidRPr="00215D48" w:rsidRDefault="00C50E5C" w:rsidP="00EB5622">
            <w:pPr>
              <w:pStyle w:val="Address"/>
              <w:jc w:val="center"/>
            </w:pPr>
            <w:r w:rsidRPr="00215D48">
              <w:t>PO Box 100 Woden ACT 2606 Australia</w:t>
            </w:r>
          </w:p>
          <w:p w14:paraId="7E3F3E12" w14:textId="77777777" w:rsidR="001A3190" w:rsidRDefault="00C50E5C">
            <w:pPr>
              <w:pStyle w:val="Address"/>
              <w:jc w:val="center"/>
              <w:rPr>
                <w:sz w:val="22"/>
                <w:szCs w:val="22"/>
              </w:rPr>
            </w:pPr>
            <w:r w:rsidRPr="00215D48">
              <w:t xml:space="preserve">Email: </w:t>
            </w:r>
            <w:hyperlink r:id="rId37" w:history="1">
              <w:r w:rsidRPr="00215D48">
                <w:rPr>
                  <w:rStyle w:val="Hyperlink"/>
                </w:rPr>
                <w:t>info@tga.gov.au</w:t>
              </w:r>
            </w:hyperlink>
            <w:r w:rsidRPr="00215D48">
              <w:t xml:space="preserve">  Phone: 1800 020 653  Fax: </w:t>
            </w:r>
            <w:r w:rsidR="001A3190" w:rsidRPr="00BA0DFC">
              <w:t>02 6203 1605</w:t>
            </w:r>
          </w:p>
          <w:p w14:paraId="5B3D2A0E" w14:textId="77777777" w:rsidR="00C50E5C" w:rsidRPr="00215D48" w:rsidRDefault="001C2B48">
            <w:pPr>
              <w:pStyle w:val="Address"/>
              <w:jc w:val="center"/>
              <w:rPr>
                <w:rStyle w:val="Hyperlink"/>
                <w:b/>
                <w:color w:val="auto"/>
                <w:sz w:val="22"/>
                <w:u w:val="none"/>
              </w:rPr>
            </w:pPr>
            <w:hyperlink r:id="rId38" w:history="1">
              <w:r w:rsidR="00215D48" w:rsidRPr="00C4721A">
                <w:rPr>
                  <w:rStyle w:val="Hyperlink"/>
                  <w:b/>
                </w:rPr>
                <w:t>https://www.tga.gov.au</w:t>
              </w:r>
            </w:hyperlink>
          </w:p>
        </w:tc>
      </w:tr>
      <w:tr w:rsidR="00C50E5C" w:rsidRPr="00215D48" w14:paraId="0726C977" w14:textId="77777777" w:rsidTr="000975E1">
        <w:trPr>
          <w:trHeight w:val="251"/>
          <w:jc w:val="center"/>
        </w:trPr>
        <w:tc>
          <w:tcPr>
            <w:tcW w:w="9145" w:type="dxa"/>
            <w:tcMar>
              <w:top w:w="28" w:type="dxa"/>
            </w:tcMar>
          </w:tcPr>
          <w:p w14:paraId="49A62D5B" w14:textId="52DDD9E0" w:rsidR="00C50E5C" w:rsidRPr="00215D48" w:rsidRDefault="00C50E5C" w:rsidP="00D87707">
            <w:pPr>
              <w:pStyle w:val="Address"/>
              <w:jc w:val="center"/>
            </w:pPr>
            <w:r w:rsidRPr="00215D48">
              <w:t>Reference/Publication #</w:t>
            </w:r>
            <w:r w:rsidR="00D87707">
              <w:t xml:space="preserve"> </w:t>
            </w:r>
            <w:hyperlink r:id="rId39" w:history="1">
              <w:r w:rsidR="00D87707">
                <w:rPr>
                  <w:rStyle w:val="Hyperlink"/>
                </w:rPr>
                <w:t>D20-3082374</w:t>
              </w:r>
            </w:hyperlink>
          </w:p>
        </w:tc>
      </w:tr>
    </w:tbl>
    <w:p w14:paraId="760B7FB1" w14:textId="77777777" w:rsidR="00706634" w:rsidRPr="00215D48" w:rsidRDefault="00706634" w:rsidP="004A3084">
      <w:pPr>
        <w:rPr>
          <w:sz w:val="20"/>
        </w:rPr>
      </w:pPr>
    </w:p>
    <w:sectPr w:rsidR="00706634" w:rsidRPr="00215D48" w:rsidSect="0029069E">
      <w:headerReference w:type="first" r:id="rId40"/>
      <w:footerReference w:type="first" r:id="rId41"/>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0ABA7" w14:textId="77777777" w:rsidR="000D5AF0" w:rsidRDefault="000D5AF0" w:rsidP="00C40A36">
      <w:pPr>
        <w:spacing w:after="0"/>
      </w:pPr>
      <w:r>
        <w:separator/>
      </w:r>
    </w:p>
  </w:endnote>
  <w:endnote w:type="continuationSeparator" w:id="0">
    <w:p w14:paraId="0B886C48" w14:textId="77777777" w:rsidR="000D5AF0" w:rsidRDefault="000D5AF0"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0D5AF0" w:rsidRPr="00257138" w14:paraId="2516BE0E" w14:textId="77777777" w:rsidTr="000B30E5">
      <w:trPr>
        <w:trHeight w:val="423"/>
      </w:trPr>
      <w:tc>
        <w:tcPr>
          <w:tcW w:w="4360" w:type="dxa"/>
          <w:tcBorders>
            <w:top w:val="single" w:sz="4" w:space="0" w:color="auto"/>
          </w:tcBorders>
        </w:tcPr>
        <w:p w14:paraId="0FC0EA25" w14:textId="77777777" w:rsidR="000D5AF0" w:rsidRDefault="000D5AF0" w:rsidP="000B30E5">
          <w:pPr>
            <w:pStyle w:val="Footer"/>
          </w:pPr>
        </w:p>
        <w:p w14:paraId="76E34F00" w14:textId="77777777" w:rsidR="000D5AF0" w:rsidRPr="00257138" w:rsidRDefault="000D5AF0"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095AB0BC" w14:textId="77777777" w:rsidR="000D5AF0" w:rsidRDefault="000D5AF0" w:rsidP="000B30E5">
              <w:pPr>
                <w:pStyle w:val="Footer"/>
                <w:jc w:val="right"/>
              </w:pPr>
            </w:p>
            <w:p w14:paraId="773AC7FA" w14:textId="539E3DC8" w:rsidR="000D5AF0" w:rsidRPr="00257138" w:rsidRDefault="000D5AF0"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1C2B48">
                <w:fldChar w:fldCharType="begin"/>
              </w:r>
              <w:r w:rsidR="001C2B48">
                <w:instrText xml:space="preserve"> NUMPAGES  </w:instrText>
              </w:r>
              <w:r w:rsidR="001C2B48">
                <w:fldChar w:fldCharType="separate"/>
              </w:r>
              <w:r>
                <w:rPr>
                  <w:noProof/>
                </w:rPr>
                <w:t>20</w:t>
              </w:r>
              <w:r w:rsidR="001C2B48">
                <w:rPr>
                  <w:noProof/>
                </w:rPr>
                <w:fldChar w:fldCharType="end"/>
              </w:r>
            </w:p>
          </w:sdtContent>
        </w:sdt>
      </w:tc>
    </w:tr>
    <w:tr w:rsidR="000D5AF0" w:rsidRPr="00257138" w14:paraId="37E5EEE7" w14:textId="77777777" w:rsidTr="000B30E5">
      <w:trPr>
        <w:trHeight w:val="263"/>
      </w:trPr>
      <w:tc>
        <w:tcPr>
          <w:tcW w:w="4360" w:type="dxa"/>
        </w:tcPr>
        <w:p w14:paraId="7485D8DA" w14:textId="77777777" w:rsidR="000D5AF0" w:rsidRPr="00257138" w:rsidRDefault="000D5AF0" w:rsidP="000B30E5">
          <w:pPr>
            <w:pStyle w:val="Footer"/>
          </w:pPr>
          <w:r w:rsidRPr="00257138">
            <w:t xml:space="preserve">V1.0 </w:t>
          </w:r>
          <w:r>
            <w:t>Month</w:t>
          </w:r>
          <w:r w:rsidRPr="00257138">
            <w:t xml:space="preserve"> 201</w:t>
          </w:r>
          <w:r>
            <w:t>2</w:t>
          </w:r>
        </w:p>
      </w:tc>
      <w:tc>
        <w:tcPr>
          <w:tcW w:w="4360" w:type="dxa"/>
        </w:tcPr>
        <w:p w14:paraId="4DDD251F" w14:textId="77777777" w:rsidR="000D5AF0" w:rsidRPr="00257138" w:rsidRDefault="000D5AF0" w:rsidP="000B30E5">
          <w:pPr>
            <w:pStyle w:val="Footer"/>
            <w:jc w:val="right"/>
          </w:pPr>
        </w:p>
      </w:tc>
    </w:tr>
  </w:tbl>
  <w:p w14:paraId="0B0AE931" w14:textId="77777777" w:rsidR="000D5AF0" w:rsidRPr="00826007" w:rsidRDefault="000D5AF0"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080A9" w14:textId="77777777" w:rsidR="000D5AF0" w:rsidRDefault="000D5AF0"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0D5AF0" w:rsidRPr="004A3084" w14:paraId="0B39B69B" w14:textId="77777777" w:rsidTr="00231E8D">
      <w:trPr>
        <w:trHeight w:val="423"/>
      </w:trPr>
      <w:tc>
        <w:tcPr>
          <w:tcW w:w="7338" w:type="dxa"/>
          <w:tcBorders>
            <w:top w:val="single" w:sz="4" w:space="0" w:color="auto"/>
          </w:tcBorders>
        </w:tcPr>
        <w:p w14:paraId="40D68056" w14:textId="13856BDD" w:rsidR="000D5AF0" w:rsidRPr="004A3084" w:rsidRDefault="000D5AF0" w:rsidP="00536EFD">
          <w:pPr>
            <w:pStyle w:val="Footer"/>
          </w:pPr>
          <w:r>
            <w:t>Priority applicant guidelines for medical devices (including IVDs)</w:t>
          </w:r>
          <w:r>
            <w:br/>
            <w:t>V2.0 December 2020</w:t>
          </w:r>
        </w:p>
      </w:tc>
      <w:tc>
        <w:tcPr>
          <w:tcW w:w="1382" w:type="dxa"/>
          <w:tcBorders>
            <w:top w:val="single" w:sz="4" w:space="0" w:color="auto"/>
          </w:tcBorders>
        </w:tcPr>
        <w:sdt>
          <w:sdtPr>
            <w:id w:val="11571659"/>
            <w:docPartObj>
              <w:docPartGallery w:val="Page Numbers (Top of Page)"/>
              <w:docPartUnique/>
            </w:docPartObj>
          </w:sdtPr>
          <w:sdtEndPr/>
          <w:sdtContent>
            <w:p w14:paraId="000642B4" w14:textId="2894D7AB" w:rsidR="000D5AF0" w:rsidRPr="004A3084" w:rsidRDefault="000D5AF0" w:rsidP="00231E8D">
              <w:pPr>
                <w:pStyle w:val="Footer"/>
                <w:jc w:val="right"/>
              </w:pPr>
              <w:r w:rsidRPr="004A3084">
                <w:t xml:space="preserve">Page </w:t>
              </w:r>
              <w:r>
                <w:fldChar w:fldCharType="begin"/>
              </w:r>
              <w:r>
                <w:instrText xml:space="preserve"> PAGE </w:instrText>
              </w:r>
              <w:r>
                <w:fldChar w:fldCharType="separate"/>
              </w:r>
              <w:r w:rsidR="001C2B48">
                <w:rPr>
                  <w:noProof/>
                </w:rPr>
                <w:t>21</w:t>
              </w:r>
              <w:r>
                <w:rPr>
                  <w:noProof/>
                </w:rPr>
                <w:fldChar w:fldCharType="end"/>
              </w:r>
              <w:r w:rsidRPr="004A3084">
                <w:t xml:space="preserve"> of </w:t>
              </w:r>
              <w:r w:rsidR="001C2B48">
                <w:fldChar w:fldCharType="begin"/>
              </w:r>
              <w:r w:rsidR="001C2B48">
                <w:instrText xml:space="preserve"> NUMPAGES  </w:instrText>
              </w:r>
              <w:r w:rsidR="001C2B48">
                <w:fldChar w:fldCharType="separate"/>
              </w:r>
              <w:r w:rsidR="001C2B48">
                <w:rPr>
                  <w:noProof/>
                </w:rPr>
                <w:t>22</w:t>
              </w:r>
              <w:r w:rsidR="001C2B48">
                <w:rPr>
                  <w:noProof/>
                </w:rPr>
                <w:fldChar w:fldCharType="end"/>
              </w:r>
            </w:p>
          </w:sdtContent>
        </w:sdt>
      </w:tc>
    </w:tr>
  </w:tbl>
  <w:p w14:paraId="401F092A" w14:textId="77777777" w:rsidR="000D5AF0" w:rsidRPr="00826007" w:rsidRDefault="000D5AF0"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FF05E" w14:textId="77777777" w:rsidR="000D5AF0" w:rsidRPr="008E3C43" w:rsidRDefault="000D5AF0"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EDFFA" w14:textId="77777777" w:rsidR="000D5AF0" w:rsidRDefault="000D5AF0" w:rsidP="00C40A36">
      <w:pPr>
        <w:spacing w:after="0"/>
      </w:pPr>
      <w:r>
        <w:separator/>
      </w:r>
    </w:p>
  </w:footnote>
  <w:footnote w:type="continuationSeparator" w:id="0">
    <w:p w14:paraId="1AEA1F95" w14:textId="77777777" w:rsidR="000D5AF0" w:rsidRDefault="000D5AF0"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D4E8F" w14:textId="77777777" w:rsidR="000D5AF0" w:rsidRDefault="001C2B48" w:rsidP="00C3408D">
    <w:pPr>
      <w:pStyle w:val="Header"/>
    </w:pPr>
    <w:sdt>
      <w:sdtPr>
        <w:id w:val="-203553135"/>
        <w:docPartObj>
          <w:docPartGallery w:val="Watermarks"/>
          <w:docPartUnique/>
        </w:docPartObj>
      </w:sdtPr>
      <w:sdtEndPr/>
      <w:sdtContent>
        <w:r>
          <w:rPr>
            <w:noProof/>
          </w:rPr>
          <w:pict w14:anchorId="456AF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0D5AF0"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0D5AF0" w:rsidRPr="002B29B2" w14:paraId="5CDA5405" w14:textId="77777777" w:rsidTr="00F71E1E">
      <w:trPr>
        <w:trHeight w:hRule="exact" w:val="8845"/>
      </w:trPr>
      <w:tc>
        <w:tcPr>
          <w:tcW w:w="11964" w:type="dxa"/>
          <w:vAlign w:val="center"/>
        </w:tcPr>
        <w:p w14:paraId="79E838DC" w14:textId="77777777" w:rsidR="000D5AF0" w:rsidRPr="002B29B2" w:rsidRDefault="001C2B48" w:rsidP="006A2426">
          <w:pPr>
            <w:ind w:left="-57"/>
            <w:rPr>
              <w:noProof/>
            </w:rPr>
          </w:pPr>
          <w:sdt>
            <w:sdtPr>
              <w:rPr>
                <w:noProof/>
              </w:rPr>
              <w:id w:val="1926993388"/>
              <w:showingPlcHdr/>
              <w:picture/>
            </w:sdtPr>
            <w:sdtEndPr/>
            <w:sdtContent>
              <w:r w:rsidR="000D5AF0" w:rsidRPr="00F71E1E">
                <w:rPr>
                  <w:noProof/>
                  <w:lang w:eastAsia="en-AU"/>
                </w:rPr>
                <w:drawing>
                  <wp:inline distT="0" distB="0" distL="0" distR="0" wp14:anchorId="32B64C64" wp14:editId="169D62E2">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3ED626A6" w14:textId="77777777" w:rsidR="000D5AF0" w:rsidRDefault="000D5AF0" w:rsidP="006D03E5">
    <w:pPr>
      <w:rPr>
        <w:noProof/>
      </w:rPr>
    </w:pPr>
    <w:r>
      <w:rPr>
        <w:noProof/>
        <w:lang w:eastAsia="en-AU"/>
      </w:rPr>
      <w:drawing>
        <wp:anchor distT="0" distB="0" distL="114300" distR="114300" simplePos="0" relativeHeight="251664384" behindDoc="0" locked="0" layoutInCell="1" allowOverlap="1" wp14:anchorId="2EE747AD" wp14:editId="79B58DF0">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45132513" wp14:editId="0A823188">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61121" w14:textId="77777777" w:rsidR="000D5AF0" w:rsidRDefault="000D5AF0"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A98EE" w14:textId="77777777" w:rsidR="000D5AF0" w:rsidRPr="00FE501F" w:rsidRDefault="000D5AF0"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60BC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53F11"/>
    <w:multiLevelType w:val="multilevel"/>
    <w:tmpl w:val="142095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1DF871DD"/>
    <w:multiLevelType w:val="hybridMultilevel"/>
    <w:tmpl w:val="0C50D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15197B"/>
    <w:multiLevelType w:val="hybridMultilevel"/>
    <w:tmpl w:val="5AC6B59C"/>
    <w:lvl w:ilvl="0" w:tplc="65A60934">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49679A"/>
    <w:multiLevelType w:val="hybridMultilevel"/>
    <w:tmpl w:val="3A82E4A0"/>
    <w:lvl w:ilvl="0" w:tplc="E38E627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7D38B2"/>
    <w:multiLevelType w:val="hybridMultilevel"/>
    <w:tmpl w:val="A30C9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4239CD"/>
    <w:multiLevelType w:val="multilevel"/>
    <w:tmpl w:val="0C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475890"/>
    <w:multiLevelType w:val="hybridMultilevel"/>
    <w:tmpl w:val="92DA48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3FDB7143"/>
    <w:multiLevelType w:val="hybridMultilevel"/>
    <w:tmpl w:val="1A64B3E6"/>
    <w:lvl w:ilvl="0" w:tplc="5EAAF3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FEB371C"/>
    <w:multiLevelType w:val="hybridMultilevel"/>
    <w:tmpl w:val="B6821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603D14"/>
    <w:multiLevelType w:val="hybridMultilevel"/>
    <w:tmpl w:val="DD1C3598"/>
    <w:lvl w:ilvl="0" w:tplc="6578112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EF5B56"/>
    <w:multiLevelType w:val="hybridMultilevel"/>
    <w:tmpl w:val="63E6F352"/>
    <w:lvl w:ilvl="0" w:tplc="F9C8F0C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F260C05"/>
    <w:multiLevelType w:val="hybridMultilevel"/>
    <w:tmpl w:val="2618C60E"/>
    <w:lvl w:ilvl="0" w:tplc="CDD874A4">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0A7B69"/>
    <w:multiLevelType w:val="hybridMultilevel"/>
    <w:tmpl w:val="5A46A066"/>
    <w:lvl w:ilvl="0" w:tplc="CDD874A4">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122909"/>
    <w:multiLevelType w:val="hybridMultilevel"/>
    <w:tmpl w:val="FA0A1E04"/>
    <w:lvl w:ilvl="0" w:tplc="CDD874A4">
      <w:numFmt w:val="bullet"/>
      <w:lvlText w:val=""/>
      <w:lvlJc w:val="left"/>
      <w:pPr>
        <w:ind w:left="774" w:hanging="360"/>
      </w:pPr>
      <w:rPr>
        <w:rFonts w:ascii="Symbol" w:eastAsia="Cambria" w:hAnsi="Symbol" w:cs="Times New Roman"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6" w15:restartNumberingAfterBreak="0">
    <w:nsid w:val="693D1C7A"/>
    <w:multiLevelType w:val="hybridMultilevel"/>
    <w:tmpl w:val="69369E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2B96A95"/>
    <w:multiLevelType w:val="hybridMultilevel"/>
    <w:tmpl w:val="E34EA902"/>
    <w:lvl w:ilvl="0" w:tplc="64487A80">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CA15A7"/>
    <w:multiLevelType w:val="multilevel"/>
    <w:tmpl w:val="9858E7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BE2F9C"/>
    <w:multiLevelType w:val="hybridMultilevel"/>
    <w:tmpl w:val="E81869D4"/>
    <w:lvl w:ilvl="0" w:tplc="4E42CEE0">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
    <w:lvlOverride w:ilvl="0">
      <w:lvl w:ilvl="0">
        <w:start w:val="1"/>
        <w:numFmt w:val="bullet"/>
        <w:pStyle w:val="ListBullet"/>
        <w:lvlText w:val="•"/>
        <w:lvlJc w:val="left"/>
        <w:pPr>
          <w:ind w:left="360" w:hanging="360"/>
        </w:pPr>
        <w:rPr>
          <w:rFonts w:ascii="Arial" w:hAnsi="Arial" w:hint="default"/>
        </w:rPr>
      </w:lvl>
    </w:lvlOverride>
    <w:lvlOverride w:ilvl="1">
      <w:lvl w:ilvl="1" w:tentative="1">
        <w:start w:val="1"/>
        <w:numFmt w:val="bullet"/>
        <w:pStyle w:val="ListBullet2"/>
        <w:lvlText w:val="o"/>
        <w:lvlJc w:val="left"/>
        <w:pPr>
          <w:ind w:left="1080" w:hanging="360"/>
        </w:pPr>
        <w:rPr>
          <w:rFonts w:ascii="Courier New" w:hAnsi="Courier New" w:cs="Courier New" w:hint="default"/>
        </w:rPr>
      </w:lvl>
    </w:lvlOverride>
    <w:lvlOverride w:ilvl="2">
      <w:lvl w:ilvl="2" w:tentative="1">
        <w:start w:val="1"/>
        <w:numFmt w:val="bullet"/>
        <w:pStyle w:val="ListBullet3"/>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4">
    <w:abstractNumId w:val="1"/>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5">
    <w:abstractNumId w:val="7"/>
  </w:num>
  <w:num w:numId="6">
    <w:abstractNumId w:val="8"/>
  </w:num>
  <w:num w:numId="7">
    <w:abstractNumId w:val="2"/>
    <w:lvlOverride w:ilvl="0">
      <w:lvl w:ilvl="0">
        <w:start w:val="1"/>
        <w:numFmt w:val="bullet"/>
        <w:pStyle w:val="ListBullet"/>
        <w:lvlText w:val="•"/>
        <w:lvlJc w:val="left"/>
        <w:pPr>
          <w:ind w:left="360" w:hanging="360"/>
        </w:pPr>
        <w:rPr>
          <w:rFonts w:ascii="Arial" w:hAnsi="Arial" w:hint="default"/>
        </w:rPr>
      </w:lvl>
    </w:lvlOverride>
    <w:lvlOverride w:ilvl="1">
      <w:lvl w:ilvl="1">
        <w:start w:val="1"/>
        <w:numFmt w:val="bullet"/>
        <w:pStyle w:val="ListBullet2"/>
        <w:lvlText w:val="o"/>
        <w:lvlJc w:val="left"/>
        <w:pPr>
          <w:ind w:left="1080" w:hanging="360"/>
        </w:pPr>
        <w:rPr>
          <w:rFonts w:ascii="Courier New" w:hAnsi="Courier New" w:cs="Courier New" w:hint="default"/>
        </w:rPr>
      </w:lvl>
    </w:lvlOverride>
    <w:lvlOverride w:ilvl="2">
      <w:lvl w:ilvl="2">
        <w:start w:val="1"/>
        <w:numFmt w:val="bullet"/>
        <w:pStyle w:val="ListBullet3"/>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5"/>
  </w:num>
  <w:num w:numId="9">
    <w:abstractNumId w:val="10"/>
  </w:num>
  <w:num w:numId="10">
    <w:abstractNumId w:val="3"/>
  </w:num>
  <w:num w:numId="11">
    <w:abstractNumId w:val="17"/>
  </w:num>
  <w:num w:numId="12">
    <w:abstractNumId w:val="11"/>
  </w:num>
  <w:num w:numId="13">
    <w:abstractNumId w:val="9"/>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14"/>
  </w:num>
  <w:num w:numId="23">
    <w:abstractNumId w:val="12"/>
  </w:num>
  <w:num w:numId="24">
    <w:abstractNumId w:val="6"/>
  </w:num>
  <w:num w:numId="25">
    <w:abstractNumId w:val="4"/>
  </w:num>
  <w:num w:numId="26">
    <w:abstractNumId w:val="19"/>
  </w:num>
  <w:num w:numId="27">
    <w:abstractNumId w:val="16"/>
  </w:num>
  <w:num w:numId="28">
    <w:abstractNumId w:val="0"/>
  </w:num>
  <w:num w:numId="29">
    <w:abstractNumId w:val="1"/>
    <w:lvlOverride w:ilvl="0">
      <w:startOverride w:val="1"/>
      <w:lvl w:ilvl="0">
        <w:start w:val="1"/>
        <w:numFmt w:val="decimal"/>
        <w:pStyle w:val="Numberbullet0"/>
        <w:lvlText w:val="%1."/>
        <w:lvlJc w:val="left"/>
        <w:pPr>
          <w:ind w:left="425" w:hanging="425"/>
        </w:pPr>
        <w:rPr>
          <w:rFonts w:ascii="Cambria" w:hAnsi="Cambria" w:hint="default"/>
          <w:b w:val="0"/>
        </w:rPr>
      </w:lvl>
    </w:lvlOverride>
  </w:num>
  <w:num w:numId="30">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4"/>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4EE1D23-A0FA-4322-892C-90DF57749A39}"/>
    <w:docVar w:name="dgnword-eventsink" w:val="135392400"/>
  </w:docVars>
  <w:rsids>
    <w:rsidRoot w:val="006F6280"/>
    <w:rsid w:val="00001D98"/>
    <w:rsid w:val="00001F7C"/>
    <w:rsid w:val="00002031"/>
    <w:rsid w:val="000040BA"/>
    <w:rsid w:val="00004734"/>
    <w:rsid w:val="00005392"/>
    <w:rsid w:val="00006B22"/>
    <w:rsid w:val="00010E4D"/>
    <w:rsid w:val="0001276A"/>
    <w:rsid w:val="000143FF"/>
    <w:rsid w:val="00014B0E"/>
    <w:rsid w:val="00016BEB"/>
    <w:rsid w:val="0002013F"/>
    <w:rsid w:val="00020D3B"/>
    <w:rsid w:val="00021CD5"/>
    <w:rsid w:val="000234D3"/>
    <w:rsid w:val="000246AE"/>
    <w:rsid w:val="00024716"/>
    <w:rsid w:val="00024A68"/>
    <w:rsid w:val="00025062"/>
    <w:rsid w:val="0002567D"/>
    <w:rsid w:val="00025C67"/>
    <w:rsid w:val="00032FFB"/>
    <w:rsid w:val="00035684"/>
    <w:rsid w:val="000415A9"/>
    <w:rsid w:val="0004585E"/>
    <w:rsid w:val="00046796"/>
    <w:rsid w:val="0005559E"/>
    <w:rsid w:val="00056F65"/>
    <w:rsid w:val="0006657C"/>
    <w:rsid w:val="000703AB"/>
    <w:rsid w:val="0007239B"/>
    <w:rsid w:val="000745A9"/>
    <w:rsid w:val="000761CF"/>
    <w:rsid w:val="00077775"/>
    <w:rsid w:val="0008086B"/>
    <w:rsid w:val="0008135B"/>
    <w:rsid w:val="00081C3E"/>
    <w:rsid w:val="00082F6A"/>
    <w:rsid w:val="00084A8E"/>
    <w:rsid w:val="000852C0"/>
    <w:rsid w:val="000855DC"/>
    <w:rsid w:val="00087959"/>
    <w:rsid w:val="00090471"/>
    <w:rsid w:val="00090A43"/>
    <w:rsid w:val="000934A6"/>
    <w:rsid w:val="00093F7C"/>
    <w:rsid w:val="000950E4"/>
    <w:rsid w:val="000975E1"/>
    <w:rsid w:val="000A0537"/>
    <w:rsid w:val="000A18EA"/>
    <w:rsid w:val="000A3543"/>
    <w:rsid w:val="000A4371"/>
    <w:rsid w:val="000A741D"/>
    <w:rsid w:val="000B1288"/>
    <w:rsid w:val="000B30E5"/>
    <w:rsid w:val="000B3532"/>
    <w:rsid w:val="000B3A1C"/>
    <w:rsid w:val="000B3A75"/>
    <w:rsid w:val="000B3C03"/>
    <w:rsid w:val="000B574E"/>
    <w:rsid w:val="000B5E4E"/>
    <w:rsid w:val="000B6CAE"/>
    <w:rsid w:val="000B7084"/>
    <w:rsid w:val="000C27CE"/>
    <w:rsid w:val="000C5FF6"/>
    <w:rsid w:val="000C6B9F"/>
    <w:rsid w:val="000D0851"/>
    <w:rsid w:val="000D157F"/>
    <w:rsid w:val="000D391B"/>
    <w:rsid w:val="000D3D6D"/>
    <w:rsid w:val="000D3F4A"/>
    <w:rsid w:val="000D4FC7"/>
    <w:rsid w:val="000D5AF0"/>
    <w:rsid w:val="000D7930"/>
    <w:rsid w:val="000E08AC"/>
    <w:rsid w:val="000E2003"/>
    <w:rsid w:val="000E28F5"/>
    <w:rsid w:val="000E5672"/>
    <w:rsid w:val="000E7335"/>
    <w:rsid w:val="000F0241"/>
    <w:rsid w:val="000F1C73"/>
    <w:rsid w:val="000F1D3F"/>
    <w:rsid w:val="000F36A8"/>
    <w:rsid w:val="000F36E0"/>
    <w:rsid w:val="000F4869"/>
    <w:rsid w:val="000F5176"/>
    <w:rsid w:val="000F5978"/>
    <w:rsid w:val="000F5B42"/>
    <w:rsid w:val="000F6E6F"/>
    <w:rsid w:val="001003F2"/>
    <w:rsid w:val="00100487"/>
    <w:rsid w:val="0010100D"/>
    <w:rsid w:val="00102BDA"/>
    <w:rsid w:val="001046F5"/>
    <w:rsid w:val="00104A45"/>
    <w:rsid w:val="00104E9D"/>
    <w:rsid w:val="0010601F"/>
    <w:rsid w:val="00106B00"/>
    <w:rsid w:val="001102ED"/>
    <w:rsid w:val="00110EA5"/>
    <w:rsid w:val="0011135E"/>
    <w:rsid w:val="00112A18"/>
    <w:rsid w:val="00115240"/>
    <w:rsid w:val="00115508"/>
    <w:rsid w:val="001210F1"/>
    <w:rsid w:val="0012262B"/>
    <w:rsid w:val="00125091"/>
    <w:rsid w:val="00125318"/>
    <w:rsid w:val="00126E28"/>
    <w:rsid w:val="001305A2"/>
    <w:rsid w:val="00132B12"/>
    <w:rsid w:val="00133238"/>
    <w:rsid w:val="00140C01"/>
    <w:rsid w:val="00140FE3"/>
    <w:rsid w:val="0014197B"/>
    <w:rsid w:val="001421DE"/>
    <w:rsid w:val="0014247A"/>
    <w:rsid w:val="001447CD"/>
    <w:rsid w:val="001500F7"/>
    <w:rsid w:val="001501A3"/>
    <w:rsid w:val="001516B1"/>
    <w:rsid w:val="00151EB9"/>
    <w:rsid w:val="001525B4"/>
    <w:rsid w:val="00156316"/>
    <w:rsid w:val="001608F4"/>
    <w:rsid w:val="00161EB7"/>
    <w:rsid w:val="00163222"/>
    <w:rsid w:val="001636B6"/>
    <w:rsid w:val="00165102"/>
    <w:rsid w:val="00165389"/>
    <w:rsid w:val="00165DC3"/>
    <w:rsid w:val="00165E66"/>
    <w:rsid w:val="00166331"/>
    <w:rsid w:val="001713A3"/>
    <w:rsid w:val="00172173"/>
    <w:rsid w:val="00172A15"/>
    <w:rsid w:val="0017693F"/>
    <w:rsid w:val="00177DC4"/>
    <w:rsid w:val="0018110E"/>
    <w:rsid w:val="00181684"/>
    <w:rsid w:val="001818AC"/>
    <w:rsid w:val="001843C6"/>
    <w:rsid w:val="001849C0"/>
    <w:rsid w:val="001850E0"/>
    <w:rsid w:val="001858BE"/>
    <w:rsid w:val="0018660B"/>
    <w:rsid w:val="00187E5F"/>
    <w:rsid w:val="00191440"/>
    <w:rsid w:val="001920BD"/>
    <w:rsid w:val="00192154"/>
    <w:rsid w:val="0019241B"/>
    <w:rsid w:val="00192AAA"/>
    <w:rsid w:val="001930AE"/>
    <w:rsid w:val="001942C8"/>
    <w:rsid w:val="0019687C"/>
    <w:rsid w:val="001A1580"/>
    <w:rsid w:val="001A3190"/>
    <w:rsid w:val="001A329E"/>
    <w:rsid w:val="001A4A76"/>
    <w:rsid w:val="001A525F"/>
    <w:rsid w:val="001B09F9"/>
    <w:rsid w:val="001B0F36"/>
    <w:rsid w:val="001B32F0"/>
    <w:rsid w:val="001B6448"/>
    <w:rsid w:val="001B6556"/>
    <w:rsid w:val="001C2B48"/>
    <w:rsid w:val="001C3A9E"/>
    <w:rsid w:val="001C6A94"/>
    <w:rsid w:val="001C7E88"/>
    <w:rsid w:val="001D5FEF"/>
    <w:rsid w:val="001D7224"/>
    <w:rsid w:val="001E041E"/>
    <w:rsid w:val="001E07CF"/>
    <w:rsid w:val="001E0FC2"/>
    <w:rsid w:val="001E1434"/>
    <w:rsid w:val="001E275A"/>
    <w:rsid w:val="001E2E1F"/>
    <w:rsid w:val="001E4091"/>
    <w:rsid w:val="001E483C"/>
    <w:rsid w:val="001E59F1"/>
    <w:rsid w:val="001E6DCA"/>
    <w:rsid w:val="001E6F1B"/>
    <w:rsid w:val="001E7B2B"/>
    <w:rsid w:val="001F096E"/>
    <w:rsid w:val="001F124F"/>
    <w:rsid w:val="001F20F9"/>
    <w:rsid w:val="001F3096"/>
    <w:rsid w:val="001F49EB"/>
    <w:rsid w:val="001F6CBA"/>
    <w:rsid w:val="00201D4E"/>
    <w:rsid w:val="00205D53"/>
    <w:rsid w:val="00207647"/>
    <w:rsid w:val="0021171D"/>
    <w:rsid w:val="00215D48"/>
    <w:rsid w:val="00217091"/>
    <w:rsid w:val="00217C8A"/>
    <w:rsid w:val="00220B8A"/>
    <w:rsid w:val="00221C9D"/>
    <w:rsid w:val="00222E88"/>
    <w:rsid w:val="00223DCB"/>
    <w:rsid w:val="0022539F"/>
    <w:rsid w:val="002257F3"/>
    <w:rsid w:val="00226EA8"/>
    <w:rsid w:val="00227E3F"/>
    <w:rsid w:val="0023065C"/>
    <w:rsid w:val="00231E8D"/>
    <w:rsid w:val="00233456"/>
    <w:rsid w:val="00233904"/>
    <w:rsid w:val="002339A5"/>
    <w:rsid w:val="002348EB"/>
    <w:rsid w:val="00234CB8"/>
    <w:rsid w:val="00235DD1"/>
    <w:rsid w:val="00237691"/>
    <w:rsid w:val="002423FB"/>
    <w:rsid w:val="002437BA"/>
    <w:rsid w:val="00246582"/>
    <w:rsid w:val="00247FB9"/>
    <w:rsid w:val="00253103"/>
    <w:rsid w:val="00254035"/>
    <w:rsid w:val="002557EF"/>
    <w:rsid w:val="00257138"/>
    <w:rsid w:val="00257848"/>
    <w:rsid w:val="00257F74"/>
    <w:rsid w:val="0026320A"/>
    <w:rsid w:val="00264D71"/>
    <w:rsid w:val="0027084A"/>
    <w:rsid w:val="00271143"/>
    <w:rsid w:val="0027248E"/>
    <w:rsid w:val="002730A8"/>
    <w:rsid w:val="00273248"/>
    <w:rsid w:val="002760B9"/>
    <w:rsid w:val="00276F13"/>
    <w:rsid w:val="002826A6"/>
    <w:rsid w:val="002837D3"/>
    <w:rsid w:val="00285689"/>
    <w:rsid w:val="00286065"/>
    <w:rsid w:val="00286434"/>
    <w:rsid w:val="00286C59"/>
    <w:rsid w:val="0029069E"/>
    <w:rsid w:val="00290795"/>
    <w:rsid w:val="002916FF"/>
    <w:rsid w:val="002942D1"/>
    <w:rsid w:val="0029538D"/>
    <w:rsid w:val="00295BC7"/>
    <w:rsid w:val="002A0556"/>
    <w:rsid w:val="002A3229"/>
    <w:rsid w:val="002A3F18"/>
    <w:rsid w:val="002A4336"/>
    <w:rsid w:val="002A5B3A"/>
    <w:rsid w:val="002A618C"/>
    <w:rsid w:val="002B1638"/>
    <w:rsid w:val="002B25CB"/>
    <w:rsid w:val="002B26B6"/>
    <w:rsid w:val="002B29B2"/>
    <w:rsid w:val="002B2D97"/>
    <w:rsid w:val="002B3D3C"/>
    <w:rsid w:val="002C1F55"/>
    <w:rsid w:val="002C376C"/>
    <w:rsid w:val="002C439F"/>
    <w:rsid w:val="002C6E9C"/>
    <w:rsid w:val="002D4463"/>
    <w:rsid w:val="002D6475"/>
    <w:rsid w:val="002D7669"/>
    <w:rsid w:val="002E13B0"/>
    <w:rsid w:val="002E193A"/>
    <w:rsid w:val="002E364F"/>
    <w:rsid w:val="002E4C9A"/>
    <w:rsid w:val="002E5C0E"/>
    <w:rsid w:val="002E6BD3"/>
    <w:rsid w:val="002F11F8"/>
    <w:rsid w:val="002F25EC"/>
    <w:rsid w:val="002F260A"/>
    <w:rsid w:val="002F36BF"/>
    <w:rsid w:val="002F3F56"/>
    <w:rsid w:val="002F44B5"/>
    <w:rsid w:val="002F6F6B"/>
    <w:rsid w:val="00300350"/>
    <w:rsid w:val="003016AD"/>
    <w:rsid w:val="00301FA3"/>
    <w:rsid w:val="00302E85"/>
    <w:rsid w:val="00304FFD"/>
    <w:rsid w:val="003068FC"/>
    <w:rsid w:val="0030707D"/>
    <w:rsid w:val="00310C69"/>
    <w:rsid w:val="00311AC0"/>
    <w:rsid w:val="00311AF6"/>
    <w:rsid w:val="003177D4"/>
    <w:rsid w:val="003238B9"/>
    <w:rsid w:val="00323F14"/>
    <w:rsid w:val="00324FD6"/>
    <w:rsid w:val="003252DE"/>
    <w:rsid w:val="00326919"/>
    <w:rsid w:val="00331DBB"/>
    <w:rsid w:val="00334E85"/>
    <w:rsid w:val="00335C3B"/>
    <w:rsid w:val="003361D1"/>
    <w:rsid w:val="0033625D"/>
    <w:rsid w:val="0034059C"/>
    <w:rsid w:val="0034081A"/>
    <w:rsid w:val="00340E85"/>
    <w:rsid w:val="0034133D"/>
    <w:rsid w:val="00342FC5"/>
    <w:rsid w:val="00345E1A"/>
    <w:rsid w:val="00347B1C"/>
    <w:rsid w:val="00350236"/>
    <w:rsid w:val="0035146C"/>
    <w:rsid w:val="00351731"/>
    <w:rsid w:val="00351C6A"/>
    <w:rsid w:val="003521E8"/>
    <w:rsid w:val="003554B0"/>
    <w:rsid w:val="00357005"/>
    <w:rsid w:val="00357700"/>
    <w:rsid w:val="00361D1D"/>
    <w:rsid w:val="0036361E"/>
    <w:rsid w:val="003664BF"/>
    <w:rsid w:val="00366F4D"/>
    <w:rsid w:val="003728F3"/>
    <w:rsid w:val="003741CD"/>
    <w:rsid w:val="003742E5"/>
    <w:rsid w:val="00376793"/>
    <w:rsid w:val="003843F6"/>
    <w:rsid w:val="00384642"/>
    <w:rsid w:val="00390900"/>
    <w:rsid w:val="00393398"/>
    <w:rsid w:val="0039377A"/>
    <w:rsid w:val="00394EAA"/>
    <w:rsid w:val="003966DD"/>
    <w:rsid w:val="003979F0"/>
    <w:rsid w:val="003A2670"/>
    <w:rsid w:val="003A2DDF"/>
    <w:rsid w:val="003A469B"/>
    <w:rsid w:val="003A5BA5"/>
    <w:rsid w:val="003B18C9"/>
    <w:rsid w:val="003B362C"/>
    <w:rsid w:val="003B3A7F"/>
    <w:rsid w:val="003B537F"/>
    <w:rsid w:val="003B547F"/>
    <w:rsid w:val="003B57D1"/>
    <w:rsid w:val="003B6D6A"/>
    <w:rsid w:val="003B7E39"/>
    <w:rsid w:val="003C278D"/>
    <w:rsid w:val="003C58DC"/>
    <w:rsid w:val="003D0733"/>
    <w:rsid w:val="003D16F1"/>
    <w:rsid w:val="003D23AF"/>
    <w:rsid w:val="003D3B63"/>
    <w:rsid w:val="003D63AF"/>
    <w:rsid w:val="003D64B3"/>
    <w:rsid w:val="003D6B56"/>
    <w:rsid w:val="003D6EF0"/>
    <w:rsid w:val="003E0A89"/>
    <w:rsid w:val="003E2877"/>
    <w:rsid w:val="003E3208"/>
    <w:rsid w:val="003E5E0E"/>
    <w:rsid w:val="003F0B04"/>
    <w:rsid w:val="003F2DD3"/>
    <w:rsid w:val="003F2E95"/>
    <w:rsid w:val="0040044F"/>
    <w:rsid w:val="0040134E"/>
    <w:rsid w:val="00404B57"/>
    <w:rsid w:val="00404F93"/>
    <w:rsid w:val="00406DB9"/>
    <w:rsid w:val="00416BCB"/>
    <w:rsid w:val="00423BFB"/>
    <w:rsid w:val="00426CDF"/>
    <w:rsid w:val="00427F8D"/>
    <w:rsid w:val="004301A8"/>
    <w:rsid w:val="004304DF"/>
    <w:rsid w:val="00430CDD"/>
    <w:rsid w:val="00432A49"/>
    <w:rsid w:val="00432AFA"/>
    <w:rsid w:val="00432D9D"/>
    <w:rsid w:val="004379AE"/>
    <w:rsid w:val="00440A2D"/>
    <w:rsid w:val="00440EC0"/>
    <w:rsid w:val="004422F6"/>
    <w:rsid w:val="0044601F"/>
    <w:rsid w:val="00450189"/>
    <w:rsid w:val="0045040C"/>
    <w:rsid w:val="00453B60"/>
    <w:rsid w:val="00454E4A"/>
    <w:rsid w:val="004564A7"/>
    <w:rsid w:val="00456C9D"/>
    <w:rsid w:val="004579E5"/>
    <w:rsid w:val="00460EDC"/>
    <w:rsid w:val="004617BF"/>
    <w:rsid w:val="00463364"/>
    <w:rsid w:val="0046351F"/>
    <w:rsid w:val="00464B64"/>
    <w:rsid w:val="00465B5A"/>
    <w:rsid w:val="00465F65"/>
    <w:rsid w:val="0047382C"/>
    <w:rsid w:val="00473864"/>
    <w:rsid w:val="00474881"/>
    <w:rsid w:val="00476271"/>
    <w:rsid w:val="00482C59"/>
    <w:rsid w:val="00483D37"/>
    <w:rsid w:val="004923FF"/>
    <w:rsid w:val="004927EC"/>
    <w:rsid w:val="00494591"/>
    <w:rsid w:val="00494CA4"/>
    <w:rsid w:val="00494E60"/>
    <w:rsid w:val="0049734C"/>
    <w:rsid w:val="004A0020"/>
    <w:rsid w:val="004A2D26"/>
    <w:rsid w:val="004A3084"/>
    <w:rsid w:val="004A348A"/>
    <w:rsid w:val="004B093C"/>
    <w:rsid w:val="004B7B76"/>
    <w:rsid w:val="004C0070"/>
    <w:rsid w:val="004C08DC"/>
    <w:rsid w:val="004C100A"/>
    <w:rsid w:val="004C4096"/>
    <w:rsid w:val="004C5885"/>
    <w:rsid w:val="004D2D04"/>
    <w:rsid w:val="004D51A6"/>
    <w:rsid w:val="004D5E97"/>
    <w:rsid w:val="004D642C"/>
    <w:rsid w:val="004E28B9"/>
    <w:rsid w:val="004E2BF2"/>
    <w:rsid w:val="004E2D7B"/>
    <w:rsid w:val="004E30CD"/>
    <w:rsid w:val="004E5C1B"/>
    <w:rsid w:val="004E788D"/>
    <w:rsid w:val="004F0503"/>
    <w:rsid w:val="004F0F38"/>
    <w:rsid w:val="004F1240"/>
    <w:rsid w:val="004F2F79"/>
    <w:rsid w:val="004F40D8"/>
    <w:rsid w:val="004F484B"/>
    <w:rsid w:val="00501921"/>
    <w:rsid w:val="00511706"/>
    <w:rsid w:val="00511BED"/>
    <w:rsid w:val="0051486D"/>
    <w:rsid w:val="00515A79"/>
    <w:rsid w:val="00515C6B"/>
    <w:rsid w:val="005176B3"/>
    <w:rsid w:val="0052155A"/>
    <w:rsid w:val="005229D3"/>
    <w:rsid w:val="00523FB1"/>
    <w:rsid w:val="005244D1"/>
    <w:rsid w:val="00527E4D"/>
    <w:rsid w:val="00530354"/>
    <w:rsid w:val="00532C0B"/>
    <w:rsid w:val="005350E6"/>
    <w:rsid w:val="00535D83"/>
    <w:rsid w:val="00536EFD"/>
    <w:rsid w:val="0053779B"/>
    <w:rsid w:val="00541EA1"/>
    <w:rsid w:val="00541FD8"/>
    <w:rsid w:val="005423EF"/>
    <w:rsid w:val="005434C6"/>
    <w:rsid w:val="00543B39"/>
    <w:rsid w:val="005474CB"/>
    <w:rsid w:val="00547711"/>
    <w:rsid w:val="005479FE"/>
    <w:rsid w:val="00547D96"/>
    <w:rsid w:val="00550096"/>
    <w:rsid w:val="005529A2"/>
    <w:rsid w:val="00556183"/>
    <w:rsid w:val="005569AC"/>
    <w:rsid w:val="00557D96"/>
    <w:rsid w:val="00557FF9"/>
    <w:rsid w:val="00560037"/>
    <w:rsid w:val="005605FB"/>
    <w:rsid w:val="00565A40"/>
    <w:rsid w:val="00566F43"/>
    <w:rsid w:val="00567A2E"/>
    <w:rsid w:val="005711FA"/>
    <w:rsid w:val="00571E25"/>
    <w:rsid w:val="00576378"/>
    <w:rsid w:val="0057741E"/>
    <w:rsid w:val="00577E38"/>
    <w:rsid w:val="00584285"/>
    <w:rsid w:val="005842E0"/>
    <w:rsid w:val="00585322"/>
    <w:rsid w:val="005865CD"/>
    <w:rsid w:val="005906E2"/>
    <w:rsid w:val="0059165D"/>
    <w:rsid w:val="00591EDD"/>
    <w:rsid w:val="00592591"/>
    <w:rsid w:val="00593981"/>
    <w:rsid w:val="00593AD1"/>
    <w:rsid w:val="005940AF"/>
    <w:rsid w:val="0059584D"/>
    <w:rsid w:val="005A1131"/>
    <w:rsid w:val="005B0040"/>
    <w:rsid w:val="005B0854"/>
    <w:rsid w:val="005B19E4"/>
    <w:rsid w:val="005B1A66"/>
    <w:rsid w:val="005B1DC7"/>
    <w:rsid w:val="005B5C41"/>
    <w:rsid w:val="005C0BD1"/>
    <w:rsid w:val="005C3B23"/>
    <w:rsid w:val="005C5142"/>
    <w:rsid w:val="005C5570"/>
    <w:rsid w:val="005C5FD4"/>
    <w:rsid w:val="005C79A4"/>
    <w:rsid w:val="005C7B44"/>
    <w:rsid w:val="005D1689"/>
    <w:rsid w:val="005D1899"/>
    <w:rsid w:val="005D248B"/>
    <w:rsid w:val="005D2773"/>
    <w:rsid w:val="005D3924"/>
    <w:rsid w:val="005D5442"/>
    <w:rsid w:val="005D54AA"/>
    <w:rsid w:val="005D55A3"/>
    <w:rsid w:val="005D638D"/>
    <w:rsid w:val="005E272E"/>
    <w:rsid w:val="005E5FC4"/>
    <w:rsid w:val="005F12F3"/>
    <w:rsid w:val="005F307C"/>
    <w:rsid w:val="005F3B88"/>
    <w:rsid w:val="005F458A"/>
    <w:rsid w:val="005F5830"/>
    <w:rsid w:val="00602075"/>
    <w:rsid w:val="006029BE"/>
    <w:rsid w:val="00603A91"/>
    <w:rsid w:val="00604E34"/>
    <w:rsid w:val="00606676"/>
    <w:rsid w:val="006078F7"/>
    <w:rsid w:val="00607A8F"/>
    <w:rsid w:val="00610D73"/>
    <w:rsid w:val="006140C0"/>
    <w:rsid w:val="00617CA6"/>
    <w:rsid w:val="006229D7"/>
    <w:rsid w:val="00622A81"/>
    <w:rsid w:val="006246F0"/>
    <w:rsid w:val="00625015"/>
    <w:rsid w:val="00625564"/>
    <w:rsid w:val="00631241"/>
    <w:rsid w:val="00634C35"/>
    <w:rsid w:val="00636EDC"/>
    <w:rsid w:val="00640FC3"/>
    <w:rsid w:val="00642020"/>
    <w:rsid w:val="006439BB"/>
    <w:rsid w:val="00645322"/>
    <w:rsid w:val="00646933"/>
    <w:rsid w:val="00650E7B"/>
    <w:rsid w:val="00651214"/>
    <w:rsid w:val="0065200D"/>
    <w:rsid w:val="00652089"/>
    <w:rsid w:val="0065337B"/>
    <w:rsid w:val="0065419D"/>
    <w:rsid w:val="006555B8"/>
    <w:rsid w:val="006604D8"/>
    <w:rsid w:val="006606BC"/>
    <w:rsid w:val="006641AF"/>
    <w:rsid w:val="00664A5B"/>
    <w:rsid w:val="00666AEF"/>
    <w:rsid w:val="00666C88"/>
    <w:rsid w:val="0066721A"/>
    <w:rsid w:val="006673B1"/>
    <w:rsid w:val="00667942"/>
    <w:rsid w:val="00680C08"/>
    <w:rsid w:val="006832C1"/>
    <w:rsid w:val="00684E98"/>
    <w:rsid w:val="00685FE6"/>
    <w:rsid w:val="0068741A"/>
    <w:rsid w:val="006877CA"/>
    <w:rsid w:val="00691236"/>
    <w:rsid w:val="006931B1"/>
    <w:rsid w:val="006972DC"/>
    <w:rsid w:val="00697D13"/>
    <w:rsid w:val="006A15C0"/>
    <w:rsid w:val="006A2426"/>
    <w:rsid w:val="006A2A31"/>
    <w:rsid w:val="006A2D3E"/>
    <w:rsid w:val="006A38E4"/>
    <w:rsid w:val="006A3B49"/>
    <w:rsid w:val="006A4E31"/>
    <w:rsid w:val="006B0D38"/>
    <w:rsid w:val="006B127A"/>
    <w:rsid w:val="006B156D"/>
    <w:rsid w:val="006B3547"/>
    <w:rsid w:val="006B55AD"/>
    <w:rsid w:val="006C12A8"/>
    <w:rsid w:val="006C1597"/>
    <w:rsid w:val="006C1F3B"/>
    <w:rsid w:val="006C26F7"/>
    <w:rsid w:val="006C346E"/>
    <w:rsid w:val="006C3E2A"/>
    <w:rsid w:val="006C43B5"/>
    <w:rsid w:val="006C5914"/>
    <w:rsid w:val="006C642F"/>
    <w:rsid w:val="006C7CDE"/>
    <w:rsid w:val="006D03E5"/>
    <w:rsid w:val="006D0E81"/>
    <w:rsid w:val="006D2254"/>
    <w:rsid w:val="006D2835"/>
    <w:rsid w:val="006D3D5D"/>
    <w:rsid w:val="006D5D3E"/>
    <w:rsid w:val="006D62AB"/>
    <w:rsid w:val="006E0823"/>
    <w:rsid w:val="006E08B3"/>
    <w:rsid w:val="006E1988"/>
    <w:rsid w:val="006E4E00"/>
    <w:rsid w:val="006F02AA"/>
    <w:rsid w:val="006F1604"/>
    <w:rsid w:val="006F42CE"/>
    <w:rsid w:val="006F46EA"/>
    <w:rsid w:val="006F572E"/>
    <w:rsid w:val="006F6280"/>
    <w:rsid w:val="006F6284"/>
    <w:rsid w:val="006F652C"/>
    <w:rsid w:val="006F6C81"/>
    <w:rsid w:val="006F7702"/>
    <w:rsid w:val="00700133"/>
    <w:rsid w:val="00700146"/>
    <w:rsid w:val="00701BEB"/>
    <w:rsid w:val="0070373B"/>
    <w:rsid w:val="007046D6"/>
    <w:rsid w:val="00705039"/>
    <w:rsid w:val="00705421"/>
    <w:rsid w:val="00705AFC"/>
    <w:rsid w:val="00705DB0"/>
    <w:rsid w:val="00706487"/>
    <w:rsid w:val="00706634"/>
    <w:rsid w:val="00706AFE"/>
    <w:rsid w:val="007072D2"/>
    <w:rsid w:val="00707C74"/>
    <w:rsid w:val="00713840"/>
    <w:rsid w:val="007163A1"/>
    <w:rsid w:val="0071663C"/>
    <w:rsid w:val="007179E6"/>
    <w:rsid w:val="00720CF2"/>
    <w:rsid w:val="00721919"/>
    <w:rsid w:val="00723BF8"/>
    <w:rsid w:val="0072792F"/>
    <w:rsid w:val="00731B96"/>
    <w:rsid w:val="007327C1"/>
    <w:rsid w:val="00732FEE"/>
    <w:rsid w:val="00734146"/>
    <w:rsid w:val="0073472B"/>
    <w:rsid w:val="00734F3D"/>
    <w:rsid w:val="00740416"/>
    <w:rsid w:val="00740768"/>
    <w:rsid w:val="0074100B"/>
    <w:rsid w:val="007414F4"/>
    <w:rsid w:val="0074253D"/>
    <w:rsid w:val="0074429B"/>
    <w:rsid w:val="00744480"/>
    <w:rsid w:val="007449BD"/>
    <w:rsid w:val="00745F7A"/>
    <w:rsid w:val="007477F8"/>
    <w:rsid w:val="00753687"/>
    <w:rsid w:val="00753A56"/>
    <w:rsid w:val="0075524A"/>
    <w:rsid w:val="00755B63"/>
    <w:rsid w:val="00757439"/>
    <w:rsid w:val="007602A4"/>
    <w:rsid w:val="0076100E"/>
    <w:rsid w:val="007615BC"/>
    <w:rsid w:val="007622D7"/>
    <w:rsid w:val="00762F05"/>
    <w:rsid w:val="0076375F"/>
    <w:rsid w:val="00764FC4"/>
    <w:rsid w:val="007652FF"/>
    <w:rsid w:val="007654EB"/>
    <w:rsid w:val="0077019C"/>
    <w:rsid w:val="007703B5"/>
    <w:rsid w:val="00771329"/>
    <w:rsid w:val="007737C6"/>
    <w:rsid w:val="00773EF7"/>
    <w:rsid w:val="00774448"/>
    <w:rsid w:val="00774E1D"/>
    <w:rsid w:val="007750D3"/>
    <w:rsid w:val="0077675A"/>
    <w:rsid w:val="00777798"/>
    <w:rsid w:val="00780355"/>
    <w:rsid w:val="007843DE"/>
    <w:rsid w:val="00785721"/>
    <w:rsid w:val="007859A9"/>
    <w:rsid w:val="00785B86"/>
    <w:rsid w:val="007868E5"/>
    <w:rsid w:val="00791627"/>
    <w:rsid w:val="00793A59"/>
    <w:rsid w:val="00795477"/>
    <w:rsid w:val="00795DC5"/>
    <w:rsid w:val="00797715"/>
    <w:rsid w:val="007A2162"/>
    <w:rsid w:val="007A57B8"/>
    <w:rsid w:val="007A6321"/>
    <w:rsid w:val="007B029A"/>
    <w:rsid w:val="007B0EBA"/>
    <w:rsid w:val="007B3C16"/>
    <w:rsid w:val="007B77C8"/>
    <w:rsid w:val="007C0F3D"/>
    <w:rsid w:val="007C13A7"/>
    <w:rsid w:val="007C1AF7"/>
    <w:rsid w:val="007C437A"/>
    <w:rsid w:val="007C544F"/>
    <w:rsid w:val="007C5EAD"/>
    <w:rsid w:val="007D0110"/>
    <w:rsid w:val="007D2AAF"/>
    <w:rsid w:val="007D458B"/>
    <w:rsid w:val="007D4855"/>
    <w:rsid w:val="007E175B"/>
    <w:rsid w:val="007E508C"/>
    <w:rsid w:val="007E7B74"/>
    <w:rsid w:val="007F016E"/>
    <w:rsid w:val="007F17AF"/>
    <w:rsid w:val="007F186E"/>
    <w:rsid w:val="007F2054"/>
    <w:rsid w:val="007F2C1F"/>
    <w:rsid w:val="007F3800"/>
    <w:rsid w:val="007F3F45"/>
    <w:rsid w:val="007F4ED9"/>
    <w:rsid w:val="007F545D"/>
    <w:rsid w:val="0080222F"/>
    <w:rsid w:val="0080280A"/>
    <w:rsid w:val="0080312F"/>
    <w:rsid w:val="00803574"/>
    <w:rsid w:val="00803967"/>
    <w:rsid w:val="0081459C"/>
    <w:rsid w:val="00814D73"/>
    <w:rsid w:val="00816164"/>
    <w:rsid w:val="0082040C"/>
    <w:rsid w:val="00821776"/>
    <w:rsid w:val="00823478"/>
    <w:rsid w:val="00824FAB"/>
    <w:rsid w:val="0082544B"/>
    <w:rsid w:val="00826007"/>
    <w:rsid w:val="00827361"/>
    <w:rsid w:val="00827527"/>
    <w:rsid w:val="00827A89"/>
    <w:rsid w:val="00831CBE"/>
    <w:rsid w:val="008320C3"/>
    <w:rsid w:val="008321F5"/>
    <w:rsid w:val="00832369"/>
    <w:rsid w:val="00834660"/>
    <w:rsid w:val="008348BF"/>
    <w:rsid w:val="00835677"/>
    <w:rsid w:val="008368B0"/>
    <w:rsid w:val="00836BC2"/>
    <w:rsid w:val="00840FB9"/>
    <w:rsid w:val="008410B5"/>
    <w:rsid w:val="008424AA"/>
    <w:rsid w:val="00843F01"/>
    <w:rsid w:val="0084698A"/>
    <w:rsid w:val="00851794"/>
    <w:rsid w:val="00852AD2"/>
    <w:rsid w:val="008540DE"/>
    <w:rsid w:val="00855249"/>
    <w:rsid w:val="0085641B"/>
    <w:rsid w:val="00857136"/>
    <w:rsid w:val="00860059"/>
    <w:rsid w:val="00863FB7"/>
    <w:rsid w:val="00874B9F"/>
    <w:rsid w:val="00874C44"/>
    <w:rsid w:val="00880697"/>
    <w:rsid w:val="00881F36"/>
    <w:rsid w:val="00884D8F"/>
    <w:rsid w:val="00887FF5"/>
    <w:rsid w:val="00896018"/>
    <w:rsid w:val="008975E4"/>
    <w:rsid w:val="008A0183"/>
    <w:rsid w:val="008A0EF9"/>
    <w:rsid w:val="008A2B9D"/>
    <w:rsid w:val="008A36DF"/>
    <w:rsid w:val="008A58D8"/>
    <w:rsid w:val="008A5BFE"/>
    <w:rsid w:val="008A5E0B"/>
    <w:rsid w:val="008A6B6A"/>
    <w:rsid w:val="008A6D59"/>
    <w:rsid w:val="008A7095"/>
    <w:rsid w:val="008B0D28"/>
    <w:rsid w:val="008B2A98"/>
    <w:rsid w:val="008B31D7"/>
    <w:rsid w:val="008B4B03"/>
    <w:rsid w:val="008B553E"/>
    <w:rsid w:val="008B596F"/>
    <w:rsid w:val="008B6D06"/>
    <w:rsid w:val="008C0B47"/>
    <w:rsid w:val="008C0B94"/>
    <w:rsid w:val="008C159F"/>
    <w:rsid w:val="008C1623"/>
    <w:rsid w:val="008C51A9"/>
    <w:rsid w:val="008C55B0"/>
    <w:rsid w:val="008C63C5"/>
    <w:rsid w:val="008C6C35"/>
    <w:rsid w:val="008C7541"/>
    <w:rsid w:val="008D3BE7"/>
    <w:rsid w:val="008D58DC"/>
    <w:rsid w:val="008D5B54"/>
    <w:rsid w:val="008D77A0"/>
    <w:rsid w:val="008D7EC2"/>
    <w:rsid w:val="008E3C43"/>
    <w:rsid w:val="008E457F"/>
    <w:rsid w:val="008E524B"/>
    <w:rsid w:val="008E65C9"/>
    <w:rsid w:val="008E7109"/>
    <w:rsid w:val="008F0C4E"/>
    <w:rsid w:val="008F18E9"/>
    <w:rsid w:val="008F1CCC"/>
    <w:rsid w:val="008F2967"/>
    <w:rsid w:val="008F4B2A"/>
    <w:rsid w:val="008F6EF7"/>
    <w:rsid w:val="008F7E48"/>
    <w:rsid w:val="00900526"/>
    <w:rsid w:val="0090257C"/>
    <w:rsid w:val="00903A20"/>
    <w:rsid w:val="00903F65"/>
    <w:rsid w:val="00903F71"/>
    <w:rsid w:val="00904063"/>
    <w:rsid w:val="009046AF"/>
    <w:rsid w:val="00904C18"/>
    <w:rsid w:val="0091282B"/>
    <w:rsid w:val="00913DAF"/>
    <w:rsid w:val="00915608"/>
    <w:rsid w:val="00915A39"/>
    <w:rsid w:val="00920330"/>
    <w:rsid w:val="00920FF4"/>
    <w:rsid w:val="009219D7"/>
    <w:rsid w:val="009229F1"/>
    <w:rsid w:val="00922D53"/>
    <w:rsid w:val="00923B70"/>
    <w:rsid w:val="0092600B"/>
    <w:rsid w:val="00927CE1"/>
    <w:rsid w:val="00930237"/>
    <w:rsid w:val="00932BBB"/>
    <w:rsid w:val="009360DA"/>
    <w:rsid w:val="00942E02"/>
    <w:rsid w:val="009434E5"/>
    <w:rsid w:val="00944A35"/>
    <w:rsid w:val="00946DB4"/>
    <w:rsid w:val="009508FF"/>
    <w:rsid w:val="00953B03"/>
    <w:rsid w:val="0095560E"/>
    <w:rsid w:val="009568CD"/>
    <w:rsid w:val="0096158A"/>
    <w:rsid w:val="0096319D"/>
    <w:rsid w:val="00963C08"/>
    <w:rsid w:val="0096474B"/>
    <w:rsid w:val="00964F68"/>
    <w:rsid w:val="009707B8"/>
    <w:rsid w:val="00974DBB"/>
    <w:rsid w:val="009838AB"/>
    <w:rsid w:val="00985056"/>
    <w:rsid w:val="00990554"/>
    <w:rsid w:val="0099110E"/>
    <w:rsid w:val="00991B56"/>
    <w:rsid w:val="00992A34"/>
    <w:rsid w:val="00994A95"/>
    <w:rsid w:val="009A002A"/>
    <w:rsid w:val="009A14FC"/>
    <w:rsid w:val="009A215E"/>
    <w:rsid w:val="009A21F2"/>
    <w:rsid w:val="009A3B85"/>
    <w:rsid w:val="009A3F87"/>
    <w:rsid w:val="009A4CED"/>
    <w:rsid w:val="009A5504"/>
    <w:rsid w:val="009A5BC7"/>
    <w:rsid w:val="009A645F"/>
    <w:rsid w:val="009B0304"/>
    <w:rsid w:val="009B1D0D"/>
    <w:rsid w:val="009B1D12"/>
    <w:rsid w:val="009B2D3F"/>
    <w:rsid w:val="009B3475"/>
    <w:rsid w:val="009B416B"/>
    <w:rsid w:val="009B4284"/>
    <w:rsid w:val="009B57F1"/>
    <w:rsid w:val="009B68A6"/>
    <w:rsid w:val="009C0DA2"/>
    <w:rsid w:val="009C2DD6"/>
    <w:rsid w:val="009C4BD5"/>
    <w:rsid w:val="009C778B"/>
    <w:rsid w:val="009D0388"/>
    <w:rsid w:val="009D059A"/>
    <w:rsid w:val="009D2453"/>
    <w:rsid w:val="009D2E04"/>
    <w:rsid w:val="009D7387"/>
    <w:rsid w:val="009D77A3"/>
    <w:rsid w:val="009D7B77"/>
    <w:rsid w:val="009E0732"/>
    <w:rsid w:val="009E0BB0"/>
    <w:rsid w:val="009E0D7B"/>
    <w:rsid w:val="009E2840"/>
    <w:rsid w:val="009E3FBB"/>
    <w:rsid w:val="009E4408"/>
    <w:rsid w:val="009E5486"/>
    <w:rsid w:val="009E5F27"/>
    <w:rsid w:val="009E63E4"/>
    <w:rsid w:val="009E7661"/>
    <w:rsid w:val="009E7C50"/>
    <w:rsid w:val="009F018D"/>
    <w:rsid w:val="009F092C"/>
    <w:rsid w:val="009F0B33"/>
    <w:rsid w:val="009F3484"/>
    <w:rsid w:val="009F6455"/>
    <w:rsid w:val="009F6554"/>
    <w:rsid w:val="009F6BB9"/>
    <w:rsid w:val="009F7C4B"/>
    <w:rsid w:val="00A1235B"/>
    <w:rsid w:val="00A14DF7"/>
    <w:rsid w:val="00A2200C"/>
    <w:rsid w:val="00A22B6A"/>
    <w:rsid w:val="00A23410"/>
    <w:rsid w:val="00A243C6"/>
    <w:rsid w:val="00A25031"/>
    <w:rsid w:val="00A26E24"/>
    <w:rsid w:val="00A27210"/>
    <w:rsid w:val="00A27D95"/>
    <w:rsid w:val="00A30AB3"/>
    <w:rsid w:val="00A31039"/>
    <w:rsid w:val="00A3246D"/>
    <w:rsid w:val="00A350B7"/>
    <w:rsid w:val="00A35BE5"/>
    <w:rsid w:val="00A35E47"/>
    <w:rsid w:val="00A36796"/>
    <w:rsid w:val="00A36FA7"/>
    <w:rsid w:val="00A37373"/>
    <w:rsid w:val="00A422F1"/>
    <w:rsid w:val="00A4235C"/>
    <w:rsid w:val="00A42E8B"/>
    <w:rsid w:val="00A43008"/>
    <w:rsid w:val="00A435F1"/>
    <w:rsid w:val="00A45AAD"/>
    <w:rsid w:val="00A475B7"/>
    <w:rsid w:val="00A47AF7"/>
    <w:rsid w:val="00A47C3E"/>
    <w:rsid w:val="00A47E68"/>
    <w:rsid w:val="00A50226"/>
    <w:rsid w:val="00A530DF"/>
    <w:rsid w:val="00A5440D"/>
    <w:rsid w:val="00A60BAD"/>
    <w:rsid w:val="00A62CBE"/>
    <w:rsid w:val="00A644D1"/>
    <w:rsid w:val="00A658E1"/>
    <w:rsid w:val="00A66542"/>
    <w:rsid w:val="00A66755"/>
    <w:rsid w:val="00A73173"/>
    <w:rsid w:val="00A73A8D"/>
    <w:rsid w:val="00A746D6"/>
    <w:rsid w:val="00A74E6D"/>
    <w:rsid w:val="00A77452"/>
    <w:rsid w:val="00A77541"/>
    <w:rsid w:val="00A82BDD"/>
    <w:rsid w:val="00A843D7"/>
    <w:rsid w:val="00A84B09"/>
    <w:rsid w:val="00A87334"/>
    <w:rsid w:val="00A9242B"/>
    <w:rsid w:val="00A92F43"/>
    <w:rsid w:val="00A95BDE"/>
    <w:rsid w:val="00AA33D1"/>
    <w:rsid w:val="00AA3EB9"/>
    <w:rsid w:val="00AA4997"/>
    <w:rsid w:val="00AB5405"/>
    <w:rsid w:val="00AB7B4E"/>
    <w:rsid w:val="00AC2B40"/>
    <w:rsid w:val="00AC2BB2"/>
    <w:rsid w:val="00AC2C3C"/>
    <w:rsid w:val="00AC3BD9"/>
    <w:rsid w:val="00AC3D45"/>
    <w:rsid w:val="00AC715E"/>
    <w:rsid w:val="00AC7AAE"/>
    <w:rsid w:val="00AD2B93"/>
    <w:rsid w:val="00AD424B"/>
    <w:rsid w:val="00AD5831"/>
    <w:rsid w:val="00AE379B"/>
    <w:rsid w:val="00AE4A72"/>
    <w:rsid w:val="00AE539E"/>
    <w:rsid w:val="00AE5AB2"/>
    <w:rsid w:val="00AE65EB"/>
    <w:rsid w:val="00AF1964"/>
    <w:rsid w:val="00AF1D94"/>
    <w:rsid w:val="00AF270E"/>
    <w:rsid w:val="00AF4F1F"/>
    <w:rsid w:val="00AF60C5"/>
    <w:rsid w:val="00AF7A5D"/>
    <w:rsid w:val="00B009C6"/>
    <w:rsid w:val="00B00ACB"/>
    <w:rsid w:val="00B01548"/>
    <w:rsid w:val="00B01551"/>
    <w:rsid w:val="00B0504E"/>
    <w:rsid w:val="00B0505B"/>
    <w:rsid w:val="00B06C97"/>
    <w:rsid w:val="00B114FF"/>
    <w:rsid w:val="00B12557"/>
    <w:rsid w:val="00B12B13"/>
    <w:rsid w:val="00B147DA"/>
    <w:rsid w:val="00B147E6"/>
    <w:rsid w:val="00B16363"/>
    <w:rsid w:val="00B16BBA"/>
    <w:rsid w:val="00B21AE9"/>
    <w:rsid w:val="00B21D29"/>
    <w:rsid w:val="00B21DB4"/>
    <w:rsid w:val="00B21FC5"/>
    <w:rsid w:val="00B23323"/>
    <w:rsid w:val="00B24433"/>
    <w:rsid w:val="00B24FF5"/>
    <w:rsid w:val="00B25034"/>
    <w:rsid w:val="00B30607"/>
    <w:rsid w:val="00B33863"/>
    <w:rsid w:val="00B35B1F"/>
    <w:rsid w:val="00B37D17"/>
    <w:rsid w:val="00B4175E"/>
    <w:rsid w:val="00B42132"/>
    <w:rsid w:val="00B455AA"/>
    <w:rsid w:val="00B46C81"/>
    <w:rsid w:val="00B46F8D"/>
    <w:rsid w:val="00B510E1"/>
    <w:rsid w:val="00B51A49"/>
    <w:rsid w:val="00B543CC"/>
    <w:rsid w:val="00B54C25"/>
    <w:rsid w:val="00B60258"/>
    <w:rsid w:val="00B603EC"/>
    <w:rsid w:val="00B6499D"/>
    <w:rsid w:val="00B65217"/>
    <w:rsid w:val="00B6636F"/>
    <w:rsid w:val="00B74194"/>
    <w:rsid w:val="00B76B91"/>
    <w:rsid w:val="00B77BB3"/>
    <w:rsid w:val="00B832D6"/>
    <w:rsid w:val="00B86204"/>
    <w:rsid w:val="00B87BB7"/>
    <w:rsid w:val="00B87C24"/>
    <w:rsid w:val="00B9010E"/>
    <w:rsid w:val="00B92B7B"/>
    <w:rsid w:val="00B92C79"/>
    <w:rsid w:val="00B93990"/>
    <w:rsid w:val="00B946A9"/>
    <w:rsid w:val="00B9484C"/>
    <w:rsid w:val="00B94CFB"/>
    <w:rsid w:val="00B95CA3"/>
    <w:rsid w:val="00BA0DFC"/>
    <w:rsid w:val="00BA2003"/>
    <w:rsid w:val="00BA3249"/>
    <w:rsid w:val="00BA4AFD"/>
    <w:rsid w:val="00BA537A"/>
    <w:rsid w:val="00BB1078"/>
    <w:rsid w:val="00BB30F5"/>
    <w:rsid w:val="00BB509C"/>
    <w:rsid w:val="00BB56A1"/>
    <w:rsid w:val="00BC0B5E"/>
    <w:rsid w:val="00BC1CAB"/>
    <w:rsid w:val="00BC371E"/>
    <w:rsid w:val="00BC622A"/>
    <w:rsid w:val="00BC6778"/>
    <w:rsid w:val="00BD08F6"/>
    <w:rsid w:val="00BD0B28"/>
    <w:rsid w:val="00BD5B23"/>
    <w:rsid w:val="00BD7A49"/>
    <w:rsid w:val="00BE0A78"/>
    <w:rsid w:val="00BE0DDE"/>
    <w:rsid w:val="00BE243C"/>
    <w:rsid w:val="00BE79F0"/>
    <w:rsid w:val="00BF046D"/>
    <w:rsid w:val="00BF3441"/>
    <w:rsid w:val="00BF43F2"/>
    <w:rsid w:val="00BF5D04"/>
    <w:rsid w:val="00BF68E5"/>
    <w:rsid w:val="00C00A46"/>
    <w:rsid w:val="00C03FCB"/>
    <w:rsid w:val="00C102C0"/>
    <w:rsid w:val="00C117BE"/>
    <w:rsid w:val="00C13563"/>
    <w:rsid w:val="00C13A9C"/>
    <w:rsid w:val="00C14153"/>
    <w:rsid w:val="00C14835"/>
    <w:rsid w:val="00C15313"/>
    <w:rsid w:val="00C1617C"/>
    <w:rsid w:val="00C17089"/>
    <w:rsid w:val="00C20E3D"/>
    <w:rsid w:val="00C22F8A"/>
    <w:rsid w:val="00C23477"/>
    <w:rsid w:val="00C23886"/>
    <w:rsid w:val="00C245EC"/>
    <w:rsid w:val="00C24FC6"/>
    <w:rsid w:val="00C25EDE"/>
    <w:rsid w:val="00C320D3"/>
    <w:rsid w:val="00C32623"/>
    <w:rsid w:val="00C3408D"/>
    <w:rsid w:val="00C404A6"/>
    <w:rsid w:val="00C40A36"/>
    <w:rsid w:val="00C4208D"/>
    <w:rsid w:val="00C44419"/>
    <w:rsid w:val="00C44E8B"/>
    <w:rsid w:val="00C4506C"/>
    <w:rsid w:val="00C45E7B"/>
    <w:rsid w:val="00C46D66"/>
    <w:rsid w:val="00C471B1"/>
    <w:rsid w:val="00C4743E"/>
    <w:rsid w:val="00C50E5C"/>
    <w:rsid w:val="00C5100D"/>
    <w:rsid w:val="00C522DD"/>
    <w:rsid w:val="00C6316B"/>
    <w:rsid w:val="00C631FF"/>
    <w:rsid w:val="00C634A9"/>
    <w:rsid w:val="00C647B2"/>
    <w:rsid w:val="00C71313"/>
    <w:rsid w:val="00C73A02"/>
    <w:rsid w:val="00C7475B"/>
    <w:rsid w:val="00C75F36"/>
    <w:rsid w:val="00C76805"/>
    <w:rsid w:val="00C771BB"/>
    <w:rsid w:val="00C772FF"/>
    <w:rsid w:val="00C77CF9"/>
    <w:rsid w:val="00C801AF"/>
    <w:rsid w:val="00C80256"/>
    <w:rsid w:val="00C808E8"/>
    <w:rsid w:val="00C8156F"/>
    <w:rsid w:val="00C817C5"/>
    <w:rsid w:val="00C85953"/>
    <w:rsid w:val="00C877F0"/>
    <w:rsid w:val="00C87DC4"/>
    <w:rsid w:val="00C94FCB"/>
    <w:rsid w:val="00C9597F"/>
    <w:rsid w:val="00CA412A"/>
    <w:rsid w:val="00CA7510"/>
    <w:rsid w:val="00CA7F9C"/>
    <w:rsid w:val="00CB405B"/>
    <w:rsid w:val="00CB6BC0"/>
    <w:rsid w:val="00CB73C5"/>
    <w:rsid w:val="00CC10FB"/>
    <w:rsid w:val="00CC19C9"/>
    <w:rsid w:val="00CC1B7C"/>
    <w:rsid w:val="00CC2E4C"/>
    <w:rsid w:val="00CC3A36"/>
    <w:rsid w:val="00CC3D76"/>
    <w:rsid w:val="00CC648B"/>
    <w:rsid w:val="00CC727F"/>
    <w:rsid w:val="00CD1F02"/>
    <w:rsid w:val="00CD30CC"/>
    <w:rsid w:val="00CD54D0"/>
    <w:rsid w:val="00CD6332"/>
    <w:rsid w:val="00CD6E13"/>
    <w:rsid w:val="00CD6FCC"/>
    <w:rsid w:val="00CD741E"/>
    <w:rsid w:val="00CE0264"/>
    <w:rsid w:val="00CE147E"/>
    <w:rsid w:val="00CE30CD"/>
    <w:rsid w:val="00CE5067"/>
    <w:rsid w:val="00CE5BB0"/>
    <w:rsid w:val="00CF022C"/>
    <w:rsid w:val="00CF15C3"/>
    <w:rsid w:val="00CF2B6F"/>
    <w:rsid w:val="00CF4791"/>
    <w:rsid w:val="00CF64DF"/>
    <w:rsid w:val="00CF6974"/>
    <w:rsid w:val="00D017ED"/>
    <w:rsid w:val="00D0399B"/>
    <w:rsid w:val="00D03BDF"/>
    <w:rsid w:val="00D0414F"/>
    <w:rsid w:val="00D041F7"/>
    <w:rsid w:val="00D06D1A"/>
    <w:rsid w:val="00D073AC"/>
    <w:rsid w:val="00D11F5C"/>
    <w:rsid w:val="00D153B1"/>
    <w:rsid w:val="00D20C54"/>
    <w:rsid w:val="00D21B7C"/>
    <w:rsid w:val="00D224FE"/>
    <w:rsid w:val="00D229BA"/>
    <w:rsid w:val="00D25F22"/>
    <w:rsid w:val="00D25F9E"/>
    <w:rsid w:val="00D26DC6"/>
    <w:rsid w:val="00D27857"/>
    <w:rsid w:val="00D27CC0"/>
    <w:rsid w:val="00D30526"/>
    <w:rsid w:val="00D313BB"/>
    <w:rsid w:val="00D3646E"/>
    <w:rsid w:val="00D4346E"/>
    <w:rsid w:val="00D44A69"/>
    <w:rsid w:val="00D46C82"/>
    <w:rsid w:val="00D50575"/>
    <w:rsid w:val="00D51A0F"/>
    <w:rsid w:val="00D52342"/>
    <w:rsid w:val="00D54580"/>
    <w:rsid w:val="00D55652"/>
    <w:rsid w:val="00D55B7B"/>
    <w:rsid w:val="00D56597"/>
    <w:rsid w:val="00D577AB"/>
    <w:rsid w:val="00D61EBE"/>
    <w:rsid w:val="00D64401"/>
    <w:rsid w:val="00D6493E"/>
    <w:rsid w:val="00D66260"/>
    <w:rsid w:val="00D72314"/>
    <w:rsid w:val="00D72756"/>
    <w:rsid w:val="00D83349"/>
    <w:rsid w:val="00D83C13"/>
    <w:rsid w:val="00D84A45"/>
    <w:rsid w:val="00D85417"/>
    <w:rsid w:val="00D86C23"/>
    <w:rsid w:val="00D87707"/>
    <w:rsid w:val="00D93328"/>
    <w:rsid w:val="00D933AB"/>
    <w:rsid w:val="00D93CC0"/>
    <w:rsid w:val="00DA0C65"/>
    <w:rsid w:val="00DA1124"/>
    <w:rsid w:val="00DA14B7"/>
    <w:rsid w:val="00DA24C7"/>
    <w:rsid w:val="00DA381C"/>
    <w:rsid w:val="00DA48EC"/>
    <w:rsid w:val="00DA4CD9"/>
    <w:rsid w:val="00DA6391"/>
    <w:rsid w:val="00DA733A"/>
    <w:rsid w:val="00DB1CD8"/>
    <w:rsid w:val="00DB1D2D"/>
    <w:rsid w:val="00DB3BD8"/>
    <w:rsid w:val="00DB51E2"/>
    <w:rsid w:val="00DB7B33"/>
    <w:rsid w:val="00DB7E2D"/>
    <w:rsid w:val="00DC1AAF"/>
    <w:rsid w:val="00DC54AB"/>
    <w:rsid w:val="00DC79BC"/>
    <w:rsid w:val="00DD6B72"/>
    <w:rsid w:val="00DD75A3"/>
    <w:rsid w:val="00DD76DE"/>
    <w:rsid w:val="00DE02AE"/>
    <w:rsid w:val="00DE075E"/>
    <w:rsid w:val="00DE1766"/>
    <w:rsid w:val="00DE5701"/>
    <w:rsid w:val="00DE6A0C"/>
    <w:rsid w:val="00DE6C04"/>
    <w:rsid w:val="00DF05F8"/>
    <w:rsid w:val="00DF1D7F"/>
    <w:rsid w:val="00DF45B9"/>
    <w:rsid w:val="00DF64A0"/>
    <w:rsid w:val="00DF6BE8"/>
    <w:rsid w:val="00E02FB4"/>
    <w:rsid w:val="00E06617"/>
    <w:rsid w:val="00E0752C"/>
    <w:rsid w:val="00E07774"/>
    <w:rsid w:val="00E07D44"/>
    <w:rsid w:val="00E11448"/>
    <w:rsid w:val="00E1198B"/>
    <w:rsid w:val="00E11E4D"/>
    <w:rsid w:val="00E1340C"/>
    <w:rsid w:val="00E15A57"/>
    <w:rsid w:val="00E16350"/>
    <w:rsid w:val="00E168B6"/>
    <w:rsid w:val="00E1704C"/>
    <w:rsid w:val="00E177F4"/>
    <w:rsid w:val="00E20571"/>
    <w:rsid w:val="00E21651"/>
    <w:rsid w:val="00E22796"/>
    <w:rsid w:val="00E22953"/>
    <w:rsid w:val="00E235F7"/>
    <w:rsid w:val="00E238B8"/>
    <w:rsid w:val="00E239D4"/>
    <w:rsid w:val="00E271B9"/>
    <w:rsid w:val="00E30C88"/>
    <w:rsid w:val="00E32A5C"/>
    <w:rsid w:val="00E33E42"/>
    <w:rsid w:val="00E354F6"/>
    <w:rsid w:val="00E36EBD"/>
    <w:rsid w:val="00E40B22"/>
    <w:rsid w:val="00E4588F"/>
    <w:rsid w:val="00E46DA3"/>
    <w:rsid w:val="00E470D2"/>
    <w:rsid w:val="00E47660"/>
    <w:rsid w:val="00E47CFD"/>
    <w:rsid w:val="00E52E0F"/>
    <w:rsid w:val="00E54A51"/>
    <w:rsid w:val="00E60F59"/>
    <w:rsid w:val="00E6298B"/>
    <w:rsid w:val="00E6393E"/>
    <w:rsid w:val="00E665A1"/>
    <w:rsid w:val="00E67774"/>
    <w:rsid w:val="00E67FE7"/>
    <w:rsid w:val="00E74A4B"/>
    <w:rsid w:val="00E83866"/>
    <w:rsid w:val="00E839EE"/>
    <w:rsid w:val="00E86181"/>
    <w:rsid w:val="00E86DD8"/>
    <w:rsid w:val="00E87D32"/>
    <w:rsid w:val="00E87E9F"/>
    <w:rsid w:val="00E91D7F"/>
    <w:rsid w:val="00E92348"/>
    <w:rsid w:val="00E9392F"/>
    <w:rsid w:val="00E95AC2"/>
    <w:rsid w:val="00EA020B"/>
    <w:rsid w:val="00EA15B9"/>
    <w:rsid w:val="00EA1636"/>
    <w:rsid w:val="00EA16DE"/>
    <w:rsid w:val="00EA1F09"/>
    <w:rsid w:val="00EA1F48"/>
    <w:rsid w:val="00EA406B"/>
    <w:rsid w:val="00EA52AE"/>
    <w:rsid w:val="00EA57D4"/>
    <w:rsid w:val="00EA5DB3"/>
    <w:rsid w:val="00EA7E1D"/>
    <w:rsid w:val="00EB0798"/>
    <w:rsid w:val="00EB0CDD"/>
    <w:rsid w:val="00EB0FFA"/>
    <w:rsid w:val="00EB1DC5"/>
    <w:rsid w:val="00EB3E7A"/>
    <w:rsid w:val="00EB40AD"/>
    <w:rsid w:val="00EB5622"/>
    <w:rsid w:val="00EB586E"/>
    <w:rsid w:val="00EB5FC8"/>
    <w:rsid w:val="00EC03A4"/>
    <w:rsid w:val="00EC15A9"/>
    <w:rsid w:val="00EC6242"/>
    <w:rsid w:val="00ED0309"/>
    <w:rsid w:val="00ED24A2"/>
    <w:rsid w:val="00ED2AE6"/>
    <w:rsid w:val="00ED364E"/>
    <w:rsid w:val="00ED555A"/>
    <w:rsid w:val="00ED5A41"/>
    <w:rsid w:val="00ED6211"/>
    <w:rsid w:val="00ED7718"/>
    <w:rsid w:val="00ED776B"/>
    <w:rsid w:val="00EE11A3"/>
    <w:rsid w:val="00EE2007"/>
    <w:rsid w:val="00EE255B"/>
    <w:rsid w:val="00EE4C01"/>
    <w:rsid w:val="00EE5D63"/>
    <w:rsid w:val="00EF271E"/>
    <w:rsid w:val="00EF2997"/>
    <w:rsid w:val="00EF36F7"/>
    <w:rsid w:val="00EF3F86"/>
    <w:rsid w:val="00EF5386"/>
    <w:rsid w:val="00EF578B"/>
    <w:rsid w:val="00EF6895"/>
    <w:rsid w:val="00EF7393"/>
    <w:rsid w:val="00F033EC"/>
    <w:rsid w:val="00F040F5"/>
    <w:rsid w:val="00F0422B"/>
    <w:rsid w:val="00F04F68"/>
    <w:rsid w:val="00F12670"/>
    <w:rsid w:val="00F14B27"/>
    <w:rsid w:val="00F14BC9"/>
    <w:rsid w:val="00F15B13"/>
    <w:rsid w:val="00F168DA"/>
    <w:rsid w:val="00F1762F"/>
    <w:rsid w:val="00F20B3B"/>
    <w:rsid w:val="00F2191C"/>
    <w:rsid w:val="00F22573"/>
    <w:rsid w:val="00F2301F"/>
    <w:rsid w:val="00F24526"/>
    <w:rsid w:val="00F250FA"/>
    <w:rsid w:val="00F27030"/>
    <w:rsid w:val="00F27167"/>
    <w:rsid w:val="00F274A2"/>
    <w:rsid w:val="00F31011"/>
    <w:rsid w:val="00F3148D"/>
    <w:rsid w:val="00F32E2C"/>
    <w:rsid w:val="00F34353"/>
    <w:rsid w:val="00F35298"/>
    <w:rsid w:val="00F3529E"/>
    <w:rsid w:val="00F356FC"/>
    <w:rsid w:val="00F368F8"/>
    <w:rsid w:val="00F401EF"/>
    <w:rsid w:val="00F4199B"/>
    <w:rsid w:val="00F427F0"/>
    <w:rsid w:val="00F42E5C"/>
    <w:rsid w:val="00F46A4F"/>
    <w:rsid w:val="00F46C7C"/>
    <w:rsid w:val="00F47652"/>
    <w:rsid w:val="00F47E37"/>
    <w:rsid w:val="00F51F30"/>
    <w:rsid w:val="00F54CA9"/>
    <w:rsid w:val="00F54D64"/>
    <w:rsid w:val="00F56B0F"/>
    <w:rsid w:val="00F57D9E"/>
    <w:rsid w:val="00F63609"/>
    <w:rsid w:val="00F640B6"/>
    <w:rsid w:val="00F6433A"/>
    <w:rsid w:val="00F64FAE"/>
    <w:rsid w:val="00F67389"/>
    <w:rsid w:val="00F70CBA"/>
    <w:rsid w:val="00F71E1E"/>
    <w:rsid w:val="00F72BB4"/>
    <w:rsid w:val="00F733A5"/>
    <w:rsid w:val="00F73468"/>
    <w:rsid w:val="00F75A10"/>
    <w:rsid w:val="00F80E40"/>
    <w:rsid w:val="00F81B6E"/>
    <w:rsid w:val="00F81D65"/>
    <w:rsid w:val="00F83BC4"/>
    <w:rsid w:val="00F859D2"/>
    <w:rsid w:val="00F8709D"/>
    <w:rsid w:val="00F9022D"/>
    <w:rsid w:val="00F9422C"/>
    <w:rsid w:val="00F9436F"/>
    <w:rsid w:val="00F96102"/>
    <w:rsid w:val="00FA081D"/>
    <w:rsid w:val="00FA4253"/>
    <w:rsid w:val="00FA43E5"/>
    <w:rsid w:val="00FA4B3F"/>
    <w:rsid w:val="00FA56F7"/>
    <w:rsid w:val="00FA576A"/>
    <w:rsid w:val="00FA5B82"/>
    <w:rsid w:val="00FA5D6E"/>
    <w:rsid w:val="00FA5D9B"/>
    <w:rsid w:val="00FA639E"/>
    <w:rsid w:val="00FB2788"/>
    <w:rsid w:val="00FB3241"/>
    <w:rsid w:val="00FC03C8"/>
    <w:rsid w:val="00FC1750"/>
    <w:rsid w:val="00FC1B0C"/>
    <w:rsid w:val="00FC25E4"/>
    <w:rsid w:val="00FC4EF7"/>
    <w:rsid w:val="00FC508E"/>
    <w:rsid w:val="00FD0370"/>
    <w:rsid w:val="00FD0D4D"/>
    <w:rsid w:val="00FD1C20"/>
    <w:rsid w:val="00FD2681"/>
    <w:rsid w:val="00FD75C6"/>
    <w:rsid w:val="00FE0F63"/>
    <w:rsid w:val="00FE1DEE"/>
    <w:rsid w:val="00FE206C"/>
    <w:rsid w:val="00FE501F"/>
    <w:rsid w:val="00FE731D"/>
    <w:rsid w:val="00FF158E"/>
    <w:rsid w:val="00FF2126"/>
    <w:rsid w:val="00FF25F7"/>
    <w:rsid w:val="00FF2993"/>
    <w:rsid w:val="00FF688A"/>
    <w:rsid w:val="00FF69BE"/>
    <w:rsid w:val="00FF6D68"/>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3B7173D0"/>
  <w15:docId w15:val="{CA6FAFCA-04FF-4ECF-939E-F4CFB4F8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A35E47"/>
    <w:pPr>
      <w:keepNext/>
      <w:keepLines/>
      <w:spacing w:before="240" w:after="120"/>
      <w:outlineLvl w:val="4"/>
    </w:pPr>
    <w:rPr>
      <w:rFonts w:eastAsia="Times New Roman"/>
      <w:b/>
      <w:bCs/>
      <w:sz w:val="24"/>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A35E47"/>
    <w:rPr>
      <w:rFonts w:eastAsia="Times New Roman"/>
      <w:b/>
      <w:bCs/>
      <w:sz w:val="24"/>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9D059A"/>
    <w:pPr>
      <w:numPr>
        <w:numId w:val="3"/>
      </w:numPr>
    </w:pPr>
  </w:style>
  <w:style w:type="paragraph" w:styleId="ListBullet2">
    <w:name w:val="List Bullet 2"/>
    <w:basedOn w:val="Normal"/>
    <w:uiPriority w:val="2"/>
    <w:qFormat/>
    <w:rsid w:val="009D059A"/>
    <w:pPr>
      <w:numPr>
        <w:ilvl w:val="1"/>
        <w:numId w:val="3"/>
      </w:numPr>
      <w:ind w:left="850" w:hanging="425"/>
    </w:pPr>
  </w:style>
  <w:style w:type="paragraph" w:styleId="ListBullet3">
    <w:name w:val="List Bullet 3"/>
    <w:basedOn w:val="Normal"/>
    <w:uiPriority w:val="1"/>
    <w:qFormat/>
    <w:rsid w:val="009D059A"/>
    <w:pPr>
      <w:numPr>
        <w:ilvl w:val="2"/>
        <w:numId w:val="3"/>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4"/>
      </w:numPr>
    </w:pPr>
  </w:style>
  <w:style w:type="paragraph" w:customStyle="1" w:styleId="Numberbullet2">
    <w:name w:val="Number bullet 2"/>
    <w:basedOn w:val="ListBullet2"/>
    <w:uiPriority w:val="3"/>
    <w:qFormat/>
    <w:rsid w:val="00F401EF"/>
    <w:pPr>
      <w:numPr>
        <w:numId w:val="4"/>
      </w:numPr>
    </w:pPr>
  </w:style>
  <w:style w:type="paragraph" w:customStyle="1" w:styleId="Numberbullet3">
    <w:name w:val="Number bullet 3"/>
    <w:basedOn w:val="ListBullet3"/>
    <w:uiPriority w:val="3"/>
    <w:qFormat/>
    <w:rsid w:val="00F401EF"/>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6EFD"/>
    <w:pPr>
      <w:framePr w:hSpace="180" w:wrap="around" w:vAnchor="page" w:hAnchor="margin" w:y="3121"/>
      <w:numPr>
        <w:ilvl w:val="1"/>
      </w:numPr>
      <w:spacing w:before="0" w:after="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36EFD"/>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F401EF"/>
    <w:pPr>
      <w:keepNext/>
      <w:keepLines/>
      <w:spacing w:before="360"/>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401EF"/>
    <w:pPr>
      <w:outlineLvl w:val="4"/>
    </w:pPr>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401EF"/>
    <w:pPr>
      <w:keepNext/>
      <w:outlineLvl w:val="4"/>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ListParagraph">
    <w:name w:val="List Paragraph"/>
    <w:basedOn w:val="Normal"/>
    <w:uiPriority w:val="34"/>
    <w:qFormat/>
    <w:rsid w:val="000761CF"/>
    <w:pPr>
      <w:ind w:left="720"/>
      <w:contextualSpacing/>
    </w:pPr>
  </w:style>
  <w:style w:type="paragraph" w:customStyle="1" w:styleId="Default">
    <w:name w:val="Default"/>
    <w:rsid w:val="000761CF"/>
    <w:pPr>
      <w:autoSpaceDE w:val="0"/>
      <w:autoSpaceDN w:val="0"/>
      <w:adjustRightInd w:val="0"/>
    </w:pPr>
    <w:rPr>
      <w:rFonts w:cs="Cambria"/>
      <w:color w:val="000000"/>
      <w:sz w:val="24"/>
      <w:szCs w:val="24"/>
    </w:rPr>
  </w:style>
  <w:style w:type="paragraph" w:styleId="Revision">
    <w:name w:val="Revision"/>
    <w:hidden/>
    <w:uiPriority w:val="99"/>
    <w:semiHidden/>
    <w:rsid w:val="008D58DC"/>
    <w:rPr>
      <w:sz w:val="22"/>
      <w:lang w:eastAsia="en-US"/>
    </w:rPr>
  </w:style>
  <w:style w:type="numbering" w:customStyle="1" w:styleId="Style1">
    <w:name w:val="Style1"/>
    <w:uiPriority w:val="99"/>
    <w:rsid w:val="00BA4AFD"/>
    <w:pPr>
      <w:numPr>
        <w:numId w:val="5"/>
      </w:numPr>
    </w:pPr>
  </w:style>
  <w:style w:type="character" w:styleId="EndnoteReference">
    <w:name w:val="endnote reference"/>
    <w:basedOn w:val="DefaultParagraphFont"/>
    <w:uiPriority w:val="99"/>
    <w:semiHidden/>
    <w:unhideWhenUsed/>
    <w:rsid w:val="005350E6"/>
    <w:rPr>
      <w:vertAlign w:val="superscript"/>
    </w:rPr>
  </w:style>
  <w:style w:type="numbering" w:customStyle="1" w:styleId="ListBullets2">
    <w:name w:val="ListBullets2"/>
    <w:uiPriority w:val="99"/>
    <w:locked/>
    <w:rsid w:val="00235DD1"/>
  </w:style>
  <w:style w:type="character" w:styleId="Emphasis">
    <w:name w:val="Emphasis"/>
    <w:basedOn w:val="DefaultParagraphFont"/>
    <w:uiPriority w:val="20"/>
    <w:qFormat/>
    <w:rsid w:val="004E78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7507">
      <w:bodyDiv w:val="1"/>
      <w:marLeft w:val="0"/>
      <w:marRight w:val="0"/>
      <w:marTop w:val="0"/>
      <w:marBottom w:val="0"/>
      <w:divBdr>
        <w:top w:val="none" w:sz="0" w:space="0" w:color="auto"/>
        <w:left w:val="none" w:sz="0" w:space="0" w:color="auto"/>
        <w:bottom w:val="none" w:sz="0" w:space="0" w:color="auto"/>
        <w:right w:val="none" w:sz="0" w:space="0" w:color="auto"/>
      </w:divBdr>
      <w:divsChild>
        <w:div w:id="863976699">
          <w:marLeft w:val="0"/>
          <w:marRight w:val="0"/>
          <w:marTop w:val="0"/>
          <w:marBottom w:val="0"/>
          <w:divBdr>
            <w:top w:val="none" w:sz="0" w:space="0" w:color="auto"/>
            <w:left w:val="none" w:sz="0" w:space="0" w:color="auto"/>
            <w:bottom w:val="none" w:sz="0" w:space="0" w:color="auto"/>
            <w:right w:val="none" w:sz="0" w:space="0" w:color="auto"/>
          </w:divBdr>
          <w:divsChild>
            <w:div w:id="1023479323">
              <w:marLeft w:val="0"/>
              <w:marRight w:val="0"/>
              <w:marTop w:val="0"/>
              <w:marBottom w:val="0"/>
              <w:divBdr>
                <w:top w:val="none" w:sz="0" w:space="0" w:color="auto"/>
                <w:left w:val="none" w:sz="0" w:space="0" w:color="auto"/>
                <w:bottom w:val="none" w:sz="0" w:space="0" w:color="auto"/>
                <w:right w:val="none" w:sz="0" w:space="0" w:color="auto"/>
              </w:divBdr>
              <w:divsChild>
                <w:div w:id="627853298">
                  <w:marLeft w:val="0"/>
                  <w:marRight w:val="0"/>
                  <w:marTop w:val="0"/>
                  <w:marBottom w:val="0"/>
                  <w:divBdr>
                    <w:top w:val="none" w:sz="0" w:space="0" w:color="auto"/>
                    <w:left w:val="none" w:sz="0" w:space="0" w:color="auto"/>
                    <w:bottom w:val="none" w:sz="0" w:space="0" w:color="auto"/>
                    <w:right w:val="none" w:sz="0" w:space="0" w:color="auto"/>
                  </w:divBdr>
                  <w:divsChild>
                    <w:div w:id="410393770">
                      <w:marLeft w:val="0"/>
                      <w:marRight w:val="0"/>
                      <w:marTop w:val="0"/>
                      <w:marBottom w:val="0"/>
                      <w:divBdr>
                        <w:top w:val="none" w:sz="0" w:space="0" w:color="auto"/>
                        <w:left w:val="none" w:sz="0" w:space="0" w:color="auto"/>
                        <w:bottom w:val="none" w:sz="0" w:space="0" w:color="auto"/>
                        <w:right w:val="none" w:sz="0" w:space="0" w:color="auto"/>
                      </w:divBdr>
                      <w:divsChild>
                        <w:div w:id="1440294969">
                          <w:marLeft w:val="0"/>
                          <w:marRight w:val="0"/>
                          <w:marTop w:val="0"/>
                          <w:marBottom w:val="0"/>
                          <w:divBdr>
                            <w:top w:val="none" w:sz="0" w:space="0" w:color="auto"/>
                            <w:left w:val="none" w:sz="0" w:space="0" w:color="auto"/>
                            <w:bottom w:val="none" w:sz="0" w:space="0" w:color="auto"/>
                            <w:right w:val="none" w:sz="0" w:space="0" w:color="auto"/>
                          </w:divBdr>
                          <w:divsChild>
                            <w:div w:id="521674126">
                              <w:marLeft w:val="0"/>
                              <w:marRight w:val="0"/>
                              <w:marTop w:val="0"/>
                              <w:marBottom w:val="0"/>
                              <w:divBdr>
                                <w:top w:val="none" w:sz="0" w:space="0" w:color="auto"/>
                                <w:left w:val="none" w:sz="0" w:space="0" w:color="auto"/>
                                <w:bottom w:val="none" w:sz="0" w:space="0" w:color="auto"/>
                                <w:right w:val="none" w:sz="0" w:space="0" w:color="auto"/>
                              </w:divBdr>
                              <w:divsChild>
                                <w:div w:id="1501889307">
                                  <w:marLeft w:val="0"/>
                                  <w:marRight w:val="0"/>
                                  <w:marTop w:val="0"/>
                                  <w:marBottom w:val="0"/>
                                  <w:divBdr>
                                    <w:top w:val="none" w:sz="0" w:space="0" w:color="auto"/>
                                    <w:left w:val="none" w:sz="0" w:space="0" w:color="auto"/>
                                    <w:bottom w:val="none" w:sz="0" w:space="0" w:color="auto"/>
                                    <w:right w:val="none" w:sz="0" w:space="0" w:color="auto"/>
                                  </w:divBdr>
                                  <w:divsChild>
                                    <w:div w:id="626160897">
                                      <w:marLeft w:val="0"/>
                                      <w:marRight w:val="0"/>
                                      <w:marTop w:val="0"/>
                                      <w:marBottom w:val="0"/>
                                      <w:divBdr>
                                        <w:top w:val="none" w:sz="0" w:space="0" w:color="auto"/>
                                        <w:left w:val="none" w:sz="0" w:space="0" w:color="auto"/>
                                        <w:bottom w:val="none" w:sz="0" w:space="0" w:color="auto"/>
                                        <w:right w:val="none" w:sz="0" w:space="0" w:color="auto"/>
                                      </w:divBdr>
                                      <w:divsChild>
                                        <w:div w:id="18874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759630">
      <w:bodyDiv w:val="1"/>
      <w:marLeft w:val="0"/>
      <w:marRight w:val="0"/>
      <w:marTop w:val="0"/>
      <w:marBottom w:val="0"/>
      <w:divBdr>
        <w:top w:val="none" w:sz="0" w:space="0" w:color="auto"/>
        <w:left w:val="none" w:sz="0" w:space="0" w:color="auto"/>
        <w:bottom w:val="none" w:sz="0" w:space="0" w:color="auto"/>
        <w:right w:val="none" w:sz="0" w:space="0" w:color="auto"/>
      </w:divBdr>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891506840">
      <w:bodyDiv w:val="1"/>
      <w:marLeft w:val="0"/>
      <w:marRight w:val="0"/>
      <w:marTop w:val="0"/>
      <w:marBottom w:val="0"/>
      <w:divBdr>
        <w:top w:val="none" w:sz="0" w:space="0" w:color="auto"/>
        <w:left w:val="none" w:sz="0" w:space="0" w:color="auto"/>
        <w:bottom w:val="none" w:sz="0" w:space="0" w:color="auto"/>
        <w:right w:val="none" w:sz="0" w:space="0" w:color="auto"/>
      </w:divBdr>
      <w:divsChild>
        <w:div w:id="1030572429">
          <w:marLeft w:val="0"/>
          <w:marRight w:val="0"/>
          <w:marTop w:val="0"/>
          <w:marBottom w:val="0"/>
          <w:divBdr>
            <w:top w:val="none" w:sz="0" w:space="0" w:color="auto"/>
            <w:left w:val="none" w:sz="0" w:space="0" w:color="auto"/>
            <w:bottom w:val="none" w:sz="0" w:space="0" w:color="auto"/>
            <w:right w:val="none" w:sz="0" w:space="0" w:color="auto"/>
          </w:divBdr>
          <w:divsChild>
            <w:div w:id="1137139980">
              <w:marLeft w:val="0"/>
              <w:marRight w:val="0"/>
              <w:marTop w:val="0"/>
              <w:marBottom w:val="0"/>
              <w:divBdr>
                <w:top w:val="none" w:sz="0" w:space="0" w:color="auto"/>
                <w:left w:val="none" w:sz="0" w:space="0" w:color="auto"/>
                <w:bottom w:val="none" w:sz="0" w:space="0" w:color="auto"/>
                <w:right w:val="none" w:sz="0" w:space="0" w:color="auto"/>
              </w:divBdr>
              <w:divsChild>
                <w:div w:id="1105418598">
                  <w:marLeft w:val="0"/>
                  <w:marRight w:val="0"/>
                  <w:marTop w:val="0"/>
                  <w:marBottom w:val="0"/>
                  <w:divBdr>
                    <w:top w:val="none" w:sz="0" w:space="0" w:color="auto"/>
                    <w:left w:val="none" w:sz="0" w:space="0" w:color="auto"/>
                    <w:bottom w:val="none" w:sz="0" w:space="0" w:color="auto"/>
                    <w:right w:val="none" w:sz="0" w:space="0" w:color="auto"/>
                  </w:divBdr>
                  <w:divsChild>
                    <w:div w:id="1235551080">
                      <w:marLeft w:val="0"/>
                      <w:marRight w:val="0"/>
                      <w:marTop w:val="0"/>
                      <w:marBottom w:val="0"/>
                      <w:divBdr>
                        <w:top w:val="none" w:sz="0" w:space="0" w:color="auto"/>
                        <w:left w:val="none" w:sz="0" w:space="0" w:color="auto"/>
                        <w:bottom w:val="none" w:sz="0" w:space="0" w:color="auto"/>
                        <w:right w:val="none" w:sz="0" w:space="0" w:color="auto"/>
                      </w:divBdr>
                      <w:divsChild>
                        <w:div w:id="1550455120">
                          <w:marLeft w:val="0"/>
                          <w:marRight w:val="0"/>
                          <w:marTop w:val="0"/>
                          <w:marBottom w:val="0"/>
                          <w:divBdr>
                            <w:top w:val="none" w:sz="0" w:space="0" w:color="auto"/>
                            <w:left w:val="none" w:sz="0" w:space="0" w:color="auto"/>
                            <w:bottom w:val="none" w:sz="0" w:space="0" w:color="auto"/>
                            <w:right w:val="none" w:sz="0" w:space="0" w:color="auto"/>
                          </w:divBdr>
                          <w:divsChild>
                            <w:div w:id="1394890177">
                              <w:marLeft w:val="0"/>
                              <w:marRight w:val="0"/>
                              <w:marTop w:val="0"/>
                              <w:marBottom w:val="0"/>
                              <w:divBdr>
                                <w:top w:val="none" w:sz="0" w:space="0" w:color="auto"/>
                                <w:left w:val="none" w:sz="0" w:space="0" w:color="auto"/>
                                <w:bottom w:val="none" w:sz="0" w:space="0" w:color="auto"/>
                                <w:right w:val="none" w:sz="0" w:space="0" w:color="auto"/>
                              </w:divBdr>
                              <w:divsChild>
                                <w:div w:id="937905506">
                                  <w:marLeft w:val="0"/>
                                  <w:marRight w:val="0"/>
                                  <w:marTop w:val="0"/>
                                  <w:marBottom w:val="0"/>
                                  <w:divBdr>
                                    <w:top w:val="none" w:sz="0" w:space="0" w:color="auto"/>
                                    <w:left w:val="none" w:sz="0" w:space="0" w:color="auto"/>
                                    <w:bottom w:val="none" w:sz="0" w:space="0" w:color="auto"/>
                                    <w:right w:val="none" w:sz="0" w:space="0" w:color="auto"/>
                                  </w:divBdr>
                                  <w:divsChild>
                                    <w:div w:id="1906185489">
                                      <w:marLeft w:val="0"/>
                                      <w:marRight w:val="0"/>
                                      <w:marTop w:val="0"/>
                                      <w:marBottom w:val="0"/>
                                      <w:divBdr>
                                        <w:top w:val="none" w:sz="0" w:space="0" w:color="auto"/>
                                        <w:left w:val="none" w:sz="0" w:space="0" w:color="auto"/>
                                        <w:bottom w:val="none" w:sz="0" w:space="0" w:color="auto"/>
                                        <w:right w:val="none" w:sz="0" w:space="0" w:color="auto"/>
                                      </w:divBdr>
                                      <w:divsChild>
                                        <w:div w:id="294989360">
                                          <w:marLeft w:val="0"/>
                                          <w:marRight w:val="0"/>
                                          <w:marTop w:val="0"/>
                                          <w:marBottom w:val="0"/>
                                          <w:divBdr>
                                            <w:top w:val="none" w:sz="0" w:space="0" w:color="auto"/>
                                            <w:left w:val="none" w:sz="0" w:space="0" w:color="auto"/>
                                            <w:bottom w:val="none" w:sz="0" w:space="0" w:color="auto"/>
                                            <w:right w:val="none" w:sz="0" w:space="0" w:color="auto"/>
                                          </w:divBdr>
                                          <w:divsChild>
                                            <w:div w:id="2075738998">
                                              <w:marLeft w:val="0"/>
                                              <w:marRight w:val="0"/>
                                              <w:marTop w:val="0"/>
                                              <w:marBottom w:val="0"/>
                                              <w:divBdr>
                                                <w:top w:val="none" w:sz="0" w:space="0" w:color="auto"/>
                                                <w:left w:val="none" w:sz="0" w:space="0" w:color="auto"/>
                                                <w:bottom w:val="none" w:sz="0" w:space="0" w:color="auto"/>
                                                <w:right w:val="none" w:sz="0" w:space="0" w:color="auto"/>
                                              </w:divBdr>
                                              <w:divsChild>
                                                <w:div w:id="1797142532">
                                                  <w:marLeft w:val="0"/>
                                                  <w:marRight w:val="0"/>
                                                  <w:marTop w:val="0"/>
                                                  <w:marBottom w:val="0"/>
                                                  <w:divBdr>
                                                    <w:top w:val="none" w:sz="0" w:space="0" w:color="auto"/>
                                                    <w:left w:val="none" w:sz="0" w:space="0" w:color="auto"/>
                                                    <w:bottom w:val="none" w:sz="0" w:space="0" w:color="auto"/>
                                                    <w:right w:val="none" w:sz="0" w:space="0" w:color="auto"/>
                                                  </w:divBdr>
                                                  <w:divsChild>
                                                    <w:div w:id="25328645">
                                                      <w:marLeft w:val="0"/>
                                                      <w:marRight w:val="0"/>
                                                      <w:marTop w:val="0"/>
                                                      <w:marBottom w:val="0"/>
                                                      <w:divBdr>
                                                        <w:top w:val="none" w:sz="0" w:space="0" w:color="auto"/>
                                                        <w:left w:val="none" w:sz="0" w:space="0" w:color="auto"/>
                                                        <w:bottom w:val="none" w:sz="0" w:space="0" w:color="auto"/>
                                                        <w:right w:val="none" w:sz="0" w:space="0" w:color="auto"/>
                                                      </w:divBdr>
                                                      <w:divsChild>
                                                        <w:div w:id="3722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0554464">
      <w:bodyDiv w:val="1"/>
      <w:marLeft w:val="0"/>
      <w:marRight w:val="0"/>
      <w:marTop w:val="0"/>
      <w:marBottom w:val="0"/>
      <w:divBdr>
        <w:top w:val="none" w:sz="0" w:space="0" w:color="auto"/>
        <w:left w:val="none" w:sz="0" w:space="0" w:color="auto"/>
        <w:bottom w:val="none" w:sz="0" w:space="0" w:color="auto"/>
        <w:right w:val="none" w:sz="0" w:space="0" w:color="auto"/>
      </w:divBdr>
      <w:divsChild>
        <w:div w:id="976493611">
          <w:marLeft w:val="0"/>
          <w:marRight w:val="0"/>
          <w:marTop w:val="0"/>
          <w:marBottom w:val="0"/>
          <w:divBdr>
            <w:top w:val="none" w:sz="0" w:space="0" w:color="auto"/>
            <w:left w:val="none" w:sz="0" w:space="0" w:color="auto"/>
            <w:bottom w:val="none" w:sz="0" w:space="0" w:color="auto"/>
            <w:right w:val="none" w:sz="0" w:space="0" w:color="auto"/>
          </w:divBdr>
          <w:divsChild>
            <w:div w:id="1849783512">
              <w:marLeft w:val="0"/>
              <w:marRight w:val="0"/>
              <w:marTop w:val="0"/>
              <w:marBottom w:val="0"/>
              <w:divBdr>
                <w:top w:val="none" w:sz="0" w:space="0" w:color="auto"/>
                <w:left w:val="none" w:sz="0" w:space="0" w:color="auto"/>
                <w:bottom w:val="none" w:sz="0" w:space="0" w:color="auto"/>
                <w:right w:val="none" w:sz="0" w:space="0" w:color="auto"/>
              </w:divBdr>
              <w:divsChild>
                <w:div w:id="1218083911">
                  <w:marLeft w:val="0"/>
                  <w:marRight w:val="0"/>
                  <w:marTop w:val="0"/>
                  <w:marBottom w:val="0"/>
                  <w:divBdr>
                    <w:top w:val="none" w:sz="0" w:space="0" w:color="auto"/>
                    <w:left w:val="none" w:sz="0" w:space="0" w:color="auto"/>
                    <w:bottom w:val="none" w:sz="0" w:space="0" w:color="auto"/>
                    <w:right w:val="none" w:sz="0" w:space="0" w:color="auto"/>
                  </w:divBdr>
                  <w:divsChild>
                    <w:div w:id="255409702">
                      <w:marLeft w:val="0"/>
                      <w:marRight w:val="0"/>
                      <w:marTop w:val="0"/>
                      <w:marBottom w:val="0"/>
                      <w:divBdr>
                        <w:top w:val="none" w:sz="0" w:space="0" w:color="auto"/>
                        <w:left w:val="none" w:sz="0" w:space="0" w:color="auto"/>
                        <w:bottom w:val="none" w:sz="0" w:space="0" w:color="auto"/>
                        <w:right w:val="none" w:sz="0" w:space="0" w:color="auto"/>
                      </w:divBdr>
                      <w:divsChild>
                        <w:div w:id="2025938958">
                          <w:marLeft w:val="0"/>
                          <w:marRight w:val="0"/>
                          <w:marTop w:val="0"/>
                          <w:marBottom w:val="0"/>
                          <w:divBdr>
                            <w:top w:val="none" w:sz="0" w:space="0" w:color="auto"/>
                            <w:left w:val="none" w:sz="0" w:space="0" w:color="auto"/>
                            <w:bottom w:val="none" w:sz="0" w:space="0" w:color="auto"/>
                            <w:right w:val="none" w:sz="0" w:space="0" w:color="auto"/>
                          </w:divBdr>
                          <w:divsChild>
                            <w:div w:id="1349063387">
                              <w:marLeft w:val="0"/>
                              <w:marRight w:val="0"/>
                              <w:marTop w:val="0"/>
                              <w:marBottom w:val="0"/>
                              <w:divBdr>
                                <w:top w:val="none" w:sz="0" w:space="0" w:color="auto"/>
                                <w:left w:val="none" w:sz="0" w:space="0" w:color="auto"/>
                                <w:bottom w:val="none" w:sz="0" w:space="0" w:color="auto"/>
                                <w:right w:val="none" w:sz="0" w:space="0" w:color="auto"/>
                              </w:divBdr>
                              <w:divsChild>
                                <w:div w:id="1180511114">
                                  <w:marLeft w:val="0"/>
                                  <w:marRight w:val="0"/>
                                  <w:marTop w:val="0"/>
                                  <w:marBottom w:val="0"/>
                                  <w:divBdr>
                                    <w:top w:val="none" w:sz="0" w:space="0" w:color="auto"/>
                                    <w:left w:val="none" w:sz="0" w:space="0" w:color="auto"/>
                                    <w:bottom w:val="none" w:sz="0" w:space="0" w:color="auto"/>
                                    <w:right w:val="none" w:sz="0" w:space="0" w:color="auto"/>
                                  </w:divBdr>
                                  <w:divsChild>
                                    <w:div w:id="1406025744">
                                      <w:marLeft w:val="0"/>
                                      <w:marRight w:val="0"/>
                                      <w:marTop w:val="0"/>
                                      <w:marBottom w:val="0"/>
                                      <w:divBdr>
                                        <w:top w:val="none" w:sz="0" w:space="0" w:color="auto"/>
                                        <w:left w:val="none" w:sz="0" w:space="0" w:color="auto"/>
                                        <w:bottom w:val="none" w:sz="0" w:space="0" w:color="auto"/>
                                        <w:right w:val="none" w:sz="0" w:space="0" w:color="auto"/>
                                      </w:divBdr>
                                      <w:divsChild>
                                        <w:div w:id="1498959473">
                                          <w:marLeft w:val="0"/>
                                          <w:marRight w:val="0"/>
                                          <w:marTop w:val="0"/>
                                          <w:marBottom w:val="0"/>
                                          <w:divBdr>
                                            <w:top w:val="none" w:sz="0" w:space="0" w:color="auto"/>
                                            <w:left w:val="none" w:sz="0" w:space="0" w:color="auto"/>
                                            <w:bottom w:val="none" w:sz="0" w:space="0" w:color="auto"/>
                                            <w:right w:val="none" w:sz="0" w:space="0" w:color="auto"/>
                                          </w:divBdr>
                                          <w:divsChild>
                                            <w:div w:id="2133284385">
                                              <w:marLeft w:val="0"/>
                                              <w:marRight w:val="0"/>
                                              <w:marTop w:val="0"/>
                                              <w:marBottom w:val="0"/>
                                              <w:divBdr>
                                                <w:top w:val="none" w:sz="0" w:space="0" w:color="auto"/>
                                                <w:left w:val="none" w:sz="0" w:space="0" w:color="auto"/>
                                                <w:bottom w:val="none" w:sz="0" w:space="0" w:color="auto"/>
                                                <w:right w:val="none" w:sz="0" w:space="0" w:color="auto"/>
                                              </w:divBdr>
                                              <w:divsChild>
                                                <w:div w:id="1202354011">
                                                  <w:marLeft w:val="0"/>
                                                  <w:marRight w:val="0"/>
                                                  <w:marTop w:val="0"/>
                                                  <w:marBottom w:val="0"/>
                                                  <w:divBdr>
                                                    <w:top w:val="none" w:sz="0" w:space="0" w:color="auto"/>
                                                    <w:left w:val="none" w:sz="0" w:space="0" w:color="auto"/>
                                                    <w:bottom w:val="none" w:sz="0" w:space="0" w:color="auto"/>
                                                    <w:right w:val="none" w:sz="0" w:space="0" w:color="auto"/>
                                                  </w:divBdr>
                                                  <w:divsChild>
                                                    <w:div w:id="1352804133">
                                                      <w:marLeft w:val="0"/>
                                                      <w:marRight w:val="0"/>
                                                      <w:marTop w:val="0"/>
                                                      <w:marBottom w:val="0"/>
                                                      <w:divBdr>
                                                        <w:top w:val="none" w:sz="0" w:space="0" w:color="auto"/>
                                                        <w:left w:val="none" w:sz="0" w:space="0" w:color="auto"/>
                                                        <w:bottom w:val="none" w:sz="0" w:space="0" w:color="auto"/>
                                                        <w:right w:val="none" w:sz="0" w:space="0" w:color="auto"/>
                                                      </w:divBdr>
                                                      <w:divsChild>
                                                        <w:div w:id="7414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8530761">
      <w:bodyDiv w:val="1"/>
      <w:marLeft w:val="0"/>
      <w:marRight w:val="0"/>
      <w:marTop w:val="0"/>
      <w:marBottom w:val="0"/>
      <w:divBdr>
        <w:top w:val="none" w:sz="0" w:space="0" w:color="auto"/>
        <w:left w:val="none" w:sz="0" w:space="0" w:color="auto"/>
        <w:bottom w:val="none" w:sz="0" w:space="0" w:color="auto"/>
        <w:right w:val="none" w:sz="0" w:space="0" w:color="auto"/>
      </w:divBdr>
    </w:div>
    <w:div w:id="1077897212">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35354516">
      <w:bodyDiv w:val="1"/>
      <w:marLeft w:val="0"/>
      <w:marRight w:val="0"/>
      <w:marTop w:val="0"/>
      <w:marBottom w:val="0"/>
      <w:divBdr>
        <w:top w:val="none" w:sz="0" w:space="0" w:color="auto"/>
        <w:left w:val="none" w:sz="0" w:space="0" w:color="auto"/>
        <w:bottom w:val="none" w:sz="0" w:space="0" w:color="auto"/>
        <w:right w:val="none" w:sz="0" w:space="0" w:color="auto"/>
      </w:divBdr>
    </w:div>
    <w:div w:id="1258249605">
      <w:bodyDiv w:val="1"/>
      <w:marLeft w:val="0"/>
      <w:marRight w:val="0"/>
      <w:marTop w:val="0"/>
      <w:marBottom w:val="0"/>
      <w:divBdr>
        <w:top w:val="none" w:sz="0" w:space="0" w:color="auto"/>
        <w:left w:val="none" w:sz="0" w:space="0" w:color="auto"/>
        <w:bottom w:val="none" w:sz="0" w:space="0" w:color="auto"/>
        <w:right w:val="none" w:sz="0" w:space="0" w:color="auto"/>
      </w:divBdr>
    </w:div>
    <w:div w:id="1563834342">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888449422">
      <w:bodyDiv w:val="1"/>
      <w:marLeft w:val="0"/>
      <w:marRight w:val="0"/>
      <w:marTop w:val="0"/>
      <w:marBottom w:val="0"/>
      <w:divBdr>
        <w:top w:val="none" w:sz="0" w:space="0" w:color="auto"/>
        <w:left w:val="none" w:sz="0" w:space="0" w:color="auto"/>
        <w:bottom w:val="none" w:sz="0" w:space="0" w:color="auto"/>
        <w:right w:val="none" w:sz="0" w:space="0" w:color="auto"/>
      </w:divBdr>
      <w:divsChild>
        <w:div w:id="1585143254">
          <w:marLeft w:val="0"/>
          <w:marRight w:val="0"/>
          <w:marTop w:val="0"/>
          <w:marBottom w:val="0"/>
          <w:divBdr>
            <w:top w:val="none" w:sz="0" w:space="0" w:color="auto"/>
            <w:left w:val="none" w:sz="0" w:space="0" w:color="auto"/>
            <w:bottom w:val="none" w:sz="0" w:space="0" w:color="auto"/>
            <w:right w:val="none" w:sz="0" w:space="0" w:color="auto"/>
          </w:divBdr>
          <w:divsChild>
            <w:div w:id="339234604">
              <w:marLeft w:val="0"/>
              <w:marRight w:val="0"/>
              <w:marTop w:val="0"/>
              <w:marBottom w:val="0"/>
              <w:divBdr>
                <w:top w:val="none" w:sz="0" w:space="0" w:color="auto"/>
                <w:left w:val="none" w:sz="0" w:space="0" w:color="auto"/>
                <w:bottom w:val="none" w:sz="0" w:space="0" w:color="auto"/>
                <w:right w:val="none" w:sz="0" w:space="0" w:color="auto"/>
              </w:divBdr>
              <w:divsChild>
                <w:div w:id="2001808965">
                  <w:marLeft w:val="0"/>
                  <w:marRight w:val="0"/>
                  <w:marTop w:val="0"/>
                  <w:marBottom w:val="0"/>
                  <w:divBdr>
                    <w:top w:val="none" w:sz="0" w:space="0" w:color="auto"/>
                    <w:left w:val="none" w:sz="0" w:space="0" w:color="auto"/>
                    <w:bottom w:val="none" w:sz="0" w:space="0" w:color="auto"/>
                    <w:right w:val="none" w:sz="0" w:space="0" w:color="auto"/>
                  </w:divBdr>
                  <w:divsChild>
                    <w:div w:id="1119028891">
                      <w:marLeft w:val="0"/>
                      <w:marRight w:val="0"/>
                      <w:marTop w:val="0"/>
                      <w:marBottom w:val="0"/>
                      <w:divBdr>
                        <w:top w:val="none" w:sz="0" w:space="0" w:color="auto"/>
                        <w:left w:val="none" w:sz="0" w:space="0" w:color="auto"/>
                        <w:bottom w:val="none" w:sz="0" w:space="0" w:color="auto"/>
                        <w:right w:val="none" w:sz="0" w:space="0" w:color="auto"/>
                      </w:divBdr>
                      <w:divsChild>
                        <w:div w:id="638730253">
                          <w:marLeft w:val="0"/>
                          <w:marRight w:val="0"/>
                          <w:marTop w:val="0"/>
                          <w:marBottom w:val="0"/>
                          <w:divBdr>
                            <w:top w:val="none" w:sz="0" w:space="0" w:color="auto"/>
                            <w:left w:val="none" w:sz="0" w:space="0" w:color="auto"/>
                            <w:bottom w:val="none" w:sz="0" w:space="0" w:color="auto"/>
                            <w:right w:val="none" w:sz="0" w:space="0" w:color="auto"/>
                          </w:divBdr>
                          <w:divsChild>
                            <w:div w:id="1023093280">
                              <w:marLeft w:val="0"/>
                              <w:marRight w:val="0"/>
                              <w:marTop w:val="0"/>
                              <w:marBottom w:val="0"/>
                              <w:divBdr>
                                <w:top w:val="none" w:sz="0" w:space="0" w:color="auto"/>
                                <w:left w:val="none" w:sz="0" w:space="0" w:color="auto"/>
                                <w:bottom w:val="none" w:sz="0" w:space="0" w:color="auto"/>
                                <w:right w:val="none" w:sz="0" w:space="0" w:color="auto"/>
                              </w:divBdr>
                              <w:divsChild>
                                <w:div w:id="1544099426">
                                  <w:marLeft w:val="0"/>
                                  <w:marRight w:val="0"/>
                                  <w:marTop w:val="0"/>
                                  <w:marBottom w:val="0"/>
                                  <w:divBdr>
                                    <w:top w:val="none" w:sz="0" w:space="0" w:color="auto"/>
                                    <w:left w:val="none" w:sz="0" w:space="0" w:color="auto"/>
                                    <w:bottom w:val="none" w:sz="0" w:space="0" w:color="auto"/>
                                    <w:right w:val="none" w:sz="0" w:space="0" w:color="auto"/>
                                  </w:divBdr>
                                  <w:divsChild>
                                    <w:div w:id="438067633">
                                      <w:marLeft w:val="0"/>
                                      <w:marRight w:val="0"/>
                                      <w:marTop w:val="0"/>
                                      <w:marBottom w:val="0"/>
                                      <w:divBdr>
                                        <w:top w:val="none" w:sz="0" w:space="0" w:color="auto"/>
                                        <w:left w:val="none" w:sz="0" w:space="0" w:color="auto"/>
                                        <w:bottom w:val="none" w:sz="0" w:space="0" w:color="auto"/>
                                        <w:right w:val="none" w:sz="0" w:space="0" w:color="auto"/>
                                      </w:divBdr>
                                      <w:divsChild>
                                        <w:div w:id="12721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australian-register-therapeutic-goods" TargetMode="External"/><Relationship Id="rId18" Type="http://schemas.openxmlformats.org/officeDocument/2006/relationships/hyperlink" Target="https://www.tga.gov.au/acronyms-glossary" TargetMode="External"/><Relationship Id="rId26" Type="http://schemas.openxmlformats.org/officeDocument/2006/relationships/hyperlink" Target="https://www.tga.gov.au/form/application-priority-review-designation-medical-devices" TargetMode="External"/><Relationship Id="rId39" Type="http://schemas.openxmlformats.org/officeDocument/2006/relationships/hyperlink" Target="el://D20-3082374?db=A7&amp;open" TargetMode="External"/><Relationship Id="rId3" Type="http://schemas.openxmlformats.org/officeDocument/2006/relationships/styles" Target="styles.xml"/><Relationship Id="rId21" Type="http://schemas.openxmlformats.org/officeDocument/2006/relationships/hyperlink" Target="https://www.tga.gov.au/acronyms-glossary" TargetMode="External"/><Relationship Id="rId34" Type="http://schemas.openxmlformats.org/officeDocument/2006/relationships/image" Target="media/image5.jp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legislation.gov.au/Series/F2002B00237" TargetMode="External"/><Relationship Id="rId25" Type="http://schemas.openxmlformats.org/officeDocument/2006/relationships/hyperlink" Target="https://www.tga.gov.au/form/organisation-details" TargetMode="External"/><Relationship Id="rId33" Type="http://schemas.openxmlformats.org/officeDocument/2006/relationships/hyperlink" Target="https://www.tga.gov.au/standards-guidelines-publications-medical-devices-ivds" TargetMode="External"/><Relationship Id="rId38"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s://www.legislation.gov.au/Series/C2004A03952" TargetMode="External"/><Relationship Id="rId20" Type="http://schemas.openxmlformats.org/officeDocument/2006/relationships/hyperlink" Target="https://www.tga.gov.au/acronyms-glossary" TargetMode="External"/><Relationship Id="rId29" Type="http://schemas.openxmlformats.org/officeDocument/2006/relationships/hyperlink" Target="https://www.tga.gov.au/schedule-fees-and-charges"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PriorityDevices@health.gov.au" TargetMode="External"/><Relationship Id="rId32" Type="http://schemas.openxmlformats.org/officeDocument/2006/relationships/hyperlink" Target="https://www.tga.gov.au/form/application-priority-applicant-determination-medical-devices" TargetMode="External"/><Relationship Id="rId37" Type="http://schemas.openxmlformats.org/officeDocument/2006/relationships/hyperlink" Target="mailto:info@tga.gov.au"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tga.gov.au/form/pre-submission-meeting-forms" TargetMode="External"/><Relationship Id="rId28" Type="http://schemas.openxmlformats.org/officeDocument/2006/relationships/hyperlink" Target="https://www.tga.gov.au/publication/general-dossier-requirements" TargetMode="External"/><Relationship Id="rId36"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www.tga.gov.au/acronyms-glossary" TargetMode="External"/><Relationship Id="rId31" Type="http://schemas.openxmlformats.org/officeDocument/2006/relationships/hyperlink" Target="mailto:PriorityDevices@health.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standards-guidelines-publications-medical-devices-ivds" TargetMode="External"/><Relationship Id="rId22" Type="http://schemas.openxmlformats.org/officeDocument/2006/relationships/hyperlink" Target="https://www.tga.gov.au/publication/clinical-evidence-guidelines-medical-devices" TargetMode="External"/><Relationship Id="rId27" Type="http://schemas.openxmlformats.org/officeDocument/2006/relationships/hyperlink" Target="mailto:PriorityDevices@health.gov.au" TargetMode="External"/><Relationship Id="rId30" Type="http://schemas.openxmlformats.org/officeDocument/2006/relationships/hyperlink" Target="mailto:PriorityDevices@health.gov.au" TargetMode="External"/><Relationship Id="rId35" Type="http://schemas.openxmlformats.org/officeDocument/2006/relationships/header" Target="header3.xm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C5FDA-D62A-4D11-92BB-78A37650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22</Pages>
  <Words>7220</Words>
  <Characters>41591</Characters>
  <Application>Microsoft Office Word</Application>
  <DocSecurity>0</DocSecurity>
  <Lines>784</Lines>
  <Paragraphs>420</Paragraphs>
  <ScaleCrop>false</ScaleCrop>
  <HeadingPairs>
    <vt:vector size="2" baseType="variant">
      <vt:variant>
        <vt:lpstr>Title</vt:lpstr>
      </vt:variant>
      <vt:variant>
        <vt:i4>1</vt:i4>
      </vt:variant>
    </vt:vector>
  </HeadingPairs>
  <TitlesOfParts>
    <vt:vector size="1" baseType="lpstr">
      <vt:lpstr>Priority applicant guidelines for medical devices (including IVDs)</vt:lpstr>
    </vt:vector>
  </TitlesOfParts>
  <Company>TGA</Company>
  <LinksUpToDate>false</LinksUpToDate>
  <CharactersWithSpaces>48391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applicant guidelines for medical devices (including IVDs)</dc:title>
  <dc:subject>medical devices</dc:subject>
  <dc:creator>Therapeutic Goods Administration</dc:creator>
  <cp:lastPrinted>2020-10-07T06:50:00Z</cp:lastPrinted>
  <dcterms:created xsi:type="dcterms:W3CDTF">2020-11-06T06:17:00Z</dcterms:created>
  <dcterms:modified xsi:type="dcterms:W3CDTF">2020-12-01T05:40:00Z</dcterms:modified>
</cp:coreProperties>
</file>