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515682" w:rsidP="008C45E5">
            <w:pPr>
              <w:pStyle w:val="Title"/>
            </w:pPr>
            <w:r w:rsidRPr="00515682">
              <w:t>P</w:t>
            </w:r>
            <w:r w:rsidR="008C45E5">
              <w:t>rescription medicines transparency measures</w:t>
            </w:r>
          </w:p>
        </w:tc>
      </w:tr>
      <w:tr w:rsidR="002B29B2" w:rsidRPr="00215D48" w:rsidTr="002B29B2">
        <w:trPr>
          <w:trHeight w:val="1916"/>
        </w:trPr>
        <w:tc>
          <w:tcPr>
            <w:tcW w:w="8720" w:type="dxa"/>
          </w:tcPr>
          <w:p w:rsidR="00F401EF" w:rsidRPr="00215D48" w:rsidRDefault="00515682" w:rsidP="0032564C">
            <w:pPr>
              <w:pStyle w:val="Subtitle"/>
              <w:ind w:left="0"/>
            </w:pPr>
            <w:r>
              <w:t xml:space="preserve">Implementation of </w:t>
            </w:r>
            <w:r w:rsidR="00486DC2">
              <w:t>generic medicines</w:t>
            </w:r>
            <w:r w:rsidR="00AC32B1">
              <w:t xml:space="preserve"> </w:t>
            </w:r>
            <w:r>
              <w:t xml:space="preserve">early notification </w:t>
            </w:r>
            <w:r w:rsidR="00486DC2">
              <w:t>t</w:t>
            </w:r>
            <w:r>
              <w:t xml:space="preserve">o </w:t>
            </w:r>
            <w:r w:rsidR="004541B0">
              <w:t>innovator</w:t>
            </w:r>
            <w:r>
              <w:t>s of a</w:t>
            </w:r>
            <w:r w:rsidR="00AC32B1">
              <w:t>n</w:t>
            </w:r>
            <w:r>
              <w:t xml:space="preserve"> application and publication of </w:t>
            </w:r>
            <w:r w:rsidR="004541B0">
              <w:t>innovator</w:t>
            </w:r>
            <w:r w:rsidR="008C45E5">
              <w:t xml:space="preserve"> applications</w:t>
            </w:r>
          </w:p>
        </w:tc>
      </w:tr>
      <w:tr w:rsidR="002B29B2" w:rsidRPr="00215D48" w:rsidTr="002B29B2">
        <w:tc>
          <w:tcPr>
            <w:tcW w:w="8720" w:type="dxa"/>
          </w:tcPr>
          <w:p w:rsidR="002B29B2" w:rsidRPr="00215D48" w:rsidRDefault="002B29B2" w:rsidP="001820A0">
            <w:pPr>
              <w:pStyle w:val="Date"/>
            </w:pPr>
            <w:r w:rsidRPr="00215D48">
              <w:t xml:space="preserve">Version 1.0, </w:t>
            </w:r>
            <w:r w:rsidR="001820A0">
              <w:t>March 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F82D35">
          <w:pPr>
            <w:pStyle w:val="NonTOCheading2"/>
          </w:pPr>
          <w:r w:rsidRPr="00215D48">
            <w:t>Contents</w:t>
          </w:r>
        </w:p>
        <w:bookmarkStart w:id="0" w:name="_GoBack"/>
        <w:bookmarkEnd w:id="0"/>
        <w:p w:rsidR="00FB63A2"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37252475" w:history="1">
            <w:r w:rsidR="00FB63A2" w:rsidRPr="00136678">
              <w:rPr>
                <w:rStyle w:val="Hyperlink"/>
                <w:noProof/>
              </w:rPr>
              <w:t>Overview</w:t>
            </w:r>
            <w:r w:rsidR="00FB63A2">
              <w:rPr>
                <w:noProof/>
                <w:webHidden/>
              </w:rPr>
              <w:tab/>
            </w:r>
            <w:r w:rsidR="00FB63A2">
              <w:rPr>
                <w:noProof/>
                <w:webHidden/>
              </w:rPr>
              <w:fldChar w:fldCharType="begin"/>
            </w:r>
            <w:r w:rsidR="00FB63A2">
              <w:rPr>
                <w:noProof/>
                <w:webHidden/>
              </w:rPr>
              <w:instrText xml:space="preserve"> PAGEREF _Toc37252475 \h </w:instrText>
            </w:r>
            <w:r w:rsidR="00FB63A2">
              <w:rPr>
                <w:noProof/>
                <w:webHidden/>
              </w:rPr>
            </w:r>
            <w:r w:rsidR="00FB63A2">
              <w:rPr>
                <w:noProof/>
                <w:webHidden/>
              </w:rPr>
              <w:fldChar w:fldCharType="separate"/>
            </w:r>
            <w:r w:rsidR="00FB63A2">
              <w:rPr>
                <w:noProof/>
                <w:webHidden/>
              </w:rPr>
              <w:t>4</w:t>
            </w:r>
            <w:r w:rsidR="00FB63A2">
              <w:rPr>
                <w:noProof/>
                <w:webHidden/>
              </w:rPr>
              <w:fldChar w:fldCharType="end"/>
            </w:r>
          </w:hyperlink>
        </w:p>
        <w:p w:rsidR="00FB63A2" w:rsidRDefault="00FB63A2">
          <w:pPr>
            <w:pStyle w:val="TOC1"/>
            <w:rPr>
              <w:rFonts w:asciiTheme="minorHAnsi" w:eastAsiaTheme="minorEastAsia" w:hAnsiTheme="minorHAnsi" w:cstheme="minorBidi"/>
              <w:b w:val="0"/>
              <w:noProof/>
              <w:sz w:val="22"/>
              <w:szCs w:val="22"/>
              <w:lang w:eastAsia="en-AU"/>
            </w:rPr>
          </w:pPr>
          <w:hyperlink w:anchor="_Toc37252476" w:history="1">
            <w:r w:rsidRPr="00136678">
              <w:rPr>
                <w:rStyle w:val="Hyperlink"/>
                <w:noProof/>
              </w:rPr>
              <w:t>Background</w:t>
            </w:r>
            <w:r>
              <w:rPr>
                <w:noProof/>
                <w:webHidden/>
              </w:rPr>
              <w:tab/>
            </w:r>
            <w:r>
              <w:rPr>
                <w:noProof/>
                <w:webHidden/>
              </w:rPr>
              <w:fldChar w:fldCharType="begin"/>
            </w:r>
            <w:r>
              <w:rPr>
                <w:noProof/>
                <w:webHidden/>
              </w:rPr>
              <w:instrText xml:space="preserve"> PAGEREF _Toc37252476 \h </w:instrText>
            </w:r>
            <w:r>
              <w:rPr>
                <w:noProof/>
                <w:webHidden/>
              </w:rPr>
            </w:r>
            <w:r>
              <w:rPr>
                <w:noProof/>
                <w:webHidden/>
              </w:rPr>
              <w:fldChar w:fldCharType="separate"/>
            </w:r>
            <w:r>
              <w:rPr>
                <w:noProof/>
                <w:webHidden/>
              </w:rPr>
              <w:t>4</w:t>
            </w:r>
            <w:r>
              <w:rPr>
                <w:noProof/>
                <w:webHidden/>
              </w:rPr>
              <w:fldChar w:fldCharType="end"/>
            </w:r>
          </w:hyperlink>
        </w:p>
        <w:p w:rsidR="00FB63A2" w:rsidRDefault="00FB63A2">
          <w:pPr>
            <w:pStyle w:val="TOC1"/>
            <w:rPr>
              <w:rFonts w:asciiTheme="minorHAnsi" w:eastAsiaTheme="minorEastAsia" w:hAnsiTheme="minorHAnsi" w:cstheme="minorBidi"/>
              <w:b w:val="0"/>
              <w:noProof/>
              <w:sz w:val="22"/>
              <w:szCs w:val="22"/>
              <w:lang w:eastAsia="en-AU"/>
            </w:rPr>
          </w:pPr>
          <w:hyperlink w:anchor="_Toc37252477" w:history="1">
            <w:r w:rsidRPr="00136678">
              <w:rPr>
                <w:rStyle w:val="Hyperlink"/>
                <w:noProof/>
              </w:rPr>
              <w:t>Proposed approach to implement new transparency measures for prescription medicine applications</w:t>
            </w:r>
            <w:r>
              <w:rPr>
                <w:noProof/>
                <w:webHidden/>
              </w:rPr>
              <w:tab/>
            </w:r>
            <w:r>
              <w:rPr>
                <w:noProof/>
                <w:webHidden/>
              </w:rPr>
              <w:fldChar w:fldCharType="begin"/>
            </w:r>
            <w:r>
              <w:rPr>
                <w:noProof/>
                <w:webHidden/>
              </w:rPr>
              <w:instrText xml:space="preserve"> PAGEREF _Toc37252477 \h </w:instrText>
            </w:r>
            <w:r>
              <w:rPr>
                <w:noProof/>
                <w:webHidden/>
              </w:rPr>
            </w:r>
            <w:r>
              <w:rPr>
                <w:noProof/>
                <w:webHidden/>
              </w:rPr>
              <w:fldChar w:fldCharType="separate"/>
            </w:r>
            <w:r>
              <w:rPr>
                <w:noProof/>
                <w:webHidden/>
              </w:rPr>
              <w:t>4</w:t>
            </w:r>
            <w:r>
              <w:rPr>
                <w:noProof/>
                <w:webHidden/>
              </w:rPr>
              <w:fldChar w:fldCharType="end"/>
            </w:r>
          </w:hyperlink>
        </w:p>
        <w:p w:rsidR="00FB63A2" w:rsidRDefault="00FB63A2">
          <w:pPr>
            <w:pStyle w:val="TOC2"/>
            <w:rPr>
              <w:rFonts w:asciiTheme="minorHAnsi" w:eastAsiaTheme="minorEastAsia" w:hAnsiTheme="minorHAnsi" w:cstheme="minorBidi"/>
              <w:b w:val="0"/>
              <w:noProof/>
              <w:sz w:val="22"/>
              <w:szCs w:val="22"/>
              <w:lang w:eastAsia="en-AU"/>
            </w:rPr>
          </w:pPr>
          <w:hyperlink w:anchor="_Toc37252478" w:history="1">
            <w:r w:rsidRPr="00136678">
              <w:rPr>
                <w:rStyle w:val="Hyperlink"/>
                <w:noProof/>
              </w:rPr>
              <w:t>Measure 1: Early publication of major innovator medicine applications</w:t>
            </w:r>
            <w:r>
              <w:rPr>
                <w:noProof/>
                <w:webHidden/>
              </w:rPr>
              <w:tab/>
            </w:r>
            <w:r>
              <w:rPr>
                <w:noProof/>
                <w:webHidden/>
              </w:rPr>
              <w:fldChar w:fldCharType="begin"/>
            </w:r>
            <w:r>
              <w:rPr>
                <w:noProof/>
                <w:webHidden/>
              </w:rPr>
              <w:instrText xml:space="preserve"> PAGEREF _Toc37252478 \h </w:instrText>
            </w:r>
            <w:r>
              <w:rPr>
                <w:noProof/>
                <w:webHidden/>
              </w:rPr>
            </w:r>
            <w:r>
              <w:rPr>
                <w:noProof/>
                <w:webHidden/>
              </w:rPr>
              <w:fldChar w:fldCharType="separate"/>
            </w:r>
            <w:r>
              <w:rPr>
                <w:noProof/>
                <w:webHidden/>
              </w:rPr>
              <w:t>4</w:t>
            </w:r>
            <w:r>
              <w:rPr>
                <w:noProof/>
                <w:webHidden/>
              </w:rPr>
              <w:fldChar w:fldCharType="end"/>
            </w:r>
          </w:hyperlink>
        </w:p>
        <w:p w:rsidR="00FB63A2" w:rsidRDefault="00FB63A2">
          <w:pPr>
            <w:pStyle w:val="TOC3"/>
            <w:rPr>
              <w:rFonts w:asciiTheme="minorHAnsi" w:eastAsiaTheme="minorEastAsia" w:hAnsiTheme="minorHAnsi" w:cstheme="minorBidi"/>
              <w:b w:val="0"/>
              <w:noProof/>
              <w:szCs w:val="22"/>
              <w:lang w:eastAsia="en-AU"/>
            </w:rPr>
          </w:pPr>
          <w:hyperlink w:anchor="_Toc37252479" w:history="1">
            <w:r w:rsidRPr="00136678">
              <w:rPr>
                <w:rStyle w:val="Hyperlink"/>
                <w:noProof/>
              </w:rPr>
              <w:t>Implementation arrangements</w:t>
            </w:r>
            <w:r>
              <w:rPr>
                <w:noProof/>
                <w:webHidden/>
              </w:rPr>
              <w:tab/>
            </w:r>
            <w:r>
              <w:rPr>
                <w:noProof/>
                <w:webHidden/>
              </w:rPr>
              <w:fldChar w:fldCharType="begin"/>
            </w:r>
            <w:r>
              <w:rPr>
                <w:noProof/>
                <w:webHidden/>
              </w:rPr>
              <w:instrText xml:space="preserve"> PAGEREF _Toc37252479 \h </w:instrText>
            </w:r>
            <w:r>
              <w:rPr>
                <w:noProof/>
                <w:webHidden/>
              </w:rPr>
            </w:r>
            <w:r>
              <w:rPr>
                <w:noProof/>
                <w:webHidden/>
              </w:rPr>
              <w:fldChar w:fldCharType="separate"/>
            </w:r>
            <w:r>
              <w:rPr>
                <w:noProof/>
                <w:webHidden/>
              </w:rPr>
              <w:t>5</w:t>
            </w:r>
            <w:r>
              <w:rPr>
                <w:noProof/>
                <w:webHidden/>
              </w:rPr>
              <w:fldChar w:fldCharType="end"/>
            </w:r>
          </w:hyperlink>
        </w:p>
        <w:p w:rsidR="00FB63A2" w:rsidRDefault="00FB63A2">
          <w:pPr>
            <w:pStyle w:val="TOC2"/>
            <w:rPr>
              <w:rFonts w:asciiTheme="minorHAnsi" w:eastAsiaTheme="minorEastAsia" w:hAnsiTheme="minorHAnsi" w:cstheme="minorBidi"/>
              <w:b w:val="0"/>
              <w:noProof/>
              <w:sz w:val="22"/>
              <w:szCs w:val="22"/>
              <w:lang w:eastAsia="en-AU"/>
            </w:rPr>
          </w:pPr>
          <w:hyperlink w:anchor="_Toc37252480" w:history="1">
            <w:r w:rsidRPr="00136678">
              <w:rPr>
                <w:rStyle w:val="Hyperlink"/>
                <w:noProof/>
              </w:rPr>
              <w:t>Measure 2: Earlier notification of generic medicine applications to the innovator</w:t>
            </w:r>
            <w:r>
              <w:rPr>
                <w:noProof/>
                <w:webHidden/>
              </w:rPr>
              <w:tab/>
            </w:r>
            <w:r>
              <w:rPr>
                <w:noProof/>
                <w:webHidden/>
              </w:rPr>
              <w:fldChar w:fldCharType="begin"/>
            </w:r>
            <w:r>
              <w:rPr>
                <w:noProof/>
                <w:webHidden/>
              </w:rPr>
              <w:instrText xml:space="preserve"> PAGEREF _Toc37252480 \h </w:instrText>
            </w:r>
            <w:r>
              <w:rPr>
                <w:noProof/>
                <w:webHidden/>
              </w:rPr>
            </w:r>
            <w:r>
              <w:rPr>
                <w:noProof/>
                <w:webHidden/>
              </w:rPr>
              <w:fldChar w:fldCharType="separate"/>
            </w:r>
            <w:r>
              <w:rPr>
                <w:noProof/>
                <w:webHidden/>
              </w:rPr>
              <w:t>5</w:t>
            </w:r>
            <w:r>
              <w:rPr>
                <w:noProof/>
                <w:webHidden/>
              </w:rPr>
              <w:fldChar w:fldCharType="end"/>
            </w:r>
          </w:hyperlink>
        </w:p>
        <w:p w:rsidR="00FB63A2" w:rsidRDefault="00FB63A2">
          <w:pPr>
            <w:pStyle w:val="TOC3"/>
            <w:rPr>
              <w:rFonts w:asciiTheme="minorHAnsi" w:eastAsiaTheme="minorEastAsia" w:hAnsiTheme="minorHAnsi" w:cstheme="minorBidi"/>
              <w:b w:val="0"/>
              <w:noProof/>
              <w:szCs w:val="22"/>
              <w:lang w:eastAsia="en-AU"/>
            </w:rPr>
          </w:pPr>
          <w:hyperlink w:anchor="_Toc37252481" w:history="1">
            <w:r w:rsidRPr="00136678">
              <w:rPr>
                <w:rStyle w:val="Hyperlink"/>
                <w:noProof/>
              </w:rPr>
              <w:t>Implementation arrangements</w:t>
            </w:r>
            <w:r>
              <w:rPr>
                <w:noProof/>
                <w:webHidden/>
              </w:rPr>
              <w:tab/>
            </w:r>
            <w:r>
              <w:rPr>
                <w:noProof/>
                <w:webHidden/>
              </w:rPr>
              <w:fldChar w:fldCharType="begin"/>
            </w:r>
            <w:r>
              <w:rPr>
                <w:noProof/>
                <w:webHidden/>
              </w:rPr>
              <w:instrText xml:space="preserve"> PAGEREF _Toc37252481 \h </w:instrText>
            </w:r>
            <w:r>
              <w:rPr>
                <w:noProof/>
                <w:webHidden/>
              </w:rPr>
            </w:r>
            <w:r>
              <w:rPr>
                <w:noProof/>
                <w:webHidden/>
              </w:rPr>
              <w:fldChar w:fldCharType="separate"/>
            </w:r>
            <w:r>
              <w:rPr>
                <w:noProof/>
                <w:webHidden/>
              </w:rPr>
              <w:t>6</w:t>
            </w:r>
            <w:r>
              <w:rPr>
                <w:noProof/>
                <w:webHidden/>
              </w:rPr>
              <w:fldChar w:fldCharType="end"/>
            </w:r>
          </w:hyperlink>
        </w:p>
        <w:p w:rsidR="00FB63A2" w:rsidRDefault="00FB63A2">
          <w:pPr>
            <w:pStyle w:val="TOC3"/>
            <w:rPr>
              <w:rFonts w:asciiTheme="minorHAnsi" w:eastAsiaTheme="minorEastAsia" w:hAnsiTheme="minorHAnsi" w:cstheme="minorBidi"/>
              <w:b w:val="0"/>
              <w:noProof/>
              <w:szCs w:val="22"/>
              <w:lang w:eastAsia="en-AU"/>
            </w:rPr>
          </w:pPr>
          <w:hyperlink w:anchor="_Toc37252482" w:history="1">
            <w:r w:rsidRPr="00136678">
              <w:rPr>
                <w:rStyle w:val="Hyperlink"/>
                <w:noProof/>
              </w:rPr>
              <w:t xml:space="preserve">Option 1 – requires early notification </w:t>
            </w:r>
            <w:r w:rsidRPr="00136678">
              <w:rPr>
                <w:rStyle w:val="Hyperlink"/>
                <w:i/>
                <w:noProof/>
              </w:rPr>
              <w:t>in addition</w:t>
            </w:r>
            <w:r w:rsidRPr="00136678">
              <w:rPr>
                <w:rStyle w:val="Hyperlink"/>
                <w:noProof/>
              </w:rPr>
              <w:t xml:space="preserve"> to the existing scheme, only where a patent </w:t>
            </w:r>
            <w:r w:rsidRPr="00136678">
              <w:rPr>
                <w:rStyle w:val="Hyperlink"/>
                <w:i/>
                <w:noProof/>
              </w:rPr>
              <w:t>has not</w:t>
            </w:r>
            <w:r w:rsidRPr="00136678">
              <w:rPr>
                <w:rStyle w:val="Hyperlink"/>
                <w:noProof/>
              </w:rPr>
              <w:t xml:space="preserve"> expired</w:t>
            </w:r>
            <w:r>
              <w:rPr>
                <w:noProof/>
                <w:webHidden/>
              </w:rPr>
              <w:tab/>
            </w:r>
            <w:r>
              <w:rPr>
                <w:noProof/>
                <w:webHidden/>
              </w:rPr>
              <w:fldChar w:fldCharType="begin"/>
            </w:r>
            <w:r>
              <w:rPr>
                <w:noProof/>
                <w:webHidden/>
              </w:rPr>
              <w:instrText xml:space="preserve"> PAGEREF _Toc37252482 \h </w:instrText>
            </w:r>
            <w:r>
              <w:rPr>
                <w:noProof/>
                <w:webHidden/>
              </w:rPr>
            </w:r>
            <w:r>
              <w:rPr>
                <w:noProof/>
                <w:webHidden/>
              </w:rPr>
              <w:fldChar w:fldCharType="separate"/>
            </w:r>
            <w:r>
              <w:rPr>
                <w:noProof/>
                <w:webHidden/>
              </w:rPr>
              <w:t>6</w:t>
            </w:r>
            <w:r>
              <w:rPr>
                <w:noProof/>
                <w:webHidden/>
              </w:rPr>
              <w:fldChar w:fldCharType="end"/>
            </w:r>
          </w:hyperlink>
        </w:p>
        <w:p w:rsidR="00FB63A2" w:rsidRDefault="00FB63A2">
          <w:pPr>
            <w:pStyle w:val="TOC3"/>
            <w:rPr>
              <w:rFonts w:asciiTheme="minorHAnsi" w:eastAsiaTheme="minorEastAsia" w:hAnsiTheme="minorHAnsi" w:cstheme="minorBidi"/>
              <w:b w:val="0"/>
              <w:noProof/>
              <w:szCs w:val="22"/>
              <w:lang w:eastAsia="en-AU"/>
            </w:rPr>
          </w:pPr>
          <w:hyperlink w:anchor="_Toc37252483" w:history="1">
            <w:r w:rsidRPr="00136678">
              <w:rPr>
                <w:rStyle w:val="Hyperlink"/>
                <w:noProof/>
              </w:rPr>
              <w:t>Option 2 - requires early notification regardless of belief of the existence of a patent</w:t>
            </w:r>
            <w:r>
              <w:rPr>
                <w:noProof/>
                <w:webHidden/>
              </w:rPr>
              <w:tab/>
            </w:r>
            <w:r>
              <w:rPr>
                <w:noProof/>
                <w:webHidden/>
              </w:rPr>
              <w:fldChar w:fldCharType="begin"/>
            </w:r>
            <w:r>
              <w:rPr>
                <w:noProof/>
                <w:webHidden/>
              </w:rPr>
              <w:instrText xml:space="preserve"> PAGEREF _Toc37252483 \h </w:instrText>
            </w:r>
            <w:r>
              <w:rPr>
                <w:noProof/>
                <w:webHidden/>
              </w:rPr>
            </w:r>
            <w:r>
              <w:rPr>
                <w:noProof/>
                <w:webHidden/>
              </w:rPr>
              <w:fldChar w:fldCharType="separate"/>
            </w:r>
            <w:r>
              <w:rPr>
                <w:noProof/>
                <w:webHidden/>
              </w:rPr>
              <w:t>7</w:t>
            </w:r>
            <w:r>
              <w:rPr>
                <w:noProof/>
                <w:webHidden/>
              </w:rPr>
              <w:fldChar w:fldCharType="end"/>
            </w:r>
          </w:hyperlink>
        </w:p>
        <w:p w:rsidR="00FB63A2" w:rsidRDefault="00FB63A2">
          <w:pPr>
            <w:pStyle w:val="TOC1"/>
            <w:rPr>
              <w:rFonts w:asciiTheme="minorHAnsi" w:eastAsiaTheme="minorEastAsia" w:hAnsiTheme="minorHAnsi" w:cstheme="minorBidi"/>
              <w:b w:val="0"/>
              <w:noProof/>
              <w:sz w:val="22"/>
              <w:szCs w:val="22"/>
              <w:lang w:eastAsia="en-AU"/>
            </w:rPr>
          </w:pPr>
          <w:hyperlink w:anchor="_Toc37252484" w:history="1">
            <w:r w:rsidRPr="00136678">
              <w:rPr>
                <w:rStyle w:val="Hyperlink"/>
                <w:noProof/>
              </w:rPr>
              <w:t>Attachment 1 - Detailed options for notification of generic medicine applications to the innovator</w:t>
            </w:r>
            <w:r>
              <w:rPr>
                <w:noProof/>
                <w:webHidden/>
              </w:rPr>
              <w:tab/>
            </w:r>
            <w:r>
              <w:rPr>
                <w:noProof/>
                <w:webHidden/>
              </w:rPr>
              <w:fldChar w:fldCharType="begin"/>
            </w:r>
            <w:r>
              <w:rPr>
                <w:noProof/>
                <w:webHidden/>
              </w:rPr>
              <w:instrText xml:space="preserve"> PAGEREF _Toc37252484 \h </w:instrText>
            </w:r>
            <w:r>
              <w:rPr>
                <w:noProof/>
                <w:webHidden/>
              </w:rPr>
            </w:r>
            <w:r>
              <w:rPr>
                <w:noProof/>
                <w:webHidden/>
              </w:rPr>
              <w:fldChar w:fldCharType="separate"/>
            </w:r>
            <w:r>
              <w:rPr>
                <w:noProof/>
                <w:webHidden/>
              </w:rPr>
              <w:t>10</w:t>
            </w:r>
            <w:r>
              <w:rPr>
                <w:noProof/>
                <w:webHidden/>
              </w:rPr>
              <w:fldChar w:fldCharType="end"/>
            </w:r>
          </w:hyperlink>
        </w:p>
        <w:p w:rsidR="00FB63A2" w:rsidRDefault="00FB63A2">
          <w:pPr>
            <w:pStyle w:val="TOC2"/>
            <w:rPr>
              <w:rFonts w:asciiTheme="minorHAnsi" w:eastAsiaTheme="minorEastAsia" w:hAnsiTheme="minorHAnsi" w:cstheme="minorBidi"/>
              <w:b w:val="0"/>
              <w:noProof/>
              <w:sz w:val="22"/>
              <w:szCs w:val="22"/>
              <w:lang w:eastAsia="en-AU"/>
            </w:rPr>
          </w:pPr>
          <w:hyperlink w:anchor="_Toc37252485" w:history="1">
            <w:r w:rsidRPr="00136678">
              <w:rPr>
                <w:rStyle w:val="Hyperlink"/>
                <w:noProof/>
              </w:rPr>
              <w:t xml:space="preserve">Option 1 – early notification applies in addition to the existing scheme, only where a patent </w:t>
            </w:r>
            <w:r w:rsidRPr="00136678">
              <w:rPr>
                <w:rStyle w:val="Hyperlink"/>
                <w:i/>
                <w:noProof/>
              </w:rPr>
              <w:t>has not</w:t>
            </w:r>
            <w:r w:rsidRPr="00136678">
              <w:rPr>
                <w:rStyle w:val="Hyperlink"/>
                <w:noProof/>
              </w:rPr>
              <w:t xml:space="preserve"> expired</w:t>
            </w:r>
            <w:r>
              <w:rPr>
                <w:noProof/>
                <w:webHidden/>
              </w:rPr>
              <w:tab/>
            </w:r>
            <w:r>
              <w:rPr>
                <w:noProof/>
                <w:webHidden/>
              </w:rPr>
              <w:fldChar w:fldCharType="begin"/>
            </w:r>
            <w:r>
              <w:rPr>
                <w:noProof/>
                <w:webHidden/>
              </w:rPr>
              <w:instrText xml:space="preserve"> PAGEREF _Toc37252485 \h </w:instrText>
            </w:r>
            <w:r>
              <w:rPr>
                <w:noProof/>
                <w:webHidden/>
              </w:rPr>
            </w:r>
            <w:r>
              <w:rPr>
                <w:noProof/>
                <w:webHidden/>
              </w:rPr>
              <w:fldChar w:fldCharType="separate"/>
            </w:r>
            <w:r>
              <w:rPr>
                <w:noProof/>
                <w:webHidden/>
              </w:rPr>
              <w:t>10</w:t>
            </w:r>
            <w:r>
              <w:rPr>
                <w:noProof/>
                <w:webHidden/>
              </w:rPr>
              <w:fldChar w:fldCharType="end"/>
            </w:r>
          </w:hyperlink>
        </w:p>
        <w:p w:rsidR="00FB63A2" w:rsidRDefault="00FB63A2">
          <w:pPr>
            <w:pStyle w:val="TOC2"/>
            <w:rPr>
              <w:rFonts w:asciiTheme="minorHAnsi" w:eastAsiaTheme="minorEastAsia" w:hAnsiTheme="minorHAnsi" w:cstheme="minorBidi"/>
              <w:b w:val="0"/>
              <w:noProof/>
              <w:sz w:val="22"/>
              <w:szCs w:val="22"/>
              <w:lang w:eastAsia="en-AU"/>
            </w:rPr>
          </w:pPr>
          <w:hyperlink w:anchor="_Toc37252486" w:history="1">
            <w:r w:rsidRPr="00136678">
              <w:rPr>
                <w:rStyle w:val="Hyperlink"/>
                <w:noProof/>
              </w:rPr>
              <w:t>Option 2 - requires early notification instead of the existing scheme where a patent has, and has not, expired</w:t>
            </w:r>
            <w:r>
              <w:rPr>
                <w:noProof/>
                <w:webHidden/>
              </w:rPr>
              <w:tab/>
            </w:r>
            <w:r>
              <w:rPr>
                <w:noProof/>
                <w:webHidden/>
              </w:rPr>
              <w:fldChar w:fldCharType="begin"/>
            </w:r>
            <w:r>
              <w:rPr>
                <w:noProof/>
                <w:webHidden/>
              </w:rPr>
              <w:instrText xml:space="preserve"> PAGEREF _Toc37252486 \h </w:instrText>
            </w:r>
            <w:r>
              <w:rPr>
                <w:noProof/>
                <w:webHidden/>
              </w:rPr>
            </w:r>
            <w:r>
              <w:rPr>
                <w:noProof/>
                <w:webHidden/>
              </w:rPr>
              <w:fldChar w:fldCharType="separate"/>
            </w:r>
            <w:r>
              <w:rPr>
                <w:noProof/>
                <w:webHidden/>
              </w:rPr>
              <w:t>11</w:t>
            </w:r>
            <w:r>
              <w:rPr>
                <w:noProof/>
                <w:webHidden/>
              </w:rPr>
              <w:fldChar w:fldCharType="end"/>
            </w:r>
          </w:hyperlink>
        </w:p>
        <w:p w:rsidR="00F401EF" w:rsidRPr="00215D48" w:rsidRDefault="00F859D2" w:rsidP="00F401EF">
          <w:r w:rsidRPr="00215D48">
            <w:fldChar w:fldCharType="end"/>
          </w:r>
        </w:p>
      </w:sdtContent>
    </w:sdt>
    <w:p w:rsidR="00FF268A" w:rsidRDefault="00FF268A" w:rsidP="00AE6ACA">
      <w:pPr>
        <w:pStyle w:val="Heading2"/>
        <w:pageBreakBefore/>
      </w:pPr>
      <w:bookmarkStart w:id="1" w:name="_Toc323739589"/>
      <w:bookmarkStart w:id="2" w:name="_Toc356305216"/>
      <w:bookmarkStart w:id="3" w:name="_Toc37252475"/>
      <w:r>
        <w:lastRenderedPageBreak/>
        <w:t>Overview</w:t>
      </w:r>
      <w:bookmarkEnd w:id="3"/>
    </w:p>
    <w:p w:rsidR="005A14DB" w:rsidRDefault="00435319" w:rsidP="00AE6ACA">
      <w:r w:rsidRPr="004C6FAF">
        <w:t xml:space="preserve">The </w:t>
      </w:r>
      <w:r w:rsidR="0031013C">
        <w:t xml:space="preserve">Australian Government </w:t>
      </w:r>
      <w:r w:rsidRPr="004C6FAF">
        <w:t xml:space="preserve">has given </w:t>
      </w:r>
      <w:r w:rsidR="001A7008">
        <w:t>approval to proceed with implementation</w:t>
      </w:r>
      <w:r w:rsidRPr="004C6FAF">
        <w:t xml:space="preserve"> </w:t>
      </w:r>
      <w:r>
        <w:t>of enhanced transparency measures for prescription medicines</w:t>
      </w:r>
      <w:r w:rsidR="0077230D">
        <w:t>, in response to public demand for more information</w:t>
      </w:r>
      <w:r w:rsidR="0032564C">
        <w:t xml:space="preserve"> on prescription medicines that are under evaluation</w:t>
      </w:r>
      <w:r w:rsidR="00AE6ACA">
        <w:t>.</w:t>
      </w:r>
    </w:p>
    <w:p w:rsidR="00FF268A" w:rsidRDefault="00FF268A" w:rsidP="00AE6ACA">
      <w:r>
        <w:t>The purpose of this paper is to</w:t>
      </w:r>
      <w:r w:rsidR="0077230D">
        <w:t xml:space="preserve"> </w:t>
      </w:r>
      <w:r w:rsidR="00CC0C35">
        <w:t>canvass</w:t>
      </w:r>
      <w:r w:rsidR="0077230D">
        <w:t xml:space="preserve"> implementation options for these measures </w:t>
      </w:r>
      <w:r w:rsidR="001A7008">
        <w:t xml:space="preserve">to </w:t>
      </w:r>
      <w:r w:rsidR="00CC0C35">
        <w:t>obtain feedback from</w:t>
      </w:r>
      <w:r w:rsidR="0077230D">
        <w:t xml:space="preserve"> industry stakeholders. </w:t>
      </w:r>
      <w:r w:rsidR="0077230D">
        <w:rPr>
          <w:rFonts w:asciiTheme="minorHAnsi" w:hAnsiTheme="minorHAnsi" w:cstheme="minorHAnsi"/>
        </w:rPr>
        <w:t xml:space="preserve">We are seeking your input </w:t>
      </w:r>
      <w:r w:rsidR="00CC0C35">
        <w:rPr>
          <w:rFonts w:asciiTheme="minorHAnsi" w:hAnsiTheme="minorHAnsi" w:cstheme="minorHAnsi"/>
        </w:rPr>
        <w:t>i</w:t>
      </w:r>
      <w:r w:rsidR="0077230D">
        <w:rPr>
          <w:rFonts w:asciiTheme="minorHAnsi" w:hAnsiTheme="minorHAnsi" w:cstheme="minorHAnsi"/>
        </w:rPr>
        <w:t>n particular</w:t>
      </w:r>
      <w:r w:rsidR="00A94B4B">
        <w:rPr>
          <w:rFonts w:asciiTheme="minorHAnsi" w:hAnsiTheme="minorHAnsi" w:cstheme="minorHAnsi"/>
        </w:rPr>
        <w:t xml:space="preserve"> </w:t>
      </w:r>
      <w:r w:rsidR="00CC0C35">
        <w:rPr>
          <w:rFonts w:asciiTheme="minorHAnsi" w:hAnsiTheme="minorHAnsi" w:cstheme="minorHAnsi"/>
        </w:rPr>
        <w:t xml:space="preserve">on </w:t>
      </w:r>
      <w:r w:rsidR="00F66AF9">
        <w:rPr>
          <w:rFonts w:asciiTheme="minorHAnsi" w:hAnsiTheme="minorHAnsi" w:cstheme="minorHAnsi"/>
        </w:rPr>
        <w:t xml:space="preserve">whether </w:t>
      </w:r>
      <w:r w:rsidR="0032564C">
        <w:rPr>
          <w:rFonts w:asciiTheme="minorHAnsi" w:hAnsiTheme="minorHAnsi" w:cstheme="minorHAnsi"/>
        </w:rPr>
        <w:t xml:space="preserve">the </w:t>
      </w:r>
      <w:r w:rsidR="00CC0C35">
        <w:rPr>
          <w:rFonts w:asciiTheme="minorHAnsi" w:hAnsiTheme="minorHAnsi" w:cstheme="minorHAnsi"/>
        </w:rPr>
        <w:t>preferred</w:t>
      </w:r>
      <w:r w:rsidR="0032564C">
        <w:rPr>
          <w:rFonts w:asciiTheme="minorHAnsi" w:hAnsiTheme="minorHAnsi" w:cstheme="minorHAnsi"/>
        </w:rPr>
        <w:t xml:space="preserve"> option </w:t>
      </w:r>
      <w:r w:rsidR="00AC32B1">
        <w:rPr>
          <w:rFonts w:asciiTheme="minorHAnsi" w:hAnsiTheme="minorHAnsi" w:cstheme="minorHAnsi"/>
        </w:rPr>
        <w:t>i</w:t>
      </w:r>
      <w:r w:rsidR="00A94B4B">
        <w:rPr>
          <w:rFonts w:asciiTheme="minorHAnsi" w:hAnsiTheme="minorHAnsi" w:cstheme="minorHAnsi"/>
        </w:rPr>
        <w:t>s</w:t>
      </w:r>
      <w:r w:rsidR="00AC32B1">
        <w:rPr>
          <w:rFonts w:asciiTheme="minorHAnsi" w:hAnsiTheme="minorHAnsi" w:cstheme="minorHAnsi"/>
        </w:rPr>
        <w:t xml:space="preserve"> efficient</w:t>
      </w:r>
      <w:r w:rsidR="0077230D">
        <w:rPr>
          <w:rFonts w:asciiTheme="minorHAnsi" w:hAnsiTheme="minorHAnsi" w:cstheme="minorHAnsi"/>
        </w:rPr>
        <w:t>.</w:t>
      </w:r>
    </w:p>
    <w:p w:rsidR="00861ECB" w:rsidRDefault="00861ECB" w:rsidP="00AE6ACA">
      <w:pPr>
        <w:pStyle w:val="Heading2"/>
      </w:pPr>
      <w:bookmarkStart w:id="4" w:name="_Toc37252476"/>
      <w:r>
        <w:t>Background</w:t>
      </w:r>
      <w:bookmarkEnd w:id="4"/>
    </w:p>
    <w:p w:rsidR="0046395A" w:rsidRDefault="008B39E8" w:rsidP="00AE6ACA">
      <w:r>
        <w:t xml:space="preserve">Consumers, their </w:t>
      </w:r>
      <w:proofErr w:type="spellStart"/>
      <w:r>
        <w:t>carers</w:t>
      </w:r>
      <w:proofErr w:type="spellEnd"/>
      <w:r>
        <w:t xml:space="preserve"> and families, together with healthcare professionals have said they are frustrated in not being able to know whether new treatments are likely to be available in Australia as they are not </w:t>
      </w:r>
      <w:r w:rsidR="0046395A">
        <w:t>aware</w:t>
      </w:r>
      <w:r>
        <w:t xml:space="preserve"> that an applica</w:t>
      </w:r>
      <w:r w:rsidR="00AE6ACA">
        <w:t xml:space="preserve">tion </w:t>
      </w:r>
      <w:proofErr w:type="gramStart"/>
      <w:r w:rsidR="00AE6ACA">
        <w:t>has been made</w:t>
      </w:r>
      <w:proofErr w:type="gramEnd"/>
      <w:r w:rsidR="00AE6ACA">
        <w:t xml:space="preserve"> to the TGA. </w:t>
      </w:r>
      <w:r w:rsidR="00FE2634" w:rsidRPr="00FE2634">
        <w:t xml:space="preserve">Presently, </w:t>
      </w:r>
      <w:r>
        <w:t>t</w:t>
      </w:r>
      <w:r w:rsidR="00FE2634" w:rsidRPr="00FE2634">
        <w:t xml:space="preserve">he TGA </w:t>
      </w:r>
      <w:r>
        <w:t xml:space="preserve">can only </w:t>
      </w:r>
      <w:r w:rsidR="00FE2634" w:rsidRPr="00FE2634">
        <w:t xml:space="preserve">state that it can “neither confirm nor deny” receipt of </w:t>
      </w:r>
      <w:r w:rsidR="00D91911">
        <w:t xml:space="preserve">an </w:t>
      </w:r>
      <w:r w:rsidR="00FE2634" w:rsidRPr="00FE2634">
        <w:t>application for registration</w:t>
      </w:r>
      <w:r w:rsidR="0046395A">
        <w:t xml:space="preserve"> for commercial-in-confidence reasons</w:t>
      </w:r>
      <w:r w:rsidR="00FE2634" w:rsidRPr="00FE2634">
        <w:t>.</w:t>
      </w:r>
    </w:p>
    <w:p w:rsidR="004D6A6E" w:rsidRPr="004D6A6E" w:rsidRDefault="00D20B1B" w:rsidP="00AE6ACA">
      <w:pPr>
        <w:rPr>
          <w:rFonts w:asciiTheme="minorHAnsi" w:hAnsiTheme="minorHAnsi"/>
          <w:szCs w:val="22"/>
        </w:rPr>
      </w:pPr>
      <w:r>
        <w:rPr>
          <w:rFonts w:asciiTheme="minorHAnsi" w:hAnsiTheme="minorHAnsi"/>
          <w:szCs w:val="22"/>
        </w:rPr>
        <w:t>In</w:t>
      </w:r>
      <w:r w:rsidR="004D6A6E" w:rsidRPr="004D6A6E">
        <w:rPr>
          <w:rFonts w:asciiTheme="minorHAnsi" w:hAnsiTheme="minorHAnsi"/>
          <w:szCs w:val="22"/>
        </w:rPr>
        <w:t xml:space="preserve"> February 2019</w:t>
      </w:r>
      <w:r w:rsidR="00953BF6">
        <w:rPr>
          <w:rFonts w:asciiTheme="minorHAnsi" w:hAnsiTheme="minorHAnsi"/>
          <w:szCs w:val="22"/>
        </w:rPr>
        <w:t>,</w:t>
      </w:r>
      <w:r w:rsidR="004D6A6E" w:rsidRPr="004D6A6E">
        <w:rPr>
          <w:rFonts w:asciiTheme="minorHAnsi" w:hAnsiTheme="minorHAnsi"/>
          <w:szCs w:val="22"/>
        </w:rPr>
        <w:t xml:space="preserve"> </w:t>
      </w:r>
      <w:r>
        <w:rPr>
          <w:rFonts w:asciiTheme="minorHAnsi" w:hAnsiTheme="minorHAnsi"/>
          <w:szCs w:val="22"/>
        </w:rPr>
        <w:t xml:space="preserve">the TGA released a public consultation paper on </w:t>
      </w:r>
      <w:hyperlink r:id="rId13" w:history="1">
        <w:r w:rsidR="004D6A6E" w:rsidRPr="00D503F7">
          <w:rPr>
            <w:rStyle w:val="Hyperlink"/>
            <w:rFonts w:asciiTheme="minorHAnsi" w:hAnsiTheme="minorHAnsi"/>
            <w:szCs w:val="22"/>
          </w:rPr>
          <w:t xml:space="preserve">whether or not </w:t>
        </w:r>
        <w:r w:rsidR="00D503F7" w:rsidRPr="00D503F7">
          <w:rPr>
            <w:rStyle w:val="Hyperlink"/>
            <w:rFonts w:asciiTheme="minorHAnsi" w:hAnsiTheme="minorHAnsi"/>
            <w:szCs w:val="22"/>
          </w:rPr>
          <w:t xml:space="preserve">the TGA should publish that </w:t>
        </w:r>
        <w:r w:rsidR="004D6A6E" w:rsidRPr="00D503F7">
          <w:rPr>
            <w:rStyle w:val="Hyperlink"/>
            <w:rFonts w:asciiTheme="minorHAnsi" w:hAnsiTheme="minorHAnsi"/>
            <w:szCs w:val="22"/>
          </w:rPr>
          <w:t>a prescription medicine is under evaluation</w:t>
        </w:r>
      </w:hyperlink>
      <w:r w:rsidR="004D6A6E" w:rsidRPr="004D6A6E">
        <w:rPr>
          <w:rFonts w:asciiTheme="minorHAnsi" w:hAnsiTheme="minorHAnsi"/>
          <w:szCs w:val="22"/>
        </w:rPr>
        <w:t xml:space="preserve"> and what types of prescription medicine</w:t>
      </w:r>
      <w:r w:rsidR="00A42D2F">
        <w:rPr>
          <w:rFonts w:asciiTheme="minorHAnsi" w:hAnsiTheme="minorHAnsi"/>
          <w:szCs w:val="22"/>
        </w:rPr>
        <w:t xml:space="preserve"> </w:t>
      </w:r>
      <w:r w:rsidR="00146E67">
        <w:rPr>
          <w:rFonts w:asciiTheme="minorHAnsi" w:hAnsiTheme="minorHAnsi"/>
          <w:szCs w:val="22"/>
        </w:rPr>
        <w:t xml:space="preserve">application </w:t>
      </w:r>
      <w:proofErr w:type="gramStart"/>
      <w:r w:rsidR="004D6A6E" w:rsidRPr="004D6A6E">
        <w:rPr>
          <w:rFonts w:asciiTheme="minorHAnsi" w:hAnsiTheme="minorHAnsi"/>
          <w:szCs w:val="22"/>
        </w:rPr>
        <w:t>should be published</w:t>
      </w:r>
      <w:proofErr w:type="gramEnd"/>
      <w:r w:rsidR="00AE6ACA">
        <w:rPr>
          <w:rFonts w:asciiTheme="minorHAnsi" w:hAnsiTheme="minorHAnsi"/>
          <w:szCs w:val="22"/>
        </w:rPr>
        <w:t>.</w:t>
      </w:r>
    </w:p>
    <w:p w:rsidR="00103A82" w:rsidRPr="004C797B" w:rsidRDefault="00D20B1B" w:rsidP="00AE6ACA">
      <w:pPr>
        <w:pStyle w:val="Heading2"/>
      </w:pPr>
      <w:bookmarkStart w:id="5" w:name="_Toc37252477"/>
      <w:r>
        <w:t xml:space="preserve">Proposed approach to implement new transparency measures for prescription medicine </w:t>
      </w:r>
      <w:r w:rsidR="00D341FB">
        <w:t>applications</w:t>
      </w:r>
      <w:bookmarkEnd w:id="5"/>
    </w:p>
    <w:p w:rsidR="005A20DD" w:rsidRPr="00CA292D" w:rsidRDefault="00CC0C35" w:rsidP="00AE6ACA">
      <w:r>
        <w:t xml:space="preserve">The </w:t>
      </w:r>
      <w:r w:rsidR="00146E67">
        <w:t>Australian G</w:t>
      </w:r>
      <w:r w:rsidR="00814CB3">
        <w:t xml:space="preserve">overnment is </w:t>
      </w:r>
      <w:r w:rsidR="00537885">
        <w:t xml:space="preserve">proposing to </w:t>
      </w:r>
      <w:r w:rsidR="00814CB3">
        <w:t>increase</w:t>
      </w:r>
      <w:r w:rsidR="005A20DD" w:rsidRPr="00CA292D">
        <w:t xml:space="preserve"> transparency </w:t>
      </w:r>
      <w:r w:rsidR="000F457F">
        <w:t xml:space="preserve">for </w:t>
      </w:r>
      <w:r w:rsidR="00826337">
        <w:t xml:space="preserve">applications </w:t>
      </w:r>
      <w:r w:rsidR="000F457F">
        <w:t>under evaluation</w:t>
      </w:r>
      <w:r w:rsidR="00814CB3">
        <w:t xml:space="preserve"> in a way</w:t>
      </w:r>
      <w:r w:rsidR="000F457F">
        <w:t xml:space="preserve"> </w:t>
      </w:r>
      <w:r w:rsidR="00537885">
        <w:t xml:space="preserve">that </w:t>
      </w:r>
      <w:r w:rsidR="005A20DD">
        <w:t>balanc</w:t>
      </w:r>
      <w:r w:rsidR="00537885">
        <w:t>es</w:t>
      </w:r>
      <w:r w:rsidR="005A20DD">
        <w:t xml:space="preserve"> availability of information to the public, </w:t>
      </w:r>
      <w:r w:rsidR="00814CB3">
        <w:t>while recogni</w:t>
      </w:r>
      <w:r w:rsidR="00D341FB">
        <w:t>s</w:t>
      </w:r>
      <w:r w:rsidR="00814CB3">
        <w:t>ing</w:t>
      </w:r>
      <w:r w:rsidR="00537885">
        <w:t xml:space="preserve"> </w:t>
      </w:r>
      <w:r w:rsidR="005A20DD">
        <w:t xml:space="preserve">that </w:t>
      </w:r>
      <w:r w:rsidR="00537885">
        <w:t xml:space="preserve">this </w:t>
      </w:r>
      <w:r w:rsidR="005A20DD">
        <w:t xml:space="preserve">information </w:t>
      </w:r>
      <w:r w:rsidR="00537885">
        <w:t xml:space="preserve">could have </w:t>
      </w:r>
      <w:r w:rsidR="005A20DD">
        <w:t>commercial value to the applicant by</w:t>
      </w:r>
      <w:r w:rsidR="005A20DD" w:rsidRPr="00CA292D">
        <w:t>:</w:t>
      </w:r>
    </w:p>
    <w:p w:rsidR="005A20DD" w:rsidRPr="00CA292D" w:rsidRDefault="00814CB3" w:rsidP="00AE6ACA">
      <w:pPr>
        <w:pStyle w:val="ListBullet"/>
      </w:pPr>
      <w:r>
        <w:t>o</w:t>
      </w:r>
      <w:r w:rsidR="00EC2396">
        <w:t xml:space="preserve">nly publishing </w:t>
      </w:r>
      <w:r w:rsidR="005A20DD" w:rsidRPr="00CA292D">
        <w:t xml:space="preserve">information </w:t>
      </w:r>
      <w:r w:rsidR="00EC2396">
        <w:t>with the</w:t>
      </w:r>
      <w:r w:rsidR="005A20DD" w:rsidRPr="00CA292D">
        <w:t xml:space="preserve"> greatest public impact</w:t>
      </w:r>
      <w:r w:rsidR="005A20DD">
        <w:t xml:space="preserve"> </w:t>
      </w:r>
      <w:r w:rsidR="00826337">
        <w:t xml:space="preserve">on public health </w:t>
      </w:r>
      <w:r w:rsidR="005A20DD">
        <w:t>(</w:t>
      </w:r>
      <w:r w:rsidR="00146E67">
        <w:t>applica</w:t>
      </w:r>
      <w:r w:rsidR="00B3290D">
        <w:t xml:space="preserve">tions for </w:t>
      </w:r>
      <w:r w:rsidR="00146E67">
        <w:t>innovative medicines</w:t>
      </w:r>
      <w:r w:rsidR="00B3290D">
        <w:t xml:space="preserve"> such as new chemical entities</w:t>
      </w:r>
      <w:r w:rsidR="00FE5071">
        <w:t xml:space="preserve"> </w:t>
      </w:r>
      <w:r w:rsidR="00146E67">
        <w:t>and extensi</w:t>
      </w:r>
      <w:r w:rsidR="00B3290D">
        <w:t>ons of indications</w:t>
      </w:r>
      <w:r w:rsidR="005A20DD">
        <w:t xml:space="preserve"> and</w:t>
      </w:r>
      <w:r w:rsidR="00FE5071">
        <w:t xml:space="preserve"> new combination medicines); and</w:t>
      </w:r>
    </w:p>
    <w:p w:rsidR="005A20DD" w:rsidRDefault="005A20DD" w:rsidP="005A20DD">
      <w:pPr>
        <w:pStyle w:val="ListBullet"/>
      </w:pPr>
      <w:r>
        <w:t xml:space="preserve">respecting the commercial value of information on generic </w:t>
      </w:r>
      <w:r w:rsidR="00D341FB">
        <w:t xml:space="preserve">medicines </w:t>
      </w:r>
      <w:r>
        <w:t>applications prior to registration by not making this information publically available; and</w:t>
      </w:r>
    </w:p>
    <w:p w:rsidR="005A20DD" w:rsidRPr="00CA292D" w:rsidRDefault="005A20DD" w:rsidP="005A20DD">
      <w:pPr>
        <w:pStyle w:val="ListBullet"/>
      </w:pPr>
      <w:proofErr w:type="gramStart"/>
      <w:r>
        <w:t>respecting</w:t>
      </w:r>
      <w:proofErr w:type="gramEnd"/>
      <w:r>
        <w:t xml:space="preserve"> the </w:t>
      </w:r>
      <w:r w:rsidR="00826337">
        <w:t xml:space="preserve">need for timeliness in resolution of issues with the </w:t>
      </w:r>
      <w:r w:rsidR="004541B0">
        <w:t>innovator</w:t>
      </w:r>
      <w:r>
        <w:t xml:space="preserve"> patent</w:t>
      </w:r>
      <w:r w:rsidR="00826337">
        <w:t xml:space="preserve"> holder</w:t>
      </w:r>
      <w:r>
        <w:t xml:space="preserve"> by providing the </w:t>
      </w:r>
      <w:r w:rsidR="004541B0">
        <w:t>innovator</w:t>
      </w:r>
      <w:r>
        <w:t xml:space="preserve"> </w:t>
      </w:r>
      <w:r w:rsidR="000E6AD8">
        <w:t xml:space="preserve">company </w:t>
      </w:r>
      <w:r>
        <w:t>with confidential earlier notification of a generic application</w:t>
      </w:r>
      <w:r w:rsidR="00A22364">
        <w:t xml:space="preserve"> </w:t>
      </w:r>
      <w:r w:rsidR="00392CF4">
        <w:t>that ha</w:t>
      </w:r>
      <w:r w:rsidR="002C6239">
        <w:t>s passed preliminary assessment</w:t>
      </w:r>
      <w:r w:rsidR="002A7819">
        <w:t>.</w:t>
      </w:r>
    </w:p>
    <w:p w:rsidR="00EC2396" w:rsidRPr="00D941BB" w:rsidRDefault="000E6AD8" w:rsidP="00AE6ACA">
      <w:pPr>
        <w:rPr>
          <w:rFonts w:asciiTheme="majorHAnsi" w:hAnsiTheme="majorHAnsi"/>
        </w:rPr>
      </w:pPr>
      <w:r>
        <w:t xml:space="preserve">Amendments to the </w:t>
      </w:r>
      <w:r w:rsidRPr="00E57E8C">
        <w:rPr>
          <w:i/>
        </w:rPr>
        <w:t xml:space="preserve">Therapeutic Goods Act 1989 </w:t>
      </w:r>
      <w:r w:rsidR="00C23448" w:rsidRPr="00C23448">
        <w:t xml:space="preserve">(the Act) </w:t>
      </w:r>
      <w:r w:rsidR="00EC2396" w:rsidRPr="00920EF2">
        <w:t xml:space="preserve">and regulatory changes would be required to implement </w:t>
      </w:r>
      <w:r w:rsidR="00920EF2">
        <w:t xml:space="preserve">these </w:t>
      </w:r>
      <w:r w:rsidR="00EC2396" w:rsidRPr="00920EF2">
        <w:t xml:space="preserve">measures. The proposed implementation arrangements </w:t>
      </w:r>
      <w:proofErr w:type="gramStart"/>
      <w:r w:rsidR="00EC2396" w:rsidRPr="00920EF2">
        <w:t>are described</w:t>
      </w:r>
      <w:proofErr w:type="gramEnd"/>
      <w:r w:rsidR="00EC2396" w:rsidRPr="00920EF2">
        <w:t xml:space="preserve"> below.</w:t>
      </w:r>
    </w:p>
    <w:p w:rsidR="00861ECB" w:rsidRDefault="005D26E5" w:rsidP="00AE6ACA">
      <w:pPr>
        <w:pStyle w:val="Heading3"/>
      </w:pPr>
      <w:bookmarkStart w:id="6" w:name="_Toc37252478"/>
      <w:r>
        <w:t xml:space="preserve">Measure 1: </w:t>
      </w:r>
      <w:r w:rsidR="00D91911">
        <w:t>Early p</w:t>
      </w:r>
      <w:r w:rsidR="00861ECB">
        <w:t xml:space="preserve">ublication of major </w:t>
      </w:r>
      <w:r w:rsidR="004541B0">
        <w:t>innovator</w:t>
      </w:r>
      <w:r w:rsidR="00861ECB">
        <w:t xml:space="preserve"> </w:t>
      </w:r>
      <w:r w:rsidR="00FA0D8A">
        <w:t>medicine</w:t>
      </w:r>
      <w:r w:rsidR="00A22364">
        <w:t xml:space="preserve"> </w:t>
      </w:r>
      <w:r w:rsidR="00861ECB">
        <w:t>applications</w:t>
      </w:r>
      <w:bookmarkEnd w:id="6"/>
    </w:p>
    <w:p w:rsidR="00EC2396" w:rsidRDefault="00EC2396" w:rsidP="00AE6ACA">
      <w:r w:rsidRPr="008E5607">
        <w:t>Th</w:t>
      </w:r>
      <w:r w:rsidR="00235807">
        <w:t>is</w:t>
      </w:r>
      <w:r>
        <w:t xml:space="preserve"> </w:t>
      </w:r>
      <w:r w:rsidRPr="008E5607">
        <w:t>measure wil</w:t>
      </w:r>
      <w:r>
        <w:t xml:space="preserve">l introduce earlier publication of major </w:t>
      </w:r>
      <w:r w:rsidR="004541B0">
        <w:t>innovator</w:t>
      </w:r>
      <w:r>
        <w:t xml:space="preserve"> prescription medicines </w:t>
      </w:r>
      <w:r w:rsidR="00A22364">
        <w:t xml:space="preserve">that </w:t>
      </w:r>
      <w:proofErr w:type="gramStart"/>
      <w:r w:rsidR="00A22364">
        <w:t>have been accepted</w:t>
      </w:r>
      <w:proofErr w:type="gramEnd"/>
      <w:r w:rsidR="00A22364">
        <w:t xml:space="preserve"> for</w:t>
      </w:r>
      <w:r>
        <w:t xml:space="preserve"> evaluation</w:t>
      </w:r>
      <w:r w:rsidR="00017CF6">
        <w:t xml:space="preserve"> under </w:t>
      </w:r>
      <w:r w:rsidR="00C23448">
        <w:t xml:space="preserve">section </w:t>
      </w:r>
      <w:r w:rsidR="00017CF6">
        <w:t>25 of the Act</w:t>
      </w:r>
      <w:r>
        <w:t xml:space="preserve">. Information on potential </w:t>
      </w:r>
      <w:r>
        <w:lastRenderedPageBreak/>
        <w:t xml:space="preserve">availability of new medicines or new uses for medicines </w:t>
      </w:r>
      <w:proofErr w:type="gramStart"/>
      <w:r>
        <w:t>is considered</w:t>
      </w:r>
      <w:proofErr w:type="gramEnd"/>
      <w:r>
        <w:t xml:space="preserve"> to be of the greatest value to consumers</w:t>
      </w:r>
      <w:r w:rsidR="00AE6ACA">
        <w:t xml:space="preserve"> and healthcare professionals.</w:t>
      </w:r>
    </w:p>
    <w:p w:rsidR="00CA292D" w:rsidRDefault="008225B0" w:rsidP="00AE6ACA">
      <w:pPr>
        <w:pStyle w:val="Heading4"/>
      </w:pPr>
      <w:bookmarkStart w:id="7" w:name="_Toc37252479"/>
      <w:r>
        <w:t>Implementation arrangements</w:t>
      </w:r>
      <w:bookmarkEnd w:id="7"/>
    </w:p>
    <w:p w:rsidR="009B332F" w:rsidRDefault="009B332F" w:rsidP="00AE6ACA">
      <w:r>
        <w:t xml:space="preserve">The mechanism of publication is a new </w:t>
      </w:r>
      <w:r w:rsidR="000E6AD8">
        <w:t xml:space="preserve">legislative </w:t>
      </w:r>
      <w:r>
        <w:t xml:space="preserve">instrument supporting the release of information under </w:t>
      </w:r>
      <w:r w:rsidR="000E6AD8">
        <w:t xml:space="preserve">the current </w:t>
      </w:r>
      <w:r w:rsidR="004C6187">
        <w:t xml:space="preserve">section </w:t>
      </w:r>
      <w:r>
        <w:t>61 of the Act.</w:t>
      </w:r>
    </w:p>
    <w:p w:rsidR="009B332F" w:rsidRDefault="009B332F" w:rsidP="00AE6ACA">
      <w:r>
        <w:t xml:space="preserve">Publication of the following details </w:t>
      </w:r>
      <w:proofErr w:type="gramStart"/>
      <w:r>
        <w:t>is intended</w:t>
      </w:r>
      <w:proofErr w:type="gramEnd"/>
      <w:r w:rsidR="00C562D8">
        <w:t>:</w:t>
      </w:r>
    </w:p>
    <w:p w:rsidR="004E3679" w:rsidRDefault="004E3679" w:rsidP="009B332F">
      <w:pPr>
        <w:pStyle w:val="ListBullet"/>
      </w:pPr>
      <w:r>
        <w:t>product sponsor; and</w:t>
      </w:r>
    </w:p>
    <w:p w:rsidR="009B332F" w:rsidRPr="009B332F" w:rsidRDefault="00AE6ACA" w:rsidP="009B332F">
      <w:pPr>
        <w:pStyle w:val="ListBullet"/>
      </w:pPr>
      <w:r>
        <w:t>product name; and</w:t>
      </w:r>
    </w:p>
    <w:p w:rsidR="009B332F" w:rsidRPr="009B332F" w:rsidRDefault="009B332F" w:rsidP="009B332F">
      <w:pPr>
        <w:pStyle w:val="ListBullet"/>
      </w:pPr>
      <w:r w:rsidRPr="009B332F">
        <w:t>active ingredient(s);</w:t>
      </w:r>
      <w:r w:rsidR="002C6239">
        <w:t xml:space="preserve"> and</w:t>
      </w:r>
    </w:p>
    <w:p w:rsidR="009B332F" w:rsidRDefault="009B332F" w:rsidP="009B332F">
      <w:pPr>
        <w:pStyle w:val="ListBullet"/>
      </w:pPr>
      <w:r w:rsidRPr="009B332F">
        <w:t>proposed indications</w:t>
      </w:r>
      <w:r w:rsidR="00E124B1">
        <w:t>; and</w:t>
      </w:r>
    </w:p>
    <w:p w:rsidR="00194A24" w:rsidRPr="009B332F" w:rsidRDefault="00194A24" w:rsidP="009B332F">
      <w:pPr>
        <w:pStyle w:val="ListBullet"/>
      </w:pPr>
      <w:proofErr w:type="gramStart"/>
      <w:r>
        <w:t>application</w:t>
      </w:r>
      <w:proofErr w:type="gramEnd"/>
      <w:r>
        <w:t xml:space="preserve"> type</w:t>
      </w:r>
      <w:r w:rsidR="00E124B1">
        <w:t>.</w:t>
      </w:r>
    </w:p>
    <w:p w:rsidR="004E3679" w:rsidRDefault="004E3679" w:rsidP="004D6A6E">
      <w:pPr>
        <w:tabs>
          <w:tab w:val="left" w:pos="426"/>
        </w:tabs>
        <w:spacing w:after="120"/>
        <w:rPr>
          <w:rFonts w:asciiTheme="minorHAnsi" w:hAnsiTheme="minorHAnsi" w:cstheme="minorHAnsi"/>
        </w:rPr>
      </w:pPr>
      <w:r>
        <w:rPr>
          <w:rFonts w:asciiTheme="minorHAnsi" w:hAnsiTheme="minorHAnsi" w:cstheme="minorHAnsi"/>
        </w:rPr>
        <w:t>Publication will occur for the following application types:</w:t>
      </w:r>
    </w:p>
    <w:p w:rsidR="004E3679" w:rsidRDefault="004E3679" w:rsidP="004E3679">
      <w:pPr>
        <w:pStyle w:val="ListBullet"/>
      </w:pPr>
      <w:r>
        <w:t>new medicines</w:t>
      </w:r>
      <w:r w:rsidR="00B42655">
        <w:t xml:space="preserve"> (type A)</w:t>
      </w:r>
      <w:r>
        <w:t xml:space="preserve">; </w:t>
      </w:r>
      <w:r w:rsidR="002C6239">
        <w:t>and</w:t>
      </w:r>
    </w:p>
    <w:p w:rsidR="004E3679" w:rsidRDefault="004E3679" w:rsidP="004E3679">
      <w:pPr>
        <w:pStyle w:val="ListBullet"/>
      </w:pPr>
      <w:r w:rsidRPr="004E3679">
        <w:t>new combinations</w:t>
      </w:r>
      <w:r w:rsidR="00B42655">
        <w:t xml:space="preserve"> </w:t>
      </w:r>
      <w:r w:rsidR="00E124B1">
        <w:t xml:space="preserve">of medicines </w:t>
      </w:r>
      <w:r w:rsidR="00B42655">
        <w:t>(type</w:t>
      </w:r>
      <w:r w:rsidR="00E124B1">
        <w:t xml:space="preserve"> </w:t>
      </w:r>
      <w:r w:rsidR="00B42655">
        <w:t>B)</w:t>
      </w:r>
      <w:r>
        <w:t>;</w:t>
      </w:r>
      <w:r w:rsidR="00AE6ACA">
        <w:t xml:space="preserve"> and</w:t>
      </w:r>
    </w:p>
    <w:p w:rsidR="004E3679" w:rsidRDefault="004E3679" w:rsidP="004E3679">
      <w:pPr>
        <w:pStyle w:val="ListBullet"/>
      </w:pPr>
      <w:proofErr w:type="gramStart"/>
      <w:r>
        <w:t>new</w:t>
      </w:r>
      <w:proofErr w:type="gramEnd"/>
      <w:r>
        <w:t xml:space="preserve"> indications</w:t>
      </w:r>
      <w:r w:rsidR="00B42655">
        <w:t xml:space="preserve"> </w:t>
      </w:r>
      <w:r w:rsidR="00E124B1">
        <w:t xml:space="preserve">for an existing medicine </w:t>
      </w:r>
      <w:r w:rsidR="00B42655">
        <w:t>(type C)</w:t>
      </w:r>
      <w:r w:rsidR="00E124B1">
        <w:t>.</w:t>
      </w:r>
    </w:p>
    <w:p w:rsidR="004C6187" w:rsidRPr="00AC067D" w:rsidRDefault="00AC067D" w:rsidP="00AE6ACA">
      <w:pPr>
        <w:pStyle w:val="Heading5"/>
      </w:pPr>
      <w:r>
        <w:t>What</w:t>
      </w:r>
      <w:r w:rsidR="00AE6ACA">
        <w:t xml:space="preserve"> the applicant will start doing</w:t>
      </w:r>
    </w:p>
    <w:p w:rsidR="00AC067D" w:rsidRDefault="004E3679" w:rsidP="004D6A6E">
      <w:pPr>
        <w:tabs>
          <w:tab w:val="left" w:pos="426"/>
        </w:tabs>
        <w:spacing w:after="120"/>
        <w:rPr>
          <w:rFonts w:asciiTheme="minorHAnsi" w:hAnsiTheme="minorHAnsi" w:cstheme="minorHAnsi"/>
        </w:rPr>
      </w:pPr>
      <w:proofErr w:type="gramStart"/>
      <w:r>
        <w:rPr>
          <w:rFonts w:asciiTheme="minorHAnsi" w:hAnsiTheme="minorHAnsi" w:cstheme="minorHAnsi"/>
        </w:rPr>
        <w:t xml:space="preserve">No additional actions are required by the </w:t>
      </w:r>
      <w:r w:rsidR="0099639C">
        <w:rPr>
          <w:rFonts w:asciiTheme="minorHAnsi" w:hAnsiTheme="minorHAnsi" w:cstheme="minorHAnsi"/>
        </w:rPr>
        <w:t xml:space="preserve">applicant for registration of the </w:t>
      </w:r>
      <w:r w:rsidR="00D91911">
        <w:rPr>
          <w:rFonts w:asciiTheme="minorHAnsi" w:hAnsiTheme="minorHAnsi" w:cstheme="minorHAnsi"/>
        </w:rPr>
        <w:t>medicine</w:t>
      </w:r>
      <w:proofErr w:type="gramEnd"/>
      <w:r w:rsidR="00AE6ACA">
        <w:rPr>
          <w:rFonts w:asciiTheme="minorHAnsi" w:hAnsiTheme="minorHAnsi" w:cstheme="minorHAnsi"/>
        </w:rPr>
        <w:t>.</w:t>
      </w:r>
    </w:p>
    <w:p w:rsidR="00AC067D" w:rsidRPr="00AC067D" w:rsidRDefault="00AC067D" w:rsidP="00AE6ACA">
      <w:pPr>
        <w:pStyle w:val="Heading5"/>
      </w:pPr>
      <w:r w:rsidRPr="00AC067D">
        <w:t>What the TGA will start doing</w:t>
      </w:r>
    </w:p>
    <w:p w:rsidR="004E3679" w:rsidRDefault="000E6AD8" w:rsidP="004D6A6E">
      <w:pPr>
        <w:tabs>
          <w:tab w:val="left" w:pos="426"/>
        </w:tabs>
        <w:spacing w:after="120"/>
        <w:rPr>
          <w:rFonts w:asciiTheme="minorHAnsi" w:hAnsiTheme="minorHAnsi" w:cstheme="minorHAnsi"/>
        </w:rPr>
      </w:pPr>
      <w:r>
        <w:rPr>
          <w:rFonts w:asciiTheme="minorHAnsi" w:hAnsiTheme="minorHAnsi" w:cstheme="minorHAnsi"/>
        </w:rPr>
        <w:t xml:space="preserve">This measure could commence from </w:t>
      </w:r>
      <w:r w:rsidR="00A01B90">
        <w:rPr>
          <w:rFonts w:asciiTheme="minorHAnsi" w:hAnsiTheme="minorHAnsi" w:cstheme="minorHAnsi"/>
        </w:rPr>
        <w:t>June</w:t>
      </w:r>
      <w:r>
        <w:rPr>
          <w:rFonts w:asciiTheme="minorHAnsi" w:hAnsiTheme="minorHAnsi" w:cstheme="minorHAnsi"/>
        </w:rPr>
        <w:t xml:space="preserve"> 2020. </w:t>
      </w:r>
      <w:r w:rsidR="00C562D8">
        <w:rPr>
          <w:rFonts w:asciiTheme="minorHAnsi" w:hAnsiTheme="minorHAnsi" w:cstheme="minorHAnsi"/>
        </w:rPr>
        <w:t xml:space="preserve">The TGA will publish information within </w:t>
      </w:r>
      <w:r w:rsidR="00A22364">
        <w:rPr>
          <w:rFonts w:asciiTheme="minorHAnsi" w:hAnsiTheme="minorHAnsi" w:cstheme="minorHAnsi"/>
        </w:rPr>
        <w:t>one month of</w:t>
      </w:r>
      <w:r w:rsidR="00C562D8">
        <w:rPr>
          <w:rFonts w:asciiTheme="minorHAnsi" w:hAnsiTheme="minorHAnsi" w:cstheme="minorHAnsi"/>
        </w:rPr>
        <w:t xml:space="preserve"> the date that an affected </w:t>
      </w:r>
      <w:r w:rsidR="00CE0C4F">
        <w:rPr>
          <w:rFonts w:asciiTheme="minorHAnsi" w:hAnsiTheme="minorHAnsi" w:cstheme="minorHAnsi"/>
        </w:rPr>
        <w:t>application</w:t>
      </w:r>
      <w:r w:rsidR="00C562D8">
        <w:rPr>
          <w:rFonts w:asciiTheme="minorHAnsi" w:hAnsiTheme="minorHAnsi" w:cstheme="minorHAnsi"/>
        </w:rPr>
        <w:t xml:space="preserve"> has </w:t>
      </w:r>
      <w:r w:rsidR="00AE6ACA">
        <w:rPr>
          <w:rFonts w:asciiTheme="minorHAnsi" w:hAnsiTheme="minorHAnsi" w:cstheme="minorHAnsi"/>
        </w:rPr>
        <w:t>passed preliminary assessment.</w:t>
      </w:r>
    </w:p>
    <w:p w:rsidR="000911AB" w:rsidRDefault="005D26E5" w:rsidP="00AE6ACA">
      <w:pPr>
        <w:pStyle w:val="Heading3"/>
      </w:pPr>
      <w:bookmarkStart w:id="8" w:name="_Toc37252480"/>
      <w:r>
        <w:t xml:space="preserve">Measure 2: </w:t>
      </w:r>
      <w:r w:rsidR="000911AB">
        <w:t>Earl</w:t>
      </w:r>
      <w:r w:rsidR="000646B0">
        <w:t xml:space="preserve">ier </w:t>
      </w:r>
      <w:r w:rsidR="000911AB">
        <w:t>notification</w:t>
      </w:r>
      <w:r w:rsidR="00D91911">
        <w:t xml:space="preserve"> </w:t>
      </w:r>
      <w:r w:rsidR="000646B0">
        <w:t xml:space="preserve">of generic </w:t>
      </w:r>
      <w:r w:rsidR="00A22364">
        <w:t xml:space="preserve">medicine </w:t>
      </w:r>
      <w:r w:rsidR="000646B0">
        <w:t xml:space="preserve">applications to the </w:t>
      </w:r>
      <w:r w:rsidR="004541B0">
        <w:t>innovator</w:t>
      </w:r>
      <w:bookmarkEnd w:id="8"/>
    </w:p>
    <w:p w:rsidR="00EC2396" w:rsidRDefault="00EC2396" w:rsidP="00F164F9">
      <w:r>
        <w:rPr>
          <w:rFonts w:asciiTheme="minorHAnsi" w:hAnsiTheme="minorHAnsi" w:cstheme="minorHAnsi"/>
        </w:rPr>
        <w:t xml:space="preserve">It </w:t>
      </w:r>
      <w:proofErr w:type="gramStart"/>
      <w:r>
        <w:rPr>
          <w:rFonts w:asciiTheme="minorHAnsi" w:hAnsiTheme="minorHAnsi" w:cstheme="minorHAnsi"/>
        </w:rPr>
        <w:t>is expected</w:t>
      </w:r>
      <w:proofErr w:type="gramEnd"/>
      <w:r>
        <w:rPr>
          <w:rFonts w:asciiTheme="minorHAnsi" w:hAnsiTheme="minorHAnsi" w:cstheme="minorHAnsi"/>
        </w:rPr>
        <w:t xml:space="preserve"> that there would</w:t>
      </w:r>
      <w:r w:rsidRPr="00B42655">
        <w:rPr>
          <w:rFonts w:asciiTheme="minorHAnsi" w:hAnsiTheme="minorHAnsi" w:cstheme="minorHAnsi"/>
        </w:rPr>
        <w:t xml:space="preserve"> be </w:t>
      </w:r>
      <w:r w:rsidR="000E6AD8">
        <w:rPr>
          <w:rFonts w:asciiTheme="minorHAnsi" w:hAnsiTheme="minorHAnsi" w:cstheme="minorHAnsi"/>
        </w:rPr>
        <w:t xml:space="preserve">less </w:t>
      </w:r>
      <w:r>
        <w:rPr>
          <w:rFonts w:asciiTheme="minorHAnsi" w:hAnsiTheme="minorHAnsi" w:cstheme="minorHAnsi"/>
        </w:rPr>
        <w:t xml:space="preserve">public </w:t>
      </w:r>
      <w:r w:rsidRPr="00B42655">
        <w:rPr>
          <w:rFonts w:asciiTheme="minorHAnsi" w:hAnsiTheme="minorHAnsi" w:cstheme="minorHAnsi"/>
        </w:rPr>
        <w:t xml:space="preserve">interest in </w:t>
      </w:r>
      <w:r w:rsidR="000E6AD8">
        <w:rPr>
          <w:rFonts w:asciiTheme="minorHAnsi" w:hAnsiTheme="minorHAnsi" w:cstheme="minorHAnsi"/>
        </w:rPr>
        <w:t xml:space="preserve">the </w:t>
      </w:r>
      <w:r>
        <w:rPr>
          <w:rFonts w:asciiTheme="minorHAnsi" w:hAnsiTheme="minorHAnsi" w:cstheme="minorHAnsi"/>
          <w:szCs w:val="22"/>
        </w:rPr>
        <w:t>notifications</w:t>
      </w:r>
      <w:r w:rsidRPr="00B42655">
        <w:rPr>
          <w:rFonts w:asciiTheme="minorHAnsi" w:hAnsiTheme="minorHAnsi" w:cstheme="minorHAnsi"/>
          <w:szCs w:val="22"/>
        </w:rPr>
        <w:t xml:space="preserve"> of generic prescription medicine evaluations as </w:t>
      </w:r>
      <w:r w:rsidR="00E124B1">
        <w:rPr>
          <w:rFonts w:asciiTheme="minorHAnsi" w:hAnsiTheme="minorHAnsi" w:cstheme="minorHAnsi"/>
          <w:szCs w:val="22"/>
        </w:rPr>
        <w:t xml:space="preserve">many follow-on from previously registered </w:t>
      </w:r>
      <w:r w:rsidRPr="00B42655">
        <w:rPr>
          <w:rFonts w:asciiTheme="minorHAnsi" w:hAnsiTheme="minorHAnsi" w:cstheme="minorHAnsi"/>
          <w:szCs w:val="22"/>
        </w:rPr>
        <w:t xml:space="preserve">generic </w:t>
      </w:r>
      <w:r w:rsidR="00E124B1">
        <w:rPr>
          <w:rFonts w:asciiTheme="minorHAnsi" w:hAnsiTheme="minorHAnsi" w:cstheme="minorHAnsi"/>
          <w:szCs w:val="22"/>
        </w:rPr>
        <w:t>medicines</w:t>
      </w:r>
      <w:r w:rsidRPr="00B42655">
        <w:rPr>
          <w:rFonts w:asciiTheme="minorHAnsi" w:hAnsiTheme="minorHAnsi" w:cstheme="minorHAnsi"/>
          <w:szCs w:val="22"/>
        </w:rPr>
        <w:t xml:space="preserve"> that are already on the market</w:t>
      </w:r>
      <w:r>
        <w:rPr>
          <w:rFonts w:asciiTheme="minorHAnsi" w:hAnsiTheme="minorHAnsi" w:cstheme="minorHAnsi"/>
          <w:szCs w:val="22"/>
        </w:rPr>
        <w:t>.</w:t>
      </w:r>
    </w:p>
    <w:p w:rsidR="00F164F9" w:rsidRDefault="00F164F9" w:rsidP="00F164F9">
      <w:pPr>
        <w:rPr>
          <w:rFonts w:asciiTheme="minorHAnsi" w:hAnsiTheme="minorHAnsi"/>
          <w:szCs w:val="22"/>
        </w:rPr>
      </w:pPr>
      <w:r w:rsidRPr="00F164F9">
        <w:rPr>
          <w:rFonts w:asciiTheme="minorHAnsi" w:hAnsiTheme="minorHAnsi"/>
          <w:szCs w:val="22"/>
        </w:rPr>
        <w:t xml:space="preserve">Section 26B of the </w:t>
      </w:r>
      <w:r w:rsidR="00C23448">
        <w:rPr>
          <w:rFonts w:asciiTheme="minorHAnsi" w:hAnsiTheme="minorHAnsi"/>
          <w:szCs w:val="22"/>
        </w:rPr>
        <w:t xml:space="preserve">Act </w:t>
      </w:r>
      <w:r w:rsidRPr="00F164F9">
        <w:rPr>
          <w:rFonts w:asciiTheme="minorHAnsi" w:hAnsiTheme="minorHAnsi"/>
          <w:szCs w:val="22"/>
        </w:rPr>
        <w:t>requires a generic applicant to certif</w:t>
      </w:r>
      <w:r w:rsidR="00AE6ACA">
        <w:rPr>
          <w:rFonts w:asciiTheme="minorHAnsi" w:hAnsiTheme="minorHAnsi"/>
          <w:szCs w:val="22"/>
        </w:rPr>
        <w:t>y to the TGA that it is either:</w:t>
      </w:r>
    </w:p>
    <w:p w:rsidR="00F164F9" w:rsidRPr="00F164F9" w:rsidRDefault="00F164F9" w:rsidP="00AE6ACA">
      <w:pPr>
        <w:pStyle w:val="Numberbullet0"/>
      </w:pPr>
      <w:r w:rsidRPr="00F164F9">
        <w:t>no</w:t>
      </w:r>
      <w:r w:rsidR="00AE6ACA">
        <w:t>t infringing a valid patent; or</w:t>
      </w:r>
    </w:p>
    <w:p w:rsidR="00F164F9" w:rsidRPr="00F164F9" w:rsidRDefault="00F164F9" w:rsidP="00AE6ACA">
      <w:pPr>
        <w:pStyle w:val="Numberbullet0"/>
      </w:pPr>
      <w:proofErr w:type="gramStart"/>
      <w:r w:rsidRPr="00F164F9">
        <w:t>proposes</w:t>
      </w:r>
      <w:proofErr w:type="gramEnd"/>
      <w:r w:rsidRPr="00F164F9">
        <w:t xml:space="preserve"> to market a product before the expiry of a patent and has given the patentee</w:t>
      </w:r>
      <w:r w:rsidR="00AE6ACA">
        <w:t xml:space="preserve"> notice of its application.</w:t>
      </w:r>
    </w:p>
    <w:p w:rsidR="00F164F9" w:rsidRDefault="00F164F9" w:rsidP="00AE6ACA">
      <w:r w:rsidRPr="00F164F9">
        <w:rPr>
          <w:rFonts w:asciiTheme="minorHAnsi" w:hAnsiTheme="minorHAnsi"/>
        </w:rPr>
        <w:t xml:space="preserve">In practice, generic </w:t>
      </w:r>
      <w:proofErr w:type="gramStart"/>
      <w:r w:rsidRPr="00F164F9">
        <w:rPr>
          <w:rFonts w:asciiTheme="minorHAnsi" w:hAnsiTheme="minorHAnsi"/>
        </w:rPr>
        <w:t>applicants</w:t>
      </w:r>
      <w:r w:rsidR="003F1538">
        <w:rPr>
          <w:rFonts w:asciiTheme="minorHAnsi" w:hAnsiTheme="minorHAnsi"/>
        </w:rPr>
        <w:t>,</w:t>
      </w:r>
      <w:proofErr w:type="gramEnd"/>
      <w:r w:rsidR="003F1538">
        <w:rPr>
          <w:rFonts w:asciiTheme="minorHAnsi" w:hAnsiTheme="minorHAnsi"/>
        </w:rPr>
        <w:t xml:space="preserve"> </w:t>
      </w:r>
      <w:r w:rsidRPr="00F164F9">
        <w:rPr>
          <w:rFonts w:asciiTheme="minorHAnsi" w:hAnsiTheme="minorHAnsi"/>
        </w:rPr>
        <w:t>do not notify</w:t>
      </w:r>
      <w:r w:rsidRPr="00F164F9">
        <w:t xml:space="preserve"> </w:t>
      </w:r>
      <w:r w:rsidR="004541B0">
        <w:t>innovator</w:t>
      </w:r>
      <w:r w:rsidRPr="00F164F9">
        <w:t xml:space="preserve"> companies of </w:t>
      </w:r>
      <w:r w:rsidR="003F1538">
        <w:t xml:space="preserve">their </w:t>
      </w:r>
      <w:r w:rsidRPr="00F164F9">
        <w:t xml:space="preserve">anticipated </w:t>
      </w:r>
      <w:r w:rsidR="003F1538">
        <w:t>entry into the market</w:t>
      </w:r>
      <w:r w:rsidRPr="00F164F9">
        <w:t xml:space="preserve">. </w:t>
      </w:r>
      <w:r w:rsidR="004541B0">
        <w:t>Innovator</w:t>
      </w:r>
      <w:r w:rsidRPr="00F164F9">
        <w:t>s become aware</w:t>
      </w:r>
      <w:r>
        <w:t xml:space="preserve"> of market authorisation of a generic competitor only on the inclusion of the generic medicin</w:t>
      </w:r>
      <w:r w:rsidR="00AE6ACA">
        <w:t>e in the Register.</w:t>
      </w:r>
    </w:p>
    <w:p w:rsidR="00F164F9" w:rsidRDefault="003F1538" w:rsidP="00F164F9">
      <w:r>
        <w:t>N</w:t>
      </w:r>
      <w:r w:rsidR="00F164F9">
        <w:t xml:space="preserve">otification under the current system </w:t>
      </w:r>
      <w:r>
        <w:t xml:space="preserve">after entry </w:t>
      </w:r>
      <w:r w:rsidR="007B7403">
        <w:t xml:space="preserve">of first generic medicines </w:t>
      </w:r>
      <w:r>
        <w:t xml:space="preserve">on the Register </w:t>
      </w:r>
      <w:r w:rsidR="00F164F9">
        <w:t xml:space="preserve">leaves little time for an </w:t>
      </w:r>
      <w:r w:rsidR="004541B0">
        <w:t>innovator</w:t>
      </w:r>
      <w:r w:rsidR="00F164F9">
        <w:t xml:space="preserve"> to </w:t>
      </w:r>
      <w:r w:rsidR="00486DC2">
        <w:t xml:space="preserve">appropriately consider whether its </w:t>
      </w:r>
      <w:r w:rsidR="003F3CC2">
        <w:t xml:space="preserve">pharmaceutical </w:t>
      </w:r>
      <w:r w:rsidR="00486DC2">
        <w:t xml:space="preserve">patent is infringed by the generic medicine </w:t>
      </w:r>
      <w:r>
        <w:t xml:space="preserve">and </w:t>
      </w:r>
      <w:r w:rsidR="007B7403">
        <w:t xml:space="preserve">consequently, </w:t>
      </w:r>
      <w:r w:rsidR="00486DC2">
        <w:t xml:space="preserve">to </w:t>
      </w:r>
      <w:r w:rsidR="00F164F9">
        <w:t xml:space="preserve">prepare for </w:t>
      </w:r>
      <w:r w:rsidR="00486DC2">
        <w:t xml:space="preserve">‘patent infringement’ </w:t>
      </w:r>
      <w:r w:rsidR="00F164F9">
        <w:lastRenderedPageBreak/>
        <w:t>litigation</w:t>
      </w:r>
      <w:r w:rsidR="000F790D">
        <w:t>.</w:t>
      </w:r>
      <w:r w:rsidR="00F164F9">
        <w:t xml:space="preserve"> The result has been </w:t>
      </w:r>
      <w:r>
        <w:t xml:space="preserve">that </w:t>
      </w:r>
      <w:r w:rsidR="000E6AD8">
        <w:t xml:space="preserve">in certain cases </w:t>
      </w:r>
      <w:r>
        <w:t xml:space="preserve">an </w:t>
      </w:r>
      <w:r w:rsidR="004541B0">
        <w:t>innovator</w:t>
      </w:r>
      <w:r w:rsidR="00F164F9">
        <w:t xml:space="preserve"> applies to the Federal Court for an interlocutory injunction to restrain the marketing of the generic</w:t>
      </w:r>
      <w:r w:rsidR="00022E0D">
        <w:t xml:space="preserve"> after entry onto the register</w:t>
      </w:r>
      <w:r w:rsidR="00F164F9">
        <w:t>, pending resolution of the dispute over the existence of a valid patent</w:t>
      </w:r>
      <w:r w:rsidR="00AE6ACA">
        <w:t>.</w:t>
      </w:r>
    </w:p>
    <w:p w:rsidR="00696531" w:rsidRDefault="00696531" w:rsidP="00AE6ACA">
      <w:pPr>
        <w:pStyle w:val="Heading4"/>
      </w:pPr>
      <w:bookmarkStart w:id="9" w:name="_Toc37252481"/>
      <w:r>
        <w:t>Implementation arrangements</w:t>
      </w:r>
      <w:bookmarkEnd w:id="9"/>
    </w:p>
    <w:p w:rsidR="00696531" w:rsidRDefault="00696531" w:rsidP="00696531">
      <w:r>
        <w:t xml:space="preserve">This measure will introduce earlier notification of generic medicine applications to the innovator. </w:t>
      </w:r>
      <w:r w:rsidR="00A01B90">
        <w:t>Implementation is planned from early 2021.</w:t>
      </w:r>
    </w:p>
    <w:p w:rsidR="00696531" w:rsidRDefault="00696531" w:rsidP="00696531">
      <w:pPr>
        <w:pStyle w:val="ListBullet"/>
        <w:numPr>
          <w:ilvl w:val="0"/>
          <w:numId w:val="0"/>
        </w:numPr>
      </w:pPr>
      <w:r>
        <w:t>This is intended to address the flaw (whether there is notification prior to registration of the generic is at the sole discretion of the generic) in the existing notification scheme which has caused significant cost to the generic, the innovator and the community as manifested in the expensive patent dispute litigation.</w:t>
      </w:r>
    </w:p>
    <w:p w:rsidR="009076A5" w:rsidRPr="009076A5" w:rsidRDefault="009076A5" w:rsidP="000911AB">
      <w:r w:rsidRPr="009076A5">
        <w:t>The new notification scheme will apply in the following circumstances</w:t>
      </w:r>
      <w:r w:rsidR="00F82D35">
        <w:t>:</w:t>
      </w:r>
    </w:p>
    <w:p w:rsidR="004C6FAF" w:rsidRDefault="004C6FAF" w:rsidP="00AE6ACA">
      <w:pPr>
        <w:pStyle w:val="ListBullet"/>
      </w:pPr>
      <w:r>
        <w:t xml:space="preserve">a person has made an application </w:t>
      </w:r>
      <w:r w:rsidR="003F3CC2">
        <w:t xml:space="preserve">for registration </w:t>
      </w:r>
      <w:r w:rsidR="0099639C">
        <w:t xml:space="preserve">of a medicine </w:t>
      </w:r>
      <w:r>
        <w:t xml:space="preserve">under section 23 of </w:t>
      </w:r>
      <w:r w:rsidR="003F3CC2" w:rsidRPr="00C23448">
        <w:t>the Act</w:t>
      </w:r>
      <w:r w:rsidR="00C23448">
        <w:t>;</w:t>
      </w:r>
    </w:p>
    <w:p w:rsidR="004C6FAF" w:rsidRDefault="004C6FAF" w:rsidP="004C6FAF">
      <w:pPr>
        <w:pStyle w:val="ListBullet"/>
      </w:pPr>
      <w:r>
        <w:t>the medicine is a prescription medicine;</w:t>
      </w:r>
    </w:p>
    <w:p w:rsidR="004C6FAF" w:rsidRDefault="004C6FAF" w:rsidP="004C6FAF">
      <w:pPr>
        <w:pStyle w:val="ListBullet"/>
      </w:pPr>
      <w:r>
        <w:t xml:space="preserve">the </w:t>
      </w:r>
      <w:r w:rsidR="000F790D">
        <w:t>medicine</w:t>
      </w:r>
      <w:r>
        <w:t xml:space="preserve"> </w:t>
      </w:r>
      <w:r w:rsidR="00392CF4">
        <w:t xml:space="preserve">has passed </w:t>
      </w:r>
      <w:r>
        <w:t>preliminary assessment, in accordance with subsection 23B(</w:t>
      </w:r>
      <w:r w:rsidR="00C7069F">
        <w:t>1</w:t>
      </w:r>
      <w:r>
        <w:t>) of the Act; and</w:t>
      </w:r>
    </w:p>
    <w:p w:rsidR="004C6FAF" w:rsidRDefault="004C6FAF" w:rsidP="004C6FAF">
      <w:pPr>
        <w:pStyle w:val="ListBullet"/>
      </w:pPr>
      <w:r>
        <w:t xml:space="preserve">the person </w:t>
      </w:r>
      <w:r w:rsidR="007B7403">
        <w:t>has</w:t>
      </w:r>
      <w:r>
        <w:t xml:space="preserve"> submit</w:t>
      </w:r>
      <w:r w:rsidR="007B7403">
        <w:t>ted</w:t>
      </w:r>
      <w:r>
        <w:t xml:space="preserve"> evidence </w:t>
      </w:r>
      <w:r w:rsidR="009076A5">
        <w:t>to establish the safety or</w:t>
      </w:r>
      <w:r>
        <w:t xml:space="preserve"> efficacy of the medicine as part of the registration</w:t>
      </w:r>
      <w:r w:rsidR="000F790D">
        <w:t xml:space="preserve"> application</w:t>
      </w:r>
      <w:r>
        <w:t>, rel</w:t>
      </w:r>
      <w:r w:rsidR="007B7403">
        <w:t>ying</w:t>
      </w:r>
      <w:r>
        <w:t xml:space="preserve"> on evidence that another person </w:t>
      </w:r>
      <w:r w:rsidR="000F790D">
        <w:t xml:space="preserve">has previously </w:t>
      </w:r>
      <w:r>
        <w:t xml:space="preserve">submitted </w:t>
      </w:r>
      <w:r w:rsidR="000F790D">
        <w:t>for</w:t>
      </w:r>
      <w:r>
        <w:t xml:space="preserve"> </w:t>
      </w:r>
      <w:r w:rsidR="00C3337D">
        <w:t>an</w:t>
      </w:r>
      <w:r>
        <w:t xml:space="preserve">other </w:t>
      </w:r>
      <w:r w:rsidR="00C3337D">
        <w:t xml:space="preserve">medicine </w:t>
      </w:r>
      <w:r w:rsidR="007B7403">
        <w:t>(</w:t>
      </w:r>
      <w:r w:rsidR="00C3337D">
        <w:t xml:space="preserve">whether </w:t>
      </w:r>
      <w:r w:rsidR="007B7403">
        <w:t xml:space="preserve">or not </w:t>
      </w:r>
      <w:r w:rsidR="00C3337D">
        <w:t xml:space="preserve">that medicine is </w:t>
      </w:r>
      <w:r w:rsidR="003F3CC2">
        <w:t>entered on the Register</w:t>
      </w:r>
      <w:r w:rsidR="007B7403">
        <w:t>)</w:t>
      </w:r>
      <w:r w:rsidR="003F3CC2">
        <w:t>.</w:t>
      </w:r>
    </w:p>
    <w:p w:rsidR="004C6187" w:rsidRDefault="004C6187" w:rsidP="00315EC8">
      <w:pPr>
        <w:pStyle w:val="ListBullet"/>
        <w:numPr>
          <w:ilvl w:val="0"/>
          <w:numId w:val="0"/>
        </w:numPr>
      </w:pPr>
      <w:r>
        <w:t xml:space="preserve">There are </w:t>
      </w:r>
      <w:r w:rsidR="00502D05">
        <w:rPr>
          <w:b/>
        </w:rPr>
        <w:t>two</w:t>
      </w:r>
      <w:r w:rsidRPr="00315EC8">
        <w:rPr>
          <w:b/>
        </w:rPr>
        <w:t xml:space="preserve"> options</w:t>
      </w:r>
      <w:r>
        <w:t xml:space="preserve"> for implementing an early notification sc</w:t>
      </w:r>
      <w:r w:rsidR="00AE6ACA">
        <w:t>heme for new generic medicines.</w:t>
      </w:r>
    </w:p>
    <w:p w:rsidR="005847D7" w:rsidRDefault="005847D7" w:rsidP="00AE6ACA">
      <w:pPr>
        <w:pStyle w:val="Heading4"/>
      </w:pPr>
      <w:bookmarkStart w:id="10" w:name="_Toc37252482"/>
      <w:r w:rsidRPr="00D91911">
        <w:t>Option 1</w:t>
      </w:r>
      <w:r>
        <w:t xml:space="preserve"> –</w:t>
      </w:r>
      <w:r w:rsidR="00C7069F">
        <w:t xml:space="preserve"> </w:t>
      </w:r>
      <w:r w:rsidR="004C6187">
        <w:t>require</w:t>
      </w:r>
      <w:r w:rsidR="00AC067D">
        <w:t>s</w:t>
      </w:r>
      <w:r w:rsidR="004C6187">
        <w:t xml:space="preserve"> </w:t>
      </w:r>
      <w:r>
        <w:t xml:space="preserve">early notification </w:t>
      </w:r>
      <w:r w:rsidRPr="00AE6ACA">
        <w:rPr>
          <w:i/>
        </w:rPr>
        <w:t>in addition</w:t>
      </w:r>
      <w:r>
        <w:t xml:space="preserve"> to the existing scheme, only where a patent </w:t>
      </w:r>
      <w:r w:rsidRPr="00AE6ACA">
        <w:rPr>
          <w:i/>
        </w:rPr>
        <w:t>has not</w:t>
      </w:r>
      <w:r>
        <w:t xml:space="preserve"> expired</w:t>
      </w:r>
      <w:bookmarkEnd w:id="10"/>
    </w:p>
    <w:p w:rsidR="00171252" w:rsidRDefault="00171252" w:rsidP="00AE6ACA">
      <w:pPr>
        <w:pStyle w:val="Heading5"/>
      </w:pPr>
      <w:r>
        <w:t xml:space="preserve">What the applicant would start doing </w:t>
      </w:r>
      <w:r w:rsidR="000E6AD8">
        <w:t>under this option</w:t>
      </w:r>
    </w:p>
    <w:p w:rsidR="000E6AD8" w:rsidRDefault="000C3C69" w:rsidP="00AE6ACA">
      <w:r>
        <w:t>Where a</w:t>
      </w:r>
      <w:r w:rsidR="001C1F52">
        <w:t>n applicant has a reasonable belief that a</w:t>
      </w:r>
      <w:r>
        <w:t xml:space="preserve"> patent has not expired,</w:t>
      </w:r>
      <w:r w:rsidR="00171252">
        <w:t xml:space="preserve"> </w:t>
      </w:r>
      <w:r w:rsidR="001C1F52">
        <w:t xml:space="preserve">it </w:t>
      </w:r>
      <w:r w:rsidR="00140814">
        <w:t>would be</w:t>
      </w:r>
      <w:r w:rsidR="00171252">
        <w:t xml:space="preserve"> required to provide a confidential notification to the patentee that </w:t>
      </w:r>
      <w:r w:rsidR="00171252" w:rsidRPr="00E57E8C">
        <w:rPr>
          <w:b/>
        </w:rPr>
        <w:t>the application has passed preliminary assessment</w:t>
      </w:r>
      <w:r w:rsidR="00171252">
        <w:t>.</w:t>
      </w:r>
    </w:p>
    <w:p w:rsidR="000C3C69" w:rsidRDefault="0099639C" w:rsidP="00AE6ACA">
      <w:r>
        <w:t xml:space="preserve">The notification would be required regardless of whether the applicant considers that it </w:t>
      </w:r>
      <w:proofErr w:type="gramStart"/>
      <w:r>
        <w:t>would, by the marketing of the applicant medicine, infringe</w:t>
      </w:r>
      <w:proofErr w:type="gramEnd"/>
      <w:r>
        <w:t xml:space="preserve"> the patent.</w:t>
      </w:r>
      <w:r w:rsidR="000C3C69">
        <w:t xml:space="preserve"> </w:t>
      </w:r>
      <w:r>
        <w:t xml:space="preserve">It </w:t>
      </w:r>
      <w:r w:rsidR="000C3C69">
        <w:t>would be required to inform the patentee that the applicant proposes the use of the evidence or information relying on the evidence or informati</w:t>
      </w:r>
      <w:r w:rsidR="00AE6ACA">
        <w:t>on for which there is a patent.</w:t>
      </w:r>
    </w:p>
    <w:p w:rsidR="002A7819" w:rsidRDefault="00080D35" w:rsidP="00AE6ACA">
      <w:r>
        <w:t xml:space="preserve">The applicant </w:t>
      </w:r>
      <w:r w:rsidR="000C3C69">
        <w:t xml:space="preserve">would </w:t>
      </w:r>
      <w:r>
        <w:t xml:space="preserve">further </w:t>
      </w:r>
      <w:r w:rsidR="000C3C69">
        <w:t xml:space="preserve">be </w:t>
      </w:r>
      <w:r>
        <w:t xml:space="preserve">required to notify the </w:t>
      </w:r>
      <w:r w:rsidR="000E6AD8">
        <w:t xml:space="preserve">TGA (in law, the </w:t>
      </w:r>
      <w:r w:rsidR="004541B0">
        <w:t>Secretary</w:t>
      </w:r>
      <w:r w:rsidRPr="00564191">
        <w:t xml:space="preserve"> </w:t>
      </w:r>
      <w:r w:rsidR="000E6AD8">
        <w:t xml:space="preserve">of the Department of Health) </w:t>
      </w:r>
      <w:r w:rsidR="007044BA">
        <w:t>providing e</w:t>
      </w:r>
      <w:r w:rsidR="00A44E1C">
        <w:t>ither:</w:t>
      </w:r>
    </w:p>
    <w:p w:rsidR="002A7819" w:rsidRPr="00AE6ACA" w:rsidRDefault="007044BA" w:rsidP="00AE6ACA">
      <w:pPr>
        <w:pStyle w:val="ListBullet"/>
      </w:pPr>
      <w:r>
        <w:t>evidence</w:t>
      </w:r>
      <w:r w:rsidRPr="00AE6ACA">
        <w:t xml:space="preserve"> </w:t>
      </w:r>
      <w:r w:rsidR="00080D35" w:rsidRPr="00AE6ACA">
        <w:t>that they have notified the other person, and</w:t>
      </w:r>
      <w:r w:rsidR="0099639C" w:rsidRPr="00AE6ACA">
        <w:t xml:space="preserve"> to</w:t>
      </w:r>
      <w:r w:rsidR="00080D35" w:rsidRPr="00AE6ACA">
        <w:t xml:space="preserve"> provide a copy of the notification</w:t>
      </w:r>
      <w:r w:rsidR="002A7819" w:rsidRPr="00AE6ACA">
        <w:t>; or</w:t>
      </w:r>
    </w:p>
    <w:p w:rsidR="00171252" w:rsidRDefault="007044BA" w:rsidP="00AE6ACA">
      <w:pPr>
        <w:pStyle w:val="ListBullet"/>
      </w:pPr>
      <w:r w:rsidRPr="00AE6ACA">
        <w:t xml:space="preserve">a declaration </w:t>
      </w:r>
      <w:r w:rsidR="002A7819" w:rsidRPr="00AE6ACA">
        <w:t>that th</w:t>
      </w:r>
      <w:r w:rsidR="002A7819">
        <w:t xml:space="preserve">ey have a reasonable belief that no </w:t>
      </w:r>
      <w:r w:rsidR="000F52CF">
        <w:t xml:space="preserve">related </w:t>
      </w:r>
      <w:r w:rsidR="002A7819">
        <w:t xml:space="preserve">patent exists </w:t>
      </w:r>
    </w:p>
    <w:p w:rsidR="00171252" w:rsidRDefault="00171252" w:rsidP="00AE6ACA">
      <w:r>
        <w:t xml:space="preserve">The option to notify the Secretary </w:t>
      </w:r>
      <w:r w:rsidR="0023669E">
        <w:t xml:space="preserve">under </w:t>
      </w:r>
      <w:r w:rsidR="0023669E" w:rsidRPr="00D126B5">
        <w:t>subparagraph 25AB(3)(c)(ii) of the Act</w:t>
      </w:r>
      <w:r w:rsidR="0023669E" w:rsidRPr="00564191">
        <w:t xml:space="preserve"> </w:t>
      </w:r>
      <w:r w:rsidRPr="00564191">
        <w:t xml:space="preserve">that a certificate to inform the </w:t>
      </w:r>
      <w:r>
        <w:t xml:space="preserve">patentee </w:t>
      </w:r>
      <w:r w:rsidRPr="00564191">
        <w:t xml:space="preserve">is </w:t>
      </w:r>
      <w:r w:rsidRPr="004C6371">
        <w:rPr>
          <w:i/>
        </w:rPr>
        <w:t>not</w:t>
      </w:r>
      <w:r w:rsidRPr="00564191">
        <w:t xml:space="preserve"> required</w:t>
      </w:r>
      <w:r>
        <w:t xml:space="preserve"> (</w:t>
      </w:r>
      <w:r w:rsidR="0023669E">
        <w:t>prior to entry of the approved medicine onto the Register</w:t>
      </w:r>
      <w:r w:rsidR="00A556C4">
        <w:t>)</w:t>
      </w:r>
      <w:r>
        <w:t xml:space="preserve"> would no longer be available for applicants where </w:t>
      </w:r>
      <w:r w:rsidR="001C1F52">
        <w:t xml:space="preserve">it has a reasonable belief that </w:t>
      </w:r>
      <w:r>
        <w:t>a relevant patent(s) has not expired</w:t>
      </w:r>
      <w:r w:rsidR="001C1F52" w:rsidRPr="00FE5071">
        <w:t xml:space="preserve">. </w:t>
      </w:r>
      <w:r w:rsidR="00903AD1">
        <w:t>H</w:t>
      </w:r>
      <w:r w:rsidR="0092095C">
        <w:t>owever</w:t>
      </w:r>
      <w:r w:rsidR="00903AD1">
        <w:t>, i</w:t>
      </w:r>
      <w:r w:rsidR="001C1F52" w:rsidRPr="00FE5071">
        <w:t xml:space="preserve">t </w:t>
      </w:r>
      <w:r w:rsidRPr="00FE5071">
        <w:t xml:space="preserve">would continue to </w:t>
      </w:r>
      <w:r w:rsidR="000C3C69" w:rsidRPr="00FE5071">
        <w:t xml:space="preserve">be available </w:t>
      </w:r>
      <w:r w:rsidRPr="00FE5071">
        <w:t xml:space="preserve">where </w:t>
      </w:r>
      <w:r w:rsidR="001C1F52" w:rsidRPr="00FE5071">
        <w:t xml:space="preserve">the applicant has a reasonable belief that </w:t>
      </w:r>
      <w:r w:rsidRPr="00FE5071">
        <w:t>a patent(s) has expired</w:t>
      </w:r>
      <w:r>
        <w:t xml:space="preserve">. </w:t>
      </w:r>
      <w:r w:rsidR="00663622">
        <w:t xml:space="preserve">In this </w:t>
      </w:r>
      <w:proofErr w:type="gramStart"/>
      <w:r w:rsidR="00663622">
        <w:t>way</w:t>
      </w:r>
      <w:proofErr w:type="gramEnd"/>
      <w:r w:rsidR="00663622">
        <w:t xml:space="preserve"> the applicant is required at least </w:t>
      </w:r>
      <w:r w:rsidR="00645D2A">
        <w:t xml:space="preserve">at </w:t>
      </w:r>
      <w:r w:rsidR="00663622">
        <w:t xml:space="preserve">one point in the registration process to notify the Secretary as to </w:t>
      </w:r>
      <w:r w:rsidR="001C1F52">
        <w:t xml:space="preserve">its </w:t>
      </w:r>
      <w:r w:rsidR="001C1F52">
        <w:lastRenderedPageBreak/>
        <w:t>reasonable belief about the</w:t>
      </w:r>
      <w:r w:rsidR="00663622">
        <w:t xml:space="preserve"> existence </w:t>
      </w:r>
      <w:r w:rsidR="001C1F52">
        <w:t>of a patent regardless of whether the proposed marketing would infringe a patent, if it exists</w:t>
      </w:r>
      <w:r w:rsidR="00663622">
        <w:t>.</w:t>
      </w:r>
    </w:p>
    <w:p w:rsidR="002479CE" w:rsidRDefault="002C343E" w:rsidP="00171252">
      <w:pPr>
        <w:pStyle w:val="ListBullet"/>
        <w:numPr>
          <w:ilvl w:val="0"/>
          <w:numId w:val="0"/>
        </w:numPr>
      </w:pPr>
      <w:r>
        <w:t xml:space="preserve">The purpose of </w:t>
      </w:r>
      <w:r w:rsidR="0023669E">
        <w:t xml:space="preserve">this option </w:t>
      </w:r>
      <w:r>
        <w:t xml:space="preserve">is to </w:t>
      </w:r>
      <w:r w:rsidRPr="00AE6ACA">
        <w:rPr>
          <w:b/>
        </w:rPr>
        <w:t xml:space="preserve">remove </w:t>
      </w:r>
      <w:r w:rsidR="0023669E" w:rsidRPr="00AE6ACA">
        <w:rPr>
          <w:b/>
        </w:rPr>
        <w:t>t</w:t>
      </w:r>
      <w:r w:rsidR="00171252" w:rsidRPr="00AE6ACA">
        <w:rPr>
          <w:b/>
        </w:rPr>
        <w:t xml:space="preserve">he assessment of whether the marketing of the generic </w:t>
      </w:r>
      <w:r w:rsidRPr="00AE6ACA">
        <w:rPr>
          <w:b/>
        </w:rPr>
        <w:t>(should it</w:t>
      </w:r>
      <w:r w:rsidR="001C1F52" w:rsidRPr="00AE6ACA">
        <w:rPr>
          <w:b/>
        </w:rPr>
        <w:t>s</w:t>
      </w:r>
      <w:r w:rsidRPr="00AE6ACA">
        <w:rPr>
          <w:b/>
        </w:rPr>
        <w:t xml:space="preserve"> application for registration be approved) </w:t>
      </w:r>
      <w:r w:rsidR="00171252" w:rsidRPr="00AE6ACA">
        <w:rPr>
          <w:b/>
        </w:rPr>
        <w:t xml:space="preserve">would infringe a valid claim of a patent </w:t>
      </w:r>
      <w:r w:rsidRPr="00AE6ACA">
        <w:rPr>
          <w:b/>
        </w:rPr>
        <w:t xml:space="preserve">from being at </w:t>
      </w:r>
      <w:r w:rsidR="00171252" w:rsidRPr="00AE6ACA">
        <w:rPr>
          <w:b/>
        </w:rPr>
        <w:t xml:space="preserve">the </w:t>
      </w:r>
      <w:r w:rsidRPr="00AE6ACA">
        <w:rPr>
          <w:b/>
        </w:rPr>
        <w:t xml:space="preserve">sole </w:t>
      </w:r>
      <w:r w:rsidR="00171252" w:rsidRPr="00AE6ACA">
        <w:rPr>
          <w:b/>
        </w:rPr>
        <w:t>discretion of the applicant</w:t>
      </w:r>
      <w:r w:rsidR="00AE6ACA">
        <w:t>.</w:t>
      </w:r>
    </w:p>
    <w:p w:rsidR="002479CE" w:rsidRDefault="001C1F52" w:rsidP="00AE6ACA">
      <w:r>
        <w:t xml:space="preserve">The obligation on the applicant </w:t>
      </w:r>
      <w:proofErr w:type="gramStart"/>
      <w:r>
        <w:t>is reduced</w:t>
      </w:r>
      <w:proofErr w:type="gramEnd"/>
      <w:r>
        <w:t xml:space="preserve"> to</w:t>
      </w:r>
      <w:r w:rsidR="00645D2A">
        <w:t xml:space="preserve"> apply only in circumstances</w:t>
      </w:r>
      <w:r>
        <w:t xml:space="preserve"> </w:t>
      </w:r>
      <w:r w:rsidR="00645D2A">
        <w:t xml:space="preserve">in which it has a </w:t>
      </w:r>
      <w:r>
        <w:t xml:space="preserve">reasonable belief about the existence of a valid patent. </w:t>
      </w:r>
      <w:r w:rsidR="002C343E">
        <w:t>In effect, whether the marketing would so infringe the patent would be for the applica</w:t>
      </w:r>
      <w:r w:rsidR="00AE6ACA">
        <w:t>nt and the patentee to resolve.</w:t>
      </w:r>
    </w:p>
    <w:p w:rsidR="00080D35" w:rsidRPr="00AC067D" w:rsidRDefault="00080D35" w:rsidP="00AE6ACA">
      <w:pPr>
        <w:pStyle w:val="Heading5"/>
      </w:pPr>
      <w:r w:rsidRPr="00AC067D">
        <w:t xml:space="preserve">What the </w:t>
      </w:r>
      <w:r w:rsidR="000E6AD8">
        <w:t xml:space="preserve">TGA </w:t>
      </w:r>
      <w:r w:rsidRPr="00AC067D">
        <w:t>w</w:t>
      </w:r>
      <w:r w:rsidR="000E6AD8">
        <w:t>ould</w:t>
      </w:r>
      <w:r w:rsidRPr="00AC067D">
        <w:t xml:space="preserve"> start doing</w:t>
      </w:r>
      <w:r w:rsidR="000E6AD8">
        <w:t xml:space="preserve"> under this option</w:t>
      </w:r>
    </w:p>
    <w:p w:rsidR="000F52CF" w:rsidRDefault="00080D35" w:rsidP="00AE6ACA">
      <w:r>
        <w:t>Evaluation of the applicant</w:t>
      </w:r>
      <w:r w:rsidR="002479CE">
        <w:t>’s</w:t>
      </w:r>
      <w:r>
        <w:t xml:space="preserve"> medicine would not commence </w:t>
      </w:r>
      <w:r w:rsidRPr="00F82D35">
        <w:t xml:space="preserve">unless and until the </w:t>
      </w:r>
      <w:r>
        <w:t xml:space="preserve">applicant </w:t>
      </w:r>
      <w:r w:rsidRPr="00F82D35">
        <w:t xml:space="preserve">gives </w:t>
      </w:r>
      <w:r>
        <w:t xml:space="preserve">to </w:t>
      </w:r>
      <w:r w:rsidRPr="00F82D35">
        <w:t>the Secretary</w:t>
      </w:r>
      <w:r w:rsidR="00A556C4">
        <w:t>, following passing of preliminary assessment,</w:t>
      </w:r>
      <w:r w:rsidR="000F52CF">
        <w:t xml:space="preserve"> either</w:t>
      </w:r>
      <w:r w:rsidR="00A44E1C">
        <w:t>:</w:t>
      </w:r>
    </w:p>
    <w:p w:rsidR="000F52CF" w:rsidRPr="00AE6ACA" w:rsidRDefault="007044BA" w:rsidP="00AE6ACA">
      <w:pPr>
        <w:pStyle w:val="ListBullet"/>
      </w:pPr>
      <w:r w:rsidRPr="007044BA">
        <w:t xml:space="preserve">evidence </w:t>
      </w:r>
      <w:r w:rsidR="000F52CF" w:rsidRPr="007044BA">
        <w:t>th</w:t>
      </w:r>
      <w:r w:rsidR="000F52CF" w:rsidRPr="00AE6ACA">
        <w:t>at they have notified the other person, and to provide a copy of the notification; or</w:t>
      </w:r>
    </w:p>
    <w:p w:rsidR="00080D35" w:rsidRPr="007044BA" w:rsidRDefault="007044BA" w:rsidP="00AE6ACA">
      <w:pPr>
        <w:pStyle w:val="ListBullet"/>
      </w:pPr>
      <w:proofErr w:type="gramStart"/>
      <w:r w:rsidRPr="00AE6ACA">
        <w:t>a</w:t>
      </w:r>
      <w:proofErr w:type="gramEnd"/>
      <w:r w:rsidRPr="00AE6ACA">
        <w:t xml:space="preserve"> declaration </w:t>
      </w:r>
      <w:r w:rsidR="000F52CF" w:rsidRPr="00AE6ACA">
        <w:t>that they hav</w:t>
      </w:r>
      <w:r w:rsidR="000F52CF" w:rsidRPr="007044BA">
        <w:t>e a reasonable belief that no patent exists</w:t>
      </w:r>
      <w:r w:rsidR="00080D35" w:rsidRPr="007044BA">
        <w:t>.</w:t>
      </w:r>
    </w:p>
    <w:p w:rsidR="005244E8" w:rsidRPr="00270BCB" w:rsidRDefault="00270BCB" w:rsidP="00AE6ACA">
      <w:pPr>
        <w:pStyle w:val="Heading5"/>
      </w:pPr>
      <w:r>
        <w:t>Benefits</w:t>
      </w:r>
    </w:p>
    <w:p w:rsidR="00D917AD" w:rsidRPr="00AE6ACA" w:rsidRDefault="00645D2A" w:rsidP="00AE6ACA">
      <w:pPr>
        <w:pStyle w:val="ListBullet"/>
      </w:pPr>
      <w:r>
        <w:t xml:space="preserve">Where the applicant is aware </w:t>
      </w:r>
      <w:r w:rsidR="0066390A">
        <w:t>that a patent has not expired</w:t>
      </w:r>
      <w:r>
        <w:t xml:space="preserve">, this option provides innovators with </w:t>
      </w:r>
      <w:r w:rsidRPr="00645D2A">
        <w:t>an opportunity to resolve any potential infringement of the patent by the proposed marketing of the medicine before that marketing commences</w:t>
      </w:r>
      <w:r>
        <w:t>,</w:t>
      </w:r>
      <w:r w:rsidRPr="00645D2A">
        <w:t xml:space="preserve"> </w:t>
      </w:r>
      <w:r>
        <w:t>a</w:t>
      </w:r>
      <w:r w:rsidRPr="00645D2A">
        <w:t xml:space="preserve">nd therefore reduces costs of </w:t>
      </w:r>
      <w:r w:rsidR="002479CE">
        <w:t>potential</w:t>
      </w:r>
      <w:r w:rsidR="002479CE" w:rsidRPr="00AE6ACA">
        <w:t xml:space="preserve"> </w:t>
      </w:r>
      <w:r w:rsidRPr="00AE6ACA">
        <w:t>litigation to the originator, generic and Commonwealth</w:t>
      </w:r>
      <w:r w:rsidR="0066390A" w:rsidRPr="00AE6ACA">
        <w:t>.</w:t>
      </w:r>
    </w:p>
    <w:p w:rsidR="009A7B05" w:rsidRPr="00AE6ACA" w:rsidRDefault="00080D35" w:rsidP="00AE6ACA">
      <w:pPr>
        <w:pStyle w:val="ListBullet"/>
      </w:pPr>
      <w:r w:rsidRPr="00AE6ACA">
        <w:t>Provides greater protection for the confidentiality and commercial value for a generic application under evaluation than with full public disclosure</w:t>
      </w:r>
      <w:r w:rsidR="00D61B8C" w:rsidRPr="00AE6ACA">
        <w:t xml:space="preserve"> as was proposed in public consultation paper</w:t>
      </w:r>
      <w:r w:rsidR="003155AC" w:rsidRPr="00AE6ACA">
        <w:t>, since the generic applicati</w:t>
      </w:r>
      <w:r w:rsidR="009A7B05" w:rsidRPr="00AE6ACA">
        <w:t>on</w:t>
      </w:r>
      <w:r w:rsidR="003155AC" w:rsidRPr="00AE6ACA">
        <w:t xml:space="preserve"> </w:t>
      </w:r>
      <w:proofErr w:type="gramStart"/>
      <w:r w:rsidR="00FE5071" w:rsidRPr="00AE6ACA">
        <w:t>would only be disclosed</w:t>
      </w:r>
      <w:proofErr w:type="gramEnd"/>
      <w:r w:rsidR="003155AC" w:rsidRPr="00AE6ACA">
        <w:t xml:space="preserve"> to the </w:t>
      </w:r>
      <w:r w:rsidR="004541B0" w:rsidRPr="00AE6ACA">
        <w:t>innovator</w:t>
      </w:r>
      <w:r w:rsidR="003155AC" w:rsidRPr="00AE6ACA">
        <w:t>, but not to other generic competitors</w:t>
      </w:r>
      <w:r w:rsidRPr="00AE6ACA">
        <w:t>.</w:t>
      </w:r>
    </w:p>
    <w:p w:rsidR="002D52C5" w:rsidRPr="00AE6ACA" w:rsidRDefault="002479CE" w:rsidP="00AE6ACA">
      <w:pPr>
        <w:pStyle w:val="ListBullet"/>
      </w:pPr>
      <w:r w:rsidRPr="00AE6ACA">
        <w:t>T</w:t>
      </w:r>
      <w:r w:rsidR="00D61B8C" w:rsidRPr="00AE6ACA">
        <w:t>his option</w:t>
      </w:r>
      <w:r w:rsidR="002D52C5" w:rsidRPr="00AE6ACA">
        <w:t xml:space="preserve"> would preserve the </w:t>
      </w:r>
      <w:r w:rsidR="005244E8" w:rsidRPr="00AE6ACA">
        <w:t>current late notification scheme (prior to registration) to app</w:t>
      </w:r>
      <w:r w:rsidR="002D52C5" w:rsidRPr="00AE6ACA">
        <w:t xml:space="preserve">licants submitting applications, </w:t>
      </w:r>
      <w:r w:rsidR="00D61B8C" w:rsidRPr="00AE6ACA">
        <w:t>introducing the least amount of change compared to status quo</w:t>
      </w:r>
      <w:r w:rsidR="0066390A" w:rsidRPr="00AE6ACA">
        <w:t>.</w:t>
      </w:r>
    </w:p>
    <w:p w:rsidR="005244E8" w:rsidRPr="00315EC8" w:rsidRDefault="00270BCB" w:rsidP="00AE6ACA">
      <w:pPr>
        <w:pStyle w:val="Heading5"/>
      </w:pPr>
      <w:r w:rsidRPr="00315EC8">
        <w:t>Risks</w:t>
      </w:r>
    </w:p>
    <w:p w:rsidR="00D61B8C" w:rsidRPr="00AE6ACA" w:rsidRDefault="00D61B8C" w:rsidP="00AE6ACA">
      <w:pPr>
        <w:pStyle w:val="ListBullet"/>
      </w:pPr>
      <w:r w:rsidRPr="00D61B8C">
        <w:t xml:space="preserve">Relies on an applicant having a reasonable belief as to the existence of a patent so a patent holder </w:t>
      </w:r>
      <w:proofErr w:type="gramStart"/>
      <w:r w:rsidRPr="00D61B8C">
        <w:t>may not</w:t>
      </w:r>
      <w:r w:rsidRPr="00AE6ACA">
        <w:t xml:space="preserve"> always be notified</w:t>
      </w:r>
      <w:proofErr w:type="gramEnd"/>
      <w:r w:rsidRPr="00AE6ACA">
        <w:t xml:space="preserve"> of a generic application.</w:t>
      </w:r>
    </w:p>
    <w:p w:rsidR="005244E8" w:rsidRPr="00AE6ACA" w:rsidRDefault="005244E8" w:rsidP="00AE6ACA">
      <w:pPr>
        <w:pStyle w:val="ListBullet"/>
      </w:pPr>
      <w:r w:rsidRPr="00AE6ACA">
        <w:t xml:space="preserve">Removes the option for applicants to avoid notification of the patent holder by declaring </w:t>
      </w:r>
      <w:r w:rsidR="00315EC8" w:rsidRPr="00AE6ACA">
        <w:t xml:space="preserve">they are </w:t>
      </w:r>
      <w:r w:rsidRPr="00AE6ACA">
        <w:t xml:space="preserve">not infringing a valid patent, for example because marketing </w:t>
      </w:r>
      <w:r w:rsidR="002479CE" w:rsidRPr="00AE6ACA">
        <w:t xml:space="preserve">of the generic medicine </w:t>
      </w:r>
      <w:r w:rsidRPr="00AE6ACA">
        <w:t xml:space="preserve">is not intended until </w:t>
      </w:r>
      <w:r w:rsidR="00140814" w:rsidRPr="00AE6ACA">
        <w:t xml:space="preserve">after </w:t>
      </w:r>
      <w:r w:rsidRPr="00AE6ACA">
        <w:t>the patent expires</w:t>
      </w:r>
      <w:r w:rsidR="00270BCB" w:rsidRPr="00AE6ACA">
        <w:t>, which may impact availability of generic applications.</w:t>
      </w:r>
    </w:p>
    <w:p w:rsidR="000C3C69" w:rsidRDefault="000C3C69" w:rsidP="00AE6ACA">
      <w:pPr>
        <w:pStyle w:val="ListBullet"/>
      </w:pPr>
      <w:r w:rsidRPr="00AE6ACA">
        <w:t>Will require applicants relying on information where a patent has not expired to provide an early notification follow</w:t>
      </w:r>
      <w:r>
        <w:t>ing preliminary assessment and a late certification, duplicating the process at different points in time.</w:t>
      </w:r>
    </w:p>
    <w:p w:rsidR="00F82D35" w:rsidRDefault="00F82D35" w:rsidP="00AE6ACA">
      <w:pPr>
        <w:pStyle w:val="Heading4"/>
      </w:pPr>
      <w:bookmarkStart w:id="11" w:name="_Toc37252483"/>
      <w:r w:rsidRPr="00F82D35">
        <w:t xml:space="preserve">Option </w:t>
      </w:r>
      <w:r w:rsidR="00502D05">
        <w:t>2</w:t>
      </w:r>
      <w:r w:rsidRPr="00F82D35">
        <w:t xml:space="preserve"> </w:t>
      </w:r>
      <w:r>
        <w:t xml:space="preserve">- </w:t>
      </w:r>
      <w:r w:rsidR="0073109E">
        <w:t>r</w:t>
      </w:r>
      <w:r w:rsidR="00B85B17">
        <w:t xml:space="preserve">equires early notification </w:t>
      </w:r>
      <w:r w:rsidR="00502D05" w:rsidRPr="00502D05">
        <w:t xml:space="preserve">regardless of </w:t>
      </w:r>
      <w:r w:rsidR="00502D05">
        <w:t xml:space="preserve">belief of </w:t>
      </w:r>
      <w:r w:rsidR="00502D05" w:rsidRPr="00502D05">
        <w:t>the existence of a patent</w:t>
      </w:r>
      <w:bookmarkEnd w:id="11"/>
    </w:p>
    <w:p w:rsidR="00270BCB" w:rsidRDefault="00270BCB" w:rsidP="00AE6ACA">
      <w:pPr>
        <w:pStyle w:val="Heading5"/>
      </w:pPr>
      <w:r>
        <w:t xml:space="preserve">What the applicant would start doing </w:t>
      </w:r>
      <w:r w:rsidR="00FA7E47">
        <w:t>under this option</w:t>
      </w:r>
    </w:p>
    <w:p w:rsidR="00270BCB" w:rsidRDefault="00270BCB" w:rsidP="00AE6ACA">
      <w:r w:rsidRPr="00A478A6">
        <w:t>This option would apply to all applicants for the registration of a prescription medicine</w:t>
      </w:r>
      <w:r>
        <w:t xml:space="preserve"> </w:t>
      </w:r>
      <w:r w:rsidR="00502D05">
        <w:t xml:space="preserve">where it </w:t>
      </w:r>
      <w:proofErr w:type="gramStart"/>
      <w:r w:rsidR="00502D05">
        <w:t>is proposed</w:t>
      </w:r>
      <w:proofErr w:type="gramEnd"/>
      <w:r w:rsidR="00502D05">
        <w:t xml:space="preserve"> that the application rely on information of another to support that application</w:t>
      </w:r>
      <w:r>
        <w:t>.</w:t>
      </w:r>
    </w:p>
    <w:p w:rsidR="00270BCB" w:rsidRDefault="00507E49" w:rsidP="00AE6ACA">
      <w:proofErr w:type="gramStart"/>
      <w:r>
        <w:lastRenderedPageBreak/>
        <w:t xml:space="preserve">The </w:t>
      </w:r>
      <w:r w:rsidR="004A5558">
        <w:t xml:space="preserve">current </w:t>
      </w:r>
      <w:r>
        <w:t>require</w:t>
      </w:r>
      <w:r w:rsidR="004A5558">
        <w:t xml:space="preserve">ment </w:t>
      </w:r>
      <w:r w:rsidR="00270BCB">
        <w:t>under paragraph 25AB</w:t>
      </w:r>
      <w:r w:rsidR="002C6239">
        <w:t xml:space="preserve"> </w:t>
      </w:r>
      <w:r w:rsidR="00270BCB">
        <w:t>(3)(c) of the Act (</w:t>
      </w:r>
      <w:r w:rsidR="004A5558">
        <w:t>for</w:t>
      </w:r>
      <w:r w:rsidR="002C6239">
        <w:t xml:space="preserve"> </w:t>
      </w:r>
      <w:r w:rsidR="00270BCB">
        <w:t>applicant</w:t>
      </w:r>
      <w:r w:rsidR="004A5558">
        <w:t>s</w:t>
      </w:r>
      <w:r w:rsidR="00270BCB">
        <w:t xml:space="preserve"> </w:t>
      </w:r>
      <w:r w:rsidR="004A5558">
        <w:t>to</w:t>
      </w:r>
      <w:r w:rsidR="00270BCB">
        <w:t xml:space="preserve"> provide a patent certificate or a notification that such a certificate is not required) </w:t>
      </w:r>
      <w:r w:rsidR="004A5558">
        <w:t>would move</w:t>
      </w:r>
      <w:r w:rsidR="00270BCB">
        <w:t xml:space="preserve"> from the point in time </w:t>
      </w:r>
      <w:r w:rsidR="00270BCB" w:rsidRPr="00F95325">
        <w:rPr>
          <w:b/>
        </w:rPr>
        <w:t xml:space="preserve">where the </w:t>
      </w:r>
      <w:r w:rsidR="002C6239" w:rsidRPr="00F95325">
        <w:rPr>
          <w:b/>
        </w:rPr>
        <w:t>evaluation has been completed</w:t>
      </w:r>
      <w:r w:rsidR="002C6239">
        <w:t xml:space="preserve"> (</w:t>
      </w:r>
      <w:r w:rsidR="00270BCB">
        <w:t xml:space="preserve">prior to entry of the approved medicine onto the Register) to the point in time </w:t>
      </w:r>
      <w:r w:rsidR="00270BCB" w:rsidRPr="00F95325">
        <w:rPr>
          <w:b/>
        </w:rPr>
        <w:t xml:space="preserve">after an application for registration </w:t>
      </w:r>
      <w:r w:rsidR="002C6239" w:rsidRPr="00F95325">
        <w:rPr>
          <w:b/>
        </w:rPr>
        <w:t>passes preliminary assessment</w:t>
      </w:r>
      <w:r w:rsidR="002C6239">
        <w:t xml:space="preserve"> (</w:t>
      </w:r>
      <w:r w:rsidR="00270BCB">
        <w:t xml:space="preserve">prior to the commencement </w:t>
      </w:r>
      <w:r w:rsidR="00AE6ACA">
        <w:t>of evaluation of the medicine).</w:t>
      </w:r>
      <w:proofErr w:type="gramEnd"/>
    </w:p>
    <w:p w:rsidR="00507E49" w:rsidRDefault="00507E49" w:rsidP="00270BCB">
      <w:r>
        <w:t xml:space="preserve">All </w:t>
      </w:r>
      <w:r w:rsidRPr="00AE6ACA">
        <w:rPr>
          <w:b/>
        </w:rPr>
        <w:t xml:space="preserve">applicants would be required to provide a notification to the </w:t>
      </w:r>
      <w:r w:rsidR="004541B0" w:rsidRPr="00AE6ACA">
        <w:rPr>
          <w:b/>
        </w:rPr>
        <w:t>innovator</w:t>
      </w:r>
      <w:r>
        <w:t xml:space="preserve">, and a copy of the notification to </w:t>
      </w:r>
      <w:r w:rsidR="002C12D6">
        <w:t xml:space="preserve">TGA (i.e. </w:t>
      </w:r>
      <w:r>
        <w:t>the Secretary</w:t>
      </w:r>
      <w:r w:rsidR="002C12D6">
        <w:t>)</w:t>
      </w:r>
      <w:r w:rsidR="00AE6ACA">
        <w:t>.</w:t>
      </w:r>
    </w:p>
    <w:p w:rsidR="00507E49" w:rsidRDefault="002C12D6" w:rsidP="000861E5">
      <w:r>
        <w:t>T</w:t>
      </w:r>
      <w:r w:rsidR="00270BCB">
        <w:t xml:space="preserve">his option would, in addition to moving the current certification or notification requirements to the earlier point in the process </w:t>
      </w:r>
      <w:r w:rsidR="00270BCB" w:rsidRPr="00F95325">
        <w:rPr>
          <w:b/>
        </w:rPr>
        <w:t>also</w:t>
      </w:r>
      <w:r w:rsidR="00507E49">
        <w:t xml:space="preserve"> require the applicant to provide notification to the </w:t>
      </w:r>
      <w:r w:rsidR="004541B0">
        <w:t>innovator</w:t>
      </w:r>
      <w:r w:rsidR="00507E49">
        <w:t xml:space="preserve"> where the applicant determines that a valid patent </w:t>
      </w:r>
      <w:proofErr w:type="gramStart"/>
      <w:r w:rsidR="00507E49" w:rsidRPr="00507E49">
        <w:rPr>
          <w:u w:val="single"/>
        </w:rPr>
        <w:t>is not</w:t>
      </w:r>
      <w:r w:rsidR="00507E49">
        <w:t xml:space="preserve"> infringed</w:t>
      </w:r>
      <w:proofErr w:type="gramEnd"/>
      <w:r w:rsidR="00507E49">
        <w:t xml:space="preserve">. Option 3 would require early notification for both </w:t>
      </w:r>
      <w:r w:rsidR="004541B0">
        <w:t>innovator</w:t>
      </w:r>
      <w:r w:rsidR="00507E49">
        <w:t xml:space="preserve">s </w:t>
      </w:r>
      <w:r w:rsidR="00140814">
        <w:t xml:space="preserve">(to the </w:t>
      </w:r>
      <w:r w:rsidR="004541B0">
        <w:t>Secretary</w:t>
      </w:r>
      <w:r w:rsidR="00140814">
        <w:t xml:space="preserve"> only) </w:t>
      </w:r>
      <w:r w:rsidR="00507E49">
        <w:t>and generics</w:t>
      </w:r>
      <w:r w:rsidR="00140814">
        <w:t xml:space="preserve"> (to the </w:t>
      </w:r>
      <w:r w:rsidR="004541B0">
        <w:t>innovator</w:t>
      </w:r>
      <w:r w:rsidR="00140814">
        <w:t xml:space="preserve"> and the </w:t>
      </w:r>
      <w:r w:rsidR="004541B0">
        <w:t>Secretary</w:t>
      </w:r>
      <w:r w:rsidR="00140814">
        <w:t xml:space="preserve">) </w:t>
      </w:r>
      <w:r w:rsidR="00507E49">
        <w:t>regardless of whether the patent term has ended</w:t>
      </w:r>
      <w:r w:rsidR="004541B0">
        <w:t>.</w:t>
      </w:r>
    </w:p>
    <w:p w:rsidR="00270BCB" w:rsidRDefault="00215EAF" w:rsidP="000861E5">
      <w:pPr>
        <w:pStyle w:val="Heading5"/>
      </w:pPr>
      <w:r>
        <w:t xml:space="preserve">What </w:t>
      </w:r>
      <w:r w:rsidR="002C12D6">
        <w:t>the TGA</w:t>
      </w:r>
      <w:r w:rsidR="00270BCB">
        <w:t xml:space="preserve"> would start doing </w:t>
      </w:r>
      <w:r w:rsidR="002C12D6">
        <w:t>under this option</w:t>
      </w:r>
    </w:p>
    <w:p w:rsidR="001D6C30" w:rsidRDefault="001D6C30" w:rsidP="000861E5">
      <w:r>
        <w:t xml:space="preserve">Evaluation of the applicant medicine would not commence </w:t>
      </w:r>
      <w:r w:rsidRPr="00F82D35">
        <w:t xml:space="preserve">unless and until the </w:t>
      </w:r>
      <w:r>
        <w:t xml:space="preserve">applicant </w:t>
      </w:r>
      <w:r w:rsidRPr="00F82D35">
        <w:t xml:space="preserve">gives </w:t>
      </w:r>
      <w:r>
        <w:t xml:space="preserve">to </w:t>
      </w:r>
      <w:r w:rsidRPr="00F82D35">
        <w:t xml:space="preserve">the Secretary </w:t>
      </w:r>
      <w:r>
        <w:t xml:space="preserve">a copy of </w:t>
      </w:r>
      <w:r w:rsidRPr="00F82D35">
        <w:t xml:space="preserve">the notification </w:t>
      </w:r>
      <w:r>
        <w:t>given to the patentee.</w:t>
      </w:r>
    </w:p>
    <w:p w:rsidR="001D6C30" w:rsidRPr="00270BCB" w:rsidRDefault="001D6C30" w:rsidP="000861E5">
      <w:pPr>
        <w:pStyle w:val="Heading5"/>
      </w:pPr>
      <w:r>
        <w:t>Benefits</w:t>
      </w:r>
    </w:p>
    <w:p w:rsidR="000C3C69" w:rsidRPr="000861E5" w:rsidRDefault="000C3C69" w:rsidP="000861E5">
      <w:pPr>
        <w:pStyle w:val="ListBullet"/>
      </w:pPr>
      <w:r w:rsidRPr="000C3C69">
        <w:t xml:space="preserve">As above, this option would provide early notification to </w:t>
      </w:r>
      <w:r w:rsidR="004541B0">
        <w:t>innovator</w:t>
      </w:r>
      <w:r w:rsidRPr="000C3C69">
        <w:t xml:space="preserve">s </w:t>
      </w:r>
      <w:r w:rsidR="002C12D6">
        <w:t>but also provide</w:t>
      </w:r>
      <w:r w:rsidRPr="000C3C69">
        <w:t xml:space="preserve"> greater protection for the confidentiality and commercial value for a generic application under evaluation</w:t>
      </w:r>
      <w:r w:rsidRPr="000861E5">
        <w:t xml:space="preserve"> than with full public disclosure</w:t>
      </w:r>
      <w:r w:rsidR="003F7BD9" w:rsidRPr="000861E5">
        <w:t>.</w:t>
      </w:r>
    </w:p>
    <w:p w:rsidR="00FB3FB5" w:rsidRPr="000861E5" w:rsidRDefault="00FB3FB5" w:rsidP="000861E5">
      <w:pPr>
        <w:pStyle w:val="ListBullet"/>
      </w:pPr>
      <w:r w:rsidRPr="000861E5">
        <w:t xml:space="preserve">Provides applicants the option to notify the </w:t>
      </w:r>
      <w:r w:rsidR="004541B0" w:rsidRPr="000861E5">
        <w:t>innovator</w:t>
      </w:r>
      <w:r w:rsidRPr="000861E5">
        <w:t xml:space="preserve"> that </w:t>
      </w:r>
      <w:r w:rsidR="00B85B17" w:rsidRPr="000861E5">
        <w:t xml:space="preserve">relevant </w:t>
      </w:r>
      <w:r w:rsidRPr="000861E5">
        <w:t>patent</w:t>
      </w:r>
      <w:r w:rsidR="00B85B17" w:rsidRPr="000861E5">
        <w:t xml:space="preserve">(s) has not expired or notify the </w:t>
      </w:r>
      <w:r w:rsidR="004541B0" w:rsidRPr="000861E5">
        <w:t>innovator</w:t>
      </w:r>
      <w:r w:rsidR="00B85B17" w:rsidRPr="000861E5">
        <w:t xml:space="preserve"> that the applicant is not infringing a valid patent, for example because the product will not be marketed before the patent expires</w:t>
      </w:r>
      <w:r w:rsidR="00507E49" w:rsidRPr="000861E5">
        <w:t>.</w:t>
      </w:r>
    </w:p>
    <w:p w:rsidR="001D6C30" w:rsidRPr="000861E5" w:rsidRDefault="001D6C30" w:rsidP="000861E5">
      <w:pPr>
        <w:pStyle w:val="ListBullet"/>
      </w:pPr>
      <w:r w:rsidRPr="000861E5">
        <w:t xml:space="preserve">This option has the advantage of providing a single point of notification for all registration </w:t>
      </w:r>
      <w:r w:rsidR="00CE0C4F" w:rsidRPr="000861E5">
        <w:t>applications</w:t>
      </w:r>
      <w:r w:rsidRPr="000861E5">
        <w:t>.</w:t>
      </w:r>
    </w:p>
    <w:p w:rsidR="001D6C30" w:rsidRDefault="001D6C30" w:rsidP="000861E5">
      <w:pPr>
        <w:pStyle w:val="ListBullet"/>
      </w:pPr>
      <w:r w:rsidRPr="000861E5">
        <w:t xml:space="preserve">The </w:t>
      </w:r>
      <w:r w:rsidR="00502D05" w:rsidRPr="000861E5">
        <w:t xml:space="preserve">innovator </w:t>
      </w:r>
      <w:r w:rsidRPr="000861E5">
        <w:t xml:space="preserve">would receive notification of all applications that rely on </w:t>
      </w:r>
      <w:r w:rsidR="00502D05" w:rsidRPr="000861E5">
        <w:t xml:space="preserve">its </w:t>
      </w:r>
      <w:r w:rsidRPr="000861E5">
        <w:t xml:space="preserve">information </w:t>
      </w:r>
      <w:r w:rsidR="00502D05" w:rsidRPr="000861E5">
        <w:t xml:space="preserve">regardless of </w:t>
      </w:r>
      <w:r w:rsidRPr="000861E5">
        <w:t xml:space="preserve">whether </w:t>
      </w:r>
      <w:r w:rsidR="00502D05" w:rsidRPr="000861E5">
        <w:t>there is a patent or a relevant patent has expired</w:t>
      </w:r>
      <w:r w:rsidR="00C44247" w:rsidRPr="000861E5">
        <w:t xml:space="preserve">, so the risk of an innovator not </w:t>
      </w:r>
      <w:proofErr w:type="gramStart"/>
      <w:r w:rsidR="00C44247" w:rsidRPr="000861E5">
        <w:t>being notified</w:t>
      </w:r>
      <w:proofErr w:type="gramEnd"/>
      <w:r w:rsidR="00C44247" w:rsidRPr="000861E5">
        <w:t xml:space="preserve"> is </w:t>
      </w:r>
      <w:r w:rsidR="00C44247">
        <w:t>removed</w:t>
      </w:r>
      <w:r w:rsidR="000861E5">
        <w:t>.</w:t>
      </w:r>
    </w:p>
    <w:p w:rsidR="001D6C30" w:rsidRPr="00270BCB" w:rsidRDefault="001D6C30" w:rsidP="000861E5">
      <w:pPr>
        <w:pStyle w:val="Heading5"/>
      </w:pPr>
      <w:r>
        <w:t>Risks</w:t>
      </w:r>
    </w:p>
    <w:p w:rsidR="001D6C30" w:rsidRPr="003F7BD9" w:rsidRDefault="001D6C30" w:rsidP="000861E5">
      <w:pPr>
        <w:pStyle w:val="ListBullet"/>
      </w:pPr>
      <w:r w:rsidRPr="005244E8">
        <w:t xml:space="preserve">Removes the option for the applicants to avoid notification of the patent holder by declaring </w:t>
      </w:r>
      <w:r w:rsidR="00140814">
        <w:t xml:space="preserve">they are </w:t>
      </w:r>
      <w:r w:rsidRPr="005244E8">
        <w:t>not infringing a valid patent, for example because marketing is not intended until the patent expires</w:t>
      </w:r>
      <w:r w:rsidRPr="003F7BD9">
        <w:t>, which may impact availability of generic applications.</w:t>
      </w:r>
    </w:p>
    <w:p w:rsidR="001D6C30" w:rsidRDefault="0073109E" w:rsidP="001D6C30">
      <w:pPr>
        <w:pStyle w:val="ListBullet"/>
      </w:pPr>
      <w:r>
        <w:t>W</w:t>
      </w:r>
      <w:r w:rsidR="004C74B7">
        <w:t>ould require</w:t>
      </w:r>
      <w:r w:rsidR="001D6C30">
        <w:t xml:space="preserve"> </w:t>
      </w:r>
      <w:r w:rsidR="004541B0">
        <w:t>innovator</w:t>
      </w:r>
      <w:r w:rsidR="004C74B7">
        <w:t xml:space="preserve"> and generic applicants to</w:t>
      </w:r>
      <w:r w:rsidR="001D6C30">
        <w:t xml:space="preserve"> </w:t>
      </w:r>
      <w:r w:rsidR="004C74B7">
        <w:t>provide early notification to the patentee that they are, or are not infringing a patent, where they rel</w:t>
      </w:r>
      <w:r w:rsidR="000861E5">
        <w:t xml:space="preserve">y on the </w:t>
      </w:r>
      <w:proofErr w:type="gramStart"/>
      <w:r w:rsidR="000861E5">
        <w:t>patentees</w:t>
      </w:r>
      <w:proofErr w:type="gramEnd"/>
      <w:r w:rsidR="000861E5">
        <w:t xml:space="preserve"> information.</w:t>
      </w:r>
    </w:p>
    <w:p w:rsidR="0073109E" w:rsidRDefault="004C74B7" w:rsidP="000861E5">
      <w:pPr>
        <w:pStyle w:val="ListBullet"/>
      </w:pPr>
      <w:r>
        <w:t xml:space="preserve">Would not reflect that </w:t>
      </w:r>
      <w:r w:rsidR="0073109E">
        <w:t xml:space="preserve">some medicines may not be entered in the Register </w:t>
      </w:r>
      <w:proofErr w:type="gramStart"/>
      <w:r w:rsidR="0073109E">
        <w:t>as a result</w:t>
      </w:r>
      <w:proofErr w:type="gramEnd"/>
      <w:r w:rsidR="0073109E">
        <w:t xml:space="preserve"> of the evaluation process</w:t>
      </w:r>
      <w:r>
        <w:t xml:space="preserve"> (rejection), and in those circumstances the early notification could be considered an unnecessary burden</w:t>
      </w:r>
      <w:r w:rsidR="0073109E">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7230D" w:rsidRPr="00215D48" w:rsidTr="00270BCB">
        <w:tc>
          <w:tcPr>
            <w:tcW w:w="1276" w:type="dxa"/>
            <w:vAlign w:val="center"/>
          </w:tcPr>
          <w:p w:rsidR="0077230D" w:rsidRPr="00215D48" w:rsidRDefault="0077230D" w:rsidP="00270BCB">
            <w:pPr>
              <w:spacing w:before="0"/>
              <w:rPr>
                <w:sz w:val="20"/>
              </w:rPr>
            </w:pPr>
            <w:r w:rsidRPr="00215D48">
              <w:rPr>
                <w:noProof/>
                <w:sz w:val="20"/>
                <w:lang w:eastAsia="en-AU"/>
              </w:rPr>
              <w:drawing>
                <wp:inline distT="0" distB="0" distL="0" distR="0" wp14:anchorId="75A2C4E3" wp14:editId="00682FE8">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7230D" w:rsidRDefault="0077230D" w:rsidP="00270BCB">
            <w:r>
              <w:t>We are seeking you</w:t>
            </w:r>
            <w:r w:rsidR="002C12D6">
              <w:t>r</w:t>
            </w:r>
            <w:r>
              <w:t xml:space="preserve"> feedback:</w:t>
            </w:r>
          </w:p>
          <w:p w:rsidR="0077230D" w:rsidRDefault="0077230D" w:rsidP="00270BCB">
            <w:r w:rsidRPr="0056198C">
              <w:rPr>
                <w:b/>
              </w:rPr>
              <w:t>Question 1:</w:t>
            </w:r>
            <w:r>
              <w:t xml:space="preserve"> What </w:t>
            </w:r>
            <w:r w:rsidR="001F602D">
              <w:t xml:space="preserve">is your preferred notification </w:t>
            </w:r>
            <w:r>
              <w:t>option?</w:t>
            </w:r>
          </w:p>
          <w:p w:rsidR="0077230D" w:rsidRDefault="0077230D" w:rsidP="00270BCB">
            <w:r w:rsidRPr="0056198C">
              <w:rPr>
                <w:b/>
              </w:rPr>
              <w:t>Question 2:</w:t>
            </w:r>
            <w:r>
              <w:t xml:space="preserve"> What is the predicted i</w:t>
            </w:r>
            <w:r w:rsidR="000861E5">
              <w:t>mpact, financial and otherwise?</w:t>
            </w:r>
          </w:p>
          <w:p w:rsidR="0077230D" w:rsidRDefault="0077230D" w:rsidP="00270BCB">
            <w:r>
              <w:lastRenderedPageBreak/>
              <w:t>P</w:t>
            </w:r>
            <w:r w:rsidRPr="0056198C">
              <w:t xml:space="preserve">rovide an assessment of how the proposed change will </w:t>
            </w:r>
            <w:proofErr w:type="gramStart"/>
            <w:r w:rsidRPr="0056198C">
              <w:t>impact on</w:t>
            </w:r>
            <w:proofErr w:type="gramEnd"/>
            <w:r w:rsidRPr="0056198C">
              <w:t xml:space="preserve"> you, and what you see as the likely benefits or costs to you (financial or non-financial). If possible, please attempt to quantify these costs and benefits.</w:t>
            </w:r>
          </w:p>
          <w:p w:rsidR="0077230D" w:rsidRDefault="0077230D" w:rsidP="00270BCB">
            <w:r w:rsidRPr="0056198C">
              <w:rPr>
                <w:b/>
              </w:rPr>
              <w:t>Question 3:</w:t>
            </w:r>
            <w:r>
              <w:t xml:space="preserve"> Noting that early publication </w:t>
            </w:r>
            <w:r w:rsidR="00654304">
              <w:t xml:space="preserve">for </w:t>
            </w:r>
            <w:r w:rsidR="004541B0">
              <w:t>innovator</w:t>
            </w:r>
            <w:r w:rsidR="00654304">
              <w:t xml:space="preserve"> medicines </w:t>
            </w:r>
            <w:r>
              <w:t>and an early notification scheme</w:t>
            </w:r>
            <w:r w:rsidR="00654304">
              <w:t xml:space="preserve"> for new generic medicines</w:t>
            </w:r>
            <w:r>
              <w:t xml:space="preserve"> have </w:t>
            </w:r>
            <w:r w:rsidR="00215EAF">
              <w:t xml:space="preserve">government </w:t>
            </w:r>
            <w:r>
              <w:t>approval, what changes would you propose to minimise burden on industry?</w:t>
            </w:r>
          </w:p>
          <w:p w:rsidR="0077230D" w:rsidRPr="00215D48" w:rsidRDefault="00B82F1F" w:rsidP="000861E5">
            <w:r w:rsidRPr="00B82F1F">
              <w:rPr>
                <w:b/>
              </w:rPr>
              <w:t>Question 4:</w:t>
            </w:r>
            <w:r>
              <w:t xml:space="preserve"> What other requirements for information should the notification include?</w:t>
            </w:r>
          </w:p>
        </w:tc>
      </w:tr>
    </w:tbl>
    <w:p w:rsidR="008A089B" w:rsidRPr="008A089B" w:rsidRDefault="000861E5" w:rsidP="000861E5">
      <w:pPr>
        <w:pStyle w:val="Heading2"/>
        <w:pageBreakBefore/>
      </w:pPr>
      <w:bookmarkStart w:id="12" w:name="_Toc37252484"/>
      <w:r>
        <w:lastRenderedPageBreak/>
        <w:t>Attachment 1 -</w:t>
      </w:r>
      <w:r w:rsidR="008A089B" w:rsidRPr="008A089B">
        <w:t xml:space="preserve"> </w:t>
      </w:r>
      <w:r w:rsidR="002A7819">
        <w:t xml:space="preserve">Detailed options for notification </w:t>
      </w:r>
      <w:r w:rsidR="008A089B" w:rsidRPr="008A089B">
        <w:t>of generic medicine applications to the innovator</w:t>
      </w:r>
      <w:bookmarkEnd w:id="12"/>
    </w:p>
    <w:p w:rsidR="008A089B" w:rsidRPr="00594523" w:rsidRDefault="008A089B" w:rsidP="000861E5">
      <w:pPr>
        <w:pStyle w:val="Heading3"/>
      </w:pPr>
      <w:bookmarkStart w:id="13" w:name="_Toc37252485"/>
      <w:r w:rsidRPr="00594523">
        <w:t xml:space="preserve">Option 1 – early notification applies in addition to the existing scheme, only where a patent </w:t>
      </w:r>
      <w:r w:rsidRPr="000861E5">
        <w:rPr>
          <w:i/>
        </w:rPr>
        <w:t>has not</w:t>
      </w:r>
      <w:r w:rsidRPr="00594523">
        <w:t xml:space="preserve"> expired</w:t>
      </w:r>
      <w:bookmarkEnd w:id="13"/>
    </w:p>
    <w:p w:rsidR="008A089B" w:rsidRPr="00594523" w:rsidRDefault="00770AC9" w:rsidP="000861E5">
      <w:r w:rsidRPr="00594523">
        <w:t>A</w:t>
      </w:r>
      <w:r w:rsidR="008A089B" w:rsidRPr="00594523">
        <w:t xml:space="preserve"> patent has been granted in relation to another medicine for which evidence or information has been submitted to the Secretary, and the term of the patent has not expired (the new measure is only intended to apply where a valid patent is in place for the other medicine, and not where such a patent has already expired)</w:t>
      </w:r>
    </w:p>
    <w:p w:rsidR="008A089B" w:rsidRPr="00594523" w:rsidRDefault="00770AC9" w:rsidP="00A0397C">
      <w:pPr>
        <w:rPr>
          <w:rFonts w:asciiTheme="minorHAnsi" w:hAnsiTheme="minorHAnsi"/>
          <w:szCs w:val="22"/>
        </w:rPr>
      </w:pPr>
      <w:proofErr w:type="gramStart"/>
      <w:r w:rsidRPr="00594523">
        <w:rPr>
          <w:rFonts w:asciiTheme="minorHAnsi" w:hAnsiTheme="minorHAnsi"/>
          <w:szCs w:val="22"/>
        </w:rPr>
        <w:t xml:space="preserve">The </w:t>
      </w:r>
      <w:r w:rsidR="008A089B" w:rsidRPr="00594523">
        <w:rPr>
          <w:rFonts w:asciiTheme="minorHAnsi" w:hAnsiTheme="minorHAnsi"/>
          <w:szCs w:val="22"/>
        </w:rPr>
        <w:t>applicant is required to notify the patent holder that its application has passed preliminary assessment</w:t>
      </w:r>
      <w:r w:rsidR="00B47499">
        <w:rPr>
          <w:rFonts w:asciiTheme="minorHAnsi" w:hAnsiTheme="minorHAnsi"/>
          <w:szCs w:val="22"/>
        </w:rPr>
        <w:t xml:space="preserve"> </w:t>
      </w:r>
      <w:r w:rsidR="006C542F">
        <w:rPr>
          <w:rFonts w:asciiTheme="minorHAnsi" w:hAnsiTheme="minorHAnsi"/>
          <w:szCs w:val="22"/>
        </w:rPr>
        <w:t>and,</w:t>
      </w:r>
      <w:r w:rsidR="00B47499">
        <w:rPr>
          <w:rFonts w:asciiTheme="minorHAnsi" w:hAnsiTheme="minorHAnsi"/>
          <w:szCs w:val="22"/>
        </w:rPr>
        <w:t xml:space="preserve"> </w:t>
      </w:r>
      <w:r w:rsidR="006C542F">
        <w:rPr>
          <w:rFonts w:asciiTheme="minorHAnsi" w:hAnsiTheme="minorHAnsi"/>
          <w:szCs w:val="22"/>
        </w:rPr>
        <w:t>a</w:t>
      </w:r>
      <w:r w:rsidR="008A089B" w:rsidRPr="00594523">
        <w:rPr>
          <w:rFonts w:asciiTheme="minorHAnsi" w:hAnsiTheme="minorHAnsi"/>
          <w:szCs w:val="22"/>
        </w:rPr>
        <w:t>s part of that notification,</w:t>
      </w:r>
      <w:r w:rsidR="006C542F">
        <w:rPr>
          <w:rFonts w:asciiTheme="minorHAnsi" w:hAnsiTheme="minorHAnsi"/>
          <w:szCs w:val="22"/>
        </w:rPr>
        <w:t xml:space="preserve"> the applicant would be required to </w:t>
      </w:r>
      <w:r w:rsidR="008A089B" w:rsidRPr="00594523">
        <w:rPr>
          <w:rFonts w:asciiTheme="minorHAnsi" w:hAnsiTheme="minorHAnsi"/>
          <w:szCs w:val="22"/>
        </w:rPr>
        <w:t xml:space="preserve">inform the patent holder that the application for registration of the new medicine intends to rely (in whole or in part) on the patentee’s evidence or information (note that, in notifying the innovator under this proposal, the generic applicant would not have, as currently under subparagraph 25AB(3)(c)(ii), the option of declaring that a certificate to inform </w:t>
      </w:r>
      <w:r w:rsidR="000861E5">
        <w:rPr>
          <w:rFonts w:asciiTheme="minorHAnsi" w:hAnsiTheme="minorHAnsi"/>
          <w:szCs w:val="22"/>
        </w:rPr>
        <w:t>the innovator is not required).</w:t>
      </w:r>
      <w:proofErr w:type="gramEnd"/>
    </w:p>
    <w:p w:rsidR="00770AC9" w:rsidRPr="00594523" w:rsidRDefault="00770AC9" w:rsidP="00A0397C">
      <w:pPr>
        <w:rPr>
          <w:rFonts w:asciiTheme="minorHAnsi" w:hAnsiTheme="minorHAnsi"/>
          <w:szCs w:val="22"/>
        </w:rPr>
      </w:pPr>
      <w:r w:rsidRPr="00594523">
        <w:rPr>
          <w:rFonts w:asciiTheme="minorHAnsi" w:hAnsiTheme="minorHAnsi"/>
          <w:szCs w:val="22"/>
        </w:rPr>
        <w:t>A</w:t>
      </w:r>
      <w:r w:rsidR="008A089B" w:rsidRPr="00594523">
        <w:rPr>
          <w:rFonts w:asciiTheme="minorHAnsi" w:hAnsiTheme="minorHAnsi"/>
          <w:szCs w:val="22"/>
        </w:rPr>
        <w:t xml:space="preserve">s part of the new notification, inform the patentee </w:t>
      </w:r>
      <w:r w:rsidRPr="00594523">
        <w:rPr>
          <w:rFonts w:asciiTheme="minorHAnsi" w:hAnsiTheme="minorHAnsi"/>
          <w:szCs w:val="22"/>
        </w:rPr>
        <w:t xml:space="preserve">that an application has passed preliminary assessment regardless of whether the applicant considers that it </w:t>
      </w:r>
      <w:proofErr w:type="gramStart"/>
      <w:r w:rsidRPr="00594523">
        <w:rPr>
          <w:rFonts w:asciiTheme="minorHAnsi" w:hAnsiTheme="minorHAnsi"/>
          <w:szCs w:val="22"/>
        </w:rPr>
        <w:t>would, by the marketing of the applicant medicine, infringe</w:t>
      </w:r>
      <w:proofErr w:type="gramEnd"/>
      <w:r w:rsidRPr="00594523">
        <w:rPr>
          <w:rFonts w:asciiTheme="minorHAnsi" w:hAnsiTheme="minorHAnsi"/>
          <w:szCs w:val="22"/>
        </w:rPr>
        <w:t xml:space="preserve"> the patent. It would be required to inform the patentee that the applicant proposes the use of the evidence or information relying on the evidence or information for</w:t>
      </w:r>
      <w:r w:rsidR="000861E5">
        <w:rPr>
          <w:rFonts w:asciiTheme="minorHAnsi" w:hAnsiTheme="minorHAnsi"/>
          <w:szCs w:val="22"/>
        </w:rPr>
        <w:t xml:space="preserve"> which there is a patent.</w:t>
      </w:r>
    </w:p>
    <w:p w:rsidR="00770AC9" w:rsidRPr="00594523" w:rsidRDefault="00770AC9" w:rsidP="00A0397C">
      <w:pPr>
        <w:rPr>
          <w:rFonts w:asciiTheme="minorHAnsi" w:hAnsiTheme="minorHAnsi"/>
          <w:szCs w:val="22"/>
        </w:rPr>
      </w:pPr>
      <w:r w:rsidRPr="00594523">
        <w:rPr>
          <w:rFonts w:asciiTheme="minorHAnsi" w:hAnsiTheme="minorHAnsi"/>
          <w:szCs w:val="22"/>
        </w:rPr>
        <w:t>The</w:t>
      </w:r>
      <w:r w:rsidR="000861E5">
        <w:rPr>
          <w:rFonts w:asciiTheme="minorHAnsi" w:hAnsiTheme="minorHAnsi"/>
          <w:szCs w:val="22"/>
        </w:rPr>
        <w:t xml:space="preserve"> notification would state that:</w:t>
      </w:r>
    </w:p>
    <w:p w:rsidR="008A089B" w:rsidRPr="00594523" w:rsidRDefault="008A089B" w:rsidP="000861E5">
      <w:pPr>
        <w:pStyle w:val="ListBullet"/>
      </w:pPr>
      <w:r w:rsidRPr="00594523">
        <w:t>the generic medicine applicant is acting in good faith and if their medicine is registered in the Register after being evaluated, the applicant does not propose to market their medicine in a manner, or in circumstances, that would infringe a valid claim of a patent that has been granted in relation to the other person’s medicine (i.e. an adaption of the current paragraph 26B(1)(a) of the Act); or</w:t>
      </w:r>
    </w:p>
    <w:p w:rsidR="008A089B" w:rsidRPr="00594523" w:rsidRDefault="008A089B" w:rsidP="000861E5">
      <w:pPr>
        <w:pStyle w:val="ListBullet"/>
      </w:pPr>
      <w:r w:rsidRPr="00594523">
        <w:t>a patent has been granted in relation to the other person’s medicine, and inform the other person that the person (i.e. the generic medicine applicant) proposes to market their medicine before the end of the term of the patent (i.e. an adaption of the current</w:t>
      </w:r>
      <w:r w:rsidR="000861E5">
        <w:t xml:space="preserve"> paragraph 26B(1)(b) of the Act</w:t>
      </w:r>
    </w:p>
    <w:p w:rsidR="008A089B" w:rsidRPr="00594523" w:rsidRDefault="008A089B" w:rsidP="000861E5">
      <w:r w:rsidRPr="00594523">
        <w:t>The new provision (or a related new provision) would also require such a person to notify the Secretary that they have notified the other person, and provide a copy of the notification.</w:t>
      </w:r>
    </w:p>
    <w:p w:rsidR="008A089B" w:rsidRPr="00594523" w:rsidRDefault="008A089B" w:rsidP="000861E5">
      <w:r w:rsidRPr="00594523">
        <w:t xml:space="preserve">A new power </w:t>
      </w:r>
      <w:proofErr w:type="gramStart"/>
      <w:r w:rsidR="006C542F">
        <w:t>would be provided</w:t>
      </w:r>
      <w:proofErr w:type="gramEnd"/>
      <w:r w:rsidR="006C542F">
        <w:t xml:space="preserve"> </w:t>
      </w:r>
      <w:r w:rsidRPr="00594523">
        <w:t>for the Secretary to require the innovator to provide information or documents in relation to verifyi</w:t>
      </w:r>
      <w:r w:rsidR="000861E5">
        <w:t>ng that the person has done so.</w:t>
      </w:r>
    </w:p>
    <w:p w:rsidR="00F469A4" w:rsidRPr="00594523" w:rsidRDefault="00F469A4" w:rsidP="000861E5">
      <w:r w:rsidRPr="00594523">
        <w:t xml:space="preserve">A requirement </w:t>
      </w:r>
      <w:r w:rsidR="006C542F">
        <w:t xml:space="preserve">would be included </w:t>
      </w:r>
      <w:r w:rsidRPr="00594523">
        <w:t>for the patentee to treat the information that an application has passed preliminary assessment as confidential</w:t>
      </w:r>
      <w:r w:rsidR="000861E5">
        <w:t>.</w:t>
      </w:r>
    </w:p>
    <w:p w:rsidR="008A089B" w:rsidRPr="00594523" w:rsidRDefault="008A089B" w:rsidP="000861E5">
      <w:proofErr w:type="gramStart"/>
      <w:r w:rsidRPr="00594523">
        <w:t xml:space="preserve">A mechanism, in similar terms to paragraphs 24(2)(b) and (c) of the Act, </w:t>
      </w:r>
      <w:r w:rsidR="006C542F">
        <w:t xml:space="preserve">would also be included </w:t>
      </w:r>
      <w:r w:rsidRPr="00594523">
        <w:t>under which the application for the medicine will lapse if the notification or copy contains information that is inaccurate or misleading in a material particular, or if information given to the Secretary in connection with the notification or copy is inaccurate or misleading in a material particular.</w:t>
      </w:r>
      <w:proofErr w:type="gramEnd"/>
    </w:p>
    <w:p w:rsidR="007666D7" w:rsidRPr="00594523" w:rsidRDefault="008A089B" w:rsidP="000861E5">
      <w:pPr>
        <w:keepNext/>
      </w:pPr>
      <w:r w:rsidRPr="00594523">
        <w:lastRenderedPageBreak/>
        <w:t>A</w:t>
      </w:r>
      <w:r w:rsidR="007666D7" w:rsidRPr="00594523">
        <w:t>n o</w:t>
      </w:r>
      <w:r w:rsidR="00594523" w:rsidRPr="00594523">
        <w:t>ffence, the</w:t>
      </w:r>
      <w:r w:rsidR="007666D7" w:rsidRPr="00594523">
        <w:t xml:space="preserve"> nature of the offence is along similar lines to subsection </w:t>
      </w:r>
      <w:proofErr w:type="gramStart"/>
      <w:r w:rsidR="007666D7" w:rsidRPr="00594523">
        <w:t>26B(</w:t>
      </w:r>
      <w:proofErr w:type="gramEnd"/>
      <w:r w:rsidR="007666D7" w:rsidRPr="00594523">
        <w:t>2) as follows:</w:t>
      </w:r>
    </w:p>
    <w:p w:rsidR="007666D7" w:rsidRPr="00594523" w:rsidRDefault="007666D7" w:rsidP="000861E5">
      <w:pPr>
        <w:keepNext/>
        <w:rPr>
          <w:rFonts w:asciiTheme="minorHAnsi" w:hAnsiTheme="minorHAnsi"/>
          <w:szCs w:val="22"/>
        </w:rPr>
      </w:pPr>
      <w:r w:rsidRPr="00594523">
        <w:rPr>
          <w:rFonts w:asciiTheme="minorHAnsi" w:hAnsiTheme="minorHAnsi"/>
          <w:szCs w:val="22"/>
        </w:rPr>
        <w:t>A person commits an offence if:</w:t>
      </w:r>
    </w:p>
    <w:p w:rsidR="007666D7" w:rsidRPr="00594523" w:rsidRDefault="007666D7" w:rsidP="000861E5">
      <w:pPr>
        <w:pStyle w:val="Numberbullet2"/>
      </w:pPr>
      <w:r w:rsidRPr="00594523">
        <w:t>the person gives a certificate required under subsection (1); and</w:t>
      </w:r>
    </w:p>
    <w:p w:rsidR="007666D7" w:rsidRPr="00594523" w:rsidRDefault="007666D7" w:rsidP="000861E5">
      <w:pPr>
        <w:pStyle w:val="Numberbullet2"/>
      </w:pPr>
      <w:proofErr w:type="gramStart"/>
      <w:r w:rsidRPr="00594523">
        <w:t>the</w:t>
      </w:r>
      <w:proofErr w:type="gramEnd"/>
      <w:r w:rsidRPr="00594523">
        <w:t xml:space="preserve"> certificate is false or misleading in a material particular.</w:t>
      </w:r>
    </w:p>
    <w:p w:rsidR="008A089B" w:rsidRPr="00594523" w:rsidRDefault="006C542F" w:rsidP="007666D7">
      <w:pPr>
        <w:ind w:firstLine="720"/>
        <w:rPr>
          <w:rFonts w:asciiTheme="minorHAnsi" w:hAnsiTheme="minorHAnsi"/>
          <w:szCs w:val="22"/>
        </w:rPr>
      </w:pPr>
      <w:r>
        <w:rPr>
          <w:rFonts w:asciiTheme="minorHAnsi" w:hAnsiTheme="minorHAnsi"/>
          <w:szCs w:val="22"/>
        </w:rPr>
        <w:t>Penalty:  1,000 penalty units</w:t>
      </w:r>
    </w:p>
    <w:p w:rsidR="008A089B" w:rsidRPr="00594523" w:rsidRDefault="006C542F" w:rsidP="000861E5">
      <w:r>
        <w:t xml:space="preserve">An amendment would be included to </w:t>
      </w:r>
      <w:r w:rsidR="008A089B" w:rsidRPr="00594523">
        <w:t xml:space="preserve">subsection </w:t>
      </w:r>
      <w:proofErr w:type="gramStart"/>
      <w:r w:rsidR="008A089B" w:rsidRPr="00594523">
        <w:t>25A(</w:t>
      </w:r>
      <w:proofErr w:type="gramEnd"/>
      <w:r w:rsidR="008A089B" w:rsidRPr="00594523">
        <w:t>1) of the Act to make it clear that the Secretary will not be obliged to evaluate the medicine for registration unless and until the person gives the Secretary the notification and copy.</w:t>
      </w:r>
    </w:p>
    <w:p w:rsidR="008A089B" w:rsidRPr="00594523" w:rsidRDefault="008A089B" w:rsidP="000861E5">
      <w:r w:rsidRPr="00594523">
        <w:t xml:space="preserve">Paragraph 25AB(3)(c) of the Act </w:t>
      </w:r>
      <w:r w:rsidR="006C542F">
        <w:t xml:space="preserve">would remain </w:t>
      </w:r>
      <w:r w:rsidR="007666D7" w:rsidRPr="00594523">
        <w:t>unchanged</w:t>
      </w:r>
      <w:r w:rsidRPr="00594523">
        <w:t xml:space="preserve"> - i.e. with generics in effect providing the new notification after passing preliminary assessment, and the existing certification requirements after the completion of the evaluation (this involves duplication for the generic applicant)</w:t>
      </w:r>
      <w:r w:rsidR="000861E5">
        <w:t>.</w:t>
      </w:r>
    </w:p>
    <w:p w:rsidR="008A089B" w:rsidRPr="00594523" w:rsidRDefault="008A089B" w:rsidP="000861E5">
      <w:r w:rsidRPr="00594523">
        <w:t xml:space="preserve">In relation to </w:t>
      </w:r>
      <w:r w:rsidR="006C542F">
        <w:t xml:space="preserve">the </w:t>
      </w:r>
      <w:r w:rsidRPr="00594523">
        <w:t xml:space="preserve">timing of the notification, the scheme could operate in addition to the existing scheme: generics would provide the new notification after passing preliminary </w:t>
      </w:r>
      <w:proofErr w:type="gramStart"/>
      <w:r w:rsidRPr="00594523">
        <w:t>assessment,</w:t>
      </w:r>
      <w:proofErr w:type="gramEnd"/>
      <w:r w:rsidRPr="00594523">
        <w:t xml:space="preserve"> and the existing certification requirements (under 26B) later, commonly this is done after the completion of the evaluation.</w:t>
      </w:r>
    </w:p>
    <w:p w:rsidR="008A089B" w:rsidRPr="000861E5" w:rsidRDefault="008A089B" w:rsidP="000861E5">
      <w:pPr>
        <w:pStyle w:val="Heading3"/>
      </w:pPr>
      <w:bookmarkStart w:id="14" w:name="_Toc37252486"/>
      <w:r w:rsidRPr="00594523">
        <w:t xml:space="preserve">Option </w:t>
      </w:r>
      <w:r w:rsidR="00502D05">
        <w:t>2</w:t>
      </w:r>
      <w:r w:rsidRPr="00594523">
        <w:t xml:space="preserve"> - requires early notification instead of the existing scheme where a p</w:t>
      </w:r>
      <w:r w:rsidR="000861E5">
        <w:t>atent has, and has not, expired</w:t>
      </w:r>
      <w:bookmarkEnd w:id="14"/>
    </w:p>
    <w:p w:rsidR="00594523" w:rsidRPr="00594523" w:rsidRDefault="001C30E0" w:rsidP="00594523">
      <w:pPr>
        <w:rPr>
          <w:rFonts w:asciiTheme="minorHAnsi" w:hAnsiTheme="minorHAnsi"/>
          <w:szCs w:val="22"/>
        </w:rPr>
      </w:pPr>
      <w:proofErr w:type="gramStart"/>
      <w:r>
        <w:rPr>
          <w:rFonts w:asciiTheme="minorHAnsi" w:hAnsiTheme="minorHAnsi"/>
          <w:szCs w:val="22"/>
        </w:rPr>
        <w:t>The option would mo</w:t>
      </w:r>
      <w:r w:rsidR="006038C5">
        <w:rPr>
          <w:rFonts w:asciiTheme="minorHAnsi" w:hAnsiTheme="minorHAnsi"/>
          <w:szCs w:val="22"/>
        </w:rPr>
        <w:t>v</w:t>
      </w:r>
      <w:r>
        <w:rPr>
          <w:rFonts w:asciiTheme="minorHAnsi" w:hAnsiTheme="minorHAnsi"/>
          <w:szCs w:val="22"/>
        </w:rPr>
        <w:t xml:space="preserve">e the </w:t>
      </w:r>
      <w:r w:rsidR="00594523" w:rsidRPr="00594523">
        <w:rPr>
          <w:rFonts w:asciiTheme="minorHAnsi" w:hAnsiTheme="minorHAnsi"/>
          <w:szCs w:val="22"/>
        </w:rPr>
        <w:t xml:space="preserve">current requirement under paragraph 25AB (3)(c) of the </w:t>
      </w:r>
      <w:r w:rsidR="006C542F">
        <w:rPr>
          <w:rFonts w:asciiTheme="minorHAnsi" w:hAnsiTheme="minorHAnsi"/>
          <w:szCs w:val="22"/>
        </w:rPr>
        <w:t xml:space="preserve">Act </w:t>
      </w:r>
      <w:r w:rsidR="00594523" w:rsidRPr="00594523">
        <w:rPr>
          <w:rFonts w:asciiTheme="minorHAnsi" w:hAnsiTheme="minorHAnsi"/>
          <w:szCs w:val="22"/>
        </w:rPr>
        <w:t>for applicants to provide a patent certificate or a notification that such</w:t>
      </w:r>
      <w:r w:rsidR="006C542F">
        <w:rPr>
          <w:rFonts w:asciiTheme="minorHAnsi" w:hAnsiTheme="minorHAnsi"/>
          <w:szCs w:val="22"/>
        </w:rPr>
        <w:t xml:space="preserve"> a certificate is not required </w:t>
      </w:r>
      <w:r w:rsidR="00594523" w:rsidRPr="00594523">
        <w:rPr>
          <w:rFonts w:asciiTheme="minorHAnsi" w:hAnsiTheme="minorHAnsi"/>
          <w:szCs w:val="22"/>
        </w:rPr>
        <w:t xml:space="preserve">from the point in time where </w:t>
      </w:r>
      <w:r w:rsidR="006C542F">
        <w:rPr>
          <w:rFonts w:asciiTheme="minorHAnsi" w:hAnsiTheme="minorHAnsi"/>
          <w:szCs w:val="22"/>
        </w:rPr>
        <w:t xml:space="preserve">it occurs currently (i.e. when </w:t>
      </w:r>
      <w:r w:rsidR="00594523" w:rsidRPr="00594523">
        <w:rPr>
          <w:rFonts w:asciiTheme="minorHAnsi" w:hAnsiTheme="minorHAnsi"/>
          <w:szCs w:val="22"/>
        </w:rPr>
        <w:t>th</w:t>
      </w:r>
      <w:r w:rsidR="006C542F">
        <w:rPr>
          <w:rFonts w:asciiTheme="minorHAnsi" w:hAnsiTheme="minorHAnsi"/>
          <w:szCs w:val="22"/>
        </w:rPr>
        <w:t xml:space="preserve">e evaluation has been completed, </w:t>
      </w:r>
      <w:r w:rsidR="00594523" w:rsidRPr="00594523">
        <w:rPr>
          <w:rFonts w:asciiTheme="minorHAnsi" w:hAnsiTheme="minorHAnsi"/>
          <w:szCs w:val="22"/>
        </w:rPr>
        <w:t>prior to entry of the approved medicine onto the Register) to the point in time after an application for registration passes preliminary assessment (prior to the commencement of evaluat</w:t>
      </w:r>
      <w:r w:rsidR="000861E5">
        <w:rPr>
          <w:rFonts w:asciiTheme="minorHAnsi" w:hAnsiTheme="minorHAnsi"/>
          <w:szCs w:val="22"/>
        </w:rPr>
        <w:t>ion of the applicant medicine).</w:t>
      </w:r>
      <w:proofErr w:type="gramEnd"/>
    </w:p>
    <w:p w:rsidR="00594523" w:rsidRDefault="006038C5" w:rsidP="00594523">
      <w:pPr>
        <w:rPr>
          <w:rFonts w:asciiTheme="minorHAnsi" w:hAnsiTheme="minorHAnsi"/>
          <w:szCs w:val="22"/>
        </w:rPr>
      </w:pPr>
      <w:r>
        <w:rPr>
          <w:rFonts w:asciiTheme="minorHAnsi" w:hAnsiTheme="minorHAnsi"/>
          <w:szCs w:val="22"/>
        </w:rPr>
        <w:t>I</w:t>
      </w:r>
      <w:r w:rsidR="00594523" w:rsidRPr="00594523">
        <w:rPr>
          <w:rFonts w:asciiTheme="minorHAnsi" w:hAnsiTheme="minorHAnsi"/>
          <w:szCs w:val="22"/>
        </w:rPr>
        <w:t>n addition to moving the current certification or notification requirements to t</w:t>
      </w:r>
      <w:r w:rsidR="006C542F">
        <w:rPr>
          <w:rFonts w:asciiTheme="minorHAnsi" w:hAnsiTheme="minorHAnsi"/>
          <w:szCs w:val="22"/>
        </w:rPr>
        <w:t xml:space="preserve">he earlier point in the process, this option would </w:t>
      </w:r>
      <w:r w:rsidR="00594523" w:rsidRPr="00594523">
        <w:rPr>
          <w:rFonts w:asciiTheme="minorHAnsi" w:hAnsiTheme="minorHAnsi"/>
          <w:szCs w:val="22"/>
        </w:rPr>
        <w:t xml:space="preserve">also require the applicant to provide </w:t>
      </w:r>
      <w:r w:rsidR="006C542F">
        <w:rPr>
          <w:rFonts w:asciiTheme="minorHAnsi" w:hAnsiTheme="minorHAnsi"/>
          <w:szCs w:val="22"/>
        </w:rPr>
        <w:t xml:space="preserve">a </w:t>
      </w:r>
      <w:r w:rsidR="00594523" w:rsidRPr="00594523">
        <w:rPr>
          <w:rFonts w:asciiTheme="minorHAnsi" w:hAnsiTheme="minorHAnsi"/>
          <w:szCs w:val="22"/>
        </w:rPr>
        <w:t>notification to the innovator where the applicant determines that a valid p</w:t>
      </w:r>
      <w:r w:rsidR="00502D05">
        <w:rPr>
          <w:rFonts w:asciiTheme="minorHAnsi" w:hAnsiTheme="minorHAnsi"/>
          <w:szCs w:val="22"/>
        </w:rPr>
        <w:t xml:space="preserve">atent </w:t>
      </w:r>
      <w:proofErr w:type="gramStart"/>
      <w:r w:rsidR="00502D05">
        <w:rPr>
          <w:rFonts w:asciiTheme="minorHAnsi" w:hAnsiTheme="minorHAnsi"/>
          <w:szCs w:val="22"/>
        </w:rPr>
        <w:t>is not infringed</w:t>
      </w:r>
      <w:proofErr w:type="gramEnd"/>
      <w:r w:rsidR="00502D05">
        <w:rPr>
          <w:rFonts w:asciiTheme="minorHAnsi" w:hAnsiTheme="minorHAnsi"/>
          <w:szCs w:val="22"/>
        </w:rPr>
        <w:t xml:space="preserve">. Option 2 </w:t>
      </w:r>
      <w:r w:rsidR="00594523" w:rsidRPr="00594523">
        <w:rPr>
          <w:rFonts w:asciiTheme="minorHAnsi" w:hAnsiTheme="minorHAnsi"/>
          <w:szCs w:val="22"/>
        </w:rPr>
        <w:t>would require early notification for both innovators (to the Secretary only) and generics (to the innovator and the Secretary) regardless of whether the patent term has ended.</w:t>
      </w:r>
    </w:p>
    <w:p w:rsidR="00594523" w:rsidRPr="00594523" w:rsidRDefault="009B0CFF" w:rsidP="00A0397C">
      <w:pPr>
        <w:rPr>
          <w:rFonts w:asciiTheme="minorHAnsi" w:hAnsiTheme="minorHAnsi"/>
          <w:szCs w:val="22"/>
        </w:rPr>
      </w:pPr>
      <w:r>
        <w:rPr>
          <w:rFonts w:asciiTheme="minorHAnsi" w:hAnsiTheme="minorHAnsi"/>
          <w:szCs w:val="22"/>
        </w:rPr>
        <w:t xml:space="preserve">Other aspects </w:t>
      </w:r>
      <w:r w:rsidR="006038C5">
        <w:rPr>
          <w:rFonts w:asciiTheme="minorHAnsi" w:hAnsiTheme="minorHAnsi"/>
          <w:szCs w:val="22"/>
        </w:rPr>
        <w:t xml:space="preserve">would </w:t>
      </w:r>
      <w:r>
        <w:rPr>
          <w:rFonts w:asciiTheme="minorHAnsi" w:hAnsiTheme="minorHAnsi"/>
          <w:szCs w:val="22"/>
        </w:rPr>
        <w:t>operate</w:t>
      </w:r>
      <w:r w:rsidR="006C542F">
        <w:rPr>
          <w:rFonts w:asciiTheme="minorHAnsi" w:hAnsiTheme="minorHAnsi"/>
          <w:szCs w:val="22"/>
        </w:rPr>
        <w:t xml:space="preserve"> similar to O</w:t>
      </w:r>
      <w:r w:rsidR="006038C5">
        <w:rPr>
          <w:rFonts w:asciiTheme="minorHAnsi" w:hAnsiTheme="minorHAnsi"/>
          <w:szCs w:val="22"/>
        </w:rPr>
        <w:t xml:space="preserve">ption </w:t>
      </w:r>
      <w:r w:rsidR="00502D05">
        <w:rPr>
          <w:rFonts w:asciiTheme="minorHAnsi" w:hAnsiTheme="minorHAnsi"/>
          <w:szCs w:val="22"/>
        </w:rPr>
        <w:t>1</w:t>
      </w:r>
      <w:r w:rsidR="006038C5">
        <w:rPr>
          <w:rFonts w:asciiTheme="minorHAnsi" w:hAnsiTheme="minorHAnsi"/>
          <w:szCs w:val="22"/>
        </w:rPr>
        <w:t>.</w:t>
      </w:r>
    </w:p>
    <w:bookmarkEnd w:id="1"/>
    <w:bookmarkEnd w:id="2"/>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F82D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F82D35">
            <w:bookmarkStart w:id="15" w:name="ColumnTitle_4"/>
            <w:r w:rsidRPr="00215D48">
              <w:t>Version</w:t>
            </w:r>
          </w:p>
        </w:tc>
        <w:tc>
          <w:tcPr>
            <w:tcW w:w="3242" w:type="dxa"/>
          </w:tcPr>
          <w:p w:rsidR="001A3190" w:rsidRPr="00215D48" w:rsidRDefault="001A3190" w:rsidP="00F82D35">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F82D35">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F82D35">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5"/>
      <w:tr w:rsidR="001A3190" w:rsidRPr="00215D48" w:rsidTr="00F82D35">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515682" w:rsidP="00B47499">
            <w:r>
              <w:t>V</w:t>
            </w:r>
            <w:r w:rsidR="00B47499">
              <w:t>1</w:t>
            </w:r>
            <w:r>
              <w:t>.</w:t>
            </w:r>
            <w:r w:rsidR="0081612E">
              <w:t>0</w:t>
            </w:r>
          </w:p>
        </w:tc>
        <w:tc>
          <w:tcPr>
            <w:tcW w:w="3242" w:type="dxa"/>
          </w:tcPr>
          <w:p w:rsidR="001A3190" w:rsidRPr="00215D48" w:rsidRDefault="00B47499" w:rsidP="00B47499">
            <w:pPr>
              <w:cnfStyle w:val="000000000000" w:firstRow="0" w:lastRow="0" w:firstColumn="0" w:lastColumn="0" w:oddVBand="0" w:evenVBand="0" w:oddHBand="0" w:evenHBand="0" w:firstRowFirstColumn="0" w:firstRowLastColumn="0" w:lastRowFirstColumn="0" w:lastRowLastColumn="0"/>
            </w:pPr>
            <w:r>
              <w:t xml:space="preserve">Original </w:t>
            </w:r>
            <w:r w:rsidR="001A3190" w:rsidRPr="00215D48">
              <w:t>publication</w:t>
            </w:r>
          </w:p>
        </w:tc>
        <w:tc>
          <w:tcPr>
            <w:tcW w:w="2712" w:type="dxa"/>
          </w:tcPr>
          <w:p w:rsidR="001A3190" w:rsidRPr="00215D48" w:rsidRDefault="00515682" w:rsidP="00515682">
            <w:pPr>
              <w:cnfStyle w:val="000000000000" w:firstRow="0" w:lastRow="0" w:firstColumn="0" w:lastColumn="0" w:oddVBand="0" w:evenVBand="0" w:oddHBand="0" w:evenHBand="0" w:firstRowFirstColumn="0" w:firstRowLastColumn="0" w:lastRowFirstColumn="0" w:lastRowLastColumn="0"/>
            </w:pPr>
            <w:r>
              <w:t xml:space="preserve">Application and Advisory Management </w:t>
            </w:r>
            <w:r w:rsidR="001A3190" w:rsidRPr="00215D48">
              <w:t>/</w:t>
            </w:r>
            <w:r>
              <w:t xml:space="preserve"> Prescription Medicine Authorisation Branch</w:t>
            </w:r>
          </w:p>
        </w:tc>
        <w:tc>
          <w:tcPr>
            <w:tcW w:w="1808" w:type="dxa"/>
          </w:tcPr>
          <w:p w:rsidR="001A3190" w:rsidRPr="00215D48" w:rsidRDefault="0031013C" w:rsidP="00F249A9">
            <w:pPr>
              <w:cnfStyle w:val="000000000000" w:firstRow="0" w:lastRow="0" w:firstColumn="0" w:lastColumn="0" w:oddVBand="0" w:evenVBand="0" w:oddHBand="0" w:evenHBand="0" w:firstRowFirstColumn="0" w:firstRowLastColumn="0" w:lastRowFirstColumn="0" w:lastRowLastColumn="0"/>
            </w:pPr>
            <w:r>
              <w:t>2</w:t>
            </w:r>
            <w:r w:rsidR="00F249A9">
              <w:t>7</w:t>
            </w:r>
            <w:r w:rsidR="001A3190" w:rsidRPr="00215D48">
              <w:t>/</w:t>
            </w:r>
            <w:r w:rsidR="00515682">
              <w:t>03</w:t>
            </w:r>
            <w:r w:rsidR="001A3190" w:rsidRPr="00215D48">
              <w:t>/</w:t>
            </w:r>
            <w:r w:rsidR="00515682">
              <w:t>2020</w:t>
            </w:r>
            <w:r w:rsidR="00926B0E">
              <w:t xml:space="preserve"> </w:t>
            </w:r>
          </w:p>
        </w:tc>
      </w:tr>
    </w:tbl>
    <w:p w:rsidR="00F401EF" w:rsidRPr="00215D48" w:rsidRDefault="00F401EF" w:rsidP="00706634">
      <w:pPr>
        <w:spacing w:before="0" w:after="0" w:line="240" w:lineRule="auto"/>
        <w:rPr>
          <w:sz w:val="20"/>
        </w:rPr>
        <w:sectPr w:rsidR="00F401EF" w:rsidRPr="00215D48" w:rsidSect="00B47499">
          <w:headerReference w:type="default" r:id="rId15"/>
          <w:footerReference w:type="default" r:id="rId1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F82D35">
        <w:trPr>
          <w:trHeight w:hRule="exact" w:val="565"/>
          <w:jc w:val="center"/>
        </w:trPr>
        <w:tc>
          <w:tcPr>
            <w:tcW w:w="9145" w:type="dxa"/>
          </w:tcPr>
          <w:p w:rsidR="00C50E5C" w:rsidRPr="00215D48" w:rsidRDefault="00C50E5C" w:rsidP="00F82D35">
            <w:pPr>
              <w:pStyle w:val="TGASignoff"/>
            </w:pPr>
            <w:r w:rsidRPr="00215D48">
              <w:lastRenderedPageBreak/>
              <w:t>Therapeutic Goods Administration</w:t>
            </w:r>
          </w:p>
        </w:tc>
      </w:tr>
      <w:tr w:rsidR="00C50E5C" w:rsidRPr="00215D48" w:rsidTr="00F82D35">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17" w:history="1">
              <w:r w:rsidRPr="00215D48">
                <w:rPr>
                  <w:rStyle w:val="Hyperlink"/>
                </w:rPr>
                <w:t>info@tga.gov.au</w:t>
              </w:r>
            </w:hyperlink>
            <w:r w:rsidRPr="00215D48">
              <w:t xml:space="preserve">  Phone: 1800 020 653  Fax: </w:t>
            </w:r>
            <w:r w:rsidR="001A3190" w:rsidRPr="00BA0DFC">
              <w:t>02 6203 1605</w:t>
            </w:r>
          </w:p>
          <w:p w:rsidR="00C50E5C" w:rsidRPr="00215D48" w:rsidRDefault="00FB63A2">
            <w:pPr>
              <w:pStyle w:val="Address"/>
              <w:jc w:val="center"/>
              <w:rPr>
                <w:rStyle w:val="Hyperlink"/>
                <w:b/>
                <w:color w:val="auto"/>
                <w:sz w:val="22"/>
                <w:u w:val="none"/>
              </w:rPr>
            </w:pPr>
            <w:hyperlink r:id="rId18" w:history="1">
              <w:r w:rsidR="00215D48" w:rsidRPr="00C4721A">
                <w:rPr>
                  <w:rStyle w:val="Hyperlink"/>
                  <w:b/>
                </w:rPr>
                <w:t>https://www.tga.gov.au</w:t>
              </w:r>
            </w:hyperlink>
          </w:p>
        </w:tc>
      </w:tr>
      <w:tr w:rsidR="00C50E5C" w:rsidRPr="00215D48" w:rsidTr="00F82D35">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r w:rsidR="00B10ABF">
              <w:t xml:space="preserve"> D20-354405</w:t>
            </w:r>
          </w:p>
        </w:tc>
      </w:tr>
    </w:tbl>
    <w:p w:rsidR="00706634" w:rsidRPr="00215D48" w:rsidRDefault="00706634" w:rsidP="004A3084">
      <w:pPr>
        <w:rPr>
          <w:sz w:val="20"/>
        </w:rPr>
      </w:pPr>
    </w:p>
    <w:sectPr w:rsidR="00706634" w:rsidRPr="00215D48" w:rsidSect="0029069E">
      <w:headerReference w:type="first" r:id="rId19"/>
      <w:footerReference w:type="first" r:id="rId2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BB" w:rsidRDefault="00E330BB" w:rsidP="00C40A36">
      <w:pPr>
        <w:spacing w:after="0"/>
      </w:pPr>
      <w:r>
        <w:separator/>
      </w:r>
    </w:p>
  </w:endnote>
  <w:endnote w:type="continuationSeparator" w:id="0">
    <w:p w:rsidR="00E330BB" w:rsidRDefault="00E330B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70BCB" w:rsidRPr="00257138" w:rsidTr="000B30E5">
      <w:trPr>
        <w:trHeight w:val="423"/>
      </w:trPr>
      <w:tc>
        <w:tcPr>
          <w:tcW w:w="4360" w:type="dxa"/>
          <w:tcBorders>
            <w:top w:val="single" w:sz="4" w:space="0" w:color="auto"/>
          </w:tcBorders>
        </w:tcPr>
        <w:p w:rsidR="00270BCB" w:rsidRDefault="00270BCB" w:rsidP="000B30E5">
          <w:pPr>
            <w:pStyle w:val="Footer"/>
          </w:pPr>
        </w:p>
        <w:p w:rsidR="00270BCB" w:rsidRPr="00257138" w:rsidRDefault="00270BCB"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270BCB" w:rsidRDefault="00270BCB" w:rsidP="000B30E5">
              <w:pPr>
                <w:pStyle w:val="Footer"/>
                <w:jc w:val="right"/>
              </w:pPr>
            </w:p>
            <w:p w:rsidR="00270BCB" w:rsidRPr="00257138" w:rsidRDefault="00270BCB"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FB63A2">
                <w:fldChar w:fldCharType="begin"/>
              </w:r>
              <w:r w:rsidR="00FB63A2">
                <w:instrText xml:space="preserve"> NUMPAGES  </w:instrText>
              </w:r>
              <w:r w:rsidR="00FB63A2">
                <w:fldChar w:fldCharType="separate"/>
              </w:r>
              <w:r>
                <w:rPr>
                  <w:noProof/>
                </w:rPr>
                <w:t>2</w:t>
              </w:r>
              <w:r w:rsidR="00FB63A2">
                <w:rPr>
                  <w:noProof/>
                </w:rPr>
                <w:fldChar w:fldCharType="end"/>
              </w:r>
            </w:p>
          </w:sdtContent>
        </w:sdt>
      </w:tc>
    </w:tr>
    <w:tr w:rsidR="00270BCB" w:rsidRPr="00257138" w:rsidTr="000B30E5">
      <w:trPr>
        <w:trHeight w:val="263"/>
      </w:trPr>
      <w:tc>
        <w:tcPr>
          <w:tcW w:w="4360" w:type="dxa"/>
        </w:tcPr>
        <w:p w:rsidR="00270BCB" w:rsidRPr="00257138" w:rsidRDefault="00270BCB" w:rsidP="000B30E5">
          <w:pPr>
            <w:pStyle w:val="Footer"/>
          </w:pPr>
          <w:r w:rsidRPr="00257138">
            <w:t xml:space="preserve">V1.0 </w:t>
          </w:r>
          <w:r>
            <w:t>Month</w:t>
          </w:r>
          <w:r w:rsidRPr="00257138">
            <w:t xml:space="preserve"> 201</w:t>
          </w:r>
          <w:r>
            <w:t>2</w:t>
          </w:r>
        </w:p>
      </w:tc>
      <w:tc>
        <w:tcPr>
          <w:tcW w:w="4360" w:type="dxa"/>
        </w:tcPr>
        <w:p w:rsidR="00270BCB" w:rsidRPr="00257138" w:rsidRDefault="00270BCB" w:rsidP="000B30E5">
          <w:pPr>
            <w:pStyle w:val="Footer"/>
            <w:jc w:val="right"/>
          </w:pPr>
        </w:p>
      </w:tc>
    </w:tr>
  </w:tbl>
  <w:p w:rsidR="00270BCB" w:rsidRPr="00826007" w:rsidRDefault="00270BCB"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BCB" w:rsidRDefault="00270BCB"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270BCB" w:rsidRPr="004A3084" w:rsidTr="00231E8D">
      <w:trPr>
        <w:trHeight w:val="423"/>
      </w:trPr>
      <w:tc>
        <w:tcPr>
          <w:tcW w:w="7338" w:type="dxa"/>
          <w:tcBorders>
            <w:top w:val="single" w:sz="4" w:space="0" w:color="auto"/>
          </w:tcBorders>
        </w:tcPr>
        <w:p w:rsidR="00270BCB" w:rsidRPr="004A3084" w:rsidRDefault="0031013C" w:rsidP="008C45E5">
          <w:pPr>
            <w:pStyle w:val="Footer"/>
          </w:pPr>
          <w:r>
            <w:t xml:space="preserve">Prescription </w:t>
          </w:r>
          <w:r w:rsidR="008C45E5">
            <w:t>m</w:t>
          </w:r>
          <w:r>
            <w:t xml:space="preserve">edicines </w:t>
          </w:r>
          <w:r w:rsidR="008C45E5">
            <w:t>t</w:t>
          </w:r>
          <w:r>
            <w:t xml:space="preserve">ransparency </w:t>
          </w:r>
          <w:r w:rsidR="008C45E5">
            <w:t>m</w:t>
          </w:r>
          <w:r>
            <w:t>easures</w:t>
          </w:r>
          <w:r w:rsidR="00270BCB">
            <w:br/>
            <w:t>V1.</w:t>
          </w:r>
          <w:r w:rsidR="00916037">
            <w:t>0</w:t>
          </w:r>
          <w:r w:rsidR="00270BCB">
            <w:t xml:space="preserve"> </w:t>
          </w:r>
          <w:r w:rsidR="002479CE">
            <w:t>March 2020</w:t>
          </w:r>
        </w:p>
      </w:tc>
      <w:tc>
        <w:tcPr>
          <w:tcW w:w="1382" w:type="dxa"/>
          <w:tcBorders>
            <w:top w:val="single" w:sz="4" w:space="0" w:color="auto"/>
          </w:tcBorders>
        </w:tcPr>
        <w:sdt>
          <w:sdtPr>
            <w:id w:val="11571659"/>
            <w:docPartObj>
              <w:docPartGallery w:val="Page Numbers (Top of Page)"/>
              <w:docPartUnique/>
            </w:docPartObj>
          </w:sdtPr>
          <w:sdtEndPr/>
          <w:sdtContent>
            <w:p w:rsidR="00270BCB" w:rsidRPr="004A3084" w:rsidRDefault="00270BCB" w:rsidP="00231E8D">
              <w:pPr>
                <w:pStyle w:val="Footer"/>
                <w:jc w:val="right"/>
              </w:pPr>
              <w:r w:rsidRPr="004A3084">
                <w:t xml:space="preserve">Page </w:t>
              </w:r>
              <w:r>
                <w:fldChar w:fldCharType="begin"/>
              </w:r>
              <w:r>
                <w:instrText xml:space="preserve"> PAGE </w:instrText>
              </w:r>
              <w:r>
                <w:fldChar w:fldCharType="separate"/>
              </w:r>
              <w:r w:rsidR="00FB63A2">
                <w:rPr>
                  <w:noProof/>
                </w:rPr>
                <w:t>3</w:t>
              </w:r>
              <w:r>
                <w:rPr>
                  <w:noProof/>
                </w:rPr>
                <w:fldChar w:fldCharType="end"/>
              </w:r>
              <w:r w:rsidRPr="004A3084">
                <w:t xml:space="preserve"> of </w:t>
              </w:r>
              <w:r w:rsidR="00FB63A2">
                <w:fldChar w:fldCharType="begin"/>
              </w:r>
              <w:r w:rsidR="00FB63A2">
                <w:instrText xml:space="preserve"> NUMPAGES  </w:instrText>
              </w:r>
              <w:r w:rsidR="00FB63A2">
                <w:fldChar w:fldCharType="separate"/>
              </w:r>
              <w:r w:rsidR="00FB63A2">
                <w:rPr>
                  <w:noProof/>
                </w:rPr>
                <w:t>13</w:t>
              </w:r>
              <w:r w:rsidR="00FB63A2">
                <w:rPr>
                  <w:noProof/>
                </w:rPr>
                <w:fldChar w:fldCharType="end"/>
              </w:r>
            </w:p>
          </w:sdtContent>
        </w:sdt>
      </w:tc>
    </w:tr>
  </w:tbl>
  <w:p w:rsidR="00270BCB" w:rsidRPr="00826007" w:rsidRDefault="00270BCB"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BCB" w:rsidRPr="008E3C43" w:rsidRDefault="00270BCB"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BB" w:rsidRDefault="00E330BB" w:rsidP="00C40A36">
      <w:pPr>
        <w:spacing w:after="0"/>
      </w:pPr>
      <w:r>
        <w:separator/>
      </w:r>
    </w:p>
  </w:footnote>
  <w:footnote w:type="continuationSeparator" w:id="0">
    <w:p w:rsidR="00E330BB" w:rsidRDefault="00E330B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BCB" w:rsidRDefault="00FB63A2" w:rsidP="00C3408D">
    <w:pPr>
      <w:pStyle w:val="Header"/>
    </w:pPr>
    <w:sdt>
      <w:sdtPr>
        <w:id w:val="-203553135"/>
        <w:docPartObj>
          <w:docPartGallery w:val="Watermarks"/>
          <w:docPartUnique/>
        </w:docPartObj>
      </w:sdtPr>
      <w:sdtEndPr/>
      <w:sdtContent>
        <w:r>
          <w:rPr>
            <w:noProof/>
          </w:rPr>
          <w:pict w14:anchorId="4A836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270BCB"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70BCB" w:rsidRPr="002B29B2" w:rsidTr="00F71E1E">
      <w:trPr>
        <w:trHeight w:hRule="exact" w:val="8845"/>
      </w:trPr>
      <w:tc>
        <w:tcPr>
          <w:tcW w:w="11964" w:type="dxa"/>
          <w:vAlign w:val="center"/>
        </w:tcPr>
        <w:p w:rsidR="00270BCB" w:rsidRPr="002B29B2" w:rsidRDefault="00FB63A2" w:rsidP="006A2426">
          <w:pPr>
            <w:ind w:left="-57"/>
            <w:rPr>
              <w:noProof/>
            </w:rPr>
          </w:pPr>
          <w:sdt>
            <w:sdtPr>
              <w:rPr>
                <w:noProof/>
              </w:rPr>
              <w:id w:val="1926993388"/>
              <w:showingPlcHdr/>
              <w:picture/>
            </w:sdtPr>
            <w:sdtEndPr/>
            <w:sdtContent>
              <w:r w:rsidR="00270BCB" w:rsidRPr="00F71E1E">
                <w:rPr>
                  <w:noProof/>
                  <w:lang w:eastAsia="en-AU"/>
                </w:rPr>
                <w:drawing>
                  <wp:inline distT="0" distB="0" distL="0" distR="0" wp14:anchorId="2D606877" wp14:editId="6694744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270BCB" w:rsidRDefault="00270BCB" w:rsidP="006D03E5">
    <w:pPr>
      <w:rPr>
        <w:noProof/>
      </w:rPr>
    </w:pPr>
    <w:r>
      <w:rPr>
        <w:noProof/>
        <w:lang w:eastAsia="en-AU"/>
      </w:rPr>
      <w:drawing>
        <wp:anchor distT="0" distB="0" distL="114300" distR="114300" simplePos="0" relativeHeight="251664384" behindDoc="0" locked="0" layoutInCell="1" allowOverlap="1" wp14:anchorId="683E63FE" wp14:editId="3C8F060D">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55E80773" wp14:editId="4172A1BE">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BCB" w:rsidRDefault="00270BCB"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BCB" w:rsidRPr="00FE501F" w:rsidRDefault="00270BCB"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35381E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5F7084"/>
    <w:multiLevelType w:val="hybridMultilevel"/>
    <w:tmpl w:val="CAE2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DCA4176A"/>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0B65751"/>
    <w:multiLevelType w:val="hybridMultilevel"/>
    <w:tmpl w:val="ACC829B8"/>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ED0F0F"/>
    <w:multiLevelType w:val="hybridMultilevel"/>
    <w:tmpl w:val="4222A3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9812B2"/>
    <w:multiLevelType w:val="hybridMultilevel"/>
    <w:tmpl w:val="23165B50"/>
    <w:lvl w:ilvl="0" w:tplc="2E585A0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C5B7A15"/>
    <w:multiLevelType w:val="hybridMultilevel"/>
    <w:tmpl w:val="9A5EB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B85BD2"/>
    <w:multiLevelType w:val="hybridMultilevel"/>
    <w:tmpl w:val="9962D0B0"/>
    <w:lvl w:ilvl="0" w:tplc="A7B08F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D77B9"/>
    <w:multiLevelType w:val="hybridMultilevel"/>
    <w:tmpl w:val="7A66F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9E6D36"/>
    <w:multiLevelType w:val="hybridMultilevel"/>
    <w:tmpl w:val="1EC03368"/>
    <w:lvl w:ilvl="0" w:tplc="8AA693F0">
      <w:start w:val="1"/>
      <w:numFmt w:val="bullet"/>
      <w:lvlText w:val="-"/>
      <w:lvlJc w:val="left"/>
      <w:pPr>
        <w:tabs>
          <w:tab w:val="num" w:pos="720"/>
        </w:tabs>
        <w:ind w:left="720" w:hanging="360"/>
      </w:pPr>
      <w:rPr>
        <w:rFonts w:ascii="Times New Roman" w:hAnsi="Times New Roman" w:hint="default"/>
      </w:rPr>
    </w:lvl>
    <w:lvl w:ilvl="1" w:tplc="0938039A" w:tentative="1">
      <w:start w:val="1"/>
      <w:numFmt w:val="bullet"/>
      <w:lvlText w:val="-"/>
      <w:lvlJc w:val="left"/>
      <w:pPr>
        <w:tabs>
          <w:tab w:val="num" w:pos="1440"/>
        </w:tabs>
        <w:ind w:left="1440" w:hanging="360"/>
      </w:pPr>
      <w:rPr>
        <w:rFonts w:ascii="Times New Roman" w:hAnsi="Times New Roman" w:hint="default"/>
      </w:rPr>
    </w:lvl>
    <w:lvl w:ilvl="2" w:tplc="96F01DEA" w:tentative="1">
      <w:start w:val="1"/>
      <w:numFmt w:val="bullet"/>
      <w:lvlText w:val="-"/>
      <w:lvlJc w:val="left"/>
      <w:pPr>
        <w:tabs>
          <w:tab w:val="num" w:pos="2160"/>
        </w:tabs>
        <w:ind w:left="2160" w:hanging="360"/>
      </w:pPr>
      <w:rPr>
        <w:rFonts w:ascii="Times New Roman" w:hAnsi="Times New Roman" w:hint="default"/>
      </w:rPr>
    </w:lvl>
    <w:lvl w:ilvl="3" w:tplc="092895B8" w:tentative="1">
      <w:start w:val="1"/>
      <w:numFmt w:val="bullet"/>
      <w:lvlText w:val="-"/>
      <w:lvlJc w:val="left"/>
      <w:pPr>
        <w:tabs>
          <w:tab w:val="num" w:pos="2880"/>
        </w:tabs>
        <w:ind w:left="2880" w:hanging="360"/>
      </w:pPr>
      <w:rPr>
        <w:rFonts w:ascii="Times New Roman" w:hAnsi="Times New Roman" w:hint="default"/>
      </w:rPr>
    </w:lvl>
    <w:lvl w:ilvl="4" w:tplc="247E761A" w:tentative="1">
      <w:start w:val="1"/>
      <w:numFmt w:val="bullet"/>
      <w:lvlText w:val="-"/>
      <w:lvlJc w:val="left"/>
      <w:pPr>
        <w:tabs>
          <w:tab w:val="num" w:pos="3600"/>
        </w:tabs>
        <w:ind w:left="3600" w:hanging="360"/>
      </w:pPr>
      <w:rPr>
        <w:rFonts w:ascii="Times New Roman" w:hAnsi="Times New Roman" w:hint="default"/>
      </w:rPr>
    </w:lvl>
    <w:lvl w:ilvl="5" w:tplc="4CB88656" w:tentative="1">
      <w:start w:val="1"/>
      <w:numFmt w:val="bullet"/>
      <w:lvlText w:val="-"/>
      <w:lvlJc w:val="left"/>
      <w:pPr>
        <w:tabs>
          <w:tab w:val="num" w:pos="4320"/>
        </w:tabs>
        <w:ind w:left="4320" w:hanging="360"/>
      </w:pPr>
      <w:rPr>
        <w:rFonts w:ascii="Times New Roman" w:hAnsi="Times New Roman" w:hint="default"/>
      </w:rPr>
    </w:lvl>
    <w:lvl w:ilvl="6" w:tplc="33F0D248" w:tentative="1">
      <w:start w:val="1"/>
      <w:numFmt w:val="bullet"/>
      <w:lvlText w:val="-"/>
      <w:lvlJc w:val="left"/>
      <w:pPr>
        <w:tabs>
          <w:tab w:val="num" w:pos="5040"/>
        </w:tabs>
        <w:ind w:left="5040" w:hanging="360"/>
      </w:pPr>
      <w:rPr>
        <w:rFonts w:ascii="Times New Roman" w:hAnsi="Times New Roman" w:hint="default"/>
      </w:rPr>
    </w:lvl>
    <w:lvl w:ilvl="7" w:tplc="8BB641C0" w:tentative="1">
      <w:start w:val="1"/>
      <w:numFmt w:val="bullet"/>
      <w:lvlText w:val="-"/>
      <w:lvlJc w:val="left"/>
      <w:pPr>
        <w:tabs>
          <w:tab w:val="num" w:pos="5760"/>
        </w:tabs>
        <w:ind w:left="5760" w:hanging="360"/>
      </w:pPr>
      <w:rPr>
        <w:rFonts w:ascii="Times New Roman" w:hAnsi="Times New Roman" w:hint="default"/>
      </w:rPr>
    </w:lvl>
    <w:lvl w:ilvl="8" w:tplc="C9C0423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8ED3AC4"/>
    <w:multiLevelType w:val="hybridMultilevel"/>
    <w:tmpl w:val="55D4F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9">
      <w:start w:val="1"/>
      <w:numFmt w:val="bullet"/>
      <w:lvlText w:val=""/>
      <w:lvlJc w:val="left"/>
      <w:pPr>
        <w:ind w:left="3600" w:hanging="360"/>
      </w:pPr>
      <w:rPr>
        <w:rFonts w:ascii="Wingdings" w:hAnsi="Wingdings"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B4C4D18"/>
    <w:multiLevelType w:val="hybridMultilevel"/>
    <w:tmpl w:val="B0006B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886874"/>
    <w:multiLevelType w:val="hybridMultilevel"/>
    <w:tmpl w:val="FBB88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B96ECF"/>
    <w:multiLevelType w:val="hybridMultilevel"/>
    <w:tmpl w:val="71FA0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49E2BC2"/>
    <w:multiLevelType w:val="hybridMultilevel"/>
    <w:tmpl w:val="F69AF85A"/>
    <w:lvl w:ilvl="0" w:tplc="DC02D430">
      <w:start w:val="2"/>
      <w:numFmt w:val="bullet"/>
      <w:lvlText w:val="-"/>
      <w:lvlJc w:val="left"/>
      <w:pPr>
        <w:ind w:left="720" w:hanging="360"/>
      </w:pPr>
      <w:rPr>
        <w:rFonts w:ascii="Cambria" w:eastAsia="Cambria" w:hAnsi="Cambria"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305EF9"/>
    <w:multiLevelType w:val="hybridMultilevel"/>
    <w:tmpl w:val="070A4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080C11"/>
    <w:multiLevelType w:val="hybridMultilevel"/>
    <w:tmpl w:val="4A0E6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A7D66C5"/>
    <w:multiLevelType w:val="hybridMultilevel"/>
    <w:tmpl w:val="8FD8CB02"/>
    <w:lvl w:ilvl="0" w:tplc="BD2275B8">
      <w:numFmt w:val="bullet"/>
      <w:lvlText w:val="•"/>
      <w:lvlJc w:val="left"/>
      <w:pPr>
        <w:ind w:left="780" w:hanging="4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A040E4"/>
    <w:multiLevelType w:val="hybridMultilevel"/>
    <w:tmpl w:val="2392E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B04FC9"/>
    <w:multiLevelType w:val="hybridMultilevel"/>
    <w:tmpl w:val="37AC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BE4784"/>
    <w:multiLevelType w:val="hybridMultilevel"/>
    <w:tmpl w:val="BADAD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A43509"/>
    <w:multiLevelType w:val="hybridMultilevel"/>
    <w:tmpl w:val="B98A6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6A6AD6"/>
    <w:multiLevelType w:val="hybridMultilevel"/>
    <w:tmpl w:val="A14C7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A70679"/>
    <w:multiLevelType w:val="hybridMultilevel"/>
    <w:tmpl w:val="20E0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A33B8E"/>
    <w:multiLevelType w:val="hybridMultilevel"/>
    <w:tmpl w:val="067AB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343C0D"/>
    <w:multiLevelType w:val="hybridMultilevel"/>
    <w:tmpl w:val="FA1EE27A"/>
    <w:lvl w:ilvl="0" w:tplc="4FE8E118">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4"/>
  </w:num>
  <w:num w:numId="9">
    <w:abstractNumId w:val="4"/>
  </w:num>
  <w:num w:numId="10">
    <w:abstractNumId w:val="4"/>
  </w:num>
  <w:num w:numId="11">
    <w:abstractNumId w:val="4"/>
  </w:num>
  <w:num w:numId="12">
    <w:abstractNumId w:val="9"/>
  </w:num>
  <w:num w:numId="13">
    <w:abstractNumId w:val="9"/>
  </w:num>
  <w:num w:numId="14">
    <w:abstractNumId w:val="9"/>
  </w:num>
  <w:num w:numId="15">
    <w:abstractNumId w:val="4"/>
  </w:num>
  <w:num w:numId="16">
    <w:abstractNumId w:val="4"/>
  </w:num>
  <w:num w:numId="17">
    <w:abstractNumId w:val="4"/>
  </w:num>
  <w:num w:numId="18">
    <w:abstractNumId w:val="8"/>
  </w:num>
  <w:num w:numId="19">
    <w:abstractNumId w:val="23"/>
  </w:num>
  <w:num w:numId="20">
    <w:abstractNumId w:val="22"/>
  </w:num>
  <w:num w:numId="21">
    <w:abstractNumId w:val="11"/>
  </w:num>
  <w:num w:numId="22">
    <w:abstractNumId w:val="12"/>
  </w:num>
  <w:num w:numId="23">
    <w:abstractNumId w:val="16"/>
  </w:num>
  <w:num w:numId="24">
    <w:abstractNumId w:val="27"/>
  </w:num>
  <w:num w:numId="25">
    <w:abstractNumId w:val="10"/>
  </w:num>
  <w:num w:numId="26">
    <w:abstractNumId w:val="25"/>
  </w:num>
  <w:num w:numId="27">
    <w:abstractNumId w:val="18"/>
  </w:num>
  <w:num w:numId="28">
    <w:abstractNumId w:val="30"/>
  </w:num>
  <w:num w:numId="29">
    <w:abstractNumId w:val="20"/>
  </w:num>
  <w:num w:numId="30">
    <w:abstractNumId w:val="28"/>
  </w:num>
  <w:num w:numId="31">
    <w:abstractNumId w:val="7"/>
  </w:num>
  <w:num w:numId="32">
    <w:abstractNumId w:val="19"/>
  </w:num>
  <w:num w:numId="33">
    <w:abstractNumId w:val="14"/>
  </w:num>
  <w:num w:numId="34">
    <w:abstractNumId w:val="17"/>
  </w:num>
  <w:num w:numId="35">
    <w:abstractNumId w:val="15"/>
  </w:num>
  <w:num w:numId="36">
    <w:abstractNumId w:val="5"/>
  </w:num>
  <w:num w:numId="37">
    <w:abstractNumId w:val="6"/>
  </w:num>
  <w:num w:numId="38">
    <w:abstractNumId w:val="13"/>
  </w:num>
  <w:num w:numId="39">
    <w:abstractNumId w:val="26"/>
  </w:num>
  <w:num w:numId="40">
    <w:abstractNumId w:val="21"/>
  </w:num>
  <w:num w:numId="41">
    <w:abstractNumId w:val="24"/>
  </w:num>
  <w:num w:numId="42">
    <w:abstractNumId w:val="29"/>
  </w:num>
  <w:num w:numId="43">
    <w:abstractNumId w:val="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82"/>
    <w:rsid w:val="00002031"/>
    <w:rsid w:val="000040BA"/>
    <w:rsid w:val="00004734"/>
    <w:rsid w:val="00004A6E"/>
    <w:rsid w:val="00006B22"/>
    <w:rsid w:val="00010E4D"/>
    <w:rsid w:val="0001276A"/>
    <w:rsid w:val="0001304C"/>
    <w:rsid w:val="000131F4"/>
    <w:rsid w:val="00016BEB"/>
    <w:rsid w:val="000178FA"/>
    <w:rsid w:val="00017CF6"/>
    <w:rsid w:val="00022E0D"/>
    <w:rsid w:val="000246AE"/>
    <w:rsid w:val="00025C67"/>
    <w:rsid w:val="0003287A"/>
    <w:rsid w:val="00032FFB"/>
    <w:rsid w:val="0005559E"/>
    <w:rsid w:val="000646B0"/>
    <w:rsid w:val="000703AB"/>
    <w:rsid w:val="0007044A"/>
    <w:rsid w:val="00072355"/>
    <w:rsid w:val="00077775"/>
    <w:rsid w:val="00080D35"/>
    <w:rsid w:val="000861E5"/>
    <w:rsid w:val="00090471"/>
    <w:rsid w:val="000911AB"/>
    <w:rsid w:val="000934A6"/>
    <w:rsid w:val="0009523A"/>
    <w:rsid w:val="000A18EA"/>
    <w:rsid w:val="000A3543"/>
    <w:rsid w:val="000A4371"/>
    <w:rsid w:val="000B30E5"/>
    <w:rsid w:val="000B3532"/>
    <w:rsid w:val="000B3A75"/>
    <w:rsid w:val="000B574E"/>
    <w:rsid w:val="000B5E4E"/>
    <w:rsid w:val="000B6CAE"/>
    <w:rsid w:val="000B7084"/>
    <w:rsid w:val="000C3C69"/>
    <w:rsid w:val="000D0851"/>
    <w:rsid w:val="000D157F"/>
    <w:rsid w:val="000D391B"/>
    <w:rsid w:val="000D3D6D"/>
    <w:rsid w:val="000D4FC7"/>
    <w:rsid w:val="000E6AD8"/>
    <w:rsid w:val="000F0241"/>
    <w:rsid w:val="000F1C73"/>
    <w:rsid w:val="000F1D3F"/>
    <w:rsid w:val="000F457F"/>
    <w:rsid w:val="000F4869"/>
    <w:rsid w:val="000F5176"/>
    <w:rsid w:val="000F52CF"/>
    <w:rsid w:val="000F5978"/>
    <w:rsid w:val="000F5B42"/>
    <w:rsid w:val="000F6E6F"/>
    <w:rsid w:val="000F790D"/>
    <w:rsid w:val="001003F2"/>
    <w:rsid w:val="00102BDA"/>
    <w:rsid w:val="00103A82"/>
    <w:rsid w:val="0010601F"/>
    <w:rsid w:val="00110EA5"/>
    <w:rsid w:val="00115240"/>
    <w:rsid w:val="00115508"/>
    <w:rsid w:val="001210F1"/>
    <w:rsid w:val="00125091"/>
    <w:rsid w:val="00125318"/>
    <w:rsid w:val="001305A2"/>
    <w:rsid w:val="00133238"/>
    <w:rsid w:val="00140814"/>
    <w:rsid w:val="00140FE3"/>
    <w:rsid w:val="0014197B"/>
    <w:rsid w:val="0014247A"/>
    <w:rsid w:val="001447CD"/>
    <w:rsid w:val="00146E67"/>
    <w:rsid w:val="001500F7"/>
    <w:rsid w:val="001516B1"/>
    <w:rsid w:val="001525B4"/>
    <w:rsid w:val="00156316"/>
    <w:rsid w:val="00165389"/>
    <w:rsid w:val="00165DC3"/>
    <w:rsid w:val="00171252"/>
    <w:rsid w:val="001713A3"/>
    <w:rsid w:val="00172A15"/>
    <w:rsid w:val="0017693F"/>
    <w:rsid w:val="0018110E"/>
    <w:rsid w:val="00181684"/>
    <w:rsid w:val="001820A0"/>
    <w:rsid w:val="001843C6"/>
    <w:rsid w:val="001850E0"/>
    <w:rsid w:val="0018660B"/>
    <w:rsid w:val="001875DD"/>
    <w:rsid w:val="00192AAA"/>
    <w:rsid w:val="00194A24"/>
    <w:rsid w:val="001A3190"/>
    <w:rsid w:val="001A525F"/>
    <w:rsid w:val="001A7008"/>
    <w:rsid w:val="001B09F9"/>
    <w:rsid w:val="001B6448"/>
    <w:rsid w:val="001C130D"/>
    <w:rsid w:val="001C1F52"/>
    <w:rsid w:val="001C30E0"/>
    <w:rsid w:val="001C3A9E"/>
    <w:rsid w:val="001D6C30"/>
    <w:rsid w:val="001D7224"/>
    <w:rsid w:val="001E07CF"/>
    <w:rsid w:val="001E0C14"/>
    <w:rsid w:val="001E275A"/>
    <w:rsid w:val="001E59F1"/>
    <w:rsid w:val="001F124F"/>
    <w:rsid w:val="001F20F9"/>
    <w:rsid w:val="001F49EB"/>
    <w:rsid w:val="001F602D"/>
    <w:rsid w:val="001F6CBA"/>
    <w:rsid w:val="00200712"/>
    <w:rsid w:val="00201D4E"/>
    <w:rsid w:val="002026EB"/>
    <w:rsid w:val="00211419"/>
    <w:rsid w:val="00215D48"/>
    <w:rsid w:val="00215EAF"/>
    <w:rsid w:val="00217091"/>
    <w:rsid w:val="00220B8A"/>
    <w:rsid w:val="002257F3"/>
    <w:rsid w:val="00227392"/>
    <w:rsid w:val="00231E8D"/>
    <w:rsid w:val="00233456"/>
    <w:rsid w:val="002339A5"/>
    <w:rsid w:val="00235807"/>
    <w:rsid w:val="0023669E"/>
    <w:rsid w:val="00237691"/>
    <w:rsid w:val="002479CE"/>
    <w:rsid w:val="00247FB9"/>
    <w:rsid w:val="00257138"/>
    <w:rsid w:val="00257848"/>
    <w:rsid w:val="00262D2B"/>
    <w:rsid w:val="0027084A"/>
    <w:rsid w:val="00270BCB"/>
    <w:rsid w:val="00282974"/>
    <w:rsid w:val="002835B4"/>
    <w:rsid w:val="00286434"/>
    <w:rsid w:val="00286C59"/>
    <w:rsid w:val="0029069E"/>
    <w:rsid w:val="00290795"/>
    <w:rsid w:val="002942D1"/>
    <w:rsid w:val="002A0556"/>
    <w:rsid w:val="002A592C"/>
    <w:rsid w:val="002A5B3A"/>
    <w:rsid w:val="002A7819"/>
    <w:rsid w:val="002B1638"/>
    <w:rsid w:val="002B25CB"/>
    <w:rsid w:val="002B29B2"/>
    <w:rsid w:val="002C12D6"/>
    <w:rsid w:val="002C343E"/>
    <w:rsid w:val="002C376C"/>
    <w:rsid w:val="002C4C0C"/>
    <w:rsid w:val="002C6239"/>
    <w:rsid w:val="002C6E9C"/>
    <w:rsid w:val="002D52C5"/>
    <w:rsid w:val="002E193A"/>
    <w:rsid w:val="002E364F"/>
    <w:rsid w:val="002E4C9A"/>
    <w:rsid w:val="002E5EEB"/>
    <w:rsid w:val="002F11F8"/>
    <w:rsid w:val="002F260A"/>
    <w:rsid w:val="002F3F56"/>
    <w:rsid w:val="002F44B5"/>
    <w:rsid w:val="00300350"/>
    <w:rsid w:val="00300F07"/>
    <w:rsid w:val="00301FA3"/>
    <w:rsid w:val="0031013C"/>
    <w:rsid w:val="00311AC0"/>
    <w:rsid w:val="003155AC"/>
    <w:rsid w:val="00315EC8"/>
    <w:rsid w:val="00317F12"/>
    <w:rsid w:val="003210BB"/>
    <w:rsid w:val="00323F14"/>
    <w:rsid w:val="003252DE"/>
    <w:rsid w:val="0032564C"/>
    <w:rsid w:val="00331DBB"/>
    <w:rsid w:val="00335C3B"/>
    <w:rsid w:val="003361D1"/>
    <w:rsid w:val="00350236"/>
    <w:rsid w:val="0035146C"/>
    <w:rsid w:val="003521E8"/>
    <w:rsid w:val="00357700"/>
    <w:rsid w:val="0036361E"/>
    <w:rsid w:val="003664BF"/>
    <w:rsid w:val="003710EE"/>
    <w:rsid w:val="003728F3"/>
    <w:rsid w:val="00376793"/>
    <w:rsid w:val="003843F6"/>
    <w:rsid w:val="00390900"/>
    <w:rsid w:val="00392CF4"/>
    <w:rsid w:val="00393398"/>
    <w:rsid w:val="003A2DDF"/>
    <w:rsid w:val="003B1E35"/>
    <w:rsid w:val="003B362C"/>
    <w:rsid w:val="003B7E39"/>
    <w:rsid w:val="003C58DC"/>
    <w:rsid w:val="003D3B63"/>
    <w:rsid w:val="003D6B56"/>
    <w:rsid w:val="003E0A89"/>
    <w:rsid w:val="003E2D56"/>
    <w:rsid w:val="003E3208"/>
    <w:rsid w:val="003F0B04"/>
    <w:rsid w:val="003F1538"/>
    <w:rsid w:val="003F2E95"/>
    <w:rsid w:val="003F3CC2"/>
    <w:rsid w:val="003F7BD9"/>
    <w:rsid w:val="0040134E"/>
    <w:rsid w:val="00404B57"/>
    <w:rsid w:val="00406DB9"/>
    <w:rsid w:val="00416BCB"/>
    <w:rsid w:val="00424A46"/>
    <w:rsid w:val="00425666"/>
    <w:rsid w:val="00435319"/>
    <w:rsid w:val="00440A2D"/>
    <w:rsid w:val="00442DA9"/>
    <w:rsid w:val="0045040C"/>
    <w:rsid w:val="004541B0"/>
    <w:rsid w:val="004564A7"/>
    <w:rsid w:val="004617BF"/>
    <w:rsid w:val="0046395A"/>
    <w:rsid w:val="00471303"/>
    <w:rsid w:val="00473864"/>
    <w:rsid w:val="00483D37"/>
    <w:rsid w:val="00486DC2"/>
    <w:rsid w:val="004923FF"/>
    <w:rsid w:val="004927EC"/>
    <w:rsid w:val="00494CA4"/>
    <w:rsid w:val="00494E60"/>
    <w:rsid w:val="0049734C"/>
    <w:rsid w:val="004A3084"/>
    <w:rsid w:val="004A5558"/>
    <w:rsid w:val="004B4774"/>
    <w:rsid w:val="004B7B76"/>
    <w:rsid w:val="004C0070"/>
    <w:rsid w:val="004C100A"/>
    <w:rsid w:val="004C4096"/>
    <w:rsid w:val="004C6187"/>
    <w:rsid w:val="004C6371"/>
    <w:rsid w:val="004C6E9B"/>
    <w:rsid w:val="004C6FAF"/>
    <w:rsid w:val="004C74B7"/>
    <w:rsid w:val="004C797B"/>
    <w:rsid w:val="004D51A6"/>
    <w:rsid w:val="004D6A6E"/>
    <w:rsid w:val="004E3092"/>
    <w:rsid w:val="004E3679"/>
    <w:rsid w:val="004F0F38"/>
    <w:rsid w:val="004F1240"/>
    <w:rsid w:val="004F40D8"/>
    <w:rsid w:val="004F484B"/>
    <w:rsid w:val="004F4DE0"/>
    <w:rsid w:val="00501921"/>
    <w:rsid w:val="00502D05"/>
    <w:rsid w:val="00507E49"/>
    <w:rsid w:val="00515682"/>
    <w:rsid w:val="00523FB1"/>
    <w:rsid w:val="005244E8"/>
    <w:rsid w:val="00530354"/>
    <w:rsid w:val="00535D83"/>
    <w:rsid w:val="00537885"/>
    <w:rsid w:val="0054053C"/>
    <w:rsid w:val="00541FD8"/>
    <w:rsid w:val="005423EF"/>
    <w:rsid w:val="005434C6"/>
    <w:rsid w:val="00543B39"/>
    <w:rsid w:val="00550096"/>
    <w:rsid w:val="0055653F"/>
    <w:rsid w:val="00557FF9"/>
    <w:rsid w:val="00560037"/>
    <w:rsid w:val="0056198C"/>
    <w:rsid w:val="00564191"/>
    <w:rsid w:val="00567A2E"/>
    <w:rsid w:val="00573136"/>
    <w:rsid w:val="0057564C"/>
    <w:rsid w:val="00576378"/>
    <w:rsid w:val="00577E38"/>
    <w:rsid w:val="00584285"/>
    <w:rsid w:val="005847D7"/>
    <w:rsid w:val="00585322"/>
    <w:rsid w:val="0059345B"/>
    <w:rsid w:val="00593AD1"/>
    <w:rsid w:val="00594523"/>
    <w:rsid w:val="005A1131"/>
    <w:rsid w:val="005A14DB"/>
    <w:rsid w:val="005A20DD"/>
    <w:rsid w:val="005C5570"/>
    <w:rsid w:val="005C5FD4"/>
    <w:rsid w:val="005C79A4"/>
    <w:rsid w:val="005D1689"/>
    <w:rsid w:val="005D248B"/>
    <w:rsid w:val="005D26E5"/>
    <w:rsid w:val="005D5442"/>
    <w:rsid w:val="005D55A3"/>
    <w:rsid w:val="005D6251"/>
    <w:rsid w:val="005E5568"/>
    <w:rsid w:val="005E6A9C"/>
    <w:rsid w:val="005F458A"/>
    <w:rsid w:val="005F5830"/>
    <w:rsid w:val="006038C5"/>
    <w:rsid w:val="00610D73"/>
    <w:rsid w:val="00625015"/>
    <w:rsid w:val="00640FC3"/>
    <w:rsid w:val="00642020"/>
    <w:rsid w:val="00645D2A"/>
    <w:rsid w:val="0065200D"/>
    <w:rsid w:val="0065337B"/>
    <w:rsid w:val="0065419D"/>
    <w:rsid w:val="00654304"/>
    <w:rsid w:val="006604D8"/>
    <w:rsid w:val="00663622"/>
    <w:rsid w:val="0066390A"/>
    <w:rsid w:val="00664A5B"/>
    <w:rsid w:val="00667942"/>
    <w:rsid w:val="006718F7"/>
    <w:rsid w:val="00680C08"/>
    <w:rsid w:val="0068741A"/>
    <w:rsid w:val="0069030E"/>
    <w:rsid w:val="006931B1"/>
    <w:rsid w:val="00696531"/>
    <w:rsid w:val="006A0B3B"/>
    <w:rsid w:val="006A15C0"/>
    <w:rsid w:val="006A2426"/>
    <w:rsid w:val="006A2A31"/>
    <w:rsid w:val="006A38E4"/>
    <w:rsid w:val="006B704D"/>
    <w:rsid w:val="006C1F3B"/>
    <w:rsid w:val="006C3E2A"/>
    <w:rsid w:val="006C43B5"/>
    <w:rsid w:val="006C542F"/>
    <w:rsid w:val="006C590C"/>
    <w:rsid w:val="006C642F"/>
    <w:rsid w:val="006D03E5"/>
    <w:rsid w:val="006D5D3E"/>
    <w:rsid w:val="006E08B3"/>
    <w:rsid w:val="006E4E00"/>
    <w:rsid w:val="006E76A6"/>
    <w:rsid w:val="006F1604"/>
    <w:rsid w:val="006F3339"/>
    <w:rsid w:val="006F46EA"/>
    <w:rsid w:val="006F572E"/>
    <w:rsid w:val="006F6284"/>
    <w:rsid w:val="006F652C"/>
    <w:rsid w:val="006F6C81"/>
    <w:rsid w:val="007044BA"/>
    <w:rsid w:val="007045FE"/>
    <w:rsid w:val="007046D6"/>
    <w:rsid w:val="00705782"/>
    <w:rsid w:val="00705DB0"/>
    <w:rsid w:val="007060CD"/>
    <w:rsid w:val="00706634"/>
    <w:rsid w:val="00706AFE"/>
    <w:rsid w:val="00723BF8"/>
    <w:rsid w:val="00724E0E"/>
    <w:rsid w:val="0073109E"/>
    <w:rsid w:val="00732FEE"/>
    <w:rsid w:val="0074253D"/>
    <w:rsid w:val="0074429B"/>
    <w:rsid w:val="007477F8"/>
    <w:rsid w:val="00751EBD"/>
    <w:rsid w:val="00753687"/>
    <w:rsid w:val="00753A56"/>
    <w:rsid w:val="0075524A"/>
    <w:rsid w:val="007615BC"/>
    <w:rsid w:val="007622D7"/>
    <w:rsid w:val="00762B72"/>
    <w:rsid w:val="00762F05"/>
    <w:rsid w:val="00764FC4"/>
    <w:rsid w:val="007652FF"/>
    <w:rsid w:val="007666D7"/>
    <w:rsid w:val="00770AC9"/>
    <w:rsid w:val="00771329"/>
    <w:rsid w:val="0077230D"/>
    <w:rsid w:val="00773EF7"/>
    <w:rsid w:val="00774E1D"/>
    <w:rsid w:val="0077675A"/>
    <w:rsid w:val="00780355"/>
    <w:rsid w:val="00785721"/>
    <w:rsid w:val="007904D4"/>
    <w:rsid w:val="00793A59"/>
    <w:rsid w:val="00795DC5"/>
    <w:rsid w:val="007A2162"/>
    <w:rsid w:val="007B1397"/>
    <w:rsid w:val="007B3C16"/>
    <w:rsid w:val="007B7403"/>
    <w:rsid w:val="007C0F3D"/>
    <w:rsid w:val="007C1AF7"/>
    <w:rsid w:val="007D0158"/>
    <w:rsid w:val="007D2AAF"/>
    <w:rsid w:val="007E175B"/>
    <w:rsid w:val="007E7826"/>
    <w:rsid w:val="007F17AF"/>
    <w:rsid w:val="007F2054"/>
    <w:rsid w:val="00814CB3"/>
    <w:rsid w:val="0081612E"/>
    <w:rsid w:val="00816164"/>
    <w:rsid w:val="00821776"/>
    <w:rsid w:val="008225B0"/>
    <w:rsid w:val="00826007"/>
    <w:rsid w:val="00826337"/>
    <w:rsid w:val="008320C3"/>
    <w:rsid w:val="008321F5"/>
    <w:rsid w:val="00832369"/>
    <w:rsid w:val="00834660"/>
    <w:rsid w:val="00836BC2"/>
    <w:rsid w:val="0084102C"/>
    <w:rsid w:val="0085641B"/>
    <w:rsid w:val="00857136"/>
    <w:rsid w:val="00861ECB"/>
    <w:rsid w:val="0086447B"/>
    <w:rsid w:val="00896018"/>
    <w:rsid w:val="008A089B"/>
    <w:rsid w:val="008A2B9D"/>
    <w:rsid w:val="008A5E0B"/>
    <w:rsid w:val="008A6D59"/>
    <w:rsid w:val="008A7095"/>
    <w:rsid w:val="008B1A25"/>
    <w:rsid w:val="008B39E8"/>
    <w:rsid w:val="008B4B03"/>
    <w:rsid w:val="008B553E"/>
    <w:rsid w:val="008B596F"/>
    <w:rsid w:val="008C159F"/>
    <w:rsid w:val="008C1623"/>
    <w:rsid w:val="008C45E5"/>
    <w:rsid w:val="008C51A9"/>
    <w:rsid w:val="008C63C5"/>
    <w:rsid w:val="008C7541"/>
    <w:rsid w:val="008D4C6B"/>
    <w:rsid w:val="008D7D45"/>
    <w:rsid w:val="008E3C43"/>
    <w:rsid w:val="008E3FF2"/>
    <w:rsid w:val="008E759B"/>
    <w:rsid w:val="008F1CCC"/>
    <w:rsid w:val="008F2967"/>
    <w:rsid w:val="008F6EF7"/>
    <w:rsid w:val="008F6EFA"/>
    <w:rsid w:val="00903AD1"/>
    <w:rsid w:val="009074DB"/>
    <w:rsid w:val="009076A5"/>
    <w:rsid w:val="00916037"/>
    <w:rsid w:val="00920330"/>
    <w:rsid w:val="0092095C"/>
    <w:rsid w:val="00920EF2"/>
    <w:rsid w:val="00920FF4"/>
    <w:rsid w:val="009219D7"/>
    <w:rsid w:val="00922D53"/>
    <w:rsid w:val="00923B70"/>
    <w:rsid w:val="0092600B"/>
    <w:rsid w:val="00926B0E"/>
    <w:rsid w:val="00930237"/>
    <w:rsid w:val="0093283A"/>
    <w:rsid w:val="00932BBB"/>
    <w:rsid w:val="00945E62"/>
    <w:rsid w:val="00947BE9"/>
    <w:rsid w:val="00953BF6"/>
    <w:rsid w:val="0096319D"/>
    <w:rsid w:val="00963C08"/>
    <w:rsid w:val="00964F68"/>
    <w:rsid w:val="009707B8"/>
    <w:rsid w:val="00974DBB"/>
    <w:rsid w:val="0099110E"/>
    <w:rsid w:val="009912B7"/>
    <w:rsid w:val="00994189"/>
    <w:rsid w:val="0099639C"/>
    <w:rsid w:val="009968AE"/>
    <w:rsid w:val="009A314D"/>
    <w:rsid w:val="009A4CED"/>
    <w:rsid w:val="009A5BC7"/>
    <w:rsid w:val="009A7B05"/>
    <w:rsid w:val="009B0CFF"/>
    <w:rsid w:val="009B1D12"/>
    <w:rsid w:val="009B332F"/>
    <w:rsid w:val="009B3475"/>
    <w:rsid w:val="009B416B"/>
    <w:rsid w:val="009B68A6"/>
    <w:rsid w:val="009C4BD5"/>
    <w:rsid w:val="009D059A"/>
    <w:rsid w:val="009D2E04"/>
    <w:rsid w:val="009D6940"/>
    <w:rsid w:val="009D7B77"/>
    <w:rsid w:val="009E0BB0"/>
    <w:rsid w:val="009E3FBB"/>
    <w:rsid w:val="009E45E7"/>
    <w:rsid w:val="009F018D"/>
    <w:rsid w:val="009F0B33"/>
    <w:rsid w:val="00A01B90"/>
    <w:rsid w:val="00A0397C"/>
    <w:rsid w:val="00A03B9F"/>
    <w:rsid w:val="00A1235B"/>
    <w:rsid w:val="00A14DF7"/>
    <w:rsid w:val="00A212B1"/>
    <w:rsid w:val="00A22364"/>
    <w:rsid w:val="00A26E24"/>
    <w:rsid w:val="00A3246D"/>
    <w:rsid w:val="00A3582F"/>
    <w:rsid w:val="00A36FA7"/>
    <w:rsid w:val="00A4235C"/>
    <w:rsid w:val="00A42D2F"/>
    <w:rsid w:val="00A44E1C"/>
    <w:rsid w:val="00A475B7"/>
    <w:rsid w:val="00A478A6"/>
    <w:rsid w:val="00A47AF7"/>
    <w:rsid w:val="00A47C3E"/>
    <w:rsid w:val="00A50226"/>
    <w:rsid w:val="00A556C4"/>
    <w:rsid w:val="00A60BAD"/>
    <w:rsid w:val="00A644D1"/>
    <w:rsid w:val="00A73A8D"/>
    <w:rsid w:val="00A77452"/>
    <w:rsid w:val="00A8058D"/>
    <w:rsid w:val="00A87334"/>
    <w:rsid w:val="00A90156"/>
    <w:rsid w:val="00A92765"/>
    <w:rsid w:val="00A94B4B"/>
    <w:rsid w:val="00A97A9C"/>
    <w:rsid w:val="00AA3EB9"/>
    <w:rsid w:val="00AC067D"/>
    <w:rsid w:val="00AC2B40"/>
    <w:rsid w:val="00AC2BB2"/>
    <w:rsid w:val="00AC2C3C"/>
    <w:rsid w:val="00AC32B1"/>
    <w:rsid w:val="00AC3BD9"/>
    <w:rsid w:val="00AC3D45"/>
    <w:rsid w:val="00AC4B65"/>
    <w:rsid w:val="00AC5A0E"/>
    <w:rsid w:val="00AD5831"/>
    <w:rsid w:val="00AE47B6"/>
    <w:rsid w:val="00AE5AB2"/>
    <w:rsid w:val="00AE65EB"/>
    <w:rsid w:val="00AE6ACA"/>
    <w:rsid w:val="00AF1D94"/>
    <w:rsid w:val="00AF60C5"/>
    <w:rsid w:val="00AF69CB"/>
    <w:rsid w:val="00B009C6"/>
    <w:rsid w:val="00B00ACB"/>
    <w:rsid w:val="00B01548"/>
    <w:rsid w:val="00B01551"/>
    <w:rsid w:val="00B10ABF"/>
    <w:rsid w:val="00B147DA"/>
    <w:rsid w:val="00B21D29"/>
    <w:rsid w:val="00B21FC5"/>
    <w:rsid w:val="00B23323"/>
    <w:rsid w:val="00B24FF5"/>
    <w:rsid w:val="00B25034"/>
    <w:rsid w:val="00B3290D"/>
    <w:rsid w:val="00B33863"/>
    <w:rsid w:val="00B37203"/>
    <w:rsid w:val="00B37D17"/>
    <w:rsid w:val="00B4175E"/>
    <w:rsid w:val="00B42655"/>
    <w:rsid w:val="00B47499"/>
    <w:rsid w:val="00B50E2C"/>
    <w:rsid w:val="00B510E1"/>
    <w:rsid w:val="00B54C25"/>
    <w:rsid w:val="00B6122A"/>
    <w:rsid w:val="00B61739"/>
    <w:rsid w:val="00B75853"/>
    <w:rsid w:val="00B76B91"/>
    <w:rsid w:val="00B82F1F"/>
    <w:rsid w:val="00B85B17"/>
    <w:rsid w:val="00B87BB7"/>
    <w:rsid w:val="00B946A9"/>
    <w:rsid w:val="00B9484C"/>
    <w:rsid w:val="00B94CFB"/>
    <w:rsid w:val="00BA0DFC"/>
    <w:rsid w:val="00BC1CAB"/>
    <w:rsid w:val="00BC622A"/>
    <w:rsid w:val="00BD0B28"/>
    <w:rsid w:val="00BD3FB6"/>
    <w:rsid w:val="00BE0A78"/>
    <w:rsid w:val="00BE243C"/>
    <w:rsid w:val="00BE26E0"/>
    <w:rsid w:val="00BE79F0"/>
    <w:rsid w:val="00BF046D"/>
    <w:rsid w:val="00BF43F2"/>
    <w:rsid w:val="00BF5D04"/>
    <w:rsid w:val="00C13563"/>
    <w:rsid w:val="00C14835"/>
    <w:rsid w:val="00C14DD7"/>
    <w:rsid w:val="00C1617C"/>
    <w:rsid w:val="00C23448"/>
    <w:rsid w:val="00C23477"/>
    <w:rsid w:val="00C24FC6"/>
    <w:rsid w:val="00C3337D"/>
    <w:rsid w:val="00C3408D"/>
    <w:rsid w:val="00C404A6"/>
    <w:rsid w:val="00C40A36"/>
    <w:rsid w:val="00C44247"/>
    <w:rsid w:val="00C44419"/>
    <w:rsid w:val="00C45E7B"/>
    <w:rsid w:val="00C471B1"/>
    <w:rsid w:val="00C4743E"/>
    <w:rsid w:val="00C50E5C"/>
    <w:rsid w:val="00C562D8"/>
    <w:rsid w:val="00C6316B"/>
    <w:rsid w:val="00C634A9"/>
    <w:rsid w:val="00C7069F"/>
    <w:rsid w:val="00C71313"/>
    <w:rsid w:val="00C7475B"/>
    <w:rsid w:val="00C76805"/>
    <w:rsid w:val="00C772FF"/>
    <w:rsid w:val="00C801AF"/>
    <w:rsid w:val="00C80256"/>
    <w:rsid w:val="00C848DC"/>
    <w:rsid w:val="00C85953"/>
    <w:rsid w:val="00C87DC4"/>
    <w:rsid w:val="00CA292D"/>
    <w:rsid w:val="00CA311C"/>
    <w:rsid w:val="00CA7F9C"/>
    <w:rsid w:val="00CB6BC0"/>
    <w:rsid w:val="00CB73C5"/>
    <w:rsid w:val="00CC0C35"/>
    <w:rsid w:val="00CC1B7C"/>
    <w:rsid w:val="00CC2916"/>
    <w:rsid w:val="00CC727F"/>
    <w:rsid w:val="00CD1F02"/>
    <w:rsid w:val="00CD30CC"/>
    <w:rsid w:val="00CD6FCC"/>
    <w:rsid w:val="00CE0C4F"/>
    <w:rsid w:val="00CE5067"/>
    <w:rsid w:val="00CE5BB0"/>
    <w:rsid w:val="00CF15C3"/>
    <w:rsid w:val="00CF2B6F"/>
    <w:rsid w:val="00CF4791"/>
    <w:rsid w:val="00D017ED"/>
    <w:rsid w:val="00D11F5C"/>
    <w:rsid w:val="00D153B1"/>
    <w:rsid w:val="00D20097"/>
    <w:rsid w:val="00D20B1B"/>
    <w:rsid w:val="00D20C54"/>
    <w:rsid w:val="00D224FE"/>
    <w:rsid w:val="00D229BA"/>
    <w:rsid w:val="00D24B85"/>
    <w:rsid w:val="00D25F22"/>
    <w:rsid w:val="00D27857"/>
    <w:rsid w:val="00D30526"/>
    <w:rsid w:val="00D341FB"/>
    <w:rsid w:val="00D35409"/>
    <w:rsid w:val="00D359C8"/>
    <w:rsid w:val="00D3646E"/>
    <w:rsid w:val="00D503F7"/>
    <w:rsid w:val="00D53E59"/>
    <w:rsid w:val="00D55652"/>
    <w:rsid w:val="00D609CC"/>
    <w:rsid w:val="00D613A5"/>
    <w:rsid w:val="00D61B8C"/>
    <w:rsid w:val="00D63AA3"/>
    <w:rsid w:val="00D64401"/>
    <w:rsid w:val="00D6493E"/>
    <w:rsid w:val="00D85417"/>
    <w:rsid w:val="00D9141E"/>
    <w:rsid w:val="00D917AD"/>
    <w:rsid w:val="00D91911"/>
    <w:rsid w:val="00D92F24"/>
    <w:rsid w:val="00DA1124"/>
    <w:rsid w:val="00DA24C7"/>
    <w:rsid w:val="00DA381C"/>
    <w:rsid w:val="00DA4B44"/>
    <w:rsid w:val="00DA4CD9"/>
    <w:rsid w:val="00DB0AD0"/>
    <w:rsid w:val="00DC6753"/>
    <w:rsid w:val="00DD75A3"/>
    <w:rsid w:val="00DD76DE"/>
    <w:rsid w:val="00DE02AE"/>
    <w:rsid w:val="00DE6A0C"/>
    <w:rsid w:val="00DE6C04"/>
    <w:rsid w:val="00DF1D7F"/>
    <w:rsid w:val="00DF2532"/>
    <w:rsid w:val="00DF45B9"/>
    <w:rsid w:val="00DF6BE8"/>
    <w:rsid w:val="00E02A8E"/>
    <w:rsid w:val="00E02FB4"/>
    <w:rsid w:val="00E05DB1"/>
    <w:rsid w:val="00E1198B"/>
    <w:rsid w:val="00E11E4D"/>
    <w:rsid w:val="00E124B1"/>
    <w:rsid w:val="00E1340C"/>
    <w:rsid w:val="00E155AD"/>
    <w:rsid w:val="00E177F4"/>
    <w:rsid w:val="00E20571"/>
    <w:rsid w:val="00E21651"/>
    <w:rsid w:val="00E22953"/>
    <w:rsid w:val="00E235F7"/>
    <w:rsid w:val="00E239D4"/>
    <w:rsid w:val="00E30C88"/>
    <w:rsid w:val="00E32A5C"/>
    <w:rsid w:val="00E330BB"/>
    <w:rsid w:val="00E40505"/>
    <w:rsid w:val="00E40B22"/>
    <w:rsid w:val="00E41702"/>
    <w:rsid w:val="00E43D4D"/>
    <w:rsid w:val="00E4588F"/>
    <w:rsid w:val="00E46DA3"/>
    <w:rsid w:val="00E47660"/>
    <w:rsid w:val="00E57E8C"/>
    <w:rsid w:val="00E64357"/>
    <w:rsid w:val="00E67774"/>
    <w:rsid w:val="00E83157"/>
    <w:rsid w:val="00EA16DE"/>
    <w:rsid w:val="00EA1F09"/>
    <w:rsid w:val="00EA406B"/>
    <w:rsid w:val="00EA7E1D"/>
    <w:rsid w:val="00EB0798"/>
    <w:rsid w:val="00EB40AD"/>
    <w:rsid w:val="00EB5622"/>
    <w:rsid w:val="00EB586E"/>
    <w:rsid w:val="00EB5FC8"/>
    <w:rsid w:val="00EB6CAF"/>
    <w:rsid w:val="00EC2396"/>
    <w:rsid w:val="00ED555A"/>
    <w:rsid w:val="00ED57DF"/>
    <w:rsid w:val="00ED5A41"/>
    <w:rsid w:val="00ED6A67"/>
    <w:rsid w:val="00EF3F86"/>
    <w:rsid w:val="00EF578B"/>
    <w:rsid w:val="00EF6895"/>
    <w:rsid w:val="00F033EC"/>
    <w:rsid w:val="00F04F68"/>
    <w:rsid w:val="00F0622D"/>
    <w:rsid w:val="00F12670"/>
    <w:rsid w:val="00F14B27"/>
    <w:rsid w:val="00F164F9"/>
    <w:rsid w:val="00F2301F"/>
    <w:rsid w:val="00F249A9"/>
    <w:rsid w:val="00F27030"/>
    <w:rsid w:val="00F274A2"/>
    <w:rsid w:val="00F31011"/>
    <w:rsid w:val="00F31037"/>
    <w:rsid w:val="00F3148D"/>
    <w:rsid w:val="00F35298"/>
    <w:rsid w:val="00F3529E"/>
    <w:rsid w:val="00F401EF"/>
    <w:rsid w:val="00F427F0"/>
    <w:rsid w:val="00F469A4"/>
    <w:rsid w:val="00F47E37"/>
    <w:rsid w:val="00F54CA9"/>
    <w:rsid w:val="00F56B9D"/>
    <w:rsid w:val="00F640B6"/>
    <w:rsid w:val="00F66AF9"/>
    <w:rsid w:val="00F66CD7"/>
    <w:rsid w:val="00F71E1E"/>
    <w:rsid w:val="00F80E40"/>
    <w:rsid w:val="00F82D35"/>
    <w:rsid w:val="00F859D2"/>
    <w:rsid w:val="00F8709D"/>
    <w:rsid w:val="00F9022D"/>
    <w:rsid w:val="00F9334F"/>
    <w:rsid w:val="00F95325"/>
    <w:rsid w:val="00FA0D8A"/>
    <w:rsid w:val="00FA2B8E"/>
    <w:rsid w:val="00FA43E5"/>
    <w:rsid w:val="00FA5B82"/>
    <w:rsid w:val="00FA639E"/>
    <w:rsid w:val="00FA7E47"/>
    <w:rsid w:val="00FB3FB5"/>
    <w:rsid w:val="00FB63A2"/>
    <w:rsid w:val="00FC03C8"/>
    <w:rsid w:val="00FC1750"/>
    <w:rsid w:val="00FC25E4"/>
    <w:rsid w:val="00FC4EF7"/>
    <w:rsid w:val="00FD1587"/>
    <w:rsid w:val="00FE1DEE"/>
    <w:rsid w:val="00FE206C"/>
    <w:rsid w:val="00FE2634"/>
    <w:rsid w:val="00FE501F"/>
    <w:rsid w:val="00FE5071"/>
    <w:rsid w:val="00FE50E4"/>
    <w:rsid w:val="00FE6716"/>
    <w:rsid w:val="00FE7677"/>
    <w:rsid w:val="00FF05B9"/>
    <w:rsid w:val="00FF2126"/>
    <w:rsid w:val="00FF268A"/>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2D1A5B6F"/>
  <w15:docId w15:val="{B7707C32-DFA9-4688-B141-037728B1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7E47"/>
    <w:pPr>
      <w:spacing w:before="18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ilvl w:val="0"/>
        <w:numId w:val="44"/>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numbered,列"/>
    <w:basedOn w:val="Normal"/>
    <w:link w:val="ListParagraphChar"/>
    <w:uiPriority w:val="34"/>
    <w:qFormat/>
    <w:rsid w:val="00861ECB"/>
    <w:pPr>
      <w:spacing w:before="0"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numbered Char"/>
    <w:link w:val="ListParagraph"/>
    <w:uiPriority w:val="34"/>
    <w:qFormat/>
    <w:locked/>
    <w:rsid w:val="00A92765"/>
    <w:rPr>
      <w:rFonts w:ascii="Times New Roman" w:eastAsia="Times New Roman" w:hAnsi="Times New Roman"/>
      <w:sz w:val="24"/>
      <w:szCs w:val="24"/>
      <w:lang w:eastAsia="en-US"/>
    </w:rPr>
  </w:style>
  <w:style w:type="table" w:styleId="GridTable5Dark-Accent1">
    <w:name w:val="Grid Table 5 Dark Accent 1"/>
    <w:basedOn w:val="TableNormal"/>
    <w:uiPriority w:val="50"/>
    <w:rsid w:val="00A92765"/>
    <w:rPr>
      <w:rFonts w:ascii="Times New Roman" w:eastAsiaTheme="minorHAnsi" w:hAnsi="Times New Roman"/>
      <w:sz w:val="24"/>
      <w:szCs w:val="24"/>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A8" w:themeFill="accent1"/>
      </w:tcPr>
    </w:tblStylePr>
    <w:tblStylePr w:type="band1Vert">
      <w:tblPr/>
      <w:tcPr>
        <w:shd w:val="clear" w:color="auto" w:fill="76CFFF" w:themeFill="accent1" w:themeFillTint="66"/>
      </w:tcPr>
    </w:tblStylePr>
    <w:tblStylePr w:type="band1Horz">
      <w:tblPr/>
      <w:tcPr>
        <w:shd w:val="clear" w:color="auto" w:fill="76CFFF" w:themeFill="accent1" w:themeFillTint="66"/>
      </w:tcPr>
    </w:tblStylePr>
  </w:style>
  <w:style w:type="table" w:styleId="ListTable3-Accent1">
    <w:name w:val="List Table 3 Accent 1"/>
    <w:basedOn w:val="TableNormal"/>
    <w:uiPriority w:val="48"/>
    <w:rsid w:val="00A92765"/>
    <w:tblPr>
      <w:tblStyleRowBandSize w:val="1"/>
      <w:tblStyleColBandSize w:val="1"/>
      <w:tblBorders>
        <w:top w:val="single" w:sz="4" w:space="0" w:color="006EA8" w:themeColor="accent1"/>
        <w:left w:val="single" w:sz="4" w:space="0" w:color="006EA8" w:themeColor="accent1"/>
        <w:bottom w:val="single" w:sz="4" w:space="0" w:color="006EA8" w:themeColor="accent1"/>
        <w:right w:val="single" w:sz="4" w:space="0" w:color="006EA8" w:themeColor="accent1"/>
      </w:tblBorders>
    </w:tblPr>
    <w:tblStylePr w:type="firstRow">
      <w:rPr>
        <w:b/>
        <w:bCs/>
        <w:color w:val="FFFFFF" w:themeColor="background1"/>
      </w:rPr>
      <w:tblPr/>
      <w:tcPr>
        <w:shd w:val="clear" w:color="auto" w:fill="006EA8" w:themeFill="accent1"/>
      </w:tcPr>
    </w:tblStylePr>
    <w:tblStylePr w:type="lastRow">
      <w:rPr>
        <w:b/>
        <w:bCs/>
      </w:rPr>
      <w:tblPr/>
      <w:tcPr>
        <w:tcBorders>
          <w:top w:val="double" w:sz="4" w:space="0" w:color="006E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A8" w:themeColor="accent1"/>
          <w:right w:val="single" w:sz="4" w:space="0" w:color="006EA8" w:themeColor="accent1"/>
        </w:tcBorders>
      </w:tcPr>
    </w:tblStylePr>
    <w:tblStylePr w:type="band1Horz">
      <w:tblPr/>
      <w:tcPr>
        <w:tcBorders>
          <w:top w:val="single" w:sz="4" w:space="0" w:color="006EA8" w:themeColor="accent1"/>
          <w:bottom w:val="single" w:sz="4" w:space="0" w:color="006E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A8" w:themeColor="accent1"/>
          <w:left w:val="nil"/>
        </w:tcBorders>
      </w:tcPr>
    </w:tblStylePr>
    <w:tblStylePr w:type="swCell">
      <w:tblPr/>
      <w:tcPr>
        <w:tcBorders>
          <w:top w:val="double" w:sz="4" w:space="0" w:color="006EA8" w:themeColor="accent1"/>
          <w:right w:val="nil"/>
        </w:tcBorders>
      </w:tcPr>
    </w:tblStylePr>
  </w:style>
  <w:style w:type="paragraph" w:styleId="NormalWeb">
    <w:name w:val="Normal (Web)"/>
    <w:basedOn w:val="Normal"/>
    <w:uiPriority w:val="99"/>
    <w:semiHidden/>
    <w:unhideWhenUsed/>
    <w:rsid w:val="004F4DE0"/>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31373">
      <w:bodyDiv w:val="1"/>
      <w:marLeft w:val="0"/>
      <w:marRight w:val="0"/>
      <w:marTop w:val="0"/>
      <w:marBottom w:val="0"/>
      <w:divBdr>
        <w:top w:val="none" w:sz="0" w:space="0" w:color="auto"/>
        <w:left w:val="none" w:sz="0" w:space="0" w:color="auto"/>
        <w:bottom w:val="none" w:sz="0" w:space="0" w:color="auto"/>
        <w:right w:val="none" w:sz="0" w:space="0" w:color="auto"/>
      </w:divBdr>
    </w:div>
    <w:div w:id="294217320">
      <w:bodyDiv w:val="1"/>
      <w:marLeft w:val="0"/>
      <w:marRight w:val="0"/>
      <w:marTop w:val="0"/>
      <w:marBottom w:val="0"/>
      <w:divBdr>
        <w:top w:val="none" w:sz="0" w:space="0" w:color="auto"/>
        <w:left w:val="none" w:sz="0" w:space="0" w:color="auto"/>
        <w:bottom w:val="none" w:sz="0" w:space="0" w:color="auto"/>
        <w:right w:val="none" w:sz="0" w:space="0" w:color="auto"/>
      </w:divBdr>
    </w:div>
    <w:div w:id="354816225">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23544007">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 w:id="2122645597">
      <w:bodyDiv w:val="1"/>
      <w:marLeft w:val="0"/>
      <w:marRight w:val="0"/>
      <w:marTop w:val="0"/>
      <w:marBottom w:val="0"/>
      <w:divBdr>
        <w:top w:val="none" w:sz="0" w:space="0" w:color="auto"/>
        <w:left w:val="none" w:sz="0" w:space="0" w:color="auto"/>
        <w:bottom w:val="none" w:sz="0" w:space="0" w:color="auto"/>
        <w:right w:val="none" w:sz="0" w:space="0" w:color="auto"/>
      </w:divBdr>
      <w:divsChild>
        <w:div w:id="647635057">
          <w:marLeft w:val="274"/>
          <w:marRight w:val="0"/>
          <w:marTop w:val="0"/>
          <w:marBottom w:val="0"/>
          <w:divBdr>
            <w:top w:val="none" w:sz="0" w:space="0" w:color="auto"/>
            <w:left w:val="none" w:sz="0" w:space="0" w:color="auto"/>
            <w:bottom w:val="none" w:sz="0" w:space="0" w:color="auto"/>
            <w:right w:val="none" w:sz="0" w:space="0" w:color="auto"/>
          </w:divBdr>
        </w:div>
        <w:div w:id="11988137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whether-tga-should-publish-prescription-medicine-under-evaluation" TargetMode="External"/><Relationship Id="rId18"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B823-54AC-477B-937E-588AB8B2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21</TotalTime>
  <Pages>13</Pages>
  <Words>3391</Words>
  <Characters>19332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Prescription medicines transparency measures: Implementation of generic medicines early notification to innovators of an application and publication of innovator applications</vt:lpstr>
    </vt:vector>
  </TitlesOfParts>
  <Company>TGA</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Prescription medicines transparency measures: Implementation of generic medicines early notification to innovators of an application and publication of innovator applications</dc:title>
  <dc:subject>prescription medicines</dc:subject>
  <dc:creator>Therapeutic Goods Administration</dc:creator>
  <cp:lastPrinted>2010-12-20T22:59:00Z</cp:lastPrinted>
  <dcterms:created xsi:type="dcterms:W3CDTF">2020-04-06T03:15:00Z</dcterms:created>
  <dcterms:modified xsi:type="dcterms:W3CDTF">2020-04-08T05:34:00Z</dcterms:modified>
</cp:coreProperties>
</file>