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D647AF" w:rsidP="00D647AF">
            <w:pPr>
              <w:pStyle w:val="Header"/>
              <w:jc w:val="left"/>
            </w:pPr>
            <w:r>
              <w:rPr>
                <w:noProof/>
                <w:lang w:eastAsia="en-AU"/>
              </w:rPr>
              <w:drawing>
                <wp:inline distT="0" distB="0" distL="0" distR="0" wp14:anchorId="5C4B8F21" wp14:editId="59BECBDD">
                  <wp:extent cx="2736000" cy="702655"/>
                  <wp:effectExtent l="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 logo inline-300dpi-officialsize-MSWord.PN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36000" cy="702655"/>
                          </a:xfrm>
                          <a:prstGeom prst="rect">
                            <a:avLst/>
                          </a:prstGeom>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491BBA" w:rsidP="000B1A45">
            <w:pPr>
              <w:pStyle w:val="SubmissionID"/>
            </w:pPr>
            <w:r w:rsidRPr="00491BBA">
              <w:t>TGA use only</w:t>
            </w: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491BBA" w:rsidRDefault="00491BBA" w:rsidP="00491BBA">
      <w:pPr>
        <w:pStyle w:val="LegalCopy"/>
        <w:spacing w:before="240"/>
      </w:pPr>
      <w:r w:rsidRPr="00491BBA">
        <w:t>This form, when completed, will be classified as '</w:t>
      </w:r>
      <w:r w:rsidRPr="00491BBA">
        <w:rPr>
          <w:b/>
        </w:rPr>
        <w:t>For official use only</w:t>
      </w:r>
      <w:r w:rsidRPr="00491BBA">
        <w:t>'.</w:t>
      </w:r>
      <w:r w:rsidRPr="00491BBA">
        <w:br/>
        <w:t>For guidance on how your information will be treated by the TGA see: Treatment of information provided to the TGA at &lt;</w:t>
      </w:r>
      <w:hyperlink r:id="rId10" w:history="1">
        <w:r w:rsidRPr="00491BBA">
          <w:rPr>
            <w:rStyle w:val="Hyperlink"/>
          </w:rPr>
          <w:t>http://www.tga.gov.au/about/tga-information-to.htm</w:t>
        </w:r>
      </w:hyperlink>
      <w:r w:rsidRPr="00491BBA">
        <w:t>&gt;.</w:t>
      </w:r>
    </w:p>
    <w:p w:rsidR="00DC7445" w:rsidRPr="000715CE" w:rsidRDefault="00491BBA" w:rsidP="000715CE">
      <w:pPr>
        <w:pStyle w:val="Heading1"/>
        <w:spacing w:after="240"/>
        <w:rPr>
          <w:sz w:val="56"/>
          <w:szCs w:val="56"/>
        </w:rPr>
      </w:pPr>
      <w:r w:rsidRPr="000715CE">
        <w:rPr>
          <w:sz w:val="56"/>
          <w:szCs w:val="56"/>
        </w:rPr>
        <w:t>Module 1.6.2 A</w:t>
      </w:r>
      <w:r w:rsidR="00D712A4" w:rsidRPr="000715CE">
        <w:rPr>
          <w:sz w:val="56"/>
          <w:szCs w:val="56"/>
        </w:rPr>
        <w:t>pplicant declaration</w:t>
      </w:r>
    </w:p>
    <w:p w:rsidR="00D712A4" w:rsidRPr="00491BBA" w:rsidRDefault="00D712A4" w:rsidP="00A45033">
      <w:pPr>
        <w:pStyle w:val="Subtitle0"/>
      </w:pPr>
      <w:r w:rsidRPr="00491BBA">
        <w:t xml:space="preserve">Drug master files, </w:t>
      </w:r>
      <w:r w:rsidRPr="00A45033">
        <w:t>plasma</w:t>
      </w:r>
      <w:r w:rsidRPr="00491BBA">
        <w:t xml:space="preserve"> master files, and EDQM certificates of suitability</w:t>
      </w:r>
    </w:p>
    <w:p w:rsidR="00D712A4" w:rsidRPr="00D712A4" w:rsidRDefault="00DC7445" w:rsidP="00A45033">
      <w:r w:rsidRPr="004B1BF3">
        <w:rPr>
          <w:b/>
        </w:rPr>
        <w:t>Please note:</w:t>
      </w:r>
      <w:r w:rsidR="00666D03" w:rsidRPr="004B1BF3">
        <w:t xml:space="preserve"> </w:t>
      </w:r>
      <w:r w:rsidR="00D712A4" w:rsidRPr="00D712A4">
        <w:t>This form is to be completed and included in module 1.6.2 for prescription medicine applications that make reference to one or more drug master files (DMF), plasma master files (PMF), and/or EDQM Certificates of Suitability (CEP).</w:t>
      </w:r>
    </w:p>
    <w:p w:rsidR="00D712A4" w:rsidRDefault="00760408" w:rsidP="00A45033">
      <w:pPr>
        <w:pStyle w:val="Heading2"/>
      </w:pPr>
      <w:r w:rsidRPr="00760408">
        <w:t>Part A</w:t>
      </w:r>
      <w:r w:rsidR="009732D5">
        <w:t xml:space="preserve"> </w:t>
      </w:r>
      <w:r>
        <w:t>-</w:t>
      </w:r>
      <w:r w:rsidR="009732D5">
        <w:t xml:space="preserve"> </w:t>
      </w:r>
      <w:r w:rsidRPr="00760408">
        <w:t xml:space="preserve">Drug </w:t>
      </w:r>
      <w:r w:rsidRPr="00491BBA">
        <w:t>substances</w:t>
      </w:r>
    </w:p>
    <w:p w:rsidR="00D712A4" w:rsidRDefault="00280F67" w:rsidP="00A45033">
      <w:r>
        <w:t>The following drug substances are the subject of a DMF or PMF:</w:t>
      </w:r>
      <w:r w:rsidRPr="00A45033">
        <w:rPr>
          <w:rStyle w:val="FootnoteReference"/>
          <w:sz w:val="18"/>
          <w:szCs w:val="18"/>
        </w:rPr>
        <w:footnoteReference w:id="1"/>
      </w:r>
    </w:p>
    <w:tbl>
      <w:tblPr>
        <w:tblStyle w:val="TableGrid"/>
        <w:tblW w:w="0" w:type="auto"/>
        <w:tblLook w:val="04A0" w:firstRow="1" w:lastRow="0" w:firstColumn="1" w:lastColumn="0" w:noHBand="0" w:noVBand="1"/>
      </w:tblPr>
      <w:tblGrid>
        <w:gridCol w:w="9855"/>
      </w:tblGrid>
      <w:tr w:rsidR="00280F67" w:rsidTr="007072B3">
        <w:trPr>
          <w:trHeight w:val="2909"/>
        </w:trPr>
        <w:tc>
          <w:tcPr>
            <w:tcW w:w="9855" w:type="dxa"/>
          </w:tcPr>
          <w:p w:rsidR="00280F67" w:rsidRDefault="005E297A" w:rsidP="00A35C0D">
            <w:r>
              <w:fldChar w:fldCharType="begin">
                <w:ffData>
                  <w:name w:val=""/>
                  <w:enabled/>
                  <w:calcOnExit w:val="0"/>
                  <w:helpText w:type="text" w:val="Enter drug substances that are the subject of a DMF or PMF"/>
                  <w:statusText w:type="text" w:val="The following drug substances are the subject of a DMF or PMF"/>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bl>
    <w:p w:rsidR="00D712A4" w:rsidRDefault="00280F67" w:rsidP="00491BBA">
      <w:r w:rsidRPr="00280F67">
        <w:t>The following drug substances are the subject of an EDQM Certificate of Suitability</w:t>
      </w:r>
      <w:proofErr w:type="gramStart"/>
      <w:r w:rsidRPr="00280F67">
        <w:t>:</w:t>
      </w:r>
      <w:r w:rsidRPr="00280F67">
        <w:rPr>
          <w:vertAlign w:val="superscript"/>
        </w:rPr>
        <w:t>1</w:t>
      </w:r>
      <w:proofErr w:type="gramEnd"/>
    </w:p>
    <w:tbl>
      <w:tblPr>
        <w:tblStyle w:val="TableGrid"/>
        <w:tblW w:w="0" w:type="auto"/>
        <w:tblLook w:val="04A0" w:firstRow="1" w:lastRow="0" w:firstColumn="1" w:lastColumn="0" w:noHBand="0" w:noVBand="1"/>
      </w:tblPr>
      <w:tblGrid>
        <w:gridCol w:w="9855"/>
      </w:tblGrid>
      <w:tr w:rsidR="00280F67" w:rsidTr="007072B3">
        <w:trPr>
          <w:trHeight w:val="3041"/>
        </w:trPr>
        <w:tc>
          <w:tcPr>
            <w:tcW w:w="9855" w:type="dxa"/>
          </w:tcPr>
          <w:p w:rsidR="00280F67" w:rsidRDefault="005E297A" w:rsidP="00A35C0D">
            <w:r>
              <w:fldChar w:fldCharType="begin">
                <w:ffData>
                  <w:name w:val=""/>
                  <w:enabled/>
                  <w:calcOnExit w:val="0"/>
                  <w:helpText w:type="text" w:val="Enter drug substances that are the subject of an EDQM Certificate of Suitability here"/>
                  <w:statusText w:type="text" w:val="The following drug substances are the subject of an EDQM Certificate of Suit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712A4" w:rsidRDefault="00280F67" w:rsidP="00280F67">
      <w:pPr>
        <w:pStyle w:val="Heading2"/>
      </w:pPr>
      <w:r w:rsidRPr="00280F67">
        <w:lastRenderedPageBreak/>
        <w:t>Part B</w:t>
      </w:r>
      <w:r w:rsidR="009732D5">
        <w:t xml:space="preserve"> </w:t>
      </w:r>
      <w:r>
        <w:t>-</w:t>
      </w:r>
      <w:r w:rsidR="009732D5">
        <w:t xml:space="preserve"> </w:t>
      </w:r>
      <w:r w:rsidRPr="00280F67">
        <w:t>Declaration</w:t>
      </w:r>
    </w:p>
    <w:p w:rsidR="00D712A4" w:rsidRPr="00491BBA" w:rsidRDefault="00280F67" w:rsidP="00491BBA">
      <w:pPr>
        <w:rPr>
          <w:b/>
        </w:rPr>
      </w:pPr>
      <w:r w:rsidRPr="00491BBA">
        <w:rPr>
          <w:b/>
        </w:rPr>
        <w:t>I confirm:</w:t>
      </w:r>
    </w:p>
    <w:p w:rsidR="00D712A4" w:rsidRDefault="00280F67" w:rsidP="00491BBA">
      <w:r w:rsidRPr="00280F67">
        <w:t xml:space="preserve">The drug substance(s) above is/are the subject of </w:t>
      </w:r>
      <w:proofErr w:type="gramStart"/>
      <w:r w:rsidRPr="00280F67">
        <w:t>either a</w:t>
      </w:r>
      <w:proofErr w:type="gramEnd"/>
      <w:r w:rsidRPr="00280F67">
        <w:t xml:space="preserve"> DMF, a PMF, or an EDQM CEP supplied with this application.</w:t>
      </w:r>
    </w:p>
    <w:p w:rsidR="00D712A4" w:rsidRDefault="00280F67" w:rsidP="00491BBA">
      <w:r w:rsidRPr="00280F67">
        <w:t>Each drug substance manufacturer has been requested to forward a letter of access to the TGA, authorising the TGA to refer to the DMF/PMF/CEP in the evaluation of the medicine.</w:t>
      </w:r>
    </w:p>
    <w:p w:rsidR="00D712A4" w:rsidRDefault="00280F67" w:rsidP="00491BBA">
      <w:r w:rsidRPr="00280F67">
        <w:t>The letters of access (Module 1.6.3) include assurances regarding subsequent changes to the manufacture or quality control of the drug substance as required by the TGA.</w:t>
      </w:r>
    </w:p>
    <w:p w:rsidR="00D712A4" w:rsidRDefault="00280F67" w:rsidP="00491BBA">
      <w:r w:rsidRPr="00280F67">
        <w:t xml:space="preserve">For submissions referencing an EDQM CEP, all relevant information in the TGA guideline </w:t>
      </w:r>
      <w:r w:rsidRPr="00A56AE1">
        <w:rPr>
          <w:i/>
        </w:rPr>
        <w:t>Drug master files and certificates of suitability of a monograph of the European Pharmacopoeia for drug substances</w:t>
      </w:r>
      <w:r w:rsidRPr="00280F67">
        <w:t xml:space="preserve"> has been supplied in the submission dossier.</w:t>
      </w:r>
    </w:p>
    <w:p w:rsidR="00D712A4" w:rsidRDefault="00280F67" w:rsidP="00491BBA">
      <w:r w:rsidRPr="00280F67">
        <w:t>A formal agreement exists between the applicant of the medicine and each manufacturer of the drug substance(s) that ensures information will be communicated between the applicant and the manufacturer, and to the TGA before any significant change is made to:</w:t>
      </w:r>
    </w:p>
    <w:p w:rsidR="00280F67" w:rsidRDefault="00280F67" w:rsidP="00A45033">
      <w:pPr>
        <w:pStyle w:val="ListBullet"/>
      </w:pPr>
      <w:r>
        <w:t xml:space="preserve">the site of </w:t>
      </w:r>
      <w:r w:rsidRPr="00A45033">
        <w:t>manufacture</w:t>
      </w:r>
    </w:p>
    <w:p w:rsidR="00280F67" w:rsidRDefault="00280F67" w:rsidP="00491BBA">
      <w:pPr>
        <w:pStyle w:val="ListBullet"/>
      </w:pPr>
      <w:r>
        <w:t>manufacturing procedure</w:t>
      </w:r>
    </w:p>
    <w:p w:rsidR="00D712A4" w:rsidRDefault="00280F67" w:rsidP="00D712A4">
      <w:proofErr w:type="gramStart"/>
      <w:r w:rsidRPr="00280F67">
        <w:t>quality</w:t>
      </w:r>
      <w:proofErr w:type="gramEnd"/>
      <w:r w:rsidRPr="00280F67">
        <w:t xml:space="preserve"> control specifications of the drug substance.</w:t>
      </w:r>
    </w:p>
    <w:p w:rsidR="00D712A4" w:rsidRDefault="00280F67" w:rsidP="00A45033">
      <w:r w:rsidRPr="00280F67">
        <w:t>Except as permitted by the TGA’s guidelines on changes to medicines, such changes will not be made to the drug substance(s) to be used in the manufacture of medicines destined to be distributed in Australia before written approval is granted by the TGA.</w:t>
      </w:r>
    </w:p>
    <w:p w:rsidR="00D712A4" w:rsidRDefault="00280F67" w:rsidP="00A45033">
      <w:r w:rsidRPr="00280F67">
        <w:t>The manufacturer and the applicant understand the consequence of failing to obtain approval for changes to manufacture where approval is necessary, may include deregistration and recall in Australia of batches of medicines containing this material.</w:t>
      </w:r>
    </w:p>
    <w:tbl>
      <w:tblPr>
        <w:tblStyle w:val="TableGrid"/>
        <w:tblW w:w="0" w:type="auto"/>
        <w:tblLook w:val="04A0" w:firstRow="1" w:lastRow="0" w:firstColumn="1" w:lastColumn="0" w:noHBand="0" w:noVBand="1"/>
      </w:tblPr>
      <w:tblGrid>
        <w:gridCol w:w="3085"/>
        <w:gridCol w:w="3544"/>
        <w:gridCol w:w="850"/>
        <w:gridCol w:w="2376"/>
      </w:tblGrid>
      <w:tr w:rsidR="005533BF" w:rsidRPr="004B1BF3" w:rsidTr="00280F67">
        <w:trPr>
          <w:trHeight w:val="482"/>
        </w:trPr>
        <w:tc>
          <w:tcPr>
            <w:tcW w:w="3085" w:type="dxa"/>
            <w:tcBorders>
              <w:top w:val="nil"/>
              <w:left w:val="nil"/>
              <w:bottom w:val="nil"/>
            </w:tcBorders>
            <w:vAlign w:val="center"/>
          </w:tcPr>
          <w:p w:rsidR="005533BF" w:rsidRPr="000B1A45" w:rsidRDefault="00280F67" w:rsidP="00491BBA">
            <w:r>
              <w:t>Name of authorised officer</w:t>
            </w:r>
          </w:p>
        </w:tc>
        <w:tc>
          <w:tcPr>
            <w:tcW w:w="6770" w:type="dxa"/>
            <w:gridSpan w:val="3"/>
            <w:vAlign w:val="center"/>
          </w:tcPr>
          <w:p w:rsidR="005533BF" w:rsidRPr="004B1BF3" w:rsidRDefault="00F16AD2" w:rsidP="00491BBA">
            <w:r>
              <w:fldChar w:fldCharType="begin">
                <w:ffData>
                  <w:name w:val=""/>
                  <w:enabled/>
                  <w:calcOnExit w:val="0"/>
                  <w:helpText w:type="text" w:val="Enter Name of authorised officer here"/>
                  <w:statusText w:type="text" w:val="Name of authorised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3BF" w:rsidRPr="004B1BF3" w:rsidTr="00280F67">
        <w:trPr>
          <w:trHeight w:val="482"/>
        </w:trPr>
        <w:tc>
          <w:tcPr>
            <w:tcW w:w="3085" w:type="dxa"/>
            <w:tcBorders>
              <w:top w:val="nil"/>
              <w:left w:val="nil"/>
              <w:bottom w:val="nil"/>
            </w:tcBorders>
            <w:vAlign w:val="center"/>
          </w:tcPr>
          <w:p w:rsidR="005533BF" w:rsidRPr="004B1BF3" w:rsidRDefault="00280F67" w:rsidP="00491BBA">
            <w:r>
              <w:t>Applicant name</w:t>
            </w:r>
          </w:p>
        </w:tc>
        <w:tc>
          <w:tcPr>
            <w:tcW w:w="6770" w:type="dxa"/>
            <w:gridSpan w:val="3"/>
            <w:vAlign w:val="center"/>
          </w:tcPr>
          <w:p w:rsidR="005533BF" w:rsidRPr="004B1BF3" w:rsidRDefault="00F16AD2" w:rsidP="00491BBA">
            <w:r>
              <w:fldChar w:fldCharType="begin">
                <w:ffData>
                  <w:name w:val=""/>
                  <w:enabled/>
                  <w:calcOnExit w:val="0"/>
                  <w:helpText w:type="text" w:val="Enter Applicant name here"/>
                  <w:statusText w:type="text" w:val="Applica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5033" w:rsidRPr="004B1BF3" w:rsidTr="00A45033">
        <w:trPr>
          <w:trHeight w:val="482"/>
        </w:trPr>
        <w:tc>
          <w:tcPr>
            <w:tcW w:w="3085" w:type="dxa"/>
            <w:tcBorders>
              <w:top w:val="nil"/>
              <w:left w:val="nil"/>
              <w:bottom w:val="nil"/>
            </w:tcBorders>
            <w:vAlign w:val="center"/>
          </w:tcPr>
          <w:p w:rsidR="00A45033" w:rsidRPr="004B1BF3" w:rsidRDefault="00A45033" w:rsidP="00491BBA">
            <w:r>
              <w:t>Signature</w:t>
            </w:r>
          </w:p>
        </w:tc>
        <w:tc>
          <w:tcPr>
            <w:tcW w:w="3544" w:type="dxa"/>
            <w:vAlign w:val="center"/>
          </w:tcPr>
          <w:p w:rsidR="00A45033" w:rsidRPr="004B1BF3" w:rsidRDefault="00A45033" w:rsidP="00491BBA"/>
        </w:tc>
        <w:tc>
          <w:tcPr>
            <w:tcW w:w="850" w:type="dxa"/>
            <w:vAlign w:val="center"/>
          </w:tcPr>
          <w:p w:rsidR="00A45033" w:rsidRPr="004B1BF3" w:rsidRDefault="00A45033" w:rsidP="00491BBA">
            <w:r>
              <w:t>Date</w:t>
            </w:r>
          </w:p>
        </w:tc>
        <w:tc>
          <w:tcPr>
            <w:tcW w:w="2376" w:type="dxa"/>
            <w:vAlign w:val="center"/>
          </w:tcPr>
          <w:p w:rsidR="00A45033" w:rsidRPr="004B1BF3" w:rsidRDefault="00A45033" w:rsidP="00491BBA">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3E360B" w:rsidP="00CE5FFD"/>
    <w:sectPr w:rsidR="003E360B" w:rsidRPr="004B1BF3" w:rsidSect="00A45033">
      <w:footerReference w:type="default" r:id="rId11"/>
      <w:footerReference w:type="first" r:id="rId12"/>
      <w:pgSz w:w="11907" w:h="16840" w:code="9"/>
      <w:pgMar w:top="709" w:right="1134" w:bottom="1843" w:left="1134" w:header="284" w:footer="3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2A4" w:rsidRDefault="00D712A4" w:rsidP="000B1A45">
      <w:r>
        <w:separator/>
      </w:r>
    </w:p>
  </w:endnote>
  <w:endnote w:type="continuationSeparator" w:id="0">
    <w:p w:rsidR="00D712A4" w:rsidRDefault="00D712A4"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Default="009732D5" w:rsidP="009D5FEA">
    <w:pPr>
      <w:pStyle w:val="Footer"/>
      <w:spacing w:before="0" w:after="0"/>
    </w:pPr>
    <w:r w:rsidRPr="009732D5">
      <w:t xml:space="preserve">Module 1.6.2 Applicant declaration </w:t>
    </w:r>
    <w:r w:rsidR="00212A35" w:rsidRPr="009732D5">
      <w:t>(</w:t>
    </w:r>
    <w:r w:rsidR="00A45033">
      <w:t>August</w:t>
    </w:r>
    <w:r w:rsidR="00212A35" w:rsidRPr="009732D5">
      <w:t xml:space="preserve"> </w:t>
    </w:r>
    <w:r w:rsidR="00491BBA">
      <w:t>2014</w:t>
    </w:r>
    <w:r w:rsidR="00212A35" w:rsidRPr="009732D5">
      <w:t>)</w:t>
    </w:r>
    <w:r w:rsidR="00212A35" w:rsidRPr="004B1BF3">
      <w:tab/>
    </w:r>
    <w:sdt>
      <w:sdtPr>
        <w:id w:val="-1032489610"/>
        <w:docPartObj>
          <w:docPartGallery w:val="Page Numbers (Top of Page)"/>
          <w:docPartUnique/>
        </w:docPartObj>
      </w:sdtPr>
      <w:sdtEndPr/>
      <w:sdtContent>
        <w:r w:rsidR="00212A35" w:rsidRPr="004B1BF3">
          <w:t xml:space="preserve">Page </w:t>
        </w:r>
        <w:r w:rsidR="00D647AF">
          <w:fldChar w:fldCharType="begin"/>
        </w:r>
        <w:r w:rsidR="00D647AF">
          <w:instrText xml:space="preserve"> PAGE </w:instrText>
        </w:r>
        <w:r w:rsidR="00D647AF">
          <w:fldChar w:fldCharType="separate"/>
        </w:r>
        <w:r w:rsidR="00882459">
          <w:rPr>
            <w:noProof/>
          </w:rPr>
          <w:t>2</w:t>
        </w:r>
        <w:r w:rsidR="00D647AF">
          <w:rPr>
            <w:noProof/>
          </w:rPr>
          <w:fldChar w:fldCharType="end"/>
        </w:r>
        <w:r w:rsidR="00212A35" w:rsidRPr="004B1BF3">
          <w:t xml:space="preserve"> of </w:t>
        </w:r>
        <w:r w:rsidR="00D647AF">
          <w:fldChar w:fldCharType="begin"/>
        </w:r>
        <w:r w:rsidR="00D647AF">
          <w:instrText xml:space="preserve"> NUMPAGES  </w:instrText>
        </w:r>
        <w:r w:rsidR="00D647AF">
          <w:fldChar w:fldCharType="separate"/>
        </w:r>
        <w:r w:rsidR="00882459">
          <w:rPr>
            <w:noProof/>
          </w:rPr>
          <w:t>2</w:t>
        </w:r>
        <w:r w:rsidR="00D647AF">
          <w:rPr>
            <w:noProof/>
          </w:rPr>
          <w:fldChar w:fldCharType="end"/>
        </w:r>
      </w:sdtContent>
    </w:sdt>
  </w:p>
  <w:p w:rsidR="00491BBA" w:rsidRPr="00491BBA" w:rsidRDefault="00491BBA" w:rsidP="009D5FEA">
    <w:pPr>
      <w:pStyle w:val="Footer"/>
      <w:spacing w:before="0" w:after="0"/>
      <w:rPr>
        <w:b/>
      </w:rPr>
    </w:pPr>
    <w:r w:rsidRPr="00491BBA">
      <w:rPr>
        <w:b/>
      </w:rPr>
      <w:t>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33" w:rsidRPr="004B1BF3" w:rsidRDefault="00A45033" w:rsidP="00A45033">
    <w:pPr>
      <w:pStyle w:val="Footer"/>
      <w:spacing w:before="0" w:after="0"/>
    </w:pPr>
    <w:r w:rsidRPr="006E2D63">
      <w:rPr>
        <w:noProof/>
        <w:lang w:val="en-AU" w:eastAsia="en-AU"/>
      </w:rPr>
      <w:drawing>
        <wp:anchor distT="0" distB="0" distL="114300" distR="114300" simplePos="0" relativeHeight="251660288" behindDoc="0" locked="0" layoutInCell="1" allowOverlap="1" wp14:anchorId="5B1CD519" wp14:editId="7C28199D">
          <wp:simplePos x="0" y="0"/>
          <wp:positionH relativeFrom="column">
            <wp:posOffset>5042535</wp:posOffset>
          </wp:positionH>
          <wp:positionV relativeFrom="paragraph">
            <wp:posOffset>28880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A45033" w:rsidRPr="00A45033" w:rsidRDefault="00A45033" w:rsidP="00A45033">
    <w:pPr>
      <w:spacing w:before="0" w:after="0"/>
      <w:rPr>
        <w:rFonts w:cstheme="majorHAnsi"/>
        <w:sz w:val="18"/>
        <w:szCs w:val="14"/>
        <w:lang w:val="fr-F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212A35" w:rsidRPr="00A45033" w:rsidRDefault="00A45033" w:rsidP="00A45033">
    <w:pPr>
      <w:pStyle w:val="Footer"/>
    </w:pPr>
    <w:r>
      <w:rPr>
        <w:noProof/>
        <w:lang w:val="en-AU" w:eastAsia="en-AU"/>
      </w:rPr>
      <w:drawing>
        <wp:anchor distT="0" distB="0" distL="114300" distR="114300" simplePos="0" relativeHeight="251659264" behindDoc="1" locked="0" layoutInCell="1" allowOverlap="1" wp14:anchorId="296B8DB4" wp14:editId="1E27FB00">
          <wp:simplePos x="0" y="0"/>
          <wp:positionH relativeFrom="column">
            <wp:posOffset>-748030</wp:posOffset>
          </wp:positionH>
          <wp:positionV relativeFrom="paragraph">
            <wp:posOffset>126670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2A4" w:rsidRDefault="00D712A4" w:rsidP="000B1A45">
      <w:r>
        <w:separator/>
      </w:r>
    </w:p>
  </w:footnote>
  <w:footnote w:type="continuationSeparator" w:id="0">
    <w:p w:rsidR="00D712A4" w:rsidRDefault="00D712A4" w:rsidP="000B1A45">
      <w:r>
        <w:continuationSeparator/>
      </w:r>
    </w:p>
  </w:footnote>
  <w:footnote w:id="1">
    <w:p w:rsidR="00280F67" w:rsidRPr="00A45033" w:rsidRDefault="00280F67" w:rsidP="00A45033">
      <w:pPr>
        <w:pStyle w:val="FootnoteText"/>
        <w:rPr>
          <w:rStyle w:val="FootnoteReference"/>
          <w:sz w:val="18"/>
          <w:szCs w:val="18"/>
        </w:rPr>
      </w:pPr>
      <w:r w:rsidRPr="00A45033">
        <w:rPr>
          <w:rStyle w:val="FootnoteReference"/>
          <w:sz w:val="18"/>
          <w:szCs w:val="18"/>
        </w:rPr>
        <w:footnoteRef/>
      </w:r>
      <w:r w:rsidRPr="00A45033">
        <w:rPr>
          <w:rStyle w:val="FootnoteReference"/>
          <w:sz w:val="18"/>
          <w:szCs w:val="18"/>
        </w:rPr>
        <w:t xml:space="preserve"> </w:t>
      </w:r>
      <w:r w:rsidRPr="00A45033">
        <w:rPr>
          <w:sz w:val="18"/>
          <w:szCs w:val="18"/>
        </w:rPr>
        <w:t>If insufficient room, attach a separate page with the required details.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1AAE4079"/>
    <w:multiLevelType w:val="hybridMultilevel"/>
    <w:tmpl w:val="C69E43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97FZpxAXh/+bc0NMyJnRJ2r5iM=" w:salt="EeLiKS1myOaDe4y18JMCWw=="/>
  <w:defaultTabStop w:val="720"/>
  <w:drawingGridHorizontalSpacing w:val="120"/>
  <w:displayHorizontalDrawingGridEvery w:val="2"/>
  <w:displayVerticalDrawingGridEvery w:val="2"/>
  <w:noPunctuationKerning/>
  <w:characterSpacingControl w:val="doNotCompress"/>
  <w:hdrShapeDefaults>
    <o:shapedefaults v:ext="edit" spidmax="136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08"/>
    <w:rsid w:val="00001318"/>
    <w:rsid w:val="00015911"/>
    <w:rsid w:val="00024198"/>
    <w:rsid w:val="00045EBC"/>
    <w:rsid w:val="00046BDF"/>
    <w:rsid w:val="000475AB"/>
    <w:rsid w:val="00050813"/>
    <w:rsid w:val="0005278F"/>
    <w:rsid w:val="00052B04"/>
    <w:rsid w:val="0005332B"/>
    <w:rsid w:val="0005431B"/>
    <w:rsid w:val="00056622"/>
    <w:rsid w:val="000715CE"/>
    <w:rsid w:val="00072A33"/>
    <w:rsid w:val="00072EEB"/>
    <w:rsid w:val="00075975"/>
    <w:rsid w:val="000857AB"/>
    <w:rsid w:val="0009311B"/>
    <w:rsid w:val="000A5AFC"/>
    <w:rsid w:val="000B1A45"/>
    <w:rsid w:val="000B4F2E"/>
    <w:rsid w:val="000B5CA6"/>
    <w:rsid w:val="000C7843"/>
    <w:rsid w:val="000D4EAA"/>
    <w:rsid w:val="000D6BF6"/>
    <w:rsid w:val="000D7317"/>
    <w:rsid w:val="000E2CF3"/>
    <w:rsid w:val="000F06FC"/>
    <w:rsid w:val="0010007E"/>
    <w:rsid w:val="00103B59"/>
    <w:rsid w:val="00104407"/>
    <w:rsid w:val="001143A6"/>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80F67"/>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4034"/>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91BBA"/>
    <w:rsid w:val="004A472C"/>
    <w:rsid w:val="004B1BF3"/>
    <w:rsid w:val="004B2D46"/>
    <w:rsid w:val="004C17BE"/>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29D3"/>
    <w:rsid w:val="005C7E88"/>
    <w:rsid w:val="005C7F77"/>
    <w:rsid w:val="005D366B"/>
    <w:rsid w:val="005D6DDA"/>
    <w:rsid w:val="005E297A"/>
    <w:rsid w:val="005F00AA"/>
    <w:rsid w:val="005F44D7"/>
    <w:rsid w:val="005F5F2C"/>
    <w:rsid w:val="00614E24"/>
    <w:rsid w:val="00616222"/>
    <w:rsid w:val="0062143B"/>
    <w:rsid w:val="006220D6"/>
    <w:rsid w:val="006323B8"/>
    <w:rsid w:val="00636A1E"/>
    <w:rsid w:val="006419C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FF7"/>
    <w:rsid w:val="006E1856"/>
    <w:rsid w:val="006E2D63"/>
    <w:rsid w:val="006E7F04"/>
    <w:rsid w:val="00703502"/>
    <w:rsid w:val="007040D6"/>
    <w:rsid w:val="007049AA"/>
    <w:rsid w:val="007072B3"/>
    <w:rsid w:val="0071671C"/>
    <w:rsid w:val="00731C73"/>
    <w:rsid w:val="007332DA"/>
    <w:rsid w:val="00741EF9"/>
    <w:rsid w:val="007423CC"/>
    <w:rsid w:val="00742931"/>
    <w:rsid w:val="00750E27"/>
    <w:rsid w:val="00760408"/>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245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732D5"/>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35C0D"/>
    <w:rsid w:val="00A45033"/>
    <w:rsid w:val="00A54949"/>
    <w:rsid w:val="00A56AE1"/>
    <w:rsid w:val="00A60FBD"/>
    <w:rsid w:val="00A72E19"/>
    <w:rsid w:val="00A7340E"/>
    <w:rsid w:val="00A841DD"/>
    <w:rsid w:val="00A9211E"/>
    <w:rsid w:val="00AC1F27"/>
    <w:rsid w:val="00AC2B3E"/>
    <w:rsid w:val="00AC4D09"/>
    <w:rsid w:val="00AD1C82"/>
    <w:rsid w:val="00AD208E"/>
    <w:rsid w:val="00AD55FC"/>
    <w:rsid w:val="00AE2010"/>
    <w:rsid w:val="00AE3D69"/>
    <w:rsid w:val="00AE6655"/>
    <w:rsid w:val="00AE7A09"/>
    <w:rsid w:val="00AE7EDD"/>
    <w:rsid w:val="00AF1F38"/>
    <w:rsid w:val="00AF6D97"/>
    <w:rsid w:val="00B04FB8"/>
    <w:rsid w:val="00B203DF"/>
    <w:rsid w:val="00B33A66"/>
    <w:rsid w:val="00B33BC0"/>
    <w:rsid w:val="00B340CE"/>
    <w:rsid w:val="00B42796"/>
    <w:rsid w:val="00B43EFD"/>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57856"/>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E5FFD"/>
    <w:rsid w:val="00CF3944"/>
    <w:rsid w:val="00CF6A32"/>
    <w:rsid w:val="00D004A1"/>
    <w:rsid w:val="00D2154D"/>
    <w:rsid w:val="00D2567D"/>
    <w:rsid w:val="00D2788A"/>
    <w:rsid w:val="00D351D3"/>
    <w:rsid w:val="00D41AE5"/>
    <w:rsid w:val="00D5180A"/>
    <w:rsid w:val="00D51C78"/>
    <w:rsid w:val="00D647AF"/>
    <w:rsid w:val="00D65F2E"/>
    <w:rsid w:val="00D712A4"/>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027F0"/>
    <w:rsid w:val="00E02983"/>
    <w:rsid w:val="00E1603D"/>
    <w:rsid w:val="00E220DC"/>
    <w:rsid w:val="00E25393"/>
    <w:rsid w:val="00E26BEE"/>
    <w:rsid w:val="00E27BE1"/>
    <w:rsid w:val="00E31A5B"/>
    <w:rsid w:val="00E31DA8"/>
    <w:rsid w:val="00E46A9C"/>
    <w:rsid w:val="00E47C1B"/>
    <w:rsid w:val="00E63BCA"/>
    <w:rsid w:val="00E774C5"/>
    <w:rsid w:val="00E77608"/>
    <w:rsid w:val="00E80317"/>
    <w:rsid w:val="00E9335A"/>
    <w:rsid w:val="00EA40F9"/>
    <w:rsid w:val="00EA53C9"/>
    <w:rsid w:val="00EA5533"/>
    <w:rsid w:val="00EA7EFC"/>
    <w:rsid w:val="00EB09CD"/>
    <w:rsid w:val="00EC08AB"/>
    <w:rsid w:val="00EC2817"/>
    <w:rsid w:val="00EC5A23"/>
    <w:rsid w:val="00EC64A1"/>
    <w:rsid w:val="00ED48C4"/>
    <w:rsid w:val="00EE69C9"/>
    <w:rsid w:val="00F00ED0"/>
    <w:rsid w:val="00F04233"/>
    <w:rsid w:val="00F10ECD"/>
    <w:rsid w:val="00F134F6"/>
    <w:rsid w:val="00F14CCC"/>
    <w:rsid w:val="00F16AD2"/>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qFormat="1"/>
    <w:lsdException w:name="caption" w:semiHidden="1" w:uiPriority="35" w:unhideWhenUsed="1" w:qFormat="1"/>
    <w:lsdException w:name="footnote reference" w:uiPriority="99"/>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16AD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91BBA"/>
    <w:pPr>
      <w:numPr>
        <w:ilvl w:val="1"/>
      </w:numPr>
      <w:spacing w:after="360"/>
    </w:pPr>
    <w:rPr>
      <w:rFonts w:eastAsia="Times New Roman"/>
      <w:bCs/>
      <w:iCs/>
      <w:color w:val="006DA7"/>
      <w:sz w:val="28"/>
      <w:szCs w:val="24"/>
    </w:rPr>
  </w:style>
  <w:style w:type="character" w:customStyle="1" w:styleId="SubtitleChar">
    <w:name w:val="Subtitle Char"/>
    <w:basedOn w:val="DefaultParagraphFont"/>
    <w:link w:val="Subtitle0"/>
    <w:uiPriority w:val="11"/>
    <w:rsid w:val="00491BBA"/>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iPriority w:val="99"/>
    <w:unhideWhenUsed/>
    <w:rsid w:val="00D712A4"/>
    <w:pPr>
      <w:spacing w:before="0" w:after="0" w:line="240" w:lineRule="auto"/>
    </w:pPr>
    <w:rPr>
      <w:rFonts w:asciiTheme="majorHAnsi" w:eastAsia="MS Mincho" w:hAnsiTheme="majorHAnsi" w:cs="Times New Roman"/>
      <w:sz w:val="20"/>
      <w:szCs w:val="20"/>
      <w:lang w:eastAsia="ja-JP"/>
    </w:rPr>
  </w:style>
  <w:style w:type="character" w:customStyle="1" w:styleId="FootnoteTextChar">
    <w:name w:val="Footnote Text Char"/>
    <w:basedOn w:val="DefaultParagraphFont"/>
    <w:link w:val="FootnoteText"/>
    <w:uiPriority w:val="99"/>
    <w:rsid w:val="00D712A4"/>
    <w:rPr>
      <w:rFonts w:asciiTheme="majorHAnsi" w:hAnsiTheme="majorHAnsi"/>
      <w:lang w:eastAsia="ja-JP"/>
    </w:rPr>
  </w:style>
  <w:style w:type="character" w:styleId="FootnoteReference">
    <w:name w:val="footnote reference"/>
    <w:basedOn w:val="DefaultParagraphFont"/>
    <w:uiPriority w:val="99"/>
    <w:unhideWhenUsed/>
    <w:rsid w:val="00D712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qFormat="1"/>
    <w:lsdException w:name="caption" w:semiHidden="1" w:uiPriority="35" w:unhideWhenUsed="1" w:qFormat="1"/>
    <w:lsdException w:name="footnote reference" w:uiPriority="99"/>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16AD2"/>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91BBA"/>
    <w:pPr>
      <w:numPr>
        <w:ilvl w:val="1"/>
      </w:numPr>
      <w:spacing w:after="360"/>
    </w:pPr>
    <w:rPr>
      <w:rFonts w:eastAsia="Times New Roman"/>
      <w:bCs/>
      <w:iCs/>
      <w:color w:val="006DA7"/>
      <w:sz w:val="28"/>
      <w:szCs w:val="24"/>
    </w:rPr>
  </w:style>
  <w:style w:type="character" w:customStyle="1" w:styleId="SubtitleChar">
    <w:name w:val="Subtitle Char"/>
    <w:basedOn w:val="DefaultParagraphFont"/>
    <w:link w:val="Subtitle0"/>
    <w:uiPriority w:val="11"/>
    <w:rsid w:val="00491BBA"/>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iPriority w:val="99"/>
    <w:unhideWhenUsed/>
    <w:rsid w:val="00D712A4"/>
    <w:pPr>
      <w:spacing w:before="0" w:after="0" w:line="240" w:lineRule="auto"/>
    </w:pPr>
    <w:rPr>
      <w:rFonts w:asciiTheme="majorHAnsi" w:eastAsia="MS Mincho" w:hAnsiTheme="majorHAnsi" w:cs="Times New Roman"/>
      <w:sz w:val="20"/>
      <w:szCs w:val="20"/>
      <w:lang w:eastAsia="ja-JP"/>
    </w:rPr>
  </w:style>
  <w:style w:type="character" w:customStyle="1" w:styleId="FootnoteTextChar">
    <w:name w:val="Footnote Text Char"/>
    <w:basedOn w:val="DefaultParagraphFont"/>
    <w:link w:val="FootnoteText"/>
    <w:uiPriority w:val="99"/>
    <w:rsid w:val="00D712A4"/>
    <w:rPr>
      <w:rFonts w:asciiTheme="majorHAnsi" w:hAnsiTheme="majorHAnsi"/>
      <w:lang w:eastAsia="ja-JP"/>
    </w:rPr>
  </w:style>
  <w:style w:type="character" w:styleId="FootnoteReference">
    <w:name w:val="footnote reference"/>
    <w:basedOn w:val="DefaultParagraphFont"/>
    <w:uiPriority w:val="99"/>
    <w:unhideWhenUsed/>
    <w:rsid w:val="00D71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D720-68AD-434D-BE61-1D1B49B2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34</TotalTime>
  <Pages>2</Pages>
  <Words>405</Words>
  <Characters>2234</Characters>
  <Application>Microsoft Office Word</Application>
  <DocSecurity>0</DocSecurity>
  <Lines>57</Lines>
  <Paragraphs>35</Paragraphs>
  <ScaleCrop>false</ScaleCrop>
  <HeadingPairs>
    <vt:vector size="2" baseType="variant">
      <vt:variant>
        <vt:lpstr>Title</vt:lpstr>
      </vt:variant>
      <vt:variant>
        <vt:i4>1</vt:i4>
      </vt:variant>
    </vt:vector>
  </HeadingPairs>
  <TitlesOfParts>
    <vt:vector size="1" baseType="lpstr">
      <vt:lpstr>Module 1.6.2 Applicant declaration</vt:lpstr>
    </vt:vector>
  </TitlesOfParts>
  <Company>Department of Health Therapeutic Goods Administration</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1.6.2 Applicant declaration - Drug master files, plasma master files, and EDQM certificates of suitability</dc:title>
  <dc:subject>prescription medicine regulation</dc:subject>
  <dc:creator>Therapeutic Goods Administration</dc:creator>
  <cp:keywords>prescription, medicine, regulation, module, master, plasma, edqm, certificates, applicant, declaration</cp:keywords>
  <cp:lastModifiedBy>Searson, Lisa</cp:lastModifiedBy>
  <cp:revision>11</cp:revision>
  <cp:lastPrinted>2005-05-30T03:22:00Z</cp:lastPrinted>
  <dcterms:created xsi:type="dcterms:W3CDTF">2014-06-19T01:20:00Z</dcterms:created>
  <dcterms:modified xsi:type="dcterms:W3CDTF">2014-08-08T06:23:00Z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