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6430B9" w:rsidP="0014197B">
            <w:pPr>
              <w:pStyle w:val="Title"/>
            </w:pPr>
            <w:r>
              <w:t xml:space="preserve">Australian regulatory guidelines for prescription medicines </w:t>
            </w:r>
          </w:p>
          <w:p w:rsidR="006C642F" w:rsidRPr="00DE02AE" w:rsidRDefault="006430B9" w:rsidP="00B76B91">
            <w:pPr>
              <w:pStyle w:val="Subtitle"/>
            </w:pPr>
            <w:r>
              <w:t>Appendix 23: S</w:t>
            </w:r>
            <w:r w:rsidRPr="006430B9">
              <w:t>upplementary non-clinical guidelines</w:t>
            </w:r>
          </w:p>
        </w:tc>
      </w:tr>
      <w:tr w:rsidR="00DE02AE" w:rsidRPr="00DE02AE" w:rsidTr="00DE02AE">
        <w:trPr>
          <w:trHeight w:val="1197"/>
        </w:trPr>
        <w:tc>
          <w:tcPr>
            <w:tcW w:w="8777" w:type="dxa"/>
          </w:tcPr>
          <w:p w:rsidR="00DE02AE" w:rsidRPr="0014197B" w:rsidRDefault="006430B9" w:rsidP="006C642F">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7F095E">
      <w:pPr>
        <w:pStyle w:val="ListBullet"/>
      </w:pPr>
      <w:r>
        <w:t xml:space="preserve">The TGA is a division of the Australian Government Department of Health and </w:t>
      </w:r>
      <w:r w:rsidRPr="007652FF">
        <w:t>Ageing</w:t>
      </w:r>
      <w:r>
        <w:t xml:space="preserve">, and is responsible for regulating </w:t>
      </w:r>
      <w:r w:rsidR="004E2506">
        <w:t>medicines</w:t>
      </w:r>
      <w:r>
        <w:t xml:space="preserve"> and medical devices.</w:t>
      </w:r>
    </w:p>
    <w:p w:rsidR="007652FF" w:rsidRDefault="007652FF" w:rsidP="007F095E">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7F095E">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7F095E">
      <w:pPr>
        <w:pStyle w:val="ListBullet"/>
      </w:pPr>
      <w:r>
        <w:t>The TGA relies on the public, healthcare professionals and industry to report problems with medicines or medical devices. TGA investigates reports received by it to determine any necessary regulatory action.</w:t>
      </w:r>
    </w:p>
    <w:p w:rsidR="007F095E" w:rsidRDefault="008C159F" w:rsidP="007F095E">
      <w:pPr>
        <w:pStyle w:val="ListBullet"/>
      </w:pPr>
      <w:r>
        <w:t>To report a problem with a medicine or medical device, please see the information on the TGA website.</w:t>
      </w:r>
    </w:p>
    <w:p w:rsidR="006F572E" w:rsidRDefault="006F572E" w:rsidP="007F095E">
      <w:pPr>
        <w:pStyle w:val="ListBullet"/>
        <w:numPr>
          <w:ilvl w:val="0"/>
          <w:numId w:val="0"/>
        </w:numPr>
        <w:sectPr w:rsidR="006F572E"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7F095E" w:rsidRDefault="00363CA6" w:rsidP="006430B9">
      <w:pPr>
        <w:pStyle w:val="Heading1"/>
        <w:rPr>
          <w:snapToGrid w:val="0"/>
        </w:rPr>
      </w:pPr>
      <w:r>
        <w:rPr>
          <w:snapToGrid w:val="0"/>
        </w:rPr>
        <w:lastRenderedPageBreak/>
        <w:t>A</w:t>
      </w:r>
      <w:r w:rsidR="006430B9">
        <w:rPr>
          <w:snapToGrid w:val="0"/>
        </w:rPr>
        <w:t xml:space="preserve">ppendix 23: </w:t>
      </w:r>
      <w:r>
        <w:rPr>
          <w:snapToGrid w:val="0"/>
        </w:rPr>
        <w:t>S</w:t>
      </w:r>
      <w:r w:rsidR="006430B9">
        <w:rPr>
          <w:snapToGrid w:val="0"/>
        </w:rPr>
        <w:t>upplementary non-clinical guidelines</w:t>
      </w:r>
    </w:p>
    <w:p w:rsidR="007F095E" w:rsidRDefault="006430B9" w:rsidP="006430B9">
      <w:pPr>
        <w:rPr>
          <w:snapToGrid w:val="0"/>
        </w:rPr>
      </w:pPr>
      <w:r>
        <w:rPr>
          <w:snapToGrid w:val="0"/>
        </w:rPr>
        <w:t>These notes provide guidance as to the design, conduct and reporting of non-clinical studies and an interpretation of aspects of non-clinical EU guidelines adopted by the Therapeutic Goods Administration (TGA)</w:t>
      </w:r>
      <w:r w:rsidR="004E2506" w:rsidRPr="004E2506">
        <w:rPr>
          <w:rStyle w:val="FootnoteReference"/>
          <w:rFonts w:ascii="Cambria" w:hAnsi="Cambria"/>
          <w:snapToGrid w:val="0"/>
          <w:sz w:val="20"/>
        </w:rPr>
        <w:footnoteReference w:id="1"/>
      </w:r>
      <w:r>
        <w:rPr>
          <w:snapToGrid w:val="0"/>
        </w:rPr>
        <w:t>.</w:t>
      </w:r>
    </w:p>
    <w:p w:rsidR="007F095E" w:rsidRDefault="006430B9" w:rsidP="006430B9">
      <w:pPr>
        <w:pStyle w:val="Heading2"/>
      </w:pPr>
      <w:r>
        <w:rPr>
          <w:snapToGrid w:val="0"/>
        </w:rPr>
        <w:t>1</w:t>
      </w:r>
      <w:r>
        <w:t>.</w:t>
      </w:r>
      <w:r>
        <w:tab/>
        <w:t>Introduction</w:t>
      </w:r>
    </w:p>
    <w:p w:rsidR="007F095E" w:rsidRDefault="006430B9" w:rsidP="006430B9">
      <w:pPr>
        <w:rPr>
          <w:snapToGrid w:val="0"/>
        </w:rPr>
      </w:pPr>
      <w:r>
        <w:rPr>
          <w:snapToGrid w:val="0"/>
        </w:rPr>
        <w:t>All information that is relevant to the non-clinical evaluation of the medicinal product concerned shall be included in the application, whether favourable or unfavourable to the product. In particular, all relevant details shall be given of any incomplete or abandoned pharmacological or toxicological test relating to the medical product.</w:t>
      </w:r>
    </w:p>
    <w:p w:rsidR="007F095E" w:rsidRDefault="006430B9" w:rsidP="006430B9">
      <w:pPr>
        <w:rPr>
          <w:snapToGrid w:val="0"/>
        </w:rPr>
      </w:pPr>
      <w:r>
        <w:rPr>
          <w:snapToGrid w:val="0"/>
        </w:rPr>
        <w:t xml:space="preserve">The toxicology and pharmacology of an </w:t>
      </w:r>
      <w:proofErr w:type="spellStart"/>
      <w:r>
        <w:rPr>
          <w:snapToGrid w:val="0"/>
        </w:rPr>
        <w:t>excipient</w:t>
      </w:r>
      <w:proofErr w:type="spellEnd"/>
      <w:r>
        <w:rPr>
          <w:snapToGrid w:val="0"/>
        </w:rPr>
        <w:t xml:space="preserve"> used for the first time in a therapeutic good should be investigated as if it were a new active substance. In the case of </w:t>
      </w:r>
      <w:proofErr w:type="spellStart"/>
      <w:r>
        <w:rPr>
          <w:snapToGrid w:val="0"/>
        </w:rPr>
        <w:t>excipients</w:t>
      </w:r>
      <w:proofErr w:type="spellEnd"/>
      <w:r>
        <w:rPr>
          <w:snapToGrid w:val="0"/>
        </w:rPr>
        <w:t xml:space="preserve"> registered in a pharmacopoeia (European, United States or British Pharmacopoeia) and other well-known </w:t>
      </w:r>
      <w:proofErr w:type="spellStart"/>
      <w:r>
        <w:rPr>
          <w:snapToGrid w:val="0"/>
        </w:rPr>
        <w:t>excipients</w:t>
      </w:r>
      <w:proofErr w:type="spellEnd"/>
      <w:r>
        <w:rPr>
          <w:snapToGrid w:val="0"/>
        </w:rPr>
        <w:t xml:space="preserve">, which may not previously been used in Australia, adequate data to justify the use of such </w:t>
      </w:r>
      <w:proofErr w:type="spellStart"/>
      <w:r>
        <w:rPr>
          <w:snapToGrid w:val="0"/>
        </w:rPr>
        <w:t>excipients</w:t>
      </w:r>
      <w:proofErr w:type="spellEnd"/>
      <w:r>
        <w:rPr>
          <w:snapToGrid w:val="0"/>
        </w:rPr>
        <w:t xml:space="preserve"> should be provided. This may include published material. A new route of administration or an increased daily dose of known </w:t>
      </w:r>
      <w:proofErr w:type="spellStart"/>
      <w:r>
        <w:rPr>
          <w:snapToGrid w:val="0"/>
        </w:rPr>
        <w:t>excipients</w:t>
      </w:r>
      <w:proofErr w:type="spellEnd"/>
      <w:r>
        <w:rPr>
          <w:snapToGrid w:val="0"/>
        </w:rPr>
        <w:t xml:space="preserve"> may result in the need for additional non-clinical data. Non-clinical data may also be required where the monograph does not contain sufficiently specific impurity controls to ensure adequate limitation of potentially toxic impurities arising from a modified or different route of synthesis.</w:t>
      </w:r>
    </w:p>
    <w:p w:rsidR="007F095E" w:rsidRDefault="006430B9" w:rsidP="006430B9">
      <w:pPr>
        <w:pStyle w:val="Heading2"/>
        <w:rPr>
          <w:snapToGrid w:val="0"/>
        </w:rPr>
      </w:pPr>
      <w:r>
        <w:rPr>
          <w:snapToGrid w:val="0"/>
        </w:rPr>
        <w:t>2.</w:t>
      </w:r>
      <w:r>
        <w:rPr>
          <w:snapToGrid w:val="0"/>
        </w:rPr>
        <w:tab/>
      </w:r>
      <w:proofErr w:type="spellStart"/>
      <w:r>
        <w:rPr>
          <w:snapToGrid w:val="0"/>
        </w:rPr>
        <w:t>Pharmacodynamics</w:t>
      </w:r>
      <w:proofErr w:type="spellEnd"/>
    </w:p>
    <w:p w:rsidR="007F095E" w:rsidRDefault="006430B9" w:rsidP="006430B9">
      <w:pPr>
        <w:rPr>
          <w:snapToGrid w:val="0"/>
        </w:rPr>
      </w:pPr>
      <w:r>
        <w:rPr>
          <w:snapToGrid w:val="0"/>
        </w:rPr>
        <w:t>Where possible, sponsors are encouraged to establish the mechanism of the primary pharmacological action.</w:t>
      </w:r>
    </w:p>
    <w:p w:rsidR="007F095E" w:rsidRDefault="006430B9" w:rsidP="006430B9">
      <w:pPr>
        <w:rPr>
          <w:snapToGrid w:val="0"/>
        </w:rPr>
      </w:pPr>
      <w:r>
        <w:rPr>
          <w:snapToGrid w:val="0"/>
        </w:rPr>
        <w:t>Where relevant, the pharmacology of significant metabolites should be investigated.</w:t>
      </w:r>
    </w:p>
    <w:p w:rsidR="007F095E" w:rsidRDefault="006430B9" w:rsidP="006430B9">
      <w:pPr>
        <w:pStyle w:val="Heading2"/>
        <w:rPr>
          <w:snapToGrid w:val="0"/>
        </w:rPr>
      </w:pPr>
      <w:r>
        <w:rPr>
          <w:snapToGrid w:val="0"/>
        </w:rPr>
        <w:t>3.</w:t>
      </w:r>
      <w:r>
        <w:rPr>
          <w:snapToGrid w:val="0"/>
        </w:rPr>
        <w:tab/>
        <w:t>Pharmacokinetics</w:t>
      </w:r>
    </w:p>
    <w:p w:rsidR="007F095E" w:rsidRDefault="006430B9" w:rsidP="006430B9">
      <w:pPr>
        <w:rPr>
          <w:snapToGrid w:val="0"/>
        </w:rPr>
      </w:pPr>
      <w:r>
        <w:rPr>
          <w:snapToGrid w:val="0"/>
        </w:rPr>
        <w:t xml:space="preserve">To assist in the interpretation of toxicological studies, it is important to compare the exposure of the animals used in the toxicity testing with that anticipated in patients given the proposed therapeutic dose regimen. Submissions should include a comparative pharmacokinetic table, for example, as part of the non-clinical summary. Such a table should include </w:t>
      </w:r>
      <w:proofErr w:type="spellStart"/>
      <w:r>
        <w:rPr>
          <w:snapToGrid w:val="0"/>
        </w:rPr>
        <w:t>C</w:t>
      </w:r>
      <w:r>
        <w:rPr>
          <w:snapToGrid w:val="0"/>
          <w:vertAlign w:val="subscript"/>
        </w:rPr>
        <w:t>max</w:t>
      </w:r>
      <w:proofErr w:type="spellEnd"/>
      <w:r>
        <w:rPr>
          <w:snapToGrid w:val="0"/>
        </w:rPr>
        <w:t xml:space="preserve"> (after a single dose and at steady state) and AUC data for the parent drug and major/active metabolite(s) where relevant. These data should preferably be obtained from the toxicity studies. Other information (for example, t</w:t>
      </w:r>
      <w:r>
        <w:rPr>
          <w:snapToGrid w:val="0"/>
          <w:vertAlign w:val="subscript"/>
        </w:rPr>
        <w:t>1/2</w:t>
      </w:r>
      <w:r>
        <w:rPr>
          <w:snapToGrid w:val="0"/>
        </w:rPr>
        <w:t>, clearance, protein binding and assay methodology) will be of value where important differences have been shown between animals and man. Plasma concentration-time profiles (graphs) after a single dose, and in a dosing interval during repeat dose studies, would also be useful. Species should include human and all species used in the toxicity, carcinogenicity and reproductive studies.</w:t>
      </w:r>
    </w:p>
    <w:p w:rsidR="007F095E" w:rsidRDefault="006430B9" w:rsidP="006430B9">
      <w:pPr>
        <w:rPr>
          <w:snapToGrid w:val="0"/>
        </w:rPr>
      </w:pPr>
      <w:r>
        <w:rPr>
          <w:snapToGrid w:val="0"/>
        </w:rPr>
        <w:lastRenderedPageBreak/>
        <w:t>Specificity, precision (sensitivity and reproducibility) and accuracy (for example, as regards recovery) of the assay methods should be mentioned.</w:t>
      </w:r>
    </w:p>
    <w:p w:rsidR="007F095E" w:rsidRDefault="006430B9" w:rsidP="006430B9">
      <w:pPr>
        <w:pStyle w:val="Heading2"/>
        <w:rPr>
          <w:snapToGrid w:val="0"/>
        </w:rPr>
      </w:pPr>
      <w:r>
        <w:rPr>
          <w:snapToGrid w:val="0"/>
        </w:rPr>
        <w:t>4.</w:t>
      </w:r>
      <w:r>
        <w:rPr>
          <w:snapToGrid w:val="0"/>
        </w:rPr>
        <w:tab/>
        <w:t>Toxicology</w:t>
      </w:r>
    </w:p>
    <w:p w:rsidR="007F095E" w:rsidRDefault="006430B9" w:rsidP="006430B9">
      <w:pPr>
        <w:keepNext/>
        <w:keepLines/>
        <w:rPr>
          <w:snapToGrid w:val="0"/>
        </w:rPr>
      </w:pPr>
      <w:r>
        <w:rPr>
          <w:snapToGrid w:val="0"/>
        </w:rPr>
        <w:t>Sponsors are encouraged to investigate the possible mechanism(s) underlying the changes observed in toxicity studies.</w:t>
      </w:r>
    </w:p>
    <w:p w:rsidR="007F095E" w:rsidRDefault="006430B9" w:rsidP="006430B9">
      <w:pPr>
        <w:keepNext/>
        <w:keepLines/>
        <w:rPr>
          <w:snapToGrid w:val="0"/>
        </w:rPr>
      </w:pPr>
      <w:r>
        <w:rPr>
          <w:snapToGrid w:val="0"/>
        </w:rPr>
        <w:t xml:space="preserve">Medicines that show specific toxicological effects, such as </w:t>
      </w:r>
      <w:proofErr w:type="spellStart"/>
      <w:r>
        <w:rPr>
          <w:snapToGrid w:val="0"/>
        </w:rPr>
        <w:t>immunotoxicity</w:t>
      </w:r>
      <w:proofErr w:type="spellEnd"/>
      <w:r>
        <w:rPr>
          <w:snapToGrid w:val="0"/>
        </w:rPr>
        <w:t xml:space="preserve"> or neurotoxicity, should be investigated further. Similarly, new medicines that belong to classes that are known to produce a particular toxic effect, should be tested appropriately. The phototoxic potential of a medicine should also be considered. The details of the tests shall depend on the state of scientific knowledge at the time the application was lodged.</w:t>
      </w:r>
    </w:p>
    <w:p w:rsidR="007F095E" w:rsidRDefault="006430B9" w:rsidP="006430B9">
      <w:pPr>
        <w:rPr>
          <w:snapToGrid w:val="0"/>
        </w:rPr>
      </w:pPr>
      <w:r>
        <w:rPr>
          <w:snapToGrid w:val="0"/>
        </w:rPr>
        <w:t>As a rule, the use of dosing strategies based on multiples of the proposed human dose will not be adequate.</w:t>
      </w:r>
    </w:p>
    <w:p w:rsidR="002942D1" w:rsidRPr="006430B9" w:rsidRDefault="006430B9" w:rsidP="002942D1">
      <w:pPr>
        <w:rPr>
          <w:snapToGrid w:val="0"/>
        </w:rPr>
      </w:pPr>
      <w:r>
        <w:rPr>
          <w:snapToGrid w:val="0"/>
        </w:rPr>
        <w:t xml:space="preserve">It is desirable to investigate the potential reversibility of toxic changes seen in the repeat dose studies. </w:t>
      </w:r>
    </w:p>
    <w:p w:rsidR="006D03E5" w:rsidRDefault="006D03E5" w:rsidP="006D03E5">
      <w:pPr>
        <w:sectPr w:rsidR="006D03E5"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7F095E" w:rsidRDefault="007F095E" w:rsidP="00585322"/>
    <w:p w:rsidR="006E08B3" w:rsidRPr="006E08B3" w:rsidRDefault="006E08B3" w:rsidP="00AE65EB"/>
    <w:sectPr w:rsidR="006E08B3" w:rsidRPr="006E08B3" w:rsidSect="00A36FA7">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3E0" w:rsidRDefault="000E23E0" w:rsidP="00C40A36">
      <w:pPr>
        <w:spacing w:after="0"/>
      </w:pPr>
      <w:r>
        <w:separator/>
      </w:r>
    </w:p>
  </w:endnote>
  <w:endnote w:type="continuationSeparator" w:id="0">
    <w:p w:rsidR="000E23E0" w:rsidRDefault="000E23E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3F466BBF-0587-45DA-91A5-A999ECA49482}"/>
    <w:embedBold r:id="rId2" w:fontKey="{868043CC-EEC0-40CF-91EF-BE8E7BA3EA90}"/>
  </w:font>
  <w:font w:name="Tahoma">
    <w:panose1 w:val="020B0604030504040204"/>
    <w:charset w:val="00"/>
    <w:family w:val="swiss"/>
    <w:pitch w:val="variable"/>
    <w:sig w:usb0="E1002EFF" w:usb1="C000605B" w:usb2="00000029" w:usb3="00000000" w:csb0="000101FF" w:csb1="00000000"/>
    <w:embedRegular r:id="rId3" w:fontKey="{0E80094D-D24D-491A-976C-CE3C8414C0F1}"/>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6096"/>
      <w:gridCol w:w="2409"/>
    </w:tblGrid>
    <w:tr w:rsidR="00165389" w:rsidTr="00B33863">
      <w:trPr>
        <w:trHeight w:hRule="exact" w:val="1420"/>
      </w:trPr>
      <w:tc>
        <w:tcPr>
          <w:tcW w:w="8505" w:type="dxa"/>
          <w:gridSpan w:val="2"/>
          <w:tcBorders>
            <w:bottom w:val="single" w:sz="4" w:space="0" w:color="auto"/>
          </w:tcBorders>
          <w:tcMar>
            <w:right w:w="284" w:type="dxa"/>
          </w:tcMar>
        </w:tcPr>
        <w:p w:rsidR="00165389" w:rsidRPr="00DF1D7F" w:rsidRDefault="00165389" w:rsidP="00B33863">
          <w:pPr>
            <w:pStyle w:val="LegalSubheading"/>
          </w:pPr>
          <w:r w:rsidRPr="00DF1D7F">
            <w:t>Copyright</w:t>
          </w:r>
        </w:p>
        <w:p w:rsidR="00165389" w:rsidRDefault="00165389" w:rsidP="00B33863">
          <w:pPr>
            <w:pStyle w:val="LegalCopy"/>
          </w:pPr>
          <w:r>
            <w:rPr>
              <w:rFonts w:cs="Arial"/>
            </w:rPr>
            <w:t>©</w:t>
          </w:r>
          <w:r w:rsidR="00803DD6">
            <w:t xml:space="preserve"> Commonwealth of Australia 2004</w:t>
          </w:r>
        </w:p>
        <w:p w:rsidR="00165389" w:rsidRDefault="00165389" w:rsidP="00B33863">
          <w:pPr>
            <w:pStyle w:val="LegalCopy"/>
          </w:pPr>
        </w:p>
        <w:p w:rsidR="00165389" w:rsidRDefault="00165389"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165389" w:rsidTr="00803DD6">
      <w:trPr>
        <w:trHeight w:hRule="exact" w:val="567"/>
      </w:trPr>
      <w:tc>
        <w:tcPr>
          <w:tcW w:w="6096" w:type="dxa"/>
          <w:tcBorders>
            <w:top w:val="single" w:sz="4" w:space="0" w:color="auto"/>
          </w:tcBorders>
          <w:tcMar>
            <w:top w:w="142" w:type="dxa"/>
            <w:bottom w:w="0" w:type="dxa"/>
          </w:tcMar>
        </w:tcPr>
        <w:p w:rsidR="00803DD6" w:rsidRPr="00803DD6" w:rsidRDefault="00803DD6" w:rsidP="00803DD6">
          <w:pPr>
            <w:pStyle w:val="Footer"/>
          </w:pPr>
          <w:r w:rsidRPr="00803DD6">
            <w:t xml:space="preserve">Australian regulatory guidelines for prescription medicines – Appendix </w:t>
          </w:r>
          <w:r>
            <w:t>23</w:t>
          </w:r>
        </w:p>
        <w:p w:rsidR="00165389" w:rsidRDefault="00803DD6" w:rsidP="00803DD6">
          <w:pPr>
            <w:pStyle w:val="Footer"/>
          </w:pPr>
          <w:r w:rsidRPr="00803DD6">
            <w:t>June 2004</w:t>
          </w:r>
        </w:p>
      </w:tc>
      <w:tc>
        <w:tcPr>
          <w:tcW w:w="2409" w:type="dxa"/>
          <w:tcBorders>
            <w:top w:val="single" w:sz="4" w:space="0" w:color="auto"/>
          </w:tcBorders>
          <w:tcMar>
            <w:top w:w="142" w:type="dxa"/>
            <w:bottom w:w="0" w:type="dxa"/>
          </w:tcMar>
        </w:tcPr>
        <w:p w:rsidR="00165389" w:rsidRDefault="00165389" w:rsidP="00B33863">
          <w:pPr>
            <w:pStyle w:val="Footer"/>
            <w:jc w:val="right"/>
          </w:pPr>
          <w:r>
            <w:t xml:space="preserve">Page </w:t>
          </w:r>
          <w:fldSimple w:instr=" PAGE   \* MERGEFORMAT ">
            <w:r w:rsidR="00FE1042">
              <w:rPr>
                <w:noProof/>
              </w:rPr>
              <w:t>2</w:t>
            </w:r>
          </w:fldSimple>
          <w:r>
            <w:t xml:space="preserve"> of </w:t>
          </w:r>
          <w:fldSimple w:instr=" NUMPAGES  ">
            <w:r w:rsidR="00FE1042">
              <w:rPr>
                <w:noProof/>
              </w:rPr>
              <w:t>5</w:t>
            </w:r>
          </w:fldSimple>
          <w:r>
            <w:t xml:space="preserve">  </w:t>
          </w:r>
        </w:p>
      </w:tc>
    </w:tr>
  </w:tbl>
  <w:p w:rsidR="00165389" w:rsidRDefault="0016538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165389" w:rsidRPr="00DE02AE" w:rsidTr="006C642F">
      <w:trPr>
        <w:trHeight w:hRule="exact" w:val="7842"/>
      </w:trPr>
      <w:sdt>
        <w:sdtPr>
          <w:id w:val="16592143"/>
          <w:picture/>
        </w:sdtPr>
        <w:sdtContent>
          <w:tc>
            <w:tcPr>
              <w:tcW w:w="11907" w:type="dxa"/>
            </w:tcPr>
            <w:p w:rsidR="00165389" w:rsidRPr="00DE02AE" w:rsidRDefault="00FF0DF7" w:rsidP="006C642F">
              <w:pPr>
                <w:pStyle w:val="Date"/>
              </w:pPr>
              <w:r w:rsidRPr="00FF0DF7">
                <w:rPr>
                  <w:noProof/>
                  <w:lang w:eastAsia="en-AU"/>
                </w:rPr>
                <w:drawing>
                  <wp:inline distT="0" distB="0" distL="0" distR="0">
                    <wp:extent cx="7538521" cy="6779836"/>
                    <wp:effectExtent l="19050" t="0" r="5279" b="0"/>
                    <wp:docPr id="2" name="Picture 2" descr=" "/>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725" cy="6782717"/>
                            </a:xfrm>
                            <a:prstGeom prst="rect">
                              <a:avLst/>
                            </a:prstGeom>
                            <a:noFill/>
                            <a:ln w="9525">
                              <a:noFill/>
                              <a:miter lim="800000"/>
                              <a:headEnd/>
                              <a:tailEnd/>
                            </a:ln>
                          </pic:spPr>
                        </pic:pic>
                      </a:graphicData>
                    </a:graphic>
                  </wp:inline>
                </w:drawing>
              </w:r>
            </w:p>
          </w:tc>
        </w:sdtContent>
      </w:sdt>
    </w:tr>
  </w:tbl>
  <w:p w:rsidR="00165389" w:rsidRDefault="00165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6096"/>
      <w:gridCol w:w="2765"/>
    </w:tblGrid>
    <w:tr w:rsidR="00165389" w:rsidTr="00803DD6">
      <w:trPr>
        <w:trHeight w:val="269"/>
      </w:trPr>
      <w:tc>
        <w:tcPr>
          <w:tcW w:w="6096" w:type="dxa"/>
          <w:tcBorders>
            <w:top w:val="single" w:sz="4" w:space="0" w:color="auto"/>
          </w:tcBorders>
          <w:tcMar>
            <w:top w:w="142" w:type="dxa"/>
            <w:bottom w:w="0" w:type="dxa"/>
          </w:tcMar>
        </w:tcPr>
        <w:p w:rsidR="00803DD6" w:rsidRPr="00803DD6" w:rsidRDefault="00803DD6" w:rsidP="00803DD6">
          <w:pPr>
            <w:pStyle w:val="Footer"/>
          </w:pPr>
          <w:r w:rsidRPr="00803DD6">
            <w:t>Australian regulatory guidelines for pre</w:t>
          </w:r>
          <w:r>
            <w:t>scription medicines – Appendix 23</w:t>
          </w:r>
        </w:p>
        <w:p w:rsidR="00165389" w:rsidRDefault="00803DD6" w:rsidP="00803DD6">
          <w:pPr>
            <w:pStyle w:val="Footer"/>
          </w:pPr>
          <w:r w:rsidRPr="00803DD6">
            <w:t>June 2004</w:t>
          </w:r>
        </w:p>
      </w:tc>
      <w:tc>
        <w:tcPr>
          <w:tcW w:w="2765"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sidR="00FE1042">
              <w:rPr>
                <w:noProof/>
              </w:rPr>
              <w:t>4</w:t>
            </w:r>
          </w:fldSimple>
          <w:r>
            <w:t xml:space="preserve"> of </w:t>
          </w:r>
          <w:fldSimple w:instr=" NUMPAGES  \* Arabic ">
            <w:r w:rsidR="00FE1042">
              <w:rPr>
                <w:noProof/>
              </w:rPr>
              <w:t>5</w:t>
            </w:r>
          </w:fldSimple>
        </w:p>
      </w:tc>
    </w:tr>
  </w:tbl>
  <w:p w:rsidR="00165389" w:rsidRDefault="0016538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165389" w:rsidRDefault="00165389" w:rsidP="00FE1DEE">
          <w:pPr>
            <w:pStyle w:val="Footer"/>
          </w:pPr>
          <w:r>
            <w:t>Document title, Part #, Section # - Section title</w:t>
          </w:r>
        </w:p>
        <w:p w:rsidR="00165389" w:rsidRDefault="00165389" w:rsidP="00FE1DEE">
          <w:pPr>
            <w:pStyle w:val="Footer"/>
          </w:pPr>
          <w:r>
            <w:t>V1.0 October 2010</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Pr>
                <w:noProof/>
              </w:rPr>
              <w:t>3</w:t>
            </w:r>
          </w:fldSimple>
          <w:r>
            <w:t xml:space="preserve"> of </w:t>
          </w:r>
          <w:fldSimple w:instr=" NUMPAGES  ">
            <w:r w:rsidR="006430B9">
              <w:rPr>
                <w:noProof/>
              </w:rPr>
              <w:t>4</w:t>
            </w:r>
          </w:fldSimple>
        </w:p>
      </w:tc>
    </w:tr>
  </w:tbl>
  <w:p w:rsidR="00165389" w:rsidRDefault="001653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165389" w:rsidTr="00A36FA7">
      <w:trPr>
        <w:trHeight w:hRule="exact" w:val="454"/>
      </w:trPr>
      <w:tc>
        <w:tcPr>
          <w:tcW w:w="9145" w:type="dxa"/>
        </w:tcPr>
        <w:p w:rsidR="00165389" w:rsidRPr="00CC727F" w:rsidRDefault="00165389" w:rsidP="00576378">
          <w:pPr>
            <w:pStyle w:val="TGASignoff"/>
          </w:pPr>
          <w:r>
            <w:t>Therapeutic Goods Administration</w:t>
          </w:r>
        </w:p>
      </w:tc>
    </w:tr>
    <w:tr w:rsidR="00165389" w:rsidTr="00A36FA7">
      <w:trPr>
        <w:trHeight w:val="1284"/>
      </w:trPr>
      <w:tc>
        <w:tcPr>
          <w:tcW w:w="9145" w:type="dxa"/>
          <w:tcMar>
            <w:top w:w="28" w:type="dxa"/>
          </w:tcMar>
        </w:tcPr>
        <w:p w:rsidR="00165389" w:rsidRDefault="00165389" w:rsidP="00576378">
          <w:pPr>
            <w:pStyle w:val="Address"/>
          </w:pPr>
          <w:r>
            <w:t>PO Box 100 Woden ACT 2606 Australia</w:t>
          </w:r>
        </w:p>
        <w:p w:rsidR="00165389" w:rsidRDefault="00165389" w:rsidP="00576378">
          <w:pPr>
            <w:pStyle w:val="Address"/>
          </w:pPr>
          <w:r>
            <w:t xml:space="preserve">Email: </w:t>
          </w:r>
          <w:r w:rsidRPr="00CC727F">
            <w:t>info@tga.gov.au</w:t>
          </w:r>
          <w:r>
            <w:t xml:space="preserve">  Phone: 02 6232 8444  Fax: 02 6232 8605</w:t>
          </w:r>
        </w:p>
        <w:p w:rsidR="00165389" w:rsidRPr="000D4FC7" w:rsidRDefault="00165389" w:rsidP="00A36FA7">
          <w:pPr>
            <w:pStyle w:val="Address"/>
            <w:spacing w:line="260" w:lineRule="atLeast"/>
            <w:rPr>
              <w:b/>
            </w:rPr>
          </w:pPr>
          <w:r w:rsidRPr="000D4FC7">
            <w:rPr>
              <w:b/>
            </w:rPr>
            <w:t>www.tga.gov.au</w:t>
          </w:r>
        </w:p>
        <w:p w:rsidR="00165389" w:rsidRDefault="00165389" w:rsidP="00576378">
          <w:pPr>
            <w:pStyle w:val="Reference"/>
          </w:pPr>
          <w:r>
            <w:t>Reference/Publication #</w:t>
          </w:r>
        </w:p>
      </w:tc>
    </w:tr>
  </w:tbl>
  <w:p w:rsidR="00165389" w:rsidRDefault="0016538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165389" w:rsidTr="0010601F">
      <w:trPr>
        <w:trHeight w:val="108"/>
      </w:trPr>
      <w:tc>
        <w:tcPr>
          <w:tcW w:w="8875" w:type="dxa"/>
          <w:gridSpan w:val="2"/>
          <w:tcBorders>
            <w:bottom w:val="single" w:sz="4" w:space="0" w:color="auto"/>
          </w:tcBorders>
          <w:tcMar>
            <w:right w:w="284" w:type="dxa"/>
          </w:tcMar>
        </w:tcPr>
        <w:p w:rsidR="00165389" w:rsidRDefault="00165389" w:rsidP="006E08B3">
          <w:pPr>
            <w:pStyle w:val="Heading3"/>
            <w:spacing w:after="0"/>
            <w:outlineLvl w:val="2"/>
          </w:pPr>
          <w:r>
            <w:t>Copyright</w:t>
          </w:r>
        </w:p>
        <w:p w:rsidR="00165389" w:rsidRDefault="00165389" w:rsidP="006E08B3">
          <w:pPr>
            <w:pStyle w:val="Footer"/>
          </w:pPr>
          <w:r>
            <w:rPr>
              <w:rFonts w:cs="Arial"/>
            </w:rPr>
            <w:t>©</w:t>
          </w:r>
          <w:r>
            <w:t xml:space="preserve"> Commonwealth of Australia [add year]</w:t>
          </w:r>
        </w:p>
        <w:p w:rsidR="00165389" w:rsidRDefault="00165389" w:rsidP="006E08B3">
          <w:pPr>
            <w:pStyle w:val="Footer"/>
          </w:pPr>
        </w:p>
        <w:p w:rsidR="00165389" w:rsidRDefault="00165389"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5389" w:rsidRDefault="00165389" w:rsidP="006E08B3">
          <w:pPr>
            <w:pStyle w:val="Footer"/>
          </w:pPr>
        </w:p>
        <w:p w:rsidR="00165389" w:rsidRDefault="00165389" w:rsidP="006E08B3">
          <w:pPr>
            <w:pStyle w:val="Heading3"/>
            <w:spacing w:after="0"/>
            <w:outlineLvl w:val="2"/>
          </w:pPr>
          <w:r>
            <w:t>Confidentiality</w:t>
          </w:r>
        </w:p>
        <w:p w:rsidR="00165389" w:rsidRDefault="00165389"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5389" w:rsidRDefault="00165389" w:rsidP="006E08B3">
          <w:pPr>
            <w:pStyle w:val="Footer"/>
          </w:pPr>
        </w:p>
        <w:p w:rsidR="00165389" w:rsidRDefault="00165389" w:rsidP="006E08B3">
          <w:pPr>
            <w:pStyle w:val="Footer"/>
          </w:pPr>
          <w:r>
            <w:t>For submission made by individuals, all personal details, other than your name, will be removed from your submission before it is published on the TGA’s Internet site.</w:t>
          </w:r>
        </w:p>
        <w:p w:rsidR="00165389" w:rsidRDefault="00165389" w:rsidP="006E08B3">
          <w:pPr>
            <w:pStyle w:val="Footer"/>
          </w:pPr>
        </w:p>
        <w:p w:rsidR="00165389" w:rsidRDefault="00165389"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65389" w:rsidTr="0010601F">
      <w:trPr>
        <w:trHeight w:val="417"/>
      </w:trPr>
      <w:tc>
        <w:tcPr>
          <w:tcW w:w="4519" w:type="dxa"/>
          <w:tcBorders>
            <w:top w:val="single" w:sz="4" w:space="0" w:color="auto"/>
          </w:tcBorders>
          <w:tcMar>
            <w:top w:w="142" w:type="dxa"/>
            <w:bottom w:w="0" w:type="dxa"/>
          </w:tcMar>
        </w:tcPr>
        <w:p w:rsidR="00165389" w:rsidRDefault="00165389" w:rsidP="006E08B3">
          <w:pPr>
            <w:pStyle w:val="Footer"/>
          </w:pPr>
          <w:r>
            <w:t>Document title, Part #, Section # - Section title</w:t>
          </w:r>
        </w:p>
        <w:p w:rsidR="00165389" w:rsidRDefault="00165389" w:rsidP="006E08B3">
          <w:pPr>
            <w:pStyle w:val="Footer"/>
          </w:pPr>
          <w:r>
            <w:t>V1.0 October 2010</w:t>
          </w:r>
        </w:p>
      </w:tc>
      <w:tc>
        <w:tcPr>
          <w:tcW w:w="4356" w:type="dxa"/>
          <w:tcBorders>
            <w:top w:val="single" w:sz="4" w:space="0" w:color="auto"/>
          </w:tcBorders>
          <w:tcMar>
            <w:top w:w="142" w:type="dxa"/>
            <w:bottom w:w="0" w:type="dxa"/>
          </w:tcMar>
        </w:tcPr>
        <w:p w:rsidR="00165389" w:rsidRDefault="00165389" w:rsidP="006E08B3">
          <w:pPr>
            <w:pStyle w:val="Footer"/>
            <w:jc w:val="right"/>
          </w:pPr>
          <w:r>
            <w:t xml:space="preserve">Page </w:t>
          </w:r>
          <w:fldSimple w:instr=" PAGE   \* MERGEFORMAT ">
            <w:r>
              <w:rPr>
                <w:noProof/>
              </w:rPr>
              <w:t>11</w:t>
            </w:r>
          </w:fldSimple>
          <w:r>
            <w:t xml:space="preserve"> of </w:t>
          </w:r>
          <w:fldSimple w:instr=" NUMPAGES  \* Arabic ">
            <w:r w:rsidR="006430B9">
              <w:rPr>
                <w:noProof/>
              </w:rPr>
              <w:t>4</w:t>
            </w:r>
          </w:fldSimple>
          <w:r>
            <w:t xml:space="preserve">  </w:t>
          </w:r>
        </w:p>
      </w:tc>
    </w:tr>
  </w:tbl>
  <w:p w:rsidR="00165389" w:rsidRDefault="00165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3E0" w:rsidRDefault="000E23E0" w:rsidP="00C40A36">
      <w:pPr>
        <w:spacing w:after="0"/>
      </w:pPr>
      <w:r>
        <w:separator/>
      </w:r>
    </w:p>
  </w:footnote>
  <w:footnote w:type="continuationSeparator" w:id="0">
    <w:p w:rsidR="000E23E0" w:rsidRDefault="000E23E0" w:rsidP="00C40A36">
      <w:pPr>
        <w:spacing w:after="0"/>
      </w:pPr>
      <w:r>
        <w:continuationSeparator/>
      </w:r>
    </w:p>
  </w:footnote>
  <w:footnote w:id="1">
    <w:p w:rsidR="004E2506" w:rsidRDefault="004E2506" w:rsidP="006430B9">
      <w:pPr>
        <w:pStyle w:val="FootnoteText"/>
      </w:pPr>
      <w:r w:rsidRPr="004E2506">
        <w:rPr>
          <w:rStyle w:val="FootnoteReference"/>
          <w:rFonts w:ascii="Cambria" w:hAnsi="Cambria"/>
          <w:sz w:val="20"/>
        </w:rPr>
        <w:footnoteRef/>
      </w:r>
      <w:r>
        <w:t xml:space="preserve"> </w:t>
      </w:r>
      <w:hyperlink r:id="rId1" w:history="1">
        <w:r w:rsidR="005142AD">
          <w:rPr>
            <w:rStyle w:val="Hyperlink"/>
            <w:rFonts w:eastAsiaTheme="majorEastAsia"/>
          </w:rPr>
          <w:t>http://www.tga.gov.au/industry/pm-euguidelines-nonclinical.htm</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42" w:rsidRDefault="00FE10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596"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E10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597"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165389" w:rsidTr="00FA5B82">
      <w:trPr>
        <w:trHeight w:hRule="exact" w:val="193"/>
      </w:trPr>
      <w:tc>
        <w:tcPr>
          <w:tcW w:w="9057" w:type="dxa"/>
        </w:tcPr>
        <w:p w:rsidR="00165389" w:rsidRDefault="00FE1042"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595" o:spid="_x0000_s18434" type="#_x0000_t136" style="position:absolute;margin-left:0;margin-top:0;width:524.45pt;height:74.9pt;rotation:315;z-index:251678720;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165389" w:rsidTr="00FA5B82">
      <w:trPr>
        <w:trHeight w:hRule="exact" w:val="2693"/>
      </w:trPr>
      <w:tc>
        <w:tcPr>
          <w:tcW w:w="9057" w:type="dxa"/>
        </w:tcPr>
        <w:p w:rsidR="00165389" w:rsidRPr="00DE02AE" w:rsidRDefault="00165389"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165389" w:rsidRDefault="00165389"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FA0F96">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E10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599"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E10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600"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E10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598"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E10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602"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E1042"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603"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FE1042"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21601"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p w:rsidR="00165389" w:rsidRDefault="0016538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7F095E"/>
    <w:rsid w:val="00002031"/>
    <w:rsid w:val="00004734"/>
    <w:rsid w:val="00006B22"/>
    <w:rsid w:val="000246AE"/>
    <w:rsid w:val="00025C67"/>
    <w:rsid w:val="0005559E"/>
    <w:rsid w:val="000B3532"/>
    <w:rsid w:val="000D391B"/>
    <w:rsid w:val="000D3D6D"/>
    <w:rsid w:val="000D4FC7"/>
    <w:rsid w:val="000E23E0"/>
    <w:rsid w:val="000F4869"/>
    <w:rsid w:val="000F6E6F"/>
    <w:rsid w:val="0010601F"/>
    <w:rsid w:val="00110EA5"/>
    <w:rsid w:val="001305A2"/>
    <w:rsid w:val="00141293"/>
    <w:rsid w:val="0014197B"/>
    <w:rsid w:val="001447CD"/>
    <w:rsid w:val="001516B1"/>
    <w:rsid w:val="00156316"/>
    <w:rsid w:val="00165389"/>
    <w:rsid w:val="0017693F"/>
    <w:rsid w:val="0018110E"/>
    <w:rsid w:val="00181684"/>
    <w:rsid w:val="001843C6"/>
    <w:rsid w:val="001B09F9"/>
    <w:rsid w:val="001B6448"/>
    <w:rsid w:val="001E59F1"/>
    <w:rsid w:val="001F49EB"/>
    <w:rsid w:val="00201D4E"/>
    <w:rsid w:val="002257F3"/>
    <w:rsid w:val="00233456"/>
    <w:rsid w:val="002339A5"/>
    <w:rsid w:val="00251628"/>
    <w:rsid w:val="00284D89"/>
    <w:rsid w:val="00286C59"/>
    <w:rsid w:val="002942D1"/>
    <w:rsid w:val="002B1638"/>
    <w:rsid w:val="002C3E33"/>
    <w:rsid w:val="002E4C9A"/>
    <w:rsid w:val="002F3F56"/>
    <w:rsid w:val="002F44B5"/>
    <w:rsid w:val="00311AC0"/>
    <w:rsid w:val="003521E8"/>
    <w:rsid w:val="00363CA6"/>
    <w:rsid w:val="003728F3"/>
    <w:rsid w:val="003B7E39"/>
    <w:rsid w:val="003C58DC"/>
    <w:rsid w:val="003F0B04"/>
    <w:rsid w:val="0040134E"/>
    <w:rsid w:val="00440A2D"/>
    <w:rsid w:val="004564A7"/>
    <w:rsid w:val="00494E60"/>
    <w:rsid w:val="004E2506"/>
    <w:rsid w:val="004F0F38"/>
    <w:rsid w:val="00501921"/>
    <w:rsid w:val="005142AD"/>
    <w:rsid w:val="005434C6"/>
    <w:rsid w:val="00550096"/>
    <w:rsid w:val="00570971"/>
    <w:rsid w:val="00576378"/>
    <w:rsid w:val="00585322"/>
    <w:rsid w:val="00593AD1"/>
    <w:rsid w:val="005C5570"/>
    <w:rsid w:val="005C79A4"/>
    <w:rsid w:val="005D5442"/>
    <w:rsid w:val="00640FC3"/>
    <w:rsid w:val="006430B9"/>
    <w:rsid w:val="0065419D"/>
    <w:rsid w:val="00664A5B"/>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93A59"/>
    <w:rsid w:val="007F095E"/>
    <w:rsid w:val="00803DD6"/>
    <w:rsid w:val="00821776"/>
    <w:rsid w:val="008321F5"/>
    <w:rsid w:val="00832369"/>
    <w:rsid w:val="00834660"/>
    <w:rsid w:val="00836BC2"/>
    <w:rsid w:val="0085641B"/>
    <w:rsid w:val="008A2B9D"/>
    <w:rsid w:val="008B4B03"/>
    <w:rsid w:val="008C159F"/>
    <w:rsid w:val="008C1623"/>
    <w:rsid w:val="008F1CCC"/>
    <w:rsid w:val="008F2967"/>
    <w:rsid w:val="00920330"/>
    <w:rsid w:val="009219D7"/>
    <w:rsid w:val="00922D53"/>
    <w:rsid w:val="00923B70"/>
    <w:rsid w:val="00930237"/>
    <w:rsid w:val="00963C08"/>
    <w:rsid w:val="00964F3E"/>
    <w:rsid w:val="009A4CED"/>
    <w:rsid w:val="009B1D12"/>
    <w:rsid w:val="009B416B"/>
    <w:rsid w:val="009C4BD5"/>
    <w:rsid w:val="009E3FBB"/>
    <w:rsid w:val="00A14DF7"/>
    <w:rsid w:val="00A3246D"/>
    <w:rsid w:val="00A36FA7"/>
    <w:rsid w:val="00A47AF7"/>
    <w:rsid w:val="00A47C3E"/>
    <w:rsid w:val="00A50226"/>
    <w:rsid w:val="00AC2B40"/>
    <w:rsid w:val="00AC2BB2"/>
    <w:rsid w:val="00AE65EB"/>
    <w:rsid w:val="00AE6A29"/>
    <w:rsid w:val="00AF1D94"/>
    <w:rsid w:val="00B009C6"/>
    <w:rsid w:val="00B01548"/>
    <w:rsid w:val="00B25034"/>
    <w:rsid w:val="00B33863"/>
    <w:rsid w:val="00B4175E"/>
    <w:rsid w:val="00B54C25"/>
    <w:rsid w:val="00B76B91"/>
    <w:rsid w:val="00BC622A"/>
    <w:rsid w:val="00BE0A78"/>
    <w:rsid w:val="00BE79F0"/>
    <w:rsid w:val="00BF046D"/>
    <w:rsid w:val="00C404A6"/>
    <w:rsid w:val="00C40A36"/>
    <w:rsid w:val="00C45E7B"/>
    <w:rsid w:val="00C6316B"/>
    <w:rsid w:val="00C634A9"/>
    <w:rsid w:val="00C772FF"/>
    <w:rsid w:val="00C801AF"/>
    <w:rsid w:val="00CB6BC0"/>
    <w:rsid w:val="00CC727F"/>
    <w:rsid w:val="00CF15C3"/>
    <w:rsid w:val="00CF2B6F"/>
    <w:rsid w:val="00D017ED"/>
    <w:rsid w:val="00D224FE"/>
    <w:rsid w:val="00D6493E"/>
    <w:rsid w:val="00D93E09"/>
    <w:rsid w:val="00DA1124"/>
    <w:rsid w:val="00DB356F"/>
    <w:rsid w:val="00DE02AE"/>
    <w:rsid w:val="00DF1D7F"/>
    <w:rsid w:val="00E02FB4"/>
    <w:rsid w:val="00E20571"/>
    <w:rsid w:val="00E239D4"/>
    <w:rsid w:val="00E40B22"/>
    <w:rsid w:val="00E4588F"/>
    <w:rsid w:val="00EB0798"/>
    <w:rsid w:val="00EB586E"/>
    <w:rsid w:val="00F04F68"/>
    <w:rsid w:val="00F12670"/>
    <w:rsid w:val="00F14B27"/>
    <w:rsid w:val="00F35298"/>
    <w:rsid w:val="00F47E37"/>
    <w:rsid w:val="00F80E40"/>
    <w:rsid w:val="00FA0F96"/>
    <w:rsid w:val="00FA5B82"/>
    <w:rsid w:val="00FA639E"/>
    <w:rsid w:val="00FC25E4"/>
    <w:rsid w:val="00FC4EF7"/>
    <w:rsid w:val="00FE1042"/>
    <w:rsid w:val="00FE1DEE"/>
    <w:rsid w:val="00FF0DF7"/>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semiHidden/>
    <w:rsid w:val="004E2506"/>
    <w:rPr>
      <w:rFonts w:ascii="Cambria" w:hAnsi="Cambria"/>
      <w:color w:val="0000FF"/>
      <w:sz w:val="20"/>
      <w:u w:val="single"/>
    </w:rPr>
  </w:style>
  <w:style w:type="character" w:styleId="FootnoteReference">
    <w:name w:val="footnote reference"/>
    <w:semiHidden/>
    <w:rsid w:val="006430B9"/>
    <w:rPr>
      <w:rFonts w:ascii="Arial" w:hAnsi="Arial"/>
      <w:dstrike w:val="0"/>
      <w:sz w:val="24"/>
      <w:vertAlign w:val="superscript"/>
    </w:rPr>
  </w:style>
  <w:style w:type="paragraph" w:styleId="FootnoteText">
    <w:name w:val="footnote text"/>
    <w:basedOn w:val="Normal"/>
    <w:link w:val="FootnoteTextChar"/>
    <w:semiHidden/>
    <w:rsid w:val="006430B9"/>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6430B9"/>
    <w:rPr>
      <w:rFonts w:ascii="Arial" w:eastAsia="Times New Roman" w:hAnsi="Arial" w:cs="Times New Roman"/>
      <w:sz w:val="20"/>
      <w:szCs w:val="20"/>
      <w:lang w:eastAsia="en-AU"/>
    </w:rPr>
  </w:style>
</w:styles>
</file>

<file path=word/webSettings.xml><?xml version="1.0" encoding="utf-8"?>
<w:webSettings xmlns:r="http://schemas.openxmlformats.org/officeDocument/2006/relationships" xmlns:w="http://schemas.openxmlformats.org/wordprocessingml/2006/main">
  <w:divs>
    <w:div w:id="11995121">
      <w:bodyDiv w:val="1"/>
      <w:marLeft w:val="0"/>
      <w:marRight w:val="0"/>
      <w:marTop w:val="0"/>
      <w:marBottom w:val="0"/>
      <w:divBdr>
        <w:top w:val="none" w:sz="0" w:space="0" w:color="auto"/>
        <w:left w:val="none" w:sz="0" w:space="0" w:color="auto"/>
        <w:bottom w:val="none" w:sz="0" w:space="0" w:color="auto"/>
        <w:right w:val="none" w:sz="0" w:space="0" w:color="auto"/>
      </w:divBdr>
    </w:div>
    <w:div w:id="499350061">
      <w:bodyDiv w:val="1"/>
      <w:marLeft w:val="0"/>
      <w:marRight w:val="0"/>
      <w:marTop w:val="0"/>
      <w:marBottom w:val="0"/>
      <w:divBdr>
        <w:top w:val="none" w:sz="0" w:space="0" w:color="auto"/>
        <w:left w:val="none" w:sz="0" w:space="0" w:color="auto"/>
        <w:bottom w:val="none" w:sz="0" w:space="0" w:color="auto"/>
        <w:right w:val="none" w:sz="0" w:space="0" w:color="auto"/>
      </w:divBdr>
    </w:div>
    <w:div w:id="1352532642">
      <w:bodyDiv w:val="1"/>
      <w:marLeft w:val="0"/>
      <w:marRight w:val="0"/>
      <w:marTop w:val="0"/>
      <w:marBottom w:val="0"/>
      <w:divBdr>
        <w:top w:val="none" w:sz="0" w:space="0" w:color="auto"/>
        <w:left w:val="none" w:sz="0" w:space="0" w:color="auto"/>
        <w:bottom w:val="none" w:sz="0" w:space="0" w:color="auto"/>
        <w:right w:val="none" w:sz="0" w:space="0" w:color="auto"/>
      </w:divBdr>
    </w:div>
    <w:div w:id="162261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tga.gov.au/industry/pm-euguidelines-nonclinical.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41BC4-DBB7-4678-944A-070AC08B5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3</TotalTime>
  <Pages>5</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23: Supplementary non-clinical guidelines</dc:title>
  <dc:subject>prescription medicines regulation</dc:subject>
  <dc:creator>Therapeutic Goods Administration</dc:creator>
  <cp:keywords>prescription, medicine, regulation, australia</cp:keywords>
  <cp:lastModifiedBy>Wrigley, Andrew</cp:lastModifiedBy>
  <cp:revision>5</cp:revision>
  <dcterms:created xsi:type="dcterms:W3CDTF">2011-03-30T05:36:00Z</dcterms:created>
  <dcterms:modified xsi:type="dcterms:W3CDTF">2013-07-16T06:57:00Z</dcterms:modified>
  <cp:category>External Guidelines</cp:category>
</cp:coreProperties>
</file>