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9C390D" w:rsidP="0014197B">
            <w:pPr>
              <w:pStyle w:val="Title"/>
            </w:pPr>
            <w:r>
              <w:t xml:space="preserve">Australian regulatory guidelines for prescription medicines </w:t>
            </w:r>
          </w:p>
          <w:p w:rsidR="006C642F" w:rsidRPr="00DE02AE" w:rsidRDefault="009C390D" w:rsidP="00B76B91">
            <w:pPr>
              <w:pStyle w:val="Subtitle"/>
            </w:pPr>
            <w:r>
              <w:t>Appendix 22: C</w:t>
            </w:r>
            <w:r w:rsidRPr="009C390D">
              <w:t>olourings permitted in medicines for oral use</w:t>
            </w:r>
          </w:p>
        </w:tc>
      </w:tr>
      <w:tr w:rsidR="00DE02AE" w:rsidRPr="00DE02AE" w:rsidTr="00DE02AE">
        <w:trPr>
          <w:trHeight w:val="1197"/>
        </w:trPr>
        <w:tc>
          <w:tcPr>
            <w:tcW w:w="8777" w:type="dxa"/>
          </w:tcPr>
          <w:p w:rsidR="00DE02AE" w:rsidRPr="0014197B" w:rsidRDefault="009C390D" w:rsidP="006C642F">
            <w:pPr>
              <w:pStyle w:val="Date"/>
            </w:pPr>
            <w:r>
              <w:t>June 2004</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7652FF">
      <w:pPr>
        <w:pStyle w:val="ListBullet"/>
      </w:pPr>
      <w:r>
        <w:t xml:space="preserve">The TGA is a division of the Australian Government Department of Health and </w:t>
      </w:r>
      <w:r w:rsidRPr="007652FF">
        <w:t>Ageing</w:t>
      </w:r>
      <w:r>
        <w:t xml:space="preserve">, and is responsible for regulating </w:t>
      </w:r>
      <w:r w:rsidR="00FA1C2B">
        <w:t>medicines</w:t>
      </w:r>
      <w:r>
        <w:t xml:space="preserve"> and medical devices.</w:t>
      </w:r>
    </w:p>
    <w:p w:rsidR="007652FF" w:rsidRDefault="007652FF" w:rsidP="007652FF">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7652FF">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7652FF">
      <w:pPr>
        <w:pStyle w:val="ListBullet"/>
      </w:pPr>
      <w:r>
        <w:t>The TGA relies on the public, healthcare professionals and industry to report problems with medicines or medical devices. TGA investigates reports received by it to determine any necessary regulatory action.</w:t>
      </w:r>
    </w:p>
    <w:p w:rsidR="008C159F" w:rsidRPr="00FE1DEE" w:rsidRDefault="008C159F" w:rsidP="007652FF">
      <w:pPr>
        <w:pStyle w:val="ListBullet"/>
      </w:pPr>
      <w:r>
        <w:t>To report a problem with a medicine or medical device, please see the information on the TGA website.</w:t>
      </w:r>
    </w:p>
    <w:p w:rsidR="0074429B" w:rsidRDefault="0074429B" w:rsidP="006F572E"/>
    <w:p w:rsidR="00E20571" w:rsidRDefault="00E20571" w:rsidP="006F572E"/>
    <w:p w:rsidR="006F572E" w:rsidRDefault="006F572E" w:rsidP="002F3F56">
      <w:pPr>
        <w:sectPr w:rsidR="006F572E"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9C390D" w:rsidRPr="004D24BD" w:rsidRDefault="004D24BD" w:rsidP="009C390D">
      <w:pPr>
        <w:pStyle w:val="Heading1"/>
      </w:pPr>
      <w:r>
        <w:lastRenderedPageBreak/>
        <w:t>A</w:t>
      </w:r>
      <w:r w:rsidR="009C390D">
        <w:t xml:space="preserve">ppendix 22: </w:t>
      </w:r>
      <w:r w:rsidR="00996415">
        <w:t>C</w:t>
      </w:r>
      <w:r w:rsidR="009C390D">
        <w:t xml:space="preserve">olourings permitted in medicines for </w:t>
      </w:r>
      <w:r w:rsidR="009C390D" w:rsidRPr="004D24BD">
        <w:t>oral use</w:t>
      </w:r>
    </w:p>
    <w:p w:rsidR="00996415" w:rsidRDefault="00996415" w:rsidP="00996415">
      <w:r>
        <w:t>Colouring agents which may be used in orally administered medicines, without the requirement for sponsors to submit an application for evaluation by the Therapeutic Goods Administration (TGA), are listed on the TGA website</w:t>
      </w:r>
      <w:bookmarkStart w:id="0" w:name="_Ref75052335"/>
      <w:r w:rsidR="00FA1C2B" w:rsidRPr="00FA1C2B">
        <w:rPr>
          <w:rStyle w:val="FootnoteReference"/>
          <w:rFonts w:ascii="Cambria" w:hAnsi="Cambria"/>
          <w:sz w:val="20"/>
        </w:rPr>
        <w:footnoteReference w:id="1"/>
      </w:r>
      <w:bookmarkEnd w:id="0"/>
      <w:r>
        <w:t>.</w:t>
      </w:r>
    </w:p>
    <w:p w:rsidR="00996415" w:rsidRDefault="00996415" w:rsidP="00996415">
      <w:r>
        <w:t>Sponsors wishing to use new colours (that is, colours not included in the above list) in orally administered prescription medicines must lodge an application for evaluation by the Drug Safety and Evaluation Branch (DSEB). The requirements for this type of applications are detailed on the TGA website</w:t>
      </w:r>
      <w:fldSimple w:instr=" NOTEREF _Ref75052335 \h  \* MERGEFORMAT ">
        <w:r w:rsidR="00FA1C2B" w:rsidRPr="00FA1C2B">
          <w:rPr>
            <w:vertAlign w:val="superscript"/>
          </w:rPr>
          <w:t>1</w:t>
        </w:r>
      </w:fldSimple>
      <w:r>
        <w:t>.</w:t>
      </w:r>
    </w:p>
    <w:p w:rsidR="006D03E5" w:rsidRPr="004D24BD" w:rsidRDefault="006D03E5" w:rsidP="004D24BD">
      <w:pPr>
        <w:sectPr w:rsidR="006D03E5" w:rsidRPr="004D24BD" w:rsidSect="00585322">
          <w:headerReference w:type="even" r:id="rId14"/>
          <w:headerReference w:type="default" r:id="rId15"/>
          <w:footerReference w:type="default" r:id="rId16"/>
          <w:headerReference w:type="first" r:id="rId17"/>
          <w:footerReference w:type="first" r:id="rId18"/>
          <w:pgSz w:w="11906" w:h="16838" w:code="9"/>
          <w:pgMar w:top="2211" w:right="1701" w:bottom="1701" w:left="1701" w:header="907" w:footer="142" w:gutter="0"/>
          <w:cols w:space="708"/>
          <w:docGrid w:linePitch="360"/>
        </w:sectPr>
      </w:pPr>
    </w:p>
    <w:p w:rsidR="006E08B3" w:rsidRDefault="006E08B3" w:rsidP="00585322"/>
    <w:p w:rsidR="006E08B3" w:rsidRPr="006E08B3" w:rsidRDefault="006E08B3" w:rsidP="00AE65EB"/>
    <w:sectPr w:rsidR="006E08B3" w:rsidRPr="006E08B3" w:rsidSect="00A36FA7">
      <w:headerReference w:type="even" r:id="rId19"/>
      <w:headerReference w:type="default" r:id="rId20"/>
      <w:footerReference w:type="default" r:id="rId21"/>
      <w:headerReference w:type="first" r:id="rId22"/>
      <w:footerReference w:type="first" r:id="rId23"/>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C32" w:rsidRDefault="003D0C32" w:rsidP="00C40A36">
      <w:pPr>
        <w:spacing w:after="0"/>
      </w:pPr>
      <w:r>
        <w:separator/>
      </w:r>
    </w:p>
  </w:endnote>
  <w:endnote w:type="continuationSeparator" w:id="0">
    <w:p w:rsidR="003D0C32" w:rsidRDefault="003D0C3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8CD75D6A-23F8-42F3-84AC-BA7016869B9F}"/>
    <w:embedBold r:id="rId2" w:fontKey="{EC268449-6789-493F-A20B-C16DB9960BC0}"/>
  </w:font>
  <w:font w:name="Tahoma">
    <w:panose1 w:val="020B0604030504040204"/>
    <w:charset w:val="00"/>
    <w:family w:val="swiss"/>
    <w:pitch w:val="variable"/>
    <w:sig w:usb0="E1002EFF" w:usb1="C000605B" w:usb2="00000029" w:usb3="00000000" w:csb0="000101FF" w:csb1="00000000"/>
    <w:embedRegular r:id="rId3" w:fontKey="{7A8C34D3-2754-49D2-B761-6154DA3DF7E7}"/>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954"/>
      <w:gridCol w:w="2551"/>
    </w:tblGrid>
    <w:tr w:rsidR="00165389" w:rsidTr="00B33863">
      <w:trPr>
        <w:trHeight w:hRule="exact" w:val="1420"/>
      </w:trPr>
      <w:tc>
        <w:tcPr>
          <w:tcW w:w="8505" w:type="dxa"/>
          <w:gridSpan w:val="2"/>
          <w:tcBorders>
            <w:bottom w:val="single" w:sz="4" w:space="0" w:color="auto"/>
          </w:tcBorders>
          <w:tcMar>
            <w:right w:w="284" w:type="dxa"/>
          </w:tcMar>
        </w:tcPr>
        <w:p w:rsidR="00165389" w:rsidRPr="00DF1D7F" w:rsidRDefault="00165389" w:rsidP="00B33863">
          <w:pPr>
            <w:pStyle w:val="LegalSubheading"/>
          </w:pPr>
          <w:r w:rsidRPr="00DF1D7F">
            <w:t>Copyright</w:t>
          </w:r>
        </w:p>
        <w:p w:rsidR="00165389" w:rsidRDefault="00165389" w:rsidP="00B33863">
          <w:pPr>
            <w:pStyle w:val="LegalCopy"/>
          </w:pPr>
          <w:r>
            <w:rPr>
              <w:rFonts w:cs="Arial"/>
            </w:rPr>
            <w:t>©</w:t>
          </w:r>
          <w:r>
            <w:t xml:space="preserve"> Commonwealth of Australia </w:t>
          </w:r>
          <w:r w:rsidR="002A5E52">
            <w:t>2004</w:t>
          </w:r>
        </w:p>
        <w:p w:rsidR="00165389" w:rsidRDefault="00165389" w:rsidP="00B33863">
          <w:pPr>
            <w:pStyle w:val="LegalCopy"/>
          </w:pPr>
        </w:p>
        <w:p w:rsidR="00165389" w:rsidRDefault="00165389"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165389" w:rsidTr="002A5E52">
      <w:trPr>
        <w:trHeight w:hRule="exact" w:val="567"/>
      </w:trPr>
      <w:tc>
        <w:tcPr>
          <w:tcW w:w="5954" w:type="dxa"/>
          <w:tcBorders>
            <w:top w:val="single" w:sz="4" w:space="0" w:color="auto"/>
          </w:tcBorders>
          <w:tcMar>
            <w:top w:w="142" w:type="dxa"/>
            <w:bottom w:w="0" w:type="dxa"/>
          </w:tcMar>
        </w:tcPr>
        <w:p w:rsidR="002A5E52" w:rsidRPr="002A5E52" w:rsidRDefault="002A5E52" w:rsidP="002A5E52">
          <w:pPr>
            <w:pStyle w:val="Footer"/>
          </w:pPr>
          <w:r w:rsidRPr="002A5E52">
            <w:t>Australian regulatory guidelines for pre</w:t>
          </w:r>
          <w:r>
            <w:t>scription medicines – Appendix 22</w:t>
          </w:r>
        </w:p>
        <w:p w:rsidR="00165389" w:rsidRDefault="002A5E52" w:rsidP="002A5E52">
          <w:pPr>
            <w:pStyle w:val="Footer"/>
          </w:pPr>
          <w:r w:rsidRPr="002A5E52">
            <w:t>June 2004</w:t>
          </w:r>
        </w:p>
      </w:tc>
      <w:tc>
        <w:tcPr>
          <w:tcW w:w="2551" w:type="dxa"/>
          <w:tcBorders>
            <w:top w:val="single" w:sz="4" w:space="0" w:color="auto"/>
          </w:tcBorders>
          <w:tcMar>
            <w:top w:w="142" w:type="dxa"/>
            <w:bottom w:w="0" w:type="dxa"/>
          </w:tcMar>
        </w:tcPr>
        <w:p w:rsidR="00165389" w:rsidRDefault="00165389" w:rsidP="00B33863">
          <w:pPr>
            <w:pStyle w:val="Footer"/>
            <w:jc w:val="right"/>
          </w:pPr>
          <w:r>
            <w:t xml:space="preserve">Page </w:t>
          </w:r>
          <w:fldSimple w:instr=" PAGE   \* MERGEFORMAT ">
            <w:r w:rsidR="00857FA4">
              <w:rPr>
                <w:noProof/>
              </w:rPr>
              <w:t>2</w:t>
            </w:r>
          </w:fldSimple>
          <w:r>
            <w:t xml:space="preserve"> of </w:t>
          </w:r>
          <w:fldSimple w:instr=" NUMPAGES  ">
            <w:r w:rsidR="00857FA4">
              <w:rPr>
                <w:noProof/>
              </w:rPr>
              <w:t>4</w:t>
            </w:r>
          </w:fldSimple>
          <w:r>
            <w:t xml:space="preserve">  </w:t>
          </w:r>
        </w:p>
      </w:tc>
    </w:tr>
  </w:tbl>
  <w:p w:rsidR="00165389" w:rsidRDefault="00165389"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165389" w:rsidRPr="00DE02AE" w:rsidTr="006C642F">
      <w:trPr>
        <w:trHeight w:hRule="exact" w:val="7842"/>
      </w:trPr>
      <w:sdt>
        <w:sdtPr>
          <w:id w:val="16592143"/>
          <w:picture/>
        </w:sdtPr>
        <w:sdtContent>
          <w:tc>
            <w:tcPr>
              <w:tcW w:w="11907" w:type="dxa"/>
            </w:tcPr>
            <w:p w:rsidR="00165389" w:rsidRPr="00DE02AE" w:rsidRDefault="00A33106" w:rsidP="006C642F">
              <w:pPr>
                <w:pStyle w:val="Date"/>
              </w:pPr>
              <w:r w:rsidRPr="00A33106">
                <w:rPr>
                  <w:noProof/>
                  <w:lang w:eastAsia="en-AU"/>
                </w:rPr>
                <w:drawing>
                  <wp:inline distT="0" distB="0" distL="0" distR="0">
                    <wp:extent cx="7538521" cy="6779836"/>
                    <wp:effectExtent l="19050" t="0" r="5279" b="0"/>
                    <wp:docPr id="1" name="Picture 1" descr=" "/>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1725" cy="6782717"/>
                            </a:xfrm>
                            <a:prstGeom prst="rect">
                              <a:avLst/>
                            </a:prstGeom>
                            <a:noFill/>
                            <a:ln w="9525">
                              <a:noFill/>
                              <a:miter lim="800000"/>
                              <a:headEnd/>
                              <a:tailEnd/>
                            </a:ln>
                          </pic:spPr>
                        </pic:pic>
                      </a:graphicData>
                    </a:graphic>
                  </wp:inline>
                </w:drawing>
              </w:r>
            </w:p>
          </w:tc>
        </w:sdtContent>
      </w:sdt>
    </w:tr>
  </w:tbl>
  <w:p w:rsidR="00165389" w:rsidRDefault="00165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5954"/>
      <w:gridCol w:w="2907"/>
    </w:tblGrid>
    <w:tr w:rsidR="00165389" w:rsidTr="002A5E52">
      <w:trPr>
        <w:trHeight w:val="269"/>
      </w:trPr>
      <w:tc>
        <w:tcPr>
          <w:tcW w:w="5954" w:type="dxa"/>
          <w:tcBorders>
            <w:top w:val="single" w:sz="4" w:space="0" w:color="auto"/>
          </w:tcBorders>
          <w:tcMar>
            <w:top w:w="142" w:type="dxa"/>
            <w:bottom w:w="0" w:type="dxa"/>
          </w:tcMar>
        </w:tcPr>
        <w:p w:rsidR="002A5E52" w:rsidRPr="002A5E52" w:rsidRDefault="002A5E52" w:rsidP="002A5E52">
          <w:pPr>
            <w:pStyle w:val="Footer"/>
          </w:pPr>
          <w:r w:rsidRPr="002A5E52">
            <w:t>Australian regulatory guidelines for pre</w:t>
          </w:r>
          <w:r>
            <w:t>scription medicines – Appendix 22</w:t>
          </w:r>
        </w:p>
        <w:p w:rsidR="00165389" w:rsidRDefault="002A5E52" w:rsidP="002A5E52">
          <w:pPr>
            <w:pStyle w:val="Footer"/>
          </w:pPr>
          <w:r w:rsidRPr="002A5E52">
            <w:t>June 2004</w:t>
          </w:r>
        </w:p>
      </w:tc>
      <w:tc>
        <w:tcPr>
          <w:tcW w:w="2907"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sidR="00857FA4">
              <w:rPr>
                <w:noProof/>
              </w:rPr>
              <w:t>3</w:t>
            </w:r>
          </w:fldSimple>
          <w:r>
            <w:t xml:space="preserve"> of </w:t>
          </w:r>
          <w:fldSimple w:instr=" NUMPAGES  \* Arabic ">
            <w:r w:rsidR="00857FA4">
              <w:rPr>
                <w:noProof/>
              </w:rPr>
              <w:t>4</w:t>
            </w:r>
          </w:fldSimple>
        </w:p>
      </w:tc>
    </w:tr>
  </w:tbl>
  <w:p w:rsidR="00165389" w:rsidRDefault="0016538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165389" w:rsidTr="0010601F">
      <w:trPr>
        <w:trHeight w:val="269"/>
      </w:trPr>
      <w:tc>
        <w:tcPr>
          <w:tcW w:w="4519" w:type="dxa"/>
          <w:tcBorders>
            <w:top w:val="single" w:sz="4" w:space="0" w:color="auto"/>
          </w:tcBorders>
          <w:tcMar>
            <w:top w:w="142" w:type="dxa"/>
            <w:bottom w:w="0" w:type="dxa"/>
          </w:tcMar>
        </w:tcPr>
        <w:p w:rsidR="00165389" w:rsidRDefault="00165389" w:rsidP="00FE1DEE">
          <w:pPr>
            <w:pStyle w:val="Footer"/>
          </w:pPr>
          <w:r>
            <w:t>Document title, Part #, Section # - Section title</w:t>
          </w:r>
        </w:p>
        <w:p w:rsidR="00165389" w:rsidRDefault="00165389" w:rsidP="00FE1DEE">
          <w:pPr>
            <w:pStyle w:val="Footer"/>
          </w:pPr>
          <w:r>
            <w:t>V1.0 October 2010</w:t>
          </w:r>
        </w:p>
      </w:tc>
      <w:tc>
        <w:tcPr>
          <w:tcW w:w="4342"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Pr>
                <w:noProof/>
              </w:rPr>
              <w:t>3</w:t>
            </w:r>
          </w:fldSimple>
          <w:r>
            <w:t xml:space="preserve"> of </w:t>
          </w:r>
          <w:fldSimple w:instr=" NUMPAGES  ">
            <w:r w:rsidR="009C390D">
              <w:rPr>
                <w:noProof/>
              </w:rPr>
              <w:t>4</w:t>
            </w:r>
          </w:fldSimple>
        </w:p>
      </w:tc>
    </w:tr>
  </w:tbl>
  <w:p w:rsidR="00165389" w:rsidRDefault="0016538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165389" w:rsidTr="00A36FA7">
      <w:trPr>
        <w:trHeight w:hRule="exact" w:val="454"/>
      </w:trPr>
      <w:tc>
        <w:tcPr>
          <w:tcW w:w="9145" w:type="dxa"/>
        </w:tcPr>
        <w:p w:rsidR="00165389" w:rsidRPr="00CC727F" w:rsidRDefault="00165389" w:rsidP="00576378">
          <w:pPr>
            <w:pStyle w:val="TGASignoff"/>
          </w:pPr>
          <w:r>
            <w:t>Therapeutic Goods Administration</w:t>
          </w:r>
        </w:p>
      </w:tc>
    </w:tr>
    <w:tr w:rsidR="00165389" w:rsidTr="00A36FA7">
      <w:trPr>
        <w:trHeight w:val="1284"/>
      </w:trPr>
      <w:tc>
        <w:tcPr>
          <w:tcW w:w="9145" w:type="dxa"/>
          <w:tcMar>
            <w:top w:w="28" w:type="dxa"/>
          </w:tcMar>
        </w:tcPr>
        <w:p w:rsidR="00165389" w:rsidRDefault="00165389" w:rsidP="00576378">
          <w:pPr>
            <w:pStyle w:val="Address"/>
          </w:pPr>
          <w:r>
            <w:t>PO Box 100 Woden ACT 2606 Australia</w:t>
          </w:r>
        </w:p>
        <w:p w:rsidR="00165389" w:rsidRDefault="00165389" w:rsidP="00576378">
          <w:pPr>
            <w:pStyle w:val="Address"/>
          </w:pPr>
          <w:r>
            <w:t xml:space="preserve">Email: </w:t>
          </w:r>
          <w:r w:rsidRPr="00CC727F">
            <w:t>info@tga.gov.au</w:t>
          </w:r>
          <w:r>
            <w:t xml:space="preserve">  Phone: 02 6232 8444  Fax: 02 6232 8605</w:t>
          </w:r>
        </w:p>
        <w:p w:rsidR="00165389" w:rsidRPr="000D4FC7" w:rsidRDefault="00165389" w:rsidP="00A36FA7">
          <w:pPr>
            <w:pStyle w:val="Address"/>
            <w:spacing w:line="260" w:lineRule="atLeast"/>
            <w:rPr>
              <w:b/>
            </w:rPr>
          </w:pPr>
          <w:r w:rsidRPr="000D4FC7">
            <w:rPr>
              <w:b/>
            </w:rPr>
            <w:t>www.tga.gov.au</w:t>
          </w:r>
        </w:p>
        <w:p w:rsidR="00165389" w:rsidRDefault="00165389" w:rsidP="00576378">
          <w:pPr>
            <w:pStyle w:val="Reference"/>
          </w:pPr>
          <w:r>
            <w:t>Reference/Publication #</w:t>
          </w:r>
        </w:p>
      </w:tc>
    </w:tr>
  </w:tbl>
  <w:p w:rsidR="00165389" w:rsidRDefault="00165389"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165389" w:rsidTr="0010601F">
      <w:trPr>
        <w:trHeight w:val="108"/>
      </w:trPr>
      <w:tc>
        <w:tcPr>
          <w:tcW w:w="8875" w:type="dxa"/>
          <w:gridSpan w:val="2"/>
          <w:tcBorders>
            <w:bottom w:val="single" w:sz="4" w:space="0" w:color="auto"/>
          </w:tcBorders>
          <w:tcMar>
            <w:right w:w="284" w:type="dxa"/>
          </w:tcMar>
        </w:tcPr>
        <w:p w:rsidR="00165389" w:rsidRDefault="00165389" w:rsidP="006E08B3">
          <w:pPr>
            <w:pStyle w:val="Heading3"/>
            <w:spacing w:after="0"/>
            <w:outlineLvl w:val="2"/>
          </w:pPr>
          <w:r>
            <w:t>Copyright</w:t>
          </w:r>
        </w:p>
        <w:p w:rsidR="00165389" w:rsidRDefault="00165389" w:rsidP="006E08B3">
          <w:pPr>
            <w:pStyle w:val="Footer"/>
          </w:pPr>
          <w:r>
            <w:rPr>
              <w:rFonts w:cs="Arial"/>
            </w:rPr>
            <w:t>©</w:t>
          </w:r>
          <w:r>
            <w:t xml:space="preserve"> Commonwealth of Australia [add year]</w:t>
          </w:r>
        </w:p>
        <w:p w:rsidR="00165389" w:rsidRDefault="00165389" w:rsidP="006E08B3">
          <w:pPr>
            <w:pStyle w:val="Footer"/>
          </w:pPr>
        </w:p>
        <w:p w:rsidR="00165389" w:rsidRDefault="00165389"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5389" w:rsidRDefault="00165389" w:rsidP="006E08B3">
          <w:pPr>
            <w:pStyle w:val="Footer"/>
          </w:pPr>
        </w:p>
        <w:p w:rsidR="00165389" w:rsidRDefault="00165389" w:rsidP="006E08B3">
          <w:pPr>
            <w:pStyle w:val="Heading3"/>
            <w:spacing w:after="0"/>
            <w:outlineLvl w:val="2"/>
          </w:pPr>
          <w:r>
            <w:t>Confidentiality</w:t>
          </w:r>
        </w:p>
        <w:p w:rsidR="00165389" w:rsidRDefault="00165389"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5389" w:rsidRDefault="00165389" w:rsidP="006E08B3">
          <w:pPr>
            <w:pStyle w:val="Footer"/>
          </w:pPr>
        </w:p>
        <w:p w:rsidR="00165389" w:rsidRDefault="00165389" w:rsidP="006E08B3">
          <w:pPr>
            <w:pStyle w:val="Footer"/>
          </w:pPr>
          <w:r>
            <w:t>For submission made by individuals, all personal details, other than your name, will be removed from your submission before it is published on the TGA’s Internet site.</w:t>
          </w:r>
        </w:p>
        <w:p w:rsidR="00165389" w:rsidRDefault="00165389" w:rsidP="006E08B3">
          <w:pPr>
            <w:pStyle w:val="Footer"/>
          </w:pPr>
        </w:p>
        <w:p w:rsidR="00165389" w:rsidRDefault="00165389"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65389" w:rsidTr="0010601F">
      <w:trPr>
        <w:trHeight w:val="417"/>
      </w:trPr>
      <w:tc>
        <w:tcPr>
          <w:tcW w:w="4519" w:type="dxa"/>
          <w:tcBorders>
            <w:top w:val="single" w:sz="4" w:space="0" w:color="auto"/>
          </w:tcBorders>
          <w:tcMar>
            <w:top w:w="142" w:type="dxa"/>
            <w:bottom w:w="0" w:type="dxa"/>
          </w:tcMar>
        </w:tcPr>
        <w:p w:rsidR="00165389" w:rsidRDefault="00165389" w:rsidP="006E08B3">
          <w:pPr>
            <w:pStyle w:val="Footer"/>
          </w:pPr>
          <w:r>
            <w:t>Document title, Part #, Section # - Section title</w:t>
          </w:r>
        </w:p>
        <w:p w:rsidR="00165389" w:rsidRDefault="00165389" w:rsidP="006E08B3">
          <w:pPr>
            <w:pStyle w:val="Footer"/>
          </w:pPr>
          <w:r>
            <w:t>V1.0 October 2010</w:t>
          </w:r>
        </w:p>
      </w:tc>
      <w:tc>
        <w:tcPr>
          <w:tcW w:w="4356" w:type="dxa"/>
          <w:tcBorders>
            <w:top w:val="single" w:sz="4" w:space="0" w:color="auto"/>
          </w:tcBorders>
          <w:tcMar>
            <w:top w:w="142" w:type="dxa"/>
            <w:bottom w:w="0" w:type="dxa"/>
          </w:tcMar>
        </w:tcPr>
        <w:p w:rsidR="00165389" w:rsidRDefault="00165389" w:rsidP="006E08B3">
          <w:pPr>
            <w:pStyle w:val="Footer"/>
            <w:jc w:val="right"/>
          </w:pPr>
          <w:r>
            <w:t xml:space="preserve">Page </w:t>
          </w:r>
          <w:fldSimple w:instr=" PAGE   \* MERGEFORMAT ">
            <w:r>
              <w:rPr>
                <w:noProof/>
              </w:rPr>
              <w:t>11</w:t>
            </w:r>
          </w:fldSimple>
          <w:r>
            <w:t xml:space="preserve"> of </w:t>
          </w:r>
          <w:fldSimple w:instr=" NUMPAGES  \* Arabic ">
            <w:r w:rsidR="009C390D">
              <w:rPr>
                <w:noProof/>
              </w:rPr>
              <w:t>4</w:t>
            </w:r>
          </w:fldSimple>
          <w:r>
            <w:t xml:space="preserve">  </w:t>
          </w:r>
        </w:p>
      </w:tc>
    </w:tr>
  </w:tbl>
  <w:p w:rsidR="00165389" w:rsidRDefault="00165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C32" w:rsidRDefault="003D0C32" w:rsidP="00C40A36">
      <w:pPr>
        <w:spacing w:after="0"/>
      </w:pPr>
      <w:r>
        <w:separator/>
      </w:r>
    </w:p>
  </w:footnote>
  <w:footnote w:type="continuationSeparator" w:id="0">
    <w:p w:rsidR="003D0C32" w:rsidRDefault="003D0C32" w:rsidP="00C40A36">
      <w:pPr>
        <w:spacing w:after="0"/>
      </w:pPr>
      <w:r>
        <w:continuationSeparator/>
      </w:r>
    </w:p>
  </w:footnote>
  <w:footnote w:id="1">
    <w:p w:rsidR="00FA1C2B" w:rsidRDefault="00FA1C2B" w:rsidP="00996415">
      <w:pPr>
        <w:pStyle w:val="FootnoteText"/>
      </w:pPr>
      <w:r w:rsidRPr="00FA1C2B">
        <w:rPr>
          <w:rStyle w:val="FootnoteReference"/>
          <w:rFonts w:ascii="Cambria" w:eastAsiaTheme="majorEastAsia" w:hAnsi="Cambria"/>
          <w:sz w:val="20"/>
        </w:rPr>
        <w:footnoteRef/>
      </w:r>
      <w:r>
        <w:t xml:space="preserve"> </w:t>
      </w:r>
      <w:hyperlink r:id="rId1" w:history="1">
        <w:r>
          <w:rPr>
            <w:rStyle w:val="Hyperlink"/>
            <w:rFonts w:eastAsiaTheme="majorEastAsia"/>
          </w:rPr>
          <w:t>http://www.tg</w:t>
        </w:r>
        <w:bookmarkStart w:id="1" w:name="_Hlt75051915"/>
        <w:r>
          <w:rPr>
            <w:rStyle w:val="Hyperlink"/>
            <w:rFonts w:eastAsiaTheme="majorEastAsia"/>
          </w:rPr>
          <w:t>a</w:t>
        </w:r>
        <w:bookmarkEnd w:id="1"/>
        <w:r>
          <w:rPr>
            <w:rStyle w:val="Hyperlink"/>
            <w:rFonts w:eastAsiaTheme="majorEastAsia"/>
          </w:rPr>
          <w:t>.gov.au/med</w:t>
        </w:r>
        <w:bookmarkStart w:id="2" w:name="_Hlt75052021"/>
        <w:r>
          <w:rPr>
            <w:rStyle w:val="Hyperlink"/>
            <w:rFonts w:eastAsiaTheme="majorEastAsia"/>
          </w:rPr>
          <w:t>s</w:t>
        </w:r>
        <w:bookmarkEnd w:id="2"/>
        <w:r>
          <w:rPr>
            <w:rStyle w:val="Hyperlink"/>
            <w:rFonts w:eastAsiaTheme="majorEastAsia"/>
          </w:rPr>
          <w:t>/colourings.pdf</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FA4" w:rsidRDefault="00857F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25"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857F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26"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165389" w:rsidTr="00FA5B82">
      <w:trPr>
        <w:trHeight w:hRule="exact" w:val="193"/>
      </w:trPr>
      <w:tc>
        <w:tcPr>
          <w:tcW w:w="9057" w:type="dxa"/>
        </w:tcPr>
        <w:p w:rsidR="00165389" w:rsidRDefault="00857FA4"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24" o:spid="_x0000_s18434" type="#_x0000_t136" style="position:absolute;margin-left:0;margin-top:0;width:524.45pt;height:74.9pt;rotation:315;z-index:251661312;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165389" w:rsidTr="00FA5B82">
      <w:trPr>
        <w:trHeight w:hRule="exact" w:val="2693"/>
      </w:trPr>
      <w:tc>
        <w:tcPr>
          <w:tcW w:w="9057" w:type="dxa"/>
        </w:tcPr>
        <w:p w:rsidR="00165389" w:rsidRPr="00DE02AE" w:rsidRDefault="00165389"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165389" w:rsidRDefault="00165389"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-1072102</wp:posOffset>
          </wp:positionH>
          <wp:positionV relativeFrom="paragraph">
            <wp:posOffset>1854973</wp:posOffset>
          </wp:positionV>
          <wp:extent cx="7549538" cy="2434727"/>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38" cy="2434727"/>
                  </a:xfrm>
                  <a:prstGeom prst="rect">
                    <a:avLst/>
                  </a:prstGeom>
                </pic:spPr>
              </pic:pic>
            </a:graphicData>
          </a:graphic>
        </wp:anchor>
      </w:drawing>
    </w:r>
    <w:r w:rsidR="007F3816">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857F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28"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857F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29"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857F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27"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857F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31"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857FA4"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32"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857FA4"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330"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p w:rsidR="00165389" w:rsidRDefault="00165389"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4D24BD"/>
    <w:rsid w:val="00002031"/>
    <w:rsid w:val="00004734"/>
    <w:rsid w:val="00006B22"/>
    <w:rsid w:val="000246AE"/>
    <w:rsid w:val="00025C67"/>
    <w:rsid w:val="0005559E"/>
    <w:rsid w:val="000B3532"/>
    <w:rsid w:val="000D391B"/>
    <w:rsid w:val="000D3D6D"/>
    <w:rsid w:val="000D4FC7"/>
    <w:rsid w:val="000F4869"/>
    <w:rsid w:val="000F6E6F"/>
    <w:rsid w:val="0010601F"/>
    <w:rsid w:val="00110EA5"/>
    <w:rsid w:val="001305A2"/>
    <w:rsid w:val="0014197B"/>
    <w:rsid w:val="001447CD"/>
    <w:rsid w:val="001516B1"/>
    <w:rsid w:val="00156316"/>
    <w:rsid w:val="00165389"/>
    <w:rsid w:val="0017693F"/>
    <w:rsid w:val="0018110E"/>
    <w:rsid w:val="00181684"/>
    <w:rsid w:val="001843C6"/>
    <w:rsid w:val="001B09F9"/>
    <w:rsid w:val="001B6448"/>
    <w:rsid w:val="001E59F1"/>
    <w:rsid w:val="001F49EB"/>
    <w:rsid w:val="00201D4E"/>
    <w:rsid w:val="002257F3"/>
    <w:rsid w:val="00233456"/>
    <w:rsid w:val="002339A5"/>
    <w:rsid w:val="0025267F"/>
    <w:rsid w:val="00286C59"/>
    <w:rsid w:val="002942D1"/>
    <w:rsid w:val="002A5E52"/>
    <w:rsid w:val="002B1638"/>
    <w:rsid w:val="002C2FF6"/>
    <w:rsid w:val="002E4C9A"/>
    <w:rsid w:val="002F3F56"/>
    <w:rsid w:val="002F44B5"/>
    <w:rsid w:val="00311AC0"/>
    <w:rsid w:val="003521E8"/>
    <w:rsid w:val="003728F3"/>
    <w:rsid w:val="003B7E39"/>
    <w:rsid w:val="003C58DC"/>
    <w:rsid w:val="003D0C32"/>
    <w:rsid w:val="003F0B04"/>
    <w:rsid w:val="0040134E"/>
    <w:rsid w:val="00440A2D"/>
    <w:rsid w:val="004564A7"/>
    <w:rsid w:val="00494E60"/>
    <w:rsid w:val="004D24BD"/>
    <w:rsid w:val="004F0F38"/>
    <w:rsid w:val="00501921"/>
    <w:rsid w:val="0051520F"/>
    <w:rsid w:val="005434C6"/>
    <w:rsid w:val="00550096"/>
    <w:rsid w:val="00576378"/>
    <w:rsid w:val="00585322"/>
    <w:rsid w:val="00593AD1"/>
    <w:rsid w:val="005C5570"/>
    <w:rsid w:val="005C79A4"/>
    <w:rsid w:val="005D5442"/>
    <w:rsid w:val="00640FC3"/>
    <w:rsid w:val="0065419D"/>
    <w:rsid w:val="00664A5B"/>
    <w:rsid w:val="00685ACA"/>
    <w:rsid w:val="006931B1"/>
    <w:rsid w:val="006A15C0"/>
    <w:rsid w:val="006C642F"/>
    <w:rsid w:val="006D03E5"/>
    <w:rsid w:val="006D5D3E"/>
    <w:rsid w:val="006E08B3"/>
    <w:rsid w:val="006F572E"/>
    <w:rsid w:val="007046D6"/>
    <w:rsid w:val="0074253D"/>
    <w:rsid w:val="0074429B"/>
    <w:rsid w:val="007615BC"/>
    <w:rsid w:val="00762F05"/>
    <w:rsid w:val="007652FF"/>
    <w:rsid w:val="00773EF7"/>
    <w:rsid w:val="00793A59"/>
    <w:rsid w:val="007B73C0"/>
    <w:rsid w:val="007F3816"/>
    <w:rsid w:val="00821776"/>
    <w:rsid w:val="008321F5"/>
    <w:rsid w:val="00832369"/>
    <w:rsid w:val="00834660"/>
    <w:rsid w:val="00836BC2"/>
    <w:rsid w:val="0085641B"/>
    <w:rsid w:val="00857FA4"/>
    <w:rsid w:val="008A2B9D"/>
    <w:rsid w:val="008B4B03"/>
    <w:rsid w:val="008C159F"/>
    <w:rsid w:val="008C1623"/>
    <w:rsid w:val="008F1CCC"/>
    <w:rsid w:val="008F2967"/>
    <w:rsid w:val="00920330"/>
    <w:rsid w:val="009219D7"/>
    <w:rsid w:val="00922D53"/>
    <w:rsid w:val="00923B70"/>
    <w:rsid w:val="00930237"/>
    <w:rsid w:val="009531CC"/>
    <w:rsid w:val="00963C08"/>
    <w:rsid w:val="00996415"/>
    <w:rsid w:val="009A4CED"/>
    <w:rsid w:val="009B1D12"/>
    <w:rsid w:val="009B416B"/>
    <w:rsid w:val="009C390D"/>
    <w:rsid w:val="009C4BD5"/>
    <w:rsid w:val="009E3FBB"/>
    <w:rsid w:val="00A11E5A"/>
    <w:rsid w:val="00A14DF7"/>
    <w:rsid w:val="00A3246D"/>
    <w:rsid w:val="00A33106"/>
    <w:rsid w:val="00A36FA7"/>
    <w:rsid w:val="00A47AF7"/>
    <w:rsid w:val="00A47C3E"/>
    <w:rsid w:val="00A50226"/>
    <w:rsid w:val="00AC2B40"/>
    <w:rsid w:val="00AC2BB2"/>
    <w:rsid w:val="00AE65EB"/>
    <w:rsid w:val="00AF1D94"/>
    <w:rsid w:val="00B009C6"/>
    <w:rsid w:val="00B01548"/>
    <w:rsid w:val="00B25034"/>
    <w:rsid w:val="00B33863"/>
    <w:rsid w:val="00B4175E"/>
    <w:rsid w:val="00B54C25"/>
    <w:rsid w:val="00B76B91"/>
    <w:rsid w:val="00BB6F77"/>
    <w:rsid w:val="00BB7E38"/>
    <w:rsid w:val="00BC622A"/>
    <w:rsid w:val="00BE0A78"/>
    <w:rsid w:val="00BE79F0"/>
    <w:rsid w:val="00BF046D"/>
    <w:rsid w:val="00C404A6"/>
    <w:rsid w:val="00C40A36"/>
    <w:rsid w:val="00C45E7B"/>
    <w:rsid w:val="00C6316B"/>
    <w:rsid w:val="00C634A9"/>
    <w:rsid w:val="00C772FF"/>
    <w:rsid w:val="00C801AF"/>
    <w:rsid w:val="00CB6BC0"/>
    <w:rsid w:val="00CC727F"/>
    <w:rsid w:val="00CF15C3"/>
    <w:rsid w:val="00CF2B6F"/>
    <w:rsid w:val="00D017ED"/>
    <w:rsid w:val="00D224FE"/>
    <w:rsid w:val="00D628CA"/>
    <w:rsid w:val="00D6493E"/>
    <w:rsid w:val="00DA1124"/>
    <w:rsid w:val="00DE02AE"/>
    <w:rsid w:val="00DF1D7F"/>
    <w:rsid w:val="00E02FB4"/>
    <w:rsid w:val="00E20571"/>
    <w:rsid w:val="00E239D4"/>
    <w:rsid w:val="00E40B22"/>
    <w:rsid w:val="00E4588F"/>
    <w:rsid w:val="00EB0798"/>
    <w:rsid w:val="00EB586E"/>
    <w:rsid w:val="00F04F68"/>
    <w:rsid w:val="00F12670"/>
    <w:rsid w:val="00F14B27"/>
    <w:rsid w:val="00F35298"/>
    <w:rsid w:val="00F47E37"/>
    <w:rsid w:val="00F80E40"/>
    <w:rsid w:val="00FA1C2B"/>
    <w:rsid w:val="00FA5B82"/>
    <w:rsid w:val="00FA639E"/>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semiHidden/>
    <w:rsid w:val="00FA1C2B"/>
    <w:rPr>
      <w:rFonts w:ascii="Cambria" w:hAnsi="Cambria"/>
      <w:color w:val="0000FF"/>
      <w:sz w:val="20"/>
      <w:u w:val="single"/>
    </w:rPr>
  </w:style>
  <w:style w:type="character" w:styleId="FootnoteReference">
    <w:name w:val="footnote reference"/>
    <w:semiHidden/>
    <w:rsid w:val="009C390D"/>
    <w:rPr>
      <w:rFonts w:ascii="Arial" w:hAnsi="Arial"/>
      <w:dstrike w:val="0"/>
      <w:sz w:val="24"/>
      <w:vertAlign w:val="superscript"/>
    </w:rPr>
  </w:style>
  <w:style w:type="paragraph" w:styleId="FootnoteText">
    <w:name w:val="footnote text"/>
    <w:basedOn w:val="Normal"/>
    <w:link w:val="FootnoteTextChar"/>
    <w:semiHidden/>
    <w:rsid w:val="009C390D"/>
    <w:pPr>
      <w:tabs>
        <w:tab w:val="left" w:pos="851"/>
        <w:tab w:val="left" w:pos="7655"/>
        <w:tab w:val="left" w:pos="8928"/>
        <w:tab w:val="right" w:pos="10656"/>
      </w:tabs>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9C390D"/>
    <w:rPr>
      <w:rFonts w:ascii="Arial" w:eastAsia="Times New Roman" w:hAnsi="Arial" w:cs="Times New Roman"/>
      <w:sz w:val="20"/>
      <w:szCs w:val="20"/>
      <w:lang w:eastAsia="en-AU"/>
    </w:rPr>
  </w:style>
</w:styles>
</file>

<file path=word/webSettings.xml><?xml version="1.0" encoding="utf-8"?>
<w:webSettings xmlns:r="http://schemas.openxmlformats.org/officeDocument/2006/relationships" xmlns:w="http://schemas.openxmlformats.org/wordprocessingml/2006/main">
  <w:divs>
    <w:div w:id="645933544">
      <w:bodyDiv w:val="1"/>
      <w:marLeft w:val="0"/>
      <w:marRight w:val="0"/>
      <w:marTop w:val="0"/>
      <w:marBottom w:val="0"/>
      <w:divBdr>
        <w:top w:val="none" w:sz="0" w:space="0" w:color="auto"/>
        <w:left w:val="none" w:sz="0" w:space="0" w:color="auto"/>
        <w:bottom w:val="none" w:sz="0" w:space="0" w:color="auto"/>
        <w:right w:val="none" w:sz="0" w:space="0" w:color="auto"/>
      </w:divBdr>
    </w:div>
    <w:div w:id="757672565">
      <w:bodyDiv w:val="1"/>
      <w:marLeft w:val="0"/>
      <w:marRight w:val="0"/>
      <w:marTop w:val="0"/>
      <w:marBottom w:val="0"/>
      <w:divBdr>
        <w:top w:val="none" w:sz="0" w:space="0" w:color="auto"/>
        <w:left w:val="none" w:sz="0" w:space="0" w:color="auto"/>
        <w:bottom w:val="none" w:sz="0" w:space="0" w:color="auto"/>
        <w:right w:val="none" w:sz="0" w:space="0" w:color="auto"/>
      </w:divBdr>
    </w:div>
    <w:div w:id="1169176903">
      <w:bodyDiv w:val="1"/>
      <w:marLeft w:val="0"/>
      <w:marRight w:val="0"/>
      <w:marTop w:val="0"/>
      <w:marBottom w:val="0"/>
      <w:divBdr>
        <w:top w:val="none" w:sz="0" w:space="0" w:color="auto"/>
        <w:left w:val="none" w:sz="0" w:space="0" w:color="auto"/>
        <w:bottom w:val="none" w:sz="0" w:space="0" w:color="auto"/>
        <w:right w:val="none" w:sz="0" w:space="0" w:color="auto"/>
      </w:divBdr>
    </w:div>
    <w:div w:id="122861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tga.gov.au/industry/cm-colourings-oral-use.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02041-51CD-4CF3-B227-CE53854CD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4</TotalTime>
  <Pages>4</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22: Colourings permitted in medicines for oral use</dc:title>
  <dc:subject>prescription medicines regulation</dc:subject>
  <dc:creator>Therapeutic Goods Administration</dc:creator>
  <cp:keywords>prescription, medicine, regulation, australia</cp:keywords>
  <cp:lastModifiedBy>Wrigley, Andrew</cp:lastModifiedBy>
  <cp:revision>5</cp:revision>
  <dcterms:created xsi:type="dcterms:W3CDTF">2011-03-30T05:36:00Z</dcterms:created>
  <dcterms:modified xsi:type="dcterms:W3CDTF">2013-08-05T03:39:00Z</dcterms:modified>
  <cp:category>External Guidelines</cp:category>
</cp:coreProperties>
</file>