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header8.xml" ContentType="application/vnd.openxmlformats-officedocument.wordprocessingml.header+xml"/>
  <Override PartName="/word/footer5.xml" ContentType="application/vnd.openxmlformats-officedocument.wordprocessingml.footer+xml"/>
  <Override PartName="/word/header9.xml" ContentType="application/vnd.openxmlformats-officedocument.wordprocessingml.head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1.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TableGrid"/>
        <w:tblW w:w="877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8777"/>
      </w:tblGrid>
      <w:tr w:rsidR="00DE02AE" w:rsidRPr="00DE02AE" w:rsidTr="00FA5B82">
        <w:trPr>
          <w:trHeight w:val="2763"/>
        </w:trPr>
        <w:tc>
          <w:tcPr>
            <w:tcW w:w="8777" w:type="dxa"/>
          </w:tcPr>
          <w:p w:rsidR="00DE02AE" w:rsidRDefault="00247F7A" w:rsidP="0014197B">
            <w:pPr>
              <w:pStyle w:val="Title"/>
            </w:pPr>
            <w:r>
              <w:t xml:space="preserve">Australian regulatory guidelines for prescription medicines </w:t>
            </w:r>
          </w:p>
          <w:p w:rsidR="006C642F" w:rsidRPr="00DE02AE" w:rsidRDefault="00D43201" w:rsidP="00B76B91">
            <w:pPr>
              <w:pStyle w:val="Subtitle"/>
            </w:pPr>
            <w:r w:rsidRPr="00D43201">
              <w:t>Appendix 2: Fees and charges</w:t>
            </w:r>
          </w:p>
        </w:tc>
      </w:tr>
      <w:tr w:rsidR="00DE02AE" w:rsidRPr="00DE02AE" w:rsidTr="00DE02AE">
        <w:trPr>
          <w:trHeight w:val="1197"/>
        </w:trPr>
        <w:tc>
          <w:tcPr>
            <w:tcW w:w="8777" w:type="dxa"/>
          </w:tcPr>
          <w:p w:rsidR="00DE02AE" w:rsidRPr="0014197B" w:rsidRDefault="00C54B44" w:rsidP="006C642F">
            <w:pPr>
              <w:pStyle w:val="Date"/>
            </w:pPr>
            <w:r>
              <w:t>June 2004</w:t>
            </w:r>
          </w:p>
        </w:tc>
      </w:tr>
      <w:tr w:rsidR="00DE02AE" w:rsidRPr="00DE02AE" w:rsidTr="00576378">
        <w:trPr>
          <w:trHeight w:val="682"/>
        </w:trPr>
        <w:tc>
          <w:tcPr>
            <w:tcW w:w="8777" w:type="dxa"/>
          </w:tcPr>
          <w:p w:rsidR="00DE02AE" w:rsidRPr="00DE02AE" w:rsidRDefault="00DE02AE" w:rsidP="00DF1D7F">
            <w:pPr>
              <w:pStyle w:val="Date"/>
            </w:pPr>
            <w:r>
              <w:rPr>
                <w:noProof/>
                <w:lang w:eastAsia="en-AU"/>
              </w:rPr>
              <w:drawing>
                <wp:inline distT="0" distB="0" distL="0" distR="0">
                  <wp:extent cx="1573015" cy="323850"/>
                  <wp:effectExtent l="19050" t="0" r="8135" b="0"/>
                  <wp:docPr id="16" name="Picture 15" descr="TGA_Logo_Colou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GA_Logo_Colour.jpg"/>
                          <pic:cNvPicPr/>
                        </pic:nvPicPr>
                        <pic:blipFill>
                          <a:blip r:embed="rId8" cstate="print"/>
                          <a:stretch>
                            <a:fillRect/>
                          </a:stretch>
                        </pic:blipFill>
                        <pic:spPr>
                          <a:xfrm>
                            <a:off x="0" y="0"/>
                            <a:ext cx="1582798" cy="325864"/>
                          </a:xfrm>
                          <a:prstGeom prst="rect">
                            <a:avLst/>
                          </a:prstGeom>
                        </pic:spPr>
                      </pic:pic>
                    </a:graphicData>
                  </a:graphic>
                </wp:inline>
              </w:drawing>
            </w:r>
          </w:p>
        </w:tc>
      </w:tr>
    </w:tbl>
    <w:p w:rsidR="00576378" w:rsidRDefault="00576378" w:rsidP="00593AD1"/>
    <w:p w:rsidR="006F572E" w:rsidRDefault="00FE1DEE" w:rsidP="00B01548">
      <w:pPr>
        <w:pStyle w:val="NonTOCHeading2"/>
      </w:pPr>
      <w:r w:rsidRPr="00B01548">
        <w:lastRenderedPageBreak/>
        <w:t>About</w:t>
      </w:r>
      <w:r>
        <w:t xml:space="preserve"> the Therapeutic Goods Administration (TGA)</w:t>
      </w:r>
    </w:p>
    <w:p w:rsidR="00FE1DEE" w:rsidRDefault="00FE1DEE" w:rsidP="00C54B44">
      <w:pPr>
        <w:pStyle w:val="ListBullet"/>
      </w:pPr>
      <w:r>
        <w:t xml:space="preserve">The TGA is a division of the Australian Government Department of Health and </w:t>
      </w:r>
      <w:r w:rsidRPr="007652FF">
        <w:t>Ageing</w:t>
      </w:r>
      <w:r>
        <w:t xml:space="preserve">, and is responsible for regulating </w:t>
      </w:r>
      <w:r w:rsidR="008C6E94">
        <w:t>medicines</w:t>
      </w:r>
      <w:r>
        <w:t xml:space="preserve"> and medical devices.</w:t>
      </w:r>
    </w:p>
    <w:p w:rsidR="007652FF" w:rsidRDefault="007652FF" w:rsidP="00C54B44">
      <w:pPr>
        <w:pStyle w:val="ListBullet"/>
      </w:pPr>
      <w:r>
        <w:t>TGA administers the Therapeutic Goods Act 1989 (the Act), applying a risk management approach designed to ensure therapeutic goods supplied in Australia meet acceptable standards of quality, safety and efficacy (performance), when necessary.</w:t>
      </w:r>
    </w:p>
    <w:p w:rsidR="008C159F" w:rsidRDefault="008C159F" w:rsidP="00C54B44">
      <w:pPr>
        <w:pStyle w:val="ListBullet"/>
      </w:pPr>
      <w:r>
        <w:t>The work of the TGA is based on applying scientific and clinical expertise to decision-making, to ensure that the benefits to consumers outweigh any risks associated with the use of medicines and medical devices.</w:t>
      </w:r>
    </w:p>
    <w:p w:rsidR="008C159F" w:rsidRDefault="008C159F" w:rsidP="00C54B44">
      <w:pPr>
        <w:pStyle w:val="ListBullet"/>
      </w:pPr>
      <w:r>
        <w:t>The TGA relies on the public, healthcare professionals and industry to report problems with medicines or medical devices. TGA investigates reports received by it to determine any necessary regulatory action.</w:t>
      </w:r>
    </w:p>
    <w:p w:rsidR="001A4289" w:rsidRDefault="008C159F" w:rsidP="001A4289">
      <w:pPr>
        <w:pStyle w:val="ListBullet"/>
      </w:pPr>
      <w:r>
        <w:t>To report a problem with a medicine or medical device, please see the information on the TGA website.</w:t>
      </w:r>
    </w:p>
    <w:p w:rsidR="001A4289" w:rsidRDefault="001A4289" w:rsidP="001A4289">
      <w:pPr>
        <w:pStyle w:val="ListBullet"/>
        <w:numPr>
          <w:ilvl w:val="0"/>
          <w:numId w:val="0"/>
        </w:numPr>
        <w:ind w:left="284" w:hanging="284"/>
        <w:sectPr w:rsidR="001A4289" w:rsidSect="00576378">
          <w:headerReference w:type="even" r:id="rId9"/>
          <w:headerReference w:type="default" r:id="rId10"/>
          <w:footerReference w:type="default" r:id="rId11"/>
          <w:headerReference w:type="first" r:id="rId12"/>
          <w:footerReference w:type="first" r:id="rId13"/>
          <w:pgSz w:w="11906" w:h="16838" w:code="9"/>
          <w:pgMar w:top="2211" w:right="1701" w:bottom="0" w:left="1701" w:header="907" w:footer="142" w:gutter="0"/>
          <w:cols w:space="708"/>
          <w:titlePg/>
          <w:docGrid w:linePitch="360"/>
        </w:sectPr>
      </w:pPr>
    </w:p>
    <w:p w:rsidR="00B745F8" w:rsidRDefault="008D381C" w:rsidP="008D381C">
      <w:pPr>
        <w:pStyle w:val="Heading1"/>
      </w:pPr>
      <w:r>
        <w:lastRenderedPageBreak/>
        <w:t>A</w:t>
      </w:r>
      <w:r w:rsidR="00B745F8">
        <w:t xml:space="preserve">ppendix 2: </w:t>
      </w:r>
      <w:r w:rsidR="00D43201">
        <w:t>F</w:t>
      </w:r>
      <w:r w:rsidR="00B745F8">
        <w:t>ees and charges</w:t>
      </w:r>
    </w:p>
    <w:p w:rsidR="00B011EF" w:rsidRDefault="00B745F8" w:rsidP="00B745F8">
      <w:r>
        <w:t xml:space="preserve">Sponsors of medicines evaluated by the Drug Safety and Evaluation Branch (DSEB) for registration, or variation of registration, are required to pay processing and/or evaluation fees as appropriate. </w:t>
      </w:r>
    </w:p>
    <w:p w:rsidR="00B011EF" w:rsidRDefault="00B745F8" w:rsidP="00B745F8">
      <w:r>
        <w:t>Fees will vary according to the type of evaluation undertaken (new chemical entity, extension of indications, generic application etc) and are on a "per submission basis". A submission is one or more applications from the same sponsor, with the same active ingredient, submitted at the same time. A concomitant application from, or on behalf of, another sponsor is a separate submission.</w:t>
      </w:r>
    </w:p>
    <w:p w:rsidR="00B011EF" w:rsidRDefault="00B745F8" w:rsidP="00B745F8">
      <w:r>
        <w:t xml:space="preserve">The active ingredient is the therapeutically active component in a medicine’s final formulation that is responsible for its physiological or pharmacological action. </w:t>
      </w:r>
    </w:p>
    <w:p w:rsidR="00B011EF" w:rsidRDefault="00B745F8" w:rsidP="00B745F8">
      <w:r>
        <w:t xml:space="preserve">A list of fees is included in Schedule 9 of the </w:t>
      </w:r>
      <w:r>
        <w:rPr>
          <w:i/>
        </w:rPr>
        <w:t>Therapeutic Goods Regulations</w:t>
      </w:r>
      <w:r>
        <w:t xml:space="preserve">. A list of charges can be found in the </w:t>
      </w:r>
      <w:r>
        <w:rPr>
          <w:i/>
        </w:rPr>
        <w:t>Therapeutic Goods (Charges) Regulations</w:t>
      </w:r>
      <w:r>
        <w:t>. These fees may change from time to time. A detailed description of the fees and charges applicable to products evaluated by the DSEB is also available from the Therapeutic Goods Administration (TGA) website</w:t>
      </w:r>
      <w:r w:rsidR="008C6E94" w:rsidRPr="008C6E94">
        <w:rPr>
          <w:rStyle w:val="FootnoteReference"/>
          <w:rFonts w:ascii="Cambria" w:hAnsi="Cambria"/>
          <w:sz w:val="20"/>
        </w:rPr>
        <w:footnoteReference w:id="1"/>
      </w:r>
      <w:r>
        <w:t>.</w:t>
      </w:r>
    </w:p>
    <w:p w:rsidR="00B011EF" w:rsidRDefault="00B745F8" w:rsidP="00B745F8">
      <w:r>
        <w:t>Requests for the waiving evaluation fees can only be considered within the provisions of the Orphan Drug Program.</w:t>
      </w:r>
    </w:p>
    <w:p w:rsidR="00B011EF" w:rsidRDefault="00B745F8" w:rsidP="00B745F8">
      <w:r>
        <w:t>The fee for submissions involving applications associated with different fee categories will be the maximum individual fee.</w:t>
      </w:r>
    </w:p>
    <w:p w:rsidR="00B011EF" w:rsidRDefault="00B745F8" w:rsidP="00B745F8">
      <w:r w:rsidRPr="00B011EF">
        <w:rPr>
          <w:rStyle w:val="Strong"/>
        </w:rPr>
        <w:t>Category 1 and 2 applications:</w:t>
      </w:r>
      <w:r>
        <w:t xml:space="preserve"> 75% of the evaluation fee is be payable when the application is submitted. Payment of this part of the evaluation fee is required within two months of the sponsor being advised of the amount, or the application will lapse. </w:t>
      </w:r>
      <w:r>
        <w:rPr>
          <w:snapToGrid w:val="0"/>
        </w:rPr>
        <w:t>Where the total fee payable for the evaluation is greater than $100,000, the submission may be submitted without payment, and an invoice for 75% of the fee will be sent after screening. In either case, t</w:t>
      </w:r>
      <w:r>
        <w:t xml:space="preserve">he remaining 25% of the evaluation fee is payable upon completion of the evaluation, whether approved or rejected, but only where the evaluation has been completed within the statutory time period (see Section 3.5.1 of the </w:t>
      </w:r>
      <w:r>
        <w:rPr>
          <w:i/>
        </w:rPr>
        <w:t>Australian Regulatory Guidelines for Prescription Medicines, ARGPM</w:t>
      </w:r>
      <w:r>
        <w:t xml:space="preserve">).  An invoice for the remaining fee will be sent to the sponsor. </w:t>
      </w:r>
    </w:p>
    <w:p w:rsidR="00B011EF" w:rsidRDefault="00B745F8" w:rsidP="00B745F8">
      <w:r>
        <w:t xml:space="preserve">If the application is withdrawn or rejected before it is accepted for evaluation, a screening fee applies (see TGA website for details of current screening fees).  </w:t>
      </w:r>
    </w:p>
    <w:p w:rsidR="00B011EF" w:rsidRDefault="00B745F8" w:rsidP="00B745F8">
      <w:r w:rsidRPr="00B011EF">
        <w:rPr>
          <w:rStyle w:val="Strong"/>
        </w:rPr>
        <w:t>Category 3 applications:</w:t>
      </w:r>
      <w:r>
        <w:t xml:space="preserve"> 100% of the evaluation fee, must accompany the application.</w:t>
      </w:r>
    </w:p>
    <w:p w:rsidR="00B011EF" w:rsidRDefault="00B745F8" w:rsidP="00B745F8">
      <w:r w:rsidRPr="00B011EF">
        <w:rPr>
          <w:rStyle w:val="Strong"/>
        </w:rPr>
        <w:t>Notifications:</w:t>
      </w:r>
      <w:r>
        <w:t xml:space="preserve"> For safety-related notifications, self-assessable notifications and other notifications, the processing fee must accompany the notification.</w:t>
      </w:r>
    </w:p>
    <w:p w:rsidR="00B011EF" w:rsidRDefault="00B745F8" w:rsidP="00B745F8">
      <w:r w:rsidRPr="00B011EF">
        <w:rPr>
          <w:rStyle w:val="Strong"/>
        </w:rPr>
        <w:t>Annual charges:</w:t>
      </w:r>
      <w:r>
        <w:t xml:space="preserve"> An annual charge is payable for maintaining registration in the Australian Register of Therapeutic Goods (ARTG). There are two levels of annual charges based on whether the product is of biological or non-biological origin.</w:t>
      </w:r>
    </w:p>
    <w:p w:rsidR="00B011EF" w:rsidRDefault="00B745F8" w:rsidP="00B745F8">
      <w:r>
        <w:t xml:space="preserve">The annual fee is not payable for </w:t>
      </w:r>
      <w:r>
        <w:rPr>
          <w:i/>
        </w:rPr>
        <w:t>low volume, low value</w:t>
      </w:r>
      <w:r>
        <w:t xml:space="preserve"> products.  To be eligible for an exemption from the annual charge, a sponsor must apply to the TGA, providing a declaration that the wholesale turnover is low volume and low value. There is a non-refundable application fee per registration or listing to apply for a declaration that a product is low volume and low value.</w:t>
      </w:r>
    </w:p>
    <w:p w:rsidR="00B011EF" w:rsidRDefault="00B745F8" w:rsidP="00B745F8">
      <w:pPr>
        <w:pStyle w:val="Heading2"/>
      </w:pPr>
      <w:r>
        <w:lastRenderedPageBreak/>
        <w:t>Fee categories</w:t>
      </w:r>
    </w:p>
    <w:p w:rsidR="00B011EF" w:rsidRDefault="00680255" w:rsidP="00B745F8">
      <w:pPr>
        <w:pStyle w:val="Heading3"/>
      </w:pPr>
      <w:r>
        <w:t xml:space="preserve">1.  </w:t>
      </w:r>
      <w:r w:rsidR="00B745F8">
        <w:t>New Chemical Entity</w:t>
      </w:r>
    </w:p>
    <w:p w:rsidR="00B011EF" w:rsidRDefault="00B745F8" w:rsidP="00B745F8">
      <w:r>
        <w:t>A new chemical entity is defined in Schedule 9 of the Regulations as:</w:t>
      </w:r>
    </w:p>
    <w:p w:rsidR="00B745F8" w:rsidRPr="00C54B44" w:rsidRDefault="00B745F8" w:rsidP="00C54B44">
      <w:pPr>
        <w:pStyle w:val="ListParagraph"/>
        <w:numPr>
          <w:ilvl w:val="0"/>
          <w:numId w:val="10"/>
        </w:numPr>
        <w:tabs>
          <w:tab w:val="left" w:pos="851"/>
        </w:tabs>
        <w:spacing w:after="0" w:line="240" w:lineRule="auto"/>
        <w:rPr>
          <w:i/>
        </w:rPr>
      </w:pPr>
      <w:r w:rsidRPr="00C54B44">
        <w:rPr>
          <w:i/>
        </w:rPr>
        <w:t xml:space="preserve">a chemical, biological or radiopharmaceutical substance that has not previously been included in the Register; or </w:t>
      </w:r>
    </w:p>
    <w:p w:rsidR="00B745F8" w:rsidRPr="00C54B44" w:rsidRDefault="00B745F8" w:rsidP="00C54B44">
      <w:pPr>
        <w:pStyle w:val="ListParagraph"/>
        <w:numPr>
          <w:ilvl w:val="0"/>
          <w:numId w:val="10"/>
        </w:numPr>
        <w:tabs>
          <w:tab w:val="left" w:pos="851"/>
        </w:tabs>
        <w:spacing w:after="0" w:line="240" w:lineRule="auto"/>
        <w:rPr>
          <w:i/>
        </w:rPr>
      </w:pPr>
      <w:r w:rsidRPr="00C54B44">
        <w:rPr>
          <w:i/>
        </w:rPr>
        <w:t xml:space="preserve">an isomer, mixture of isomers, complex of, derivative of or salt of, a registered chemical substance that, having previously been included in the Register, differs from the registered substance in having different safety or efficacy properties; or </w:t>
      </w:r>
    </w:p>
    <w:p w:rsidR="00B745F8" w:rsidRPr="00C54B44" w:rsidRDefault="00B745F8" w:rsidP="00C54B44">
      <w:pPr>
        <w:pStyle w:val="ListParagraph"/>
        <w:numPr>
          <w:ilvl w:val="0"/>
          <w:numId w:val="10"/>
        </w:numPr>
        <w:tabs>
          <w:tab w:val="left" w:pos="1134"/>
        </w:tabs>
        <w:spacing w:after="0" w:line="240" w:lineRule="auto"/>
        <w:rPr>
          <w:i/>
        </w:rPr>
      </w:pPr>
      <w:r w:rsidRPr="00C54B44">
        <w:rPr>
          <w:i/>
        </w:rPr>
        <w:t>a biological substance that, having previously been included in the Register, differs from the registered substance:</w:t>
      </w:r>
    </w:p>
    <w:p w:rsidR="00B745F8" w:rsidRPr="00C54B44" w:rsidRDefault="00B745F8" w:rsidP="00C54B44">
      <w:pPr>
        <w:pStyle w:val="ListParagraph"/>
        <w:numPr>
          <w:ilvl w:val="1"/>
          <w:numId w:val="10"/>
        </w:numPr>
        <w:tabs>
          <w:tab w:val="left" w:pos="851"/>
        </w:tabs>
        <w:spacing w:after="0" w:line="240" w:lineRule="auto"/>
        <w:rPr>
          <w:i/>
        </w:rPr>
      </w:pPr>
      <w:r w:rsidRPr="00C54B44">
        <w:rPr>
          <w:i/>
        </w:rPr>
        <w:t xml:space="preserve">in having a different molecular structure; or </w:t>
      </w:r>
    </w:p>
    <w:p w:rsidR="00B745F8" w:rsidRPr="00C54B44" w:rsidRDefault="00B745F8" w:rsidP="00C54B44">
      <w:pPr>
        <w:pStyle w:val="ListParagraph"/>
        <w:numPr>
          <w:ilvl w:val="1"/>
          <w:numId w:val="10"/>
        </w:numPr>
        <w:tabs>
          <w:tab w:val="left" w:pos="851"/>
        </w:tabs>
        <w:spacing w:after="0" w:line="240" w:lineRule="auto"/>
        <w:rPr>
          <w:i/>
        </w:rPr>
      </w:pPr>
      <w:r w:rsidRPr="00C54B44">
        <w:rPr>
          <w:i/>
        </w:rPr>
        <w:t xml:space="preserve">in deriving from source material of a different nature or from a different manufacturing process; or </w:t>
      </w:r>
    </w:p>
    <w:p w:rsidR="00B745F8" w:rsidRPr="00C54B44" w:rsidRDefault="00B745F8" w:rsidP="00C54B44">
      <w:pPr>
        <w:pStyle w:val="ListParagraph"/>
        <w:numPr>
          <w:ilvl w:val="0"/>
          <w:numId w:val="10"/>
        </w:numPr>
        <w:tabs>
          <w:tab w:val="left" w:pos="851"/>
        </w:tabs>
        <w:spacing w:after="0" w:line="240" w:lineRule="auto"/>
        <w:rPr>
          <w:i/>
        </w:rPr>
      </w:pPr>
      <w:r w:rsidRPr="00C54B44">
        <w:rPr>
          <w:i/>
        </w:rPr>
        <w:t xml:space="preserve">a radiopharmaceutical substance that: </w:t>
      </w:r>
    </w:p>
    <w:p w:rsidR="00B745F8" w:rsidRPr="00C54B44" w:rsidRDefault="00B745F8" w:rsidP="00C54B44">
      <w:pPr>
        <w:pStyle w:val="ListParagraph"/>
        <w:numPr>
          <w:ilvl w:val="1"/>
          <w:numId w:val="10"/>
        </w:numPr>
        <w:tabs>
          <w:tab w:val="left" w:pos="851"/>
        </w:tabs>
        <w:spacing w:after="0" w:line="240" w:lineRule="auto"/>
        <w:rPr>
          <w:i/>
        </w:rPr>
      </w:pPr>
      <w:r w:rsidRPr="00C54B44">
        <w:rPr>
          <w:i/>
        </w:rPr>
        <w:t xml:space="preserve">is a </w:t>
      </w:r>
      <w:proofErr w:type="spellStart"/>
      <w:r w:rsidRPr="00C54B44">
        <w:rPr>
          <w:i/>
        </w:rPr>
        <w:t>radionucleide</w:t>
      </w:r>
      <w:proofErr w:type="spellEnd"/>
      <w:r w:rsidRPr="00C54B44">
        <w:rPr>
          <w:i/>
        </w:rPr>
        <w:t xml:space="preserve"> or </w:t>
      </w:r>
      <w:proofErr w:type="spellStart"/>
      <w:r w:rsidRPr="00C54B44">
        <w:rPr>
          <w:i/>
        </w:rPr>
        <w:t>ligand</w:t>
      </w:r>
      <w:proofErr w:type="spellEnd"/>
      <w:r w:rsidRPr="00C54B44">
        <w:rPr>
          <w:i/>
        </w:rPr>
        <w:t xml:space="preserve"> that has not previously been included in the Register; or </w:t>
      </w:r>
    </w:p>
    <w:p w:rsidR="00B745F8" w:rsidRPr="00C54B44" w:rsidRDefault="00B745F8" w:rsidP="00C54B44">
      <w:pPr>
        <w:pStyle w:val="ListParagraph"/>
        <w:numPr>
          <w:ilvl w:val="1"/>
          <w:numId w:val="10"/>
        </w:numPr>
        <w:tabs>
          <w:tab w:val="left" w:pos="851"/>
        </w:tabs>
        <w:spacing w:after="0" w:line="240" w:lineRule="auto"/>
        <w:rPr>
          <w:i/>
        </w:rPr>
      </w:pPr>
      <w:r w:rsidRPr="00C54B44">
        <w:rPr>
          <w:i/>
        </w:rPr>
        <w:t xml:space="preserve">has a coupling mechanism, linking the molecule and </w:t>
      </w:r>
      <w:proofErr w:type="spellStart"/>
      <w:r w:rsidRPr="00C54B44">
        <w:rPr>
          <w:i/>
        </w:rPr>
        <w:t>radionucleide</w:t>
      </w:r>
      <w:proofErr w:type="spellEnd"/>
      <w:r w:rsidRPr="00C54B44">
        <w:rPr>
          <w:i/>
        </w:rPr>
        <w:t>, that has not previously been included in the Register; or</w:t>
      </w:r>
    </w:p>
    <w:p w:rsidR="00B011EF" w:rsidRDefault="00B745F8" w:rsidP="00C54B44">
      <w:pPr>
        <w:pStyle w:val="ListParagraph"/>
        <w:numPr>
          <w:ilvl w:val="0"/>
          <w:numId w:val="10"/>
        </w:numPr>
        <w:tabs>
          <w:tab w:val="left" w:pos="851"/>
        </w:tabs>
        <w:spacing w:after="0" w:line="240" w:lineRule="auto"/>
      </w:pPr>
      <w:r w:rsidRPr="00C54B44">
        <w:rPr>
          <w:i/>
        </w:rPr>
        <w:t>a fixed combination of active substances that have not previously been included in the Register as that fixed combination.</w:t>
      </w:r>
      <w:r w:rsidR="00C54B44">
        <w:rPr>
          <w:i/>
        </w:rPr>
        <w:br/>
      </w:r>
    </w:p>
    <w:p w:rsidR="00B011EF" w:rsidRDefault="00B745F8" w:rsidP="00B745F8">
      <w:pPr>
        <w:rPr>
          <w:snapToGrid w:val="0"/>
        </w:rPr>
      </w:pPr>
      <w:r w:rsidRPr="00B011EF">
        <w:rPr>
          <w:rStyle w:val="Strong"/>
        </w:rPr>
        <w:t>If a sponsor</w:t>
      </w:r>
      <w:r>
        <w:t xml:space="preserve"> is able to show the new isomer, mixture of isomers, complex of, derivative of, or salt of a registered substance does not </w:t>
      </w:r>
      <w:r>
        <w:rPr>
          <w:snapToGrid w:val="0"/>
        </w:rPr>
        <w:t xml:space="preserve">change the pharmacokinetics, </w:t>
      </w:r>
      <w:proofErr w:type="spellStart"/>
      <w:r>
        <w:rPr>
          <w:snapToGrid w:val="0"/>
        </w:rPr>
        <w:t>pharmacodynamics</w:t>
      </w:r>
      <w:proofErr w:type="spellEnd"/>
      <w:r>
        <w:rPr>
          <w:snapToGrid w:val="0"/>
        </w:rPr>
        <w:t xml:space="preserve"> and/or in toxicity of the moiety in a way which could change the safety/efficacy profile, the new product</w:t>
      </w:r>
      <w:r>
        <w:t xml:space="preserve"> may be considered to be </w:t>
      </w:r>
      <w:r>
        <w:rPr>
          <w:i/>
        </w:rPr>
        <w:t>essentially similar</w:t>
      </w:r>
      <w:r>
        <w:t xml:space="preserve"> and the fee level would be for a </w:t>
      </w:r>
      <w:r>
        <w:rPr>
          <w:i/>
        </w:rPr>
        <w:t>generic product</w:t>
      </w:r>
      <w:r>
        <w:t xml:space="preserve"> rather than a </w:t>
      </w:r>
      <w:r>
        <w:rPr>
          <w:i/>
        </w:rPr>
        <w:t>new chemical entity</w:t>
      </w:r>
      <w:r>
        <w:t xml:space="preserve">. </w:t>
      </w:r>
      <w:r>
        <w:rPr>
          <w:snapToGrid w:val="0"/>
        </w:rPr>
        <w:t xml:space="preserve">Should this not be the case, the application will be considered as a </w:t>
      </w:r>
      <w:r>
        <w:rPr>
          <w:i/>
          <w:snapToGrid w:val="0"/>
        </w:rPr>
        <w:t>new chemical entity</w:t>
      </w:r>
      <w:r>
        <w:rPr>
          <w:snapToGrid w:val="0"/>
        </w:rPr>
        <w:t>.</w:t>
      </w:r>
    </w:p>
    <w:p w:rsidR="00B011EF" w:rsidRDefault="00B745F8" w:rsidP="00B745F8">
      <w:r>
        <w:rPr>
          <w:snapToGrid w:val="0"/>
        </w:rPr>
        <w:t>If the sponsor believes a new</w:t>
      </w:r>
      <w:r>
        <w:t xml:space="preserve"> isomer, mixture of isomers, complex of, derivative of or salt of a registered substance to be essentially similar, the sponsor should first submit a preliminary document of no more than 10 pages to justify essential similarity. In case of problems, it is recommended this justification be submitted at least two months before the complete application is lodged.</w:t>
      </w:r>
    </w:p>
    <w:p w:rsidR="00B011EF" w:rsidRDefault="00680255" w:rsidP="00B745F8">
      <w:pPr>
        <w:pStyle w:val="Heading3"/>
      </w:pPr>
      <w:r>
        <w:t xml:space="preserve">2.  </w:t>
      </w:r>
      <w:r w:rsidR="00B745F8">
        <w:t>Extension of indications</w:t>
      </w:r>
    </w:p>
    <w:p w:rsidR="00B011EF" w:rsidRDefault="00B745F8" w:rsidP="00B745F8">
      <w:r>
        <w:t xml:space="preserve">Indications in relation to therapeutic goods are defined in the Act as </w:t>
      </w:r>
      <w:r>
        <w:rPr>
          <w:i/>
        </w:rPr>
        <w:t>the specific therapeutic uses of the goods</w:t>
      </w:r>
      <w:r>
        <w:t>.</w:t>
      </w:r>
    </w:p>
    <w:p w:rsidR="00B011EF" w:rsidRDefault="00B745F8" w:rsidP="00B745F8">
      <w:r>
        <w:t xml:space="preserve">An application to extend the indications of a </w:t>
      </w:r>
      <w:r>
        <w:rPr>
          <w:i/>
        </w:rPr>
        <w:t xml:space="preserve">generic </w:t>
      </w:r>
      <w:r>
        <w:t>medicine to include a new indication is a new indication irrespective of whether the innovator has that indication or not.</w:t>
      </w:r>
    </w:p>
    <w:p w:rsidR="00B011EF" w:rsidRDefault="00680255" w:rsidP="00B745F8">
      <w:pPr>
        <w:pStyle w:val="Heading3"/>
      </w:pPr>
      <w:r>
        <w:t xml:space="preserve">3.  </w:t>
      </w:r>
      <w:r w:rsidR="00B745F8">
        <w:t>Major variation</w:t>
      </w:r>
    </w:p>
    <w:p w:rsidR="00B011EF" w:rsidRDefault="00B745F8" w:rsidP="00B745F8">
      <w:pPr>
        <w:keepNext/>
        <w:keepLines/>
        <w:rPr>
          <w:i/>
        </w:rPr>
      </w:pPr>
      <w:r>
        <w:t xml:space="preserve">A major variation is defined in Schedule 9 of the Regulations </w:t>
      </w:r>
      <w:r>
        <w:rPr>
          <w:i/>
        </w:rPr>
        <w:t>as a change to:</w:t>
      </w:r>
    </w:p>
    <w:p w:rsidR="00B745F8" w:rsidRPr="00C54B44" w:rsidRDefault="00B745F8" w:rsidP="00C54B44">
      <w:pPr>
        <w:pStyle w:val="ListParagraph"/>
        <w:keepNext/>
        <w:keepLines/>
        <w:numPr>
          <w:ilvl w:val="0"/>
          <w:numId w:val="11"/>
        </w:numPr>
        <w:spacing w:after="0" w:line="240" w:lineRule="auto"/>
        <w:rPr>
          <w:i/>
        </w:rPr>
      </w:pPr>
      <w:r w:rsidRPr="00C54B44">
        <w:rPr>
          <w:i/>
        </w:rPr>
        <w:t>the strength, as recorded in the entry in the Register; or</w:t>
      </w:r>
    </w:p>
    <w:p w:rsidR="00B745F8" w:rsidRPr="00C54B44" w:rsidRDefault="00B745F8" w:rsidP="00C54B44">
      <w:pPr>
        <w:pStyle w:val="ListParagraph"/>
        <w:keepNext/>
        <w:keepLines/>
        <w:numPr>
          <w:ilvl w:val="0"/>
          <w:numId w:val="11"/>
        </w:numPr>
        <w:spacing w:after="0" w:line="240" w:lineRule="auto"/>
        <w:rPr>
          <w:i/>
        </w:rPr>
      </w:pPr>
      <w:r w:rsidRPr="00C54B44">
        <w:rPr>
          <w:i/>
        </w:rPr>
        <w:t>the dosage, the recommended dosage regimen or the maximum daily dose; or</w:t>
      </w:r>
    </w:p>
    <w:p w:rsidR="00B745F8" w:rsidRPr="00C54B44" w:rsidRDefault="00B745F8" w:rsidP="00C54B44">
      <w:pPr>
        <w:pStyle w:val="ListParagraph"/>
        <w:keepNext/>
        <w:keepLines/>
        <w:numPr>
          <w:ilvl w:val="0"/>
          <w:numId w:val="11"/>
        </w:numPr>
        <w:spacing w:after="0" w:line="240" w:lineRule="auto"/>
        <w:rPr>
          <w:i/>
        </w:rPr>
      </w:pPr>
      <w:r w:rsidRPr="00C54B44">
        <w:rPr>
          <w:i/>
        </w:rPr>
        <w:t>the dosage form; or</w:t>
      </w:r>
    </w:p>
    <w:p w:rsidR="00B745F8" w:rsidRPr="00C54B44" w:rsidRDefault="00B745F8" w:rsidP="00C54B44">
      <w:pPr>
        <w:pStyle w:val="ListParagraph"/>
        <w:keepNext/>
        <w:keepLines/>
        <w:numPr>
          <w:ilvl w:val="0"/>
          <w:numId w:val="11"/>
        </w:numPr>
        <w:spacing w:after="0" w:line="240" w:lineRule="auto"/>
        <w:rPr>
          <w:i/>
        </w:rPr>
      </w:pPr>
      <w:r w:rsidRPr="00C54B44">
        <w:rPr>
          <w:i/>
        </w:rPr>
        <w:t>the route of administration; or</w:t>
      </w:r>
    </w:p>
    <w:p w:rsidR="00B011EF" w:rsidRDefault="00B745F8" w:rsidP="00C54B44">
      <w:pPr>
        <w:pStyle w:val="ListParagraph"/>
        <w:keepNext/>
        <w:keepLines/>
        <w:numPr>
          <w:ilvl w:val="0"/>
          <w:numId w:val="11"/>
        </w:numPr>
        <w:spacing w:after="0" w:line="240" w:lineRule="auto"/>
        <w:rPr>
          <w:i/>
        </w:rPr>
      </w:pPr>
      <w:r w:rsidRPr="00C54B44">
        <w:rPr>
          <w:i/>
        </w:rPr>
        <w:t>the intended patient group</w:t>
      </w:r>
    </w:p>
    <w:p w:rsidR="00C54B44" w:rsidRPr="00C54B44" w:rsidRDefault="00C54B44" w:rsidP="00C54B44">
      <w:pPr>
        <w:keepNext/>
        <w:keepLines/>
        <w:spacing w:after="0" w:line="240" w:lineRule="auto"/>
        <w:rPr>
          <w:i/>
        </w:rPr>
      </w:pPr>
    </w:p>
    <w:p w:rsidR="00B745F8" w:rsidRDefault="00B745F8" w:rsidP="00B745F8">
      <w:r>
        <w:t>A change in the intended patient group refers to any application that:</w:t>
      </w:r>
    </w:p>
    <w:p w:rsidR="00B745F8" w:rsidRDefault="00B745F8" w:rsidP="00C54B44">
      <w:pPr>
        <w:pStyle w:val="ListBullet"/>
      </w:pPr>
      <w:r>
        <w:t>alters to the number of patients using a medicine; or</w:t>
      </w:r>
    </w:p>
    <w:p w:rsidR="00B745F8" w:rsidRDefault="00B745F8" w:rsidP="00C54B44">
      <w:pPr>
        <w:pStyle w:val="ListBullet"/>
      </w:pPr>
      <w:r>
        <w:lastRenderedPageBreak/>
        <w:t>modifies the category of patients using a medicine; but</w:t>
      </w:r>
    </w:p>
    <w:p w:rsidR="00B745F8" w:rsidRDefault="00B745F8" w:rsidP="00C54B44">
      <w:pPr>
        <w:pStyle w:val="ListBullet"/>
      </w:pPr>
      <w:r>
        <w:t>is not an extension of the indications or other major variation</w:t>
      </w:r>
    </w:p>
    <w:p w:rsidR="00B745F8" w:rsidRDefault="00B745F8" w:rsidP="00C54B44">
      <w:pPr>
        <w:pStyle w:val="ListBullet"/>
      </w:pPr>
      <w:r>
        <w:t>is not a safety related notification; or</w:t>
      </w:r>
    </w:p>
    <w:p w:rsidR="00B011EF" w:rsidRDefault="00B745F8" w:rsidP="00C54B44">
      <w:pPr>
        <w:pStyle w:val="ListBullet"/>
      </w:pPr>
      <w:r>
        <w:t xml:space="preserve">is not an application for the deletion of an indication. </w:t>
      </w:r>
    </w:p>
    <w:p w:rsidR="00C54B44" w:rsidRPr="00C54B44" w:rsidRDefault="00B745F8" w:rsidP="00C54B44">
      <w:r w:rsidRPr="00C54B44">
        <w:t>Examples would include an application to delete a contrain</w:t>
      </w:r>
      <w:r w:rsidR="00C54B44" w:rsidRPr="00C54B44">
        <w:t xml:space="preserve">dication or precaution and some </w:t>
      </w:r>
      <w:r w:rsidRPr="00C54B44">
        <w:t>changes to the clinical trials section of the product information (PI).</w:t>
      </w:r>
    </w:p>
    <w:p w:rsidR="00B011EF" w:rsidRDefault="00680255" w:rsidP="00B745F8">
      <w:pPr>
        <w:pStyle w:val="Heading3"/>
      </w:pPr>
      <w:r>
        <w:t xml:space="preserve">4.  </w:t>
      </w:r>
      <w:r w:rsidR="00B745F8">
        <w:t>New generic product</w:t>
      </w:r>
    </w:p>
    <w:p w:rsidR="00B011EF" w:rsidRDefault="00B745F8" w:rsidP="00B745F8">
      <w:pPr>
        <w:rPr>
          <w:i/>
        </w:rPr>
      </w:pPr>
      <w:r>
        <w:t xml:space="preserve">A generic medicine is defined in the Regulations as </w:t>
      </w:r>
      <w:r>
        <w:rPr>
          <w:i/>
        </w:rPr>
        <w:t>a medicine that, in comparison to a registered medicine:</w:t>
      </w:r>
    </w:p>
    <w:p w:rsidR="00B745F8" w:rsidRPr="00C54B44" w:rsidRDefault="00B745F8" w:rsidP="00C54B44">
      <w:pPr>
        <w:pStyle w:val="ListParagraph"/>
        <w:numPr>
          <w:ilvl w:val="0"/>
          <w:numId w:val="12"/>
        </w:numPr>
        <w:spacing w:after="0" w:line="240" w:lineRule="auto"/>
        <w:rPr>
          <w:i/>
        </w:rPr>
      </w:pPr>
      <w:r w:rsidRPr="00C54B44">
        <w:rPr>
          <w:i/>
        </w:rPr>
        <w:t xml:space="preserve">has the same quantitative composition of therapeutically active substances, being substances of similar quality to those used in the registered medicine; and </w:t>
      </w:r>
    </w:p>
    <w:p w:rsidR="00B745F8" w:rsidRPr="00C54B44" w:rsidRDefault="00B745F8" w:rsidP="00C54B44">
      <w:pPr>
        <w:pStyle w:val="ListParagraph"/>
        <w:numPr>
          <w:ilvl w:val="0"/>
          <w:numId w:val="12"/>
        </w:numPr>
        <w:spacing w:after="0" w:line="240" w:lineRule="auto"/>
        <w:rPr>
          <w:i/>
        </w:rPr>
      </w:pPr>
      <w:r w:rsidRPr="00C54B44">
        <w:rPr>
          <w:i/>
        </w:rPr>
        <w:t xml:space="preserve">has the same pharmaceutical form; and </w:t>
      </w:r>
    </w:p>
    <w:p w:rsidR="00B745F8" w:rsidRPr="00C54B44" w:rsidRDefault="00B745F8" w:rsidP="00C54B44">
      <w:pPr>
        <w:pStyle w:val="ListParagraph"/>
        <w:numPr>
          <w:ilvl w:val="0"/>
          <w:numId w:val="12"/>
        </w:numPr>
        <w:spacing w:after="0" w:line="240" w:lineRule="auto"/>
        <w:rPr>
          <w:i/>
        </w:rPr>
      </w:pPr>
      <w:r w:rsidRPr="00C54B44">
        <w:rPr>
          <w:i/>
        </w:rPr>
        <w:t xml:space="preserve">is bioequivalent; and </w:t>
      </w:r>
    </w:p>
    <w:p w:rsidR="00B011EF" w:rsidRDefault="00B745F8" w:rsidP="00C54B44">
      <w:pPr>
        <w:pStyle w:val="ListParagraph"/>
        <w:numPr>
          <w:ilvl w:val="0"/>
          <w:numId w:val="12"/>
        </w:numPr>
        <w:spacing w:after="0" w:line="240" w:lineRule="auto"/>
      </w:pPr>
      <w:r w:rsidRPr="00C54B44">
        <w:rPr>
          <w:i/>
        </w:rPr>
        <w:t>has the same safety and efficacy properties.</w:t>
      </w:r>
      <w:r>
        <w:t xml:space="preserve"> </w:t>
      </w:r>
    </w:p>
    <w:p w:rsidR="00C54B44" w:rsidRDefault="00C54B44" w:rsidP="00C54B44">
      <w:pPr>
        <w:pStyle w:val="ListParagraph"/>
        <w:spacing w:after="0" w:line="240" w:lineRule="auto"/>
        <w:ind w:left="360"/>
      </w:pPr>
    </w:p>
    <w:p w:rsidR="00B011EF" w:rsidRDefault="00B745F8" w:rsidP="00B745F8">
      <w:r>
        <w:t>The concept of a generic product is usually not appropriate for biotechnology products. Applications for a new biotechnology product would normally be regarded as a new chemical entity.</w:t>
      </w:r>
    </w:p>
    <w:p w:rsidR="00B011EF" w:rsidRDefault="00B745F8" w:rsidP="00B745F8">
      <w:r>
        <w:t xml:space="preserve">Section 25A of the </w:t>
      </w:r>
      <w:r>
        <w:rPr>
          <w:i/>
        </w:rPr>
        <w:t>Therapeutic Goods Act 1989</w:t>
      </w:r>
      <w:r>
        <w:t xml:space="preserve"> states that when evaluating therapeutic goods for registration, protected information about other therapeutic goods may not be used. Protected information relates to an active ingredient first registered less than 5 years previously and refers to information about the active ingredient not in the public domain. Applications for a generic version of such an active ingredient would be considered a new chemical entity.</w:t>
      </w:r>
    </w:p>
    <w:p w:rsidR="00B011EF" w:rsidRDefault="00680255" w:rsidP="00B745F8">
      <w:pPr>
        <w:pStyle w:val="Heading3"/>
      </w:pPr>
      <w:r>
        <w:t xml:space="preserve">5.  </w:t>
      </w:r>
      <w:r w:rsidR="00B745F8">
        <w:t>Additional trade name</w:t>
      </w:r>
    </w:p>
    <w:p w:rsidR="00B011EF" w:rsidRDefault="00B745F8" w:rsidP="00B745F8">
      <w:pPr>
        <w:rPr>
          <w:i/>
        </w:rPr>
      </w:pPr>
      <w:r>
        <w:t xml:space="preserve">A trade name is defined in the Regulations </w:t>
      </w:r>
      <w:r>
        <w:rPr>
          <w:i/>
        </w:rPr>
        <w:t>as the commercial name:</w:t>
      </w:r>
    </w:p>
    <w:p w:rsidR="00B745F8" w:rsidRPr="00C54B44" w:rsidRDefault="00B745F8" w:rsidP="00C54B44">
      <w:pPr>
        <w:pStyle w:val="ListParagraph"/>
        <w:numPr>
          <w:ilvl w:val="0"/>
          <w:numId w:val="13"/>
        </w:numPr>
        <w:spacing w:after="0" w:line="240" w:lineRule="auto"/>
        <w:rPr>
          <w:i/>
        </w:rPr>
      </w:pPr>
      <w:r w:rsidRPr="00C54B44">
        <w:rPr>
          <w:i/>
        </w:rPr>
        <w:t>given to goods of that kind by the manufacturer; and</w:t>
      </w:r>
    </w:p>
    <w:p w:rsidR="00B011EF" w:rsidRPr="00C54B44" w:rsidRDefault="00B745F8" w:rsidP="00C54B44">
      <w:pPr>
        <w:pStyle w:val="ListParagraph"/>
        <w:numPr>
          <w:ilvl w:val="0"/>
          <w:numId w:val="13"/>
        </w:numPr>
        <w:spacing w:after="0" w:line="240" w:lineRule="auto"/>
      </w:pPr>
      <w:r w:rsidRPr="00C54B44">
        <w:rPr>
          <w:i/>
        </w:rPr>
        <w:t>under which the goods are supplied.</w:t>
      </w:r>
    </w:p>
    <w:p w:rsidR="00C54B44" w:rsidRDefault="00C54B44" w:rsidP="00C54B44">
      <w:pPr>
        <w:pStyle w:val="ListParagraph"/>
        <w:spacing w:after="0" w:line="240" w:lineRule="auto"/>
        <w:ind w:left="360"/>
      </w:pPr>
    </w:p>
    <w:p w:rsidR="00B011EF" w:rsidRDefault="00B745F8" w:rsidP="00B745F8">
      <w:pPr>
        <w:keepNext/>
        <w:keepLines/>
      </w:pPr>
      <w:r>
        <w:t>Three situations may occur:</w:t>
      </w:r>
    </w:p>
    <w:p w:rsidR="00B745F8" w:rsidRDefault="00B745F8" w:rsidP="00C54B44">
      <w:pPr>
        <w:pStyle w:val="ListBullet"/>
      </w:pPr>
      <w:r>
        <w:t>a sponsor has already registered a product under one trade name and the same sponsor is seeking to register the same product under another trade name;</w:t>
      </w:r>
    </w:p>
    <w:p w:rsidR="00B745F8" w:rsidRDefault="00B745F8" w:rsidP="00C54B44">
      <w:pPr>
        <w:pStyle w:val="ListBullet"/>
      </w:pPr>
      <w:r>
        <w:t xml:space="preserve">a sponsor has already registered a product under one trade name and is seeking to register the same product under another trade name on behalf of another sponsor; and </w:t>
      </w:r>
    </w:p>
    <w:p w:rsidR="00B011EF" w:rsidRDefault="00B745F8" w:rsidP="00C54B44">
      <w:pPr>
        <w:pStyle w:val="ListBullet"/>
      </w:pPr>
      <w:r>
        <w:t>a sponsor has already registered a product under one trade name and a second sponsor is seeking to register the same product under another trade name.</w:t>
      </w:r>
    </w:p>
    <w:p w:rsidR="00B011EF" w:rsidRDefault="00B745F8" w:rsidP="00B745F8">
      <w:r>
        <w:t xml:space="preserve">The fee for an additional trade name is restricted to the first type of application, that is, those applications in which a sponsor has already registered a product under one trade name and is seeking to register the same product under another trade name. </w:t>
      </w:r>
    </w:p>
    <w:p w:rsidR="00B011EF" w:rsidRDefault="00B745F8" w:rsidP="00B745F8">
      <w:r>
        <w:t>Applications of the second and third types, that is, where a second sponsor is involved, are applications for a new generic product.</w:t>
      </w:r>
    </w:p>
    <w:p w:rsidR="00B011EF" w:rsidRDefault="00680255" w:rsidP="00B745F8">
      <w:pPr>
        <w:pStyle w:val="Heading3"/>
      </w:pPr>
      <w:r>
        <w:t xml:space="preserve">6.  </w:t>
      </w:r>
      <w:r w:rsidR="00B745F8">
        <w:t>Minor variation</w:t>
      </w:r>
    </w:p>
    <w:p w:rsidR="00B011EF" w:rsidRDefault="00B745F8" w:rsidP="00B745F8">
      <w:pPr>
        <w:rPr>
          <w:i/>
        </w:rPr>
      </w:pPr>
      <w:r>
        <w:t xml:space="preserve">A minor variation is defined in Schedule 9 of the </w:t>
      </w:r>
      <w:r>
        <w:rPr>
          <w:i/>
        </w:rPr>
        <w:t>Therapeutic Goods Regulations</w:t>
      </w:r>
      <w:r>
        <w:t xml:space="preserve"> as </w:t>
      </w:r>
      <w:r>
        <w:rPr>
          <w:i/>
        </w:rPr>
        <w:t>a change (other than a change that is a major variation) to:</w:t>
      </w:r>
    </w:p>
    <w:p w:rsidR="00B745F8" w:rsidRPr="00C54B44" w:rsidRDefault="00B745F8" w:rsidP="00C54B44">
      <w:pPr>
        <w:pStyle w:val="ListParagraph"/>
        <w:numPr>
          <w:ilvl w:val="0"/>
          <w:numId w:val="14"/>
        </w:numPr>
        <w:spacing w:after="0" w:line="240" w:lineRule="auto"/>
        <w:rPr>
          <w:i/>
        </w:rPr>
      </w:pPr>
      <w:r w:rsidRPr="00C54B44">
        <w:rPr>
          <w:i/>
        </w:rPr>
        <w:lastRenderedPageBreak/>
        <w:t xml:space="preserve">the formulation, composition or design specification; or </w:t>
      </w:r>
    </w:p>
    <w:p w:rsidR="00B745F8" w:rsidRPr="00C54B44" w:rsidRDefault="00B745F8" w:rsidP="00C54B44">
      <w:pPr>
        <w:pStyle w:val="ListParagraph"/>
        <w:numPr>
          <w:ilvl w:val="0"/>
          <w:numId w:val="14"/>
        </w:numPr>
        <w:spacing w:after="0" w:line="240" w:lineRule="auto"/>
        <w:rPr>
          <w:i/>
        </w:rPr>
      </w:pPr>
      <w:r w:rsidRPr="00C54B44">
        <w:rPr>
          <w:i/>
        </w:rPr>
        <w:t xml:space="preserve">the container for the goods; or </w:t>
      </w:r>
    </w:p>
    <w:p w:rsidR="00B011EF" w:rsidRDefault="00B745F8" w:rsidP="00C54B44">
      <w:pPr>
        <w:pStyle w:val="ListParagraph"/>
        <w:numPr>
          <w:ilvl w:val="0"/>
          <w:numId w:val="14"/>
        </w:numPr>
        <w:spacing w:after="0" w:line="240" w:lineRule="auto"/>
        <w:rPr>
          <w:i/>
        </w:rPr>
      </w:pPr>
      <w:r w:rsidRPr="00C54B44">
        <w:rPr>
          <w:i/>
        </w:rPr>
        <w:t xml:space="preserve">any other attribute of the goods that results in the goods being separate and distinct. </w:t>
      </w:r>
    </w:p>
    <w:p w:rsidR="00C54B44" w:rsidRPr="00C54B44" w:rsidRDefault="00C54B44" w:rsidP="00C54B44">
      <w:pPr>
        <w:pStyle w:val="ListParagraph"/>
        <w:spacing w:after="0" w:line="240" w:lineRule="auto"/>
        <w:ind w:left="360"/>
        <w:rPr>
          <w:i/>
        </w:rPr>
      </w:pPr>
    </w:p>
    <w:p w:rsidR="00B011EF" w:rsidRDefault="00680255" w:rsidP="00B745F8">
      <w:pPr>
        <w:pStyle w:val="Heading3"/>
      </w:pPr>
      <w:r>
        <w:t xml:space="preserve">7.  </w:t>
      </w:r>
      <w:r w:rsidR="00B745F8">
        <w:t>Variations to a Register entry involving the evaluation of quality information (chemistry, quality control and manufacturing information), and clinical, non-clinical or bio-equivalence data, but not included in another fee category.</w:t>
      </w:r>
    </w:p>
    <w:p w:rsidR="00B011EF" w:rsidRDefault="00B745F8" w:rsidP="00B745F8">
      <w:r>
        <w:t>A Category 1 application for a variation of the entry in the register (section 9D(3) of the Act), but not included in another fee category.</w:t>
      </w:r>
    </w:p>
    <w:p w:rsidR="00B011EF" w:rsidRDefault="00680255" w:rsidP="00B745F8">
      <w:pPr>
        <w:pStyle w:val="Heading3"/>
      </w:pPr>
      <w:r>
        <w:t xml:space="preserve">8.  </w:t>
      </w:r>
      <w:r w:rsidR="00B745F8">
        <w:t>Changes to the PI involving the evaluation of data</w:t>
      </w:r>
    </w:p>
    <w:p w:rsidR="00B011EF" w:rsidRDefault="00B745F8" w:rsidP="00B745F8">
      <w:r>
        <w:t>All amendments to the PI involving the evaluation of data and not otherwise included in a higher fee category.</w:t>
      </w:r>
    </w:p>
    <w:p w:rsidR="00B011EF" w:rsidRDefault="00680255" w:rsidP="00B745F8">
      <w:pPr>
        <w:pStyle w:val="Heading3"/>
      </w:pPr>
      <w:r>
        <w:t xml:space="preserve">9.  </w:t>
      </w:r>
      <w:r w:rsidR="00B745F8">
        <w:t>Changes to Product Information where no evaluation is required</w:t>
      </w:r>
    </w:p>
    <w:p w:rsidR="00B011EF" w:rsidRDefault="00B745F8" w:rsidP="00B745F8">
      <w:pPr>
        <w:keepNext/>
        <w:keepLines/>
      </w:pPr>
      <w:r>
        <w:t>All amendments to the PI which are of an administrative nature (for example, new format, change of administrative information). Editorial changes to the PI are discussed in Section 4.4.5.3 of the ARGPM</w:t>
      </w:r>
      <w:r>
        <w:rPr>
          <w:i/>
        </w:rPr>
        <w:t>.</w:t>
      </w:r>
    </w:p>
    <w:p w:rsidR="00B011EF" w:rsidRDefault="00B745F8" w:rsidP="00B745F8">
      <w:pPr>
        <w:pStyle w:val="Heading3"/>
      </w:pPr>
      <w:r>
        <w:t>1</w:t>
      </w:r>
      <w:r w:rsidR="00680255">
        <w:t xml:space="preserve">0.  </w:t>
      </w:r>
      <w:r>
        <w:t>Changes to Consumer Medicine Information</w:t>
      </w:r>
    </w:p>
    <w:p w:rsidR="00B011EF" w:rsidRDefault="00B745F8" w:rsidP="00B745F8">
      <w:pPr>
        <w:keepNext/>
        <w:keepLines/>
      </w:pPr>
      <w:r>
        <w:t>Review of the CMI when not part of another application in another fee category.</w:t>
      </w:r>
    </w:p>
    <w:p w:rsidR="00B011EF" w:rsidRDefault="00B745F8" w:rsidP="00B745F8">
      <w:pPr>
        <w:pStyle w:val="Heading3"/>
      </w:pPr>
      <w:r>
        <w:t>1</w:t>
      </w:r>
      <w:r w:rsidR="00680255">
        <w:t xml:space="preserve">1.  </w:t>
      </w:r>
      <w:r>
        <w:t>Variations to a Register entry involving the evaluation of only quality (chemistry, quality control and manufacturing) information</w:t>
      </w:r>
    </w:p>
    <w:p w:rsidR="00B011EF" w:rsidRDefault="00B745F8" w:rsidP="00B745F8">
      <w:r>
        <w:t>A Category 3 application concerning changes that require TGA approval before implementation (see Section 2.5.3 of the ARGPM).</w:t>
      </w:r>
    </w:p>
    <w:p w:rsidR="00B011EF" w:rsidRDefault="00B745F8" w:rsidP="00B745F8">
      <w:pPr>
        <w:pStyle w:val="Heading3"/>
      </w:pPr>
      <w:r>
        <w:t>1</w:t>
      </w:r>
      <w:r w:rsidR="00680255">
        <w:t xml:space="preserve">2.  </w:t>
      </w:r>
      <w:r>
        <w:t>Notification of Self-Assessable Changes</w:t>
      </w:r>
    </w:p>
    <w:p w:rsidR="00B011EF" w:rsidRDefault="00B745F8" w:rsidP="00B745F8">
      <w:r>
        <w:t>A Category 3 application concerning self-assessable changes of the type described in Appendices 13 and 14 of the ARGPM</w:t>
      </w:r>
      <w:r>
        <w:rPr>
          <w:i/>
        </w:rPr>
        <w:t>.</w:t>
      </w:r>
    </w:p>
    <w:p w:rsidR="00B011EF" w:rsidRDefault="00B745F8" w:rsidP="00B745F8">
      <w:pPr>
        <w:pStyle w:val="Heading3"/>
      </w:pPr>
      <w:r>
        <w:t>1</w:t>
      </w:r>
      <w:r w:rsidR="00680255">
        <w:t xml:space="preserve">3.  </w:t>
      </w:r>
      <w:r>
        <w:t>Safety Related Notification</w:t>
      </w:r>
    </w:p>
    <w:p w:rsidR="00B011EF" w:rsidRDefault="00B745F8" w:rsidP="00B745F8">
      <w:r>
        <w:t>Safety related notifications are discussed in Section 4.4.5.1 of the ARGPM</w:t>
      </w:r>
      <w:r>
        <w:rPr>
          <w:i/>
        </w:rPr>
        <w:t>.</w:t>
      </w:r>
    </w:p>
    <w:p w:rsidR="00B011EF" w:rsidRDefault="00B745F8" w:rsidP="00B745F8">
      <w:pPr>
        <w:pStyle w:val="Heading3"/>
      </w:pPr>
      <w:r>
        <w:t>1</w:t>
      </w:r>
      <w:r w:rsidR="00680255">
        <w:t xml:space="preserve">4.  </w:t>
      </w:r>
      <w:r>
        <w:t>Testing and provision of advice, requested from Pharmaceutical Benefits Program, prior to listing on Pharmaceutical Benefits Listing Program</w:t>
      </w:r>
    </w:p>
    <w:p w:rsidR="00B745F8" w:rsidRDefault="00B745F8" w:rsidP="00B745F8">
      <w:r>
        <w:t>A fee for testing and provision of advice, requested from Pharmaceutical Benefits Program, prior to listing on Pharmaceutical Benefits Listing Program.</w:t>
      </w:r>
    </w:p>
    <w:p w:rsidR="002942D1" w:rsidRDefault="009C4BD5" w:rsidP="00B745F8">
      <w:r>
        <w:br w:type="page"/>
      </w:r>
    </w:p>
    <w:p w:rsidR="006D03E5" w:rsidRDefault="006D03E5" w:rsidP="006D03E5">
      <w:pPr>
        <w:sectPr w:rsidR="006D03E5" w:rsidSect="00585322">
          <w:headerReference w:type="even" r:id="rId14"/>
          <w:headerReference w:type="default" r:id="rId15"/>
          <w:footerReference w:type="default" r:id="rId16"/>
          <w:headerReference w:type="first" r:id="rId17"/>
          <w:footerReference w:type="first" r:id="rId18"/>
          <w:pgSz w:w="11906" w:h="16838" w:code="9"/>
          <w:pgMar w:top="2211" w:right="1701" w:bottom="1701" w:left="1701" w:header="907" w:footer="142" w:gutter="0"/>
          <w:cols w:space="708"/>
          <w:docGrid w:linePitch="360"/>
        </w:sectPr>
      </w:pPr>
    </w:p>
    <w:p w:rsidR="00B011EF" w:rsidRDefault="00B011EF" w:rsidP="00585322"/>
    <w:p w:rsidR="006E08B3" w:rsidRPr="006E08B3" w:rsidRDefault="006E08B3" w:rsidP="00AE65EB"/>
    <w:sectPr w:rsidR="006E08B3" w:rsidRPr="006E08B3" w:rsidSect="00A36FA7">
      <w:headerReference w:type="even" r:id="rId19"/>
      <w:headerReference w:type="default" r:id="rId20"/>
      <w:footerReference w:type="default" r:id="rId21"/>
      <w:headerReference w:type="first" r:id="rId22"/>
      <w:footerReference w:type="first" r:id="rId23"/>
      <w:pgSz w:w="11906" w:h="16838" w:code="9"/>
      <w:pgMar w:top="2211" w:right="1701" w:bottom="1701" w:left="1701" w:header="907" w:footer="113"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102F22" w:rsidRDefault="00102F22" w:rsidP="00C40A36">
      <w:pPr>
        <w:spacing w:after="0"/>
      </w:pPr>
      <w:r>
        <w:separator/>
      </w:r>
    </w:p>
  </w:endnote>
  <w:endnote w:type="continuationSeparator" w:id="0">
    <w:p w:rsidR="00102F22" w:rsidRDefault="00102F22" w:rsidP="00C40A36">
      <w:pPr>
        <w:spacing w:after="0"/>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embedRegular r:id="rId1" w:fontKey="{4886477B-28E7-4B56-8D5D-147A744E8539}"/>
    <w:embedBold r:id="rId2" w:fontKey="{2A791C97-C8DE-4B94-817A-6EA6993A0A0A}"/>
    <w:embedItalic r:id="rId3" w:fontKey="{67A9640B-672F-442D-B8E8-054B2B232920}"/>
  </w:font>
  <w:font w:name="Tahoma">
    <w:panose1 w:val="020B0604030504040204"/>
    <w:charset w:val="00"/>
    <w:family w:val="swiss"/>
    <w:pitch w:val="variable"/>
    <w:sig w:usb0="E1002EFF" w:usb1="C000605B" w:usb2="00000029" w:usb3="00000000" w:csb0="000101FF" w:csb1="00000000"/>
    <w:embedRegular r:id="rId4" w:fontKey="{223AE782-C70A-4AA5-8F27-EBC9A7346CFB}"/>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50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6237"/>
      <w:gridCol w:w="2268"/>
    </w:tblGrid>
    <w:tr w:rsidR="00680255" w:rsidTr="00B33863">
      <w:trPr>
        <w:trHeight w:hRule="exact" w:val="1420"/>
      </w:trPr>
      <w:tc>
        <w:tcPr>
          <w:tcW w:w="8505" w:type="dxa"/>
          <w:gridSpan w:val="2"/>
          <w:tcBorders>
            <w:bottom w:val="single" w:sz="4" w:space="0" w:color="auto"/>
          </w:tcBorders>
          <w:tcMar>
            <w:right w:w="284" w:type="dxa"/>
          </w:tcMar>
        </w:tcPr>
        <w:p w:rsidR="00680255" w:rsidRPr="00DF1D7F" w:rsidRDefault="00680255" w:rsidP="00B33863">
          <w:pPr>
            <w:pStyle w:val="LegalSubheading"/>
          </w:pPr>
          <w:r w:rsidRPr="00DF1D7F">
            <w:t>Copyright</w:t>
          </w:r>
        </w:p>
        <w:p w:rsidR="00680255" w:rsidRDefault="00680255" w:rsidP="00B33863">
          <w:pPr>
            <w:pStyle w:val="LegalCopy"/>
          </w:pPr>
          <w:r>
            <w:rPr>
              <w:rFonts w:cs="Arial"/>
            </w:rPr>
            <w:t>©</w:t>
          </w:r>
          <w:r w:rsidR="008C71AB">
            <w:t xml:space="preserve"> Commonwealth of Australia 2004</w:t>
          </w:r>
        </w:p>
        <w:p w:rsidR="00680255" w:rsidRDefault="00680255" w:rsidP="00B33863">
          <w:pPr>
            <w:pStyle w:val="LegalCopy"/>
          </w:pPr>
        </w:p>
        <w:p w:rsidR="00680255" w:rsidRDefault="00680255" w:rsidP="00B33863">
          <w:pPr>
            <w:pStyle w:val="LegalCopy"/>
          </w:pPr>
          <w:r w:rsidRPr="00DF1D7F">
            <w:t>This work is copyright. Apart from any use as permitted under the Copyright Act 1968, no part may be reproduced by any process without prior written permission from the Commonwealth. Requests and inquiries concerning reproduction and rights should be addressed to the Commonwealth Copyright Administration, Attorney General’s Department, National Circuit, Barton ACT 2600 or posted at http://www.ag.gov.au/</w:t>
          </w:r>
          <w:r>
            <w:t xml:space="preserve">cca </w:t>
          </w:r>
        </w:p>
      </w:tc>
    </w:tr>
    <w:tr w:rsidR="00680255" w:rsidTr="008C71AB">
      <w:trPr>
        <w:trHeight w:hRule="exact" w:val="567"/>
      </w:trPr>
      <w:tc>
        <w:tcPr>
          <w:tcW w:w="6237" w:type="dxa"/>
          <w:tcBorders>
            <w:top w:val="single" w:sz="4" w:space="0" w:color="auto"/>
          </w:tcBorders>
          <w:tcMar>
            <w:top w:w="142" w:type="dxa"/>
            <w:bottom w:w="0" w:type="dxa"/>
          </w:tcMar>
        </w:tcPr>
        <w:p w:rsidR="008C71AB" w:rsidRPr="008C71AB" w:rsidRDefault="008C71AB" w:rsidP="008C71AB">
          <w:pPr>
            <w:pStyle w:val="Footer"/>
          </w:pPr>
          <w:r w:rsidRPr="008C71AB">
            <w:t>Australian regulatory guidelines for pre</w:t>
          </w:r>
          <w:r>
            <w:t>scription medicines – Appendix 2</w:t>
          </w:r>
        </w:p>
        <w:p w:rsidR="00680255" w:rsidRDefault="008C71AB" w:rsidP="008C71AB">
          <w:pPr>
            <w:pStyle w:val="Footer"/>
          </w:pPr>
          <w:r w:rsidRPr="008C71AB">
            <w:t>June 2004</w:t>
          </w:r>
        </w:p>
      </w:tc>
      <w:tc>
        <w:tcPr>
          <w:tcW w:w="2268" w:type="dxa"/>
          <w:tcBorders>
            <w:top w:val="single" w:sz="4" w:space="0" w:color="auto"/>
          </w:tcBorders>
          <w:tcMar>
            <w:top w:w="142" w:type="dxa"/>
            <w:bottom w:w="0" w:type="dxa"/>
          </w:tcMar>
        </w:tcPr>
        <w:p w:rsidR="00680255" w:rsidRDefault="00680255" w:rsidP="00B33863">
          <w:pPr>
            <w:pStyle w:val="Footer"/>
            <w:jc w:val="right"/>
          </w:pPr>
          <w:r>
            <w:t xml:space="preserve">Page </w:t>
          </w:r>
          <w:fldSimple w:instr=" PAGE   \* MERGEFORMAT ">
            <w:r w:rsidR="00E06D0F">
              <w:rPr>
                <w:noProof/>
              </w:rPr>
              <w:t>2</w:t>
            </w:r>
          </w:fldSimple>
          <w:r>
            <w:t xml:space="preserve"> of </w:t>
          </w:r>
          <w:fldSimple w:instr=" NUMPAGES  ">
            <w:r w:rsidR="00E06D0F">
              <w:rPr>
                <w:noProof/>
              </w:rPr>
              <w:t>7</w:t>
            </w:r>
          </w:fldSimple>
          <w:r>
            <w:t xml:space="preserve">  </w:t>
          </w:r>
        </w:p>
      </w:tc>
    </w:tr>
  </w:tbl>
  <w:p w:rsidR="00680255" w:rsidRDefault="00680255" w:rsidP="0005559E">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255" w:rsidRDefault="00680255" w:rsidP="00165389"/>
  <w:tbl>
    <w:tblPr>
      <w:tblStyle w:val="TableGrid"/>
      <w:tblpPr w:leftFromText="181" w:rightFromText="181" w:vertAnchor="page" w:horzAnchor="page" w:tblpX="1" w:tblpY="8999"/>
      <w:tblOverlap w:val="never"/>
      <w:tblW w:w="1190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11907"/>
    </w:tblGrid>
    <w:tr w:rsidR="00680255" w:rsidRPr="00DE02AE" w:rsidTr="006C642F">
      <w:trPr>
        <w:trHeight w:hRule="exact" w:val="7842"/>
      </w:trPr>
      <w:sdt>
        <w:sdtPr>
          <w:id w:val="10088063"/>
          <w:picture/>
        </w:sdtPr>
        <w:sdtContent>
          <w:tc>
            <w:tcPr>
              <w:tcW w:w="11907" w:type="dxa"/>
            </w:tcPr>
            <w:p w:rsidR="00680255" w:rsidRPr="00DE02AE" w:rsidRDefault="00B47380" w:rsidP="006C642F">
              <w:pPr>
                <w:pStyle w:val="Date"/>
              </w:pPr>
              <w:r w:rsidRPr="00B47380">
                <w:rPr>
                  <w:noProof/>
                  <w:lang w:eastAsia="en-AU"/>
                </w:rPr>
                <w:drawing>
                  <wp:inline distT="0" distB="0" distL="0" distR="0">
                    <wp:extent cx="7538521" cy="6779836"/>
                    <wp:effectExtent l="19050" t="0" r="5279" b="0"/>
                    <wp:docPr id="4" name="Picture 4" descr=" "/>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stretch>
                              <a:fillRect/>
                            </a:stretch>
                          </pic:blipFill>
                          <pic:spPr bwMode="auto">
                            <a:xfrm>
                              <a:off x="0" y="0"/>
                              <a:ext cx="7541725" cy="6782717"/>
                            </a:xfrm>
                            <a:prstGeom prst="rect">
                              <a:avLst/>
                            </a:prstGeom>
                            <a:noFill/>
                            <a:ln w="9525">
                              <a:noFill/>
                              <a:miter lim="800000"/>
                              <a:headEnd/>
                              <a:tailEnd/>
                            </a:ln>
                          </pic:spPr>
                        </pic:pic>
                      </a:graphicData>
                    </a:graphic>
                  </wp:inline>
                </w:drawing>
              </w:r>
            </w:p>
          </w:tc>
        </w:sdtContent>
      </w:sdt>
    </w:tr>
  </w:tbl>
  <w:p w:rsidR="00680255" w:rsidRDefault="00680255">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7088"/>
      <w:gridCol w:w="1773"/>
    </w:tblGrid>
    <w:tr w:rsidR="00680255" w:rsidTr="008C71AB">
      <w:trPr>
        <w:trHeight w:val="269"/>
      </w:trPr>
      <w:tc>
        <w:tcPr>
          <w:tcW w:w="7088" w:type="dxa"/>
          <w:tcBorders>
            <w:top w:val="single" w:sz="4" w:space="0" w:color="auto"/>
          </w:tcBorders>
          <w:tcMar>
            <w:top w:w="142" w:type="dxa"/>
            <w:bottom w:w="0" w:type="dxa"/>
          </w:tcMar>
        </w:tcPr>
        <w:p w:rsidR="008C71AB" w:rsidRPr="008C71AB" w:rsidRDefault="008C71AB" w:rsidP="008C71AB">
          <w:pPr>
            <w:pStyle w:val="Footer"/>
          </w:pPr>
          <w:r w:rsidRPr="008C71AB">
            <w:t>Australian regulatory guidelines for pre</w:t>
          </w:r>
          <w:r>
            <w:t>scription medicines – Appendix 2</w:t>
          </w:r>
        </w:p>
        <w:p w:rsidR="00680255" w:rsidRDefault="008C71AB" w:rsidP="008C71AB">
          <w:pPr>
            <w:pStyle w:val="Footer"/>
          </w:pPr>
          <w:r w:rsidRPr="008C71AB">
            <w:t>June 2004</w:t>
          </w:r>
        </w:p>
      </w:tc>
      <w:tc>
        <w:tcPr>
          <w:tcW w:w="1773" w:type="dxa"/>
          <w:tcBorders>
            <w:top w:val="single" w:sz="4" w:space="0" w:color="auto"/>
          </w:tcBorders>
          <w:tcMar>
            <w:top w:w="142" w:type="dxa"/>
            <w:bottom w:w="0" w:type="dxa"/>
          </w:tcMar>
        </w:tcPr>
        <w:p w:rsidR="00680255" w:rsidRDefault="00680255" w:rsidP="000B3532">
          <w:pPr>
            <w:pStyle w:val="Footer"/>
            <w:jc w:val="right"/>
          </w:pPr>
          <w:r>
            <w:t xml:space="preserve">Page </w:t>
          </w:r>
          <w:fldSimple w:instr=" PAGE   \* MERGEFORMAT ">
            <w:r w:rsidR="00E06D0F">
              <w:rPr>
                <w:noProof/>
              </w:rPr>
              <w:t>6</w:t>
            </w:r>
          </w:fldSimple>
          <w:r>
            <w:t xml:space="preserve"> of </w:t>
          </w:r>
          <w:fldSimple w:instr=" NUMPAGES  \* Arabic ">
            <w:r w:rsidR="00E06D0F">
              <w:rPr>
                <w:noProof/>
              </w:rPr>
              <w:t>7</w:t>
            </w:r>
          </w:fldSimple>
        </w:p>
      </w:tc>
    </w:tr>
  </w:tbl>
  <w:p w:rsidR="00680255" w:rsidRDefault="00680255" w:rsidP="0005559E">
    <w:pPr>
      <w:pStyle w:val="Foo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42"/>
    </w:tblGrid>
    <w:tr w:rsidR="00680255" w:rsidTr="0010601F">
      <w:trPr>
        <w:trHeight w:val="269"/>
      </w:trPr>
      <w:tc>
        <w:tcPr>
          <w:tcW w:w="4519" w:type="dxa"/>
          <w:tcBorders>
            <w:top w:val="single" w:sz="4" w:space="0" w:color="auto"/>
          </w:tcBorders>
          <w:tcMar>
            <w:top w:w="142" w:type="dxa"/>
            <w:bottom w:w="0" w:type="dxa"/>
          </w:tcMar>
        </w:tcPr>
        <w:p w:rsidR="00680255" w:rsidRDefault="00680255" w:rsidP="00FE1DEE">
          <w:pPr>
            <w:pStyle w:val="Footer"/>
          </w:pPr>
          <w:r>
            <w:t>Document title, Part #, Section # - Section title</w:t>
          </w:r>
        </w:p>
        <w:p w:rsidR="00680255" w:rsidRDefault="00680255" w:rsidP="00FE1DEE">
          <w:pPr>
            <w:pStyle w:val="Footer"/>
          </w:pPr>
          <w:r>
            <w:t>V1.0 October 2010</w:t>
          </w:r>
        </w:p>
      </w:tc>
      <w:tc>
        <w:tcPr>
          <w:tcW w:w="4342" w:type="dxa"/>
          <w:tcBorders>
            <w:top w:val="single" w:sz="4" w:space="0" w:color="auto"/>
          </w:tcBorders>
          <w:tcMar>
            <w:top w:w="142" w:type="dxa"/>
            <w:bottom w:w="0" w:type="dxa"/>
          </w:tcMar>
        </w:tcPr>
        <w:p w:rsidR="00680255" w:rsidRDefault="00680255" w:rsidP="000B3532">
          <w:pPr>
            <w:pStyle w:val="Footer"/>
            <w:jc w:val="right"/>
          </w:pPr>
          <w:r>
            <w:t xml:space="preserve">Page </w:t>
          </w:r>
          <w:fldSimple w:instr=" PAGE   \* MERGEFORMAT ">
            <w:r>
              <w:rPr>
                <w:noProof/>
              </w:rPr>
              <w:t>3</w:t>
            </w:r>
          </w:fldSimple>
          <w:r>
            <w:t xml:space="preserve"> of </w:t>
          </w:r>
          <w:fldSimple w:instr=" NUMPAGES  ">
            <w:r>
              <w:rPr>
                <w:noProof/>
              </w:rPr>
              <w:t>3</w:t>
            </w:r>
          </w:fldSimple>
        </w:p>
      </w:tc>
    </w:tr>
  </w:tbl>
  <w:p w:rsidR="00680255" w:rsidRDefault="00680255">
    <w:pPr>
      <w:pStyle w:val="Foote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255" w:rsidRDefault="00680255" w:rsidP="0005559E">
    <w:pPr>
      <w:pStyle w:val="Footer"/>
    </w:pPr>
  </w:p>
  <w:tbl>
    <w:tblPr>
      <w:tblStyle w:val="TableGrid"/>
      <w:tblW w:w="9145"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145"/>
    </w:tblGrid>
    <w:tr w:rsidR="00680255" w:rsidTr="00A36FA7">
      <w:trPr>
        <w:trHeight w:hRule="exact" w:val="454"/>
      </w:trPr>
      <w:tc>
        <w:tcPr>
          <w:tcW w:w="9145" w:type="dxa"/>
        </w:tcPr>
        <w:p w:rsidR="00680255" w:rsidRPr="00CC727F" w:rsidRDefault="00680255" w:rsidP="00576378">
          <w:pPr>
            <w:pStyle w:val="TGASignoff"/>
          </w:pPr>
          <w:r>
            <w:t>Therapeutic Goods Administration</w:t>
          </w:r>
        </w:p>
      </w:tc>
    </w:tr>
    <w:tr w:rsidR="00680255" w:rsidTr="00A36FA7">
      <w:trPr>
        <w:trHeight w:val="1284"/>
      </w:trPr>
      <w:tc>
        <w:tcPr>
          <w:tcW w:w="9145" w:type="dxa"/>
          <w:tcMar>
            <w:top w:w="28" w:type="dxa"/>
          </w:tcMar>
        </w:tcPr>
        <w:p w:rsidR="00680255" w:rsidRDefault="00680255" w:rsidP="00576378">
          <w:pPr>
            <w:pStyle w:val="Address"/>
          </w:pPr>
          <w:r>
            <w:t>PO Box 100 Woden ACT 2606 Australia</w:t>
          </w:r>
        </w:p>
        <w:p w:rsidR="00680255" w:rsidRDefault="00680255" w:rsidP="00576378">
          <w:pPr>
            <w:pStyle w:val="Address"/>
          </w:pPr>
          <w:r>
            <w:t xml:space="preserve">Email: </w:t>
          </w:r>
          <w:r w:rsidRPr="00CC727F">
            <w:t>info@tga.gov.au</w:t>
          </w:r>
          <w:r>
            <w:t xml:space="preserve">  Phone: 02 6232 8444  Fax: 02 6232 8605</w:t>
          </w:r>
        </w:p>
        <w:p w:rsidR="00680255" w:rsidRPr="000D4FC7" w:rsidRDefault="00680255" w:rsidP="00A36FA7">
          <w:pPr>
            <w:pStyle w:val="Address"/>
            <w:spacing w:line="260" w:lineRule="atLeast"/>
            <w:rPr>
              <w:b/>
            </w:rPr>
          </w:pPr>
          <w:r w:rsidRPr="000D4FC7">
            <w:rPr>
              <w:b/>
            </w:rPr>
            <w:t>www.tga.gov.au</w:t>
          </w:r>
        </w:p>
        <w:p w:rsidR="00680255" w:rsidRDefault="00680255" w:rsidP="00576378">
          <w:pPr>
            <w:pStyle w:val="Reference"/>
          </w:pPr>
          <w:r>
            <w:t>Reference/Publication #</w:t>
          </w:r>
        </w:p>
      </w:tc>
    </w:tr>
  </w:tbl>
  <w:p w:rsidR="00680255" w:rsidRDefault="00680255" w:rsidP="0005559E">
    <w:pPr>
      <w:pStyle w:val="Foo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88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170" w:type="dxa"/>
        <w:left w:w="0" w:type="dxa"/>
        <w:bottom w:w="227" w:type="dxa"/>
        <w:right w:w="0" w:type="dxa"/>
      </w:tblCellMar>
      <w:tblLook w:val="04A0"/>
    </w:tblPr>
    <w:tblGrid>
      <w:gridCol w:w="4519"/>
      <w:gridCol w:w="4356"/>
    </w:tblGrid>
    <w:tr w:rsidR="00680255" w:rsidTr="0010601F">
      <w:trPr>
        <w:trHeight w:val="108"/>
      </w:trPr>
      <w:tc>
        <w:tcPr>
          <w:tcW w:w="8875" w:type="dxa"/>
          <w:gridSpan w:val="2"/>
          <w:tcBorders>
            <w:bottom w:val="single" w:sz="4" w:space="0" w:color="auto"/>
          </w:tcBorders>
          <w:tcMar>
            <w:right w:w="284" w:type="dxa"/>
          </w:tcMar>
        </w:tcPr>
        <w:p w:rsidR="00680255" w:rsidRDefault="00680255" w:rsidP="006E08B3">
          <w:pPr>
            <w:pStyle w:val="Heading3"/>
            <w:spacing w:after="0"/>
            <w:outlineLvl w:val="2"/>
          </w:pPr>
          <w:r>
            <w:t>Copyright</w:t>
          </w:r>
        </w:p>
        <w:p w:rsidR="00680255" w:rsidRDefault="00680255" w:rsidP="006E08B3">
          <w:pPr>
            <w:pStyle w:val="Footer"/>
          </w:pPr>
          <w:r>
            <w:rPr>
              <w:rFonts w:cs="Arial"/>
            </w:rPr>
            <w:t>©</w:t>
          </w:r>
          <w:r>
            <w:t xml:space="preserve"> Commonwealth of Australia [add year]</w:t>
          </w:r>
        </w:p>
        <w:p w:rsidR="00680255" w:rsidRDefault="00680255" w:rsidP="006E08B3">
          <w:pPr>
            <w:pStyle w:val="Footer"/>
          </w:pPr>
        </w:p>
        <w:p w:rsidR="00680255" w:rsidRDefault="00680255" w:rsidP="006E08B3">
          <w:pPr>
            <w:pStyle w:val="Footer"/>
          </w:pPr>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at  </w:t>
          </w:r>
          <w:r w:rsidRPr="006E08B3">
            <w:t>http://www.ag.gov.au/cca</w:t>
          </w:r>
        </w:p>
        <w:p w:rsidR="00680255" w:rsidRDefault="00680255" w:rsidP="006E08B3">
          <w:pPr>
            <w:pStyle w:val="Footer"/>
          </w:pPr>
        </w:p>
        <w:p w:rsidR="00680255" w:rsidRDefault="00680255" w:rsidP="006E08B3">
          <w:pPr>
            <w:pStyle w:val="Heading3"/>
            <w:spacing w:after="0"/>
            <w:outlineLvl w:val="2"/>
          </w:pPr>
          <w:r>
            <w:t>Confidentiality</w:t>
          </w:r>
        </w:p>
        <w:p w:rsidR="00680255" w:rsidRDefault="00680255" w:rsidP="006E08B3">
          <w:pPr>
            <w:pStyle w:val="Footer"/>
          </w:pPr>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rsidR="00680255" w:rsidRDefault="00680255" w:rsidP="006E08B3">
          <w:pPr>
            <w:pStyle w:val="Footer"/>
          </w:pPr>
        </w:p>
        <w:p w:rsidR="00680255" w:rsidRDefault="00680255" w:rsidP="006E08B3">
          <w:pPr>
            <w:pStyle w:val="Footer"/>
          </w:pPr>
          <w:r>
            <w:t>For submission made by individuals, all personal details, other than your name, will be removed from your submission before it is published on the TGA’s Internet site.</w:t>
          </w:r>
        </w:p>
        <w:p w:rsidR="00680255" w:rsidRDefault="00680255" w:rsidP="006E08B3">
          <w:pPr>
            <w:pStyle w:val="Footer"/>
          </w:pPr>
        </w:p>
        <w:p w:rsidR="00680255" w:rsidRDefault="00680255" w:rsidP="006E08B3">
          <w:pPr>
            <w:pStyle w:val="Footer"/>
          </w:pPr>
          <w:r>
            <w:t xml:space="preserve">In addition, a list of parties making submissions will be published. If you do not wish to be identified with your submission you must specifically request this in the space provided </w:t>
          </w:r>
          <w:proofErr w:type="spellStart"/>
          <w:r>
            <w:t>ib</w:t>
          </w:r>
          <w:proofErr w:type="spellEnd"/>
          <w:r>
            <w:t xml:space="preserve"> the submission coversheet.</w:t>
          </w:r>
        </w:p>
      </w:tc>
    </w:tr>
    <w:tr w:rsidR="00680255" w:rsidTr="0010601F">
      <w:trPr>
        <w:trHeight w:val="417"/>
      </w:trPr>
      <w:tc>
        <w:tcPr>
          <w:tcW w:w="4519" w:type="dxa"/>
          <w:tcBorders>
            <w:top w:val="single" w:sz="4" w:space="0" w:color="auto"/>
          </w:tcBorders>
          <w:tcMar>
            <w:top w:w="142" w:type="dxa"/>
            <w:bottom w:w="0" w:type="dxa"/>
          </w:tcMar>
        </w:tcPr>
        <w:p w:rsidR="00680255" w:rsidRDefault="00680255" w:rsidP="006E08B3">
          <w:pPr>
            <w:pStyle w:val="Footer"/>
          </w:pPr>
          <w:r>
            <w:t>Document title, Part #, Section # - Section title</w:t>
          </w:r>
        </w:p>
        <w:p w:rsidR="00680255" w:rsidRDefault="00680255" w:rsidP="006E08B3">
          <w:pPr>
            <w:pStyle w:val="Footer"/>
          </w:pPr>
          <w:r>
            <w:t>V1.0 October 2010</w:t>
          </w:r>
        </w:p>
      </w:tc>
      <w:tc>
        <w:tcPr>
          <w:tcW w:w="4356" w:type="dxa"/>
          <w:tcBorders>
            <w:top w:val="single" w:sz="4" w:space="0" w:color="auto"/>
          </w:tcBorders>
          <w:tcMar>
            <w:top w:w="142" w:type="dxa"/>
            <w:bottom w:w="0" w:type="dxa"/>
          </w:tcMar>
        </w:tcPr>
        <w:p w:rsidR="00680255" w:rsidRDefault="00680255" w:rsidP="006E08B3">
          <w:pPr>
            <w:pStyle w:val="Footer"/>
            <w:jc w:val="right"/>
          </w:pPr>
          <w:r>
            <w:t xml:space="preserve">Page </w:t>
          </w:r>
          <w:fldSimple w:instr=" PAGE   \* MERGEFORMAT ">
            <w:r>
              <w:rPr>
                <w:noProof/>
              </w:rPr>
              <w:t>11</w:t>
            </w:r>
          </w:fldSimple>
          <w:r>
            <w:t xml:space="preserve"> of </w:t>
          </w:r>
          <w:fldSimple w:instr=" NUMPAGES  \* Arabic ">
            <w:r>
              <w:rPr>
                <w:noProof/>
              </w:rPr>
              <w:t>3</w:t>
            </w:r>
          </w:fldSimple>
          <w:r>
            <w:t xml:space="preserve">  </w:t>
          </w:r>
        </w:p>
      </w:tc>
    </w:tr>
  </w:tbl>
  <w:p w:rsidR="00680255" w:rsidRDefault="00680255">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102F22" w:rsidRDefault="00102F22" w:rsidP="00C40A36">
      <w:pPr>
        <w:spacing w:after="0"/>
      </w:pPr>
      <w:r>
        <w:separator/>
      </w:r>
    </w:p>
  </w:footnote>
  <w:footnote w:type="continuationSeparator" w:id="0">
    <w:p w:rsidR="00102F22" w:rsidRDefault="00102F22" w:rsidP="00C40A36">
      <w:pPr>
        <w:spacing w:after="0"/>
      </w:pPr>
      <w:r>
        <w:continuationSeparator/>
      </w:r>
    </w:p>
  </w:footnote>
  <w:footnote w:id="1">
    <w:p w:rsidR="008C6E94" w:rsidRDefault="008C6E94" w:rsidP="00B745F8">
      <w:pPr>
        <w:pStyle w:val="FootnoteText"/>
      </w:pPr>
      <w:r w:rsidRPr="008C6E94">
        <w:rPr>
          <w:rStyle w:val="FootnoteReference"/>
          <w:rFonts w:ascii="Cambria" w:hAnsi="Cambria"/>
          <w:sz w:val="20"/>
        </w:rPr>
        <w:footnoteRef/>
      </w:r>
      <w:r>
        <w:t xml:space="preserve"> </w:t>
      </w:r>
      <w:hyperlink r:id="rId1" w:history="1">
        <w:r w:rsidR="00C408D2">
          <w:rPr>
            <w:rStyle w:val="Hyperlink"/>
            <w:rFonts w:eastAsiaTheme="majorEastAsia"/>
          </w:rPr>
          <w:t>http://www.tga.gov.au/about/fees.htm</w:t>
        </w:r>
      </w:hyperlink>
      <w:r>
        <w:t xml:space="preserve"> </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06D0F" w:rsidRDefault="00E06D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8644" o:spid="_x0000_s18435" type="#_x0000_t136" style="position:absolute;left:0;text-align:left;margin-left:0;margin-top:0;width:524.45pt;height:74.9pt;rotation:315;z-index:-251653120;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255" w:rsidRDefault="00E06D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8645" o:spid="_x0000_s18436" type="#_x0000_t136" style="position:absolute;left:0;text-align:left;margin-left:0;margin-top:0;width:524.45pt;height:74.9pt;rotation:315;z-index:-251651072;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680255">
      <w:t>Therapeutic Goods Administration</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Style w:val="TableGrid"/>
      <w:tblW w:w="9057" w:type="dxa"/>
      <w:tblInd w:w="-28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tblPr>
    <w:tblGrid>
      <w:gridCol w:w="9057"/>
    </w:tblGrid>
    <w:tr w:rsidR="00680255" w:rsidTr="00FA5B82">
      <w:trPr>
        <w:trHeight w:hRule="exact" w:val="193"/>
      </w:trPr>
      <w:tc>
        <w:tcPr>
          <w:tcW w:w="9057" w:type="dxa"/>
        </w:tcPr>
        <w:p w:rsidR="00680255" w:rsidRDefault="00E06D0F" w:rsidP="00E02FB4">
          <w:pPr>
            <w:pStyle w:val="HeaderNoLine"/>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8643" o:spid="_x0000_s18434" type="#_x0000_t136" style="position:absolute;margin-left:0;margin-top:0;width:524.45pt;height:74.9pt;rotation:315;z-index:251661312;mso-position-horizontal:center;mso-position-horizontal-relative:margin;mso-position-vertical:center;mso-position-vertical-relative:margin" o:allowincell="f" fillcolor="#066" stroked="f">
                <v:fill opacity=".5"/>
                <v:textpath style="font-family:&quot;Arial Black&quot;;font-size:1pt" string="Historical document"/>
              </v:shape>
            </w:pict>
          </w:r>
        </w:p>
      </w:tc>
    </w:tr>
    <w:tr w:rsidR="00680255" w:rsidTr="00FA5B82">
      <w:trPr>
        <w:trHeight w:hRule="exact" w:val="2693"/>
      </w:trPr>
      <w:tc>
        <w:tcPr>
          <w:tcW w:w="9057" w:type="dxa"/>
        </w:tcPr>
        <w:p w:rsidR="00680255" w:rsidRPr="00DE02AE" w:rsidRDefault="00680255" w:rsidP="00E02FB4">
          <w:pPr>
            <w:pStyle w:val="HeaderNoLine"/>
          </w:pPr>
          <w:r w:rsidRPr="00DE02AE">
            <w:rPr>
              <w:noProof/>
              <w:lang w:eastAsia="en-AU"/>
            </w:rPr>
            <w:drawing>
              <wp:inline distT="0" distB="0" distL="0" distR="0">
                <wp:extent cx="3168000" cy="797388"/>
                <wp:effectExtent l="19050" t="0" r="0" b="0"/>
                <wp:docPr id="17"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H&amp;A_logo_Inline_black.jpg"/>
                        <pic:cNvPicPr/>
                      </pic:nvPicPr>
                      <pic:blipFill>
                        <a:blip r:embed="rId1"/>
                        <a:stretch>
                          <a:fillRect/>
                        </a:stretch>
                      </pic:blipFill>
                      <pic:spPr>
                        <a:xfrm>
                          <a:off x="0" y="0"/>
                          <a:ext cx="3168000" cy="797388"/>
                        </a:xfrm>
                        <a:prstGeom prst="rect">
                          <a:avLst/>
                        </a:prstGeom>
                      </pic:spPr>
                    </pic:pic>
                  </a:graphicData>
                </a:graphic>
              </wp:inline>
            </w:drawing>
          </w:r>
        </w:p>
      </w:tc>
    </w:tr>
  </w:tbl>
  <w:p w:rsidR="00680255" w:rsidRDefault="00680255" w:rsidP="00593AD1">
    <w:pPr>
      <w:pStyle w:val="HeaderNoLine"/>
    </w:pPr>
    <w:r>
      <w:rPr>
        <w:noProof/>
        <w:lang w:eastAsia="en-AU"/>
      </w:rPr>
      <w:drawing>
        <wp:anchor distT="0" distB="0" distL="114300" distR="114300" simplePos="0" relativeHeight="251659264" behindDoc="0" locked="0" layoutInCell="1" allowOverlap="1">
          <wp:simplePos x="0" y="0"/>
          <wp:positionH relativeFrom="column">
            <wp:posOffset>-1072515</wp:posOffset>
          </wp:positionH>
          <wp:positionV relativeFrom="paragraph">
            <wp:posOffset>1854835</wp:posOffset>
          </wp:positionV>
          <wp:extent cx="7549515" cy="2434590"/>
          <wp:effectExtent l="19050" t="0" r="0" b="0"/>
          <wp:wrapNone/>
          <wp:docPr id="7" name="Picture 6" desc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uidelines_RGB.png"/>
                  <pic:cNvPicPr/>
                </pic:nvPicPr>
                <pic:blipFill>
                  <a:blip r:embed="rId2" cstate="print"/>
                  <a:stretch>
                    <a:fillRect/>
                  </a:stretch>
                </pic:blipFill>
                <pic:spPr>
                  <a:xfrm>
                    <a:off x="0" y="0"/>
                    <a:ext cx="7549515" cy="2434590"/>
                  </a:xfrm>
                  <a:prstGeom prst="rect">
                    <a:avLst/>
                  </a:prstGeom>
                </pic:spPr>
              </pic:pic>
            </a:graphicData>
          </a:graphic>
        </wp:anchor>
      </w:drawing>
    </w:r>
    <w:r w:rsidR="00F72A0F">
      <w:rPr>
        <w:noProof/>
        <w:lang w:eastAsia="en-AU"/>
      </w:rPr>
      <w:pict>
        <v:rect id="_x0000_s18433" style="position:absolute;margin-left:-85.05pt;margin-top:244.1pt;width:355.65pt;height:39pt;z-index:251658239;mso-position-horizontal-relative:text;mso-position-vertical-relative:text" stroked="f"/>
      </w:pict>
    </w:r>
  </w:p>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255" w:rsidRDefault="00E06D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8647" o:spid="_x0000_s18438" type="#_x0000_t136" style="position:absolute;left:0;text-align:left;margin-left:0;margin-top:0;width:524.45pt;height:74.9pt;rotation:315;z-index:-251646976;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255" w:rsidRDefault="00E06D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8648" o:spid="_x0000_s18439" type="#_x0000_t136" style="position:absolute;left:0;text-align:left;margin-left:0;margin-top:0;width:524.45pt;height:74.9pt;rotation:315;z-index:-251644928;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680255">
      <w:t>Therapeutic Goods Administration</w:t>
    </w: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255" w:rsidRDefault="00E06D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8646" o:spid="_x0000_s18437" type="#_x0000_t136" style="position:absolute;left:0;text-align:left;margin-left:0;margin-top:0;width:524.45pt;height:74.9pt;rotation:315;z-index:-251649024;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680255">
      <w:t>Therapeutic Goods Administration</w: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255" w:rsidRDefault="00E06D0F">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8650" o:spid="_x0000_s18441" type="#_x0000_t136" style="position:absolute;left:0;text-align:left;margin-left:0;margin-top:0;width:524.45pt;height:74.9pt;rotation:315;z-index:-251640832;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255" w:rsidRDefault="00E06D0F" w:rsidP="00AE65EB">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8651" o:spid="_x0000_s18442" type="#_x0000_t136" style="position:absolute;margin-left:0;margin-top:0;width:524.45pt;height:74.9pt;rotation:315;z-index:-251638784;mso-position-horizontal:center;mso-position-horizontal-relative:margin;mso-position-vertical:center;mso-position-vertical-relative:margin" o:allowincell="f" fillcolor="#066" stroked="f">
          <v:fill opacity=".5"/>
          <v:textpath style="font-family:&quot;Arial Black&quot;;font-size:1pt" string="Historical document"/>
        </v:shape>
      </w:pict>
    </w: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80255" w:rsidRDefault="00E06D0F" w:rsidP="006E08B3">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17928649" o:spid="_x0000_s18440" type="#_x0000_t136" style="position:absolute;left:0;text-align:left;margin-left:0;margin-top:0;width:524.45pt;height:74.9pt;rotation:315;z-index:-251642880;mso-position-horizontal:center;mso-position-horizontal-relative:margin;mso-position-vertical:center;mso-position-vertical-relative:margin" o:allowincell="f" fillcolor="#066" stroked="f">
          <v:fill opacity=".5"/>
          <v:textpath style="font-family:&quot;Arial Black&quot;;font-size:1pt" string="Historical document"/>
        </v:shape>
      </w:pict>
    </w:r>
    <w:r w:rsidR="00680255">
      <w:t>Therapeutic Goods Administration</w:t>
    </w:r>
  </w:p>
  <w:p w:rsidR="00680255" w:rsidRDefault="00680255" w:rsidP="006D03E5">
    <w:pPr>
      <w:pStyle w:val="HeaderNoLin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7C"/>
    <w:multiLevelType w:val="singleLevel"/>
    <w:tmpl w:val="7586192E"/>
    <w:lvl w:ilvl="0">
      <w:start w:val="1"/>
      <w:numFmt w:val="decimal"/>
      <w:lvlText w:val="%1."/>
      <w:lvlJc w:val="left"/>
      <w:pPr>
        <w:tabs>
          <w:tab w:val="num" w:pos="1492"/>
        </w:tabs>
        <w:ind w:left="1492" w:hanging="360"/>
      </w:pPr>
    </w:lvl>
  </w:abstractNum>
  <w:abstractNum w:abstractNumId="1">
    <w:nsid w:val="FFFFFF7D"/>
    <w:multiLevelType w:val="singleLevel"/>
    <w:tmpl w:val="BBAC2A8A"/>
    <w:lvl w:ilvl="0">
      <w:start w:val="1"/>
      <w:numFmt w:val="decimal"/>
      <w:lvlText w:val="%1."/>
      <w:lvlJc w:val="left"/>
      <w:pPr>
        <w:tabs>
          <w:tab w:val="num" w:pos="1209"/>
        </w:tabs>
        <w:ind w:left="1209" w:hanging="360"/>
      </w:pPr>
    </w:lvl>
  </w:abstractNum>
  <w:abstractNum w:abstractNumId="2">
    <w:nsid w:val="FFFFFF7E"/>
    <w:multiLevelType w:val="singleLevel"/>
    <w:tmpl w:val="8CBEE1CA"/>
    <w:lvl w:ilvl="0">
      <w:start w:val="1"/>
      <w:numFmt w:val="decimal"/>
      <w:lvlText w:val="%1."/>
      <w:lvlJc w:val="left"/>
      <w:pPr>
        <w:tabs>
          <w:tab w:val="num" w:pos="926"/>
        </w:tabs>
        <w:ind w:left="926" w:hanging="360"/>
      </w:pPr>
    </w:lvl>
  </w:abstractNum>
  <w:abstractNum w:abstractNumId="3">
    <w:nsid w:val="FFFFFF7F"/>
    <w:multiLevelType w:val="singleLevel"/>
    <w:tmpl w:val="DEB0C148"/>
    <w:lvl w:ilvl="0">
      <w:start w:val="1"/>
      <w:numFmt w:val="decimal"/>
      <w:lvlText w:val="%1."/>
      <w:lvlJc w:val="left"/>
      <w:pPr>
        <w:tabs>
          <w:tab w:val="num" w:pos="643"/>
        </w:tabs>
        <w:ind w:left="643" w:hanging="360"/>
      </w:pPr>
    </w:lvl>
  </w:abstractNum>
  <w:abstractNum w:abstractNumId="4">
    <w:nsid w:val="FFFFFF80"/>
    <w:multiLevelType w:val="singleLevel"/>
    <w:tmpl w:val="86D65E1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F52894DE"/>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5A72211E"/>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6C44F538"/>
    <w:lvl w:ilvl="0">
      <w:start w:val="1"/>
      <w:numFmt w:val="bullet"/>
      <w:pStyle w:val="ListBullet2"/>
      <w:lvlText w:val="–"/>
      <w:lvlJc w:val="left"/>
      <w:pPr>
        <w:ind w:left="643" w:hanging="360"/>
      </w:pPr>
      <w:rPr>
        <w:rFonts w:ascii="Arial" w:hAnsi="Arial" w:hint="default"/>
      </w:rPr>
    </w:lvl>
  </w:abstractNum>
  <w:abstractNum w:abstractNumId="8">
    <w:nsid w:val="FFFFFF88"/>
    <w:multiLevelType w:val="singleLevel"/>
    <w:tmpl w:val="228A8DC2"/>
    <w:lvl w:ilvl="0">
      <w:start w:val="1"/>
      <w:numFmt w:val="decimal"/>
      <w:lvlText w:val="%1."/>
      <w:lvlJc w:val="left"/>
      <w:pPr>
        <w:tabs>
          <w:tab w:val="num" w:pos="360"/>
        </w:tabs>
        <w:ind w:left="360" w:hanging="360"/>
      </w:pPr>
    </w:lvl>
  </w:abstractNum>
  <w:abstractNum w:abstractNumId="9">
    <w:nsid w:val="FFFFFF89"/>
    <w:multiLevelType w:val="singleLevel"/>
    <w:tmpl w:val="FC6C7E5E"/>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5287791"/>
    <w:multiLevelType w:val="hybridMultilevel"/>
    <w:tmpl w:val="A994396C"/>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1">
    <w:nsid w:val="11116D77"/>
    <w:multiLevelType w:val="hybridMultilevel"/>
    <w:tmpl w:val="7152CC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nsid w:val="14F540B7"/>
    <w:multiLevelType w:val="hybridMultilevel"/>
    <w:tmpl w:val="EEF27EC8"/>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nsid w:val="174B4B8A"/>
    <w:multiLevelType w:val="singleLevel"/>
    <w:tmpl w:val="6C64A2AA"/>
    <w:lvl w:ilvl="0">
      <w:start w:val="1"/>
      <w:numFmt w:val="lowerLetter"/>
      <w:lvlText w:val="(%1)"/>
      <w:lvlJc w:val="left"/>
      <w:pPr>
        <w:tabs>
          <w:tab w:val="num" w:pos="851"/>
        </w:tabs>
        <w:ind w:left="851" w:hanging="494"/>
      </w:pPr>
    </w:lvl>
  </w:abstractNum>
  <w:abstractNum w:abstractNumId="14">
    <w:nsid w:val="1D260147"/>
    <w:multiLevelType w:val="multilevel"/>
    <w:tmpl w:val="161A5556"/>
    <w:lvl w:ilvl="0">
      <w:start w:val="1"/>
      <w:numFmt w:val="lowerLetter"/>
      <w:lvlText w:val="(%1)"/>
      <w:lvlJc w:val="left"/>
      <w:pPr>
        <w:tabs>
          <w:tab w:val="num" w:pos="360"/>
        </w:tabs>
        <w:ind w:left="360" w:hanging="360"/>
      </w:pPr>
    </w:lvl>
    <w:lvl w:ilvl="1">
      <w:start w:val="1"/>
      <w:numFmt w:val="lowerRoman"/>
      <w:lvlText w:val="(%2)"/>
      <w:lvlJc w:val="left"/>
      <w:pPr>
        <w:tabs>
          <w:tab w:val="num" w:pos="108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5">
    <w:nsid w:val="209059BE"/>
    <w:multiLevelType w:val="hybridMultilevel"/>
    <w:tmpl w:val="14568F8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nsid w:val="263A47E2"/>
    <w:multiLevelType w:val="hybridMultilevel"/>
    <w:tmpl w:val="D6A8AC6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7">
    <w:nsid w:val="2D6252C2"/>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18">
    <w:nsid w:val="53215FCA"/>
    <w:multiLevelType w:val="singleLevel"/>
    <w:tmpl w:val="6C64A2AA"/>
    <w:lvl w:ilvl="0">
      <w:start w:val="1"/>
      <w:numFmt w:val="lowerLetter"/>
      <w:lvlText w:val="(%1)"/>
      <w:lvlJc w:val="left"/>
      <w:pPr>
        <w:tabs>
          <w:tab w:val="num" w:pos="851"/>
        </w:tabs>
        <w:ind w:left="851" w:hanging="494"/>
      </w:pPr>
    </w:lvl>
  </w:abstractNum>
  <w:abstractNum w:abstractNumId="19">
    <w:nsid w:val="59E74846"/>
    <w:multiLevelType w:val="hybridMultilevel"/>
    <w:tmpl w:val="B1DCDF44"/>
    <w:lvl w:ilvl="0" w:tplc="0C09000F">
      <w:start w:val="1"/>
      <w:numFmt w:val="decimal"/>
      <w:lvlText w:val="%1."/>
      <w:lvlJc w:val="left"/>
      <w:pPr>
        <w:ind w:left="360" w:hanging="360"/>
      </w:pPr>
    </w:lvl>
    <w:lvl w:ilvl="1" w:tplc="0C090019">
      <w:start w:val="1"/>
      <w:numFmt w:val="lowerLetter"/>
      <w:lvlText w:val="%2."/>
      <w:lvlJc w:val="left"/>
      <w:pPr>
        <w:ind w:left="1080" w:hanging="360"/>
      </w:pPr>
    </w:lvl>
    <w:lvl w:ilvl="2" w:tplc="0C09001B">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20">
    <w:nsid w:val="5E4246E3"/>
    <w:multiLevelType w:val="singleLevel"/>
    <w:tmpl w:val="096EFE9C"/>
    <w:lvl w:ilvl="0">
      <w:start w:val="1"/>
      <w:numFmt w:val="bullet"/>
      <w:lvlText w:val=""/>
      <w:lvlJc w:val="left"/>
      <w:pPr>
        <w:tabs>
          <w:tab w:val="num" w:pos="360"/>
        </w:tabs>
        <w:ind w:left="360" w:hanging="360"/>
      </w:pPr>
      <w:rPr>
        <w:rFonts w:ascii="Symbol" w:hAnsi="Symbol" w:hint="default"/>
      </w:rPr>
    </w:lvl>
  </w:abstractNum>
  <w:abstractNum w:abstractNumId="21">
    <w:nsid w:val="5FA62035"/>
    <w:multiLevelType w:val="singleLevel"/>
    <w:tmpl w:val="6C64A2AA"/>
    <w:lvl w:ilvl="0">
      <w:start w:val="1"/>
      <w:numFmt w:val="lowerLetter"/>
      <w:lvlText w:val="(%1)"/>
      <w:lvlJc w:val="left"/>
      <w:pPr>
        <w:tabs>
          <w:tab w:val="num" w:pos="851"/>
        </w:tabs>
        <w:ind w:left="851" w:hanging="494"/>
      </w:pPr>
    </w:lvl>
  </w:abstractNum>
  <w:abstractNum w:abstractNumId="22">
    <w:nsid w:val="71383B54"/>
    <w:multiLevelType w:val="singleLevel"/>
    <w:tmpl w:val="8B7CB3A2"/>
    <w:lvl w:ilvl="0">
      <w:start w:val="1"/>
      <w:numFmt w:val="lowerLetter"/>
      <w:lvlText w:val="(%1.)"/>
      <w:lvlJc w:val="left"/>
      <w:pPr>
        <w:tabs>
          <w:tab w:val="num" w:pos="851"/>
        </w:tabs>
        <w:ind w:left="851" w:hanging="494"/>
      </w:pPr>
    </w:lvl>
  </w:abstractNum>
  <w:abstractNum w:abstractNumId="23">
    <w:nsid w:val="71565133"/>
    <w:multiLevelType w:val="hybridMultilevel"/>
    <w:tmpl w:val="BE0A3CBA"/>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num w:numId="1">
    <w:abstractNumId w:val="9"/>
  </w:num>
  <w:num w:numId="2">
    <w:abstractNumId w:val="7"/>
  </w:num>
  <w:num w:numId="3">
    <w:abstractNumId w:val="20"/>
  </w:num>
  <w:num w:numId="4">
    <w:abstractNumId w:val="17"/>
  </w:num>
  <w:num w:numId="5">
    <w:abstractNumId w:val="14"/>
  </w:num>
  <w:num w:numId="6">
    <w:abstractNumId w:val="22"/>
  </w:num>
  <w:num w:numId="7">
    <w:abstractNumId w:val="21"/>
  </w:num>
  <w:num w:numId="8">
    <w:abstractNumId w:val="18"/>
  </w:num>
  <w:num w:numId="9">
    <w:abstractNumId w:val="13"/>
  </w:num>
  <w:num w:numId="10">
    <w:abstractNumId w:val="19"/>
  </w:num>
  <w:num w:numId="11">
    <w:abstractNumId w:val="10"/>
  </w:num>
  <w:num w:numId="12">
    <w:abstractNumId w:val="16"/>
  </w:num>
  <w:num w:numId="13">
    <w:abstractNumId w:val="23"/>
  </w:num>
  <w:num w:numId="14">
    <w:abstractNumId w:val="12"/>
  </w:num>
  <w:num w:numId="15">
    <w:abstractNumId w:val="15"/>
  </w:num>
  <w:num w:numId="16">
    <w:abstractNumId w:val="11"/>
  </w:num>
  <w:num w:numId="17">
    <w:abstractNumId w:val="6"/>
  </w:num>
  <w:num w:numId="18">
    <w:abstractNumId w:val="5"/>
  </w:num>
  <w:num w:numId="19">
    <w:abstractNumId w:val="4"/>
  </w:num>
  <w:num w:numId="20">
    <w:abstractNumId w:val="8"/>
  </w:num>
  <w:num w:numId="21">
    <w:abstractNumId w:val="3"/>
  </w:num>
  <w:num w:numId="22">
    <w:abstractNumId w:val="2"/>
  </w:num>
  <w:num w:numId="23">
    <w:abstractNumId w:val="1"/>
  </w:num>
  <w:num w:numId="2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86"/>
  <w:embedTrueTypeFonts/>
  <w:proofState w:spelling="clean"/>
  <w:attachedTemplate r:id="rId1"/>
  <w:stylePaneFormatFilter w:val="1001"/>
  <w:stylePaneSortMethod w:val="0000"/>
  <w:defaultTabStop w:val="720"/>
  <w:drawingGridHorizontalSpacing w:val="100"/>
  <w:displayHorizontalDrawingGridEvery w:val="2"/>
  <w:characterSpacingControl w:val="doNotCompress"/>
  <w:hdrShapeDefaults>
    <o:shapedefaults v:ext="edit" spidmax="18443"/>
    <o:shapelayout v:ext="edit">
      <o:idmap v:ext="edit" data="18"/>
    </o:shapelayout>
  </w:hdrShapeDefaults>
  <w:footnotePr>
    <w:footnote w:id="-1"/>
    <w:footnote w:id="0"/>
  </w:footnotePr>
  <w:endnotePr>
    <w:endnote w:id="-1"/>
    <w:endnote w:id="0"/>
  </w:endnotePr>
  <w:compat/>
  <w:rsids>
    <w:rsidRoot w:val="008D381C"/>
    <w:rsid w:val="00002031"/>
    <w:rsid w:val="00004734"/>
    <w:rsid w:val="00006B22"/>
    <w:rsid w:val="000246AE"/>
    <w:rsid w:val="00025C67"/>
    <w:rsid w:val="0005559E"/>
    <w:rsid w:val="000B3532"/>
    <w:rsid w:val="000D391B"/>
    <w:rsid w:val="000D3D6D"/>
    <w:rsid w:val="000D4FC7"/>
    <w:rsid w:val="000F4869"/>
    <w:rsid w:val="000F6E6F"/>
    <w:rsid w:val="001019BF"/>
    <w:rsid w:val="00102F22"/>
    <w:rsid w:val="00103416"/>
    <w:rsid w:val="0010601F"/>
    <w:rsid w:val="00110EA5"/>
    <w:rsid w:val="001305A2"/>
    <w:rsid w:val="0014197B"/>
    <w:rsid w:val="001447CD"/>
    <w:rsid w:val="001516B1"/>
    <w:rsid w:val="00156316"/>
    <w:rsid w:val="00165389"/>
    <w:rsid w:val="0017693F"/>
    <w:rsid w:val="0018110E"/>
    <w:rsid w:val="00181684"/>
    <w:rsid w:val="001843C6"/>
    <w:rsid w:val="001A4289"/>
    <w:rsid w:val="001B09F9"/>
    <w:rsid w:val="001B6448"/>
    <w:rsid w:val="001E59F1"/>
    <w:rsid w:val="001F49EB"/>
    <w:rsid w:val="00201D4E"/>
    <w:rsid w:val="002257F3"/>
    <w:rsid w:val="00233456"/>
    <w:rsid w:val="002339A5"/>
    <w:rsid w:val="00247F7A"/>
    <w:rsid w:val="00286C59"/>
    <w:rsid w:val="002942D1"/>
    <w:rsid w:val="002B1638"/>
    <w:rsid w:val="002B35CC"/>
    <w:rsid w:val="002B7D52"/>
    <w:rsid w:val="002E4C9A"/>
    <w:rsid w:val="002F3F56"/>
    <w:rsid w:val="002F44B5"/>
    <w:rsid w:val="00311AC0"/>
    <w:rsid w:val="003521E8"/>
    <w:rsid w:val="003728F3"/>
    <w:rsid w:val="003B347F"/>
    <w:rsid w:val="003B7E39"/>
    <w:rsid w:val="003C58DC"/>
    <w:rsid w:val="003F0B04"/>
    <w:rsid w:val="0040134E"/>
    <w:rsid w:val="00440A2D"/>
    <w:rsid w:val="004564A7"/>
    <w:rsid w:val="00494E60"/>
    <w:rsid w:val="004F0F38"/>
    <w:rsid w:val="004F42DE"/>
    <w:rsid w:val="00501921"/>
    <w:rsid w:val="005434C6"/>
    <w:rsid w:val="00550096"/>
    <w:rsid w:val="00576378"/>
    <w:rsid w:val="00585322"/>
    <w:rsid w:val="00593AD1"/>
    <w:rsid w:val="005B0394"/>
    <w:rsid w:val="005C5570"/>
    <w:rsid w:val="005C79A4"/>
    <w:rsid w:val="005D5442"/>
    <w:rsid w:val="00640FC3"/>
    <w:rsid w:val="0065419D"/>
    <w:rsid w:val="00664A5B"/>
    <w:rsid w:val="00680255"/>
    <w:rsid w:val="006931B1"/>
    <w:rsid w:val="006A15C0"/>
    <w:rsid w:val="006C642F"/>
    <w:rsid w:val="006D03E5"/>
    <w:rsid w:val="006D5D3E"/>
    <w:rsid w:val="006E08B3"/>
    <w:rsid w:val="006F572E"/>
    <w:rsid w:val="007046D6"/>
    <w:rsid w:val="0074253D"/>
    <w:rsid w:val="0074429B"/>
    <w:rsid w:val="007615BC"/>
    <w:rsid w:val="00762F05"/>
    <w:rsid w:val="007652FF"/>
    <w:rsid w:val="00773EF7"/>
    <w:rsid w:val="00793A59"/>
    <w:rsid w:val="00821776"/>
    <w:rsid w:val="008321F5"/>
    <w:rsid w:val="00832369"/>
    <w:rsid w:val="00834660"/>
    <w:rsid w:val="00836BC2"/>
    <w:rsid w:val="0085641B"/>
    <w:rsid w:val="008A2B9D"/>
    <w:rsid w:val="008B4B03"/>
    <w:rsid w:val="008C159F"/>
    <w:rsid w:val="008C1623"/>
    <w:rsid w:val="008C6E94"/>
    <w:rsid w:val="008C71AB"/>
    <w:rsid w:val="008D381C"/>
    <w:rsid w:val="008F1CCC"/>
    <w:rsid w:val="008F2967"/>
    <w:rsid w:val="00920330"/>
    <w:rsid w:val="009219D7"/>
    <w:rsid w:val="00922D53"/>
    <w:rsid w:val="00923B70"/>
    <w:rsid w:val="00930237"/>
    <w:rsid w:val="009439C6"/>
    <w:rsid w:val="00963C08"/>
    <w:rsid w:val="009A4CED"/>
    <w:rsid w:val="009B1D12"/>
    <w:rsid w:val="009B416B"/>
    <w:rsid w:val="009C4BD5"/>
    <w:rsid w:val="009D07E9"/>
    <w:rsid w:val="009E3C4A"/>
    <w:rsid w:val="009E3FBB"/>
    <w:rsid w:val="00A14DF7"/>
    <w:rsid w:val="00A3246D"/>
    <w:rsid w:val="00A36FA7"/>
    <w:rsid w:val="00A47AF7"/>
    <w:rsid w:val="00A47C3E"/>
    <w:rsid w:val="00A50226"/>
    <w:rsid w:val="00AC2B40"/>
    <w:rsid w:val="00AC2BB2"/>
    <w:rsid w:val="00AE4A59"/>
    <w:rsid w:val="00AE65EB"/>
    <w:rsid w:val="00AF1D94"/>
    <w:rsid w:val="00B009C6"/>
    <w:rsid w:val="00B011EF"/>
    <w:rsid w:val="00B01548"/>
    <w:rsid w:val="00B25034"/>
    <w:rsid w:val="00B33863"/>
    <w:rsid w:val="00B4175E"/>
    <w:rsid w:val="00B47380"/>
    <w:rsid w:val="00B54C25"/>
    <w:rsid w:val="00B745F8"/>
    <w:rsid w:val="00B76B91"/>
    <w:rsid w:val="00BC622A"/>
    <w:rsid w:val="00BE0A78"/>
    <w:rsid w:val="00BE79F0"/>
    <w:rsid w:val="00BF046D"/>
    <w:rsid w:val="00C17839"/>
    <w:rsid w:val="00C27809"/>
    <w:rsid w:val="00C404A6"/>
    <w:rsid w:val="00C408D2"/>
    <w:rsid w:val="00C40A36"/>
    <w:rsid w:val="00C45E7B"/>
    <w:rsid w:val="00C54B44"/>
    <w:rsid w:val="00C6316B"/>
    <w:rsid w:val="00C634A9"/>
    <w:rsid w:val="00C772FF"/>
    <w:rsid w:val="00C801AF"/>
    <w:rsid w:val="00CA0A95"/>
    <w:rsid w:val="00CB6BC0"/>
    <w:rsid w:val="00CC727F"/>
    <w:rsid w:val="00CF15C3"/>
    <w:rsid w:val="00CF2B6F"/>
    <w:rsid w:val="00D017ED"/>
    <w:rsid w:val="00D224FE"/>
    <w:rsid w:val="00D43201"/>
    <w:rsid w:val="00D6493E"/>
    <w:rsid w:val="00DA1124"/>
    <w:rsid w:val="00DE02AE"/>
    <w:rsid w:val="00DF1D7F"/>
    <w:rsid w:val="00E02FB4"/>
    <w:rsid w:val="00E06D0F"/>
    <w:rsid w:val="00E20571"/>
    <w:rsid w:val="00E239D4"/>
    <w:rsid w:val="00E40B22"/>
    <w:rsid w:val="00E4588F"/>
    <w:rsid w:val="00EB0798"/>
    <w:rsid w:val="00EB586E"/>
    <w:rsid w:val="00F04F68"/>
    <w:rsid w:val="00F12670"/>
    <w:rsid w:val="00F14B27"/>
    <w:rsid w:val="00F35298"/>
    <w:rsid w:val="00F47E37"/>
    <w:rsid w:val="00F72A0F"/>
    <w:rsid w:val="00F80E40"/>
    <w:rsid w:val="00FA5B82"/>
    <w:rsid w:val="00FA639E"/>
    <w:rsid w:val="00FC25E4"/>
    <w:rsid w:val="00FC4EF7"/>
    <w:rsid w:val="00FE1DEE"/>
    <w:rsid w:val="00FF2126"/>
    <w:rsid w:val="00FF69BE"/>
    <w:rsid w:val="00FF7B93"/>
  </w:rsids>
  <m:mathPr>
    <m:mathFont m:val="Cambria Math"/>
    <m:brkBin m:val="before"/>
    <m:brkBinSub m:val="--"/>
    <m:smallFrac m:val="off"/>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844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header" w:semiHidden="0" w:unhideWhenUsed="0"/>
    <w:lsdException w:name="footer" w:semiHidden="0" w:unhideWhenUsed="0"/>
    <w:lsdException w:name="caption" w:semiHidden="0" w:uiPriority="35" w:unhideWhenUsed="0"/>
    <w:lsdException w:name="footnote reference" w:uiPriority="0"/>
    <w:lsdException w:name="List Bullet" w:semiHidden="0" w:unhideWhenUsed="0" w:qFormat="1"/>
    <w:lsdException w:name="List Bullet 2" w:semiHidden="0" w:unhideWhenUsed="0" w:qFormat="1"/>
    <w:lsdException w:name="Title" w:semiHidden="0" w:uiPriority="10" w:unhideWhenUsed="0"/>
    <w:lsdException w:name="Default Paragraph Font" w:uiPriority="1"/>
    <w:lsdException w:name="Subtitle" w:semiHidden="0" w:uiPriority="11" w:unhideWhenUsed="0"/>
    <w:lsdException w:name="Date" w:semiHidden="0" w:unhideWhenUsed="0"/>
    <w:lsdException w:name="Hyperlink" w:uiPriority="0"/>
    <w:lsdException w:name="Strong" w:semiHidden="0" w:uiPriority="22" w:unhideWhenUsed="0"/>
    <w:lsdException w:name="Emphasis" w:semiHidden="0" w:uiPriority="20" w:unhideWhenUsed="0"/>
    <w:lsdException w:name="Table Grid" w:semiHidden="0" w:uiPriority="59" w:unhideWhenUsed="0"/>
    <w:lsdException w:name="Placeholder Text" w:unhideWhenUsed="0"/>
    <w:lsdException w:name="No Spacing" w:semiHidden="0" w:uiPriority="1"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lsdException w:name="Quote" w:semiHidden="0" w:uiPriority="29" w:unhideWhenUsed="0"/>
    <w:lsdException w:name="Intense Quote" w:semiHidden="0" w:uiPriority="30" w:unhideWhenUsed="0"/>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lsdException w:name="Intense Emphasis" w:semiHidden="0" w:uiPriority="21" w:unhideWhenUsed="0"/>
    <w:lsdException w:name="Subtle Reference" w:semiHidden="0" w:uiPriority="31" w:unhideWhenUsed="0"/>
    <w:lsdException w:name="Intense Reference" w:semiHidden="0" w:uiPriority="32" w:unhideWhenUsed="0"/>
    <w:lsdException w:name="Book Title" w:semiHidden="0" w:uiPriority="33" w:unhideWhenUsed="0"/>
    <w:lsdException w:name="Bibliography" w:uiPriority="37"/>
    <w:lsdException w:name="TOC Heading" w:uiPriority="39" w:qFormat="1"/>
  </w:latentStyles>
  <w:style w:type="paragraph" w:default="1" w:styleId="Normal">
    <w:name w:val="Normal"/>
    <w:qFormat/>
    <w:rsid w:val="00B76B91"/>
    <w:pPr>
      <w:spacing w:after="120" w:line="240" w:lineRule="atLeast"/>
    </w:pPr>
    <w:rPr>
      <w:rFonts w:ascii="Cambria" w:hAnsi="Cambria"/>
      <w:sz w:val="20"/>
    </w:rPr>
  </w:style>
  <w:style w:type="paragraph" w:styleId="Heading1">
    <w:name w:val="heading 1"/>
    <w:basedOn w:val="Normal"/>
    <w:next w:val="Normal"/>
    <w:link w:val="Heading1Char"/>
    <w:uiPriority w:val="9"/>
    <w:qFormat/>
    <w:rsid w:val="00930237"/>
    <w:pPr>
      <w:keepNext/>
      <w:keepLines/>
      <w:spacing w:after="360"/>
      <w:outlineLvl w:val="0"/>
    </w:pPr>
    <w:rPr>
      <w:rFonts w:asciiTheme="majorHAnsi" w:eastAsiaTheme="majorEastAsia" w:hAnsiTheme="majorHAnsi" w:cstheme="majorBidi"/>
      <w:b/>
      <w:bCs/>
      <w:sz w:val="64"/>
      <w:szCs w:val="28"/>
    </w:rPr>
  </w:style>
  <w:style w:type="paragraph" w:styleId="Heading2">
    <w:name w:val="heading 2"/>
    <w:basedOn w:val="Normal"/>
    <w:next w:val="Normal"/>
    <w:link w:val="Heading2Char"/>
    <w:uiPriority w:val="9"/>
    <w:qFormat/>
    <w:rsid w:val="00930237"/>
    <w:pPr>
      <w:keepNext/>
      <w:keepLines/>
      <w:spacing w:after="240"/>
      <w:outlineLvl w:val="1"/>
    </w:pPr>
    <w:rPr>
      <w:rFonts w:asciiTheme="majorHAnsi" w:eastAsiaTheme="majorEastAsia" w:hAnsiTheme="majorHAnsi" w:cstheme="majorBidi"/>
      <w:b/>
      <w:bCs/>
      <w:sz w:val="32"/>
      <w:szCs w:val="26"/>
    </w:rPr>
  </w:style>
  <w:style w:type="paragraph" w:styleId="Heading3">
    <w:name w:val="heading 3"/>
    <w:basedOn w:val="Normal"/>
    <w:next w:val="Normal"/>
    <w:link w:val="Heading3Char"/>
    <w:uiPriority w:val="9"/>
    <w:qFormat/>
    <w:rsid w:val="00025C67"/>
    <w:pPr>
      <w:keepNext/>
      <w:keepLines/>
      <w:outlineLvl w:val="2"/>
    </w:pPr>
    <w:rPr>
      <w:rFonts w:asciiTheme="minorHAnsi" w:eastAsiaTheme="majorEastAsia" w:hAnsiTheme="minorHAnsi" w:cstheme="majorBidi"/>
      <w:b/>
      <w:bCs/>
      <w:sz w:val="22"/>
    </w:rPr>
  </w:style>
  <w:style w:type="paragraph" w:styleId="Heading4">
    <w:name w:val="heading 4"/>
    <w:basedOn w:val="Normal"/>
    <w:next w:val="Normal"/>
    <w:link w:val="Heading4Char"/>
    <w:uiPriority w:val="9"/>
    <w:qFormat/>
    <w:rsid w:val="00FF2126"/>
    <w:pPr>
      <w:outlineLvl w:val="3"/>
    </w:pPr>
    <w:rPr>
      <w:b/>
    </w:rPr>
  </w:style>
  <w:style w:type="paragraph" w:styleId="Heading5">
    <w:name w:val="heading 5"/>
    <w:basedOn w:val="Normal"/>
    <w:next w:val="Normal"/>
    <w:link w:val="Heading5Char"/>
    <w:uiPriority w:val="9"/>
    <w:qFormat/>
    <w:rsid w:val="00FA639E"/>
    <w:pPr>
      <w:keepNext/>
      <w:keepLines/>
      <w:outlineLvl w:val="4"/>
    </w:pPr>
    <w:rPr>
      <w:rFonts w:eastAsiaTheme="majorEastAsia" w:cstheme="majorBidi"/>
      <w:b/>
      <w:color w:val="00152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30237"/>
    <w:rPr>
      <w:rFonts w:asciiTheme="majorHAnsi" w:eastAsiaTheme="majorEastAsia" w:hAnsiTheme="majorHAnsi" w:cstheme="majorBidi"/>
      <w:b/>
      <w:bCs/>
      <w:sz w:val="64"/>
      <w:szCs w:val="28"/>
    </w:rPr>
  </w:style>
  <w:style w:type="character" w:customStyle="1" w:styleId="Heading2Char">
    <w:name w:val="Heading 2 Char"/>
    <w:basedOn w:val="DefaultParagraphFont"/>
    <w:link w:val="Heading2"/>
    <w:uiPriority w:val="9"/>
    <w:rsid w:val="00930237"/>
    <w:rPr>
      <w:rFonts w:asciiTheme="majorHAnsi" w:eastAsiaTheme="majorEastAsia" w:hAnsiTheme="majorHAnsi" w:cstheme="majorBidi"/>
      <w:b/>
      <w:bCs/>
      <w:sz w:val="32"/>
      <w:szCs w:val="26"/>
    </w:rPr>
  </w:style>
  <w:style w:type="character" w:customStyle="1" w:styleId="Heading3Char">
    <w:name w:val="Heading 3 Char"/>
    <w:basedOn w:val="DefaultParagraphFont"/>
    <w:link w:val="Heading3"/>
    <w:uiPriority w:val="9"/>
    <w:rsid w:val="00025C67"/>
    <w:rPr>
      <w:rFonts w:eastAsiaTheme="majorEastAsia" w:cstheme="majorBidi"/>
      <w:b/>
      <w:bCs/>
    </w:rPr>
  </w:style>
  <w:style w:type="paragraph" w:customStyle="1" w:styleId="TableTitle">
    <w:name w:val="Table Title"/>
    <w:basedOn w:val="Normal"/>
    <w:qFormat/>
    <w:rsid w:val="00AC2B40"/>
    <w:rPr>
      <w:b/>
    </w:rPr>
  </w:style>
  <w:style w:type="paragraph" w:styleId="Date">
    <w:name w:val="Date"/>
    <w:basedOn w:val="Normal"/>
    <w:next w:val="Normal"/>
    <w:link w:val="DateChar"/>
    <w:uiPriority w:val="99"/>
    <w:rsid w:val="00A50226"/>
    <w:pPr>
      <w:spacing w:after="0"/>
    </w:pPr>
    <w:rPr>
      <w:rFonts w:ascii="Arial" w:hAnsi="Arial"/>
      <w:sz w:val="28"/>
    </w:rPr>
  </w:style>
  <w:style w:type="character" w:customStyle="1" w:styleId="DateChar">
    <w:name w:val="Date Char"/>
    <w:basedOn w:val="DefaultParagraphFont"/>
    <w:link w:val="Date"/>
    <w:uiPriority w:val="99"/>
    <w:rsid w:val="00A50226"/>
    <w:rPr>
      <w:rFonts w:ascii="Arial" w:hAnsi="Arial"/>
      <w:sz w:val="28"/>
    </w:rPr>
  </w:style>
  <w:style w:type="paragraph" w:styleId="Header">
    <w:name w:val="header"/>
    <w:basedOn w:val="Normal"/>
    <w:link w:val="HeaderChar"/>
    <w:uiPriority w:val="99"/>
    <w:rsid w:val="003521E8"/>
    <w:pPr>
      <w:pBdr>
        <w:bottom w:val="single" w:sz="4" w:space="3" w:color="auto"/>
      </w:pBdr>
      <w:tabs>
        <w:tab w:val="center" w:pos="4513"/>
        <w:tab w:val="right" w:pos="9026"/>
      </w:tabs>
      <w:spacing w:after="0" w:line="240" w:lineRule="auto"/>
      <w:jc w:val="right"/>
    </w:pPr>
    <w:rPr>
      <w:sz w:val="17"/>
    </w:rPr>
  </w:style>
  <w:style w:type="character" w:customStyle="1" w:styleId="HeaderChar">
    <w:name w:val="Header Char"/>
    <w:basedOn w:val="DefaultParagraphFont"/>
    <w:link w:val="Header"/>
    <w:uiPriority w:val="99"/>
    <w:rsid w:val="003521E8"/>
    <w:rPr>
      <w:rFonts w:ascii="Cambria" w:hAnsi="Cambria"/>
      <w:sz w:val="17"/>
    </w:rPr>
  </w:style>
  <w:style w:type="paragraph" w:styleId="Footer">
    <w:name w:val="footer"/>
    <w:basedOn w:val="Normal"/>
    <w:link w:val="FooterChar"/>
    <w:uiPriority w:val="99"/>
    <w:rsid w:val="00B33863"/>
    <w:pPr>
      <w:tabs>
        <w:tab w:val="center" w:pos="4513"/>
        <w:tab w:val="right" w:pos="9026"/>
      </w:tabs>
      <w:spacing w:after="0" w:line="240" w:lineRule="auto"/>
    </w:pPr>
    <w:rPr>
      <w:rFonts w:asciiTheme="minorHAnsi" w:hAnsiTheme="minorHAnsi"/>
      <w:sz w:val="17"/>
    </w:rPr>
  </w:style>
  <w:style w:type="character" w:customStyle="1" w:styleId="FooterChar">
    <w:name w:val="Footer Char"/>
    <w:basedOn w:val="DefaultParagraphFont"/>
    <w:link w:val="Footer"/>
    <w:uiPriority w:val="99"/>
    <w:rsid w:val="00B33863"/>
    <w:rPr>
      <w:sz w:val="17"/>
    </w:rPr>
  </w:style>
  <w:style w:type="paragraph" w:styleId="ListBullet">
    <w:name w:val="List Bullet"/>
    <w:basedOn w:val="Normal"/>
    <w:uiPriority w:val="99"/>
    <w:qFormat/>
    <w:rsid w:val="005C79A4"/>
    <w:pPr>
      <w:numPr>
        <w:numId w:val="1"/>
      </w:numPr>
      <w:tabs>
        <w:tab w:val="clear" w:pos="360"/>
      </w:tabs>
      <w:spacing w:after="160"/>
      <w:ind w:left="284" w:hanging="284"/>
    </w:pPr>
  </w:style>
  <w:style w:type="paragraph" w:styleId="ListBullet2">
    <w:name w:val="List Bullet 2"/>
    <w:basedOn w:val="Normal"/>
    <w:uiPriority w:val="99"/>
    <w:qFormat/>
    <w:rsid w:val="00025C67"/>
    <w:pPr>
      <w:numPr>
        <w:numId w:val="2"/>
      </w:numPr>
      <w:ind w:left="568" w:hanging="284"/>
      <w:contextualSpacing/>
    </w:pPr>
  </w:style>
  <w:style w:type="paragraph" w:customStyle="1" w:styleId="Reference">
    <w:name w:val="Reference"/>
    <w:basedOn w:val="Normal"/>
    <w:rsid w:val="00A36FA7"/>
    <w:pPr>
      <w:spacing w:before="40" w:after="0"/>
      <w:jc w:val="center"/>
    </w:pPr>
    <w:rPr>
      <w:rFonts w:asciiTheme="minorHAnsi" w:hAnsiTheme="minorHAnsi"/>
      <w:sz w:val="17"/>
    </w:rPr>
  </w:style>
  <w:style w:type="table" w:styleId="TableGrid">
    <w:name w:val="Table Grid"/>
    <w:basedOn w:val="TableNormal"/>
    <w:uiPriority w:val="59"/>
    <w:rsid w:val="00C40A3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FF2126"/>
    <w:rPr>
      <w:rFonts w:ascii="Cambria" w:hAnsi="Cambria"/>
      <w:b/>
      <w:sz w:val="20"/>
    </w:rPr>
  </w:style>
  <w:style w:type="paragraph" w:customStyle="1" w:styleId="HeaderNoLine">
    <w:name w:val="Header No Line"/>
    <w:basedOn w:val="Header"/>
    <w:rsid w:val="00593AD1"/>
    <w:pPr>
      <w:pBdr>
        <w:bottom w:val="none" w:sz="0" w:space="0" w:color="auto"/>
      </w:pBdr>
      <w:jc w:val="left"/>
    </w:pPr>
  </w:style>
  <w:style w:type="paragraph" w:styleId="BalloonText">
    <w:name w:val="Balloon Text"/>
    <w:basedOn w:val="Normal"/>
    <w:link w:val="BalloonTextChar"/>
    <w:uiPriority w:val="99"/>
    <w:semiHidden/>
    <w:unhideWhenUsed/>
    <w:rsid w:val="00593AD1"/>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593AD1"/>
    <w:rPr>
      <w:rFonts w:ascii="Tahoma" w:hAnsi="Tahoma" w:cs="Tahoma"/>
      <w:sz w:val="16"/>
      <w:szCs w:val="16"/>
    </w:rPr>
  </w:style>
  <w:style w:type="paragraph" w:customStyle="1" w:styleId="TableHeading">
    <w:name w:val="Table Heading"/>
    <w:basedOn w:val="Normal"/>
    <w:qFormat/>
    <w:rsid w:val="00A47AF7"/>
    <w:rPr>
      <w:rFonts w:asciiTheme="minorHAnsi" w:hAnsiTheme="minorHAnsi"/>
      <w:b/>
      <w:color w:val="FFFFFF" w:themeColor="background1"/>
    </w:rPr>
  </w:style>
  <w:style w:type="paragraph" w:customStyle="1" w:styleId="TGASignoff">
    <w:name w:val="TGA Signoff"/>
    <w:basedOn w:val="Normal"/>
    <w:qFormat/>
    <w:rsid w:val="000D4FC7"/>
    <w:pPr>
      <w:jc w:val="center"/>
    </w:pPr>
    <w:rPr>
      <w:rFonts w:asciiTheme="majorHAnsi" w:hAnsiTheme="majorHAnsi"/>
      <w:b/>
      <w:sz w:val="28"/>
    </w:rPr>
  </w:style>
  <w:style w:type="paragraph" w:styleId="Caption">
    <w:name w:val="caption"/>
    <w:basedOn w:val="Normal"/>
    <w:next w:val="Normal"/>
    <w:uiPriority w:val="35"/>
    <w:rsid w:val="00025C67"/>
    <w:pPr>
      <w:spacing w:before="120" w:after="0"/>
    </w:pPr>
    <w:rPr>
      <w:bCs/>
      <w:sz w:val="17"/>
      <w:szCs w:val="18"/>
    </w:rPr>
  </w:style>
  <w:style w:type="paragraph" w:styleId="TOCHeading">
    <w:name w:val="TOC Heading"/>
    <w:basedOn w:val="Heading1"/>
    <w:next w:val="Normal"/>
    <w:uiPriority w:val="39"/>
    <w:semiHidden/>
    <w:unhideWhenUsed/>
    <w:qFormat/>
    <w:rsid w:val="00832369"/>
    <w:pPr>
      <w:spacing w:before="480" w:after="0" w:line="276" w:lineRule="auto"/>
      <w:outlineLvl w:val="9"/>
    </w:pPr>
    <w:rPr>
      <w:color w:val="002035" w:themeColor="accent1" w:themeShade="BF"/>
      <w:sz w:val="28"/>
      <w:lang w:val="en-US"/>
    </w:rPr>
  </w:style>
  <w:style w:type="paragraph" w:styleId="TOC1">
    <w:name w:val="toc 1"/>
    <w:basedOn w:val="Normal"/>
    <w:next w:val="Normal"/>
    <w:uiPriority w:val="39"/>
    <w:unhideWhenUsed/>
    <w:rsid w:val="00006B22"/>
    <w:pPr>
      <w:tabs>
        <w:tab w:val="right" w:pos="8505"/>
      </w:tabs>
      <w:spacing w:after="200"/>
    </w:pPr>
    <w:rPr>
      <w:rFonts w:asciiTheme="majorHAnsi" w:hAnsiTheme="majorHAnsi"/>
      <w:b/>
      <w:sz w:val="32"/>
    </w:rPr>
  </w:style>
  <w:style w:type="paragraph" w:styleId="TOC2">
    <w:name w:val="toc 2"/>
    <w:basedOn w:val="Normal"/>
    <w:next w:val="Normal"/>
    <w:uiPriority w:val="39"/>
    <w:unhideWhenUsed/>
    <w:rsid w:val="00006B22"/>
    <w:pPr>
      <w:tabs>
        <w:tab w:val="right" w:leader="underscore" w:pos="8505"/>
      </w:tabs>
      <w:spacing w:after="100"/>
      <w:ind w:left="624"/>
    </w:pPr>
    <w:rPr>
      <w:rFonts w:asciiTheme="minorHAnsi" w:hAnsiTheme="minorHAnsi"/>
      <w:b/>
      <w:sz w:val="25"/>
    </w:rPr>
  </w:style>
  <w:style w:type="paragraph" w:customStyle="1" w:styleId="FigureCaption">
    <w:name w:val="Figure Caption"/>
    <w:basedOn w:val="Normal"/>
    <w:qFormat/>
    <w:rsid w:val="00FA639E"/>
    <w:pPr>
      <w:spacing w:after="0"/>
    </w:pPr>
  </w:style>
  <w:style w:type="character" w:customStyle="1" w:styleId="Heading5Char">
    <w:name w:val="Heading 5 Char"/>
    <w:basedOn w:val="DefaultParagraphFont"/>
    <w:link w:val="Heading5"/>
    <w:uiPriority w:val="9"/>
    <w:rsid w:val="00FA639E"/>
    <w:rPr>
      <w:rFonts w:ascii="Minion Pro" w:eastAsiaTheme="majorEastAsia" w:hAnsi="Minion Pro" w:cstheme="majorBidi"/>
      <w:b/>
      <w:color w:val="001523" w:themeColor="accent1" w:themeShade="7F"/>
    </w:rPr>
  </w:style>
  <w:style w:type="table" w:customStyle="1" w:styleId="TableTGA1">
    <w:name w:val="Table_TGA_1"/>
    <w:basedOn w:val="TableNormal"/>
    <w:uiPriority w:val="99"/>
    <w:rsid w:val="00F14B27"/>
    <w:pPr>
      <w:spacing w:after="0" w:line="240" w:lineRule="auto"/>
    </w:pPr>
    <w:rPr>
      <w:rFonts w:ascii="Minion Pro" w:hAnsi="Minion Pro"/>
      <w:sz w:val="20"/>
    </w:rPr>
    <w:tblPr>
      <w:tblInd w:w="113" w:type="dxa"/>
      <w:tblBorders>
        <w:top w:val="single" w:sz="4" w:space="0" w:color="002C47" w:themeColor="accent1"/>
        <w:left w:val="single" w:sz="4" w:space="0" w:color="002C47" w:themeColor="accent1"/>
        <w:bottom w:val="single" w:sz="4" w:space="0" w:color="002C47" w:themeColor="accent1"/>
        <w:right w:val="single" w:sz="4" w:space="0" w:color="002C47" w:themeColor="accent1"/>
        <w:insideH w:val="single" w:sz="4" w:space="0" w:color="002C47" w:themeColor="accent1"/>
        <w:insideV w:val="single" w:sz="4" w:space="0" w:color="002C47" w:themeColor="accent1"/>
      </w:tblBorders>
      <w:tblCellMar>
        <w:top w:w="113" w:type="dxa"/>
        <w:left w:w="108" w:type="dxa"/>
        <w:bottom w:w="57" w:type="dxa"/>
        <w:right w:w="108" w:type="dxa"/>
      </w:tblCellMar>
    </w:tblPr>
    <w:tblStylePr w:type="firstRow">
      <w:pPr>
        <w:wordWrap/>
        <w:spacing w:beforeLines="0" w:beforeAutospacing="0" w:afterLines="0" w:afterAutospacing="0" w:line="240" w:lineRule="auto"/>
      </w:pPr>
      <w:rPr>
        <w:rFonts w:ascii="Minion Pro" w:hAnsi="Minion Pro"/>
        <w:b/>
        <w:color w:val="FFFFFF" w:themeColor="background1"/>
        <w:sz w:val="20"/>
      </w:rPr>
      <w:tblPr/>
      <w:trPr>
        <w:cantSplit/>
        <w:tblHeader/>
      </w:trPr>
      <w:tcPr>
        <w:tcBorders>
          <w:top w:val="single" w:sz="4" w:space="0" w:color="002C47" w:themeColor="accent1"/>
          <w:left w:val="single" w:sz="4" w:space="0" w:color="002C47" w:themeColor="accent1"/>
          <w:bottom w:val="single" w:sz="4" w:space="0" w:color="002C47" w:themeColor="accent1"/>
          <w:right w:val="single" w:sz="4" w:space="0" w:color="002C47" w:themeColor="accent1"/>
          <w:insideH w:val="nil"/>
          <w:insideV w:val="nil"/>
          <w:tl2br w:val="nil"/>
          <w:tr2bl w:val="nil"/>
        </w:tcBorders>
        <w:shd w:val="clear" w:color="auto" w:fill="006DA7" w:themeFill="accent3"/>
      </w:tcPr>
    </w:tblStylePr>
  </w:style>
  <w:style w:type="paragraph" w:customStyle="1" w:styleId="LegalCopy">
    <w:name w:val="Legal Copy"/>
    <w:basedOn w:val="Footer"/>
    <w:qFormat/>
    <w:rsid w:val="00B33863"/>
    <w:rPr>
      <w:sz w:val="15"/>
    </w:rPr>
  </w:style>
  <w:style w:type="paragraph" w:customStyle="1" w:styleId="FlowChartWhiteHeading">
    <w:name w:val="Flow Chart White Heading"/>
    <w:basedOn w:val="Normal"/>
    <w:rsid w:val="00311AC0"/>
    <w:pPr>
      <w:spacing w:after="0"/>
      <w:jc w:val="center"/>
    </w:pPr>
    <w:rPr>
      <w:b/>
      <w:color w:val="FFFFFF" w:themeColor="background1"/>
    </w:rPr>
  </w:style>
  <w:style w:type="paragraph" w:customStyle="1" w:styleId="FlowChartWhiteText">
    <w:name w:val="Flow Chart White Text"/>
    <w:basedOn w:val="Normal"/>
    <w:rsid w:val="00311AC0"/>
    <w:pPr>
      <w:spacing w:after="0"/>
      <w:jc w:val="center"/>
    </w:pPr>
    <w:rPr>
      <w:color w:val="FFFFFF" w:themeColor="background1"/>
    </w:rPr>
  </w:style>
  <w:style w:type="paragraph" w:customStyle="1" w:styleId="FlowChartBlackHeading">
    <w:name w:val="Flow Chart Black Heading"/>
    <w:basedOn w:val="FlowChartWhiteHeading"/>
    <w:rsid w:val="00664A5B"/>
    <w:rPr>
      <w:color w:val="auto"/>
    </w:rPr>
  </w:style>
  <w:style w:type="paragraph" w:customStyle="1" w:styleId="FlowchartText">
    <w:name w:val="Flowchart Text"/>
    <w:basedOn w:val="Normal"/>
    <w:rsid w:val="001516B1"/>
    <w:pPr>
      <w:spacing w:after="240"/>
      <w:jc w:val="center"/>
    </w:pPr>
  </w:style>
  <w:style w:type="paragraph" w:customStyle="1" w:styleId="NonTOCHeading2">
    <w:name w:val="Non TOC Heading 2"/>
    <w:basedOn w:val="Normal"/>
    <w:qFormat/>
    <w:rsid w:val="00FF2126"/>
    <w:pPr>
      <w:spacing w:after="240"/>
    </w:pPr>
    <w:rPr>
      <w:rFonts w:ascii="Arial" w:hAnsi="Arial"/>
      <w:b/>
      <w:sz w:val="32"/>
    </w:rPr>
  </w:style>
  <w:style w:type="paragraph" w:customStyle="1" w:styleId="Contents">
    <w:name w:val="Contents"/>
    <w:basedOn w:val="Normal"/>
    <w:rsid w:val="00FF2126"/>
    <w:pPr>
      <w:spacing w:after="360"/>
    </w:pPr>
    <w:rPr>
      <w:rFonts w:asciiTheme="majorHAnsi" w:hAnsiTheme="majorHAnsi"/>
      <w:b/>
      <w:sz w:val="64"/>
    </w:rPr>
  </w:style>
  <w:style w:type="paragraph" w:customStyle="1" w:styleId="LegalSubheading">
    <w:name w:val="Legal Subheading"/>
    <w:basedOn w:val="Footer"/>
    <w:qFormat/>
    <w:rsid w:val="00B33863"/>
    <w:rPr>
      <w:b/>
      <w:sz w:val="15"/>
    </w:rPr>
  </w:style>
  <w:style w:type="paragraph" w:styleId="TOC3">
    <w:name w:val="toc 3"/>
    <w:basedOn w:val="Normal"/>
    <w:next w:val="Normal"/>
    <w:uiPriority w:val="39"/>
    <w:unhideWhenUsed/>
    <w:rsid w:val="00006B22"/>
    <w:pPr>
      <w:tabs>
        <w:tab w:val="right" w:leader="underscore" w:pos="8505"/>
      </w:tabs>
      <w:spacing w:after="100"/>
      <w:ind w:left="1021"/>
    </w:pPr>
    <w:rPr>
      <w:rFonts w:asciiTheme="minorHAnsi" w:hAnsiTheme="minorHAnsi"/>
      <w:sz w:val="21"/>
    </w:rPr>
  </w:style>
  <w:style w:type="paragraph" w:customStyle="1" w:styleId="Address">
    <w:name w:val="Address"/>
    <w:basedOn w:val="Normal"/>
    <w:qFormat/>
    <w:rsid w:val="00A36FA7"/>
    <w:pPr>
      <w:spacing w:after="0" w:line="280" w:lineRule="atLeast"/>
      <w:jc w:val="center"/>
    </w:pPr>
    <w:rPr>
      <w:rFonts w:asciiTheme="minorHAnsi" w:hAnsiTheme="minorHAnsi"/>
      <w:sz w:val="21"/>
    </w:rPr>
  </w:style>
  <w:style w:type="character" w:styleId="PlaceholderText">
    <w:name w:val="Placeholder Text"/>
    <w:basedOn w:val="DefaultParagraphFont"/>
    <w:uiPriority w:val="99"/>
    <w:semiHidden/>
    <w:rsid w:val="0014197B"/>
    <w:rPr>
      <w:color w:val="808080"/>
    </w:rPr>
  </w:style>
  <w:style w:type="paragraph" w:customStyle="1" w:styleId="FigureTitle">
    <w:name w:val="Figure Title"/>
    <w:basedOn w:val="Normal"/>
    <w:qFormat/>
    <w:rsid w:val="00AC2B40"/>
    <w:rPr>
      <w:b/>
    </w:rPr>
  </w:style>
  <w:style w:type="paragraph" w:styleId="Title">
    <w:name w:val="Title"/>
    <w:basedOn w:val="Normal"/>
    <w:next w:val="Normal"/>
    <w:link w:val="TitleChar"/>
    <w:uiPriority w:val="10"/>
    <w:rsid w:val="0014197B"/>
    <w:pPr>
      <w:spacing w:after="60"/>
      <w:contextualSpacing/>
    </w:pPr>
    <w:rPr>
      <w:rFonts w:asciiTheme="majorHAnsi" w:eastAsiaTheme="majorEastAsia" w:hAnsiTheme="majorHAnsi" w:cstheme="majorBidi"/>
      <w:color w:val="002C47" w:themeColor="text2"/>
      <w:spacing w:val="5"/>
      <w:kern w:val="28"/>
      <w:sz w:val="52"/>
      <w:szCs w:val="52"/>
    </w:rPr>
  </w:style>
  <w:style w:type="character" w:customStyle="1" w:styleId="TitleChar">
    <w:name w:val="Title Char"/>
    <w:basedOn w:val="DefaultParagraphFont"/>
    <w:link w:val="Title"/>
    <w:uiPriority w:val="10"/>
    <w:rsid w:val="0014197B"/>
    <w:rPr>
      <w:rFonts w:asciiTheme="majorHAnsi" w:eastAsiaTheme="majorEastAsia" w:hAnsiTheme="majorHAnsi" w:cstheme="majorBidi"/>
      <w:color w:val="002C47" w:themeColor="text2"/>
      <w:spacing w:val="5"/>
      <w:kern w:val="28"/>
      <w:sz w:val="52"/>
      <w:szCs w:val="52"/>
    </w:rPr>
  </w:style>
  <w:style w:type="paragraph" w:customStyle="1" w:styleId="TableCaption">
    <w:name w:val="Table Caption"/>
    <w:basedOn w:val="FigureCaption"/>
    <w:qFormat/>
    <w:rsid w:val="00BC622A"/>
  </w:style>
  <w:style w:type="paragraph" w:customStyle="1" w:styleId="TableHeading2">
    <w:name w:val="Table Heading 2"/>
    <w:basedOn w:val="Normal"/>
    <w:qFormat/>
    <w:rsid w:val="00A47AF7"/>
    <w:rPr>
      <w:b/>
    </w:rPr>
  </w:style>
  <w:style w:type="table" w:customStyle="1" w:styleId="TableTGA2">
    <w:name w:val="Table_TGA_2"/>
    <w:basedOn w:val="TableNormal"/>
    <w:uiPriority w:val="99"/>
    <w:qFormat/>
    <w:rsid w:val="009B1D12"/>
    <w:pPr>
      <w:spacing w:after="0" w:line="240" w:lineRule="auto"/>
    </w:pPr>
    <w:rPr>
      <w:sz w:val="20"/>
    </w:rPr>
    <w:tblPr>
      <w:tblInd w:w="108"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CellMar>
        <w:top w:w="57" w:type="dxa"/>
        <w:left w:w="108" w:type="dxa"/>
        <w:bottom w:w="0" w:type="dxa"/>
        <w:right w:w="108" w:type="dxa"/>
      </w:tblCellMar>
    </w:tblPr>
    <w:tblStylePr w:type="firstRow">
      <w:rPr>
        <w:rFonts w:asciiTheme="minorHAnsi" w:hAnsiTheme="minorHAnsi"/>
        <w:b/>
        <w:color w:val="FFFFFF" w:themeColor="background1"/>
        <w:sz w:val="20"/>
      </w:rPr>
      <w:tblPr/>
      <w:tcPr>
        <w:tcBorders>
          <w:top w:val="single" w:sz="2" w:space="0" w:color="auto"/>
          <w:left w:val="single" w:sz="2" w:space="0" w:color="auto"/>
          <w:bottom w:val="single" w:sz="2" w:space="0" w:color="auto"/>
          <w:right w:val="single" w:sz="2" w:space="0" w:color="auto"/>
          <w:insideH w:val="single" w:sz="2" w:space="0" w:color="auto"/>
          <w:insideV w:val="single" w:sz="2" w:space="0" w:color="auto"/>
          <w:tl2br w:val="nil"/>
          <w:tr2bl w:val="nil"/>
        </w:tcBorders>
        <w:shd w:val="clear" w:color="auto" w:fill="000000" w:themeFill="text1"/>
      </w:tcPr>
    </w:tblStylePr>
  </w:style>
  <w:style w:type="paragraph" w:customStyle="1" w:styleId="Notes">
    <w:name w:val="Notes"/>
    <w:basedOn w:val="Normal"/>
    <w:qFormat/>
    <w:rsid w:val="00BF046D"/>
    <w:pPr>
      <w:spacing w:after="0" w:line="240" w:lineRule="auto"/>
    </w:pPr>
    <w:rPr>
      <w:rFonts w:asciiTheme="majorHAnsi" w:hAnsiTheme="majorHAnsi"/>
      <w:sz w:val="16"/>
    </w:rPr>
  </w:style>
  <w:style w:type="paragraph" w:customStyle="1" w:styleId="AxisLabel">
    <w:name w:val="Axis Label"/>
    <w:basedOn w:val="Normal"/>
    <w:qFormat/>
    <w:rsid w:val="00BF046D"/>
    <w:pPr>
      <w:spacing w:after="0" w:line="240" w:lineRule="auto"/>
    </w:pPr>
    <w:rPr>
      <w:rFonts w:asciiTheme="majorHAnsi" w:hAnsiTheme="majorHAnsi"/>
      <w:noProof/>
      <w:sz w:val="14"/>
      <w:lang w:eastAsia="en-AU"/>
    </w:rPr>
  </w:style>
  <w:style w:type="paragraph" w:customStyle="1" w:styleId="AxisTitle">
    <w:name w:val="Axis Title"/>
    <w:basedOn w:val="Normal"/>
    <w:qFormat/>
    <w:rsid w:val="00BF046D"/>
    <w:pPr>
      <w:spacing w:after="0" w:line="240" w:lineRule="auto"/>
    </w:pPr>
    <w:rPr>
      <w:rFonts w:asciiTheme="majorHAnsi" w:hAnsiTheme="majorHAnsi"/>
      <w:sz w:val="16"/>
    </w:rPr>
  </w:style>
  <w:style w:type="paragraph" w:customStyle="1" w:styleId="Key">
    <w:name w:val="Key"/>
    <w:basedOn w:val="Normal"/>
    <w:qFormat/>
    <w:rsid w:val="00BE79F0"/>
    <w:rPr>
      <w:rFonts w:asciiTheme="minorHAnsi" w:hAnsiTheme="minorHAnsi"/>
      <w:sz w:val="14"/>
    </w:rPr>
  </w:style>
  <w:style w:type="paragraph" w:styleId="Subtitle">
    <w:name w:val="Subtitle"/>
    <w:basedOn w:val="Normal"/>
    <w:next w:val="Normal"/>
    <w:link w:val="SubtitleChar"/>
    <w:uiPriority w:val="11"/>
    <w:rsid w:val="00B76B91"/>
    <w:pPr>
      <w:numPr>
        <w:ilvl w:val="1"/>
      </w:numPr>
      <w:spacing w:after="360"/>
    </w:pPr>
    <w:rPr>
      <w:rFonts w:asciiTheme="majorHAnsi" w:eastAsiaTheme="majorEastAsia" w:hAnsiTheme="majorHAnsi" w:cstheme="majorBidi"/>
      <w:iCs/>
      <w:color w:val="006DA7" w:themeColor="accent3"/>
      <w:sz w:val="40"/>
      <w:szCs w:val="24"/>
    </w:rPr>
  </w:style>
  <w:style w:type="character" w:customStyle="1" w:styleId="SubtitleChar">
    <w:name w:val="Subtitle Char"/>
    <w:basedOn w:val="DefaultParagraphFont"/>
    <w:link w:val="Subtitle"/>
    <w:uiPriority w:val="11"/>
    <w:rsid w:val="00B76B91"/>
    <w:rPr>
      <w:rFonts w:asciiTheme="majorHAnsi" w:eastAsiaTheme="majorEastAsia" w:hAnsiTheme="majorHAnsi" w:cstheme="majorBidi"/>
      <w:iCs/>
      <w:color w:val="006DA7" w:themeColor="accent3"/>
      <w:sz w:val="40"/>
      <w:szCs w:val="24"/>
    </w:rPr>
  </w:style>
  <w:style w:type="character" w:styleId="Hyperlink">
    <w:name w:val="Hyperlink"/>
    <w:basedOn w:val="DefaultParagraphFont"/>
    <w:semiHidden/>
    <w:rsid w:val="008C6E94"/>
    <w:rPr>
      <w:rFonts w:ascii="Cambria" w:hAnsi="Cambria"/>
      <w:color w:val="0000FF"/>
      <w:sz w:val="20"/>
      <w:u w:val="single"/>
    </w:rPr>
  </w:style>
  <w:style w:type="character" w:styleId="FootnoteReference">
    <w:name w:val="footnote reference"/>
    <w:semiHidden/>
    <w:rsid w:val="00B745F8"/>
    <w:rPr>
      <w:rFonts w:ascii="Arial" w:hAnsi="Arial"/>
      <w:dstrike w:val="0"/>
      <w:sz w:val="24"/>
      <w:vertAlign w:val="superscript"/>
    </w:rPr>
  </w:style>
  <w:style w:type="paragraph" w:styleId="FootnoteText">
    <w:name w:val="footnote text"/>
    <w:basedOn w:val="Normal"/>
    <w:link w:val="FootnoteTextChar"/>
    <w:semiHidden/>
    <w:rsid w:val="00B745F8"/>
    <w:pPr>
      <w:tabs>
        <w:tab w:val="left" w:pos="851"/>
      </w:tabs>
      <w:spacing w:after="0" w:line="240" w:lineRule="auto"/>
    </w:pPr>
    <w:rPr>
      <w:rFonts w:ascii="Arial" w:eastAsia="Times New Roman" w:hAnsi="Arial" w:cs="Times New Roman"/>
      <w:szCs w:val="20"/>
      <w:lang w:eastAsia="en-AU"/>
    </w:rPr>
  </w:style>
  <w:style w:type="character" w:customStyle="1" w:styleId="FootnoteTextChar">
    <w:name w:val="Footnote Text Char"/>
    <w:basedOn w:val="DefaultParagraphFont"/>
    <w:link w:val="FootnoteText"/>
    <w:semiHidden/>
    <w:rsid w:val="00B745F8"/>
    <w:rPr>
      <w:rFonts w:ascii="Arial" w:eastAsia="Times New Roman" w:hAnsi="Arial" w:cs="Times New Roman"/>
      <w:sz w:val="20"/>
      <w:szCs w:val="20"/>
      <w:lang w:eastAsia="en-AU"/>
    </w:rPr>
  </w:style>
  <w:style w:type="character" w:styleId="Strong">
    <w:name w:val="Strong"/>
    <w:basedOn w:val="DefaultParagraphFont"/>
    <w:uiPriority w:val="22"/>
    <w:rsid w:val="00B011EF"/>
    <w:rPr>
      <w:b/>
      <w:bCs/>
    </w:rPr>
  </w:style>
  <w:style w:type="paragraph" w:styleId="ListParagraph">
    <w:name w:val="List Paragraph"/>
    <w:basedOn w:val="Normal"/>
    <w:uiPriority w:val="34"/>
    <w:rsid w:val="00C54B44"/>
    <w:pPr>
      <w:ind w:left="720"/>
      <w:contextualSpacing/>
    </w:pPr>
  </w:style>
</w:styles>
</file>

<file path=word/webSettings.xml><?xml version="1.0" encoding="utf-8"?>
<w:webSettings xmlns:r="http://schemas.openxmlformats.org/officeDocument/2006/relationships" xmlns:w="http://schemas.openxmlformats.org/wordprocessingml/2006/main">
  <w:divs>
    <w:div w:id="179977522">
      <w:bodyDiv w:val="1"/>
      <w:marLeft w:val="0"/>
      <w:marRight w:val="0"/>
      <w:marTop w:val="0"/>
      <w:marBottom w:val="0"/>
      <w:divBdr>
        <w:top w:val="none" w:sz="0" w:space="0" w:color="auto"/>
        <w:left w:val="none" w:sz="0" w:space="0" w:color="auto"/>
        <w:bottom w:val="none" w:sz="0" w:space="0" w:color="auto"/>
        <w:right w:val="none" w:sz="0" w:space="0" w:color="auto"/>
      </w:divBdr>
    </w:div>
    <w:div w:id="180819937">
      <w:bodyDiv w:val="1"/>
      <w:marLeft w:val="0"/>
      <w:marRight w:val="0"/>
      <w:marTop w:val="0"/>
      <w:marBottom w:val="0"/>
      <w:divBdr>
        <w:top w:val="none" w:sz="0" w:space="0" w:color="auto"/>
        <w:left w:val="none" w:sz="0" w:space="0" w:color="auto"/>
        <w:bottom w:val="none" w:sz="0" w:space="0" w:color="auto"/>
        <w:right w:val="none" w:sz="0" w:space="0" w:color="auto"/>
      </w:divBdr>
    </w:div>
    <w:div w:id="340162056">
      <w:bodyDiv w:val="1"/>
      <w:marLeft w:val="0"/>
      <w:marRight w:val="0"/>
      <w:marTop w:val="0"/>
      <w:marBottom w:val="0"/>
      <w:divBdr>
        <w:top w:val="none" w:sz="0" w:space="0" w:color="auto"/>
        <w:left w:val="none" w:sz="0" w:space="0" w:color="auto"/>
        <w:bottom w:val="none" w:sz="0" w:space="0" w:color="auto"/>
        <w:right w:val="none" w:sz="0" w:space="0" w:color="auto"/>
      </w:divBdr>
    </w:div>
    <w:div w:id="360401076">
      <w:bodyDiv w:val="1"/>
      <w:marLeft w:val="0"/>
      <w:marRight w:val="0"/>
      <w:marTop w:val="0"/>
      <w:marBottom w:val="0"/>
      <w:divBdr>
        <w:top w:val="none" w:sz="0" w:space="0" w:color="auto"/>
        <w:left w:val="none" w:sz="0" w:space="0" w:color="auto"/>
        <w:bottom w:val="none" w:sz="0" w:space="0" w:color="auto"/>
        <w:right w:val="none" w:sz="0" w:space="0" w:color="auto"/>
      </w:divBdr>
    </w:div>
    <w:div w:id="499929777">
      <w:bodyDiv w:val="1"/>
      <w:marLeft w:val="0"/>
      <w:marRight w:val="0"/>
      <w:marTop w:val="0"/>
      <w:marBottom w:val="0"/>
      <w:divBdr>
        <w:top w:val="none" w:sz="0" w:space="0" w:color="auto"/>
        <w:left w:val="none" w:sz="0" w:space="0" w:color="auto"/>
        <w:bottom w:val="none" w:sz="0" w:space="0" w:color="auto"/>
        <w:right w:val="none" w:sz="0" w:space="0" w:color="auto"/>
      </w:divBdr>
    </w:div>
    <w:div w:id="568541661">
      <w:bodyDiv w:val="1"/>
      <w:marLeft w:val="0"/>
      <w:marRight w:val="0"/>
      <w:marTop w:val="0"/>
      <w:marBottom w:val="0"/>
      <w:divBdr>
        <w:top w:val="none" w:sz="0" w:space="0" w:color="auto"/>
        <w:left w:val="none" w:sz="0" w:space="0" w:color="auto"/>
        <w:bottom w:val="none" w:sz="0" w:space="0" w:color="auto"/>
        <w:right w:val="none" w:sz="0" w:space="0" w:color="auto"/>
      </w:divBdr>
    </w:div>
    <w:div w:id="627669222">
      <w:bodyDiv w:val="1"/>
      <w:marLeft w:val="0"/>
      <w:marRight w:val="0"/>
      <w:marTop w:val="0"/>
      <w:marBottom w:val="0"/>
      <w:divBdr>
        <w:top w:val="none" w:sz="0" w:space="0" w:color="auto"/>
        <w:left w:val="none" w:sz="0" w:space="0" w:color="auto"/>
        <w:bottom w:val="none" w:sz="0" w:space="0" w:color="auto"/>
        <w:right w:val="none" w:sz="0" w:space="0" w:color="auto"/>
      </w:divBdr>
    </w:div>
    <w:div w:id="707992085">
      <w:bodyDiv w:val="1"/>
      <w:marLeft w:val="0"/>
      <w:marRight w:val="0"/>
      <w:marTop w:val="0"/>
      <w:marBottom w:val="0"/>
      <w:divBdr>
        <w:top w:val="none" w:sz="0" w:space="0" w:color="auto"/>
        <w:left w:val="none" w:sz="0" w:space="0" w:color="auto"/>
        <w:bottom w:val="none" w:sz="0" w:space="0" w:color="auto"/>
        <w:right w:val="none" w:sz="0" w:space="0" w:color="auto"/>
      </w:divBdr>
    </w:div>
    <w:div w:id="713508126">
      <w:bodyDiv w:val="1"/>
      <w:marLeft w:val="0"/>
      <w:marRight w:val="0"/>
      <w:marTop w:val="0"/>
      <w:marBottom w:val="0"/>
      <w:divBdr>
        <w:top w:val="none" w:sz="0" w:space="0" w:color="auto"/>
        <w:left w:val="none" w:sz="0" w:space="0" w:color="auto"/>
        <w:bottom w:val="none" w:sz="0" w:space="0" w:color="auto"/>
        <w:right w:val="none" w:sz="0" w:space="0" w:color="auto"/>
      </w:divBdr>
    </w:div>
    <w:div w:id="721635976">
      <w:bodyDiv w:val="1"/>
      <w:marLeft w:val="0"/>
      <w:marRight w:val="0"/>
      <w:marTop w:val="0"/>
      <w:marBottom w:val="0"/>
      <w:divBdr>
        <w:top w:val="none" w:sz="0" w:space="0" w:color="auto"/>
        <w:left w:val="none" w:sz="0" w:space="0" w:color="auto"/>
        <w:bottom w:val="none" w:sz="0" w:space="0" w:color="auto"/>
        <w:right w:val="none" w:sz="0" w:space="0" w:color="auto"/>
      </w:divBdr>
    </w:div>
    <w:div w:id="885331138">
      <w:bodyDiv w:val="1"/>
      <w:marLeft w:val="0"/>
      <w:marRight w:val="0"/>
      <w:marTop w:val="0"/>
      <w:marBottom w:val="0"/>
      <w:divBdr>
        <w:top w:val="none" w:sz="0" w:space="0" w:color="auto"/>
        <w:left w:val="none" w:sz="0" w:space="0" w:color="auto"/>
        <w:bottom w:val="none" w:sz="0" w:space="0" w:color="auto"/>
        <w:right w:val="none" w:sz="0" w:space="0" w:color="auto"/>
      </w:divBdr>
    </w:div>
    <w:div w:id="1150366319">
      <w:bodyDiv w:val="1"/>
      <w:marLeft w:val="0"/>
      <w:marRight w:val="0"/>
      <w:marTop w:val="0"/>
      <w:marBottom w:val="0"/>
      <w:divBdr>
        <w:top w:val="none" w:sz="0" w:space="0" w:color="auto"/>
        <w:left w:val="none" w:sz="0" w:space="0" w:color="auto"/>
        <w:bottom w:val="none" w:sz="0" w:space="0" w:color="auto"/>
        <w:right w:val="none" w:sz="0" w:space="0" w:color="auto"/>
      </w:divBdr>
    </w:div>
    <w:div w:id="1220897912">
      <w:bodyDiv w:val="1"/>
      <w:marLeft w:val="0"/>
      <w:marRight w:val="0"/>
      <w:marTop w:val="0"/>
      <w:marBottom w:val="0"/>
      <w:divBdr>
        <w:top w:val="none" w:sz="0" w:space="0" w:color="auto"/>
        <w:left w:val="none" w:sz="0" w:space="0" w:color="auto"/>
        <w:bottom w:val="none" w:sz="0" w:space="0" w:color="auto"/>
        <w:right w:val="none" w:sz="0" w:space="0" w:color="auto"/>
      </w:divBdr>
    </w:div>
    <w:div w:id="1283850465">
      <w:bodyDiv w:val="1"/>
      <w:marLeft w:val="0"/>
      <w:marRight w:val="0"/>
      <w:marTop w:val="0"/>
      <w:marBottom w:val="0"/>
      <w:divBdr>
        <w:top w:val="none" w:sz="0" w:space="0" w:color="auto"/>
        <w:left w:val="none" w:sz="0" w:space="0" w:color="auto"/>
        <w:bottom w:val="none" w:sz="0" w:space="0" w:color="auto"/>
        <w:right w:val="none" w:sz="0" w:space="0" w:color="auto"/>
      </w:divBdr>
    </w:div>
    <w:div w:id="1285771357">
      <w:bodyDiv w:val="1"/>
      <w:marLeft w:val="0"/>
      <w:marRight w:val="0"/>
      <w:marTop w:val="0"/>
      <w:marBottom w:val="0"/>
      <w:divBdr>
        <w:top w:val="none" w:sz="0" w:space="0" w:color="auto"/>
        <w:left w:val="none" w:sz="0" w:space="0" w:color="auto"/>
        <w:bottom w:val="none" w:sz="0" w:space="0" w:color="auto"/>
        <w:right w:val="none" w:sz="0" w:space="0" w:color="auto"/>
      </w:divBdr>
    </w:div>
    <w:div w:id="1459106758">
      <w:bodyDiv w:val="1"/>
      <w:marLeft w:val="0"/>
      <w:marRight w:val="0"/>
      <w:marTop w:val="0"/>
      <w:marBottom w:val="0"/>
      <w:divBdr>
        <w:top w:val="none" w:sz="0" w:space="0" w:color="auto"/>
        <w:left w:val="none" w:sz="0" w:space="0" w:color="auto"/>
        <w:bottom w:val="none" w:sz="0" w:space="0" w:color="auto"/>
        <w:right w:val="none" w:sz="0" w:space="0" w:color="auto"/>
      </w:divBdr>
    </w:div>
    <w:div w:id="1854608717">
      <w:bodyDiv w:val="1"/>
      <w:marLeft w:val="0"/>
      <w:marRight w:val="0"/>
      <w:marTop w:val="0"/>
      <w:marBottom w:val="0"/>
      <w:divBdr>
        <w:top w:val="none" w:sz="0" w:space="0" w:color="auto"/>
        <w:left w:val="none" w:sz="0" w:space="0" w:color="auto"/>
        <w:bottom w:val="none" w:sz="0" w:space="0" w:color="auto"/>
        <w:right w:val="none" w:sz="0" w:space="0" w:color="auto"/>
      </w:divBdr>
    </w:div>
    <w:div w:id="2071348086">
      <w:bodyDiv w:val="1"/>
      <w:marLeft w:val="0"/>
      <w:marRight w:val="0"/>
      <w:marTop w:val="0"/>
      <w:marBottom w:val="0"/>
      <w:divBdr>
        <w:top w:val="none" w:sz="0" w:space="0" w:color="auto"/>
        <w:left w:val="none" w:sz="0" w:space="0" w:color="auto"/>
        <w:bottom w:val="none" w:sz="0" w:space="0" w:color="auto"/>
        <w:right w:val="none" w:sz="0" w:space="0" w:color="auto"/>
      </w:divBdr>
    </w:div>
    <w:div w:id="20945500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2.xml"/><Relationship Id="rId18" Type="http://schemas.openxmlformats.org/officeDocument/2006/relationships/footer" Target="footer4.xml"/><Relationship Id="rId3" Type="http://schemas.openxmlformats.org/officeDocument/2006/relationships/styles" Target="styles.xml"/><Relationship Id="rId21" Type="http://schemas.openxmlformats.org/officeDocument/2006/relationships/footer" Target="footer5.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header" Target="header6.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header" Target="header8.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5.xml"/><Relationship Id="rId23" Type="http://schemas.openxmlformats.org/officeDocument/2006/relationships/footer" Target="footer6.xml"/><Relationship Id="rId10" Type="http://schemas.openxmlformats.org/officeDocument/2006/relationships/header" Target="header2.xml"/><Relationship Id="rId19" Type="http://schemas.openxmlformats.org/officeDocument/2006/relationships/header" Target="header7.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eader" Target="header4.xml"/><Relationship Id="rId22" Type="http://schemas.openxmlformats.org/officeDocument/2006/relationships/header" Target="header9.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1" Type="http://schemas.openxmlformats.org/officeDocument/2006/relationships/image" Target="media/image4.jpeg"/></Relationships>
</file>

<file path=word/_rels/footnotes.xml.rels><?xml version="1.0" encoding="UTF-8" standalone="yes"?>
<Relationships xmlns="http://schemas.openxmlformats.org/package/2006/relationships"><Relationship Id="rId1" Type="http://schemas.openxmlformats.org/officeDocument/2006/relationships/hyperlink" Target="http://www.tga.gov.au/about/fees.htm" TargetMode="External"/></Relationships>
</file>

<file path=word/_rels/header3.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esmoa\AppData\Roaming\Microsoft\Templates\ExternalGuidelines_TGA_03.dotx" TargetMode="External"/></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F850D1F-C553-4A1B-93F3-EAA0EC0E5DB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ExternalGuidelines_TGA_03.dotx</Template>
  <TotalTime>2</TotalTime>
  <Pages>7</Pages>
  <Words>1744</Words>
  <Characters>9945</Characters>
  <Application>Microsoft Office Word</Application>
  <DocSecurity>0</DocSecurity>
  <Lines>82</Lines>
  <Paragraphs>23</Paragraphs>
  <ScaleCrop>false</ScaleCrop>
  <HeadingPairs>
    <vt:vector size="2" baseType="variant">
      <vt:variant>
        <vt:lpstr>Title</vt:lpstr>
      </vt:variant>
      <vt:variant>
        <vt:i4>1</vt:i4>
      </vt:variant>
    </vt:vector>
  </HeadingPairs>
  <TitlesOfParts>
    <vt:vector size="1" baseType="lpstr">
      <vt:lpstr/>
    </vt:vector>
  </TitlesOfParts>
  <Company>Department of Health and Ageing Therapeutic Goods Administration</Company>
  <LinksUpToDate>false</LinksUpToDate>
  <CharactersWithSpaces>11666</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ARGPM Appendix 2: Fees and charges</dc:title>
  <dc:subject>prescription medicines regulation</dc:subject>
  <dc:creator>Therapeutic Goods Administration</dc:creator>
  <cp:keywords>prescription, medicine, regulation, australia</cp:keywords>
  <cp:lastModifiedBy>Wrigley, Andrew</cp:lastModifiedBy>
  <cp:revision>5</cp:revision>
  <dcterms:created xsi:type="dcterms:W3CDTF">2011-03-30T05:31:00Z</dcterms:created>
  <dcterms:modified xsi:type="dcterms:W3CDTF">2013-07-16T06:58:00Z</dcterms:modified>
  <cp:category>External Guidelines</cp:category>
</cp:coreProperties>
</file>