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F3" w:rsidRPr="00375DF3" w:rsidRDefault="00375DF3" w:rsidP="006018AE">
      <w:pPr>
        <w:tabs>
          <w:tab w:val="left" w:pos="284"/>
        </w:tabs>
        <w:spacing w:after="480" w:line="240" w:lineRule="auto"/>
        <w:rPr>
          <w:rFonts w:asciiTheme="majorHAnsi" w:hAnsiTheme="majorHAnsi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1E451373" wp14:editId="5B07E1CA">
                <wp:extent cx="252095" cy="252095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F3" w:rsidRPr="00BE2A26" w:rsidRDefault="00BE2A26" w:rsidP="00375DF3">
                            <w:pPr>
                              <w:spacing w:after="0"/>
                              <w:rPr>
                                <w:rFonts w:ascii="Wingdings 3" w:hAnsi="Wingdings 3"/>
                                <w:sz w:val="24"/>
                              </w:rPr>
                            </w:pPr>
                            <w:r w:rsidRPr="00BE2A26">
                              <w:rPr>
                                <w:rFonts w:ascii="SimSun" w:eastAsia="SimSun" w:hAnsi="SimSun" w:cs="Arial" w:hint="eastAsia"/>
                                <w:sz w:val="40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" stroked="f">
                <v:textbox inset="0,0,0,0">
                  <w:txbxContent>
                    <w:p w:rsidR="00375DF3" w:rsidRPr="00BE2A26" w:rsidRDefault="00BE2A26" w:rsidP="00375DF3">
                      <w:pPr>
                        <w:spacing w:after="0"/>
                        <w:rPr>
                          <w:rFonts w:ascii="Wingdings 3" w:hAnsi="Wingdings 3"/>
                          <w:sz w:val="24"/>
                        </w:rPr>
                      </w:pPr>
                      <w:r w:rsidRPr="00BE2A26">
                        <w:rPr>
                          <w:rFonts w:ascii="SimSun" w:eastAsia="SimSun" w:hAnsi="SimSun" w:cs="Arial" w:hint="eastAsia"/>
                          <w:sz w:val="40"/>
                        </w:rPr>
                        <w:t>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A3992" w:rsidRPr="001A3992">
        <w:rPr>
          <w:rFonts w:asciiTheme="majorHAnsi" w:hAnsiTheme="majorHAnsi"/>
        </w:rPr>
        <w:t xml:space="preserve">This medicinal product is subject to additional monitoring in Australia. This will allow quick identification of new safety information. Healthcare professionals are asked to report any suspected adverse events at </w:t>
      </w:r>
      <w:r w:rsidR="00CA2FC0">
        <w:fldChar w:fldCharType="begin"/>
      </w:r>
      <w:r w:rsidR="00593CD6">
        <w:instrText>HYPERLINK "https://www.tga.gov.au/reporting-problems"</w:instrText>
      </w:r>
      <w:r w:rsidR="00CA2FC0">
        <w:fldChar w:fldCharType="separate"/>
      </w:r>
      <w:r w:rsidR="00593CD6">
        <w:rPr>
          <w:rStyle w:val="Hyperlink"/>
          <w:rFonts w:asciiTheme="majorHAnsi" w:hAnsiTheme="majorHAnsi"/>
        </w:rPr>
        <w:t>https://www.tga.gov.au/reporting-problems</w:t>
      </w:r>
      <w:r w:rsidR="00CA2FC0">
        <w:rPr>
          <w:rStyle w:val="Hyperlink"/>
          <w:rFonts w:asciiTheme="majorHAnsi" w:hAnsiTheme="majorHAnsi"/>
        </w:rPr>
        <w:fldChar w:fldCharType="end"/>
      </w:r>
      <w:bookmarkStart w:id="0" w:name="_GoBack"/>
      <w:bookmarkEnd w:id="0"/>
      <w:r w:rsidRPr="00375DF3">
        <w:rPr>
          <w:rFonts w:asciiTheme="majorHAnsi" w:hAnsiTheme="majorHAnsi"/>
        </w:rPr>
        <w:t>.</w:t>
      </w:r>
    </w:p>
    <w:p w:rsidR="006018AE" w:rsidRPr="009C133A" w:rsidRDefault="006018AE" w:rsidP="00285173">
      <w:pPr>
        <w:pStyle w:val="Heading1"/>
        <w:numPr>
          <w:ilvl w:val="0"/>
          <w:numId w:val="0"/>
        </w:numPr>
        <w:spacing w:after="240"/>
        <w:rPr>
          <w:rFonts w:eastAsia="SimSun"/>
        </w:rPr>
      </w:pPr>
      <w:r w:rsidRPr="009C133A">
        <w:rPr>
          <w:rFonts w:eastAsia="SimSun"/>
        </w:rPr>
        <w:t>Australian PI</w:t>
      </w:r>
      <w:r>
        <w:rPr>
          <w:rFonts w:eastAsia="SimSun"/>
        </w:rPr>
        <w:t xml:space="preserve"> – </w:t>
      </w:r>
      <w:r w:rsidR="00AF238D">
        <w:rPr>
          <w:rFonts w:eastAsia="SimSun"/>
        </w:rPr>
        <w:t>tradename</w:t>
      </w:r>
      <w:r w:rsidR="00AF238D" w:rsidRPr="007E693C">
        <w:rPr>
          <w:rFonts w:eastAsia="SimSun"/>
        </w:rPr>
        <w:t xml:space="preserve"> </w:t>
      </w:r>
      <w:r>
        <w:rPr>
          <w:rFonts w:eastAsia="SimSun"/>
        </w:rPr>
        <w:t>(</w:t>
      </w:r>
      <w:r w:rsidR="00AF238D">
        <w:rPr>
          <w:rFonts w:eastAsia="SimSun"/>
        </w:rPr>
        <w:t>active ingredient</w:t>
      </w:r>
      <w:r>
        <w:rPr>
          <w:rFonts w:eastAsia="SimSun"/>
        </w:rPr>
        <w:t>)</w:t>
      </w:r>
    </w:p>
    <w:p w:rsidR="001A3992" w:rsidRDefault="001A3992" w:rsidP="001A3992">
      <w:pPr>
        <w:pStyle w:val="Heading1"/>
        <w:spacing w:before="0" w:after="120"/>
      </w:pPr>
      <w:r w:rsidRPr="00035C95">
        <w:t>Name of the medicine</w:t>
      </w:r>
    </w:p>
    <w:p w:rsidR="001A3992" w:rsidRDefault="001A3992" w:rsidP="001A3992">
      <w:pPr>
        <w:pStyle w:val="Heading1"/>
        <w:spacing w:before="0" w:after="120"/>
      </w:pPr>
      <w:r w:rsidRPr="00DE5A80">
        <w:t xml:space="preserve">Qualitative and </w:t>
      </w:r>
      <w:r>
        <w:t>quantitative c</w:t>
      </w:r>
      <w:r w:rsidRPr="00DE5A80">
        <w:t>omposition</w:t>
      </w:r>
    </w:p>
    <w:p w:rsidR="001A3992" w:rsidRDefault="001A3992" w:rsidP="001A3992">
      <w:pPr>
        <w:pStyle w:val="Heading1"/>
        <w:spacing w:before="0" w:after="120"/>
      </w:pPr>
      <w:r w:rsidRPr="00035C95">
        <w:t>Pharmaceutical form</w:t>
      </w:r>
    </w:p>
    <w:p w:rsidR="001A3992" w:rsidRDefault="001A3992" w:rsidP="001A3992">
      <w:pPr>
        <w:pStyle w:val="Heading1"/>
        <w:spacing w:before="0" w:after="120"/>
      </w:pPr>
      <w:r w:rsidRPr="00035C95">
        <w:t>Clinical particulars</w:t>
      </w:r>
    </w:p>
    <w:p w:rsidR="001A3992" w:rsidRDefault="001A3992" w:rsidP="001A3992">
      <w:pPr>
        <w:pStyle w:val="Heading2"/>
        <w:spacing w:before="0" w:after="120"/>
      </w:pPr>
      <w:r>
        <w:t xml:space="preserve">Therapeutic indications </w:t>
      </w:r>
    </w:p>
    <w:p w:rsidR="001A3992" w:rsidRDefault="001A3992" w:rsidP="001A3992">
      <w:pPr>
        <w:pStyle w:val="Heading2"/>
        <w:spacing w:before="0" w:after="120"/>
      </w:pPr>
      <w:r>
        <w:t xml:space="preserve">Dose and method of administration </w:t>
      </w:r>
    </w:p>
    <w:p w:rsidR="001A3992" w:rsidRDefault="001A3992" w:rsidP="001A3992">
      <w:pPr>
        <w:pStyle w:val="Heading2"/>
        <w:spacing w:before="0" w:after="120"/>
      </w:pPr>
      <w:r>
        <w:t>Contraindications</w:t>
      </w:r>
    </w:p>
    <w:p w:rsidR="001A3992" w:rsidRDefault="00E74A56" w:rsidP="001A3992">
      <w:pPr>
        <w:pStyle w:val="Heading2"/>
        <w:spacing w:before="0" w:after="120"/>
      </w:pPr>
      <w:r>
        <w:t>Special warnings and p</w:t>
      </w:r>
      <w:r w:rsidR="001A3992">
        <w:t xml:space="preserve">recautions </w:t>
      </w:r>
      <w:r>
        <w:t>for use</w:t>
      </w:r>
    </w:p>
    <w:p w:rsidR="001A3992" w:rsidRDefault="001A3992" w:rsidP="001A3992">
      <w:pPr>
        <w:pStyle w:val="Heading3"/>
        <w:spacing w:before="0" w:after="120"/>
      </w:pPr>
      <w:r w:rsidRPr="00B878CC">
        <w:t xml:space="preserve">Identified precautions </w:t>
      </w:r>
      <w:r>
        <w:t>[if required]</w:t>
      </w:r>
    </w:p>
    <w:p w:rsidR="001A3992" w:rsidRPr="00B878CC" w:rsidRDefault="001A3992" w:rsidP="001A3992">
      <w:pPr>
        <w:pStyle w:val="Heading3"/>
        <w:spacing w:before="0" w:after="120"/>
      </w:pPr>
      <w:r w:rsidRPr="00B878CC">
        <w:t xml:space="preserve">Use in hepatic impairment </w:t>
      </w:r>
      <w:r>
        <w:t>[if required]</w:t>
      </w:r>
    </w:p>
    <w:p w:rsidR="001A3992" w:rsidRDefault="001A3992" w:rsidP="001A3992">
      <w:pPr>
        <w:pStyle w:val="Heading3"/>
        <w:spacing w:before="0" w:after="120"/>
      </w:pPr>
      <w:r w:rsidRPr="00B878CC">
        <w:t xml:space="preserve">Use in renal impairment </w:t>
      </w:r>
      <w:r>
        <w:t>[if required]</w:t>
      </w:r>
    </w:p>
    <w:p w:rsidR="001A3992" w:rsidRPr="00B878CC" w:rsidRDefault="001A3992" w:rsidP="001A3992">
      <w:pPr>
        <w:pStyle w:val="Heading3"/>
        <w:spacing w:before="0" w:after="120"/>
      </w:pPr>
      <w:r w:rsidRPr="00B878CC">
        <w:t>Use in the elderly</w:t>
      </w:r>
    </w:p>
    <w:p w:rsidR="001A3992" w:rsidRPr="00B878CC" w:rsidRDefault="001A3992" w:rsidP="001A3992">
      <w:pPr>
        <w:pStyle w:val="Heading3"/>
        <w:spacing w:before="0" w:after="120"/>
      </w:pPr>
      <w:r w:rsidRPr="00B878CC">
        <w:t>Paediatric use</w:t>
      </w:r>
    </w:p>
    <w:p w:rsidR="001A3992" w:rsidRPr="00CC0D90" w:rsidRDefault="001A3992" w:rsidP="001A3992">
      <w:pPr>
        <w:pStyle w:val="Heading3"/>
        <w:spacing w:before="0" w:after="120"/>
      </w:pPr>
      <w:r w:rsidRPr="00B878CC">
        <w:t>Effects on</w:t>
      </w:r>
      <w:r w:rsidRPr="00CC0D90">
        <w:t xml:space="preserve"> laboratory tests</w:t>
      </w:r>
    </w:p>
    <w:p w:rsidR="001A3992" w:rsidRDefault="001A3992" w:rsidP="001A3992">
      <w:pPr>
        <w:pStyle w:val="Heading2"/>
        <w:keepNext/>
        <w:keepLines/>
        <w:spacing w:before="0" w:after="120"/>
      </w:pPr>
      <w:r>
        <w:t>Interactions with other medicines and other forms of interactions</w:t>
      </w:r>
    </w:p>
    <w:p w:rsidR="001A3992" w:rsidRDefault="001A3992" w:rsidP="001A3992">
      <w:pPr>
        <w:pStyle w:val="Heading2"/>
        <w:spacing w:before="0" w:after="120"/>
      </w:pPr>
      <w:r>
        <w:t xml:space="preserve">Fertility, pregnancy and lactation </w:t>
      </w:r>
    </w:p>
    <w:p w:rsidR="001A3992" w:rsidRPr="00B878CC" w:rsidRDefault="001A3992" w:rsidP="001A3992">
      <w:pPr>
        <w:pStyle w:val="Heading3"/>
        <w:spacing w:before="0" w:after="120"/>
      </w:pPr>
      <w:r w:rsidRPr="00B878CC">
        <w:t>Effects on fertility</w:t>
      </w:r>
    </w:p>
    <w:p w:rsidR="001A3992" w:rsidRPr="00B878CC" w:rsidRDefault="001A3992" w:rsidP="001A3992">
      <w:pPr>
        <w:pStyle w:val="Heading3"/>
        <w:spacing w:before="0" w:after="120"/>
      </w:pPr>
      <w:r w:rsidRPr="00B878CC">
        <w:t xml:space="preserve">Use in pregnancy </w:t>
      </w:r>
    </w:p>
    <w:p w:rsidR="001A3992" w:rsidRDefault="001A3992" w:rsidP="001A3992">
      <w:pPr>
        <w:pStyle w:val="Heading3"/>
        <w:spacing w:before="0" w:after="120"/>
      </w:pPr>
      <w:r w:rsidRPr="00B878CC">
        <w:t>Use in</w:t>
      </w:r>
      <w:r w:rsidRPr="00164864">
        <w:t xml:space="preserve"> lactation. </w:t>
      </w:r>
    </w:p>
    <w:p w:rsidR="001A3992" w:rsidRDefault="001A3992" w:rsidP="001A3992">
      <w:pPr>
        <w:pStyle w:val="Heading2"/>
        <w:spacing w:before="0" w:after="120"/>
      </w:pPr>
      <w:r w:rsidRPr="00EC3C40">
        <w:t>Effects</w:t>
      </w:r>
      <w:r>
        <w:t xml:space="preserve"> on ability to drive and use machines </w:t>
      </w:r>
    </w:p>
    <w:p w:rsidR="001A3992" w:rsidRDefault="001A3992" w:rsidP="001A3992">
      <w:pPr>
        <w:pStyle w:val="Heading2"/>
        <w:keepNext/>
        <w:keepLines/>
        <w:spacing w:before="0" w:after="120"/>
      </w:pPr>
      <w:r>
        <w:t>Adverse effects (Undesirable effects)</w:t>
      </w:r>
    </w:p>
    <w:p w:rsidR="001A3992" w:rsidRDefault="001A3992" w:rsidP="001A3992">
      <w:pPr>
        <w:pStyle w:val="Heading2"/>
        <w:keepNext/>
        <w:keepLines/>
        <w:spacing w:before="0" w:after="120"/>
      </w:pPr>
      <w:r>
        <w:t>Overdose</w:t>
      </w:r>
    </w:p>
    <w:p w:rsidR="001A3992" w:rsidRDefault="001A3992" w:rsidP="001A3992">
      <w:pPr>
        <w:pStyle w:val="Heading1"/>
        <w:spacing w:before="0" w:after="120"/>
        <w:rPr>
          <w:lang w:val="en-US"/>
        </w:rPr>
      </w:pPr>
      <w:r w:rsidRPr="00035C95">
        <w:rPr>
          <w:lang w:val="en-US"/>
        </w:rPr>
        <w:t>Pharmacolog</w:t>
      </w:r>
      <w:r>
        <w:rPr>
          <w:lang w:val="en-US"/>
        </w:rPr>
        <w:t>ical properties</w:t>
      </w:r>
    </w:p>
    <w:p w:rsidR="001A3992" w:rsidRPr="00EC3C40" w:rsidRDefault="001A3992" w:rsidP="001A3992">
      <w:pPr>
        <w:pStyle w:val="Heading2"/>
        <w:spacing w:before="0" w:after="120"/>
        <w:rPr>
          <w:lang w:val="en-US"/>
        </w:rPr>
      </w:pPr>
      <w:proofErr w:type="spellStart"/>
      <w:r w:rsidRPr="00EC3C40">
        <w:rPr>
          <w:lang w:val="en-US"/>
        </w:rPr>
        <w:t>Pharmacodynamic</w:t>
      </w:r>
      <w:proofErr w:type="spellEnd"/>
      <w:r w:rsidRPr="00EC3C40">
        <w:rPr>
          <w:lang w:val="en-US"/>
        </w:rPr>
        <w:t xml:space="preserve"> properties </w:t>
      </w:r>
    </w:p>
    <w:p w:rsidR="001A3992" w:rsidRDefault="001A3992" w:rsidP="001A3992">
      <w:pPr>
        <w:pStyle w:val="Heading3"/>
        <w:spacing w:before="0" w:after="120"/>
      </w:pPr>
      <w:r w:rsidRPr="00B878CC">
        <w:lastRenderedPageBreak/>
        <w:t>Mechanism of action</w:t>
      </w:r>
    </w:p>
    <w:p w:rsidR="001A3992" w:rsidRDefault="001A3992" w:rsidP="001A3992">
      <w:pPr>
        <w:pStyle w:val="Heading3"/>
        <w:spacing w:before="0" w:after="120"/>
        <w:rPr>
          <w:lang w:val="en-US"/>
        </w:rPr>
      </w:pPr>
      <w:r w:rsidRPr="00B878CC">
        <w:t>Clinical</w:t>
      </w:r>
      <w:r w:rsidRPr="00B878CC">
        <w:rPr>
          <w:lang w:val="en-US"/>
        </w:rPr>
        <w:t xml:space="preserve"> trials</w:t>
      </w:r>
    </w:p>
    <w:p w:rsidR="001A3992" w:rsidRDefault="001A3992" w:rsidP="001A3992">
      <w:pPr>
        <w:pStyle w:val="Heading2"/>
        <w:keepNext/>
        <w:spacing w:before="0" w:after="120"/>
        <w:rPr>
          <w:lang w:val="en-US"/>
        </w:rPr>
      </w:pPr>
      <w:r w:rsidRPr="00EC3C40">
        <w:rPr>
          <w:lang w:val="en-US"/>
        </w:rPr>
        <w:t xml:space="preserve">Pharmacokinetic properties </w:t>
      </w:r>
    </w:p>
    <w:p w:rsidR="001A3992" w:rsidRPr="00B878CC" w:rsidRDefault="001A3992" w:rsidP="001A3992">
      <w:pPr>
        <w:pStyle w:val="Heading3"/>
        <w:spacing w:before="0" w:after="120"/>
      </w:pPr>
      <w:r w:rsidRPr="00B878CC">
        <w:t>Absorption</w:t>
      </w:r>
    </w:p>
    <w:p w:rsidR="001A3992" w:rsidRPr="00B878CC" w:rsidRDefault="001A3992" w:rsidP="001A3992">
      <w:pPr>
        <w:pStyle w:val="Heading3"/>
        <w:spacing w:before="0" w:after="120"/>
      </w:pPr>
      <w:r w:rsidRPr="00B878CC">
        <w:t>Distribution</w:t>
      </w:r>
    </w:p>
    <w:p w:rsidR="001A3992" w:rsidRPr="00B878CC" w:rsidRDefault="001A3992" w:rsidP="001A3992">
      <w:pPr>
        <w:pStyle w:val="Heading3"/>
        <w:spacing w:before="0" w:after="120"/>
      </w:pPr>
      <w:r w:rsidRPr="00B878CC">
        <w:t>Metabolism</w:t>
      </w:r>
    </w:p>
    <w:p w:rsidR="001A3992" w:rsidRPr="00EC3C40" w:rsidRDefault="001A3992" w:rsidP="001A3992">
      <w:pPr>
        <w:pStyle w:val="Heading3"/>
        <w:spacing w:before="0" w:after="120"/>
        <w:rPr>
          <w:lang w:val="en-US"/>
        </w:rPr>
      </w:pPr>
      <w:r w:rsidRPr="00B878CC">
        <w:t>Excretion</w:t>
      </w:r>
    </w:p>
    <w:p w:rsidR="001A3992" w:rsidRPr="00EC3C40" w:rsidRDefault="001A3992" w:rsidP="001A3992">
      <w:pPr>
        <w:pStyle w:val="Heading2"/>
        <w:spacing w:before="0" w:after="120"/>
        <w:rPr>
          <w:lang w:val="en-US"/>
        </w:rPr>
      </w:pPr>
      <w:r w:rsidRPr="00EC3C40">
        <w:rPr>
          <w:lang w:val="en-US"/>
        </w:rPr>
        <w:t>Preclinical safety data</w:t>
      </w:r>
    </w:p>
    <w:p w:rsidR="001A3992" w:rsidRPr="00B878CC" w:rsidRDefault="001A3992" w:rsidP="001A3992">
      <w:pPr>
        <w:pStyle w:val="Heading3"/>
        <w:spacing w:before="0" w:after="120"/>
      </w:pPr>
      <w:r w:rsidRPr="00B878CC">
        <w:t>Genotoxicity</w:t>
      </w:r>
    </w:p>
    <w:p w:rsidR="001A3992" w:rsidRPr="00B878CC" w:rsidRDefault="001A3992" w:rsidP="001A3992">
      <w:pPr>
        <w:pStyle w:val="Heading3"/>
        <w:spacing w:before="0" w:after="120"/>
        <w:rPr>
          <w:lang w:val="en-US"/>
        </w:rPr>
      </w:pPr>
      <w:proofErr w:type="spellStart"/>
      <w:r w:rsidRPr="00B878CC">
        <w:t>Carcin</w:t>
      </w:r>
      <w:r w:rsidRPr="00B878CC">
        <w:rPr>
          <w:lang w:val="en-US"/>
        </w:rPr>
        <w:t>ogenicity</w:t>
      </w:r>
      <w:proofErr w:type="spellEnd"/>
    </w:p>
    <w:p w:rsidR="001A3992" w:rsidRDefault="001A3992" w:rsidP="001A3992">
      <w:pPr>
        <w:pStyle w:val="Heading1"/>
        <w:spacing w:before="0" w:after="120"/>
        <w:rPr>
          <w:lang w:val="en-US"/>
        </w:rPr>
      </w:pPr>
      <w:r>
        <w:rPr>
          <w:lang w:val="en-US"/>
        </w:rPr>
        <w:t>Pharmaceutical particulars</w:t>
      </w:r>
    </w:p>
    <w:p w:rsidR="001A3992" w:rsidRDefault="001A3992" w:rsidP="001A3992">
      <w:pPr>
        <w:pStyle w:val="Heading2"/>
        <w:spacing w:before="0" w:after="120"/>
        <w:rPr>
          <w:lang w:val="en-US"/>
        </w:rPr>
      </w:pPr>
      <w:r w:rsidRPr="00EC3C40">
        <w:rPr>
          <w:lang w:val="en-US"/>
        </w:rPr>
        <w:t xml:space="preserve">List of excipients </w:t>
      </w:r>
    </w:p>
    <w:p w:rsidR="001A3992" w:rsidRPr="006611B7" w:rsidRDefault="001A3992" w:rsidP="001A3992">
      <w:pPr>
        <w:pStyle w:val="Heading2"/>
        <w:keepNext/>
        <w:keepLines/>
        <w:spacing w:before="0" w:after="120"/>
        <w:rPr>
          <w:lang w:val="en-US"/>
        </w:rPr>
      </w:pPr>
      <w:r w:rsidRPr="006611B7">
        <w:rPr>
          <w:lang w:val="en-US"/>
        </w:rPr>
        <w:t xml:space="preserve">Incompatibilities </w:t>
      </w:r>
    </w:p>
    <w:p w:rsidR="001A3992" w:rsidRDefault="001A3992" w:rsidP="001A3992">
      <w:pPr>
        <w:pStyle w:val="Heading2"/>
        <w:spacing w:before="0" w:after="120"/>
        <w:rPr>
          <w:lang w:val="en-US"/>
        </w:rPr>
      </w:pPr>
      <w:r w:rsidRPr="00EC3C40">
        <w:rPr>
          <w:lang w:val="en-US"/>
        </w:rPr>
        <w:t xml:space="preserve">Shelf life </w:t>
      </w:r>
    </w:p>
    <w:p w:rsidR="001A3992" w:rsidRDefault="001A3992" w:rsidP="001A3992">
      <w:pPr>
        <w:pStyle w:val="Heading2"/>
        <w:keepNext/>
        <w:keepLines/>
        <w:spacing w:before="0" w:after="120"/>
        <w:rPr>
          <w:lang w:val="en-US"/>
        </w:rPr>
      </w:pPr>
      <w:r w:rsidRPr="00EC3C40">
        <w:rPr>
          <w:lang w:val="en-US"/>
        </w:rPr>
        <w:t xml:space="preserve">Special precautions for storage </w:t>
      </w:r>
    </w:p>
    <w:p w:rsidR="001A3992" w:rsidRDefault="001A3992" w:rsidP="001A3992">
      <w:pPr>
        <w:pStyle w:val="Heading2"/>
        <w:spacing w:before="0" w:after="120"/>
        <w:rPr>
          <w:lang w:val="en-US"/>
        </w:rPr>
      </w:pPr>
      <w:r w:rsidRPr="00EC3C40">
        <w:rPr>
          <w:lang w:val="en-US"/>
        </w:rPr>
        <w:t xml:space="preserve">Nature and contents of container </w:t>
      </w:r>
    </w:p>
    <w:p w:rsidR="001A3992" w:rsidRPr="00EC3C40" w:rsidRDefault="001A3992" w:rsidP="001A3992">
      <w:pPr>
        <w:pStyle w:val="Heading2"/>
        <w:spacing w:before="0" w:after="120"/>
        <w:rPr>
          <w:lang w:val="en-US"/>
        </w:rPr>
      </w:pPr>
      <w:r w:rsidRPr="00EC3C40">
        <w:rPr>
          <w:lang w:val="en-US"/>
        </w:rPr>
        <w:t xml:space="preserve">Special precautions for disposal </w:t>
      </w:r>
    </w:p>
    <w:p w:rsidR="001A3992" w:rsidRPr="00EC3C40" w:rsidRDefault="001A3992" w:rsidP="001A3992">
      <w:pPr>
        <w:pStyle w:val="Heading2"/>
        <w:spacing w:before="0" w:after="120"/>
        <w:rPr>
          <w:lang w:val="en-US"/>
        </w:rPr>
      </w:pPr>
      <w:r w:rsidRPr="00EC3C40">
        <w:rPr>
          <w:lang w:val="en-US"/>
        </w:rPr>
        <w:t>Physicochemical properties</w:t>
      </w:r>
    </w:p>
    <w:p w:rsidR="001A3992" w:rsidRDefault="001A3992" w:rsidP="001A3992">
      <w:pPr>
        <w:pStyle w:val="Heading3"/>
        <w:spacing w:before="0" w:after="120"/>
        <w:rPr>
          <w:lang w:val="en-US"/>
        </w:rPr>
      </w:pPr>
      <w:r>
        <w:rPr>
          <w:lang w:val="en-US"/>
        </w:rPr>
        <w:t>Chemical structure</w:t>
      </w:r>
    </w:p>
    <w:p w:rsidR="001A3992" w:rsidRDefault="001A3992" w:rsidP="001A3992">
      <w:pPr>
        <w:pStyle w:val="Heading3"/>
        <w:spacing w:before="0" w:after="120"/>
        <w:rPr>
          <w:lang w:val="en-US"/>
        </w:rPr>
      </w:pPr>
      <w:r w:rsidRPr="00EC3C40">
        <w:rPr>
          <w:lang w:val="en-US"/>
        </w:rPr>
        <w:t>CAS number</w:t>
      </w:r>
    </w:p>
    <w:p w:rsidR="001A3992" w:rsidRDefault="001A3992" w:rsidP="001A3992">
      <w:pPr>
        <w:pStyle w:val="Heading1"/>
        <w:spacing w:before="0" w:after="120"/>
        <w:rPr>
          <w:lang w:val="en-US"/>
        </w:rPr>
      </w:pPr>
      <w:r>
        <w:rPr>
          <w:lang w:val="en-US"/>
        </w:rPr>
        <w:t>Medicine</w:t>
      </w:r>
      <w:r w:rsidRPr="007D497E">
        <w:rPr>
          <w:lang w:val="en-US"/>
        </w:rPr>
        <w:t xml:space="preserve"> schedule </w:t>
      </w:r>
      <w:r>
        <w:rPr>
          <w:lang w:val="en-US"/>
        </w:rPr>
        <w:t>(Poisons Standard)</w:t>
      </w:r>
    </w:p>
    <w:p w:rsidR="00285173" w:rsidRDefault="001A3992" w:rsidP="00285173">
      <w:pPr>
        <w:pStyle w:val="Heading1"/>
        <w:spacing w:before="0" w:after="120"/>
        <w:rPr>
          <w:lang w:val="en-US"/>
        </w:rPr>
      </w:pPr>
      <w:r w:rsidRPr="007D497E">
        <w:rPr>
          <w:lang w:val="en-US"/>
        </w:rPr>
        <w:t>Sponsor</w:t>
      </w:r>
      <w:r w:rsidR="00285173" w:rsidRPr="00285173">
        <w:rPr>
          <w:lang w:val="en-US"/>
        </w:rPr>
        <w:t xml:space="preserve"> </w:t>
      </w:r>
    </w:p>
    <w:p w:rsidR="00285173" w:rsidRDefault="00285173" w:rsidP="00285173">
      <w:pPr>
        <w:pStyle w:val="Heading1"/>
        <w:spacing w:before="0" w:after="120"/>
        <w:rPr>
          <w:lang w:val="en-US"/>
        </w:rPr>
      </w:pPr>
      <w:r w:rsidRPr="007D497E">
        <w:rPr>
          <w:lang w:val="en-US"/>
        </w:rPr>
        <w:t xml:space="preserve">Date of first </w:t>
      </w:r>
      <w:r>
        <w:rPr>
          <w:lang w:val="en-US"/>
        </w:rPr>
        <w:t xml:space="preserve">approval </w:t>
      </w:r>
      <w:r w:rsidRPr="007D497E">
        <w:rPr>
          <w:lang w:val="en-US"/>
        </w:rPr>
        <w:t xml:space="preserve"> </w:t>
      </w:r>
    </w:p>
    <w:p w:rsidR="00285173" w:rsidRDefault="00285173" w:rsidP="00285173">
      <w:pPr>
        <w:pStyle w:val="Heading1"/>
        <w:spacing w:before="0" w:after="120"/>
        <w:rPr>
          <w:lang w:val="en-US"/>
        </w:rPr>
      </w:pPr>
      <w:r>
        <w:rPr>
          <w:lang w:val="en-US"/>
        </w:rPr>
        <w:t xml:space="preserve">Date of revision </w:t>
      </w:r>
    </w:p>
    <w:p w:rsidR="00285173" w:rsidRDefault="00285173" w:rsidP="00285173">
      <w:pPr>
        <w:pStyle w:val="Heading2"/>
        <w:numPr>
          <w:ilvl w:val="0"/>
          <w:numId w:val="0"/>
        </w:numPr>
        <w:spacing w:before="0" w:after="120"/>
        <w:rPr>
          <w:lang w:val="en-US"/>
        </w:rPr>
      </w:pPr>
      <w:r w:rsidRPr="007D497E">
        <w:rPr>
          <w:lang w:val="en-US"/>
        </w:rPr>
        <w:t>Summary table of changes</w:t>
      </w:r>
    </w:p>
    <w:tbl>
      <w:tblPr>
        <w:tblStyle w:val="LightGrid"/>
        <w:tblW w:w="0" w:type="auto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1384"/>
        <w:gridCol w:w="7858"/>
      </w:tblGrid>
      <w:tr w:rsidR="00285173" w:rsidTr="00EF3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2F2F2" w:themeFill="background1" w:themeFillShade="F2"/>
            <w:vAlign w:val="center"/>
          </w:tcPr>
          <w:p w:rsidR="00285173" w:rsidRPr="002E277D" w:rsidRDefault="00285173" w:rsidP="00EF33D9">
            <w:pPr>
              <w:rPr>
                <w:sz w:val="20"/>
                <w:lang w:val="en-US"/>
              </w:rPr>
            </w:pPr>
            <w:r w:rsidRPr="002E277D">
              <w:rPr>
                <w:sz w:val="20"/>
                <w:lang w:val="en-US"/>
              </w:rPr>
              <w:t>Section Changed</w:t>
            </w: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285173" w:rsidRPr="002E277D" w:rsidRDefault="00285173" w:rsidP="00EF33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  <w:r w:rsidRPr="002E277D">
              <w:rPr>
                <w:sz w:val="20"/>
                <w:lang w:val="en-US"/>
              </w:rPr>
              <w:t>Summary of new information</w:t>
            </w:r>
          </w:p>
        </w:tc>
      </w:tr>
      <w:tr w:rsidR="00285173" w:rsidTr="00EF3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285173" w:rsidRDefault="00285173" w:rsidP="00EF33D9">
            <w:pPr>
              <w:rPr>
                <w:lang w:val="en-US"/>
              </w:rPr>
            </w:pPr>
          </w:p>
        </w:tc>
        <w:tc>
          <w:tcPr>
            <w:tcW w:w="7858" w:type="dxa"/>
            <w:vAlign w:val="center"/>
          </w:tcPr>
          <w:p w:rsidR="00285173" w:rsidRDefault="00285173" w:rsidP="00EF3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85173" w:rsidTr="00EF3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285173" w:rsidRDefault="00285173" w:rsidP="00EF33D9">
            <w:pPr>
              <w:rPr>
                <w:lang w:val="en-US"/>
              </w:rPr>
            </w:pPr>
          </w:p>
        </w:tc>
        <w:tc>
          <w:tcPr>
            <w:tcW w:w="7858" w:type="dxa"/>
            <w:vAlign w:val="center"/>
          </w:tcPr>
          <w:p w:rsidR="00285173" w:rsidRDefault="00285173" w:rsidP="00EF3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85173" w:rsidTr="00EF3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285173" w:rsidRDefault="00285173" w:rsidP="00EF33D9">
            <w:pPr>
              <w:rPr>
                <w:lang w:val="en-US"/>
              </w:rPr>
            </w:pPr>
          </w:p>
        </w:tc>
        <w:tc>
          <w:tcPr>
            <w:tcW w:w="7858" w:type="dxa"/>
            <w:vAlign w:val="center"/>
          </w:tcPr>
          <w:p w:rsidR="00285173" w:rsidRDefault="00285173" w:rsidP="00EF3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285173" w:rsidRPr="00557591" w:rsidRDefault="00285173" w:rsidP="00285173">
      <w:pPr>
        <w:spacing w:after="120"/>
        <w:rPr>
          <w:lang w:val="en-US"/>
        </w:rPr>
      </w:pPr>
    </w:p>
    <w:p w:rsidR="00960CD5" w:rsidRDefault="00960CD5" w:rsidP="00285173">
      <w:pPr>
        <w:pStyle w:val="Heading1"/>
        <w:numPr>
          <w:ilvl w:val="0"/>
          <w:numId w:val="0"/>
        </w:numPr>
        <w:spacing w:before="0" w:after="120"/>
      </w:pPr>
    </w:p>
    <w:sectPr w:rsidR="00960CD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FF" w:rsidRDefault="009435FF" w:rsidP="001A3992">
      <w:pPr>
        <w:spacing w:after="0" w:line="240" w:lineRule="auto"/>
      </w:pPr>
      <w:r>
        <w:separator/>
      </w:r>
    </w:p>
  </w:endnote>
  <w:endnote w:type="continuationSeparator" w:id="0">
    <w:p w:rsidR="009435FF" w:rsidRDefault="009435FF" w:rsidP="001A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16343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B8074A" w:rsidRPr="00B8074A" w:rsidRDefault="00431ACD" w:rsidP="00B8074A">
        <w:pPr>
          <w:pStyle w:val="Footer"/>
          <w:jc w:val="right"/>
          <w:rPr>
            <w:sz w:val="20"/>
          </w:rPr>
        </w:pPr>
        <w:r w:rsidRPr="00B8074A">
          <w:rPr>
            <w:sz w:val="20"/>
          </w:rPr>
          <w:fldChar w:fldCharType="begin"/>
        </w:r>
        <w:r w:rsidRPr="00B8074A">
          <w:rPr>
            <w:sz w:val="20"/>
          </w:rPr>
          <w:instrText xml:space="preserve"> PAGE   \* MERGEFORMAT </w:instrText>
        </w:r>
        <w:r w:rsidRPr="00B8074A">
          <w:rPr>
            <w:sz w:val="20"/>
          </w:rPr>
          <w:fldChar w:fldCharType="separate"/>
        </w:r>
        <w:r w:rsidR="00593CD6">
          <w:rPr>
            <w:noProof/>
            <w:sz w:val="20"/>
          </w:rPr>
          <w:t>1</w:t>
        </w:r>
        <w:r w:rsidRPr="00B8074A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FF" w:rsidRDefault="009435FF" w:rsidP="001A3992">
      <w:pPr>
        <w:spacing w:after="0" w:line="240" w:lineRule="auto"/>
      </w:pPr>
      <w:r>
        <w:separator/>
      </w:r>
    </w:p>
  </w:footnote>
  <w:footnote w:type="continuationSeparator" w:id="0">
    <w:p w:rsidR="009435FF" w:rsidRDefault="009435FF" w:rsidP="001A3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F3E"/>
    <w:multiLevelType w:val="hybridMultilevel"/>
    <w:tmpl w:val="5AB64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660B4"/>
    <w:multiLevelType w:val="hybridMultilevel"/>
    <w:tmpl w:val="87043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35439"/>
    <w:multiLevelType w:val="hybridMultilevel"/>
    <w:tmpl w:val="D23AB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07084"/>
    <w:multiLevelType w:val="hybridMultilevel"/>
    <w:tmpl w:val="B9160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42C05"/>
    <w:multiLevelType w:val="multilevel"/>
    <w:tmpl w:val="88CA3A76"/>
    <w:lvl w:ilvl="0">
      <w:start w:val="1"/>
      <w:numFmt w:val="decimal"/>
      <w:lvlText w:val="Note %1:"/>
      <w:lvlJc w:val="left"/>
      <w:pPr>
        <w:ind w:left="1021" w:hanging="1021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76F49FC"/>
    <w:multiLevelType w:val="hybridMultilevel"/>
    <w:tmpl w:val="76C6F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32797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72613446"/>
    <w:multiLevelType w:val="hybridMultilevel"/>
    <w:tmpl w:val="D384F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1220D"/>
    <w:multiLevelType w:val="hybridMultilevel"/>
    <w:tmpl w:val="E814E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401D6"/>
    <w:multiLevelType w:val="hybridMultilevel"/>
    <w:tmpl w:val="270C46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FF"/>
    <w:rsid w:val="00042302"/>
    <w:rsid w:val="001A3992"/>
    <w:rsid w:val="00285173"/>
    <w:rsid w:val="002E277D"/>
    <w:rsid w:val="00375DF3"/>
    <w:rsid w:val="00431ACD"/>
    <w:rsid w:val="004B6B19"/>
    <w:rsid w:val="00593CD6"/>
    <w:rsid w:val="006018AE"/>
    <w:rsid w:val="007C66C8"/>
    <w:rsid w:val="00905FE6"/>
    <w:rsid w:val="009435FF"/>
    <w:rsid w:val="00960CD5"/>
    <w:rsid w:val="00AF238D"/>
    <w:rsid w:val="00BE2A26"/>
    <w:rsid w:val="00E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99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992"/>
    <w:pPr>
      <w:numPr>
        <w:ilvl w:val="1"/>
        <w:numId w:val="1"/>
      </w:numPr>
      <w:spacing w:before="240"/>
      <w:ind w:left="578" w:hanging="578"/>
      <w:outlineLvl w:val="1"/>
    </w:pPr>
    <w:rPr>
      <w:rFonts w:asciiTheme="majorHAnsi" w:hAnsiTheme="majorHAnsi"/>
      <w:b/>
      <w:smallCaps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992"/>
    <w:pPr>
      <w:keepNext/>
      <w:keepLines/>
      <w:spacing w:before="200" w:after="0"/>
      <w:ind w:left="227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99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99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99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99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99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99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992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3992"/>
    <w:rPr>
      <w:rFonts w:asciiTheme="majorHAnsi" w:hAnsiTheme="majorHAnsi"/>
      <w:b/>
      <w:small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A399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9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9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9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9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9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9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A3992"/>
    <w:pPr>
      <w:ind w:left="720"/>
      <w:contextualSpacing/>
    </w:pPr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1A3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992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992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1A3992"/>
    <w:pPr>
      <w:keepLines/>
      <w:spacing w:before="180" w:after="180"/>
    </w:pPr>
    <w:rPr>
      <w:rFonts w:ascii="Calibri" w:eastAsia="Calibri" w:hAnsi="Calibri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3992"/>
    <w:rPr>
      <w:rFonts w:ascii="Calibri" w:eastAsia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unhideWhenUsed/>
    <w:rsid w:val="001A3992"/>
    <w:rPr>
      <w:vertAlign w:val="superscript"/>
    </w:rPr>
  </w:style>
  <w:style w:type="paragraph" w:styleId="ListBullet">
    <w:name w:val="List Bullet"/>
    <w:basedOn w:val="Normal"/>
    <w:uiPriority w:val="99"/>
    <w:unhideWhenUsed/>
    <w:rsid w:val="001A3992"/>
    <w:pPr>
      <w:ind w:left="425" w:hanging="425"/>
      <w:contextualSpacing/>
    </w:pPr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1A3992"/>
    <w:rPr>
      <w:color w:val="0000FF" w:themeColor="hyperlink"/>
      <w:u w:val="single"/>
    </w:rPr>
  </w:style>
  <w:style w:type="table" w:styleId="LightGrid">
    <w:name w:val="Light Grid"/>
    <w:basedOn w:val="TableNormal"/>
    <w:uiPriority w:val="62"/>
    <w:rsid w:val="001A39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1A3992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1A3992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99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992"/>
    <w:pPr>
      <w:numPr>
        <w:ilvl w:val="1"/>
        <w:numId w:val="1"/>
      </w:numPr>
      <w:spacing w:before="240"/>
      <w:ind w:left="578" w:hanging="578"/>
      <w:outlineLvl w:val="1"/>
    </w:pPr>
    <w:rPr>
      <w:rFonts w:asciiTheme="majorHAnsi" w:hAnsiTheme="majorHAnsi"/>
      <w:b/>
      <w:smallCaps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992"/>
    <w:pPr>
      <w:keepNext/>
      <w:keepLines/>
      <w:spacing w:before="200" w:after="0"/>
      <w:ind w:left="227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99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99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99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99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99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99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992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3992"/>
    <w:rPr>
      <w:rFonts w:asciiTheme="majorHAnsi" w:hAnsiTheme="majorHAnsi"/>
      <w:b/>
      <w:small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A399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9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9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9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9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9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9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A3992"/>
    <w:pPr>
      <w:ind w:left="720"/>
      <w:contextualSpacing/>
    </w:pPr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1A3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992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992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1A3992"/>
    <w:pPr>
      <w:keepLines/>
      <w:spacing w:before="180" w:after="180"/>
    </w:pPr>
    <w:rPr>
      <w:rFonts w:ascii="Calibri" w:eastAsia="Calibri" w:hAnsi="Calibri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3992"/>
    <w:rPr>
      <w:rFonts w:ascii="Calibri" w:eastAsia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unhideWhenUsed/>
    <w:rsid w:val="001A3992"/>
    <w:rPr>
      <w:vertAlign w:val="superscript"/>
    </w:rPr>
  </w:style>
  <w:style w:type="paragraph" w:styleId="ListBullet">
    <w:name w:val="List Bullet"/>
    <w:basedOn w:val="Normal"/>
    <w:uiPriority w:val="99"/>
    <w:unhideWhenUsed/>
    <w:rsid w:val="001A3992"/>
    <w:pPr>
      <w:ind w:left="425" w:hanging="425"/>
      <w:contextualSpacing/>
    </w:pPr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1A3992"/>
    <w:rPr>
      <w:color w:val="0000FF" w:themeColor="hyperlink"/>
      <w:u w:val="single"/>
    </w:rPr>
  </w:style>
  <w:style w:type="table" w:styleId="LightGrid">
    <w:name w:val="Light Grid"/>
    <w:basedOn w:val="TableNormal"/>
    <w:uiPriority w:val="62"/>
    <w:rsid w:val="001A39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1A3992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1A3992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A\pi-template-black-triang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pi-template-black-triangle.dotx</Template>
  <TotalTime>0</TotalTime>
  <Pages>2</Pages>
  <Words>270</Words>
  <Characters>1365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PI – tradename (active ingredient)</dc:title>
  <dc:creator/>
  <cp:lastModifiedBy>BIRD, Gail</cp:lastModifiedBy>
  <cp:revision>3</cp:revision>
  <cp:lastPrinted>2017-11-13T05:13:00Z</cp:lastPrinted>
  <dcterms:created xsi:type="dcterms:W3CDTF">2017-11-27T01:26:00Z</dcterms:created>
  <dcterms:modified xsi:type="dcterms:W3CDTF">2017-11-27T01:26:00Z</dcterms:modified>
</cp:coreProperties>
</file>