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B29B2" w:rsidRPr="00215D48" w:rsidTr="002B29B2">
        <w:tc>
          <w:tcPr>
            <w:tcW w:w="8720" w:type="dxa"/>
          </w:tcPr>
          <w:p w:rsidR="00F401EF" w:rsidRPr="00215D48" w:rsidRDefault="0069297A" w:rsidP="002B29B2">
            <w:pPr>
              <w:pStyle w:val="Title"/>
            </w:pPr>
            <w:r w:rsidRPr="0069297A">
              <w:t>Overview of the regulation of listed medicines and registered complementary medicines</w:t>
            </w:r>
          </w:p>
        </w:tc>
      </w:tr>
      <w:tr w:rsidR="002B29B2" w:rsidRPr="00215D48" w:rsidTr="002B29B2">
        <w:trPr>
          <w:trHeight w:val="1916"/>
        </w:trPr>
        <w:tc>
          <w:tcPr>
            <w:tcW w:w="8720" w:type="dxa"/>
          </w:tcPr>
          <w:p w:rsidR="00F401EF" w:rsidRPr="00215D48" w:rsidRDefault="0069297A" w:rsidP="002B29B2">
            <w:pPr>
              <w:pStyle w:val="Subtitle"/>
              <w:ind w:left="0"/>
            </w:pPr>
            <w:r w:rsidRPr="0069297A">
              <w:t>Overview of the regulation of listed medicines and registered complementary medicines</w:t>
            </w:r>
          </w:p>
        </w:tc>
      </w:tr>
      <w:tr w:rsidR="002B29B2" w:rsidRPr="00215D48" w:rsidTr="002B29B2">
        <w:tc>
          <w:tcPr>
            <w:tcW w:w="8720" w:type="dxa"/>
          </w:tcPr>
          <w:p w:rsidR="002B29B2" w:rsidRPr="00215D48" w:rsidRDefault="002B29B2" w:rsidP="00784D6B">
            <w:pPr>
              <w:pStyle w:val="Date"/>
            </w:pPr>
            <w:r w:rsidRPr="00215D48">
              <w:t>Version 1.</w:t>
            </w:r>
            <w:r w:rsidR="00784D6B">
              <w:t>1</w:t>
            </w:r>
            <w:r w:rsidRPr="00215D48">
              <w:t xml:space="preserve">, </w:t>
            </w:r>
            <w:r w:rsidR="00784D6B">
              <w:t>July 2021</w:t>
            </w:r>
          </w:p>
        </w:tc>
      </w:tr>
    </w:tbl>
    <w:p w:rsidR="00B24FF5" w:rsidRPr="00215D48" w:rsidRDefault="00B24FF5" w:rsidP="00B24FF5">
      <w:pPr>
        <w:pStyle w:val="ListBullet"/>
        <w:numPr>
          <w:ilvl w:val="0"/>
          <w:numId w:val="0"/>
        </w:numPr>
        <w:sectPr w:rsidR="00B24FF5" w:rsidRPr="00215D48" w:rsidSect="00F401EF">
          <w:headerReference w:type="default" r:id="rId8"/>
          <w:footerReference w:type="default" r:id="rId9"/>
          <w:headerReference w:type="first" r:id="rId10"/>
          <w:footerReference w:type="first" r:id="rId11"/>
          <w:type w:val="continuous"/>
          <w:pgSz w:w="11906" w:h="16838" w:code="9"/>
          <w:pgMar w:top="6486" w:right="1418" w:bottom="0" w:left="1418" w:header="992" w:footer="335" w:gutter="0"/>
          <w:cols w:space="708"/>
          <w:titlePg/>
          <w:docGrid w:linePitch="360"/>
        </w:sectPr>
      </w:pPr>
    </w:p>
    <w:p w:rsidR="005D1689" w:rsidRPr="00E1198B" w:rsidRDefault="005D1689" w:rsidP="00BA0DFC">
      <w:pPr>
        <w:pStyle w:val="LegalSubheading"/>
      </w:pPr>
      <w:r w:rsidRPr="00BA0DFC">
        <w:lastRenderedPageBreak/>
        <w:t>Copyright</w:t>
      </w:r>
    </w:p>
    <w:p w:rsidR="00F274A2" w:rsidRDefault="005D1689" w:rsidP="0029069E">
      <w:pPr>
        <w:pStyle w:val="LegalCopy"/>
        <w:rPr>
          <w:rFonts w:cs="Arial"/>
        </w:rPr>
      </w:pPr>
      <w:r w:rsidRPr="00215D48">
        <w:rPr>
          <w:rFonts w:cs="Arial"/>
        </w:rPr>
        <w:t>© Commonwealth of Australia 20</w:t>
      </w:r>
      <w:r w:rsidR="00030D34">
        <w:rPr>
          <w:rFonts w:cs="Arial"/>
        </w:rPr>
        <w:t>21</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215D48">
          <w:rPr>
            <w:rStyle w:val="Hyperlink"/>
            <w:rFonts w:cs="Arial"/>
          </w:rPr>
          <w:t>tga.copyright@tga.gov.au</w:t>
        </w:r>
      </w:hyperlink>
      <w:r w:rsidRPr="00215D48">
        <w:rPr>
          <w:rFonts w:cs="Arial"/>
        </w:rPr>
        <w:t>&gt;.</w:t>
      </w:r>
    </w:p>
    <w:sdt>
      <w:sdtPr>
        <w:rPr>
          <w:rFonts w:ascii="Cambria" w:hAnsi="Cambria"/>
          <w:b w:val="0"/>
          <w:sz w:val="22"/>
        </w:rPr>
        <w:id w:val="21514769"/>
        <w:docPartObj>
          <w:docPartGallery w:val="Table of Contents"/>
          <w:docPartUnique/>
        </w:docPartObj>
      </w:sdtPr>
      <w:sdtEndPr/>
      <w:sdtContent>
        <w:p w:rsidR="00F401EF" w:rsidRPr="00215D48" w:rsidRDefault="00F401EF" w:rsidP="00035110">
          <w:pPr>
            <w:pStyle w:val="NonTOCheading2"/>
          </w:pPr>
          <w:r w:rsidRPr="00215D48">
            <w:t>Contents</w:t>
          </w:r>
        </w:p>
        <w:p w:rsidR="00E7294B" w:rsidRDefault="00F859D2">
          <w:pPr>
            <w:pStyle w:val="TOC1"/>
            <w:rPr>
              <w:rFonts w:asciiTheme="minorHAnsi" w:eastAsiaTheme="minorEastAsia" w:hAnsiTheme="minorHAnsi" w:cstheme="minorBidi"/>
              <w:b w:val="0"/>
              <w:noProof/>
              <w:sz w:val="22"/>
              <w:szCs w:val="22"/>
              <w:lang w:eastAsia="en-AU"/>
            </w:rPr>
          </w:pPr>
          <w:r w:rsidRPr="00215D48">
            <w:fldChar w:fldCharType="begin"/>
          </w:r>
          <w:r w:rsidR="00F401EF" w:rsidRPr="00215D48">
            <w:instrText xml:space="preserve"> TOC \h \z \u \t "Heading 2,1,Heading 3,2,Heading 4,3" </w:instrText>
          </w:r>
          <w:r w:rsidRPr="00215D48">
            <w:fldChar w:fldCharType="separate"/>
          </w:r>
          <w:hyperlink w:anchor="_Toc77521691" w:history="1">
            <w:r w:rsidR="00E7294B" w:rsidRPr="009420D1">
              <w:rPr>
                <w:rStyle w:val="Hyperlink"/>
                <w:noProof/>
              </w:rPr>
              <w:t>Overview of the regulation of listed medicines and registered complementary medicines</w:t>
            </w:r>
            <w:r w:rsidR="00E7294B">
              <w:rPr>
                <w:noProof/>
                <w:webHidden/>
              </w:rPr>
              <w:tab/>
            </w:r>
            <w:r w:rsidR="00E7294B">
              <w:rPr>
                <w:noProof/>
                <w:webHidden/>
              </w:rPr>
              <w:fldChar w:fldCharType="begin"/>
            </w:r>
            <w:r w:rsidR="00E7294B">
              <w:rPr>
                <w:noProof/>
                <w:webHidden/>
              </w:rPr>
              <w:instrText xml:space="preserve"> PAGEREF _Toc77521691 \h </w:instrText>
            </w:r>
            <w:r w:rsidR="00E7294B">
              <w:rPr>
                <w:noProof/>
                <w:webHidden/>
              </w:rPr>
            </w:r>
            <w:r w:rsidR="00E7294B">
              <w:rPr>
                <w:noProof/>
                <w:webHidden/>
              </w:rPr>
              <w:fldChar w:fldCharType="separate"/>
            </w:r>
            <w:r w:rsidR="00E7294B">
              <w:rPr>
                <w:noProof/>
                <w:webHidden/>
              </w:rPr>
              <w:t>4</w:t>
            </w:r>
            <w:r w:rsidR="00E7294B">
              <w:rPr>
                <w:noProof/>
                <w:webHidden/>
              </w:rPr>
              <w:fldChar w:fldCharType="end"/>
            </w:r>
          </w:hyperlink>
        </w:p>
        <w:p w:rsidR="00E7294B" w:rsidRDefault="00E7294B">
          <w:pPr>
            <w:pStyle w:val="TOC2"/>
            <w:rPr>
              <w:rFonts w:asciiTheme="minorHAnsi" w:eastAsiaTheme="minorEastAsia" w:hAnsiTheme="minorHAnsi" w:cstheme="minorBidi"/>
              <w:b w:val="0"/>
              <w:noProof/>
              <w:sz w:val="22"/>
              <w:szCs w:val="22"/>
              <w:lang w:eastAsia="en-AU"/>
            </w:rPr>
          </w:pPr>
          <w:hyperlink w:anchor="_Toc77521692" w:history="1">
            <w:r w:rsidRPr="009420D1">
              <w:rPr>
                <w:rStyle w:val="Hyperlink"/>
                <w:noProof/>
              </w:rPr>
              <w:t>Overview of the regulation of medicines in Australia</w:t>
            </w:r>
            <w:r>
              <w:rPr>
                <w:noProof/>
                <w:webHidden/>
              </w:rPr>
              <w:tab/>
            </w:r>
            <w:r>
              <w:rPr>
                <w:noProof/>
                <w:webHidden/>
              </w:rPr>
              <w:fldChar w:fldCharType="begin"/>
            </w:r>
            <w:r>
              <w:rPr>
                <w:noProof/>
                <w:webHidden/>
              </w:rPr>
              <w:instrText xml:space="preserve"> PAGEREF _Toc77521692 \h </w:instrText>
            </w:r>
            <w:r>
              <w:rPr>
                <w:noProof/>
                <w:webHidden/>
              </w:rPr>
            </w:r>
            <w:r>
              <w:rPr>
                <w:noProof/>
                <w:webHidden/>
              </w:rPr>
              <w:fldChar w:fldCharType="separate"/>
            </w:r>
            <w:r>
              <w:rPr>
                <w:noProof/>
                <w:webHidden/>
              </w:rPr>
              <w:t>4</w:t>
            </w:r>
            <w:r>
              <w:rPr>
                <w:noProof/>
                <w:webHidden/>
              </w:rPr>
              <w:fldChar w:fldCharType="end"/>
            </w:r>
          </w:hyperlink>
        </w:p>
        <w:p w:rsidR="00E7294B" w:rsidRDefault="00E7294B">
          <w:pPr>
            <w:pStyle w:val="TOC3"/>
            <w:rPr>
              <w:rFonts w:asciiTheme="minorHAnsi" w:eastAsiaTheme="minorEastAsia" w:hAnsiTheme="minorHAnsi" w:cstheme="minorBidi"/>
              <w:b w:val="0"/>
              <w:noProof/>
              <w:szCs w:val="22"/>
              <w:lang w:eastAsia="en-AU"/>
            </w:rPr>
          </w:pPr>
          <w:hyperlink w:anchor="_Toc77521693" w:history="1">
            <w:r w:rsidRPr="009420D1">
              <w:rPr>
                <w:rStyle w:val="Hyperlink"/>
                <w:noProof/>
              </w:rPr>
              <w:t>Australian Register of Therapeutic Goods (ARTG)</w:t>
            </w:r>
            <w:r>
              <w:rPr>
                <w:noProof/>
                <w:webHidden/>
              </w:rPr>
              <w:tab/>
            </w:r>
            <w:r>
              <w:rPr>
                <w:noProof/>
                <w:webHidden/>
              </w:rPr>
              <w:fldChar w:fldCharType="begin"/>
            </w:r>
            <w:r>
              <w:rPr>
                <w:noProof/>
                <w:webHidden/>
              </w:rPr>
              <w:instrText xml:space="preserve"> PAGEREF _Toc77521693 \h </w:instrText>
            </w:r>
            <w:r>
              <w:rPr>
                <w:noProof/>
                <w:webHidden/>
              </w:rPr>
            </w:r>
            <w:r>
              <w:rPr>
                <w:noProof/>
                <w:webHidden/>
              </w:rPr>
              <w:fldChar w:fldCharType="separate"/>
            </w:r>
            <w:r>
              <w:rPr>
                <w:noProof/>
                <w:webHidden/>
              </w:rPr>
              <w:t>4</w:t>
            </w:r>
            <w:r>
              <w:rPr>
                <w:noProof/>
                <w:webHidden/>
              </w:rPr>
              <w:fldChar w:fldCharType="end"/>
            </w:r>
          </w:hyperlink>
        </w:p>
        <w:p w:rsidR="00E7294B" w:rsidRDefault="00E7294B">
          <w:pPr>
            <w:pStyle w:val="TOC3"/>
            <w:rPr>
              <w:rFonts w:asciiTheme="minorHAnsi" w:eastAsiaTheme="minorEastAsia" w:hAnsiTheme="minorHAnsi" w:cstheme="minorBidi"/>
              <w:b w:val="0"/>
              <w:noProof/>
              <w:szCs w:val="22"/>
              <w:lang w:eastAsia="en-AU"/>
            </w:rPr>
          </w:pPr>
          <w:hyperlink w:anchor="_Toc77521694" w:history="1">
            <w:r w:rsidRPr="009420D1">
              <w:rPr>
                <w:rStyle w:val="Hyperlink"/>
                <w:noProof/>
              </w:rPr>
              <w:t>Classification of medicines as registered or listed</w:t>
            </w:r>
            <w:r>
              <w:rPr>
                <w:noProof/>
                <w:webHidden/>
              </w:rPr>
              <w:tab/>
            </w:r>
            <w:r>
              <w:rPr>
                <w:noProof/>
                <w:webHidden/>
              </w:rPr>
              <w:fldChar w:fldCharType="begin"/>
            </w:r>
            <w:r>
              <w:rPr>
                <w:noProof/>
                <w:webHidden/>
              </w:rPr>
              <w:instrText xml:space="preserve"> PAGEREF _Toc77521694 \h </w:instrText>
            </w:r>
            <w:r>
              <w:rPr>
                <w:noProof/>
                <w:webHidden/>
              </w:rPr>
            </w:r>
            <w:r>
              <w:rPr>
                <w:noProof/>
                <w:webHidden/>
              </w:rPr>
              <w:fldChar w:fldCharType="separate"/>
            </w:r>
            <w:r>
              <w:rPr>
                <w:noProof/>
                <w:webHidden/>
              </w:rPr>
              <w:t>4</w:t>
            </w:r>
            <w:r>
              <w:rPr>
                <w:noProof/>
                <w:webHidden/>
              </w:rPr>
              <w:fldChar w:fldCharType="end"/>
            </w:r>
          </w:hyperlink>
        </w:p>
        <w:p w:rsidR="00E7294B" w:rsidRDefault="00E7294B">
          <w:pPr>
            <w:pStyle w:val="TOC3"/>
            <w:rPr>
              <w:rFonts w:asciiTheme="minorHAnsi" w:eastAsiaTheme="minorEastAsia" w:hAnsiTheme="minorHAnsi" w:cstheme="minorBidi"/>
              <w:b w:val="0"/>
              <w:noProof/>
              <w:szCs w:val="22"/>
              <w:lang w:eastAsia="en-AU"/>
            </w:rPr>
          </w:pPr>
          <w:hyperlink w:anchor="_Toc77521695" w:history="1">
            <w:r w:rsidRPr="009420D1">
              <w:rPr>
                <w:rStyle w:val="Hyperlink"/>
                <w:noProof/>
              </w:rPr>
              <w:t>Legislation and guidance</w:t>
            </w:r>
            <w:r>
              <w:rPr>
                <w:noProof/>
                <w:webHidden/>
              </w:rPr>
              <w:tab/>
            </w:r>
            <w:r>
              <w:rPr>
                <w:noProof/>
                <w:webHidden/>
              </w:rPr>
              <w:fldChar w:fldCharType="begin"/>
            </w:r>
            <w:r>
              <w:rPr>
                <w:noProof/>
                <w:webHidden/>
              </w:rPr>
              <w:instrText xml:space="preserve"> PAGEREF _Toc77521695 \h </w:instrText>
            </w:r>
            <w:r>
              <w:rPr>
                <w:noProof/>
                <w:webHidden/>
              </w:rPr>
            </w:r>
            <w:r>
              <w:rPr>
                <w:noProof/>
                <w:webHidden/>
              </w:rPr>
              <w:fldChar w:fldCharType="separate"/>
            </w:r>
            <w:r>
              <w:rPr>
                <w:noProof/>
                <w:webHidden/>
              </w:rPr>
              <w:t>5</w:t>
            </w:r>
            <w:r>
              <w:rPr>
                <w:noProof/>
                <w:webHidden/>
              </w:rPr>
              <w:fldChar w:fldCharType="end"/>
            </w:r>
          </w:hyperlink>
        </w:p>
        <w:p w:rsidR="00E7294B" w:rsidRDefault="00E7294B">
          <w:pPr>
            <w:pStyle w:val="TOC3"/>
            <w:rPr>
              <w:rFonts w:asciiTheme="minorHAnsi" w:eastAsiaTheme="minorEastAsia" w:hAnsiTheme="minorHAnsi" w:cstheme="minorBidi"/>
              <w:b w:val="0"/>
              <w:noProof/>
              <w:szCs w:val="22"/>
              <w:lang w:eastAsia="en-AU"/>
            </w:rPr>
          </w:pPr>
          <w:hyperlink w:anchor="_Toc77521696" w:history="1">
            <w:r w:rsidRPr="009420D1">
              <w:rPr>
                <w:rStyle w:val="Hyperlink"/>
                <w:noProof/>
              </w:rPr>
              <w:t>What are complementary medicines?</w:t>
            </w:r>
            <w:r>
              <w:rPr>
                <w:noProof/>
                <w:webHidden/>
              </w:rPr>
              <w:tab/>
            </w:r>
            <w:r>
              <w:rPr>
                <w:noProof/>
                <w:webHidden/>
              </w:rPr>
              <w:fldChar w:fldCharType="begin"/>
            </w:r>
            <w:r>
              <w:rPr>
                <w:noProof/>
                <w:webHidden/>
              </w:rPr>
              <w:instrText xml:space="preserve"> PAGEREF _Toc77521696 \h </w:instrText>
            </w:r>
            <w:r>
              <w:rPr>
                <w:noProof/>
                <w:webHidden/>
              </w:rPr>
            </w:r>
            <w:r>
              <w:rPr>
                <w:noProof/>
                <w:webHidden/>
              </w:rPr>
              <w:fldChar w:fldCharType="separate"/>
            </w:r>
            <w:r>
              <w:rPr>
                <w:noProof/>
                <w:webHidden/>
              </w:rPr>
              <w:t>7</w:t>
            </w:r>
            <w:r>
              <w:rPr>
                <w:noProof/>
                <w:webHidden/>
              </w:rPr>
              <w:fldChar w:fldCharType="end"/>
            </w:r>
          </w:hyperlink>
        </w:p>
        <w:p w:rsidR="00E7294B" w:rsidRDefault="00E7294B">
          <w:pPr>
            <w:pStyle w:val="TOC3"/>
            <w:rPr>
              <w:rFonts w:asciiTheme="minorHAnsi" w:eastAsiaTheme="minorEastAsia" w:hAnsiTheme="minorHAnsi" w:cstheme="minorBidi"/>
              <w:b w:val="0"/>
              <w:noProof/>
              <w:szCs w:val="22"/>
              <w:lang w:eastAsia="en-AU"/>
            </w:rPr>
          </w:pPr>
          <w:hyperlink w:anchor="_Toc77521697" w:history="1">
            <w:r w:rsidRPr="009420D1">
              <w:rPr>
                <w:rStyle w:val="Hyperlink"/>
                <w:noProof/>
              </w:rPr>
              <w:t>Medicine interface issues</w:t>
            </w:r>
            <w:r>
              <w:rPr>
                <w:noProof/>
                <w:webHidden/>
              </w:rPr>
              <w:tab/>
            </w:r>
            <w:r>
              <w:rPr>
                <w:noProof/>
                <w:webHidden/>
              </w:rPr>
              <w:fldChar w:fldCharType="begin"/>
            </w:r>
            <w:r>
              <w:rPr>
                <w:noProof/>
                <w:webHidden/>
              </w:rPr>
              <w:instrText xml:space="preserve"> PAGEREF _Toc77521697 \h </w:instrText>
            </w:r>
            <w:r>
              <w:rPr>
                <w:noProof/>
                <w:webHidden/>
              </w:rPr>
            </w:r>
            <w:r>
              <w:rPr>
                <w:noProof/>
                <w:webHidden/>
              </w:rPr>
              <w:fldChar w:fldCharType="separate"/>
            </w:r>
            <w:r>
              <w:rPr>
                <w:noProof/>
                <w:webHidden/>
              </w:rPr>
              <w:t>9</w:t>
            </w:r>
            <w:r>
              <w:rPr>
                <w:noProof/>
                <w:webHidden/>
              </w:rPr>
              <w:fldChar w:fldCharType="end"/>
            </w:r>
          </w:hyperlink>
        </w:p>
        <w:p w:rsidR="00E7294B" w:rsidRDefault="00E7294B">
          <w:pPr>
            <w:pStyle w:val="TOC3"/>
            <w:rPr>
              <w:rFonts w:asciiTheme="minorHAnsi" w:eastAsiaTheme="minorEastAsia" w:hAnsiTheme="minorHAnsi" w:cstheme="minorBidi"/>
              <w:b w:val="0"/>
              <w:noProof/>
              <w:szCs w:val="22"/>
              <w:lang w:eastAsia="en-AU"/>
            </w:rPr>
          </w:pPr>
          <w:hyperlink w:anchor="_Toc77521698" w:history="1">
            <w:r w:rsidRPr="009420D1">
              <w:rPr>
                <w:rStyle w:val="Hyperlink"/>
                <w:noProof/>
              </w:rPr>
              <w:t>Types of ingredients in listed medicines and registered complementary medicines</w:t>
            </w:r>
            <w:r>
              <w:rPr>
                <w:noProof/>
                <w:webHidden/>
              </w:rPr>
              <w:tab/>
            </w:r>
            <w:r>
              <w:rPr>
                <w:noProof/>
                <w:webHidden/>
              </w:rPr>
              <w:fldChar w:fldCharType="begin"/>
            </w:r>
            <w:r>
              <w:rPr>
                <w:noProof/>
                <w:webHidden/>
              </w:rPr>
              <w:instrText xml:space="preserve"> PAGEREF _Toc77521698 \h </w:instrText>
            </w:r>
            <w:r>
              <w:rPr>
                <w:noProof/>
                <w:webHidden/>
              </w:rPr>
            </w:r>
            <w:r>
              <w:rPr>
                <w:noProof/>
                <w:webHidden/>
              </w:rPr>
              <w:fldChar w:fldCharType="separate"/>
            </w:r>
            <w:r>
              <w:rPr>
                <w:noProof/>
                <w:webHidden/>
              </w:rPr>
              <w:t>11</w:t>
            </w:r>
            <w:r>
              <w:rPr>
                <w:noProof/>
                <w:webHidden/>
              </w:rPr>
              <w:fldChar w:fldCharType="end"/>
            </w:r>
          </w:hyperlink>
        </w:p>
        <w:p w:rsidR="00E7294B" w:rsidRDefault="00E7294B">
          <w:pPr>
            <w:pStyle w:val="TOC3"/>
            <w:rPr>
              <w:rFonts w:asciiTheme="minorHAnsi" w:eastAsiaTheme="minorEastAsia" w:hAnsiTheme="minorHAnsi" w:cstheme="minorBidi"/>
              <w:b w:val="0"/>
              <w:noProof/>
              <w:szCs w:val="22"/>
              <w:lang w:eastAsia="en-AU"/>
            </w:rPr>
          </w:pPr>
          <w:hyperlink w:anchor="_Toc77521699" w:history="1">
            <w:r w:rsidRPr="009420D1">
              <w:rPr>
                <w:rStyle w:val="Hyperlink"/>
                <w:noProof/>
              </w:rPr>
              <w:t>Approved terminology for listed medicines and registered complementary medicines</w:t>
            </w:r>
            <w:r>
              <w:rPr>
                <w:noProof/>
                <w:webHidden/>
              </w:rPr>
              <w:tab/>
            </w:r>
            <w:r>
              <w:rPr>
                <w:noProof/>
                <w:webHidden/>
              </w:rPr>
              <w:fldChar w:fldCharType="begin"/>
            </w:r>
            <w:r>
              <w:rPr>
                <w:noProof/>
                <w:webHidden/>
              </w:rPr>
              <w:instrText xml:space="preserve"> PAGEREF _Toc77521699 \h </w:instrText>
            </w:r>
            <w:r>
              <w:rPr>
                <w:noProof/>
                <w:webHidden/>
              </w:rPr>
            </w:r>
            <w:r>
              <w:rPr>
                <w:noProof/>
                <w:webHidden/>
              </w:rPr>
              <w:fldChar w:fldCharType="separate"/>
            </w:r>
            <w:r>
              <w:rPr>
                <w:noProof/>
                <w:webHidden/>
              </w:rPr>
              <w:t>13</w:t>
            </w:r>
            <w:r>
              <w:rPr>
                <w:noProof/>
                <w:webHidden/>
              </w:rPr>
              <w:fldChar w:fldCharType="end"/>
            </w:r>
          </w:hyperlink>
        </w:p>
        <w:p w:rsidR="00E7294B" w:rsidRDefault="00E7294B">
          <w:pPr>
            <w:pStyle w:val="TOC2"/>
            <w:rPr>
              <w:rFonts w:asciiTheme="minorHAnsi" w:eastAsiaTheme="minorEastAsia" w:hAnsiTheme="minorHAnsi" w:cstheme="minorBidi"/>
              <w:b w:val="0"/>
              <w:noProof/>
              <w:sz w:val="22"/>
              <w:szCs w:val="22"/>
              <w:lang w:eastAsia="en-AU"/>
            </w:rPr>
          </w:pPr>
          <w:hyperlink w:anchor="_Toc77521700" w:history="1">
            <w:r w:rsidRPr="009420D1">
              <w:rPr>
                <w:rStyle w:val="Hyperlink"/>
                <w:noProof/>
              </w:rPr>
              <w:t>Supplying medicines in Australia</w:t>
            </w:r>
            <w:r>
              <w:rPr>
                <w:noProof/>
                <w:webHidden/>
              </w:rPr>
              <w:tab/>
            </w:r>
            <w:r>
              <w:rPr>
                <w:noProof/>
                <w:webHidden/>
              </w:rPr>
              <w:fldChar w:fldCharType="begin"/>
            </w:r>
            <w:r>
              <w:rPr>
                <w:noProof/>
                <w:webHidden/>
              </w:rPr>
              <w:instrText xml:space="preserve"> PAGEREF _Toc77521700 \h </w:instrText>
            </w:r>
            <w:r>
              <w:rPr>
                <w:noProof/>
                <w:webHidden/>
              </w:rPr>
            </w:r>
            <w:r>
              <w:rPr>
                <w:noProof/>
                <w:webHidden/>
              </w:rPr>
              <w:fldChar w:fldCharType="separate"/>
            </w:r>
            <w:r>
              <w:rPr>
                <w:noProof/>
                <w:webHidden/>
              </w:rPr>
              <w:t>15</w:t>
            </w:r>
            <w:r>
              <w:rPr>
                <w:noProof/>
                <w:webHidden/>
              </w:rPr>
              <w:fldChar w:fldCharType="end"/>
            </w:r>
          </w:hyperlink>
        </w:p>
        <w:p w:rsidR="00E7294B" w:rsidRDefault="00E7294B">
          <w:pPr>
            <w:pStyle w:val="TOC3"/>
            <w:rPr>
              <w:rFonts w:asciiTheme="minorHAnsi" w:eastAsiaTheme="minorEastAsia" w:hAnsiTheme="minorHAnsi" w:cstheme="minorBidi"/>
              <w:b w:val="0"/>
              <w:noProof/>
              <w:szCs w:val="22"/>
              <w:lang w:eastAsia="en-AU"/>
            </w:rPr>
          </w:pPr>
          <w:hyperlink w:anchor="_Toc77521701" w:history="1">
            <w:r w:rsidRPr="009420D1">
              <w:rPr>
                <w:rStyle w:val="Hyperlink"/>
                <w:noProof/>
              </w:rPr>
              <w:t>Medicines exempt from certain TGA regulation</w:t>
            </w:r>
            <w:r>
              <w:rPr>
                <w:noProof/>
                <w:webHidden/>
              </w:rPr>
              <w:tab/>
            </w:r>
            <w:r>
              <w:rPr>
                <w:noProof/>
                <w:webHidden/>
              </w:rPr>
              <w:fldChar w:fldCharType="begin"/>
            </w:r>
            <w:r>
              <w:rPr>
                <w:noProof/>
                <w:webHidden/>
              </w:rPr>
              <w:instrText xml:space="preserve"> PAGEREF _Toc77521701 \h </w:instrText>
            </w:r>
            <w:r>
              <w:rPr>
                <w:noProof/>
                <w:webHidden/>
              </w:rPr>
            </w:r>
            <w:r>
              <w:rPr>
                <w:noProof/>
                <w:webHidden/>
              </w:rPr>
              <w:fldChar w:fldCharType="separate"/>
            </w:r>
            <w:r>
              <w:rPr>
                <w:noProof/>
                <w:webHidden/>
              </w:rPr>
              <w:t>15</w:t>
            </w:r>
            <w:r>
              <w:rPr>
                <w:noProof/>
                <w:webHidden/>
              </w:rPr>
              <w:fldChar w:fldCharType="end"/>
            </w:r>
          </w:hyperlink>
        </w:p>
        <w:p w:rsidR="00E7294B" w:rsidRDefault="00E7294B">
          <w:pPr>
            <w:pStyle w:val="TOC3"/>
            <w:rPr>
              <w:rFonts w:asciiTheme="minorHAnsi" w:eastAsiaTheme="minorEastAsia" w:hAnsiTheme="minorHAnsi" w:cstheme="minorBidi"/>
              <w:b w:val="0"/>
              <w:noProof/>
              <w:szCs w:val="22"/>
              <w:lang w:eastAsia="en-AU"/>
            </w:rPr>
          </w:pPr>
          <w:hyperlink w:anchor="_Toc77521702" w:history="1">
            <w:r w:rsidRPr="009420D1">
              <w:rPr>
                <w:rStyle w:val="Hyperlink"/>
                <w:noProof/>
              </w:rPr>
              <w:t>Entering medicines in the ARTG</w:t>
            </w:r>
            <w:r>
              <w:rPr>
                <w:noProof/>
                <w:webHidden/>
              </w:rPr>
              <w:tab/>
            </w:r>
            <w:r>
              <w:rPr>
                <w:noProof/>
                <w:webHidden/>
              </w:rPr>
              <w:fldChar w:fldCharType="begin"/>
            </w:r>
            <w:r>
              <w:rPr>
                <w:noProof/>
                <w:webHidden/>
              </w:rPr>
              <w:instrText xml:space="preserve"> PAGEREF _Toc77521702 \h </w:instrText>
            </w:r>
            <w:r>
              <w:rPr>
                <w:noProof/>
                <w:webHidden/>
              </w:rPr>
            </w:r>
            <w:r>
              <w:rPr>
                <w:noProof/>
                <w:webHidden/>
              </w:rPr>
              <w:fldChar w:fldCharType="separate"/>
            </w:r>
            <w:r>
              <w:rPr>
                <w:noProof/>
                <w:webHidden/>
              </w:rPr>
              <w:t>19</w:t>
            </w:r>
            <w:r>
              <w:rPr>
                <w:noProof/>
                <w:webHidden/>
              </w:rPr>
              <w:fldChar w:fldCharType="end"/>
            </w:r>
          </w:hyperlink>
        </w:p>
        <w:p w:rsidR="00E7294B" w:rsidRDefault="00E7294B">
          <w:pPr>
            <w:pStyle w:val="TOC3"/>
            <w:rPr>
              <w:rFonts w:asciiTheme="minorHAnsi" w:eastAsiaTheme="minorEastAsia" w:hAnsiTheme="minorHAnsi" w:cstheme="minorBidi"/>
              <w:b w:val="0"/>
              <w:noProof/>
              <w:szCs w:val="22"/>
              <w:lang w:eastAsia="en-AU"/>
            </w:rPr>
          </w:pPr>
          <w:hyperlink w:anchor="_Toc77521703" w:history="1">
            <w:r w:rsidRPr="009420D1">
              <w:rPr>
                <w:rStyle w:val="Hyperlink"/>
                <w:noProof/>
              </w:rPr>
              <w:t>Supplying medicines packaged with other goods</w:t>
            </w:r>
            <w:r>
              <w:rPr>
                <w:noProof/>
                <w:webHidden/>
              </w:rPr>
              <w:tab/>
            </w:r>
            <w:r>
              <w:rPr>
                <w:noProof/>
                <w:webHidden/>
              </w:rPr>
              <w:fldChar w:fldCharType="begin"/>
            </w:r>
            <w:r>
              <w:rPr>
                <w:noProof/>
                <w:webHidden/>
              </w:rPr>
              <w:instrText xml:space="preserve"> PAGEREF _Toc77521703 \h </w:instrText>
            </w:r>
            <w:r>
              <w:rPr>
                <w:noProof/>
                <w:webHidden/>
              </w:rPr>
            </w:r>
            <w:r>
              <w:rPr>
                <w:noProof/>
                <w:webHidden/>
              </w:rPr>
              <w:fldChar w:fldCharType="separate"/>
            </w:r>
            <w:r>
              <w:rPr>
                <w:noProof/>
                <w:webHidden/>
              </w:rPr>
              <w:t>21</w:t>
            </w:r>
            <w:r>
              <w:rPr>
                <w:noProof/>
                <w:webHidden/>
              </w:rPr>
              <w:fldChar w:fldCharType="end"/>
            </w:r>
          </w:hyperlink>
        </w:p>
        <w:p w:rsidR="00E7294B" w:rsidRDefault="00E7294B">
          <w:pPr>
            <w:pStyle w:val="TOC3"/>
            <w:rPr>
              <w:rFonts w:asciiTheme="minorHAnsi" w:eastAsiaTheme="minorEastAsia" w:hAnsiTheme="minorHAnsi" w:cstheme="minorBidi"/>
              <w:b w:val="0"/>
              <w:noProof/>
              <w:szCs w:val="22"/>
              <w:lang w:eastAsia="en-AU"/>
            </w:rPr>
          </w:pPr>
          <w:hyperlink w:anchor="_Toc77521704" w:history="1">
            <w:r w:rsidRPr="009420D1">
              <w:rPr>
                <w:rStyle w:val="Hyperlink"/>
                <w:noProof/>
              </w:rPr>
              <w:t>Administrative information</w:t>
            </w:r>
            <w:r>
              <w:rPr>
                <w:noProof/>
                <w:webHidden/>
              </w:rPr>
              <w:tab/>
            </w:r>
            <w:r>
              <w:rPr>
                <w:noProof/>
                <w:webHidden/>
              </w:rPr>
              <w:fldChar w:fldCharType="begin"/>
            </w:r>
            <w:r>
              <w:rPr>
                <w:noProof/>
                <w:webHidden/>
              </w:rPr>
              <w:instrText xml:space="preserve"> PAGEREF _Toc77521704 \h </w:instrText>
            </w:r>
            <w:r>
              <w:rPr>
                <w:noProof/>
                <w:webHidden/>
              </w:rPr>
            </w:r>
            <w:r>
              <w:rPr>
                <w:noProof/>
                <w:webHidden/>
              </w:rPr>
              <w:fldChar w:fldCharType="separate"/>
            </w:r>
            <w:r>
              <w:rPr>
                <w:noProof/>
                <w:webHidden/>
              </w:rPr>
              <w:t>22</w:t>
            </w:r>
            <w:r>
              <w:rPr>
                <w:noProof/>
                <w:webHidden/>
              </w:rPr>
              <w:fldChar w:fldCharType="end"/>
            </w:r>
          </w:hyperlink>
        </w:p>
        <w:p w:rsidR="00E7294B" w:rsidRDefault="00E7294B">
          <w:pPr>
            <w:pStyle w:val="TOC2"/>
            <w:rPr>
              <w:rFonts w:asciiTheme="minorHAnsi" w:eastAsiaTheme="minorEastAsia" w:hAnsiTheme="minorHAnsi" w:cstheme="minorBidi"/>
              <w:b w:val="0"/>
              <w:noProof/>
              <w:sz w:val="22"/>
              <w:szCs w:val="22"/>
              <w:lang w:eastAsia="en-AU"/>
            </w:rPr>
          </w:pPr>
          <w:hyperlink w:anchor="_Toc77521705" w:history="1">
            <w:r w:rsidRPr="009420D1">
              <w:rPr>
                <w:rStyle w:val="Hyperlink"/>
                <w:noProof/>
              </w:rPr>
              <w:t>Post-market monitoring of medicines in Australia</w:t>
            </w:r>
            <w:r>
              <w:rPr>
                <w:noProof/>
                <w:webHidden/>
              </w:rPr>
              <w:tab/>
            </w:r>
            <w:r>
              <w:rPr>
                <w:noProof/>
                <w:webHidden/>
              </w:rPr>
              <w:fldChar w:fldCharType="begin"/>
            </w:r>
            <w:r>
              <w:rPr>
                <w:noProof/>
                <w:webHidden/>
              </w:rPr>
              <w:instrText xml:space="preserve"> PAGEREF _Toc77521705 \h </w:instrText>
            </w:r>
            <w:r>
              <w:rPr>
                <w:noProof/>
                <w:webHidden/>
              </w:rPr>
            </w:r>
            <w:r>
              <w:rPr>
                <w:noProof/>
                <w:webHidden/>
              </w:rPr>
              <w:fldChar w:fldCharType="separate"/>
            </w:r>
            <w:r>
              <w:rPr>
                <w:noProof/>
                <w:webHidden/>
              </w:rPr>
              <w:t>23</w:t>
            </w:r>
            <w:r>
              <w:rPr>
                <w:noProof/>
                <w:webHidden/>
              </w:rPr>
              <w:fldChar w:fldCharType="end"/>
            </w:r>
          </w:hyperlink>
        </w:p>
        <w:p w:rsidR="00F401EF" w:rsidRPr="00215D48" w:rsidRDefault="00F859D2" w:rsidP="00F401EF">
          <w:r w:rsidRPr="00215D48">
            <w:fldChar w:fldCharType="end"/>
          </w:r>
        </w:p>
      </w:sdtContent>
    </w:sdt>
    <w:p w:rsidR="001525B4" w:rsidRDefault="00784D6B" w:rsidP="00181D60">
      <w:pPr>
        <w:pStyle w:val="Heading2"/>
        <w:pageBreakBefore/>
      </w:pPr>
      <w:bookmarkStart w:id="0" w:name="_Toc77521691"/>
      <w:r w:rsidRPr="00784D6B">
        <w:lastRenderedPageBreak/>
        <w:t>Overview of the regulation of listed medicines and registered complementary medicines</w:t>
      </w:r>
      <w:bookmarkEnd w:id="0"/>
    </w:p>
    <w:tbl>
      <w:tblPr>
        <w:tblW w:w="9038" w:type="dxa"/>
        <w:tblLayout w:type="fixed"/>
        <w:tblCellMar>
          <w:left w:w="0" w:type="dxa"/>
          <w:right w:w="0" w:type="dxa"/>
        </w:tblCellMar>
        <w:tblLook w:val="04A0" w:firstRow="1" w:lastRow="0" w:firstColumn="1" w:lastColumn="0" w:noHBand="0" w:noVBand="1"/>
      </w:tblPr>
      <w:tblGrid>
        <w:gridCol w:w="1276"/>
        <w:gridCol w:w="7762"/>
      </w:tblGrid>
      <w:tr w:rsidR="00784D6B" w:rsidRPr="00215D48" w:rsidTr="007004E8">
        <w:tc>
          <w:tcPr>
            <w:tcW w:w="1276" w:type="dxa"/>
            <w:vAlign w:val="center"/>
          </w:tcPr>
          <w:p w:rsidR="00784D6B" w:rsidRPr="00215D48" w:rsidRDefault="00784D6B" w:rsidP="007004E8">
            <w:pPr>
              <w:spacing w:before="0"/>
              <w:rPr>
                <w:sz w:val="20"/>
              </w:rPr>
            </w:pPr>
            <w:r w:rsidRPr="00215D48">
              <w:rPr>
                <w:noProof/>
                <w:sz w:val="20"/>
                <w:lang w:eastAsia="en-AU"/>
              </w:rPr>
              <w:drawing>
                <wp:inline distT="0" distB="0" distL="0" distR="0" wp14:anchorId="2238724A" wp14:editId="6A853841">
                  <wp:extent cx="487681" cy="487681"/>
                  <wp:effectExtent l="19050" t="0" r="7619" b="0"/>
                  <wp:docPr id="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rsidR="00784D6B" w:rsidRPr="005004AF" w:rsidRDefault="00784D6B" w:rsidP="00784D6B">
            <w:pPr>
              <w:rPr>
                <w:rStyle w:val="Hyperlink"/>
              </w:rPr>
            </w:pPr>
            <w:r w:rsidRPr="001D0444">
              <w:rPr>
                <w:b/>
              </w:rPr>
              <w:t>I</w:t>
            </w:r>
            <w:r>
              <w:rPr>
                <w:b/>
              </w:rPr>
              <w:t>nformation</w:t>
            </w:r>
            <w:r w:rsidRPr="001D0444">
              <w:rPr>
                <w:b/>
              </w:rPr>
              <w:t>:</w:t>
            </w:r>
            <w:r>
              <w:rPr>
                <w:b/>
              </w:rPr>
              <w:t xml:space="preserve"> </w:t>
            </w:r>
            <w:r>
              <w:t xml:space="preserve">This guidance replaces archived ARGCM V8.0 </w:t>
            </w:r>
            <w:hyperlink r:id="rId14" w:history="1">
              <w:r w:rsidRPr="00DC4095">
                <w:rPr>
                  <w:rStyle w:val="Hyperlink"/>
                </w:rPr>
                <w:t>Part A: General guidance on the regulation of listed medicines and registered complementary medicines in Australia</w:t>
              </w:r>
            </w:hyperlink>
            <w:r w:rsidRPr="005004AF">
              <w:rPr>
                <w:rStyle w:val="Hyperlink"/>
              </w:rPr>
              <w:t>.</w:t>
            </w:r>
          </w:p>
          <w:p w:rsidR="00784D6B" w:rsidRPr="00215D48" w:rsidRDefault="00784D6B" w:rsidP="00784D6B">
            <w:r>
              <w:t xml:space="preserve">Refer to </w:t>
            </w:r>
            <w:hyperlink r:id="rId15" w:history="1">
              <w:r w:rsidRPr="00DC4095">
                <w:rPr>
                  <w:rStyle w:val="Hyperlink"/>
                </w:rPr>
                <w:t>Standards, guidelines &amp; publications</w:t>
              </w:r>
            </w:hyperlink>
            <w:r>
              <w:t xml:space="preserve"> for a list of all guidance relevant to listed medicines and registered complementary medicines.</w:t>
            </w:r>
          </w:p>
        </w:tc>
      </w:tr>
    </w:tbl>
    <w:p w:rsidR="001525B4" w:rsidRPr="00215D48" w:rsidRDefault="00784D6B" w:rsidP="00CB73C5">
      <w:pPr>
        <w:pStyle w:val="Heading3"/>
      </w:pPr>
      <w:bookmarkStart w:id="1" w:name="_Toc77521692"/>
      <w:bookmarkStart w:id="2" w:name="_GoBack"/>
      <w:bookmarkEnd w:id="2"/>
      <w:r w:rsidRPr="00784D6B">
        <w:t>Overview of the regulation of medicines in Australia</w:t>
      </w:r>
      <w:bookmarkEnd w:id="1"/>
    </w:p>
    <w:p w:rsidR="00784D6B" w:rsidRDefault="00784D6B" w:rsidP="00784D6B">
      <w:bookmarkStart w:id="3" w:name="_Toc323739591"/>
      <w:bookmarkStart w:id="4" w:name="_Toc356305218"/>
      <w:r>
        <w:t>The regulatory framework for therapeutic goods regulates products according to risk. Our scientific assessments and decision-making are intended to ensure that the benefits of a medicine outweigh any risks associated with its use.</w:t>
      </w:r>
    </w:p>
    <w:p w:rsidR="00784D6B" w:rsidRDefault="00784D6B" w:rsidP="00784D6B">
      <w:r>
        <w:t>In order for the TGA to maintain public confidence in the safety, benefits and risks associated with the use of medicines on the Australian market, the TGA regulates medicines:</w:t>
      </w:r>
    </w:p>
    <w:p w:rsidR="00784D6B" w:rsidRDefault="00784D6B" w:rsidP="00784D6B">
      <w:pPr>
        <w:pStyle w:val="ListBullet"/>
      </w:pPr>
      <w:r w:rsidRPr="00784D6B">
        <w:t>before</w:t>
      </w:r>
      <w:r>
        <w:t xml:space="preserve"> a medicine is able to be supplied to the market in </w:t>
      </w:r>
      <w:r w:rsidRPr="005004AF">
        <w:t>Australia</w:t>
      </w:r>
      <w:r>
        <w:t xml:space="preserve"> (pre-market) - for more information see </w:t>
      </w:r>
      <w:hyperlink w:anchor="_Supplying_complementary_medicines" w:history="1">
        <w:r w:rsidRPr="00B7579E">
          <w:rPr>
            <w:rStyle w:val="Hyperlink"/>
          </w:rPr>
          <w:t>Supplying medicines in Australia</w:t>
        </w:r>
      </w:hyperlink>
    </w:p>
    <w:p w:rsidR="00784D6B" w:rsidRPr="00181D60" w:rsidRDefault="00784D6B" w:rsidP="00784D6B">
      <w:pPr>
        <w:pStyle w:val="ListBullet"/>
        <w:rPr>
          <w:rStyle w:val="Hyperlink"/>
          <w:color w:val="auto"/>
          <w:u w:val="none"/>
        </w:rPr>
      </w:pPr>
      <w:r>
        <w:t>while a medicine is available on the market (post-market)</w:t>
      </w:r>
      <w:r w:rsidRPr="00B7579E">
        <w:t xml:space="preserve"> For more information see</w:t>
      </w:r>
      <w:r>
        <w:t xml:space="preserve"> </w:t>
      </w:r>
      <w:hyperlink w:anchor="_Post-market_monitoring_of" w:history="1">
        <w:r w:rsidRPr="0081315E">
          <w:rPr>
            <w:rStyle w:val="Hyperlink"/>
          </w:rPr>
          <w:t>Post-market monitoring of medicines in Australia</w:t>
        </w:r>
      </w:hyperlink>
    </w:p>
    <w:p w:rsidR="00181D60" w:rsidRDefault="00181D60" w:rsidP="00181D60">
      <w:pPr>
        <w:pStyle w:val="Heading4"/>
      </w:pPr>
      <w:bookmarkStart w:id="5" w:name="_Toc515867207"/>
      <w:bookmarkStart w:id="6" w:name="_Toc77521693"/>
      <w:r>
        <w:t>Australian Register of Therapeutic Goods (ARTG)</w:t>
      </w:r>
      <w:bookmarkEnd w:id="5"/>
      <w:bookmarkEnd w:id="6"/>
    </w:p>
    <w:p w:rsidR="00181D60" w:rsidRDefault="00181D60" w:rsidP="00181D60">
      <w:r w:rsidRPr="00D15459">
        <w:t xml:space="preserve">Unless exempt (refer to </w:t>
      </w:r>
      <w:r>
        <w:rPr>
          <w:color w:val="0000FF"/>
          <w:u w:val="single"/>
        </w:rPr>
        <w:t>M</w:t>
      </w:r>
      <w:hyperlink w:anchor="_Medicines_exempt_from" w:history="1">
        <w:r>
          <w:rPr>
            <w:color w:val="0000FF"/>
            <w:u w:val="single"/>
          </w:rPr>
          <w:t>edicines exempt from certain TGA regulation</w:t>
        </w:r>
      </w:hyperlink>
      <w:r w:rsidRPr="00D15459">
        <w:t xml:space="preserve">) </w:t>
      </w:r>
      <w:r>
        <w:t>medicines</w:t>
      </w:r>
      <w:r w:rsidRPr="00D15459">
        <w:t xml:space="preserve"> must be entered </w:t>
      </w:r>
      <w:r>
        <w:t>i</w:t>
      </w:r>
      <w:r w:rsidRPr="00D15459">
        <w:t xml:space="preserve">n the </w:t>
      </w:r>
      <w:hyperlink r:id="rId16" w:history="1">
        <w:r w:rsidRPr="00D15459">
          <w:rPr>
            <w:color w:val="0000FF"/>
            <w:u w:val="single"/>
          </w:rPr>
          <w:t>Australian Register of Therapeutic Goods (ARTG)</w:t>
        </w:r>
      </w:hyperlink>
      <w:r w:rsidRPr="00D15459">
        <w:t xml:space="preserve"> before </w:t>
      </w:r>
      <w:r>
        <w:t>they</w:t>
      </w:r>
      <w:r w:rsidRPr="00D15459">
        <w:t xml:space="preserve"> can be legally imported, exported, manufactured or supplied for use in Australia.</w:t>
      </w:r>
      <w:r>
        <w:t xml:space="preserve"> Each medicine included in the ARTG has a unique </w:t>
      </w:r>
      <w:r w:rsidRPr="00FD4C09">
        <w:t xml:space="preserve">ARTG </w:t>
      </w:r>
      <w:r>
        <w:t xml:space="preserve">identification which starts with 'AUST', </w:t>
      </w:r>
      <w:r w:rsidRPr="00FD4C09">
        <w:t>is followed by 'R', 'L' or L(A)</w:t>
      </w:r>
      <w:r>
        <w:t xml:space="preserve"> (see </w:t>
      </w:r>
      <w:hyperlink w:anchor="_Classification_of_medicines" w:history="1">
        <w:r w:rsidRPr="0081315E">
          <w:rPr>
            <w:rStyle w:val="Hyperlink"/>
          </w:rPr>
          <w:t>Classification of medicines as registered or listed</w:t>
        </w:r>
      </w:hyperlink>
      <w:r>
        <w:t>) and numbers.</w:t>
      </w:r>
    </w:p>
    <w:p w:rsidR="00181D60" w:rsidRDefault="00181D60" w:rsidP="00181D60">
      <w:r w:rsidRPr="00B87911">
        <w:t xml:space="preserve">The regulatory requirements, levels of assessment, timeframes and fees to enter a product </w:t>
      </w:r>
      <w:r>
        <w:t>in the ARTG</w:t>
      </w:r>
      <w:r w:rsidRPr="00B87911">
        <w:t xml:space="preserve"> increase with an increasing degree of risk.</w:t>
      </w:r>
      <w:r>
        <w:t xml:space="preserve"> For more information see </w:t>
      </w:r>
      <w:hyperlink w:anchor="_ARTG_entry_pathways_1" w:history="1">
        <w:r w:rsidRPr="00AB191B">
          <w:rPr>
            <w:rStyle w:val="Hyperlink"/>
          </w:rPr>
          <w:t>Entering medicines in the ARTG</w:t>
        </w:r>
      </w:hyperlink>
      <w:r>
        <w:t>.</w:t>
      </w:r>
    </w:p>
    <w:p w:rsidR="00181D60" w:rsidRPr="001C7E80" w:rsidRDefault="00181D60" w:rsidP="00181D60">
      <w:pPr>
        <w:pStyle w:val="Heading4"/>
      </w:pPr>
      <w:bookmarkStart w:id="7" w:name="_Registered_and_listed"/>
      <w:bookmarkStart w:id="8" w:name="_Classification_of_medicines"/>
      <w:bookmarkStart w:id="9" w:name="_Toc515867208"/>
      <w:bookmarkStart w:id="10" w:name="_Toc77521694"/>
      <w:bookmarkEnd w:id="7"/>
      <w:bookmarkEnd w:id="8"/>
      <w:r w:rsidRPr="00181D60">
        <w:t>Classification</w:t>
      </w:r>
      <w:r>
        <w:t xml:space="preserve"> of medicines as r</w:t>
      </w:r>
      <w:r w:rsidRPr="001C7E80">
        <w:t xml:space="preserve">egistered </w:t>
      </w:r>
      <w:r>
        <w:t>or</w:t>
      </w:r>
      <w:r w:rsidRPr="001C7E80">
        <w:t xml:space="preserve"> listed</w:t>
      </w:r>
      <w:bookmarkEnd w:id="10"/>
      <w:r w:rsidRPr="001C7E80">
        <w:t xml:space="preserve"> </w:t>
      </w:r>
      <w:bookmarkEnd w:id="9"/>
    </w:p>
    <w:p w:rsidR="00181D60" w:rsidRDefault="00181D60" w:rsidP="00181D60">
      <w:r>
        <w:t>Australia has a two-tiered system for the regulation of medicines. Within the regulatory framework, medicines are classified as either:</w:t>
      </w:r>
    </w:p>
    <w:p w:rsidR="00181D60" w:rsidRDefault="00181D60" w:rsidP="00181D60">
      <w:pPr>
        <w:pStyle w:val="ListBullet"/>
        <w:numPr>
          <w:ilvl w:val="0"/>
          <w:numId w:val="23"/>
        </w:numPr>
      </w:pPr>
      <w:r>
        <w:t xml:space="preserve">lower risk medicines that are </w:t>
      </w:r>
      <w:r w:rsidRPr="00181D60">
        <w:rPr>
          <w:b/>
        </w:rPr>
        <w:t>listed</w:t>
      </w:r>
      <w:r>
        <w:t xml:space="preserve"> in the ARTG (either </w:t>
      </w:r>
      <w:r w:rsidRPr="00181D60">
        <w:rPr>
          <w:b/>
        </w:rPr>
        <w:t>AUST L</w:t>
      </w:r>
      <w:r>
        <w:t xml:space="preserve"> listed medicines or </w:t>
      </w:r>
      <w:r w:rsidRPr="00181D60">
        <w:rPr>
          <w:b/>
        </w:rPr>
        <w:t xml:space="preserve">AUST L(A) </w:t>
      </w:r>
      <w:r w:rsidRPr="00F80E20">
        <w:t xml:space="preserve">assessed </w:t>
      </w:r>
      <w:r w:rsidRPr="00181D60">
        <w:t>listed</w:t>
      </w:r>
      <w:r w:rsidRPr="00F80E20">
        <w:t xml:space="preserve"> medicines</w:t>
      </w:r>
      <w:r>
        <w:t>)</w:t>
      </w:r>
    </w:p>
    <w:p w:rsidR="00181D60" w:rsidRDefault="00181D60" w:rsidP="00181D60">
      <w:pPr>
        <w:pStyle w:val="ListBullet"/>
        <w:numPr>
          <w:ilvl w:val="0"/>
          <w:numId w:val="23"/>
        </w:numPr>
      </w:pPr>
      <w:r>
        <w:t xml:space="preserve">higher risk medicines that are </w:t>
      </w:r>
      <w:r w:rsidRPr="00181D60">
        <w:rPr>
          <w:b/>
        </w:rPr>
        <w:t>registered</w:t>
      </w:r>
      <w:r>
        <w:t xml:space="preserve"> in the ARTG (</w:t>
      </w:r>
      <w:r w:rsidRPr="00181D60">
        <w:rPr>
          <w:b/>
        </w:rPr>
        <w:t xml:space="preserve">AUST R </w:t>
      </w:r>
      <w:r w:rsidRPr="002E598C">
        <w:t>registered medicines)</w:t>
      </w:r>
    </w:p>
    <w:p w:rsidR="00181D60" w:rsidRDefault="00181D60" w:rsidP="00181D60">
      <w:r>
        <w:t xml:space="preserve">The majority of listed medicines in the ARTG are </w:t>
      </w:r>
      <w:r w:rsidRPr="00F80E20">
        <w:t>complementary medicines</w:t>
      </w:r>
      <w:r>
        <w:t xml:space="preserve"> - see</w:t>
      </w:r>
      <w:r w:rsidRPr="008838AE">
        <w:t xml:space="preserve"> </w:t>
      </w:r>
      <w:hyperlink w:anchor="_What_are_complementary_2" w:history="1">
        <w:r w:rsidRPr="008838AE">
          <w:rPr>
            <w:rStyle w:val="Hyperlink"/>
          </w:rPr>
          <w:t>What are complementary medicines?</w:t>
        </w:r>
      </w:hyperlink>
      <w:r>
        <w:t xml:space="preserve"> </w:t>
      </w:r>
      <w:r w:rsidRPr="009B6467">
        <w:t>However,</w:t>
      </w:r>
      <w:r w:rsidRPr="00F80E20">
        <w:rPr>
          <w:b/>
        </w:rPr>
        <w:t xml:space="preserve"> </w:t>
      </w:r>
      <w:r w:rsidRPr="00E42F10">
        <w:t>complementary medicines</w:t>
      </w:r>
      <w:r w:rsidRPr="00F80E20">
        <w:rPr>
          <w:b/>
        </w:rPr>
        <w:t xml:space="preserve"> are just a subset </w:t>
      </w:r>
      <w:r w:rsidRPr="009B6467">
        <w:rPr>
          <w:b/>
        </w:rPr>
        <w:t>of</w:t>
      </w:r>
      <w:r>
        <w:rPr>
          <w:b/>
        </w:rPr>
        <w:t xml:space="preserve"> </w:t>
      </w:r>
      <w:r w:rsidRPr="009B6467">
        <w:rPr>
          <w:b/>
        </w:rPr>
        <w:t>listed</w:t>
      </w:r>
      <w:r w:rsidRPr="00F80E20">
        <w:rPr>
          <w:b/>
        </w:rPr>
        <w:t xml:space="preserve"> medicines</w:t>
      </w:r>
      <w:r>
        <w:t xml:space="preserve">, with some Over the Counter (OTC) products such as </w:t>
      </w:r>
      <w:r w:rsidRPr="00F80E20">
        <w:t>sunscreens</w:t>
      </w:r>
      <w:r w:rsidRPr="009B6467">
        <w:t xml:space="preserve"> and </w:t>
      </w:r>
      <w:r w:rsidRPr="00F80E20">
        <w:t>dental products</w:t>
      </w:r>
      <w:r>
        <w:t xml:space="preserve"> also being listed in the ARTG.</w:t>
      </w:r>
    </w:p>
    <w:p w:rsidR="00181D60" w:rsidRDefault="00181D60" w:rsidP="00181D60">
      <w:r>
        <w:t xml:space="preserve">Likewise, while most complementary medicines are listed in the ARTG, some complementary medicines are registered. See Diagram 1 for different medicine types that are regulated as listed </w:t>
      </w:r>
      <w:r>
        <w:lastRenderedPageBreak/>
        <w:t xml:space="preserve">or registered medicines. More information on the classification of medicines is provided at </w:t>
      </w:r>
      <w:hyperlink w:anchor="_ARTG_entry_pathways_1" w:history="1">
        <w:r w:rsidRPr="00AB191B">
          <w:rPr>
            <w:rStyle w:val="Hyperlink"/>
          </w:rPr>
          <w:t>Entering medicines in the ARTG</w:t>
        </w:r>
      </w:hyperlink>
      <w:r>
        <w:t>.</w:t>
      </w:r>
    </w:p>
    <w:p w:rsidR="00181D60" w:rsidRDefault="00181D60" w:rsidP="00181D60">
      <w:pPr>
        <w:pStyle w:val="Figuretitle"/>
        <w:keepNext/>
      </w:pPr>
      <w:r>
        <w:t>Diagram 1: Different medicine types regulated as listed or registered medicines</w:t>
      </w:r>
    </w:p>
    <w:p w:rsidR="00181D60" w:rsidRPr="005004AF" w:rsidRDefault="00181D60" w:rsidP="00181D60">
      <w:r w:rsidRPr="003E12DE">
        <w:rPr>
          <w:noProof/>
          <w:shd w:val="clear" w:color="auto" w:fill="BAE7FF" w:themeFill="accent1" w:themeFillTint="33"/>
          <w:lang w:eastAsia="en-AU"/>
        </w:rPr>
        <w:drawing>
          <wp:inline distT="0" distB="0" distL="0" distR="0" wp14:anchorId="3DACF754" wp14:editId="2F991D1F">
            <wp:extent cx="5486400" cy="3657600"/>
            <wp:effectExtent l="0" t="0" r="0" b="0"/>
            <wp:docPr id="580" name="Chart 580" descr="Most complementary medicines are listed (low risk). Only a small number of complementary medicines are registered (high risk)&#10;Most OTC medicines are registered. Only a small number of OTC mediciens are lsited.&#10;All preecription medicines are registered." title="Different medicine types regulated as listed or registered medicin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81D60" w:rsidRDefault="00181D60" w:rsidP="00181D60">
      <w:pPr>
        <w:pStyle w:val="Heading4"/>
      </w:pPr>
      <w:bookmarkStart w:id="11" w:name="_Toc77521695"/>
      <w:r>
        <w:t>Legislation and guidance</w:t>
      </w:r>
      <w:bookmarkEnd w:id="11"/>
    </w:p>
    <w:p w:rsidR="00181D60" w:rsidRDefault="00181D60" w:rsidP="00181D60">
      <w:r w:rsidRPr="00B87911">
        <w:t xml:space="preserve">All products within the scope of the framework need to comply with the requirements </w:t>
      </w:r>
      <w:r>
        <w:t xml:space="preserve">set out in </w:t>
      </w:r>
      <w:r w:rsidRPr="00B87911">
        <w:t xml:space="preserve">the </w:t>
      </w:r>
      <w:r>
        <w:t xml:space="preserve">relevant </w:t>
      </w:r>
      <w:r w:rsidRPr="00B87911">
        <w:t>legislation</w:t>
      </w:r>
      <w:r>
        <w:t xml:space="preserve"> administered by the TGA</w:t>
      </w:r>
      <w:r w:rsidRPr="00B87911">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181D60" w:rsidRPr="00215D48" w:rsidTr="007004E8">
        <w:trPr>
          <w:trHeight w:val="879"/>
        </w:trPr>
        <w:tc>
          <w:tcPr>
            <w:tcW w:w="1276" w:type="dxa"/>
            <w:vAlign w:val="center"/>
          </w:tcPr>
          <w:p w:rsidR="00181D60" w:rsidRPr="00215D48" w:rsidRDefault="00181D60" w:rsidP="007004E8">
            <w:pPr>
              <w:spacing w:before="0"/>
              <w:rPr>
                <w:noProof/>
                <w:sz w:val="20"/>
                <w:lang w:eastAsia="en-AU"/>
              </w:rPr>
            </w:pPr>
            <w:r w:rsidRPr="00A264D0">
              <w:rPr>
                <w:noProof/>
                <w:lang w:eastAsia="en-AU"/>
              </w:rPr>
              <w:drawing>
                <wp:inline distT="0" distB="0" distL="0" distR="0" wp14:anchorId="1FFEEC4E" wp14:editId="11BC2F1A">
                  <wp:extent cx="487681" cy="487681"/>
                  <wp:effectExtent l="19050" t="0" r="7619" b="0"/>
                  <wp:docPr id="58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181D60" w:rsidRPr="00215D48" w:rsidRDefault="00181D60" w:rsidP="007004E8">
            <w:r w:rsidRPr="001D0444">
              <w:rPr>
                <w:b/>
              </w:rPr>
              <w:t>Important</w:t>
            </w:r>
            <w:r>
              <w:t>: Legislation is</w:t>
            </w:r>
            <w:r w:rsidRPr="00565F12">
              <w:t xml:space="preserve"> amended from time to time. It is important </w:t>
            </w:r>
            <w:r>
              <w:t xml:space="preserve">that sponsors </w:t>
            </w:r>
            <w:r w:rsidRPr="00565F12">
              <w:t>know the current regulatory requirements.</w:t>
            </w:r>
            <w:r>
              <w:t xml:space="preserve"> </w:t>
            </w:r>
            <w:r w:rsidRPr="0090430D">
              <w:t xml:space="preserve">Copies of the legislation can be obtained from the </w:t>
            </w:r>
            <w:hyperlink r:id="rId18" w:history="1">
              <w:r>
                <w:rPr>
                  <w:rStyle w:val="Hyperlink"/>
                </w:rPr>
                <w:t>Federal Register of Legislation</w:t>
              </w:r>
            </w:hyperlink>
            <w:r>
              <w:t>.</w:t>
            </w:r>
          </w:p>
        </w:tc>
      </w:tr>
    </w:tbl>
    <w:p w:rsidR="00181D60" w:rsidRDefault="00181D60" w:rsidP="00181D60">
      <w:r w:rsidRPr="005B7F7F">
        <w:t xml:space="preserve">The legislative basis for </w:t>
      </w:r>
      <w:r>
        <w:t xml:space="preserve">a </w:t>
      </w:r>
      <w:r w:rsidRPr="005B7F7F">
        <w:t xml:space="preserve">uniform </w:t>
      </w:r>
      <w:r>
        <w:t>national framework of controls for the import, export, manufacture and supply of complementary medicines are:</w:t>
      </w:r>
    </w:p>
    <w:p w:rsidR="00181D60" w:rsidRPr="00597F9A" w:rsidRDefault="00181D60" w:rsidP="00181D60">
      <w:pPr>
        <w:pStyle w:val="ListBullet"/>
      </w:pPr>
      <w:r w:rsidRPr="005B7F7F">
        <w:t xml:space="preserve">the </w:t>
      </w:r>
      <w:hyperlink r:id="rId19" w:history="1">
        <w:r w:rsidRPr="0081315E">
          <w:rPr>
            <w:rStyle w:val="Hyperlink"/>
            <w:i/>
          </w:rPr>
          <w:t>Therapeutic Goods Act 1989</w:t>
        </w:r>
      </w:hyperlink>
      <w:r w:rsidRPr="00597F9A">
        <w:t xml:space="preserve"> (the Act)</w:t>
      </w:r>
    </w:p>
    <w:p w:rsidR="00181D60" w:rsidRPr="00597F9A" w:rsidRDefault="00181D60" w:rsidP="00181D60">
      <w:pPr>
        <w:pStyle w:val="ListBullet"/>
      </w:pPr>
      <w:r w:rsidRPr="00597F9A">
        <w:t xml:space="preserve">the </w:t>
      </w:r>
      <w:hyperlink r:id="rId20" w:history="1">
        <w:r w:rsidRPr="005004AF">
          <w:rPr>
            <w:rStyle w:val="Hyperlink"/>
            <w:i/>
          </w:rPr>
          <w:t>Therapeutic Goods Regulations 1990</w:t>
        </w:r>
      </w:hyperlink>
      <w:r w:rsidRPr="00597F9A">
        <w:t xml:space="preserve"> (the </w:t>
      </w:r>
      <w:r w:rsidRPr="00181D60">
        <w:t>Regulations</w:t>
      </w:r>
      <w:r w:rsidRPr="00597F9A">
        <w:t>)</w:t>
      </w:r>
    </w:p>
    <w:p w:rsidR="00181D60" w:rsidRPr="0007027D" w:rsidRDefault="00181D60" w:rsidP="00181D60">
      <w:r w:rsidRPr="0007027D">
        <w:t>The</w:t>
      </w:r>
      <w:r>
        <w:t xml:space="preserve">re are also </w:t>
      </w:r>
      <w:r w:rsidRPr="0007027D">
        <w:t xml:space="preserve">various </w:t>
      </w:r>
      <w:r>
        <w:t xml:space="preserve">legislative instruments, standards and </w:t>
      </w:r>
      <w:r w:rsidRPr="0007027D">
        <w:t xml:space="preserve">Orders, which provide </w:t>
      </w:r>
      <w:r>
        <w:t xml:space="preserve">further </w:t>
      </w:r>
      <w:r w:rsidRPr="0007027D">
        <w:t xml:space="preserve">details </w:t>
      </w:r>
      <w:r>
        <w:t xml:space="preserve">about the </w:t>
      </w:r>
      <w:r w:rsidRPr="0007027D">
        <w:t xml:space="preserve">matters covered </w:t>
      </w:r>
      <w:r>
        <w:t>by</w:t>
      </w:r>
      <w:r w:rsidRPr="0007027D">
        <w:t xml:space="preserve"> the Act.</w:t>
      </w:r>
    </w:p>
    <w:p w:rsidR="00181D60" w:rsidRDefault="00181D60" w:rsidP="00181D60">
      <w:pPr>
        <w:pStyle w:val="Heading5"/>
      </w:pPr>
      <w:r>
        <w:t>Legislative instruments</w:t>
      </w:r>
    </w:p>
    <w:p w:rsidR="00181D60" w:rsidRPr="00181D60" w:rsidRDefault="00181D60" w:rsidP="00181D60">
      <w:pPr>
        <w:pStyle w:val="ListBullet"/>
      </w:pPr>
      <w:r w:rsidRPr="0081315E">
        <w:rPr>
          <w:rStyle w:val="Hyperlink"/>
        </w:rPr>
        <w:t>Therapeutic Goods (</w:t>
      </w:r>
      <w:hyperlink r:id="rId21" w:history="1">
        <w:r w:rsidRPr="002A5ED5">
          <w:rPr>
            <w:rStyle w:val="Hyperlink"/>
          </w:rPr>
          <w:t>Medicines Advisory Statements</w:t>
        </w:r>
        <w:r>
          <w:rPr>
            <w:rStyle w:val="Hyperlink"/>
          </w:rPr>
          <w:t>)</w:t>
        </w:r>
        <w:r w:rsidRPr="002A5ED5">
          <w:rPr>
            <w:rStyle w:val="Hyperlink"/>
          </w:rPr>
          <w:t xml:space="preserve"> Specification</w:t>
        </w:r>
      </w:hyperlink>
    </w:p>
    <w:p w:rsidR="00181D60" w:rsidRPr="00181D60" w:rsidRDefault="00E7294B" w:rsidP="00181D60">
      <w:pPr>
        <w:pStyle w:val="ListBullet"/>
        <w:rPr>
          <w:rStyle w:val="Hyperlink"/>
          <w:color w:val="auto"/>
        </w:rPr>
      </w:pPr>
      <w:hyperlink r:id="rId22" w:history="1">
        <w:r w:rsidR="00181D60" w:rsidRPr="00D02914">
          <w:rPr>
            <w:rStyle w:val="Hyperlink"/>
          </w:rPr>
          <w:t>Therapeutic Goods (Permissible Ingredients) Determination</w:t>
        </w:r>
      </w:hyperlink>
    </w:p>
    <w:p w:rsidR="00181D60" w:rsidRPr="00181D60" w:rsidRDefault="00E7294B" w:rsidP="00181D60">
      <w:pPr>
        <w:pStyle w:val="ListBullet"/>
        <w:rPr>
          <w:rStyle w:val="Hyperlink"/>
          <w:color w:val="auto"/>
        </w:rPr>
      </w:pPr>
      <w:hyperlink r:id="rId23" w:history="1">
        <w:r w:rsidR="00181D60" w:rsidRPr="00D02914">
          <w:rPr>
            <w:rStyle w:val="Hyperlink"/>
          </w:rPr>
          <w:t>Therapeutic Goods (Permissible Indications) Determination</w:t>
        </w:r>
      </w:hyperlink>
    </w:p>
    <w:p w:rsidR="00481962" w:rsidRPr="00481962" w:rsidRDefault="00481962" w:rsidP="00481962">
      <w:pPr>
        <w:pStyle w:val="ListBullet"/>
        <w:rPr>
          <w:rStyle w:val="Hyperlink"/>
          <w:color w:val="auto"/>
        </w:rPr>
      </w:pPr>
      <w:r w:rsidRPr="0081315E">
        <w:rPr>
          <w:rStyle w:val="Hyperlink"/>
        </w:rPr>
        <w:t>The</w:t>
      </w:r>
      <w:r w:rsidRPr="00565F12">
        <w:rPr>
          <w:rStyle w:val="Hyperlink"/>
        </w:rPr>
        <w:t xml:space="preserve"> </w:t>
      </w:r>
      <w:hyperlink r:id="rId24" w:history="1">
        <w:r w:rsidRPr="001E0625">
          <w:rPr>
            <w:rStyle w:val="Hyperlink"/>
          </w:rPr>
          <w:t>Poisons Standard</w:t>
        </w:r>
      </w:hyperlink>
      <w:r>
        <w:rPr>
          <w:rStyle w:val="Hyperlink"/>
        </w:rPr>
        <w:t xml:space="preserve"> </w:t>
      </w:r>
      <w:r w:rsidRPr="003E12DE">
        <w:rPr>
          <w:rStyle w:val="Hyperlink"/>
        </w:rPr>
        <w:t>(the SUSMP)</w:t>
      </w:r>
    </w:p>
    <w:p w:rsidR="00481962" w:rsidRPr="00481962" w:rsidRDefault="00E7294B" w:rsidP="00481962">
      <w:pPr>
        <w:pStyle w:val="ListBullet"/>
        <w:rPr>
          <w:rStyle w:val="Hyperlink"/>
          <w:color w:val="auto"/>
        </w:rPr>
      </w:pPr>
      <w:hyperlink r:id="rId25" w:history="1">
        <w:r w:rsidR="00481962" w:rsidRPr="00C4725F">
          <w:rPr>
            <w:rStyle w:val="Hyperlink"/>
          </w:rPr>
          <w:t>Therapeutic Goods Advertising Code</w:t>
        </w:r>
      </w:hyperlink>
    </w:p>
    <w:p w:rsidR="00481962" w:rsidRPr="00481962" w:rsidRDefault="00481962" w:rsidP="00481962">
      <w:pPr>
        <w:pStyle w:val="ListBullet"/>
        <w:rPr>
          <w:rStyle w:val="Hyperlink"/>
          <w:color w:val="auto"/>
        </w:rPr>
      </w:pPr>
      <w:r>
        <w:rPr>
          <w:rStyle w:val="Hyperlink"/>
        </w:rPr>
        <w:fldChar w:fldCharType="begin"/>
      </w:r>
      <w:r>
        <w:rPr>
          <w:rStyle w:val="Hyperlink"/>
        </w:rPr>
        <w:instrText xml:space="preserve"> HYPERLINK "https://www.tga.gov.au/therapeutic-goods-determinations" </w:instrText>
      </w:r>
      <w:r>
        <w:rPr>
          <w:rStyle w:val="Hyperlink"/>
        </w:rPr>
        <w:fldChar w:fldCharType="separate"/>
      </w:r>
      <w:r w:rsidRPr="00FE0627">
        <w:rPr>
          <w:rStyle w:val="Hyperlink"/>
        </w:rPr>
        <w:t>Therapeutic Goods (Complementary Medicines - Information that Must Accompany Application for Registration) Determination 2018</w:t>
      </w:r>
    </w:p>
    <w:p w:rsidR="00481962" w:rsidRPr="00481962" w:rsidRDefault="00481962" w:rsidP="00481962">
      <w:pPr>
        <w:pStyle w:val="ListBullet"/>
        <w:rPr>
          <w:rStyle w:val="Hyperlink"/>
          <w:color w:val="auto"/>
        </w:rPr>
      </w:pPr>
      <w:r>
        <w:rPr>
          <w:rStyle w:val="Hyperlink"/>
        </w:rPr>
        <w:fldChar w:fldCharType="end"/>
      </w:r>
      <w:r>
        <w:fldChar w:fldCharType="begin"/>
      </w:r>
      <w:r>
        <w:instrText>HYPERLINK "https://www.tga.gov.au/therapeutic-goods-determinations"</w:instrText>
      </w:r>
      <w:r>
        <w:fldChar w:fldCharType="separate"/>
      </w:r>
      <w:r w:rsidRPr="002E598C">
        <w:rPr>
          <w:rStyle w:val="Hyperlink"/>
        </w:rPr>
        <w:t>Therapeutic Goods (Complementary Medicines - Information that Must Accompany Application for Section 26AE Listing) Determination 2018</w:t>
      </w:r>
    </w:p>
    <w:p w:rsidR="00481962" w:rsidRDefault="00481962" w:rsidP="00481962">
      <w:r>
        <w:fldChar w:fldCharType="end"/>
      </w:r>
      <w:r>
        <w:t xml:space="preserve">Refer to </w:t>
      </w:r>
      <w:hyperlink r:id="rId26" w:history="1">
        <w:r w:rsidRPr="00671C95">
          <w:rPr>
            <w:rStyle w:val="Hyperlink"/>
          </w:rPr>
          <w:t>Legislation &amp; legislative instruments</w:t>
        </w:r>
      </w:hyperlink>
      <w:r>
        <w:t xml:space="preserve"> for a full list of relevant therapeutic goods legislation that sponsors of medicines are required to comply with.</w:t>
      </w:r>
    </w:p>
    <w:p w:rsidR="00481962" w:rsidRDefault="00481962" w:rsidP="00481962">
      <w:pPr>
        <w:pStyle w:val="Heading5"/>
      </w:pPr>
      <w:bookmarkStart w:id="12" w:name="_Standards_1"/>
      <w:bookmarkEnd w:id="12"/>
      <w:r>
        <w:t>Standards</w:t>
      </w:r>
    </w:p>
    <w:p w:rsidR="00481962" w:rsidRDefault="00481962" w:rsidP="00481962">
      <w:r>
        <w:t>All therapeutic goods must comply with applicable standards, which determine the consistency of product quality, before they can be entered in the ARTG. The standards recognised under the Act are:</w:t>
      </w:r>
    </w:p>
    <w:p w:rsidR="00481962" w:rsidRDefault="00481962" w:rsidP="00481962">
      <w:pPr>
        <w:pStyle w:val="ListBullet"/>
      </w:pPr>
      <w:r>
        <w:t xml:space="preserve">the </w:t>
      </w:r>
      <w:hyperlink r:id="rId27" w:history="1">
        <w:r w:rsidRPr="00671C95">
          <w:rPr>
            <w:rStyle w:val="Hyperlink"/>
          </w:rPr>
          <w:t>default standards</w:t>
        </w:r>
      </w:hyperlink>
      <w:r>
        <w:t>, which are p</w:t>
      </w:r>
      <w:r w:rsidRPr="00C02FB7">
        <w:t xml:space="preserve">ublicly available authoritative standards provided by the </w:t>
      </w:r>
      <w:r w:rsidRPr="00AB191B">
        <w:rPr>
          <w:i/>
        </w:rPr>
        <w:t>British Pharmacopoeia</w:t>
      </w:r>
      <w:r w:rsidRPr="00C02FB7">
        <w:t xml:space="preserve">, </w:t>
      </w:r>
      <w:r w:rsidRPr="00AB191B">
        <w:rPr>
          <w:i/>
        </w:rPr>
        <w:t>European Pharmacopoeia</w:t>
      </w:r>
      <w:r w:rsidRPr="00C02FB7">
        <w:t xml:space="preserve">, and </w:t>
      </w:r>
      <w:r w:rsidRPr="00AB191B">
        <w:rPr>
          <w:i/>
        </w:rPr>
        <w:t>United States Pharmacopeia – National Formulary</w:t>
      </w:r>
      <w:r>
        <w:rPr>
          <w:i/>
        </w:rPr>
        <w:t>.</w:t>
      </w:r>
    </w:p>
    <w:p w:rsidR="00481962" w:rsidRDefault="00E7294B" w:rsidP="00481962">
      <w:pPr>
        <w:pStyle w:val="ListBullet"/>
      </w:pPr>
      <w:hyperlink r:id="rId28" w:history="1">
        <w:r w:rsidR="00481962" w:rsidRPr="00AB43A1">
          <w:rPr>
            <w:rStyle w:val="Hyperlink"/>
          </w:rPr>
          <w:t>Therapeutic</w:t>
        </w:r>
        <w:r w:rsidR="00481962">
          <w:rPr>
            <w:rStyle w:val="Hyperlink"/>
          </w:rPr>
          <w:t xml:space="preserve"> goods o</w:t>
        </w:r>
        <w:r w:rsidR="00481962" w:rsidRPr="00AB43A1">
          <w:rPr>
            <w:rStyle w:val="Hyperlink"/>
          </w:rPr>
          <w:t>rders</w:t>
        </w:r>
      </w:hyperlink>
      <w:r w:rsidR="00481962">
        <w:t xml:space="preserve"> (TGOs) made by the Minister under section 10 of the Act (TGOs)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481962" w:rsidRPr="00215D48" w:rsidTr="007004E8">
        <w:tc>
          <w:tcPr>
            <w:tcW w:w="1276" w:type="dxa"/>
            <w:vAlign w:val="center"/>
          </w:tcPr>
          <w:p w:rsidR="00481962" w:rsidRPr="00215D48" w:rsidRDefault="00481962" w:rsidP="007004E8">
            <w:pPr>
              <w:spacing w:before="0"/>
              <w:rPr>
                <w:noProof/>
                <w:sz w:val="20"/>
                <w:lang w:eastAsia="en-AU"/>
              </w:rPr>
            </w:pPr>
            <w:r w:rsidRPr="00A264D0">
              <w:rPr>
                <w:noProof/>
                <w:lang w:eastAsia="en-AU"/>
              </w:rPr>
              <w:drawing>
                <wp:inline distT="0" distB="0" distL="0" distR="0" wp14:anchorId="6D9FCBCF" wp14:editId="265AABD4">
                  <wp:extent cx="487681" cy="487681"/>
                  <wp:effectExtent l="19050" t="0" r="7619" b="0"/>
                  <wp:docPr id="58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481962" w:rsidRPr="00215D48" w:rsidRDefault="00481962" w:rsidP="00481962">
            <w:r w:rsidRPr="001D0444">
              <w:rPr>
                <w:b/>
              </w:rPr>
              <w:t>Important</w:t>
            </w:r>
            <w:r>
              <w:rPr>
                <w:b/>
              </w:rPr>
              <w:t>:</w:t>
            </w:r>
            <w:r>
              <w:t xml:space="preserve"> Note that any matter specified in an order under section 10 of the Act has precedence over requirements of the default standards.</w:t>
            </w:r>
          </w:p>
        </w:tc>
      </w:tr>
    </w:tbl>
    <w:p w:rsidR="00481962" w:rsidRPr="00813C7B" w:rsidRDefault="00481962" w:rsidP="00481962">
      <w:pPr>
        <w:rPr>
          <w:sz w:val="16"/>
          <w:szCs w:val="16"/>
        </w:rPr>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481962" w:rsidRPr="00C12331" w:rsidTr="007004E8">
        <w:tc>
          <w:tcPr>
            <w:tcW w:w="1276" w:type="dxa"/>
            <w:vAlign w:val="center"/>
          </w:tcPr>
          <w:p w:rsidR="00481962" w:rsidRPr="00C12331" w:rsidRDefault="00481962" w:rsidP="007004E8">
            <w:pPr>
              <w:spacing w:before="0"/>
              <w:rPr>
                <w:noProof/>
                <w:sz w:val="20"/>
                <w:lang w:eastAsia="en-AU"/>
              </w:rPr>
            </w:pPr>
            <w:r w:rsidRPr="00C12331">
              <w:rPr>
                <w:noProof/>
                <w:lang w:eastAsia="en-AU"/>
              </w:rPr>
              <w:drawing>
                <wp:inline distT="0" distB="0" distL="0" distR="0" wp14:anchorId="7F7E9F94" wp14:editId="37BD007B">
                  <wp:extent cx="487681" cy="487681"/>
                  <wp:effectExtent l="19050" t="0" r="7619" b="0"/>
                  <wp:docPr id="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481962" w:rsidRPr="00C12331" w:rsidRDefault="00481962" w:rsidP="007004E8">
            <w:r>
              <w:rPr>
                <w:b/>
              </w:rPr>
              <w:t xml:space="preserve">For information: </w:t>
            </w:r>
            <w:r w:rsidRPr="00DB6AAC">
              <w:t>Consent to supply goods not compliant with prescribed standards</w:t>
            </w:r>
          </w:p>
          <w:p w:rsidR="00481962" w:rsidRPr="00C12331" w:rsidRDefault="00481962" w:rsidP="007004E8">
            <w:r w:rsidRPr="00C12331">
              <w:t>A sponsor can apply under sections 14 and 14A of the Act, to request consent to supply goods that do not comply with a prescribed standard or aspects of a prescribed standard.</w:t>
            </w:r>
            <w:r>
              <w:t xml:space="preserve"> </w:t>
            </w:r>
            <w:r w:rsidRPr="00C12331">
              <w:t>Please refer to:</w:t>
            </w:r>
          </w:p>
          <w:p w:rsidR="00481962" w:rsidRPr="00C12331" w:rsidRDefault="00E7294B" w:rsidP="00481962">
            <w:pPr>
              <w:pStyle w:val="ListBullet"/>
            </w:pPr>
            <w:hyperlink r:id="rId29" w:history="1">
              <w:r w:rsidR="00481962" w:rsidRPr="00C12331">
                <w:rPr>
                  <w:color w:val="0000FF"/>
                  <w:u w:val="single"/>
                </w:rPr>
                <w:t>Consent to import, supply or export therapeutic goods that do not comply with standards - information for industry</w:t>
              </w:r>
            </w:hyperlink>
            <w:r w:rsidR="00481962" w:rsidRPr="00C12331">
              <w:t xml:space="preserve"> on the TGA website.</w:t>
            </w:r>
          </w:p>
          <w:p w:rsidR="00481962" w:rsidRPr="00C12331" w:rsidRDefault="00E7294B" w:rsidP="00481962">
            <w:pPr>
              <w:pStyle w:val="ListBullet"/>
            </w:pPr>
            <w:hyperlink r:id="rId30" w:history="1">
              <w:r w:rsidR="00481962" w:rsidRPr="00C12331">
                <w:rPr>
                  <w:color w:val="0000FF"/>
                  <w:u w:val="single"/>
                </w:rPr>
                <w:t>Application for consent to import, supply or export goods that do not comply with standards - section 14/14A</w:t>
              </w:r>
            </w:hyperlink>
            <w:r w:rsidR="00481962" w:rsidRPr="00C12331">
              <w:t xml:space="preserve"> available on the TGA website. Such requests incur an application fee.</w:t>
            </w:r>
          </w:p>
        </w:tc>
      </w:tr>
    </w:tbl>
    <w:p w:rsidR="00481962" w:rsidRDefault="00481962" w:rsidP="00481962">
      <w:pPr>
        <w:pStyle w:val="Heading5"/>
      </w:pPr>
      <w:r w:rsidRPr="00481962">
        <w:t>Guidance</w:t>
      </w:r>
      <w:r w:rsidRPr="00432EB4">
        <w:t xml:space="preserve"> applicable to all listed medicines and registered complementary medicines</w:t>
      </w:r>
    </w:p>
    <w:p w:rsidR="00481962" w:rsidRPr="00432EB4" w:rsidRDefault="00481962" w:rsidP="00481962">
      <w:r>
        <w:t xml:space="preserve">Refer to </w:t>
      </w:r>
      <w:hyperlink r:id="rId31" w:history="1">
        <w:r w:rsidRPr="00432EB4">
          <w:rPr>
            <w:rStyle w:val="Hyperlink"/>
          </w:rPr>
          <w:t>Standards, guidelines &amp; publications</w:t>
        </w:r>
      </w:hyperlink>
      <w:r>
        <w:t xml:space="preserve"> for a list of guidance applicable to </w:t>
      </w:r>
      <w:r w:rsidRPr="00432EB4">
        <w:t>listed medicines and registered complementary medicines</w:t>
      </w:r>
      <w:r>
        <w:t>.</w:t>
      </w:r>
    </w:p>
    <w:p w:rsidR="00341303" w:rsidRPr="00324908" w:rsidRDefault="00341303" w:rsidP="00341303">
      <w:pPr>
        <w:pStyle w:val="Heading5"/>
        <w:pageBreakBefore/>
      </w:pPr>
      <w:r w:rsidRPr="00324908">
        <w:lastRenderedPageBreak/>
        <w:t>Other legislation and requirem</w:t>
      </w:r>
      <w:r>
        <w:t>ents</w:t>
      </w:r>
    </w:p>
    <w:p w:rsidR="00341303" w:rsidRDefault="00341303" w:rsidP="00341303">
      <w:r>
        <w:t>Sponsors should be aware of other applicable Australian legislation and requirements, such as:</w:t>
      </w:r>
    </w:p>
    <w:p w:rsidR="00341303" w:rsidRPr="00341303" w:rsidRDefault="00341303" w:rsidP="00341303">
      <w:pPr>
        <w:pStyle w:val="ListBullet"/>
        <w:rPr>
          <w:rStyle w:val="Hyperlink"/>
          <w:i/>
          <w:color w:val="auto"/>
        </w:rPr>
      </w:pPr>
      <w:r>
        <w:fldChar w:fldCharType="begin"/>
      </w:r>
      <w:r>
        <w:instrText xml:space="preserve"> HYPERLINK "https://www.environment.gov.au/epbc" </w:instrText>
      </w:r>
      <w:r>
        <w:fldChar w:fldCharType="separate"/>
      </w:r>
      <w:r w:rsidRPr="00AA4AA6">
        <w:rPr>
          <w:rStyle w:val="Hyperlink"/>
          <w:i/>
        </w:rPr>
        <w:t>Environment Protection and Biodiversity Conservation Act 1999</w:t>
      </w:r>
    </w:p>
    <w:p w:rsidR="00341303" w:rsidRPr="00341303" w:rsidRDefault="00341303" w:rsidP="00341303">
      <w:pPr>
        <w:pStyle w:val="ListBullet"/>
        <w:rPr>
          <w:rStyle w:val="Hyperlink"/>
          <w:i/>
          <w:color w:val="auto"/>
        </w:rPr>
      </w:pPr>
      <w:r>
        <w:fldChar w:fldCharType="end"/>
      </w:r>
      <w:r w:rsidRPr="00AA4AA6">
        <w:fldChar w:fldCharType="begin"/>
      </w:r>
      <w:r>
        <w:instrText xml:space="preserve"> HYPERLINK "http://www.foodstandards.gov.au/about/foodlawandtreaties/Pages/default.aspx" </w:instrText>
      </w:r>
      <w:r w:rsidRPr="00AA4AA6">
        <w:fldChar w:fldCharType="separate"/>
      </w:r>
      <w:r w:rsidRPr="00AA4AA6">
        <w:rPr>
          <w:rStyle w:val="Hyperlink"/>
          <w:i/>
        </w:rPr>
        <w:t>Food Standards Australia New Zealand Act 1991</w:t>
      </w:r>
    </w:p>
    <w:p w:rsidR="00341303" w:rsidRPr="00341303" w:rsidRDefault="00341303" w:rsidP="00341303">
      <w:pPr>
        <w:pStyle w:val="ListBullet"/>
        <w:rPr>
          <w:rStyle w:val="Hyperlink"/>
          <w:color w:val="auto"/>
        </w:rPr>
      </w:pPr>
      <w:r w:rsidRPr="00AA4AA6">
        <w:fldChar w:fldCharType="end"/>
      </w:r>
      <w:hyperlink r:id="rId32" w:history="1">
        <w:r w:rsidRPr="00CD1DE6">
          <w:rPr>
            <w:rStyle w:val="Hyperlink"/>
            <w:i/>
          </w:rPr>
          <w:t>Customs Act 1901</w:t>
        </w:r>
      </w:hyperlink>
      <w:r>
        <w:t xml:space="preserve"> and the </w:t>
      </w:r>
      <w:r>
        <w:fldChar w:fldCharType="begin"/>
      </w:r>
      <w:r>
        <w:instrText xml:space="preserve"> HYPERLINK "https://defence.gov.au/ExportControls/CustomsAct.asp" </w:instrText>
      </w:r>
      <w:r>
        <w:fldChar w:fldCharType="separate"/>
      </w:r>
      <w:r w:rsidRPr="006326E1">
        <w:rPr>
          <w:rStyle w:val="Hyperlink"/>
          <w:i/>
        </w:rPr>
        <w:t>Customs (Prohibited imports) regulations 1956</w:t>
      </w:r>
    </w:p>
    <w:p w:rsidR="00341303" w:rsidRDefault="00341303" w:rsidP="00341303">
      <w:pPr>
        <w:pStyle w:val="ListBullet"/>
      </w:pPr>
      <w:r>
        <w:fldChar w:fldCharType="end"/>
      </w:r>
      <w:r>
        <w:t xml:space="preserve">and the </w:t>
      </w:r>
      <w:hyperlink r:id="rId33" w:history="1">
        <w:r w:rsidRPr="00AA4AA6">
          <w:rPr>
            <w:rStyle w:val="Hyperlink"/>
            <w:i/>
          </w:rPr>
          <w:t>Industrial Chemicals (Notification and Assessment) Act 1989</w:t>
        </w:r>
      </w:hyperlink>
      <w:r>
        <w:t xml:space="preserve"> and the </w:t>
      </w:r>
      <w:hyperlink r:id="rId34" w:history="1">
        <w:r w:rsidRPr="001E0625">
          <w:rPr>
            <w:rStyle w:val="Hyperlink"/>
          </w:rPr>
          <w:t>National Industrial Chemicals Notification and Assessment Scheme</w:t>
        </w:r>
      </w:hyperlink>
    </w:p>
    <w:p w:rsidR="00341303" w:rsidRPr="006326E1" w:rsidRDefault="00E7294B" w:rsidP="00341303">
      <w:pPr>
        <w:pStyle w:val="ListBullet"/>
      </w:pPr>
      <w:hyperlink r:id="rId35" w:history="1">
        <w:r w:rsidR="00341303" w:rsidRPr="00AA4AA6">
          <w:rPr>
            <w:rStyle w:val="Hyperlink"/>
            <w:i/>
          </w:rPr>
          <w:t>Gene Technology Act 2000</w:t>
        </w:r>
      </w:hyperlink>
      <w:r w:rsidR="00341303">
        <w:t xml:space="preserve"> and the </w:t>
      </w:r>
      <w:hyperlink r:id="rId36" w:history="1">
        <w:r w:rsidR="00341303" w:rsidRPr="006326E1">
          <w:rPr>
            <w:rStyle w:val="Hyperlink"/>
            <w:i/>
          </w:rPr>
          <w:t>Gene Technology Regulations 2001</w:t>
        </w:r>
      </w:hyperlink>
    </w:p>
    <w:p w:rsidR="00341303" w:rsidRDefault="00E7294B" w:rsidP="00341303">
      <w:pPr>
        <w:pStyle w:val="ListBullet"/>
      </w:pPr>
      <w:hyperlink r:id="rId37" w:history="1">
        <w:r w:rsidR="00341303" w:rsidRPr="001E0625">
          <w:rPr>
            <w:rStyle w:val="Hyperlink"/>
            <w:i/>
          </w:rPr>
          <w:t>Competition and Consumer Act 2010</w:t>
        </w:r>
      </w:hyperlink>
      <w:r w:rsidR="00341303">
        <w:t xml:space="preserve"> and the </w:t>
      </w:r>
      <w:hyperlink r:id="rId38" w:history="1">
        <w:r w:rsidR="00341303" w:rsidRPr="001E0625">
          <w:rPr>
            <w:rStyle w:val="Hyperlink"/>
          </w:rPr>
          <w:t>Australian Consumer Law</w:t>
        </w:r>
      </w:hyperlink>
    </w:p>
    <w:p w:rsidR="00341303" w:rsidRPr="00341303" w:rsidRDefault="00341303" w:rsidP="00341303">
      <w:pPr>
        <w:pStyle w:val="ListBullet"/>
        <w:rPr>
          <w:rStyle w:val="Hyperlink"/>
          <w:i/>
          <w:color w:val="auto"/>
        </w:rPr>
      </w:pPr>
      <w:r>
        <w:fldChar w:fldCharType="begin"/>
      </w:r>
      <w:r>
        <w:instrText xml:space="preserve"> HYPERLINK "https://www.measurement.gov.au/measurementsystem/Pages/MeasurementLegislation.aspx" </w:instrText>
      </w:r>
      <w:r>
        <w:fldChar w:fldCharType="separate"/>
      </w:r>
      <w:r w:rsidRPr="00AA4AA6">
        <w:rPr>
          <w:rStyle w:val="Hyperlink"/>
          <w:i/>
        </w:rPr>
        <w:t>National Measurement Act 1960</w:t>
      </w:r>
    </w:p>
    <w:p w:rsidR="00341303" w:rsidRDefault="00341303" w:rsidP="00341303">
      <w:pPr>
        <w:pStyle w:val="ListBullet"/>
      </w:pPr>
      <w:r>
        <w:fldChar w:fldCharType="end"/>
      </w:r>
      <w:hyperlink r:id="rId39" w:history="1">
        <w:r w:rsidRPr="001E0625">
          <w:rPr>
            <w:rStyle w:val="Hyperlink"/>
          </w:rPr>
          <w:t>Australian Dangerous Goods Code</w:t>
        </w:r>
      </w:hyperlink>
    </w:p>
    <w:p w:rsidR="00341303" w:rsidRPr="00341303" w:rsidRDefault="00341303" w:rsidP="00341303">
      <w:pPr>
        <w:pStyle w:val="ListBullet"/>
        <w:rPr>
          <w:rStyle w:val="Hyperlink"/>
          <w:color w:val="auto"/>
        </w:rPr>
      </w:pPr>
      <w:r>
        <w:fldChar w:fldCharType="begin"/>
      </w:r>
      <w:r>
        <w:instrText xml:space="preserve"> HYPERLINK "https://apvma.gov.au/node/4131" </w:instrText>
      </w:r>
      <w:r>
        <w:fldChar w:fldCharType="separate"/>
      </w:r>
      <w:r w:rsidRPr="00AA4AA6">
        <w:rPr>
          <w:rStyle w:val="Hyperlink"/>
          <w:i/>
        </w:rPr>
        <w:t>Agricultural and Veterinary Chemicals Code Act 1994</w:t>
      </w:r>
    </w:p>
    <w:p w:rsidR="00341303" w:rsidRDefault="00341303" w:rsidP="00341303">
      <w:r>
        <w:fldChar w:fldCharType="end"/>
      </w:r>
      <w:r>
        <w:t>In addition, sponsors should also be aware of the requirements applicable under other Australian State and Territory legislation.</w:t>
      </w:r>
    </w:p>
    <w:p w:rsidR="00341303" w:rsidRPr="001C7E80" w:rsidRDefault="00341303" w:rsidP="00341303">
      <w:pPr>
        <w:pStyle w:val="Heading4"/>
      </w:pPr>
      <w:bookmarkStart w:id="13" w:name="_What_are_complementary_1"/>
      <w:bookmarkStart w:id="14" w:name="_What_are_complementary_2"/>
      <w:bookmarkStart w:id="15" w:name="_Toc77521696"/>
      <w:bookmarkEnd w:id="13"/>
      <w:bookmarkEnd w:id="14"/>
      <w:r w:rsidRPr="001C7E80">
        <w:t xml:space="preserve">What are </w:t>
      </w:r>
      <w:r w:rsidRPr="00637719">
        <w:t>complementary</w:t>
      </w:r>
      <w:r w:rsidRPr="001C7E80">
        <w:t xml:space="preserve"> medicines?</w:t>
      </w:r>
      <w:bookmarkEnd w:id="15"/>
    </w:p>
    <w:p w:rsidR="00341303" w:rsidRDefault="00341303" w:rsidP="00341303">
      <w:r>
        <w:t xml:space="preserve">Part 1(2) of the </w:t>
      </w:r>
      <w:hyperlink r:id="rId40" w:history="1">
        <w:r w:rsidRPr="004E4F12">
          <w:rPr>
            <w:rStyle w:val="Hyperlink"/>
          </w:rPr>
          <w:t>Regulations</w:t>
        </w:r>
      </w:hyperlink>
      <w:r>
        <w:t xml:space="preserve"> provides the following definitions:</w:t>
      </w:r>
    </w:p>
    <w:p w:rsidR="00341303" w:rsidRDefault="00341303" w:rsidP="00341303">
      <w:pPr>
        <w:pStyle w:val="Quotation"/>
      </w:pPr>
      <w:r w:rsidRPr="00522B56">
        <w:rPr>
          <w:b/>
        </w:rPr>
        <w:t>Complementary medicine</w:t>
      </w:r>
      <w:r>
        <w:t xml:space="preserve"> means a therapeutic good consisting wholly or principally of 1 or more designated active ingredients, each of which has a clearly </w:t>
      </w:r>
      <w:r w:rsidRPr="009E5CA0">
        <w:t>established</w:t>
      </w:r>
      <w:r>
        <w:t xml:space="preserve"> identity and a traditional use.</w:t>
      </w:r>
    </w:p>
    <w:p w:rsidR="00341303" w:rsidRDefault="00341303" w:rsidP="00341303">
      <w:pPr>
        <w:pStyle w:val="Quotation"/>
      </w:pPr>
      <w:r w:rsidRPr="00522B56">
        <w:rPr>
          <w:b/>
        </w:rPr>
        <w:t>Designated active ingredients</w:t>
      </w:r>
      <w:r>
        <w:t xml:space="preserve">, for a complementary medicine, </w:t>
      </w:r>
      <w:r w:rsidRPr="009E5CA0">
        <w:t>means</w:t>
      </w:r>
      <w:r>
        <w:t xml:space="preserve"> an active ingredient, or a kind of active ingredient, mentioned in Schedule 14 (to the Regulations).</w:t>
      </w:r>
    </w:p>
    <w:p w:rsidR="00341303" w:rsidRDefault="00341303" w:rsidP="00341303">
      <w:r>
        <w:t xml:space="preserve">Schedule 14 to the </w:t>
      </w:r>
      <w:hyperlink r:id="rId41" w:history="1">
        <w:r w:rsidRPr="004E4F12">
          <w:rPr>
            <w:rStyle w:val="Hyperlink"/>
          </w:rPr>
          <w:t>Regulations</w:t>
        </w:r>
      </w:hyperlink>
      <w:r>
        <w:t xml:space="preserve"> provides a list of designated active ingredients for complementary medicines:</w:t>
      </w:r>
    </w:p>
    <w:p w:rsidR="00341303" w:rsidRPr="00A17C8C" w:rsidRDefault="00341303" w:rsidP="00341303">
      <w:pPr>
        <w:spacing w:after="0"/>
        <w:ind w:left="425"/>
        <w:rPr>
          <w:b/>
          <w:sz w:val="18"/>
          <w:szCs w:val="18"/>
        </w:rPr>
      </w:pPr>
      <w:r w:rsidRPr="00A17C8C">
        <w:rPr>
          <w:b/>
          <w:sz w:val="18"/>
          <w:szCs w:val="18"/>
        </w:rPr>
        <w:t>Designated active ingredients</w:t>
      </w:r>
    </w:p>
    <w:p w:rsidR="00341303" w:rsidRPr="00DC6794" w:rsidRDefault="00341303" w:rsidP="00DC6794">
      <w:pPr>
        <w:pStyle w:val="Numberbullet0"/>
        <w:spacing w:before="0" w:after="0"/>
        <w:ind w:left="851"/>
        <w:rPr>
          <w:sz w:val="18"/>
          <w:szCs w:val="18"/>
        </w:rPr>
      </w:pPr>
      <w:r w:rsidRPr="00DC6794">
        <w:rPr>
          <w:sz w:val="18"/>
          <w:szCs w:val="18"/>
        </w:rPr>
        <w:t>an amino acid</w:t>
      </w:r>
    </w:p>
    <w:p w:rsidR="00341303" w:rsidRPr="00DC6794" w:rsidRDefault="00341303" w:rsidP="00DC6794">
      <w:pPr>
        <w:pStyle w:val="Numberbullet0"/>
        <w:spacing w:before="0" w:after="0"/>
        <w:ind w:left="851"/>
        <w:rPr>
          <w:sz w:val="18"/>
          <w:szCs w:val="18"/>
        </w:rPr>
      </w:pPr>
      <w:r w:rsidRPr="00DC6794">
        <w:rPr>
          <w:sz w:val="18"/>
          <w:szCs w:val="18"/>
        </w:rPr>
        <w:t>charcoal</w:t>
      </w:r>
    </w:p>
    <w:p w:rsidR="00341303" w:rsidRPr="00DC6794" w:rsidRDefault="00341303" w:rsidP="00DC6794">
      <w:pPr>
        <w:pStyle w:val="Numberbullet0"/>
        <w:spacing w:before="0" w:after="0"/>
        <w:ind w:left="851"/>
        <w:rPr>
          <w:sz w:val="18"/>
          <w:szCs w:val="18"/>
        </w:rPr>
      </w:pPr>
      <w:r w:rsidRPr="00DC6794">
        <w:rPr>
          <w:sz w:val="18"/>
          <w:szCs w:val="18"/>
        </w:rPr>
        <w:t>a choline salt</w:t>
      </w:r>
    </w:p>
    <w:p w:rsidR="00341303" w:rsidRPr="00DC6794" w:rsidRDefault="00341303" w:rsidP="00DC6794">
      <w:pPr>
        <w:pStyle w:val="Numberbullet0"/>
        <w:spacing w:before="0" w:after="0"/>
        <w:ind w:left="851"/>
        <w:rPr>
          <w:sz w:val="18"/>
          <w:szCs w:val="18"/>
        </w:rPr>
      </w:pPr>
      <w:r w:rsidRPr="00DC6794">
        <w:rPr>
          <w:sz w:val="18"/>
          <w:szCs w:val="18"/>
        </w:rPr>
        <w:t>an essential oil</w:t>
      </w:r>
    </w:p>
    <w:p w:rsidR="00341303" w:rsidRPr="00DC6794" w:rsidRDefault="00341303" w:rsidP="00DC6794">
      <w:pPr>
        <w:pStyle w:val="Numberbullet0"/>
        <w:spacing w:before="0" w:after="0"/>
        <w:ind w:left="851"/>
        <w:rPr>
          <w:sz w:val="18"/>
          <w:szCs w:val="18"/>
        </w:rPr>
      </w:pPr>
      <w:r w:rsidRPr="00DC6794">
        <w:rPr>
          <w:sz w:val="18"/>
          <w:szCs w:val="18"/>
        </w:rPr>
        <w:t>plant or herbal material (or a synthetically produced substitute for material of that kind), including plant fibres, enzymes, algae, fungi, cellulose and derivatives of cellulose and chlorophyll</w:t>
      </w:r>
    </w:p>
    <w:p w:rsidR="00341303" w:rsidRPr="00DC6794" w:rsidRDefault="00341303" w:rsidP="00DC6794">
      <w:pPr>
        <w:pStyle w:val="Numberbullet0"/>
        <w:spacing w:before="0" w:after="0"/>
        <w:ind w:left="851"/>
        <w:rPr>
          <w:sz w:val="18"/>
          <w:szCs w:val="18"/>
        </w:rPr>
      </w:pPr>
      <w:r w:rsidRPr="00DC6794">
        <w:rPr>
          <w:sz w:val="18"/>
          <w:szCs w:val="18"/>
        </w:rPr>
        <w:t>a homoeopathic preparation</w:t>
      </w:r>
    </w:p>
    <w:p w:rsidR="00341303" w:rsidRPr="00DC6794" w:rsidRDefault="00341303" w:rsidP="00DC6794">
      <w:pPr>
        <w:pStyle w:val="Numberbullet0"/>
        <w:spacing w:before="0" w:after="0"/>
        <w:ind w:left="851"/>
        <w:rPr>
          <w:sz w:val="18"/>
          <w:szCs w:val="18"/>
        </w:rPr>
      </w:pPr>
      <w:r w:rsidRPr="00DC6794">
        <w:rPr>
          <w:sz w:val="18"/>
          <w:szCs w:val="18"/>
        </w:rPr>
        <w:t>a microorganism, whole or extracted, except a vaccine</w:t>
      </w:r>
    </w:p>
    <w:p w:rsidR="00341303" w:rsidRPr="00DC6794" w:rsidRDefault="00341303" w:rsidP="00DC6794">
      <w:pPr>
        <w:pStyle w:val="Numberbullet0"/>
        <w:spacing w:before="0" w:after="0"/>
        <w:ind w:left="851"/>
        <w:rPr>
          <w:sz w:val="18"/>
          <w:szCs w:val="18"/>
        </w:rPr>
      </w:pPr>
      <w:r w:rsidRPr="00DC6794">
        <w:rPr>
          <w:sz w:val="18"/>
          <w:szCs w:val="18"/>
        </w:rPr>
        <w:t>a mineral including a mineral salt and a naturally occurring mineral</w:t>
      </w:r>
    </w:p>
    <w:p w:rsidR="00341303" w:rsidRPr="00DC6794" w:rsidRDefault="00341303" w:rsidP="00DC6794">
      <w:pPr>
        <w:pStyle w:val="Numberbullet0"/>
        <w:spacing w:before="0" w:after="0"/>
        <w:ind w:left="851"/>
        <w:rPr>
          <w:sz w:val="18"/>
          <w:szCs w:val="18"/>
        </w:rPr>
      </w:pPr>
      <w:r w:rsidRPr="00DC6794">
        <w:rPr>
          <w:sz w:val="18"/>
          <w:szCs w:val="18"/>
        </w:rPr>
        <w:t>a mucopolysaccharide</w:t>
      </w:r>
    </w:p>
    <w:p w:rsidR="00341303" w:rsidRPr="00DC6794" w:rsidRDefault="00341303" w:rsidP="00DC6794">
      <w:pPr>
        <w:pStyle w:val="Numberbullet0"/>
        <w:spacing w:before="0" w:after="0"/>
        <w:ind w:left="851"/>
        <w:rPr>
          <w:sz w:val="18"/>
          <w:szCs w:val="18"/>
        </w:rPr>
      </w:pPr>
      <w:r w:rsidRPr="00DC6794">
        <w:rPr>
          <w:sz w:val="18"/>
          <w:szCs w:val="18"/>
        </w:rPr>
        <w:t>non-human animal material (or a synthetically produced substitute for material of that kind) including dried material, bone and cartilage, fats and oils and other extracts or concentrates</w:t>
      </w:r>
    </w:p>
    <w:p w:rsidR="00341303" w:rsidRPr="00DC6794" w:rsidRDefault="00341303" w:rsidP="00DC6794">
      <w:pPr>
        <w:pStyle w:val="Numberbullet0"/>
        <w:spacing w:before="0" w:after="0"/>
        <w:ind w:left="851"/>
        <w:rPr>
          <w:sz w:val="18"/>
          <w:szCs w:val="18"/>
        </w:rPr>
      </w:pPr>
      <w:r w:rsidRPr="00DC6794">
        <w:rPr>
          <w:sz w:val="18"/>
          <w:szCs w:val="18"/>
        </w:rPr>
        <w:t>a lipid, including an essential fatty acid or phospholipid</w:t>
      </w:r>
    </w:p>
    <w:p w:rsidR="00341303" w:rsidRPr="00DC6794" w:rsidRDefault="00341303" w:rsidP="00DC6794">
      <w:pPr>
        <w:pStyle w:val="Numberbullet0"/>
        <w:spacing w:before="0" w:after="0"/>
        <w:ind w:left="851"/>
        <w:rPr>
          <w:sz w:val="18"/>
          <w:szCs w:val="18"/>
        </w:rPr>
      </w:pPr>
      <w:r w:rsidRPr="00DC6794">
        <w:rPr>
          <w:sz w:val="18"/>
          <w:szCs w:val="18"/>
        </w:rPr>
        <w:t>a substance produced by or obtained from bees, including royal jelly, bee pollen and propolis</w:t>
      </w:r>
    </w:p>
    <w:p w:rsidR="00341303" w:rsidRPr="00DC6794" w:rsidRDefault="00341303" w:rsidP="00DC6794">
      <w:pPr>
        <w:pStyle w:val="Numberbullet0"/>
        <w:spacing w:before="0" w:after="0"/>
        <w:ind w:left="851"/>
        <w:rPr>
          <w:sz w:val="18"/>
          <w:szCs w:val="18"/>
        </w:rPr>
      </w:pPr>
      <w:r w:rsidRPr="00DC6794">
        <w:rPr>
          <w:sz w:val="18"/>
          <w:szCs w:val="18"/>
        </w:rPr>
        <w:t>a sugar, polysaccharide or carbohydrate</w:t>
      </w:r>
    </w:p>
    <w:p w:rsidR="00341303" w:rsidRPr="00DC6794" w:rsidRDefault="00341303" w:rsidP="00DC6794">
      <w:pPr>
        <w:pStyle w:val="Numberbullet0"/>
        <w:spacing w:before="0" w:after="0"/>
        <w:ind w:left="851"/>
        <w:rPr>
          <w:sz w:val="18"/>
          <w:szCs w:val="18"/>
        </w:rPr>
      </w:pPr>
      <w:r w:rsidRPr="00DC6794">
        <w:rPr>
          <w:sz w:val="18"/>
          <w:szCs w:val="18"/>
        </w:rPr>
        <w:t>a vitamin or provitamin</w:t>
      </w:r>
    </w:p>
    <w:p w:rsidR="0055465C" w:rsidRDefault="0055465C" w:rsidP="0055465C">
      <w:pPr>
        <w:keepNext/>
        <w:pageBreakBefore/>
      </w:pPr>
      <w:r>
        <w:lastRenderedPageBreak/>
        <w:t>Table 1 provides some examples of products that are regulated as complementary medicines.</w:t>
      </w:r>
    </w:p>
    <w:p w:rsidR="0055465C" w:rsidRDefault="0055465C" w:rsidP="0055465C">
      <w:pPr>
        <w:pStyle w:val="TableTitle0"/>
      </w:pPr>
      <w:r>
        <w:t>Table 1: Types of complementary medicines</w:t>
      </w:r>
    </w:p>
    <w:tbl>
      <w:tblPr>
        <w:tblStyle w:val="TableTGAblue"/>
        <w:tblW w:w="9180" w:type="dxa"/>
        <w:tblLayout w:type="fixed"/>
        <w:tblLook w:val="04A0" w:firstRow="1" w:lastRow="0" w:firstColumn="1" w:lastColumn="0" w:noHBand="0" w:noVBand="1"/>
      </w:tblPr>
      <w:tblGrid>
        <w:gridCol w:w="2093"/>
        <w:gridCol w:w="7087"/>
      </w:tblGrid>
      <w:tr w:rsidR="0055465C" w:rsidTr="005546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5465C" w:rsidRDefault="0055465C" w:rsidP="007004E8">
            <w:r>
              <w:t>Medicine type</w:t>
            </w:r>
          </w:p>
        </w:tc>
        <w:tc>
          <w:tcPr>
            <w:tcW w:w="7087" w:type="dxa"/>
          </w:tcPr>
          <w:p w:rsidR="0055465C" w:rsidRDefault="0055465C" w:rsidP="007004E8">
            <w:pPr>
              <w:cnfStyle w:val="100000000000" w:firstRow="1" w:lastRow="0" w:firstColumn="0" w:lastColumn="0" w:oddVBand="0" w:evenVBand="0" w:oddHBand="0" w:evenHBand="0" w:firstRowFirstColumn="0" w:firstRowLastColumn="0" w:lastRowFirstColumn="0" w:lastRowLastColumn="0"/>
            </w:pPr>
            <w:r>
              <w:t>Description</w:t>
            </w:r>
          </w:p>
        </w:tc>
      </w:tr>
      <w:tr w:rsidR="0055465C" w:rsidTr="0055465C">
        <w:trPr>
          <w:cantSplit w:val="0"/>
        </w:trPr>
        <w:tc>
          <w:tcPr>
            <w:cnfStyle w:val="001000000000" w:firstRow="0" w:lastRow="0" w:firstColumn="1" w:lastColumn="0" w:oddVBand="0" w:evenVBand="0" w:oddHBand="0" w:evenHBand="0" w:firstRowFirstColumn="0" w:firstRowLastColumn="0" w:lastRowFirstColumn="0" w:lastRowLastColumn="0"/>
            <w:tcW w:w="2093" w:type="dxa"/>
            <w:shd w:val="clear" w:color="auto" w:fill="DADDE0" w:themeFill="accent2" w:themeFillTint="66"/>
          </w:tcPr>
          <w:p w:rsidR="0055465C" w:rsidRPr="0020249F" w:rsidRDefault="0055465C" w:rsidP="007004E8">
            <w:pPr>
              <w:spacing w:after="120"/>
              <w:rPr>
                <w:b/>
              </w:rPr>
            </w:pPr>
            <w:r w:rsidRPr="0020249F">
              <w:rPr>
                <w:b/>
              </w:rPr>
              <w:t>Traditional medicines</w:t>
            </w:r>
          </w:p>
        </w:tc>
        <w:tc>
          <w:tcPr>
            <w:tcW w:w="7087" w:type="dxa"/>
          </w:tcPr>
          <w:p w:rsidR="0055465C" w:rsidRDefault="0055465C" w:rsidP="007004E8">
            <w:pPr>
              <w:keepNext/>
              <w:cnfStyle w:val="000000000000" w:firstRow="0" w:lastRow="0" w:firstColumn="0" w:lastColumn="0" w:oddVBand="0" w:evenVBand="0" w:oddHBand="0" w:evenHBand="0" w:firstRowFirstColumn="0" w:firstRowLastColumn="0" w:lastRowFirstColumn="0" w:lastRowLastColumn="0"/>
            </w:pPr>
            <w:r>
              <w:t>Traditional medicines include a diverse range of health practices, approaches, knowledge and beliefs incorporating medicines of plant, animal and/or mineral origin. Examples of traditional paradigms include: Traditional Chinese medicine; Ayurvedic medicine; Australian indigenous medicine; and Western herbal medicine.</w:t>
            </w:r>
          </w:p>
          <w:p w:rsidR="0055465C" w:rsidRDefault="0055465C" w:rsidP="007004E8">
            <w:pPr>
              <w:keepNext/>
              <w:cnfStyle w:val="000000000000" w:firstRow="0" w:lastRow="0" w:firstColumn="0" w:lastColumn="0" w:oddVBand="0" w:evenVBand="0" w:oddHBand="0" w:evenHBand="0" w:firstRowFirstColumn="0" w:firstRowLastColumn="0" w:lastRowFirstColumn="0" w:lastRowLastColumn="0"/>
            </w:pPr>
            <w:r>
              <w:t xml:space="preserve">‘Traditional use’ is defined in Part 1(2) of the </w:t>
            </w:r>
            <w:hyperlink r:id="rId42" w:history="1">
              <w:r w:rsidRPr="00010E7D">
                <w:rPr>
                  <w:rStyle w:val="Hyperlink"/>
                </w:rPr>
                <w:t>Regulations</w:t>
              </w:r>
            </w:hyperlink>
            <w:r>
              <w:t xml:space="preserve">. </w:t>
            </w:r>
            <w:r w:rsidRPr="007E24B7">
              <w:t>An established tradition of use is considered to be three generations of human use, equating to approximately 75 years.</w:t>
            </w:r>
          </w:p>
        </w:tc>
      </w:tr>
      <w:tr w:rsidR="0055465C" w:rsidTr="0055465C">
        <w:trPr>
          <w:cantSplit w:val="0"/>
        </w:trPr>
        <w:tc>
          <w:tcPr>
            <w:cnfStyle w:val="001000000000" w:firstRow="0" w:lastRow="0" w:firstColumn="1" w:lastColumn="0" w:oddVBand="0" w:evenVBand="0" w:oddHBand="0" w:evenHBand="0" w:firstRowFirstColumn="0" w:firstRowLastColumn="0" w:lastRowFirstColumn="0" w:lastRowLastColumn="0"/>
            <w:tcW w:w="2093" w:type="dxa"/>
            <w:shd w:val="clear" w:color="auto" w:fill="DADDE0" w:themeFill="accent2" w:themeFillTint="66"/>
          </w:tcPr>
          <w:p w:rsidR="0055465C" w:rsidRPr="00F80E20" w:rsidRDefault="0055465C" w:rsidP="007004E8">
            <w:pPr>
              <w:spacing w:after="120"/>
            </w:pPr>
            <w:r w:rsidRPr="0020249F">
              <w:rPr>
                <w:b/>
              </w:rPr>
              <w:t>Herbal medicines</w:t>
            </w:r>
          </w:p>
        </w:tc>
        <w:tc>
          <w:tcPr>
            <w:tcW w:w="7087" w:type="dxa"/>
          </w:tcPr>
          <w:p w:rsidR="0055465C" w:rsidRDefault="0055465C" w:rsidP="007004E8">
            <w:pPr>
              <w:cnfStyle w:val="000000000000" w:firstRow="0" w:lastRow="0" w:firstColumn="0" w:lastColumn="0" w:oddVBand="0" w:evenVBand="0" w:oddHBand="0" w:evenHBand="0" w:firstRowFirstColumn="0" w:firstRowLastColumn="0" w:lastRowFirstColumn="0" w:lastRowLastColumn="0"/>
            </w:pPr>
            <w:r>
              <w:t xml:space="preserve">Herbal medicines are therapeutic goods that are or contain herbal substances as the major active ingredient(s). Herbal substances are preparations of plants, and other organisms that are treated as plants in the </w:t>
            </w:r>
            <w:hyperlink r:id="rId43" w:history="1">
              <w:r w:rsidRPr="00D15459">
                <w:t>International Code of Botanical Nomenclature</w:t>
              </w:r>
            </w:hyperlink>
            <w:r>
              <w:t>, such as fungi, algae and yeast.</w:t>
            </w:r>
            <w:r w:rsidRPr="009E7836">
              <w:t xml:space="preserve"> The current regulatory system provides for listed medicines to contain a wide range of herbal substances provided that it can be adequately demonstrated that the herbal substance is safe.</w:t>
            </w:r>
          </w:p>
        </w:tc>
      </w:tr>
      <w:tr w:rsidR="0055465C" w:rsidTr="0055465C">
        <w:trPr>
          <w:cantSplit w:val="0"/>
        </w:trPr>
        <w:tc>
          <w:tcPr>
            <w:cnfStyle w:val="001000000000" w:firstRow="0" w:lastRow="0" w:firstColumn="1" w:lastColumn="0" w:oddVBand="0" w:evenVBand="0" w:oddHBand="0" w:evenHBand="0" w:firstRowFirstColumn="0" w:firstRowLastColumn="0" w:lastRowFirstColumn="0" w:lastRowLastColumn="0"/>
            <w:tcW w:w="2093" w:type="dxa"/>
            <w:shd w:val="clear" w:color="auto" w:fill="DADDE0" w:themeFill="accent2" w:themeFillTint="66"/>
          </w:tcPr>
          <w:p w:rsidR="0055465C" w:rsidRPr="00F80E20" w:rsidRDefault="0055465C" w:rsidP="007004E8">
            <w:pPr>
              <w:spacing w:after="120"/>
            </w:pPr>
            <w:r w:rsidRPr="0020249F">
              <w:rPr>
                <w:b/>
              </w:rPr>
              <w:t>Homoeopathic medicines</w:t>
            </w:r>
          </w:p>
        </w:tc>
        <w:tc>
          <w:tcPr>
            <w:tcW w:w="7087" w:type="dxa"/>
          </w:tcPr>
          <w:p w:rsidR="0055465C" w:rsidRDefault="0055465C" w:rsidP="007004E8">
            <w:pPr>
              <w:keepLines/>
              <w:cnfStyle w:val="000000000000" w:firstRow="0" w:lastRow="0" w:firstColumn="0" w:lastColumn="0" w:oddVBand="0" w:evenVBand="0" w:oddHBand="0" w:evenHBand="0" w:firstRowFirstColumn="0" w:firstRowLastColumn="0" w:lastRowFirstColumn="0" w:lastRowLastColumn="0"/>
            </w:pPr>
            <w:r>
              <w:t>A ‘homoeopathic preparation’ is a medicine based upon the central tenet of homoeopathy ‘let like cure like’ and the principles of homoeopathic pharmacy - ‘potentisation’, being the serial dilution and succussion of a mother tincture. The term ‘mother tincture’ means a preparation prepared by the process of solution, extraction or trituration.</w:t>
            </w:r>
          </w:p>
          <w:p w:rsidR="0055465C" w:rsidRDefault="0055465C" w:rsidP="007004E8">
            <w:pPr>
              <w:keepLines/>
              <w:cnfStyle w:val="000000000000" w:firstRow="0" w:lastRow="0" w:firstColumn="0" w:lastColumn="0" w:oddVBand="0" w:evenVBand="0" w:oddHBand="0" w:evenHBand="0" w:firstRowFirstColumn="0" w:firstRowLastColumn="0" w:lastRowFirstColumn="0" w:lastRowLastColumn="0"/>
            </w:pPr>
            <w:r>
              <w:t xml:space="preserve">Homoeopathic medicines are manufactured to different medicinal strengths or ‘potencies’ according to manufacturing standards described in homoeopathic pharmacopoeias. Homoeopathic medicines are derived from a wide variety of natural source materials, mostly plants and minerals. Some of these source materials are poisonous, for example: </w:t>
            </w:r>
            <w:r w:rsidRPr="00E13E7E">
              <w:rPr>
                <w:i/>
              </w:rPr>
              <w:t>Atropa belladonna</w:t>
            </w:r>
            <w:r>
              <w:t xml:space="preserve">. The highly diluted nature of homoeopathic preparations is considered to render starting materials non-toxic and therefore safe for therapeutic use. For more information on the regulation of homoeopathic medicines refer to </w:t>
            </w:r>
            <w:hyperlink w:anchor="_Homoeopathic_preparations_included/" w:history="1">
              <w:r w:rsidRPr="008D65BD">
                <w:rPr>
                  <w:rStyle w:val="Hyperlink"/>
                </w:rPr>
                <w:t>Homoeopathic preparations included/exempt from inclusion in the ARTG</w:t>
              </w:r>
            </w:hyperlink>
            <w:r w:rsidRPr="009C3F44">
              <w:rPr>
                <w:rStyle w:val="Hyperlink"/>
                <w:color w:val="auto"/>
                <w:u w:val="none"/>
              </w:rPr>
              <w:t>.</w:t>
            </w:r>
          </w:p>
        </w:tc>
      </w:tr>
      <w:tr w:rsidR="0055465C" w:rsidRPr="00590BDC" w:rsidTr="0055465C">
        <w:trPr>
          <w:cantSplit w:val="0"/>
        </w:trPr>
        <w:tc>
          <w:tcPr>
            <w:cnfStyle w:val="001000000000" w:firstRow="0" w:lastRow="0" w:firstColumn="1" w:lastColumn="0" w:oddVBand="0" w:evenVBand="0" w:oddHBand="0" w:evenHBand="0" w:firstRowFirstColumn="0" w:firstRowLastColumn="0" w:lastRowFirstColumn="0" w:lastRowLastColumn="0"/>
            <w:tcW w:w="2093" w:type="dxa"/>
            <w:shd w:val="clear" w:color="auto" w:fill="DADDE0" w:themeFill="accent2" w:themeFillTint="66"/>
          </w:tcPr>
          <w:p w:rsidR="0055465C" w:rsidRPr="00F80E20" w:rsidRDefault="0055465C" w:rsidP="007004E8">
            <w:pPr>
              <w:spacing w:after="120"/>
            </w:pPr>
            <w:r w:rsidRPr="0020249F">
              <w:rPr>
                <w:b/>
              </w:rPr>
              <w:t>Anthroposophic medicines</w:t>
            </w:r>
          </w:p>
        </w:tc>
        <w:tc>
          <w:tcPr>
            <w:tcW w:w="7087" w:type="dxa"/>
          </w:tcPr>
          <w:p w:rsidR="0055465C" w:rsidRPr="0020249F" w:rsidRDefault="0055465C" w:rsidP="007004E8">
            <w:pPr>
              <w:spacing w:after="120"/>
              <w:cnfStyle w:val="000000000000" w:firstRow="0" w:lastRow="0" w:firstColumn="0" w:lastColumn="0" w:oddVBand="0" w:evenVBand="0" w:oddHBand="0" w:evenHBand="0" w:firstRowFirstColumn="0" w:firstRowLastColumn="0" w:lastRowFirstColumn="0" w:lastRowLastColumn="0"/>
              <w:rPr>
                <w:i/>
              </w:rPr>
            </w:pPr>
            <w:r w:rsidRPr="00247619">
              <w:t>Anthroposophic practitioners use a range of interventions including conventional therapies, remedies based upon homoeopathic principles, herbal medicine and external therap</w:t>
            </w:r>
            <w:r>
              <w:t>ies.</w:t>
            </w:r>
          </w:p>
        </w:tc>
      </w:tr>
      <w:tr w:rsidR="0055465C" w:rsidTr="0055465C">
        <w:trPr>
          <w:cantSplit w:val="0"/>
        </w:trPr>
        <w:tc>
          <w:tcPr>
            <w:cnfStyle w:val="001000000000" w:firstRow="0" w:lastRow="0" w:firstColumn="1" w:lastColumn="0" w:oddVBand="0" w:evenVBand="0" w:oddHBand="0" w:evenHBand="0" w:firstRowFirstColumn="0" w:firstRowLastColumn="0" w:lastRowFirstColumn="0" w:lastRowLastColumn="0"/>
            <w:tcW w:w="2093" w:type="dxa"/>
            <w:shd w:val="clear" w:color="auto" w:fill="DADDE0" w:themeFill="accent2" w:themeFillTint="66"/>
          </w:tcPr>
          <w:p w:rsidR="0055465C" w:rsidRPr="00F80E20" w:rsidRDefault="0055465C" w:rsidP="007004E8">
            <w:pPr>
              <w:spacing w:after="120"/>
            </w:pPr>
            <w:r w:rsidRPr="0020249F">
              <w:rPr>
                <w:b/>
              </w:rPr>
              <w:t>Essential oils</w:t>
            </w:r>
          </w:p>
        </w:tc>
        <w:tc>
          <w:tcPr>
            <w:tcW w:w="7087" w:type="dxa"/>
          </w:tcPr>
          <w:p w:rsidR="0055465C" w:rsidRDefault="0055465C" w:rsidP="007004E8">
            <w:pPr>
              <w:spacing w:after="120"/>
              <w:cnfStyle w:val="000000000000" w:firstRow="0" w:lastRow="0" w:firstColumn="0" w:lastColumn="0" w:oddVBand="0" w:evenVBand="0" w:oddHBand="0" w:evenHBand="0" w:firstRowFirstColumn="0" w:firstRowLastColumn="0" w:lastRowFirstColumn="0" w:lastRowLastColumn="0"/>
            </w:pPr>
            <w:r w:rsidRPr="000B3D90">
              <w:t xml:space="preserve">Essential oils are highly concentrated oils </w:t>
            </w:r>
            <w:r>
              <w:t>obtained from natural raw materials either by distillation with water or steam or from the epicarp of citrus fruits by a mechanical process, or by dry distillation. It also means:</w:t>
            </w:r>
          </w:p>
          <w:p w:rsidR="0055465C" w:rsidRDefault="0055465C" w:rsidP="007004E8">
            <w:pPr>
              <w:spacing w:after="120"/>
              <w:cnfStyle w:val="000000000000" w:firstRow="0" w:lastRow="0" w:firstColumn="0" w:lastColumn="0" w:oddVBand="0" w:evenVBand="0" w:oddHBand="0" w:evenHBand="0" w:firstRowFirstColumn="0" w:firstRowLastColumn="0" w:lastRowFirstColumn="0" w:lastRowLastColumn="0"/>
            </w:pPr>
            <w:r>
              <w:t>(a) oils of equivalent composition derived through synthetic means; or</w:t>
            </w:r>
          </w:p>
          <w:p w:rsidR="0055465C" w:rsidRDefault="0055465C" w:rsidP="007004E8">
            <w:pPr>
              <w:spacing w:after="120"/>
              <w:cnfStyle w:val="000000000000" w:firstRow="0" w:lastRow="0" w:firstColumn="0" w:lastColumn="0" w:oddVBand="0" w:evenVBand="0" w:oddHBand="0" w:evenHBand="0" w:firstRowFirstColumn="0" w:firstRowLastColumn="0" w:lastRowFirstColumn="0" w:lastRowLastColumn="0"/>
            </w:pPr>
            <w:r>
              <w:t>(b) compounded oils of equivalent composition comprising a mixture of synthetic and natural components</w:t>
            </w:r>
          </w:p>
          <w:p w:rsidR="0055465C" w:rsidRDefault="0055465C" w:rsidP="007004E8">
            <w:pPr>
              <w:spacing w:after="120"/>
              <w:cnfStyle w:val="000000000000" w:firstRow="0" w:lastRow="0" w:firstColumn="0" w:lastColumn="0" w:oddVBand="0" w:evenVBand="0" w:oddHBand="0" w:evenHBand="0" w:firstRowFirstColumn="0" w:firstRowLastColumn="0" w:lastRowFirstColumn="0" w:lastRowLastColumn="0"/>
            </w:pPr>
            <w:r>
              <w:lastRenderedPageBreak/>
              <w:t xml:space="preserve">The purpose of a product containing an essential oil determines which agency regulates it. That is, if the product makes only cosmetic claims it is considered a cosmetic and regulated by </w:t>
            </w:r>
            <w:hyperlink r:id="rId44" w:history="1">
              <w:r w:rsidRPr="00FE6B85">
                <w:rPr>
                  <w:rStyle w:val="Hyperlink"/>
                </w:rPr>
                <w:t>National Industrial Chemicals Notification and Assessment Scheme (NICNAS)</w:t>
              </w:r>
            </w:hyperlink>
            <w:r>
              <w:rPr>
                <w:rStyle w:val="FootnoteReference"/>
                <w:color w:val="0000FF"/>
                <w:u w:val="single"/>
              </w:rPr>
              <w:footnoteReference w:id="1"/>
            </w:r>
            <w:r>
              <w:t>, but if the product makes a therapeutic claim it would be considered a therapeutic good and regulated by the TGA.</w:t>
            </w:r>
          </w:p>
        </w:tc>
      </w:tr>
      <w:tr w:rsidR="0055465C" w:rsidTr="0055465C">
        <w:trPr>
          <w:cantSplit w:val="0"/>
        </w:trPr>
        <w:tc>
          <w:tcPr>
            <w:cnfStyle w:val="001000000000" w:firstRow="0" w:lastRow="0" w:firstColumn="1" w:lastColumn="0" w:oddVBand="0" w:evenVBand="0" w:oddHBand="0" w:evenHBand="0" w:firstRowFirstColumn="0" w:firstRowLastColumn="0" w:lastRowFirstColumn="0" w:lastRowLastColumn="0"/>
            <w:tcW w:w="2093" w:type="dxa"/>
            <w:shd w:val="clear" w:color="auto" w:fill="DADDE0" w:themeFill="accent2" w:themeFillTint="66"/>
          </w:tcPr>
          <w:p w:rsidR="0055465C" w:rsidRPr="00F80E20" w:rsidRDefault="0055465C" w:rsidP="007004E8">
            <w:pPr>
              <w:spacing w:after="120"/>
            </w:pPr>
            <w:r w:rsidRPr="0020249F">
              <w:rPr>
                <w:b/>
              </w:rPr>
              <w:lastRenderedPageBreak/>
              <w:t>Nutritional supplements</w:t>
            </w:r>
          </w:p>
        </w:tc>
        <w:tc>
          <w:tcPr>
            <w:tcW w:w="7087" w:type="dxa"/>
          </w:tcPr>
          <w:p w:rsidR="0055465C" w:rsidRDefault="0055465C" w:rsidP="007004E8">
            <w:pPr>
              <w:spacing w:after="120"/>
              <w:cnfStyle w:val="000000000000" w:firstRow="0" w:lastRow="0" w:firstColumn="0" w:lastColumn="0" w:oddVBand="0" w:evenVBand="0" w:oddHBand="0" w:evenHBand="0" w:firstRowFirstColumn="0" w:firstRowLastColumn="0" w:lastRowFirstColumn="0" w:lastRowLastColumn="0"/>
            </w:pPr>
            <w:r>
              <w:t xml:space="preserve">Nutritional supplements are substances such as vitamins, minerals, fatty acids, amino acids used to supplement the diet. Nutritional supplements may be regulated as foods or as therapeutic goods - refer to </w:t>
            </w:r>
            <w:hyperlink w:anchor="_Medicine_interface_issues_1" w:history="1">
              <w:r>
                <w:rPr>
                  <w:rStyle w:val="Hyperlink"/>
                </w:rPr>
                <w:t>Medicine interface issues</w:t>
              </w:r>
            </w:hyperlink>
            <w:r>
              <w:t xml:space="preserve">. Examples of nutritional substances (if presented as therapeutic goods) that are considered to be complementary medicines include fish oils, shark cartilage and krill oil. Many vitamins and minerals are scheduled in the </w:t>
            </w:r>
            <w:hyperlink r:id="rId45" w:history="1">
              <w:r w:rsidRPr="00182F62">
                <w:rPr>
                  <w:rStyle w:val="Hyperlink"/>
                </w:rPr>
                <w:t>Poisons Standard</w:t>
              </w:r>
            </w:hyperlink>
            <w:r>
              <w:t xml:space="preserve"> and in accordance with this scheduling, such things as pack size and container dimensions may be limited.</w:t>
            </w:r>
          </w:p>
        </w:tc>
      </w:tr>
    </w:tbl>
    <w:p w:rsidR="0055465C" w:rsidRDefault="0055465C" w:rsidP="0055465C">
      <w:r>
        <w:t xml:space="preserve">Other types of complementary medicines such as </w:t>
      </w:r>
      <w:r w:rsidRPr="007F544B">
        <w:t>flower, shell</w:t>
      </w:r>
      <w:r>
        <w:t xml:space="preserve"> and</w:t>
      </w:r>
      <w:r w:rsidRPr="007F544B">
        <w:t xml:space="preserve"> gem</w:t>
      </w:r>
      <w:r>
        <w:t xml:space="preserve"> e</w:t>
      </w:r>
      <w:r w:rsidRPr="007F544B">
        <w:t>ssences (</w:t>
      </w:r>
      <w:r>
        <w:t>which are</w:t>
      </w:r>
      <w:r w:rsidRPr="007F544B">
        <w:t xml:space="preserve"> highly diluted extracts of substances</w:t>
      </w:r>
      <w:r>
        <w:t>)</w:t>
      </w:r>
      <w:r w:rsidRPr="007F544B">
        <w:t xml:space="preserve"> are generally not regulated as medicines in Australia, unless they have therapeutic indications.</w:t>
      </w:r>
    </w:p>
    <w:p w:rsidR="0055465C" w:rsidRDefault="0055465C" w:rsidP="0055465C">
      <w:pPr>
        <w:pStyle w:val="Heading4"/>
      </w:pPr>
      <w:bookmarkStart w:id="16" w:name="_Medicine_interface_issues"/>
      <w:bookmarkStart w:id="17" w:name="_Medicine_interface_issues_1"/>
      <w:bookmarkStart w:id="18" w:name="_Toc77521697"/>
      <w:bookmarkEnd w:id="16"/>
      <w:bookmarkEnd w:id="17"/>
      <w:r>
        <w:t>Medicine interface issues</w:t>
      </w:r>
      <w:bookmarkEnd w:id="18"/>
    </w:p>
    <w:p w:rsidR="0055465C" w:rsidRDefault="0055465C" w:rsidP="0055465C">
      <w:bookmarkStart w:id="19" w:name="_Food_medicine_interface"/>
      <w:bookmarkEnd w:id="19"/>
      <w:r>
        <w:t>T</w:t>
      </w:r>
      <w:r w:rsidRPr="00D135FB">
        <w:t xml:space="preserve">here can be a regulatory 'interface', or potential overlap, between certain foods, medicines, devices and cosmetics. </w:t>
      </w:r>
      <w:r>
        <w:t>For example, e</w:t>
      </w:r>
      <w:r w:rsidRPr="00206FC4">
        <w:t xml:space="preserve">ven though </w:t>
      </w:r>
      <w:r>
        <w:t>a</w:t>
      </w:r>
      <w:r w:rsidRPr="00206FC4">
        <w:t xml:space="preserve"> product may meet the </w:t>
      </w:r>
      <w:r w:rsidRPr="00995F9A">
        <w:t>definition of a complementary medicine</w:t>
      </w:r>
      <w:r w:rsidRPr="00206FC4">
        <w:t>, it may</w:t>
      </w:r>
      <w:r>
        <w:t>:</w:t>
      </w:r>
    </w:p>
    <w:p w:rsidR="0055465C" w:rsidRPr="00975D42" w:rsidRDefault="0055465C" w:rsidP="00975D42">
      <w:pPr>
        <w:pStyle w:val="ListBullet"/>
      </w:pPr>
      <w:r w:rsidRPr="00975D42">
        <w:t>be regulated as a different therapeutic good, for example: a medical device</w:t>
      </w:r>
    </w:p>
    <w:p w:rsidR="0055465C" w:rsidRPr="00206FC4" w:rsidRDefault="0055465C" w:rsidP="00975D42">
      <w:pPr>
        <w:pStyle w:val="ListBullet"/>
      </w:pPr>
      <w:r w:rsidRPr="00975D42">
        <w:t>not be regulated as a therapeutic good, for example it may be a food or a cosmetic or be excluded</w:t>
      </w:r>
      <w:r w:rsidRPr="0020249F">
        <w:t xml:space="preserve"> from TGA regulation</w:t>
      </w:r>
      <w:r>
        <w:t xml:space="preserve"> </w:t>
      </w:r>
    </w:p>
    <w:p w:rsidR="0055465C" w:rsidRDefault="0055465C" w:rsidP="0055465C">
      <w:r>
        <w:t xml:space="preserve">The online guidance tool: </w:t>
      </w:r>
      <w:hyperlink r:id="rId46" w:history="1">
        <w:r w:rsidRPr="002167E0">
          <w:rPr>
            <w:rStyle w:val="Hyperlink"/>
          </w:rPr>
          <w:t>Is my product a therapeutic good?</w:t>
        </w:r>
      </w:hyperlink>
      <w:r w:rsidRPr="002167E0">
        <w:t xml:space="preserve"> </w:t>
      </w:r>
      <w:r>
        <w:t>will help you i</w:t>
      </w:r>
      <w:r w:rsidRPr="002167E0">
        <w:t xml:space="preserve">dentify whether </w:t>
      </w:r>
      <w:r>
        <w:t>your</w:t>
      </w:r>
      <w:r w:rsidRPr="002167E0">
        <w:t xml:space="preserve"> product is a therapeutic good, and if so, the type of therapeutic good that it is likely to be</w:t>
      </w:r>
      <w:r>
        <w:t xml:space="preserve">. </w:t>
      </w:r>
      <w:r w:rsidRPr="00D135FB">
        <w:t xml:space="preserve">Some examples </w:t>
      </w:r>
      <w:r>
        <w:t xml:space="preserve">of goods at the medicine interface </w:t>
      </w:r>
      <w:r w:rsidRPr="00D135FB">
        <w:t xml:space="preserve">are </w:t>
      </w:r>
      <w:r>
        <w:t>provided in Table A2.</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55465C" w:rsidRPr="00215D48" w:rsidTr="007004E8">
        <w:trPr>
          <w:trHeight w:val="727"/>
        </w:trPr>
        <w:tc>
          <w:tcPr>
            <w:tcW w:w="1276" w:type="dxa"/>
            <w:vAlign w:val="center"/>
          </w:tcPr>
          <w:p w:rsidR="0055465C" w:rsidRPr="00215D48" w:rsidRDefault="0055465C" w:rsidP="007004E8">
            <w:pPr>
              <w:spacing w:before="0"/>
              <w:rPr>
                <w:noProof/>
                <w:sz w:val="20"/>
                <w:lang w:eastAsia="en-AU"/>
              </w:rPr>
            </w:pPr>
            <w:r w:rsidRPr="00A264D0">
              <w:rPr>
                <w:noProof/>
                <w:lang w:eastAsia="en-AU"/>
              </w:rPr>
              <w:drawing>
                <wp:inline distT="0" distB="0" distL="0" distR="0" wp14:anchorId="75636591" wp14:editId="013C7087">
                  <wp:extent cx="487681" cy="487681"/>
                  <wp:effectExtent l="19050" t="0" r="7619" b="0"/>
                  <wp:docPr id="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55465C" w:rsidRDefault="0055465C" w:rsidP="007004E8">
            <w:pPr>
              <w:pStyle w:val="ListBullet"/>
              <w:numPr>
                <w:ilvl w:val="0"/>
                <w:numId w:val="0"/>
              </w:numPr>
            </w:pPr>
            <w:r w:rsidRPr="001D0444">
              <w:rPr>
                <w:b/>
              </w:rPr>
              <w:t>Important</w:t>
            </w:r>
            <w:r>
              <w:t>: It is the sponsor’s</w:t>
            </w:r>
            <w:r w:rsidRPr="00D135FB">
              <w:t xml:space="preserve"> responsibility to </w:t>
            </w:r>
            <w:r>
              <w:t>ensure</w:t>
            </w:r>
            <w:r w:rsidRPr="00D135FB">
              <w:t xml:space="preserve"> </w:t>
            </w:r>
            <w:r>
              <w:t>their</w:t>
            </w:r>
            <w:r w:rsidRPr="00D135FB">
              <w:t xml:space="preserve"> medic</w:t>
            </w:r>
            <w:r>
              <w:t>ine</w:t>
            </w:r>
            <w:r w:rsidRPr="00D135FB">
              <w:t xml:space="preserve"> is correctly included in the ARTG. If you </w:t>
            </w:r>
            <w:r>
              <w:t>believe</w:t>
            </w:r>
            <w:r w:rsidRPr="00D135FB">
              <w:t xml:space="preserve"> your product is incorrectly included, you should request cancellation of the ARTG entry.</w:t>
            </w:r>
          </w:p>
          <w:p w:rsidR="0055465C" w:rsidRPr="006B6870" w:rsidRDefault="0055465C" w:rsidP="007004E8">
            <w:r>
              <w:t>The Secretary of the Australian Government Department of Health (through the TGA) can, under section 9F of the Act, remove a product from the ARTG if satisfied that the goods are not 'therapeutic goods' as defined in the Act.</w:t>
            </w:r>
          </w:p>
        </w:tc>
      </w:tr>
    </w:tbl>
    <w:p w:rsidR="00DC6794" w:rsidRDefault="00DC6794" w:rsidP="00975D42">
      <w:pPr>
        <w:pStyle w:val="TableTitle0"/>
        <w:pageBreakBefore/>
      </w:pPr>
      <w:r>
        <w:lastRenderedPageBreak/>
        <w:t>Table 2: Medicine interface</w:t>
      </w:r>
    </w:p>
    <w:tbl>
      <w:tblPr>
        <w:tblStyle w:val="TableTGAblue"/>
        <w:tblW w:w="9180" w:type="dxa"/>
        <w:tblLayout w:type="fixed"/>
        <w:tblLook w:val="04A0" w:firstRow="1" w:lastRow="0" w:firstColumn="1" w:lastColumn="0" w:noHBand="0" w:noVBand="1"/>
      </w:tblPr>
      <w:tblGrid>
        <w:gridCol w:w="1951"/>
        <w:gridCol w:w="4820"/>
        <w:gridCol w:w="2409"/>
      </w:tblGrid>
      <w:tr w:rsidR="00DC6794" w:rsidRPr="006F0B20" w:rsidTr="00700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tcPr>
          <w:p w:rsidR="00DC6794" w:rsidRPr="00580DCF" w:rsidRDefault="00DC6794" w:rsidP="007004E8">
            <w:r>
              <w:t>Medicine interface- t</w:t>
            </w:r>
            <w:r w:rsidRPr="00D352CD">
              <w:t>ypes of goods</w:t>
            </w:r>
          </w:p>
        </w:tc>
      </w:tr>
      <w:tr w:rsidR="00DC6794" w:rsidTr="007004E8">
        <w:tc>
          <w:tcPr>
            <w:cnfStyle w:val="001000000000" w:firstRow="0" w:lastRow="0" w:firstColumn="1" w:lastColumn="0" w:oddVBand="0" w:evenVBand="0" w:oddHBand="0" w:evenHBand="0" w:firstRowFirstColumn="0" w:firstRowLastColumn="0" w:lastRowFirstColumn="0" w:lastRowLastColumn="0"/>
            <w:tcW w:w="9180" w:type="dxa"/>
            <w:gridSpan w:val="3"/>
            <w:shd w:val="clear" w:color="auto" w:fill="C6D4E9"/>
          </w:tcPr>
          <w:p w:rsidR="00DC6794" w:rsidRPr="00580DCF" w:rsidRDefault="00DC6794" w:rsidP="007004E8">
            <w:pPr>
              <w:rPr>
                <w:b/>
              </w:rPr>
            </w:pPr>
            <w:r>
              <w:rPr>
                <w:b/>
              </w:rPr>
              <w:t>Goods r</w:t>
            </w:r>
            <w:r w:rsidRPr="00D352CD">
              <w:rPr>
                <w:b/>
              </w:rPr>
              <w:t>egulated as therapeutic goods</w:t>
            </w:r>
          </w:p>
        </w:tc>
      </w:tr>
      <w:tr w:rsidR="00DC6794" w:rsidTr="007004E8">
        <w:trPr>
          <w:cantSplit w:val="0"/>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tcPr>
          <w:p w:rsidR="00DC6794" w:rsidRPr="00223F28" w:rsidRDefault="00DC6794" w:rsidP="007004E8">
            <w:pPr>
              <w:spacing w:after="120"/>
              <w:rPr>
                <w:b/>
              </w:rPr>
            </w:pPr>
            <w:r w:rsidRPr="00223F28">
              <w:rPr>
                <w:b/>
              </w:rPr>
              <w:t>Complementary medicines</w:t>
            </w:r>
          </w:p>
        </w:tc>
        <w:tc>
          <w:tcPr>
            <w:tcW w:w="4820" w:type="dxa"/>
          </w:tcPr>
          <w:p w:rsidR="00DC6794" w:rsidRDefault="00DC6794" w:rsidP="007004E8">
            <w:pPr>
              <w:cnfStyle w:val="000000000000" w:firstRow="0" w:lastRow="0" w:firstColumn="0" w:lastColumn="0" w:oddVBand="0" w:evenVBand="0" w:oddHBand="0" w:evenHBand="0" w:firstRowFirstColumn="0" w:firstRowLastColumn="0" w:lastRowFirstColumn="0" w:lastRowLastColumn="0"/>
            </w:pPr>
            <w:r>
              <w:t xml:space="preserve">Products that meet the definition of a complementary medicine as per Part 1(2) of the </w:t>
            </w:r>
            <w:hyperlink r:id="rId47" w:history="1">
              <w:r w:rsidRPr="004E4F12">
                <w:rPr>
                  <w:rStyle w:val="Hyperlink"/>
                </w:rPr>
                <w:t>Regulations</w:t>
              </w:r>
            </w:hyperlink>
            <w:r>
              <w:t>.</w:t>
            </w:r>
          </w:p>
        </w:tc>
        <w:tc>
          <w:tcPr>
            <w:tcW w:w="2409" w:type="dxa"/>
          </w:tcPr>
          <w:p w:rsidR="00DC6794" w:rsidRPr="00590BDC" w:rsidRDefault="00DC6794" w:rsidP="007004E8">
            <w:pPr>
              <w:spacing w:after="120"/>
              <w:cnfStyle w:val="000000000000" w:firstRow="0" w:lastRow="0" w:firstColumn="0" w:lastColumn="0" w:oddVBand="0" w:evenVBand="0" w:oddHBand="0" w:evenHBand="0" w:firstRowFirstColumn="0" w:firstRowLastColumn="0" w:lastRowFirstColumn="0" w:lastRowLastColumn="0"/>
            </w:pPr>
            <w:r>
              <w:t xml:space="preserve">E.g. vitamins and </w:t>
            </w:r>
            <w:r w:rsidRPr="009B6467">
              <w:t>mineral</w:t>
            </w:r>
            <w:r>
              <w:t>s supplements</w:t>
            </w:r>
          </w:p>
        </w:tc>
      </w:tr>
      <w:tr w:rsidR="00DC6794" w:rsidTr="007004E8">
        <w:trPr>
          <w:cantSplit w:val="0"/>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tcPr>
          <w:p w:rsidR="00DC6794" w:rsidRPr="00223F28" w:rsidRDefault="00DC6794" w:rsidP="007004E8">
            <w:pPr>
              <w:rPr>
                <w:b/>
              </w:rPr>
            </w:pPr>
            <w:r w:rsidRPr="00223F28">
              <w:rPr>
                <w:b/>
              </w:rPr>
              <w:t>Medical devices</w:t>
            </w:r>
          </w:p>
        </w:tc>
        <w:tc>
          <w:tcPr>
            <w:tcW w:w="4820" w:type="dxa"/>
          </w:tcPr>
          <w:p w:rsidR="00DC6794" w:rsidRPr="00C1055D" w:rsidRDefault="00DC6794" w:rsidP="007004E8">
            <w:pPr>
              <w:cnfStyle w:val="000000000000" w:firstRow="0" w:lastRow="0" w:firstColumn="0" w:lastColumn="0" w:oddVBand="0" w:evenVBand="0" w:oddHBand="0" w:evenHBand="0" w:firstRowFirstColumn="0" w:firstRowLastColumn="0" w:lastRowFirstColumn="0" w:lastRowLastColumn="0"/>
            </w:pPr>
            <w:r>
              <w:t>Certain goods are considered to be medical devices. Refer to t</w:t>
            </w:r>
            <w:r w:rsidRPr="00B71D0B">
              <w:t xml:space="preserve">he </w:t>
            </w:r>
            <w:hyperlink r:id="rId48" w:history="1">
              <w:r w:rsidRPr="001F653B">
                <w:rPr>
                  <w:rStyle w:val="Hyperlink"/>
                </w:rPr>
                <w:t>Device-medicine boundary products</w:t>
              </w:r>
            </w:hyperlink>
            <w:r>
              <w:t>.</w:t>
            </w:r>
          </w:p>
        </w:tc>
        <w:tc>
          <w:tcPr>
            <w:tcW w:w="2409" w:type="dxa"/>
          </w:tcPr>
          <w:p w:rsidR="00DC6794" w:rsidRPr="001F653B" w:rsidRDefault="00DC6794" w:rsidP="007004E8">
            <w:pPr>
              <w:cnfStyle w:val="000000000000" w:firstRow="0" w:lastRow="0" w:firstColumn="0" w:lastColumn="0" w:oddVBand="0" w:evenVBand="0" w:oddHBand="0" w:evenHBand="0" w:firstRowFirstColumn="0" w:firstRowLastColumn="0" w:lastRowFirstColumn="0" w:lastRowLastColumn="0"/>
            </w:pPr>
            <w:r>
              <w:t>E.g. a</w:t>
            </w:r>
            <w:r w:rsidRPr="001F653B">
              <w:t xml:space="preserve"> medicine </w:t>
            </w:r>
            <w:r>
              <w:t>i</w:t>
            </w:r>
            <w:r w:rsidRPr="001F653B">
              <w:t>mpregnate</w:t>
            </w:r>
            <w:r>
              <w:t xml:space="preserve">d </w:t>
            </w:r>
            <w:r w:rsidRPr="001F653B">
              <w:t>dressing</w:t>
            </w:r>
            <w:r>
              <w:t xml:space="preserve">, </w:t>
            </w:r>
            <w:r w:rsidRPr="001F653B">
              <w:t>barrier protectants</w:t>
            </w:r>
          </w:p>
        </w:tc>
      </w:tr>
      <w:tr w:rsidR="00DC6794" w:rsidTr="007004E8">
        <w:trPr>
          <w:cantSplit w:val="0"/>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tcPr>
          <w:p w:rsidR="00DC6794" w:rsidRPr="00223F28" w:rsidRDefault="00DC6794" w:rsidP="007004E8">
            <w:pPr>
              <w:rPr>
                <w:b/>
              </w:rPr>
            </w:pPr>
            <w:r w:rsidRPr="00223F28">
              <w:rPr>
                <w:b/>
              </w:rPr>
              <w:t>Goods declared to be therapeutic goods</w:t>
            </w:r>
          </w:p>
        </w:tc>
        <w:tc>
          <w:tcPr>
            <w:tcW w:w="4820" w:type="dxa"/>
          </w:tcPr>
          <w:p w:rsidR="00DC6794" w:rsidRDefault="00DC6794" w:rsidP="007004E8">
            <w:pPr>
              <w:cnfStyle w:val="000000000000" w:firstRow="0" w:lastRow="0" w:firstColumn="0" w:lastColumn="0" w:oddVBand="0" w:evenVBand="0" w:oddHBand="0" w:evenHBand="0" w:firstRowFirstColumn="0" w:firstRowLastColumn="0" w:lastRowFirstColumn="0" w:lastRowLastColumn="0"/>
            </w:pPr>
            <w:r w:rsidRPr="00995F9A">
              <w:t xml:space="preserve">The Secretary </w:t>
            </w:r>
            <w:r>
              <w:t xml:space="preserve">has </w:t>
            </w:r>
            <w:r w:rsidRPr="00995F9A">
              <w:t>declare</w:t>
            </w:r>
            <w:r>
              <w:t>d</w:t>
            </w:r>
            <w:r w:rsidRPr="00995F9A">
              <w:t xml:space="preserve"> that particular goods or classes of goods </w:t>
            </w:r>
            <w:r w:rsidRPr="00820743">
              <w:rPr>
                <w:b/>
              </w:rPr>
              <w:t xml:space="preserve">are </w:t>
            </w:r>
            <w:r w:rsidRPr="002E598C">
              <w:t>therapeutic goods</w:t>
            </w:r>
            <w:r w:rsidRPr="00995F9A">
              <w:t xml:space="preserve">– refer to </w:t>
            </w:r>
            <w:hyperlink r:id="rId49" w:history="1">
              <w:r w:rsidRPr="00B450A1">
                <w:rPr>
                  <w:rStyle w:val="Hyperlink"/>
                </w:rPr>
                <w:t>Orders that Goods are Therapeutic Goods.</w:t>
              </w:r>
            </w:hyperlink>
          </w:p>
        </w:tc>
        <w:tc>
          <w:tcPr>
            <w:tcW w:w="2409" w:type="dxa"/>
          </w:tcPr>
          <w:p w:rsidR="00DC6794" w:rsidRDefault="00DC6794" w:rsidP="007004E8">
            <w:pPr>
              <w:cnfStyle w:val="000000000000" w:firstRow="0" w:lastRow="0" w:firstColumn="0" w:lastColumn="0" w:oddVBand="0" w:evenVBand="0" w:oddHBand="0" w:evenHBand="0" w:firstRowFirstColumn="0" w:firstRowLastColumn="0" w:lastRowFirstColumn="0" w:lastRowLastColumn="0"/>
            </w:pPr>
            <w:r>
              <w:t>E.g. p</w:t>
            </w:r>
            <w:r w:rsidRPr="00E52312">
              <w:t xml:space="preserve">roducts containing fibre </w:t>
            </w:r>
            <w:r>
              <w:t>in capsule, tablet or pill form</w:t>
            </w:r>
          </w:p>
        </w:tc>
      </w:tr>
      <w:tr w:rsidR="00DC6794" w:rsidTr="007004E8">
        <w:trPr>
          <w:cantSplit w:val="0"/>
          <w:trHeight w:val="668"/>
        </w:trPr>
        <w:tc>
          <w:tcPr>
            <w:cnfStyle w:val="001000000000" w:firstRow="0" w:lastRow="0" w:firstColumn="1" w:lastColumn="0" w:oddVBand="0" w:evenVBand="0" w:oddHBand="0" w:evenHBand="0" w:firstRowFirstColumn="0" w:firstRowLastColumn="0" w:lastRowFirstColumn="0" w:lastRowLastColumn="0"/>
            <w:tcW w:w="9180" w:type="dxa"/>
            <w:gridSpan w:val="3"/>
            <w:shd w:val="clear" w:color="auto" w:fill="C6D4E9"/>
          </w:tcPr>
          <w:p w:rsidR="00DC6794" w:rsidRPr="00D352CD" w:rsidRDefault="00DC6794" w:rsidP="007004E8">
            <w:pPr>
              <w:rPr>
                <w:b/>
              </w:rPr>
            </w:pPr>
            <w:r>
              <w:rPr>
                <w:b/>
              </w:rPr>
              <w:t>Goods n</w:t>
            </w:r>
            <w:r w:rsidRPr="00D352CD">
              <w:rPr>
                <w:b/>
              </w:rPr>
              <w:t>ot regulated as a therapeutic good</w:t>
            </w:r>
          </w:p>
        </w:tc>
      </w:tr>
      <w:tr w:rsidR="00DC6794" w:rsidTr="007004E8">
        <w:trPr>
          <w:cantSplit w:val="0"/>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tcPr>
          <w:p w:rsidR="00DC6794" w:rsidRPr="00223F28" w:rsidRDefault="00DC6794" w:rsidP="007004E8">
            <w:pPr>
              <w:rPr>
                <w:b/>
              </w:rPr>
            </w:pPr>
            <w:r w:rsidRPr="00223F28">
              <w:rPr>
                <w:b/>
              </w:rPr>
              <w:t>Foods</w:t>
            </w:r>
          </w:p>
        </w:tc>
        <w:tc>
          <w:tcPr>
            <w:tcW w:w="4820" w:type="dxa"/>
          </w:tcPr>
          <w:p w:rsidR="00DC6794" w:rsidRDefault="00DC6794" w:rsidP="007004E8">
            <w:pPr>
              <w:cnfStyle w:val="000000000000" w:firstRow="0" w:lastRow="0" w:firstColumn="0" w:lastColumn="0" w:oddVBand="0" w:evenVBand="0" w:oddHBand="0" w:evenHBand="0" w:firstRowFirstColumn="0" w:firstRowLastColumn="0" w:lastRowFirstColumn="0" w:lastRowLastColumn="0"/>
            </w:pPr>
            <w:r w:rsidRPr="00494916">
              <w:t xml:space="preserve">Refer to </w:t>
            </w:r>
            <w:hyperlink r:id="rId50" w:history="1">
              <w:r w:rsidRPr="00B450A1">
                <w:rPr>
                  <w:rStyle w:val="Hyperlink"/>
                </w:rPr>
                <w:t>Food and medicine regulation and Food-Medicine Interface Guidance Tool for information</w:t>
              </w:r>
            </w:hyperlink>
            <w:r w:rsidRPr="00494916">
              <w:t xml:space="preserve"> to help d</w:t>
            </w:r>
            <w:r>
              <w:t>etermine if a good is a food.</w:t>
            </w:r>
          </w:p>
        </w:tc>
        <w:tc>
          <w:tcPr>
            <w:tcW w:w="2409" w:type="dxa"/>
          </w:tcPr>
          <w:p w:rsidR="00DC6794" w:rsidRDefault="00DC6794" w:rsidP="007004E8">
            <w:pPr>
              <w:cnfStyle w:val="000000000000" w:firstRow="0" w:lastRow="0" w:firstColumn="0" w:lastColumn="0" w:oddVBand="0" w:evenVBand="0" w:oddHBand="0" w:evenHBand="0" w:firstRowFirstColumn="0" w:firstRowLastColumn="0" w:lastRowFirstColumn="0" w:lastRowLastColumn="0"/>
            </w:pPr>
            <w:r>
              <w:t>Energy drinks</w:t>
            </w:r>
          </w:p>
        </w:tc>
      </w:tr>
      <w:tr w:rsidR="00DC6794" w:rsidTr="007004E8">
        <w:trPr>
          <w:cantSplit w:val="0"/>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tcPr>
          <w:p w:rsidR="00DC6794" w:rsidRPr="00223F28" w:rsidRDefault="00DC6794" w:rsidP="007004E8">
            <w:pPr>
              <w:rPr>
                <w:b/>
              </w:rPr>
            </w:pPr>
            <w:r w:rsidRPr="00223F28">
              <w:rPr>
                <w:b/>
              </w:rPr>
              <w:t>Cosmetics</w:t>
            </w:r>
          </w:p>
        </w:tc>
        <w:tc>
          <w:tcPr>
            <w:tcW w:w="4820" w:type="dxa"/>
          </w:tcPr>
          <w:p w:rsidR="00DC6794" w:rsidRPr="00494916" w:rsidRDefault="00DC6794" w:rsidP="007004E8">
            <w:pPr>
              <w:cnfStyle w:val="000000000000" w:firstRow="0" w:lastRow="0" w:firstColumn="0" w:lastColumn="0" w:oddVBand="0" w:evenVBand="0" w:oddHBand="0" w:evenHBand="0" w:firstRowFirstColumn="0" w:firstRowLastColumn="0" w:lastRowFirstColumn="0" w:lastRowLastColumn="0"/>
            </w:pPr>
            <w:r w:rsidRPr="00494916">
              <w:t>Refer to</w:t>
            </w:r>
            <w:r>
              <w:t xml:space="preserve"> the </w:t>
            </w:r>
            <w:r w:rsidRPr="009E7836">
              <w:t>National Industrial Chemicals Notification and Assessment Scheme (NICNAS)</w:t>
            </w:r>
            <w:r>
              <w:rPr>
                <w:rStyle w:val="FootnoteReference"/>
              </w:rPr>
              <w:footnoteReference w:id="2"/>
            </w:r>
            <w:r>
              <w:t xml:space="preserve"> website: </w:t>
            </w:r>
            <w:hyperlink r:id="rId51" w:history="1">
              <w:r w:rsidRPr="004E4F12">
                <w:rPr>
                  <w:rStyle w:val="Hyperlink"/>
                </w:rPr>
                <w:t>Cosmetics and therapeutic goods</w:t>
              </w:r>
            </w:hyperlink>
            <w:r w:rsidRPr="00052518">
              <w:t xml:space="preserve"> to help determine if </w:t>
            </w:r>
            <w:r>
              <w:t>a</w:t>
            </w:r>
            <w:r w:rsidRPr="00052518">
              <w:t xml:space="preserve"> g</w:t>
            </w:r>
            <w:r>
              <w:t>ood is a cosmetic.</w:t>
            </w:r>
          </w:p>
        </w:tc>
        <w:tc>
          <w:tcPr>
            <w:tcW w:w="2409" w:type="dxa"/>
          </w:tcPr>
          <w:p w:rsidR="00DC6794" w:rsidRDefault="00DC6794" w:rsidP="007004E8">
            <w:pPr>
              <w:cnfStyle w:val="000000000000" w:firstRow="0" w:lastRow="0" w:firstColumn="0" w:lastColumn="0" w:oddVBand="0" w:evenVBand="0" w:oddHBand="0" w:evenHBand="0" w:firstRowFirstColumn="0" w:firstRowLastColumn="0" w:lastRowFirstColumn="0" w:lastRowLastColumn="0"/>
            </w:pPr>
            <w:r>
              <w:t>Hair dye</w:t>
            </w:r>
          </w:p>
        </w:tc>
      </w:tr>
      <w:tr w:rsidR="00DC6794" w:rsidTr="007004E8">
        <w:trPr>
          <w:cantSplit w:val="0"/>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tcPr>
          <w:p w:rsidR="00DC6794" w:rsidRPr="00223F28" w:rsidRDefault="00DC6794" w:rsidP="007004E8">
            <w:pPr>
              <w:rPr>
                <w:b/>
              </w:rPr>
            </w:pPr>
            <w:r w:rsidRPr="00223F28">
              <w:rPr>
                <w:b/>
              </w:rPr>
              <w:t>Excluded goods</w:t>
            </w:r>
          </w:p>
        </w:tc>
        <w:tc>
          <w:tcPr>
            <w:tcW w:w="4820" w:type="dxa"/>
          </w:tcPr>
          <w:p w:rsidR="00DC6794" w:rsidRDefault="00DC6794" w:rsidP="007004E8">
            <w:pPr>
              <w:cnfStyle w:val="000000000000" w:firstRow="0" w:lastRow="0" w:firstColumn="0" w:lastColumn="0" w:oddVBand="0" w:evenVBand="0" w:oddHBand="0" w:evenHBand="0" w:firstRowFirstColumn="0" w:firstRowLastColumn="0" w:lastRowFirstColumn="0" w:lastRowLastColumn="0"/>
            </w:pPr>
            <w:r w:rsidRPr="00995F9A">
              <w:t xml:space="preserve">The Secretary </w:t>
            </w:r>
            <w:r>
              <w:t xml:space="preserve">has </w:t>
            </w:r>
            <w:r w:rsidRPr="00995F9A">
              <w:t>declare</w:t>
            </w:r>
            <w:r>
              <w:t>d</w:t>
            </w:r>
            <w:r w:rsidRPr="00995F9A">
              <w:t xml:space="preserve"> that particular goods or classes of goods </w:t>
            </w:r>
            <w:r w:rsidRPr="00820743">
              <w:rPr>
                <w:b/>
              </w:rPr>
              <w:t xml:space="preserve">are </w:t>
            </w:r>
            <w:r>
              <w:rPr>
                <w:b/>
              </w:rPr>
              <w:t xml:space="preserve">not </w:t>
            </w:r>
            <w:r w:rsidRPr="002E598C">
              <w:t>therapeutic goods</w:t>
            </w:r>
            <w:r>
              <w:t>.</w:t>
            </w:r>
            <w:r w:rsidRPr="00820743">
              <w:rPr>
                <w:b/>
              </w:rPr>
              <w:t xml:space="preserve"> </w:t>
            </w:r>
            <w:r>
              <w:t xml:space="preserve">For the list of excluded goods, refer to: </w:t>
            </w:r>
            <w:hyperlink r:id="rId52" w:history="1">
              <w:r w:rsidRPr="002167E0">
                <w:rPr>
                  <w:rStyle w:val="Hyperlink"/>
                </w:rPr>
                <w:t>Excluded goods orders</w:t>
              </w:r>
            </w:hyperlink>
            <w:r>
              <w:t>.</w:t>
            </w:r>
          </w:p>
        </w:tc>
        <w:tc>
          <w:tcPr>
            <w:tcW w:w="2409" w:type="dxa"/>
          </w:tcPr>
          <w:p w:rsidR="00DC6794" w:rsidRPr="00C1055D" w:rsidRDefault="00DC6794" w:rsidP="007004E8">
            <w:pPr>
              <w:cnfStyle w:val="000000000000" w:firstRow="0" w:lastRow="0" w:firstColumn="0" w:lastColumn="0" w:oddVBand="0" w:evenVBand="0" w:oddHBand="0" w:evenHBand="0" w:firstRowFirstColumn="0" w:firstRowLastColumn="0" w:lastRowFirstColumn="0" w:lastRowLastColumn="0"/>
            </w:pPr>
            <w:r>
              <w:t>Tinted bases</w:t>
            </w:r>
          </w:p>
        </w:tc>
      </w:tr>
    </w:tbl>
    <w:p w:rsidR="00DC6794" w:rsidRPr="00C12331" w:rsidRDefault="00DC6794" w:rsidP="00DC6794">
      <w:pPr>
        <w:pStyle w:val="Heading4"/>
        <w:pageBreakBefore/>
      </w:pPr>
      <w:bookmarkStart w:id="20" w:name="_Toc9960882"/>
      <w:bookmarkStart w:id="21" w:name="_Toc77521698"/>
      <w:r w:rsidRPr="00C12331">
        <w:lastRenderedPageBreak/>
        <w:t>Types of ingredients in listed medicines</w:t>
      </w:r>
      <w:bookmarkEnd w:id="20"/>
      <w:r>
        <w:t xml:space="preserve"> and registered complementary medicines</w:t>
      </w:r>
      <w:bookmarkEnd w:id="21"/>
    </w:p>
    <w:p w:rsidR="00DC6794" w:rsidRPr="00BB4781" w:rsidRDefault="00DC6794" w:rsidP="00DC6794">
      <w:pPr>
        <w:keepNext/>
        <w:spacing w:before="180"/>
        <w:rPr>
          <w:b/>
          <w:sz w:val="20"/>
          <w:szCs w:val="22"/>
        </w:rPr>
      </w:pPr>
      <w:r>
        <w:t xml:space="preserve">Table 3 lists the different ingredient types/roles for ingredients included in listed and registered medicines. </w:t>
      </w:r>
      <w:r w:rsidRPr="00CD1DE6">
        <w:t xml:space="preserve">Table 4 </w:t>
      </w:r>
      <w:r>
        <w:t>provides i</w:t>
      </w:r>
      <w:r w:rsidRPr="00CD1DE6">
        <w:t>nformation on specific types of substances/ingredients in listed medicines and registered complementary medicines</w:t>
      </w:r>
      <w:r>
        <w:t>.</w:t>
      </w:r>
    </w:p>
    <w:p w:rsidR="00DC6794" w:rsidRPr="00C12331" w:rsidRDefault="00DC6794" w:rsidP="00DC6794">
      <w:pPr>
        <w:keepNext/>
        <w:spacing w:before="180"/>
        <w:rPr>
          <w:b/>
          <w:sz w:val="20"/>
          <w:szCs w:val="22"/>
        </w:rPr>
      </w:pPr>
      <w:r w:rsidRPr="00C12331">
        <w:rPr>
          <w:b/>
          <w:sz w:val="20"/>
          <w:szCs w:val="22"/>
        </w:rPr>
        <w:t xml:space="preserve">Table </w:t>
      </w:r>
      <w:r>
        <w:rPr>
          <w:b/>
          <w:sz w:val="20"/>
          <w:szCs w:val="22"/>
        </w:rPr>
        <w:t>3</w:t>
      </w:r>
      <w:r w:rsidRPr="00C12331">
        <w:rPr>
          <w:b/>
          <w:sz w:val="20"/>
          <w:szCs w:val="22"/>
        </w:rPr>
        <w:t xml:space="preserve"> Types of ingredients in listed medicines</w:t>
      </w:r>
      <w:r>
        <w:rPr>
          <w:b/>
          <w:sz w:val="20"/>
          <w:szCs w:val="22"/>
        </w:rPr>
        <w:t xml:space="preserve"> and registered complementary medicines</w:t>
      </w:r>
    </w:p>
    <w:tbl>
      <w:tblPr>
        <w:tblW w:w="9320" w:type="dxa"/>
        <w:tblInd w:w="-34" w:type="dxa"/>
        <w:tblLayout w:type="fixed"/>
        <w:tblLook w:val="04A0" w:firstRow="1" w:lastRow="0" w:firstColumn="1" w:lastColumn="0" w:noHBand="0" w:noVBand="1"/>
      </w:tblPr>
      <w:tblGrid>
        <w:gridCol w:w="34"/>
        <w:gridCol w:w="1951"/>
        <w:gridCol w:w="7335"/>
      </w:tblGrid>
      <w:tr w:rsidR="00DC6794" w:rsidRPr="00C12331" w:rsidTr="007004E8">
        <w:trPr>
          <w:tblHeader/>
        </w:trPr>
        <w:tc>
          <w:tcPr>
            <w:tcW w:w="1985" w:type="dxa"/>
            <w:gridSpan w:val="2"/>
            <w:tcBorders>
              <w:bottom w:val="single" w:sz="4" w:space="0" w:color="auto"/>
            </w:tcBorders>
            <w:shd w:val="clear" w:color="auto" w:fill="0070B5" w:themeFill="text2" w:themeFillTint="BF"/>
          </w:tcPr>
          <w:p w:rsidR="00DC6794" w:rsidRPr="00C12331" w:rsidRDefault="00DC6794" w:rsidP="007004E8">
            <w:pPr>
              <w:keepNext/>
              <w:rPr>
                <w:b/>
                <w:color w:val="FFFFFF"/>
                <w:szCs w:val="21"/>
              </w:rPr>
            </w:pPr>
            <w:r w:rsidRPr="00C12331">
              <w:rPr>
                <w:b/>
                <w:color w:val="FFFFFF"/>
                <w:szCs w:val="21"/>
              </w:rPr>
              <w:t>Ingredient type</w:t>
            </w:r>
          </w:p>
        </w:tc>
        <w:tc>
          <w:tcPr>
            <w:tcW w:w="7335" w:type="dxa"/>
            <w:tcBorders>
              <w:bottom w:val="single" w:sz="4" w:space="0" w:color="auto"/>
            </w:tcBorders>
            <w:shd w:val="clear" w:color="auto" w:fill="0070B5" w:themeFill="text2" w:themeFillTint="BF"/>
          </w:tcPr>
          <w:p w:rsidR="00DC6794" w:rsidRPr="00C12331" w:rsidRDefault="00DC6794" w:rsidP="007004E8">
            <w:pPr>
              <w:keepNext/>
              <w:rPr>
                <w:b/>
                <w:color w:val="FFFFFF"/>
                <w:szCs w:val="21"/>
              </w:rPr>
            </w:pPr>
            <w:r w:rsidRPr="00C12331">
              <w:rPr>
                <w:b/>
                <w:color w:val="FFFFFF"/>
                <w:szCs w:val="21"/>
              </w:rPr>
              <w:t>Explanation</w:t>
            </w:r>
          </w:p>
        </w:tc>
      </w:tr>
      <w:tr w:rsidR="00DC6794" w:rsidRPr="00C12331" w:rsidTr="007004E8">
        <w:trPr>
          <w:gridBefore w:val="1"/>
          <w:wBefore w:w="34" w:type="dxa"/>
        </w:trPr>
        <w:tc>
          <w:tcPr>
            <w:tcW w:w="1951" w:type="dxa"/>
            <w:tcBorders>
              <w:top w:val="single" w:sz="4" w:space="0" w:color="auto"/>
              <w:left w:val="single" w:sz="4" w:space="0" w:color="auto"/>
              <w:bottom w:val="single" w:sz="4" w:space="0" w:color="auto"/>
              <w:right w:val="single" w:sz="4" w:space="0" w:color="auto"/>
            </w:tcBorders>
            <w:shd w:val="clear" w:color="auto" w:fill="DADDE0" w:themeFill="accent2" w:themeFillTint="66"/>
          </w:tcPr>
          <w:p w:rsidR="00DC6794" w:rsidRPr="00223F28" w:rsidRDefault="00DC6794" w:rsidP="007004E8">
            <w:pPr>
              <w:rPr>
                <w:b/>
                <w:color w:val="000000"/>
                <w:szCs w:val="21"/>
              </w:rPr>
            </w:pPr>
            <w:r w:rsidRPr="00D352CD">
              <w:rPr>
                <w:b/>
                <w:color w:val="000000"/>
                <w:szCs w:val="21"/>
              </w:rPr>
              <w:t>Active ingredients</w:t>
            </w:r>
          </w:p>
        </w:tc>
        <w:tc>
          <w:tcPr>
            <w:tcW w:w="7335" w:type="dxa"/>
            <w:tcBorders>
              <w:top w:val="single" w:sz="4" w:space="0" w:color="auto"/>
              <w:left w:val="single" w:sz="4" w:space="0" w:color="auto"/>
              <w:bottom w:val="single" w:sz="4" w:space="0" w:color="auto"/>
              <w:right w:val="single" w:sz="4" w:space="0" w:color="auto"/>
            </w:tcBorders>
          </w:tcPr>
          <w:p w:rsidR="00DC6794" w:rsidRPr="00C07B53" w:rsidRDefault="00DC6794" w:rsidP="007004E8">
            <w:pPr>
              <w:rPr>
                <w:color w:val="000000"/>
                <w:szCs w:val="21"/>
              </w:rPr>
            </w:pPr>
            <w:r w:rsidRPr="00C12331">
              <w:rPr>
                <w:color w:val="000000"/>
                <w:szCs w:val="21"/>
              </w:rPr>
              <w:t xml:space="preserve">Regulation 2 of the </w:t>
            </w:r>
            <w:hyperlink r:id="rId53" w:history="1">
              <w:r w:rsidRPr="009E7836">
                <w:rPr>
                  <w:rStyle w:val="Hyperlink"/>
                </w:rPr>
                <w:t>Regulations</w:t>
              </w:r>
            </w:hyperlink>
            <w:r w:rsidRPr="00C07B53">
              <w:rPr>
                <w:color w:val="000000"/>
                <w:szCs w:val="21"/>
              </w:rPr>
              <w:t xml:space="preserve"> </w:t>
            </w:r>
            <w:r>
              <w:rPr>
                <w:color w:val="000000"/>
                <w:szCs w:val="21"/>
              </w:rPr>
              <w:t xml:space="preserve">states that an active ingredient </w:t>
            </w:r>
            <w:r w:rsidRPr="00C07B53">
              <w:rPr>
                <w:color w:val="000000"/>
                <w:szCs w:val="21"/>
              </w:rPr>
              <w:t>for a medicine, means a therapeutically active component in the medicine’s final formulation that is responsible for its physiolo</w:t>
            </w:r>
            <w:r>
              <w:rPr>
                <w:color w:val="000000"/>
                <w:szCs w:val="21"/>
              </w:rPr>
              <w:t>gical or pharmacological action.</w:t>
            </w:r>
          </w:p>
        </w:tc>
      </w:tr>
      <w:tr w:rsidR="00DC6794" w:rsidRPr="00C12331" w:rsidTr="007004E8">
        <w:trPr>
          <w:gridBefore w:val="1"/>
          <w:wBefore w:w="34" w:type="dxa"/>
        </w:trPr>
        <w:tc>
          <w:tcPr>
            <w:tcW w:w="1951" w:type="dxa"/>
            <w:tcBorders>
              <w:top w:val="single" w:sz="4" w:space="0" w:color="auto"/>
              <w:left w:val="single" w:sz="4" w:space="0" w:color="auto"/>
              <w:bottom w:val="single" w:sz="4" w:space="0" w:color="auto"/>
              <w:right w:val="single" w:sz="4" w:space="0" w:color="auto"/>
            </w:tcBorders>
            <w:shd w:val="clear" w:color="auto" w:fill="DADDE0" w:themeFill="accent2" w:themeFillTint="66"/>
          </w:tcPr>
          <w:p w:rsidR="00DC6794" w:rsidRPr="00D352CD" w:rsidRDefault="00DC6794" w:rsidP="007004E8">
            <w:pPr>
              <w:rPr>
                <w:b/>
                <w:color w:val="000000"/>
                <w:szCs w:val="21"/>
              </w:rPr>
            </w:pPr>
            <w:r w:rsidRPr="00D352CD">
              <w:rPr>
                <w:b/>
                <w:color w:val="000000"/>
                <w:szCs w:val="21"/>
              </w:rPr>
              <w:t>Excipient ingredients</w:t>
            </w:r>
          </w:p>
        </w:tc>
        <w:tc>
          <w:tcPr>
            <w:tcW w:w="7335" w:type="dxa"/>
            <w:tcBorders>
              <w:top w:val="single" w:sz="4" w:space="0" w:color="auto"/>
              <w:left w:val="single" w:sz="4" w:space="0" w:color="auto"/>
              <w:bottom w:val="single" w:sz="4" w:space="0" w:color="auto"/>
              <w:right w:val="single" w:sz="4" w:space="0" w:color="auto"/>
            </w:tcBorders>
          </w:tcPr>
          <w:p w:rsidR="00DC6794" w:rsidRPr="00C12331" w:rsidRDefault="00DC6794" w:rsidP="007004E8">
            <w:pPr>
              <w:rPr>
                <w:color w:val="000000"/>
                <w:szCs w:val="21"/>
              </w:rPr>
            </w:pPr>
            <w:r w:rsidRPr="00C12331">
              <w:rPr>
                <w:color w:val="000000"/>
                <w:szCs w:val="21"/>
              </w:rPr>
              <w:t>An excipient ingredient is not therapeutically active and does not contribute to the physiological or pharmacological action within the medicine’s final formulation. Types of excipient ingredients include: a fragrance, flavour, preservative, printing ink, antioxidant</w:t>
            </w:r>
            <w:r>
              <w:t xml:space="preserve"> (protecting the formulation from oxidation)</w:t>
            </w:r>
            <w:r w:rsidRPr="00C12331">
              <w:rPr>
                <w:color w:val="000000"/>
                <w:szCs w:val="21"/>
              </w:rPr>
              <w:t>, coating, binding agent, filler or an anticaking agent.</w:t>
            </w:r>
          </w:p>
          <w:p w:rsidR="00DC6794" w:rsidRPr="00C12331" w:rsidRDefault="00DC6794" w:rsidP="007004E8">
            <w:pPr>
              <w:rPr>
                <w:color w:val="000000"/>
                <w:szCs w:val="21"/>
              </w:rPr>
            </w:pPr>
            <w:r w:rsidRPr="00C12331">
              <w:rPr>
                <w:color w:val="000000"/>
                <w:szCs w:val="21"/>
              </w:rPr>
              <w:t>Sponsors should ensure that the role of an excipient ingredient is appropriate and in an appropriate quantity for this purpose within the product formulation. Indications cannot be made for excipient ingredients.</w:t>
            </w:r>
          </w:p>
        </w:tc>
      </w:tr>
      <w:tr w:rsidR="00DC6794" w:rsidRPr="00C12331" w:rsidTr="007004E8">
        <w:trPr>
          <w:gridBefore w:val="1"/>
          <w:wBefore w:w="34" w:type="dxa"/>
        </w:trPr>
        <w:tc>
          <w:tcPr>
            <w:tcW w:w="1951" w:type="dxa"/>
            <w:tcBorders>
              <w:top w:val="single" w:sz="4" w:space="0" w:color="auto"/>
              <w:left w:val="single" w:sz="4" w:space="0" w:color="auto"/>
              <w:bottom w:val="single" w:sz="4" w:space="0" w:color="auto"/>
              <w:right w:val="single" w:sz="4" w:space="0" w:color="auto"/>
            </w:tcBorders>
            <w:shd w:val="clear" w:color="auto" w:fill="DADDE0" w:themeFill="accent2" w:themeFillTint="66"/>
          </w:tcPr>
          <w:p w:rsidR="00DC6794" w:rsidRPr="00D352CD" w:rsidRDefault="00DC6794" w:rsidP="007004E8">
            <w:pPr>
              <w:rPr>
                <w:b/>
                <w:color w:val="000000"/>
                <w:szCs w:val="21"/>
              </w:rPr>
            </w:pPr>
            <w:r w:rsidRPr="00D352CD">
              <w:rPr>
                <w:b/>
                <w:color w:val="000000"/>
                <w:szCs w:val="21"/>
              </w:rPr>
              <w:t>Active Herbal Extracts</w:t>
            </w:r>
          </w:p>
        </w:tc>
        <w:tc>
          <w:tcPr>
            <w:tcW w:w="7335" w:type="dxa"/>
            <w:tcBorders>
              <w:top w:val="single" w:sz="4" w:space="0" w:color="auto"/>
              <w:left w:val="single" w:sz="4" w:space="0" w:color="auto"/>
              <w:bottom w:val="single" w:sz="4" w:space="0" w:color="auto"/>
              <w:right w:val="single" w:sz="4" w:space="0" w:color="auto"/>
            </w:tcBorders>
          </w:tcPr>
          <w:p w:rsidR="00DC6794" w:rsidRDefault="00DC6794" w:rsidP="007004E8">
            <w:pPr>
              <w:rPr>
                <w:color w:val="000000"/>
                <w:szCs w:val="21"/>
              </w:rPr>
            </w:pPr>
            <w:r w:rsidRPr="00C12331">
              <w:rPr>
                <w:color w:val="000000"/>
                <w:szCs w:val="21"/>
              </w:rPr>
              <w:t>An ‘Active Herbal Extract’</w:t>
            </w:r>
            <w:r>
              <w:rPr>
                <w:color w:val="000000"/>
                <w:szCs w:val="21"/>
              </w:rPr>
              <w:t xml:space="preserve"> (AHE)</w:t>
            </w:r>
            <w:r w:rsidRPr="00C12331">
              <w:rPr>
                <w:color w:val="000000"/>
                <w:szCs w:val="21"/>
              </w:rPr>
              <w:t xml:space="preserve"> is a herbal extract or concentrate for which a supplier intends specific information on the extraction method, steps and/or solvent details, to remain confidential from sponsors who include the extract as an active ingredient in a medicine. </w:t>
            </w:r>
            <w:r w:rsidRPr="00406965">
              <w:rPr>
                <w:color w:val="000000"/>
                <w:szCs w:val="21"/>
              </w:rPr>
              <w:t xml:space="preserve">To be a permitted ingredient in listed medicines, the active ingredient must comply with the definition of a herbal substance (as defined in Regulation 2 of the </w:t>
            </w:r>
            <w:hyperlink r:id="rId54" w:history="1">
              <w:r w:rsidRPr="0050242B">
                <w:rPr>
                  <w:rStyle w:val="Hyperlink"/>
                </w:rPr>
                <w:t>Regulations</w:t>
              </w:r>
            </w:hyperlink>
            <w:r w:rsidRPr="00406965">
              <w:rPr>
                <w:color w:val="000000"/>
                <w:szCs w:val="21"/>
              </w:rPr>
              <w:t>).</w:t>
            </w:r>
          </w:p>
          <w:p w:rsidR="00DC6794" w:rsidRDefault="00DC6794" w:rsidP="007004E8">
            <w:pPr>
              <w:rPr>
                <w:color w:val="000000"/>
                <w:szCs w:val="21"/>
              </w:rPr>
            </w:pPr>
            <w:r w:rsidRPr="007406EB">
              <w:rPr>
                <w:color w:val="000000"/>
                <w:szCs w:val="21"/>
              </w:rPr>
              <w:t>In</w:t>
            </w:r>
            <w:r>
              <w:rPr>
                <w:color w:val="000000"/>
                <w:szCs w:val="21"/>
              </w:rPr>
              <w:t xml:space="preserve"> the past,</w:t>
            </w:r>
            <w:r w:rsidRPr="007406EB">
              <w:rPr>
                <w:color w:val="000000"/>
                <w:szCs w:val="21"/>
              </w:rPr>
              <w:t xml:space="preserve"> suppliers notified the TGA of details of </w:t>
            </w:r>
            <w:r>
              <w:rPr>
                <w:color w:val="000000"/>
                <w:szCs w:val="21"/>
              </w:rPr>
              <w:t>AHEs</w:t>
            </w:r>
            <w:r w:rsidRPr="007406EB">
              <w:rPr>
                <w:color w:val="000000"/>
                <w:szCs w:val="21"/>
              </w:rPr>
              <w:t xml:space="preserve"> and these were entered in the TGA Proprietary Ingredie</w:t>
            </w:r>
            <w:r>
              <w:rPr>
                <w:color w:val="000000"/>
                <w:szCs w:val="21"/>
              </w:rPr>
              <w:t>nt Table</w:t>
            </w:r>
            <w:r w:rsidRPr="007406EB">
              <w:rPr>
                <w:color w:val="000000"/>
                <w:szCs w:val="21"/>
              </w:rPr>
              <w:t xml:space="preserve">. </w:t>
            </w:r>
            <w:r>
              <w:rPr>
                <w:color w:val="000000"/>
                <w:szCs w:val="21"/>
              </w:rPr>
              <w:t xml:space="preserve">The TGA </w:t>
            </w:r>
            <w:r w:rsidRPr="007406EB">
              <w:rPr>
                <w:color w:val="000000"/>
                <w:szCs w:val="21"/>
              </w:rPr>
              <w:t xml:space="preserve">no longer issues proprietary ingredient numbers for </w:t>
            </w:r>
            <w:r>
              <w:rPr>
                <w:color w:val="000000"/>
                <w:szCs w:val="21"/>
              </w:rPr>
              <w:t xml:space="preserve">AHEs. </w:t>
            </w:r>
            <w:r w:rsidRPr="007406EB">
              <w:rPr>
                <w:color w:val="000000"/>
                <w:szCs w:val="21"/>
              </w:rPr>
              <w:t>Ingredient suppliers can still sell herbal extracts to sponsors</w:t>
            </w:r>
            <w:r>
              <w:rPr>
                <w:color w:val="000000"/>
                <w:szCs w:val="21"/>
              </w:rPr>
              <w:t xml:space="preserve"> for inclusion as ingredients in medicines</w:t>
            </w:r>
            <w:r w:rsidRPr="007406EB">
              <w:rPr>
                <w:color w:val="000000"/>
                <w:szCs w:val="21"/>
              </w:rPr>
              <w:t xml:space="preserve">, but </w:t>
            </w:r>
            <w:r>
              <w:rPr>
                <w:color w:val="000000"/>
                <w:szCs w:val="21"/>
              </w:rPr>
              <w:t>rather than selecting the AHE ingredient from the</w:t>
            </w:r>
            <w:r w:rsidRPr="007406EB">
              <w:rPr>
                <w:color w:val="000000"/>
                <w:szCs w:val="21"/>
              </w:rPr>
              <w:t xml:space="preserve"> Proprietary Ingredient Table</w:t>
            </w:r>
            <w:r>
              <w:rPr>
                <w:color w:val="000000"/>
                <w:szCs w:val="21"/>
              </w:rPr>
              <w:t>, s</w:t>
            </w:r>
            <w:r w:rsidRPr="007406EB">
              <w:rPr>
                <w:color w:val="000000"/>
                <w:szCs w:val="21"/>
              </w:rPr>
              <w:t xml:space="preserve">ponsors </w:t>
            </w:r>
            <w:r>
              <w:rPr>
                <w:color w:val="000000"/>
                <w:szCs w:val="21"/>
              </w:rPr>
              <w:t>will need to</w:t>
            </w:r>
            <w:r w:rsidRPr="007406EB">
              <w:rPr>
                <w:color w:val="000000"/>
                <w:szCs w:val="21"/>
              </w:rPr>
              <w:t xml:space="preserve"> select the individual ingredients in their application at the same time as they enter the rest of their </w:t>
            </w:r>
            <w:r w:rsidR="00CC2380">
              <w:rPr>
                <w:color w:val="000000"/>
                <w:szCs w:val="21"/>
              </w:rPr>
              <w:t>medicines’ formulation details.</w:t>
            </w:r>
          </w:p>
          <w:p w:rsidR="00DC6794" w:rsidRDefault="00DC6794" w:rsidP="007004E8">
            <w:pPr>
              <w:rPr>
                <w:color w:val="000000"/>
                <w:szCs w:val="21"/>
              </w:rPr>
            </w:pPr>
            <w:r>
              <w:rPr>
                <w:color w:val="000000"/>
                <w:szCs w:val="21"/>
              </w:rPr>
              <w:t>Note that s</w:t>
            </w:r>
            <w:r w:rsidRPr="007406EB">
              <w:rPr>
                <w:color w:val="000000"/>
                <w:szCs w:val="21"/>
              </w:rPr>
              <w:t xml:space="preserve">ome </w:t>
            </w:r>
            <w:r>
              <w:rPr>
                <w:color w:val="000000"/>
                <w:szCs w:val="21"/>
              </w:rPr>
              <w:t>existing AHEs</w:t>
            </w:r>
            <w:r w:rsidRPr="007406EB">
              <w:rPr>
                <w:color w:val="000000"/>
                <w:szCs w:val="21"/>
              </w:rPr>
              <w:t xml:space="preserve"> </w:t>
            </w:r>
            <w:r>
              <w:rPr>
                <w:color w:val="000000"/>
                <w:szCs w:val="21"/>
              </w:rPr>
              <w:t xml:space="preserve">(that were included in existing medicines)still </w:t>
            </w:r>
            <w:r w:rsidRPr="007406EB">
              <w:rPr>
                <w:color w:val="000000"/>
                <w:szCs w:val="21"/>
              </w:rPr>
              <w:t xml:space="preserve">remain visible in the Proprietary Ingredient Table </w:t>
            </w:r>
            <w:r>
              <w:rPr>
                <w:color w:val="000000"/>
                <w:szCs w:val="21"/>
              </w:rPr>
              <w:t>and are able to</w:t>
            </w:r>
            <w:r w:rsidRPr="007406EB">
              <w:rPr>
                <w:color w:val="000000"/>
                <w:szCs w:val="21"/>
              </w:rPr>
              <w:t xml:space="preserve"> be selected in applications for listed medicines.</w:t>
            </w:r>
            <w:r>
              <w:rPr>
                <w:color w:val="000000"/>
                <w:szCs w:val="21"/>
              </w:rPr>
              <w:t xml:space="preserve"> </w:t>
            </w:r>
            <w:r w:rsidRPr="007406EB">
              <w:rPr>
                <w:color w:val="000000"/>
                <w:szCs w:val="21"/>
              </w:rPr>
              <w:t xml:space="preserve">Sponsors with existing </w:t>
            </w:r>
            <w:r>
              <w:rPr>
                <w:color w:val="000000"/>
                <w:szCs w:val="21"/>
              </w:rPr>
              <w:t>AHEs</w:t>
            </w:r>
            <w:r w:rsidRPr="007406EB">
              <w:rPr>
                <w:color w:val="000000"/>
                <w:szCs w:val="21"/>
              </w:rPr>
              <w:t xml:space="preserve"> in their medicines’ formulation can </w:t>
            </w:r>
            <w:r>
              <w:rPr>
                <w:color w:val="000000"/>
                <w:szCs w:val="21"/>
              </w:rPr>
              <w:t xml:space="preserve">choose to </w:t>
            </w:r>
            <w:r w:rsidRPr="007406EB">
              <w:rPr>
                <w:color w:val="000000"/>
                <w:szCs w:val="21"/>
              </w:rPr>
              <w:t>voluntarily update their ARTG entr</w:t>
            </w:r>
            <w:r>
              <w:rPr>
                <w:color w:val="000000"/>
                <w:szCs w:val="21"/>
              </w:rPr>
              <w:t>y</w:t>
            </w:r>
            <w:r w:rsidRPr="007406EB">
              <w:rPr>
                <w:color w:val="000000"/>
                <w:szCs w:val="21"/>
              </w:rPr>
              <w:t xml:space="preserve"> to specify the constituent ingredients in the formulation </w:t>
            </w:r>
            <w:r>
              <w:rPr>
                <w:color w:val="000000"/>
                <w:szCs w:val="21"/>
              </w:rPr>
              <w:t>(</w:t>
            </w:r>
            <w:r w:rsidRPr="007406EB">
              <w:rPr>
                <w:color w:val="000000"/>
                <w:szCs w:val="21"/>
              </w:rPr>
              <w:t xml:space="preserve">instead of the </w:t>
            </w:r>
            <w:r>
              <w:rPr>
                <w:color w:val="000000"/>
                <w:szCs w:val="21"/>
              </w:rPr>
              <w:t xml:space="preserve">AHE name and identification number) </w:t>
            </w:r>
            <w:r w:rsidRPr="007406EB">
              <w:rPr>
                <w:color w:val="000000"/>
                <w:szCs w:val="21"/>
              </w:rPr>
              <w:t xml:space="preserve">by making a correction to their </w:t>
            </w:r>
            <w:r>
              <w:rPr>
                <w:color w:val="000000"/>
                <w:szCs w:val="21"/>
              </w:rPr>
              <w:t xml:space="preserve">ARTG </w:t>
            </w:r>
            <w:r w:rsidRPr="007406EB">
              <w:rPr>
                <w:color w:val="000000"/>
                <w:szCs w:val="21"/>
              </w:rPr>
              <w:t>entry. Standard fees and processes apply.</w:t>
            </w:r>
          </w:p>
          <w:p w:rsidR="00DC6794" w:rsidRPr="00C12331" w:rsidRDefault="00DC6794" w:rsidP="007004E8">
            <w:pPr>
              <w:rPr>
                <w:color w:val="000000"/>
                <w:szCs w:val="21"/>
              </w:rPr>
            </w:pPr>
            <w:r w:rsidRPr="004D3916">
              <w:rPr>
                <w:color w:val="000000"/>
                <w:szCs w:val="21"/>
              </w:rPr>
              <w:t xml:space="preserve">For more information see </w:t>
            </w:r>
            <w:hyperlink r:id="rId55" w:history="1">
              <w:r w:rsidRPr="00B75B6D">
                <w:rPr>
                  <w:rStyle w:val="Hyperlink"/>
                </w:rPr>
                <w:t>Streamlining proprietary ingredient categories</w:t>
              </w:r>
            </w:hyperlink>
            <w:r w:rsidRPr="00B75B6D">
              <w:rPr>
                <w:rStyle w:val="Hyperlink"/>
                <w:u w:val="none"/>
              </w:rPr>
              <w:t>.</w:t>
            </w:r>
          </w:p>
        </w:tc>
      </w:tr>
      <w:tr w:rsidR="00DC6794" w:rsidRPr="00C12331" w:rsidTr="007004E8">
        <w:trPr>
          <w:gridBefore w:val="1"/>
          <w:wBefore w:w="34" w:type="dxa"/>
        </w:trPr>
        <w:tc>
          <w:tcPr>
            <w:tcW w:w="1951" w:type="dxa"/>
            <w:tcBorders>
              <w:top w:val="single" w:sz="4" w:space="0" w:color="auto"/>
              <w:left w:val="single" w:sz="4" w:space="0" w:color="auto"/>
              <w:bottom w:val="single" w:sz="4" w:space="0" w:color="auto"/>
              <w:right w:val="single" w:sz="4" w:space="0" w:color="auto"/>
            </w:tcBorders>
            <w:shd w:val="clear" w:color="auto" w:fill="DADDE0" w:themeFill="accent2" w:themeFillTint="66"/>
          </w:tcPr>
          <w:p w:rsidR="00DC6794" w:rsidRPr="00D352CD" w:rsidRDefault="00DC6794" w:rsidP="007004E8">
            <w:pPr>
              <w:rPr>
                <w:b/>
                <w:color w:val="000000"/>
                <w:szCs w:val="21"/>
              </w:rPr>
            </w:pPr>
            <w:r w:rsidRPr="00D352CD">
              <w:rPr>
                <w:b/>
                <w:color w:val="000000"/>
                <w:szCs w:val="21"/>
              </w:rPr>
              <w:lastRenderedPageBreak/>
              <w:t>Proprietary ingredients</w:t>
            </w:r>
          </w:p>
        </w:tc>
        <w:tc>
          <w:tcPr>
            <w:tcW w:w="7335" w:type="dxa"/>
            <w:tcBorders>
              <w:top w:val="single" w:sz="4" w:space="0" w:color="auto"/>
              <w:left w:val="single" w:sz="4" w:space="0" w:color="auto"/>
              <w:bottom w:val="single" w:sz="4" w:space="0" w:color="auto"/>
              <w:right w:val="single" w:sz="4" w:space="0" w:color="auto"/>
            </w:tcBorders>
          </w:tcPr>
          <w:p w:rsidR="00DC6794" w:rsidRPr="00311439" w:rsidRDefault="00DC6794" w:rsidP="007004E8">
            <w:pPr>
              <w:rPr>
                <w:szCs w:val="21"/>
              </w:rPr>
            </w:pPr>
            <w:r w:rsidRPr="00311439">
              <w:rPr>
                <w:szCs w:val="21"/>
              </w:rPr>
              <w:t xml:space="preserve">Proprietary ingredients consisting of </w:t>
            </w:r>
            <w:r w:rsidRPr="00311439">
              <w:rPr>
                <w:b/>
                <w:szCs w:val="21"/>
              </w:rPr>
              <w:t xml:space="preserve">excipient </w:t>
            </w:r>
            <w:r w:rsidRPr="00311439">
              <w:rPr>
                <w:szCs w:val="21"/>
              </w:rPr>
              <w:t xml:space="preserve">formulations include fragrances, flavours, colouring ingredients, trans-dermal patch adhesives and printing inks. Proprietary ingredients are entered in to the TGA Business System by the TGA following submission of a </w:t>
            </w:r>
            <w:hyperlink r:id="rId56" w:history="1">
              <w:r w:rsidRPr="00311439">
                <w:rPr>
                  <w:color w:val="0000FF"/>
                  <w:szCs w:val="21"/>
                  <w:u w:val="single"/>
                </w:rPr>
                <w:t>Notification of a new proprietary ingredient form</w:t>
              </w:r>
            </w:hyperlink>
            <w:r w:rsidRPr="00311439">
              <w:rPr>
                <w:color w:val="0000FF"/>
                <w:szCs w:val="21"/>
                <w:u w:val="single"/>
              </w:rPr>
              <w:t xml:space="preserve"> by the ingredient supplier</w:t>
            </w:r>
            <w:r w:rsidRPr="00311439">
              <w:rPr>
                <w:szCs w:val="21"/>
              </w:rPr>
              <w:t>. This allows for the capture of complex formulation details and other relevant information, and the provision of a unique name and number. Sponsors may select proprietary ingredients using the assigned ingredient ID number for use in their application for a listed or registered medicine.</w:t>
            </w:r>
            <w:r w:rsidRPr="00311439">
              <w:t xml:space="preserve"> </w:t>
            </w:r>
            <w:r w:rsidRPr="00311439">
              <w:rPr>
                <w:szCs w:val="21"/>
              </w:rPr>
              <w:t xml:space="preserve">If a proprietary ingredient is to be used in a listed medicine, all ingredients within the formulation must be included in the </w:t>
            </w:r>
            <w:hyperlink r:id="rId57" w:history="1">
              <w:r w:rsidRPr="00311439">
                <w:rPr>
                  <w:rStyle w:val="Hyperlink"/>
                </w:rPr>
                <w:t>Therapeutic Goods (Permissible Ingredients) Determination</w:t>
              </w:r>
            </w:hyperlink>
            <w:r w:rsidRPr="00311439">
              <w:rPr>
                <w:szCs w:val="21"/>
              </w:rPr>
              <w:t xml:space="preserve"> and meet the requirements of that Determination.</w:t>
            </w:r>
          </w:p>
          <w:p w:rsidR="00DC6794" w:rsidRPr="00311439" w:rsidRDefault="00DC6794" w:rsidP="007004E8">
            <w:pPr>
              <w:rPr>
                <w:szCs w:val="21"/>
              </w:rPr>
            </w:pPr>
            <w:r w:rsidRPr="00311439">
              <w:rPr>
                <w:szCs w:val="21"/>
              </w:rPr>
              <w:t>For further information on proprietary ingredients refer to:</w:t>
            </w:r>
          </w:p>
          <w:p w:rsidR="00DC6794" w:rsidRPr="00311439" w:rsidRDefault="00DC6794" w:rsidP="00311439">
            <w:pPr>
              <w:pStyle w:val="ListBullet"/>
              <w:rPr>
                <w:rStyle w:val="Hyperlink"/>
                <w:color w:val="auto"/>
                <w:lang w:eastAsia="en-AU"/>
              </w:rPr>
            </w:pPr>
            <w:r w:rsidRPr="00311439">
              <w:rPr>
                <w:rStyle w:val="Hyperlink"/>
              </w:rPr>
              <w:t>Products exempt from certain m</w:t>
            </w:r>
            <w:hyperlink w:anchor="_Products_exempt_from" w:history="1">
              <w:r w:rsidRPr="00311439">
                <w:rPr>
                  <w:rStyle w:val="Hyperlink"/>
                </w:rPr>
                <w:t>anufacturing requirements</w:t>
              </w:r>
            </w:hyperlink>
          </w:p>
          <w:p w:rsidR="00DC6794" w:rsidRPr="00311439" w:rsidRDefault="00DC6794" w:rsidP="00311439">
            <w:pPr>
              <w:pStyle w:val="ListBullet"/>
              <w:rPr>
                <w:rStyle w:val="Hyperlink"/>
                <w:color w:val="auto"/>
                <w:lang w:eastAsia="en-AU"/>
              </w:rPr>
            </w:pPr>
            <w:r w:rsidRPr="00311439">
              <w:t xml:space="preserve">‘Limits on proprietary ingredients’ in </w:t>
            </w:r>
            <w:hyperlink r:id="rId58" w:history="1">
              <w:r w:rsidRPr="00311439">
                <w:rPr>
                  <w:rStyle w:val="Hyperlink"/>
                </w:rPr>
                <w:t>Quality for listed medicines</w:t>
              </w:r>
            </w:hyperlink>
          </w:p>
          <w:p w:rsidR="00DC6794" w:rsidRPr="00311439" w:rsidRDefault="00E7294B" w:rsidP="00311439">
            <w:pPr>
              <w:pStyle w:val="ListBullet"/>
              <w:rPr>
                <w:szCs w:val="22"/>
                <w:u w:val="single"/>
                <w:lang w:eastAsia="en-AU"/>
              </w:rPr>
            </w:pPr>
            <w:hyperlink r:id="rId59" w:history="1">
              <w:r w:rsidR="00DC6794" w:rsidRPr="00311439">
                <w:rPr>
                  <w:rStyle w:val="Hyperlink"/>
                </w:rPr>
                <w:t>Supplier assessment, approval and qualification for listed and complementary medicines</w:t>
              </w:r>
            </w:hyperlink>
            <w:r w:rsidR="00DC6794" w:rsidRPr="00311439">
              <w:rPr>
                <w:rStyle w:val="Hyperlink"/>
                <w:color w:val="auto"/>
                <w:u w:val="none"/>
              </w:rPr>
              <w:t>.</w:t>
            </w:r>
          </w:p>
        </w:tc>
      </w:tr>
    </w:tbl>
    <w:p w:rsidR="00DC6794" w:rsidRPr="00BB4781" w:rsidRDefault="00DC6794" w:rsidP="00DC6794">
      <w:pPr>
        <w:keepNext/>
        <w:spacing w:before="180"/>
        <w:rPr>
          <w:b/>
          <w:sz w:val="20"/>
          <w:szCs w:val="22"/>
        </w:rPr>
      </w:pPr>
      <w:r>
        <w:rPr>
          <w:b/>
          <w:sz w:val="20"/>
          <w:szCs w:val="22"/>
        </w:rPr>
        <w:t>Table 4</w:t>
      </w:r>
      <w:r w:rsidRPr="00BB4781">
        <w:rPr>
          <w:b/>
          <w:sz w:val="20"/>
          <w:szCs w:val="22"/>
        </w:rPr>
        <w:t xml:space="preserve"> </w:t>
      </w:r>
      <w:r>
        <w:rPr>
          <w:b/>
          <w:sz w:val="20"/>
          <w:szCs w:val="22"/>
        </w:rPr>
        <w:t>Information on specific types of substances/</w:t>
      </w:r>
      <w:r w:rsidRPr="00BB4781">
        <w:rPr>
          <w:b/>
          <w:sz w:val="20"/>
          <w:szCs w:val="22"/>
        </w:rPr>
        <w:t>ingredients in listed medicines</w:t>
      </w:r>
      <w:r>
        <w:rPr>
          <w:b/>
          <w:sz w:val="20"/>
          <w:szCs w:val="22"/>
        </w:rPr>
        <w:t xml:space="preserve"> and registered complementary medicines</w:t>
      </w:r>
    </w:p>
    <w:tbl>
      <w:tblPr>
        <w:tblW w:w="9286" w:type="dxa"/>
        <w:tblLayout w:type="fixed"/>
        <w:tblLook w:val="04A0" w:firstRow="1" w:lastRow="0" w:firstColumn="1" w:lastColumn="0" w:noHBand="0" w:noVBand="1"/>
      </w:tblPr>
      <w:tblGrid>
        <w:gridCol w:w="1951"/>
        <w:gridCol w:w="7335"/>
      </w:tblGrid>
      <w:tr w:rsidR="0047115C" w:rsidRPr="00C12331" w:rsidTr="007004E8">
        <w:trPr>
          <w:tblHeader/>
        </w:trPr>
        <w:tc>
          <w:tcPr>
            <w:tcW w:w="1951" w:type="dxa"/>
            <w:tcBorders>
              <w:bottom w:val="single" w:sz="4" w:space="0" w:color="auto"/>
            </w:tcBorders>
            <w:shd w:val="clear" w:color="auto" w:fill="0070B5" w:themeFill="text2" w:themeFillTint="BF"/>
          </w:tcPr>
          <w:p w:rsidR="0047115C" w:rsidRPr="00C12331" w:rsidRDefault="0047115C" w:rsidP="007004E8">
            <w:pPr>
              <w:keepNext/>
              <w:rPr>
                <w:b/>
                <w:color w:val="FFFFFF"/>
                <w:szCs w:val="21"/>
              </w:rPr>
            </w:pPr>
            <w:r w:rsidRPr="00C12331">
              <w:rPr>
                <w:b/>
                <w:color w:val="FFFFFF"/>
                <w:szCs w:val="21"/>
              </w:rPr>
              <w:t>Ingredient type</w:t>
            </w:r>
          </w:p>
        </w:tc>
        <w:tc>
          <w:tcPr>
            <w:tcW w:w="7335" w:type="dxa"/>
            <w:tcBorders>
              <w:bottom w:val="single" w:sz="4" w:space="0" w:color="auto"/>
            </w:tcBorders>
            <w:shd w:val="clear" w:color="auto" w:fill="0070B5" w:themeFill="text2" w:themeFillTint="BF"/>
          </w:tcPr>
          <w:p w:rsidR="0047115C" w:rsidRPr="00C12331" w:rsidRDefault="0047115C" w:rsidP="007004E8">
            <w:pPr>
              <w:keepNext/>
              <w:rPr>
                <w:b/>
                <w:color w:val="FFFFFF"/>
                <w:szCs w:val="21"/>
              </w:rPr>
            </w:pPr>
            <w:r w:rsidRPr="00C12331">
              <w:rPr>
                <w:b/>
                <w:color w:val="FFFFFF"/>
                <w:szCs w:val="21"/>
              </w:rPr>
              <w:t>Explanation</w:t>
            </w:r>
          </w:p>
        </w:tc>
      </w:tr>
      <w:tr w:rsidR="0047115C" w:rsidRPr="00C12331" w:rsidTr="007004E8">
        <w:tc>
          <w:tcPr>
            <w:tcW w:w="1951" w:type="dxa"/>
            <w:tcBorders>
              <w:top w:val="single" w:sz="4" w:space="0" w:color="auto"/>
              <w:left w:val="single" w:sz="4" w:space="0" w:color="auto"/>
              <w:bottom w:val="single" w:sz="4" w:space="0" w:color="auto"/>
              <w:right w:val="single" w:sz="4" w:space="0" w:color="auto"/>
            </w:tcBorders>
            <w:shd w:val="clear" w:color="auto" w:fill="DADDE0" w:themeFill="accent2" w:themeFillTint="66"/>
          </w:tcPr>
          <w:p w:rsidR="0047115C" w:rsidRPr="00223F28" w:rsidRDefault="0047115C" w:rsidP="007004E8">
            <w:pPr>
              <w:rPr>
                <w:b/>
                <w:color w:val="000000"/>
                <w:szCs w:val="21"/>
              </w:rPr>
            </w:pPr>
            <w:r w:rsidRPr="00D352CD">
              <w:rPr>
                <w:b/>
                <w:color w:val="000000"/>
                <w:szCs w:val="21"/>
              </w:rPr>
              <w:t>Australian native and endangered species in complementary medicines</w:t>
            </w:r>
          </w:p>
        </w:tc>
        <w:tc>
          <w:tcPr>
            <w:tcW w:w="7335" w:type="dxa"/>
            <w:tcBorders>
              <w:top w:val="single" w:sz="4" w:space="0" w:color="auto"/>
              <w:left w:val="single" w:sz="4" w:space="0" w:color="auto"/>
              <w:bottom w:val="single" w:sz="4" w:space="0" w:color="auto"/>
              <w:right w:val="single" w:sz="4" w:space="0" w:color="auto"/>
            </w:tcBorders>
          </w:tcPr>
          <w:p w:rsidR="0047115C" w:rsidRPr="00C12331" w:rsidRDefault="0047115C" w:rsidP="007004E8">
            <w:pPr>
              <w:rPr>
                <w:color w:val="000000"/>
                <w:szCs w:val="21"/>
              </w:rPr>
            </w:pPr>
            <w:r w:rsidRPr="00C12331">
              <w:rPr>
                <w:color w:val="000000"/>
                <w:szCs w:val="21"/>
              </w:rPr>
              <w:t>For queries regarding the importation of restricted/endangered species and the general importation of plant material, please refer to the following authorities:</w:t>
            </w:r>
          </w:p>
          <w:p w:rsidR="0047115C" w:rsidRPr="0047115C" w:rsidRDefault="0047115C" w:rsidP="0047115C">
            <w:pPr>
              <w:pStyle w:val="ListBullet"/>
              <w:rPr>
                <w:rStyle w:val="Hyperlink"/>
                <w:color w:val="002C47" w:themeColor="text1"/>
              </w:rPr>
            </w:pPr>
            <w:r>
              <w:fldChar w:fldCharType="begin"/>
            </w:r>
            <w:r>
              <w:instrText xml:space="preserve"> HYPERLINK "https://www.environment.gov.au/biodiversity/threatened/species" </w:instrText>
            </w:r>
            <w:r>
              <w:fldChar w:fldCharType="separate"/>
            </w:r>
            <w:r w:rsidRPr="00CC60F0">
              <w:rPr>
                <w:rStyle w:val="Hyperlink"/>
              </w:rPr>
              <w:t>Department of Agriculture, Water and the Environment</w:t>
            </w:r>
          </w:p>
          <w:p w:rsidR="0047115C" w:rsidRPr="007F0084" w:rsidRDefault="0047115C" w:rsidP="0047115C">
            <w:pPr>
              <w:pStyle w:val="ListBullet"/>
              <w:rPr>
                <w:color w:val="000000"/>
                <w:szCs w:val="21"/>
              </w:rPr>
            </w:pPr>
            <w:r>
              <w:fldChar w:fldCharType="end"/>
            </w:r>
            <w:hyperlink r:id="rId60" w:history="1">
              <w:r w:rsidRPr="00C12331">
                <w:rPr>
                  <w:color w:val="0000FF"/>
                  <w:szCs w:val="21"/>
                  <w:u w:val="single"/>
                </w:rPr>
                <w:t>Department of Home Affairs</w:t>
              </w:r>
            </w:hyperlink>
          </w:p>
        </w:tc>
      </w:tr>
      <w:tr w:rsidR="0047115C" w:rsidRPr="00C12331" w:rsidTr="007004E8">
        <w:tc>
          <w:tcPr>
            <w:tcW w:w="1951" w:type="dxa"/>
            <w:tcBorders>
              <w:top w:val="single" w:sz="4" w:space="0" w:color="auto"/>
              <w:left w:val="single" w:sz="4" w:space="0" w:color="auto"/>
              <w:bottom w:val="single" w:sz="4" w:space="0" w:color="auto"/>
              <w:right w:val="single" w:sz="4" w:space="0" w:color="auto"/>
            </w:tcBorders>
            <w:shd w:val="clear" w:color="auto" w:fill="DADDE0" w:themeFill="accent2" w:themeFillTint="66"/>
          </w:tcPr>
          <w:p w:rsidR="0047115C" w:rsidRPr="00D352CD" w:rsidRDefault="0047115C" w:rsidP="007004E8">
            <w:pPr>
              <w:rPr>
                <w:b/>
                <w:color w:val="000000"/>
                <w:szCs w:val="21"/>
              </w:rPr>
            </w:pPr>
            <w:r w:rsidRPr="00D352CD">
              <w:rPr>
                <w:b/>
                <w:color w:val="000000"/>
                <w:szCs w:val="21"/>
              </w:rPr>
              <w:t xml:space="preserve">Genetically modified substances </w:t>
            </w:r>
          </w:p>
        </w:tc>
        <w:tc>
          <w:tcPr>
            <w:tcW w:w="7335" w:type="dxa"/>
            <w:tcBorders>
              <w:top w:val="single" w:sz="4" w:space="0" w:color="auto"/>
              <w:left w:val="single" w:sz="4" w:space="0" w:color="auto"/>
              <w:bottom w:val="single" w:sz="4" w:space="0" w:color="auto"/>
              <w:right w:val="single" w:sz="4" w:space="0" w:color="auto"/>
            </w:tcBorders>
          </w:tcPr>
          <w:p w:rsidR="0047115C" w:rsidRPr="00C12331" w:rsidRDefault="0047115C" w:rsidP="007004E8">
            <w:pPr>
              <w:rPr>
                <w:color w:val="000000"/>
                <w:szCs w:val="21"/>
              </w:rPr>
            </w:pPr>
            <w:r w:rsidRPr="00C12331">
              <w:rPr>
                <w:color w:val="000000"/>
                <w:szCs w:val="21"/>
              </w:rPr>
              <w:t>It is the responsibility of sponsors including genetically modified substances in their complementary medicine to ensure they comply with the provisi</w:t>
            </w:r>
            <w:r>
              <w:rPr>
                <w:color w:val="000000"/>
                <w:szCs w:val="21"/>
              </w:rPr>
              <w:t>ons of all relevant legislation -</w:t>
            </w:r>
            <w:r w:rsidRPr="00C12331">
              <w:rPr>
                <w:color w:val="000000"/>
                <w:szCs w:val="21"/>
              </w:rPr>
              <w:t xml:space="preserve">refer to the </w:t>
            </w:r>
            <w:hyperlink r:id="rId61" w:history="1">
              <w:r w:rsidRPr="00C12331">
                <w:rPr>
                  <w:color w:val="0000FF"/>
                  <w:szCs w:val="21"/>
                  <w:u w:val="single"/>
                </w:rPr>
                <w:t>Office of the Gene Technology Regulator</w:t>
              </w:r>
            </w:hyperlink>
            <w:r w:rsidRPr="00B75B6D">
              <w:rPr>
                <w:szCs w:val="21"/>
              </w:rPr>
              <w:t>.</w:t>
            </w:r>
          </w:p>
        </w:tc>
      </w:tr>
      <w:tr w:rsidR="0047115C" w:rsidRPr="00C12331" w:rsidTr="007004E8">
        <w:tc>
          <w:tcPr>
            <w:tcW w:w="1951" w:type="dxa"/>
            <w:tcBorders>
              <w:top w:val="single" w:sz="4" w:space="0" w:color="auto"/>
              <w:left w:val="single" w:sz="4" w:space="0" w:color="auto"/>
              <w:bottom w:val="single" w:sz="4" w:space="0" w:color="auto"/>
              <w:right w:val="single" w:sz="4" w:space="0" w:color="auto"/>
            </w:tcBorders>
            <w:shd w:val="clear" w:color="auto" w:fill="DADDE0" w:themeFill="accent2" w:themeFillTint="66"/>
          </w:tcPr>
          <w:p w:rsidR="0047115C" w:rsidRPr="00D352CD" w:rsidRDefault="0047115C" w:rsidP="007004E8">
            <w:pPr>
              <w:rPr>
                <w:b/>
                <w:color w:val="000000"/>
                <w:szCs w:val="21"/>
              </w:rPr>
            </w:pPr>
            <w:r w:rsidRPr="00D352CD">
              <w:rPr>
                <w:b/>
                <w:color w:val="000000"/>
                <w:szCs w:val="21"/>
              </w:rPr>
              <w:t>Ingredients of animal origin</w:t>
            </w:r>
          </w:p>
        </w:tc>
        <w:tc>
          <w:tcPr>
            <w:tcW w:w="7335" w:type="dxa"/>
            <w:tcBorders>
              <w:top w:val="single" w:sz="4" w:space="0" w:color="auto"/>
              <w:left w:val="single" w:sz="4" w:space="0" w:color="auto"/>
              <w:bottom w:val="single" w:sz="4" w:space="0" w:color="auto"/>
              <w:right w:val="single" w:sz="4" w:space="0" w:color="auto"/>
            </w:tcBorders>
          </w:tcPr>
          <w:p w:rsidR="0047115C" w:rsidRPr="00C12331" w:rsidRDefault="0047115C" w:rsidP="007004E8">
            <w:pPr>
              <w:rPr>
                <w:color w:val="000000"/>
                <w:szCs w:val="21"/>
              </w:rPr>
            </w:pPr>
            <w:r w:rsidRPr="00C12331">
              <w:rPr>
                <w:color w:val="000000"/>
                <w:szCs w:val="21"/>
              </w:rPr>
              <w:t xml:space="preserve">Ingredients derived from animal materials may present a safety risk to consumers, as they may contain certain viruses and/or agents capable of carrying Transmissible Spongiform Encephalopathies (TSEs). Information on the TGA’s approach to minimising the risks associated with ingredients of human or animal origin is available in </w:t>
            </w:r>
            <w:hyperlink r:id="rId62" w:history="1">
              <w:r w:rsidRPr="00C12331">
                <w:rPr>
                  <w:color w:val="0000FF"/>
                  <w:szCs w:val="21"/>
                  <w:u w:val="single"/>
                </w:rPr>
                <w:t>Guidance 10: Adventitious agent safety of medicines</w:t>
              </w:r>
            </w:hyperlink>
            <w:r w:rsidRPr="00C12331">
              <w:rPr>
                <w:color w:val="000000"/>
                <w:szCs w:val="21"/>
              </w:rPr>
              <w:t>.</w:t>
            </w:r>
          </w:p>
          <w:p w:rsidR="0047115C" w:rsidRPr="00C12331" w:rsidRDefault="0047115C" w:rsidP="007004E8">
            <w:pPr>
              <w:rPr>
                <w:color w:val="000000"/>
                <w:szCs w:val="21"/>
              </w:rPr>
            </w:pPr>
            <w:r w:rsidRPr="00C12331">
              <w:rPr>
                <w:color w:val="000000"/>
                <w:szCs w:val="21"/>
              </w:rPr>
              <w:t xml:space="preserve">There are some low risk materials that are eligible for self-assessment. The criteria for self-assessment are outlined in </w:t>
            </w:r>
            <w:hyperlink r:id="rId63" w:history="1">
              <w:r w:rsidRPr="00C12331">
                <w:rPr>
                  <w:color w:val="0000FF"/>
                  <w:szCs w:val="21"/>
                  <w:u w:val="single"/>
                </w:rPr>
                <w:t>Transmissible Spongiform Encephalopathies (TSE): TGA approach to minimising the risk of exposure</w:t>
              </w:r>
            </w:hyperlink>
            <w:r w:rsidRPr="00C12331">
              <w:rPr>
                <w:color w:val="000000"/>
                <w:szCs w:val="21"/>
              </w:rPr>
              <w:t>.</w:t>
            </w:r>
          </w:p>
          <w:p w:rsidR="0047115C" w:rsidRPr="00C12331" w:rsidRDefault="0047115C" w:rsidP="007004E8">
            <w:pPr>
              <w:rPr>
                <w:color w:val="000000"/>
                <w:szCs w:val="21"/>
              </w:rPr>
            </w:pPr>
            <w:r w:rsidRPr="00C12331">
              <w:rPr>
                <w:color w:val="000000"/>
                <w:szCs w:val="21"/>
              </w:rPr>
              <w:t xml:space="preserve">If the ingredient is not eligible for self-assessment, pre-clearance of animal derived ingredients should be sought from TGA before making a medicine </w:t>
            </w:r>
            <w:r w:rsidRPr="00C12331">
              <w:rPr>
                <w:color w:val="000000"/>
                <w:szCs w:val="21"/>
              </w:rPr>
              <w:lastRenderedPageBreak/>
              <w:t xml:space="preserve">application—refer to </w:t>
            </w:r>
            <w:hyperlink r:id="rId64" w:history="1">
              <w:r w:rsidRPr="00C12331">
                <w:rPr>
                  <w:color w:val="0000FF"/>
                  <w:szCs w:val="21"/>
                  <w:u w:val="single"/>
                </w:rPr>
                <w:t>Pre-clearance application for animal-derived ingredients</w:t>
              </w:r>
            </w:hyperlink>
            <w:r w:rsidRPr="00C12331">
              <w:rPr>
                <w:color w:val="000000"/>
                <w:szCs w:val="21"/>
              </w:rPr>
              <w:t>.</w:t>
            </w:r>
          </w:p>
        </w:tc>
      </w:tr>
      <w:tr w:rsidR="0047115C" w:rsidRPr="00C12331" w:rsidTr="007004E8">
        <w:tc>
          <w:tcPr>
            <w:tcW w:w="1951" w:type="dxa"/>
            <w:tcBorders>
              <w:top w:val="single" w:sz="4" w:space="0" w:color="auto"/>
              <w:left w:val="single" w:sz="4" w:space="0" w:color="auto"/>
              <w:bottom w:val="single" w:sz="4" w:space="0" w:color="auto"/>
              <w:right w:val="single" w:sz="4" w:space="0" w:color="auto"/>
            </w:tcBorders>
            <w:shd w:val="clear" w:color="auto" w:fill="DADDE0" w:themeFill="accent2" w:themeFillTint="66"/>
          </w:tcPr>
          <w:p w:rsidR="0047115C" w:rsidRPr="00D352CD" w:rsidRDefault="0047115C" w:rsidP="007004E8">
            <w:pPr>
              <w:rPr>
                <w:b/>
                <w:color w:val="000000"/>
                <w:szCs w:val="21"/>
              </w:rPr>
            </w:pPr>
            <w:r>
              <w:rPr>
                <w:b/>
                <w:color w:val="000000"/>
                <w:szCs w:val="21"/>
              </w:rPr>
              <w:lastRenderedPageBreak/>
              <w:t>Amino acid chelates</w:t>
            </w:r>
          </w:p>
        </w:tc>
        <w:tc>
          <w:tcPr>
            <w:tcW w:w="7335" w:type="dxa"/>
            <w:tcBorders>
              <w:top w:val="single" w:sz="4" w:space="0" w:color="auto"/>
              <w:left w:val="single" w:sz="4" w:space="0" w:color="auto"/>
              <w:bottom w:val="single" w:sz="4" w:space="0" w:color="auto"/>
              <w:right w:val="single" w:sz="4" w:space="0" w:color="auto"/>
            </w:tcBorders>
          </w:tcPr>
          <w:p w:rsidR="0047115C" w:rsidRPr="00BB4781" w:rsidRDefault="0047115C" w:rsidP="007004E8">
            <w:pPr>
              <w:rPr>
                <w:color w:val="000000"/>
                <w:szCs w:val="21"/>
              </w:rPr>
            </w:pPr>
            <w:r w:rsidRPr="00BB4781">
              <w:rPr>
                <w:color w:val="000000"/>
                <w:szCs w:val="21"/>
              </w:rPr>
              <w:t>The TGA defines a metal amino acid chelate as a complex consisting of a metal ion with one or more proteinogenic amino acid ligands bound to it in such a way that the metal ion is part of a ring within the molecule.</w:t>
            </w:r>
          </w:p>
          <w:p w:rsidR="0047115C" w:rsidRPr="00C12331" w:rsidRDefault="0047115C" w:rsidP="007004E8">
            <w:pPr>
              <w:rPr>
                <w:color w:val="000000"/>
                <w:szCs w:val="21"/>
              </w:rPr>
            </w:pPr>
            <w:r w:rsidRPr="00BB4781">
              <w:rPr>
                <w:color w:val="000000"/>
                <w:szCs w:val="21"/>
              </w:rPr>
              <w:t>Currently a number of metal amino acid chelates are included in the Permissible Ingredients Determination and are therefore eligible for inclusion in medicines listed on the ARTG</w:t>
            </w:r>
          </w:p>
        </w:tc>
      </w:tr>
    </w:tbl>
    <w:p w:rsidR="00D56287" w:rsidRPr="00C12331" w:rsidRDefault="00D56287" w:rsidP="00D56287">
      <w:pPr>
        <w:pStyle w:val="Heading4"/>
      </w:pPr>
      <w:bookmarkStart w:id="22" w:name="_Toc9960883"/>
      <w:bookmarkStart w:id="23" w:name="_Toc77521699"/>
      <w:r w:rsidRPr="00C12331">
        <w:t xml:space="preserve">Approved terminology for </w:t>
      </w:r>
      <w:r>
        <w:t xml:space="preserve">listed </w:t>
      </w:r>
      <w:r w:rsidRPr="00C12331">
        <w:t>medicines</w:t>
      </w:r>
      <w:bookmarkEnd w:id="22"/>
      <w:r>
        <w:t xml:space="preserve"> and registered complementary medicines</w:t>
      </w:r>
      <w:bookmarkEnd w:id="23"/>
    </w:p>
    <w:p w:rsidR="00D56287" w:rsidRDefault="00D56287" w:rsidP="00D56287">
      <w:bookmarkStart w:id="24" w:name="_Toc9960884"/>
      <w:r>
        <w:t>The TGA develops and maintains approved terminology to ensure accuracy and consistency of the information about medicines on the Australian Register of Therapeutic Goods (ARTG). These approved terms are to be used in:</w:t>
      </w:r>
    </w:p>
    <w:p w:rsidR="00D56287" w:rsidRPr="00D56287" w:rsidRDefault="00D56287" w:rsidP="00D56287">
      <w:pPr>
        <w:pStyle w:val="ListBullet"/>
      </w:pPr>
      <w:r w:rsidRPr="00D56287">
        <w:t>applications to register or list a medicine on the ARTG</w:t>
      </w:r>
    </w:p>
    <w:p w:rsidR="00D56287" w:rsidRPr="00D56287" w:rsidRDefault="00D56287" w:rsidP="00D56287">
      <w:pPr>
        <w:pStyle w:val="ListBullet"/>
      </w:pPr>
      <w:r w:rsidRPr="00D56287">
        <w:t>labels and packaging for medicines</w:t>
      </w:r>
    </w:p>
    <w:p w:rsidR="00D56287" w:rsidRPr="00D56287" w:rsidRDefault="00D56287" w:rsidP="00D56287">
      <w:pPr>
        <w:pStyle w:val="ListBullet"/>
      </w:pPr>
      <w:r w:rsidRPr="00D56287">
        <w:t>product information documents provided with medicines</w:t>
      </w:r>
    </w:p>
    <w:p w:rsidR="00D56287" w:rsidRDefault="00D56287" w:rsidP="00D56287">
      <w:pPr>
        <w:pStyle w:val="ListBullet"/>
      </w:pPr>
      <w:r w:rsidRPr="00D56287">
        <w:t>consumer medicine</w:t>
      </w:r>
      <w:r>
        <w:t xml:space="preserve"> information documents provided with medicines</w:t>
      </w:r>
    </w:p>
    <w:p w:rsidR="00D56287" w:rsidRPr="00C12331" w:rsidRDefault="00D56287" w:rsidP="00D56287">
      <w:pPr>
        <w:pStyle w:val="Heading5"/>
      </w:pPr>
      <w:r w:rsidRPr="00C12331">
        <w:t>Approved terminology for product characteristics</w:t>
      </w:r>
      <w:bookmarkEnd w:id="24"/>
    </w:p>
    <w:p w:rsidR="00D56287" w:rsidRPr="00C12331" w:rsidRDefault="00D56287" w:rsidP="00D56287">
      <w:r w:rsidRPr="009E4252">
        <w:t xml:space="preserve">Australian approved terms have been created to describe the way a medicine is presented to ensure consistency </w:t>
      </w:r>
      <w:r w:rsidRPr="00C12331">
        <w:t>in product applications and on medicine labels</w:t>
      </w:r>
      <w:r>
        <w:t xml:space="preserve">, for example </w:t>
      </w:r>
      <w:r w:rsidRPr="009E4252">
        <w:t>routes of administration, dosage forms</w:t>
      </w:r>
      <w:r>
        <w:t xml:space="preserve">. For more information see </w:t>
      </w:r>
      <w:hyperlink r:id="rId65" w:history="1">
        <w:r w:rsidRPr="009E4252">
          <w:rPr>
            <w:rStyle w:val="Hyperlink"/>
          </w:rPr>
          <w:t>Other terminology to describe medicines</w:t>
        </w:r>
      </w:hyperlink>
      <w:r>
        <w:t xml:space="preserve">. </w:t>
      </w:r>
      <w:r w:rsidRPr="0012144C">
        <w:t xml:space="preserve">These terms are located in the </w:t>
      </w:r>
      <w:hyperlink r:id="rId66" w:history="1">
        <w:r w:rsidRPr="00CC60F0">
          <w:rPr>
            <w:rStyle w:val="Hyperlink"/>
          </w:rPr>
          <w:t>Code Tables</w:t>
        </w:r>
      </w:hyperlink>
      <w:r w:rsidRPr="0012144C">
        <w:t xml:space="preserve"> on the </w:t>
      </w:r>
      <w:r w:rsidRPr="00CC60F0">
        <w:t>TBS website</w:t>
      </w:r>
      <w:r w:rsidRPr="0012144C">
        <w:t>.</w:t>
      </w:r>
    </w:p>
    <w:p w:rsidR="00D56287" w:rsidRPr="00C12331" w:rsidRDefault="00D56287" w:rsidP="00D56287">
      <w:pPr>
        <w:pStyle w:val="Heading5"/>
      </w:pPr>
      <w:bookmarkStart w:id="25" w:name="_Toc9960885"/>
      <w:r w:rsidRPr="00C12331">
        <w:t>Approved terminology for medicine ingredients</w:t>
      </w:r>
      <w:bookmarkEnd w:id="25"/>
    </w:p>
    <w:p w:rsidR="00D56287" w:rsidRDefault="00D56287" w:rsidP="00D56287">
      <w:r>
        <w:t>Ingredients are divided into three main categories:</w:t>
      </w:r>
    </w:p>
    <w:p w:rsidR="00D56287" w:rsidRPr="006303ED" w:rsidRDefault="00D56287" w:rsidP="006303ED">
      <w:pPr>
        <w:pStyle w:val="ListBullet"/>
      </w:pPr>
      <w:r w:rsidRPr="006303ED">
        <w:t>Chemical (including antibiotics)</w:t>
      </w:r>
    </w:p>
    <w:p w:rsidR="00D56287" w:rsidRPr="006303ED" w:rsidRDefault="00D56287" w:rsidP="006303ED">
      <w:pPr>
        <w:pStyle w:val="ListBullet"/>
      </w:pPr>
      <w:r w:rsidRPr="006303ED">
        <w:t>Biological (other than antibiotics) that are not derived from plants, algae, yeast or fungi</w:t>
      </w:r>
    </w:p>
    <w:p w:rsidR="00D56287" w:rsidRDefault="00D56287" w:rsidP="006303ED">
      <w:pPr>
        <w:pStyle w:val="ListBullet"/>
      </w:pPr>
      <w:r w:rsidRPr="006303ED">
        <w:t>Herbal</w:t>
      </w:r>
      <w:r>
        <w:t>, including herbal components of plant, algal, yeast or fungal origin</w:t>
      </w:r>
    </w:p>
    <w:p w:rsidR="009F1677" w:rsidRPr="00C12331" w:rsidRDefault="009F1677" w:rsidP="009F1677">
      <w:r w:rsidRPr="00C12331">
        <w:t xml:space="preserve">Guidance on Australian approved terminology is provided in the publication </w:t>
      </w:r>
      <w:hyperlink r:id="rId67" w:history="1">
        <w:r w:rsidRPr="00C12331">
          <w:rPr>
            <w:color w:val="0000FF"/>
            <w:u w:val="single"/>
          </w:rPr>
          <w:t>TGA approved terminology for medicines</w:t>
        </w:r>
      </w:hyperlink>
      <w:r w:rsidRPr="00C12331">
        <w:t xml:space="preserve">. Ingredient names included in the </w:t>
      </w:r>
      <w:hyperlink r:id="rId68" w:anchor="pi" w:history="1">
        <w:r w:rsidRPr="00C12331">
          <w:rPr>
            <w:color w:val="0000FF"/>
            <w:u w:val="single"/>
          </w:rPr>
          <w:t>Permissible Ingredients Determination</w:t>
        </w:r>
      </w:hyperlink>
      <w:r w:rsidRPr="00C12331">
        <w:rPr>
          <w:color w:val="0000FF"/>
          <w:u w:val="single"/>
        </w:rPr>
        <w:t xml:space="preserve"> </w:t>
      </w:r>
      <w:r w:rsidRPr="00C12331">
        <w:t xml:space="preserve">are consistent with </w:t>
      </w:r>
      <w:hyperlink r:id="rId69" w:history="1">
        <w:r w:rsidRPr="00C12331">
          <w:t>TGA approved terminology for medicines</w:t>
        </w:r>
      </w:hyperlink>
      <w:r w:rsidRPr="00C12331">
        <w:t>.</w:t>
      </w:r>
    </w:p>
    <w:p w:rsidR="009F1677" w:rsidRPr="00C12331" w:rsidRDefault="009F1677" w:rsidP="009F1677">
      <w:pPr>
        <w:pStyle w:val="Heading5"/>
      </w:pPr>
      <w:bookmarkStart w:id="26" w:name="_Toc9960886"/>
      <w:bookmarkStart w:id="27" w:name="_Toc9960887"/>
      <w:r w:rsidRPr="00C12331">
        <w:lastRenderedPageBreak/>
        <w:t>Applying for new Australian approved name</w:t>
      </w:r>
      <w:bookmarkEnd w:id="26"/>
    </w:p>
    <w:p w:rsidR="009F1677" w:rsidRPr="00C12331" w:rsidRDefault="009F1677" w:rsidP="009F1677">
      <w:pPr>
        <w:keepNext/>
        <w:keepLines/>
      </w:pPr>
      <w:r w:rsidRPr="00C12331">
        <w:t xml:space="preserve">When submitting an </w:t>
      </w:r>
      <w:r>
        <w:t>application for evaluation of a</w:t>
      </w:r>
      <w:r w:rsidRPr="00C12331">
        <w:t xml:space="preserve"> </w:t>
      </w:r>
      <w:r>
        <w:t xml:space="preserve">new </w:t>
      </w:r>
      <w:r w:rsidRPr="00C12331">
        <w:t xml:space="preserve">medicine substance (including a new substance in a proposed registered complementary medicine) that does not have an approved name, the applicant should submit a proposal for a new name with that application using the appropriate form—see </w:t>
      </w:r>
      <w:hyperlink r:id="rId70" w:anchor="forms" w:history="1">
        <w:r w:rsidRPr="00C12331">
          <w:rPr>
            <w:color w:val="0000FF"/>
            <w:u w:val="single"/>
          </w:rPr>
          <w:t>Application forms for proposing names</w:t>
        </w:r>
      </w:hyperlink>
      <w:r w:rsidRPr="00C12331">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F1677" w:rsidRPr="00C12331" w:rsidTr="007004E8">
        <w:tc>
          <w:tcPr>
            <w:tcW w:w="1276" w:type="dxa"/>
            <w:vAlign w:val="center"/>
          </w:tcPr>
          <w:p w:rsidR="009F1677" w:rsidRPr="00C12331" w:rsidRDefault="009F1677" w:rsidP="007004E8">
            <w:pPr>
              <w:spacing w:before="0"/>
              <w:rPr>
                <w:sz w:val="20"/>
              </w:rPr>
            </w:pPr>
            <w:r w:rsidRPr="00C12331">
              <w:rPr>
                <w:noProof/>
                <w:sz w:val="20"/>
                <w:lang w:eastAsia="en-AU"/>
              </w:rPr>
              <w:drawing>
                <wp:inline distT="0" distB="0" distL="0" distR="0" wp14:anchorId="196D6ACE" wp14:editId="15A71E81">
                  <wp:extent cx="487681" cy="487681"/>
                  <wp:effectExtent l="19050" t="0" r="7619" b="0"/>
                  <wp:docPr id="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9F1677" w:rsidRPr="00C12331" w:rsidRDefault="009F1677" w:rsidP="007004E8">
            <w:r w:rsidRPr="001D0444">
              <w:rPr>
                <w:b/>
              </w:rPr>
              <w:t>Important</w:t>
            </w:r>
            <w:r>
              <w:t xml:space="preserve">: </w:t>
            </w:r>
            <w:r w:rsidRPr="00C12331">
              <w:t>Note</w:t>
            </w:r>
            <w:r>
              <w:t xml:space="preserve"> that as</w:t>
            </w:r>
            <w:r w:rsidRPr="00C12331">
              <w:t xml:space="preserve">signment of a name does not imply any recommendation for the use of the substance or that the ingredient </w:t>
            </w:r>
            <w:r>
              <w:t xml:space="preserve">is </w:t>
            </w:r>
            <w:r w:rsidRPr="00C12331">
              <w:t>approved for use in therapeutic goods.</w:t>
            </w:r>
          </w:p>
        </w:tc>
      </w:tr>
    </w:tbl>
    <w:p w:rsidR="009F1677" w:rsidRPr="00C12331" w:rsidRDefault="009F1677" w:rsidP="009F1677">
      <w:pPr>
        <w:pStyle w:val="Heading5"/>
      </w:pPr>
      <w:r w:rsidRPr="00C12331">
        <w:t>TGA Business Services Ingredients Table</w:t>
      </w:r>
      <w:bookmarkEnd w:id="27"/>
    </w:p>
    <w:p w:rsidR="009F1677" w:rsidRPr="00C12331" w:rsidRDefault="009F1677" w:rsidP="009F1677">
      <w:r w:rsidRPr="00C12331">
        <w:t xml:space="preserve">The </w:t>
      </w:r>
      <w:hyperlink r:id="rId71" w:history="1">
        <w:r w:rsidRPr="000C44E1">
          <w:rPr>
            <w:rStyle w:val="Hyperlink"/>
          </w:rPr>
          <w:t>Ingredients Table</w:t>
        </w:r>
      </w:hyperlink>
      <w:r w:rsidRPr="00C12331">
        <w:t xml:space="preserve"> located on the TGA Business Services website is a searchable database of approved terminology for chemical, biological and</w:t>
      </w:r>
      <w:r w:rsidR="006303ED">
        <w:t xml:space="preserve"> herbal ingredients, including:</w:t>
      </w:r>
    </w:p>
    <w:p w:rsidR="009F1677" w:rsidRPr="00C12331" w:rsidRDefault="009F1677" w:rsidP="003157BD">
      <w:pPr>
        <w:pStyle w:val="ListBullet"/>
      </w:pPr>
      <w:r w:rsidRPr="00C12331">
        <w:t>active ingredients</w:t>
      </w:r>
    </w:p>
    <w:p w:rsidR="009F1677" w:rsidRPr="00C12331" w:rsidRDefault="009F1677" w:rsidP="003157BD">
      <w:pPr>
        <w:pStyle w:val="ListBullet"/>
      </w:pPr>
      <w:r w:rsidRPr="00C12331">
        <w:t>excipients</w:t>
      </w:r>
    </w:p>
    <w:p w:rsidR="009F1677" w:rsidRPr="00C12331" w:rsidRDefault="009F1677" w:rsidP="003157BD">
      <w:pPr>
        <w:pStyle w:val="ListBullet"/>
      </w:pPr>
      <w:r w:rsidRPr="00C12331">
        <w:t>components</w:t>
      </w:r>
      <w:r>
        <w:t xml:space="preserve"> and equivalents of ingredients</w:t>
      </w:r>
    </w:p>
    <w:p w:rsidR="009F1677" w:rsidRDefault="009F1677" w:rsidP="009F1677">
      <w:r w:rsidRPr="00C12331">
        <w:t>This table will only provide the approved name or synonym for the ingredient. Instructions on searching this table are provided below.</w:t>
      </w:r>
    </w:p>
    <w:tbl>
      <w:tblPr>
        <w:tblW w:w="0" w:type="auto"/>
        <w:tblInd w:w="666" w:type="dxa"/>
        <w:tblLayout w:type="fixed"/>
        <w:tblCellMar>
          <w:left w:w="0" w:type="dxa"/>
          <w:right w:w="0" w:type="dxa"/>
        </w:tblCellMar>
        <w:tblLook w:val="04A0" w:firstRow="1" w:lastRow="0" w:firstColumn="1" w:lastColumn="0" w:noHBand="0" w:noVBand="1"/>
      </w:tblPr>
      <w:tblGrid>
        <w:gridCol w:w="7762"/>
      </w:tblGrid>
      <w:tr w:rsidR="00E85925" w:rsidRPr="00C12331" w:rsidTr="00E85925">
        <w:tc>
          <w:tcPr>
            <w:tcW w:w="7762" w:type="dxa"/>
            <w:shd w:val="clear" w:color="auto" w:fill="EAEAEA"/>
            <w:tcMar>
              <w:top w:w="170" w:type="dxa"/>
              <w:left w:w="170" w:type="dxa"/>
              <w:bottom w:w="170" w:type="dxa"/>
              <w:right w:w="170" w:type="dxa"/>
            </w:tcMar>
          </w:tcPr>
          <w:p w:rsidR="00E85925" w:rsidRPr="00C12331" w:rsidRDefault="00E85925" w:rsidP="007004E8">
            <w:pPr>
              <w:rPr>
                <w:b/>
              </w:rPr>
            </w:pPr>
            <w:r w:rsidRPr="00C12331">
              <w:rPr>
                <w:b/>
              </w:rPr>
              <w:t>Searching for ingredients via the TGA Business Services website</w:t>
            </w:r>
          </w:p>
          <w:p w:rsidR="00E85925" w:rsidRPr="00C12331" w:rsidRDefault="00E85925" w:rsidP="00E85925">
            <w:pPr>
              <w:pStyle w:val="ListBullet"/>
            </w:pPr>
            <w:r w:rsidRPr="00C12331">
              <w:t>Select ‘Public TGA Information’ from the left-hand menu.</w:t>
            </w:r>
          </w:p>
          <w:p w:rsidR="00E85925" w:rsidRPr="00C12331" w:rsidRDefault="00E85925" w:rsidP="00E85925">
            <w:pPr>
              <w:pStyle w:val="ListBullet"/>
            </w:pPr>
            <w:r w:rsidRPr="00C12331">
              <w:t>From the dropdown menu select ‘Ingredients’.</w:t>
            </w:r>
          </w:p>
          <w:p w:rsidR="00E85925" w:rsidRPr="00C12331" w:rsidRDefault="00E85925" w:rsidP="00E85925">
            <w:pPr>
              <w:pStyle w:val="ListBullet"/>
            </w:pPr>
            <w:r w:rsidRPr="00C12331">
              <w:t>Enter the ingredient name or synonym you are looking for in the ‘search field’ and ensure that in ‘all fields’ is selected. Click ‘Go’.</w:t>
            </w:r>
          </w:p>
          <w:p w:rsidR="00E85925" w:rsidRPr="00C12331" w:rsidRDefault="00E85925" w:rsidP="00E85925">
            <w:pPr>
              <w:pStyle w:val="ListBullet"/>
            </w:pPr>
            <w:r w:rsidRPr="00C12331">
              <w:t>When looking at the search results, the right-hand column will indicate if the ingredient is ‘listable’ (that is, if the ingredient is able to be included in listed medicines). The ingredient summary must be checked to determine in what context the ingredient is listable (Step 5).</w:t>
            </w:r>
          </w:p>
          <w:p w:rsidR="00E85925" w:rsidRPr="00C12331" w:rsidRDefault="00E85925" w:rsidP="00E85925">
            <w:pPr>
              <w:pStyle w:val="ListBullet"/>
            </w:pPr>
            <w:r w:rsidRPr="00C12331">
              <w:t>To the left of each ingredient is a down arrow icon. Click on this icon to reveal the ‘Ingredient summary’. The ‘Ingredient summary’ provides the approved role of the ingredient (active or excipient).</w:t>
            </w:r>
          </w:p>
          <w:p w:rsidR="00E85925" w:rsidRPr="00C12331" w:rsidRDefault="00E85925" w:rsidP="007004E8">
            <w:r w:rsidRPr="00C12331">
              <w:t>Information on ‘Product warnings’, amongst other things, can be accessed via ‘Code tables’ under ‘Public TGA Information’ on the left-hand menu.</w:t>
            </w:r>
          </w:p>
        </w:tc>
      </w:tr>
    </w:tbl>
    <w:p w:rsidR="004D37E2" w:rsidRDefault="004D37E2" w:rsidP="004D37E2">
      <w:pPr>
        <w:pStyle w:val="Heading3"/>
        <w:pageBreakBefore/>
      </w:pPr>
      <w:bookmarkStart w:id="28" w:name="_Toc76029090"/>
      <w:bookmarkStart w:id="29" w:name="_Toc77521700"/>
      <w:r>
        <w:lastRenderedPageBreak/>
        <w:t xml:space="preserve">Supplying </w:t>
      </w:r>
      <w:r w:rsidRPr="00637719">
        <w:t>medicines</w:t>
      </w:r>
      <w:r>
        <w:t xml:space="preserve"> in Australia</w:t>
      </w:r>
      <w:bookmarkEnd w:id="28"/>
      <w:bookmarkEnd w:id="29"/>
    </w:p>
    <w:p w:rsidR="004D37E2" w:rsidRDefault="004D37E2" w:rsidP="004D37E2">
      <w:r>
        <w:t>The pathway for supply of medicines in Australia varies depending on whether your product:</w:t>
      </w:r>
    </w:p>
    <w:p w:rsidR="004D37E2" w:rsidRPr="004D37E2" w:rsidRDefault="004D37E2" w:rsidP="004D37E2">
      <w:pPr>
        <w:pStyle w:val="ListBullet"/>
      </w:pPr>
      <w:r>
        <w:t xml:space="preserve">is </w:t>
      </w:r>
      <w:r w:rsidRPr="004D37E2">
        <w:t>exempt from certain TGA regulation</w:t>
      </w:r>
    </w:p>
    <w:p w:rsidR="004D37E2" w:rsidRDefault="004D37E2" w:rsidP="004D37E2">
      <w:pPr>
        <w:pStyle w:val="ListBullet"/>
      </w:pPr>
      <w:r w:rsidRPr="004D37E2">
        <w:t>requires entry</w:t>
      </w:r>
      <w:r>
        <w:t xml:space="preserve"> in the ARTG</w:t>
      </w:r>
    </w:p>
    <w:p w:rsidR="004D37E2" w:rsidRPr="001755E4" w:rsidRDefault="004D37E2" w:rsidP="004D37E2">
      <w:pPr>
        <w:pStyle w:val="Heading4"/>
      </w:pPr>
      <w:bookmarkStart w:id="30" w:name="_Medicines_exempt_from"/>
      <w:bookmarkStart w:id="31" w:name="_Toc77521701"/>
      <w:bookmarkEnd w:id="30"/>
      <w:r>
        <w:t xml:space="preserve">Medicines exempt from certain </w:t>
      </w:r>
      <w:r w:rsidRPr="00637719">
        <w:t>TGA</w:t>
      </w:r>
      <w:r>
        <w:t xml:space="preserve"> regulation</w:t>
      </w:r>
      <w:bookmarkEnd w:id="31"/>
    </w:p>
    <w:p w:rsidR="004D37E2" w:rsidRPr="001755E4" w:rsidRDefault="004D37E2" w:rsidP="004D37E2">
      <w:pPr>
        <w:pStyle w:val="ListBullet"/>
        <w:numPr>
          <w:ilvl w:val="0"/>
          <w:numId w:val="0"/>
        </w:numPr>
      </w:pPr>
      <w:r>
        <w:t xml:space="preserve">Some medicines do not need to be entered in the ARTG or </w:t>
      </w:r>
      <w:r w:rsidRPr="001755E4">
        <w:t>may be exempt from some regulatory requirements</w:t>
      </w:r>
      <w:r w:rsidRPr="00494916">
        <w:t xml:space="preserve"> </w:t>
      </w:r>
      <w:r>
        <w:t xml:space="preserve">as a result of a specific exemption or determination under the Act (refer to section 18 of the Act and Schedules 5 and 5A of the </w:t>
      </w:r>
      <w:hyperlink r:id="rId72" w:history="1">
        <w:r w:rsidRPr="00AA4AA6">
          <w:rPr>
            <w:rStyle w:val="Hyperlink"/>
          </w:rPr>
          <w:t>Regulations</w:t>
        </w:r>
      </w:hyperlink>
      <w:r>
        <w:t>)</w:t>
      </w:r>
      <w:r w:rsidRPr="001755E4">
        <w:t xml:space="preserve">, but </w:t>
      </w:r>
      <w:r>
        <w:t>they</w:t>
      </w:r>
      <w:r w:rsidRPr="001755E4">
        <w:t xml:space="preserve"> m</w:t>
      </w:r>
      <w:r>
        <w:t>ay be subject to</w:t>
      </w:r>
      <w:r w:rsidRPr="001755E4">
        <w:t>:</w:t>
      </w:r>
    </w:p>
    <w:p w:rsidR="004D37E2" w:rsidRPr="00597F9A" w:rsidRDefault="004D37E2" w:rsidP="004D37E2">
      <w:pPr>
        <w:pStyle w:val="ListBullet"/>
      </w:pPr>
      <w:r w:rsidRPr="004D37E2">
        <w:t>specific</w:t>
      </w:r>
      <w:r w:rsidRPr="001755E4">
        <w:t xml:space="preserve"> eligibility </w:t>
      </w:r>
      <w:r w:rsidRPr="00597F9A">
        <w:t xml:space="preserve">criteria (Refer to Schedule 5 of the </w:t>
      </w:r>
      <w:hyperlink r:id="rId73" w:history="1">
        <w:r w:rsidRPr="00B711A3">
          <w:rPr>
            <w:rStyle w:val="Hyperlink"/>
          </w:rPr>
          <w:t>Regulations</w:t>
        </w:r>
      </w:hyperlink>
      <w:r w:rsidRPr="00B711A3">
        <w:rPr>
          <w:rStyle w:val="Hyperlink"/>
        </w:rPr>
        <w:t>)</w:t>
      </w:r>
    </w:p>
    <w:p w:rsidR="004D37E2" w:rsidRPr="001755E4" w:rsidRDefault="004D37E2" w:rsidP="004D37E2">
      <w:pPr>
        <w:pStyle w:val="ListBullet"/>
      </w:pPr>
      <w:r w:rsidRPr="004D37E2">
        <w:t>some</w:t>
      </w:r>
      <w:r w:rsidRPr="00597F9A">
        <w:t xml:space="preserve"> regulatory obligations</w:t>
      </w:r>
      <w:r>
        <w:t xml:space="preserve"> (refer to Schedule 5A of the </w:t>
      </w:r>
      <w:hyperlink r:id="rId74" w:history="1">
        <w:r w:rsidRPr="00AA4AA6">
          <w:rPr>
            <w:rStyle w:val="Hyperlink"/>
          </w:rPr>
          <w:t>Regulations</w:t>
        </w:r>
      </w:hyperlink>
      <w:r>
        <w:t>)</w:t>
      </w:r>
    </w:p>
    <w:p w:rsidR="004D37E2" w:rsidRDefault="004D37E2" w:rsidP="004D37E2">
      <w:r>
        <w:t>These include, for example:</w:t>
      </w:r>
    </w:p>
    <w:p w:rsidR="004D37E2" w:rsidRDefault="004D37E2" w:rsidP="004D37E2">
      <w:pPr>
        <w:pStyle w:val="ListBullet"/>
      </w:pPr>
      <w:r>
        <w:t xml:space="preserve">Medicines (other than those used for gene therapy) that are dispensed or extemporaneously </w:t>
      </w:r>
      <w:r w:rsidRPr="004D37E2">
        <w:t>compounded</w:t>
      </w:r>
      <w:r>
        <w:t xml:space="preserve"> by a practitioner for use by a particular person - refer to </w:t>
      </w:r>
      <w:hyperlink w:anchor="_Exemptions_from_inclusion_1" w:history="1">
        <w:r w:rsidRPr="00055BC5">
          <w:rPr>
            <w:rStyle w:val="Hyperlink"/>
          </w:rPr>
          <w:t xml:space="preserve">Exemptions </w:t>
        </w:r>
        <w:r>
          <w:rPr>
            <w:rStyle w:val="Hyperlink"/>
          </w:rPr>
          <w:t xml:space="preserve">from inclusion in the ARTG </w:t>
        </w:r>
        <w:r w:rsidRPr="00055BC5">
          <w:rPr>
            <w:rStyle w:val="Hyperlink"/>
          </w:rPr>
          <w:t xml:space="preserve">for extemporaneously compounded </w:t>
        </w:r>
        <w:r>
          <w:rPr>
            <w:rStyle w:val="Hyperlink"/>
          </w:rPr>
          <w:t xml:space="preserve">medicines </w:t>
        </w:r>
        <w:r w:rsidRPr="00055BC5">
          <w:rPr>
            <w:rStyle w:val="Hyperlink"/>
          </w:rPr>
          <w:t>and dispensed complementary medicines</w:t>
        </w:r>
      </w:hyperlink>
      <w:r>
        <w:t>.</w:t>
      </w:r>
    </w:p>
    <w:p w:rsidR="004D37E2" w:rsidRPr="00D352CD" w:rsidRDefault="004D37E2" w:rsidP="004D37E2">
      <w:pPr>
        <w:pStyle w:val="ListBullet"/>
        <w:rPr>
          <w:rStyle w:val="Hyperlink"/>
        </w:rPr>
      </w:pPr>
      <w:r w:rsidRPr="00580DCF">
        <w:t xml:space="preserve">Certain homoeopathic preparations—refer to </w:t>
      </w:r>
      <w:r w:rsidRPr="00D352CD">
        <w:fldChar w:fldCharType="begin"/>
      </w:r>
      <w:r>
        <w:instrText>HYPERLINK  \l "_Homoeopathic_preparations_exempt/"</w:instrText>
      </w:r>
      <w:r w:rsidRPr="00D352CD">
        <w:fldChar w:fldCharType="separate"/>
      </w:r>
      <w:r w:rsidRPr="00D352CD">
        <w:rPr>
          <w:rStyle w:val="Hyperlink"/>
        </w:rPr>
        <w:t>Homoeopathic preparations exempt</w:t>
      </w:r>
      <w:r>
        <w:rPr>
          <w:rStyle w:val="Hyperlink"/>
        </w:rPr>
        <w:t xml:space="preserve">/required to be included </w:t>
      </w:r>
      <w:r w:rsidRPr="00D352CD">
        <w:rPr>
          <w:rStyle w:val="Hyperlink"/>
        </w:rPr>
        <w:t xml:space="preserve"> in the ARTG</w:t>
      </w:r>
      <w:r w:rsidRPr="00B75B6D">
        <w:rPr>
          <w:rStyle w:val="Hyperlink"/>
          <w:u w:val="none"/>
        </w:rPr>
        <w:t>.</w:t>
      </w:r>
    </w:p>
    <w:p w:rsidR="004D37E2" w:rsidRPr="004D37E2" w:rsidRDefault="004D37E2" w:rsidP="004D37E2">
      <w:pPr>
        <w:pStyle w:val="ListBullet"/>
      </w:pPr>
      <w:r w:rsidRPr="00D352CD">
        <w:fldChar w:fldCharType="end"/>
      </w:r>
      <w:r w:rsidRPr="004D37E2">
        <w:t>Certain shampoos for the treatment/prevention of dandruff.</w:t>
      </w:r>
    </w:p>
    <w:p w:rsidR="004D37E2" w:rsidRDefault="004D37E2" w:rsidP="004D37E2">
      <w:pPr>
        <w:pStyle w:val="ListBullet"/>
      </w:pPr>
      <w:r w:rsidRPr="004D37E2">
        <w:t>Startin</w:t>
      </w:r>
      <w:r>
        <w:t>g materials used in the manufacture of therapeutic goods, except when pre-packaged for supply for other therapeutic purposes or formulated as a dosage form.</w:t>
      </w:r>
    </w:p>
    <w:p w:rsidR="004D37E2" w:rsidRDefault="004D37E2" w:rsidP="004D37E2">
      <w:r>
        <w:t xml:space="preserve">These goods are exempt from Part 3-2 of the </w:t>
      </w:r>
      <w:hyperlink r:id="rId75" w:history="1">
        <w:r w:rsidRPr="00AA4AA6">
          <w:rPr>
            <w:rStyle w:val="Hyperlink"/>
          </w:rPr>
          <w:t>Act</w:t>
        </w:r>
      </w:hyperlink>
      <w:r>
        <w:t>, relating to inclusion in the ARTG, however it is important to note that all other applicable requirements under the Act and the Regulations must be complied with, including:</w:t>
      </w:r>
    </w:p>
    <w:p w:rsidR="004D37E2" w:rsidRPr="00600BA7" w:rsidRDefault="004D37E2" w:rsidP="00600BA7">
      <w:pPr>
        <w:pStyle w:val="ListBullet"/>
      </w:pPr>
      <w:r>
        <w:t xml:space="preserve">all </w:t>
      </w:r>
      <w:r w:rsidRPr="00600BA7">
        <w:t>relevant standards</w:t>
      </w:r>
    </w:p>
    <w:p w:rsidR="004D37E2" w:rsidRDefault="004D37E2" w:rsidP="00600BA7">
      <w:pPr>
        <w:pStyle w:val="ListBullet"/>
      </w:pPr>
      <w:r w:rsidRPr="00600BA7">
        <w:t>all advertising</w:t>
      </w:r>
      <w:r>
        <w:t xml:space="preserve"> requirements</w:t>
      </w:r>
    </w:p>
    <w:p w:rsidR="004D37E2" w:rsidRPr="00F80E20" w:rsidRDefault="004D37E2" w:rsidP="004D37E2">
      <w:pPr>
        <w:pStyle w:val="Heading5"/>
      </w:pPr>
      <w:bookmarkStart w:id="32" w:name="_Exemptions_from_inclusion_1"/>
      <w:bookmarkEnd w:id="32"/>
      <w:r w:rsidRPr="0020249F">
        <w:rPr>
          <w:rFonts w:eastAsia="Cambria"/>
        </w:rPr>
        <w:t xml:space="preserve">Exemptions from inclusion in the ARTG for extemporaneously compounded </w:t>
      </w:r>
      <w:r>
        <w:rPr>
          <w:rFonts w:eastAsia="Cambria"/>
        </w:rPr>
        <w:t xml:space="preserve">medicines </w:t>
      </w:r>
      <w:r w:rsidRPr="0020249F">
        <w:rPr>
          <w:rFonts w:eastAsia="Cambria"/>
        </w:rPr>
        <w:t xml:space="preserve">and </w:t>
      </w:r>
      <w:r w:rsidRPr="009B6467">
        <w:t xml:space="preserve">medicines </w:t>
      </w:r>
      <w:r w:rsidRPr="0020249F">
        <w:rPr>
          <w:rFonts w:eastAsia="Cambria"/>
        </w:rPr>
        <w:t xml:space="preserve">dispensed </w:t>
      </w:r>
      <w:r w:rsidRPr="009B6467">
        <w:t>by practitioners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4D37E2" w:rsidRPr="00DB6E77" w:rsidTr="007004E8">
        <w:tc>
          <w:tcPr>
            <w:tcW w:w="1276" w:type="dxa"/>
            <w:vAlign w:val="center"/>
          </w:tcPr>
          <w:p w:rsidR="004D37E2" w:rsidRPr="00DB6E77" w:rsidRDefault="004D37E2" w:rsidP="007004E8">
            <w:pPr>
              <w:spacing w:before="0" w:after="120"/>
              <w:rPr>
                <w:sz w:val="20"/>
              </w:rPr>
            </w:pPr>
            <w:r w:rsidRPr="00A264D0">
              <w:rPr>
                <w:noProof/>
                <w:lang w:eastAsia="en-AU"/>
              </w:rPr>
              <w:drawing>
                <wp:inline distT="0" distB="0" distL="0" distR="0" wp14:anchorId="7C36ECF3" wp14:editId="622D243B">
                  <wp:extent cx="487681" cy="487681"/>
                  <wp:effectExtent l="19050" t="0" r="7619" b="0"/>
                  <wp:docPr id="2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4D37E2" w:rsidRPr="00DB6E77" w:rsidRDefault="004D37E2" w:rsidP="007004E8">
            <w:pPr>
              <w:keepLines/>
              <w:spacing w:after="120"/>
            </w:pPr>
            <w:r w:rsidRPr="001D0444">
              <w:rPr>
                <w:b/>
              </w:rPr>
              <w:t>For information</w:t>
            </w:r>
            <w:r>
              <w:t xml:space="preserve">: </w:t>
            </w:r>
            <w:r w:rsidRPr="00DB6E77">
              <w:t xml:space="preserve">The TGA does not regulate health practitioners, we regulate therapeutic </w:t>
            </w:r>
            <w:r>
              <w:t>goods</w:t>
            </w:r>
            <w:r w:rsidRPr="00DB6E77">
              <w:t xml:space="preserve">. The </w:t>
            </w:r>
            <w:hyperlink r:id="rId76" w:history="1">
              <w:r w:rsidRPr="00DB6E77">
                <w:rPr>
                  <w:color w:val="0000FF"/>
                  <w:u w:val="single"/>
                </w:rPr>
                <w:t>Australian Health Practitioner Regulation Agency (AHPRA)</w:t>
              </w:r>
            </w:hyperlink>
            <w:r w:rsidRPr="00DB6E77">
              <w:t xml:space="preserve"> is responsible for the </w:t>
            </w:r>
            <w:r>
              <w:t>registration of practitioners in</w:t>
            </w:r>
            <w:r w:rsidRPr="00DB6E77">
              <w:t xml:space="preserve"> Australia.</w:t>
            </w:r>
          </w:p>
        </w:tc>
      </w:tr>
    </w:tbl>
    <w:p w:rsidR="004D37E2" w:rsidRDefault="004D37E2" w:rsidP="004D37E2">
      <w:pPr>
        <w:spacing w:after="120"/>
      </w:pPr>
      <w:r>
        <w:t>The exemptions for extemporaneously prepared medicines from Parts 3-2 and 3-2A of the Act (inclusion in the ARTG) are included in Schedule 5 (item 6) of the Regulations.</w:t>
      </w:r>
    </w:p>
    <w:p w:rsidR="004D37E2" w:rsidRDefault="004D37E2" w:rsidP="004D37E2">
      <w:pPr>
        <w:spacing w:after="120"/>
      </w:pPr>
      <w:r>
        <w:t xml:space="preserve">The exemptions for starting materials from Parts 3-2 and 3-2A of the </w:t>
      </w:r>
      <w:hyperlink r:id="rId77" w:history="1">
        <w:r w:rsidRPr="00F10EDD">
          <w:rPr>
            <w:rStyle w:val="Hyperlink"/>
          </w:rPr>
          <w:t>Act</w:t>
        </w:r>
      </w:hyperlink>
      <w:r>
        <w:t xml:space="preserve"> (inclusion in the ARTG) are specified in Schedule 5 (item 9) to the </w:t>
      </w:r>
      <w:hyperlink r:id="rId78" w:history="1">
        <w:r w:rsidRPr="00F10EDD">
          <w:rPr>
            <w:rStyle w:val="Hyperlink"/>
          </w:rPr>
          <w:t>Regulations</w:t>
        </w:r>
      </w:hyperlink>
      <w:r>
        <w:t>.</w:t>
      </w:r>
    </w:p>
    <w:p w:rsidR="004D37E2" w:rsidRDefault="004D37E2" w:rsidP="004D37E2">
      <w:pPr>
        <w:spacing w:after="120"/>
      </w:pPr>
      <w:r>
        <w:t xml:space="preserve">The exemptions relating to extemporaneous compounding and dispensing apply where: </w:t>
      </w:r>
    </w:p>
    <w:p w:rsidR="004D37E2" w:rsidRDefault="004D37E2" w:rsidP="00600BA7">
      <w:pPr>
        <w:pStyle w:val="ListBullet"/>
      </w:pPr>
      <w:r>
        <w:t xml:space="preserve">a health practitioner </w:t>
      </w:r>
      <w:r w:rsidRPr="00600BA7">
        <w:t>prepares</w:t>
      </w:r>
      <w:r>
        <w:t xml:space="preserve"> a medicine for an individual patient either following consultation with that particular patient: or </w:t>
      </w:r>
    </w:p>
    <w:p w:rsidR="00706520" w:rsidRDefault="00706520" w:rsidP="00706520">
      <w:pPr>
        <w:pStyle w:val="ListBullet"/>
      </w:pPr>
      <w:r>
        <w:lastRenderedPageBreak/>
        <w:t xml:space="preserve">to fill a prescription for that </w:t>
      </w:r>
      <w:r w:rsidRPr="00706520">
        <w:t>particular</w:t>
      </w:r>
      <w:r>
        <w:t xml:space="preserve"> patient.</w:t>
      </w:r>
    </w:p>
    <w:p w:rsidR="00706520" w:rsidRDefault="00706520" w:rsidP="00706520">
      <w:pPr>
        <w:spacing w:after="120"/>
      </w:pPr>
      <w:r>
        <w:t>This allows health practitioners such as pharmacists, herbalists, naturopaths, nutritionists and homoeopaths, to prepare medicines for individual patients that do not need to be assessed or evaluated by the TGA for quality, safety or efficacy. The exemption recognises the one-off nature of such medicines and the professional training of the health practitioner to prepare a medicine for the specific needs of an individual patient.</w:t>
      </w:r>
    </w:p>
    <w:p w:rsidR="00706520" w:rsidRDefault="00706520" w:rsidP="00706520">
      <w:pPr>
        <w:spacing w:after="120"/>
      </w:pPr>
      <w:r>
        <w:t xml:space="preserve">Most herbal ingredients may be used for preparing medicines that are dispensed or extemporaneously compounded. However, access to some medicinal ingredients is restricted by State and Territory drug and poisons legislation. Depending on the level of access control, some ingredients are not available for dispensing or extemporaneous compounding by health practitioners, such as: ingredients included in Schedule 4 of the </w:t>
      </w:r>
      <w:hyperlink r:id="rId79" w:history="1">
        <w:r w:rsidRPr="00C21C14">
          <w:rPr>
            <w:rStyle w:val="Hyperlink"/>
          </w:rPr>
          <w:t>Poisons Standard</w:t>
        </w:r>
      </w:hyperlink>
      <w:r>
        <w:t xml:space="preserve"> which are available only on prescription from an authorised prescriber registered under a law of a State or Territory.</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706520" w:rsidRPr="00DB6E77" w:rsidTr="007004E8">
        <w:tc>
          <w:tcPr>
            <w:tcW w:w="1276" w:type="dxa"/>
            <w:vAlign w:val="center"/>
          </w:tcPr>
          <w:p w:rsidR="00706520" w:rsidRPr="00DB6E77" w:rsidRDefault="00706520" w:rsidP="007004E8">
            <w:pPr>
              <w:spacing w:before="0" w:after="120"/>
              <w:rPr>
                <w:sz w:val="20"/>
              </w:rPr>
            </w:pPr>
            <w:r w:rsidRPr="00A264D0">
              <w:rPr>
                <w:noProof/>
                <w:lang w:eastAsia="en-AU"/>
              </w:rPr>
              <w:drawing>
                <wp:inline distT="0" distB="0" distL="0" distR="0" wp14:anchorId="70510334" wp14:editId="6EF4CA90">
                  <wp:extent cx="487681" cy="487681"/>
                  <wp:effectExtent l="19050" t="0" r="7619" b="0"/>
                  <wp:docPr id="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706520" w:rsidRPr="001D0444" w:rsidRDefault="00706520" w:rsidP="00706520">
            <w:pPr>
              <w:keepLines/>
              <w:spacing w:after="120"/>
              <w:rPr>
                <w:b/>
              </w:rPr>
            </w:pPr>
            <w:r w:rsidRPr="001D0444">
              <w:rPr>
                <w:b/>
              </w:rPr>
              <w:t xml:space="preserve">Important: </w:t>
            </w:r>
            <w:r>
              <w:rPr>
                <w:b/>
              </w:rPr>
              <w:t xml:space="preserve"> </w:t>
            </w:r>
            <w:r w:rsidRPr="00DB6AAC">
              <w:t>Pre-packaged (manufactured) medicines made by practitioners</w:t>
            </w:r>
          </w:p>
          <w:p w:rsidR="00706520" w:rsidRDefault="00706520" w:rsidP="00706520">
            <w:pPr>
              <w:spacing w:after="0"/>
            </w:pPr>
            <w:r>
              <w:t>The exemption from inclusion in the ARTG for extemporaneously compounded medicines does not cover situations where a health practitioner makes up medicines in advance, in anticipation of patients who may come onto the premises and ask for that medicine.</w:t>
            </w:r>
          </w:p>
          <w:p w:rsidR="00706520" w:rsidRPr="00DB6E77" w:rsidRDefault="00706520" w:rsidP="00706520">
            <w:pPr>
              <w:keepLines/>
              <w:spacing w:after="120"/>
            </w:pPr>
            <w:r>
              <w:t xml:space="preserve">Ingredients that are either pre-packaged for other therapeutic purposes or formulated as a dosage form are subject to assessment for quality, safety and efficacy as appropriate, and are to be included in the ARTG. Unless exempt, medicines included in the ARTG need to be prepared by a person in accordance with </w:t>
            </w:r>
            <w:hyperlink r:id="rId80" w:history="1">
              <w:r w:rsidRPr="0081201C">
                <w:rPr>
                  <w:rStyle w:val="Hyperlink"/>
                </w:rPr>
                <w:t>Good Manufacturing Practice</w:t>
              </w:r>
            </w:hyperlink>
            <w:r>
              <w:t>.</w:t>
            </w:r>
          </w:p>
        </w:tc>
      </w:tr>
    </w:tbl>
    <w:p w:rsidR="00706520" w:rsidRDefault="00706520" w:rsidP="00706520">
      <w:pPr>
        <w:spacing w:after="120"/>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706520" w:rsidRPr="00215D48" w:rsidTr="007004E8">
        <w:tc>
          <w:tcPr>
            <w:tcW w:w="1276" w:type="dxa"/>
            <w:vAlign w:val="center"/>
          </w:tcPr>
          <w:p w:rsidR="00706520" w:rsidRPr="00215D48" w:rsidRDefault="00706520" w:rsidP="007004E8">
            <w:pPr>
              <w:spacing w:before="0" w:after="0"/>
              <w:rPr>
                <w:sz w:val="20"/>
              </w:rPr>
            </w:pPr>
            <w:r w:rsidRPr="00A264D0">
              <w:rPr>
                <w:noProof/>
                <w:lang w:eastAsia="en-AU"/>
              </w:rPr>
              <w:drawing>
                <wp:inline distT="0" distB="0" distL="0" distR="0" wp14:anchorId="1687619A" wp14:editId="62B81760">
                  <wp:extent cx="487681" cy="487681"/>
                  <wp:effectExtent l="19050" t="0" r="7619" b="0"/>
                  <wp:docPr id="1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706520" w:rsidRPr="00935144" w:rsidRDefault="00706520" w:rsidP="007004E8">
            <w:pPr>
              <w:keepLines/>
              <w:spacing w:after="120"/>
            </w:pPr>
            <w:bookmarkStart w:id="33" w:name="_Toc9960893"/>
            <w:r w:rsidRPr="001D0444">
              <w:rPr>
                <w:b/>
              </w:rPr>
              <w:t xml:space="preserve">For information: </w:t>
            </w:r>
            <w:r w:rsidRPr="00935144">
              <w:t>‘</w:t>
            </w:r>
            <w:r w:rsidRPr="001D0444">
              <w:rPr>
                <w:bCs/>
              </w:rPr>
              <w:t>For practitioner dispensing only’ products</w:t>
            </w:r>
            <w:bookmarkEnd w:id="33"/>
          </w:p>
          <w:p w:rsidR="00706520" w:rsidRPr="00215D48" w:rsidRDefault="00706520" w:rsidP="007004E8">
            <w:pPr>
              <w:spacing w:after="0"/>
            </w:pPr>
            <w:r w:rsidRPr="00935144">
              <w:t xml:space="preserve">Sponsors may choose to supply their products in a dispensing pack solely to healthcare practitioners with the words ‘for practitioner dispensing only’, or words to that effect, included on the label. These medicines must meet the same statutory requirements relating to entry </w:t>
            </w:r>
            <w:r>
              <w:t>i</w:t>
            </w:r>
            <w:r w:rsidRPr="00935144">
              <w:t xml:space="preserve">n the ARTG. This includes that labelling (apart from indications) must meet the requirements of the </w:t>
            </w:r>
            <w:hyperlink r:id="rId81" w:history="1">
              <w:r w:rsidRPr="00C60B33">
                <w:rPr>
                  <w:rStyle w:val="Hyperlink"/>
                </w:rPr>
                <w:t>Therapeutic Goods labelling Order</w:t>
              </w:r>
            </w:hyperlink>
            <w:r w:rsidRPr="00935144">
              <w:t xml:space="preserve"> and the </w:t>
            </w:r>
            <w:hyperlink r:id="rId82" w:history="1">
              <w:r w:rsidRPr="00935144">
                <w:rPr>
                  <w:color w:val="0000FF"/>
                  <w:u w:val="single"/>
                </w:rPr>
                <w:t>Therapeutic Goods Advertising Code</w:t>
              </w:r>
            </w:hyperlink>
            <w:r w:rsidRPr="00935144">
              <w:t xml:space="preserve"> (unless the appropriate exemption or approval to do otherwise has been granted).</w:t>
            </w:r>
            <w:r w:rsidRPr="00AE28C8">
              <w:t xml:space="preserve"> </w:t>
            </w:r>
            <w:r w:rsidRPr="00935144">
              <w:t>The only difference between ‘for practitioner dispensing only’ products and other listed or registered complementary medicines is that the former do not need to include a statement of their purpose/ther</w:t>
            </w:r>
            <w:r>
              <w:t xml:space="preserve">apeutic indication on the label. </w:t>
            </w:r>
            <w:r w:rsidRPr="00935144">
              <w:t>These medicines should only be supplied to an individual after consultation with a healthcare practitioner, at which time, the healthcare practitioner attaches a label to the medicine providing instructions for use for that individual.</w:t>
            </w:r>
          </w:p>
        </w:tc>
      </w:tr>
    </w:tbl>
    <w:p w:rsidR="00706520" w:rsidRPr="00935144" w:rsidRDefault="00706520" w:rsidP="00706520">
      <w:pPr>
        <w:spacing w:after="0"/>
      </w:pPr>
      <w:r>
        <w:t xml:space="preserve">There are also practitioner exemptions from manufacturing requirements – refer to </w:t>
      </w:r>
      <w:hyperlink w:anchor="_Products_exempt_from_1" w:history="1">
        <w:r w:rsidRPr="0012238A">
          <w:rPr>
            <w:rStyle w:val="Hyperlink"/>
          </w:rPr>
          <w:t>Products exempt from certain manufacturing requirements</w:t>
        </w:r>
      </w:hyperlink>
      <w:r>
        <w:t>.</w:t>
      </w:r>
    </w:p>
    <w:bookmarkStart w:id="34" w:name="_Products_exempt_from_1"/>
    <w:bookmarkStart w:id="35" w:name="_Products_exempt_from"/>
    <w:bookmarkEnd w:id="34"/>
    <w:bookmarkEnd w:id="35"/>
    <w:p w:rsidR="00706520" w:rsidRPr="00935144" w:rsidRDefault="00706520" w:rsidP="00706520">
      <w:pPr>
        <w:pStyle w:val="Heading5"/>
      </w:pPr>
      <w:r>
        <w:fldChar w:fldCharType="begin"/>
      </w:r>
      <w:r>
        <w:instrText xml:space="preserve"> HYPERLINK \l "_Products_exempt_from" </w:instrText>
      </w:r>
      <w:r>
        <w:fldChar w:fldCharType="separate"/>
      </w:r>
      <w:bookmarkStart w:id="36" w:name="_Toc9960892"/>
      <w:r w:rsidRPr="00935144">
        <w:t>Products exempt from certain manufacturing requirements</w:t>
      </w:r>
      <w:r>
        <w:fldChar w:fldCharType="end"/>
      </w:r>
      <w:r w:rsidRPr="00935144">
        <w:t>.</w:t>
      </w:r>
      <w:bookmarkEnd w:id="36"/>
    </w:p>
    <w:p w:rsidR="00706520" w:rsidRPr="00935144" w:rsidRDefault="00706520" w:rsidP="00706520">
      <w:r w:rsidRPr="00935144">
        <w:t xml:space="preserve">Some medicines or persons are exempt from the manufacturing requirements set out in Part 3-3 of the </w:t>
      </w:r>
      <w:hyperlink r:id="rId83" w:history="1">
        <w:r w:rsidRPr="00C60B33">
          <w:rPr>
            <w:rStyle w:val="Hyperlink"/>
          </w:rPr>
          <w:t>Act</w:t>
        </w:r>
      </w:hyperlink>
      <w:r w:rsidRPr="00935144">
        <w:t xml:space="preserve">. The criteria for manufacturing exemptions are provided in Section 34 of the Act, together with Schedule 7 (exempt medicines) and Schedule 8 (exempt persons) of the </w:t>
      </w:r>
      <w:r w:rsidRPr="00935144">
        <w:lastRenderedPageBreak/>
        <w:t>Regulations</w:t>
      </w:r>
      <w:r>
        <w:t xml:space="preserve">. Table 5 lists different products exempt from certain manufacturing requirements. </w:t>
      </w:r>
      <w:r w:rsidRPr="00EB357F">
        <w:t xml:space="preserve">For more information on GMP requirements refer to </w:t>
      </w:r>
      <w:hyperlink r:id="rId84" w:history="1">
        <w:r w:rsidRPr="00EB357F">
          <w:rPr>
            <w:rStyle w:val="Hyperlink"/>
          </w:rPr>
          <w:t>Supplier assessment, approval and qualification for listed and complementary medicines</w:t>
        </w:r>
      </w:hyperlink>
      <w:r w:rsidRPr="00EB357F">
        <w:t>.</w:t>
      </w:r>
    </w:p>
    <w:p w:rsidR="00706520" w:rsidRPr="00F80E20" w:rsidRDefault="00706520" w:rsidP="00706520">
      <w:pPr>
        <w:pStyle w:val="TableTitle0"/>
      </w:pPr>
      <w:r>
        <w:t>Table 5:  Products exempt from certain manufacturing requirements</w:t>
      </w:r>
    </w:p>
    <w:tbl>
      <w:tblPr>
        <w:tblStyle w:val="TableTGAblue"/>
        <w:tblW w:w="0" w:type="auto"/>
        <w:tblLook w:val="04A0" w:firstRow="1" w:lastRow="0" w:firstColumn="1" w:lastColumn="0" w:noHBand="0" w:noVBand="1"/>
      </w:tblPr>
      <w:tblGrid>
        <w:gridCol w:w="2906"/>
        <w:gridCol w:w="6144"/>
      </w:tblGrid>
      <w:tr w:rsidR="00A85C29" w:rsidTr="00A53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Pr>
          <w:p w:rsidR="00A85C29" w:rsidRDefault="00A85C29" w:rsidP="007004E8">
            <w:r>
              <w:t>Exemption type</w:t>
            </w:r>
          </w:p>
        </w:tc>
        <w:tc>
          <w:tcPr>
            <w:tcW w:w="6144" w:type="dxa"/>
          </w:tcPr>
          <w:p w:rsidR="00A85C29" w:rsidRDefault="00A85C29" w:rsidP="007004E8">
            <w:pPr>
              <w:cnfStyle w:val="100000000000" w:firstRow="1" w:lastRow="0" w:firstColumn="0" w:lastColumn="0" w:oddVBand="0" w:evenVBand="0" w:oddHBand="0" w:evenHBand="0" w:firstRowFirstColumn="0" w:firstRowLastColumn="0" w:lastRowFirstColumn="0" w:lastRowLastColumn="0"/>
            </w:pPr>
            <w:r>
              <w:t>Description</w:t>
            </w:r>
          </w:p>
        </w:tc>
      </w:tr>
      <w:tr w:rsidR="00A85C29" w:rsidTr="00A53F3C">
        <w:tc>
          <w:tcPr>
            <w:cnfStyle w:val="001000000000" w:firstRow="0" w:lastRow="0" w:firstColumn="1" w:lastColumn="0" w:oddVBand="0" w:evenVBand="0" w:oddHBand="0" w:evenHBand="0" w:firstRowFirstColumn="0" w:firstRowLastColumn="0" w:lastRowFirstColumn="0" w:lastRowLastColumn="0"/>
            <w:tcW w:w="2906" w:type="dxa"/>
            <w:shd w:val="clear" w:color="auto" w:fill="DADDE0" w:themeFill="accent2" w:themeFillTint="66"/>
          </w:tcPr>
          <w:p w:rsidR="00A85C29" w:rsidRPr="00D352CD" w:rsidRDefault="00A85C29" w:rsidP="007004E8">
            <w:pPr>
              <w:rPr>
                <w:b/>
              </w:rPr>
            </w:pPr>
            <w:r w:rsidRPr="00D352CD">
              <w:rPr>
                <w:b/>
              </w:rPr>
              <w:t>Manufacturing exemptions for starting materials</w:t>
            </w:r>
          </w:p>
        </w:tc>
        <w:tc>
          <w:tcPr>
            <w:tcW w:w="6144" w:type="dxa"/>
          </w:tcPr>
          <w:p w:rsidR="00A85C29" w:rsidRPr="00C00985" w:rsidRDefault="00A85C29" w:rsidP="007004E8">
            <w:pPr>
              <w:cnfStyle w:val="000000000000" w:firstRow="0" w:lastRow="0" w:firstColumn="0" w:lastColumn="0" w:oddVBand="0" w:evenVBand="0" w:oddHBand="0" w:evenHBand="0" w:firstRowFirstColumn="0" w:firstRowLastColumn="0" w:lastRowFirstColumn="0" w:lastRowLastColumn="0"/>
            </w:pPr>
            <w:r w:rsidRPr="00C00985">
              <w:t xml:space="preserve">Schedule 7 of the </w:t>
            </w:r>
            <w:hyperlink r:id="rId85" w:history="1">
              <w:r w:rsidRPr="00C60B33">
                <w:rPr>
                  <w:rStyle w:val="Hyperlink"/>
                </w:rPr>
                <w:t>Regulations</w:t>
              </w:r>
            </w:hyperlink>
            <w:r w:rsidRPr="00C00985">
              <w:t xml:space="preserve"> provides </w:t>
            </w:r>
            <w:r>
              <w:t>for certain ingredients used in the manufacture of therapeutic goods to be</w:t>
            </w:r>
            <w:r w:rsidRPr="00C00985">
              <w:t xml:space="preserve"> exempt from the operation of Parts 3-3 of the Act</w:t>
            </w:r>
            <w:r>
              <w:t>.</w:t>
            </w:r>
          </w:p>
          <w:p w:rsidR="00A85C29" w:rsidRDefault="00A85C29" w:rsidP="007004E8">
            <w:pPr>
              <w:cnfStyle w:val="000000000000" w:firstRow="0" w:lastRow="0" w:firstColumn="0" w:lastColumn="0" w:oddVBand="0" w:evenVBand="0" w:oddHBand="0" w:evenHBand="0" w:firstRowFirstColumn="0" w:firstRowLastColumn="0" w:lastRowFirstColumn="0" w:lastRowLastColumn="0"/>
            </w:pPr>
            <w:r w:rsidRPr="00C00985">
              <w:t xml:space="preserve">For example: the Australian manufacturer of a ‘bulk’ essential oil (the farmer extracting oil from lavender plants) does not need to be licensed for </w:t>
            </w:r>
            <w:hyperlink r:id="rId86" w:history="1">
              <w:r w:rsidRPr="00935144">
                <w:rPr>
                  <w:color w:val="0000FF"/>
                  <w:u w:val="single"/>
                </w:rPr>
                <w:t>Good Manufacturing Practice (GMP)</w:t>
              </w:r>
            </w:hyperlink>
            <w:r w:rsidRPr="00C00985">
              <w:t>. However, the Australian manufacturers who undertake steps in the manufacturing of the finished dosage form (such as filling, blending, testing, labelling and release for supply) are required to hold the appropriate GMP licence.</w:t>
            </w:r>
          </w:p>
          <w:p w:rsidR="00A85C29" w:rsidRDefault="00A85C29" w:rsidP="007004E8">
            <w:pPr>
              <w:cnfStyle w:val="000000000000" w:firstRow="0" w:lastRow="0" w:firstColumn="0" w:lastColumn="0" w:oddVBand="0" w:evenVBand="0" w:oddHBand="0" w:evenHBand="0" w:firstRowFirstColumn="0" w:firstRowLastColumn="0" w:lastRowFirstColumn="0" w:lastRowLastColumn="0"/>
            </w:pPr>
            <w:r>
              <w:t>Note that ingredients that are either pre-packaged for other therapeutic purposes or formulated as a dosage form are subject to the therapeutic goods legislation and are required to be compliant with GMP.</w:t>
            </w:r>
          </w:p>
        </w:tc>
      </w:tr>
      <w:tr w:rsidR="00A85C29" w:rsidTr="00A53F3C">
        <w:tc>
          <w:tcPr>
            <w:cnfStyle w:val="001000000000" w:firstRow="0" w:lastRow="0" w:firstColumn="1" w:lastColumn="0" w:oddVBand="0" w:evenVBand="0" w:oddHBand="0" w:evenHBand="0" w:firstRowFirstColumn="0" w:firstRowLastColumn="0" w:lastRowFirstColumn="0" w:lastRowLastColumn="0"/>
            <w:tcW w:w="2906" w:type="dxa"/>
            <w:shd w:val="clear" w:color="auto" w:fill="DADDE0" w:themeFill="accent2" w:themeFillTint="66"/>
          </w:tcPr>
          <w:p w:rsidR="00A85C29" w:rsidRPr="00D352CD" w:rsidRDefault="00A85C29" w:rsidP="007004E8">
            <w:pPr>
              <w:rPr>
                <w:b/>
              </w:rPr>
            </w:pPr>
            <w:r w:rsidRPr="00D352CD">
              <w:rPr>
                <w:b/>
              </w:rPr>
              <w:t>Manufacturing exemptions for practitioners</w:t>
            </w:r>
          </w:p>
        </w:tc>
        <w:tc>
          <w:tcPr>
            <w:tcW w:w="6144" w:type="dxa"/>
          </w:tcPr>
          <w:p w:rsidR="00A85C29" w:rsidRDefault="00A85C29" w:rsidP="007004E8">
            <w:pPr>
              <w:spacing w:after="120"/>
              <w:cnfStyle w:val="000000000000" w:firstRow="0" w:lastRow="0" w:firstColumn="0" w:lastColumn="0" w:oddVBand="0" w:evenVBand="0" w:oddHBand="0" w:evenHBand="0" w:firstRowFirstColumn="0" w:firstRowLastColumn="0" w:lastRowFirstColumn="0" w:lastRowLastColumn="0"/>
            </w:pPr>
            <w:r>
              <w:t>Schedule 8(4) of the Regulations provides an exemption for specified practitioners from the operation of Part 3-3 of the Act (Manufacturing of therapeutic goods) and therefore the requirement to manufacture certain medicines under GMP:</w:t>
            </w:r>
          </w:p>
          <w:p w:rsidR="00A85C29" w:rsidRDefault="00A85C29" w:rsidP="00DB1979">
            <w:pPr>
              <w:pStyle w:val="LegalCopy"/>
              <w:ind w:left="385"/>
              <w:cnfStyle w:val="000000000000" w:firstRow="0" w:lastRow="0" w:firstColumn="0" w:lastColumn="0" w:oddVBand="0" w:evenVBand="0" w:oddHBand="0" w:evenHBand="0" w:firstRowFirstColumn="0" w:firstRowLastColumn="0" w:lastRowFirstColumn="0" w:lastRowLastColumn="0"/>
            </w:pPr>
            <w:r>
              <w:t>where the preparation is for use in the course of his or her business and:</w:t>
            </w:r>
          </w:p>
          <w:p w:rsidR="00A85C29" w:rsidRDefault="00A85C29" w:rsidP="00DB1979">
            <w:pPr>
              <w:pStyle w:val="LegalCopy"/>
              <w:ind w:left="385"/>
              <w:cnfStyle w:val="000000000000" w:firstRow="0" w:lastRow="0" w:firstColumn="0" w:lastColumn="0" w:oddVBand="0" w:evenVBand="0" w:oddHBand="0" w:evenHBand="0" w:firstRowFirstColumn="0" w:firstRowLastColumn="0" w:lastRowFirstColumn="0" w:lastRowLastColumn="0"/>
            </w:pPr>
            <w:r>
              <w:t>a ) the preparations are manufactured on premises that the person carrying on the business occupies and that he or she is able to close so as to exclude the public; and</w:t>
            </w:r>
          </w:p>
          <w:p w:rsidR="00A85C29" w:rsidRDefault="00A85C29" w:rsidP="00DB1979">
            <w:pPr>
              <w:pStyle w:val="LegalCopy"/>
              <w:ind w:left="385"/>
              <w:cnfStyle w:val="000000000000" w:firstRow="0" w:lastRow="0" w:firstColumn="0" w:lastColumn="0" w:oddVBand="0" w:evenVBand="0" w:oddHBand="0" w:evenHBand="0" w:firstRowFirstColumn="0" w:firstRowLastColumn="0" w:lastRowFirstColumn="0" w:lastRowLastColumn="0"/>
            </w:pPr>
            <w:r>
              <w:t>b)the person carrying on the business:</w:t>
            </w:r>
          </w:p>
          <w:p w:rsidR="00A85C29" w:rsidRDefault="00DB1979" w:rsidP="00DB1979">
            <w:pPr>
              <w:pStyle w:val="LegalCopy"/>
              <w:ind w:left="527"/>
              <w:cnfStyle w:val="000000000000" w:firstRow="0" w:lastRow="0" w:firstColumn="0" w:lastColumn="0" w:oddVBand="0" w:evenVBand="0" w:oddHBand="0" w:evenHBand="0" w:firstRowFirstColumn="0" w:firstRowLastColumn="0" w:lastRowFirstColumn="0" w:lastRowLastColumn="0"/>
            </w:pPr>
            <w:r>
              <w:t xml:space="preserve">i) </w:t>
            </w:r>
            <w:r w:rsidR="00A85C29">
              <w:t xml:space="preserve"> supplies the preparation for administration to a particular person after consulting with that person; and</w:t>
            </w:r>
          </w:p>
          <w:p w:rsidR="00A85C29" w:rsidRDefault="00A85C29" w:rsidP="00DB1979">
            <w:pPr>
              <w:pStyle w:val="LegalCopy"/>
              <w:ind w:left="527"/>
              <w:cnfStyle w:val="000000000000" w:firstRow="0" w:lastRow="0" w:firstColumn="0" w:lastColumn="0" w:oddVBand="0" w:evenVBand="0" w:oddHBand="0" w:evenHBand="0" w:firstRowFirstColumn="0" w:firstRowLastColumn="0" w:lastRowFirstColumn="0" w:lastRowLastColumn="0"/>
            </w:pPr>
            <w:r>
              <w:t>ii) uses his or her judgement as to the treatment required</w:t>
            </w:r>
          </w:p>
          <w:p w:rsidR="00A85C29" w:rsidRPr="00C00985" w:rsidRDefault="00A85C29" w:rsidP="007004E8">
            <w:pPr>
              <w:pStyle w:val="LegalCopy"/>
              <w:ind w:left="720"/>
              <w:cnfStyle w:val="000000000000" w:firstRow="0" w:lastRow="0" w:firstColumn="0" w:lastColumn="0" w:oddVBand="0" w:evenVBand="0" w:oddHBand="0" w:evenHBand="0" w:firstRowFirstColumn="0" w:firstRowLastColumn="0" w:lastRowFirstColumn="0" w:lastRowLastColumn="0"/>
            </w:pPr>
          </w:p>
        </w:tc>
      </w:tr>
      <w:tr w:rsidR="00A85C29" w:rsidTr="00A53F3C">
        <w:tc>
          <w:tcPr>
            <w:cnfStyle w:val="001000000000" w:firstRow="0" w:lastRow="0" w:firstColumn="1" w:lastColumn="0" w:oddVBand="0" w:evenVBand="0" w:oddHBand="0" w:evenHBand="0" w:firstRowFirstColumn="0" w:firstRowLastColumn="0" w:lastRowFirstColumn="0" w:lastRowLastColumn="0"/>
            <w:tcW w:w="2906" w:type="dxa"/>
            <w:shd w:val="clear" w:color="auto" w:fill="DADDE0" w:themeFill="accent2" w:themeFillTint="66"/>
          </w:tcPr>
          <w:p w:rsidR="00A85C29" w:rsidRPr="00D352CD" w:rsidRDefault="00A85C29" w:rsidP="007004E8">
            <w:pPr>
              <w:rPr>
                <w:b/>
              </w:rPr>
            </w:pPr>
            <w:r w:rsidRPr="00D352CD">
              <w:rPr>
                <w:b/>
              </w:rPr>
              <w:t>Manufacturing exemptions for homoeopathic preparations</w:t>
            </w:r>
          </w:p>
        </w:tc>
        <w:tc>
          <w:tcPr>
            <w:tcW w:w="6144" w:type="dxa"/>
          </w:tcPr>
          <w:p w:rsidR="00A85C29" w:rsidRPr="00C00985" w:rsidRDefault="00A85C29" w:rsidP="007004E8">
            <w:pPr>
              <w:spacing w:after="120"/>
              <w:cnfStyle w:val="000000000000" w:firstRow="0" w:lastRow="0" w:firstColumn="0" w:lastColumn="0" w:oddVBand="0" w:evenVBand="0" w:oddHBand="0" w:evenHBand="0" w:firstRowFirstColumn="0" w:firstRowLastColumn="0" w:lastRowFirstColumn="0" w:lastRowLastColumn="0"/>
            </w:pPr>
            <w:r w:rsidRPr="00C00985">
              <w:t>In Australia, homoeopathic medicines that:</w:t>
            </w:r>
          </w:p>
          <w:p w:rsidR="00A85C29" w:rsidRPr="00DB1979" w:rsidRDefault="00A85C29" w:rsidP="00DB1979">
            <w:pPr>
              <w:pStyle w:val="ListBullet"/>
              <w:cnfStyle w:val="000000000000" w:firstRow="0" w:lastRow="0" w:firstColumn="0" w:lastColumn="0" w:oddVBand="0" w:evenVBand="0" w:oddHBand="0" w:evenHBand="0" w:firstRowFirstColumn="0" w:firstRowLastColumn="0" w:lastRowFirstColumn="0" w:lastRowLastColumn="0"/>
            </w:pPr>
            <w:r w:rsidRPr="00DB1979">
              <w:t>are not required to be sterile</w:t>
            </w:r>
          </w:p>
          <w:p w:rsidR="00A85C29" w:rsidRPr="00C00985" w:rsidRDefault="00A85C29" w:rsidP="00DB1979">
            <w:pPr>
              <w:pStyle w:val="ListBullet"/>
              <w:cnfStyle w:val="000000000000" w:firstRow="0" w:lastRow="0" w:firstColumn="0" w:lastColumn="0" w:oddVBand="0" w:evenVBand="0" w:oddHBand="0" w:evenHBand="0" w:firstRowFirstColumn="0" w:firstRowLastColumn="0" w:lastRowFirstColumn="0" w:lastRowLastColumn="0"/>
            </w:pPr>
            <w:r w:rsidRPr="00DB1979">
              <w:t>only contain</w:t>
            </w:r>
            <w:r w:rsidRPr="001E3CF8">
              <w:t xml:space="preserve"> homoeopathic preparations that are more dilute</w:t>
            </w:r>
            <w:r w:rsidRPr="00597F9A">
              <w:t xml:space="preserve"> than a 1,000 fold dilution of the mother tincture (4X or above</w:t>
            </w:r>
            <w:r w:rsidRPr="00C00985">
              <w:t>)</w:t>
            </w:r>
          </w:p>
          <w:p w:rsidR="00A85C29" w:rsidRDefault="00A85C29" w:rsidP="007004E8">
            <w:pPr>
              <w:spacing w:after="120"/>
              <w:cnfStyle w:val="000000000000" w:firstRow="0" w:lastRow="0" w:firstColumn="0" w:lastColumn="0" w:oddVBand="0" w:evenVBand="0" w:oddHBand="0" w:evenHBand="0" w:firstRowFirstColumn="0" w:firstRowLastColumn="0" w:lastRowFirstColumn="0" w:lastRowLastColumn="0"/>
            </w:pPr>
            <w:r w:rsidRPr="00C00985">
              <w:t>are exempt from the Australian requirement that the manufacturer must hold a GMP license - refer to Item 7 of Schedule 7 to the Regulations.</w:t>
            </w:r>
          </w:p>
        </w:tc>
      </w:tr>
      <w:tr w:rsidR="00A85C29" w:rsidTr="00A53F3C">
        <w:tc>
          <w:tcPr>
            <w:cnfStyle w:val="001000000000" w:firstRow="0" w:lastRow="0" w:firstColumn="1" w:lastColumn="0" w:oddVBand="0" w:evenVBand="0" w:oddHBand="0" w:evenHBand="0" w:firstRowFirstColumn="0" w:firstRowLastColumn="0" w:lastRowFirstColumn="0" w:lastRowLastColumn="0"/>
            <w:tcW w:w="2906" w:type="dxa"/>
            <w:shd w:val="clear" w:color="auto" w:fill="DADDE0" w:themeFill="accent2" w:themeFillTint="66"/>
          </w:tcPr>
          <w:p w:rsidR="00A85C29" w:rsidRPr="00D352CD" w:rsidRDefault="00A85C29" w:rsidP="007004E8">
            <w:pPr>
              <w:rPr>
                <w:b/>
              </w:rPr>
            </w:pPr>
            <w:r w:rsidRPr="00D352CD">
              <w:rPr>
                <w:b/>
              </w:rPr>
              <w:lastRenderedPageBreak/>
              <w:t>Manufacturing requirements</w:t>
            </w:r>
            <w:r>
              <w:rPr>
                <w:b/>
              </w:rPr>
              <w:t>/exemptions</w:t>
            </w:r>
            <w:r w:rsidRPr="00D352CD">
              <w:rPr>
                <w:b/>
              </w:rPr>
              <w:t xml:space="preserve"> for proprietary ingredients</w:t>
            </w:r>
          </w:p>
        </w:tc>
        <w:tc>
          <w:tcPr>
            <w:tcW w:w="6144" w:type="dxa"/>
          </w:tcPr>
          <w:p w:rsidR="00A85C29" w:rsidRDefault="00A85C29" w:rsidP="007004E8">
            <w:pPr>
              <w:cnfStyle w:val="000000000000" w:firstRow="0" w:lastRow="0" w:firstColumn="0" w:lastColumn="0" w:oddVBand="0" w:evenVBand="0" w:oddHBand="0" w:evenHBand="0" w:firstRowFirstColumn="0" w:firstRowLastColumn="0" w:lastRowFirstColumn="0" w:lastRowLastColumn="0"/>
            </w:pPr>
            <w:r w:rsidRPr="00EB357F">
              <w:t>Australian manufacturers who are involved in the manufacture of active ingredients, mixtures containing active ingredients and any other step taken to bring therapeutic goods to their final state (for example: intermediate manufacturing steps, testing, packaging/labelling and release for supply) are required to have a licence (TGA GMP licence) under Part 3-3 of the Act, unless specifically exempted.</w:t>
            </w:r>
          </w:p>
          <w:p w:rsidR="00A85C29" w:rsidRDefault="00A85C29" w:rsidP="007004E8">
            <w:pPr>
              <w:cnfStyle w:val="000000000000" w:firstRow="0" w:lastRow="0" w:firstColumn="0" w:lastColumn="0" w:oddVBand="0" w:evenVBand="0" w:oddHBand="0" w:evenHBand="0" w:firstRowFirstColumn="0" w:firstRowLastColumn="0" w:lastRowFirstColumn="0" w:lastRowLastColumn="0"/>
            </w:pPr>
            <w:r>
              <w:t xml:space="preserve">Where a proprietary ingredient formulation is </w:t>
            </w:r>
            <w:r w:rsidRPr="00EB357F">
              <w:t xml:space="preserve">intended to have an active role in the product formulation </w:t>
            </w:r>
            <w:r>
              <w:t>(</w:t>
            </w:r>
            <w:r w:rsidRPr="00EB357F">
              <w:t>e.g. a proprietary ingredient with an active and excipient ingredient/s</w:t>
            </w:r>
            <w:r>
              <w:t>)</w:t>
            </w:r>
            <w:r w:rsidRPr="00EB357F">
              <w:t>, the</w:t>
            </w:r>
            <w:r>
              <w:t xml:space="preserve"> manufacture of the proprietary ingredient formulation may be considered a step in the manufacture of the finished product </w:t>
            </w:r>
            <w:r w:rsidRPr="00EB357F">
              <w:t xml:space="preserve">and a TGA GMP licence </w:t>
            </w:r>
            <w:r>
              <w:t>or approval of the manufacturer may be required.</w:t>
            </w:r>
            <w:r>
              <w:rPr>
                <w:rStyle w:val="FootnoteReference"/>
              </w:rPr>
              <w:footnoteReference w:id="3"/>
            </w:r>
          </w:p>
          <w:p w:rsidR="00A85C29" w:rsidRDefault="00A85C29" w:rsidP="007004E8">
            <w:pPr>
              <w:cnfStyle w:val="000000000000" w:firstRow="0" w:lastRow="0" w:firstColumn="0" w:lastColumn="0" w:oddVBand="0" w:evenVBand="0" w:oddHBand="0" w:evenHBand="0" w:firstRowFirstColumn="0" w:firstRowLastColumn="0" w:lastRowFirstColumn="0" w:lastRowLastColumn="0"/>
            </w:pPr>
            <w:r>
              <w:t xml:space="preserve">However, a proprietary ingredient formulation </w:t>
            </w:r>
            <w:r w:rsidRPr="00EB357F">
              <w:t xml:space="preserve">that </w:t>
            </w:r>
            <w:r>
              <w:t>has</w:t>
            </w:r>
            <w:r w:rsidRPr="00EB357F">
              <w:t xml:space="preserve"> an excipient formulation with </w:t>
            </w:r>
            <w:r>
              <w:t xml:space="preserve">an excipient role in the medicine (for example: colours, printing inks, flavours, fragrances, and preservatives) </w:t>
            </w:r>
            <w:r w:rsidRPr="00EB357F">
              <w:t>does not require a TGA GMP licence to be manufactured</w:t>
            </w:r>
            <w:r>
              <w:t>.</w:t>
            </w:r>
          </w:p>
          <w:p w:rsidR="00A85C29" w:rsidRPr="00C00985" w:rsidRDefault="00A85C29" w:rsidP="007004E8">
            <w:pPr>
              <w:cnfStyle w:val="000000000000" w:firstRow="0" w:lastRow="0" w:firstColumn="0" w:lastColumn="0" w:oddVBand="0" w:evenVBand="0" w:oddHBand="0" w:evenHBand="0" w:firstRowFirstColumn="0" w:firstRowLastColumn="0" w:lastRowFirstColumn="0" w:lastRowLastColumn="0"/>
            </w:pPr>
            <w:r w:rsidRPr="00EB357F">
              <w:t xml:space="preserve">For more information on GMP requirements refer to </w:t>
            </w:r>
            <w:hyperlink r:id="rId87" w:history="1">
              <w:r w:rsidRPr="00EB357F">
                <w:rPr>
                  <w:rStyle w:val="Hyperlink"/>
                </w:rPr>
                <w:t>Supplier assessment, approval and qualification for listed and complementary medicines</w:t>
              </w:r>
            </w:hyperlink>
            <w:r>
              <w:t>.</w:t>
            </w:r>
          </w:p>
        </w:tc>
      </w:tr>
    </w:tbl>
    <w:p w:rsidR="00A53F3C" w:rsidRPr="00783C28" w:rsidRDefault="00A53F3C" w:rsidP="00A53F3C">
      <w:pPr>
        <w:pStyle w:val="Heading5"/>
        <w:rPr>
          <w:rFonts w:eastAsia="Cambria"/>
        </w:rPr>
      </w:pPr>
      <w:r w:rsidRPr="00783C28">
        <w:rPr>
          <w:rFonts w:eastAsia="Cambria"/>
        </w:rPr>
        <w:t xml:space="preserve">Homoeopathic preparations </w:t>
      </w:r>
      <w:r>
        <w:rPr>
          <w:rFonts w:eastAsia="Cambria"/>
        </w:rPr>
        <w:t xml:space="preserve">exempt/ required to be </w:t>
      </w:r>
      <w:r w:rsidRPr="00783C28">
        <w:rPr>
          <w:rFonts w:eastAsia="Cambria"/>
        </w:rPr>
        <w:t>included in the ARTG</w:t>
      </w:r>
    </w:p>
    <w:p w:rsidR="00A53F3C" w:rsidRPr="00943037" w:rsidRDefault="00A53F3C" w:rsidP="00A53F3C">
      <w:r w:rsidRPr="00943037">
        <w:t xml:space="preserve">Where a medicine meets the definition of ‘homoeopathic preparation’ and meets the conditions set out under Item 8 of Schedule 5 to the </w:t>
      </w:r>
      <w:hyperlink r:id="rId88" w:history="1">
        <w:r w:rsidRPr="00C60B33">
          <w:rPr>
            <w:rStyle w:val="Hyperlink"/>
          </w:rPr>
          <w:t>Regulations</w:t>
        </w:r>
      </w:hyperlink>
      <w:r w:rsidRPr="00943037">
        <w:t xml:space="preserve"> it is exempt from the requirement to be included </w:t>
      </w:r>
      <w:r>
        <w:t>in the ARTG</w:t>
      </w:r>
      <w:r w:rsidRPr="00943037">
        <w:t xml:space="preserve">. </w:t>
      </w:r>
      <w:r>
        <w:t>(</w:t>
      </w:r>
      <w:r w:rsidRPr="00943037">
        <w:t xml:space="preserve">Note that this does not apply where the homoeopathic preparation is part of a medicine containing other ingredients requiring inclusion </w:t>
      </w:r>
      <w:r>
        <w:t>in the ARTG)</w:t>
      </w:r>
      <w:r w:rsidRPr="00943037">
        <w:t>.</w:t>
      </w:r>
    </w:p>
    <w:p w:rsidR="00A53F3C" w:rsidRDefault="00A53F3C" w:rsidP="00A53F3C">
      <w:r>
        <w:t>M</w:t>
      </w:r>
      <w:r w:rsidRPr="00943037">
        <w:t>ost homoeopathic preparations that are more dilute than a 1,000 fold dilution of a mother tincture (4X and above)</w:t>
      </w:r>
      <w:r>
        <w:t xml:space="preserve">, </w:t>
      </w:r>
      <w:r w:rsidRPr="00943037">
        <w:t xml:space="preserve">are not required to be </w:t>
      </w:r>
      <w:r>
        <w:t>i</w:t>
      </w:r>
      <w:r w:rsidRPr="00943037">
        <w:t>n the ARTG as they are consider</w:t>
      </w:r>
      <w:r>
        <w:t>ed to be sufficiently low risk, providing that the preparation:</w:t>
      </w:r>
    </w:p>
    <w:p w:rsidR="00A53F3C" w:rsidRPr="00781535" w:rsidRDefault="00A53F3C" w:rsidP="00781535">
      <w:pPr>
        <w:pStyle w:val="ListBullet"/>
      </w:pPr>
      <w:r>
        <w:t xml:space="preserve">is </w:t>
      </w:r>
      <w:r w:rsidRPr="00781535">
        <w:t>not required to be sterile</w:t>
      </w:r>
    </w:p>
    <w:p w:rsidR="00A53F3C" w:rsidRPr="00781535" w:rsidRDefault="00A53F3C" w:rsidP="00781535">
      <w:pPr>
        <w:pStyle w:val="ListBullet"/>
      </w:pPr>
      <w:r w:rsidRPr="00781535">
        <w:t>does not include an ingredient of human or specified animal origin</w:t>
      </w:r>
    </w:p>
    <w:p w:rsidR="00A53F3C" w:rsidRDefault="00A53F3C" w:rsidP="00781535">
      <w:pPr>
        <w:pStyle w:val="ListBullet"/>
      </w:pPr>
      <w:r w:rsidRPr="00781535">
        <w:t>is not for the cure</w:t>
      </w:r>
      <w:r w:rsidRPr="00E144B6">
        <w:t>, prevention, diagnosis or monitoring of, or testing susceptibility of persons to, a disease, condition, ailment or defect</w:t>
      </w:r>
    </w:p>
    <w:p w:rsidR="007A13A1" w:rsidRDefault="007A13A1" w:rsidP="007A13A1">
      <w:r>
        <w:t>Items 4A and 5 of Part 1 of Schedule 4 to the Regulations state the following homoeopathic preparations are required to be listed in the ARTG:</w:t>
      </w:r>
    </w:p>
    <w:p w:rsidR="007A13A1" w:rsidRDefault="007A13A1" w:rsidP="007A13A1">
      <w:pPr>
        <w:pStyle w:val="ListBullet"/>
      </w:pPr>
      <w:r>
        <w:t>mother tinctures and 1X, 2X and 3X potency homoeopathic preparations (that is, 1000 fold or lesser dilution of the mother tincture)’; and</w:t>
      </w:r>
    </w:p>
    <w:p w:rsidR="007A13A1" w:rsidRDefault="007A13A1" w:rsidP="007A13A1">
      <w:pPr>
        <w:pStyle w:val="ListBullet"/>
      </w:pPr>
      <w:r>
        <w:t>preparations more dilute then 1000 fold dilutions that make therapeutic indications.</w:t>
      </w:r>
    </w:p>
    <w:p w:rsidR="007A13A1" w:rsidRDefault="007A13A1" w:rsidP="007A13A1">
      <w:pPr>
        <w:keepNext/>
      </w:pPr>
      <w:r>
        <w:lastRenderedPageBreak/>
        <w:t>To be listed in the ARTG, homoeopathic preparations must:</w:t>
      </w:r>
    </w:p>
    <w:p w:rsidR="007A13A1" w:rsidRDefault="007A13A1" w:rsidP="007A13A1">
      <w:pPr>
        <w:pStyle w:val="ListBullet2"/>
        <w:numPr>
          <w:ilvl w:val="1"/>
          <w:numId w:val="22"/>
        </w:numPr>
      </w:pPr>
      <w:r>
        <w:t xml:space="preserve">only contain ingredients specified in the </w:t>
      </w:r>
      <w:hyperlink r:id="rId89" w:history="1">
        <w:r w:rsidRPr="00140569">
          <w:rPr>
            <w:rStyle w:val="Hyperlink"/>
          </w:rPr>
          <w:t>Permissible Ingredients Determination</w:t>
        </w:r>
      </w:hyperlink>
      <w:r>
        <w:t xml:space="preserve"> </w:t>
      </w:r>
    </w:p>
    <w:p w:rsidR="007A13A1" w:rsidRDefault="007A13A1" w:rsidP="007A13A1">
      <w:pPr>
        <w:pStyle w:val="ListBullet2"/>
        <w:numPr>
          <w:ilvl w:val="1"/>
          <w:numId w:val="22"/>
        </w:numPr>
        <w:rPr>
          <w:rStyle w:val="Hyperlink"/>
        </w:rPr>
      </w:pPr>
      <w:r>
        <w:t xml:space="preserve">only contain indications covered by the </w:t>
      </w:r>
      <w:hyperlink r:id="rId90" w:history="1">
        <w:r w:rsidRPr="00140569">
          <w:rPr>
            <w:rStyle w:val="Hyperlink"/>
          </w:rPr>
          <w:t>Permissible In</w:t>
        </w:r>
        <w:r>
          <w:rPr>
            <w:rStyle w:val="Hyperlink"/>
          </w:rPr>
          <w:t xml:space="preserve">dications </w:t>
        </w:r>
        <w:r w:rsidRPr="00140569">
          <w:rPr>
            <w:rStyle w:val="Hyperlink"/>
          </w:rPr>
          <w:t>Determination</w:t>
        </w:r>
      </w:hyperlink>
    </w:p>
    <w:p w:rsidR="007A13A1" w:rsidRDefault="007A13A1" w:rsidP="007A13A1">
      <w:pPr>
        <w:pStyle w:val="ListBullet2"/>
        <w:numPr>
          <w:ilvl w:val="1"/>
          <w:numId w:val="22"/>
        </w:numPr>
      </w:pPr>
      <w:r>
        <w:t>not be required to be sterile</w:t>
      </w:r>
    </w:p>
    <w:p w:rsidR="007A13A1" w:rsidRPr="00E331C8" w:rsidRDefault="007A13A1" w:rsidP="007A13A1">
      <w:pPr>
        <w:pStyle w:val="ListBullet2"/>
        <w:numPr>
          <w:ilvl w:val="1"/>
          <w:numId w:val="22"/>
        </w:numPr>
      </w:pPr>
      <w:r w:rsidRPr="00E331C8">
        <w:t>not contain a substance included in a S</w:t>
      </w:r>
      <w:r>
        <w:t>chedule to the Poisons Standard</w:t>
      </w:r>
      <w:r w:rsidRPr="00E331C8">
        <w:t>(other than one that is more than a 1,000 fold dilution of mother tincture)</w:t>
      </w:r>
    </w:p>
    <w:p w:rsidR="007A13A1" w:rsidRDefault="007A13A1" w:rsidP="007A13A1">
      <w:pPr>
        <w:pStyle w:val="Heading4"/>
      </w:pPr>
      <w:bookmarkStart w:id="37" w:name="_Legislation_applying_to"/>
      <w:bookmarkStart w:id="38" w:name="_ARTG_entry_pathways"/>
      <w:bookmarkStart w:id="39" w:name="_ARTG_entry_pathways_1"/>
      <w:bookmarkStart w:id="40" w:name="_Entering_complementary_medicines"/>
      <w:bookmarkStart w:id="41" w:name="_Toc77521702"/>
      <w:bookmarkEnd w:id="37"/>
      <w:bookmarkEnd w:id="38"/>
      <w:bookmarkEnd w:id="39"/>
      <w:bookmarkEnd w:id="40"/>
      <w:r>
        <w:t>Entering medicines in the ARTG</w:t>
      </w:r>
      <w:bookmarkEnd w:id="41"/>
      <w:r>
        <w:t xml:space="preserve"> </w:t>
      </w:r>
    </w:p>
    <w:p w:rsidR="007A13A1" w:rsidRPr="00D15459" w:rsidRDefault="007A13A1" w:rsidP="007A13A1">
      <w:pPr>
        <w:pStyle w:val="ListBullet"/>
        <w:numPr>
          <w:ilvl w:val="0"/>
          <w:numId w:val="0"/>
        </w:numPr>
      </w:pPr>
      <w:r w:rsidRPr="001755E4">
        <w:t xml:space="preserve">If your </w:t>
      </w:r>
      <w:r>
        <w:t xml:space="preserve">medicine </w:t>
      </w:r>
      <w:r w:rsidRPr="001755E4">
        <w:t>is</w:t>
      </w:r>
      <w:r>
        <w:t xml:space="preserve"> </w:t>
      </w:r>
      <w:r w:rsidRPr="001755E4">
        <w:rPr>
          <w:b/>
          <w:bCs/>
        </w:rPr>
        <w:t>not</w:t>
      </w:r>
      <w:r>
        <w:t xml:space="preserve"> </w:t>
      </w:r>
      <w:hyperlink w:anchor="_Medicines_exempt_from" w:history="1">
        <w:r w:rsidRPr="00C37CF7">
          <w:rPr>
            <w:rStyle w:val="Hyperlink"/>
          </w:rPr>
          <w:t>exempt,</w:t>
        </w:r>
      </w:hyperlink>
      <w:r w:rsidRPr="001755E4">
        <w:t> then you</w:t>
      </w:r>
      <w:r>
        <w:t xml:space="preserve"> </w:t>
      </w:r>
      <w:r w:rsidRPr="001755E4">
        <w:rPr>
          <w:b/>
          <w:bCs/>
        </w:rPr>
        <w:t>must</w:t>
      </w:r>
      <w:r>
        <w:rPr>
          <w:b/>
          <w:bCs/>
        </w:rPr>
        <w:t xml:space="preserve"> </w:t>
      </w:r>
      <w:r w:rsidRPr="001755E4">
        <w:t xml:space="preserve">apply to include your </w:t>
      </w:r>
      <w:r>
        <w:t>medicine i</w:t>
      </w:r>
      <w:r w:rsidRPr="001755E4">
        <w:t>n the ARTG</w:t>
      </w:r>
      <w:r>
        <w:t xml:space="preserve">. To include a medicine in the </w:t>
      </w:r>
      <w:hyperlink r:id="rId91" w:history="1">
        <w:r w:rsidRPr="00E85CA7">
          <w:rPr>
            <w:rStyle w:val="Hyperlink"/>
          </w:rPr>
          <w:t>Australian Register of Therapeutic Goods</w:t>
        </w:r>
      </w:hyperlink>
      <w:r w:rsidRPr="005F17F2">
        <w:t xml:space="preserve"> </w:t>
      </w:r>
      <w:r>
        <w:t>(</w:t>
      </w:r>
      <w:r w:rsidRPr="00D15459">
        <w:t>ARTG</w:t>
      </w:r>
      <w:r>
        <w:t>) an applicant will need to</w:t>
      </w:r>
      <w:r w:rsidRPr="00D15459">
        <w:t>:</w:t>
      </w:r>
    </w:p>
    <w:p w:rsidR="007A13A1" w:rsidRPr="00D15459" w:rsidRDefault="007A13A1" w:rsidP="007A13A1">
      <w:pPr>
        <w:pStyle w:val="Numberbullet0"/>
        <w:numPr>
          <w:ilvl w:val="0"/>
          <w:numId w:val="26"/>
        </w:numPr>
      </w:pPr>
      <w:r w:rsidRPr="00D15459">
        <w:t xml:space="preserve">Identify the </w:t>
      </w:r>
      <w:r>
        <w:t xml:space="preserve">appropriate </w:t>
      </w:r>
      <w:r w:rsidRPr="00D15459">
        <w:t xml:space="preserve">approval pathway for </w:t>
      </w:r>
      <w:r>
        <w:t>the</w:t>
      </w:r>
      <w:r w:rsidRPr="00D15459">
        <w:t xml:space="preserve"> medicine</w:t>
      </w:r>
      <w:r>
        <w:t>. The</w:t>
      </w:r>
      <w:hyperlink r:id="rId92" w:history="1">
        <w:r w:rsidRPr="005F17F2">
          <w:rPr>
            <w:rStyle w:val="Hyperlink"/>
          </w:rPr>
          <w:t xml:space="preserve"> Pathways for complementary medicine products</w:t>
        </w:r>
      </w:hyperlink>
      <w:r w:rsidRPr="005F17F2">
        <w:t xml:space="preserve"> assist</w:t>
      </w:r>
      <w:r>
        <w:t>s</w:t>
      </w:r>
      <w:r w:rsidRPr="005F17F2">
        <w:t xml:space="preserve"> potential sponsors of medicines to determine the most suitable pathway to enter their product in the </w:t>
      </w:r>
      <w:r>
        <w:t>ARTG</w:t>
      </w:r>
      <w:r w:rsidRPr="005F17F2">
        <w:t>.</w:t>
      </w:r>
    </w:p>
    <w:p w:rsidR="007A13A1" w:rsidRDefault="007A13A1" w:rsidP="007A13A1">
      <w:pPr>
        <w:pStyle w:val="Numberbullet0"/>
      </w:pPr>
      <w:r w:rsidRPr="00D15459">
        <w:t xml:space="preserve">Apply to enter </w:t>
      </w:r>
      <w:r>
        <w:t>the</w:t>
      </w:r>
      <w:r w:rsidRPr="00D15459">
        <w:t xml:space="preserve"> medicine in the ARTG</w:t>
      </w:r>
      <w:r>
        <w:t xml:space="preserve"> using the appropriate form for the selected pathway</w:t>
      </w:r>
      <w:r w:rsidRPr="00D15459">
        <w:t>.</w:t>
      </w:r>
    </w:p>
    <w:p w:rsidR="007A13A1" w:rsidRDefault="007A13A1" w:rsidP="007A13A1">
      <w:pPr>
        <w:pStyle w:val="Heading5"/>
      </w:pPr>
      <w:bookmarkStart w:id="42" w:name="_Overview_of_the"/>
      <w:bookmarkEnd w:id="42"/>
      <w:r>
        <w:t xml:space="preserve">Determining the ARTG entry pathway </w:t>
      </w:r>
    </w:p>
    <w:p w:rsidR="007A13A1" w:rsidRDefault="007A13A1" w:rsidP="007A13A1">
      <w:r>
        <w:t>The ARTG entry pathways for medicines are based on the ingredients they contain and the therapeutic indications (claimed health benefits) they use.  The ARTG categories are:</w:t>
      </w:r>
    </w:p>
    <w:p w:rsidR="007A13A1" w:rsidRPr="007B44F5" w:rsidRDefault="007A13A1" w:rsidP="007A13A1">
      <w:pPr>
        <w:pStyle w:val="ListBullet"/>
      </w:pPr>
      <w:r w:rsidRPr="007B44F5">
        <w:t xml:space="preserve">Listed </w:t>
      </w:r>
      <w:r w:rsidRPr="007A13A1">
        <w:t>medicines</w:t>
      </w:r>
    </w:p>
    <w:p w:rsidR="007A13A1" w:rsidRDefault="007A13A1" w:rsidP="007A13A1">
      <w:pPr>
        <w:pStyle w:val="ListBullet2"/>
        <w:numPr>
          <w:ilvl w:val="1"/>
          <w:numId w:val="22"/>
        </w:numPr>
      </w:pPr>
      <w:r>
        <w:rPr>
          <w:b/>
        </w:rPr>
        <w:t>‘AUST L’ l</w:t>
      </w:r>
      <w:r w:rsidRPr="008F4C3A">
        <w:rPr>
          <w:b/>
        </w:rPr>
        <w:t>isted medicines</w:t>
      </w:r>
      <w:r>
        <w:t xml:space="preserve"> </w:t>
      </w:r>
      <w:r w:rsidRPr="008733D2">
        <w:t xml:space="preserve">are considered to have a lower risk as they may only use low-risk ingredients and low-level indications that must be selected from the pre-approved lists. Listed medicines are not individually evaluated by the TGA before they are released onto the market; instead, they are automatically included in the ARTG following completion of an application and certification by the sponsor that their product meets all applicable legislative requirements in relation to safety, quality and efficacy. Listed medicines have an AUST L number on their medicine label. </w:t>
      </w:r>
      <w:r w:rsidRPr="002F2B67">
        <w:t xml:space="preserve">Refer to </w:t>
      </w:r>
      <w:hyperlink r:id="rId93" w:history="1">
        <w:r w:rsidRPr="002C02CF">
          <w:rPr>
            <w:rStyle w:val="Hyperlink"/>
          </w:rPr>
          <w:t>General guidance for listed medicines</w:t>
        </w:r>
      </w:hyperlink>
      <w:r w:rsidRPr="000C44E1">
        <w:rPr>
          <w:rStyle w:val="Hyperlink"/>
        </w:rPr>
        <w:t xml:space="preserve"> </w:t>
      </w:r>
      <w:r w:rsidRPr="002F2B67">
        <w:t>for more information.</w:t>
      </w:r>
    </w:p>
    <w:p w:rsidR="007A13A1" w:rsidRDefault="007A13A1" w:rsidP="007A13A1">
      <w:pPr>
        <w:pStyle w:val="ListBullet2"/>
        <w:numPr>
          <w:ilvl w:val="1"/>
          <w:numId w:val="22"/>
        </w:numPr>
      </w:pPr>
      <w:r>
        <w:rPr>
          <w:b/>
        </w:rPr>
        <w:t>‘AUST L(A)’ a</w:t>
      </w:r>
      <w:r w:rsidRPr="008F4C3A">
        <w:rPr>
          <w:b/>
        </w:rPr>
        <w:t>ssessed listed medicines</w:t>
      </w:r>
      <w:r w:rsidRPr="00433A69">
        <w:t xml:space="preserve"> </w:t>
      </w:r>
      <w:r w:rsidRPr="008733D2">
        <w:t xml:space="preserve">may only use low-risk ingredients permitted for use in listed medicines. </w:t>
      </w:r>
      <w:r w:rsidRPr="00583AC4">
        <w:t>However, they must have at least one intermediate indication (i.e. indications that are above those available for AUST L listed medicines), and may also include lower-level indications. Assessed</w:t>
      </w:r>
      <w:r w:rsidRPr="008733D2">
        <w:t xml:space="preserve"> listed medicines are entered in the ARTG following self-certification by the applicant of the safety and quality of the product and TGA pre-market assessment of the efficacy evidence supporting the proposed indications. Assessed listed medicines have an AUST L(A)</w:t>
      </w:r>
      <w:r>
        <w:t xml:space="preserve"> number on their medicine label.</w:t>
      </w:r>
      <w:r w:rsidRPr="002F2B67">
        <w:t xml:space="preserve"> Refer to </w:t>
      </w:r>
      <w:hyperlink r:id="rId94" w:history="1">
        <w:r w:rsidRPr="00534945">
          <w:rPr>
            <w:rStyle w:val="Hyperlink"/>
          </w:rPr>
          <w:t>General guidance for listed medicines</w:t>
        </w:r>
      </w:hyperlink>
      <w:r w:rsidRPr="00E41F18">
        <w:rPr>
          <w:rFonts w:ascii="Times New Roman" w:hAnsi="Times New Roman"/>
          <w:bCs/>
          <w:color w:val="0070C0"/>
          <w:szCs w:val="24"/>
          <w:u w:val="single"/>
          <w:lang w:eastAsia="en-AU"/>
        </w:rPr>
        <w:t xml:space="preserve"> </w:t>
      </w:r>
      <w:r w:rsidRPr="002F2B67">
        <w:t>for more information.</w:t>
      </w:r>
    </w:p>
    <w:p w:rsidR="007A13A1" w:rsidRPr="0012238A" w:rsidRDefault="007A13A1" w:rsidP="007A13A1">
      <w:pPr>
        <w:pStyle w:val="ListBullet"/>
      </w:pPr>
      <w:r>
        <w:rPr>
          <w:b/>
        </w:rPr>
        <w:t>AUST R r</w:t>
      </w:r>
      <w:r w:rsidRPr="0090430D">
        <w:rPr>
          <w:b/>
        </w:rPr>
        <w:t>egistered complementary medicines</w:t>
      </w:r>
      <w:r w:rsidRPr="00EA0B01">
        <w:t xml:space="preserve"> </w:t>
      </w:r>
      <w:r w:rsidRPr="008733D2">
        <w:t xml:space="preserve">are considered to be relatively higher risk than listed medicines, based on the ingredients they contain or the indications made for the medicine. </w:t>
      </w:r>
      <w:r w:rsidRPr="007A13A1">
        <w:t>All</w:t>
      </w:r>
      <w:r w:rsidRPr="008733D2">
        <w:t xml:space="preserve"> registered medicines are fully assessed by the TGA for quality, safety and efficacy prior to being available in the Australian market. Registered medicines have an AUST R number on the medicine’s label.</w:t>
      </w:r>
      <w:r w:rsidRPr="00EA0B01" w:rsidDel="008733D2">
        <w:t xml:space="preserve"> </w:t>
      </w:r>
      <w:bookmarkStart w:id="43" w:name="_Listed_medicines"/>
      <w:bookmarkStart w:id="44" w:name="_Registered_medicines"/>
      <w:bookmarkEnd w:id="43"/>
      <w:bookmarkEnd w:id="44"/>
      <w:r>
        <w:t xml:space="preserve">. Refer to </w:t>
      </w:r>
      <w:hyperlink r:id="rId95" w:history="1">
        <w:r w:rsidRPr="00534945">
          <w:rPr>
            <w:rStyle w:val="Hyperlink"/>
          </w:rPr>
          <w:t>Applications for registered complementary medicines</w:t>
        </w:r>
      </w:hyperlink>
      <w:r>
        <w:rPr>
          <w:rStyle w:val="Hyperlink"/>
        </w:rPr>
        <w:t xml:space="preserve"> </w:t>
      </w:r>
      <w:r w:rsidRPr="0012238A">
        <w:t>for more information</w:t>
      </w:r>
      <w:r>
        <w:t>.</w:t>
      </w:r>
    </w:p>
    <w:p w:rsidR="007A13A1" w:rsidRDefault="007A13A1" w:rsidP="007A13A1">
      <w:pPr>
        <w:rPr>
          <w:b/>
        </w:rPr>
      </w:pPr>
      <w:r>
        <w:rPr>
          <w:b/>
        </w:rPr>
        <w:t>Table 6</w:t>
      </w:r>
      <w:r>
        <w:t xml:space="preserve"> </w:t>
      </w:r>
      <w:r w:rsidRPr="00503E18">
        <w:t>summarises</w:t>
      </w:r>
      <w:r w:rsidRPr="00784617">
        <w:t xml:space="preserve"> the key aspects and regulatory requirements for each</w:t>
      </w:r>
      <w:r>
        <w:t xml:space="preserve"> ARTG entry </w:t>
      </w:r>
      <w:r w:rsidRPr="00784617">
        <w:t>pathway</w:t>
      </w:r>
      <w:r w:rsidRPr="00EA0B01">
        <w:rPr>
          <w:b/>
        </w:rPr>
        <w:t xml:space="preserve"> </w:t>
      </w:r>
    </w:p>
    <w:p w:rsidR="007A13A1" w:rsidRPr="00784617" w:rsidRDefault="007A13A1" w:rsidP="007A13A1">
      <w:r>
        <w:rPr>
          <w:b/>
        </w:rPr>
        <w:t>Table 7</w:t>
      </w:r>
      <w:r w:rsidRPr="00784617">
        <w:t xml:space="preserve"> </w:t>
      </w:r>
      <w:r>
        <w:t>outlines the</w:t>
      </w:r>
      <w:r w:rsidRPr="00784617">
        <w:t xml:space="preserve"> risk categor</w:t>
      </w:r>
      <w:r>
        <w:t>ies of medicines based</w:t>
      </w:r>
      <w:r w:rsidRPr="00784617">
        <w:t xml:space="preserve"> on the claimed therapeutic indications</w:t>
      </w:r>
      <w:r>
        <w:t>.</w:t>
      </w:r>
    </w:p>
    <w:p w:rsidR="007A13A1" w:rsidRPr="00784617" w:rsidRDefault="007A13A1" w:rsidP="007A13A1">
      <w:pPr>
        <w:pStyle w:val="Tabletitle"/>
      </w:pPr>
      <w:r>
        <w:lastRenderedPageBreak/>
        <w:t xml:space="preserve">Table 6: </w:t>
      </w:r>
      <w:r w:rsidRPr="00784617">
        <w:t>Regulatory requirements for</w:t>
      </w:r>
      <w:r>
        <w:t xml:space="preserve"> the</w:t>
      </w:r>
      <w:r w:rsidRPr="00784617">
        <w:t xml:space="preserve"> </w:t>
      </w:r>
      <w:r>
        <w:t>three ARTG entry</w:t>
      </w:r>
      <w:r w:rsidRPr="00784617">
        <w:t xml:space="preserve"> pathways</w:t>
      </w:r>
      <w:r>
        <w:t xml:space="preserve"> </w:t>
      </w:r>
    </w:p>
    <w:tbl>
      <w:tblPr>
        <w:tblStyle w:val="TableTGAblue"/>
        <w:tblW w:w="9214" w:type="dxa"/>
        <w:tblInd w:w="108" w:type="dxa"/>
        <w:tblLayout w:type="fixed"/>
        <w:tblLook w:val="04A0" w:firstRow="1" w:lastRow="0" w:firstColumn="1" w:lastColumn="0" w:noHBand="0" w:noVBand="1"/>
        <w:tblCaption w:val="Changes to teh labelling includign package inserts and product details "/>
        <w:tblDescription w:val="Column 1 is the change code, column 2 is an explanation of the change that can be made using this code column 3 is the status of the code (from the status code table) column 4 is the assurance code from the assurance code table column 5 provides the application level for the change and column 6 is the section of the therapeutic goods act that applies to the change."/>
      </w:tblPr>
      <w:tblGrid>
        <w:gridCol w:w="1701"/>
        <w:gridCol w:w="1843"/>
        <w:gridCol w:w="142"/>
        <w:gridCol w:w="2410"/>
        <w:gridCol w:w="3118"/>
      </w:tblGrid>
      <w:tr w:rsidR="007A13A1" w:rsidRPr="005F17F2" w:rsidTr="00700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7A13A1" w:rsidRPr="003E189A" w:rsidRDefault="007A13A1" w:rsidP="007004E8">
            <w:pPr>
              <w:rPr>
                <w:sz w:val="20"/>
                <w:lang w:eastAsia="en-AU"/>
              </w:rPr>
            </w:pPr>
          </w:p>
        </w:tc>
        <w:tc>
          <w:tcPr>
            <w:tcW w:w="1843" w:type="dxa"/>
          </w:tcPr>
          <w:p w:rsidR="007A13A1" w:rsidRPr="003E189A" w:rsidRDefault="007A13A1" w:rsidP="007004E8">
            <w:pPr>
              <w:cnfStyle w:val="100000000000" w:firstRow="1" w:lastRow="0" w:firstColumn="0" w:lastColumn="0" w:oddVBand="0" w:evenVBand="0" w:oddHBand="0" w:evenHBand="0" w:firstRowFirstColumn="0" w:firstRowLastColumn="0" w:lastRowFirstColumn="0" w:lastRowLastColumn="0"/>
              <w:rPr>
                <w:sz w:val="20"/>
                <w:lang w:eastAsia="en-AU"/>
              </w:rPr>
            </w:pPr>
            <w:r w:rsidRPr="005F17F2">
              <w:rPr>
                <w:rFonts w:cstheme="minorBidi"/>
                <w:bCs/>
                <w:szCs w:val="22"/>
              </w:rPr>
              <w:t>Listed medicines</w:t>
            </w:r>
            <w:r>
              <w:rPr>
                <w:rFonts w:cstheme="minorBidi"/>
                <w:bCs/>
                <w:szCs w:val="22"/>
              </w:rPr>
              <w:t xml:space="preserve"> </w:t>
            </w:r>
          </w:p>
        </w:tc>
        <w:tc>
          <w:tcPr>
            <w:tcW w:w="2552" w:type="dxa"/>
            <w:gridSpan w:val="2"/>
          </w:tcPr>
          <w:p w:rsidR="007A13A1" w:rsidRPr="003E189A" w:rsidRDefault="007A13A1" w:rsidP="007004E8">
            <w:pPr>
              <w:cnfStyle w:val="100000000000" w:firstRow="1" w:lastRow="0" w:firstColumn="0" w:lastColumn="0" w:oddVBand="0" w:evenVBand="0" w:oddHBand="0" w:evenHBand="0" w:firstRowFirstColumn="0" w:firstRowLastColumn="0" w:lastRowFirstColumn="0" w:lastRowLastColumn="0"/>
              <w:rPr>
                <w:sz w:val="20"/>
                <w:lang w:eastAsia="en-AU"/>
              </w:rPr>
            </w:pPr>
            <w:r w:rsidRPr="005F17F2">
              <w:rPr>
                <w:rFonts w:cstheme="minorBidi"/>
                <w:bCs/>
                <w:szCs w:val="22"/>
              </w:rPr>
              <w:t>Assessed listed medicines</w:t>
            </w:r>
            <w:r>
              <w:rPr>
                <w:rFonts w:cstheme="minorBidi"/>
                <w:bCs/>
                <w:szCs w:val="22"/>
              </w:rPr>
              <w:t xml:space="preserve"> </w:t>
            </w:r>
          </w:p>
        </w:tc>
        <w:tc>
          <w:tcPr>
            <w:tcW w:w="3118" w:type="dxa"/>
          </w:tcPr>
          <w:p w:rsidR="007A13A1" w:rsidRPr="003E189A" w:rsidRDefault="007A13A1" w:rsidP="007004E8">
            <w:pPr>
              <w:cnfStyle w:val="100000000000" w:firstRow="1" w:lastRow="0" w:firstColumn="0" w:lastColumn="0" w:oddVBand="0" w:evenVBand="0" w:oddHBand="0" w:evenHBand="0" w:firstRowFirstColumn="0" w:firstRowLastColumn="0" w:lastRowFirstColumn="0" w:lastRowLastColumn="0"/>
              <w:rPr>
                <w:sz w:val="20"/>
                <w:lang w:eastAsia="en-AU"/>
              </w:rPr>
            </w:pPr>
            <w:r w:rsidRPr="005F17F2">
              <w:rPr>
                <w:rFonts w:cstheme="minorBidi"/>
                <w:bCs/>
                <w:szCs w:val="22"/>
              </w:rPr>
              <w:t xml:space="preserve">Registered </w:t>
            </w:r>
            <w:r>
              <w:rPr>
                <w:rFonts w:cstheme="minorBidi"/>
                <w:bCs/>
                <w:szCs w:val="22"/>
              </w:rPr>
              <w:t xml:space="preserve">complementary </w:t>
            </w:r>
            <w:r w:rsidRPr="005F17F2">
              <w:rPr>
                <w:rFonts w:cstheme="minorBidi"/>
                <w:bCs/>
                <w:szCs w:val="22"/>
              </w:rPr>
              <w:t>medicines</w:t>
            </w:r>
          </w:p>
        </w:tc>
      </w:tr>
      <w:tr w:rsidR="007A13A1" w:rsidRPr="00AC5E8D" w:rsidTr="007004E8">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shd w:val="clear" w:color="auto" w:fill="DADDE0" w:themeFill="accent2" w:themeFillTint="66"/>
          </w:tcPr>
          <w:p w:rsidR="007A13A1" w:rsidRPr="00255411" w:rsidRDefault="007A13A1" w:rsidP="007004E8">
            <w:pPr>
              <w:keepNext/>
              <w:rPr>
                <w:rFonts w:cstheme="minorBidi"/>
                <w:b/>
                <w:bCs/>
                <w:szCs w:val="22"/>
              </w:rPr>
            </w:pPr>
            <w:r>
              <w:rPr>
                <w:rFonts w:cstheme="minorBidi"/>
                <w:b/>
                <w:bCs/>
                <w:szCs w:val="22"/>
              </w:rPr>
              <w:t xml:space="preserve">ARTG no. </w:t>
            </w:r>
          </w:p>
        </w:tc>
        <w:tc>
          <w:tcPr>
            <w:tcW w:w="1843" w:type="dxa"/>
          </w:tcPr>
          <w:p w:rsidR="007A13A1" w:rsidRPr="00255411" w:rsidRDefault="007A13A1" w:rsidP="007004E8">
            <w:pPr>
              <w:keepNext/>
              <w:cnfStyle w:val="000000000000" w:firstRow="0" w:lastRow="0" w:firstColumn="0" w:lastColumn="0" w:oddVBand="0" w:evenVBand="0" w:oddHBand="0" w:evenHBand="0" w:firstRowFirstColumn="0" w:firstRowLastColumn="0" w:lastRowFirstColumn="0" w:lastRowLastColumn="0"/>
              <w:rPr>
                <w:rFonts w:cstheme="minorBidi"/>
                <w:szCs w:val="22"/>
              </w:rPr>
            </w:pPr>
            <w:r w:rsidRPr="00E03111">
              <w:rPr>
                <w:b/>
              </w:rPr>
              <w:t>AUST L</w:t>
            </w:r>
            <w:r w:rsidRPr="00E03111">
              <w:t xml:space="preserve"> </w:t>
            </w:r>
          </w:p>
        </w:tc>
        <w:tc>
          <w:tcPr>
            <w:tcW w:w="2552" w:type="dxa"/>
            <w:gridSpan w:val="2"/>
            <w:shd w:val="clear" w:color="auto" w:fill="E5F1E2" w:themeFill="accent5" w:themeFillTint="1A"/>
          </w:tcPr>
          <w:p w:rsidR="007A13A1" w:rsidRPr="00255411" w:rsidRDefault="007A13A1" w:rsidP="007004E8">
            <w:pPr>
              <w:keepNext/>
              <w:cnfStyle w:val="000000000000" w:firstRow="0" w:lastRow="0" w:firstColumn="0" w:lastColumn="0" w:oddVBand="0" w:evenVBand="0" w:oddHBand="0" w:evenHBand="0" w:firstRowFirstColumn="0" w:firstRowLastColumn="0" w:lastRowFirstColumn="0" w:lastRowLastColumn="0"/>
              <w:rPr>
                <w:rFonts w:cstheme="minorBidi"/>
                <w:szCs w:val="22"/>
              </w:rPr>
            </w:pPr>
            <w:r w:rsidRPr="00E03111">
              <w:rPr>
                <w:b/>
                <w:color w:val="auto"/>
                <w:szCs w:val="22"/>
              </w:rPr>
              <w:t>AUST L(A)</w:t>
            </w:r>
            <w:r w:rsidRPr="00E03111">
              <w:rPr>
                <w:color w:val="auto"/>
                <w:szCs w:val="22"/>
              </w:rPr>
              <w:t xml:space="preserve"> </w:t>
            </w:r>
          </w:p>
        </w:tc>
        <w:tc>
          <w:tcPr>
            <w:tcW w:w="3118" w:type="dxa"/>
            <w:shd w:val="clear" w:color="auto" w:fill="EAE6F0" w:themeFill="accent6" w:themeFillTint="33"/>
          </w:tcPr>
          <w:p w:rsidR="007A13A1" w:rsidRPr="00D30C29" w:rsidRDefault="007A13A1" w:rsidP="007004E8">
            <w:pPr>
              <w:keepNext/>
              <w:cnfStyle w:val="000000000000" w:firstRow="0" w:lastRow="0" w:firstColumn="0" w:lastColumn="0" w:oddVBand="0" w:evenVBand="0" w:oddHBand="0" w:evenHBand="0" w:firstRowFirstColumn="0" w:firstRowLastColumn="0" w:lastRowFirstColumn="0" w:lastRowLastColumn="0"/>
              <w:rPr>
                <w:b/>
              </w:rPr>
            </w:pPr>
            <w:r w:rsidRPr="00D30C29">
              <w:rPr>
                <w:b/>
              </w:rPr>
              <w:t>AUST R</w:t>
            </w:r>
          </w:p>
        </w:tc>
      </w:tr>
      <w:tr w:rsidR="007A13A1" w:rsidRPr="00AC5E8D" w:rsidTr="007004E8">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shd w:val="clear" w:color="auto" w:fill="DADDE0" w:themeFill="accent2" w:themeFillTint="66"/>
          </w:tcPr>
          <w:p w:rsidR="007A13A1" w:rsidRPr="00255411" w:rsidRDefault="007A13A1" w:rsidP="007004E8">
            <w:pPr>
              <w:rPr>
                <w:rFonts w:cstheme="minorBidi"/>
                <w:b/>
                <w:bCs/>
                <w:szCs w:val="22"/>
              </w:rPr>
            </w:pPr>
            <w:r>
              <w:rPr>
                <w:rFonts w:cstheme="minorBidi"/>
                <w:b/>
                <w:bCs/>
                <w:szCs w:val="22"/>
              </w:rPr>
              <w:t>GMP</w:t>
            </w:r>
          </w:p>
        </w:tc>
        <w:tc>
          <w:tcPr>
            <w:tcW w:w="7513" w:type="dxa"/>
            <w:gridSpan w:val="4"/>
          </w:tcPr>
          <w:p w:rsidR="007A13A1" w:rsidRPr="0012362B" w:rsidRDefault="007A13A1" w:rsidP="007004E8">
            <w:pPr>
              <w:cnfStyle w:val="000000000000" w:firstRow="0" w:lastRow="0" w:firstColumn="0" w:lastColumn="0" w:oddVBand="0" w:evenVBand="0" w:oddHBand="0" w:evenHBand="0" w:firstRowFirstColumn="0" w:firstRowLastColumn="0" w:lastRowFirstColumn="0" w:lastRowLastColumn="0"/>
            </w:pPr>
            <w:r w:rsidRPr="0012362B">
              <w:t>All medicines be manufactured in accordance with the principles of G</w:t>
            </w:r>
            <w:r>
              <w:t>MP</w:t>
            </w:r>
          </w:p>
        </w:tc>
      </w:tr>
      <w:tr w:rsidR="007A13A1" w:rsidRPr="00AC5E8D" w:rsidTr="007004E8">
        <w:tc>
          <w:tcPr>
            <w:cnfStyle w:val="001000000000" w:firstRow="0" w:lastRow="0" w:firstColumn="1" w:lastColumn="0" w:oddVBand="0" w:evenVBand="0" w:oddHBand="0" w:evenHBand="0" w:firstRowFirstColumn="0" w:firstRowLastColumn="0" w:lastRowFirstColumn="0" w:lastRowLastColumn="0"/>
            <w:tcW w:w="1701" w:type="dxa"/>
            <w:shd w:val="clear" w:color="auto" w:fill="DADDE0" w:themeFill="accent2" w:themeFillTint="66"/>
          </w:tcPr>
          <w:p w:rsidR="007A13A1" w:rsidRPr="00255411" w:rsidRDefault="007A13A1" w:rsidP="007004E8">
            <w:pPr>
              <w:rPr>
                <w:rFonts w:cstheme="minorBidi"/>
                <w:b/>
                <w:bCs/>
                <w:szCs w:val="22"/>
              </w:rPr>
            </w:pPr>
            <w:r>
              <w:rPr>
                <w:rFonts w:cstheme="minorBidi"/>
                <w:b/>
                <w:bCs/>
                <w:szCs w:val="22"/>
              </w:rPr>
              <w:t>Sterility</w:t>
            </w:r>
          </w:p>
        </w:tc>
        <w:tc>
          <w:tcPr>
            <w:tcW w:w="4395" w:type="dxa"/>
            <w:gridSpan w:val="3"/>
          </w:tcPr>
          <w:p w:rsidR="007A13A1" w:rsidRPr="00255411" w:rsidRDefault="007A13A1" w:rsidP="007004E8">
            <w:pPr>
              <w:cnfStyle w:val="000000000000" w:firstRow="0" w:lastRow="0" w:firstColumn="0" w:lastColumn="0" w:oddVBand="0" w:evenVBand="0" w:oddHBand="0" w:evenHBand="0" w:firstRowFirstColumn="0" w:firstRowLastColumn="0" w:lastRowFirstColumn="0" w:lastRowLastColumn="0"/>
              <w:rPr>
                <w:rFonts w:cstheme="minorBidi"/>
                <w:szCs w:val="22"/>
              </w:rPr>
            </w:pPr>
            <w:r>
              <w:rPr>
                <w:rFonts w:cstheme="minorBidi"/>
                <w:szCs w:val="22"/>
              </w:rPr>
              <w:t>Must not be required to be sterile</w:t>
            </w:r>
          </w:p>
        </w:tc>
        <w:tc>
          <w:tcPr>
            <w:tcW w:w="3118" w:type="dxa"/>
            <w:shd w:val="clear" w:color="auto" w:fill="EAE6F0" w:themeFill="accent6" w:themeFillTint="33"/>
          </w:tcPr>
          <w:p w:rsidR="007A13A1" w:rsidRPr="00255411" w:rsidRDefault="007A13A1" w:rsidP="007004E8">
            <w:pPr>
              <w:cnfStyle w:val="000000000000" w:firstRow="0" w:lastRow="0" w:firstColumn="0" w:lastColumn="0" w:oddVBand="0" w:evenVBand="0" w:oddHBand="0" w:evenHBand="0" w:firstRowFirstColumn="0" w:firstRowLastColumn="0" w:lastRowFirstColumn="0" w:lastRowLastColumn="0"/>
              <w:rPr>
                <w:rFonts w:cstheme="minorBidi"/>
                <w:szCs w:val="22"/>
              </w:rPr>
            </w:pPr>
            <w:r>
              <w:rPr>
                <w:rFonts w:cstheme="minorBidi"/>
                <w:szCs w:val="22"/>
              </w:rPr>
              <w:t>May be required to be sterile.</w:t>
            </w:r>
          </w:p>
        </w:tc>
      </w:tr>
      <w:tr w:rsidR="007A13A1" w:rsidRPr="00AC5E8D" w:rsidTr="007004E8">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shd w:val="clear" w:color="auto" w:fill="DADDE0" w:themeFill="accent2" w:themeFillTint="66"/>
          </w:tcPr>
          <w:p w:rsidR="007A13A1" w:rsidRPr="00AC5E8D" w:rsidRDefault="007A13A1" w:rsidP="007004E8">
            <w:pPr>
              <w:rPr>
                <w:sz w:val="20"/>
              </w:rPr>
            </w:pPr>
            <w:r w:rsidRPr="00255411">
              <w:rPr>
                <w:rFonts w:cstheme="minorBidi"/>
                <w:b/>
                <w:bCs/>
                <w:szCs w:val="22"/>
              </w:rPr>
              <w:t>Ingredients</w:t>
            </w:r>
          </w:p>
        </w:tc>
        <w:tc>
          <w:tcPr>
            <w:tcW w:w="4395" w:type="dxa"/>
            <w:gridSpan w:val="3"/>
          </w:tcPr>
          <w:p w:rsidR="007A13A1" w:rsidRPr="0012362B" w:rsidRDefault="007A13A1" w:rsidP="007004E8">
            <w:pPr>
              <w:cnfStyle w:val="000000000000" w:firstRow="0" w:lastRow="0" w:firstColumn="0" w:lastColumn="0" w:oddVBand="0" w:evenVBand="0" w:oddHBand="0" w:evenHBand="0" w:firstRowFirstColumn="0" w:firstRowLastColumn="0" w:lastRowFirstColumn="0" w:lastRowLastColumn="0"/>
              <w:rPr>
                <w:szCs w:val="22"/>
              </w:rPr>
            </w:pPr>
            <w:r>
              <w:rPr>
                <w:szCs w:val="22"/>
              </w:rPr>
              <w:t>May o</w:t>
            </w:r>
            <w:r w:rsidRPr="0012362B">
              <w:rPr>
                <w:szCs w:val="22"/>
              </w:rPr>
              <w:t xml:space="preserve">nly </w:t>
            </w:r>
            <w:r>
              <w:rPr>
                <w:szCs w:val="22"/>
              </w:rPr>
              <w:t>include</w:t>
            </w:r>
            <w:r w:rsidRPr="0012362B">
              <w:rPr>
                <w:szCs w:val="22"/>
              </w:rPr>
              <w:t xml:space="preserve"> ingredients in the </w:t>
            </w:r>
            <w:hyperlink r:id="rId96" w:history="1">
              <w:r w:rsidRPr="0012362B">
                <w:rPr>
                  <w:rStyle w:val="Hyperlink"/>
                  <w:szCs w:val="22"/>
                </w:rPr>
                <w:t>Therapeutic Goods (Permissible Ingredients) Determination</w:t>
              </w:r>
            </w:hyperlink>
            <w:r w:rsidRPr="0012362B">
              <w:rPr>
                <w:szCs w:val="22"/>
              </w:rPr>
              <w:t xml:space="preserve"> </w:t>
            </w:r>
          </w:p>
        </w:tc>
        <w:tc>
          <w:tcPr>
            <w:tcW w:w="3118" w:type="dxa"/>
            <w:shd w:val="clear" w:color="auto" w:fill="EAE6F0" w:themeFill="accent6" w:themeFillTint="33"/>
          </w:tcPr>
          <w:p w:rsidR="007A13A1" w:rsidRPr="00597F9A" w:rsidRDefault="007A13A1" w:rsidP="007A13A1">
            <w:pPr>
              <w:pStyle w:val="ListBullet"/>
              <w:cnfStyle w:val="000000000000" w:firstRow="0" w:lastRow="0" w:firstColumn="0" w:lastColumn="0" w:oddVBand="0" w:evenVBand="0" w:oddHBand="0" w:evenHBand="0" w:firstRowFirstColumn="0" w:firstRowLastColumn="0" w:lastRowFirstColumn="0" w:lastRowLastColumn="0"/>
              <w:rPr>
                <w:color w:val="auto"/>
              </w:rPr>
            </w:pPr>
            <w:r w:rsidRPr="009B6467">
              <w:t>May</w:t>
            </w:r>
            <w:r>
              <w:t xml:space="preserve"> include </w:t>
            </w:r>
            <w:hyperlink r:id="rId97" w:history="1">
              <w:r w:rsidRPr="0012362B">
                <w:rPr>
                  <w:rStyle w:val="Hyperlink"/>
                </w:rPr>
                <w:t>Permissible Ingredients</w:t>
              </w:r>
            </w:hyperlink>
            <w:r>
              <w:t>;</w:t>
            </w:r>
            <w:r w:rsidRPr="005678C1">
              <w:t xml:space="preserve"> </w:t>
            </w:r>
            <w:r w:rsidRPr="00597F9A">
              <w:t xml:space="preserve">and/or </w:t>
            </w:r>
          </w:p>
          <w:p w:rsidR="007A13A1" w:rsidRPr="00597F9A" w:rsidRDefault="007A13A1" w:rsidP="007A13A1">
            <w:pPr>
              <w:pStyle w:val="ListBullet"/>
              <w:cnfStyle w:val="000000000000" w:firstRow="0" w:lastRow="0" w:firstColumn="0" w:lastColumn="0" w:oddVBand="0" w:evenVBand="0" w:oddHBand="0" w:evenHBand="0" w:firstRowFirstColumn="0" w:firstRowLastColumn="0" w:lastRowFirstColumn="0" w:lastRowLastColumn="0"/>
              <w:rPr>
                <w:color w:val="auto"/>
              </w:rPr>
            </w:pPr>
            <w:r w:rsidRPr="007C2B0D">
              <w:t>ingredient</w:t>
            </w:r>
            <w:r>
              <w:t>s</w:t>
            </w:r>
            <w:r w:rsidRPr="007C2B0D">
              <w:t xml:space="preserve"> not in the permitted ingredients list, provided that </w:t>
            </w:r>
            <w:r>
              <w:t>they do</w:t>
            </w:r>
            <w:r w:rsidRPr="007C2B0D">
              <w:t xml:space="preserve"> not meet the criteria for inclusion in Schedules</w:t>
            </w:r>
            <w:r w:rsidRPr="00D6492A">
              <w:t xml:space="preserve"> 4, 8 or 9 of the Poisons Standard</w:t>
            </w:r>
            <w:r>
              <w:t>.</w:t>
            </w:r>
          </w:p>
        </w:tc>
      </w:tr>
      <w:tr w:rsidR="007A13A1" w:rsidRPr="00AC5E8D" w:rsidTr="007004E8">
        <w:tc>
          <w:tcPr>
            <w:cnfStyle w:val="001000000000" w:firstRow="0" w:lastRow="0" w:firstColumn="1" w:lastColumn="0" w:oddVBand="0" w:evenVBand="0" w:oddHBand="0" w:evenHBand="0" w:firstRowFirstColumn="0" w:firstRowLastColumn="0" w:lastRowFirstColumn="0" w:lastRowLastColumn="0"/>
            <w:tcW w:w="1701" w:type="dxa"/>
            <w:shd w:val="clear" w:color="auto" w:fill="DADDE0" w:themeFill="accent2" w:themeFillTint="66"/>
          </w:tcPr>
          <w:p w:rsidR="007A13A1" w:rsidRPr="00AC5E8D" w:rsidRDefault="007A13A1" w:rsidP="007004E8">
            <w:pPr>
              <w:rPr>
                <w:sz w:val="20"/>
              </w:rPr>
            </w:pPr>
            <w:r w:rsidRPr="00255411">
              <w:rPr>
                <w:rFonts w:cstheme="minorBidi"/>
                <w:b/>
                <w:bCs/>
                <w:szCs w:val="22"/>
              </w:rPr>
              <w:t>Indications</w:t>
            </w:r>
          </w:p>
        </w:tc>
        <w:tc>
          <w:tcPr>
            <w:tcW w:w="1985" w:type="dxa"/>
            <w:gridSpan w:val="2"/>
          </w:tcPr>
          <w:p w:rsidR="007A13A1" w:rsidRPr="00AC5E8D" w:rsidRDefault="007A13A1" w:rsidP="007004E8">
            <w:pPr>
              <w:cnfStyle w:val="000000000000" w:firstRow="0" w:lastRow="0" w:firstColumn="0" w:lastColumn="0" w:oddVBand="0" w:evenVBand="0" w:oddHBand="0" w:evenHBand="0" w:firstRowFirstColumn="0" w:firstRowLastColumn="0" w:lastRowFirstColumn="0" w:lastRowLastColumn="0"/>
              <w:rPr>
                <w:sz w:val="20"/>
              </w:rPr>
            </w:pPr>
            <w:r>
              <w:rPr>
                <w:lang w:val="en"/>
              </w:rPr>
              <w:t>Can o</w:t>
            </w:r>
            <w:r w:rsidRPr="00E03111">
              <w:rPr>
                <w:lang w:val="en"/>
              </w:rPr>
              <w:t xml:space="preserve">nly </w:t>
            </w:r>
            <w:r>
              <w:rPr>
                <w:lang w:val="en"/>
              </w:rPr>
              <w:t xml:space="preserve">have </w:t>
            </w:r>
            <w:r w:rsidRPr="00E03111">
              <w:rPr>
                <w:lang w:val="en"/>
              </w:rPr>
              <w:t xml:space="preserve">indications </w:t>
            </w:r>
            <w:r>
              <w:rPr>
                <w:lang w:val="en"/>
              </w:rPr>
              <w:t>in</w:t>
            </w:r>
            <w:r w:rsidRPr="00E03111">
              <w:rPr>
                <w:lang w:val="en"/>
              </w:rPr>
              <w:t xml:space="preserve"> the </w:t>
            </w:r>
            <w:hyperlink r:id="rId98" w:history="1">
              <w:r w:rsidRPr="00E03111">
                <w:rPr>
                  <w:color w:val="0000FF"/>
                  <w:u w:val="single"/>
                  <w:lang w:val="en"/>
                </w:rPr>
                <w:t>Therapeutic Goods (Permissible Indications) Determination</w:t>
              </w:r>
            </w:hyperlink>
            <w:r>
              <w:rPr>
                <w:lang w:val="en"/>
              </w:rPr>
              <w:t xml:space="preserve"> </w:t>
            </w:r>
          </w:p>
        </w:tc>
        <w:tc>
          <w:tcPr>
            <w:tcW w:w="2410" w:type="dxa"/>
            <w:shd w:val="clear" w:color="auto" w:fill="E5F1E2" w:themeFill="accent5" w:themeFillTint="1A"/>
          </w:tcPr>
          <w:p w:rsidR="007A13A1" w:rsidRPr="00597F9A" w:rsidRDefault="007A13A1" w:rsidP="007A13A1">
            <w:pPr>
              <w:pStyle w:val="ListBullet"/>
              <w:cnfStyle w:val="000000000000" w:firstRow="0" w:lastRow="0" w:firstColumn="0" w:lastColumn="0" w:oddVBand="0" w:evenVBand="0" w:oddHBand="0" w:evenHBand="0" w:firstRowFirstColumn="0" w:firstRowLastColumn="0" w:lastRowFirstColumn="0" w:lastRowLastColumn="0"/>
            </w:pPr>
            <w:r w:rsidRPr="00597F9A">
              <w:t xml:space="preserve">May </w:t>
            </w:r>
            <w:r>
              <w:t xml:space="preserve">have </w:t>
            </w:r>
            <w:r w:rsidRPr="00597F9A">
              <w:t>indications</w:t>
            </w:r>
            <w:r>
              <w:t xml:space="preserve"> in the </w:t>
            </w:r>
            <w:hyperlink r:id="rId99" w:history="1">
              <w:r w:rsidRPr="0012362B">
                <w:rPr>
                  <w:rStyle w:val="Hyperlink"/>
                </w:rPr>
                <w:t>Permissible Indications Determination</w:t>
              </w:r>
            </w:hyperlink>
          </w:p>
          <w:p w:rsidR="007A13A1" w:rsidRPr="00597F9A" w:rsidRDefault="007A13A1" w:rsidP="007A13A1">
            <w:pPr>
              <w:pStyle w:val="ListBullet"/>
              <w:cnfStyle w:val="000000000000" w:firstRow="0" w:lastRow="0" w:firstColumn="0" w:lastColumn="0" w:oddVBand="0" w:evenVBand="0" w:oddHBand="0" w:evenHBand="0" w:firstRowFirstColumn="0" w:firstRowLastColumn="0" w:lastRowFirstColumn="0" w:lastRowLastColumn="0"/>
            </w:pPr>
            <w:r>
              <w:t>M</w:t>
            </w:r>
            <w:r w:rsidRPr="00597F9A">
              <w:t>ust have at least one i</w:t>
            </w:r>
            <w:r>
              <w:t>ntermediate level indication.</w:t>
            </w:r>
          </w:p>
        </w:tc>
        <w:tc>
          <w:tcPr>
            <w:tcW w:w="3118" w:type="dxa"/>
            <w:shd w:val="clear" w:color="auto" w:fill="EAE6F0" w:themeFill="accent6" w:themeFillTint="33"/>
          </w:tcPr>
          <w:p w:rsidR="007A13A1" w:rsidRPr="00852642" w:rsidRDefault="007A13A1" w:rsidP="007004E8">
            <w:pPr>
              <w:cnfStyle w:val="000000000000" w:firstRow="0" w:lastRow="0" w:firstColumn="0" w:lastColumn="0" w:oddVBand="0" w:evenVBand="0" w:oddHBand="0" w:evenHBand="0" w:firstRowFirstColumn="0" w:firstRowLastColumn="0" w:lastRowFirstColumn="0" w:lastRowLastColumn="0"/>
            </w:pPr>
            <w:r w:rsidRPr="00852642">
              <w:t>May have:</w:t>
            </w:r>
          </w:p>
          <w:p w:rsidR="007A13A1" w:rsidRDefault="007A13A1" w:rsidP="007A13A1">
            <w:pPr>
              <w:pStyle w:val="ListBullet"/>
              <w:cnfStyle w:val="000000000000" w:firstRow="0" w:lastRow="0" w:firstColumn="0" w:lastColumn="0" w:oddVBand="0" w:evenVBand="0" w:oddHBand="0" w:evenHBand="0" w:firstRowFirstColumn="0" w:firstRowLastColumn="0" w:lastRowFirstColumn="0" w:lastRowLastColumn="0"/>
            </w:pPr>
            <w:r w:rsidRPr="00597F9A">
              <w:t xml:space="preserve">low </w:t>
            </w:r>
            <w:r>
              <w:t xml:space="preserve">or intermediate </w:t>
            </w:r>
            <w:r w:rsidRPr="00597F9A">
              <w:t>level indications</w:t>
            </w:r>
            <w:r>
              <w:t>; and/or</w:t>
            </w:r>
          </w:p>
          <w:p w:rsidR="007A13A1" w:rsidRPr="00AC5E8D" w:rsidRDefault="007A13A1" w:rsidP="007A13A1">
            <w:pPr>
              <w:pStyle w:val="ListBullet"/>
              <w:cnfStyle w:val="000000000000" w:firstRow="0" w:lastRow="0" w:firstColumn="0" w:lastColumn="0" w:oddVBand="0" w:evenVBand="0" w:oddHBand="0" w:evenHBand="0" w:firstRowFirstColumn="0" w:firstRowLastColumn="0" w:lastRowFirstColumn="0" w:lastRowLastColumn="0"/>
              <w:rPr>
                <w:sz w:val="20"/>
              </w:rPr>
            </w:pPr>
            <w:r w:rsidRPr="00597F9A">
              <w:t>high level indications which are not suitable for the listed or assessed listed medicines pathway</w:t>
            </w:r>
          </w:p>
        </w:tc>
      </w:tr>
      <w:tr w:rsidR="007A13A1" w:rsidRPr="00AC5E8D" w:rsidTr="007004E8">
        <w:tc>
          <w:tcPr>
            <w:cnfStyle w:val="001000000000" w:firstRow="0" w:lastRow="0" w:firstColumn="1" w:lastColumn="0" w:oddVBand="0" w:evenVBand="0" w:oddHBand="0" w:evenHBand="0" w:firstRowFirstColumn="0" w:firstRowLastColumn="0" w:lastRowFirstColumn="0" w:lastRowLastColumn="0"/>
            <w:tcW w:w="1701" w:type="dxa"/>
            <w:shd w:val="clear" w:color="auto" w:fill="DADDE0" w:themeFill="accent2" w:themeFillTint="66"/>
          </w:tcPr>
          <w:p w:rsidR="007A13A1" w:rsidRPr="00AC5E8D" w:rsidRDefault="007A13A1" w:rsidP="007004E8">
            <w:pPr>
              <w:rPr>
                <w:sz w:val="20"/>
              </w:rPr>
            </w:pPr>
            <w:r w:rsidRPr="00255411">
              <w:rPr>
                <w:rFonts w:cstheme="minorBidi"/>
                <w:b/>
                <w:bCs/>
                <w:szCs w:val="22"/>
              </w:rPr>
              <w:t>Evidence</w:t>
            </w:r>
          </w:p>
        </w:tc>
        <w:tc>
          <w:tcPr>
            <w:tcW w:w="1985" w:type="dxa"/>
            <w:gridSpan w:val="2"/>
          </w:tcPr>
          <w:p w:rsidR="007A13A1" w:rsidRPr="00AC5E8D" w:rsidRDefault="007A13A1" w:rsidP="007004E8">
            <w:pPr>
              <w:cnfStyle w:val="000000000000" w:firstRow="0" w:lastRow="0" w:firstColumn="0" w:lastColumn="0" w:oddVBand="0" w:evenVBand="0" w:oddHBand="0" w:evenHBand="0" w:firstRowFirstColumn="0" w:firstRowLastColumn="0" w:lastRowFirstColumn="0" w:lastRowLastColumn="0"/>
              <w:rPr>
                <w:sz w:val="20"/>
              </w:rPr>
            </w:pPr>
            <w:r w:rsidRPr="00255411">
              <w:rPr>
                <w:rFonts w:cstheme="minorBidi"/>
                <w:szCs w:val="22"/>
              </w:rPr>
              <w:t>Evidence held by the sponsor</w:t>
            </w:r>
            <w:r>
              <w:rPr>
                <w:rFonts w:cstheme="minorBidi"/>
                <w:szCs w:val="22"/>
              </w:rPr>
              <w:t>. Not assessed by the TGA pre-market.</w:t>
            </w:r>
          </w:p>
        </w:tc>
        <w:tc>
          <w:tcPr>
            <w:tcW w:w="2410" w:type="dxa"/>
            <w:shd w:val="clear" w:color="auto" w:fill="E5F1E2" w:themeFill="accent5" w:themeFillTint="1A"/>
          </w:tcPr>
          <w:p w:rsidR="007A13A1" w:rsidRPr="00852642" w:rsidRDefault="007A13A1" w:rsidP="007004E8">
            <w:pPr>
              <w:cnfStyle w:val="000000000000" w:firstRow="0" w:lastRow="0" w:firstColumn="0" w:lastColumn="0" w:oddVBand="0" w:evenVBand="0" w:oddHBand="0" w:evenHBand="0" w:firstRowFirstColumn="0" w:firstRowLastColumn="0" w:lastRowFirstColumn="0" w:lastRowLastColumn="0"/>
              <w:rPr>
                <w:rFonts w:cstheme="minorBidi"/>
                <w:szCs w:val="22"/>
              </w:rPr>
            </w:pPr>
            <w:r w:rsidRPr="00852642">
              <w:rPr>
                <w:rFonts w:cstheme="minorBidi"/>
                <w:szCs w:val="22"/>
              </w:rPr>
              <w:t>Quality and safety evidence held by the sponsor.</w:t>
            </w:r>
          </w:p>
          <w:p w:rsidR="007A13A1" w:rsidRPr="00597F9A" w:rsidRDefault="007A13A1" w:rsidP="007004E8">
            <w:pPr>
              <w:cnfStyle w:val="000000000000" w:firstRow="0" w:lastRow="0" w:firstColumn="0" w:lastColumn="0" w:oddVBand="0" w:evenVBand="0" w:oddHBand="0" w:evenHBand="0" w:firstRowFirstColumn="0" w:firstRowLastColumn="0" w:lastRowFirstColumn="0" w:lastRowLastColumn="0"/>
            </w:pPr>
            <w:r w:rsidRPr="00852642">
              <w:rPr>
                <w:rFonts w:cstheme="minorBidi"/>
                <w:szCs w:val="22"/>
              </w:rPr>
              <w:t xml:space="preserve">Efficacy evidence </w:t>
            </w:r>
            <w:r>
              <w:rPr>
                <w:rFonts w:cstheme="minorBidi"/>
                <w:szCs w:val="22"/>
              </w:rPr>
              <w:t xml:space="preserve">TGA </w:t>
            </w:r>
            <w:r w:rsidRPr="00852642">
              <w:rPr>
                <w:rFonts w:cstheme="minorBidi"/>
                <w:szCs w:val="22"/>
              </w:rPr>
              <w:t xml:space="preserve">assessed pre-market </w:t>
            </w:r>
          </w:p>
        </w:tc>
        <w:tc>
          <w:tcPr>
            <w:tcW w:w="3118" w:type="dxa"/>
            <w:shd w:val="clear" w:color="auto" w:fill="EAE6F0" w:themeFill="accent6" w:themeFillTint="33"/>
          </w:tcPr>
          <w:p w:rsidR="007A13A1" w:rsidRPr="00AC5E8D" w:rsidRDefault="007A13A1" w:rsidP="007004E8">
            <w:pPr>
              <w:cnfStyle w:val="000000000000" w:firstRow="0" w:lastRow="0" w:firstColumn="0" w:lastColumn="0" w:oddVBand="0" w:evenVBand="0" w:oddHBand="0" w:evenHBand="0" w:firstRowFirstColumn="0" w:firstRowLastColumn="0" w:lastRowFirstColumn="0" w:lastRowLastColumn="0"/>
              <w:rPr>
                <w:sz w:val="20"/>
              </w:rPr>
            </w:pPr>
            <w:r w:rsidRPr="00255411">
              <w:rPr>
                <w:rFonts w:cstheme="minorBidi"/>
                <w:szCs w:val="22"/>
              </w:rPr>
              <w:t xml:space="preserve">Safety, quality and efficacy </w:t>
            </w:r>
            <w:r>
              <w:rPr>
                <w:rFonts w:cstheme="minorBidi"/>
                <w:szCs w:val="22"/>
              </w:rPr>
              <w:t xml:space="preserve">evidence </w:t>
            </w:r>
            <w:r w:rsidRPr="00255411">
              <w:rPr>
                <w:rFonts w:cstheme="minorBidi"/>
                <w:szCs w:val="22"/>
              </w:rPr>
              <w:t>must be assessed pre-market by the TGA</w:t>
            </w:r>
            <w:r>
              <w:rPr>
                <w:rFonts w:cstheme="minorBidi"/>
                <w:szCs w:val="22"/>
              </w:rPr>
              <w:t>.</w:t>
            </w:r>
          </w:p>
        </w:tc>
      </w:tr>
      <w:tr w:rsidR="007A13A1" w:rsidRPr="00AC5E8D" w:rsidTr="007004E8">
        <w:tc>
          <w:tcPr>
            <w:cnfStyle w:val="001000000000" w:firstRow="0" w:lastRow="0" w:firstColumn="1" w:lastColumn="0" w:oddVBand="0" w:evenVBand="0" w:oddHBand="0" w:evenHBand="0" w:firstRowFirstColumn="0" w:firstRowLastColumn="0" w:lastRowFirstColumn="0" w:lastRowLastColumn="0"/>
            <w:tcW w:w="1701" w:type="dxa"/>
            <w:shd w:val="clear" w:color="auto" w:fill="DADDE0" w:themeFill="accent2" w:themeFillTint="66"/>
          </w:tcPr>
          <w:p w:rsidR="007A13A1" w:rsidRPr="00AC5E8D" w:rsidRDefault="007A13A1" w:rsidP="007004E8">
            <w:pPr>
              <w:rPr>
                <w:sz w:val="20"/>
              </w:rPr>
            </w:pPr>
            <w:r w:rsidRPr="00255411">
              <w:rPr>
                <w:rFonts w:cstheme="minorBidi"/>
                <w:b/>
                <w:bCs/>
                <w:szCs w:val="22"/>
              </w:rPr>
              <w:t>Application</w:t>
            </w:r>
            <w:r w:rsidRPr="00E03111">
              <w:rPr>
                <w:b/>
                <w:bCs/>
              </w:rPr>
              <w:t xml:space="preserve"> </w:t>
            </w:r>
            <w:r>
              <w:rPr>
                <w:b/>
                <w:bCs/>
              </w:rPr>
              <w:t>and T</w:t>
            </w:r>
            <w:r w:rsidRPr="00E03111">
              <w:rPr>
                <w:b/>
                <w:bCs/>
              </w:rPr>
              <w:t>GA pre-market evaluation</w:t>
            </w:r>
          </w:p>
        </w:tc>
        <w:tc>
          <w:tcPr>
            <w:tcW w:w="1985" w:type="dxa"/>
            <w:gridSpan w:val="2"/>
          </w:tcPr>
          <w:p w:rsidR="007A13A1" w:rsidRPr="00B745B2" w:rsidRDefault="007A13A1" w:rsidP="007004E8">
            <w:pPr>
              <w:cnfStyle w:val="000000000000" w:firstRow="0" w:lastRow="0" w:firstColumn="0" w:lastColumn="0" w:oddVBand="0" w:evenVBand="0" w:oddHBand="0" w:evenHBand="0" w:firstRowFirstColumn="0" w:firstRowLastColumn="0" w:lastRowFirstColumn="0" w:lastRowLastColumn="0"/>
              <w:rPr>
                <w:rFonts w:cstheme="minorBidi"/>
                <w:szCs w:val="22"/>
              </w:rPr>
            </w:pPr>
            <w:r>
              <w:rPr>
                <w:rFonts w:cstheme="minorBidi"/>
                <w:szCs w:val="22"/>
              </w:rPr>
              <w:t>Sponsor s</w:t>
            </w:r>
            <w:r w:rsidRPr="00255411">
              <w:rPr>
                <w:rFonts w:cstheme="minorBidi"/>
                <w:szCs w:val="22"/>
              </w:rPr>
              <w:t xml:space="preserve">elf-certification </w:t>
            </w:r>
            <w:r>
              <w:rPr>
                <w:rFonts w:cstheme="minorBidi"/>
                <w:szCs w:val="22"/>
              </w:rPr>
              <w:t xml:space="preserve">safety, quality and efficacy. No </w:t>
            </w:r>
            <w:r w:rsidRPr="00E03111">
              <w:t>pre-market evaluation</w:t>
            </w:r>
          </w:p>
        </w:tc>
        <w:tc>
          <w:tcPr>
            <w:tcW w:w="2410" w:type="dxa"/>
            <w:shd w:val="clear" w:color="auto" w:fill="E5F1E2" w:themeFill="accent5" w:themeFillTint="1A"/>
          </w:tcPr>
          <w:p w:rsidR="007A13A1" w:rsidRPr="00AC5E8D" w:rsidRDefault="007A13A1" w:rsidP="007004E8">
            <w:pPr>
              <w:cnfStyle w:val="000000000000" w:firstRow="0" w:lastRow="0" w:firstColumn="0" w:lastColumn="0" w:oddVBand="0" w:evenVBand="0" w:oddHBand="0" w:evenHBand="0" w:firstRowFirstColumn="0" w:firstRowLastColumn="0" w:lastRowFirstColumn="0" w:lastRowLastColumn="0"/>
              <w:rPr>
                <w:sz w:val="20"/>
              </w:rPr>
            </w:pPr>
            <w:r>
              <w:rPr>
                <w:rFonts w:cstheme="minorBidi"/>
                <w:szCs w:val="22"/>
              </w:rPr>
              <w:t>Sponsor s</w:t>
            </w:r>
            <w:r w:rsidRPr="00255411">
              <w:rPr>
                <w:rFonts w:cstheme="minorBidi"/>
                <w:szCs w:val="22"/>
              </w:rPr>
              <w:t>elf-certification of quality and safety</w:t>
            </w:r>
            <w:r>
              <w:rPr>
                <w:rFonts w:cstheme="minorBidi"/>
                <w:szCs w:val="22"/>
              </w:rPr>
              <w:t>.</w:t>
            </w:r>
            <w:r>
              <w:rPr>
                <w:rFonts w:cstheme="minorBidi"/>
                <w:szCs w:val="22"/>
              </w:rPr>
              <w:br/>
              <w:t xml:space="preserve">TGA </w:t>
            </w:r>
            <w:r w:rsidRPr="00255411">
              <w:rPr>
                <w:rFonts w:cstheme="minorBidi"/>
                <w:szCs w:val="22"/>
              </w:rPr>
              <w:t>pre-market</w:t>
            </w:r>
            <w:r>
              <w:rPr>
                <w:rFonts w:cstheme="minorBidi"/>
                <w:szCs w:val="22"/>
              </w:rPr>
              <w:t xml:space="preserve"> </w:t>
            </w:r>
            <w:r w:rsidRPr="00255411">
              <w:rPr>
                <w:rFonts w:cstheme="minorBidi"/>
                <w:szCs w:val="22"/>
              </w:rPr>
              <w:t>assessment of efficacy</w:t>
            </w:r>
            <w:r>
              <w:rPr>
                <w:rFonts w:cstheme="minorBidi"/>
                <w:szCs w:val="22"/>
              </w:rPr>
              <w:t>.</w:t>
            </w:r>
          </w:p>
        </w:tc>
        <w:tc>
          <w:tcPr>
            <w:tcW w:w="3118" w:type="dxa"/>
            <w:shd w:val="clear" w:color="auto" w:fill="EAE6F0" w:themeFill="accent6" w:themeFillTint="33"/>
          </w:tcPr>
          <w:p w:rsidR="007A13A1" w:rsidRPr="00AC5E8D" w:rsidRDefault="007A13A1" w:rsidP="007004E8">
            <w:pPr>
              <w:cnfStyle w:val="000000000000" w:firstRow="0" w:lastRow="0" w:firstColumn="0" w:lastColumn="0" w:oddVBand="0" w:evenVBand="0" w:oddHBand="0" w:evenHBand="0" w:firstRowFirstColumn="0" w:firstRowLastColumn="0" w:lastRowFirstColumn="0" w:lastRowLastColumn="0"/>
              <w:rPr>
                <w:sz w:val="20"/>
              </w:rPr>
            </w:pPr>
            <w:r w:rsidRPr="00255411">
              <w:rPr>
                <w:rFonts w:cstheme="minorBidi"/>
                <w:szCs w:val="22"/>
              </w:rPr>
              <w:t>Full pre-market assessment</w:t>
            </w:r>
            <w:r>
              <w:rPr>
                <w:rFonts w:cstheme="minorBidi"/>
                <w:szCs w:val="22"/>
              </w:rPr>
              <w:t xml:space="preserve"> of quality, safety and efficacy by the TGA.</w:t>
            </w:r>
          </w:p>
        </w:tc>
      </w:tr>
      <w:tr w:rsidR="007A13A1" w:rsidRPr="00AC5E8D" w:rsidTr="007004E8">
        <w:tc>
          <w:tcPr>
            <w:cnfStyle w:val="001000000000" w:firstRow="0" w:lastRow="0" w:firstColumn="1" w:lastColumn="0" w:oddVBand="0" w:evenVBand="0" w:oddHBand="0" w:evenHBand="0" w:firstRowFirstColumn="0" w:firstRowLastColumn="0" w:lastRowFirstColumn="0" w:lastRowLastColumn="0"/>
            <w:tcW w:w="1701" w:type="dxa"/>
            <w:shd w:val="clear" w:color="auto" w:fill="DADDE0" w:themeFill="accent2" w:themeFillTint="66"/>
          </w:tcPr>
          <w:p w:rsidR="007A13A1" w:rsidRPr="00F264C1" w:rsidRDefault="007A13A1" w:rsidP="007004E8">
            <w:r w:rsidRPr="00B745B2">
              <w:rPr>
                <w:b/>
                <w:bCs/>
              </w:rPr>
              <w:t>TGA assessed claim</w:t>
            </w:r>
          </w:p>
        </w:tc>
        <w:tc>
          <w:tcPr>
            <w:tcW w:w="1985" w:type="dxa"/>
            <w:gridSpan w:val="2"/>
          </w:tcPr>
          <w:p w:rsidR="007A13A1" w:rsidRPr="00F264C1" w:rsidRDefault="007A13A1" w:rsidP="007004E8">
            <w:pPr>
              <w:cnfStyle w:val="000000000000" w:firstRow="0" w:lastRow="0" w:firstColumn="0" w:lastColumn="0" w:oddVBand="0" w:evenVBand="0" w:oddHBand="0" w:evenHBand="0" w:firstRowFirstColumn="0" w:firstRowLastColumn="0" w:lastRowFirstColumn="0" w:lastRowLastColumn="0"/>
            </w:pPr>
            <w:r w:rsidRPr="00623C58">
              <w:rPr>
                <w:b/>
              </w:rPr>
              <w:t>Do not</w:t>
            </w:r>
            <w:r w:rsidRPr="00F264C1">
              <w:t xml:space="preserve"> have option to use TGA assessed claim</w:t>
            </w:r>
          </w:p>
        </w:tc>
        <w:tc>
          <w:tcPr>
            <w:tcW w:w="2410" w:type="dxa"/>
            <w:shd w:val="clear" w:color="auto" w:fill="E5F1E2" w:themeFill="accent5" w:themeFillTint="1A"/>
          </w:tcPr>
          <w:p w:rsidR="007A13A1" w:rsidRDefault="007A13A1" w:rsidP="007004E8">
            <w:pPr>
              <w:cnfStyle w:val="000000000000" w:firstRow="0" w:lastRow="0" w:firstColumn="0" w:lastColumn="0" w:oddVBand="0" w:evenVBand="0" w:oddHBand="0" w:evenHBand="0" w:firstRowFirstColumn="0" w:firstRowLastColumn="0" w:lastRowFirstColumn="0" w:lastRowLastColumn="0"/>
            </w:pPr>
            <w:r>
              <w:t>H</w:t>
            </w:r>
            <w:r w:rsidRPr="00F264C1">
              <w:t xml:space="preserve">ave the option to use </w:t>
            </w:r>
            <w:r>
              <w:t>a TGA assessed claim.</w:t>
            </w:r>
          </w:p>
        </w:tc>
        <w:tc>
          <w:tcPr>
            <w:tcW w:w="3118" w:type="dxa"/>
            <w:shd w:val="clear" w:color="auto" w:fill="EAE6F0" w:themeFill="accent6" w:themeFillTint="33"/>
          </w:tcPr>
          <w:p w:rsidR="007A13A1" w:rsidRPr="00255411" w:rsidRDefault="007A13A1" w:rsidP="007004E8">
            <w:pPr>
              <w:cnfStyle w:val="000000000000" w:firstRow="0" w:lastRow="0" w:firstColumn="0" w:lastColumn="0" w:oddVBand="0" w:evenVBand="0" w:oddHBand="0" w:evenHBand="0" w:firstRowFirstColumn="0" w:firstRowLastColumn="0" w:lastRowFirstColumn="0" w:lastRowLastColumn="0"/>
              <w:rPr>
                <w:rFonts w:cstheme="minorBidi"/>
                <w:szCs w:val="22"/>
              </w:rPr>
            </w:pPr>
            <w:r>
              <w:t>H</w:t>
            </w:r>
            <w:r w:rsidRPr="00F264C1">
              <w:t>ave the opti</w:t>
            </w:r>
            <w:r>
              <w:t>on to use a TGA assessed claim.</w:t>
            </w:r>
          </w:p>
        </w:tc>
      </w:tr>
      <w:tr w:rsidR="007A13A1" w:rsidRPr="00AC5E8D" w:rsidTr="007004E8">
        <w:trPr>
          <w:trHeight w:val="1554"/>
        </w:trPr>
        <w:tc>
          <w:tcPr>
            <w:cnfStyle w:val="001000000000" w:firstRow="0" w:lastRow="0" w:firstColumn="1" w:lastColumn="0" w:oddVBand="0" w:evenVBand="0" w:oddHBand="0" w:evenHBand="0" w:firstRowFirstColumn="0" w:firstRowLastColumn="0" w:lastRowFirstColumn="0" w:lastRowLastColumn="0"/>
            <w:tcW w:w="1701" w:type="dxa"/>
            <w:shd w:val="clear" w:color="auto" w:fill="DADDE0" w:themeFill="accent2" w:themeFillTint="66"/>
          </w:tcPr>
          <w:p w:rsidR="007A13A1" w:rsidRPr="00E03111" w:rsidRDefault="007A13A1" w:rsidP="007004E8">
            <w:pPr>
              <w:rPr>
                <w:b/>
                <w:bCs/>
              </w:rPr>
            </w:pPr>
            <w:r w:rsidRPr="00E03111">
              <w:rPr>
                <w:b/>
                <w:bCs/>
              </w:rPr>
              <w:lastRenderedPageBreak/>
              <w:t>Post market compliance review</w:t>
            </w:r>
          </w:p>
        </w:tc>
        <w:tc>
          <w:tcPr>
            <w:tcW w:w="4395" w:type="dxa"/>
            <w:gridSpan w:val="3"/>
          </w:tcPr>
          <w:p w:rsidR="007A13A1" w:rsidRPr="00E03111" w:rsidRDefault="007A13A1" w:rsidP="007004E8">
            <w:pPr>
              <w:cnfStyle w:val="000000000000" w:firstRow="0" w:lastRow="0" w:firstColumn="0" w:lastColumn="0" w:oddVBand="0" w:evenVBand="0" w:oddHBand="0" w:evenHBand="0" w:firstRowFirstColumn="0" w:firstRowLastColumn="0" w:lastRowFirstColumn="0" w:lastRowLastColumn="0"/>
            </w:pPr>
            <w:r w:rsidRPr="0012362B">
              <w:t xml:space="preserve">All listed medicines may be selected for a post-market compliance review at any time. The TGA will check the medicine’s compliance against </w:t>
            </w:r>
            <w:r>
              <w:t xml:space="preserve">any </w:t>
            </w:r>
            <w:r w:rsidRPr="0012362B">
              <w:t xml:space="preserve">regulatory requirements </w:t>
            </w:r>
            <w:r>
              <w:t>self-certified by the sponsor.</w:t>
            </w:r>
          </w:p>
        </w:tc>
        <w:tc>
          <w:tcPr>
            <w:tcW w:w="3118" w:type="dxa"/>
            <w:shd w:val="clear" w:color="auto" w:fill="EAE6F0" w:themeFill="accent6" w:themeFillTint="33"/>
          </w:tcPr>
          <w:p w:rsidR="007A13A1" w:rsidRPr="00255411" w:rsidRDefault="007A13A1" w:rsidP="007004E8">
            <w:pPr>
              <w:cnfStyle w:val="000000000000" w:firstRow="0" w:lastRow="0" w:firstColumn="0" w:lastColumn="0" w:oddVBand="0" w:evenVBand="0" w:oddHBand="0" w:evenHBand="0" w:firstRowFirstColumn="0" w:firstRowLastColumn="0" w:lastRowFirstColumn="0" w:lastRowLastColumn="0"/>
              <w:rPr>
                <w:rFonts w:cstheme="minorBidi"/>
                <w:szCs w:val="22"/>
              </w:rPr>
            </w:pPr>
            <w:r>
              <w:t xml:space="preserve">Continuing safety, quality and efficacy of therapeutic goods in the market monitored through </w:t>
            </w:r>
            <w:hyperlink r:id="rId100" w:history="1">
              <w:r w:rsidRPr="008A2686">
                <w:rPr>
                  <w:rStyle w:val="Hyperlink"/>
                </w:rPr>
                <w:t>therapeutic product vigilance activities</w:t>
              </w:r>
            </w:hyperlink>
            <w:r>
              <w:t>.</w:t>
            </w:r>
          </w:p>
        </w:tc>
      </w:tr>
    </w:tbl>
    <w:p w:rsidR="007A13A1" w:rsidRPr="002B3535" w:rsidRDefault="007A13A1" w:rsidP="007A13A1">
      <w:pPr>
        <w:pStyle w:val="Tabletitle"/>
        <w:keepLines/>
      </w:pPr>
      <w:bookmarkStart w:id="45" w:name="TableA2"/>
      <w:r>
        <w:t xml:space="preserve">Table 7: </w:t>
      </w:r>
      <w:r w:rsidRPr="005F17F2">
        <w:t>Three-tiered risk-based hierarchy of indications</w:t>
      </w:r>
    </w:p>
    <w:tbl>
      <w:tblPr>
        <w:tblStyle w:val="TableTGAblue2"/>
        <w:tblW w:w="9214" w:type="dxa"/>
        <w:tblInd w:w="108" w:type="dxa"/>
        <w:tblLayout w:type="fixed"/>
        <w:tblLook w:val="04A0" w:firstRow="1" w:lastRow="0" w:firstColumn="1" w:lastColumn="0" w:noHBand="0" w:noVBand="1"/>
      </w:tblPr>
      <w:tblGrid>
        <w:gridCol w:w="3261"/>
        <w:gridCol w:w="3118"/>
        <w:gridCol w:w="2835"/>
      </w:tblGrid>
      <w:tr w:rsidR="007A13A1" w:rsidRPr="00BF5501" w:rsidTr="00700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bookmarkEnd w:id="45"/>
          <w:p w:rsidR="007A13A1" w:rsidRPr="00BF5501" w:rsidRDefault="007A13A1" w:rsidP="007004E8">
            <w:pPr>
              <w:keepLines/>
              <w:widowControl w:val="0"/>
              <w:rPr>
                <w:sz w:val="20"/>
                <w:lang w:eastAsia="en-AU"/>
              </w:rPr>
            </w:pPr>
            <w:r>
              <w:rPr>
                <w:sz w:val="20"/>
                <w:lang w:eastAsia="en-AU"/>
              </w:rPr>
              <w:t>Low risk – Listed medicines</w:t>
            </w:r>
          </w:p>
        </w:tc>
        <w:tc>
          <w:tcPr>
            <w:tcW w:w="3118" w:type="dxa"/>
          </w:tcPr>
          <w:p w:rsidR="007A13A1" w:rsidRPr="00BF5501" w:rsidRDefault="007A13A1" w:rsidP="007004E8">
            <w:pPr>
              <w:keepLines/>
              <w:widowControl w:val="0"/>
              <w:cnfStyle w:val="100000000000" w:firstRow="1" w:lastRow="0" w:firstColumn="0" w:lastColumn="0" w:oddVBand="0" w:evenVBand="0" w:oddHBand="0" w:evenHBand="0" w:firstRowFirstColumn="0" w:firstRowLastColumn="0" w:lastRowFirstColumn="0" w:lastRowLastColumn="0"/>
              <w:rPr>
                <w:sz w:val="20"/>
                <w:lang w:eastAsia="en-AU"/>
              </w:rPr>
            </w:pPr>
            <w:r>
              <w:rPr>
                <w:sz w:val="20"/>
                <w:lang w:eastAsia="en-AU"/>
              </w:rPr>
              <w:t>Intermediate risk – Assessed listed medicines</w:t>
            </w:r>
          </w:p>
        </w:tc>
        <w:tc>
          <w:tcPr>
            <w:tcW w:w="2835" w:type="dxa"/>
          </w:tcPr>
          <w:p w:rsidR="007A13A1" w:rsidRPr="00BF5501" w:rsidRDefault="007A13A1" w:rsidP="007004E8">
            <w:pPr>
              <w:keepLines/>
              <w:widowControl w:val="0"/>
              <w:cnfStyle w:val="100000000000" w:firstRow="1" w:lastRow="0" w:firstColumn="0" w:lastColumn="0" w:oddVBand="0" w:evenVBand="0" w:oddHBand="0" w:evenHBand="0" w:firstRowFirstColumn="0" w:firstRowLastColumn="0" w:lastRowFirstColumn="0" w:lastRowLastColumn="0"/>
              <w:rPr>
                <w:sz w:val="20"/>
                <w:lang w:eastAsia="en-AU"/>
              </w:rPr>
            </w:pPr>
            <w:r>
              <w:rPr>
                <w:sz w:val="20"/>
                <w:lang w:eastAsia="en-AU"/>
              </w:rPr>
              <w:t>Higher risk – Registered complementary medicines</w:t>
            </w:r>
          </w:p>
        </w:tc>
      </w:tr>
      <w:tr w:rsidR="007A13A1" w:rsidRPr="00BF5501" w:rsidTr="007004E8">
        <w:tc>
          <w:tcPr>
            <w:cnfStyle w:val="001000000000" w:firstRow="0" w:lastRow="0" w:firstColumn="1" w:lastColumn="0" w:oddVBand="0" w:evenVBand="0" w:oddHBand="0" w:evenHBand="0" w:firstRowFirstColumn="0" w:firstRowLastColumn="0" w:lastRowFirstColumn="0" w:lastRowLastColumn="0"/>
            <w:tcW w:w="3261" w:type="dxa"/>
          </w:tcPr>
          <w:p w:rsidR="007A13A1" w:rsidRDefault="007A13A1" w:rsidP="007004E8">
            <w:pPr>
              <w:keepNext/>
              <w:keepLines/>
              <w:widowControl w:val="0"/>
            </w:pPr>
            <w:r>
              <w:t>Permitted</w:t>
            </w:r>
            <w:r w:rsidRPr="00CF6057">
              <w:t xml:space="preserve"> indication</w:t>
            </w:r>
            <w:r>
              <w:t>s</w:t>
            </w:r>
            <w:r w:rsidRPr="00CF6057">
              <w:t xml:space="preserve"> may refer to: </w:t>
            </w:r>
          </w:p>
          <w:p w:rsidR="007A13A1" w:rsidRPr="007A13A1" w:rsidRDefault="007A13A1" w:rsidP="007A13A1">
            <w:pPr>
              <w:pStyle w:val="ListBullet"/>
            </w:pPr>
            <w:r w:rsidRPr="007A13A1">
              <w:t>health enhancement</w:t>
            </w:r>
          </w:p>
          <w:p w:rsidR="007A13A1" w:rsidRPr="007A13A1" w:rsidRDefault="007A13A1" w:rsidP="007A13A1">
            <w:pPr>
              <w:pStyle w:val="ListBullet"/>
            </w:pPr>
            <w:r w:rsidRPr="007A13A1">
              <w:t>health maintenance</w:t>
            </w:r>
          </w:p>
          <w:p w:rsidR="007A13A1" w:rsidRPr="007A13A1" w:rsidRDefault="007A13A1" w:rsidP="007A13A1">
            <w:pPr>
              <w:pStyle w:val="ListBullet"/>
            </w:pPr>
            <w:r w:rsidRPr="007A13A1">
              <w:t>prevention of dietary deficiency</w:t>
            </w:r>
          </w:p>
          <w:p w:rsidR="007A13A1" w:rsidRPr="002650EB" w:rsidRDefault="007A13A1" w:rsidP="007A13A1">
            <w:pPr>
              <w:pStyle w:val="ListBullet"/>
            </w:pPr>
            <w:r w:rsidRPr="007A13A1">
              <w:t>a disease, ailment, defect or injury</w:t>
            </w:r>
            <w:r w:rsidRPr="002650EB">
              <w:t xml:space="preserve"> other than a serious form of those diseases</w:t>
            </w:r>
          </w:p>
        </w:tc>
        <w:tc>
          <w:tcPr>
            <w:tcW w:w="3118" w:type="dxa"/>
            <w:shd w:val="clear" w:color="auto" w:fill="E5F1E2" w:themeFill="accent5" w:themeFillTint="1A"/>
          </w:tcPr>
          <w:p w:rsidR="007A13A1" w:rsidRDefault="007A13A1" w:rsidP="007004E8">
            <w:pPr>
              <w:keepNext/>
              <w:keepLines/>
              <w:widowControl w:val="0"/>
              <w:cnfStyle w:val="000000000000" w:firstRow="0" w:lastRow="0" w:firstColumn="0" w:lastColumn="0" w:oddVBand="0" w:evenVBand="0" w:oddHBand="0" w:evenHBand="0" w:firstRowFirstColumn="0" w:firstRowLastColumn="0" w:lastRowFirstColumn="0" w:lastRowLastColumn="0"/>
            </w:pPr>
            <w:r>
              <w:t>Intermediate</w:t>
            </w:r>
            <w:r w:rsidRPr="00CF6057">
              <w:t xml:space="preserve"> level indication may refer to: </w:t>
            </w:r>
          </w:p>
          <w:p w:rsidR="007A13A1" w:rsidRDefault="007A13A1" w:rsidP="007A13A1">
            <w:pPr>
              <w:pStyle w:val="ListBullet"/>
              <w:cnfStyle w:val="000000000000" w:firstRow="0" w:lastRow="0" w:firstColumn="0" w:lastColumn="0" w:oddVBand="0" w:evenVBand="0" w:oddHBand="0" w:evenHBand="0" w:firstRowFirstColumn="0" w:firstRowLastColumn="0" w:lastRowFirstColumn="0" w:lastRowLastColumn="0"/>
            </w:pPr>
            <w:r w:rsidRPr="003C11F7">
              <w:t xml:space="preserve">the prevention, cure or </w:t>
            </w:r>
            <w:r w:rsidRPr="007A13A1">
              <w:t>alleviation</w:t>
            </w:r>
            <w:r w:rsidRPr="003C11F7">
              <w:t xml:space="preserve"> of a non-serious form of a disease, ailment, defect or injury</w:t>
            </w:r>
          </w:p>
          <w:p w:rsidR="007A13A1" w:rsidRPr="00AC4D54" w:rsidRDefault="00E7294B" w:rsidP="007A13A1">
            <w:pPr>
              <w:pStyle w:val="ListBullet"/>
              <w:cnfStyle w:val="000000000000" w:firstRow="0" w:lastRow="0" w:firstColumn="0" w:lastColumn="0" w:oddVBand="0" w:evenVBand="0" w:oddHBand="0" w:evenHBand="0" w:firstRowFirstColumn="0" w:firstRowLastColumn="0" w:lastRowFirstColumn="0" w:lastRowLastColumn="0"/>
            </w:pPr>
            <w:hyperlink r:id="rId101" w:history="1">
              <w:r w:rsidR="007A13A1">
                <w:rPr>
                  <w:rStyle w:val="Hyperlink"/>
                </w:rPr>
                <w:t>r</w:t>
              </w:r>
              <w:r w:rsidR="007A13A1" w:rsidRPr="008A240D">
                <w:rPr>
                  <w:rStyle w:val="Hyperlink"/>
                </w:rPr>
                <w:t>estricted representations</w:t>
              </w:r>
            </w:hyperlink>
            <w:r w:rsidR="007A13A1" w:rsidRPr="003C11F7">
              <w:t xml:space="preserve"> (i.</w:t>
            </w:r>
            <w:r w:rsidR="007A13A1">
              <w:t xml:space="preserve">e. a serious form of a </w:t>
            </w:r>
            <w:r w:rsidR="007A13A1" w:rsidRPr="007A13A1">
              <w:t>disease</w:t>
            </w:r>
            <w:r w:rsidR="007A13A1">
              <w:t>)</w:t>
            </w:r>
          </w:p>
        </w:tc>
        <w:tc>
          <w:tcPr>
            <w:tcW w:w="2835" w:type="dxa"/>
            <w:shd w:val="clear" w:color="auto" w:fill="EAE6F0" w:themeFill="accent6" w:themeFillTint="33"/>
          </w:tcPr>
          <w:p w:rsidR="007A13A1" w:rsidRDefault="007A13A1" w:rsidP="007004E8">
            <w:pPr>
              <w:keepNext/>
              <w:keepLines/>
              <w:widowControl w:val="0"/>
              <w:cnfStyle w:val="000000000000" w:firstRow="0" w:lastRow="0" w:firstColumn="0" w:lastColumn="0" w:oddVBand="0" w:evenVBand="0" w:oddHBand="0" w:evenHBand="0" w:firstRowFirstColumn="0" w:firstRowLastColumn="0" w:lastRowFirstColumn="0" w:lastRowLastColumn="0"/>
            </w:pPr>
            <w:r w:rsidRPr="00CF6057">
              <w:t>High level indications may refer to:</w:t>
            </w:r>
          </w:p>
          <w:p w:rsidR="007A13A1" w:rsidRPr="00BF5501" w:rsidRDefault="007A13A1" w:rsidP="007A13A1">
            <w:pPr>
              <w:pStyle w:val="ListBullet"/>
              <w:cnfStyle w:val="000000000000" w:firstRow="0" w:lastRow="0" w:firstColumn="0" w:lastColumn="0" w:oddVBand="0" w:evenVBand="0" w:oddHBand="0" w:evenHBand="0" w:firstRowFirstColumn="0" w:firstRowLastColumn="0" w:lastRowFirstColumn="0" w:lastRowLastColumn="0"/>
              <w:rPr>
                <w:sz w:val="20"/>
                <w:lang w:eastAsia="en-AU"/>
              </w:rPr>
            </w:pPr>
            <w:r w:rsidRPr="003C11F7">
              <w:t xml:space="preserve">prevention, </w:t>
            </w:r>
            <w:r>
              <w:t xml:space="preserve">cure or </w:t>
            </w:r>
            <w:r w:rsidRPr="007A13A1">
              <w:t>alleviation</w:t>
            </w:r>
            <w:r w:rsidRPr="003C11F7">
              <w:t xml:space="preserve"> of a serious form of a disease, ailment, defect or injury (i</w:t>
            </w:r>
            <w:r>
              <w:t>.e. restricted representations)</w:t>
            </w:r>
          </w:p>
        </w:tc>
      </w:tr>
    </w:tbl>
    <w:p w:rsidR="00D73AB0" w:rsidRPr="007B44F5" w:rsidRDefault="00D73AB0" w:rsidP="00D73AB0">
      <w:r w:rsidRPr="001A338A">
        <w:t>For the application process f</w:t>
      </w:r>
      <w:r>
        <w:t xml:space="preserve">or </w:t>
      </w:r>
      <w:r w:rsidRPr="007B44F5">
        <w:t>the ARTG entry pathways refer to:</w:t>
      </w:r>
    </w:p>
    <w:p w:rsidR="00D73AB0" w:rsidRDefault="00D73AB0" w:rsidP="00D73AB0">
      <w:pPr>
        <w:pStyle w:val="ListBullet"/>
      </w:pPr>
      <w:r>
        <w:t xml:space="preserve">‘Application </w:t>
      </w:r>
      <w:r w:rsidRPr="00D73AB0">
        <w:t>process</w:t>
      </w:r>
      <w:r>
        <w:t xml:space="preserve"> to list a medicine’ in the ARTG in </w:t>
      </w:r>
      <w:hyperlink r:id="rId102" w:history="1">
        <w:r w:rsidRPr="00534945">
          <w:rPr>
            <w:rStyle w:val="Hyperlink"/>
          </w:rPr>
          <w:t>General guidance for listed medicines</w:t>
        </w:r>
      </w:hyperlink>
    </w:p>
    <w:p w:rsidR="00D73AB0" w:rsidRDefault="00D73AB0" w:rsidP="00D73AB0">
      <w:pPr>
        <w:pStyle w:val="ListBullet"/>
      </w:pPr>
      <w:r>
        <w:t>‘Application process for</w:t>
      </w:r>
      <w:r w:rsidRPr="00FD5E25">
        <w:t xml:space="preserve"> </w:t>
      </w:r>
      <w:r>
        <w:t xml:space="preserve">a </w:t>
      </w:r>
      <w:r w:rsidRPr="00D73AB0">
        <w:t>registered</w:t>
      </w:r>
      <w:r w:rsidRPr="00ED5420">
        <w:t xml:space="preserve"> complementary medicine</w:t>
      </w:r>
      <w:r>
        <w:t xml:space="preserve">’ in </w:t>
      </w:r>
      <w:hyperlink r:id="rId103" w:history="1">
        <w:r w:rsidRPr="00534945">
          <w:rPr>
            <w:rStyle w:val="Hyperlink"/>
          </w:rPr>
          <w:t>Applications for registered complementary medicines</w:t>
        </w:r>
      </w:hyperlink>
    </w:p>
    <w:p w:rsidR="00D73AB0" w:rsidRDefault="00D73AB0" w:rsidP="00D73AB0">
      <w:pPr>
        <w:pStyle w:val="Heading4"/>
      </w:pPr>
      <w:bookmarkStart w:id="46" w:name="_Toc77521703"/>
      <w:r>
        <w:t>Supplying medicines packaged with other goods</w:t>
      </w:r>
      <w:bookmarkEnd w:id="46"/>
    </w:p>
    <w:p w:rsidR="00D73AB0" w:rsidRDefault="00D73AB0" w:rsidP="00D73AB0">
      <w:pPr>
        <w:pStyle w:val="ListBullet"/>
        <w:numPr>
          <w:ilvl w:val="0"/>
          <w:numId w:val="0"/>
        </w:numPr>
      </w:pPr>
      <w:r>
        <w:t xml:space="preserve">Medicines </w:t>
      </w:r>
      <w:r w:rsidRPr="001755E4">
        <w:t xml:space="preserve">may be </w:t>
      </w:r>
      <w:r>
        <w:t xml:space="preserve">individually </w:t>
      </w:r>
      <w:r w:rsidRPr="001755E4">
        <w:t xml:space="preserve">packaged with </w:t>
      </w:r>
      <w:r>
        <w:t>o</w:t>
      </w:r>
      <w:r w:rsidRPr="001755E4">
        <w:t>ther therapeutic good</w:t>
      </w:r>
      <w:r>
        <w:t>s</w:t>
      </w:r>
      <w:r w:rsidRPr="001755E4">
        <w:t>. These may be defined as a</w:t>
      </w:r>
      <w:r>
        <w:t xml:space="preserve"> kit, a composite pack or a system and procedure pack</w:t>
      </w:r>
      <w:r w:rsidRPr="001755E4">
        <w:t>.</w:t>
      </w:r>
      <w:r w:rsidRPr="00C37CF7">
        <w:t xml:space="preserve"> </w:t>
      </w:r>
    </w:p>
    <w:p w:rsidR="00D73AB0" w:rsidRDefault="00D73AB0" w:rsidP="00D73AB0">
      <w:pPr>
        <w:pStyle w:val="ListBullet"/>
        <w:numPr>
          <w:ilvl w:val="0"/>
          <w:numId w:val="0"/>
        </w:numPr>
      </w:pPr>
      <w:r>
        <w:t xml:space="preserve">Kits and composite packs are defined in the legislation under section 7B of the </w:t>
      </w:r>
      <w:hyperlink r:id="rId104" w:history="1">
        <w:r w:rsidRPr="00F10EDD">
          <w:rPr>
            <w:rStyle w:val="Hyperlink"/>
          </w:rPr>
          <w:t>Act</w:t>
        </w:r>
      </w:hyperlink>
      <w:r>
        <w:t>. System or procedure packs are defined in section 41BF - these are regulated as medical devices. Packs are regulated differently depending on the combination of therapeutic goods supplied.</w:t>
      </w:r>
    </w:p>
    <w:p w:rsidR="00D73AB0" w:rsidRDefault="00D73AB0" w:rsidP="00D73AB0">
      <w:pPr>
        <w:pStyle w:val="Heading5"/>
      </w:pPr>
      <w:r w:rsidRPr="00637719">
        <w:t>Composite</w:t>
      </w:r>
      <w:r>
        <w:t xml:space="preserve"> pack</w:t>
      </w:r>
    </w:p>
    <w:p w:rsidR="00D73AB0" w:rsidRPr="008070E2" w:rsidRDefault="00D73AB0" w:rsidP="00D73AB0">
      <w:pPr>
        <w:pStyle w:val="ListBullet"/>
      </w:pPr>
      <w:r w:rsidRPr="008070E2">
        <w:t xml:space="preserve">Contains two or more therapeutic goods but does not contain </w:t>
      </w:r>
      <w:r>
        <w:t xml:space="preserve">a </w:t>
      </w:r>
      <w:r w:rsidRPr="008070E2">
        <w:t>medical device.</w:t>
      </w:r>
    </w:p>
    <w:p w:rsidR="00D73AB0" w:rsidRPr="008070E2" w:rsidRDefault="00D73AB0" w:rsidP="00D73AB0">
      <w:pPr>
        <w:pStyle w:val="ListBullet"/>
      </w:pPr>
      <w:r w:rsidRPr="008070E2">
        <w:t xml:space="preserve">The goods </w:t>
      </w:r>
      <w:r w:rsidRPr="00D73AB0">
        <w:t>must</w:t>
      </w:r>
      <w:r w:rsidRPr="008070E2">
        <w:t xml:space="preserve"> be for administration as a single treatment or a single course of treatment, and the components are either combined before treatment or administered in a particular sequence as part of that treatment.</w:t>
      </w:r>
    </w:p>
    <w:p w:rsidR="006A022A" w:rsidRPr="008070E2" w:rsidRDefault="006A022A" w:rsidP="006A022A">
      <w:pPr>
        <w:pStyle w:val="ListBullet"/>
        <w:numPr>
          <w:ilvl w:val="0"/>
          <w:numId w:val="22"/>
        </w:numPr>
      </w:pPr>
      <w:r w:rsidRPr="008070E2">
        <w:t xml:space="preserve">Individual components within the pack </w:t>
      </w:r>
      <w:r>
        <w:t>are not</w:t>
      </w:r>
      <w:r w:rsidRPr="008070E2">
        <w:t xml:space="preserve"> separately listed</w:t>
      </w:r>
      <w:r>
        <w:t xml:space="preserve"> or </w:t>
      </w:r>
      <w:r w:rsidRPr="008070E2">
        <w:t xml:space="preserve">registered </w:t>
      </w:r>
      <w:r>
        <w:t xml:space="preserve">in the ARTG. </w:t>
      </w:r>
      <w:r w:rsidRPr="00FD06DF">
        <w:t>That is, a composite pack has one single ARTG entry.</w:t>
      </w:r>
    </w:p>
    <w:p w:rsidR="006A022A" w:rsidRDefault="006A022A" w:rsidP="006A022A">
      <w:pPr>
        <w:pStyle w:val="ListBullet"/>
        <w:numPr>
          <w:ilvl w:val="0"/>
          <w:numId w:val="0"/>
        </w:numPr>
      </w:pPr>
      <w:r>
        <w:lastRenderedPageBreak/>
        <w:t>An example of a composite pack is</w:t>
      </w:r>
      <w:r w:rsidRPr="00294EFE">
        <w:t xml:space="preserve"> a cold medication consisting of tablets for day or night time use, where the 2 different </w:t>
      </w:r>
      <w:r>
        <w:t xml:space="preserve">tablet </w:t>
      </w:r>
      <w:r w:rsidRPr="00294EFE">
        <w:t>formulation</w:t>
      </w:r>
      <w:r>
        <w:t>s</w:t>
      </w:r>
      <w:r w:rsidRPr="00294EFE">
        <w:t xml:space="preserve"> are presented together in a blister pack and the medicine has one ARTG listed medicine entry.</w:t>
      </w:r>
    </w:p>
    <w:p w:rsidR="006A022A" w:rsidRDefault="006A022A" w:rsidP="006A022A">
      <w:pPr>
        <w:pStyle w:val="Heading5"/>
      </w:pPr>
      <w:r w:rsidRPr="00637719">
        <w:t>Kits</w:t>
      </w:r>
    </w:p>
    <w:p w:rsidR="006A022A" w:rsidRPr="008070E2" w:rsidRDefault="006A022A" w:rsidP="006A022A">
      <w:pPr>
        <w:pStyle w:val="ListBullet"/>
      </w:pPr>
      <w:r w:rsidRPr="006A022A">
        <w:t>Contains</w:t>
      </w:r>
      <w:r w:rsidRPr="008070E2">
        <w:t xml:space="preserve"> </w:t>
      </w:r>
      <w:r w:rsidRPr="00783C28">
        <w:t>one or more goods</w:t>
      </w:r>
      <w:r>
        <w:rPr>
          <w:color w:val="FF0000"/>
        </w:rPr>
        <w:t xml:space="preserve"> </w:t>
      </w:r>
      <w:r w:rsidRPr="00783C28">
        <w:t>at least one of which is a therapeutic good.</w:t>
      </w:r>
    </w:p>
    <w:p w:rsidR="006A022A" w:rsidRPr="008070E2" w:rsidRDefault="006A022A" w:rsidP="006A022A">
      <w:pPr>
        <w:pStyle w:val="ListBullet"/>
      </w:pPr>
      <w:r w:rsidRPr="008070E2">
        <w:t xml:space="preserve">The </w:t>
      </w:r>
      <w:r w:rsidRPr="006A022A">
        <w:t>pack</w:t>
      </w:r>
      <w:r w:rsidRPr="008070E2">
        <w:t xml:space="preserve"> must not meet the definition of a composite pack</w:t>
      </w:r>
      <w:r>
        <w:t xml:space="preserve">. </w:t>
      </w:r>
      <w:r w:rsidRPr="008070E2">
        <w:t>The individual goods can be used independently and do not need to be combined or administered in a sequence as part of a single treatment for the product's therapeutic purpose.</w:t>
      </w:r>
    </w:p>
    <w:p w:rsidR="006A022A" w:rsidRDefault="006A022A" w:rsidP="006A022A">
      <w:pPr>
        <w:pStyle w:val="ListBullet"/>
      </w:pPr>
      <w:r w:rsidRPr="006A022A">
        <w:t>Individual</w:t>
      </w:r>
      <w:r w:rsidRPr="008070E2">
        <w:t xml:space="preserve"> components within the pack must be separately listed, registered or </w:t>
      </w:r>
      <w:r>
        <w:t>ex</w:t>
      </w:r>
      <w:r w:rsidRPr="008070E2">
        <w:t>cluded</w:t>
      </w:r>
      <w:r>
        <w:t xml:space="preserve"> from the requirement to be in the ARTG</w:t>
      </w:r>
      <w:r w:rsidR="008805EB">
        <w:t>.</w:t>
      </w:r>
    </w:p>
    <w:p w:rsidR="006A022A" w:rsidRDefault="006A022A" w:rsidP="006A022A">
      <w:pPr>
        <w:pStyle w:val="ListBullet"/>
      </w:pPr>
      <w:r w:rsidRPr="00294EFE">
        <w:t xml:space="preserve">The kit (comprised of the individually regulated products) is included in the ARTG as a listed </w:t>
      </w:r>
      <w:r w:rsidRPr="006A022A">
        <w:t>medicine</w:t>
      </w:r>
      <w:r w:rsidRPr="00294EFE">
        <w:t xml:space="preserve"> (even if one of the goods in the kit is a registered medicine or</w:t>
      </w:r>
      <w:r>
        <w:t xml:space="preserve"> an</w:t>
      </w:r>
      <w:r w:rsidRPr="00294EFE">
        <w:t xml:space="preserve"> exempt good)</w:t>
      </w:r>
      <w:r>
        <w:t>.</w:t>
      </w:r>
    </w:p>
    <w:p w:rsidR="006A022A" w:rsidRDefault="006A022A" w:rsidP="006A022A">
      <w:pPr>
        <w:pStyle w:val="ListBullet"/>
        <w:numPr>
          <w:ilvl w:val="0"/>
          <w:numId w:val="0"/>
        </w:numPr>
      </w:pPr>
      <w:r>
        <w:t>Example of kits are:</w:t>
      </w:r>
    </w:p>
    <w:p w:rsidR="006A022A" w:rsidRPr="006A022A" w:rsidRDefault="006A022A" w:rsidP="006A022A">
      <w:pPr>
        <w:pStyle w:val="ListBullet"/>
      </w:pPr>
      <w:r>
        <w:t xml:space="preserve">A </w:t>
      </w:r>
      <w:r w:rsidRPr="006A022A">
        <w:t>sunscreen lotion (AUST L listed medicine), and a cosmetic moisturiser (exempt good) and a sun hat (non-therapeutic good) presented together in a single package for sun care.</w:t>
      </w:r>
    </w:p>
    <w:p w:rsidR="006A022A" w:rsidRPr="008070E2" w:rsidRDefault="006A022A" w:rsidP="006A022A">
      <w:pPr>
        <w:pStyle w:val="ListBullet"/>
      </w:pPr>
      <w:r w:rsidRPr="006A022A">
        <w:t>A first aid kit comprising of a wound antiseptic spray (AUST L listed medicine), a band aid (a medical device</w:t>
      </w:r>
      <w:r>
        <w:t>) and a pair of scissors (non-therapeutic good).</w:t>
      </w:r>
    </w:p>
    <w:p w:rsidR="006A022A" w:rsidRDefault="006A022A" w:rsidP="006A022A">
      <w:pPr>
        <w:pStyle w:val="Heading5"/>
      </w:pPr>
      <w:r>
        <w:t xml:space="preserve">System or procedure </w:t>
      </w:r>
      <w:r w:rsidRPr="00637719">
        <w:t>pack</w:t>
      </w:r>
    </w:p>
    <w:p w:rsidR="006A022A" w:rsidRDefault="006A022A" w:rsidP="006A022A">
      <w:pPr>
        <w:pStyle w:val="ListBullet"/>
        <w:numPr>
          <w:ilvl w:val="0"/>
          <w:numId w:val="0"/>
        </w:numPr>
      </w:pPr>
      <w:r>
        <w:t>A system or procedure pack contains medicine/s and at least one medical device</w:t>
      </w:r>
      <w:r w:rsidRPr="002E598C">
        <w:t xml:space="preserve"> </w:t>
      </w:r>
      <w:r>
        <w:t xml:space="preserve">that are </w:t>
      </w:r>
      <w:r w:rsidRPr="002E598C">
        <w:t>required to be used together as a system or in a medical or surgical procedure. System or procedure packs are regulated as medical devices</w:t>
      </w:r>
      <w:r>
        <w:t xml:space="preserve">.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6A022A" w:rsidRPr="00215D48" w:rsidTr="007004E8">
        <w:trPr>
          <w:trHeight w:val="407"/>
        </w:trPr>
        <w:tc>
          <w:tcPr>
            <w:tcW w:w="1276" w:type="dxa"/>
            <w:vAlign w:val="center"/>
          </w:tcPr>
          <w:p w:rsidR="006A022A" w:rsidRPr="00215D48" w:rsidRDefault="006A022A" w:rsidP="007004E8">
            <w:pPr>
              <w:spacing w:before="0"/>
              <w:rPr>
                <w:noProof/>
                <w:sz w:val="20"/>
                <w:lang w:eastAsia="en-AU"/>
              </w:rPr>
            </w:pPr>
            <w:r w:rsidRPr="00A264D0">
              <w:rPr>
                <w:noProof/>
                <w:lang w:eastAsia="en-AU"/>
              </w:rPr>
              <w:drawing>
                <wp:inline distT="0" distB="0" distL="0" distR="0" wp14:anchorId="04B7D4B8" wp14:editId="1B685ABB">
                  <wp:extent cx="487681" cy="487681"/>
                  <wp:effectExtent l="19050" t="0" r="7619" b="0"/>
                  <wp:docPr id="1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6A022A" w:rsidRPr="008070E2" w:rsidRDefault="006A022A" w:rsidP="007004E8">
            <w:pPr>
              <w:pStyle w:val="ListBullet"/>
              <w:numPr>
                <w:ilvl w:val="0"/>
                <w:numId w:val="0"/>
              </w:numPr>
              <w:ind w:left="360" w:hanging="360"/>
              <w:rPr>
                <w:b/>
              </w:rPr>
            </w:pPr>
            <w:r>
              <w:rPr>
                <w:b/>
              </w:rPr>
              <w:t xml:space="preserve">For information:  </w:t>
            </w:r>
            <w:r w:rsidRPr="00DB6AAC">
              <w:t>System or procedure packs are medical devices</w:t>
            </w:r>
          </w:p>
          <w:p w:rsidR="006A022A" w:rsidRPr="00215D48" w:rsidRDefault="006A022A" w:rsidP="007004E8">
            <w:pPr>
              <w:pStyle w:val="ListBullet"/>
              <w:numPr>
                <w:ilvl w:val="0"/>
                <w:numId w:val="0"/>
              </w:numPr>
            </w:pPr>
            <w:r>
              <w:t xml:space="preserve">Information on the regulation of system or procedure packs can be found in pre-market part of the </w:t>
            </w:r>
            <w:hyperlink r:id="rId105" w:history="1">
              <w:r w:rsidRPr="00255B75">
                <w:rPr>
                  <w:rStyle w:val="Hyperlink"/>
                </w:rPr>
                <w:t>Australian Regulatory Guidelines for Medical Devices</w:t>
              </w:r>
              <w:r w:rsidRPr="007503E8">
                <w:rPr>
                  <w:rStyle w:val="Hyperlink"/>
                  <w:u w:val="none"/>
                </w:rPr>
                <w:t>.</w:t>
              </w:r>
            </w:hyperlink>
          </w:p>
        </w:tc>
      </w:tr>
    </w:tbl>
    <w:p w:rsidR="006A022A" w:rsidRPr="00E7718F" w:rsidRDefault="006A022A" w:rsidP="006A022A">
      <w:pPr>
        <w:pStyle w:val="Heading4"/>
      </w:pPr>
      <w:bookmarkStart w:id="47" w:name="_Complementary_medicine_presentation_1"/>
      <w:bookmarkStart w:id="48" w:name="_Literature-based_submissions_for_1"/>
      <w:bookmarkStart w:id="49" w:name="_Consent_to_supply"/>
      <w:bookmarkStart w:id="50" w:name="_Exempt_goods"/>
      <w:bookmarkStart w:id="51" w:name="_Complementary_medicine_practitioner"/>
      <w:bookmarkStart w:id="52" w:name="_Exemptions_for_extemporaneously"/>
      <w:bookmarkStart w:id="53" w:name="_Complementary_medicine_presentation"/>
      <w:bookmarkStart w:id="54" w:name="_Complementary_medicine_labels"/>
      <w:bookmarkStart w:id="55" w:name="_Advertising_of_complementary"/>
      <w:bookmarkStart w:id="56" w:name="_Toc77521704"/>
      <w:bookmarkEnd w:id="47"/>
      <w:bookmarkEnd w:id="48"/>
      <w:bookmarkEnd w:id="49"/>
      <w:bookmarkEnd w:id="50"/>
      <w:bookmarkEnd w:id="51"/>
      <w:bookmarkEnd w:id="52"/>
      <w:bookmarkEnd w:id="53"/>
      <w:bookmarkEnd w:id="54"/>
      <w:bookmarkEnd w:id="55"/>
      <w:r w:rsidRPr="00E7718F">
        <w:t>Administrative information</w:t>
      </w:r>
      <w:bookmarkEnd w:id="56"/>
    </w:p>
    <w:p w:rsidR="006A022A" w:rsidRDefault="006A022A" w:rsidP="006A022A">
      <w:pPr>
        <w:pStyle w:val="Heading5"/>
      </w:pPr>
      <w:r>
        <w:t>Fees and charges</w:t>
      </w:r>
    </w:p>
    <w:p w:rsidR="006A022A" w:rsidRDefault="006A022A" w:rsidP="006A022A">
      <w:r>
        <w:t>The TGA has a variety of fees and charges for complementary medicines:</w:t>
      </w:r>
    </w:p>
    <w:p w:rsidR="006A022A" w:rsidRPr="006A022A" w:rsidRDefault="006A022A" w:rsidP="006A022A">
      <w:pPr>
        <w:pStyle w:val="ListBullet"/>
      </w:pPr>
      <w:r>
        <w:t xml:space="preserve">an </w:t>
      </w:r>
      <w:r w:rsidRPr="006A022A">
        <w:t>initial application fee</w:t>
      </w:r>
    </w:p>
    <w:p w:rsidR="006A022A" w:rsidRPr="006A022A" w:rsidRDefault="006A022A" w:rsidP="006A022A">
      <w:pPr>
        <w:pStyle w:val="ListBullet"/>
      </w:pPr>
      <w:r w:rsidRPr="006A022A">
        <w:t>evaluation fees</w:t>
      </w:r>
    </w:p>
    <w:p w:rsidR="006A022A" w:rsidRDefault="006A022A" w:rsidP="006A022A">
      <w:pPr>
        <w:pStyle w:val="ListBullet"/>
      </w:pPr>
      <w:r w:rsidRPr="006A022A">
        <w:t>an annual</w:t>
      </w:r>
      <w:r>
        <w:t xml:space="preserve"> charge to maintain the inclusion of their product in the ARTG.</w:t>
      </w:r>
    </w:p>
    <w:p w:rsidR="006A022A" w:rsidRDefault="006A022A" w:rsidP="006A022A">
      <w:pPr>
        <w:pStyle w:val="ListBullet"/>
        <w:numPr>
          <w:ilvl w:val="0"/>
          <w:numId w:val="0"/>
        </w:numPr>
      </w:pPr>
      <w:r w:rsidRPr="00675AEF">
        <w:t>The fees payable vary depending on the type of application.</w:t>
      </w:r>
      <w:r>
        <w:t xml:space="preserve"> For more information refer to the </w:t>
      </w:r>
      <w:hyperlink r:id="rId106" w:history="1">
        <w:r w:rsidRPr="00675AEF">
          <w:rPr>
            <w:rStyle w:val="Hyperlink"/>
          </w:rPr>
          <w:t>Fees and charges summary</w:t>
        </w:r>
      </w:hyperlink>
      <w:r>
        <w:t>.</w:t>
      </w:r>
    </w:p>
    <w:p w:rsidR="00817334" w:rsidRPr="00F05847" w:rsidRDefault="00817334" w:rsidP="00817334">
      <w:pPr>
        <w:pStyle w:val="Heading5"/>
        <w:pageBreakBefore/>
      </w:pPr>
      <w:r>
        <w:lastRenderedPageBreak/>
        <w:t>Appeal processes</w:t>
      </w:r>
    </w:p>
    <w:p w:rsidR="00817334" w:rsidRDefault="00817334" w:rsidP="00817334">
      <w:r>
        <w:t xml:space="preserve">If the sponsor does not agree with a decision made under the Act by the TGA, the Act provides a comprehensive system for review of administrative decisions. The appeal mechanisms are described in more detail in the </w:t>
      </w:r>
      <w:hyperlink r:id="rId107" w:history="1">
        <w:r w:rsidRPr="005F0C0A">
          <w:rPr>
            <w:rStyle w:val="Hyperlink"/>
          </w:rPr>
          <w:t>TGA internal review guideline</w:t>
        </w:r>
      </w:hyperlink>
      <w:r>
        <w:t>. Briefly, the formal appeal process usually involves:</w:t>
      </w:r>
    </w:p>
    <w:p w:rsidR="00817334" w:rsidRDefault="00817334" w:rsidP="00817334">
      <w:pPr>
        <w:pStyle w:val="ListBullet"/>
      </w:pPr>
      <w:r>
        <w:t>An appeal under Section 60 of the Act.</w:t>
      </w:r>
    </w:p>
    <w:p w:rsidR="00817334" w:rsidRDefault="00817334" w:rsidP="00817334">
      <w:r>
        <w:t>This can be followed by:</w:t>
      </w:r>
    </w:p>
    <w:p w:rsidR="00817334" w:rsidRDefault="00817334" w:rsidP="00817334">
      <w:pPr>
        <w:pStyle w:val="ListBullet"/>
      </w:pPr>
      <w:r>
        <w:t>An appeal to the Administrative Appeals tribunal (AAT).</w:t>
      </w:r>
    </w:p>
    <w:p w:rsidR="00117E01" w:rsidRPr="004124C7" w:rsidRDefault="00117E01" w:rsidP="00117E01">
      <w:pPr>
        <w:pStyle w:val="Heading3"/>
      </w:pPr>
      <w:bookmarkStart w:id="57" w:name="_Toc76029091"/>
      <w:bookmarkStart w:id="58" w:name="_Toc77521705"/>
      <w:r w:rsidRPr="007A5D2E">
        <w:t xml:space="preserve">Post-market </w:t>
      </w:r>
      <w:r w:rsidRPr="00637719">
        <w:t>monitoring</w:t>
      </w:r>
      <w:r>
        <w:t xml:space="preserve"> of medicines in Australia</w:t>
      </w:r>
      <w:bookmarkEnd w:id="57"/>
      <w:bookmarkEnd w:id="58"/>
    </w:p>
    <w:tbl>
      <w:tblPr>
        <w:tblW w:w="9038" w:type="dxa"/>
        <w:tblLayout w:type="fixed"/>
        <w:tblCellMar>
          <w:left w:w="0" w:type="dxa"/>
          <w:right w:w="0" w:type="dxa"/>
        </w:tblCellMar>
        <w:tblLook w:val="04A0" w:firstRow="1" w:lastRow="0" w:firstColumn="1" w:lastColumn="0" w:noHBand="0" w:noVBand="1"/>
      </w:tblPr>
      <w:tblGrid>
        <w:gridCol w:w="1276"/>
        <w:gridCol w:w="7762"/>
      </w:tblGrid>
      <w:tr w:rsidR="00117E01" w:rsidRPr="00DB6E77" w:rsidTr="007004E8">
        <w:trPr>
          <w:trHeight w:val="1362"/>
        </w:trPr>
        <w:tc>
          <w:tcPr>
            <w:tcW w:w="1276" w:type="dxa"/>
            <w:vAlign w:val="center"/>
          </w:tcPr>
          <w:p w:rsidR="00117E01" w:rsidRPr="00DB6E77" w:rsidRDefault="00117E01" w:rsidP="007004E8">
            <w:pPr>
              <w:spacing w:before="0" w:after="120"/>
              <w:rPr>
                <w:sz w:val="20"/>
              </w:rPr>
            </w:pPr>
            <w:bookmarkStart w:id="59" w:name="_Toc526765870"/>
            <w:r w:rsidRPr="00A264D0">
              <w:rPr>
                <w:noProof/>
                <w:lang w:eastAsia="en-AU"/>
              </w:rPr>
              <w:drawing>
                <wp:inline distT="0" distB="0" distL="0" distR="0" wp14:anchorId="3DCA97AB" wp14:editId="202943A7">
                  <wp:extent cx="487681" cy="487681"/>
                  <wp:effectExtent l="19050" t="0" r="7619" b="0"/>
                  <wp:docPr id="1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117E01" w:rsidRPr="00DB6E77" w:rsidRDefault="00117E01" w:rsidP="007004E8">
            <w:pPr>
              <w:keepLines/>
              <w:spacing w:after="120"/>
            </w:pPr>
            <w:r w:rsidRPr="001D0444">
              <w:rPr>
                <w:b/>
              </w:rPr>
              <w:t>Important</w:t>
            </w:r>
            <w:r>
              <w:t xml:space="preserve">:  Section 29A of the Act requires sponsors of medicines registered or listed in ARTG to report adverse reactions about which they become aware. Guidance for sponsors is provided in </w:t>
            </w:r>
            <w:hyperlink r:id="rId108" w:history="1">
              <w:r w:rsidRPr="008A2686">
                <w:rPr>
                  <w:rStyle w:val="Hyperlink"/>
                </w:rPr>
                <w:t>Australian requirements and recommendations for pharmacovigilance responsibilities of sponsors of medicines</w:t>
              </w:r>
            </w:hyperlink>
            <w:r>
              <w:t>.</w:t>
            </w:r>
          </w:p>
        </w:tc>
      </w:tr>
    </w:tbl>
    <w:p w:rsidR="00117E01" w:rsidRDefault="00117E01" w:rsidP="00117E01">
      <w:r>
        <w:t xml:space="preserve">We adopt a </w:t>
      </w:r>
      <w:hyperlink r:id="rId109" w:history="1">
        <w:r w:rsidRPr="008A2686">
          <w:rPr>
            <w:rStyle w:val="Hyperlink"/>
          </w:rPr>
          <w:t>risk management approach</w:t>
        </w:r>
      </w:hyperlink>
      <w:r>
        <w:t xml:space="preserve"> to regulating therapeutic goods including post-market monitoring activities. Information on our approach to managing compliance risk is available at: </w:t>
      </w:r>
      <w:hyperlink r:id="rId110" w:history="1">
        <w:r w:rsidRPr="008A2686">
          <w:rPr>
            <w:rStyle w:val="Hyperlink"/>
          </w:rPr>
          <w:t>TGA regulatory framework</w:t>
        </w:r>
      </w:hyperlink>
      <w:r>
        <w:t>.</w:t>
      </w:r>
    </w:p>
    <w:p w:rsidR="00117E01" w:rsidRDefault="00117E01" w:rsidP="00117E01">
      <w:r>
        <w:t>The TGA has a multi-faceted program for monitoring the safety, quality and efficacy of therapeutic products that are on the market. The types of post market regulatory activities we undertake include:</w:t>
      </w:r>
    </w:p>
    <w:p w:rsidR="00117E01" w:rsidRPr="00117E01" w:rsidRDefault="00E7294B" w:rsidP="00117E01">
      <w:pPr>
        <w:pStyle w:val="ListBullet"/>
        <w:rPr>
          <w:rStyle w:val="Hyperlink"/>
          <w:color w:val="002C47" w:themeColor="text1"/>
        </w:rPr>
      </w:pPr>
      <w:hyperlink r:id="rId111" w:history="1">
        <w:r w:rsidR="00117E01" w:rsidRPr="008A2686">
          <w:rPr>
            <w:rStyle w:val="Hyperlink"/>
          </w:rPr>
          <w:t>therapeutic product vigilance</w:t>
        </w:r>
      </w:hyperlink>
    </w:p>
    <w:p w:rsidR="00117E01" w:rsidRPr="00694BF4" w:rsidRDefault="00E7294B" w:rsidP="00117E01">
      <w:pPr>
        <w:pStyle w:val="ListBullet"/>
      </w:pPr>
      <w:hyperlink r:id="rId112" w:history="1">
        <w:r w:rsidR="00117E01">
          <w:rPr>
            <w:rStyle w:val="Hyperlink"/>
          </w:rPr>
          <w:t>p</w:t>
        </w:r>
        <w:r w:rsidR="00117E01" w:rsidRPr="004C19F7">
          <w:rPr>
            <w:rStyle w:val="Hyperlink"/>
          </w:rPr>
          <w:t>harmac</w:t>
        </w:r>
        <w:r w:rsidR="00117E01">
          <w:rPr>
            <w:rStyle w:val="Hyperlink"/>
          </w:rPr>
          <w:t>ovigilance inspection p</w:t>
        </w:r>
        <w:r w:rsidR="00117E01" w:rsidRPr="004C19F7">
          <w:rPr>
            <w:rStyle w:val="Hyperlink"/>
          </w:rPr>
          <w:t>rogram</w:t>
        </w:r>
      </w:hyperlink>
    </w:p>
    <w:p w:rsidR="00117E01" w:rsidRPr="00117E01" w:rsidRDefault="00117E01" w:rsidP="00117E01">
      <w:pPr>
        <w:pStyle w:val="ListBullet"/>
        <w:rPr>
          <w:rStyle w:val="Hyperlink"/>
          <w:color w:val="002C47" w:themeColor="text1"/>
        </w:rPr>
      </w:pPr>
      <w:r>
        <w:fldChar w:fldCharType="begin"/>
      </w:r>
      <w:r>
        <w:instrText xml:space="preserve"> HYPERLINK "https://www.tga.gov.au/reporting-problems" </w:instrText>
      </w:r>
      <w:r>
        <w:fldChar w:fldCharType="separate"/>
      </w:r>
      <w:r w:rsidRPr="00741210">
        <w:rPr>
          <w:rStyle w:val="Hyperlink"/>
        </w:rPr>
        <w:t>reporting of adverse events, counterfeit goods or medicine defects</w:t>
      </w:r>
    </w:p>
    <w:p w:rsidR="00117E01" w:rsidRDefault="00117E01" w:rsidP="00117E01">
      <w:pPr>
        <w:pStyle w:val="ListBullet"/>
      </w:pPr>
      <w:r>
        <w:fldChar w:fldCharType="end"/>
      </w:r>
      <w:hyperlink r:id="rId113" w:history="1">
        <w:r w:rsidRPr="00CA7AE5">
          <w:rPr>
            <w:rStyle w:val="Hyperlink"/>
          </w:rPr>
          <w:t>listed medicine compliance reviews</w:t>
        </w:r>
      </w:hyperlink>
    </w:p>
    <w:p w:rsidR="00117E01" w:rsidRPr="00117E01" w:rsidRDefault="00E7294B" w:rsidP="00117E01">
      <w:pPr>
        <w:pStyle w:val="ListBullet"/>
        <w:rPr>
          <w:rStyle w:val="Hyperlink"/>
          <w:color w:val="002C47" w:themeColor="text1"/>
        </w:rPr>
      </w:pPr>
      <w:hyperlink r:id="rId114" w:history="1">
        <w:r w:rsidR="00117E01">
          <w:rPr>
            <w:rStyle w:val="Hyperlink"/>
          </w:rPr>
          <w:t>a</w:t>
        </w:r>
        <w:r w:rsidR="00117E01" w:rsidRPr="00373D6A">
          <w:rPr>
            <w:rStyle w:val="Hyperlink"/>
          </w:rPr>
          <w:t xml:space="preserve">dvertising </w:t>
        </w:r>
        <w:r w:rsidR="00117E01" w:rsidRPr="00694BF4">
          <w:rPr>
            <w:rStyle w:val="Hyperlink"/>
          </w:rPr>
          <w:t>monitoring</w:t>
        </w:r>
      </w:hyperlink>
    </w:p>
    <w:p w:rsidR="00117E01" w:rsidRPr="00117E01" w:rsidRDefault="00117E01" w:rsidP="00117E01">
      <w:pPr>
        <w:pStyle w:val="ListBullet"/>
        <w:rPr>
          <w:rStyle w:val="Hyperlink"/>
          <w:color w:val="002C47" w:themeColor="text1"/>
        </w:rPr>
      </w:pPr>
      <w:r>
        <w:fldChar w:fldCharType="begin"/>
      </w:r>
      <w:r>
        <w:instrText xml:space="preserve"> HYPERLINK "https://www.tga.gov.au/tga-laboratories" </w:instrText>
      </w:r>
      <w:r>
        <w:fldChar w:fldCharType="separate"/>
      </w:r>
      <w:r>
        <w:rPr>
          <w:rStyle w:val="Hyperlink"/>
        </w:rPr>
        <w:t>l</w:t>
      </w:r>
      <w:r w:rsidRPr="00F31AD3">
        <w:rPr>
          <w:rStyle w:val="Hyperlink"/>
        </w:rPr>
        <w:t>aboratories testing program</w:t>
      </w:r>
    </w:p>
    <w:p w:rsidR="00117E01" w:rsidRPr="00117E01" w:rsidRDefault="00117E01" w:rsidP="00117E01">
      <w:pPr>
        <w:pStyle w:val="ListBullet"/>
        <w:rPr>
          <w:rStyle w:val="Hyperlink"/>
          <w:color w:val="002C47" w:themeColor="text1"/>
        </w:rPr>
      </w:pPr>
      <w:r>
        <w:fldChar w:fldCharType="end"/>
      </w:r>
      <w:r>
        <w:fldChar w:fldCharType="begin"/>
      </w:r>
      <w:r>
        <w:instrText xml:space="preserve"> HYPERLINK "https://www.tga.gov.au/good-manufacturing-practice-overview" </w:instrText>
      </w:r>
      <w:r>
        <w:fldChar w:fldCharType="separate"/>
      </w:r>
      <w:r w:rsidRPr="00741210">
        <w:rPr>
          <w:rStyle w:val="Hyperlink"/>
        </w:rPr>
        <w:t>manufacturer inspections</w:t>
      </w:r>
    </w:p>
    <w:p w:rsidR="00117E01" w:rsidRDefault="00117E01" w:rsidP="00117E01">
      <w:r>
        <w:fldChar w:fldCharType="end"/>
      </w:r>
      <w:r>
        <w:t>Once a problem has been identified possible regulatory actions the TGA can take include:</w:t>
      </w:r>
    </w:p>
    <w:p w:rsidR="00117E01" w:rsidRPr="00117E01" w:rsidRDefault="00117E01" w:rsidP="00117E01">
      <w:pPr>
        <w:pStyle w:val="ListBullet"/>
      </w:pPr>
      <w:r w:rsidRPr="00117E01">
        <w:t>Informing health care professionals and consumers about the risks of using the product</w:t>
      </w:r>
    </w:p>
    <w:p w:rsidR="00117E01" w:rsidRPr="00117E01" w:rsidRDefault="00117E01" w:rsidP="00117E01">
      <w:pPr>
        <w:pStyle w:val="ListBullet"/>
      </w:pPr>
      <w:r w:rsidRPr="00117E01">
        <w:t>Re-assessing the benefit-risk profile.</w:t>
      </w:r>
    </w:p>
    <w:p w:rsidR="00117E01" w:rsidRPr="00117E01" w:rsidRDefault="00117E01" w:rsidP="00117E01">
      <w:pPr>
        <w:pStyle w:val="ListBullet"/>
      </w:pPr>
      <w:r w:rsidRPr="00117E01">
        <w:t>Requiring product labelling changes.</w:t>
      </w:r>
    </w:p>
    <w:p w:rsidR="00117E01" w:rsidRPr="00117E01" w:rsidRDefault="00117E01" w:rsidP="00117E01">
      <w:pPr>
        <w:pStyle w:val="ListBullet"/>
      </w:pPr>
      <w:r w:rsidRPr="00117E01">
        <w:t>Requiring design or manufacturing change.</w:t>
      </w:r>
    </w:p>
    <w:p w:rsidR="00117E01" w:rsidRPr="00117E01" w:rsidRDefault="00117E01" w:rsidP="00117E01">
      <w:pPr>
        <w:pStyle w:val="ListBullet"/>
      </w:pPr>
      <w:r w:rsidRPr="00117E01">
        <w:t>Removal of the product from the ARTG.</w:t>
      </w:r>
    </w:p>
    <w:p w:rsidR="00D73AB0" w:rsidRDefault="00117E01" w:rsidP="00274797">
      <w:pPr>
        <w:pStyle w:val="ListBullet"/>
      </w:pPr>
      <w:r w:rsidRPr="00117E01">
        <w:t>Recalling prod</w:t>
      </w:r>
      <w:r>
        <w:t xml:space="preserve">ucts - refer to: </w:t>
      </w:r>
      <w:hyperlink r:id="rId115" w:history="1">
        <w:r w:rsidRPr="001204F2">
          <w:rPr>
            <w:rStyle w:val="Hyperlink"/>
          </w:rPr>
          <w:t>About recall actions</w:t>
        </w:r>
      </w:hyperlink>
      <w:r>
        <w:t>.</w:t>
      </w:r>
      <w:bookmarkEnd w:id="59"/>
    </w:p>
    <w:bookmarkEnd w:id="3"/>
    <w:bookmarkEnd w:id="4"/>
    <w:p w:rsidR="001A3190" w:rsidRPr="00215D48" w:rsidRDefault="001A3190" w:rsidP="00BA0DFC">
      <w:pPr>
        <w:pStyle w:val="NonTOCheading2"/>
      </w:pPr>
      <w:r w:rsidRPr="00215D48">
        <w:lastRenderedPageBreak/>
        <w:t>Version history</w:t>
      </w:r>
    </w:p>
    <w:tbl>
      <w:tblPr>
        <w:tblStyle w:val="TableTGAblack"/>
        <w:tblW w:w="9038" w:type="dxa"/>
        <w:tblLayout w:type="fixed"/>
        <w:tblLook w:val="04A0" w:firstRow="1" w:lastRow="0" w:firstColumn="1" w:lastColumn="0" w:noHBand="0" w:noVBand="1"/>
      </w:tblPr>
      <w:tblGrid>
        <w:gridCol w:w="1129"/>
        <w:gridCol w:w="5245"/>
        <w:gridCol w:w="1134"/>
        <w:gridCol w:w="1530"/>
      </w:tblGrid>
      <w:tr w:rsidR="001A3190" w:rsidRPr="00215D48" w:rsidTr="00117E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tcPr>
          <w:p w:rsidR="001A3190" w:rsidRPr="00215D48" w:rsidRDefault="001A3190" w:rsidP="00B33C56">
            <w:bookmarkStart w:id="60" w:name="ColumnTitle_4"/>
            <w:r w:rsidRPr="00215D48">
              <w:t>Version</w:t>
            </w:r>
          </w:p>
        </w:tc>
        <w:tc>
          <w:tcPr>
            <w:tcW w:w="5245" w:type="dxa"/>
          </w:tcPr>
          <w:p w:rsidR="001A3190" w:rsidRPr="00215D48" w:rsidRDefault="001A3190" w:rsidP="00B33C56">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1134" w:type="dxa"/>
          </w:tcPr>
          <w:p w:rsidR="001A3190" w:rsidRPr="00215D48" w:rsidRDefault="001A3190" w:rsidP="00B33C56">
            <w:pPr>
              <w:cnfStyle w:val="100000000000" w:firstRow="1" w:lastRow="0" w:firstColumn="0" w:lastColumn="0" w:oddVBand="0" w:evenVBand="0" w:oddHBand="0" w:evenHBand="0" w:firstRowFirstColumn="0" w:firstRowLastColumn="0" w:lastRowFirstColumn="0" w:lastRowLastColumn="0"/>
            </w:pPr>
            <w:r w:rsidRPr="00215D48">
              <w:t>Author</w:t>
            </w:r>
          </w:p>
        </w:tc>
        <w:tc>
          <w:tcPr>
            <w:tcW w:w="1530" w:type="dxa"/>
          </w:tcPr>
          <w:p w:rsidR="001A3190" w:rsidRPr="00215D48" w:rsidRDefault="001A3190" w:rsidP="00B33C56">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60"/>
      <w:tr w:rsidR="001A3190" w:rsidRPr="00215D48" w:rsidTr="00117E01">
        <w:trPr>
          <w:trHeight w:val="1418"/>
        </w:trPr>
        <w:tc>
          <w:tcPr>
            <w:cnfStyle w:val="001000000000" w:firstRow="0" w:lastRow="0" w:firstColumn="1" w:lastColumn="0" w:oddVBand="0" w:evenVBand="0" w:oddHBand="0" w:evenHBand="0" w:firstRowFirstColumn="0" w:firstRowLastColumn="0" w:lastRowFirstColumn="0" w:lastRowLastColumn="0"/>
            <w:tcW w:w="1129" w:type="dxa"/>
          </w:tcPr>
          <w:p w:rsidR="001A3190" w:rsidRPr="00215D48" w:rsidRDefault="001A3190" w:rsidP="00B33C56">
            <w:r w:rsidRPr="00215D48">
              <w:t>V1.0</w:t>
            </w:r>
          </w:p>
        </w:tc>
        <w:tc>
          <w:tcPr>
            <w:tcW w:w="5245" w:type="dxa"/>
          </w:tcPr>
          <w:p w:rsidR="00117E01" w:rsidRDefault="00117E01" w:rsidP="00117E01">
            <w:pPr>
              <w:widowControl w:val="0"/>
              <w:cnfStyle w:val="000000000000" w:firstRow="0" w:lastRow="0" w:firstColumn="0" w:lastColumn="0" w:oddVBand="0" w:evenVBand="0" w:oddHBand="0" w:evenHBand="0" w:firstRowFirstColumn="0" w:firstRowLastColumn="0" w:lastRowFirstColumn="0" w:lastRowLastColumn="0"/>
            </w:pPr>
            <w:r>
              <w:t xml:space="preserve">This document, ‘Overview of the regulation of listed medicines and registered complementary medicines’, has been extracted from </w:t>
            </w:r>
            <w:hyperlink r:id="rId116" w:history="1">
              <w:r w:rsidRPr="00760C00">
                <w:rPr>
                  <w:rStyle w:val="Hyperlink"/>
                </w:rPr>
                <w:t>ARGCM v.8</w:t>
              </w:r>
              <w:r>
                <w:rPr>
                  <w:rStyle w:val="Hyperlink"/>
                </w:rPr>
                <w:t> </w:t>
              </w:r>
              <w:r w:rsidRPr="00760C00">
                <w:rPr>
                  <w:rStyle w:val="Hyperlink"/>
                </w:rPr>
                <w:t>April 2018</w:t>
              </w:r>
            </w:hyperlink>
            <w:r>
              <w:t xml:space="preserve"> pages11 to 44 (previously named ‘ARGCM Part A’).</w:t>
            </w:r>
          </w:p>
          <w:p w:rsidR="00117E01" w:rsidRDefault="00117E01" w:rsidP="00117E01">
            <w:pPr>
              <w:widowControl w:val="0"/>
              <w:cnfStyle w:val="000000000000" w:firstRow="0" w:lastRow="0" w:firstColumn="0" w:lastColumn="0" w:oddVBand="0" w:evenVBand="0" w:oddHBand="0" w:evenHBand="0" w:firstRowFirstColumn="0" w:firstRowLastColumn="0" w:lastRowFirstColumn="0" w:lastRowLastColumn="0"/>
            </w:pPr>
            <w:r>
              <w:t>The document has been simplified to be an overview of the regulatory framework.  The sequence of information, headings and formatting have been changed from the original content for consistency and easier navigation. References to outdated forms have been removed.</w:t>
            </w:r>
          </w:p>
          <w:p w:rsidR="00117E01" w:rsidRDefault="00117E01" w:rsidP="00117E01">
            <w:pPr>
              <w:widowControl w:val="0"/>
              <w:cnfStyle w:val="000000000000" w:firstRow="0" w:lastRow="0" w:firstColumn="0" w:lastColumn="0" w:oddVBand="0" w:evenVBand="0" w:oddHBand="0" w:evenHBand="0" w:firstRowFirstColumn="0" w:firstRowLastColumn="0" w:lastRowFirstColumn="0" w:lastRowLastColumn="0"/>
            </w:pPr>
            <w:r>
              <w:t>The introduction has been modified to provide an overview of the regulatory framework for medicines and explanatory information on the classification of listed and registered medicines.</w:t>
            </w:r>
          </w:p>
          <w:p w:rsidR="00117E01" w:rsidRDefault="00117E01" w:rsidP="00117E01">
            <w:pPr>
              <w:widowControl w:val="0"/>
              <w:cnfStyle w:val="000000000000" w:firstRow="0" w:lastRow="0" w:firstColumn="0" w:lastColumn="0" w:oddVBand="0" w:evenVBand="0" w:oddHBand="0" w:evenHBand="0" w:firstRowFirstColumn="0" w:firstRowLastColumn="0" w:lastRowFirstColumn="0" w:lastRowLastColumn="0"/>
            </w:pPr>
            <w:r>
              <w:t>New guidance has been included on changes to the regulatory framework for listed medicines, including:</w:t>
            </w:r>
          </w:p>
          <w:p w:rsidR="00117E01" w:rsidRPr="00117E01" w:rsidRDefault="00117E01" w:rsidP="00117E01">
            <w:pPr>
              <w:pStyle w:val="ListBullet"/>
              <w:cnfStyle w:val="000000000000" w:firstRow="0" w:lastRow="0" w:firstColumn="0" w:lastColumn="0" w:oddVBand="0" w:evenVBand="0" w:oddHBand="0" w:evenHBand="0" w:firstRowFirstColumn="0" w:firstRowLastColumn="0" w:lastRowFirstColumn="0" w:lastRowLastColumn="0"/>
            </w:pPr>
            <w:r w:rsidRPr="00117E01">
              <w:t xml:space="preserve">permitted indications </w:t>
            </w:r>
          </w:p>
          <w:p w:rsidR="00117E01" w:rsidRDefault="00117E01" w:rsidP="00117E01">
            <w:pPr>
              <w:pStyle w:val="ListBullet"/>
              <w:cnfStyle w:val="000000000000" w:firstRow="0" w:lastRow="0" w:firstColumn="0" w:lastColumn="0" w:oddVBand="0" w:evenVBand="0" w:oddHBand="0" w:evenHBand="0" w:firstRowFirstColumn="0" w:firstRowLastColumn="0" w:lastRowFirstColumn="0" w:lastRowLastColumn="0"/>
            </w:pPr>
            <w:r w:rsidRPr="00117E01">
              <w:t>the assessed</w:t>
            </w:r>
            <w:r>
              <w:t xml:space="preserve"> listed pathway </w:t>
            </w:r>
          </w:p>
          <w:p w:rsidR="00117E01" w:rsidRDefault="00117E01" w:rsidP="00117E01">
            <w:pPr>
              <w:widowControl w:val="0"/>
              <w:cnfStyle w:val="000000000000" w:firstRow="0" w:lastRow="0" w:firstColumn="0" w:lastColumn="0" w:oddVBand="0" w:evenVBand="0" w:oddHBand="0" w:evenHBand="0" w:firstRowFirstColumn="0" w:firstRowLastColumn="0" w:lastRowFirstColumn="0" w:lastRowLastColumn="0"/>
            </w:pPr>
            <w:r>
              <w:t>The following technical content has been extracted to be new standalone guidance documents:</w:t>
            </w:r>
          </w:p>
          <w:p w:rsidR="00117E01" w:rsidRPr="00896692" w:rsidRDefault="00E7294B" w:rsidP="00117E01">
            <w:pPr>
              <w:pStyle w:val="ListBullet"/>
              <w:cnfStyle w:val="000000000000" w:firstRow="0" w:lastRow="0" w:firstColumn="0" w:lastColumn="0" w:oddVBand="0" w:evenVBand="0" w:oddHBand="0" w:evenHBand="0" w:firstRowFirstColumn="0" w:firstRowLastColumn="0" w:lastRowFirstColumn="0" w:lastRowLastColumn="0"/>
            </w:pPr>
            <w:hyperlink r:id="rId117" w:history="1">
              <w:r w:rsidR="00117E01" w:rsidRPr="00741210">
                <w:rPr>
                  <w:rStyle w:val="Hyperlink"/>
                </w:rPr>
                <w:t>Literature-based submissions for listed medicines and registered complementary medicines: guidance for sponsors</w:t>
              </w:r>
            </w:hyperlink>
            <w:r w:rsidR="00117E01">
              <w:t xml:space="preserve"> (extracted from ARGCM Part A pages 41 -43)</w:t>
            </w:r>
          </w:p>
          <w:p w:rsidR="00117E01" w:rsidRPr="00896692" w:rsidRDefault="00E7294B" w:rsidP="00117E01">
            <w:pPr>
              <w:pStyle w:val="ListBullet"/>
              <w:cnfStyle w:val="000000000000" w:firstRow="0" w:lastRow="0" w:firstColumn="0" w:lastColumn="0" w:oddVBand="0" w:evenVBand="0" w:oddHBand="0" w:evenHBand="0" w:firstRowFirstColumn="0" w:firstRowLastColumn="0" w:lastRowFirstColumn="0" w:lastRowLastColumn="0"/>
            </w:pPr>
            <w:hyperlink r:id="rId118" w:history="1">
              <w:r w:rsidR="00117E01" w:rsidRPr="00741210">
                <w:rPr>
                  <w:rStyle w:val="Hyperlink"/>
                </w:rPr>
                <w:t>Listed medicine presentation and labels: guidance for sponsors</w:t>
              </w:r>
            </w:hyperlink>
            <w:r w:rsidR="00117E01" w:rsidRPr="00896692">
              <w:t xml:space="preserve"> </w:t>
            </w:r>
            <w:r w:rsidR="00117E01">
              <w:t>(extracted from ARGCM v8 Part A pages 27 -29)</w:t>
            </w:r>
          </w:p>
          <w:p w:rsidR="00117E01" w:rsidRDefault="00117E01" w:rsidP="00117E01">
            <w:pPr>
              <w:widowControl w:val="0"/>
              <w:cnfStyle w:val="000000000000" w:firstRow="0" w:lastRow="0" w:firstColumn="0" w:lastColumn="0" w:oddVBand="0" w:evenVBand="0" w:oddHBand="0" w:evenHBand="0" w:firstRowFirstColumn="0" w:firstRowLastColumn="0" w:lastRowFirstColumn="0" w:lastRowLastColumn="0"/>
            </w:pPr>
            <w:r>
              <w:t xml:space="preserve">Information on </w:t>
            </w:r>
            <w:hyperlink r:id="rId119" w:history="1">
              <w:r w:rsidRPr="00760C00">
                <w:rPr>
                  <w:rStyle w:val="Hyperlink"/>
                </w:rPr>
                <w:t>changing listed medicines</w:t>
              </w:r>
            </w:hyperlink>
            <w:r>
              <w:t xml:space="preserve"> and </w:t>
            </w:r>
            <w:hyperlink r:id="rId120" w:history="1">
              <w:r w:rsidRPr="00760C00">
                <w:rPr>
                  <w:rStyle w:val="Hyperlink"/>
                </w:rPr>
                <w:t>registered complementary medicines</w:t>
              </w:r>
            </w:hyperlink>
            <w:r>
              <w:t xml:space="preserve"> have been moved in to the relevant new guidance for these goods.</w:t>
            </w:r>
          </w:p>
          <w:p w:rsidR="001A3190" w:rsidRPr="00215D48" w:rsidRDefault="00117E01" w:rsidP="00117E01">
            <w:pPr>
              <w:cnfStyle w:val="000000000000" w:firstRow="0" w:lastRow="0" w:firstColumn="0" w:lastColumn="0" w:oddVBand="0" w:evenVBand="0" w:oddHBand="0" w:evenHBand="0" w:firstRowFirstColumn="0" w:firstRowLastColumn="0" w:lastRowFirstColumn="0" w:lastRowLastColumn="0"/>
            </w:pPr>
            <w:r>
              <w:t xml:space="preserve">Information on proprietary ingredients clarified and links provided to </w:t>
            </w:r>
            <w:hyperlink r:id="rId121" w:history="1">
              <w:r w:rsidRPr="00367116">
                <w:rPr>
                  <w:rStyle w:val="Hyperlink"/>
                </w:rPr>
                <w:t>Supplier assessment, approval and qualification for listed and complementary medicines</w:t>
              </w:r>
            </w:hyperlink>
            <w:r w:rsidRPr="00117E01">
              <w:rPr>
                <w:rStyle w:val="Hyperlink"/>
                <w:u w:val="none"/>
              </w:rPr>
              <w:t>.</w:t>
            </w:r>
          </w:p>
        </w:tc>
        <w:tc>
          <w:tcPr>
            <w:tcW w:w="1134" w:type="dxa"/>
          </w:tcPr>
          <w:p w:rsidR="001A3190" w:rsidRPr="00215D48" w:rsidRDefault="00117E01" w:rsidP="00B33C56">
            <w:pPr>
              <w:cnfStyle w:val="000000000000" w:firstRow="0" w:lastRow="0" w:firstColumn="0" w:lastColumn="0" w:oddVBand="0" w:evenVBand="0" w:oddHBand="0" w:evenHBand="0" w:firstRowFirstColumn="0" w:firstRowLastColumn="0" w:lastRowFirstColumn="0" w:lastRowLastColumn="0"/>
            </w:pPr>
            <w:r>
              <w:t>TGA</w:t>
            </w:r>
          </w:p>
        </w:tc>
        <w:tc>
          <w:tcPr>
            <w:tcW w:w="1530" w:type="dxa"/>
          </w:tcPr>
          <w:p w:rsidR="001A3190" w:rsidRPr="00215D48" w:rsidRDefault="00117E01" w:rsidP="00926B0E">
            <w:pPr>
              <w:cnfStyle w:val="000000000000" w:firstRow="0" w:lastRow="0" w:firstColumn="0" w:lastColumn="0" w:oddVBand="0" w:evenVBand="0" w:oddHBand="0" w:evenHBand="0" w:firstRowFirstColumn="0" w:firstRowLastColumn="0" w:lastRowFirstColumn="0" w:lastRowLastColumn="0"/>
            </w:pPr>
            <w:r>
              <w:t>May 2020</w:t>
            </w:r>
          </w:p>
        </w:tc>
      </w:tr>
      <w:tr w:rsidR="00884752" w:rsidRPr="00215D48" w:rsidTr="00117E01">
        <w:trPr>
          <w:trHeight w:val="1418"/>
        </w:trPr>
        <w:tc>
          <w:tcPr>
            <w:cnfStyle w:val="001000000000" w:firstRow="0" w:lastRow="0" w:firstColumn="1" w:lastColumn="0" w:oddVBand="0" w:evenVBand="0" w:oddHBand="0" w:evenHBand="0" w:firstRowFirstColumn="0" w:firstRowLastColumn="0" w:lastRowFirstColumn="0" w:lastRowLastColumn="0"/>
            <w:tcW w:w="1129" w:type="dxa"/>
          </w:tcPr>
          <w:p w:rsidR="00884752" w:rsidRPr="00207E35" w:rsidRDefault="00884752" w:rsidP="00884752">
            <w:r w:rsidRPr="00207E35">
              <w:t>V1.1</w:t>
            </w:r>
          </w:p>
        </w:tc>
        <w:tc>
          <w:tcPr>
            <w:tcW w:w="5245" w:type="dxa"/>
          </w:tcPr>
          <w:p w:rsidR="00884752" w:rsidRPr="00207E35" w:rsidRDefault="00884752" w:rsidP="00884752">
            <w:pPr>
              <w:cnfStyle w:val="000000000000" w:firstRow="0" w:lastRow="0" w:firstColumn="0" w:lastColumn="0" w:oddVBand="0" w:evenVBand="0" w:oddHBand="0" w:evenHBand="0" w:firstRowFirstColumn="0" w:firstRowLastColumn="0" w:lastRowFirstColumn="0" w:lastRowLastColumn="0"/>
            </w:pPr>
            <w:r w:rsidRPr="00207E35">
              <w:t>Information on Active Herbal Extracts and proprietary in</w:t>
            </w:r>
            <w:r>
              <w:t>gredients updated.</w:t>
            </w:r>
          </w:p>
        </w:tc>
        <w:tc>
          <w:tcPr>
            <w:tcW w:w="1134" w:type="dxa"/>
          </w:tcPr>
          <w:p w:rsidR="00884752" w:rsidRPr="00207E35" w:rsidRDefault="00884752" w:rsidP="00884752">
            <w:pPr>
              <w:cnfStyle w:val="000000000000" w:firstRow="0" w:lastRow="0" w:firstColumn="0" w:lastColumn="0" w:oddVBand="0" w:evenVBand="0" w:oddHBand="0" w:evenHBand="0" w:firstRowFirstColumn="0" w:firstRowLastColumn="0" w:lastRowFirstColumn="0" w:lastRowLastColumn="0"/>
            </w:pPr>
            <w:r w:rsidRPr="00207E35">
              <w:t>COMB and SEB</w:t>
            </w:r>
          </w:p>
        </w:tc>
        <w:tc>
          <w:tcPr>
            <w:tcW w:w="1530" w:type="dxa"/>
          </w:tcPr>
          <w:p w:rsidR="00884752" w:rsidRDefault="00884752" w:rsidP="00884752">
            <w:pPr>
              <w:cnfStyle w:val="000000000000" w:firstRow="0" w:lastRow="0" w:firstColumn="0" w:lastColumn="0" w:oddVBand="0" w:evenVBand="0" w:oddHBand="0" w:evenHBand="0" w:firstRowFirstColumn="0" w:firstRowLastColumn="0" w:lastRowFirstColumn="0" w:lastRowLastColumn="0"/>
            </w:pPr>
            <w:r w:rsidRPr="00207E35">
              <w:t>July 2021</w:t>
            </w:r>
          </w:p>
        </w:tc>
      </w:tr>
    </w:tbl>
    <w:p w:rsidR="00F401EF" w:rsidRPr="00215D48" w:rsidRDefault="00F401EF" w:rsidP="00706634">
      <w:pPr>
        <w:spacing w:before="0" w:after="0" w:line="240" w:lineRule="auto"/>
        <w:rPr>
          <w:sz w:val="20"/>
        </w:rPr>
        <w:sectPr w:rsidR="00F401EF" w:rsidRPr="00215D48" w:rsidSect="0029069E">
          <w:headerReference w:type="default" r:id="rId122"/>
          <w:footerReference w:type="default" r:id="rId123"/>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C50E5C" w:rsidRPr="00215D48" w:rsidTr="00564BBE">
        <w:trPr>
          <w:trHeight w:hRule="exact" w:val="565"/>
          <w:jc w:val="center"/>
        </w:trPr>
        <w:tc>
          <w:tcPr>
            <w:tcW w:w="9145" w:type="dxa"/>
          </w:tcPr>
          <w:p w:rsidR="00C50E5C" w:rsidRPr="00215D48" w:rsidRDefault="00C50E5C" w:rsidP="00564BBE">
            <w:pPr>
              <w:pStyle w:val="TGASignoff"/>
            </w:pPr>
            <w:r w:rsidRPr="00215D48">
              <w:lastRenderedPageBreak/>
              <w:t>Therapeutic Goods Administration</w:t>
            </w:r>
          </w:p>
        </w:tc>
      </w:tr>
      <w:tr w:rsidR="00C50E5C" w:rsidRPr="00215D48" w:rsidTr="00564BBE">
        <w:trPr>
          <w:trHeight w:val="963"/>
          <w:jc w:val="center"/>
        </w:trPr>
        <w:tc>
          <w:tcPr>
            <w:tcW w:w="9145" w:type="dxa"/>
            <w:tcMar>
              <w:top w:w="28" w:type="dxa"/>
            </w:tcMar>
          </w:tcPr>
          <w:p w:rsidR="00C50E5C" w:rsidRPr="00215D48" w:rsidRDefault="00C50E5C" w:rsidP="00EB5622">
            <w:pPr>
              <w:pStyle w:val="Address"/>
              <w:jc w:val="center"/>
            </w:pPr>
            <w:r w:rsidRPr="00215D48">
              <w:t>PO Box 100 Woden ACT 2606 Australia</w:t>
            </w:r>
          </w:p>
          <w:p w:rsidR="001A3190" w:rsidRDefault="00C50E5C">
            <w:pPr>
              <w:pStyle w:val="Address"/>
              <w:jc w:val="center"/>
              <w:rPr>
                <w:sz w:val="22"/>
                <w:szCs w:val="22"/>
              </w:rPr>
            </w:pPr>
            <w:r w:rsidRPr="00215D48">
              <w:t xml:space="preserve">Email: </w:t>
            </w:r>
            <w:hyperlink r:id="rId124" w:history="1">
              <w:r w:rsidRPr="00215D48">
                <w:rPr>
                  <w:rStyle w:val="Hyperlink"/>
                </w:rPr>
                <w:t>info@tga.gov.au</w:t>
              </w:r>
            </w:hyperlink>
            <w:r w:rsidRPr="00215D48">
              <w:t xml:space="preserve">  Phone: 1800 020 653  Fax: </w:t>
            </w:r>
            <w:r w:rsidR="001A3190" w:rsidRPr="00BA0DFC">
              <w:t>02 6203 1605</w:t>
            </w:r>
          </w:p>
          <w:p w:rsidR="00C50E5C" w:rsidRPr="00215D48" w:rsidRDefault="00E7294B">
            <w:pPr>
              <w:pStyle w:val="Address"/>
              <w:jc w:val="center"/>
              <w:rPr>
                <w:rStyle w:val="Hyperlink"/>
                <w:b/>
                <w:color w:val="auto"/>
                <w:sz w:val="22"/>
                <w:u w:val="none"/>
              </w:rPr>
            </w:pPr>
            <w:hyperlink r:id="rId125" w:history="1">
              <w:r w:rsidR="00215D48" w:rsidRPr="00C4721A">
                <w:rPr>
                  <w:rStyle w:val="Hyperlink"/>
                  <w:b/>
                </w:rPr>
                <w:t>https://www.tga.gov.au</w:t>
              </w:r>
            </w:hyperlink>
          </w:p>
        </w:tc>
      </w:tr>
      <w:tr w:rsidR="00C50E5C" w:rsidRPr="00215D48" w:rsidTr="00564BBE">
        <w:trPr>
          <w:trHeight w:val="251"/>
          <w:jc w:val="center"/>
        </w:trPr>
        <w:tc>
          <w:tcPr>
            <w:tcW w:w="9145" w:type="dxa"/>
            <w:tcMar>
              <w:top w:w="28" w:type="dxa"/>
            </w:tcMar>
          </w:tcPr>
          <w:p w:rsidR="00C50E5C" w:rsidRPr="00215D48" w:rsidRDefault="00C50E5C" w:rsidP="00EB5622">
            <w:pPr>
              <w:pStyle w:val="Address"/>
              <w:jc w:val="center"/>
            </w:pPr>
            <w:r w:rsidRPr="00215D48">
              <w:t>Reference/Publication #</w:t>
            </w:r>
            <w:r w:rsidR="00C27F9B" w:rsidRPr="00C27F9B">
              <w:t>D21-2710978</w:t>
            </w:r>
          </w:p>
        </w:tc>
      </w:tr>
    </w:tbl>
    <w:p w:rsidR="00706634" w:rsidRPr="00215D48" w:rsidRDefault="00706634" w:rsidP="004A3084">
      <w:pPr>
        <w:rPr>
          <w:sz w:val="20"/>
        </w:rPr>
      </w:pPr>
    </w:p>
    <w:sectPr w:rsidR="00706634" w:rsidRPr="00215D48" w:rsidSect="0029069E">
      <w:headerReference w:type="first" r:id="rId126"/>
      <w:footerReference w:type="first" r:id="rId127"/>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97A" w:rsidRDefault="0069297A" w:rsidP="00C40A36">
      <w:pPr>
        <w:spacing w:after="0"/>
      </w:pPr>
      <w:r>
        <w:separator/>
      </w:r>
    </w:p>
  </w:endnote>
  <w:endnote w:type="continuationSeparator" w:id="0">
    <w:p w:rsidR="0069297A" w:rsidRDefault="0069297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A77452" w:rsidRPr="00257138" w:rsidTr="000B30E5">
      <w:trPr>
        <w:trHeight w:val="423"/>
      </w:trPr>
      <w:tc>
        <w:tcPr>
          <w:tcW w:w="4360" w:type="dxa"/>
          <w:tcBorders>
            <w:top w:val="single" w:sz="4" w:space="0" w:color="auto"/>
          </w:tcBorders>
        </w:tcPr>
        <w:p w:rsidR="00A77452" w:rsidRDefault="00A77452" w:rsidP="000B30E5">
          <w:pPr>
            <w:pStyle w:val="Footer"/>
          </w:pPr>
        </w:p>
        <w:p w:rsidR="00A77452" w:rsidRPr="00257138" w:rsidRDefault="00A77452"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rsidR="00A77452" w:rsidRDefault="00A77452" w:rsidP="000B30E5">
              <w:pPr>
                <w:pStyle w:val="Footer"/>
                <w:jc w:val="right"/>
              </w:pPr>
            </w:p>
            <w:p w:rsidR="00A77452" w:rsidRPr="00257138" w:rsidRDefault="00A77452" w:rsidP="000B30E5">
              <w:pPr>
                <w:pStyle w:val="Footer"/>
                <w:jc w:val="right"/>
              </w:pPr>
              <w:r w:rsidRPr="00257138">
                <w:t xml:space="preserve">Page </w:t>
              </w:r>
              <w:r w:rsidR="003361D1">
                <w:fldChar w:fldCharType="begin"/>
              </w:r>
              <w:r w:rsidR="003361D1">
                <w:instrText xml:space="preserve"> PAGE </w:instrText>
              </w:r>
              <w:r w:rsidR="003361D1">
                <w:fldChar w:fldCharType="separate"/>
              </w:r>
              <w:r w:rsidR="00F401EF">
                <w:rPr>
                  <w:noProof/>
                </w:rPr>
                <w:t>2</w:t>
              </w:r>
              <w:r w:rsidR="003361D1">
                <w:rPr>
                  <w:noProof/>
                </w:rPr>
                <w:fldChar w:fldCharType="end"/>
              </w:r>
              <w:r w:rsidRPr="00257138">
                <w:t xml:space="preserve"> of </w:t>
              </w:r>
              <w:fldSimple w:instr=" NUMPAGES  ">
                <w:r w:rsidR="0069297A">
                  <w:rPr>
                    <w:noProof/>
                  </w:rPr>
                  <w:t>2</w:t>
                </w:r>
              </w:fldSimple>
            </w:p>
          </w:sdtContent>
        </w:sdt>
      </w:tc>
    </w:tr>
    <w:tr w:rsidR="00A77452" w:rsidRPr="00257138" w:rsidTr="000B30E5">
      <w:trPr>
        <w:trHeight w:val="263"/>
      </w:trPr>
      <w:tc>
        <w:tcPr>
          <w:tcW w:w="4360" w:type="dxa"/>
        </w:tcPr>
        <w:p w:rsidR="00A77452" w:rsidRPr="00257138" w:rsidRDefault="00A77452" w:rsidP="000B30E5">
          <w:pPr>
            <w:pStyle w:val="Footer"/>
          </w:pPr>
          <w:r w:rsidRPr="00257138">
            <w:t xml:space="preserve">V1.0 </w:t>
          </w:r>
          <w:r>
            <w:t>Month</w:t>
          </w:r>
          <w:r w:rsidRPr="00257138">
            <w:t xml:space="preserve"> 201</w:t>
          </w:r>
          <w:r>
            <w:t>2</w:t>
          </w:r>
        </w:p>
      </w:tc>
      <w:tc>
        <w:tcPr>
          <w:tcW w:w="4360" w:type="dxa"/>
        </w:tcPr>
        <w:p w:rsidR="00A77452" w:rsidRPr="00257138" w:rsidRDefault="00A77452" w:rsidP="000B30E5">
          <w:pPr>
            <w:pStyle w:val="Footer"/>
            <w:jc w:val="right"/>
          </w:pPr>
        </w:p>
      </w:tc>
    </w:tr>
  </w:tbl>
  <w:p w:rsidR="00A77452" w:rsidRPr="00826007" w:rsidRDefault="00A77452"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452" w:rsidRDefault="00A77452"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A77452" w:rsidRPr="004A3084" w:rsidTr="00030D34">
      <w:trPr>
        <w:trHeight w:val="423"/>
      </w:trPr>
      <w:tc>
        <w:tcPr>
          <w:tcW w:w="7338" w:type="dxa"/>
          <w:tcBorders>
            <w:top w:val="single" w:sz="4" w:space="0" w:color="auto"/>
          </w:tcBorders>
        </w:tcPr>
        <w:p w:rsidR="00A77452" w:rsidRPr="004A3084" w:rsidRDefault="00181D60" w:rsidP="00181D60">
          <w:pPr>
            <w:pStyle w:val="Footer"/>
          </w:pPr>
          <w:r w:rsidRPr="00181D60">
            <w:t>Overview of the regulation of listed medicines and registered complementary medicines</w:t>
          </w:r>
          <w:r w:rsidR="00A77452">
            <w:br/>
            <w:t>V</w:t>
          </w:r>
          <w:r>
            <w:t>1.1</w:t>
          </w:r>
          <w:r w:rsidR="004F1240">
            <w:t xml:space="preserve"> </w:t>
          </w:r>
          <w:r>
            <w:t>July 2021</w:t>
          </w:r>
        </w:p>
      </w:tc>
      <w:tc>
        <w:tcPr>
          <w:tcW w:w="1734" w:type="dxa"/>
          <w:tcBorders>
            <w:top w:val="single" w:sz="4" w:space="0" w:color="auto"/>
          </w:tcBorders>
        </w:tcPr>
        <w:sdt>
          <w:sdtPr>
            <w:id w:val="11571659"/>
            <w:docPartObj>
              <w:docPartGallery w:val="Page Numbers (Top of Page)"/>
              <w:docPartUnique/>
            </w:docPartObj>
          </w:sdtPr>
          <w:sdtEndPr/>
          <w:sdtContent>
            <w:p w:rsidR="00A77452" w:rsidRPr="004A3084" w:rsidRDefault="00A77452" w:rsidP="00231E8D">
              <w:pPr>
                <w:pStyle w:val="Footer"/>
                <w:jc w:val="right"/>
              </w:pPr>
              <w:r w:rsidRPr="004A3084">
                <w:t xml:space="preserve">Page </w:t>
              </w:r>
              <w:r w:rsidR="003361D1">
                <w:fldChar w:fldCharType="begin"/>
              </w:r>
              <w:r w:rsidR="003361D1">
                <w:instrText xml:space="preserve"> PAGE </w:instrText>
              </w:r>
              <w:r w:rsidR="003361D1">
                <w:fldChar w:fldCharType="separate"/>
              </w:r>
              <w:r w:rsidR="00E7294B">
                <w:rPr>
                  <w:noProof/>
                </w:rPr>
                <w:t>4</w:t>
              </w:r>
              <w:r w:rsidR="003361D1">
                <w:rPr>
                  <w:noProof/>
                </w:rPr>
                <w:fldChar w:fldCharType="end"/>
              </w:r>
              <w:r w:rsidRPr="004A3084">
                <w:t xml:space="preserve"> of </w:t>
              </w:r>
              <w:fldSimple w:instr=" NUMPAGES  ">
                <w:r w:rsidR="00E7294B">
                  <w:rPr>
                    <w:noProof/>
                  </w:rPr>
                  <w:t>25</w:t>
                </w:r>
              </w:fldSimple>
            </w:p>
          </w:sdtContent>
        </w:sdt>
      </w:tc>
    </w:tr>
  </w:tbl>
  <w:p w:rsidR="00A77452" w:rsidRPr="00826007" w:rsidRDefault="00A77452" w:rsidP="004A3084">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452" w:rsidRPr="008E3C43" w:rsidRDefault="00A77452"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97A" w:rsidRDefault="0069297A" w:rsidP="00C40A36">
      <w:pPr>
        <w:spacing w:after="0"/>
      </w:pPr>
      <w:r>
        <w:separator/>
      </w:r>
    </w:p>
  </w:footnote>
  <w:footnote w:type="continuationSeparator" w:id="0">
    <w:p w:rsidR="0069297A" w:rsidRDefault="0069297A" w:rsidP="00C40A36">
      <w:pPr>
        <w:spacing w:after="0"/>
      </w:pPr>
      <w:r>
        <w:continuationSeparator/>
      </w:r>
    </w:p>
  </w:footnote>
  <w:footnote w:id="1">
    <w:p w:rsidR="0055465C" w:rsidRPr="009C3F44" w:rsidRDefault="0055465C" w:rsidP="0055465C">
      <w:pPr>
        <w:pStyle w:val="FootnoteText"/>
      </w:pPr>
      <w:r w:rsidRPr="009C3F44">
        <w:rPr>
          <w:rStyle w:val="FootnoteReference"/>
        </w:rPr>
        <w:footnoteRef/>
      </w:r>
      <w:r w:rsidRPr="009C3F44">
        <w:rPr>
          <w:vertAlign w:val="superscript"/>
        </w:rPr>
        <w:t xml:space="preserve"> </w:t>
      </w:r>
      <w:r w:rsidRPr="009C3F44">
        <w:t>The Australian Industrial Chemicals Introduction Scheme (AICIS) will replace NICNAS on 1 July 2020</w:t>
      </w:r>
    </w:p>
  </w:footnote>
  <w:footnote w:id="2">
    <w:p w:rsidR="00DC6794" w:rsidRDefault="00DC6794" w:rsidP="00DC6794">
      <w:pPr>
        <w:pStyle w:val="FootnoteText"/>
      </w:pPr>
      <w:r>
        <w:rPr>
          <w:rStyle w:val="FootnoteReference"/>
        </w:rPr>
        <w:footnoteRef/>
      </w:r>
      <w:r>
        <w:t xml:space="preserve"> </w:t>
      </w:r>
      <w:r w:rsidRPr="003E12DE">
        <w:t>The Australian Industrial Chemicals Introduction Scheme (AICIS) will replace NICNAS on 1 July 2020</w:t>
      </w:r>
    </w:p>
  </w:footnote>
  <w:footnote w:id="3">
    <w:p w:rsidR="00A85C29" w:rsidRDefault="00A85C29" w:rsidP="00A85C29">
      <w:pPr>
        <w:pStyle w:val="FootnoteText"/>
      </w:pPr>
      <w:r>
        <w:rPr>
          <w:rStyle w:val="FootnoteReference"/>
        </w:rPr>
        <w:footnoteRef/>
      </w:r>
      <w:r>
        <w:t xml:space="preserve"> </w:t>
      </w:r>
      <w:r w:rsidRPr="000B4482">
        <w:t>The TGA no longer issues proprietary ingredient numbers for ingredient mixtures that contain an active ingredient. For more information see Streamlining proprietary ingredient categories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452" w:rsidRDefault="00E7294B" w:rsidP="00C3408D">
    <w:pPr>
      <w:pStyle w:val="Header"/>
    </w:pPr>
    <w:sdt>
      <w:sdtPr>
        <w:id w:val="-203553135"/>
        <w:docPartObj>
          <w:docPartGallery w:val="Watermarks"/>
          <w:docPartUnique/>
        </w:docPartObj>
      </w:sdtPr>
      <w:sdtEnd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2063" type="#_x0000_t136" style="position:absolute;left:0;text-align:left;margin-left:0;margin-top:0;width:535.5pt;height:202.5pt;rotation:315;z-index:251657216;mso-position-horizontal:center;mso-position-horizontal-relative:margin;mso-position-vertical:center;mso-position-vertical-relative:margin" o:allowincell="f" fillcolor="#4a8485" stroked="f">
              <v:fill opacity=".5"/>
              <v:textpath style="font-family:&quot;Arial Black&quot;;font-size:2in" string="DRAFT"/>
              <w10:wrap anchorx="margin" anchory="margin"/>
            </v:shape>
          </w:pict>
        </w:r>
      </w:sdtContent>
    </w:sdt>
    <w:r w:rsidR="00A77452" w:rsidRPr="000F5176">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A77452" w:rsidRPr="002B29B2" w:rsidTr="00F71E1E">
      <w:trPr>
        <w:trHeight w:hRule="exact" w:val="8845"/>
      </w:trPr>
      <w:tc>
        <w:tcPr>
          <w:tcW w:w="11964" w:type="dxa"/>
          <w:vAlign w:val="center"/>
        </w:tcPr>
        <w:p w:rsidR="00A77452" w:rsidRPr="002B29B2" w:rsidRDefault="00E7294B" w:rsidP="006A2426">
          <w:pPr>
            <w:ind w:left="-57"/>
            <w:rPr>
              <w:noProof/>
            </w:rPr>
          </w:pPr>
          <w:sdt>
            <w:sdtPr>
              <w:rPr>
                <w:noProof/>
                <w:lang w:eastAsia="en-AU"/>
              </w:rPr>
              <w:id w:val="1926993388"/>
              <w:picture/>
            </w:sdtPr>
            <w:sdtEndPr/>
            <w:sdtContent>
              <w:r w:rsidR="00784D6B" w:rsidRPr="00F71E1E">
                <w:rPr>
                  <w:noProof/>
                  <w:lang w:eastAsia="en-AU"/>
                </w:rPr>
                <w:drawing>
                  <wp:inline distT="0" distB="0" distL="0" distR="0" wp14:anchorId="197DC10D" wp14:editId="0863DE53">
                    <wp:extent cx="8405241" cy="5598543"/>
                    <wp:effectExtent l="0" t="0" r="0" b="254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418403" cy="5607310"/>
                            </a:xfrm>
                            <a:prstGeom prst="rect">
                              <a:avLst/>
                            </a:prstGeom>
                            <a:noFill/>
                            <a:ln w="9525">
                              <a:noFill/>
                              <a:miter lim="800000"/>
                              <a:headEnd/>
                              <a:tailEnd/>
                            </a:ln>
                          </pic:spPr>
                        </pic:pic>
                      </a:graphicData>
                    </a:graphic>
                  </wp:inline>
                </w:drawing>
              </w:r>
            </w:sdtContent>
          </w:sdt>
        </w:p>
      </w:tc>
    </w:tr>
  </w:tbl>
  <w:p w:rsidR="00A77452" w:rsidRDefault="00D55652" w:rsidP="006D03E5">
    <w:pPr>
      <w:rPr>
        <w:noProof/>
      </w:rPr>
    </w:pPr>
    <w:r>
      <w:rPr>
        <w:noProof/>
        <w:lang w:eastAsia="en-AU"/>
      </w:rPr>
      <w:drawing>
        <wp:anchor distT="0" distB="0" distL="114300" distR="114300" simplePos="0" relativeHeight="251664384" behindDoc="0" locked="0" layoutInCell="1" allowOverlap="1" wp14:anchorId="26FD79E5" wp14:editId="653A0248">
          <wp:simplePos x="0" y="0"/>
          <wp:positionH relativeFrom="column">
            <wp:posOffset>-186055</wp:posOffset>
          </wp:positionH>
          <wp:positionV relativeFrom="paragraph">
            <wp:posOffset>-58420</wp:posOffset>
          </wp:positionV>
          <wp:extent cx="3524250" cy="1209675"/>
          <wp:effectExtent l="19050" t="0" r="0" b="0"/>
          <wp:wrapTopAndBottom/>
          <wp:docPr id="4" name="Picture 1"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_resources\TGA Vector Graphics\DH&amp;A\New crests Sept 2013\DH-TGA_inline_black-RGB-1200.gif"/>
                  <pic:cNvPicPr>
                    <a:picLocks noChangeAspect="1" noChangeArrowheads="1"/>
                  </pic:cNvPicPr>
                </pic:nvPicPr>
                <pic:blipFill>
                  <a:blip r:embed="rId2"/>
                  <a:srcRect/>
                  <a:stretch>
                    <a:fillRect/>
                  </a:stretch>
                </pic:blipFill>
                <pic:spPr bwMode="auto">
                  <a:xfrm>
                    <a:off x="0" y="0"/>
                    <a:ext cx="3524250" cy="1209675"/>
                  </a:xfrm>
                  <a:prstGeom prst="rect">
                    <a:avLst/>
                  </a:prstGeom>
                  <a:noFill/>
                  <a:ln w="9525">
                    <a:noFill/>
                    <a:miter lim="800000"/>
                    <a:headEnd/>
                    <a:tailEnd/>
                  </a:ln>
                </pic:spPr>
              </pic:pic>
            </a:graphicData>
          </a:graphic>
        </wp:anchor>
      </w:drawing>
    </w:r>
    <w:r w:rsidR="00A77452" w:rsidRPr="002B29B2">
      <w:rPr>
        <w:noProof/>
        <w:lang w:eastAsia="en-AU"/>
      </w:rPr>
      <w:drawing>
        <wp:anchor distT="0" distB="0" distL="114300" distR="114300" simplePos="0" relativeHeight="251662336" behindDoc="0" locked="0" layoutInCell="0" allowOverlap="1" wp14:anchorId="7D7677EB" wp14:editId="44E36490">
          <wp:simplePos x="0" y="0"/>
          <wp:positionH relativeFrom="page">
            <wp:posOffset>0</wp:posOffset>
          </wp:positionH>
          <wp:positionV relativeFrom="page">
            <wp:posOffset>4152900</wp:posOffset>
          </wp:positionV>
          <wp:extent cx="7581900" cy="2447925"/>
          <wp:effectExtent l="19050" t="0" r="0" b="0"/>
          <wp:wrapNone/>
          <wp:docPr id="5" name="Picture 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etct\Desktop\TGA-Swoosh-w-Wordmark-CMYK.gif"/>
                  <pic:cNvPicPr>
                    <a:picLocks noChangeAspect="1" noChangeArrowheads="1"/>
                  </pic:cNvPicPr>
                </pic:nvPicPr>
                <pic:blipFill>
                  <a:blip r:embed="rId3" cstate="print"/>
                  <a:srcRect/>
                  <a:stretch>
                    <a:fillRect/>
                  </a:stretch>
                </pic:blipFill>
                <pic:spPr bwMode="auto">
                  <a:xfrm>
                    <a:off x="0" y="0"/>
                    <a:ext cx="7581900" cy="24479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452" w:rsidRDefault="00A77452" w:rsidP="00C3408D">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452" w:rsidRPr="00FE501F" w:rsidRDefault="00A77452"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3B54010"/>
    <w:multiLevelType w:val="hybridMultilevel"/>
    <w:tmpl w:val="61020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36E11771"/>
    <w:multiLevelType w:val="multilevel"/>
    <w:tmpl w:val="ABC2CD2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46487E55"/>
    <w:multiLevelType w:val="multilevel"/>
    <w:tmpl w:val="D102B470"/>
    <w:lvl w:ilvl="0">
      <w:start w:val="1"/>
      <w:numFmt w:val="decimal"/>
      <w:lvlText w:val="%1."/>
      <w:lvlJc w:val="left"/>
      <w:pPr>
        <w:ind w:left="360" w:hanging="360"/>
      </w:pPr>
      <w:rPr>
        <w:rFont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4A393E62"/>
    <w:multiLevelType w:val="hybridMultilevel"/>
    <w:tmpl w:val="BB0C6C1E"/>
    <w:lvl w:ilvl="0" w:tplc="4DFE8AE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3"/>
  </w:num>
  <w:num w:numId="9">
    <w:abstractNumId w:val="3"/>
  </w:num>
  <w:num w:numId="10">
    <w:abstractNumId w:val="3"/>
  </w:num>
  <w:num w:numId="11">
    <w:abstractNumId w:val="3"/>
  </w:num>
  <w:num w:numId="12">
    <w:abstractNumId w:val="6"/>
  </w:num>
  <w:num w:numId="13">
    <w:abstractNumId w:val="6"/>
  </w:num>
  <w:num w:numId="14">
    <w:abstractNumId w:val="6"/>
  </w:num>
  <w:num w:numId="15">
    <w:abstractNumId w:val="3"/>
  </w:num>
  <w:num w:numId="16">
    <w:abstractNumId w:val="3"/>
  </w:num>
  <w:num w:numId="17">
    <w:abstractNumId w:val="3"/>
  </w:num>
  <w:num w:numId="18">
    <w:abstractNumId w:val="5"/>
  </w:num>
  <w:num w:numId="19">
    <w:abstractNumId w:val="12"/>
  </w:num>
  <w:num w:numId="20">
    <w:abstractNumId w:val="7"/>
  </w:num>
  <w:num w:numId="21">
    <w:abstractNumId w:val="11"/>
  </w:num>
  <w:num w:numId="22">
    <w:abstractNumId w:val="8"/>
    <w:lvlOverride w:ilvl="0">
      <w:lvl w:ilvl="0">
        <w:start w:val="1"/>
        <w:numFmt w:val="bullet"/>
        <w:lvlText w:val=""/>
        <w:lvlJc w:val="left"/>
        <w:pPr>
          <w:ind w:left="360" w:hanging="360"/>
        </w:pPr>
        <w:rPr>
          <w:rFonts w:ascii="Symbol" w:hAnsi="Symbol" w:hint="default"/>
          <w:color w:val="auto"/>
        </w:rPr>
      </w:lvl>
    </w:lvlOverride>
  </w:num>
  <w:num w:numId="23">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lvl w:ilvl="0">
        <w:start w:val="1"/>
        <w:numFmt w:val="bullet"/>
        <w:pStyle w:val="ListBullet"/>
        <w:lvlText w:val=""/>
        <w:lvlJc w:val="left"/>
        <w:pPr>
          <w:ind w:left="360" w:hanging="360"/>
        </w:pPr>
        <w:rPr>
          <w:rFonts w:ascii="Symbol" w:hAnsi="Symbol" w:hint="default"/>
        </w:rPr>
      </w:lvl>
    </w:lvlOverride>
  </w:num>
  <w:num w:numId="25">
    <w:abstractNumId w:val="9"/>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4"/>
  </w:num>
  <w:num w:numId="29">
    <w:abstractNumId w:val="6"/>
    <w:lvlOverride w:ilvl="1">
      <w:lvl w:ilvl="1">
        <w:start w:val="1"/>
        <w:numFmt w:val="bullet"/>
        <w:pStyle w:val="ListBullet2"/>
        <w:lvlText w:val="–"/>
        <w:lvlJc w:val="left"/>
        <w:pPr>
          <w:ind w:left="720" w:hanging="360"/>
        </w:pPr>
        <w:rPr>
          <w:rFonts w:ascii="Arial" w:hAnsi="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1"/>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64" fill="f" fillcolor="#c6d4e9" strokecolor="#002c47">
      <v:fill color="#c6d4e9" on="f"/>
      <v:stroke color="#002c47"/>
    </o:shapedefaults>
    <o:shapelayout v:ext="edit">
      <o:idmap v:ext="edit" data="2"/>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97A"/>
    <w:rsid w:val="00002031"/>
    <w:rsid w:val="000040BA"/>
    <w:rsid w:val="00004734"/>
    <w:rsid w:val="00006B22"/>
    <w:rsid w:val="00010E4D"/>
    <w:rsid w:val="0001276A"/>
    <w:rsid w:val="00016BEB"/>
    <w:rsid w:val="000246AE"/>
    <w:rsid w:val="00025C67"/>
    <w:rsid w:val="00030D34"/>
    <w:rsid w:val="00032FFB"/>
    <w:rsid w:val="0005559E"/>
    <w:rsid w:val="000703AB"/>
    <w:rsid w:val="00077775"/>
    <w:rsid w:val="00090471"/>
    <w:rsid w:val="000934A6"/>
    <w:rsid w:val="000A18EA"/>
    <w:rsid w:val="000A3543"/>
    <w:rsid w:val="000A4371"/>
    <w:rsid w:val="000B30E5"/>
    <w:rsid w:val="000B3532"/>
    <w:rsid w:val="000B3A75"/>
    <w:rsid w:val="000B574E"/>
    <w:rsid w:val="000B5E4E"/>
    <w:rsid w:val="000B6CAE"/>
    <w:rsid w:val="000B7084"/>
    <w:rsid w:val="000D0851"/>
    <w:rsid w:val="000D157F"/>
    <w:rsid w:val="000D391B"/>
    <w:rsid w:val="000D3D6D"/>
    <w:rsid w:val="000D4FC7"/>
    <w:rsid w:val="000F0241"/>
    <w:rsid w:val="000F1C73"/>
    <w:rsid w:val="000F1D3F"/>
    <w:rsid w:val="000F4869"/>
    <w:rsid w:val="000F5176"/>
    <w:rsid w:val="000F5978"/>
    <w:rsid w:val="000F5B42"/>
    <w:rsid w:val="000F6E6F"/>
    <w:rsid w:val="001003F2"/>
    <w:rsid w:val="00102BDA"/>
    <w:rsid w:val="0010601F"/>
    <w:rsid w:val="00110EA5"/>
    <w:rsid w:val="00115240"/>
    <w:rsid w:val="00115508"/>
    <w:rsid w:val="00117E01"/>
    <w:rsid w:val="001210F1"/>
    <w:rsid w:val="00125091"/>
    <w:rsid w:val="00125318"/>
    <w:rsid w:val="001305A2"/>
    <w:rsid w:val="00133238"/>
    <w:rsid w:val="00140FE3"/>
    <w:rsid w:val="0014197B"/>
    <w:rsid w:val="0014247A"/>
    <w:rsid w:val="001447CD"/>
    <w:rsid w:val="001500F7"/>
    <w:rsid w:val="001516B1"/>
    <w:rsid w:val="001525B4"/>
    <w:rsid w:val="00156316"/>
    <w:rsid w:val="00165389"/>
    <w:rsid w:val="00165DC3"/>
    <w:rsid w:val="001713A3"/>
    <w:rsid w:val="00172A15"/>
    <w:rsid w:val="0017693F"/>
    <w:rsid w:val="0018110E"/>
    <w:rsid w:val="00181684"/>
    <w:rsid w:val="00181D60"/>
    <w:rsid w:val="001843C6"/>
    <w:rsid w:val="001850E0"/>
    <w:rsid w:val="0018660B"/>
    <w:rsid w:val="00192AAA"/>
    <w:rsid w:val="001A3190"/>
    <w:rsid w:val="001A525F"/>
    <w:rsid w:val="001B09F9"/>
    <w:rsid w:val="001B6448"/>
    <w:rsid w:val="001C3A9E"/>
    <w:rsid w:val="001D7224"/>
    <w:rsid w:val="001E07CF"/>
    <w:rsid w:val="001E275A"/>
    <w:rsid w:val="001E59F1"/>
    <w:rsid w:val="001F124F"/>
    <w:rsid w:val="001F20F9"/>
    <w:rsid w:val="001F49EB"/>
    <w:rsid w:val="001F6CBA"/>
    <w:rsid w:val="00201D4E"/>
    <w:rsid w:val="00215D48"/>
    <w:rsid w:val="00217091"/>
    <w:rsid w:val="00220B8A"/>
    <w:rsid w:val="002257F3"/>
    <w:rsid w:val="00231E8D"/>
    <w:rsid w:val="00233456"/>
    <w:rsid w:val="002339A5"/>
    <w:rsid w:val="00237691"/>
    <w:rsid w:val="00247FB9"/>
    <w:rsid w:val="00257138"/>
    <w:rsid w:val="00257848"/>
    <w:rsid w:val="0027084A"/>
    <w:rsid w:val="00286434"/>
    <w:rsid w:val="00286C59"/>
    <w:rsid w:val="0029069E"/>
    <w:rsid w:val="00290795"/>
    <w:rsid w:val="002942D1"/>
    <w:rsid w:val="002A0556"/>
    <w:rsid w:val="002A592C"/>
    <w:rsid w:val="002A5B3A"/>
    <w:rsid w:val="002B1638"/>
    <w:rsid w:val="002B25CB"/>
    <w:rsid w:val="002B29B2"/>
    <w:rsid w:val="002C376C"/>
    <w:rsid w:val="002C6E9C"/>
    <w:rsid w:val="002E193A"/>
    <w:rsid w:val="002E364F"/>
    <w:rsid w:val="002E4C9A"/>
    <w:rsid w:val="002F11F8"/>
    <w:rsid w:val="002F260A"/>
    <w:rsid w:val="002F3F56"/>
    <w:rsid w:val="002F44B5"/>
    <w:rsid w:val="00300350"/>
    <w:rsid w:val="00301FA3"/>
    <w:rsid w:val="00311439"/>
    <w:rsid w:val="00311AC0"/>
    <w:rsid w:val="003157BD"/>
    <w:rsid w:val="00323F14"/>
    <w:rsid w:val="003252DE"/>
    <w:rsid w:val="00331DBB"/>
    <w:rsid w:val="00335C3B"/>
    <w:rsid w:val="003361D1"/>
    <w:rsid w:val="00341303"/>
    <w:rsid w:val="00350236"/>
    <w:rsid w:val="0035146C"/>
    <w:rsid w:val="003521E8"/>
    <w:rsid w:val="00357700"/>
    <w:rsid w:val="0036361E"/>
    <w:rsid w:val="003664BF"/>
    <w:rsid w:val="003728F3"/>
    <w:rsid w:val="00376793"/>
    <w:rsid w:val="003843F6"/>
    <w:rsid w:val="00390900"/>
    <w:rsid w:val="00393398"/>
    <w:rsid w:val="003A2DDF"/>
    <w:rsid w:val="003B362C"/>
    <w:rsid w:val="003B7E39"/>
    <w:rsid w:val="003C58DC"/>
    <w:rsid w:val="003D3B63"/>
    <w:rsid w:val="003D6B56"/>
    <w:rsid w:val="003E0A89"/>
    <w:rsid w:val="003E3208"/>
    <w:rsid w:val="003F0B04"/>
    <w:rsid w:val="003F2E95"/>
    <w:rsid w:val="0040134E"/>
    <w:rsid w:val="00404B57"/>
    <w:rsid w:val="00406DB9"/>
    <w:rsid w:val="00416BCB"/>
    <w:rsid w:val="00425B52"/>
    <w:rsid w:val="00440A2D"/>
    <w:rsid w:val="00442DA9"/>
    <w:rsid w:val="0045040C"/>
    <w:rsid w:val="004564A7"/>
    <w:rsid w:val="004617BF"/>
    <w:rsid w:val="0047115C"/>
    <w:rsid w:val="00473864"/>
    <w:rsid w:val="00481962"/>
    <w:rsid w:val="00483D37"/>
    <w:rsid w:val="004923FF"/>
    <w:rsid w:val="004927EC"/>
    <w:rsid w:val="00494CA4"/>
    <w:rsid w:val="00494E60"/>
    <w:rsid w:val="0049734C"/>
    <w:rsid w:val="004A3084"/>
    <w:rsid w:val="004B7B76"/>
    <w:rsid w:val="004C0070"/>
    <w:rsid w:val="004C100A"/>
    <w:rsid w:val="004C4096"/>
    <w:rsid w:val="004C6E9B"/>
    <w:rsid w:val="004D37E2"/>
    <w:rsid w:val="004D51A6"/>
    <w:rsid w:val="004F0F38"/>
    <w:rsid w:val="004F1240"/>
    <w:rsid w:val="004F40D8"/>
    <w:rsid w:val="004F484B"/>
    <w:rsid w:val="00501921"/>
    <w:rsid w:val="00520100"/>
    <w:rsid w:val="00523FB1"/>
    <w:rsid w:val="00525165"/>
    <w:rsid w:val="00530354"/>
    <w:rsid w:val="00535D83"/>
    <w:rsid w:val="0054053C"/>
    <w:rsid w:val="00541FD8"/>
    <w:rsid w:val="005423EF"/>
    <w:rsid w:val="005434C6"/>
    <w:rsid w:val="00543B39"/>
    <w:rsid w:val="00550096"/>
    <w:rsid w:val="0055465C"/>
    <w:rsid w:val="0055653F"/>
    <w:rsid w:val="00557FF9"/>
    <w:rsid w:val="00560037"/>
    <w:rsid w:val="00567A2E"/>
    <w:rsid w:val="0057564C"/>
    <w:rsid w:val="00576378"/>
    <w:rsid w:val="00577E38"/>
    <w:rsid w:val="00584285"/>
    <w:rsid w:val="00585322"/>
    <w:rsid w:val="0059345B"/>
    <w:rsid w:val="00593AD1"/>
    <w:rsid w:val="005A1131"/>
    <w:rsid w:val="005C5570"/>
    <w:rsid w:val="005C5FD4"/>
    <w:rsid w:val="005C79A4"/>
    <w:rsid w:val="005D1689"/>
    <w:rsid w:val="005D248B"/>
    <w:rsid w:val="005D5442"/>
    <w:rsid w:val="005D55A3"/>
    <w:rsid w:val="005E5568"/>
    <w:rsid w:val="005F458A"/>
    <w:rsid w:val="005F5830"/>
    <w:rsid w:val="00600BA7"/>
    <w:rsid w:val="00610D73"/>
    <w:rsid w:val="00625015"/>
    <w:rsid w:val="006303ED"/>
    <w:rsid w:val="00633F97"/>
    <w:rsid w:val="00640FC3"/>
    <w:rsid w:val="00642020"/>
    <w:rsid w:val="0065200D"/>
    <w:rsid w:val="0065337B"/>
    <w:rsid w:val="0065419D"/>
    <w:rsid w:val="006604D8"/>
    <w:rsid w:val="00664A5B"/>
    <w:rsid w:val="00667942"/>
    <w:rsid w:val="00680C08"/>
    <w:rsid w:val="0068741A"/>
    <w:rsid w:val="0069297A"/>
    <w:rsid w:val="006931B1"/>
    <w:rsid w:val="006A022A"/>
    <w:rsid w:val="006A15C0"/>
    <w:rsid w:val="006A2426"/>
    <w:rsid w:val="006A2A31"/>
    <w:rsid w:val="006A38E4"/>
    <w:rsid w:val="006C1F3B"/>
    <w:rsid w:val="006C3E2A"/>
    <w:rsid w:val="006C43B5"/>
    <w:rsid w:val="006C642F"/>
    <w:rsid w:val="006D03E5"/>
    <w:rsid w:val="006D5D3E"/>
    <w:rsid w:val="006E08B3"/>
    <w:rsid w:val="006E4E00"/>
    <w:rsid w:val="006F1604"/>
    <w:rsid w:val="006F3339"/>
    <w:rsid w:val="006F46EA"/>
    <w:rsid w:val="006F572E"/>
    <w:rsid w:val="006F6284"/>
    <w:rsid w:val="006F652C"/>
    <w:rsid w:val="006F6C81"/>
    <w:rsid w:val="007046D6"/>
    <w:rsid w:val="00705DB0"/>
    <w:rsid w:val="007060CD"/>
    <w:rsid w:val="00706520"/>
    <w:rsid w:val="00706634"/>
    <w:rsid w:val="00706AFE"/>
    <w:rsid w:val="00723BF8"/>
    <w:rsid w:val="00724E0E"/>
    <w:rsid w:val="00732FEE"/>
    <w:rsid w:val="0074253D"/>
    <w:rsid w:val="0074429B"/>
    <w:rsid w:val="007477F8"/>
    <w:rsid w:val="007503E8"/>
    <w:rsid w:val="00751EBD"/>
    <w:rsid w:val="00753687"/>
    <w:rsid w:val="00753A56"/>
    <w:rsid w:val="0075524A"/>
    <w:rsid w:val="007615BC"/>
    <w:rsid w:val="007622D7"/>
    <w:rsid w:val="00762F05"/>
    <w:rsid w:val="00764FC4"/>
    <w:rsid w:val="007652FF"/>
    <w:rsid w:val="00771329"/>
    <w:rsid w:val="00773EF7"/>
    <w:rsid w:val="00774E1D"/>
    <w:rsid w:val="0077675A"/>
    <w:rsid w:val="00780355"/>
    <w:rsid w:val="00781535"/>
    <w:rsid w:val="00784D6B"/>
    <w:rsid w:val="00785721"/>
    <w:rsid w:val="00793A59"/>
    <w:rsid w:val="00795DC5"/>
    <w:rsid w:val="007A13A1"/>
    <w:rsid w:val="007A2162"/>
    <w:rsid w:val="007B3C16"/>
    <w:rsid w:val="007C0F3D"/>
    <w:rsid w:val="007C1AF7"/>
    <w:rsid w:val="007D2AAF"/>
    <w:rsid w:val="007E175B"/>
    <w:rsid w:val="007F17AF"/>
    <w:rsid w:val="007F2054"/>
    <w:rsid w:val="00816164"/>
    <w:rsid w:val="00817334"/>
    <w:rsid w:val="00821776"/>
    <w:rsid w:val="00826007"/>
    <w:rsid w:val="008320C3"/>
    <w:rsid w:val="008321F5"/>
    <w:rsid w:val="00832369"/>
    <w:rsid w:val="00834660"/>
    <w:rsid w:val="00836BC2"/>
    <w:rsid w:val="0085641B"/>
    <w:rsid w:val="00857136"/>
    <w:rsid w:val="008805EB"/>
    <w:rsid w:val="00884752"/>
    <w:rsid w:val="00896018"/>
    <w:rsid w:val="008A2B9D"/>
    <w:rsid w:val="008A5E0B"/>
    <w:rsid w:val="008A6D59"/>
    <w:rsid w:val="008A7095"/>
    <w:rsid w:val="008B1A25"/>
    <w:rsid w:val="008B4B03"/>
    <w:rsid w:val="008B553E"/>
    <w:rsid w:val="008B596F"/>
    <w:rsid w:val="008C159F"/>
    <w:rsid w:val="008C1623"/>
    <w:rsid w:val="008C51A9"/>
    <w:rsid w:val="008C63C5"/>
    <w:rsid w:val="008C7541"/>
    <w:rsid w:val="008E3C43"/>
    <w:rsid w:val="008E3FF2"/>
    <w:rsid w:val="008F1CCC"/>
    <w:rsid w:val="008F2967"/>
    <w:rsid w:val="008F6EF7"/>
    <w:rsid w:val="009074DB"/>
    <w:rsid w:val="00920330"/>
    <w:rsid w:val="00920FF4"/>
    <w:rsid w:val="009219D7"/>
    <w:rsid w:val="00922D53"/>
    <w:rsid w:val="00923B70"/>
    <w:rsid w:val="0092600B"/>
    <w:rsid w:val="00926B0E"/>
    <w:rsid w:val="00930237"/>
    <w:rsid w:val="00932BBB"/>
    <w:rsid w:val="00947BE9"/>
    <w:rsid w:val="0096319D"/>
    <w:rsid w:val="00963C08"/>
    <w:rsid w:val="00964F68"/>
    <w:rsid w:val="009707B8"/>
    <w:rsid w:val="00974DBB"/>
    <w:rsid w:val="00975D42"/>
    <w:rsid w:val="0099110E"/>
    <w:rsid w:val="00994189"/>
    <w:rsid w:val="009A4CED"/>
    <w:rsid w:val="009A5BC7"/>
    <w:rsid w:val="009B1D12"/>
    <w:rsid w:val="009B3475"/>
    <w:rsid w:val="009B416B"/>
    <w:rsid w:val="009B68A6"/>
    <w:rsid w:val="009C4BD5"/>
    <w:rsid w:val="009D059A"/>
    <w:rsid w:val="009D2E04"/>
    <w:rsid w:val="009D7B77"/>
    <w:rsid w:val="009E0BB0"/>
    <w:rsid w:val="009E3FBB"/>
    <w:rsid w:val="009E45E7"/>
    <w:rsid w:val="009F018D"/>
    <w:rsid w:val="009F0B33"/>
    <w:rsid w:val="009F1677"/>
    <w:rsid w:val="00A1235B"/>
    <w:rsid w:val="00A14DF7"/>
    <w:rsid w:val="00A26E24"/>
    <w:rsid w:val="00A3246D"/>
    <w:rsid w:val="00A36FA7"/>
    <w:rsid w:val="00A4235C"/>
    <w:rsid w:val="00A475B7"/>
    <w:rsid w:val="00A47AF7"/>
    <w:rsid w:val="00A47C3E"/>
    <w:rsid w:val="00A50226"/>
    <w:rsid w:val="00A53F3C"/>
    <w:rsid w:val="00A60BAD"/>
    <w:rsid w:val="00A644D1"/>
    <w:rsid w:val="00A73A8D"/>
    <w:rsid w:val="00A77452"/>
    <w:rsid w:val="00A85C29"/>
    <w:rsid w:val="00A87334"/>
    <w:rsid w:val="00AA3EB9"/>
    <w:rsid w:val="00AC2B40"/>
    <w:rsid w:val="00AC2BB2"/>
    <w:rsid w:val="00AC2C3C"/>
    <w:rsid w:val="00AC3BD9"/>
    <w:rsid w:val="00AC3D45"/>
    <w:rsid w:val="00AD5831"/>
    <w:rsid w:val="00AE5AB2"/>
    <w:rsid w:val="00AE65EB"/>
    <w:rsid w:val="00AF1D94"/>
    <w:rsid w:val="00AF60C5"/>
    <w:rsid w:val="00AF69CB"/>
    <w:rsid w:val="00B009C6"/>
    <w:rsid w:val="00B00ACB"/>
    <w:rsid w:val="00B01548"/>
    <w:rsid w:val="00B01551"/>
    <w:rsid w:val="00B147DA"/>
    <w:rsid w:val="00B21D29"/>
    <w:rsid w:val="00B21FC5"/>
    <w:rsid w:val="00B23323"/>
    <w:rsid w:val="00B24FF5"/>
    <w:rsid w:val="00B25034"/>
    <w:rsid w:val="00B33863"/>
    <w:rsid w:val="00B37D17"/>
    <w:rsid w:val="00B4175E"/>
    <w:rsid w:val="00B510E1"/>
    <w:rsid w:val="00B54C25"/>
    <w:rsid w:val="00B76B91"/>
    <w:rsid w:val="00B87BB7"/>
    <w:rsid w:val="00B946A9"/>
    <w:rsid w:val="00B9484C"/>
    <w:rsid w:val="00B94CFB"/>
    <w:rsid w:val="00BA0DFC"/>
    <w:rsid w:val="00BC1CAB"/>
    <w:rsid w:val="00BC622A"/>
    <w:rsid w:val="00BD0B28"/>
    <w:rsid w:val="00BE0A78"/>
    <w:rsid w:val="00BE243C"/>
    <w:rsid w:val="00BE79F0"/>
    <w:rsid w:val="00BF046D"/>
    <w:rsid w:val="00BF43F2"/>
    <w:rsid w:val="00BF5D04"/>
    <w:rsid w:val="00C10459"/>
    <w:rsid w:val="00C13563"/>
    <w:rsid w:val="00C14835"/>
    <w:rsid w:val="00C1617C"/>
    <w:rsid w:val="00C23477"/>
    <w:rsid w:val="00C24FC6"/>
    <w:rsid w:val="00C27F9B"/>
    <w:rsid w:val="00C3408D"/>
    <w:rsid w:val="00C404A6"/>
    <w:rsid w:val="00C40A36"/>
    <w:rsid w:val="00C44419"/>
    <w:rsid w:val="00C45E7B"/>
    <w:rsid w:val="00C471B1"/>
    <w:rsid w:val="00C4743E"/>
    <w:rsid w:val="00C50E5C"/>
    <w:rsid w:val="00C6316B"/>
    <w:rsid w:val="00C634A9"/>
    <w:rsid w:val="00C71313"/>
    <w:rsid w:val="00C7475B"/>
    <w:rsid w:val="00C76805"/>
    <w:rsid w:val="00C772FF"/>
    <w:rsid w:val="00C801AF"/>
    <w:rsid w:val="00C80256"/>
    <w:rsid w:val="00C85953"/>
    <w:rsid w:val="00C87DC4"/>
    <w:rsid w:val="00CA7F9C"/>
    <w:rsid w:val="00CB6BC0"/>
    <w:rsid w:val="00CB73C5"/>
    <w:rsid w:val="00CC1B7C"/>
    <w:rsid w:val="00CC2380"/>
    <w:rsid w:val="00CC727F"/>
    <w:rsid w:val="00CD1F02"/>
    <w:rsid w:val="00CD30CC"/>
    <w:rsid w:val="00CD6FCC"/>
    <w:rsid w:val="00CE5067"/>
    <w:rsid w:val="00CE5BB0"/>
    <w:rsid w:val="00CF15C3"/>
    <w:rsid w:val="00CF2B6F"/>
    <w:rsid w:val="00CF4791"/>
    <w:rsid w:val="00D017ED"/>
    <w:rsid w:val="00D11F5C"/>
    <w:rsid w:val="00D153B1"/>
    <w:rsid w:val="00D20C54"/>
    <w:rsid w:val="00D224FE"/>
    <w:rsid w:val="00D229BA"/>
    <w:rsid w:val="00D25F22"/>
    <w:rsid w:val="00D27857"/>
    <w:rsid w:val="00D30526"/>
    <w:rsid w:val="00D3646E"/>
    <w:rsid w:val="00D55652"/>
    <w:rsid w:val="00D56287"/>
    <w:rsid w:val="00D64401"/>
    <w:rsid w:val="00D6493E"/>
    <w:rsid w:val="00D73AB0"/>
    <w:rsid w:val="00D85417"/>
    <w:rsid w:val="00D9141E"/>
    <w:rsid w:val="00DA1124"/>
    <w:rsid w:val="00DA24C7"/>
    <w:rsid w:val="00DA381C"/>
    <w:rsid w:val="00DA4CD9"/>
    <w:rsid w:val="00DB1979"/>
    <w:rsid w:val="00DC6794"/>
    <w:rsid w:val="00DD75A3"/>
    <w:rsid w:val="00DD76DE"/>
    <w:rsid w:val="00DE02AE"/>
    <w:rsid w:val="00DE6A0C"/>
    <w:rsid w:val="00DE6C04"/>
    <w:rsid w:val="00DF1D7F"/>
    <w:rsid w:val="00DF45B9"/>
    <w:rsid w:val="00DF6BE8"/>
    <w:rsid w:val="00E02FB4"/>
    <w:rsid w:val="00E1198B"/>
    <w:rsid w:val="00E11E4D"/>
    <w:rsid w:val="00E1340C"/>
    <w:rsid w:val="00E177F4"/>
    <w:rsid w:val="00E20571"/>
    <w:rsid w:val="00E21651"/>
    <w:rsid w:val="00E22953"/>
    <w:rsid w:val="00E235F7"/>
    <w:rsid w:val="00E239D4"/>
    <w:rsid w:val="00E30C88"/>
    <w:rsid w:val="00E32A5C"/>
    <w:rsid w:val="00E40B22"/>
    <w:rsid w:val="00E4588F"/>
    <w:rsid w:val="00E46DA3"/>
    <w:rsid w:val="00E47660"/>
    <w:rsid w:val="00E67774"/>
    <w:rsid w:val="00E7294B"/>
    <w:rsid w:val="00E85925"/>
    <w:rsid w:val="00EA0668"/>
    <w:rsid w:val="00EA16DE"/>
    <w:rsid w:val="00EA1F09"/>
    <w:rsid w:val="00EA406B"/>
    <w:rsid w:val="00EA7E1D"/>
    <w:rsid w:val="00EB0798"/>
    <w:rsid w:val="00EB40AD"/>
    <w:rsid w:val="00EB5622"/>
    <w:rsid w:val="00EB586E"/>
    <w:rsid w:val="00EB5FC8"/>
    <w:rsid w:val="00EB6CAF"/>
    <w:rsid w:val="00ED555A"/>
    <w:rsid w:val="00ED5A41"/>
    <w:rsid w:val="00ED6A67"/>
    <w:rsid w:val="00EF3F86"/>
    <w:rsid w:val="00EF578B"/>
    <w:rsid w:val="00EF6895"/>
    <w:rsid w:val="00F033EC"/>
    <w:rsid w:val="00F04F68"/>
    <w:rsid w:val="00F0622D"/>
    <w:rsid w:val="00F12670"/>
    <w:rsid w:val="00F14B27"/>
    <w:rsid w:val="00F2301F"/>
    <w:rsid w:val="00F27030"/>
    <w:rsid w:val="00F274A2"/>
    <w:rsid w:val="00F31011"/>
    <w:rsid w:val="00F3148D"/>
    <w:rsid w:val="00F35298"/>
    <w:rsid w:val="00F3529E"/>
    <w:rsid w:val="00F401EF"/>
    <w:rsid w:val="00F427F0"/>
    <w:rsid w:val="00F47E37"/>
    <w:rsid w:val="00F54CA9"/>
    <w:rsid w:val="00F56B9D"/>
    <w:rsid w:val="00F640B6"/>
    <w:rsid w:val="00F71E1E"/>
    <w:rsid w:val="00F80E40"/>
    <w:rsid w:val="00F859D2"/>
    <w:rsid w:val="00F8709D"/>
    <w:rsid w:val="00F9022D"/>
    <w:rsid w:val="00FA2B8E"/>
    <w:rsid w:val="00FA43E5"/>
    <w:rsid w:val="00FA5B82"/>
    <w:rsid w:val="00FA639E"/>
    <w:rsid w:val="00FB6628"/>
    <w:rsid w:val="00FC03C8"/>
    <w:rsid w:val="00FC1750"/>
    <w:rsid w:val="00FC25E4"/>
    <w:rsid w:val="00FC4EF7"/>
    <w:rsid w:val="00FE1DEE"/>
    <w:rsid w:val="00FE206C"/>
    <w:rsid w:val="00FE501F"/>
    <w:rsid w:val="00FE6716"/>
    <w:rsid w:val="00FF2126"/>
    <w:rsid w:val="00FF299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64" fill="f" fillcolor="#c6d4e9" strokecolor="#002c47">
      <v:fill color="#c6d4e9" on="f"/>
      <v:stroke color="#002c47"/>
    </o:shapedefaults>
    <o:shapelayout v:ext="edit">
      <o:idmap v:ext="edit" data="1"/>
    </o:shapelayout>
  </w:shapeDefaults>
  <w:decimalSymbol w:val="."/>
  <w:listSeparator w:val=","/>
  <w15:docId w15:val="{755AB480-ED98-4D19-AA16-A58DFC4BE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84D6B"/>
    <w:pPr>
      <w:spacing w:before="120" w:after="180" w:line="240" w:lineRule="atLeast"/>
    </w:pPr>
    <w:rPr>
      <w:sz w:val="22"/>
      <w:lang w:eastAsia="en-US"/>
    </w:rPr>
  </w:style>
  <w:style w:type="paragraph" w:styleId="Heading1">
    <w:name w:val="heading 1"/>
    <w:basedOn w:val="Normal"/>
    <w:next w:val="Normal"/>
    <w:link w:val="Heading1Char"/>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F401EF"/>
    <w:pPr>
      <w:keepNext/>
      <w:keepLines/>
      <w:spacing w:before="480" w:after="120"/>
      <w:outlineLvl w:val="1"/>
    </w:pPr>
    <w:rPr>
      <w:rFonts w:ascii="Arial" w:eastAsia="Times New Roman" w:hAnsi="Arial"/>
      <w:b/>
      <w:bCs/>
      <w:sz w:val="38"/>
      <w:szCs w:val="38"/>
    </w:rPr>
  </w:style>
  <w:style w:type="paragraph" w:styleId="Heading3">
    <w:name w:val="heading 3"/>
    <w:basedOn w:val="Normal"/>
    <w:next w:val="Normal"/>
    <w:link w:val="Heading3Char"/>
    <w:qFormat/>
    <w:rsid w:val="00F401EF"/>
    <w:pPr>
      <w:keepNext/>
      <w:keepLines/>
      <w:spacing w:before="480" w:after="120"/>
      <w:outlineLvl w:val="2"/>
    </w:pPr>
    <w:rPr>
      <w:rFonts w:ascii="Arial" w:eastAsia="Times New Roman" w:hAnsi="Arial"/>
      <w:b/>
      <w:bCs/>
      <w:sz w:val="32"/>
      <w:szCs w:val="32"/>
    </w:rPr>
  </w:style>
  <w:style w:type="paragraph" w:styleId="Heading4">
    <w:name w:val="heading 4"/>
    <w:basedOn w:val="Normal"/>
    <w:next w:val="Normal"/>
    <w:link w:val="Heading4Char"/>
    <w:qFormat/>
    <w:rsid w:val="00F401EF"/>
    <w:pPr>
      <w:keepNext/>
      <w:keepLines/>
      <w:spacing w:before="360" w:after="120"/>
      <w:outlineLvl w:val="3"/>
    </w:pPr>
    <w:rPr>
      <w:rFonts w:ascii="Arial" w:hAnsi="Arial"/>
      <w:b/>
      <w:bCs/>
      <w:sz w:val="26"/>
      <w:szCs w:val="26"/>
    </w:rPr>
  </w:style>
  <w:style w:type="paragraph" w:styleId="Heading5">
    <w:name w:val="heading 5"/>
    <w:basedOn w:val="Normal"/>
    <w:next w:val="Normal"/>
    <w:link w:val="Heading5Char"/>
    <w:qFormat/>
    <w:rsid w:val="00F401EF"/>
    <w:pPr>
      <w:keepNext/>
      <w:keepLines/>
      <w:spacing w:before="240" w:after="120"/>
      <w:outlineLvl w:val="4"/>
    </w:pPr>
    <w:rPr>
      <w:rFonts w:eastAsia="Times New Roman"/>
      <w:b/>
      <w:bCs/>
      <w:color w:val="001523"/>
      <w:sz w:val="26"/>
      <w:szCs w:val="26"/>
    </w:rPr>
  </w:style>
  <w:style w:type="paragraph" w:styleId="Heading6">
    <w:name w:val="heading 6"/>
    <w:basedOn w:val="Normal"/>
    <w:next w:val="Normal"/>
    <w:link w:val="Heading6Char"/>
    <w:uiPriority w:val="9"/>
    <w:rsid w:val="00F401EF"/>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CB73C5"/>
    <w:rPr>
      <w:rFonts w:ascii="Arial" w:eastAsia="Times New Roman" w:hAnsi="Arial"/>
      <w:b/>
      <w:bCs/>
      <w:sz w:val="38"/>
      <w:szCs w:val="38"/>
      <w:lang w:eastAsia="en-US"/>
    </w:rPr>
  </w:style>
  <w:style w:type="character" w:customStyle="1" w:styleId="Heading3Char">
    <w:name w:val="Heading 3 Char"/>
    <w:basedOn w:val="DefaultParagraphFont"/>
    <w:link w:val="Heading3"/>
    <w:rsid w:val="00CB73C5"/>
    <w:rPr>
      <w:rFonts w:ascii="Arial" w:eastAsia="Times New Roman" w:hAnsi="Arial"/>
      <w:b/>
      <w:bCs/>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character" w:customStyle="1" w:styleId="Heading4Char">
    <w:name w:val="Heading 4 Char"/>
    <w:basedOn w:val="DefaultParagraphFont"/>
    <w:link w:val="Heading4"/>
    <w:rsid w:val="004A3084"/>
    <w:rPr>
      <w:rFonts w:ascii="Arial" w:hAnsi="Arial"/>
      <w:b/>
      <w:bCs/>
      <w:sz w:val="26"/>
      <w:szCs w:val="26"/>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basedOn w:val="DefaultParagraphFont"/>
    <w:link w:val="Heading5"/>
    <w:rsid w:val="00FA639E"/>
    <w:rPr>
      <w:rFonts w:eastAsia="Times New Roman"/>
      <w:b/>
      <w:bCs/>
      <w:color w:val="001523"/>
      <w:sz w:val="26"/>
      <w:szCs w:val="26"/>
      <w:lang w:eastAsia="en-US"/>
    </w:rPr>
  </w:style>
  <w:style w:type="character" w:customStyle="1" w:styleId="Heading6Char">
    <w:name w:val="Heading 6 Char"/>
    <w:basedOn w:val="DefaultParagraphFont"/>
    <w:link w:val="Heading6"/>
    <w:uiPriority w:val="9"/>
    <w:rsid w:val="000D157F"/>
    <w:rPr>
      <w:rFonts w:eastAsia="Times New Roman"/>
      <w:b/>
      <w:bCs/>
      <w:i/>
      <w:sz w:val="22"/>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qFormat/>
    <w:rsid w:val="00A1235B"/>
  </w:style>
  <w:style w:type="paragraph" w:customStyle="1" w:styleId="LegalSubheading">
    <w:name w:val="Legal Subheading"/>
    <w:basedOn w:val="Footer"/>
    <w:rsid w:val="00AF69CB"/>
    <w:pPr>
      <w:outlineLvl w:val="1"/>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A592C"/>
    <w:pPr>
      <w:numPr>
        <w:numId w:val="14"/>
      </w:numPr>
    </w:pPr>
  </w:style>
  <w:style w:type="paragraph" w:styleId="ListBullet2">
    <w:name w:val="List Bullet 2"/>
    <w:basedOn w:val="Normal"/>
    <w:uiPriority w:val="2"/>
    <w:qFormat/>
    <w:rsid w:val="009D059A"/>
    <w:pPr>
      <w:numPr>
        <w:ilvl w:val="1"/>
        <w:numId w:val="14"/>
      </w:numPr>
      <w:ind w:left="850" w:hanging="425"/>
    </w:pPr>
  </w:style>
  <w:style w:type="paragraph" w:styleId="ListBullet3">
    <w:name w:val="List Bullet 3"/>
    <w:basedOn w:val="Normal"/>
    <w:uiPriority w:val="2"/>
    <w:qFormat/>
    <w:rsid w:val="00FA2B8E"/>
    <w:pPr>
      <w:numPr>
        <w:numId w:val="18"/>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qFormat/>
    <w:rsid w:val="00F401EF"/>
    <w:pPr>
      <w:numPr>
        <w:numId w:val="17"/>
      </w:numPr>
    </w:pPr>
  </w:style>
  <w:style w:type="paragraph" w:customStyle="1" w:styleId="Numberbullet2">
    <w:name w:val="Number bullet 2"/>
    <w:basedOn w:val="ListBullet2"/>
    <w:qFormat/>
    <w:rsid w:val="00F401EF"/>
    <w:pPr>
      <w:numPr>
        <w:numId w:val="17"/>
      </w:numPr>
    </w:pPr>
  </w:style>
  <w:style w:type="paragraph" w:customStyle="1" w:styleId="Numberbullet3">
    <w:name w:val="Number bullet 3"/>
    <w:basedOn w:val="Normal"/>
    <w:qFormat/>
    <w:rsid w:val="00FA2B8E"/>
    <w:pPr>
      <w:numPr>
        <w:numId w:val="19"/>
      </w:numPr>
      <w:ind w:left="1361" w:hanging="397"/>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DA24C7"/>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DA24C7"/>
    <w:rPr>
      <w:rFonts w:ascii="Arial" w:eastAsia="Times New Roman" w:hAnsi="Arial"/>
      <w:bCs/>
      <w:iCs/>
      <w:color w:val="006DA7"/>
      <w:sz w:val="40"/>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732FEE"/>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rsid w:val="00AF69CB"/>
    <w:pPr>
      <w:spacing w:after="120"/>
      <w:contextualSpacing/>
      <w:outlineLvl w:val="0"/>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AF69CB"/>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F401E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uiPriority w:val="99"/>
    <w:rsid w:val="00F401EF"/>
    <w:pPr>
      <w:keepLines/>
      <w:spacing w:before="0" w:after="0"/>
    </w:pPr>
    <w:rPr>
      <w:sz w:val="20"/>
    </w:rPr>
  </w:style>
  <w:style w:type="character" w:customStyle="1" w:styleId="FootnoteTextChar">
    <w:name w:val="Footnote Text Char"/>
    <w:basedOn w:val="DefaultParagraphFont"/>
    <w:link w:val="FootnoteText"/>
    <w:uiPriority w:val="99"/>
    <w:rsid w:val="001525B4"/>
    <w:rPr>
      <w:lang w:eastAsia="en-US"/>
    </w:rPr>
  </w:style>
  <w:style w:type="character" w:styleId="FootnoteReference">
    <w:name w:val="footnote reference"/>
    <w:basedOn w:val="DefaultParagraphFont"/>
    <w:uiPriority w:val="99"/>
    <w:unhideWhenUsed/>
    <w:rsid w:val="001525B4"/>
    <w:rPr>
      <w:vertAlign w:val="superscript"/>
    </w:rPr>
  </w:style>
  <w:style w:type="paragraph" w:customStyle="1" w:styleId="NonTOCheading2">
    <w:name w:val="Non TOC heading 2"/>
    <w:basedOn w:val="Normal"/>
    <w:next w:val="Normal"/>
    <w:rsid w:val="00AF69CB"/>
    <w:pPr>
      <w:keepNext/>
      <w:keepLines/>
      <w:pageBreakBefore/>
      <w:spacing w:before="0"/>
      <w:outlineLvl w:val="1"/>
    </w:pPr>
    <w:rPr>
      <w:rFonts w:ascii="Arial" w:hAnsi="Arial"/>
      <w:b/>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56B9D"/>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56B9D"/>
    <w:pPr>
      <w:keepNext/>
    </w:pPr>
    <w:rPr>
      <w:b/>
    </w:rPr>
  </w:style>
  <w:style w:type="paragraph" w:styleId="TOC4">
    <w:name w:val="toc 4"/>
    <w:basedOn w:val="Normal"/>
    <w:next w:val="Normal"/>
    <w:autoRedefine/>
    <w:uiPriority w:val="39"/>
    <w:semiHidden/>
    <w:unhideWhenUsed/>
    <w:rsid w:val="00F401EF"/>
    <w:pPr>
      <w:tabs>
        <w:tab w:val="right" w:leader="hyphen" w:pos="8505"/>
      </w:tabs>
      <w:spacing w:after="100"/>
      <w:ind w:left="1276"/>
    </w:pPr>
  </w:style>
  <w:style w:type="paragraph" w:styleId="TOC5">
    <w:name w:val="toc 5"/>
    <w:basedOn w:val="Normal"/>
    <w:next w:val="Normal"/>
    <w:autoRedefine/>
    <w:uiPriority w:val="39"/>
    <w:semiHidden/>
    <w:unhideWhenUsed/>
    <w:rsid w:val="00F401EF"/>
    <w:pPr>
      <w:tabs>
        <w:tab w:val="right" w:leader="dot" w:pos="8505"/>
      </w:tabs>
      <w:spacing w:after="100"/>
      <w:ind w:left="1701"/>
    </w:pPr>
    <w:rPr>
      <w:noProof/>
    </w:rPr>
  </w:style>
  <w:style w:type="paragraph" w:styleId="TOC6">
    <w:name w:val="toc 6"/>
    <w:basedOn w:val="Normal"/>
    <w:next w:val="Normal"/>
    <w:autoRedefine/>
    <w:uiPriority w:val="39"/>
    <w:semiHidden/>
    <w:unhideWhenUsed/>
    <w:rsid w:val="00F401EF"/>
    <w:pPr>
      <w:tabs>
        <w:tab w:val="right" w:pos="8505"/>
      </w:tabs>
      <w:spacing w:after="100"/>
      <w:ind w:left="2126"/>
    </w:pPr>
  </w:style>
  <w:style w:type="paragraph" w:styleId="TOC7">
    <w:name w:val="toc 7"/>
    <w:basedOn w:val="Normal"/>
    <w:next w:val="Normal"/>
    <w:autoRedefine/>
    <w:uiPriority w:val="39"/>
    <w:semiHidden/>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unhideWhenUsed/>
    <w:rsid w:val="0045040C"/>
    <w:pPr>
      <w:spacing w:line="240" w:lineRule="auto"/>
    </w:pPr>
    <w:rPr>
      <w:sz w:val="20"/>
    </w:rPr>
  </w:style>
  <w:style w:type="character" w:customStyle="1" w:styleId="CommentTextChar">
    <w:name w:val="Comment Text Char"/>
    <w:basedOn w:val="DefaultParagraphFont"/>
    <w:link w:val="CommentText"/>
    <w:uiPriority w:val="99"/>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ListBullet-dotick">
    <w:name w:val="List Bullet - do (tick)"/>
    <w:basedOn w:val="ListBullet"/>
    <w:autoRedefine/>
    <w:uiPriority w:val="1"/>
    <w:qFormat/>
    <w:rsid w:val="00030D34"/>
    <w:pPr>
      <w:numPr>
        <w:numId w:val="20"/>
      </w:numPr>
      <w:tabs>
        <w:tab w:val="left" w:pos="425"/>
      </w:tabs>
    </w:pPr>
  </w:style>
  <w:style w:type="paragraph" w:customStyle="1" w:styleId="ListBullet-donotcross">
    <w:name w:val="List Bullet - do not (cross)"/>
    <w:basedOn w:val="ListBullet"/>
    <w:autoRedefine/>
    <w:uiPriority w:val="1"/>
    <w:qFormat/>
    <w:rsid w:val="00030D34"/>
    <w:pPr>
      <w:numPr>
        <w:numId w:val="21"/>
      </w:numPr>
      <w:ind w:left="357" w:hanging="357"/>
    </w:pPr>
    <w:rPr>
      <w:rFonts w:eastAsiaTheme="minorHAnsi" w:cstheme="minorBidi"/>
      <w:szCs w:val="22"/>
    </w:rPr>
  </w:style>
  <w:style w:type="paragraph" w:customStyle="1" w:styleId="TableTitle0">
    <w:name w:val="Table Title"/>
    <w:basedOn w:val="Normal"/>
    <w:qFormat/>
    <w:rsid w:val="0055465C"/>
    <w:pPr>
      <w:keepNext/>
      <w:spacing w:before="180"/>
    </w:pPr>
    <w:rPr>
      <w:b/>
      <w:sz w:val="20"/>
      <w:szCs w:val="22"/>
    </w:rPr>
  </w:style>
  <w:style w:type="paragraph" w:styleId="ListParagraph">
    <w:name w:val="List Paragraph"/>
    <w:basedOn w:val="Normal"/>
    <w:uiPriority w:val="34"/>
    <w:qFormat/>
    <w:rsid w:val="007A13A1"/>
    <w:pPr>
      <w:spacing w:before="180"/>
      <w:ind w:left="720"/>
      <w:contextualSpacing/>
    </w:pPr>
    <w:rPr>
      <w:szCs w:val="22"/>
    </w:rPr>
  </w:style>
  <w:style w:type="table" w:customStyle="1" w:styleId="TableTGAblue2">
    <w:name w:val="Table TGA blue2"/>
    <w:basedOn w:val="TableNormal"/>
    <w:uiPriority w:val="99"/>
    <w:qFormat/>
    <w:rsid w:val="007A13A1"/>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tga.gov.au/legislation-legislative-instruments" TargetMode="External"/><Relationship Id="rId117" Type="http://schemas.openxmlformats.org/officeDocument/2006/relationships/hyperlink" Target="https://www.tga.gov.au/resource/literature-based-submissions-listed-medicines-and-registered-complementary-medicines" TargetMode="External"/><Relationship Id="rId21" Type="http://schemas.openxmlformats.org/officeDocument/2006/relationships/hyperlink" Target="https://www.tga.gov.au/publication/required-advisory-statements-medicine-labels-rasml" TargetMode="External"/><Relationship Id="rId42" Type="http://schemas.openxmlformats.org/officeDocument/2006/relationships/hyperlink" Target="https://www.tga.gov.au/legislation-legislative-instruments" TargetMode="External"/><Relationship Id="rId47" Type="http://schemas.openxmlformats.org/officeDocument/2006/relationships/hyperlink" Target="https://www.tga.gov.au/legislation-legislative-instruments" TargetMode="External"/><Relationship Id="rId63" Type="http://schemas.openxmlformats.org/officeDocument/2006/relationships/hyperlink" Target="https://www.tga.gov.au/transmissible-spongiform-encephalopathies-tse-tga-approach-minimising-risk-exposure" TargetMode="External"/><Relationship Id="rId68" Type="http://schemas.openxmlformats.org/officeDocument/2006/relationships/hyperlink" Target="https://www.tga.gov.au/therapeutic-goods-determinations" TargetMode="External"/><Relationship Id="rId84" Type="http://schemas.openxmlformats.org/officeDocument/2006/relationships/hyperlink" Target="https://www.tga.gov.au/publication/supplier-assessment-approval-and-qualification-listed-and-complementary-medicines" TargetMode="External"/><Relationship Id="rId89" Type="http://schemas.openxmlformats.org/officeDocument/2006/relationships/hyperlink" Target="https://www.tga.gov.au/therapeutic-goods-determinations" TargetMode="External"/><Relationship Id="rId112" Type="http://schemas.openxmlformats.org/officeDocument/2006/relationships/hyperlink" Target="https://www.tga.gov.au/pharmacovigilance-inspection-program" TargetMode="External"/><Relationship Id="rId16" Type="http://schemas.openxmlformats.org/officeDocument/2006/relationships/hyperlink" Target="https://www.tga.gov.au/australian-register-therapeutic-goods" TargetMode="External"/><Relationship Id="rId107" Type="http://schemas.openxmlformats.org/officeDocument/2006/relationships/hyperlink" Target="https://www.tga.gov.au/publication/guidance-requesting-reconsideration-initial-decision" TargetMode="External"/><Relationship Id="rId11" Type="http://schemas.openxmlformats.org/officeDocument/2006/relationships/footer" Target="footer2.xml"/><Relationship Id="rId32" Type="http://schemas.openxmlformats.org/officeDocument/2006/relationships/hyperlink" Target="https://defence.gov.au/ExportControls/CustomsAct.asp" TargetMode="External"/><Relationship Id="rId37" Type="http://schemas.openxmlformats.org/officeDocument/2006/relationships/hyperlink" Target="http://consumerlaw.gov.au/" TargetMode="External"/><Relationship Id="rId53" Type="http://schemas.openxmlformats.org/officeDocument/2006/relationships/hyperlink" Target="https://www.tga.gov.au/legislation-legislative-instruments" TargetMode="External"/><Relationship Id="rId58" Type="http://schemas.openxmlformats.org/officeDocument/2006/relationships/hyperlink" Target="https://www.tga.gov.au/resource/quality-listed-medicines" TargetMode="External"/><Relationship Id="rId74" Type="http://schemas.openxmlformats.org/officeDocument/2006/relationships/hyperlink" Target="https://www.tga.gov.au/legislation-legislative-instruments" TargetMode="External"/><Relationship Id="rId79" Type="http://schemas.openxmlformats.org/officeDocument/2006/relationships/hyperlink" Target="https://www.tga.gov.au/publication/poisons-standard-susmp" TargetMode="External"/><Relationship Id="rId102" Type="http://schemas.openxmlformats.org/officeDocument/2006/relationships/hyperlink" Target="https://www.tga.gov.au/resource/general-guidance-listed-medicines" TargetMode="External"/><Relationship Id="rId123" Type="http://schemas.openxmlformats.org/officeDocument/2006/relationships/footer" Target="footer3.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tga.gov.au/therapeutic-goods-determinations" TargetMode="External"/><Relationship Id="rId95" Type="http://schemas.openxmlformats.org/officeDocument/2006/relationships/hyperlink" Target="https://www.tga.gov.au/resource/applications-registered-complementary-medicines" TargetMode="External"/><Relationship Id="rId19" Type="http://schemas.openxmlformats.org/officeDocument/2006/relationships/hyperlink" Target="https://www.tga.gov.au/legislation-legislative-instruments" TargetMode="External"/><Relationship Id="rId14" Type="http://schemas.openxmlformats.org/officeDocument/2006/relationships/hyperlink" Target="https://www.tga.gov.au/publication/australian-regulatory-guidelines-complementary-medicines-argcm" TargetMode="External"/><Relationship Id="rId22" Type="http://schemas.openxmlformats.org/officeDocument/2006/relationships/hyperlink" Target="https://www.tga.gov.au/therapeutic-goods-determinations" TargetMode="External"/><Relationship Id="rId27" Type="http://schemas.openxmlformats.org/officeDocument/2006/relationships/hyperlink" Target="https://www.tga.gov.au/compliance-ministerial-and-default-standards" TargetMode="External"/><Relationship Id="rId30" Type="http://schemas.openxmlformats.org/officeDocument/2006/relationships/hyperlink" Target="https://www.tga.gov.au/form/application-consent-import-supply-or-export-goods-do-not-comply-standards-section-1414a" TargetMode="External"/><Relationship Id="rId35" Type="http://schemas.openxmlformats.org/officeDocument/2006/relationships/hyperlink" Target="http://www.ogtr.gov.au/internet/ogtr/publishing.nsf/content/legislation-2" TargetMode="External"/><Relationship Id="rId43" Type="http://schemas.openxmlformats.org/officeDocument/2006/relationships/hyperlink" Target="http://www.bgbm.org/iapt/nomenclature/code/SaintLouis/0001ICSLContents.htm" TargetMode="External"/><Relationship Id="rId48" Type="http://schemas.openxmlformats.org/officeDocument/2006/relationships/hyperlink" Target="https://www.tga.gov.au/publication/device-medicine-boundary-products" TargetMode="External"/><Relationship Id="rId56" Type="http://schemas.openxmlformats.org/officeDocument/2006/relationships/hyperlink" Target="https://www.tga.gov.au/form/notification-new-proprietary-ingredient" TargetMode="External"/><Relationship Id="rId64" Type="http://schemas.openxmlformats.org/officeDocument/2006/relationships/hyperlink" Target="https://www.tga.gov.au/form/pre-clearance-application-animal-derived-ingredients" TargetMode="External"/><Relationship Id="rId69" Type="http://schemas.openxmlformats.org/officeDocument/2006/relationships/hyperlink" Target="https://www.tga.gov.au/publication/tga-approved-terminology-medicines" TargetMode="External"/><Relationship Id="rId77" Type="http://schemas.openxmlformats.org/officeDocument/2006/relationships/hyperlink" Target="https://www.tga.gov.au/legislation-legislative-instruments" TargetMode="External"/><Relationship Id="rId100" Type="http://schemas.openxmlformats.org/officeDocument/2006/relationships/hyperlink" Target="https://www.tga.gov.au/publication/therapeutic-product-vigilance" TargetMode="External"/><Relationship Id="rId105" Type="http://schemas.openxmlformats.org/officeDocument/2006/relationships/hyperlink" Target="https://www.tga.gov.au/publication/australian-regulatory-guidelines-medical-devices-argmd" TargetMode="External"/><Relationship Id="rId113" Type="http://schemas.openxmlformats.org/officeDocument/2006/relationships/hyperlink" Target="https://www.tga.gov.au/listed-medicine-compliance-reviews" TargetMode="External"/><Relationship Id="rId118" Type="http://schemas.openxmlformats.org/officeDocument/2006/relationships/hyperlink" Target="https://www.tga.gov.au/resource/quality-listed-medicines" TargetMode="External"/><Relationship Id="rId126"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www.nicnas.gov.au/cosmetics-and-soaps/cosmetics-and-therapeutic-goods" TargetMode="External"/><Relationship Id="rId72" Type="http://schemas.openxmlformats.org/officeDocument/2006/relationships/hyperlink" Target="https://www.tga.gov.au/legislation-legislative-instruments" TargetMode="External"/><Relationship Id="rId80" Type="http://schemas.openxmlformats.org/officeDocument/2006/relationships/hyperlink" Target="https://www.tga.gov.au/good-manufacturing-practice-overview" TargetMode="External"/><Relationship Id="rId85" Type="http://schemas.openxmlformats.org/officeDocument/2006/relationships/hyperlink" Target="https://www.tga.gov.au/legislation-legislative-instruments" TargetMode="External"/><Relationship Id="rId93" Type="http://schemas.openxmlformats.org/officeDocument/2006/relationships/hyperlink" Target="https://www.tga.gov.au/resource/general-guidance-listed-medicines" TargetMode="External"/><Relationship Id="rId98" Type="http://schemas.openxmlformats.org/officeDocument/2006/relationships/hyperlink" Target="https://www.tga.gov.au/therapeutic-goods-determinations" TargetMode="External"/><Relationship Id="rId121" Type="http://schemas.openxmlformats.org/officeDocument/2006/relationships/hyperlink" Target="https://www.tga.gov.au/publication/supplier-assessment-approval-and-qualification-listed-and-complementary-medicines" TargetMode="External"/><Relationship Id="rId3" Type="http://schemas.openxmlformats.org/officeDocument/2006/relationships/styles" Target="styles.xml"/><Relationship Id="rId12" Type="http://schemas.openxmlformats.org/officeDocument/2006/relationships/hyperlink" Target="mailto:tga.copyright@tga.gov.au" TargetMode="External"/><Relationship Id="rId17" Type="http://schemas.openxmlformats.org/officeDocument/2006/relationships/chart" Target="charts/chart1.xml"/><Relationship Id="rId25" Type="http://schemas.openxmlformats.org/officeDocument/2006/relationships/hyperlink" Target="https://www.tga.gov.au/publication/therapeutic-goods-advertising-code" TargetMode="External"/><Relationship Id="rId33" Type="http://schemas.openxmlformats.org/officeDocument/2006/relationships/hyperlink" Target="https://www.nicnas.gov.au/about-us/what-we-do" TargetMode="External"/><Relationship Id="rId38" Type="http://schemas.openxmlformats.org/officeDocument/2006/relationships/hyperlink" Target="http://consumerlaw.gov.au/" TargetMode="External"/><Relationship Id="rId46" Type="http://schemas.openxmlformats.org/officeDocument/2006/relationships/hyperlink" Target="https://www.tga.gov.au/sme-assist/my-product-therapeutic-good" TargetMode="External"/><Relationship Id="rId59" Type="http://schemas.openxmlformats.org/officeDocument/2006/relationships/hyperlink" Target="https://www.tga.gov.au/publication/supplier-assessment-approval-and-qualification-listed-and-complementary-medicines" TargetMode="External"/><Relationship Id="rId67" Type="http://schemas.openxmlformats.org/officeDocument/2006/relationships/hyperlink" Target="https://www.tga.gov.au/publication/tga-approved-terminology-medicines" TargetMode="External"/><Relationship Id="rId103" Type="http://schemas.openxmlformats.org/officeDocument/2006/relationships/hyperlink" Target="https://www.tga.gov.au/resource/applications-registered-complementary-medicines" TargetMode="External"/><Relationship Id="rId108" Type="http://schemas.openxmlformats.org/officeDocument/2006/relationships/hyperlink" Target="https://www.tga.gov.au/australian-requirements-and-recommendations-pharmacovigilance-responsibilities-sponsors-medicines" TargetMode="External"/><Relationship Id="rId116" Type="http://schemas.openxmlformats.org/officeDocument/2006/relationships/hyperlink" Target="https://www.tga.gov.au/publication/australian-regulatory-guidelines-complementary-medicines-argcm" TargetMode="External"/><Relationship Id="rId124" Type="http://schemas.openxmlformats.org/officeDocument/2006/relationships/hyperlink" Target="mailto:info@tga.gov.au" TargetMode="External"/><Relationship Id="rId129" Type="http://schemas.openxmlformats.org/officeDocument/2006/relationships/theme" Target="theme/theme1.xml"/><Relationship Id="rId20" Type="http://schemas.openxmlformats.org/officeDocument/2006/relationships/hyperlink" Target="https://www.tga.gov.au/legislation-legislative-instruments" TargetMode="External"/><Relationship Id="rId41" Type="http://schemas.openxmlformats.org/officeDocument/2006/relationships/hyperlink" Target="https://www.tga.gov.au/legislation-legislative-instruments" TargetMode="External"/><Relationship Id="rId54" Type="http://schemas.openxmlformats.org/officeDocument/2006/relationships/hyperlink" Target="https://www.tga.gov.au/legislation-legislative-instruments" TargetMode="External"/><Relationship Id="rId62" Type="http://schemas.openxmlformats.org/officeDocument/2006/relationships/hyperlink" Target="https://www.tga.gov.au/guidance-10-adventitious-agent-safety-medicines" TargetMode="External"/><Relationship Id="rId70" Type="http://schemas.openxmlformats.org/officeDocument/2006/relationships/hyperlink" Target="https://www.tga.gov.au/publication/tga-approved-terminology-medicines" TargetMode="External"/><Relationship Id="rId75" Type="http://schemas.openxmlformats.org/officeDocument/2006/relationships/hyperlink" Target="https://www.tga.gov.au/legislation-legislative-instruments" TargetMode="External"/><Relationship Id="rId83" Type="http://schemas.openxmlformats.org/officeDocument/2006/relationships/hyperlink" Target="https://www.tga.gov.au/legislation-legislative-instruments" TargetMode="External"/><Relationship Id="rId88" Type="http://schemas.openxmlformats.org/officeDocument/2006/relationships/hyperlink" Target="https://www.tga.gov.au/legislation-legislative-instruments" TargetMode="External"/><Relationship Id="rId91" Type="http://schemas.openxmlformats.org/officeDocument/2006/relationships/hyperlink" Target="https://www.tga.gov.au/australian-register-therapeutic-goods" TargetMode="External"/><Relationship Id="rId96" Type="http://schemas.openxmlformats.org/officeDocument/2006/relationships/hyperlink" Target="https://www.tga.gov.au/therapeutic-goods-determinations" TargetMode="External"/><Relationship Id="rId111" Type="http://schemas.openxmlformats.org/officeDocument/2006/relationships/hyperlink" Target="https://www.tga.gov.au/publication/therapeutic-product-vigilan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standards-guidelines-publications-complementary-medicines" TargetMode="External"/><Relationship Id="rId23" Type="http://schemas.openxmlformats.org/officeDocument/2006/relationships/hyperlink" Target="https://www.tga.gov.au/therapeutic-goods-determinations" TargetMode="External"/><Relationship Id="rId28" Type="http://schemas.openxmlformats.org/officeDocument/2006/relationships/hyperlink" Target="https://www.tga.gov.au/therapeutic-goods-orders" TargetMode="External"/><Relationship Id="rId36" Type="http://schemas.openxmlformats.org/officeDocument/2006/relationships/hyperlink" Target="http://www.ogtr.gov.au/internet/ogtr/publishing.nsf/content/legislation-2" TargetMode="External"/><Relationship Id="rId49" Type="http://schemas.openxmlformats.org/officeDocument/2006/relationships/hyperlink" Target="https://www.tga.gov.au/orders-goods-are-therapeutic-goods" TargetMode="External"/><Relationship Id="rId57" Type="http://schemas.openxmlformats.org/officeDocument/2006/relationships/hyperlink" Target="https://www.tga.gov.au/therapeutic-goods-determinations" TargetMode="External"/><Relationship Id="rId106" Type="http://schemas.openxmlformats.org/officeDocument/2006/relationships/hyperlink" Target="https://www.tga.gov.au/schedule-fees-and-charges" TargetMode="External"/><Relationship Id="rId114" Type="http://schemas.openxmlformats.org/officeDocument/2006/relationships/hyperlink" Target="https://www.tga.gov.au/advertising-hub" TargetMode="External"/><Relationship Id="rId119" Type="http://schemas.openxmlformats.org/officeDocument/2006/relationships/hyperlink" Target="https://www.tga.gov.au/resource/changing-listed-or-assessed-listed-medicine-application-levels-and-change-tables" TargetMode="External"/><Relationship Id="rId127" Type="http://schemas.openxmlformats.org/officeDocument/2006/relationships/footer" Target="footer4.xml"/><Relationship Id="rId10" Type="http://schemas.openxmlformats.org/officeDocument/2006/relationships/header" Target="header2.xml"/><Relationship Id="rId31" Type="http://schemas.openxmlformats.org/officeDocument/2006/relationships/hyperlink" Target="https://www.tga.gov.au/standards-guidelines-publications-complementary-medicines" TargetMode="External"/><Relationship Id="rId44" Type="http://schemas.openxmlformats.org/officeDocument/2006/relationships/hyperlink" Target="https://www.nicnas.gov.au/" TargetMode="External"/><Relationship Id="rId52" Type="http://schemas.openxmlformats.org/officeDocument/2006/relationships/hyperlink" Target="https://www.tga.gov.au/excluded-goods-orders" TargetMode="External"/><Relationship Id="rId60" Type="http://schemas.openxmlformats.org/officeDocument/2006/relationships/hyperlink" Target="https://www.homeaffairs.gov.au/" TargetMode="External"/><Relationship Id="rId65" Type="http://schemas.openxmlformats.org/officeDocument/2006/relationships/hyperlink" Target="https://www.tga.gov.au/other-terminology-describe-medicines" TargetMode="External"/><Relationship Id="rId73" Type="http://schemas.openxmlformats.org/officeDocument/2006/relationships/hyperlink" Target="https://www.tga.gov.au/legislation-legislative-instruments" TargetMode="External"/><Relationship Id="rId78" Type="http://schemas.openxmlformats.org/officeDocument/2006/relationships/hyperlink" Target="https://www.tga.gov.au/legislation-legislative-instruments" TargetMode="External"/><Relationship Id="rId81" Type="http://schemas.openxmlformats.org/officeDocument/2006/relationships/hyperlink" Target="https://www.tga.gov.au/therapeutic-goods-orders" TargetMode="External"/><Relationship Id="rId86" Type="http://schemas.openxmlformats.org/officeDocument/2006/relationships/hyperlink" Target="https://www.tga.gov.au/good-manufacturing-practice-overview" TargetMode="External"/><Relationship Id="rId94" Type="http://schemas.openxmlformats.org/officeDocument/2006/relationships/hyperlink" Target="https://www.tga.gov.au/resource/general-guidance-listed-medicines" TargetMode="External"/><Relationship Id="rId99" Type="http://schemas.openxmlformats.org/officeDocument/2006/relationships/hyperlink" Target="https://www.tga.gov.au/therapeutic-goods-determinations" TargetMode="External"/><Relationship Id="rId101" Type="http://schemas.openxmlformats.org/officeDocument/2006/relationships/hyperlink" Target="https://www.tga.gov.au/book-page/part-4-restricted-representations-and-prohibited-representations" TargetMode="External"/><Relationship Id="rId12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www.legislation.gov.au/" TargetMode="External"/><Relationship Id="rId39" Type="http://schemas.openxmlformats.org/officeDocument/2006/relationships/hyperlink" Target="https://www.ntc.gov.au/heavy-vehicles/safety/australian-dangerous-goods-code/" TargetMode="External"/><Relationship Id="rId109" Type="http://schemas.openxmlformats.org/officeDocument/2006/relationships/hyperlink" Target="https://www.tga.gov.au/tgas-risk-management-approach" TargetMode="External"/><Relationship Id="rId34" Type="http://schemas.openxmlformats.org/officeDocument/2006/relationships/hyperlink" Target="https://www.australia.gov.au/directories/australia/nicnas" TargetMode="External"/><Relationship Id="rId50" Type="http://schemas.openxmlformats.org/officeDocument/2006/relationships/hyperlink" Target="https://www.tga.gov.au/food-medicine-interface-guidance-tool-fmigt" TargetMode="External"/><Relationship Id="rId55" Type="http://schemas.openxmlformats.org/officeDocument/2006/relationships/hyperlink" Target="https://www.tga.gov.au/streamlining-proprietary-ingredient-categories" TargetMode="External"/><Relationship Id="rId76" Type="http://schemas.openxmlformats.org/officeDocument/2006/relationships/hyperlink" Target="https://www.ahpra.gov.au/" TargetMode="External"/><Relationship Id="rId97" Type="http://schemas.openxmlformats.org/officeDocument/2006/relationships/hyperlink" Target="https://www.tga.gov.au/therapeutic-goods-determinations" TargetMode="External"/><Relationship Id="rId104" Type="http://schemas.openxmlformats.org/officeDocument/2006/relationships/hyperlink" Target="https://www.tga.gov.au/legislation-legislative-instruments" TargetMode="External"/><Relationship Id="rId120" Type="http://schemas.openxmlformats.org/officeDocument/2006/relationships/hyperlink" Target="https://www.tga.gov.au/resource/changing-registered-complementary-medicine-rcm-application-levels-and-changes-tables" TargetMode="External"/><Relationship Id="rId125" Type="http://schemas.openxmlformats.org/officeDocument/2006/relationships/hyperlink" Target="https://www.tga.gov.au" TargetMode="External"/><Relationship Id="rId7" Type="http://schemas.openxmlformats.org/officeDocument/2006/relationships/endnotes" Target="endnotes.xml"/><Relationship Id="rId71" Type="http://schemas.openxmlformats.org/officeDocument/2006/relationships/hyperlink" Target="https://www.ebs.tga.gov.au/" TargetMode="External"/><Relationship Id="rId92" Type="http://schemas.openxmlformats.org/officeDocument/2006/relationships/hyperlink" Target="https://www.tga.gov.au/pathways-complementary-medicine-products-0" TargetMode="External"/><Relationship Id="rId2" Type="http://schemas.openxmlformats.org/officeDocument/2006/relationships/numbering" Target="numbering.xml"/><Relationship Id="rId29" Type="http://schemas.openxmlformats.org/officeDocument/2006/relationships/hyperlink" Target="https://www.tga.gov.au/consent-import-supply-or-export-therapeutic-goods-do-not-comply-standards-information-industry" TargetMode="External"/><Relationship Id="rId24" Type="http://schemas.openxmlformats.org/officeDocument/2006/relationships/hyperlink" Target="https://www.tga.gov.au/publication/poisons-standard-susmp" TargetMode="External"/><Relationship Id="rId40" Type="http://schemas.openxmlformats.org/officeDocument/2006/relationships/hyperlink" Target="https://www.tga.gov.au/legislation-legislative-instruments" TargetMode="External"/><Relationship Id="rId45" Type="http://schemas.openxmlformats.org/officeDocument/2006/relationships/hyperlink" Target="https://www.tga.gov.au/publication/poisons-standard-susmp" TargetMode="External"/><Relationship Id="rId66" Type="http://schemas.openxmlformats.org/officeDocument/2006/relationships/hyperlink" Target="https://www.ebs.tga.gov.au/" TargetMode="External"/><Relationship Id="rId87" Type="http://schemas.openxmlformats.org/officeDocument/2006/relationships/hyperlink" Target="https://www.tga.gov.au/publication/supplier-assessment-approval-and-qualification-listed-and-complementary-medicines" TargetMode="External"/><Relationship Id="rId110" Type="http://schemas.openxmlformats.org/officeDocument/2006/relationships/hyperlink" Target="https://www.tga.gov.au/tga-regulatory-framework" TargetMode="External"/><Relationship Id="rId115" Type="http://schemas.openxmlformats.org/officeDocument/2006/relationships/hyperlink" Target="https://www.tga.gov.au/about-recall-actions" TargetMode="External"/><Relationship Id="rId61" Type="http://schemas.openxmlformats.org/officeDocument/2006/relationships/hyperlink" Target="http://www.ogtr.gov.au/" TargetMode="External"/><Relationship Id="rId82" Type="http://schemas.openxmlformats.org/officeDocument/2006/relationships/hyperlink" Target="https://www.tga.gov.au/publication/therapeutic-goods-advertising-cod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dLbls>
          <c:showLegendKey val="0"/>
          <c:showVal val="0"/>
          <c:showCatName val="0"/>
          <c:showSerName val="0"/>
          <c:showPercent val="0"/>
          <c:showBubbleSize val="0"/>
          <c:showLeaderLines val="0"/>
        </c:dLbls>
        <c:firstSliceAng val="0"/>
      </c:pieChart>
    </c:plotArea>
    <c:legend>
      <c:legendPos val="r"/>
      <c:layout/>
      <c:overlay val="0"/>
    </c:legend>
    <c:plotVisOnly val="1"/>
    <c:dispBlanksAs val="gap"/>
    <c:showDLblsOverMax val="0"/>
  </c:chart>
  <c:spPr>
    <a:ln>
      <a:noFill/>
    </a:ln>
  </c:spPr>
  <c:txPr>
    <a:bodyPr/>
    <a:lstStyle/>
    <a:p>
      <a:pPr>
        <a:defRPr b="0">
          <a:solidFill>
            <a:schemeClr val="accent6">
              <a:lumMod val="40000"/>
              <a:lumOff val="60000"/>
            </a:schemeClr>
          </a:solidFil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0.09921</cdr:x>
      <cdr:y>0.12326</cdr:y>
    </cdr:from>
    <cdr:to>
      <cdr:x>0.45833</cdr:x>
      <cdr:y>0.84201</cdr:y>
    </cdr:to>
    <cdr:sp macro="" textlink="">
      <cdr:nvSpPr>
        <cdr:cNvPr id="2" name="Rectangle 1" descr="The majority complementary medicines are listed in the ARTG.&#10;The majority of OTC medicines are registered in the ARTG.&#10;All prescription medicines are registered in the ARTG." title="Diagram A1: Different medicine types that are regulated as listed or registered medicines"/>
        <cdr:cNvSpPr/>
      </cdr:nvSpPr>
      <cdr:spPr>
        <a:xfrm xmlns:a="http://schemas.openxmlformats.org/drawingml/2006/main">
          <a:off x="544306" y="450850"/>
          <a:ext cx="1970276" cy="2628900"/>
        </a:xfrm>
        <a:prstGeom xmlns:a="http://schemas.openxmlformats.org/drawingml/2006/main" prst="rect">
          <a:avLst/>
        </a:prstGeom>
        <a:solidFill xmlns:a="http://schemas.openxmlformats.org/drawingml/2006/main">
          <a:schemeClr val="accent5">
            <a:lumMod val="25000"/>
            <a:lumOff val="75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solidFill>
              <a:schemeClr val="accent5">
                <a:lumMod val="10000"/>
                <a:lumOff val="90000"/>
              </a:schemeClr>
            </a:solidFill>
          </a:endParaRPr>
        </a:p>
      </cdr:txBody>
    </cdr:sp>
  </cdr:relSizeAnchor>
  <cdr:relSizeAnchor xmlns:cdr="http://schemas.openxmlformats.org/drawingml/2006/chartDrawing">
    <cdr:from>
      <cdr:x>0.45496</cdr:x>
      <cdr:y>0.12326</cdr:y>
    </cdr:from>
    <cdr:to>
      <cdr:x>0.82202</cdr:x>
      <cdr:y>0.84201</cdr:y>
    </cdr:to>
    <cdr:sp macro="" textlink="">
      <cdr:nvSpPr>
        <cdr:cNvPr id="3" name="Rectangle 2"/>
        <cdr:cNvSpPr/>
      </cdr:nvSpPr>
      <cdr:spPr>
        <a:xfrm xmlns:a="http://schemas.openxmlformats.org/drawingml/2006/main">
          <a:off x="2496093" y="450850"/>
          <a:ext cx="2013838" cy="2628900"/>
        </a:xfrm>
        <a:prstGeom xmlns:a="http://schemas.openxmlformats.org/drawingml/2006/main" prst="rect">
          <a:avLst/>
        </a:prstGeom>
        <a:solidFill xmlns:a="http://schemas.openxmlformats.org/drawingml/2006/main">
          <a:schemeClr val="accent6">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0.35913</cdr:x>
      <cdr:y>0.38457</cdr:y>
    </cdr:from>
    <cdr:to>
      <cdr:x>0.75556</cdr:x>
      <cdr:y>0.56875</cdr:y>
    </cdr:to>
    <cdr:sp macro="" textlink="">
      <cdr:nvSpPr>
        <cdr:cNvPr id="6" name="Oval 5"/>
        <cdr:cNvSpPr/>
      </cdr:nvSpPr>
      <cdr:spPr>
        <a:xfrm xmlns:a="http://schemas.openxmlformats.org/drawingml/2006/main">
          <a:off x="1970330" y="1406603"/>
          <a:ext cx="2174950" cy="673657"/>
        </a:xfrm>
        <a:prstGeom xmlns:a="http://schemas.openxmlformats.org/drawingml/2006/main" prst="ellipse">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0.46171</cdr:x>
      <cdr:y>0.63006</cdr:y>
    </cdr:from>
    <cdr:to>
      <cdr:x>0.80893</cdr:x>
      <cdr:y>0.81458</cdr:y>
    </cdr:to>
    <cdr:sp macro="" textlink="">
      <cdr:nvSpPr>
        <cdr:cNvPr id="7" name="Oval 6"/>
        <cdr:cNvSpPr/>
      </cdr:nvSpPr>
      <cdr:spPr>
        <a:xfrm xmlns:a="http://schemas.openxmlformats.org/drawingml/2006/main">
          <a:off x="2533120" y="2304520"/>
          <a:ext cx="1904987" cy="674900"/>
        </a:xfrm>
        <a:prstGeom xmlns:a="http://schemas.openxmlformats.org/drawingml/2006/main" prst="ellipse">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0.15013</cdr:x>
      <cdr:y>0.16893</cdr:y>
    </cdr:from>
    <cdr:to>
      <cdr:x>0.5172</cdr:x>
      <cdr:y>0.35601</cdr:y>
    </cdr:to>
    <cdr:sp macro="" textlink="">
      <cdr:nvSpPr>
        <cdr:cNvPr id="8" name="Oval 7"/>
        <cdr:cNvSpPr/>
      </cdr:nvSpPr>
      <cdr:spPr>
        <a:xfrm xmlns:a="http://schemas.openxmlformats.org/drawingml/2006/main">
          <a:off x="823685" y="540657"/>
          <a:ext cx="2013857" cy="598715"/>
        </a:xfrm>
        <a:prstGeom xmlns:a="http://schemas.openxmlformats.org/drawingml/2006/main" prst="ellipse">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0.14682</cdr:x>
      <cdr:y>0.22024</cdr:y>
    </cdr:from>
    <cdr:to>
      <cdr:x>0.5496</cdr:x>
      <cdr:y>0.37585</cdr:y>
    </cdr:to>
    <cdr:sp macro="" textlink="">
      <cdr:nvSpPr>
        <cdr:cNvPr id="9" name="Text Box 8"/>
        <cdr:cNvSpPr txBox="1"/>
      </cdr:nvSpPr>
      <cdr:spPr>
        <a:xfrm xmlns:a="http://schemas.openxmlformats.org/drawingml/2006/main">
          <a:off x="805539" y="805544"/>
          <a:ext cx="2209804" cy="5691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200" b="1"/>
            <a:t>Complementary medicines</a:t>
          </a:r>
        </a:p>
      </cdr:txBody>
    </cdr:sp>
  </cdr:relSizeAnchor>
  <cdr:relSizeAnchor xmlns:cdr="http://schemas.openxmlformats.org/drawingml/2006/chartDrawing">
    <cdr:from>
      <cdr:x>0.1369</cdr:x>
      <cdr:y>0.04082</cdr:y>
    </cdr:from>
    <cdr:to>
      <cdr:x>0.47222</cdr:x>
      <cdr:y>0.11565</cdr:y>
    </cdr:to>
    <cdr:sp macro="" textlink="">
      <cdr:nvSpPr>
        <cdr:cNvPr id="10" name="Text Box 9"/>
        <cdr:cNvSpPr txBox="1"/>
      </cdr:nvSpPr>
      <cdr:spPr>
        <a:xfrm xmlns:a="http://schemas.openxmlformats.org/drawingml/2006/main">
          <a:off x="751115" y="130628"/>
          <a:ext cx="1839686" cy="2394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t>LISTED MEDICINES</a:t>
          </a:r>
        </a:p>
      </cdr:txBody>
    </cdr:sp>
  </cdr:relSizeAnchor>
  <cdr:relSizeAnchor xmlns:cdr="http://schemas.openxmlformats.org/drawingml/2006/chartDrawing">
    <cdr:from>
      <cdr:x>0.47156</cdr:x>
      <cdr:y>0.02948</cdr:y>
    </cdr:from>
    <cdr:to>
      <cdr:x>0.80688</cdr:x>
      <cdr:y>0.10431</cdr:y>
    </cdr:to>
    <cdr:sp macro="" textlink="">
      <cdr:nvSpPr>
        <cdr:cNvPr id="11" name="Text Box 1"/>
        <cdr:cNvSpPr txBox="1"/>
      </cdr:nvSpPr>
      <cdr:spPr>
        <a:xfrm xmlns:a="http://schemas.openxmlformats.org/drawingml/2006/main">
          <a:off x="2587172" y="94342"/>
          <a:ext cx="1839686" cy="239486"/>
        </a:xfrm>
        <a:prstGeom xmlns:a="http://schemas.openxmlformats.org/drawingml/2006/main" prst="rect">
          <a:avLst/>
        </a:prstGeom>
      </cdr:spPr>
    </cdr:sp>
  </cdr:relSizeAnchor>
  <cdr:relSizeAnchor xmlns:cdr="http://schemas.openxmlformats.org/drawingml/2006/chartDrawing">
    <cdr:from>
      <cdr:x>0.47156</cdr:x>
      <cdr:y>0.03288</cdr:y>
    </cdr:from>
    <cdr:to>
      <cdr:x>0.80688</cdr:x>
      <cdr:y>0.10771</cdr:y>
    </cdr:to>
    <cdr:sp macro="" textlink="">
      <cdr:nvSpPr>
        <cdr:cNvPr id="12" name="Text Box 1"/>
        <cdr:cNvSpPr txBox="1"/>
      </cdr:nvSpPr>
      <cdr:spPr>
        <a:xfrm xmlns:a="http://schemas.openxmlformats.org/drawingml/2006/main">
          <a:off x="2587172" y="105228"/>
          <a:ext cx="1839686" cy="239486"/>
        </a:xfrm>
        <a:prstGeom xmlns:a="http://schemas.openxmlformats.org/drawingml/2006/main" prst="rect">
          <a:avLst/>
        </a:prstGeom>
      </cdr:spPr>
    </cdr:sp>
  </cdr:relSizeAnchor>
  <cdr:relSizeAnchor xmlns:cdr="http://schemas.openxmlformats.org/drawingml/2006/chartDrawing">
    <cdr:from>
      <cdr:x>0.49802</cdr:x>
      <cdr:y>0.04762</cdr:y>
    </cdr:from>
    <cdr:to>
      <cdr:x>0.83929</cdr:x>
      <cdr:y>0.11225</cdr:y>
    </cdr:to>
    <cdr:sp macro="" textlink="">
      <cdr:nvSpPr>
        <cdr:cNvPr id="13" name="Text Box 12"/>
        <cdr:cNvSpPr txBox="1"/>
      </cdr:nvSpPr>
      <cdr:spPr>
        <a:xfrm xmlns:a="http://schemas.openxmlformats.org/drawingml/2006/main">
          <a:off x="2732315" y="152400"/>
          <a:ext cx="1872343" cy="2068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t>REGISTERED MEDICINES</a:t>
          </a:r>
        </a:p>
      </cdr:txBody>
    </cdr:sp>
  </cdr:relSizeAnchor>
  <cdr:relSizeAnchor xmlns:cdr="http://schemas.openxmlformats.org/drawingml/2006/chartDrawing">
    <cdr:from>
      <cdr:x>0.3748</cdr:x>
      <cdr:y>0.4364</cdr:y>
    </cdr:from>
    <cdr:to>
      <cdr:x>0.77163</cdr:x>
      <cdr:y>0.52483</cdr:y>
    </cdr:to>
    <cdr:sp macro="" textlink="">
      <cdr:nvSpPr>
        <cdr:cNvPr id="14" name="Text Box 13"/>
        <cdr:cNvSpPr txBox="1"/>
      </cdr:nvSpPr>
      <cdr:spPr>
        <a:xfrm xmlns:a="http://schemas.openxmlformats.org/drawingml/2006/main">
          <a:off x="2056309" y="1596164"/>
          <a:ext cx="2177168" cy="3234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200" b="1"/>
            <a:t>Over-the-counter</a:t>
          </a:r>
          <a:r>
            <a:rPr lang="en-AU" sz="1200" b="1" baseline="0"/>
            <a:t> medicines</a:t>
          </a:r>
          <a:endParaRPr lang="en-AU" sz="1200" b="1"/>
        </a:p>
      </cdr:txBody>
    </cdr:sp>
  </cdr:relSizeAnchor>
  <cdr:relSizeAnchor xmlns:cdr="http://schemas.openxmlformats.org/drawingml/2006/chartDrawing">
    <cdr:from>
      <cdr:x>0.47123</cdr:x>
      <cdr:y>0.68708</cdr:y>
    </cdr:from>
    <cdr:to>
      <cdr:x>0.81449</cdr:x>
      <cdr:y>0.78571</cdr:y>
    </cdr:to>
    <cdr:sp macro="" textlink="">
      <cdr:nvSpPr>
        <cdr:cNvPr id="15" name="Text Box 14"/>
        <cdr:cNvSpPr txBox="1"/>
      </cdr:nvSpPr>
      <cdr:spPr>
        <a:xfrm xmlns:a="http://schemas.openxmlformats.org/drawingml/2006/main">
          <a:off x="2585332" y="2513064"/>
          <a:ext cx="1883262" cy="3607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200" b="1"/>
            <a:t>Prescription medicines</a:t>
          </a:r>
        </a:p>
      </cdr:txBody>
    </cdr:sp>
  </cdr:relSizeAnchor>
  <cdr:relSizeAnchor xmlns:cdr="http://schemas.openxmlformats.org/drawingml/2006/chartDrawing">
    <cdr:from>
      <cdr:x>0.10516</cdr:x>
      <cdr:y>0.84269</cdr:y>
    </cdr:from>
    <cdr:to>
      <cdr:x>0.84524</cdr:x>
      <cdr:y>0.93452</cdr:y>
    </cdr:to>
    <cdr:sp macro="" textlink="">
      <cdr:nvSpPr>
        <cdr:cNvPr id="16" name="Text Box 15"/>
        <cdr:cNvSpPr txBox="1"/>
      </cdr:nvSpPr>
      <cdr:spPr>
        <a:xfrm xmlns:a="http://schemas.openxmlformats.org/drawingml/2006/main">
          <a:off x="576944" y="3082212"/>
          <a:ext cx="4060371" cy="3359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t>Low</a:t>
          </a:r>
          <a:r>
            <a:rPr lang="en-AU" sz="1100" b="1" baseline="0"/>
            <a:t> risk</a:t>
          </a:r>
          <a:endParaRPr lang="en-AU" sz="1100" b="1"/>
        </a:p>
      </cdr:txBody>
    </cdr:sp>
  </cdr:relSizeAnchor>
  <cdr:relSizeAnchor xmlns:cdr="http://schemas.openxmlformats.org/drawingml/2006/chartDrawing">
    <cdr:from>
      <cdr:x>0.56746</cdr:x>
      <cdr:y>0.84524</cdr:y>
    </cdr:from>
    <cdr:to>
      <cdr:x>0.86706</cdr:x>
      <cdr:y>0.92262</cdr:y>
    </cdr:to>
    <cdr:sp macro="" textlink="">
      <cdr:nvSpPr>
        <cdr:cNvPr id="17" name="Text Box 16"/>
        <cdr:cNvSpPr txBox="1"/>
      </cdr:nvSpPr>
      <cdr:spPr>
        <a:xfrm xmlns:a="http://schemas.openxmlformats.org/drawingml/2006/main">
          <a:off x="3113314" y="3091543"/>
          <a:ext cx="1643743" cy="2830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t>High risk</a:t>
          </a:r>
        </a:p>
      </cdr:txBody>
    </cdr:sp>
  </cdr:relSizeAnchor>
  <cdr:relSizeAnchor xmlns:cdr="http://schemas.openxmlformats.org/drawingml/2006/chartDrawing">
    <cdr:from>
      <cdr:x>0.11905</cdr:x>
      <cdr:y>0.91964</cdr:y>
    </cdr:from>
    <cdr:to>
      <cdr:x>0.81548</cdr:x>
      <cdr:y>0.97024</cdr:y>
    </cdr:to>
    <cdr:sp macro="" textlink="">
      <cdr:nvSpPr>
        <cdr:cNvPr id="18" name="Right Arrow 17"/>
        <cdr:cNvSpPr/>
      </cdr:nvSpPr>
      <cdr:spPr>
        <a:xfrm xmlns:a="http://schemas.openxmlformats.org/drawingml/2006/main">
          <a:off x="653143" y="3363686"/>
          <a:ext cx="3820886" cy="185057"/>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9334E-85FE-4BDC-AC9B-634A626C9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166</TotalTime>
  <Pages>25</Pages>
  <Words>8920</Words>
  <Characters>51647</Characters>
  <Application>Microsoft Office Word</Application>
  <DocSecurity>0</DocSecurity>
  <Lines>1201</Lines>
  <Paragraphs>618</Paragraphs>
  <ScaleCrop>false</ScaleCrop>
  <HeadingPairs>
    <vt:vector size="2" baseType="variant">
      <vt:variant>
        <vt:lpstr>Title</vt:lpstr>
      </vt:variant>
      <vt:variant>
        <vt:i4>1</vt:i4>
      </vt:variant>
    </vt:vector>
  </HeadingPairs>
  <TitlesOfParts>
    <vt:vector size="1" baseType="lpstr">
      <vt:lpstr/>
    </vt:vector>
  </TitlesOfParts>
  <Company>TGA</Company>
  <LinksUpToDate>false</LinksUpToDate>
  <CharactersWithSpaces>59949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the regulation of listed medicines and registered complementary medicines</dc:title>
  <dc:subject>complementary medicines</dc:subject>
  <dc:creator>Therapeutic Goods Administration</dc:creator>
  <cp:lastPrinted>2010-12-20T22:59:00Z</cp:lastPrinted>
  <dcterms:created xsi:type="dcterms:W3CDTF">2021-07-18T04:33:00Z</dcterms:created>
  <dcterms:modified xsi:type="dcterms:W3CDTF">2021-07-18T07:28:00Z</dcterms:modified>
</cp:coreProperties>
</file>