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36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5660C" w14:paraId="487E857D" w14:textId="77777777" w:rsidTr="00280EA7">
        <w:tc>
          <w:tcPr>
            <w:tcW w:w="8720" w:type="dxa"/>
          </w:tcPr>
          <w:p w14:paraId="158C7559" w14:textId="76F8A4DB" w:rsidR="0025660C" w:rsidRPr="00077548" w:rsidRDefault="009B574B" w:rsidP="00C962E3">
            <w:pPr>
              <w:pStyle w:val="Title"/>
            </w:pPr>
            <w:r>
              <w:t>Notice of interim</w:t>
            </w:r>
            <w:r w:rsidR="00597B50" w:rsidRPr="00597B50">
              <w:t xml:space="preserve"> decision to amend (or not amend) the current Poisons Standard</w:t>
            </w:r>
          </w:p>
        </w:tc>
      </w:tr>
      <w:tr w:rsidR="0025660C" w14:paraId="3393FE2A" w14:textId="77777777" w:rsidTr="00280EA7">
        <w:trPr>
          <w:trHeight w:val="810"/>
        </w:trPr>
        <w:tc>
          <w:tcPr>
            <w:tcW w:w="8720" w:type="dxa"/>
          </w:tcPr>
          <w:p w14:paraId="38D3E20E" w14:textId="6CA079E7" w:rsidR="0025660C" w:rsidRPr="00077548" w:rsidRDefault="0025660C" w:rsidP="000041AF">
            <w:pPr>
              <w:pStyle w:val="Subtitle"/>
              <w:tabs>
                <w:tab w:val="left" w:pos="5310"/>
              </w:tabs>
              <w:ind w:left="0"/>
            </w:pPr>
          </w:p>
        </w:tc>
      </w:tr>
    </w:tbl>
    <w:p w14:paraId="6D852DDD" w14:textId="77777777" w:rsidR="0025660C" w:rsidRDefault="0025660C" w:rsidP="0025660C">
      <w:pPr>
        <w:sectPr w:rsidR="0025660C" w:rsidSect="00E57B71">
          <w:headerReference w:type="default" r:id="rId8"/>
          <w:footerReference w:type="default" r:id="rId9"/>
          <w:headerReference w:type="first" r:id="rId10"/>
          <w:pgSz w:w="11906" w:h="16838" w:code="9"/>
          <w:pgMar w:top="1134" w:right="1418" w:bottom="1361" w:left="1418" w:header="851" w:footer="768" w:gutter="0"/>
          <w:cols w:space="708"/>
          <w:titlePg/>
          <w:docGrid w:linePitch="360"/>
        </w:sectPr>
      </w:pPr>
      <w:r>
        <w:br w:type="page"/>
      </w:r>
    </w:p>
    <w:p w14:paraId="30F6686F" w14:textId="02FB7BF9" w:rsidR="007907BF" w:rsidRPr="005D4EA1" w:rsidRDefault="007907BF" w:rsidP="007907BF">
      <w:pPr>
        <w:pStyle w:val="LegalSubheading"/>
        <w:pageBreakBefore/>
      </w:pPr>
      <w:r w:rsidRPr="00691723">
        <w:lastRenderedPageBreak/>
        <w:t>Copyright</w:t>
      </w:r>
    </w:p>
    <w:p w14:paraId="781131BA" w14:textId="1061584E" w:rsidR="007907BF" w:rsidRDefault="007907BF" w:rsidP="007016F0">
      <w:pPr>
        <w:pStyle w:val="LegalCopy"/>
      </w:pPr>
      <w:r w:rsidRPr="009401F6">
        <w:t>© Commonwealth of Australia 20</w:t>
      </w:r>
      <w:r w:rsidR="0007120C">
        <w:t>21</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1" w:history="1">
        <w:r w:rsidRPr="009401F6">
          <w:rPr>
            <w:rStyle w:val="Hyperlink"/>
            <w:rFonts w:cs="Arial"/>
          </w:rPr>
          <w:t>tga.copyright@tga.gov.au</w:t>
        </w:r>
      </w:hyperlink>
      <w:r w:rsidRPr="009401F6">
        <w:t>&gt;</w:t>
      </w:r>
      <w:r w:rsidR="00BD0155">
        <w:t>.</w:t>
      </w:r>
    </w:p>
    <w:p w14:paraId="085C67FF" w14:textId="77777777" w:rsidR="007016F0" w:rsidRPr="009401F6" w:rsidRDefault="007016F0" w:rsidP="007016F0">
      <w:pPr>
        <w:pStyle w:val="LegalSubheading"/>
        <w:spacing w:before="240"/>
      </w:pPr>
      <w:r w:rsidRPr="009401F6">
        <w:t>Confidentiality</w:t>
      </w:r>
    </w:p>
    <w:p w14:paraId="5C0E46CD" w14:textId="6484610B" w:rsidR="00CD1899" w:rsidRDefault="007016F0" w:rsidP="007016F0">
      <w:pPr>
        <w:pStyle w:val="LegalCopy"/>
        <w:rPr>
          <w:lang w:eastAsia="en-AU"/>
        </w:rPr>
      </w:pPr>
      <w:r w:rsidRPr="00EB182C">
        <w:rPr>
          <w:lang w:eastAsia="en-AU"/>
        </w:rP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p>
    <w:bookmarkStart w:id="0" w:name="_Toc323740419" w:displacedByCustomXml="next"/>
    <w:bookmarkStart w:id="1" w:name="_Toc328388475" w:displacedByCustomXml="next"/>
    <w:bookmarkStart w:id="2" w:name="_Toc323740418" w:displacedByCustomXml="next"/>
    <w:sdt>
      <w:sdtPr>
        <w:rPr>
          <w:rFonts w:ascii="Arial" w:hAnsi="Arial"/>
          <w:b/>
          <w:sz w:val="20"/>
        </w:rPr>
        <w:id w:val="21514559"/>
        <w:docPartObj>
          <w:docPartGallery w:val="Table of Contents"/>
          <w:docPartUnique/>
        </w:docPartObj>
      </w:sdtPr>
      <w:sdtEndPr>
        <w:rPr>
          <w:rFonts w:ascii="Cambria" w:hAnsi="Cambria"/>
          <w:b w:val="0"/>
        </w:rPr>
      </w:sdtEndPr>
      <w:sdtContent>
        <w:p w14:paraId="3287C88A" w14:textId="77777777" w:rsidR="00CD1899" w:rsidRDefault="0025660C" w:rsidP="00DB4F74">
          <w:pPr>
            <w:pStyle w:val="TOC2"/>
            <w:pageBreakBefore/>
            <w:tabs>
              <w:tab w:val="left" w:pos="851"/>
            </w:tabs>
            <w:rPr>
              <w:rFonts w:asciiTheme="majorHAnsi" w:hAnsiTheme="majorHAnsi" w:cstheme="majorHAnsi"/>
              <w:sz w:val="28"/>
              <w:szCs w:val="28"/>
            </w:rPr>
          </w:pPr>
          <w:r w:rsidRPr="005D16DC">
            <w:rPr>
              <w:rFonts w:asciiTheme="majorHAnsi" w:hAnsiTheme="majorHAnsi" w:cstheme="majorHAnsi"/>
              <w:sz w:val="28"/>
              <w:szCs w:val="28"/>
            </w:rPr>
            <w:t>Contents</w:t>
          </w:r>
        </w:p>
        <w:p w14:paraId="20640FCA" w14:textId="22310E7B" w:rsidR="008E288E" w:rsidRDefault="008D3724">
          <w:pPr>
            <w:pStyle w:val="TOC2"/>
            <w:tabs>
              <w:tab w:val="left" w:pos="851"/>
            </w:tabs>
            <w:rPr>
              <w:rFonts w:asciiTheme="minorHAnsi" w:eastAsiaTheme="minorEastAsia" w:hAnsiTheme="minorHAnsi" w:cstheme="minorBidi"/>
              <w:noProof/>
              <w:szCs w:val="22"/>
              <w:lang w:eastAsia="en-AU"/>
            </w:rPr>
          </w:pPr>
          <w:r>
            <w:rPr>
              <w:sz w:val="32"/>
            </w:rPr>
            <w:fldChar w:fldCharType="begin"/>
          </w:r>
          <w:r>
            <w:rPr>
              <w:sz w:val="32"/>
            </w:rPr>
            <w:instrText xml:space="preserve"> TOC \o "1-3" \h \z \u </w:instrText>
          </w:r>
          <w:r>
            <w:rPr>
              <w:sz w:val="32"/>
            </w:rPr>
            <w:fldChar w:fldCharType="separate"/>
          </w:r>
          <w:hyperlink w:anchor="_Toc77672235" w:history="1">
            <w:r w:rsidR="008E288E" w:rsidRPr="00A37917">
              <w:rPr>
                <w:rStyle w:val="Hyperlink"/>
                <w:noProof/>
              </w:rPr>
              <w:t>1</w:t>
            </w:r>
            <w:r w:rsidR="00DB4F74">
              <w:rPr>
                <w:rFonts w:asciiTheme="minorHAnsi" w:eastAsiaTheme="minorEastAsia" w:hAnsiTheme="minorHAnsi" w:cstheme="minorBidi"/>
                <w:noProof/>
                <w:szCs w:val="22"/>
                <w:lang w:eastAsia="en-AU"/>
              </w:rPr>
              <w:t xml:space="preserve"> </w:t>
            </w:r>
            <w:r w:rsidR="008E288E" w:rsidRPr="00A37917">
              <w:rPr>
                <w:rStyle w:val="Hyperlink"/>
                <w:noProof/>
              </w:rPr>
              <w:t xml:space="preserve">Notice of interim decisions made under Regulation 42ZCZN of the </w:t>
            </w:r>
            <w:r w:rsidR="008E288E" w:rsidRPr="00A37917">
              <w:rPr>
                <w:rStyle w:val="Hyperlink"/>
                <w:i/>
                <w:noProof/>
              </w:rPr>
              <w:t>Therapeutic Goods Regulations 1990</w:t>
            </w:r>
            <w:r w:rsidR="008E288E">
              <w:rPr>
                <w:noProof/>
                <w:webHidden/>
              </w:rPr>
              <w:tab/>
            </w:r>
            <w:r w:rsidR="008E288E">
              <w:rPr>
                <w:noProof/>
                <w:webHidden/>
              </w:rPr>
              <w:fldChar w:fldCharType="begin"/>
            </w:r>
            <w:r w:rsidR="008E288E">
              <w:rPr>
                <w:noProof/>
                <w:webHidden/>
              </w:rPr>
              <w:instrText xml:space="preserve"> PAGEREF _Toc77672235 \h </w:instrText>
            </w:r>
            <w:r w:rsidR="008E288E">
              <w:rPr>
                <w:noProof/>
                <w:webHidden/>
              </w:rPr>
            </w:r>
            <w:r w:rsidR="008E288E">
              <w:rPr>
                <w:noProof/>
                <w:webHidden/>
              </w:rPr>
              <w:fldChar w:fldCharType="separate"/>
            </w:r>
            <w:r w:rsidR="008E288E">
              <w:rPr>
                <w:noProof/>
                <w:webHidden/>
              </w:rPr>
              <w:t>4</w:t>
            </w:r>
            <w:r w:rsidR="008E288E">
              <w:rPr>
                <w:noProof/>
                <w:webHidden/>
              </w:rPr>
              <w:fldChar w:fldCharType="end"/>
            </w:r>
          </w:hyperlink>
        </w:p>
        <w:p w14:paraId="39BE81BD" w14:textId="1B9231A8" w:rsidR="008E288E" w:rsidRDefault="00712043" w:rsidP="00DB4F74">
          <w:pPr>
            <w:pStyle w:val="TOC2"/>
            <w:rPr>
              <w:rFonts w:asciiTheme="minorHAnsi" w:eastAsiaTheme="minorEastAsia" w:hAnsiTheme="minorHAnsi" w:cstheme="minorBidi"/>
              <w:noProof/>
              <w:szCs w:val="22"/>
              <w:lang w:eastAsia="en-AU"/>
            </w:rPr>
          </w:pPr>
          <w:hyperlink w:anchor="_Toc77672236" w:history="1">
            <w:r w:rsidR="008E288E" w:rsidRPr="00A37917">
              <w:rPr>
                <w:rStyle w:val="Hyperlink"/>
                <w:noProof/>
              </w:rPr>
              <w:t>2</w:t>
            </w:r>
            <w:r w:rsidR="00DB4F74">
              <w:rPr>
                <w:rFonts w:asciiTheme="minorHAnsi" w:eastAsiaTheme="minorEastAsia" w:hAnsiTheme="minorHAnsi" w:cstheme="minorBidi"/>
                <w:noProof/>
                <w:szCs w:val="22"/>
                <w:lang w:eastAsia="en-AU"/>
              </w:rPr>
              <w:t xml:space="preserve"> </w:t>
            </w:r>
            <w:r w:rsidR="008E288E" w:rsidRPr="00A37917">
              <w:rPr>
                <w:rStyle w:val="Hyperlink"/>
                <w:noProof/>
              </w:rPr>
              <w:t>Interim decisions on proposed amendments referred to the Advisory Committee on Medicines and Chemicals Scheduling in joint session (Joint ACMS-ACCS #27, March 2021)</w:t>
            </w:r>
            <w:r w:rsidR="008E288E">
              <w:rPr>
                <w:noProof/>
                <w:webHidden/>
              </w:rPr>
              <w:tab/>
            </w:r>
            <w:r w:rsidR="008E288E">
              <w:rPr>
                <w:noProof/>
                <w:webHidden/>
              </w:rPr>
              <w:fldChar w:fldCharType="begin"/>
            </w:r>
            <w:r w:rsidR="008E288E">
              <w:rPr>
                <w:noProof/>
                <w:webHidden/>
              </w:rPr>
              <w:instrText xml:space="preserve"> PAGEREF _Toc77672236 \h </w:instrText>
            </w:r>
            <w:r w:rsidR="008E288E">
              <w:rPr>
                <w:noProof/>
                <w:webHidden/>
              </w:rPr>
            </w:r>
            <w:r w:rsidR="008E288E">
              <w:rPr>
                <w:noProof/>
                <w:webHidden/>
              </w:rPr>
              <w:fldChar w:fldCharType="separate"/>
            </w:r>
            <w:r w:rsidR="008E288E">
              <w:rPr>
                <w:noProof/>
                <w:webHidden/>
              </w:rPr>
              <w:t>5</w:t>
            </w:r>
            <w:r w:rsidR="008E288E">
              <w:rPr>
                <w:noProof/>
                <w:webHidden/>
              </w:rPr>
              <w:fldChar w:fldCharType="end"/>
            </w:r>
          </w:hyperlink>
        </w:p>
        <w:p w14:paraId="5C8402D4" w14:textId="29492A6C" w:rsidR="008E288E" w:rsidRDefault="00712043">
          <w:pPr>
            <w:pStyle w:val="TOC3"/>
            <w:tabs>
              <w:tab w:val="left" w:pos="1701"/>
            </w:tabs>
            <w:rPr>
              <w:rFonts w:asciiTheme="minorHAnsi" w:eastAsiaTheme="minorEastAsia" w:hAnsiTheme="minorHAnsi" w:cstheme="minorBidi"/>
              <w:noProof/>
              <w:sz w:val="22"/>
              <w:szCs w:val="22"/>
              <w:lang w:eastAsia="en-AU"/>
            </w:rPr>
          </w:pPr>
          <w:hyperlink w:anchor="_Toc77672237" w:history="1">
            <w:r w:rsidR="008E288E" w:rsidRPr="00A37917">
              <w:rPr>
                <w:rStyle w:val="Hyperlink"/>
                <w:noProof/>
              </w:rPr>
              <w:t>2.1</w:t>
            </w:r>
            <w:r w:rsidR="008E288E">
              <w:rPr>
                <w:rFonts w:asciiTheme="minorHAnsi" w:eastAsiaTheme="minorEastAsia" w:hAnsiTheme="minorHAnsi" w:cstheme="minorBidi"/>
                <w:noProof/>
                <w:sz w:val="22"/>
                <w:szCs w:val="22"/>
                <w:lang w:eastAsia="en-AU"/>
              </w:rPr>
              <w:tab/>
            </w:r>
            <w:r w:rsidR="008E288E" w:rsidRPr="00A37917">
              <w:rPr>
                <w:rStyle w:val="Hyperlink"/>
                <w:noProof/>
              </w:rPr>
              <w:t>Interim decision in relation to nitrous oxide</w:t>
            </w:r>
            <w:r w:rsidR="008E288E">
              <w:rPr>
                <w:noProof/>
                <w:webHidden/>
              </w:rPr>
              <w:tab/>
            </w:r>
            <w:r w:rsidR="008E288E">
              <w:rPr>
                <w:noProof/>
                <w:webHidden/>
              </w:rPr>
              <w:fldChar w:fldCharType="begin"/>
            </w:r>
            <w:r w:rsidR="008E288E">
              <w:rPr>
                <w:noProof/>
                <w:webHidden/>
              </w:rPr>
              <w:instrText xml:space="preserve"> PAGEREF _Toc77672237 \h </w:instrText>
            </w:r>
            <w:r w:rsidR="008E288E">
              <w:rPr>
                <w:noProof/>
                <w:webHidden/>
              </w:rPr>
            </w:r>
            <w:r w:rsidR="008E288E">
              <w:rPr>
                <w:noProof/>
                <w:webHidden/>
              </w:rPr>
              <w:fldChar w:fldCharType="separate"/>
            </w:r>
            <w:r w:rsidR="008E288E">
              <w:rPr>
                <w:noProof/>
                <w:webHidden/>
              </w:rPr>
              <w:t>5</w:t>
            </w:r>
            <w:r w:rsidR="008E288E">
              <w:rPr>
                <w:noProof/>
                <w:webHidden/>
              </w:rPr>
              <w:fldChar w:fldCharType="end"/>
            </w:r>
          </w:hyperlink>
        </w:p>
        <w:p w14:paraId="7DF331EE" w14:textId="5A6CF0F0" w:rsidR="0025660C" w:rsidRDefault="008D3724" w:rsidP="00C27C24">
          <w:pPr>
            <w:pStyle w:val="TOC3"/>
            <w:tabs>
              <w:tab w:val="left" w:pos="1701"/>
            </w:tabs>
          </w:pPr>
          <w:r>
            <w:rPr>
              <w:sz w:val="32"/>
            </w:rPr>
            <w:fldChar w:fldCharType="end"/>
          </w:r>
        </w:p>
      </w:sdtContent>
    </w:sdt>
    <w:p w14:paraId="3445656D" w14:textId="02F8D56A" w:rsidR="0025660C" w:rsidRPr="009B574B" w:rsidRDefault="00597B50" w:rsidP="00BC2009">
      <w:pPr>
        <w:pStyle w:val="Heading2"/>
        <w:pageBreakBefore/>
        <w:ind w:left="431" w:hanging="431"/>
        <w:rPr>
          <w:i/>
        </w:rPr>
      </w:pPr>
      <w:bookmarkStart w:id="3" w:name="_Toc77672235"/>
      <w:bookmarkEnd w:id="2"/>
      <w:bookmarkEnd w:id="1"/>
      <w:bookmarkEnd w:id="0"/>
      <w:r w:rsidRPr="00597B50">
        <w:lastRenderedPageBreak/>
        <w:t>Not</w:t>
      </w:r>
      <w:r w:rsidR="009B574B">
        <w:t xml:space="preserve">ice of interim decisions made under Regulation 42ZCZN of the </w:t>
      </w:r>
      <w:r w:rsidR="009B574B" w:rsidRPr="009B574B">
        <w:rPr>
          <w:i/>
        </w:rPr>
        <w:t>Therapeutic Goods Regulations 1990</w:t>
      </w:r>
      <w:bookmarkEnd w:id="3"/>
    </w:p>
    <w:p w14:paraId="4AA8D488" w14:textId="77777777" w:rsidR="009B574B" w:rsidRDefault="009B574B" w:rsidP="009B574B">
      <w:r>
        <w:t xml:space="preserve">This web publication constitutes a notice for the purposes of </w:t>
      </w:r>
      <w:r w:rsidRPr="00A24A9F">
        <w:t xml:space="preserve">regulation 42ZCZP of the </w:t>
      </w:r>
      <w:r w:rsidRPr="00A24A9F">
        <w:rPr>
          <w:i/>
        </w:rPr>
        <w:t>Therapeutic</w:t>
      </w:r>
      <w:r>
        <w:rPr>
          <w:i/>
        </w:rPr>
        <w:t xml:space="preserve"> </w:t>
      </w:r>
      <w:r w:rsidRPr="00E80A53">
        <w:rPr>
          <w:i/>
        </w:rPr>
        <w:t>Goods Regulations 1990</w:t>
      </w:r>
      <w:r>
        <w:rPr>
          <w:i/>
        </w:rPr>
        <w:t xml:space="preserve"> </w:t>
      </w:r>
      <w:r>
        <w:t xml:space="preserve">(the </w:t>
      </w:r>
      <w:r>
        <w:rPr>
          <w:b/>
        </w:rPr>
        <w:t>Regulations</w:t>
      </w:r>
      <w:r>
        <w:t xml:space="preserve">). In accordance with regulation </w:t>
      </w:r>
      <w:r w:rsidRPr="00A24A9F">
        <w:t>42ZCZP</w:t>
      </w:r>
      <w:r>
        <w:t>, this notice sets out:</w:t>
      </w:r>
    </w:p>
    <w:p w14:paraId="49EE3BCC" w14:textId="27C32C0A" w:rsidR="009B574B" w:rsidRPr="009B574B" w:rsidRDefault="009B574B" w:rsidP="002534B2">
      <w:pPr>
        <w:pStyle w:val="ListBullet"/>
      </w:pPr>
      <w:r w:rsidRPr="009B574B">
        <w:t>the interim decision</w:t>
      </w:r>
      <w:r w:rsidRPr="00BE3418">
        <w:t>s</w:t>
      </w:r>
      <w:r w:rsidRPr="009B574B">
        <w:t xml:space="preserve"> made by a delegate of the Secretary under r</w:t>
      </w:r>
      <w:r w:rsidR="00BE3418">
        <w:t>egulation 42ZCZN in relation to</w:t>
      </w:r>
      <w:r w:rsidRPr="009B574B">
        <w:t xml:space="preserve"> proposed amendmen</w:t>
      </w:r>
      <w:r w:rsidRPr="00BE3418">
        <w:t>ts</w:t>
      </w:r>
      <w:r w:rsidRPr="009B574B">
        <w:t xml:space="preserve"> to the</w:t>
      </w:r>
      <w:r w:rsidR="00BE3418">
        <w:t xml:space="preserve"> current Poisons Standard </w:t>
      </w:r>
      <w:r w:rsidR="00BE3418" w:rsidRPr="00BE3418">
        <w:t xml:space="preserve">which </w:t>
      </w:r>
      <w:r w:rsidRPr="00BE3418">
        <w:t>were referred</w:t>
      </w:r>
      <w:r w:rsidRPr="009B574B">
        <w:t xml:space="preserve"> to an expert advisory committee under subdivision 3D.2 of the Regulations in </w:t>
      </w:r>
      <w:r w:rsidR="000E0A44">
        <w:t>March 2021</w:t>
      </w:r>
      <w:r w:rsidRPr="009B574B">
        <w:t>;</w:t>
      </w:r>
    </w:p>
    <w:p w14:paraId="5378EB82" w14:textId="064658FA" w:rsidR="009B574B" w:rsidRPr="009B574B" w:rsidRDefault="009B574B" w:rsidP="009B574B">
      <w:pPr>
        <w:pStyle w:val="ListBullet"/>
      </w:pPr>
      <w:r w:rsidRPr="009B574B">
        <w:t>the proposed date of effect of the proposed amendment</w:t>
      </w:r>
      <w:r w:rsidRPr="00BE3418">
        <w:t>s</w:t>
      </w:r>
      <w:r w:rsidRPr="009B574B">
        <w:t xml:space="preserve"> (in circumstances where the interim decision proposes an amendment to the current Poisons Standard).</w:t>
      </w:r>
    </w:p>
    <w:p w14:paraId="60EFB15E" w14:textId="37045527" w:rsidR="009B574B" w:rsidRDefault="009B574B" w:rsidP="009B574B">
      <w:r>
        <w:t>In accordance with regulation 42ZCZP, i</w:t>
      </w:r>
      <w:r w:rsidRPr="004B78E1">
        <w:t xml:space="preserve">nterested persons </w:t>
      </w:r>
      <w:r>
        <w:t xml:space="preserve">(including </w:t>
      </w:r>
      <w:r w:rsidRPr="004B78E1">
        <w:t xml:space="preserve">the </w:t>
      </w:r>
      <w:r>
        <w:t>a</w:t>
      </w:r>
      <w:r w:rsidRPr="004B78E1">
        <w:t>pplicant requesting the amendment</w:t>
      </w:r>
      <w:r>
        <w:t xml:space="preserve">) </w:t>
      </w:r>
      <w:r w:rsidRPr="004B78E1">
        <w:t>are invited</w:t>
      </w:r>
      <w:r>
        <w:t xml:space="preserve"> to make </w:t>
      </w:r>
      <w:r w:rsidRPr="00416B66">
        <w:t>submissions to the Secretary in relation to these interim decisions on</w:t>
      </w:r>
      <w:r>
        <w:t xml:space="preserve"> or </w:t>
      </w:r>
      <w:r w:rsidRPr="0094532D">
        <w:t xml:space="preserve">before </w:t>
      </w:r>
      <w:r w:rsidR="00735C0B">
        <w:rPr>
          <w:b/>
          <w:bCs/>
        </w:rPr>
        <w:t>2</w:t>
      </w:r>
      <w:r w:rsidR="00773B6C">
        <w:rPr>
          <w:b/>
          <w:bCs/>
        </w:rPr>
        <w:t>7</w:t>
      </w:r>
      <w:r w:rsidR="00735C0B" w:rsidRPr="003D2511">
        <w:rPr>
          <w:b/>
        </w:rPr>
        <w:t xml:space="preserve"> </w:t>
      </w:r>
      <w:r w:rsidR="00B34BB5">
        <w:rPr>
          <w:b/>
        </w:rPr>
        <w:t>August</w:t>
      </w:r>
      <w:r w:rsidR="00416B66" w:rsidRPr="003D2511">
        <w:rPr>
          <w:b/>
        </w:rPr>
        <w:t xml:space="preserve"> 2021</w:t>
      </w:r>
      <w:r w:rsidRPr="0094532D">
        <w:t>.</w:t>
      </w:r>
    </w:p>
    <w:p w14:paraId="3D183FE8" w14:textId="77777777" w:rsidR="009E5527" w:rsidRPr="00F46CB7" w:rsidRDefault="009E5527" w:rsidP="00F52D80">
      <w:pPr>
        <w:shd w:val="clear" w:color="auto" w:fill="F1F1F1"/>
        <w:spacing w:after="120" w:line="240" w:lineRule="auto"/>
        <w:rPr>
          <w:rFonts w:eastAsia="Times New Roman"/>
          <w:i/>
          <w:color w:val="000000"/>
          <w:lang w:val="en" w:eastAsia="en-AU"/>
        </w:rPr>
      </w:pPr>
      <w:r w:rsidRPr="00F46CB7">
        <w:rPr>
          <w:rFonts w:eastAsia="Times New Roman"/>
          <w:i/>
          <w:color w:val="000000"/>
          <w:lang w:val="en" w:eastAsia="en-AU"/>
        </w:rPr>
        <w:t>We have changed the way to make submissions.</w:t>
      </w:r>
    </w:p>
    <w:p w14:paraId="66587774" w14:textId="0C1110AA" w:rsidR="009E5527" w:rsidRDefault="009E5527" w:rsidP="00F52D80">
      <w:pPr>
        <w:shd w:val="clear" w:color="auto" w:fill="F1F1F1"/>
        <w:spacing w:after="120" w:line="240" w:lineRule="auto"/>
        <w:rPr>
          <w:rFonts w:eastAsia="Times New Roman"/>
          <w:color w:val="000000"/>
          <w:lang w:val="en" w:eastAsia="en-AU"/>
        </w:rPr>
      </w:pPr>
      <w:r w:rsidRPr="00150EDF">
        <w:rPr>
          <w:rFonts w:eastAsia="Times New Roman"/>
          <w:color w:val="000000"/>
          <w:lang w:val="en" w:eastAsia="en-AU"/>
        </w:rPr>
        <w:t>Submissions should</w:t>
      </w:r>
      <w:r w:rsidR="00543C7F">
        <w:rPr>
          <w:rFonts w:eastAsia="Times New Roman"/>
          <w:color w:val="000000"/>
          <w:lang w:val="en" w:eastAsia="en-AU"/>
        </w:rPr>
        <w:t xml:space="preserve"> now</w:t>
      </w:r>
      <w:r w:rsidRPr="00150EDF">
        <w:rPr>
          <w:rFonts w:eastAsia="Times New Roman"/>
          <w:color w:val="000000"/>
          <w:lang w:val="en" w:eastAsia="en-AU"/>
        </w:rPr>
        <w:t xml:space="preserve"> be provided through our </w:t>
      </w:r>
      <w:hyperlink r:id="rId12" w:history="1">
        <w:r w:rsidR="00CC19FE" w:rsidRPr="00CC19FE">
          <w:rPr>
            <w:rStyle w:val="Hyperlink"/>
            <w:rFonts w:eastAsia="Times New Roman"/>
            <w:lang w:val="en" w:eastAsia="en-AU"/>
          </w:rPr>
          <w:t>consultation hub</w:t>
        </w:r>
      </w:hyperlink>
      <w:r w:rsidRPr="00150EDF">
        <w:rPr>
          <w:rFonts w:eastAsia="Times New Roman"/>
          <w:color w:val="000000"/>
          <w:lang w:val="en" w:eastAsia="en-AU"/>
        </w:rPr>
        <w:t xml:space="preserve">. </w:t>
      </w:r>
      <w:r>
        <w:rPr>
          <w:rFonts w:eastAsia="Times New Roman"/>
          <w:color w:val="000000"/>
          <w:lang w:val="en" w:eastAsia="en-AU"/>
        </w:rPr>
        <w:t>Submissions</w:t>
      </w:r>
      <w:r w:rsidRPr="00150EDF">
        <w:rPr>
          <w:rFonts w:eastAsia="Times New Roman"/>
          <w:color w:val="000000"/>
          <w:lang w:val="en" w:eastAsia="en-AU"/>
        </w:rPr>
        <w:t xml:space="preserve"> will be considered </w:t>
      </w:r>
      <w:r>
        <w:rPr>
          <w:rFonts w:eastAsia="Times New Roman"/>
          <w:color w:val="000000"/>
          <w:lang w:val="en" w:eastAsia="en-AU"/>
        </w:rPr>
        <w:t>by the Delegate in making the final decision.</w:t>
      </w:r>
    </w:p>
    <w:p w14:paraId="7F3C6550" w14:textId="26904EB3" w:rsidR="00CC19FE" w:rsidRDefault="009B574B" w:rsidP="00DB4F74">
      <w:r>
        <w:rPr>
          <w:rFonts w:asciiTheme="minorHAnsi" w:hAnsiTheme="minorHAnsi"/>
        </w:rPr>
        <w:t xml:space="preserve">Please note that in accordance with </w:t>
      </w:r>
      <w:proofErr w:type="spellStart"/>
      <w:r>
        <w:rPr>
          <w:rFonts w:asciiTheme="minorHAnsi" w:hAnsiTheme="minorHAnsi"/>
        </w:rPr>
        <w:t>subregulation</w:t>
      </w:r>
      <w:proofErr w:type="spellEnd"/>
      <w:r>
        <w:rPr>
          <w:rFonts w:asciiTheme="minorHAnsi" w:hAnsiTheme="minorHAnsi"/>
        </w:rPr>
        <w:t xml:space="preserve"> 42</w:t>
      </w:r>
      <w:proofErr w:type="gramStart"/>
      <w:r>
        <w:rPr>
          <w:rFonts w:asciiTheme="minorHAnsi" w:hAnsiTheme="minorHAnsi"/>
        </w:rPr>
        <w:t>ZCZQ(</w:t>
      </w:r>
      <w:proofErr w:type="gramEnd"/>
      <w:r>
        <w:rPr>
          <w:rFonts w:asciiTheme="minorHAnsi" w:hAnsiTheme="minorHAnsi"/>
        </w:rPr>
        <w:t>4) of the Regulations, the Secretary must publish all relevant submissions received, unless the Secretary considers the information to be confidential information.</w:t>
      </w:r>
    </w:p>
    <w:p w14:paraId="4B07B0E3" w14:textId="64542DFB" w:rsidR="00CC19FE" w:rsidRPr="00893167" w:rsidRDefault="00CC19FE" w:rsidP="00DB4F74">
      <w:pPr>
        <w:pStyle w:val="Heading2"/>
        <w:pageBreakBefore/>
        <w:ind w:left="431" w:hanging="431"/>
      </w:pPr>
      <w:bookmarkStart w:id="4" w:name="_Toc69984532"/>
      <w:bookmarkStart w:id="5" w:name="_Toc77327982"/>
      <w:bookmarkStart w:id="6" w:name="_Toc77672236"/>
      <w:r w:rsidRPr="00D72019">
        <w:lastRenderedPageBreak/>
        <w:t xml:space="preserve">Interim decision on </w:t>
      </w:r>
      <w:r w:rsidR="00C962E3">
        <w:t xml:space="preserve">a </w:t>
      </w:r>
      <w:r w:rsidRPr="00D72019">
        <w:t>proposed amendment referred to the Advisory Committee on Medicines and Chemicals Scheduling in joint session (Joint ACMS-ACCS #</w:t>
      </w:r>
      <w:r>
        <w:t>27</w:t>
      </w:r>
      <w:r w:rsidRPr="00D72019">
        <w:t xml:space="preserve">, </w:t>
      </w:r>
      <w:r>
        <w:t>March 2021)</w:t>
      </w:r>
      <w:bookmarkEnd w:id="4"/>
      <w:bookmarkEnd w:id="5"/>
      <w:bookmarkEnd w:id="6"/>
    </w:p>
    <w:p w14:paraId="0047D704" w14:textId="77777777" w:rsidR="00CC19FE" w:rsidRDefault="00CC19FE" w:rsidP="00574118">
      <w:pPr>
        <w:pStyle w:val="Heading3"/>
      </w:pPr>
      <w:bookmarkStart w:id="7" w:name="_Toc77327985"/>
      <w:bookmarkStart w:id="8" w:name="_Toc77672237"/>
      <w:bookmarkStart w:id="9" w:name="_Toc69984535"/>
      <w:bookmarkStart w:id="10" w:name="_Toc70072248"/>
      <w:bookmarkStart w:id="11" w:name="_Toc69984536"/>
      <w:bookmarkStart w:id="12" w:name="_Toc70072249"/>
      <w:r>
        <w:t xml:space="preserve">Interim </w:t>
      </w:r>
      <w:r w:rsidRPr="00574118">
        <w:t>decision</w:t>
      </w:r>
      <w:r>
        <w:t xml:space="preserve"> in relation to nitrous oxide</w:t>
      </w:r>
      <w:bookmarkEnd w:id="7"/>
      <w:bookmarkEnd w:id="8"/>
      <w:r>
        <w:t xml:space="preserve"> </w:t>
      </w:r>
    </w:p>
    <w:bookmarkEnd w:id="9"/>
    <w:bookmarkEnd w:id="10"/>
    <w:p w14:paraId="5F10568B" w14:textId="77777777" w:rsidR="00CC19FE" w:rsidRDefault="00CC19FE" w:rsidP="00574118">
      <w:pPr>
        <w:pStyle w:val="Heading4"/>
      </w:pPr>
      <w:r w:rsidRPr="00574118">
        <w:t>Proposal</w:t>
      </w:r>
    </w:p>
    <w:p w14:paraId="10D50524" w14:textId="77777777" w:rsidR="00CC19FE" w:rsidRDefault="00CC19FE" w:rsidP="00CC19FE">
      <w:r>
        <w:t>The applicant proposed to create a new Schedule 10 entry for nitrous oxide when supplied in small bulbs, and when not included in Schedule 4 for therapeutic use, to mitigate harms associated with recreational use of the substance.</w:t>
      </w:r>
    </w:p>
    <w:p w14:paraId="5732F47E" w14:textId="77777777" w:rsidR="00CC19FE" w:rsidRPr="008036B7" w:rsidRDefault="00CC19FE" w:rsidP="00CC19FE">
      <w:pPr>
        <w:pStyle w:val="Heading4"/>
      </w:pPr>
      <w:r>
        <w:t>Interim decision</w:t>
      </w:r>
    </w:p>
    <w:p w14:paraId="58DA6B60" w14:textId="77777777" w:rsidR="00CC19FE" w:rsidRDefault="00CC19FE" w:rsidP="00CC19FE">
      <w:r w:rsidRPr="00A05D10">
        <w:t>Pursuant to regulation 42ZCZN of the Regulations, a Delegate of the Secretary has, in relation to the proposed am</w:t>
      </w:r>
      <w:r w:rsidRPr="00B3584C">
        <w:t xml:space="preserve">endment, made an interim decision to amend </w:t>
      </w:r>
      <w:r>
        <w:t xml:space="preserve">the scheduling of nitrous oxide in </w:t>
      </w:r>
      <w:r w:rsidRPr="00B3584C">
        <w:t xml:space="preserve">the current Poisons Standard </w:t>
      </w:r>
      <w:r>
        <w:t>as follows</w:t>
      </w:r>
      <w:r w:rsidRPr="00A05D10">
        <w:t>:</w:t>
      </w:r>
    </w:p>
    <w:p w14:paraId="4E562767" w14:textId="77777777" w:rsidR="00CC19FE" w:rsidRPr="003C6F1D" w:rsidRDefault="00CC19FE" w:rsidP="00CC19FE">
      <w:pPr>
        <w:ind w:firstLine="720"/>
        <w:rPr>
          <w:b/>
          <w:i/>
        </w:rPr>
      </w:pPr>
      <w:r>
        <w:rPr>
          <w:b/>
        </w:rPr>
        <w:t>Schedule 6</w:t>
      </w:r>
      <w:r w:rsidRPr="003C6F1D">
        <w:rPr>
          <w:b/>
        </w:rPr>
        <w:t xml:space="preserve"> – </w:t>
      </w:r>
      <w:r>
        <w:rPr>
          <w:b/>
        </w:rPr>
        <w:t>New</w:t>
      </w:r>
      <w:r w:rsidRPr="003C6F1D">
        <w:rPr>
          <w:b/>
        </w:rPr>
        <w:t xml:space="preserve"> Entry</w:t>
      </w:r>
    </w:p>
    <w:p w14:paraId="419B4C6C" w14:textId="5DED7E63" w:rsidR="00CC19FE" w:rsidRPr="006330A0" w:rsidRDefault="00CC19FE" w:rsidP="005D3A8E">
      <w:pPr>
        <w:ind w:firstLine="720"/>
        <w:rPr>
          <w:color w:val="00B050"/>
        </w:rPr>
      </w:pPr>
      <w:r w:rsidRPr="00CB7CA1">
        <w:rPr>
          <w:color w:val="00B050"/>
        </w:rPr>
        <w:t xml:space="preserve">NITROUS OXIDE </w:t>
      </w:r>
      <w:r w:rsidRPr="00CB7CA1">
        <w:rPr>
          <w:b/>
          <w:color w:val="00B050"/>
        </w:rPr>
        <w:t>except</w:t>
      </w:r>
      <w:r w:rsidR="00BD39A0">
        <w:rPr>
          <w:color w:val="00B050"/>
        </w:rPr>
        <w:t xml:space="preserve"> </w:t>
      </w:r>
      <w:r w:rsidRPr="006330A0">
        <w:rPr>
          <w:color w:val="00B050"/>
        </w:rPr>
        <w:t>when included in Schedule 4</w:t>
      </w:r>
      <w:r>
        <w:rPr>
          <w:color w:val="00B050"/>
        </w:rPr>
        <w:t>.</w:t>
      </w:r>
    </w:p>
    <w:p w14:paraId="7DCFA2F9" w14:textId="77777777" w:rsidR="00CC19FE" w:rsidRDefault="00CC19FE" w:rsidP="00CC19FE">
      <w:pPr>
        <w:ind w:firstLine="720"/>
        <w:rPr>
          <w:b/>
        </w:rPr>
      </w:pPr>
      <w:r>
        <w:rPr>
          <w:b/>
        </w:rPr>
        <w:t>Schedule 4</w:t>
      </w:r>
    </w:p>
    <w:p w14:paraId="21AC1F33" w14:textId="77777777" w:rsidR="00CC19FE" w:rsidRPr="003E6494" w:rsidRDefault="00CC19FE" w:rsidP="00CC19FE">
      <w:pPr>
        <w:ind w:firstLine="720"/>
      </w:pPr>
      <w:r>
        <w:t>NITROUS OXIDE for human therapeutic use.</w:t>
      </w:r>
    </w:p>
    <w:p w14:paraId="63359B00" w14:textId="77777777" w:rsidR="00CC19FE" w:rsidRDefault="00CC19FE" w:rsidP="00CC19FE">
      <w:pPr>
        <w:ind w:firstLine="720"/>
        <w:rPr>
          <w:b/>
        </w:rPr>
      </w:pPr>
      <w:r>
        <w:rPr>
          <w:b/>
        </w:rPr>
        <w:t>Appendix E, Part 2 – New Entry</w:t>
      </w:r>
    </w:p>
    <w:tbl>
      <w:tblPr>
        <w:tblW w:w="8080" w:type="dxa"/>
        <w:tblInd w:w="701" w:type="dxa"/>
        <w:tblCellMar>
          <w:top w:w="15" w:type="dxa"/>
          <w:left w:w="15" w:type="dxa"/>
          <w:bottom w:w="15" w:type="dxa"/>
          <w:right w:w="15" w:type="dxa"/>
        </w:tblCellMar>
        <w:tblLook w:val="04A0" w:firstRow="1" w:lastRow="0" w:firstColumn="1" w:lastColumn="0" w:noHBand="0" w:noVBand="1"/>
      </w:tblPr>
      <w:tblGrid>
        <w:gridCol w:w="3091"/>
        <w:gridCol w:w="4989"/>
      </w:tblGrid>
      <w:tr w:rsidR="00CC19FE" w:rsidRPr="006610F1" w14:paraId="75250A9E" w14:textId="77777777" w:rsidTr="00574118">
        <w:trPr>
          <w:trHeight w:val="20"/>
          <w:tblHeader/>
        </w:trPr>
        <w:tc>
          <w:tcPr>
            <w:tcW w:w="3091" w:type="dxa"/>
            <w:tcBorders>
              <w:top w:val="single" w:sz="6" w:space="0" w:color="000000"/>
              <w:left w:val="single" w:sz="6" w:space="0" w:color="000000"/>
              <w:bottom w:val="single" w:sz="6" w:space="0" w:color="000000"/>
              <w:right w:val="single" w:sz="6" w:space="0" w:color="000000"/>
            </w:tcBorders>
            <w:shd w:val="clear" w:color="auto" w:fill="158ABF"/>
            <w:tcMar>
              <w:top w:w="120" w:type="dxa"/>
              <w:left w:w="120" w:type="dxa"/>
              <w:bottom w:w="120" w:type="dxa"/>
              <w:right w:w="120" w:type="dxa"/>
            </w:tcMar>
            <w:hideMark/>
          </w:tcPr>
          <w:p w14:paraId="1A88470A" w14:textId="77777777" w:rsidR="00CC19FE" w:rsidRPr="006610F1" w:rsidRDefault="00CC19FE" w:rsidP="0046191E">
            <w:pPr>
              <w:spacing w:after="120" w:line="240" w:lineRule="auto"/>
              <w:rPr>
                <w:rFonts w:ascii="&amp;quot" w:eastAsia="Times New Roman" w:hAnsi="&amp;quot"/>
                <w:b/>
                <w:bCs/>
                <w:color w:val="FFFFFF"/>
                <w:szCs w:val="22"/>
                <w:lang w:eastAsia="en-AU"/>
              </w:rPr>
            </w:pPr>
            <w:r w:rsidRPr="006610F1">
              <w:rPr>
                <w:rFonts w:ascii="&amp;quot" w:eastAsia="Times New Roman" w:hAnsi="&amp;quot"/>
                <w:b/>
                <w:bCs/>
                <w:color w:val="FFFFFF"/>
                <w:szCs w:val="22"/>
                <w:lang w:eastAsia="en-AU"/>
              </w:rPr>
              <w:t>POISON</w:t>
            </w:r>
          </w:p>
        </w:tc>
        <w:tc>
          <w:tcPr>
            <w:tcW w:w="4989" w:type="dxa"/>
            <w:tcBorders>
              <w:top w:val="single" w:sz="6" w:space="0" w:color="000000"/>
              <w:left w:val="single" w:sz="6" w:space="0" w:color="000000"/>
              <w:bottom w:val="single" w:sz="6" w:space="0" w:color="000000"/>
              <w:right w:val="single" w:sz="6" w:space="0" w:color="000000"/>
            </w:tcBorders>
            <w:shd w:val="clear" w:color="auto" w:fill="158ABF"/>
            <w:tcMar>
              <w:top w:w="120" w:type="dxa"/>
              <w:left w:w="120" w:type="dxa"/>
              <w:bottom w:w="120" w:type="dxa"/>
              <w:right w:w="120" w:type="dxa"/>
            </w:tcMar>
            <w:hideMark/>
          </w:tcPr>
          <w:p w14:paraId="7919FDA8" w14:textId="77777777" w:rsidR="00CC19FE" w:rsidRPr="006610F1" w:rsidRDefault="00CC19FE" w:rsidP="0046191E">
            <w:pPr>
              <w:spacing w:after="120" w:line="240" w:lineRule="auto"/>
              <w:rPr>
                <w:rFonts w:ascii="&amp;quot" w:eastAsia="Times New Roman" w:hAnsi="&amp;quot"/>
                <w:b/>
                <w:bCs/>
                <w:color w:val="FFFFFF"/>
                <w:szCs w:val="22"/>
                <w:lang w:eastAsia="en-AU"/>
              </w:rPr>
            </w:pPr>
            <w:r>
              <w:rPr>
                <w:rFonts w:ascii="&amp;quot" w:eastAsia="Times New Roman" w:hAnsi="&amp;quot"/>
                <w:b/>
                <w:bCs/>
                <w:color w:val="FFFFFF"/>
                <w:szCs w:val="22"/>
                <w:lang w:eastAsia="en-AU"/>
              </w:rPr>
              <w:t>STANDARD</w:t>
            </w:r>
            <w:r w:rsidRPr="006610F1">
              <w:rPr>
                <w:rFonts w:ascii="&amp;quot" w:eastAsia="Times New Roman" w:hAnsi="&amp;quot"/>
                <w:b/>
                <w:bCs/>
                <w:color w:val="FFFFFF"/>
                <w:szCs w:val="22"/>
                <w:lang w:eastAsia="en-AU"/>
              </w:rPr>
              <w:t xml:space="preserve"> STATEMENTS</w:t>
            </w:r>
          </w:p>
        </w:tc>
      </w:tr>
      <w:tr w:rsidR="00CC19FE" w:rsidRPr="006610F1" w14:paraId="3D87DB37" w14:textId="77777777" w:rsidTr="00574118">
        <w:tc>
          <w:tcPr>
            <w:tcW w:w="3091"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29154184" w14:textId="77777777" w:rsidR="00CC19FE" w:rsidRPr="006610F1" w:rsidRDefault="00CC19FE" w:rsidP="0046191E">
            <w:pPr>
              <w:spacing w:before="0" w:after="240" w:line="240" w:lineRule="auto"/>
              <w:rPr>
                <w:rFonts w:ascii="&amp;quot" w:eastAsia="Times New Roman" w:hAnsi="&amp;quot"/>
                <w:color w:val="FF0000"/>
                <w:szCs w:val="22"/>
                <w:lang w:eastAsia="en-AU"/>
              </w:rPr>
            </w:pPr>
            <w:r w:rsidRPr="00CB7CA1">
              <w:rPr>
                <w:rFonts w:ascii="&amp;quot" w:eastAsia="Times New Roman" w:hAnsi="&amp;quot"/>
                <w:color w:val="00B050"/>
                <w:szCs w:val="22"/>
                <w:lang w:eastAsia="en-AU"/>
              </w:rPr>
              <w:t>NITROUS OXIDE when included in Schedule 6.</w:t>
            </w:r>
          </w:p>
        </w:tc>
        <w:tc>
          <w:tcPr>
            <w:tcW w:w="4989"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2F7F3102" w14:textId="1052253F" w:rsidR="00CC19FE" w:rsidRPr="00B3584C" w:rsidRDefault="00CC19FE" w:rsidP="0046191E">
            <w:pPr>
              <w:spacing w:before="0" w:after="240" w:line="240" w:lineRule="auto"/>
              <w:rPr>
                <w:rFonts w:ascii="&amp;quot" w:eastAsia="Times New Roman" w:hAnsi="&amp;quot"/>
                <w:color w:val="FF0000"/>
                <w:szCs w:val="22"/>
                <w:lang w:eastAsia="en-AU"/>
              </w:rPr>
            </w:pPr>
            <w:r w:rsidRPr="00CB7CA1">
              <w:rPr>
                <w:rFonts w:ascii="&amp;quot" w:eastAsia="Times New Roman" w:hAnsi="&amp;quot"/>
                <w:b/>
                <w:bCs/>
                <w:color w:val="00B050"/>
                <w:szCs w:val="22"/>
                <w:lang w:eastAsia="en-AU"/>
              </w:rPr>
              <w:t xml:space="preserve">A </w:t>
            </w:r>
            <w:r w:rsidRPr="00CB7CA1">
              <w:rPr>
                <w:rFonts w:ascii="&amp;quot" w:eastAsia="Times New Roman" w:hAnsi="&amp;quot"/>
                <w:bCs/>
                <w:color w:val="00B050"/>
                <w:szCs w:val="22"/>
                <w:lang w:eastAsia="en-AU"/>
              </w:rPr>
              <w:t>[</w:t>
            </w:r>
            <w:r w:rsidRPr="00CB7CA1">
              <w:rPr>
                <w:rFonts w:ascii="&amp;quot" w:eastAsia="Times New Roman" w:hAnsi="&amp;quot"/>
                <w:color w:val="00B050"/>
                <w:szCs w:val="22"/>
                <w:lang w:eastAsia="en-AU"/>
              </w:rPr>
              <w:t>For advice, contact a Poisons Information Centre (e.g. phone Australia 13 11 26; New Zealand 0800 764 766) or a doctor.]</w:t>
            </w:r>
          </w:p>
        </w:tc>
      </w:tr>
    </w:tbl>
    <w:p w14:paraId="1FF19D61" w14:textId="77777777" w:rsidR="00CC19FE" w:rsidRPr="003C6F1D" w:rsidRDefault="00CC19FE" w:rsidP="00CC19FE">
      <w:pPr>
        <w:ind w:firstLine="720"/>
        <w:rPr>
          <w:b/>
          <w:i/>
        </w:rPr>
      </w:pPr>
      <w:r>
        <w:rPr>
          <w:b/>
        </w:rPr>
        <w:t>Appendix F, Part 1</w:t>
      </w:r>
      <w:r w:rsidRPr="003C6F1D">
        <w:rPr>
          <w:b/>
        </w:rPr>
        <w:t xml:space="preserve"> – </w:t>
      </w:r>
      <w:r>
        <w:rPr>
          <w:b/>
        </w:rPr>
        <w:t>New</w:t>
      </w:r>
      <w:r w:rsidRPr="003C6F1D">
        <w:rPr>
          <w:b/>
        </w:rPr>
        <w:t xml:space="preserve"> Entry</w:t>
      </w:r>
    </w:p>
    <w:p w14:paraId="132F6842" w14:textId="77777777" w:rsidR="00CC19FE" w:rsidRPr="002E5BE7" w:rsidRDefault="00CC19FE" w:rsidP="00CC19FE">
      <w:pPr>
        <w:ind w:left="720"/>
        <w:rPr>
          <w:color w:val="00B050"/>
        </w:rPr>
      </w:pPr>
      <w:r w:rsidRPr="002E5BE7">
        <w:rPr>
          <w:color w:val="00B050"/>
        </w:rPr>
        <w:t xml:space="preserve">112. WARNING – May cause irreversible nerve damage if inhaled. </w:t>
      </w:r>
    </w:p>
    <w:p w14:paraId="1CBF7389" w14:textId="77777777" w:rsidR="00CC19FE" w:rsidRPr="00DB7776" w:rsidRDefault="00CC19FE" w:rsidP="00CC19FE">
      <w:pPr>
        <w:ind w:left="720"/>
        <w:rPr>
          <w:b/>
        </w:rPr>
      </w:pPr>
      <w:r>
        <w:rPr>
          <w:b/>
        </w:rPr>
        <w:t>Appendix F, Part 2 – New Entry</w:t>
      </w:r>
    </w:p>
    <w:p w14:paraId="77C01426" w14:textId="77777777" w:rsidR="00CC19FE" w:rsidRPr="002E5BE7" w:rsidRDefault="00CC19FE" w:rsidP="00CC19FE">
      <w:pPr>
        <w:ind w:left="720"/>
        <w:rPr>
          <w:color w:val="00B050"/>
        </w:rPr>
      </w:pPr>
      <w:r w:rsidRPr="002E5BE7">
        <w:rPr>
          <w:color w:val="00B050"/>
        </w:rPr>
        <w:t xml:space="preserve">38. Do not intentionally inhale contents. </w:t>
      </w:r>
    </w:p>
    <w:p w14:paraId="1ED1FDA7" w14:textId="77777777" w:rsidR="00CC19FE" w:rsidRPr="003C6F1D" w:rsidRDefault="00CC19FE" w:rsidP="00CC19FE">
      <w:pPr>
        <w:ind w:firstLine="720"/>
        <w:rPr>
          <w:b/>
          <w:i/>
        </w:rPr>
      </w:pPr>
      <w:r>
        <w:rPr>
          <w:b/>
        </w:rPr>
        <w:t>Appendix F, Part 3</w:t>
      </w:r>
      <w:r w:rsidRPr="003C6F1D">
        <w:rPr>
          <w:b/>
        </w:rPr>
        <w:t xml:space="preserve"> – </w:t>
      </w:r>
      <w:r>
        <w:rPr>
          <w:b/>
        </w:rPr>
        <w:t>New</w:t>
      </w:r>
      <w:r w:rsidRPr="003C6F1D">
        <w:rPr>
          <w:b/>
        </w:rPr>
        <w:t xml:space="preserve"> Entry</w:t>
      </w:r>
    </w:p>
    <w:tbl>
      <w:tblPr>
        <w:tblW w:w="8222" w:type="dxa"/>
        <w:tblInd w:w="701" w:type="dxa"/>
        <w:tblCellMar>
          <w:top w:w="15" w:type="dxa"/>
          <w:left w:w="15" w:type="dxa"/>
          <w:bottom w:w="15" w:type="dxa"/>
          <w:right w:w="15" w:type="dxa"/>
        </w:tblCellMar>
        <w:tblLook w:val="04A0" w:firstRow="1" w:lastRow="0" w:firstColumn="1" w:lastColumn="0" w:noHBand="0" w:noVBand="1"/>
      </w:tblPr>
      <w:tblGrid>
        <w:gridCol w:w="1985"/>
        <w:gridCol w:w="3935"/>
        <w:gridCol w:w="2302"/>
      </w:tblGrid>
      <w:tr w:rsidR="00CC19FE" w:rsidRPr="006610F1" w14:paraId="5C5B142B" w14:textId="77777777" w:rsidTr="00574118">
        <w:trPr>
          <w:trHeight w:val="20"/>
          <w:tblHeader/>
        </w:trPr>
        <w:tc>
          <w:tcPr>
            <w:tcW w:w="1985" w:type="dxa"/>
            <w:tcBorders>
              <w:top w:val="single" w:sz="6" w:space="0" w:color="000000"/>
              <w:left w:val="single" w:sz="6" w:space="0" w:color="000000"/>
              <w:bottom w:val="single" w:sz="6" w:space="0" w:color="000000"/>
              <w:right w:val="single" w:sz="6" w:space="0" w:color="000000"/>
            </w:tcBorders>
            <w:shd w:val="clear" w:color="auto" w:fill="158ABF"/>
            <w:tcMar>
              <w:top w:w="120" w:type="dxa"/>
              <w:left w:w="120" w:type="dxa"/>
              <w:bottom w:w="120" w:type="dxa"/>
              <w:right w:w="120" w:type="dxa"/>
            </w:tcMar>
            <w:hideMark/>
          </w:tcPr>
          <w:p w14:paraId="78FCAF47" w14:textId="77777777" w:rsidR="00CC19FE" w:rsidRPr="006610F1" w:rsidRDefault="00CC19FE" w:rsidP="0046191E">
            <w:pPr>
              <w:spacing w:after="120" w:line="240" w:lineRule="auto"/>
              <w:rPr>
                <w:rFonts w:ascii="&amp;quot" w:eastAsia="Times New Roman" w:hAnsi="&amp;quot"/>
                <w:b/>
                <w:bCs/>
                <w:color w:val="FFFFFF"/>
                <w:szCs w:val="22"/>
                <w:lang w:eastAsia="en-AU"/>
              </w:rPr>
            </w:pPr>
            <w:r w:rsidRPr="006610F1">
              <w:rPr>
                <w:rFonts w:ascii="&amp;quot" w:eastAsia="Times New Roman" w:hAnsi="&amp;quot"/>
                <w:b/>
                <w:bCs/>
                <w:color w:val="FFFFFF"/>
                <w:szCs w:val="22"/>
                <w:lang w:eastAsia="en-AU"/>
              </w:rPr>
              <w:t>POISON</w:t>
            </w:r>
          </w:p>
        </w:tc>
        <w:tc>
          <w:tcPr>
            <w:tcW w:w="3935" w:type="dxa"/>
            <w:tcBorders>
              <w:top w:val="single" w:sz="6" w:space="0" w:color="000000"/>
              <w:left w:val="single" w:sz="6" w:space="0" w:color="000000"/>
              <w:bottom w:val="single" w:sz="6" w:space="0" w:color="000000"/>
              <w:right w:val="single" w:sz="6" w:space="0" w:color="000000"/>
            </w:tcBorders>
            <w:shd w:val="clear" w:color="auto" w:fill="158ABF"/>
            <w:tcMar>
              <w:top w:w="120" w:type="dxa"/>
              <w:left w:w="120" w:type="dxa"/>
              <w:bottom w:w="120" w:type="dxa"/>
              <w:right w:w="120" w:type="dxa"/>
            </w:tcMar>
            <w:hideMark/>
          </w:tcPr>
          <w:p w14:paraId="10DD3F2A" w14:textId="77777777" w:rsidR="00CC19FE" w:rsidRPr="006610F1" w:rsidRDefault="00CC19FE" w:rsidP="0046191E">
            <w:pPr>
              <w:spacing w:after="120" w:line="240" w:lineRule="auto"/>
              <w:rPr>
                <w:rFonts w:ascii="&amp;quot" w:eastAsia="Times New Roman" w:hAnsi="&amp;quot"/>
                <w:b/>
                <w:bCs/>
                <w:color w:val="FFFFFF"/>
                <w:szCs w:val="22"/>
                <w:lang w:eastAsia="en-AU"/>
              </w:rPr>
            </w:pPr>
            <w:r w:rsidRPr="006610F1">
              <w:rPr>
                <w:rFonts w:ascii="&amp;quot" w:eastAsia="Times New Roman" w:hAnsi="&amp;quot"/>
                <w:b/>
                <w:bCs/>
                <w:color w:val="FFFFFF"/>
                <w:szCs w:val="22"/>
                <w:lang w:eastAsia="en-AU"/>
              </w:rPr>
              <w:t>WARNING STATEMENTS</w:t>
            </w:r>
          </w:p>
        </w:tc>
        <w:tc>
          <w:tcPr>
            <w:tcW w:w="2302" w:type="dxa"/>
            <w:tcBorders>
              <w:top w:val="single" w:sz="6" w:space="0" w:color="000000"/>
              <w:left w:val="single" w:sz="6" w:space="0" w:color="000000"/>
              <w:bottom w:val="single" w:sz="6" w:space="0" w:color="000000"/>
              <w:right w:val="single" w:sz="6" w:space="0" w:color="000000"/>
            </w:tcBorders>
            <w:shd w:val="clear" w:color="auto" w:fill="158ABF"/>
            <w:tcMar>
              <w:top w:w="120" w:type="dxa"/>
              <w:left w:w="120" w:type="dxa"/>
              <w:bottom w:w="120" w:type="dxa"/>
              <w:right w:w="120" w:type="dxa"/>
            </w:tcMar>
            <w:hideMark/>
          </w:tcPr>
          <w:p w14:paraId="12CCF837" w14:textId="77777777" w:rsidR="00CC19FE" w:rsidRPr="006610F1" w:rsidRDefault="00CC19FE" w:rsidP="0046191E">
            <w:pPr>
              <w:spacing w:after="120" w:line="240" w:lineRule="auto"/>
              <w:rPr>
                <w:rFonts w:ascii="&amp;quot" w:eastAsia="Times New Roman" w:hAnsi="&amp;quot"/>
                <w:b/>
                <w:bCs/>
                <w:color w:val="FFFFFF"/>
                <w:szCs w:val="22"/>
                <w:lang w:eastAsia="en-AU"/>
              </w:rPr>
            </w:pPr>
            <w:r w:rsidRPr="006610F1">
              <w:rPr>
                <w:rFonts w:ascii="&amp;quot" w:eastAsia="Times New Roman" w:hAnsi="&amp;quot"/>
                <w:b/>
                <w:bCs/>
                <w:color w:val="FFFFFF"/>
                <w:szCs w:val="22"/>
                <w:lang w:eastAsia="en-AU"/>
              </w:rPr>
              <w:t>SAFETY DIRECTION</w:t>
            </w:r>
          </w:p>
        </w:tc>
      </w:tr>
      <w:tr w:rsidR="00CC19FE" w:rsidRPr="006610F1" w14:paraId="3C6D680F" w14:textId="77777777" w:rsidTr="00574118">
        <w:tc>
          <w:tcPr>
            <w:tcW w:w="198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2D21ACAF" w14:textId="77777777" w:rsidR="00CC19FE" w:rsidRPr="002E5BE7" w:rsidRDefault="00CC19FE" w:rsidP="0046191E">
            <w:pPr>
              <w:spacing w:before="0" w:after="240" w:line="240" w:lineRule="auto"/>
              <w:rPr>
                <w:rFonts w:ascii="&amp;quot" w:eastAsia="Times New Roman" w:hAnsi="&amp;quot"/>
                <w:color w:val="00B050"/>
                <w:szCs w:val="22"/>
                <w:lang w:eastAsia="en-AU"/>
              </w:rPr>
            </w:pPr>
            <w:r w:rsidRPr="002E5BE7">
              <w:rPr>
                <w:rFonts w:ascii="&amp;quot" w:eastAsia="Times New Roman" w:hAnsi="&amp;quot"/>
                <w:color w:val="00B050"/>
                <w:szCs w:val="22"/>
                <w:lang w:eastAsia="en-AU"/>
              </w:rPr>
              <w:t>NITROUS OXIDE when included in Schedule 6.</w:t>
            </w:r>
          </w:p>
        </w:tc>
        <w:tc>
          <w:tcPr>
            <w:tcW w:w="393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7FEA8119" w14:textId="77777777" w:rsidR="00CC19FE" w:rsidRPr="002E5BE7" w:rsidRDefault="00CC19FE" w:rsidP="0046191E">
            <w:pPr>
              <w:spacing w:before="0" w:after="240" w:line="240" w:lineRule="auto"/>
              <w:rPr>
                <w:rFonts w:ascii="&amp;quot" w:eastAsia="Times New Roman" w:hAnsi="&amp;quot"/>
                <w:color w:val="00B050"/>
                <w:szCs w:val="22"/>
                <w:lang w:eastAsia="en-AU"/>
              </w:rPr>
            </w:pPr>
            <w:r w:rsidRPr="002E5BE7">
              <w:rPr>
                <w:rFonts w:ascii="&amp;quot" w:eastAsia="Times New Roman" w:hAnsi="&amp;quot"/>
                <w:b/>
                <w:bCs/>
                <w:color w:val="00B050"/>
                <w:szCs w:val="22"/>
                <w:lang w:eastAsia="en-AU"/>
              </w:rPr>
              <w:t>112</w:t>
            </w:r>
            <w:r w:rsidRPr="002E5BE7">
              <w:rPr>
                <w:rFonts w:ascii="&amp;quot" w:eastAsia="Times New Roman" w:hAnsi="&amp;quot"/>
                <w:bCs/>
                <w:color w:val="00B050"/>
                <w:szCs w:val="22"/>
                <w:lang w:eastAsia="en-AU"/>
              </w:rPr>
              <w:t xml:space="preserve"> (WARNING – May cause irreversible nerve damage if inhaled</w:t>
            </w:r>
            <w:r>
              <w:rPr>
                <w:rFonts w:ascii="&amp;quot" w:eastAsia="Times New Roman" w:hAnsi="&amp;quot"/>
                <w:bCs/>
                <w:color w:val="00B050"/>
                <w:szCs w:val="22"/>
                <w:lang w:eastAsia="en-AU"/>
              </w:rPr>
              <w:t>.</w:t>
            </w:r>
            <w:r w:rsidRPr="002E5BE7">
              <w:rPr>
                <w:rFonts w:ascii="&amp;quot" w:eastAsia="Times New Roman" w:hAnsi="&amp;quot"/>
                <w:bCs/>
                <w:color w:val="00B050"/>
                <w:szCs w:val="22"/>
                <w:lang w:eastAsia="en-AU"/>
              </w:rPr>
              <w:t>)</w:t>
            </w:r>
          </w:p>
        </w:tc>
        <w:tc>
          <w:tcPr>
            <w:tcW w:w="230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62679FE1" w14:textId="77777777" w:rsidR="00CC19FE" w:rsidRPr="002E5BE7" w:rsidRDefault="00CC19FE" w:rsidP="0046191E">
            <w:pPr>
              <w:spacing w:before="0" w:after="240" w:line="240" w:lineRule="auto"/>
              <w:rPr>
                <w:rFonts w:ascii="&amp;quot" w:eastAsia="Times New Roman" w:hAnsi="&amp;quot"/>
                <w:bCs/>
                <w:color w:val="00B050"/>
                <w:szCs w:val="22"/>
                <w:lang w:eastAsia="en-AU"/>
              </w:rPr>
            </w:pPr>
            <w:r w:rsidRPr="002E5BE7">
              <w:rPr>
                <w:rFonts w:ascii="&amp;quot" w:eastAsia="Times New Roman" w:hAnsi="&amp;quot"/>
                <w:b/>
                <w:bCs/>
                <w:color w:val="00B050"/>
                <w:szCs w:val="22"/>
                <w:lang w:eastAsia="en-AU"/>
              </w:rPr>
              <w:t>38</w:t>
            </w:r>
            <w:r w:rsidRPr="002E5BE7">
              <w:rPr>
                <w:rFonts w:ascii="&amp;quot" w:eastAsia="Times New Roman" w:hAnsi="&amp;quot"/>
                <w:bCs/>
                <w:color w:val="00B050"/>
                <w:szCs w:val="22"/>
                <w:lang w:eastAsia="en-AU"/>
              </w:rPr>
              <w:t xml:space="preserve"> (Do not intentionally inhale contents</w:t>
            </w:r>
            <w:r>
              <w:rPr>
                <w:rFonts w:ascii="&amp;quot" w:eastAsia="Times New Roman" w:hAnsi="&amp;quot"/>
                <w:bCs/>
                <w:color w:val="00B050"/>
                <w:szCs w:val="22"/>
                <w:lang w:eastAsia="en-AU"/>
              </w:rPr>
              <w:t>.</w:t>
            </w:r>
            <w:r w:rsidRPr="002E5BE7">
              <w:rPr>
                <w:rFonts w:ascii="&amp;quot" w:eastAsia="Times New Roman" w:hAnsi="&amp;quot"/>
                <w:bCs/>
                <w:color w:val="00B050"/>
                <w:szCs w:val="22"/>
                <w:lang w:eastAsia="en-AU"/>
              </w:rPr>
              <w:t>)</w:t>
            </w:r>
          </w:p>
        </w:tc>
      </w:tr>
    </w:tbl>
    <w:p w14:paraId="4C3DE1D0" w14:textId="77777777" w:rsidR="00CC19FE" w:rsidRDefault="00CC19FE" w:rsidP="00CC19FE">
      <w:pPr>
        <w:ind w:firstLine="720"/>
        <w:rPr>
          <w:b/>
        </w:rPr>
      </w:pPr>
      <w:r>
        <w:rPr>
          <w:b/>
        </w:rPr>
        <w:lastRenderedPageBreak/>
        <w:t>Index – Amend Entry</w:t>
      </w:r>
    </w:p>
    <w:p w14:paraId="7D0CC4A5" w14:textId="77777777" w:rsidR="00CC19FE" w:rsidRPr="002E5BE7" w:rsidRDefault="00CC19FE" w:rsidP="00CC19FE">
      <w:pPr>
        <w:ind w:firstLine="720"/>
        <w:rPr>
          <w:b/>
        </w:rPr>
      </w:pPr>
      <w:r w:rsidRPr="002E5BE7">
        <w:rPr>
          <w:b/>
        </w:rPr>
        <w:t>NITROUS OXIDE</w:t>
      </w:r>
    </w:p>
    <w:p w14:paraId="6DE0F735" w14:textId="382467A2" w:rsidR="00CC19FE" w:rsidRPr="00574118" w:rsidRDefault="00CC19FE" w:rsidP="00574118">
      <w:pPr>
        <w:ind w:left="709" w:firstLine="11"/>
      </w:pPr>
      <w:r w:rsidRPr="002E5BE7">
        <w:rPr>
          <w:color w:val="00B050"/>
        </w:rPr>
        <w:t>Schedule 6</w:t>
      </w:r>
      <w:r>
        <w:br/>
      </w:r>
      <w:r>
        <w:tab/>
      </w:r>
      <w:r w:rsidRPr="00DA6287">
        <w:t>Schedule 4</w:t>
      </w:r>
      <w:r>
        <w:br/>
      </w:r>
      <w:r>
        <w:tab/>
      </w:r>
      <w:r w:rsidRPr="002E5BE7">
        <w:rPr>
          <w:color w:val="00B050"/>
        </w:rPr>
        <w:t>Appendix E, Part 2</w:t>
      </w:r>
      <w:r>
        <w:br/>
      </w:r>
      <w:r>
        <w:tab/>
      </w:r>
      <w:r w:rsidRPr="002E5BE7">
        <w:rPr>
          <w:color w:val="00B050"/>
        </w:rPr>
        <w:t>Appendix F, Part 3</w:t>
      </w:r>
    </w:p>
    <w:p w14:paraId="6A78A376" w14:textId="77777777" w:rsidR="00CC19FE" w:rsidRDefault="00CC19FE" w:rsidP="00574118">
      <w:pPr>
        <w:pStyle w:val="Heading4"/>
      </w:pPr>
      <w:r>
        <w:t>Implementation of labelling requirements</w:t>
      </w:r>
    </w:p>
    <w:p w14:paraId="59FF5DF8" w14:textId="1CEBD625" w:rsidR="00B4249B" w:rsidRPr="00B81A59" w:rsidRDefault="003D6DC5" w:rsidP="00574118">
      <w:r>
        <w:t>If made final, t</w:t>
      </w:r>
      <w:r w:rsidR="00CC19FE">
        <w:t>his change</w:t>
      </w:r>
      <w:r>
        <w:t xml:space="preserve"> </w:t>
      </w:r>
      <w:r w:rsidR="00540899">
        <w:t>creates new labelling requirements</w:t>
      </w:r>
      <w:r w:rsidR="00CC19FE">
        <w:t xml:space="preserve"> for non-therapeutic nitrous oxide. </w:t>
      </w:r>
      <w:r w:rsidR="00B4249B">
        <w:t>The statem</w:t>
      </w:r>
      <w:r w:rsidR="003A46AC">
        <w:t>ents listed in Appendices</w:t>
      </w:r>
      <w:r w:rsidR="00B4249B">
        <w:t xml:space="preserve"> E and F</w:t>
      </w:r>
      <w:r w:rsidR="009E7974">
        <w:t xml:space="preserve"> </w:t>
      </w:r>
      <w:r w:rsidR="00B4249B">
        <w:t>would need to be inclu</w:t>
      </w:r>
      <w:r w:rsidR="00B4249B" w:rsidRPr="003A5893">
        <w:t xml:space="preserve">ded on </w:t>
      </w:r>
      <w:r w:rsidR="00B4249B" w:rsidRPr="00D46DA2">
        <w:t>both the immediate container and any primary pack</w:t>
      </w:r>
      <w:r w:rsidR="004159CE" w:rsidRPr="00D46DA2">
        <w:t>, along with</w:t>
      </w:r>
      <w:r w:rsidR="00B4249B" w:rsidRPr="00D46DA2">
        <w:t xml:space="preserve"> requirements set out in Part 2</w:t>
      </w:r>
      <w:r w:rsidR="002C6B14" w:rsidRPr="00D46DA2">
        <w:t>, Section 1</w:t>
      </w:r>
      <w:r w:rsidR="00B4249B" w:rsidRPr="003A5893">
        <w:t xml:space="preserve"> of the Poisons Standard</w:t>
      </w:r>
      <w:r w:rsidR="00B4249B" w:rsidRPr="00B81A59">
        <w:t xml:space="preserve">. The required label </w:t>
      </w:r>
      <w:r w:rsidR="009E7974" w:rsidRPr="00B81A59">
        <w:t xml:space="preserve">can be directly printed on, or attached to, the outside of each canister or primary pack; this may include affixing a sticker, </w:t>
      </w:r>
      <w:proofErr w:type="gramStart"/>
      <w:r w:rsidR="009E7974" w:rsidRPr="00B81A59">
        <w:t>provided that</w:t>
      </w:r>
      <w:proofErr w:type="gramEnd"/>
      <w:r w:rsidR="009E7974" w:rsidRPr="00B81A59">
        <w:t xml:space="preserve"> it is ‘securely attached’.</w:t>
      </w:r>
    </w:p>
    <w:p w14:paraId="45FB8E61" w14:textId="5E9209A3" w:rsidR="00574118" w:rsidRDefault="00A60C4B" w:rsidP="00574118">
      <w:r>
        <w:t xml:space="preserve">Part 1 of the Poisons Standard defines “measure packs” as </w:t>
      </w:r>
      <w:r w:rsidRPr="00B81A59">
        <w:t>sealed containers</w:t>
      </w:r>
      <w:r>
        <w:t>, enclosed in a primary pack,</w:t>
      </w:r>
      <w:r w:rsidRPr="00B81A59">
        <w:t xml:space="preserve"> that contain a measured quantity of a poison for use on one occasion as a domestic product or pesticide.</w:t>
      </w:r>
      <w:r>
        <w:t xml:space="preserve"> </w:t>
      </w:r>
      <w:r w:rsidRPr="00113B78">
        <w:t>Part 2, Section 1.5.1</w:t>
      </w:r>
      <w:r w:rsidRPr="003A5893">
        <w:t xml:space="preserve"> </w:t>
      </w:r>
      <w:r>
        <w:t xml:space="preserve">outlines modified labelling requirements for measure packs. </w:t>
      </w:r>
      <w:r w:rsidR="003A46AC" w:rsidRPr="003A5893">
        <w:t>The</w:t>
      </w:r>
      <w:r w:rsidR="003A46AC" w:rsidRPr="00B81A59">
        <w:t xml:space="preserve"> primary pack</w:t>
      </w:r>
      <w:r>
        <w:t xml:space="preserve"> for these products </w:t>
      </w:r>
      <w:r w:rsidR="003A46AC" w:rsidRPr="00B81A59">
        <w:t xml:space="preserve">would remain subject to all </w:t>
      </w:r>
      <w:r>
        <w:t xml:space="preserve">labelling </w:t>
      </w:r>
      <w:r w:rsidR="003A46AC" w:rsidRPr="00B81A59">
        <w:t>requirements for Schedule 6 substances, but each individual canister could use a shorter label</w:t>
      </w:r>
      <w:r>
        <w:t xml:space="preserve"> as outlined in Part 2 of the Poisons Standard</w:t>
      </w:r>
      <w:r w:rsidR="003A46AC" w:rsidRPr="00B81A59">
        <w:t>.</w:t>
      </w:r>
    </w:p>
    <w:p w14:paraId="75807BBA" w14:textId="480A4B6A" w:rsidR="003A46AC" w:rsidRPr="004159CE" w:rsidRDefault="002C6B14" w:rsidP="00574118">
      <w:r>
        <w:rPr>
          <w:noProof/>
          <w:lang w:eastAsia="en-AU"/>
        </w:rPr>
        <mc:AlternateContent>
          <mc:Choice Requires="wps">
            <w:drawing>
              <wp:inline distT="0" distB="0" distL="0" distR="0" wp14:anchorId="3BEDC4B4" wp14:editId="2C827CD9">
                <wp:extent cx="5648325" cy="542925"/>
                <wp:effectExtent l="0" t="0" r="28575" b="28575"/>
                <wp:docPr id="1" name="Rectangle 1"/>
                <wp:cNvGraphicFramePr/>
                <a:graphic xmlns:a="http://schemas.openxmlformats.org/drawingml/2006/main">
                  <a:graphicData uri="http://schemas.microsoft.com/office/word/2010/wordprocessingShape">
                    <wps:wsp>
                      <wps:cNvSpPr/>
                      <wps:spPr>
                        <a:xfrm>
                          <a:off x="0" y="0"/>
                          <a:ext cx="5648325" cy="542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BFF998" w14:textId="4DFBF5CD" w:rsidR="005A6544" w:rsidRPr="00F15078" w:rsidRDefault="005A6544" w:rsidP="002C6B14">
                            <w:pPr>
                              <w:jc w:val="center"/>
                              <w:rPr>
                                <w:color w:val="002C47" w:themeColor="text1"/>
                              </w:rPr>
                            </w:pPr>
                            <w:r w:rsidRPr="004159CE">
                              <w:rPr>
                                <w:i/>
                                <w:color w:val="002C47" w:themeColor="text1"/>
                              </w:rPr>
                              <w:t>Please see Part 2, Section 1 of the Poisons Standard for the full set of labelling requirements and exemptions tha</w:t>
                            </w:r>
                            <w:r w:rsidRPr="00F15078">
                              <w:rPr>
                                <w:i/>
                                <w:color w:val="002C47" w:themeColor="text1"/>
                              </w:rPr>
                              <w:t>t apply to Schedule 6 products</w:t>
                            </w:r>
                            <w:r w:rsidRPr="004159CE">
                              <w:rPr>
                                <w:i/>
                                <w:color w:val="002C47"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EDC4B4" id="Rectangle 1" o:spid="_x0000_s1026" style="width:444.75pt;height:4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" filled="f" strokecolor="#002c47 [3213]" strokeweight="2pt">
                <v:textbox>
                  <w:txbxContent>
                    <w:p w14:paraId="7CBFF998" w14:textId="4DFBF5CD" w:rsidR="005A6544" w:rsidRPr="00F15078" w:rsidRDefault="005A6544" w:rsidP="002C6B14">
                      <w:pPr>
                        <w:jc w:val="center"/>
                        <w:rPr>
                          <w:color w:val="002C47" w:themeColor="text1"/>
                        </w:rPr>
                      </w:pPr>
                      <w:r w:rsidRPr="004159CE">
                        <w:rPr>
                          <w:i/>
                          <w:color w:val="002C47" w:themeColor="text1"/>
                        </w:rPr>
                        <w:t>Please see Part 2, Section 1 of the Poisons Standard for the full set of labelling requirements and exemptions tha</w:t>
                      </w:r>
                      <w:r w:rsidRPr="00F15078">
                        <w:rPr>
                          <w:i/>
                          <w:color w:val="002C47" w:themeColor="text1"/>
                        </w:rPr>
                        <w:t>t apply to Schedule 6 products</w:t>
                      </w:r>
                      <w:r w:rsidRPr="004159CE">
                        <w:rPr>
                          <w:i/>
                          <w:color w:val="002C47" w:themeColor="text1"/>
                        </w:rPr>
                        <w:t>.</w:t>
                      </w:r>
                    </w:p>
                  </w:txbxContent>
                </v:textbox>
                <w10:anchorlock/>
              </v:rect>
            </w:pict>
          </mc:Fallback>
        </mc:AlternateContent>
      </w:r>
    </w:p>
    <w:p w14:paraId="493292BA" w14:textId="77777777" w:rsidR="00CC19FE" w:rsidRDefault="00CC19FE" w:rsidP="00CC19FE">
      <w:pPr>
        <w:pStyle w:val="Heading4"/>
      </w:pPr>
      <w:r>
        <w:t>Materials considered</w:t>
      </w:r>
    </w:p>
    <w:p w14:paraId="3433D372" w14:textId="77777777" w:rsidR="00CC19FE" w:rsidRDefault="00CC19FE" w:rsidP="00CC19FE">
      <w:r>
        <w:t>In making this interim decision, the Delegate considered the following material:</w:t>
      </w:r>
    </w:p>
    <w:p w14:paraId="43438924" w14:textId="77777777" w:rsidR="00CC19FE" w:rsidRDefault="00CC19FE" w:rsidP="00CC19FE">
      <w:pPr>
        <w:pStyle w:val="ListBullet"/>
        <w:numPr>
          <w:ilvl w:val="0"/>
          <w:numId w:val="1"/>
        </w:numPr>
      </w:pPr>
      <w:r w:rsidRPr="000E0D69">
        <w:t xml:space="preserve">The </w:t>
      </w:r>
      <w:hyperlink r:id="rId13" w:history="1">
        <w:r w:rsidRPr="00D70DC2">
          <w:rPr>
            <w:rStyle w:val="Hyperlink"/>
          </w:rPr>
          <w:t>application</w:t>
        </w:r>
      </w:hyperlink>
      <w:r w:rsidRPr="000E0D69">
        <w:t xml:space="preserve"> to amend the</w:t>
      </w:r>
      <w:r>
        <w:t xml:space="preserve"> current Poisons Standard with respect to nitrous oxide;</w:t>
      </w:r>
    </w:p>
    <w:p w14:paraId="10F103EC" w14:textId="77777777" w:rsidR="00CC19FE" w:rsidRDefault="00CC19FE" w:rsidP="00574118">
      <w:pPr>
        <w:pStyle w:val="ListBullet"/>
      </w:pPr>
      <w:r>
        <w:t>The 78</w:t>
      </w:r>
      <w:r w:rsidRPr="000E0D69">
        <w:t xml:space="preserve"> </w:t>
      </w:r>
      <w:hyperlink r:id="rId14" w:history="1">
        <w:r w:rsidRPr="00905BFB">
          <w:rPr>
            <w:rStyle w:val="Hyperlink"/>
          </w:rPr>
          <w:t>public submissions</w:t>
        </w:r>
      </w:hyperlink>
      <w:r w:rsidRPr="000710CB">
        <w:rPr>
          <w:rStyle w:val="Hyperlink"/>
        </w:rPr>
        <w:t>,</w:t>
      </w:r>
      <w:r w:rsidRPr="000710CB">
        <w:t xml:space="preserve"> including </w:t>
      </w:r>
      <w:r>
        <w:t>15</w:t>
      </w:r>
      <w:r w:rsidRPr="00C85183">
        <w:t xml:space="preserve"> written submissions, </w:t>
      </w:r>
      <w:r>
        <w:t xml:space="preserve">received in response to the </w:t>
      </w:r>
      <w:hyperlink r:id="rId15" w:history="1">
        <w:r w:rsidRPr="00A825A4">
          <w:rPr>
            <w:rStyle w:val="Hyperlink"/>
          </w:rPr>
          <w:t>pre-meeting consultation</w:t>
        </w:r>
      </w:hyperlink>
      <w:r w:rsidRPr="00A825A4">
        <w:t xml:space="preserve"> und</w:t>
      </w:r>
      <w:r>
        <w:t xml:space="preserve">er </w:t>
      </w:r>
      <w:r w:rsidRPr="00574118">
        <w:t>regulation</w:t>
      </w:r>
      <w:r>
        <w:t xml:space="preserve"> 42ZCZK of the Regulations;</w:t>
      </w:r>
    </w:p>
    <w:p w14:paraId="0930200C" w14:textId="77777777" w:rsidR="00CC19FE" w:rsidRDefault="00CC19FE" w:rsidP="00CC19FE">
      <w:pPr>
        <w:pStyle w:val="ListBullet"/>
        <w:numPr>
          <w:ilvl w:val="0"/>
          <w:numId w:val="1"/>
        </w:numPr>
      </w:pPr>
      <w:r>
        <w:t>The advice received from the m</w:t>
      </w:r>
      <w:r w:rsidRPr="00A825A4">
        <w:t xml:space="preserve">eeting of the </w:t>
      </w:r>
      <w:r>
        <w:t>A</w:t>
      </w:r>
      <w:r w:rsidRPr="00344CA2">
        <w:t>dvisory Committee on Medicines and Chemicals Scheduling in jo</w:t>
      </w:r>
      <w:r>
        <w:t>int session (Joint ACMS-ACCS #27</w:t>
      </w:r>
      <w:proofErr w:type="gramStart"/>
      <w:r w:rsidRPr="00344CA2">
        <w:t>);</w:t>
      </w:r>
      <w:proofErr w:type="gramEnd"/>
    </w:p>
    <w:p w14:paraId="164A1F63" w14:textId="77777777" w:rsidR="00CC19FE" w:rsidRDefault="00CC19FE" w:rsidP="00CC19FE">
      <w:pPr>
        <w:pStyle w:val="ListBullet"/>
        <w:numPr>
          <w:ilvl w:val="0"/>
          <w:numId w:val="1"/>
        </w:numPr>
      </w:pPr>
      <w:r>
        <w:t xml:space="preserve">Subsection 52E(1) of the </w:t>
      </w:r>
      <w:r w:rsidRPr="00FC4D25">
        <w:rPr>
          <w:i/>
        </w:rPr>
        <w:t xml:space="preserve">Therapeutic Goods Act 1989, </w:t>
      </w:r>
      <w:r w:rsidRPr="001169AC">
        <w:t xml:space="preserve">in particular </w:t>
      </w:r>
      <w:r>
        <w:t>(</w:t>
      </w:r>
      <w:r>
        <w:rPr>
          <w:szCs w:val="22"/>
        </w:rPr>
        <w:t>a) risks and benefits of the use of a substance; (b) the purpose for which a substance is to be used and the and extent of use; (c) the toxicity of a substance; (d) the dosage, formulation, labelling, packaging and presentation of a substance; (e) the potential for abuse of a substance; and (f) any other matters that the Secretary considers necessary to protect public health;</w:t>
      </w:r>
    </w:p>
    <w:p w14:paraId="34A2E731" w14:textId="5611A093" w:rsidR="00CC19FE" w:rsidRDefault="00CC19FE" w:rsidP="00CC19FE">
      <w:pPr>
        <w:pStyle w:val="ListBullet"/>
        <w:numPr>
          <w:ilvl w:val="0"/>
          <w:numId w:val="1"/>
        </w:numPr>
      </w:pPr>
      <w:r w:rsidRPr="002C1418">
        <w:t xml:space="preserve">The Australian Health Ministers’ Advisory Council’s </w:t>
      </w:r>
      <w:hyperlink r:id="rId16" w:history="1">
        <w:r w:rsidRPr="001A7580">
          <w:rPr>
            <w:rStyle w:val="Hyperlink"/>
          </w:rPr>
          <w:t>Scheduling Policy Framework</w:t>
        </w:r>
      </w:hyperlink>
      <w:r>
        <w:t xml:space="preserve"> (SPF 2018</w:t>
      </w:r>
      <w:r w:rsidRPr="002C20AE">
        <w:t>);</w:t>
      </w:r>
    </w:p>
    <w:p w14:paraId="688C0E8D" w14:textId="18F95F80" w:rsidR="00CC19FE" w:rsidRDefault="00CC19FE" w:rsidP="00CC19FE">
      <w:pPr>
        <w:pStyle w:val="ListBullet"/>
        <w:numPr>
          <w:ilvl w:val="0"/>
          <w:numId w:val="1"/>
        </w:numPr>
      </w:pPr>
      <w:r>
        <w:t xml:space="preserve">The </w:t>
      </w:r>
      <w:hyperlink r:id="rId17" w:history="1">
        <w:r w:rsidRPr="001A7580">
          <w:rPr>
            <w:rStyle w:val="Hyperlink"/>
          </w:rPr>
          <w:t>Scheduling handbook: Guidance for amending the Poisons Standard</w:t>
        </w:r>
      </w:hyperlink>
      <w:r w:rsidR="00041484">
        <w:t>;</w:t>
      </w:r>
    </w:p>
    <w:p w14:paraId="31D17742" w14:textId="47AE1D3E" w:rsidR="00041484" w:rsidRDefault="00041484" w:rsidP="00041484">
      <w:pPr>
        <w:pStyle w:val="ListBullet"/>
      </w:pPr>
      <w:r>
        <w:t xml:space="preserve">A review by </w:t>
      </w:r>
      <w:proofErr w:type="spellStart"/>
      <w:r>
        <w:t>Garakani</w:t>
      </w:r>
      <w:proofErr w:type="spellEnd"/>
      <w:r>
        <w:t xml:space="preserve"> et al.,</w:t>
      </w:r>
      <w:r w:rsidRPr="00041484">
        <w:t xml:space="preserve"> </w:t>
      </w:r>
      <w:hyperlink r:id="rId18" w:history="1">
        <w:r w:rsidRPr="00041484">
          <w:rPr>
            <w:rStyle w:val="Hyperlink"/>
          </w:rPr>
          <w:t>Neurologic, psychiatric, and other medical manifestations of nitrous oxide abuse: A systematic review of the case literature</w:t>
        </w:r>
      </w:hyperlink>
      <w:r>
        <w:t>;</w:t>
      </w:r>
    </w:p>
    <w:p w14:paraId="7DA4B108" w14:textId="01B1D73A" w:rsidR="00041484" w:rsidRDefault="00041484" w:rsidP="00041484">
      <w:pPr>
        <w:pStyle w:val="ListBullet"/>
      </w:pPr>
      <w:r>
        <w:t xml:space="preserve">A case report and review by </w:t>
      </w:r>
      <w:proofErr w:type="spellStart"/>
      <w:r>
        <w:t>Hathout</w:t>
      </w:r>
      <w:proofErr w:type="spellEnd"/>
      <w:r>
        <w:t xml:space="preserve"> and El-</w:t>
      </w:r>
      <w:proofErr w:type="spellStart"/>
      <w:r>
        <w:t>Saden</w:t>
      </w:r>
      <w:proofErr w:type="spellEnd"/>
      <w:r>
        <w:t xml:space="preserve">, </w:t>
      </w:r>
      <w:hyperlink r:id="rId19" w:history="1">
        <w:r w:rsidRPr="00023904">
          <w:rPr>
            <w:rStyle w:val="Hyperlink"/>
          </w:rPr>
          <w:t>Nitrous oxide-induced B</w:t>
        </w:r>
        <w:r w:rsidRPr="00023904">
          <w:rPr>
            <w:rStyle w:val="Hyperlink"/>
            <w:vertAlign w:val="subscript"/>
          </w:rPr>
          <w:t>12</w:t>
        </w:r>
        <w:r w:rsidRPr="00023904">
          <w:rPr>
            <w:rStyle w:val="Hyperlink"/>
          </w:rPr>
          <w:t xml:space="preserve"> deficiency myelopathy: Perspectives on the clinical biochemistry of vitamin B</w:t>
        </w:r>
        <w:r w:rsidRPr="00023904">
          <w:rPr>
            <w:rStyle w:val="Hyperlink"/>
            <w:vertAlign w:val="subscript"/>
          </w:rPr>
          <w:t>12</w:t>
        </w:r>
      </w:hyperlink>
      <w:r w:rsidR="00023904">
        <w:t>;</w:t>
      </w:r>
    </w:p>
    <w:p w14:paraId="1E9A78BB" w14:textId="788A816C" w:rsidR="00023904" w:rsidRDefault="00023904" w:rsidP="00023904">
      <w:pPr>
        <w:pStyle w:val="ListBullet"/>
      </w:pPr>
      <w:r>
        <w:lastRenderedPageBreak/>
        <w:t xml:space="preserve">A letter by Blair et al., </w:t>
      </w:r>
      <w:hyperlink r:id="rId20" w:history="1">
        <w:r w:rsidRPr="00023904">
          <w:rPr>
            <w:rStyle w:val="Hyperlink"/>
          </w:rPr>
          <w:t>Vitamin B</w:t>
        </w:r>
        <w:r w:rsidRPr="00023904">
          <w:rPr>
            <w:rStyle w:val="Hyperlink"/>
            <w:vertAlign w:val="subscript"/>
          </w:rPr>
          <w:t>12</w:t>
        </w:r>
        <w:r w:rsidRPr="00023904">
          <w:rPr>
            <w:rStyle w:val="Hyperlink"/>
          </w:rPr>
          <w:t xml:space="preserve"> supplementation futile for preventing demyelination in ongoing nitrous oxide misuse</w:t>
        </w:r>
      </w:hyperlink>
      <w:r>
        <w:t>;</w:t>
      </w:r>
    </w:p>
    <w:p w14:paraId="691AF082" w14:textId="34185344" w:rsidR="00023904" w:rsidRDefault="00023904" w:rsidP="00023904">
      <w:pPr>
        <w:pStyle w:val="ListBullet"/>
      </w:pPr>
      <w:r>
        <w:t xml:space="preserve">A dataset collected by the UK Office for National Statistics; </w:t>
      </w:r>
      <w:hyperlink r:id="rId21" w:history="1">
        <w:r w:rsidRPr="00023904">
          <w:rPr>
            <w:rStyle w:val="Hyperlink"/>
          </w:rPr>
          <w:t>Deaths related to volatile substance abuse and helium, Great Britain</w:t>
        </w:r>
      </w:hyperlink>
      <w:r>
        <w:t>; and</w:t>
      </w:r>
    </w:p>
    <w:p w14:paraId="243F39A3" w14:textId="03335D15" w:rsidR="00023904" w:rsidRDefault="00023904" w:rsidP="00023904">
      <w:pPr>
        <w:pStyle w:val="ListBullet"/>
      </w:pPr>
      <w:r>
        <w:t xml:space="preserve">A </w:t>
      </w:r>
      <w:hyperlink r:id="rId22" w:history="1">
        <w:r w:rsidRPr="00023904">
          <w:rPr>
            <w:rStyle w:val="Hyperlink"/>
          </w:rPr>
          <w:t>safety data sheet</w:t>
        </w:r>
      </w:hyperlink>
      <w:r>
        <w:t xml:space="preserve"> for compressed nitrous oxide.</w:t>
      </w:r>
    </w:p>
    <w:p w14:paraId="60172990" w14:textId="77777777" w:rsidR="00CC19FE" w:rsidRPr="00941C4E" w:rsidRDefault="00CC19FE" w:rsidP="00CC19FE">
      <w:pPr>
        <w:pStyle w:val="Heading4"/>
        <w:rPr>
          <w:rFonts w:eastAsia="Cambria"/>
        </w:rPr>
      </w:pPr>
      <w:r w:rsidRPr="00941C4E">
        <w:rPr>
          <w:rFonts w:eastAsia="Cambria"/>
        </w:rPr>
        <w:t xml:space="preserve">Summary of </w:t>
      </w:r>
      <w:r>
        <w:rPr>
          <w:rFonts w:eastAsia="Cambria"/>
        </w:rPr>
        <w:t xml:space="preserve">Joint </w:t>
      </w:r>
      <w:r w:rsidRPr="00941C4E">
        <w:rPr>
          <w:rFonts w:eastAsia="Cambria"/>
        </w:rPr>
        <w:t>ACMS</w:t>
      </w:r>
      <w:r>
        <w:rPr>
          <w:rFonts w:eastAsia="Cambria"/>
        </w:rPr>
        <w:t>-ACCS</w:t>
      </w:r>
      <w:r w:rsidRPr="00941C4E">
        <w:rPr>
          <w:rFonts w:eastAsia="Cambria"/>
        </w:rPr>
        <w:t xml:space="preserve"> advice to the Delegate</w:t>
      </w:r>
    </w:p>
    <w:p w14:paraId="73A25A31" w14:textId="7D49FED7" w:rsidR="00CC19FE" w:rsidRDefault="00CC19FE" w:rsidP="00CC19FE">
      <w:r>
        <w:t>The Committee advised that the current scheduling for nitrous oxide remains appropriate.</w:t>
      </w:r>
    </w:p>
    <w:p w14:paraId="366B04AF" w14:textId="77777777" w:rsidR="00CC19FE" w:rsidRDefault="00CC19FE" w:rsidP="00574118">
      <w:r>
        <w:t xml:space="preserve">Members agreed that the relevant matters under Section 52E(1) of the </w:t>
      </w:r>
      <w:r w:rsidRPr="00AC262B">
        <w:rPr>
          <w:i/>
        </w:rPr>
        <w:t>Therapeutic Goods Act 1989</w:t>
      </w:r>
      <w:r>
        <w:t xml:space="preserve"> included (a) risks and benefits of the use of a substance; (b) the purpose for which a substance is to be used and the and extent of use; (c) the toxicity of a substance; (d) the dosage, formulation, labelling, packaging and presentation of a substance; (e) the potential for abuse of a substance; and (f) any other matters that the Secretary considers necessary to protect public health.</w:t>
      </w:r>
    </w:p>
    <w:p w14:paraId="429F8338" w14:textId="77777777" w:rsidR="00CC19FE" w:rsidRDefault="00CC19FE" w:rsidP="00CC19FE">
      <w:r>
        <w:t>The reasons for the advice included:</w:t>
      </w:r>
    </w:p>
    <w:p w14:paraId="7C79C66B" w14:textId="77777777" w:rsidR="00CC19FE" w:rsidRDefault="00CC19FE" w:rsidP="00574118">
      <w:pPr>
        <w:pStyle w:val="Numberbullet2aitalicised"/>
      </w:pPr>
      <w:r w:rsidRPr="00CF2484">
        <w:t>the risks and benefits of the use of a substance</w:t>
      </w:r>
    </w:p>
    <w:p w14:paraId="66BDF739" w14:textId="77777777" w:rsidR="00CC19FE" w:rsidRDefault="00CC19FE" w:rsidP="00574118">
      <w:pPr>
        <w:pStyle w:val="ListBullet2"/>
      </w:pPr>
      <w:r w:rsidRPr="00574118">
        <w:t>Benefits</w:t>
      </w:r>
      <w:r>
        <w:t>:</w:t>
      </w:r>
    </w:p>
    <w:p w14:paraId="20C22565" w14:textId="77777777" w:rsidR="00CC19FE" w:rsidRDefault="00CC19FE" w:rsidP="00574118">
      <w:pPr>
        <w:pStyle w:val="ListBullet3"/>
      </w:pPr>
      <w:r w:rsidRPr="00607C22">
        <w:t xml:space="preserve">Benefits in therapeutic use </w:t>
      </w:r>
      <w:r w:rsidRPr="00574118">
        <w:t>are</w:t>
      </w:r>
      <w:r>
        <w:t xml:space="preserve"> </w:t>
      </w:r>
      <w:r w:rsidRPr="00607C22">
        <w:t>well established.</w:t>
      </w:r>
    </w:p>
    <w:p w14:paraId="53214571" w14:textId="167361E3" w:rsidR="00CC19FE" w:rsidRDefault="00CC19FE" w:rsidP="00574118">
      <w:pPr>
        <w:pStyle w:val="ListBullet3"/>
      </w:pPr>
      <w:r>
        <w:t>No benefit of intentional mis</w:t>
      </w:r>
      <w:r w:rsidRPr="00607C22">
        <w:t>use</w:t>
      </w:r>
      <w:r>
        <w:t xml:space="preserve"> in humans</w:t>
      </w:r>
      <w:r w:rsidRPr="00607C22">
        <w:t>.</w:t>
      </w:r>
    </w:p>
    <w:p w14:paraId="3E71F145" w14:textId="1AC0B99E" w:rsidR="00CC19FE" w:rsidRPr="00FF04CB" w:rsidRDefault="00CC19FE" w:rsidP="00574118">
      <w:pPr>
        <w:pStyle w:val="ListBullet3"/>
      </w:pPr>
      <w:r w:rsidRPr="00607C22">
        <w:t>Widely used as a food additive and</w:t>
      </w:r>
      <w:r>
        <w:t xml:space="preserve"> there are no other gas replacements </w:t>
      </w:r>
      <w:r w:rsidRPr="00FF04CB">
        <w:t>that are as suitable</w:t>
      </w:r>
      <w:r w:rsidR="00574118">
        <w:t>.</w:t>
      </w:r>
    </w:p>
    <w:p w14:paraId="3441A927" w14:textId="77777777" w:rsidR="00CC19FE" w:rsidRDefault="00CC19FE" w:rsidP="00574118">
      <w:pPr>
        <w:pStyle w:val="ListBullet2"/>
      </w:pPr>
      <w:r>
        <w:t>Risks:</w:t>
      </w:r>
    </w:p>
    <w:p w14:paraId="560302C6" w14:textId="6E9DB172" w:rsidR="00CC19FE" w:rsidRPr="00574118" w:rsidRDefault="00CC19FE" w:rsidP="00574118">
      <w:pPr>
        <w:pStyle w:val="ListBullet3"/>
      </w:pPr>
      <w:r w:rsidRPr="00607C22">
        <w:t xml:space="preserve">Risk of temporary or permanent haematological or neurological damage with prolonged or </w:t>
      </w:r>
      <w:proofErr w:type="gramStart"/>
      <w:r w:rsidRPr="00607C22">
        <w:t>high volume</w:t>
      </w:r>
      <w:proofErr w:type="gramEnd"/>
      <w:r w:rsidRPr="00607C22">
        <w:t xml:space="preserve"> </w:t>
      </w:r>
      <w:r w:rsidRPr="00574118">
        <w:t>inappropriate use.</w:t>
      </w:r>
    </w:p>
    <w:p w14:paraId="4C8E5C51" w14:textId="77777777" w:rsidR="00CC19FE" w:rsidRPr="00574118" w:rsidRDefault="00CC19FE" w:rsidP="00574118">
      <w:pPr>
        <w:pStyle w:val="ListBullet3"/>
      </w:pPr>
      <w:r w:rsidRPr="00574118">
        <w:t>Risk of fatal asphyxiation with high volume use.</w:t>
      </w:r>
    </w:p>
    <w:p w14:paraId="0C7868F8" w14:textId="77777777" w:rsidR="00CC19FE" w:rsidRPr="00574118" w:rsidRDefault="00CC19FE" w:rsidP="00574118">
      <w:pPr>
        <w:pStyle w:val="ListBullet3"/>
      </w:pPr>
      <w:r w:rsidRPr="00574118">
        <w:t>Low risk at small volumes.</w:t>
      </w:r>
    </w:p>
    <w:p w14:paraId="025FA7E5" w14:textId="32AD5475" w:rsidR="00CC19FE" w:rsidRPr="00574118" w:rsidRDefault="00CC19FE" w:rsidP="00574118">
      <w:pPr>
        <w:pStyle w:val="ListBullet3"/>
      </w:pPr>
      <w:r w:rsidRPr="00574118">
        <w:t>Non-toxic when used as a food additive.</w:t>
      </w:r>
    </w:p>
    <w:p w14:paraId="2AB8BFB4" w14:textId="77777777" w:rsidR="00CC19FE" w:rsidRDefault="00CC19FE" w:rsidP="00574118">
      <w:pPr>
        <w:pStyle w:val="Numberbullet2aitalicised"/>
      </w:pPr>
      <w:r w:rsidRPr="00CF2484">
        <w:t>the purposes for which a substance is to be used and the extent of use of a substance</w:t>
      </w:r>
    </w:p>
    <w:p w14:paraId="0C9F291F" w14:textId="77777777" w:rsidR="00CC19FE" w:rsidRDefault="00CC19FE" w:rsidP="00574118">
      <w:pPr>
        <w:pStyle w:val="ListBullet2"/>
      </w:pPr>
      <w:r>
        <w:t>Used therapeutically as an analgesic/anaesthetic agent</w:t>
      </w:r>
    </w:p>
    <w:p w14:paraId="50F954BD" w14:textId="77777777" w:rsidR="00CC19FE" w:rsidRDefault="00CC19FE" w:rsidP="00574118">
      <w:pPr>
        <w:pStyle w:val="ListBullet2"/>
      </w:pPr>
      <w:r>
        <w:t xml:space="preserve">Legitimate non-therapeutic uses </w:t>
      </w:r>
      <w:proofErr w:type="gramStart"/>
      <w:r>
        <w:t>include;</w:t>
      </w:r>
      <w:proofErr w:type="gramEnd"/>
      <w:r>
        <w:t xml:space="preserve"> creating whipped cream, mousses and foams; infusing flavours into drinks in the restaurant and catering industry; nitrous oxide injection systems for racing cars; and various scientific applications.</w:t>
      </w:r>
    </w:p>
    <w:p w14:paraId="0834C5A2" w14:textId="77777777" w:rsidR="00CC19FE" w:rsidRDefault="00CC19FE" w:rsidP="00574118">
      <w:pPr>
        <w:pStyle w:val="Numberbullet2aitalicised"/>
      </w:pPr>
      <w:r w:rsidRPr="003D2FFB">
        <w:t>the toxicity of a substance</w:t>
      </w:r>
    </w:p>
    <w:p w14:paraId="6B8E8BB3" w14:textId="77777777" w:rsidR="00CC19FE" w:rsidRPr="00607C22" w:rsidRDefault="00CC19FE" w:rsidP="00574118">
      <w:pPr>
        <w:pStyle w:val="ListBullet2"/>
      </w:pPr>
      <w:r w:rsidRPr="00607C22">
        <w:t>Low toxicity when small amounts are inhaled for recreational use. Significant toxicity when larger quantities are inhaled for longer periods. The cut-off for increased risk of adverse health outcomes</w:t>
      </w:r>
      <w:r>
        <w:t xml:space="preserve"> from inhaling large quantities</w:t>
      </w:r>
      <w:r w:rsidRPr="00607C22">
        <w:t xml:space="preserve"> is currently unknown.</w:t>
      </w:r>
    </w:p>
    <w:p w14:paraId="5692468A" w14:textId="77777777" w:rsidR="00CC19FE" w:rsidRDefault="00CC19FE" w:rsidP="00574118">
      <w:pPr>
        <w:pStyle w:val="ListBullet2"/>
      </w:pPr>
      <w:r w:rsidRPr="00607C22">
        <w:t>Deactivates vitamin B12</w:t>
      </w:r>
      <w:r>
        <w:t>,</w:t>
      </w:r>
      <w:r w:rsidRPr="00607C22">
        <w:t xml:space="preserve"> leading to possible neurological a</w:t>
      </w:r>
      <w:r>
        <w:t>nd haematological consequences.</w:t>
      </w:r>
    </w:p>
    <w:p w14:paraId="44A9075B" w14:textId="60FFB0DA" w:rsidR="00CC19FE" w:rsidRPr="00607C22" w:rsidRDefault="00CC19FE" w:rsidP="00574118">
      <w:pPr>
        <w:pStyle w:val="ListBullet2"/>
      </w:pPr>
      <w:r>
        <w:t>Negligible risk associated with legitimate</w:t>
      </w:r>
      <w:r w:rsidRPr="00607C22">
        <w:t xml:space="preserve"> industrial use (e</w:t>
      </w:r>
      <w:r>
        <w:t>.</w:t>
      </w:r>
      <w:r w:rsidRPr="00607C22">
        <w:t>g</w:t>
      </w:r>
      <w:r>
        <w:t>.</w:t>
      </w:r>
      <w:r w:rsidRPr="00607C22">
        <w:t xml:space="preserve"> catering). </w:t>
      </w:r>
      <w:r>
        <w:t xml:space="preserve">Therapeutic use is already appropriately </w:t>
      </w:r>
      <w:r w:rsidRPr="00607C22">
        <w:t xml:space="preserve">regulated </w:t>
      </w:r>
      <w:r>
        <w:t>and does not require further risk mitigation.</w:t>
      </w:r>
    </w:p>
    <w:p w14:paraId="238C0521" w14:textId="77777777" w:rsidR="00CC19FE" w:rsidRDefault="00CC19FE" w:rsidP="00574118">
      <w:pPr>
        <w:pStyle w:val="Numberbullet2aitalicised"/>
      </w:pPr>
      <w:r w:rsidRPr="00574118">
        <w:lastRenderedPageBreak/>
        <w:t>the</w:t>
      </w:r>
      <w:r w:rsidRPr="003D2FFB">
        <w:t xml:space="preserve"> dosage, formulation, labelling, </w:t>
      </w:r>
      <w:proofErr w:type="gramStart"/>
      <w:r w:rsidRPr="003D2FFB">
        <w:t>packaging</w:t>
      </w:r>
      <w:proofErr w:type="gramEnd"/>
      <w:r w:rsidRPr="003D2FFB">
        <w:t xml:space="preserve"> and presentation of a substance</w:t>
      </w:r>
    </w:p>
    <w:p w14:paraId="4DAD7903" w14:textId="047B530B" w:rsidR="00CC19FE" w:rsidRDefault="00CC19FE" w:rsidP="00574118">
      <w:pPr>
        <w:pStyle w:val="ListBullet2"/>
      </w:pPr>
      <w:r>
        <w:t>Most misuse involves the use of small 8 g metal ‘bulbs’ of nitrous oxide intended for use in cream whipping devices. As these bulbs are not intended for human consumption via inhalation, they do not include any safety labelling.</w:t>
      </w:r>
    </w:p>
    <w:p w14:paraId="13084082" w14:textId="77777777" w:rsidR="00CC19FE" w:rsidRDefault="00CC19FE" w:rsidP="00574118">
      <w:pPr>
        <w:pStyle w:val="ListBullet2"/>
      </w:pPr>
      <w:r>
        <w:t>There is some evidence of recreational users sourcing larger cylinders intended for use with bulk cream whipping devices. There have also been some reports of medicinal nitrous oxide (Schedule 4) being diverted for recreational use.</w:t>
      </w:r>
    </w:p>
    <w:p w14:paraId="3E9F7B97" w14:textId="0A2D70F7" w:rsidR="00CC19FE" w:rsidRDefault="00CC19FE" w:rsidP="00574118">
      <w:pPr>
        <w:pStyle w:val="ListBullet2"/>
        <w:rPr>
          <w:lang w:eastAsia="en-AU"/>
        </w:rPr>
      </w:pPr>
      <w:r>
        <w:rPr>
          <w:lang w:eastAsia="en-AU"/>
        </w:rPr>
        <w:t>The proposed scheduling risks diverting the misuse of the substance to larger volume canisters. This may lead to increased adverse public health outcomes.</w:t>
      </w:r>
    </w:p>
    <w:p w14:paraId="07552AD2" w14:textId="77777777" w:rsidR="00CC19FE" w:rsidRDefault="00CC19FE" w:rsidP="00574118">
      <w:pPr>
        <w:pStyle w:val="Numberbullet2aitalicised"/>
      </w:pPr>
      <w:r w:rsidRPr="003D2FFB">
        <w:t>the potential for abuse of a substance</w:t>
      </w:r>
    </w:p>
    <w:p w14:paraId="69588165" w14:textId="0C536E67" w:rsidR="00CC19FE" w:rsidRDefault="00CC19FE" w:rsidP="00574118">
      <w:pPr>
        <w:pStyle w:val="ListBullet2"/>
      </w:pPr>
      <w:r>
        <w:t>There are increasing reports of misuse, mostly involving low volume intermittent use.</w:t>
      </w:r>
    </w:p>
    <w:p w14:paraId="0368E7FF" w14:textId="77777777" w:rsidR="00CC19FE" w:rsidRDefault="00CC19FE" w:rsidP="00574118">
      <w:pPr>
        <w:pStyle w:val="ListBullet2"/>
      </w:pPr>
      <w:r>
        <w:t>There is evidence that some recreational users are increasing their typical dosages, and misusing nitrous oxide for longer periods of time, with consequential increased health harms.</w:t>
      </w:r>
    </w:p>
    <w:p w14:paraId="6A98CF1E" w14:textId="77777777" w:rsidR="00CC19FE" w:rsidRDefault="00CC19FE" w:rsidP="00574118">
      <w:pPr>
        <w:pStyle w:val="Numberbullet2aitalicised"/>
      </w:pPr>
      <w:r w:rsidRPr="00EC2A85">
        <w:t>any other matters that the Secretary considers necessary to protect public health</w:t>
      </w:r>
    </w:p>
    <w:p w14:paraId="034E958F" w14:textId="77777777" w:rsidR="00CC19FE" w:rsidRDefault="00CC19FE" w:rsidP="00574118">
      <w:pPr>
        <w:pStyle w:val="ListBullet2"/>
        <w:rPr>
          <w:lang w:eastAsia="en-AU"/>
        </w:rPr>
      </w:pPr>
      <w:r>
        <w:rPr>
          <w:lang w:eastAsia="en-AU"/>
        </w:rPr>
        <w:t>Nitrous oxide for non-therapeutic use does not closely fit the scheduling factors for any single schedule. If it were to be scheduled, Schedules 5 or 6 may be the most appropriate category for uses other than inhalation outside a supervised clinical setting (which aligns with Schedule 10).</w:t>
      </w:r>
    </w:p>
    <w:p w14:paraId="78CC3263" w14:textId="77777777" w:rsidR="00CC19FE" w:rsidRDefault="00CC19FE" w:rsidP="00574118">
      <w:pPr>
        <w:pStyle w:val="ListBullet2"/>
        <w:rPr>
          <w:lang w:eastAsia="en-AU"/>
        </w:rPr>
      </w:pPr>
      <w:r>
        <w:rPr>
          <w:lang w:eastAsia="en-AU"/>
        </w:rPr>
        <w:t>States and territories have been implementing their own restrictions.</w:t>
      </w:r>
    </w:p>
    <w:p w14:paraId="4CB5FCF2" w14:textId="77777777" w:rsidR="00CC19FE" w:rsidRPr="00806300" w:rsidRDefault="00CC19FE" w:rsidP="00574118">
      <w:pPr>
        <w:pStyle w:val="Heading4"/>
        <w:rPr>
          <w:lang w:eastAsia="en-AU"/>
        </w:rPr>
      </w:pPr>
      <w:r w:rsidRPr="00FB1D0C">
        <w:t xml:space="preserve">Reasons for the interim decision (including </w:t>
      </w:r>
      <w:r w:rsidRPr="00574118">
        <w:t>findings</w:t>
      </w:r>
      <w:r w:rsidRPr="00FB1D0C">
        <w:t xml:space="preserve"> on material questions of fact)</w:t>
      </w:r>
    </w:p>
    <w:p w14:paraId="7CB5BFEE" w14:textId="59942ACB" w:rsidR="00CC19FE" w:rsidRPr="002C3AD8" w:rsidRDefault="00CC19FE" w:rsidP="00574118">
      <w:r w:rsidRPr="002C3AD8">
        <w:t>I have</w:t>
      </w:r>
      <w:r>
        <w:t xml:space="preserve"> decided</w:t>
      </w:r>
      <w:r w:rsidRPr="002C3AD8">
        <w:t xml:space="preserve"> </w:t>
      </w:r>
      <w:r>
        <w:t xml:space="preserve">not to create a Schedule 10 entry for nitrous oxide as proposed by the applicant, though I am of the view that the substance requires scheduling to mitigate its </w:t>
      </w:r>
      <w:r w:rsidR="00735C0B">
        <w:t>mis</w:t>
      </w:r>
      <w:r>
        <w:t xml:space="preserve">use. As such, I have made an interim decision </w:t>
      </w:r>
      <w:r w:rsidRPr="002C3AD8">
        <w:t>to create a new Schedule 6 entry for nitrous oxide that captures</w:t>
      </w:r>
      <w:r>
        <w:t xml:space="preserve"> all </w:t>
      </w:r>
      <w:r w:rsidRPr="002C3AD8">
        <w:t xml:space="preserve">non-therapeutic uses of the </w:t>
      </w:r>
      <w:r>
        <w:t>substance</w:t>
      </w:r>
      <w:r w:rsidRPr="002C3AD8">
        <w:t>. The proposed schedulin</w:t>
      </w:r>
      <w:r>
        <w:t>g also includes the introduction of warning statements, safe</w:t>
      </w:r>
      <w:r w:rsidRPr="003730E8">
        <w:t xml:space="preserve">ty labels and safety directions </w:t>
      </w:r>
      <w:r w:rsidR="00735C0B" w:rsidRPr="003730E8">
        <w:t xml:space="preserve">through </w:t>
      </w:r>
      <w:r w:rsidRPr="003730E8">
        <w:t>Appendices E and F</w:t>
      </w:r>
      <w:r w:rsidR="00735C0B" w:rsidRPr="003730E8">
        <w:t xml:space="preserve"> of the Poisons Standard</w:t>
      </w:r>
      <w:r w:rsidRPr="003730E8">
        <w:t xml:space="preserve">. </w:t>
      </w:r>
      <w:r w:rsidR="00D11F65" w:rsidRPr="003730E8">
        <w:t>The intention of t</w:t>
      </w:r>
      <w:r w:rsidRPr="003730E8">
        <w:t>hese labelling requirements</w:t>
      </w:r>
      <w:r w:rsidR="00D11F65" w:rsidRPr="003730E8">
        <w:t xml:space="preserve"> is</w:t>
      </w:r>
      <w:r w:rsidRPr="003730E8">
        <w:t xml:space="preserve"> to </w:t>
      </w:r>
      <w:r w:rsidR="00D11F65" w:rsidRPr="003730E8">
        <w:t>promote</w:t>
      </w:r>
      <w:r w:rsidR="00D11F65">
        <w:t xml:space="preserve"> the</w:t>
      </w:r>
      <w:r w:rsidR="00D11F65" w:rsidRPr="003730E8">
        <w:t xml:space="preserve"> safe use of products available to the public</w:t>
      </w:r>
      <w:r w:rsidR="00D11F65">
        <w:t xml:space="preserve">, and </w:t>
      </w:r>
      <w:r w:rsidRPr="003730E8">
        <w:t>mitigat</w:t>
      </w:r>
      <w:r w:rsidR="00D11F65" w:rsidRPr="003730E8">
        <w:t>e</w:t>
      </w:r>
      <w:r w:rsidR="00D11F65">
        <w:t xml:space="preserve"> the</w:t>
      </w:r>
      <w:r w:rsidRPr="003730E8">
        <w:t xml:space="preserve"> harms</w:t>
      </w:r>
      <w:r w:rsidR="00D11F65">
        <w:t xml:space="preserve"> of their misuse,</w:t>
      </w:r>
      <w:r w:rsidR="00735C0B" w:rsidRPr="003730E8">
        <w:t xml:space="preserve"> through </w:t>
      </w:r>
      <w:r w:rsidR="00D11F65">
        <w:t>educating</w:t>
      </w:r>
      <w:r w:rsidR="00735C0B" w:rsidRPr="003730E8">
        <w:t xml:space="preserve"> </w:t>
      </w:r>
      <w:r w:rsidR="00FF04CB" w:rsidRPr="003730E8">
        <w:t>consumers</w:t>
      </w:r>
      <w:r w:rsidR="00735C0B" w:rsidRPr="003730E8">
        <w:t xml:space="preserve"> and suppliers</w:t>
      </w:r>
      <w:r w:rsidRPr="003730E8">
        <w:t>. T</w:t>
      </w:r>
      <w:r w:rsidRPr="002C3AD8">
        <w:t xml:space="preserve">hese changes </w:t>
      </w:r>
      <w:r>
        <w:t xml:space="preserve">are not intended to </w:t>
      </w:r>
      <w:r w:rsidR="00442D6F">
        <w:t>apply to products that are used therapeutically.</w:t>
      </w:r>
    </w:p>
    <w:p w14:paraId="6390FC81" w14:textId="34658756" w:rsidR="00CC19FE" w:rsidRDefault="00CC19FE" w:rsidP="00574118">
      <w:pPr>
        <w:rPr>
          <w:lang w:eastAsia="en-AU"/>
        </w:rPr>
      </w:pPr>
      <w:r w:rsidRPr="006B74E6">
        <w:rPr>
          <w:bCs/>
        </w:rPr>
        <w:t>I agree with the Committee's finding</w:t>
      </w:r>
      <w:r>
        <w:rPr>
          <w:bCs/>
        </w:rPr>
        <w:t>s</w:t>
      </w:r>
      <w:r w:rsidRPr="006B74E6">
        <w:rPr>
          <w:bCs/>
        </w:rPr>
        <w:t xml:space="preserve"> that the relevant provisions of section 52E of the</w:t>
      </w:r>
      <w:r w:rsidR="00574118">
        <w:rPr>
          <w:bCs/>
        </w:rPr>
        <w:t xml:space="preserve"> </w:t>
      </w:r>
      <w:r w:rsidRPr="006B74E6">
        <w:rPr>
          <w:bCs/>
          <w:i/>
          <w:iCs/>
        </w:rPr>
        <w:t>Therapeutic Goods Act 1989</w:t>
      </w:r>
      <w:r w:rsidR="00574118">
        <w:rPr>
          <w:bCs/>
          <w:i/>
          <w:iCs/>
        </w:rPr>
        <w:t xml:space="preserve"> </w:t>
      </w:r>
      <w:r w:rsidRPr="006B74E6">
        <w:rPr>
          <w:bCs/>
        </w:rPr>
        <w:t>are</w:t>
      </w:r>
      <w:r>
        <w:rPr>
          <w:bCs/>
        </w:rPr>
        <w:t>:</w:t>
      </w:r>
      <w:r w:rsidRPr="00C70F72">
        <w:t xml:space="preserve"> (a) risks and benefits of the use of a substance; (b) the purpose for which a substance is to be used and the and extent of use; (c) the toxicity of a substance; (d) the dosage, formulation, labelling, packaging and presentation of a substance; (e) the potential for abuse of a substance;</w:t>
      </w:r>
      <w:r w:rsidRPr="00082B02">
        <w:t xml:space="preserve"> and (f) any other matters that the Secretary considers necessary to protect public health.</w:t>
      </w:r>
    </w:p>
    <w:p w14:paraId="4C33C232" w14:textId="386C7D56" w:rsidR="00CC19FE" w:rsidRDefault="00CC19FE" w:rsidP="00574118">
      <w:r>
        <w:t>I note that the applicant proposed to create a Schedule 10 entry for nitrous oxide. However, I agree with the Committee</w:t>
      </w:r>
      <w:r w:rsidR="00C0350E">
        <w:t xml:space="preserve">’s findings </w:t>
      </w:r>
      <w:r>
        <w:t>that the substance does not fit the Schedule 10 scheduling factors, outlined in the Scheduling Policy Framework (SPF 2018):</w:t>
      </w:r>
    </w:p>
    <w:p w14:paraId="78ADD020" w14:textId="3605CDDA" w:rsidR="00CC19FE" w:rsidRPr="00574118" w:rsidRDefault="00CC19FE" w:rsidP="00574118">
      <w:pPr>
        <w:pStyle w:val="ListBullet"/>
      </w:pPr>
      <w:r>
        <w:t xml:space="preserve">The risks of nitrous oxide do not substantially outweigh the benefits to the extent that no other Schedule would </w:t>
      </w:r>
      <w:r w:rsidRPr="00574118">
        <w:t xml:space="preserve">provide appropriate </w:t>
      </w:r>
      <w:proofErr w:type="gramStart"/>
      <w:r w:rsidRPr="00574118">
        <w:t>pubic</w:t>
      </w:r>
      <w:proofErr w:type="gramEnd"/>
      <w:r w:rsidRPr="00574118">
        <w:t xml:space="preserve"> access.</w:t>
      </w:r>
    </w:p>
    <w:p w14:paraId="3F166545" w14:textId="17B6F558" w:rsidR="00CC19FE" w:rsidRDefault="00CC19FE" w:rsidP="00574118">
      <w:pPr>
        <w:pStyle w:val="ListBullet"/>
      </w:pPr>
      <w:r w:rsidRPr="00574118">
        <w:t>While increasing misuse of the substance poses a public health risk, and could warrant tighter controls, these risks do not warrant</w:t>
      </w:r>
      <w:r>
        <w:t xml:space="preserve"> prohibition.</w:t>
      </w:r>
    </w:p>
    <w:p w14:paraId="5937D577" w14:textId="77777777" w:rsidR="00CC19FE" w:rsidRPr="00082B02" w:rsidRDefault="00CC19FE" w:rsidP="00574118">
      <w:pPr>
        <w:pStyle w:val="ListBullet"/>
      </w:pPr>
      <w:r>
        <w:lastRenderedPageBreak/>
        <w:t>Misuse of the substance relates to its potential for abuse and its diversion for illicit use, warranting exclusion from consideration as a Schedule 10 substance.</w:t>
      </w:r>
    </w:p>
    <w:p w14:paraId="4E05286C" w14:textId="60EEFFF1" w:rsidR="00CC19FE" w:rsidRDefault="00CC19FE" w:rsidP="00574118">
      <w:r w:rsidRPr="001F1F47">
        <w:t>I note that nitrous oxide is used as an analgesic and anaesthetic agent</w:t>
      </w:r>
      <w:r>
        <w:t xml:space="preserve"> </w:t>
      </w:r>
      <w:r w:rsidRPr="001F1F47">
        <w:t>in medical and dental procedures</w:t>
      </w:r>
      <w:r>
        <w:t>. It also has</w:t>
      </w:r>
      <w:r w:rsidRPr="001F1F47">
        <w:t xml:space="preserve"> several non-therapeutic applications including in hospitality, engineering and scientific research. I agree with the Committee’s findings that these uses are significant, difficult to replace, and present negligible risks to the user. I consider that the inclusion of nitrous oxide in Schedule 10, as proposed by the applicant, would unfairly affect legitimate users who can handle the product safely</w:t>
      </w:r>
      <w:r w:rsidR="008E58DD">
        <w:t>.</w:t>
      </w:r>
      <w:r w:rsidRPr="001F1F47">
        <w:t xml:space="preserve"> </w:t>
      </w:r>
      <w:proofErr w:type="gramStart"/>
      <w:r>
        <w:t>I</w:t>
      </w:r>
      <w:r w:rsidRPr="001F1F47">
        <w:t>n light of</w:t>
      </w:r>
      <w:proofErr w:type="gramEnd"/>
      <w:r w:rsidRPr="001F1F47">
        <w:t xml:space="preserve"> its </w:t>
      </w:r>
      <w:r>
        <w:t xml:space="preserve">substantial benefits and </w:t>
      </w:r>
      <w:r w:rsidRPr="001F1F47">
        <w:t>minimal risks when used under normal circumstances</w:t>
      </w:r>
      <w:r>
        <w:t xml:space="preserve">, </w:t>
      </w:r>
      <w:r w:rsidRPr="001F1F47">
        <w:t xml:space="preserve">I agree with the Committee’s advice that inclusion in Schedule 10 is not appropriate </w:t>
      </w:r>
      <w:r w:rsidR="00C0350E">
        <w:t>having considered the current body of evidence.</w:t>
      </w:r>
    </w:p>
    <w:p w14:paraId="345AAECA" w14:textId="39ADBC3E" w:rsidR="004E3F25" w:rsidRDefault="00CC19FE" w:rsidP="00574118">
      <w:pPr>
        <w:rPr>
          <w:lang w:eastAsia="en-AU"/>
        </w:rPr>
      </w:pPr>
      <w:r>
        <w:rPr>
          <w:lang w:eastAsia="en-AU"/>
        </w:rPr>
        <w:t xml:space="preserve">While nitrous oxide does not pose significant risks to users in hospitality (commercial and domestic), engineering and scientific settings, it can produce irreversible toxicity when large volumes are repeatedly </w:t>
      </w:r>
      <w:r w:rsidR="00735C0B">
        <w:rPr>
          <w:lang w:eastAsia="en-AU"/>
        </w:rPr>
        <w:t xml:space="preserve">and deliberately </w:t>
      </w:r>
      <w:r>
        <w:rPr>
          <w:lang w:eastAsia="en-AU"/>
        </w:rPr>
        <w:t>inhaled in recreational settings. I note the Committee’s findings that repeated use can inactivate vitamin B12, resulting in a functional deficiency that can damage the spinal cord and cause permanent disability</w:t>
      </w:r>
      <w:r w:rsidR="00F448FC">
        <w:rPr>
          <w:rStyle w:val="FootnoteReference"/>
          <w:lang w:eastAsia="en-AU"/>
        </w:rPr>
        <w:footnoteReference w:id="1"/>
      </w:r>
      <w:r w:rsidR="00574118">
        <w:rPr>
          <w:vertAlign w:val="superscript"/>
          <w:lang w:eastAsia="en-AU"/>
        </w:rPr>
        <w:t>,</w:t>
      </w:r>
      <w:r w:rsidR="00F448FC">
        <w:rPr>
          <w:rStyle w:val="FootnoteReference"/>
          <w:lang w:eastAsia="en-AU"/>
        </w:rPr>
        <w:footnoteReference w:id="2"/>
      </w:r>
      <w:r>
        <w:rPr>
          <w:lang w:eastAsia="en-AU"/>
        </w:rPr>
        <w:t>.</w:t>
      </w:r>
      <w:r w:rsidR="00B17107">
        <w:rPr>
          <w:lang w:eastAsia="en-AU"/>
        </w:rPr>
        <w:t xml:space="preserve"> Worryingly, this deficiency does not appear to respond</w:t>
      </w:r>
      <w:r w:rsidR="00F448FC">
        <w:rPr>
          <w:lang w:eastAsia="en-AU"/>
        </w:rPr>
        <w:t xml:space="preserve"> to supplementation, and is not always</w:t>
      </w:r>
      <w:r w:rsidR="00B17107">
        <w:rPr>
          <w:lang w:eastAsia="en-AU"/>
        </w:rPr>
        <w:t xml:space="preserve"> picked up in blood tests</w:t>
      </w:r>
      <w:r w:rsidR="00F448FC">
        <w:rPr>
          <w:rStyle w:val="FootnoteReference"/>
          <w:lang w:eastAsia="en-AU"/>
        </w:rPr>
        <w:footnoteReference w:id="3"/>
      </w:r>
      <w:r w:rsidR="00B17107">
        <w:rPr>
          <w:lang w:eastAsia="en-AU"/>
        </w:rPr>
        <w:t>.</w:t>
      </w:r>
      <w:r>
        <w:rPr>
          <w:lang w:eastAsia="en-AU"/>
        </w:rPr>
        <w:t xml:space="preserve"> The inhalation of nitrous oxide can also displace air, and can act as a fatal asphyxiant. Despite these risks, there have been increasing reports of nitrous oxide abuse in Australia</w:t>
      </w:r>
      <w:r w:rsidR="00D46CA1">
        <w:rPr>
          <w:rStyle w:val="FootnoteReference"/>
          <w:lang w:eastAsia="en-AU"/>
        </w:rPr>
        <w:footnoteReference w:id="4"/>
      </w:r>
      <w:r>
        <w:rPr>
          <w:lang w:eastAsia="en-AU"/>
        </w:rPr>
        <w:t>, leading to several hospitalisations</w:t>
      </w:r>
      <w:r w:rsidR="003A4EE9">
        <w:rPr>
          <w:lang w:eastAsia="en-AU"/>
        </w:rPr>
        <w:t xml:space="preserve">; deaths are </w:t>
      </w:r>
      <w:r w:rsidR="007161E3">
        <w:rPr>
          <w:lang w:eastAsia="en-AU"/>
        </w:rPr>
        <w:t xml:space="preserve">also </w:t>
      </w:r>
      <w:r w:rsidR="003A4EE9">
        <w:rPr>
          <w:lang w:eastAsia="en-AU"/>
        </w:rPr>
        <w:t>common in comparable countries</w:t>
      </w:r>
      <w:r w:rsidR="00BE76BA">
        <w:rPr>
          <w:lang w:eastAsia="en-AU"/>
        </w:rPr>
        <w:t xml:space="preserve"> such as the UK</w:t>
      </w:r>
      <w:r w:rsidR="003A4EE9">
        <w:rPr>
          <w:rStyle w:val="FootnoteReference"/>
          <w:lang w:eastAsia="en-AU"/>
        </w:rPr>
        <w:footnoteReference w:id="5"/>
      </w:r>
      <w:r>
        <w:rPr>
          <w:lang w:eastAsia="en-AU"/>
        </w:rPr>
        <w:t>.</w:t>
      </w:r>
      <w:r w:rsidRPr="00D520BE">
        <w:rPr>
          <w:lang w:eastAsia="en-AU"/>
        </w:rPr>
        <w:t xml:space="preserve"> </w:t>
      </w:r>
      <w:r>
        <w:rPr>
          <w:lang w:eastAsia="en-AU"/>
        </w:rPr>
        <w:t xml:space="preserve">These events have been reported predominantly among young individuals who are otherwise healthy. In considering </w:t>
      </w:r>
      <w:r w:rsidR="00FB0E7A">
        <w:rPr>
          <w:lang w:eastAsia="en-AU"/>
        </w:rPr>
        <w:t xml:space="preserve">these </w:t>
      </w:r>
      <w:r w:rsidR="00961C72">
        <w:rPr>
          <w:lang w:eastAsia="en-AU"/>
        </w:rPr>
        <w:t>reports</w:t>
      </w:r>
      <w:r>
        <w:rPr>
          <w:lang w:eastAsia="en-AU"/>
        </w:rPr>
        <w:t xml:space="preserve">, I </w:t>
      </w:r>
      <w:r w:rsidR="00961C72">
        <w:rPr>
          <w:lang w:eastAsia="en-AU"/>
        </w:rPr>
        <w:t>have reached the conclusion</w:t>
      </w:r>
      <w:r>
        <w:rPr>
          <w:lang w:eastAsia="en-AU"/>
        </w:rPr>
        <w:t xml:space="preserve"> that nitrous oxide requires further controls </w:t>
      </w:r>
      <w:r w:rsidR="00BD5922">
        <w:rPr>
          <w:lang w:eastAsia="en-AU"/>
        </w:rPr>
        <w:t>that target</w:t>
      </w:r>
      <w:r w:rsidR="00FB0E7A">
        <w:rPr>
          <w:lang w:eastAsia="en-AU"/>
        </w:rPr>
        <w:t xml:space="preserve"> </w:t>
      </w:r>
      <w:r w:rsidR="00BD5922">
        <w:rPr>
          <w:lang w:eastAsia="en-AU"/>
        </w:rPr>
        <w:t>its misuse</w:t>
      </w:r>
      <w:r w:rsidR="00961C72">
        <w:rPr>
          <w:lang w:eastAsia="en-AU"/>
        </w:rPr>
        <w:t>.</w:t>
      </w:r>
    </w:p>
    <w:p w14:paraId="2B7DE379" w14:textId="366E1DD5" w:rsidR="00CC19FE" w:rsidRDefault="00CC19FE" w:rsidP="00574118">
      <w:pPr>
        <w:rPr>
          <w:lang w:eastAsia="en-AU"/>
        </w:rPr>
      </w:pPr>
      <w:r>
        <w:rPr>
          <w:lang w:eastAsia="en-AU"/>
        </w:rPr>
        <w:t xml:space="preserve">I disagree with the Committee’s advice that the current scheduling of nitrous oxide remains appropriate. In considering further controls, I note that the substance is disproportionately </w:t>
      </w:r>
      <w:r w:rsidR="00BD5922">
        <w:rPr>
          <w:lang w:eastAsia="en-AU"/>
        </w:rPr>
        <w:t>mis</w:t>
      </w:r>
      <w:r>
        <w:rPr>
          <w:lang w:eastAsia="en-AU"/>
        </w:rPr>
        <w:t>used when packaged in small, currently unscheduled canisters – commonly known as “</w:t>
      </w:r>
      <w:proofErr w:type="spellStart"/>
      <w:r>
        <w:rPr>
          <w:lang w:eastAsia="en-AU"/>
        </w:rPr>
        <w:t>nangs</w:t>
      </w:r>
      <w:proofErr w:type="spellEnd"/>
      <w:r>
        <w:rPr>
          <w:lang w:eastAsia="en-AU"/>
        </w:rPr>
        <w:t xml:space="preserve">”. </w:t>
      </w:r>
      <w:r w:rsidR="00442D6F">
        <w:rPr>
          <w:lang w:eastAsia="en-AU"/>
        </w:rPr>
        <w:t>T</w:t>
      </w:r>
      <w:r>
        <w:rPr>
          <w:lang w:eastAsia="en-AU"/>
        </w:rPr>
        <w:t xml:space="preserve">he Committee </w:t>
      </w:r>
      <w:r w:rsidR="00735C0B">
        <w:rPr>
          <w:lang w:eastAsia="en-AU"/>
        </w:rPr>
        <w:t>discussed whether</w:t>
      </w:r>
      <w:r>
        <w:rPr>
          <w:lang w:eastAsia="en-AU"/>
        </w:rPr>
        <w:t xml:space="preserve"> these canisters are classified as food additives by Schedule 14 of the Australia New Zealand Food Standards Code, </w:t>
      </w:r>
      <w:r w:rsidR="006A006B">
        <w:rPr>
          <w:lang w:eastAsia="en-AU"/>
        </w:rPr>
        <w:t>and</w:t>
      </w:r>
      <w:r w:rsidR="00735C0B">
        <w:rPr>
          <w:lang w:eastAsia="en-AU"/>
        </w:rPr>
        <w:t xml:space="preserve"> would be outside </w:t>
      </w:r>
      <w:r>
        <w:rPr>
          <w:lang w:eastAsia="en-AU"/>
        </w:rPr>
        <w:t>the scope of the Poisons Standard</w:t>
      </w:r>
      <w:r w:rsidR="00BD5922">
        <w:rPr>
          <w:lang w:eastAsia="en-AU"/>
        </w:rPr>
        <w:t>. H</w:t>
      </w:r>
      <w:r w:rsidR="00442D6F">
        <w:rPr>
          <w:lang w:eastAsia="en-AU"/>
        </w:rPr>
        <w:t>owever,</w:t>
      </w:r>
      <w:r>
        <w:rPr>
          <w:lang w:eastAsia="en-AU"/>
        </w:rPr>
        <w:t xml:space="preserve"> I note that </w:t>
      </w:r>
      <w:r w:rsidR="00BD5922">
        <w:rPr>
          <w:lang w:eastAsia="en-AU"/>
        </w:rPr>
        <w:t>n</w:t>
      </w:r>
      <w:r w:rsidR="0089159E">
        <w:rPr>
          <w:lang w:eastAsia="en-AU"/>
        </w:rPr>
        <w:t>itrous oxide canisters used in hospitality</w:t>
      </w:r>
      <w:r w:rsidR="00026CA3">
        <w:rPr>
          <w:lang w:eastAsia="en-AU"/>
        </w:rPr>
        <w:t xml:space="preserve"> would fall under the scope of scheduling </w:t>
      </w:r>
      <w:r>
        <w:rPr>
          <w:lang w:eastAsia="en-AU"/>
        </w:rPr>
        <w:t>before their incorporation into food.</w:t>
      </w:r>
      <w:r w:rsidR="00442D6F">
        <w:rPr>
          <w:lang w:eastAsia="en-AU"/>
        </w:rPr>
        <w:t xml:space="preserve"> Moreover,</w:t>
      </w:r>
      <w:r>
        <w:rPr>
          <w:lang w:eastAsia="en-AU"/>
        </w:rPr>
        <w:t xml:space="preserve"> I am of the view that they specifically warrant control through the Poisons Standard, as they present a moderate level of harm, toxicity, health hazard and potential for abuse that clearly relate to scheduling factors listed in the SPF 2018. I further note that the Committee’s evaluation of nitrous oxide against the Schedule 6 factors gave a particularly close fit. Having considered the relevant legislation and Committee advice, I have determined that that non-therapeutic nitrous oxide canisters require control through scheduling.</w:t>
      </w:r>
    </w:p>
    <w:p w14:paraId="178C6DDB" w14:textId="591B6E30" w:rsidR="00CC19FE" w:rsidRPr="006330A0" w:rsidRDefault="00CC19FE" w:rsidP="00574118">
      <w:pPr>
        <w:rPr>
          <w:szCs w:val="22"/>
        </w:rPr>
      </w:pPr>
      <w:r>
        <w:rPr>
          <w:lang w:eastAsia="en-AU"/>
        </w:rPr>
        <w:t>In my view, nitrous oxide fits the Schedule 6 scheduling factors, as outlined in the SPF 2018:</w:t>
      </w:r>
    </w:p>
    <w:p w14:paraId="015F1652" w14:textId="77777777" w:rsidR="00CC19FE" w:rsidRDefault="00CC19FE" w:rsidP="00574118">
      <w:pPr>
        <w:pStyle w:val="ListBullet"/>
      </w:pPr>
      <w:r>
        <w:t>Nitrous oxide has a moderate to high toxicity if inhaled. Acute inhalation LC</w:t>
      </w:r>
      <w:r w:rsidRPr="006B74E6">
        <w:rPr>
          <w:vertAlign w:val="subscript"/>
        </w:rPr>
        <w:t>50</w:t>
      </w:r>
      <w:r>
        <w:t xml:space="preserve"> (rat) is between 500 mg/m</w:t>
      </w:r>
      <w:r>
        <w:rPr>
          <w:vertAlign w:val="superscript"/>
        </w:rPr>
        <w:t>3</w:t>
      </w:r>
      <w:r>
        <w:t xml:space="preserve"> and 3000 mg/m</w:t>
      </w:r>
      <w:r>
        <w:rPr>
          <w:vertAlign w:val="superscript"/>
        </w:rPr>
        <w:t>3</w:t>
      </w:r>
      <w:r>
        <w:t>.</w:t>
      </w:r>
      <w:r>
        <w:rPr>
          <w:rStyle w:val="FootnoteReference"/>
          <w:szCs w:val="22"/>
        </w:rPr>
        <w:footnoteReference w:id="6"/>
      </w:r>
    </w:p>
    <w:p w14:paraId="37E7FE43" w14:textId="77777777" w:rsidR="00CC19FE" w:rsidRDefault="00CC19FE" w:rsidP="00574118">
      <w:pPr>
        <w:pStyle w:val="ListBullet"/>
      </w:pPr>
      <w:r>
        <w:t>The substance presents a moderate hazard from repeated use, resulting a demonstrable risk of producing irreversible neurotoxicity.</w:t>
      </w:r>
    </w:p>
    <w:p w14:paraId="5A122C34" w14:textId="77777777" w:rsidR="00CC19FE" w:rsidRDefault="00CC19FE" w:rsidP="00574118">
      <w:pPr>
        <w:pStyle w:val="ListBullet"/>
      </w:pPr>
      <w:r w:rsidRPr="00735C65">
        <w:lastRenderedPageBreak/>
        <w:t>Reasonably foreseeable harm to users can be reduce</w:t>
      </w:r>
      <w:r>
        <w:t>d, to some extent, through strong label warnings. Currently, there are no safety directions, warning statements or first aid instructions for non-therapeutic products containing nitrous oxide.</w:t>
      </w:r>
    </w:p>
    <w:p w14:paraId="0636A05C" w14:textId="77777777" w:rsidR="00CC19FE" w:rsidRDefault="00CC19FE" w:rsidP="00574118">
      <w:pPr>
        <w:pStyle w:val="ListBullet"/>
      </w:pPr>
      <w:r>
        <w:t>The substance has a moderate potential for causing harm.</w:t>
      </w:r>
    </w:p>
    <w:p w14:paraId="78B29840" w14:textId="1C80FF8A" w:rsidR="00CC19FE" w:rsidRDefault="00CC19FE" w:rsidP="00574118">
      <w:pPr>
        <w:rPr>
          <w:lang w:eastAsia="en-AU"/>
        </w:rPr>
      </w:pPr>
      <w:r>
        <w:rPr>
          <w:lang w:eastAsia="en-AU"/>
        </w:rPr>
        <w:t xml:space="preserve">In determining the scope of a Schedule 6 entry for nitrous oxide, I have considered the committee’s findings that that its patterns of misuse may change over time. </w:t>
      </w:r>
      <w:r w:rsidRPr="00E85DA7">
        <w:rPr>
          <w:lang w:eastAsia="en-AU"/>
        </w:rPr>
        <w:t>Since “</w:t>
      </w:r>
      <w:proofErr w:type="spellStart"/>
      <w:r w:rsidRPr="00E85DA7">
        <w:rPr>
          <w:lang w:eastAsia="en-AU"/>
        </w:rPr>
        <w:t>nangs</w:t>
      </w:r>
      <w:proofErr w:type="spellEnd"/>
      <w:r w:rsidRPr="00E85DA7">
        <w:rPr>
          <w:lang w:eastAsia="en-AU"/>
        </w:rPr>
        <w:t>” are the most widely abused source of nitrous oxide, the initial scheduling proposal target</w:t>
      </w:r>
      <w:r w:rsidR="00026CA3">
        <w:rPr>
          <w:lang w:eastAsia="en-AU"/>
        </w:rPr>
        <w:t>s</w:t>
      </w:r>
      <w:r w:rsidRPr="00E85DA7">
        <w:rPr>
          <w:lang w:eastAsia="en-AU"/>
        </w:rPr>
        <w:t xml:space="preserve"> canisters that f</w:t>
      </w:r>
      <w:r w:rsidR="00026CA3">
        <w:rPr>
          <w:lang w:eastAsia="en-AU"/>
        </w:rPr>
        <w:t>a</w:t>
      </w:r>
      <w:r w:rsidRPr="00E85DA7">
        <w:rPr>
          <w:lang w:eastAsia="en-AU"/>
        </w:rPr>
        <w:t xml:space="preserve">ll within </w:t>
      </w:r>
      <w:r>
        <w:rPr>
          <w:lang w:eastAsia="en-AU"/>
        </w:rPr>
        <w:t xml:space="preserve">a </w:t>
      </w:r>
      <w:r w:rsidRPr="00E85DA7">
        <w:rPr>
          <w:lang w:eastAsia="en-AU"/>
        </w:rPr>
        <w:t>particular size specification</w:t>
      </w:r>
      <w:r>
        <w:rPr>
          <w:lang w:eastAsia="en-AU"/>
        </w:rPr>
        <w:t xml:space="preserve">. </w:t>
      </w:r>
      <w:r w:rsidR="00D85BAA">
        <w:t>However, I note</w:t>
      </w:r>
      <w:r w:rsidR="004E3F25" w:rsidRPr="00D85BAA">
        <w:t xml:space="preserve"> the </w:t>
      </w:r>
      <w:r w:rsidR="00BE76BA" w:rsidRPr="00D85BAA">
        <w:t>Committee</w:t>
      </w:r>
      <w:r w:rsidR="00D85BAA" w:rsidRPr="00D85BAA">
        <w:t>’s</w:t>
      </w:r>
      <w:r w:rsidR="00BE76BA" w:rsidRPr="00D85BAA">
        <w:t xml:space="preserve"> advice that</w:t>
      </w:r>
      <w:r w:rsidRPr="00D85BAA">
        <w:rPr>
          <w:lang w:eastAsia="en-AU"/>
        </w:rPr>
        <w:t xml:space="preserve"> imposing requirements on small canisters</w:t>
      </w:r>
      <w:r w:rsidR="003B773C" w:rsidRPr="00D85BAA">
        <w:rPr>
          <w:lang w:eastAsia="en-AU"/>
        </w:rPr>
        <w:t>,</w:t>
      </w:r>
      <w:r w:rsidR="00026CA3" w:rsidRPr="00D85BAA">
        <w:rPr>
          <w:lang w:eastAsia="en-AU"/>
        </w:rPr>
        <w:t xml:space="preserve"> and omitting larger sizes from the same requirements</w:t>
      </w:r>
      <w:r w:rsidR="003B773C" w:rsidRPr="00D85BAA">
        <w:rPr>
          <w:lang w:eastAsia="en-AU"/>
        </w:rPr>
        <w:t>,</w:t>
      </w:r>
      <w:r w:rsidR="00026CA3" w:rsidRPr="00D85BAA">
        <w:rPr>
          <w:lang w:eastAsia="en-AU"/>
        </w:rPr>
        <w:t xml:space="preserve"> </w:t>
      </w:r>
      <w:r w:rsidRPr="00D85BAA">
        <w:rPr>
          <w:lang w:eastAsia="en-AU"/>
        </w:rPr>
        <w:t>could divert users or suppliers to larger cylinders.</w:t>
      </w:r>
      <w:r w:rsidRPr="00E85DA7">
        <w:rPr>
          <w:lang w:eastAsia="en-AU"/>
        </w:rPr>
        <w:t xml:space="preserve"> These alternative sources are associated with riskier methods of administration, and increased volumes of administered gas, that may greatly increase the likelihood of asphyxiation. </w:t>
      </w:r>
      <w:r>
        <w:rPr>
          <w:lang w:eastAsia="en-AU"/>
        </w:rPr>
        <w:t>Labelling or restricting access to only small</w:t>
      </w:r>
      <w:r w:rsidRPr="00E85DA7">
        <w:rPr>
          <w:lang w:eastAsia="en-AU"/>
        </w:rPr>
        <w:t xml:space="preserve"> canisters </w:t>
      </w:r>
      <w:r>
        <w:rPr>
          <w:lang w:eastAsia="en-AU"/>
        </w:rPr>
        <w:t>therefore h</w:t>
      </w:r>
      <w:r w:rsidR="00287E3C">
        <w:rPr>
          <w:lang w:eastAsia="en-AU"/>
        </w:rPr>
        <w:t>as the</w:t>
      </w:r>
      <w:r>
        <w:rPr>
          <w:lang w:eastAsia="en-AU"/>
        </w:rPr>
        <w:t xml:space="preserve"> potential </w:t>
      </w:r>
      <w:r w:rsidR="00287E3C">
        <w:rPr>
          <w:lang w:eastAsia="en-AU"/>
        </w:rPr>
        <w:t xml:space="preserve">to </w:t>
      </w:r>
      <w:r w:rsidR="003B773C">
        <w:rPr>
          <w:lang w:eastAsia="en-AU"/>
        </w:rPr>
        <w:t>drive</w:t>
      </w:r>
      <w:r w:rsidR="00287E3C">
        <w:rPr>
          <w:lang w:eastAsia="en-AU"/>
        </w:rPr>
        <w:t xml:space="preserve"> new use patterns that </w:t>
      </w:r>
      <w:r>
        <w:rPr>
          <w:lang w:eastAsia="en-AU"/>
        </w:rPr>
        <w:t>exacerbate the harms of nitrous oxide abuse.</w:t>
      </w:r>
    </w:p>
    <w:p w14:paraId="7687BD3E" w14:textId="77777777" w:rsidR="00CC19FE" w:rsidRDefault="00CC19FE" w:rsidP="00574118">
      <w:pPr>
        <w:rPr>
          <w:lang w:eastAsia="en-AU"/>
        </w:rPr>
      </w:pPr>
      <w:r>
        <w:rPr>
          <w:lang w:eastAsia="en-AU"/>
        </w:rPr>
        <w:t xml:space="preserve">In making my decision, I have </w:t>
      </w:r>
      <w:proofErr w:type="gramStart"/>
      <w:r>
        <w:rPr>
          <w:lang w:eastAsia="en-AU"/>
        </w:rPr>
        <w:t>taken into account</w:t>
      </w:r>
      <w:proofErr w:type="gramEnd"/>
      <w:r>
        <w:rPr>
          <w:lang w:eastAsia="en-AU"/>
        </w:rPr>
        <w:t xml:space="preserve"> the 78 public submissions received during the pre-meeting public consultation. I note that 15 submissions included a written component, 6 fully supportive of the applicant’s proposal, 5 partially supportive and 4 opposed. Submissions outlined the benefits, harms and proposed regulation from a wide range of perspectives. For example:</w:t>
      </w:r>
    </w:p>
    <w:p w14:paraId="5073E63D" w14:textId="5D07A856" w:rsidR="00CC19FE" w:rsidRDefault="00CC19FE" w:rsidP="00574118">
      <w:pPr>
        <w:pStyle w:val="ListBullet"/>
        <w:rPr>
          <w:lang w:eastAsia="en-AU"/>
        </w:rPr>
      </w:pPr>
      <w:r>
        <w:rPr>
          <w:lang w:eastAsia="en-AU"/>
        </w:rPr>
        <w:t>The Royal Perth Hospital Toxicology Service</w:t>
      </w:r>
      <w:r w:rsidR="00DD56EA">
        <w:rPr>
          <w:rStyle w:val="FootnoteReference"/>
          <w:lang w:eastAsia="en-AU"/>
        </w:rPr>
        <w:footnoteReference w:id="7"/>
      </w:r>
      <w:r>
        <w:rPr>
          <w:lang w:eastAsia="en-AU"/>
        </w:rPr>
        <w:t xml:space="preserve"> reported a significant increase in nitrous oxide related presentations to emergency departments in Western </w:t>
      </w:r>
      <w:proofErr w:type="gramStart"/>
      <w:r>
        <w:rPr>
          <w:lang w:eastAsia="en-AU"/>
        </w:rPr>
        <w:t>Australia, and</w:t>
      </w:r>
      <w:proofErr w:type="gramEnd"/>
      <w:r>
        <w:rPr>
          <w:lang w:eastAsia="en-AU"/>
        </w:rPr>
        <w:t xml:space="preserve"> described the use patterns and clinical pathology of these patients. The submission outlined the scope of public health issues relating to nitrous oxide abuse.</w:t>
      </w:r>
    </w:p>
    <w:p w14:paraId="09548F99" w14:textId="441266FB" w:rsidR="00CC19FE" w:rsidRDefault="00CC19FE" w:rsidP="00574118">
      <w:pPr>
        <w:pStyle w:val="ListBullet"/>
        <w:rPr>
          <w:lang w:eastAsia="en-AU"/>
        </w:rPr>
      </w:pPr>
      <w:r>
        <w:rPr>
          <w:lang w:eastAsia="en-AU"/>
        </w:rPr>
        <w:t>The Australia New Zealand Gas Association</w:t>
      </w:r>
      <w:r w:rsidR="00DD56EA">
        <w:rPr>
          <w:rStyle w:val="FootnoteReference"/>
          <w:lang w:eastAsia="en-AU"/>
        </w:rPr>
        <w:footnoteReference w:id="8"/>
      </w:r>
      <w:r>
        <w:rPr>
          <w:lang w:eastAsia="en-AU"/>
        </w:rPr>
        <w:t xml:space="preserve"> outlined both the benefits of nitrous oxide in industry and the dangers of its diversion for misuse. The submission was supportive of introducing stricter controls, noting that there were several possible regulatory approaches.  </w:t>
      </w:r>
    </w:p>
    <w:p w14:paraId="0C15A778" w14:textId="275FF2C4" w:rsidR="00CC19FE" w:rsidRDefault="00CC19FE" w:rsidP="00712043">
      <w:pPr>
        <w:pStyle w:val="ListBullet"/>
        <w:rPr>
          <w:lang w:eastAsia="en-AU"/>
        </w:rPr>
      </w:pPr>
      <w:r>
        <w:rPr>
          <w:lang w:eastAsia="en-AU"/>
        </w:rPr>
        <w:t>The NSW Users and AIDs Association</w:t>
      </w:r>
      <w:r w:rsidR="00DD56EA">
        <w:rPr>
          <w:rStyle w:val="FootnoteReference"/>
          <w:lang w:eastAsia="en-AU"/>
        </w:rPr>
        <w:footnoteReference w:id="9"/>
      </w:r>
      <w:r>
        <w:rPr>
          <w:lang w:eastAsia="en-AU"/>
        </w:rPr>
        <w:t xml:space="preserve"> expressed concern that a ban on nitrous oxide may push its use underground and exacerbate any potential harms. The submission emphasised that the adverse impacts of its recreational use are best mitigated through raising awareness, peer education and harm reduction.</w:t>
      </w:r>
    </w:p>
    <w:p w14:paraId="35C653A0" w14:textId="1FB3738F" w:rsidR="00CC19FE" w:rsidRDefault="00CC19FE" w:rsidP="00574118">
      <w:pPr>
        <w:rPr>
          <w:lang w:eastAsia="en-AU"/>
        </w:rPr>
      </w:pPr>
      <w:r>
        <w:rPr>
          <w:lang w:eastAsia="en-AU"/>
        </w:rPr>
        <w:t xml:space="preserve">On balance, I consider that creating a Schedule 6 entry for nitrous oxide will </w:t>
      </w:r>
      <w:r w:rsidR="003D6DC5">
        <w:rPr>
          <w:lang w:eastAsia="en-AU"/>
        </w:rPr>
        <w:t>contribute positively to public health and safety while</w:t>
      </w:r>
      <w:r w:rsidR="0089159E">
        <w:rPr>
          <w:lang w:eastAsia="en-AU"/>
        </w:rPr>
        <w:t xml:space="preserve"> enabling continued</w:t>
      </w:r>
      <w:r w:rsidR="004238C8">
        <w:rPr>
          <w:lang w:eastAsia="en-AU"/>
        </w:rPr>
        <w:t xml:space="preserve"> industrial access (hospitality, </w:t>
      </w:r>
      <w:proofErr w:type="gramStart"/>
      <w:r w:rsidR="004238C8">
        <w:rPr>
          <w:lang w:eastAsia="en-AU"/>
        </w:rPr>
        <w:t>engineering</w:t>
      </w:r>
      <w:proofErr w:type="gramEnd"/>
      <w:r w:rsidR="004238C8">
        <w:rPr>
          <w:lang w:eastAsia="en-AU"/>
        </w:rPr>
        <w:t xml:space="preserve"> and scientific research).</w:t>
      </w:r>
      <w:r w:rsidR="003D6DC5">
        <w:rPr>
          <w:lang w:eastAsia="en-AU"/>
        </w:rPr>
        <w:t xml:space="preserve"> </w:t>
      </w:r>
      <w:r>
        <w:rPr>
          <w:lang w:eastAsia="en-AU"/>
        </w:rPr>
        <w:t>The new scheduling may directly help mitigate harms</w:t>
      </w:r>
      <w:r w:rsidR="004238C8">
        <w:rPr>
          <w:lang w:eastAsia="en-AU"/>
        </w:rPr>
        <w:t xml:space="preserve"> through labelling,</w:t>
      </w:r>
      <w:r>
        <w:rPr>
          <w:lang w:eastAsia="en-AU"/>
        </w:rPr>
        <w:t xml:space="preserve"> and complement any educational strategies and counselling associated with substance abuse.</w:t>
      </w:r>
    </w:p>
    <w:p w14:paraId="14830156" w14:textId="232A916B" w:rsidR="00CC19FE" w:rsidRDefault="00CC19FE" w:rsidP="00574118">
      <w:pPr>
        <w:rPr>
          <w:lang w:eastAsia="en-AU"/>
        </w:rPr>
      </w:pPr>
      <w:r>
        <w:rPr>
          <w:lang w:eastAsia="en-AU"/>
        </w:rPr>
        <w:t xml:space="preserve">To </w:t>
      </w:r>
      <w:r w:rsidR="00F20136">
        <w:rPr>
          <w:lang w:eastAsia="en-AU"/>
        </w:rPr>
        <w:t>promote the safe use of nitrous oxide products that are available to the public</w:t>
      </w:r>
      <w:r>
        <w:rPr>
          <w:lang w:eastAsia="en-AU"/>
        </w:rPr>
        <w:t xml:space="preserve">, I also consider that specific labelling requirements should be mandated through Appendices E and F. Doing so may increase awareness of nitrous oxide-associated neurotoxicity and reduce harms in a significant subset of users. The inclusion of a warning statement that inhalation may cause nerve damage, along with a safety direction to not inhale the substance, may directly help to deter abuse. In those that consume nitrous oxide despite the risks, the inclusion of first aid instructions that refer to a Poisons Information Centre or doctor may assist in early the </w:t>
      </w:r>
      <w:r>
        <w:rPr>
          <w:lang w:eastAsia="en-AU"/>
        </w:rPr>
        <w:lastRenderedPageBreak/>
        <w:t>diagnosis and treatment of nerve damage.</w:t>
      </w:r>
      <w:r w:rsidRPr="00241E2E">
        <w:rPr>
          <w:lang w:eastAsia="en-AU"/>
        </w:rPr>
        <w:t xml:space="preserve"> </w:t>
      </w:r>
      <w:r>
        <w:rPr>
          <w:lang w:eastAsia="en-AU"/>
        </w:rPr>
        <w:t>I am of the view that these labelling requirements may help alert users of potential harms.</w:t>
      </w:r>
    </w:p>
    <w:p w14:paraId="4C80C689" w14:textId="7E85250B" w:rsidR="003F6BA7" w:rsidRDefault="003F6BA7" w:rsidP="00CC19FE">
      <w:pPr>
        <w:rPr>
          <w:lang w:eastAsia="en-AU"/>
        </w:rPr>
      </w:pPr>
      <w:r>
        <w:rPr>
          <w:lang w:eastAsia="en-AU"/>
        </w:rPr>
        <w:t xml:space="preserve">I have </w:t>
      </w:r>
      <w:r w:rsidR="002810A8">
        <w:rPr>
          <w:lang w:eastAsia="en-AU"/>
        </w:rPr>
        <w:t xml:space="preserve">carefully </w:t>
      </w:r>
      <w:r>
        <w:rPr>
          <w:lang w:eastAsia="en-AU"/>
        </w:rPr>
        <w:t>considered the feasibility</w:t>
      </w:r>
      <w:r w:rsidR="00A00A48">
        <w:rPr>
          <w:lang w:eastAsia="en-AU"/>
        </w:rPr>
        <w:t xml:space="preserve"> </w:t>
      </w:r>
      <w:r>
        <w:rPr>
          <w:lang w:eastAsia="en-AU"/>
        </w:rPr>
        <w:t xml:space="preserve">of </w:t>
      </w:r>
      <w:r w:rsidR="00A00A48">
        <w:rPr>
          <w:lang w:eastAsia="en-AU"/>
        </w:rPr>
        <w:t>labelling nitrous oxide products with these statements</w:t>
      </w:r>
      <w:r w:rsidR="003E3407">
        <w:rPr>
          <w:lang w:eastAsia="en-AU"/>
        </w:rPr>
        <w:t>, given the wide</w:t>
      </w:r>
      <w:r w:rsidR="00784628">
        <w:rPr>
          <w:lang w:eastAsia="en-AU"/>
        </w:rPr>
        <w:t xml:space="preserve"> variety </w:t>
      </w:r>
      <w:r w:rsidR="004238C8">
        <w:rPr>
          <w:lang w:eastAsia="en-AU"/>
        </w:rPr>
        <w:t>of</w:t>
      </w:r>
      <w:r w:rsidR="00784628">
        <w:rPr>
          <w:lang w:eastAsia="en-AU"/>
        </w:rPr>
        <w:t xml:space="preserve"> pack sizes and presentations</w:t>
      </w:r>
      <w:r>
        <w:rPr>
          <w:lang w:eastAsia="en-AU"/>
        </w:rPr>
        <w:t xml:space="preserve">. I note that Part 2 of the Poisons Standard </w:t>
      </w:r>
      <w:r w:rsidR="00784628">
        <w:rPr>
          <w:lang w:eastAsia="en-AU"/>
        </w:rPr>
        <w:t>requires</w:t>
      </w:r>
      <w:r>
        <w:rPr>
          <w:lang w:eastAsia="en-AU"/>
        </w:rPr>
        <w:t xml:space="preserve"> that both primary packs and immediate containers of scheduled poisons are labelled; for large cylinders, I am of the view that this would not present any significant barrier to legitimate manufacture, sale or use of nitrous oxide. </w:t>
      </w:r>
      <w:r w:rsidR="00AF4630">
        <w:rPr>
          <w:lang w:eastAsia="en-AU"/>
        </w:rPr>
        <w:t xml:space="preserve">I further note that primary packs of small canisters may </w:t>
      </w:r>
      <w:r w:rsidR="004238C8">
        <w:rPr>
          <w:lang w:eastAsia="en-AU"/>
        </w:rPr>
        <w:t xml:space="preserve">be captured </w:t>
      </w:r>
      <w:r w:rsidR="00AF4630">
        <w:rPr>
          <w:lang w:eastAsia="en-AU"/>
        </w:rPr>
        <w:t>by</w:t>
      </w:r>
      <w:r w:rsidR="00784628">
        <w:rPr>
          <w:lang w:eastAsia="en-AU"/>
        </w:rPr>
        <w:t xml:space="preserve"> the definition </w:t>
      </w:r>
      <w:r w:rsidR="004238C8">
        <w:rPr>
          <w:lang w:eastAsia="en-AU"/>
        </w:rPr>
        <w:t>for</w:t>
      </w:r>
      <w:r w:rsidR="00784628">
        <w:rPr>
          <w:lang w:eastAsia="en-AU"/>
        </w:rPr>
        <w:t xml:space="preserve"> </w:t>
      </w:r>
      <w:r w:rsidR="00AF4630">
        <w:rPr>
          <w:lang w:eastAsia="en-AU"/>
        </w:rPr>
        <w:t>“</w:t>
      </w:r>
      <w:r w:rsidR="00784628">
        <w:rPr>
          <w:lang w:eastAsia="en-AU"/>
        </w:rPr>
        <w:t>measure pack</w:t>
      </w:r>
      <w:r w:rsidR="00AF4630">
        <w:rPr>
          <w:lang w:eastAsia="en-AU"/>
        </w:rPr>
        <w:t>”</w:t>
      </w:r>
      <w:r w:rsidR="00784628">
        <w:rPr>
          <w:lang w:eastAsia="en-AU"/>
        </w:rPr>
        <w:t xml:space="preserve"> </w:t>
      </w:r>
      <w:r w:rsidR="004238C8">
        <w:rPr>
          <w:lang w:eastAsia="en-AU"/>
        </w:rPr>
        <w:t>given in</w:t>
      </w:r>
      <w:r w:rsidR="00784628">
        <w:rPr>
          <w:lang w:eastAsia="en-AU"/>
        </w:rPr>
        <w:t xml:space="preserve"> </w:t>
      </w:r>
      <w:r w:rsidR="004238C8">
        <w:rPr>
          <w:lang w:eastAsia="en-AU"/>
        </w:rPr>
        <w:t xml:space="preserve">Part 1 of </w:t>
      </w:r>
      <w:r w:rsidR="00784628">
        <w:rPr>
          <w:lang w:eastAsia="en-AU"/>
        </w:rPr>
        <w:t xml:space="preserve">the Poisons </w:t>
      </w:r>
      <w:r w:rsidR="004238C8">
        <w:rPr>
          <w:lang w:eastAsia="en-AU"/>
        </w:rPr>
        <w:t xml:space="preserve">Standard, and </w:t>
      </w:r>
      <w:r w:rsidR="00784628">
        <w:rPr>
          <w:lang w:eastAsia="en-AU"/>
        </w:rPr>
        <w:t>would</w:t>
      </w:r>
      <w:r w:rsidR="004238C8">
        <w:rPr>
          <w:lang w:eastAsia="en-AU"/>
        </w:rPr>
        <w:t xml:space="preserve"> </w:t>
      </w:r>
      <w:r w:rsidR="00AF4630">
        <w:rPr>
          <w:lang w:eastAsia="en-AU"/>
        </w:rPr>
        <w:t xml:space="preserve">therefore </w:t>
      </w:r>
      <w:r w:rsidR="004238C8">
        <w:rPr>
          <w:lang w:eastAsia="en-AU"/>
        </w:rPr>
        <w:t xml:space="preserve">be eligible for </w:t>
      </w:r>
      <w:r w:rsidR="00AF4630">
        <w:rPr>
          <w:lang w:eastAsia="en-AU"/>
        </w:rPr>
        <w:t>simplified</w:t>
      </w:r>
      <w:r w:rsidR="004238C8">
        <w:rPr>
          <w:lang w:eastAsia="en-AU"/>
        </w:rPr>
        <w:t xml:space="preserve"> labelling requirements </w:t>
      </w:r>
      <w:r w:rsidR="00AF4630">
        <w:rPr>
          <w:lang w:eastAsia="en-AU"/>
        </w:rPr>
        <w:t xml:space="preserve">specified in </w:t>
      </w:r>
      <w:r>
        <w:rPr>
          <w:lang w:eastAsia="en-AU"/>
        </w:rPr>
        <w:t xml:space="preserve">Part 2, Section 1.5.1. I am of the view that these existing provisions appropriately mitigate the </w:t>
      </w:r>
      <w:r w:rsidR="008E58DD">
        <w:rPr>
          <w:lang w:eastAsia="en-AU"/>
        </w:rPr>
        <w:t>impact</w:t>
      </w:r>
      <w:r>
        <w:rPr>
          <w:lang w:eastAsia="en-AU"/>
        </w:rPr>
        <w:t xml:space="preserve"> on industry, while maintaining the public health benefits of labelling.</w:t>
      </w:r>
    </w:p>
    <w:p w14:paraId="00D6FC6A" w14:textId="06072DCE" w:rsidR="00CC19FE" w:rsidRDefault="00CC19FE" w:rsidP="00CC19FE">
      <w:pPr>
        <w:rPr>
          <w:lang w:eastAsia="en-AU"/>
        </w:rPr>
      </w:pPr>
      <w:r>
        <w:rPr>
          <w:lang w:eastAsia="en-AU"/>
        </w:rPr>
        <w:t xml:space="preserve">In making my decision, I note that the regulation of nitrous oxide is not solely a scheduling issue. I consider that </w:t>
      </w:r>
      <w:r w:rsidR="003D6DC5">
        <w:rPr>
          <w:lang w:eastAsia="en-AU"/>
        </w:rPr>
        <w:t xml:space="preserve">raising awareness amongst </w:t>
      </w:r>
      <w:r>
        <w:rPr>
          <w:lang w:eastAsia="en-AU"/>
        </w:rPr>
        <w:t xml:space="preserve">young people about the risks, especially the potential for permanent nerve damage, is </w:t>
      </w:r>
      <w:r w:rsidR="003D6DC5">
        <w:rPr>
          <w:lang w:eastAsia="en-AU"/>
        </w:rPr>
        <w:t xml:space="preserve">an important step </w:t>
      </w:r>
      <w:r>
        <w:rPr>
          <w:lang w:eastAsia="en-AU"/>
        </w:rPr>
        <w:t>to reduc</w:t>
      </w:r>
      <w:r w:rsidR="00AF4630">
        <w:rPr>
          <w:lang w:eastAsia="en-AU"/>
        </w:rPr>
        <w:t>ing</w:t>
      </w:r>
      <w:r>
        <w:rPr>
          <w:lang w:eastAsia="en-AU"/>
        </w:rPr>
        <w:t xml:space="preserve"> hospitalisations and deaths – and that labelling is only one mechanism towards achieving this goal. I note that various States and Territories are also implementing their own strategies and restrictions for mitigating the risk from the inappropriate use of nitrous oxide. I am of the view that creating a Schedule 6 entry for nitrous oxide will support these ongoing efforts.</w:t>
      </w:r>
    </w:p>
    <w:p w14:paraId="529E1C83" w14:textId="475EDD23" w:rsidR="00CC19FE" w:rsidRDefault="00CC19FE" w:rsidP="00CC19FE">
      <w:pPr>
        <w:rPr>
          <w:lang w:eastAsia="en-AU"/>
        </w:rPr>
      </w:pPr>
      <w:r>
        <w:rPr>
          <w:lang w:eastAsia="en-AU"/>
        </w:rPr>
        <w:t>I have therefore made an interim decision to create a Schedule 6 entry for non-therapeutic nitrous oxide, along with accompanying label</w:t>
      </w:r>
      <w:r w:rsidR="00A00A48">
        <w:rPr>
          <w:lang w:eastAsia="en-AU"/>
        </w:rPr>
        <w:t xml:space="preserve"> statements</w:t>
      </w:r>
      <w:r>
        <w:rPr>
          <w:lang w:eastAsia="en-AU"/>
        </w:rPr>
        <w:t xml:space="preserve"> set out in Appendices E and F. </w:t>
      </w:r>
      <w:r w:rsidR="003F6BA7">
        <w:rPr>
          <w:lang w:eastAsia="en-AU"/>
        </w:rPr>
        <w:t>I am of the view</w:t>
      </w:r>
      <w:r w:rsidR="001046EF">
        <w:rPr>
          <w:lang w:eastAsia="en-AU"/>
        </w:rPr>
        <w:t xml:space="preserve"> that these changes will help mitigate the harms </w:t>
      </w:r>
      <w:r w:rsidR="009E7974">
        <w:rPr>
          <w:lang w:eastAsia="en-AU"/>
        </w:rPr>
        <w:t>associated with</w:t>
      </w:r>
      <w:r w:rsidR="003F6BA7">
        <w:rPr>
          <w:lang w:eastAsia="en-AU"/>
        </w:rPr>
        <w:t xml:space="preserve"> abuse of the substance,</w:t>
      </w:r>
      <w:r w:rsidR="009E7974">
        <w:rPr>
          <w:lang w:eastAsia="en-AU"/>
        </w:rPr>
        <w:t xml:space="preserve"> especially the potential for permanent nerve damage.</w:t>
      </w:r>
    </w:p>
    <w:p w14:paraId="16B8BBAA" w14:textId="4AE7B2D1" w:rsidR="00CC19FE" w:rsidRDefault="00CC19FE" w:rsidP="00CC19FE">
      <w:pPr>
        <w:rPr>
          <w:lang w:eastAsia="en-AU"/>
        </w:rPr>
      </w:pPr>
      <w:r>
        <w:rPr>
          <w:lang w:eastAsia="en-AU"/>
        </w:rPr>
        <w:t xml:space="preserve">Due to the widespread presence of nitrous oxide in many different products, I have decided on a later implementation date of 1 October 2022. This should allow sufficient time for </w:t>
      </w:r>
      <w:r w:rsidR="008E58DD">
        <w:t>industry to make the necessary changes to respond to the new labelling requirements.</w:t>
      </w:r>
    </w:p>
    <w:p w14:paraId="4804212E" w14:textId="77777777" w:rsidR="00CC19FE" w:rsidRDefault="00CC19FE" w:rsidP="00CC19FE">
      <w:pPr>
        <w:pStyle w:val="Heading4"/>
      </w:pPr>
      <w:r>
        <w:t>Proposed implementation date</w:t>
      </w:r>
    </w:p>
    <w:p w14:paraId="6179B2EE" w14:textId="77777777" w:rsidR="00CC19FE" w:rsidRPr="006330A0" w:rsidRDefault="00CC19FE" w:rsidP="00CC19FE">
      <w:pPr>
        <w:rPr>
          <w:b/>
          <w:lang w:eastAsia="en-AU"/>
        </w:rPr>
      </w:pPr>
      <w:r w:rsidRPr="006330A0">
        <w:rPr>
          <w:b/>
          <w:lang w:eastAsia="en-AU"/>
        </w:rPr>
        <w:t>1 October 2022</w:t>
      </w:r>
      <w:bookmarkEnd w:id="11"/>
      <w:bookmarkEnd w:id="12"/>
    </w:p>
    <w:sectPr w:rsidR="00CC19FE" w:rsidRPr="006330A0" w:rsidSect="003A48A2">
      <w:headerReference w:type="default" r:id="rId23"/>
      <w:footerReference w:type="default" r:id="rId24"/>
      <w:headerReference w:type="first" r:id="rId25"/>
      <w:footerReference w:type="first" r:id="rId26"/>
      <w:type w:val="continuous"/>
      <w:pgSz w:w="11906" w:h="16838" w:code="9"/>
      <w:pgMar w:top="1134" w:right="1418" w:bottom="1361" w:left="1418" w:header="42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B8460" w14:textId="77777777" w:rsidR="005A6544" w:rsidRDefault="005A6544" w:rsidP="00C40A36">
      <w:pPr>
        <w:spacing w:after="0"/>
      </w:pPr>
      <w:r>
        <w:separator/>
      </w:r>
    </w:p>
  </w:endnote>
  <w:endnote w:type="continuationSeparator" w:id="0">
    <w:p w14:paraId="6A7270D4" w14:textId="77777777" w:rsidR="005A6544" w:rsidRDefault="005A6544"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Bold">
    <w:altName w:val="Cambria"/>
    <w:panose1 w:val="00000000000000000000"/>
    <w:charset w:val="00"/>
    <w:family w:val="roman"/>
    <w:notTrueType/>
    <w:pitch w:val="default"/>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382"/>
    </w:tblGrid>
    <w:tr w:rsidR="005A6544" w:rsidRPr="00257138" w14:paraId="14B40608" w14:textId="77777777" w:rsidTr="009B00CC">
      <w:trPr>
        <w:trHeight w:val="423"/>
      </w:trPr>
      <w:tc>
        <w:tcPr>
          <w:tcW w:w="7338" w:type="dxa"/>
          <w:tcBorders>
            <w:top w:val="single" w:sz="4" w:space="0" w:color="auto"/>
          </w:tcBorders>
        </w:tcPr>
        <w:p w14:paraId="01C0B506" w14:textId="77777777" w:rsidR="005A6544" w:rsidRDefault="005A6544" w:rsidP="003F3095">
          <w:pPr>
            <w:pStyle w:val="Footer"/>
          </w:pPr>
          <w:r>
            <w:t>Record of the 29th meeting of the Advisory Committee on Medicines Scheduling</w:t>
          </w:r>
        </w:p>
        <w:p w14:paraId="5C7A2176" w14:textId="13ECDCE6" w:rsidR="005A6544" w:rsidRPr="00257138" w:rsidRDefault="005A6544" w:rsidP="003F3095">
          <w:pPr>
            <w:pStyle w:val="Footer"/>
          </w:pPr>
          <w:r>
            <w:t>12 March 2020</w:t>
          </w:r>
          <w:r>
            <w:br/>
          </w:r>
        </w:p>
      </w:tc>
      <w:tc>
        <w:tcPr>
          <w:tcW w:w="1382" w:type="dxa"/>
          <w:tcBorders>
            <w:top w:val="single" w:sz="4" w:space="0" w:color="auto"/>
          </w:tcBorders>
        </w:tcPr>
        <w:sdt>
          <w:sdtPr>
            <w:id w:val="21514580"/>
            <w:docPartObj>
              <w:docPartGallery w:val="Page Numbers (Top of Page)"/>
              <w:docPartUnique/>
            </w:docPartObj>
          </w:sdtPr>
          <w:sdtEndPr/>
          <w:sdtContent>
            <w:p w14:paraId="54629571" w14:textId="77777777" w:rsidR="005A6544" w:rsidRDefault="005A6544" w:rsidP="00782870">
              <w:pPr>
                <w:pStyle w:val="Footer"/>
                <w:jc w:val="right"/>
              </w:pPr>
            </w:p>
            <w:p w14:paraId="650BE744" w14:textId="413B70EB" w:rsidR="005A6544" w:rsidRPr="00257138" w:rsidRDefault="005A6544" w:rsidP="0078287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42</w:t>
                </w:r>
              </w:fldSimple>
            </w:p>
          </w:sdtContent>
        </w:sdt>
      </w:tc>
    </w:tr>
    <w:tr w:rsidR="005A6544" w:rsidRPr="00257138" w14:paraId="10AB8BED" w14:textId="77777777" w:rsidTr="009B00CC">
      <w:trPr>
        <w:trHeight w:val="263"/>
      </w:trPr>
      <w:tc>
        <w:tcPr>
          <w:tcW w:w="7338" w:type="dxa"/>
        </w:tcPr>
        <w:p w14:paraId="59580AB7" w14:textId="19B73688" w:rsidR="005A6544" w:rsidRPr="00257138" w:rsidRDefault="005A6544" w:rsidP="00782870">
          <w:pPr>
            <w:pStyle w:val="Footer"/>
          </w:pPr>
        </w:p>
      </w:tc>
      <w:tc>
        <w:tcPr>
          <w:tcW w:w="1382" w:type="dxa"/>
        </w:tcPr>
        <w:p w14:paraId="219FF5F5" w14:textId="77777777" w:rsidR="005A6544" w:rsidRPr="00257138" w:rsidRDefault="005A6544" w:rsidP="00782870">
          <w:pPr>
            <w:pStyle w:val="Footer"/>
            <w:jc w:val="right"/>
          </w:pPr>
        </w:p>
      </w:tc>
    </w:tr>
  </w:tbl>
  <w:p w14:paraId="2023C75C" w14:textId="77777777" w:rsidR="005A6544" w:rsidRPr="00826007" w:rsidRDefault="005A6544" w:rsidP="002001F1">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5A6544" w:rsidRPr="00257138" w14:paraId="1B2D16F8" w14:textId="77777777" w:rsidTr="004629C6">
      <w:trPr>
        <w:trHeight w:val="189"/>
      </w:trPr>
      <w:tc>
        <w:tcPr>
          <w:tcW w:w="7338" w:type="dxa"/>
        </w:tcPr>
        <w:p w14:paraId="21091420" w14:textId="4CD0C5D0" w:rsidR="005A6544" w:rsidRPr="00257138" w:rsidRDefault="005A6544" w:rsidP="00DB4F74">
          <w:pPr>
            <w:pStyle w:val="Footer"/>
          </w:pPr>
          <w:r>
            <w:t>Delegate’s interim decision and reasons for decision (Joint ACMS-ACCS (nitrous oxide), March</w:t>
          </w:r>
          <w:r w:rsidR="00DB4F74">
            <w:t> </w:t>
          </w:r>
          <w:r>
            <w:t>2021)</w:t>
          </w:r>
        </w:p>
      </w:tc>
      <w:tc>
        <w:tcPr>
          <w:tcW w:w="1382" w:type="dxa"/>
        </w:tcPr>
        <w:sdt>
          <w:sdtPr>
            <w:id w:val="602996628"/>
            <w:docPartObj>
              <w:docPartGallery w:val="Page Numbers (Top of Page)"/>
              <w:docPartUnique/>
            </w:docPartObj>
          </w:sdtPr>
          <w:sdtEndPr/>
          <w:sdtContent>
            <w:p w14:paraId="7455D083" w14:textId="7FAE297D" w:rsidR="005A6544" w:rsidRPr="00257138" w:rsidRDefault="005A6544" w:rsidP="004629C6">
              <w:pPr>
                <w:pStyle w:val="Footer"/>
                <w:jc w:val="right"/>
              </w:pPr>
              <w:r w:rsidRPr="00257138">
                <w:t xml:space="preserve">Page </w:t>
              </w:r>
              <w:r>
                <w:fldChar w:fldCharType="begin"/>
              </w:r>
              <w:r>
                <w:instrText xml:space="preserve"> PAGE </w:instrText>
              </w:r>
              <w:r>
                <w:fldChar w:fldCharType="separate"/>
              </w:r>
              <w:r w:rsidR="00984B4D">
                <w:rPr>
                  <w:noProof/>
                </w:rPr>
                <w:t>11</w:t>
              </w:r>
              <w:r>
                <w:rPr>
                  <w:noProof/>
                </w:rPr>
                <w:fldChar w:fldCharType="end"/>
              </w:r>
              <w:r w:rsidRPr="00257138">
                <w:t xml:space="preserve"> of </w:t>
              </w:r>
              <w:fldSimple w:instr=" NUMPAGES  ">
                <w:r w:rsidR="00984B4D">
                  <w:rPr>
                    <w:noProof/>
                  </w:rPr>
                  <w:t>11</w:t>
                </w:r>
              </w:fldSimple>
            </w:p>
          </w:sdtContent>
        </w:sdt>
      </w:tc>
    </w:tr>
  </w:tbl>
  <w:p w14:paraId="623AA1CE" w14:textId="77777777" w:rsidR="005A6544" w:rsidRPr="00826007" w:rsidRDefault="005A6544" w:rsidP="002001F1">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5A6544" w:rsidRPr="00257138" w14:paraId="76052F65" w14:textId="77777777" w:rsidTr="003A48A2">
      <w:trPr>
        <w:trHeight w:val="423"/>
      </w:trPr>
      <w:tc>
        <w:tcPr>
          <w:tcW w:w="7338" w:type="dxa"/>
        </w:tcPr>
        <w:p w14:paraId="6A331473" w14:textId="4E85D1E5" w:rsidR="005A6544" w:rsidRPr="00257138" w:rsidRDefault="005A6544" w:rsidP="00DB4F74">
          <w:pPr>
            <w:pStyle w:val="Footer"/>
          </w:pPr>
          <w:r>
            <w:t>Delegate’s interim decision and reasons for decision (Joint ACMS-ACCS (nitrous oxide), March</w:t>
          </w:r>
          <w:r w:rsidR="00DB4F74">
            <w:t> </w:t>
          </w:r>
          <w:r>
            <w:t>2021)</w:t>
          </w:r>
        </w:p>
      </w:tc>
      <w:tc>
        <w:tcPr>
          <w:tcW w:w="1382" w:type="dxa"/>
        </w:tcPr>
        <w:sdt>
          <w:sdtPr>
            <w:id w:val="5342774"/>
            <w:docPartObj>
              <w:docPartGallery w:val="Page Numbers (Top of Page)"/>
              <w:docPartUnique/>
            </w:docPartObj>
          </w:sdtPr>
          <w:sdtEndPr/>
          <w:sdtContent>
            <w:p w14:paraId="44A48167" w14:textId="7A7C0359" w:rsidR="005A6544" w:rsidRPr="00257138" w:rsidRDefault="005A6544" w:rsidP="003A48A2">
              <w:pPr>
                <w:pStyle w:val="Footer"/>
                <w:jc w:val="right"/>
              </w:pPr>
              <w:r w:rsidRPr="00257138">
                <w:t xml:space="preserve">Page </w:t>
              </w:r>
              <w:r>
                <w:fldChar w:fldCharType="begin"/>
              </w:r>
              <w:r>
                <w:instrText xml:space="preserve"> PAGE </w:instrText>
              </w:r>
              <w:r>
                <w:fldChar w:fldCharType="separate"/>
              </w:r>
              <w:r w:rsidR="00984B4D">
                <w:rPr>
                  <w:noProof/>
                </w:rPr>
                <w:t>2</w:t>
              </w:r>
              <w:r>
                <w:rPr>
                  <w:noProof/>
                </w:rPr>
                <w:fldChar w:fldCharType="end"/>
              </w:r>
              <w:r w:rsidRPr="00257138">
                <w:t xml:space="preserve"> of </w:t>
              </w:r>
              <w:fldSimple w:instr=" NUMPAGES  ">
                <w:r w:rsidR="00984B4D">
                  <w:rPr>
                    <w:noProof/>
                  </w:rPr>
                  <w:t>11</w:t>
                </w:r>
              </w:fldSimple>
            </w:p>
          </w:sdtContent>
        </w:sdt>
      </w:tc>
    </w:tr>
  </w:tbl>
  <w:p w14:paraId="2BFF15C4" w14:textId="77777777" w:rsidR="005A6544" w:rsidRDefault="005A6544" w:rsidP="00BD0155">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197E9" w14:textId="77777777" w:rsidR="005A6544" w:rsidRDefault="005A6544" w:rsidP="00C40A36">
      <w:pPr>
        <w:spacing w:after="0"/>
      </w:pPr>
      <w:r>
        <w:separator/>
      </w:r>
    </w:p>
  </w:footnote>
  <w:footnote w:type="continuationSeparator" w:id="0">
    <w:p w14:paraId="6D1B11C1" w14:textId="77777777" w:rsidR="005A6544" w:rsidRDefault="005A6544" w:rsidP="00C40A36">
      <w:pPr>
        <w:spacing w:after="0"/>
      </w:pPr>
      <w:r>
        <w:continuationSeparator/>
      </w:r>
    </w:p>
  </w:footnote>
  <w:footnote w:id="1">
    <w:p w14:paraId="0239F7A9" w14:textId="0C5F1536" w:rsidR="005A6544" w:rsidRDefault="005A6544">
      <w:pPr>
        <w:pStyle w:val="FootnoteText"/>
      </w:pPr>
      <w:r>
        <w:rPr>
          <w:rStyle w:val="FootnoteReference"/>
        </w:rPr>
        <w:footnoteRef/>
      </w:r>
      <w:r>
        <w:t xml:space="preserve"> </w:t>
      </w:r>
      <w:r w:rsidRPr="00F448FC">
        <w:t>https://doi.org/10.1111/ajad.12372</w:t>
      </w:r>
    </w:p>
  </w:footnote>
  <w:footnote w:id="2">
    <w:p w14:paraId="64D5EB74" w14:textId="289D5020" w:rsidR="005A6544" w:rsidRDefault="005A6544">
      <w:pPr>
        <w:pStyle w:val="FootnoteText"/>
      </w:pPr>
      <w:r>
        <w:rPr>
          <w:rStyle w:val="FootnoteReference"/>
        </w:rPr>
        <w:footnoteRef/>
      </w:r>
      <w:r>
        <w:t xml:space="preserve"> </w:t>
      </w:r>
      <w:r w:rsidRPr="00F448FC">
        <w:t>https://doi.org/10.1016/j.jns.2010.10.033</w:t>
      </w:r>
    </w:p>
  </w:footnote>
  <w:footnote w:id="3">
    <w:p w14:paraId="5B04A245" w14:textId="0693672B" w:rsidR="005A6544" w:rsidRDefault="005A6544">
      <w:pPr>
        <w:pStyle w:val="FootnoteText"/>
      </w:pPr>
      <w:r>
        <w:rPr>
          <w:rStyle w:val="FootnoteReference"/>
        </w:rPr>
        <w:footnoteRef/>
      </w:r>
      <w:r>
        <w:t xml:space="preserve"> </w:t>
      </w:r>
      <w:r w:rsidRPr="00F448FC">
        <w:t>https://doi.org/10.5694/mja2.50371</w:t>
      </w:r>
    </w:p>
  </w:footnote>
  <w:footnote w:id="4">
    <w:p w14:paraId="1750AA03" w14:textId="6A48C9AA" w:rsidR="005A6544" w:rsidRDefault="005A6544">
      <w:pPr>
        <w:pStyle w:val="FootnoteText"/>
      </w:pPr>
      <w:r>
        <w:rPr>
          <w:rStyle w:val="FootnoteReference"/>
        </w:rPr>
        <w:footnoteRef/>
      </w:r>
      <w:r>
        <w:t xml:space="preserve"> </w:t>
      </w:r>
      <w:r w:rsidR="00DD56EA" w:rsidRPr="00DD56EA">
        <w:t>https://consultations.health.gov.au/tga/march_2021/user_uploads/quantifying-the-burden-of-n2o-to-emergency-departments-around-wa-v2.2-8-12-20---attachment-1a.pdf</w:t>
      </w:r>
    </w:p>
  </w:footnote>
  <w:footnote w:id="5">
    <w:p w14:paraId="66957330" w14:textId="6DB0F51A" w:rsidR="005A6544" w:rsidRDefault="005A6544">
      <w:pPr>
        <w:pStyle w:val="FootnoteText"/>
      </w:pPr>
      <w:r>
        <w:rPr>
          <w:rStyle w:val="FootnoteReference"/>
        </w:rPr>
        <w:footnoteRef/>
      </w:r>
      <w:r>
        <w:t xml:space="preserve"> </w:t>
      </w:r>
      <w:r w:rsidRPr="009B7077">
        <w:t>https://www.ons.gov.uk/peoplepopulationandcommunity/birthsdeathsandmarriages/deaths/datasets/</w:t>
      </w:r>
      <w:r>
        <w:br/>
      </w:r>
      <w:proofErr w:type="spellStart"/>
      <w:r w:rsidRPr="009B7077">
        <w:t>deathsrelatedtovolatilesubstanceabuseandheliumgreatbritain</w:t>
      </w:r>
      <w:proofErr w:type="spellEnd"/>
    </w:p>
  </w:footnote>
  <w:footnote w:id="6">
    <w:p w14:paraId="44B2ECA7" w14:textId="36BD7011" w:rsidR="005A6544" w:rsidRDefault="005A6544" w:rsidP="00CC19FE">
      <w:pPr>
        <w:pStyle w:val="FootnoteText"/>
      </w:pPr>
      <w:r>
        <w:rPr>
          <w:rStyle w:val="FootnoteReference"/>
        </w:rPr>
        <w:footnoteRef/>
      </w:r>
      <w:r>
        <w:t xml:space="preserve"> </w:t>
      </w:r>
      <w:r w:rsidRPr="0089159E">
        <w:t>https://www.boc-gas.com.au/en/images/Nitrous%20Oxide%20SDS_tcm351-496573.pdf</w:t>
      </w:r>
    </w:p>
  </w:footnote>
  <w:footnote w:id="7">
    <w:p w14:paraId="09D1CCE1" w14:textId="12B53CB6" w:rsidR="00DD56EA" w:rsidRDefault="00DD56EA">
      <w:pPr>
        <w:pStyle w:val="FootnoteText"/>
      </w:pPr>
      <w:r>
        <w:rPr>
          <w:rStyle w:val="FootnoteReference"/>
        </w:rPr>
        <w:footnoteRef/>
      </w:r>
      <w:r>
        <w:t xml:space="preserve"> </w:t>
      </w:r>
      <w:r w:rsidRPr="00DD56EA">
        <w:t>https://consultations.health.gov.au/tga/march_2021/user_uploads/quantifying-the-burden-of-n2o-to-emergency-departments-around-wa-v2.2-8-12-20---attachment-1a.pdf</w:t>
      </w:r>
    </w:p>
  </w:footnote>
  <w:footnote w:id="8">
    <w:p w14:paraId="11057BBC" w14:textId="17569036" w:rsidR="00DD56EA" w:rsidRDefault="00DD56EA">
      <w:pPr>
        <w:pStyle w:val="FootnoteText"/>
      </w:pPr>
      <w:r>
        <w:rPr>
          <w:rStyle w:val="FootnoteReference"/>
        </w:rPr>
        <w:footnoteRef/>
      </w:r>
      <w:r>
        <w:t xml:space="preserve"> </w:t>
      </w:r>
      <w:r w:rsidRPr="00DD56EA">
        <w:t>https://consultations.health.gov.au/tga/march_2021/user_uploads/27_01_2021-tga-scheduling-proposal-nitrous-oxide-final_redacted.pdf</w:t>
      </w:r>
    </w:p>
  </w:footnote>
  <w:footnote w:id="9">
    <w:p w14:paraId="26F11DCD" w14:textId="269380E6" w:rsidR="00DD56EA" w:rsidRDefault="00DD56EA">
      <w:pPr>
        <w:pStyle w:val="FootnoteText"/>
      </w:pPr>
      <w:r>
        <w:rPr>
          <w:rStyle w:val="FootnoteReference"/>
        </w:rPr>
        <w:footnoteRef/>
      </w:r>
      <w:r>
        <w:t xml:space="preserve"> </w:t>
      </w:r>
      <w:r w:rsidRPr="00DD56EA">
        <w:t>https://consultations.health.gov.au/tga/march_2021/user_uploads/nuaa-tga-nitrous-oxide-final-submission-27-01-2021_redacted.pdf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4035"/>
      <w:gridCol w:w="4685"/>
    </w:tblGrid>
    <w:tr w:rsidR="005A6544" w:rsidRPr="00DA24C7" w14:paraId="081A8C01" w14:textId="77777777" w:rsidTr="00F923D6">
      <w:trPr>
        <w:trHeight w:val="709"/>
      </w:trPr>
      <w:tc>
        <w:tcPr>
          <w:tcW w:w="4035" w:type="dxa"/>
        </w:tcPr>
        <w:p w14:paraId="32A34B13" w14:textId="77777777" w:rsidR="005A6544" w:rsidRPr="00DA24C7" w:rsidRDefault="005A6544" w:rsidP="00DA24C7">
          <w:pPr>
            <w:rPr>
              <w:rStyle w:val="HeaderChar"/>
              <w:sz w:val="32"/>
            </w:rPr>
          </w:pPr>
          <w:r w:rsidRPr="00DA24C7">
            <w:rPr>
              <w:rStyle w:val="HeaderChar"/>
              <w:sz w:val="32"/>
            </w:rPr>
            <w:t>INTERNAL USE ONLY</w:t>
          </w:r>
        </w:p>
      </w:tc>
      <w:tc>
        <w:tcPr>
          <w:tcW w:w="4685" w:type="dxa"/>
          <w:tcBorders>
            <w:bottom w:val="single" w:sz="4" w:space="0" w:color="auto"/>
          </w:tcBorders>
          <w:vAlign w:val="bottom"/>
        </w:tcPr>
        <w:p w14:paraId="3D83E5FA" w14:textId="77777777" w:rsidR="005A6544" w:rsidRPr="000F5176" w:rsidRDefault="005A6544" w:rsidP="000F5176">
          <w:pPr>
            <w:pStyle w:val="HeaderNoLine"/>
            <w:rPr>
              <w:rStyle w:val="HeaderChar"/>
            </w:rPr>
          </w:pPr>
          <w:r w:rsidRPr="000F5176">
            <w:t>Therapeutic Goods Administration</w:t>
          </w:r>
        </w:p>
      </w:tc>
    </w:tr>
  </w:tbl>
  <w:p w14:paraId="7D79B037" w14:textId="77777777" w:rsidR="005A6544" w:rsidRDefault="005A6544" w:rsidP="00F923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5A6544" w:rsidRPr="00DE02AE" w14:paraId="6C8DF45D" w14:textId="77777777" w:rsidTr="00782870">
      <w:trPr>
        <w:trHeight w:hRule="exact" w:val="8845"/>
      </w:trPr>
      <w:tc>
        <w:tcPr>
          <w:tcW w:w="11964" w:type="dxa"/>
        </w:tcPr>
        <w:p w14:paraId="1F71D1E5" w14:textId="6FCC0768" w:rsidR="005A6544" w:rsidRPr="00DE02AE" w:rsidRDefault="00712043" w:rsidP="00782870">
          <w:pPr>
            <w:pStyle w:val="Date"/>
            <w:ind w:left="-28"/>
          </w:pPr>
          <w:sdt>
            <w:sdtPr>
              <w:id w:val="21514581"/>
              <w:showingPlcHdr/>
              <w:picture/>
            </w:sdtPr>
            <w:sdtEndPr/>
            <w:sdtContent>
              <w:r w:rsidR="005A6544">
                <w:rPr>
                  <w:noProof/>
                  <w:lang w:eastAsia="en-AU"/>
                </w:rPr>
                <w:drawing>
                  <wp:inline distT="0" distB="0" distL="0" distR="0" wp14:anchorId="0196F78A" wp14:editId="17A31771">
                    <wp:extent cx="7610475" cy="5638800"/>
                    <wp:effectExtent l="1905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14:paraId="75E40F15" w14:textId="01450C28" w:rsidR="005A6544" w:rsidRDefault="005A6544" w:rsidP="00280EA7">
    <w:pPr>
      <w:rPr>
        <w:noProof/>
      </w:rPr>
    </w:pPr>
    <w:r>
      <w:rPr>
        <w:noProof/>
        <w:lang w:eastAsia="en-AU"/>
      </w:rPr>
      <w:drawing>
        <wp:anchor distT="0" distB="0" distL="114300" distR="114300" simplePos="0" relativeHeight="251666432" behindDoc="0" locked="0" layoutInCell="0" allowOverlap="1" wp14:anchorId="02973095" wp14:editId="37E61544">
          <wp:simplePos x="0" y="0"/>
          <wp:positionH relativeFrom="column">
            <wp:posOffset>-900430</wp:posOffset>
          </wp:positionH>
          <wp:positionV relativeFrom="page">
            <wp:posOffset>4437444</wp:posOffset>
          </wp:positionV>
          <wp:extent cx="7600950" cy="2457450"/>
          <wp:effectExtent l="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2"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r w:rsidRPr="00E57B71">
      <w:rPr>
        <w:noProof/>
        <w:lang w:eastAsia="en-AU"/>
      </w:rPr>
      <w:drawing>
        <wp:anchor distT="0" distB="0" distL="114300" distR="114300" simplePos="0" relativeHeight="251664384" behindDoc="0" locked="0" layoutInCell="1" allowOverlap="1" wp14:anchorId="49239B74" wp14:editId="760F90AC">
          <wp:simplePos x="0" y="0"/>
          <wp:positionH relativeFrom="column">
            <wp:posOffset>-195580</wp:posOffset>
          </wp:positionH>
          <wp:positionV relativeFrom="paragraph">
            <wp:posOffset>-58420</wp:posOffset>
          </wp:positionV>
          <wp:extent cx="3524250" cy="1209675"/>
          <wp:effectExtent l="19050" t="0" r="0" b="0"/>
          <wp:wrapTopAndBottom/>
          <wp:docPr id="9" name="Picture 9"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3"/>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4035"/>
      <w:gridCol w:w="4685"/>
    </w:tblGrid>
    <w:tr w:rsidR="005A6544" w:rsidRPr="00DA24C7" w14:paraId="7C724D59" w14:textId="77777777" w:rsidTr="00C6376F">
      <w:trPr>
        <w:trHeight w:val="558"/>
      </w:trPr>
      <w:tc>
        <w:tcPr>
          <w:tcW w:w="4035" w:type="dxa"/>
          <w:vAlign w:val="center"/>
        </w:tcPr>
        <w:p w14:paraId="047292FC" w14:textId="62B95FE3" w:rsidR="005A6544" w:rsidRPr="00EB74A7" w:rsidRDefault="005A6544" w:rsidP="00C6376F">
          <w:pPr>
            <w:rPr>
              <w:rStyle w:val="HeaderChar"/>
              <w:rFonts w:ascii="Arial" w:hAnsi="Arial" w:cs="Arial"/>
              <w:b/>
              <w:sz w:val="28"/>
              <w:szCs w:val="28"/>
            </w:rPr>
          </w:pPr>
        </w:p>
      </w:tc>
      <w:tc>
        <w:tcPr>
          <w:tcW w:w="4685" w:type="dxa"/>
          <w:vAlign w:val="center"/>
        </w:tcPr>
        <w:p w14:paraId="3A7D855E" w14:textId="77777777" w:rsidR="005A6544" w:rsidRPr="000F5176" w:rsidRDefault="005A6544" w:rsidP="00C6376F">
          <w:pPr>
            <w:pStyle w:val="HeaderNoLine"/>
            <w:rPr>
              <w:rStyle w:val="HeaderChar"/>
            </w:rPr>
          </w:pPr>
          <w:r w:rsidRPr="000F5176">
            <w:t>Therapeutic Goods Administration</w:t>
          </w:r>
        </w:p>
      </w:tc>
    </w:tr>
  </w:tbl>
  <w:p w14:paraId="3EB99D2B" w14:textId="77777777" w:rsidR="005A6544" w:rsidRDefault="005A6544" w:rsidP="00F3450E">
    <w:pP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4035"/>
      <w:gridCol w:w="4685"/>
    </w:tblGrid>
    <w:tr w:rsidR="005A6544" w:rsidRPr="00DA24C7" w14:paraId="28E03D4B" w14:textId="77777777" w:rsidTr="00C6376F">
      <w:trPr>
        <w:trHeight w:val="558"/>
      </w:trPr>
      <w:tc>
        <w:tcPr>
          <w:tcW w:w="4035" w:type="dxa"/>
        </w:tcPr>
        <w:p w14:paraId="02A4F856" w14:textId="69123A4C" w:rsidR="005A6544" w:rsidRPr="00EB74A7" w:rsidRDefault="005A6544" w:rsidP="00C6376F">
          <w:pPr>
            <w:pStyle w:val="HeaderNoLine"/>
            <w:jc w:val="left"/>
            <w:rPr>
              <w:rStyle w:val="HeaderChar"/>
              <w:rFonts w:ascii="Arial" w:hAnsi="Arial" w:cs="Arial"/>
              <w:b/>
              <w:sz w:val="28"/>
              <w:szCs w:val="28"/>
            </w:rPr>
          </w:pPr>
        </w:p>
      </w:tc>
      <w:tc>
        <w:tcPr>
          <w:tcW w:w="4685" w:type="dxa"/>
          <w:vAlign w:val="center"/>
        </w:tcPr>
        <w:p w14:paraId="0DD7BFA8" w14:textId="77777777" w:rsidR="005A6544" w:rsidRPr="000F5176" w:rsidRDefault="005A6544" w:rsidP="00C6376F">
          <w:pPr>
            <w:pStyle w:val="HeaderNoLine"/>
            <w:rPr>
              <w:rStyle w:val="HeaderChar"/>
            </w:rPr>
          </w:pPr>
          <w:r w:rsidRPr="000F5176">
            <w:t>Therapeutic Goods Administration</w:t>
          </w:r>
        </w:p>
      </w:tc>
    </w:tr>
  </w:tbl>
  <w:p w14:paraId="5ECE58D0" w14:textId="77777777" w:rsidR="005A6544" w:rsidRDefault="005A6544" w:rsidP="00280E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171F5"/>
    <w:multiLevelType w:val="hybridMultilevel"/>
    <w:tmpl w:val="50F64276"/>
    <w:lvl w:ilvl="0" w:tplc="1B889E46">
      <w:start w:val="1"/>
      <w:numFmt w:val="lowerRoman"/>
      <w:lvlText w:val="%1)"/>
      <w:lvlJc w:val="left"/>
      <w:pPr>
        <w:ind w:left="1644" w:hanging="360"/>
      </w:pPr>
      <w:rPr>
        <w:rFonts w:hint="default"/>
      </w:rPr>
    </w:lvl>
    <w:lvl w:ilvl="1" w:tplc="1EDC6928">
      <w:start w:val="1"/>
      <w:numFmt w:val="upperLetter"/>
      <w:lvlText w:val="(%2)"/>
      <w:lvlJc w:val="left"/>
      <w:pPr>
        <w:ind w:left="2724" w:hanging="720"/>
      </w:pPr>
      <w:rPr>
        <w:rFonts w:hint="default"/>
      </w:rPr>
    </w:lvl>
    <w:lvl w:ilvl="2" w:tplc="DBBEA6FC">
      <w:start w:val="1"/>
      <w:numFmt w:val="lowerLetter"/>
      <w:lvlText w:val="%3)"/>
      <w:lvlJc w:val="left"/>
      <w:pPr>
        <w:ind w:left="3774" w:hanging="870"/>
      </w:pPr>
      <w:rPr>
        <w:rFonts w:hint="default"/>
      </w:rPr>
    </w:lvl>
    <w:lvl w:ilvl="3" w:tplc="0C09000F" w:tentative="1">
      <w:start w:val="1"/>
      <w:numFmt w:val="decimal"/>
      <w:lvlText w:val="%4."/>
      <w:lvlJc w:val="left"/>
      <w:pPr>
        <w:ind w:left="3804" w:hanging="360"/>
      </w:pPr>
    </w:lvl>
    <w:lvl w:ilvl="4" w:tplc="0C090019" w:tentative="1">
      <w:start w:val="1"/>
      <w:numFmt w:val="lowerLetter"/>
      <w:lvlText w:val="%5."/>
      <w:lvlJc w:val="left"/>
      <w:pPr>
        <w:ind w:left="4524" w:hanging="360"/>
      </w:pPr>
    </w:lvl>
    <w:lvl w:ilvl="5" w:tplc="0C09001B" w:tentative="1">
      <w:start w:val="1"/>
      <w:numFmt w:val="lowerRoman"/>
      <w:lvlText w:val="%6."/>
      <w:lvlJc w:val="right"/>
      <w:pPr>
        <w:ind w:left="5244" w:hanging="180"/>
      </w:pPr>
    </w:lvl>
    <w:lvl w:ilvl="6" w:tplc="0C09000F" w:tentative="1">
      <w:start w:val="1"/>
      <w:numFmt w:val="decimal"/>
      <w:lvlText w:val="%7."/>
      <w:lvlJc w:val="left"/>
      <w:pPr>
        <w:ind w:left="5964" w:hanging="360"/>
      </w:pPr>
    </w:lvl>
    <w:lvl w:ilvl="7" w:tplc="0C090019" w:tentative="1">
      <w:start w:val="1"/>
      <w:numFmt w:val="lowerLetter"/>
      <w:lvlText w:val="%8."/>
      <w:lvlJc w:val="left"/>
      <w:pPr>
        <w:ind w:left="6684" w:hanging="360"/>
      </w:pPr>
    </w:lvl>
    <w:lvl w:ilvl="8" w:tplc="0C09001B" w:tentative="1">
      <w:start w:val="1"/>
      <w:numFmt w:val="lowerRoman"/>
      <w:lvlText w:val="%9."/>
      <w:lvlJc w:val="right"/>
      <w:pPr>
        <w:ind w:left="7404" w:hanging="180"/>
      </w:pPr>
    </w:lvl>
  </w:abstractNum>
  <w:abstractNum w:abstractNumId="1" w15:restartNumberingAfterBreak="0">
    <w:nsid w:val="07D63B54"/>
    <w:multiLevelType w:val="hybridMultilevel"/>
    <w:tmpl w:val="50F64276"/>
    <w:lvl w:ilvl="0" w:tplc="1B889E46">
      <w:start w:val="1"/>
      <w:numFmt w:val="lowerRoman"/>
      <w:lvlText w:val="%1)"/>
      <w:lvlJc w:val="left"/>
      <w:pPr>
        <w:ind w:left="1644" w:hanging="360"/>
      </w:pPr>
      <w:rPr>
        <w:rFonts w:hint="default"/>
      </w:rPr>
    </w:lvl>
    <w:lvl w:ilvl="1" w:tplc="1EDC6928">
      <w:start w:val="1"/>
      <w:numFmt w:val="upperLetter"/>
      <w:lvlText w:val="(%2)"/>
      <w:lvlJc w:val="left"/>
      <w:pPr>
        <w:ind w:left="2724" w:hanging="720"/>
      </w:pPr>
      <w:rPr>
        <w:rFonts w:hint="default"/>
      </w:rPr>
    </w:lvl>
    <w:lvl w:ilvl="2" w:tplc="DBBEA6FC">
      <w:start w:val="1"/>
      <w:numFmt w:val="lowerLetter"/>
      <w:lvlText w:val="%3)"/>
      <w:lvlJc w:val="left"/>
      <w:pPr>
        <w:ind w:left="3774" w:hanging="870"/>
      </w:pPr>
      <w:rPr>
        <w:rFonts w:hint="default"/>
      </w:rPr>
    </w:lvl>
    <w:lvl w:ilvl="3" w:tplc="0C09000F" w:tentative="1">
      <w:start w:val="1"/>
      <w:numFmt w:val="decimal"/>
      <w:lvlText w:val="%4."/>
      <w:lvlJc w:val="left"/>
      <w:pPr>
        <w:ind w:left="3804" w:hanging="360"/>
      </w:pPr>
    </w:lvl>
    <w:lvl w:ilvl="4" w:tplc="0C090019" w:tentative="1">
      <w:start w:val="1"/>
      <w:numFmt w:val="lowerLetter"/>
      <w:lvlText w:val="%5."/>
      <w:lvlJc w:val="left"/>
      <w:pPr>
        <w:ind w:left="4524" w:hanging="360"/>
      </w:pPr>
    </w:lvl>
    <w:lvl w:ilvl="5" w:tplc="0C09001B" w:tentative="1">
      <w:start w:val="1"/>
      <w:numFmt w:val="lowerRoman"/>
      <w:lvlText w:val="%6."/>
      <w:lvlJc w:val="right"/>
      <w:pPr>
        <w:ind w:left="5244" w:hanging="180"/>
      </w:pPr>
    </w:lvl>
    <w:lvl w:ilvl="6" w:tplc="0C09000F" w:tentative="1">
      <w:start w:val="1"/>
      <w:numFmt w:val="decimal"/>
      <w:lvlText w:val="%7."/>
      <w:lvlJc w:val="left"/>
      <w:pPr>
        <w:ind w:left="5964" w:hanging="360"/>
      </w:pPr>
    </w:lvl>
    <w:lvl w:ilvl="7" w:tplc="0C090019" w:tentative="1">
      <w:start w:val="1"/>
      <w:numFmt w:val="lowerLetter"/>
      <w:lvlText w:val="%8."/>
      <w:lvlJc w:val="left"/>
      <w:pPr>
        <w:ind w:left="6684" w:hanging="360"/>
      </w:pPr>
    </w:lvl>
    <w:lvl w:ilvl="8" w:tplc="0C09001B" w:tentative="1">
      <w:start w:val="1"/>
      <w:numFmt w:val="lowerRoman"/>
      <w:lvlText w:val="%9."/>
      <w:lvlJc w:val="right"/>
      <w:pPr>
        <w:ind w:left="7404" w:hanging="180"/>
      </w:pPr>
    </w:lvl>
  </w:abstractNum>
  <w:abstractNum w:abstractNumId="2" w15:restartNumberingAfterBreak="0">
    <w:nsid w:val="07E476E5"/>
    <w:multiLevelType w:val="hybridMultilevel"/>
    <w:tmpl w:val="50F64276"/>
    <w:lvl w:ilvl="0" w:tplc="1B889E46">
      <w:start w:val="1"/>
      <w:numFmt w:val="lowerRoman"/>
      <w:lvlText w:val="%1)"/>
      <w:lvlJc w:val="left"/>
      <w:pPr>
        <w:ind w:left="1644" w:hanging="360"/>
      </w:pPr>
      <w:rPr>
        <w:rFonts w:hint="default"/>
      </w:rPr>
    </w:lvl>
    <w:lvl w:ilvl="1" w:tplc="1EDC6928">
      <w:start w:val="1"/>
      <w:numFmt w:val="upperLetter"/>
      <w:lvlText w:val="(%2)"/>
      <w:lvlJc w:val="left"/>
      <w:pPr>
        <w:ind w:left="2724" w:hanging="720"/>
      </w:pPr>
      <w:rPr>
        <w:rFonts w:hint="default"/>
      </w:rPr>
    </w:lvl>
    <w:lvl w:ilvl="2" w:tplc="DBBEA6FC">
      <w:start w:val="1"/>
      <w:numFmt w:val="lowerLetter"/>
      <w:lvlText w:val="%3)"/>
      <w:lvlJc w:val="left"/>
      <w:pPr>
        <w:ind w:left="3774" w:hanging="870"/>
      </w:pPr>
      <w:rPr>
        <w:rFonts w:hint="default"/>
      </w:rPr>
    </w:lvl>
    <w:lvl w:ilvl="3" w:tplc="0C09000F" w:tentative="1">
      <w:start w:val="1"/>
      <w:numFmt w:val="decimal"/>
      <w:lvlText w:val="%4."/>
      <w:lvlJc w:val="left"/>
      <w:pPr>
        <w:ind w:left="3804" w:hanging="360"/>
      </w:pPr>
    </w:lvl>
    <w:lvl w:ilvl="4" w:tplc="0C090019" w:tentative="1">
      <w:start w:val="1"/>
      <w:numFmt w:val="lowerLetter"/>
      <w:lvlText w:val="%5."/>
      <w:lvlJc w:val="left"/>
      <w:pPr>
        <w:ind w:left="4524" w:hanging="360"/>
      </w:pPr>
    </w:lvl>
    <w:lvl w:ilvl="5" w:tplc="0C09001B" w:tentative="1">
      <w:start w:val="1"/>
      <w:numFmt w:val="lowerRoman"/>
      <w:lvlText w:val="%6."/>
      <w:lvlJc w:val="right"/>
      <w:pPr>
        <w:ind w:left="5244" w:hanging="180"/>
      </w:pPr>
    </w:lvl>
    <w:lvl w:ilvl="6" w:tplc="0C09000F" w:tentative="1">
      <w:start w:val="1"/>
      <w:numFmt w:val="decimal"/>
      <w:lvlText w:val="%7."/>
      <w:lvlJc w:val="left"/>
      <w:pPr>
        <w:ind w:left="5964" w:hanging="360"/>
      </w:pPr>
    </w:lvl>
    <w:lvl w:ilvl="7" w:tplc="0C090019" w:tentative="1">
      <w:start w:val="1"/>
      <w:numFmt w:val="lowerLetter"/>
      <w:lvlText w:val="%8."/>
      <w:lvlJc w:val="left"/>
      <w:pPr>
        <w:ind w:left="6684" w:hanging="360"/>
      </w:pPr>
    </w:lvl>
    <w:lvl w:ilvl="8" w:tplc="0C09001B" w:tentative="1">
      <w:start w:val="1"/>
      <w:numFmt w:val="lowerRoman"/>
      <w:lvlText w:val="%9."/>
      <w:lvlJc w:val="right"/>
      <w:pPr>
        <w:ind w:left="7404" w:hanging="180"/>
      </w:pPr>
    </w:lvl>
  </w:abstractNum>
  <w:abstractNum w:abstractNumId="3" w15:restartNumberingAfterBreak="0">
    <w:nsid w:val="0A7B452C"/>
    <w:multiLevelType w:val="hybridMultilevel"/>
    <w:tmpl w:val="50F64276"/>
    <w:lvl w:ilvl="0" w:tplc="1B889E46">
      <w:start w:val="1"/>
      <w:numFmt w:val="lowerRoman"/>
      <w:lvlText w:val="%1)"/>
      <w:lvlJc w:val="left"/>
      <w:pPr>
        <w:ind w:left="1644" w:hanging="360"/>
      </w:pPr>
      <w:rPr>
        <w:rFonts w:hint="default"/>
      </w:rPr>
    </w:lvl>
    <w:lvl w:ilvl="1" w:tplc="1EDC6928">
      <w:start w:val="1"/>
      <w:numFmt w:val="upperLetter"/>
      <w:lvlText w:val="(%2)"/>
      <w:lvlJc w:val="left"/>
      <w:pPr>
        <w:ind w:left="2724" w:hanging="720"/>
      </w:pPr>
      <w:rPr>
        <w:rFonts w:hint="default"/>
      </w:rPr>
    </w:lvl>
    <w:lvl w:ilvl="2" w:tplc="DBBEA6FC">
      <w:start w:val="1"/>
      <w:numFmt w:val="lowerLetter"/>
      <w:lvlText w:val="%3)"/>
      <w:lvlJc w:val="left"/>
      <w:pPr>
        <w:ind w:left="3774" w:hanging="870"/>
      </w:pPr>
      <w:rPr>
        <w:rFonts w:hint="default"/>
      </w:rPr>
    </w:lvl>
    <w:lvl w:ilvl="3" w:tplc="0C09000F" w:tentative="1">
      <w:start w:val="1"/>
      <w:numFmt w:val="decimal"/>
      <w:lvlText w:val="%4."/>
      <w:lvlJc w:val="left"/>
      <w:pPr>
        <w:ind w:left="3804" w:hanging="360"/>
      </w:pPr>
    </w:lvl>
    <w:lvl w:ilvl="4" w:tplc="0C090019" w:tentative="1">
      <w:start w:val="1"/>
      <w:numFmt w:val="lowerLetter"/>
      <w:lvlText w:val="%5."/>
      <w:lvlJc w:val="left"/>
      <w:pPr>
        <w:ind w:left="4524" w:hanging="360"/>
      </w:pPr>
    </w:lvl>
    <w:lvl w:ilvl="5" w:tplc="0C09001B" w:tentative="1">
      <w:start w:val="1"/>
      <w:numFmt w:val="lowerRoman"/>
      <w:lvlText w:val="%6."/>
      <w:lvlJc w:val="right"/>
      <w:pPr>
        <w:ind w:left="5244" w:hanging="180"/>
      </w:pPr>
    </w:lvl>
    <w:lvl w:ilvl="6" w:tplc="0C09000F" w:tentative="1">
      <w:start w:val="1"/>
      <w:numFmt w:val="decimal"/>
      <w:lvlText w:val="%7."/>
      <w:lvlJc w:val="left"/>
      <w:pPr>
        <w:ind w:left="5964" w:hanging="360"/>
      </w:pPr>
    </w:lvl>
    <w:lvl w:ilvl="7" w:tplc="0C090019" w:tentative="1">
      <w:start w:val="1"/>
      <w:numFmt w:val="lowerLetter"/>
      <w:lvlText w:val="%8."/>
      <w:lvlJc w:val="left"/>
      <w:pPr>
        <w:ind w:left="6684" w:hanging="360"/>
      </w:pPr>
    </w:lvl>
    <w:lvl w:ilvl="8" w:tplc="0C09001B" w:tentative="1">
      <w:start w:val="1"/>
      <w:numFmt w:val="lowerRoman"/>
      <w:lvlText w:val="%9."/>
      <w:lvlJc w:val="right"/>
      <w:pPr>
        <w:ind w:left="7404" w:hanging="180"/>
      </w:pPr>
    </w:lvl>
  </w:abstractNum>
  <w:abstractNum w:abstractNumId="4" w15:restartNumberingAfterBreak="0">
    <w:nsid w:val="0AE058C7"/>
    <w:multiLevelType w:val="hybridMultilevel"/>
    <w:tmpl w:val="7F182EA2"/>
    <w:lvl w:ilvl="0" w:tplc="688A034C">
      <w:start w:val="1"/>
      <w:numFmt w:val="lowerRoman"/>
      <w:lvlText w:val="%1)"/>
      <w:lvlJc w:val="left"/>
      <w:pPr>
        <w:ind w:left="1644" w:hanging="360"/>
      </w:pPr>
      <w:rPr>
        <w:rFonts w:hint="default"/>
        <w:color w:val="00B050"/>
      </w:rPr>
    </w:lvl>
    <w:lvl w:ilvl="1" w:tplc="1EDC6928">
      <w:start w:val="1"/>
      <w:numFmt w:val="upperLetter"/>
      <w:lvlText w:val="(%2)"/>
      <w:lvlJc w:val="left"/>
      <w:pPr>
        <w:ind w:left="2724" w:hanging="720"/>
      </w:pPr>
      <w:rPr>
        <w:rFonts w:hint="default"/>
      </w:rPr>
    </w:lvl>
    <w:lvl w:ilvl="2" w:tplc="DBBEA6FC">
      <w:start w:val="1"/>
      <w:numFmt w:val="lowerLetter"/>
      <w:lvlText w:val="%3)"/>
      <w:lvlJc w:val="left"/>
      <w:pPr>
        <w:ind w:left="3774" w:hanging="870"/>
      </w:pPr>
      <w:rPr>
        <w:rFonts w:hint="default"/>
      </w:rPr>
    </w:lvl>
    <w:lvl w:ilvl="3" w:tplc="0C09000F" w:tentative="1">
      <w:start w:val="1"/>
      <w:numFmt w:val="decimal"/>
      <w:lvlText w:val="%4."/>
      <w:lvlJc w:val="left"/>
      <w:pPr>
        <w:ind w:left="3804" w:hanging="360"/>
      </w:pPr>
    </w:lvl>
    <w:lvl w:ilvl="4" w:tplc="0C090019" w:tentative="1">
      <w:start w:val="1"/>
      <w:numFmt w:val="lowerLetter"/>
      <w:lvlText w:val="%5."/>
      <w:lvlJc w:val="left"/>
      <w:pPr>
        <w:ind w:left="4524" w:hanging="360"/>
      </w:pPr>
    </w:lvl>
    <w:lvl w:ilvl="5" w:tplc="0C09001B" w:tentative="1">
      <w:start w:val="1"/>
      <w:numFmt w:val="lowerRoman"/>
      <w:lvlText w:val="%6."/>
      <w:lvlJc w:val="right"/>
      <w:pPr>
        <w:ind w:left="5244" w:hanging="180"/>
      </w:pPr>
    </w:lvl>
    <w:lvl w:ilvl="6" w:tplc="0C09000F" w:tentative="1">
      <w:start w:val="1"/>
      <w:numFmt w:val="decimal"/>
      <w:lvlText w:val="%7."/>
      <w:lvlJc w:val="left"/>
      <w:pPr>
        <w:ind w:left="5964" w:hanging="360"/>
      </w:pPr>
    </w:lvl>
    <w:lvl w:ilvl="7" w:tplc="0C090019" w:tentative="1">
      <w:start w:val="1"/>
      <w:numFmt w:val="lowerLetter"/>
      <w:lvlText w:val="%8."/>
      <w:lvlJc w:val="left"/>
      <w:pPr>
        <w:ind w:left="6684" w:hanging="360"/>
      </w:pPr>
    </w:lvl>
    <w:lvl w:ilvl="8" w:tplc="0C09001B" w:tentative="1">
      <w:start w:val="1"/>
      <w:numFmt w:val="lowerRoman"/>
      <w:lvlText w:val="%9."/>
      <w:lvlJc w:val="right"/>
      <w:pPr>
        <w:ind w:left="7404" w:hanging="180"/>
      </w:p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68F13E9"/>
    <w:multiLevelType w:val="multilevel"/>
    <w:tmpl w:val="4ABA33A0"/>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ABD74D0"/>
    <w:multiLevelType w:val="hybridMultilevel"/>
    <w:tmpl w:val="64BE2784"/>
    <w:lvl w:ilvl="0" w:tplc="4BD20BAA">
      <w:start w:val="1"/>
      <w:numFmt w:val="lowerRoman"/>
      <w:pStyle w:val="ListBulleti"/>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1CEF3ACD"/>
    <w:multiLevelType w:val="multilevel"/>
    <w:tmpl w:val="38D46DFA"/>
    <w:lvl w:ilvl="0">
      <w:start w:val="1"/>
      <w:numFmt w:val="decimal"/>
      <w:pStyle w:val="Heading2"/>
      <w:lvlText w:val="%1"/>
      <w:lvlJc w:val="left"/>
      <w:pPr>
        <w:ind w:left="432" w:hanging="432"/>
      </w:pPr>
      <w:rPr>
        <w:i w:val="0"/>
      </w:rPr>
    </w:lvl>
    <w:lvl w:ilvl="1">
      <w:start w:val="1"/>
      <w:numFmt w:val="decimal"/>
      <w:pStyle w:val="Heading3"/>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390088B"/>
    <w:multiLevelType w:val="hybridMultilevel"/>
    <w:tmpl w:val="27622EB2"/>
    <w:lvl w:ilvl="0" w:tplc="BD56278A">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924211"/>
    <w:multiLevelType w:val="hybridMultilevel"/>
    <w:tmpl w:val="34C493BE"/>
    <w:lvl w:ilvl="0" w:tplc="5E685644">
      <w:start w:val="1"/>
      <w:numFmt w:val="lowerLetter"/>
      <w:pStyle w:val="ListBulleta"/>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1" w15:restartNumberingAfterBreak="0">
    <w:nsid w:val="33102752"/>
    <w:multiLevelType w:val="hybridMultilevel"/>
    <w:tmpl w:val="DB7A71F6"/>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0A6A8C"/>
    <w:multiLevelType w:val="hybridMultilevel"/>
    <w:tmpl w:val="2DC441B4"/>
    <w:lvl w:ilvl="0" w:tplc="F4C4BC3E">
      <w:start w:val="1"/>
      <w:numFmt w:val="lowerLetter"/>
      <w:pStyle w:val="Numberbullet2aitalicised"/>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133EBB"/>
    <w:multiLevelType w:val="hybridMultilevel"/>
    <w:tmpl w:val="DB7A71F6"/>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7222151"/>
    <w:multiLevelType w:val="hybridMultilevel"/>
    <w:tmpl w:val="27622EB2"/>
    <w:lvl w:ilvl="0" w:tplc="BD56278A">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8CD32E5"/>
    <w:multiLevelType w:val="hybridMultilevel"/>
    <w:tmpl w:val="D6B2EC5C"/>
    <w:lvl w:ilvl="0" w:tplc="32AC3618">
      <w:start w:val="1"/>
      <w:numFmt w:val="lowerLetter"/>
      <w:pStyle w:val="Numberbullet2ared"/>
      <w:lvlText w:val="%1)"/>
      <w:lvlJc w:val="left"/>
      <w:pPr>
        <w:ind w:left="1287" w:hanging="360"/>
      </w:pPr>
      <w:rPr>
        <w:rFonts w:ascii="Cambria" w:hAnsi="Cambria" w:hint="default"/>
        <w:b w:val="0"/>
        <w:i w:val="0"/>
        <w:color w:val="FF0000"/>
        <w:sz w:val="22"/>
        <w:u w:color="FF000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4CAA5B47"/>
    <w:multiLevelType w:val="hybridMultilevel"/>
    <w:tmpl w:val="9BAEDD6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E8A4B69"/>
    <w:multiLevelType w:val="hybridMultilevel"/>
    <w:tmpl w:val="05D89C80"/>
    <w:lvl w:ilvl="0" w:tplc="49B29FCC">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4E0344"/>
    <w:multiLevelType w:val="hybridMultilevel"/>
    <w:tmpl w:val="73D6611C"/>
    <w:lvl w:ilvl="0" w:tplc="23EEBC90">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15:restartNumberingAfterBreak="0">
    <w:nsid w:val="51E865F1"/>
    <w:multiLevelType w:val="hybridMultilevel"/>
    <w:tmpl w:val="1F28A00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A46AB5"/>
    <w:multiLevelType w:val="hybridMultilevel"/>
    <w:tmpl w:val="50F64276"/>
    <w:lvl w:ilvl="0" w:tplc="1B889E46">
      <w:start w:val="1"/>
      <w:numFmt w:val="lowerRoman"/>
      <w:lvlText w:val="%1)"/>
      <w:lvlJc w:val="left"/>
      <w:pPr>
        <w:ind w:left="1644" w:hanging="360"/>
      </w:pPr>
      <w:rPr>
        <w:rFonts w:hint="default"/>
      </w:rPr>
    </w:lvl>
    <w:lvl w:ilvl="1" w:tplc="1EDC6928">
      <w:start w:val="1"/>
      <w:numFmt w:val="upperLetter"/>
      <w:lvlText w:val="(%2)"/>
      <w:lvlJc w:val="left"/>
      <w:pPr>
        <w:ind w:left="2724" w:hanging="720"/>
      </w:pPr>
      <w:rPr>
        <w:rFonts w:hint="default"/>
      </w:rPr>
    </w:lvl>
    <w:lvl w:ilvl="2" w:tplc="DBBEA6FC">
      <w:start w:val="1"/>
      <w:numFmt w:val="lowerLetter"/>
      <w:lvlText w:val="%3)"/>
      <w:lvlJc w:val="left"/>
      <w:pPr>
        <w:ind w:left="3774" w:hanging="870"/>
      </w:pPr>
      <w:rPr>
        <w:rFonts w:hint="default"/>
      </w:rPr>
    </w:lvl>
    <w:lvl w:ilvl="3" w:tplc="0C09000F" w:tentative="1">
      <w:start w:val="1"/>
      <w:numFmt w:val="decimal"/>
      <w:lvlText w:val="%4."/>
      <w:lvlJc w:val="left"/>
      <w:pPr>
        <w:ind w:left="3804" w:hanging="360"/>
      </w:pPr>
    </w:lvl>
    <w:lvl w:ilvl="4" w:tplc="0C090019" w:tentative="1">
      <w:start w:val="1"/>
      <w:numFmt w:val="lowerLetter"/>
      <w:lvlText w:val="%5."/>
      <w:lvlJc w:val="left"/>
      <w:pPr>
        <w:ind w:left="4524" w:hanging="360"/>
      </w:pPr>
    </w:lvl>
    <w:lvl w:ilvl="5" w:tplc="0C09001B" w:tentative="1">
      <w:start w:val="1"/>
      <w:numFmt w:val="lowerRoman"/>
      <w:lvlText w:val="%6."/>
      <w:lvlJc w:val="right"/>
      <w:pPr>
        <w:ind w:left="5244" w:hanging="180"/>
      </w:pPr>
    </w:lvl>
    <w:lvl w:ilvl="6" w:tplc="0C09000F" w:tentative="1">
      <w:start w:val="1"/>
      <w:numFmt w:val="decimal"/>
      <w:lvlText w:val="%7."/>
      <w:lvlJc w:val="left"/>
      <w:pPr>
        <w:ind w:left="5964" w:hanging="360"/>
      </w:pPr>
    </w:lvl>
    <w:lvl w:ilvl="7" w:tplc="0C090019" w:tentative="1">
      <w:start w:val="1"/>
      <w:numFmt w:val="lowerLetter"/>
      <w:lvlText w:val="%8."/>
      <w:lvlJc w:val="left"/>
      <w:pPr>
        <w:ind w:left="6684" w:hanging="360"/>
      </w:pPr>
    </w:lvl>
    <w:lvl w:ilvl="8" w:tplc="0C09001B" w:tentative="1">
      <w:start w:val="1"/>
      <w:numFmt w:val="lowerRoman"/>
      <w:lvlText w:val="%9."/>
      <w:lvlJc w:val="right"/>
      <w:pPr>
        <w:ind w:left="7404" w:hanging="180"/>
      </w:pPr>
    </w:lvl>
  </w:abstractNum>
  <w:abstractNum w:abstractNumId="21" w15:restartNumberingAfterBreak="0">
    <w:nsid w:val="5E400FE4"/>
    <w:multiLevelType w:val="hybridMultilevel"/>
    <w:tmpl w:val="50F64276"/>
    <w:lvl w:ilvl="0" w:tplc="1B889E46">
      <w:start w:val="1"/>
      <w:numFmt w:val="lowerRoman"/>
      <w:lvlText w:val="%1)"/>
      <w:lvlJc w:val="left"/>
      <w:pPr>
        <w:ind w:left="1644" w:hanging="360"/>
      </w:pPr>
      <w:rPr>
        <w:rFonts w:hint="default"/>
      </w:rPr>
    </w:lvl>
    <w:lvl w:ilvl="1" w:tplc="1EDC6928">
      <w:start w:val="1"/>
      <w:numFmt w:val="upperLetter"/>
      <w:lvlText w:val="(%2)"/>
      <w:lvlJc w:val="left"/>
      <w:pPr>
        <w:ind w:left="2724" w:hanging="720"/>
      </w:pPr>
      <w:rPr>
        <w:rFonts w:hint="default"/>
      </w:rPr>
    </w:lvl>
    <w:lvl w:ilvl="2" w:tplc="DBBEA6FC">
      <w:start w:val="1"/>
      <w:numFmt w:val="lowerLetter"/>
      <w:lvlText w:val="%3)"/>
      <w:lvlJc w:val="left"/>
      <w:pPr>
        <w:ind w:left="3774" w:hanging="870"/>
      </w:pPr>
      <w:rPr>
        <w:rFonts w:hint="default"/>
      </w:rPr>
    </w:lvl>
    <w:lvl w:ilvl="3" w:tplc="0C09000F" w:tentative="1">
      <w:start w:val="1"/>
      <w:numFmt w:val="decimal"/>
      <w:lvlText w:val="%4."/>
      <w:lvlJc w:val="left"/>
      <w:pPr>
        <w:ind w:left="3804" w:hanging="360"/>
      </w:pPr>
    </w:lvl>
    <w:lvl w:ilvl="4" w:tplc="0C090019" w:tentative="1">
      <w:start w:val="1"/>
      <w:numFmt w:val="lowerLetter"/>
      <w:lvlText w:val="%5."/>
      <w:lvlJc w:val="left"/>
      <w:pPr>
        <w:ind w:left="4524" w:hanging="360"/>
      </w:pPr>
    </w:lvl>
    <w:lvl w:ilvl="5" w:tplc="0C09001B" w:tentative="1">
      <w:start w:val="1"/>
      <w:numFmt w:val="lowerRoman"/>
      <w:lvlText w:val="%6."/>
      <w:lvlJc w:val="right"/>
      <w:pPr>
        <w:ind w:left="5244" w:hanging="180"/>
      </w:pPr>
    </w:lvl>
    <w:lvl w:ilvl="6" w:tplc="0C09000F" w:tentative="1">
      <w:start w:val="1"/>
      <w:numFmt w:val="decimal"/>
      <w:lvlText w:val="%7."/>
      <w:lvlJc w:val="left"/>
      <w:pPr>
        <w:ind w:left="5964" w:hanging="360"/>
      </w:pPr>
    </w:lvl>
    <w:lvl w:ilvl="7" w:tplc="0C090019" w:tentative="1">
      <w:start w:val="1"/>
      <w:numFmt w:val="lowerLetter"/>
      <w:lvlText w:val="%8."/>
      <w:lvlJc w:val="left"/>
      <w:pPr>
        <w:ind w:left="6684" w:hanging="360"/>
      </w:pPr>
    </w:lvl>
    <w:lvl w:ilvl="8" w:tplc="0C09001B" w:tentative="1">
      <w:start w:val="1"/>
      <w:numFmt w:val="lowerRoman"/>
      <w:lvlText w:val="%9."/>
      <w:lvlJc w:val="right"/>
      <w:pPr>
        <w:ind w:left="7404" w:hanging="180"/>
      </w:pPr>
    </w:lvl>
  </w:abstractNum>
  <w:abstractNum w:abstractNumId="22" w15:restartNumberingAfterBreak="0">
    <w:nsid w:val="5F06288B"/>
    <w:multiLevelType w:val="hybridMultilevel"/>
    <w:tmpl w:val="9BAEDD6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10E3095"/>
    <w:multiLevelType w:val="hybridMultilevel"/>
    <w:tmpl w:val="50F64276"/>
    <w:lvl w:ilvl="0" w:tplc="1B889E46">
      <w:start w:val="1"/>
      <w:numFmt w:val="lowerRoman"/>
      <w:lvlText w:val="%1)"/>
      <w:lvlJc w:val="left"/>
      <w:pPr>
        <w:ind w:left="1284" w:hanging="360"/>
      </w:pPr>
      <w:rPr>
        <w:rFonts w:hint="default"/>
      </w:rPr>
    </w:lvl>
    <w:lvl w:ilvl="1" w:tplc="1EDC6928">
      <w:start w:val="1"/>
      <w:numFmt w:val="upperLetter"/>
      <w:lvlText w:val="(%2)"/>
      <w:lvlJc w:val="left"/>
      <w:pPr>
        <w:ind w:left="2364" w:hanging="720"/>
      </w:pPr>
      <w:rPr>
        <w:rFonts w:hint="default"/>
      </w:rPr>
    </w:lvl>
    <w:lvl w:ilvl="2" w:tplc="DBBEA6FC">
      <w:start w:val="1"/>
      <w:numFmt w:val="lowerLetter"/>
      <w:lvlText w:val="%3)"/>
      <w:lvlJc w:val="left"/>
      <w:pPr>
        <w:ind w:left="3414" w:hanging="870"/>
      </w:pPr>
      <w:rPr>
        <w:rFonts w:hint="default"/>
      </w:r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24" w15:restartNumberingAfterBreak="0">
    <w:nsid w:val="65414B5D"/>
    <w:multiLevelType w:val="hybridMultilevel"/>
    <w:tmpl w:val="50F64276"/>
    <w:lvl w:ilvl="0" w:tplc="1B889E46">
      <w:start w:val="1"/>
      <w:numFmt w:val="lowerRoman"/>
      <w:lvlText w:val="%1)"/>
      <w:lvlJc w:val="left"/>
      <w:pPr>
        <w:ind w:left="1644" w:hanging="360"/>
      </w:pPr>
      <w:rPr>
        <w:rFonts w:hint="default"/>
      </w:rPr>
    </w:lvl>
    <w:lvl w:ilvl="1" w:tplc="1EDC6928">
      <w:start w:val="1"/>
      <w:numFmt w:val="upperLetter"/>
      <w:lvlText w:val="(%2)"/>
      <w:lvlJc w:val="left"/>
      <w:pPr>
        <w:ind w:left="2724" w:hanging="720"/>
      </w:pPr>
      <w:rPr>
        <w:rFonts w:hint="default"/>
      </w:rPr>
    </w:lvl>
    <w:lvl w:ilvl="2" w:tplc="DBBEA6FC">
      <w:start w:val="1"/>
      <w:numFmt w:val="lowerLetter"/>
      <w:lvlText w:val="%3)"/>
      <w:lvlJc w:val="left"/>
      <w:pPr>
        <w:ind w:left="3774" w:hanging="870"/>
      </w:pPr>
      <w:rPr>
        <w:rFonts w:hint="default"/>
      </w:rPr>
    </w:lvl>
    <w:lvl w:ilvl="3" w:tplc="0C09000F" w:tentative="1">
      <w:start w:val="1"/>
      <w:numFmt w:val="decimal"/>
      <w:lvlText w:val="%4."/>
      <w:lvlJc w:val="left"/>
      <w:pPr>
        <w:ind w:left="3804" w:hanging="360"/>
      </w:pPr>
    </w:lvl>
    <w:lvl w:ilvl="4" w:tplc="0C090019" w:tentative="1">
      <w:start w:val="1"/>
      <w:numFmt w:val="lowerLetter"/>
      <w:lvlText w:val="%5."/>
      <w:lvlJc w:val="left"/>
      <w:pPr>
        <w:ind w:left="4524" w:hanging="360"/>
      </w:pPr>
    </w:lvl>
    <w:lvl w:ilvl="5" w:tplc="0C09001B" w:tentative="1">
      <w:start w:val="1"/>
      <w:numFmt w:val="lowerRoman"/>
      <w:lvlText w:val="%6."/>
      <w:lvlJc w:val="right"/>
      <w:pPr>
        <w:ind w:left="5244" w:hanging="180"/>
      </w:pPr>
    </w:lvl>
    <w:lvl w:ilvl="6" w:tplc="0C09000F" w:tentative="1">
      <w:start w:val="1"/>
      <w:numFmt w:val="decimal"/>
      <w:lvlText w:val="%7."/>
      <w:lvlJc w:val="left"/>
      <w:pPr>
        <w:ind w:left="5964" w:hanging="360"/>
      </w:pPr>
    </w:lvl>
    <w:lvl w:ilvl="7" w:tplc="0C090019" w:tentative="1">
      <w:start w:val="1"/>
      <w:numFmt w:val="lowerLetter"/>
      <w:lvlText w:val="%8."/>
      <w:lvlJc w:val="left"/>
      <w:pPr>
        <w:ind w:left="6684" w:hanging="360"/>
      </w:pPr>
    </w:lvl>
    <w:lvl w:ilvl="8" w:tplc="0C09001B" w:tentative="1">
      <w:start w:val="1"/>
      <w:numFmt w:val="lowerRoman"/>
      <w:lvlText w:val="%9."/>
      <w:lvlJc w:val="right"/>
      <w:pPr>
        <w:ind w:left="7404" w:hanging="180"/>
      </w:pPr>
    </w:lvl>
  </w:abstractNum>
  <w:abstractNum w:abstractNumId="25" w15:restartNumberingAfterBreak="0">
    <w:nsid w:val="7B9264E5"/>
    <w:multiLevelType w:val="hybridMultilevel"/>
    <w:tmpl w:val="50F64276"/>
    <w:lvl w:ilvl="0" w:tplc="1B889E46">
      <w:start w:val="1"/>
      <w:numFmt w:val="lowerRoman"/>
      <w:lvlText w:val="%1)"/>
      <w:lvlJc w:val="left"/>
      <w:pPr>
        <w:ind w:left="1644" w:hanging="360"/>
      </w:pPr>
      <w:rPr>
        <w:rFonts w:hint="default"/>
      </w:rPr>
    </w:lvl>
    <w:lvl w:ilvl="1" w:tplc="1EDC6928">
      <w:start w:val="1"/>
      <w:numFmt w:val="upperLetter"/>
      <w:lvlText w:val="(%2)"/>
      <w:lvlJc w:val="left"/>
      <w:pPr>
        <w:ind w:left="2724" w:hanging="720"/>
      </w:pPr>
      <w:rPr>
        <w:rFonts w:hint="default"/>
      </w:rPr>
    </w:lvl>
    <w:lvl w:ilvl="2" w:tplc="DBBEA6FC">
      <w:start w:val="1"/>
      <w:numFmt w:val="lowerLetter"/>
      <w:lvlText w:val="%3)"/>
      <w:lvlJc w:val="left"/>
      <w:pPr>
        <w:ind w:left="3774" w:hanging="870"/>
      </w:pPr>
      <w:rPr>
        <w:rFonts w:hint="default"/>
      </w:rPr>
    </w:lvl>
    <w:lvl w:ilvl="3" w:tplc="0C09000F" w:tentative="1">
      <w:start w:val="1"/>
      <w:numFmt w:val="decimal"/>
      <w:lvlText w:val="%4."/>
      <w:lvlJc w:val="left"/>
      <w:pPr>
        <w:ind w:left="3804" w:hanging="360"/>
      </w:pPr>
    </w:lvl>
    <w:lvl w:ilvl="4" w:tplc="0C090019" w:tentative="1">
      <w:start w:val="1"/>
      <w:numFmt w:val="lowerLetter"/>
      <w:lvlText w:val="%5."/>
      <w:lvlJc w:val="left"/>
      <w:pPr>
        <w:ind w:left="4524" w:hanging="360"/>
      </w:pPr>
    </w:lvl>
    <w:lvl w:ilvl="5" w:tplc="0C09001B" w:tentative="1">
      <w:start w:val="1"/>
      <w:numFmt w:val="lowerRoman"/>
      <w:lvlText w:val="%6."/>
      <w:lvlJc w:val="right"/>
      <w:pPr>
        <w:ind w:left="5244" w:hanging="180"/>
      </w:pPr>
    </w:lvl>
    <w:lvl w:ilvl="6" w:tplc="0C09000F" w:tentative="1">
      <w:start w:val="1"/>
      <w:numFmt w:val="decimal"/>
      <w:lvlText w:val="%7."/>
      <w:lvlJc w:val="left"/>
      <w:pPr>
        <w:ind w:left="5964" w:hanging="360"/>
      </w:pPr>
    </w:lvl>
    <w:lvl w:ilvl="7" w:tplc="0C090019" w:tentative="1">
      <w:start w:val="1"/>
      <w:numFmt w:val="lowerLetter"/>
      <w:lvlText w:val="%8."/>
      <w:lvlJc w:val="left"/>
      <w:pPr>
        <w:ind w:left="6684" w:hanging="360"/>
      </w:pPr>
    </w:lvl>
    <w:lvl w:ilvl="8" w:tplc="0C09001B" w:tentative="1">
      <w:start w:val="1"/>
      <w:numFmt w:val="lowerRoman"/>
      <w:lvlText w:val="%9."/>
      <w:lvlJc w:val="right"/>
      <w:pPr>
        <w:ind w:left="7404" w:hanging="180"/>
      </w:pPr>
    </w:lvl>
  </w:abstractNum>
  <w:abstractNum w:abstractNumId="26" w15:restartNumberingAfterBreak="0">
    <w:nsid w:val="7C1E4EFB"/>
    <w:multiLevelType w:val="hybridMultilevel"/>
    <w:tmpl w:val="DB7A71F6"/>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5"/>
  </w:num>
  <w:num w:numId="3">
    <w:abstractNumId w:val="6"/>
  </w:num>
  <w:num w:numId="4">
    <w:abstractNumId w:val="5"/>
  </w:num>
  <w:num w:numId="5">
    <w:abstractNumId w:val="8"/>
  </w:num>
  <w:num w:numId="6">
    <w:abstractNumId w:val="10"/>
  </w:num>
  <w:num w:numId="7">
    <w:abstractNumId w:val="7"/>
  </w:num>
  <w:num w:numId="8">
    <w:abstractNumId w:val="12"/>
  </w:num>
  <w:num w:numId="9">
    <w:abstractNumId w:val="15"/>
  </w:num>
  <w:num w:numId="10">
    <w:abstractNumId w:val="14"/>
  </w:num>
  <w:num w:numId="11">
    <w:abstractNumId w:val="17"/>
  </w:num>
  <w:num w:numId="12">
    <w:abstractNumId w:val="9"/>
  </w:num>
  <w:num w:numId="13">
    <w:abstractNumId w:val="13"/>
  </w:num>
  <w:num w:numId="14">
    <w:abstractNumId w:val="26"/>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5"/>
  </w:num>
  <w:num w:numId="18">
    <w:abstractNumId w:val="2"/>
  </w:num>
  <w:num w:numId="19">
    <w:abstractNumId w:val="0"/>
  </w:num>
  <w:num w:numId="20">
    <w:abstractNumId w:val="4"/>
  </w:num>
  <w:num w:numId="21">
    <w:abstractNumId w:val="21"/>
  </w:num>
  <w:num w:numId="22">
    <w:abstractNumId w:val="3"/>
  </w:num>
  <w:num w:numId="23">
    <w:abstractNumId w:val="20"/>
  </w:num>
  <w:num w:numId="24">
    <w:abstractNumId w:val="1"/>
  </w:num>
  <w:num w:numId="25">
    <w:abstractNumId w:val="24"/>
  </w:num>
  <w:num w:numId="26">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6"/>
  </w:num>
  <w:num w:numId="29">
    <w:abstractNumId w:val="22"/>
  </w:num>
  <w:num w:numId="30">
    <w:abstractNumId w:val="6"/>
    <w:lvlOverride w:ilvl="1">
      <w:lvl w:ilvl="1">
        <w:start w:val="1"/>
        <w:numFmt w:val="bullet"/>
        <w:pStyle w:val="ListBullet2"/>
        <w:lvlText w:val="–"/>
        <w:lvlJc w:val="left"/>
        <w:pPr>
          <w:ind w:left="720" w:hanging="360"/>
        </w:pPr>
        <w:rPr>
          <w:rFonts w:ascii="Arial" w:hAnsi="Arial" w:hint="default"/>
          <w:color w:val="auto"/>
        </w:rPr>
      </w:lvl>
    </w:lvlOverride>
  </w:num>
  <w:num w:numId="31">
    <w:abstractNumId w:val="10"/>
    <w:lvlOverride w:ilvl="0">
      <w:startOverride w:val="1"/>
    </w:lvlOverride>
  </w:num>
  <w:num w:numId="32">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302"/>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66241"/>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648"/>
    <w:rsid w:val="00000F6F"/>
    <w:rsid w:val="00001B6C"/>
    <w:rsid w:val="00001B7D"/>
    <w:rsid w:val="00002031"/>
    <w:rsid w:val="00003EE4"/>
    <w:rsid w:val="000041AF"/>
    <w:rsid w:val="000042DA"/>
    <w:rsid w:val="00004734"/>
    <w:rsid w:val="00006AE7"/>
    <w:rsid w:val="00006B22"/>
    <w:rsid w:val="00010A61"/>
    <w:rsid w:val="0001276A"/>
    <w:rsid w:val="00012BC8"/>
    <w:rsid w:val="00012D9E"/>
    <w:rsid w:val="00012F28"/>
    <w:rsid w:val="00023904"/>
    <w:rsid w:val="00023C6E"/>
    <w:rsid w:val="000246AE"/>
    <w:rsid w:val="00025266"/>
    <w:rsid w:val="00025C67"/>
    <w:rsid w:val="00026CA3"/>
    <w:rsid w:val="000321A9"/>
    <w:rsid w:val="000335FC"/>
    <w:rsid w:val="00033F14"/>
    <w:rsid w:val="000356D8"/>
    <w:rsid w:val="000371A3"/>
    <w:rsid w:val="00040CED"/>
    <w:rsid w:val="00041297"/>
    <w:rsid w:val="00041484"/>
    <w:rsid w:val="00042573"/>
    <w:rsid w:val="00042C53"/>
    <w:rsid w:val="00044ED6"/>
    <w:rsid w:val="000465B5"/>
    <w:rsid w:val="00046DBE"/>
    <w:rsid w:val="00047B2B"/>
    <w:rsid w:val="0005081A"/>
    <w:rsid w:val="00052322"/>
    <w:rsid w:val="00052B28"/>
    <w:rsid w:val="00053C6C"/>
    <w:rsid w:val="00054B5D"/>
    <w:rsid w:val="0005559E"/>
    <w:rsid w:val="00056156"/>
    <w:rsid w:val="00057FFC"/>
    <w:rsid w:val="00061765"/>
    <w:rsid w:val="0006427F"/>
    <w:rsid w:val="00064D59"/>
    <w:rsid w:val="00065585"/>
    <w:rsid w:val="00065D1A"/>
    <w:rsid w:val="000710CB"/>
    <w:rsid w:val="0007120C"/>
    <w:rsid w:val="000716A2"/>
    <w:rsid w:val="00072D02"/>
    <w:rsid w:val="00072DA0"/>
    <w:rsid w:val="00074051"/>
    <w:rsid w:val="00074560"/>
    <w:rsid w:val="00074EBD"/>
    <w:rsid w:val="000755F8"/>
    <w:rsid w:val="00075612"/>
    <w:rsid w:val="00077548"/>
    <w:rsid w:val="00077775"/>
    <w:rsid w:val="00082E40"/>
    <w:rsid w:val="0008417D"/>
    <w:rsid w:val="00085737"/>
    <w:rsid w:val="00085DD5"/>
    <w:rsid w:val="00085E12"/>
    <w:rsid w:val="000860B4"/>
    <w:rsid w:val="00086103"/>
    <w:rsid w:val="000869F6"/>
    <w:rsid w:val="00090471"/>
    <w:rsid w:val="000A56BE"/>
    <w:rsid w:val="000A62F8"/>
    <w:rsid w:val="000B0759"/>
    <w:rsid w:val="000B3532"/>
    <w:rsid w:val="000B3A75"/>
    <w:rsid w:val="000B56DE"/>
    <w:rsid w:val="000B5C48"/>
    <w:rsid w:val="000B7084"/>
    <w:rsid w:val="000C31F2"/>
    <w:rsid w:val="000C3DDC"/>
    <w:rsid w:val="000C5DDA"/>
    <w:rsid w:val="000C5F0B"/>
    <w:rsid w:val="000C6B99"/>
    <w:rsid w:val="000D0ABB"/>
    <w:rsid w:val="000D0ECB"/>
    <w:rsid w:val="000D29E4"/>
    <w:rsid w:val="000D2B49"/>
    <w:rsid w:val="000D391B"/>
    <w:rsid w:val="000D3D6D"/>
    <w:rsid w:val="000D45F7"/>
    <w:rsid w:val="000D4FC7"/>
    <w:rsid w:val="000E0A44"/>
    <w:rsid w:val="000E5E5E"/>
    <w:rsid w:val="000E6AC1"/>
    <w:rsid w:val="000F04C4"/>
    <w:rsid w:val="000F0C7A"/>
    <w:rsid w:val="000F1313"/>
    <w:rsid w:val="000F3A5D"/>
    <w:rsid w:val="000F4869"/>
    <w:rsid w:val="000F5176"/>
    <w:rsid w:val="000F5B42"/>
    <w:rsid w:val="000F6E6F"/>
    <w:rsid w:val="001003F2"/>
    <w:rsid w:val="00101762"/>
    <w:rsid w:val="00101E34"/>
    <w:rsid w:val="001046EF"/>
    <w:rsid w:val="0010601F"/>
    <w:rsid w:val="00106BF9"/>
    <w:rsid w:val="00110AE1"/>
    <w:rsid w:val="00110EA5"/>
    <w:rsid w:val="001121D6"/>
    <w:rsid w:val="00112440"/>
    <w:rsid w:val="00115240"/>
    <w:rsid w:val="001157F7"/>
    <w:rsid w:val="00116990"/>
    <w:rsid w:val="001169AC"/>
    <w:rsid w:val="00117127"/>
    <w:rsid w:val="00123BB2"/>
    <w:rsid w:val="00125091"/>
    <w:rsid w:val="00125148"/>
    <w:rsid w:val="00125318"/>
    <w:rsid w:val="0012669D"/>
    <w:rsid w:val="001268BE"/>
    <w:rsid w:val="001305A2"/>
    <w:rsid w:val="00130EB7"/>
    <w:rsid w:val="001327EC"/>
    <w:rsid w:val="00133238"/>
    <w:rsid w:val="00134674"/>
    <w:rsid w:val="0013482E"/>
    <w:rsid w:val="00140FE3"/>
    <w:rsid w:val="0014197B"/>
    <w:rsid w:val="00143B58"/>
    <w:rsid w:val="001447CD"/>
    <w:rsid w:val="00147F46"/>
    <w:rsid w:val="00150A66"/>
    <w:rsid w:val="001516B1"/>
    <w:rsid w:val="001525B4"/>
    <w:rsid w:val="00152C23"/>
    <w:rsid w:val="001540FE"/>
    <w:rsid w:val="00154919"/>
    <w:rsid w:val="0015522E"/>
    <w:rsid w:val="00155651"/>
    <w:rsid w:val="00156316"/>
    <w:rsid w:val="00156847"/>
    <w:rsid w:val="00157601"/>
    <w:rsid w:val="001578C5"/>
    <w:rsid w:val="00160CB7"/>
    <w:rsid w:val="00161226"/>
    <w:rsid w:val="00162221"/>
    <w:rsid w:val="00164808"/>
    <w:rsid w:val="00164904"/>
    <w:rsid w:val="00165389"/>
    <w:rsid w:val="001653CE"/>
    <w:rsid w:val="00173960"/>
    <w:rsid w:val="00173C6A"/>
    <w:rsid w:val="001741BE"/>
    <w:rsid w:val="00174BE4"/>
    <w:rsid w:val="0017693F"/>
    <w:rsid w:val="00176CB0"/>
    <w:rsid w:val="0018056A"/>
    <w:rsid w:val="0018110E"/>
    <w:rsid w:val="00181684"/>
    <w:rsid w:val="00182A4A"/>
    <w:rsid w:val="001843C6"/>
    <w:rsid w:val="001850E0"/>
    <w:rsid w:val="00185CE9"/>
    <w:rsid w:val="00186517"/>
    <w:rsid w:val="00186AFA"/>
    <w:rsid w:val="00190E9C"/>
    <w:rsid w:val="00193183"/>
    <w:rsid w:val="00195C70"/>
    <w:rsid w:val="0019637B"/>
    <w:rsid w:val="001A10B2"/>
    <w:rsid w:val="001A14FC"/>
    <w:rsid w:val="001A183F"/>
    <w:rsid w:val="001A30EC"/>
    <w:rsid w:val="001A3925"/>
    <w:rsid w:val="001A4C50"/>
    <w:rsid w:val="001A525F"/>
    <w:rsid w:val="001A5FFE"/>
    <w:rsid w:val="001A6F0B"/>
    <w:rsid w:val="001B09F9"/>
    <w:rsid w:val="001B0F8B"/>
    <w:rsid w:val="001B5CE3"/>
    <w:rsid w:val="001B5F15"/>
    <w:rsid w:val="001B6087"/>
    <w:rsid w:val="001B6448"/>
    <w:rsid w:val="001C00FB"/>
    <w:rsid w:val="001C0A78"/>
    <w:rsid w:val="001C0D8C"/>
    <w:rsid w:val="001C2A9E"/>
    <w:rsid w:val="001C2D91"/>
    <w:rsid w:val="001C5266"/>
    <w:rsid w:val="001C59DD"/>
    <w:rsid w:val="001C6414"/>
    <w:rsid w:val="001C6482"/>
    <w:rsid w:val="001C71D5"/>
    <w:rsid w:val="001C7F0A"/>
    <w:rsid w:val="001D403C"/>
    <w:rsid w:val="001E07CF"/>
    <w:rsid w:val="001E0DE1"/>
    <w:rsid w:val="001E18C4"/>
    <w:rsid w:val="001E2E14"/>
    <w:rsid w:val="001E4706"/>
    <w:rsid w:val="001E51C6"/>
    <w:rsid w:val="001E5555"/>
    <w:rsid w:val="001E59F1"/>
    <w:rsid w:val="001E5F05"/>
    <w:rsid w:val="001F04D7"/>
    <w:rsid w:val="001F20CC"/>
    <w:rsid w:val="001F32EC"/>
    <w:rsid w:val="001F49EB"/>
    <w:rsid w:val="001F5194"/>
    <w:rsid w:val="001F6CBA"/>
    <w:rsid w:val="002001F1"/>
    <w:rsid w:val="0020028B"/>
    <w:rsid w:val="00200A9C"/>
    <w:rsid w:val="00201D4E"/>
    <w:rsid w:val="00202086"/>
    <w:rsid w:val="00204DF0"/>
    <w:rsid w:val="0020604B"/>
    <w:rsid w:val="0020793B"/>
    <w:rsid w:val="002101CA"/>
    <w:rsid w:val="00210892"/>
    <w:rsid w:val="002147E0"/>
    <w:rsid w:val="00220B8A"/>
    <w:rsid w:val="002226DD"/>
    <w:rsid w:val="002257F3"/>
    <w:rsid w:val="002267E6"/>
    <w:rsid w:val="0023267B"/>
    <w:rsid w:val="00233456"/>
    <w:rsid w:val="002339A5"/>
    <w:rsid w:val="00236140"/>
    <w:rsid w:val="00236630"/>
    <w:rsid w:val="00240781"/>
    <w:rsid w:val="00242036"/>
    <w:rsid w:val="00242707"/>
    <w:rsid w:val="002445F4"/>
    <w:rsid w:val="00244694"/>
    <w:rsid w:val="002458D4"/>
    <w:rsid w:val="00245BC4"/>
    <w:rsid w:val="00245CF3"/>
    <w:rsid w:val="00247223"/>
    <w:rsid w:val="0025120A"/>
    <w:rsid w:val="00252D13"/>
    <w:rsid w:val="002534B2"/>
    <w:rsid w:val="0025660C"/>
    <w:rsid w:val="00257138"/>
    <w:rsid w:val="00257848"/>
    <w:rsid w:val="00267925"/>
    <w:rsid w:val="0027084A"/>
    <w:rsid w:val="00271D7A"/>
    <w:rsid w:val="002734EA"/>
    <w:rsid w:val="00275590"/>
    <w:rsid w:val="002766BB"/>
    <w:rsid w:val="00280EA7"/>
    <w:rsid w:val="002810A8"/>
    <w:rsid w:val="00283791"/>
    <w:rsid w:val="00286434"/>
    <w:rsid w:val="00286C59"/>
    <w:rsid w:val="00287E3C"/>
    <w:rsid w:val="002929C2"/>
    <w:rsid w:val="00292BB3"/>
    <w:rsid w:val="002942D1"/>
    <w:rsid w:val="00295499"/>
    <w:rsid w:val="00295D3E"/>
    <w:rsid w:val="002A0556"/>
    <w:rsid w:val="002A3961"/>
    <w:rsid w:val="002A5857"/>
    <w:rsid w:val="002A5F56"/>
    <w:rsid w:val="002A6E38"/>
    <w:rsid w:val="002B0E0E"/>
    <w:rsid w:val="002B1638"/>
    <w:rsid w:val="002B1C4A"/>
    <w:rsid w:val="002B3304"/>
    <w:rsid w:val="002B6147"/>
    <w:rsid w:val="002C07AF"/>
    <w:rsid w:val="002C1418"/>
    <w:rsid w:val="002C2A3D"/>
    <w:rsid w:val="002C383A"/>
    <w:rsid w:val="002C43C3"/>
    <w:rsid w:val="002C48BF"/>
    <w:rsid w:val="002C5013"/>
    <w:rsid w:val="002C61B3"/>
    <w:rsid w:val="002C6B14"/>
    <w:rsid w:val="002C6D34"/>
    <w:rsid w:val="002D00EC"/>
    <w:rsid w:val="002D0B05"/>
    <w:rsid w:val="002D3878"/>
    <w:rsid w:val="002D5ACA"/>
    <w:rsid w:val="002E034D"/>
    <w:rsid w:val="002E3439"/>
    <w:rsid w:val="002E430E"/>
    <w:rsid w:val="002E4C9A"/>
    <w:rsid w:val="002E5C31"/>
    <w:rsid w:val="002E69BE"/>
    <w:rsid w:val="002E74E0"/>
    <w:rsid w:val="002F11F8"/>
    <w:rsid w:val="002F3F56"/>
    <w:rsid w:val="002F44B5"/>
    <w:rsid w:val="002F53E0"/>
    <w:rsid w:val="00302504"/>
    <w:rsid w:val="00303CBB"/>
    <w:rsid w:val="0030508C"/>
    <w:rsid w:val="003055BD"/>
    <w:rsid w:val="00305DDB"/>
    <w:rsid w:val="00307469"/>
    <w:rsid w:val="00311AC0"/>
    <w:rsid w:val="00314331"/>
    <w:rsid w:val="003144AC"/>
    <w:rsid w:val="00316F8D"/>
    <w:rsid w:val="003208A0"/>
    <w:rsid w:val="003240DF"/>
    <w:rsid w:val="00324203"/>
    <w:rsid w:val="003251D0"/>
    <w:rsid w:val="003261C8"/>
    <w:rsid w:val="003312D1"/>
    <w:rsid w:val="00331DBB"/>
    <w:rsid w:val="00332265"/>
    <w:rsid w:val="00334439"/>
    <w:rsid w:val="00334D72"/>
    <w:rsid w:val="00335BEC"/>
    <w:rsid w:val="003367E4"/>
    <w:rsid w:val="003417E6"/>
    <w:rsid w:val="003421A5"/>
    <w:rsid w:val="00343736"/>
    <w:rsid w:val="003438B7"/>
    <w:rsid w:val="003521E8"/>
    <w:rsid w:val="00352A2E"/>
    <w:rsid w:val="00353AC2"/>
    <w:rsid w:val="00354510"/>
    <w:rsid w:val="003555D7"/>
    <w:rsid w:val="003558F7"/>
    <w:rsid w:val="00356F04"/>
    <w:rsid w:val="00360648"/>
    <w:rsid w:val="00360716"/>
    <w:rsid w:val="00360DFD"/>
    <w:rsid w:val="00362473"/>
    <w:rsid w:val="00362F16"/>
    <w:rsid w:val="00364C9B"/>
    <w:rsid w:val="003662D5"/>
    <w:rsid w:val="003664BF"/>
    <w:rsid w:val="0036794C"/>
    <w:rsid w:val="0037036E"/>
    <w:rsid w:val="0037215C"/>
    <w:rsid w:val="003728F3"/>
    <w:rsid w:val="003730E8"/>
    <w:rsid w:val="00373D31"/>
    <w:rsid w:val="0038110B"/>
    <w:rsid w:val="00386152"/>
    <w:rsid w:val="00387008"/>
    <w:rsid w:val="00390900"/>
    <w:rsid w:val="003940F0"/>
    <w:rsid w:val="003964E2"/>
    <w:rsid w:val="003A0110"/>
    <w:rsid w:val="003A0B29"/>
    <w:rsid w:val="003A0B68"/>
    <w:rsid w:val="003A19BA"/>
    <w:rsid w:val="003A3B17"/>
    <w:rsid w:val="003A3F03"/>
    <w:rsid w:val="003A3FDA"/>
    <w:rsid w:val="003A46AC"/>
    <w:rsid w:val="003A48A2"/>
    <w:rsid w:val="003A4EE9"/>
    <w:rsid w:val="003A53D0"/>
    <w:rsid w:val="003A5893"/>
    <w:rsid w:val="003B1FAD"/>
    <w:rsid w:val="003B3601"/>
    <w:rsid w:val="003B629A"/>
    <w:rsid w:val="003B6E20"/>
    <w:rsid w:val="003B773C"/>
    <w:rsid w:val="003B7E39"/>
    <w:rsid w:val="003C04B2"/>
    <w:rsid w:val="003C1BBB"/>
    <w:rsid w:val="003C2195"/>
    <w:rsid w:val="003C4336"/>
    <w:rsid w:val="003C58DC"/>
    <w:rsid w:val="003C62FC"/>
    <w:rsid w:val="003C7673"/>
    <w:rsid w:val="003C7D1E"/>
    <w:rsid w:val="003D1DEC"/>
    <w:rsid w:val="003D2511"/>
    <w:rsid w:val="003D26B4"/>
    <w:rsid w:val="003D497F"/>
    <w:rsid w:val="003D5D86"/>
    <w:rsid w:val="003D6DC5"/>
    <w:rsid w:val="003E0E6A"/>
    <w:rsid w:val="003E1945"/>
    <w:rsid w:val="003E2889"/>
    <w:rsid w:val="003E3208"/>
    <w:rsid w:val="003E33D4"/>
    <w:rsid w:val="003E3407"/>
    <w:rsid w:val="003E3CA3"/>
    <w:rsid w:val="003E7390"/>
    <w:rsid w:val="003F0B04"/>
    <w:rsid w:val="003F3092"/>
    <w:rsid w:val="003F3095"/>
    <w:rsid w:val="003F48DD"/>
    <w:rsid w:val="003F6378"/>
    <w:rsid w:val="003F6BA7"/>
    <w:rsid w:val="0040134E"/>
    <w:rsid w:val="00402EF6"/>
    <w:rsid w:val="00403ACE"/>
    <w:rsid w:val="00403D3E"/>
    <w:rsid w:val="00404AD5"/>
    <w:rsid w:val="0040598C"/>
    <w:rsid w:val="0040726C"/>
    <w:rsid w:val="004072A5"/>
    <w:rsid w:val="00411710"/>
    <w:rsid w:val="0041244F"/>
    <w:rsid w:val="00412E40"/>
    <w:rsid w:val="00414AB1"/>
    <w:rsid w:val="00414BA2"/>
    <w:rsid w:val="004159CE"/>
    <w:rsid w:val="00416B66"/>
    <w:rsid w:val="00421B7E"/>
    <w:rsid w:val="004238C8"/>
    <w:rsid w:val="00423F10"/>
    <w:rsid w:val="004246BE"/>
    <w:rsid w:val="004247DA"/>
    <w:rsid w:val="004302D7"/>
    <w:rsid w:val="0043074F"/>
    <w:rsid w:val="00430AAA"/>
    <w:rsid w:val="00430EF8"/>
    <w:rsid w:val="00432CDD"/>
    <w:rsid w:val="00432FC5"/>
    <w:rsid w:val="00433211"/>
    <w:rsid w:val="004337DF"/>
    <w:rsid w:val="00435B13"/>
    <w:rsid w:val="00436AE7"/>
    <w:rsid w:val="00436C41"/>
    <w:rsid w:val="004407B2"/>
    <w:rsid w:val="00440A2D"/>
    <w:rsid w:val="004422DF"/>
    <w:rsid w:val="00442D6F"/>
    <w:rsid w:val="004432FB"/>
    <w:rsid w:val="004446E3"/>
    <w:rsid w:val="00444BA1"/>
    <w:rsid w:val="004454B4"/>
    <w:rsid w:val="0044589C"/>
    <w:rsid w:val="0044722D"/>
    <w:rsid w:val="004473CA"/>
    <w:rsid w:val="0044785B"/>
    <w:rsid w:val="00450B40"/>
    <w:rsid w:val="004529C4"/>
    <w:rsid w:val="00455A2B"/>
    <w:rsid w:val="00455ECA"/>
    <w:rsid w:val="00456359"/>
    <w:rsid w:val="004564A7"/>
    <w:rsid w:val="00457FE3"/>
    <w:rsid w:val="004617BF"/>
    <w:rsid w:val="004618AB"/>
    <w:rsid w:val="0046191E"/>
    <w:rsid w:val="00461999"/>
    <w:rsid w:val="0046227A"/>
    <w:rsid w:val="004629C6"/>
    <w:rsid w:val="00464DFB"/>
    <w:rsid w:val="0046516E"/>
    <w:rsid w:val="004658BC"/>
    <w:rsid w:val="00470EC2"/>
    <w:rsid w:val="00472080"/>
    <w:rsid w:val="004763B1"/>
    <w:rsid w:val="0048046F"/>
    <w:rsid w:val="00484BAB"/>
    <w:rsid w:val="00485BFD"/>
    <w:rsid w:val="00487716"/>
    <w:rsid w:val="00487D10"/>
    <w:rsid w:val="00487E2B"/>
    <w:rsid w:val="004923FF"/>
    <w:rsid w:val="004945C9"/>
    <w:rsid w:val="00494E5D"/>
    <w:rsid w:val="00494E60"/>
    <w:rsid w:val="00496AF0"/>
    <w:rsid w:val="004970FD"/>
    <w:rsid w:val="004A103F"/>
    <w:rsid w:val="004A2400"/>
    <w:rsid w:val="004A6F05"/>
    <w:rsid w:val="004B166E"/>
    <w:rsid w:val="004B21D7"/>
    <w:rsid w:val="004B2BD3"/>
    <w:rsid w:val="004B37DD"/>
    <w:rsid w:val="004B545E"/>
    <w:rsid w:val="004B6701"/>
    <w:rsid w:val="004B6CDA"/>
    <w:rsid w:val="004B7B76"/>
    <w:rsid w:val="004C0070"/>
    <w:rsid w:val="004C0FF6"/>
    <w:rsid w:val="004C241F"/>
    <w:rsid w:val="004C3BFD"/>
    <w:rsid w:val="004C3FFB"/>
    <w:rsid w:val="004C4791"/>
    <w:rsid w:val="004C60B4"/>
    <w:rsid w:val="004C773C"/>
    <w:rsid w:val="004D26D7"/>
    <w:rsid w:val="004D51A6"/>
    <w:rsid w:val="004D6739"/>
    <w:rsid w:val="004D722C"/>
    <w:rsid w:val="004E3F25"/>
    <w:rsid w:val="004E548A"/>
    <w:rsid w:val="004E5523"/>
    <w:rsid w:val="004F0F38"/>
    <w:rsid w:val="004F4580"/>
    <w:rsid w:val="004F50C4"/>
    <w:rsid w:val="004F6AA6"/>
    <w:rsid w:val="0050016D"/>
    <w:rsid w:val="005009C0"/>
    <w:rsid w:val="00501179"/>
    <w:rsid w:val="00501921"/>
    <w:rsid w:val="00501CBA"/>
    <w:rsid w:val="005042C1"/>
    <w:rsid w:val="00512BCB"/>
    <w:rsid w:val="005164BD"/>
    <w:rsid w:val="005168C9"/>
    <w:rsid w:val="00516E40"/>
    <w:rsid w:val="00520F6C"/>
    <w:rsid w:val="0052113F"/>
    <w:rsid w:val="00521BEF"/>
    <w:rsid w:val="005220E5"/>
    <w:rsid w:val="005221E1"/>
    <w:rsid w:val="005239A9"/>
    <w:rsid w:val="005274DA"/>
    <w:rsid w:val="005302F5"/>
    <w:rsid w:val="00530354"/>
    <w:rsid w:val="00531420"/>
    <w:rsid w:val="00533970"/>
    <w:rsid w:val="005341DA"/>
    <w:rsid w:val="00534871"/>
    <w:rsid w:val="0053538C"/>
    <w:rsid w:val="00536B45"/>
    <w:rsid w:val="0053781A"/>
    <w:rsid w:val="005406F6"/>
    <w:rsid w:val="00540899"/>
    <w:rsid w:val="00541352"/>
    <w:rsid w:val="0054163A"/>
    <w:rsid w:val="005434C6"/>
    <w:rsid w:val="00543B39"/>
    <w:rsid w:val="00543C7F"/>
    <w:rsid w:val="00550096"/>
    <w:rsid w:val="00551F1D"/>
    <w:rsid w:val="00552DB2"/>
    <w:rsid w:val="00552F2F"/>
    <w:rsid w:val="005540F9"/>
    <w:rsid w:val="00556B94"/>
    <w:rsid w:val="005576C9"/>
    <w:rsid w:val="00557FF9"/>
    <w:rsid w:val="0056062C"/>
    <w:rsid w:val="00560BAF"/>
    <w:rsid w:val="00560E8E"/>
    <w:rsid w:val="00561B1B"/>
    <w:rsid w:val="005649EF"/>
    <w:rsid w:val="005729B0"/>
    <w:rsid w:val="00573016"/>
    <w:rsid w:val="00574118"/>
    <w:rsid w:val="00575A6D"/>
    <w:rsid w:val="00576378"/>
    <w:rsid w:val="00577E38"/>
    <w:rsid w:val="005824DB"/>
    <w:rsid w:val="00585069"/>
    <w:rsid w:val="00585322"/>
    <w:rsid w:val="0058774D"/>
    <w:rsid w:val="005908AC"/>
    <w:rsid w:val="00591975"/>
    <w:rsid w:val="005930D8"/>
    <w:rsid w:val="00593A0C"/>
    <w:rsid w:val="00593AD1"/>
    <w:rsid w:val="0059463D"/>
    <w:rsid w:val="005955CF"/>
    <w:rsid w:val="00597B50"/>
    <w:rsid w:val="005A1131"/>
    <w:rsid w:val="005A3F2F"/>
    <w:rsid w:val="005A533C"/>
    <w:rsid w:val="005A54DF"/>
    <w:rsid w:val="005A58F6"/>
    <w:rsid w:val="005A5916"/>
    <w:rsid w:val="005A5A5E"/>
    <w:rsid w:val="005A6544"/>
    <w:rsid w:val="005A6611"/>
    <w:rsid w:val="005A6C9D"/>
    <w:rsid w:val="005B0EB3"/>
    <w:rsid w:val="005B1CBC"/>
    <w:rsid w:val="005B1DEF"/>
    <w:rsid w:val="005B1FFF"/>
    <w:rsid w:val="005B78C6"/>
    <w:rsid w:val="005C03F2"/>
    <w:rsid w:val="005C0499"/>
    <w:rsid w:val="005C08A9"/>
    <w:rsid w:val="005C1D90"/>
    <w:rsid w:val="005C22EA"/>
    <w:rsid w:val="005C2732"/>
    <w:rsid w:val="005C2FB2"/>
    <w:rsid w:val="005C3414"/>
    <w:rsid w:val="005C49ED"/>
    <w:rsid w:val="005C5570"/>
    <w:rsid w:val="005C6864"/>
    <w:rsid w:val="005C6D87"/>
    <w:rsid w:val="005C79A4"/>
    <w:rsid w:val="005C7F95"/>
    <w:rsid w:val="005D060C"/>
    <w:rsid w:val="005D0885"/>
    <w:rsid w:val="005D16DC"/>
    <w:rsid w:val="005D3A8E"/>
    <w:rsid w:val="005D4E06"/>
    <w:rsid w:val="005D5442"/>
    <w:rsid w:val="005E1A89"/>
    <w:rsid w:val="005E3393"/>
    <w:rsid w:val="005E4764"/>
    <w:rsid w:val="005E5885"/>
    <w:rsid w:val="005E6395"/>
    <w:rsid w:val="005F159D"/>
    <w:rsid w:val="005F3EA0"/>
    <w:rsid w:val="005F48A2"/>
    <w:rsid w:val="00600923"/>
    <w:rsid w:val="00601594"/>
    <w:rsid w:val="00601FD3"/>
    <w:rsid w:val="0060581D"/>
    <w:rsid w:val="006067A7"/>
    <w:rsid w:val="00606FC6"/>
    <w:rsid w:val="00610523"/>
    <w:rsid w:val="00612B30"/>
    <w:rsid w:val="006131AB"/>
    <w:rsid w:val="00613211"/>
    <w:rsid w:val="006132E8"/>
    <w:rsid w:val="00617A0E"/>
    <w:rsid w:val="00617E8E"/>
    <w:rsid w:val="006210F2"/>
    <w:rsid w:val="0062266E"/>
    <w:rsid w:val="00623676"/>
    <w:rsid w:val="006238C7"/>
    <w:rsid w:val="00623F82"/>
    <w:rsid w:val="00630E67"/>
    <w:rsid w:val="00632D4C"/>
    <w:rsid w:val="006352D8"/>
    <w:rsid w:val="00635930"/>
    <w:rsid w:val="006400CB"/>
    <w:rsid w:val="00640FC3"/>
    <w:rsid w:val="00641EF5"/>
    <w:rsid w:val="00641F05"/>
    <w:rsid w:val="00642020"/>
    <w:rsid w:val="00644F2E"/>
    <w:rsid w:val="00650434"/>
    <w:rsid w:val="00651316"/>
    <w:rsid w:val="00652676"/>
    <w:rsid w:val="00652CEE"/>
    <w:rsid w:val="0065337B"/>
    <w:rsid w:val="0065419D"/>
    <w:rsid w:val="00655898"/>
    <w:rsid w:val="006573C5"/>
    <w:rsid w:val="006604D8"/>
    <w:rsid w:val="00664A5B"/>
    <w:rsid w:val="006664CB"/>
    <w:rsid w:val="00667942"/>
    <w:rsid w:val="006708FD"/>
    <w:rsid w:val="006733CD"/>
    <w:rsid w:val="00674BA2"/>
    <w:rsid w:val="00677050"/>
    <w:rsid w:val="006804A8"/>
    <w:rsid w:val="00680C08"/>
    <w:rsid w:val="00680C0C"/>
    <w:rsid w:val="00683C7E"/>
    <w:rsid w:val="00684234"/>
    <w:rsid w:val="0068543D"/>
    <w:rsid w:val="00686C19"/>
    <w:rsid w:val="0068741A"/>
    <w:rsid w:val="00691DBE"/>
    <w:rsid w:val="006922E3"/>
    <w:rsid w:val="006931B1"/>
    <w:rsid w:val="006938D9"/>
    <w:rsid w:val="00696E33"/>
    <w:rsid w:val="006A006B"/>
    <w:rsid w:val="006A15C0"/>
    <w:rsid w:val="006A1742"/>
    <w:rsid w:val="006A1DC0"/>
    <w:rsid w:val="006A59B6"/>
    <w:rsid w:val="006A64F4"/>
    <w:rsid w:val="006A7FD9"/>
    <w:rsid w:val="006B1BCF"/>
    <w:rsid w:val="006B3B74"/>
    <w:rsid w:val="006B3BAC"/>
    <w:rsid w:val="006B3CF2"/>
    <w:rsid w:val="006B3D5F"/>
    <w:rsid w:val="006B43D7"/>
    <w:rsid w:val="006B69D7"/>
    <w:rsid w:val="006C0A51"/>
    <w:rsid w:val="006C1A83"/>
    <w:rsid w:val="006C1AD9"/>
    <w:rsid w:val="006C1F3B"/>
    <w:rsid w:val="006C3E2A"/>
    <w:rsid w:val="006C450D"/>
    <w:rsid w:val="006C57B7"/>
    <w:rsid w:val="006C642F"/>
    <w:rsid w:val="006C74C0"/>
    <w:rsid w:val="006D03E5"/>
    <w:rsid w:val="006D08C1"/>
    <w:rsid w:val="006D4E6B"/>
    <w:rsid w:val="006D5D3E"/>
    <w:rsid w:val="006D6A23"/>
    <w:rsid w:val="006E08B3"/>
    <w:rsid w:val="006E0D76"/>
    <w:rsid w:val="006E1093"/>
    <w:rsid w:val="006E23C7"/>
    <w:rsid w:val="006E5071"/>
    <w:rsid w:val="006E54E6"/>
    <w:rsid w:val="006E5916"/>
    <w:rsid w:val="006F01FE"/>
    <w:rsid w:val="006F05C4"/>
    <w:rsid w:val="006F1A67"/>
    <w:rsid w:val="006F1C5C"/>
    <w:rsid w:val="006F23EE"/>
    <w:rsid w:val="006F572E"/>
    <w:rsid w:val="006F65A9"/>
    <w:rsid w:val="006F692C"/>
    <w:rsid w:val="006F7355"/>
    <w:rsid w:val="00700685"/>
    <w:rsid w:val="007016F0"/>
    <w:rsid w:val="007046D6"/>
    <w:rsid w:val="00704AC7"/>
    <w:rsid w:val="00705DB0"/>
    <w:rsid w:val="00706AFE"/>
    <w:rsid w:val="007105C8"/>
    <w:rsid w:val="00711BAE"/>
    <w:rsid w:val="00712043"/>
    <w:rsid w:val="007127A7"/>
    <w:rsid w:val="007161E3"/>
    <w:rsid w:val="0071733D"/>
    <w:rsid w:val="00717545"/>
    <w:rsid w:val="00717B5D"/>
    <w:rsid w:val="007249F8"/>
    <w:rsid w:val="00730C16"/>
    <w:rsid w:val="0073205A"/>
    <w:rsid w:val="0073224D"/>
    <w:rsid w:val="00732B06"/>
    <w:rsid w:val="0073345D"/>
    <w:rsid w:val="00735C0B"/>
    <w:rsid w:val="00736B85"/>
    <w:rsid w:val="00736EFA"/>
    <w:rsid w:val="00737627"/>
    <w:rsid w:val="00741159"/>
    <w:rsid w:val="0074253D"/>
    <w:rsid w:val="007426B9"/>
    <w:rsid w:val="00743FAA"/>
    <w:rsid w:val="0074429B"/>
    <w:rsid w:val="007465EC"/>
    <w:rsid w:val="007477F8"/>
    <w:rsid w:val="00750368"/>
    <w:rsid w:val="007560C5"/>
    <w:rsid w:val="00760645"/>
    <w:rsid w:val="007615BC"/>
    <w:rsid w:val="00761AA7"/>
    <w:rsid w:val="00762F05"/>
    <w:rsid w:val="007630F4"/>
    <w:rsid w:val="007637F0"/>
    <w:rsid w:val="00763BB7"/>
    <w:rsid w:val="00764C0F"/>
    <w:rsid w:val="00764D60"/>
    <w:rsid w:val="007652FF"/>
    <w:rsid w:val="00765C7B"/>
    <w:rsid w:val="00766729"/>
    <w:rsid w:val="00766888"/>
    <w:rsid w:val="00771329"/>
    <w:rsid w:val="00773B6C"/>
    <w:rsid w:val="00773EF7"/>
    <w:rsid w:val="007748DC"/>
    <w:rsid w:val="00774E1D"/>
    <w:rsid w:val="0077675A"/>
    <w:rsid w:val="00777844"/>
    <w:rsid w:val="00780355"/>
    <w:rsid w:val="00782870"/>
    <w:rsid w:val="00783116"/>
    <w:rsid w:val="00784124"/>
    <w:rsid w:val="00784628"/>
    <w:rsid w:val="00785721"/>
    <w:rsid w:val="007907BF"/>
    <w:rsid w:val="00792A60"/>
    <w:rsid w:val="00793A59"/>
    <w:rsid w:val="00794519"/>
    <w:rsid w:val="007954D4"/>
    <w:rsid w:val="00795B3E"/>
    <w:rsid w:val="00797807"/>
    <w:rsid w:val="00797C67"/>
    <w:rsid w:val="007A1A7A"/>
    <w:rsid w:val="007A1A9D"/>
    <w:rsid w:val="007A2162"/>
    <w:rsid w:val="007A2B0B"/>
    <w:rsid w:val="007A58C5"/>
    <w:rsid w:val="007A7F4C"/>
    <w:rsid w:val="007B0035"/>
    <w:rsid w:val="007B0412"/>
    <w:rsid w:val="007B0A15"/>
    <w:rsid w:val="007B1ED1"/>
    <w:rsid w:val="007B6332"/>
    <w:rsid w:val="007B7F38"/>
    <w:rsid w:val="007C0F3D"/>
    <w:rsid w:val="007C1AED"/>
    <w:rsid w:val="007C1AF7"/>
    <w:rsid w:val="007C57F5"/>
    <w:rsid w:val="007C5B97"/>
    <w:rsid w:val="007C6718"/>
    <w:rsid w:val="007C7456"/>
    <w:rsid w:val="007D2CFA"/>
    <w:rsid w:val="007D31C7"/>
    <w:rsid w:val="007D3DD9"/>
    <w:rsid w:val="007D404B"/>
    <w:rsid w:val="007D4385"/>
    <w:rsid w:val="007D7B54"/>
    <w:rsid w:val="007E2128"/>
    <w:rsid w:val="007E29E1"/>
    <w:rsid w:val="007E3E3E"/>
    <w:rsid w:val="007E4DCE"/>
    <w:rsid w:val="007E662C"/>
    <w:rsid w:val="007F0C34"/>
    <w:rsid w:val="007F14C4"/>
    <w:rsid w:val="007F527F"/>
    <w:rsid w:val="007F59A7"/>
    <w:rsid w:val="007F6D00"/>
    <w:rsid w:val="00801954"/>
    <w:rsid w:val="008030CD"/>
    <w:rsid w:val="008039AA"/>
    <w:rsid w:val="00804357"/>
    <w:rsid w:val="0080449A"/>
    <w:rsid w:val="00806296"/>
    <w:rsid w:val="008075E2"/>
    <w:rsid w:val="00811949"/>
    <w:rsid w:val="00812029"/>
    <w:rsid w:val="008122AC"/>
    <w:rsid w:val="008124D7"/>
    <w:rsid w:val="00812B04"/>
    <w:rsid w:val="00813E46"/>
    <w:rsid w:val="008157AC"/>
    <w:rsid w:val="00817471"/>
    <w:rsid w:val="00821776"/>
    <w:rsid w:val="00826007"/>
    <w:rsid w:val="0082653E"/>
    <w:rsid w:val="008266E2"/>
    <w:rsid w:val="008306FE"/>
    <w:rsid w:val="0083209C"/>
    <w:rsid w:val="008321F5"/>
    <w:rsid w:val="00832369"/>
    <w:rsid w:val="00832486"/>
    <w:rsid w:val="00832DFA"/>
    <w:rsid w:val="0083329F"/>
    <w:rsid w:val="00834660"/>
    <w:rsid w:val="008357ED"/>
    <w:rsid w:val="00836BC2"/>
    <w:rsid w:val="0084104E"/>
    <w:rsid w:val="0084109D"/>
    <w:rsid w:val="00841285"/>
    <w:rsid w:val="008423DC"/>
    <w:rsid w:val="008440CE"/>
    <w:rsid w:val="00844723"/>
    <w:rsid w:val="00846611"/>
    <w:rsid w:val="00846E23"/>
    <w:rsid w:val="00847239"/>
    <w:rsid w:val="008540B3"/>
    <w:rsid w:val="0085641B"/>
    <w:rsid w:val="00857136"/>
    <w:rsid w:val="008575AD"/>
    <w:rsid w:val="008617CA"/>
    <w:rsid w:val="00862C77"/>
    <w:rsid w:val="008702B3"/>
    <w:rsid w:val="008707DF"/>
    <w:rsid w:val="008714AE"/>
    <w:rsid w:val="00871E49"/>
    <w:rsid w:val="00872807"/>
    <w:rsid w:val="0087364E"/>
    <w:rsid w:val="00873915"/>
    <w:rsid w:val="00876EAC"/>
    <w:rsid w:val="00881EA0"/>
    <w:rsid w:val="0088496A"/>
    <w:rsid w:val="0088678E"/>
    <w:rsid w:val="0089159E"/>
    <w:rsid w:val="008929CD"/>
    <w:rsid w:val="00893167"/>
    <w:rsid w:val="0089392A"/>
    <w:rsid w:val="00893C5D"/>
    <w:rsid w:val="00893D2C"/>
    <w:rsid w:val="00896018"/>
    <w:rsid w:val="00896E1F"/>
    <w:rsid w:val="008970B8"/>
    <w:rsid w:val="00897CA6"/>
    <w:rsid w:val="008A00FE"/>
    <w:rsid w:val="008A12EC"/>
    <w:rsid w:val="008A2B9D"/>
    <w:rsid w:val="008A2D18"/>
    <w:rsid w:val="008A5E0B"/>
    <w:rsid w:val="008A69D0"/>
    <w:rsid w:val="008A6A7F"/>
    <w:rsid w:val="008A6B96"/>
    <w:rsid w:val="008A6D59"/>
    <w:rsid w:val="008B0015"/>
    <w:rsid w:val="008B1EFB"/>
    <w:rsid w:val="008B2B27"/>
    <w:rsid w:val="008B4B03"/>
    <w:rsid w:val="008B596F"/>
    <w:rsid w:val="008B641E"/>
    <w:rsid w:val="008B7C43"/>
    <w:rsid w:val="008C0C69"/>
    <w:rsid w:val="008C159F"/>
    <w:rsid w:val="008C1623"/>
    <w:rsid w:val="008C1A37"/>
    <w:rsid w:val="008C2944"/>
    <w:rsid w:val="008C2B58"/>
    <w:rsid w:val="008C51A9"/>
    <w:rsid w:val="008C5225"/>
    <w:rsid w:val="008C5DAD"/>
    <w:rsid w:val="008C7154"/>
    <w:rsid w:val="008C7E46"/>
    <w:rsid w:val="008D0620"/>
    <w:rsid w:val="008D1287"/>
    <w:rsid w:val="008D2920"/>
    <w:rsid w:val="008D3724"/>
    <w:rsid w:val="008D3FCE"/>
    <w:rsid w:val="008D5396"/>
    <w:rsid w:val="008D5E3B"/>
    <w:rsid w:val="008D67F7"/>
    <w:rsid w:val="008D7871"/>
    <w:rsid w:val="008D7BD4"/>
    <w:rsid w:val="008E2279"/>
    <w:rsid w:val="008E288E"/>
    <w:rsid w:val="008E38DB"/>
    <w:rsid w:val="008E58DD"/>
    <w:rsid w:val="008E6463"/>
    <w:rsid w:val="008F1CCC"/>
    <w:rsid w:val="008F2967"/>
    <w:rsid w:val="008F2AD4"/>
    <w:rsid w:val="008F4A62"/>
    <w:rsid w:val="008F4C75"/>
    <w:rsid w:val="008F57B4"/>
    <w:rsid w:val="00900B60"/>
    <w:rsid w:val="00904265"/>
    <w:rsid w:val="00904668"/>
    <w:rsid w:val="00905BFB"/>
    <w:rsid w:val="00906BB0"/>
    <w:rsid w:val="0091165D"/>
    <w:rsid w:val="00913DE6"/>
    <w:rsid w:val="00915525"/>
    <w:rsid w:val="00915DF5"/>
    <w:rsid w:val="00917AB4"/>
    <w:rsid w:val="00920330"/>
    <w:rsid w:val="009207ED"/>
    <w:rsid w:val="00920FF4"/>
    <w:rsid w:val="00921218"/>
    <w:rsid w:val="009218C8"/>
    <w:rsid w:val="009219D7"/>
    <w:rsid w:val="009219E3"/>
    <w:rsid w:val="00922D53"/>
    <w:rsid w:val="0092307D"/>
    <w:rsid w:val="00923B70"/>
    <w:rsid w:val="0092465F"/>
    <w:rsid w:val="00924FB8"/>
    <w:rsid w:val="00925168"/>
    <w:rsid w:val="00925333"/>
    <w:rsid w:val="0092600B"/>
    <w:rsid w:val="00926BE5"/>
    <w:rsid w:val="00926F1C"/>
    <w:rsid w:val="00930237"/>
    <w:rsid w:val="009310B4"/>
    <w:rsid w:val="0093749E"/>
    <w:rsid w:val="00941C4E"/>
    <w:rsid w:val="00942751"/>
    <w:rsid w:val="00943A3F"/>
    <w:rsid w:val="00943D4E"/>
    <w:rsid w:val="00944B14"/>
    <w:rsid w:val="00944CC6"/>
    <w:rsid w:val="00945041"/>
    <w:rsid w:val="0094532D"/>
    <w:rsid w:val="009468C6"/>
    <w:rsid w:val="00947C89"/>
    <w:rsid w:val="009500CA"/>
    <w:rsid w:val="00951677"/>
    <w:rsid w:val="00951CA1"/>
    <w:rsid w:val="00952C3D"/>
    <w:rsid w:val="00953789"/>
    <w:rsid w:val="009537CA"/>
    <w:rsid w:val="00953EA8"/>
    <w:rsid w:val="00955A46"/>
    <w:rsid w:val="0095611E"/>
    <w:rsid w:val="00961C72"/>
    <w:rsid w:val="009628B7"/>
    <w:rsid w:val="00963C08"/>
    <w:rsid w:val="00963C0D"/>
    <w:rsid w:val="00966970"/>
    <w:rsid w:val="00967C5A"/>
    <w:rsid w:val="00970367"/>
    <w:rsid w:val="0097159D"/>
    <w:rsid w:val="0097164D"/>
    <w:rsid w:val="0097371B"/>
    <w:rsid w:val="009741DD"/>
    <w:rsid w:val="009748B4"/>
    <w:rsid w:val="009752DD"/>
    <w:rsid w:val="00975379"/>
    <w:rsid w:val="0097735E"/>
    <w:rsid w:val="00981AC6"/>
    <w:rsid w:val="00981D0A"/>
    <w:rsid w:val="00982D50"/>
    <w:rsid w:val="009835B6"/>
    <w:rsid w:val="00984B4D"/>
    <w:rsid w:val="00984CAD"/>
    <w:rsid w:val="00987864"/>
    <w:rsid w:val="00987D65"/>
    <w:rsid w:val="0099110A"/>
    <w:rsid w:val="009927F3"/>
    <w:rsid w:val="00993AB0"/>
    <w:rsid w:val="0099479F"/>
    <w:rsid w:val="00995103"/>
    <w:rsid w:val="00996651"/>
    <w:rsid w:val="00996C3D"/>
    <w:rsid w:val="00997E59"/>
    <w:rsid w:val="009A09C5"/>
    <w:rsid w:val="009A190E"/>
    <w:rsid w:val="009A29F4"/>
    <w:rsid w:val="009A4825"/>
    <w:rsid w:val="009A4CED"/>
    <w:rsid w:val="009B00CC"/>
    <w:rsid w:val="009B027D"/>
    <w:rsid w:val="009B0F07"/>
    <w:rsid w:val="009B1D12"/>
    <w:rsid w:val="009B20A0"/>
    <w:rsid w:val="009B2338"/>
    <w:rsid w:val="009B2B3C"/>
    <w:rsid w:val="009B3475"/>
    <w:rsid w:val="009B385B"/>
    <w:rsid w:val="009B416B"/>
    <w:rsid w:val="009B574B"/>
    <w:rsid w:val="009B6348"/>
    <w:rsid w:val="009B69B2"/>
    <w:rsid w:val="009B7077"/>
    <w:rsid w:val="009B76C4"/>
    <w:rsid w:val="009C0068"/>
    <w:rsid w:val="009C4BD5"/>
    <w:rsid w:val="009C5F04"/>
    <w:rsid w:val="009C683C"/>
    <w:rsid w:val="009D0801"/>
    <w:rsid w:val="009D0A6D"/>
    <w:rsid w:val="009D0DC8"/>
    <w:rsid w:val="009D2144"/>
    <w:rsid w:val="009D2E04"/>
    <w:rsid w:val="009D4267"/>
    <w:rsid w:val="009D7B77"/>
    <w:rsid w:val="009E0BB0"/>
    <w:rsid w:val="009E37F8"/>
    <w:rsid w:val="009E3FBB"/>
    <w:rsid w:val="009E5527"/>
    <w:rsid w:val="009E6CA2"/>
    <w:rsid w:val="009E7974"/>
    <w:rsid w:val="009F018D"/>
    <w:rsid w:val="009F01FD"/>
    <w:rsid w:val="009F0640"/>
    <w:rsid w:val="009F207B"/>
    <w:rsid w:val="009F20E4"/>
    <w:rsid w:val="009F603D"/>
    <w:rsid w:val="009F7490"/>
    <w:rsid w:val="009F7D4D"/>
    <w:rsid w:val="00A00A48"/>
    <w:rsid w:val="00A0156E"/>
    <w:rsid w:val="00A100E2"/>
    <w:rsid w:val="00A10C68"/>
    <w:rsid w:val="00A1235B"/>
    <w:rsid w:val="00A14DF7"/>
    <w:rsid w:val="00A177FD"/>
    <w:rsid w:val="00A22E19"/>
    <w:rsid w:val="00A22F71"/>
    <w:rsid w:val="00A23D69"/>
    <w:rsid w:val="00A23E9A"/>
    <w:rsid w:val="00A27B10"/>
    <w:rsid w:val="00A27C47"/>
    <w:rsid w:val="00A300C2"/>
    <w:rsid w:val="00A307F6"/>
    <w:rsid w:val="00A31294"/>
    <w:rsid w:val="00A3246D"/>
    <w:rsid w:val="00A32C51"/>
    <w:rsid w:val="00A33A22"/>
    <w:rsid w:val="00A342E4"/>
    <w:rsid w:val="00A3446F"/>
    <w:rsid w:val="00A35BA2"/>
    <w:rsid w:val="00A36E8D"/>
    <w:rsid w:val="00A36FA7"/>
    <w:rsid w:val="00A40944"/>
    <w:rsid w:val="00A41E88"/>
    <w:rsid w:val="00A43783"/>
    <w:rsid w:val="00A44CC1"/>
    <w:rsid w:val="00A46A96"/>
    <w:rsid w:val="00A47209"/>
    <w:rsid w:val="00A475B7"/>
    <w:rsid w:val="00A47AF7"/>
    <w:rsid w:val="00A47C3E"/>
    <w:rsid w:val="00A47E5B"/>
    <w:rsid w:val="00A50226"/>
    <w:rsid w:val="00A50992"/>
    <w:rsid w:val="00A50D3A"/>
    <w:rsid w:val="00A56D55"/>
    <w:rsid w:val="00A60BAD"/>
    <w:rsid w:val="00A60C4B"/>
    <w:rsid w:val="00A64E79"/>
    <w:rsid w:val="00A71CDC"/>
    <w:rsid w:val="00A73339"/>
    <w:rsid w:val="00A737A1"/>
    <w:rsid w:val="00A73A8D"/>
    <w:rsid w:val="00A77C79"/>
    <w:rsid w:val="00A8051A"/>
    <w:rsid w:val="00A806AE"/>
    <w:rsid w:val="00A80D13"/>
    <w:rsid w:val="00A81D3E"/>
    <w:rsid w:val="00A8571D"/>
    <w:rsid w:val="00A87334"/>
    <w:rsid w:val="00A921A1"/>
    <w:rsid w:val="00A92E6D"/>
    <w:rsid w:val="00A931FC"/>
    <w:rsid w:val="00A934D5"/>
    <w:rsid w:val="00A957C4"/>
    <w:rsid w:val="00AA20B8"/>
    <w:rsid w:val="00AA34FC"/>
    <w:rsid w:val="00AA6350"/>
    <w:rsid w:val="00AB201E"/>
    <w:rsid w:val="00AB2FB8"/>
    <w:rsid w:val="00AB3F92"/>
    <w:rsid w:val="00AB42C4"/>
    <w:rsid w:val="00AB4EB3"/>
    <w:rsid w:val="00AB581C"/>
    <w:rsid w:val="00AB5C96"/>
    <w:rsid w:val="00AB76F6"/>
    <w:rsid w:val="00AC209E"/>
    <w:rsid w:val="00AC262B"/>
    <w:rsid w:val="00AC2B40"/>
    <w:rsid w:val="00AC2BB2"/>
    <w:rsid w:val="00AC2C3C"/>
    <w:rsid w:val="00AC3A5A"/>
    <w:rsid w:val="00AC3B18"/>
    <w:rsid w:val="00AC3BD9"/>
    <w:rsid w:val="00AC423A"/>
    <w:rsid w:val="00AC44FA"/>
    <w:rsid w:val="00AC54D1"/>
    <w:rsid w:val="00AC6134"/>
    <w:rsid w:val="00AC6EBE"/>
    <w:rsid w:val="00AD4722"/>
    <w:rsid w:val="00AD58C6"/>
    <w:rsid w:val="00AD631F"/>
    <w:rsid w:val="00AD7E78"/>
    <w:rsid w:val="00AE1266"/>
    <w:rsid w:val="00AE2270"/>
    <w:rsid w:val="00AE2E0E"/>
    <w:rsid w:val="00AE3C05"/>
    <w:rsid w:val="00AE4205"/>
    <w:rsid w:val="00AE6155"/>
    <w:rsid w:val="00AE65EB"/>
    <w:rsid w:val="00AE670F"/>
    <w:rsid w:val="00AE6DC8"/>
    <w:rsid w:val="00AF0DE3"/>
    <w:rsid w:val="00AF1B84"/>
    <w:rsid w:val="00AF1D94"/>
    <w:rsid w:val="00AF27F0"/>
    <w:rsid w:val="00AF316D"/>
    <w:rsid w:val="00AF3A2A"/>
    <w:rsid w:val="00AF3A8C"/>
    <w:rsid w:val="00AF456E"/>
    <w:rsid w:val="00AF4630"/>
    <w:rsid w:val="00AF60C5"/>
    <w:rsid w:val="00B009C6"/>
    <w:rsid w:val="00B01548"/>
    <w:rsid w:val="00B138BE"/>
    <w:rsid w:val="00B141E2"/>
    <w:rsid w:val="00B15AE2"/>
    <w:rsid w:val="00B15C1C"/>
    <w:rsid w:val="00B16451"/>
    <w:rsid w:val="00B17107"/>
    <w:rsid w:val="00B17A0B"/>
    <w:rsid w:val="00B17CB3"/>
    <w:rsid w:val="00B21D29"/>
    <w:rsid w:val="00B21FC5"/>
    <w:rsid w:val="00B22A4C"/>
    <w:rsid w:val="00B22B35"/>
    <w:rsid w:val="00B25034"/>
    <w:rsid w:val="00B27B29"/>
    <w:rsid w:val="00B27EA3"/>
    <w:rsid w:val="00B3001A"/>
    <w:rsid w:val="00B325C7"/>
    <w:rsid w:val="00B33863"/>
    <w:rsid w:val="00B34BB5"/>
    <w:rsid w:val="00B34F51"/>
    <w:rsid w:val="00B36764"/>
    <w:rsid w:val="00B37BC9"/>
    <w:rsid w:val="00B37D17"/>
    <w:rsid w:val="00B40A9E"/>
    <w:rsid w:val="00B4175E"/>
    <w:rsid w:val="00B4249B"/>
    <w:rsid w:val="00B4454F"/>
    <w:rsid w:val="00B50EE7"/>
    <w:rsid w:val="00B510E1"/>
    <w:rsid w:val="00B525A0"/>
    <w:rsid w:val="00B52903"/>
    <w:rsid w:val="00B54C25"/>
    <w:rsid w:val="00B55E71"/>
    <w:rsid w:val="00B57049"/>
    <w:rsid w:val="00B572B2"/>
    <w:rsid w:val="00B60801"/>
    <w:rsid w:val="00B612EB"/>
    <w:rsid w:val="00B617EA"/>
    <w:rsid w:val="00B6228A"/>
    <w:rsid w:val="00B6409A"/>
    <w:rsid w:val="00B64E10"/>
    <w:rsid w:val="00B6677B"/>
    <w:rsid w:val="00B71B18"/>
    <w:rsid w:val="00B7359B"/>
    <w:rsid w:val="00B75478"/>
    <w:rsid w:val="00B7672F"/>
    <w:rsid w:val="00B76B91"/>
    <w:rsid w:val="00B7728A"/>
    <w:rsid w:val="00B80C7A"/>
    <w:rsid w:val="00B81A59"/>
    <w:rsid w:val="00B83FC7"/>
    <w:rsid w:val="00B8473E"/>
    <w:rsid w:val="00B86AD2"/>
    <w:rsid w:val="00B86F81"/>
    <w:rsid w:val="00B871E1"/>
    <w:rsid w:val="00B92541"/>
    <w:rsid w:val="00B929EB"/>
    <w:rsid w:val="00B94276"/>
    <w:rsid w:val="00B94618"/>
    <w:rsid w:val="00B978A9"/>
    <w:rsid w:val="00BA1039"/>
    <w:rsid w:val="00BA2C1B"/>
    <w:rsid w:val="00BA39E5"/>
    <w:rsid w:val="00BA3B69"/>
    <w:rsid w:val="00BA7FF4"/>
    <w:rsid w:val="00BB0BD8"/>
    <w:rsid w:val="00BB180D"/>
    <w:rsid w:val="00BB538A"/>
    <w:rsid w:val="00BB6DFC"/>
    <w:rsid w:val="00BB7F56"/>
    <w:rsid w:val="00BC1CAB"/>
    <w:rsid w:val="00BC2009"/>
    <w:rsid w:val="00BC50DB"/>
    <w:rsid w:val="00BC526C"/>
    <w:rsid w:val="00BC5AC3"/>
    <w:rsid w:val="00BC5AE6"/>
    <w:rsid w:val="00BC622A"/>
    <w:rsid w:val="00BD0155"/>
    <w:rsid w:val="00BD0C18"/>
    <w:rsid w:val="00BD39A0"/>
    <w:rsid w:val="00BD48EC"/>
    <w:rsid w:val="00BD5922"/>
    <w:rsid w:val="00BE0A78"/>
    <w:rsid w:val="00BE1404"/>
    <w:rsid w:val="00BE3418"/>
    <w:rsid w:val="00BE76BA"/>
    <w:rsid w:val="00BE79F0"/>
    <w:rsid w:val="00BF046D"/>
    <w:rsid w:val="00BF3C45"/>
    <w:rsid w:val="00BF46E4"/>
    <w:rsid w:val="00BF5D04"/>
    <w:rsid w:val="00BF6D2F"/>
    <w:rsid w:val="00BF7C3A"/>
    <w:rsid w:val="00C007D3"/>
    <w:rsid w:val="00C019E6"/>
    <w:rsid w:val="00C0350E"/>
    <w:rsid w:val="00C0357E"/>
    <w:rsid w:val="00C04EDA"/>
    <w:rsid w:val="00C1243F"/>
    <w:rsid w:val="00C1305B"/>
    <w:rsid w:val="00C13563"/>
    <w:rsid w:val="00C1475C"/>
    <w:rsid w:val="00C14992"/>
    <w:rsid w:val="00C163C5"/>
    <w:rsid w:val="00C16CCE"/>
    <w:rsid w:val="00C17E00"/>
    <w:rsid w:val="00C2026E"/>
    <w:rsid w:val="00C21766"/>
    <w:rsid w:val="00C21C48"/>
    <w:rsid w:val="00C24035"/>
    <w:rsid w:val="00C24C50"/>
    <w:rsid w:val="00C25FC2"/>
    <w:rsid w:val="00C2660A"/>
    <w:rsid w:val="00C27C24"/>
    <w:rsid w:val="00C31D44"/>
    <w:rsid w:val="00C32A88"/>
    <w:rsid w:val="00C33FDE"/>
    <w:rsid w:val="00C3534F"/>
    <w:rsid w:val="00C3536F"/>
    <w:rsid w:val="00C364D5"/>
    <w:rsid w:val="00C36810"/>
    <w:rsid w:val="00C36D62"/>
    <w:rsid w:val="00C404A6"/>
    <w:rsid w:val="00C40A36"/>
    <w:rsid w:val="00C40D79"/>
    <w:rsid w:val="00C4199D"/>
    <w:rsid w:val="00C4215B"/>
    <w:rsid w:val="00C434EA"/>
    <w:rsid w:val="00C44419"/>
    <w:rsid w:val="00C45E7B"/>
    <w:rsid w:val="00C471B1"/>
    <w:rsid w:val="00C51001"/>
    <w:rsid w:val="00C54222"/>
    <w:rsid w:val="00C55437"/>
    <w:rsid w:val="00C55C1A"/>
    <w:rsid w:val="00C55FF4"/>
    <w:rsid w:val="00C57408"/>
    <w:rsid w:val="00C6204C"/>
    <w:rsid w:val="00C6316B"/>
    <w:rsid w:val="00C634A9"/>
    <w:rsid w:val="00C6376F"/>
    <w:rsid w:val="00C651B1"/>
    <w:rsid w:val="00C65C06"/>
    <w:rsid w:val="00C669EE"/>
    <w:rsid w:val="00C673BB"/>
    <w:rsid w:val="00C70CFA"/>
    <w:rsid w:val="00C73315"/>
    <w:rsid w:val="00C73726"/>
    <w:rsid w:val="00C73C9E"/>
    <w:rsid w:val="00C741A3"/>
    <w:rsid w:val="00C74DD6"/>
    <w:rsid w:val="00C76E42"/>
    <w:rsid w:val="00C772FF"/>
    <w:rsid w:val="00C77CE7"/>
    <w:rsid w:val="00C801AF"/>
    <w:rsid w:val="00C80256"/>
    <w:rsid w:val="00C81696"/>
    <w:rsid w:val="00C849F6"/>
    <w:rsid w:val="00C85183"/>
    <w:rsid w:val="00C86E29"/>
    <w:rsid w:val="00C87CA5"/>
    <w:rsid w:val="00C91157"/>
    <w:rsid w:val="00C93228"/>
    <w:rsid w:val="00C94239"/>
    <w:rsid w:val="00C95D76"/>
    <w:rsid w:val="00C962E3"/>
    <w:rsid w:val="00CA068B"/>
    <w:rsid w:val="00CA0F79"/>
    <w:rsid w:val="00CA27B3"/>
    <w:rsid w:val="00CA3A38"/>
    <w:rsid w:val="00CA62E0"/>
    <w:rsid w:val="00CA7F35"/>
    <w:rsid w:val="00CB01E9"/>
    <w:rsid w:val="00CB27FE"/>
    <w:rsid w:val="00CB2C97"/>
    <w:rsid w:val="00CB694E"/>
    <w:rsid w:val="00CB6BC0"/>
    <w:rsid w:val="00CC19FE"/>
    <w:rsid w:val="00CC1B7C"/>
    <w:rsid w:val="00CC2AF4"/>
    <w:rsid w:val="00CC314F"/>
    <w:rsid w:val="00CC50DE"/>
    <w:rsid w:val="00CC727F"/>
    <w:rsid w:val="00CC7851"/>
    <w:rsid w:val="00CD02D1"/>
    <w:rsid w:val="00CD1899"/>
    <w:rsid w:val="00CD489E"/>
    <w:rsid w:val="00CD53D7"/>
    <w:rsid w:val="00CD6687"/>
    <w:rsid w:val="00CD6EB8"/>
    <w:rsid w:val="00CD7D02"/>
    <w:rsid w:val="00CE28B7"/>
    <w:rsid w:val="00CE3046"/>
    <w:rsid w:val="00CE5BB0"/>
    <w:rsid w:val="00CE5E4B"/>
    <w:rsid w:val="00CE64FD"/>
    <w:rsid w:val="00CF15C3"/>
    <w:rsid w:val="00CF174B"/>
    <w:rsid w:val="00CF2B6F"/>
    <w:rsid w:val="00CF2F53"/>
    <w:rsid w:val="00CF3BC4"/>
    <w:rsid w:val="00CF61D1"/>
    <w:rsid w:val="00CF6340"/>
    <w:rsid w:val="00D009DE"/>
    <w:rsid w:val="00D017ED"/>
    <w:rsid w:val="00D02AD9"/>
    <w:rsid w:val="00D045C1"/>
    <w:rsid w:val="00D07496"/>
    <w:rsid w:val="00D07AE4"/>
    <w:rsid w:val="00D07BFC"/>
    <w:rsid w:val="00D11F65"/>
    <w:rsid w:val="00D135F8"/>
    <w:rsid w:val="00D153A4"/>
    <w:rsid w:val="00D153B1"/>
    <w:rsid w:val="00D15802"/>
    <w:rsid w:val="00D1617A"/>
    <w:rsid w:val="00D164E5"/>
    <w:rsid w:val="00D21AD5"/>
    <w:rsid w:val="00D224FE"/>
    <w:rsid w:val="00D229BA"/>
    <w:rsid w:val="00D24C02"/>
    <w:rsid w:val="00D25587"/>
    <w:rsid w:val="00D276A5"/>
    <w:rsid w:val="00D32D05"/>
    <w:rsid w:val="00D35E98"/>
    <w:rsid w:val="00D42357"/>
    <w:rsid w:val="00D426CB"/>
    <w:rsid w:val="00D46CA1"/>
    <w:rsid w:val="00D46DA2"/>
    <w:rsid w:val="00D46E89"/>
    <w:rsid w:val="00D47415"/>
    <w:rsid w:val="00D51CD8"/>
    <w:rsid w:val="00D55A5F"/>
    <w:rsid w:val="00D56024"/>
    <w:rsid w:val="00D565D0"/>
    <w:rsid w:val="00D61619"/>
    <w:rsid w:val="00D624D6"/>
    <w:rsid w:val="00D63084"/>
    <w:rsid w:val="00D63F91"/>
    <w:rsid w:val="00D6493E"/>
    <w:rsid w:val="00D72019"/>
    <w:rsid w:val="00D72783"/>
    <w:rsid w:val="00D73C01"/>
    <w:rsid w:val="00D74637"/>
    <w:rsid w:val="00D763E2"/>
    <w:rsid w:val="00D80DD3"/>
    <w:rsid w:val="00D82F24"/>
    <w:rsid w:val="00D834EE"/>
    <w:rsid w:val="00D84A25"/>
    <w:rsid w:val="00D84F62"/>
    <w:rsid w:val="00D855AE"/>
    <w:rsid w:val="00D85BAA"/>
    <w:rsid w:val="00D86C12"/>
    <w:rsid w:val="00D87F31"/>
    <w:rsid w:val="00D909E5"/>
    <w:rsid w:val="00D90A8E"/>
    <w:rsid w:val="00D95034"/>
    <w:rsid w:val="00D97D00"/>
    <w:rsid w:val="00DA1086"/>
    <w:rsid w:val="00DA1124"/>
    <w:rsid w:val="00DA24C7"/>
    <w:rsid w:val="00DA2BE7"/>
    <w:rsid w:val="00DA3BFE"/>
    <w:rsid w:val="00DA5B9B"/>
    <w:rsid w:val="00DA7A0C"/>
    <w:rsid w:val="00DB063B"/>
    <w:rsid w:val="00DB33CF"/>
    <w:rsid w:val="00DB34F5"/>
    <w:rsid w:val="00DB4F74"/>
    <w:rsid w:val="00DB549E"/>
    <w:rsid w:val="00DC38FE"/>
    <w:rsid w:val="00DC3B80"/>
    <w:rsid w:val="00DC55B7"/>
    <w:rsid w:val="00DC7746"/>
    <w:rsid w:val="00DC79D6"/>
    <w:rsid w:val="00DC7EE4"/>
    <w:rsid w:val="00DD1234"/>
    <w:rsid w:val="00DD13FC"/>
    <w:rsid w:val="00DD18F8"/>
    <w:rsid w:val="00DD56EA"/>
    <w:rsid w:val="00DD75A3"/>
    <w:rsid w:val="00DE02AE"/>
    <w:rsid w:val="00DE06DB"/>
    <w:rsid w:val="00DE0774"/>
    <w:rsid w:val="00DE6A0C"/>
    <w:rsid w:val="00DE6C04"/>
    <w:rsid w:val="00DF1D7F"/>
    <w:rsid w:val="00DF2F50"/>
    <w:rsid w:val="00DF383F"/>
    <w:rsid w:val="00DF50BD"/>
    <w:rsid w:val="00E02FB4"/>
    <w:rsid w:val="00E05B04"/>
    <w:rsid w:val="00E06A1B"/>
    <w:rsid w:val="00E1165A"/>
    <w:rsid w:val="00E121FA"/>
    <w:rsid w:val="00E1340C"/>
    <w:rsid w:val="00E17D71"/>
    <w:rsid w:val="00E2020C"/>
    <w:rsid w:val="00E20571"/>
    <w:rsid w:val="00E207D9"/>
    <w:rsid w:val="00E21651"/>
    <w:rsid w:val="00E235F7"/>
    <w:rsid w:val="00E239D4"/>
    <w:rsid w:val="00E27C3A"/>
    <w:rsid w:val="00E30D01"/>
    <w:rsid w:val="00E313A8"/>
    <w:rsid w:val="00E331CF"/>
    <w:rsid w:val="00E344AA"/>
    <w:rsid w:val="00E40B22"/>
    <w:rsid w:val="00E40BD2"/>
    <w:rsid w:val="00E41AD2"/>
    <w:rsid w:val="00E42068"/>
    <w:rsid w:val="00E4307C"/>
    <w:rsid w:val="00E43314"/>
    <w:rsid w:val="00E437E7"/>
    <w:rsid w:val="00E4588F"/>
    <w:rsid w:val="00E46DA3"/>
    <w:rsid w:val="00E476C8"/>
    <w:rsid w:val="00E47A04"/>
    <w:rsid w:val="00E55460"/>
    <w:rsid w:val="00E57B71"/>
    <w:rsid w:val="00E57B7C"/>
    <w:rsid w:val="00E604FC"/>
    <w:rsid w:val="00E72FC4"/>
    <w:rsid w:val="00E770A2"/>
    <w:rsid w:val="00E7734A"/>
    <w:rsid w:val="00E80553"/>
    <w:rsid w:val="00E81BC9"/>
    <w:rsid w:val="00E8466B"/>
    <w:rsid w:val="00E85439"/>
    <w:rsid w:val="00E85D5D"/>
    <w:rsid w:val="00E860E0"/>
    <w:rsid w:val="00E86A1F"/>
    <w:rsid w:val="00E8778C"/>
    <w:rsid w:val="00E9008E"/>
    <w:rsid w:val="00E9579B"/>
    <w:rsid w:val="00E95CCA"/>
    <w:rsid w:val="00E95D96"/>
    <w:rsid w:val="00E97275"/>
    <w:rsid w:val="00EA0A0F"/>
    <w:rsid w:val="00EA16DE"/>
    <w:rsid w:val="00EA2437"/>
    <w:rsid w:val="00EA406B"/>
    <w:rsid w:val="00EA5776"/>
    <w:rsid w:val="00EB052E"/>
    <w:rsid w:val="00EB0798"/>
    <w:rsid w:val="00EB28AE"/>
    <w:rsid w:val="00EB2F97"/>
    <w:rsid w:val="00EB34F1"/>
    <w:rsid w:val="00EB40AD"/>
    <w:rsid w:val="00EB4571"/>
    <w:rsid w:val="00EB586E"/>
    <w:rsid w:val="00EB5CC4"/>
    <w:rsid w:val="00EB5FC8"/>
    <w:rsid w:val="00EB74A7"/>
    <w:rsid w:val="00EB758A"/>
    <w:rsid w:val="00EC367C"/>
    <w:rsid w:val="00EC384E"/>
    <w:rsid w:val="00EC4910"/>
    <w:rsid w:val="00EC580A"/>
    <w:rsid w:val="00ED0381"/>
    <w:rsid w:val="00ED58CF"/>
    <w:rsid w:val="00ED5A41"/>
    <w:rsid w:val="00ED5D05"/>
    <w:rsid w:val="00ED6B23"/>
    <w:rsid w:val="00ED77FA"/>
    <w:rsid w:val="00EE00CA"/>
    <w:rsid w:val="00EE148A"/>
    <w:rsid w:val="00EE2CC3"/>
    <w:rsid w:val="00EE3577"/>
    <w:rsid w:val="00EE4E11"/>
    <w:rsid w:val="00EF06E6"/>
    <w:rsid w:val="00EF1963"/>
    <w:rsid w:val="00EF3129"/>
    <w:rsid w:val="00EF3C6A"/>
    <w:rsid w:val="00EF578B"/>
    <w:rsid w:val="00EF79F2"/>
    <w:rsid w:val="00EF7B95"/>
    <w:rsid w:val="00F033EC"/>
    <w:rsid w:val="00F03F58"/>
    <w:rsid w:val="00F0438D"/>
    <w:rsid w:val="00F049A1"/>
    <w:rsid w:val="00F04F68"/>
    <w:rsid w:val="00F104DE"/>
    <w:rsid w:val="00F10A73"/>
    <w:rsid w:val="00F10BD8"/>
    <w:rsid w:val="00F11A2D"/>
    <w:rsid w:val="00F12670"/>
    <w:rsid w:val="00F14B27"/>
    <w:rsid w:val="00F15078"/>
    <w:rsid w:val="00F170B6"/>
    <w:rsid w:val="00F20118"/>
    <w:rsid w:val="00F20136"/>
    <w:rsid w:val="00F223EE"/>
    <w:rsid w:val="00F23105"/>
    <w:rsid w:val="00F24CAE"/>
    <w:rsid w:val="00F25577"/>
    <w:rsid w:val="00F2700C"/>
    <w:rsid w:val="00F30771"/>
    <w:rsid w:val="00F3148D"/>
    <w:rsid w:val="00F32D36"/>
    <w:rsid w:val="00F3450E"/>
    <w:rsid w:val="00F3509E"/>
    <w:rsid w:val="00F35298"/>
    <w:rsid w:val="00F3529E"/>
    <w:rsid w:val="00F419CC"/>
    <w:rsid w:val="00F41DCE"/>
    <w:rsid w:val="00F443FD"/>
    <w:rsid w:val="00F448FC"/>
    <w:rsid w:val="00F46F9A"/>
    <w:rsid w:val="00F47D14"/>
    <w:rsid w:val="00F47E37"/>
    <w:rsid w:val="00F50ADC"/>
    <w:rsid w:val="00F50B5E"/>
    <w:rsid w:val="00F50F9A"/>
    <w:rsid w:val="00F52D80"/>
    <w:rsid w:val="00F53323"/>
    <w:rsid w:val="00F53E24"/>
    <w:rsid w:val="00F56D63"/>
    <w:rsid w:val="00F640B6"/>
    <w:rsid w:val="00F647C1"/>
    <w:rsid w:val="00F647EA"/>
    <w:rsid w:val="00F65B15"/>
    <w:rsid w:val="00F671B0"/>
    <w:rsid w:val="00F70540"/>
    <w:rsid w:val="00F72FAD"/>
    <w:rsid w:val="00F76087"/>
    <w:rsid w:val="00F76802"/>
    <w:rsid w:val="00F7768F"/>
    <w:rsid w:val="00F80E40"/>
    <w:rsid w:val="00F83D44"/>
    <w:rsid w:val="00F91585"/>
    <w:rsid w:val="00F923D6"/>
    <w:rsid w:val="00F93D7F"/>
    <w:rsid w:val="00F942E9"/>
    <w:rsid w:val="00F94460"/>
    <w:rsid w:val="00F95CA6"/>
    <w:rsid w:val="00F9705F"/>
    <w:rsid w:val="00FA029A"/>
    <w:rsid w:val="00FA144A"/>
    <w:rsid w:val="00FA2018"/>
    <w:rsid w:val="00FA3338"/>
    <w:rsid w:val="00FA5B82"/>
    <w:rsid w:val="00FA62B4"/>
    <w:rsid w:val="00FA639E"/>
    <w:rsid w:val="00FA7DF1"/>
    <w:rsid w:val="00FB0A32"/>
    <w:rsid w:val="00FB0E7A"/>
    <w:rsid w:val="00FB1B89"/>
    <w:rsid w:val="00FB31C8"/>
    <w:rsid w:val="00FB3817"/>
    <w:rsid w:val="00FB73CC"/>
    <w:rsid w:val="00FB7ED6"/>
    <w:rsid w:val="00FC03C8"/>
    <w:rsid w:val="00FC0F29"/>
    <w:rsid w:val="00FC17B1"/>
    <w:rsid w:val="00FC214D"/>
    <w:rsid w:val="00FC25E4"/>
    <w:rsid w:val="00FC36B9"/>
    <w:rsid w:val="00FC42B9"/>
    <w:rsid w:val="00FC4EF7"/>
    <w:rsid w:val="00FD0428"/>
    <w:rsid w:val="00FD0474"/>
    <w:rsid w:val="00FD2E18"/>
    <w:rsid w:val="00FD2F2B"/>
    <w:rsid w:val="00FD463E"/>
    <w:rsid w:val="00FD56A0"/>
    <w:rsid w:val="00FD5880"/>
    <w:rsid w:val="00FD5947"/>
    <w:rsid w:val="00FD625A"/>
    <w:rsid w:val="00FD62E3"/>
    <w:rsid w:val="00FD727A"/>
    <w:rsid w:val="00FE1DEE"/>
    <w:rsid w:val="00FE654C"/>
    <w:rsid w:val="00FE705F"/>
    <w:rsid w:val="00FF01FE"/>
    <w:rsid w:val="00FF04CB"/>
    <w:rsid w:val="00FF1448"/>
    <w:rsid w:val="00FF19ED"/>
    <w:rsid w:val="00FF2126"/>
    <w:rsid w:val="00FF25D3"/>
    <w:rsid w:val="00FF4170"/>
    <w:rsid w:val="00FF577D"/>
    <w:rsid w:val="00FF59FF"/>
    <w:rsid w:val="00FF5AA7"/>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66241"/>
    <o:shapelayout v:ext="edit">
      <o:idmap v:ext="edit" data="1"/>
    </o:shapelayout>
  </w:shapeDefaults>
  <w:decimalSymbol w:val="."/>
  <w:listSeparator w:val=","/>
  <w14:docId w14:val="645E7007"/>
  <w15:docId w15:val="{9FB8A505-8DA2-46F1-8113-1A546668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A7F35"/>
    <w:pPr>
      <w:spacing w:before="120" w:after="180" w:line="240" w:lineRule="atLeast"/>
    </w:pPr>
    <w:rPr>
      <w:sz w:val="22"/>
      <w:lang w:eastAsia="en-US"/>
    </w:rPr>
  </w:style>
  <w:style w:type="paragraph" w:styleId="Heading1">
    <w:name w:val="heading 1"/>
    <w:basedOn w:val="Heading2"/>
    <w:next w:val="Normal"/>
    <w:link w:val="Heading1Char"/>
    <w:rsid w:val="00D97D00"/>
    <w:pPr>
      <w:outlineLvl w:val="0"/>
    </w:pPr>
  </w:style>
  <w:style w:type="paragraph" w:styleId="Heading2">
    <w:name w:val="heading 2"/>
    <w:basedOn w:val="Normal"/>
    <w:next w:val="Normal"/>
    <w:link w:val="Heading2Char"/>
    <w:qFormat/>
    <w:rsid w:val="00BC2009"/>
    <w:pPr>
      <w:keepNext/>
      <w:keepLines/>
      <w:numPr>
        <w:numId w:val="5"/>
      </w:numPr>
      <w:spacing w:before="480" w:after="120"/>
      <w:outlineLvl w:val="1"/>
    </w:pPr>
    <w:rPr>
      <w:rFonts w:ascii="Arial" w:eastAsia="Times New Roman" w:hAnsi="Arial"/>
      <w:b/>
      <w:bCs/>
      <w:sz w:val="32"/>
      <w:szCs w:val="32"/>
    </w:rPr>
  </w:style>
  <w:style w:type="paragraph" w:styleId="Heading3">
    <w:name w:val="heading 3"/>
    <w:basedOn w:val="Normal"/>
    <w:next w:val="Normal"/>
    <w:link w:val="Heading3Char"/>
    <w:qFormat/>
    <w:rsid w:val="00BC2009"/>
    <w:pPr>
      <w:keepNext/>
      <w:keepLines/>
      <w:numPr>
        <w:ilvl w:val="1"/>
        <w:numId w:val="5"/>
      </w:numPr>
      <w:spacing w:before="480" w:after="120"/>
      <w:outlineLvl w:val="2"/>
    </w:pPr>
    <w:rPr>
      <w:rFonts w:ascii="Arial" w:eastAsia="Times New Roman" w:hAnsi="Arial"/>
      <w:b/>
      <w:bCs/>
      <w:sz w:val="28"/>
      <w:szCs w:val="32"/>
    </w:rPr>
  </w:style>
  <w:style w:type="paragraph" w:styleId="Heading4">
    <w:name w:val="heading 4"/>
    <w:basedOn w:val="Heading5"/>
    <w:next w:val="Normal"/>
    <w:link w:val="Heading4Char"/>
    <w:qFormat/>
    <w:rsid w:val="002534B2"/>
    <w:pPr>
      <w:outlineLvl w:val="3"/>
    </w:pPr>
  </w:style>
  <w:style w:type="paragraph" w:styleId="Heading5">
    <w:name w:val="heading 5"/>
    <w:basedOn w:val="Normal"/>
    <w:next w:val="Normal"/>
    <w:link w:val="Heading5Char"/>
    <w:uiPriority w:val="9"/>
    <w:rsid w:val="006C57B7"/>
    <w:pPr>
      <w:keepNext/>
      <w:keepLines/>
      <w:spacing w:before="240" w:after="120"/>
      <w:ind w:left="1008" w:hanging="1008"/>
      <w:outlineLvl w:val="4"/>
    </w:pPr>
    <w:rPr>
      <w:rFonts w:eastAsia="Times New Roman"/>
      <w:b/>
      <w:bCs/>
      <w:i/>
      <w:color w:val="001523"/>
      <w:szCs w:val="26"/>
    </w:rPr>
  </w:style>
  <w:style w:type="paragraph" w:styleId="Heading6">
    <w:name w:val="heading 6"/>
    <w:basedOn w:val="Normal"/>
    <w:next w:val="Normal"/>
    <w:link w:val="Heading6Char"/>
    <w:uiPriority w:val="9"/>
    <w:rsid w:val="00B138BE"/>
    <w:pPr>
      <w:keepNext/>
      <w:keepLines/>
      <w:numPr>
        <w:ilvl w:val="5"/>
        <w:numId w:val="5"/>
      </w:numPr>
      <w:spacing w:before="240" w:after="120"/>
      <w:outlineLvl w:val="5"/>
    </w:pPr>
    <w:rPr>
      <w:rFonts w:eastAsia="Times New Roman"/>
      <w:b/>
      <w:bCs/>
      <w:i/>
      <w:szCs w:val="21"/>
    </w:rPr>
  </w:style>
  <w:style w:type="paragraph" w:styleId="Heading7">
    <w:name w:val="heading 7"/>
    <w:basedOn w:val="Normal"/>
    <w:next w:val="Normal"/>
    <w:link w:val="Heading7Char"/>
    <w:uiPriority w:val="9"/>
    <w:rsid w:val="00B138BE"/>
    <w:pPr>
      <w:keepNext/>
      <w:keepLines/>
      <w:numPr>
        <w:ilvl w:val="6"/>
        <w:numId w:val="5"/>
      </w:numPr>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430AAA"/>
    <w:pPr>
      <w:keepNext/>
      <w:keepLines/>
      <w:numPr>
        <w:ilvl w:val="7"/>
        <w:numId w:val="5"/>
      </w:numPr>
      <w:spacing w:before="200" w:after="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430AAA"/>
    <w:pPr>
      <w:keepNext/>
      <w:keepLines/>
      <w:numPr>
        <w:ilvl w:val="8"/>
        <w:numId w:val="5"/>
      </w:numPr>
      <w:spacing w:before="200" w:after="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7D00"/>
    <w:rPr>
      <w:rFonts w:ascii="Arial" w:eastAsia="Times New Roman" w:hAnsi="Arial"/>
      <w:b/>
      <w:bCs/>
      <w:sz w:val="32"/>
      <w:szCs w:val="32"/>
      <w:lang w:eastAsia="en-US"/>
    </w:rPr>
  </w:style>
  <w:style w:type="character" w:customStyle="1" w:styleId="Heading2Char">
    <w:name w:val="Heading 2 Char"/>
    <w:basedOn w:val="DefaultParagraphFont"/>
    <w:link w:val="Heading2"/>
    <w:rsid w:val="00BC2009"/>
    <w:rPr>
      <w:rFonts w:ascii="Arial" w:eastAsia="Times New Roman" w:hAnsi="Arial"/>
      <w:b/>
      <w:bCs/>
      <w:sz w:val="32"/>
      <w:szCs w:val="32"/>
      <w:lang w:eastAsia="en-US"/>
    </w:rPr>
  </w:style>
  <w:style w:type="character" w:customStyle="1" w:styleId="Heading3Char">
    <w:name w:val="Heading 3 Char"/>
    <w:basedOn w:val="DefaultParagraphFont"/>
    <w:link w:val="Heading3"/>
    <w:rsid w:val="00BC2009"/>
    <w:rPr>
      <w:rFonts w:ascii="Arial" w:eastAsia="Times New Roman" w:hAnsi="Arial"/>
      <w:b/>
      <w:bCs/>
      <w:sz w:val="28"/>
      <w:szCs w:val="32"/>
      <w:lang w:eastAsia="en-US"/>
    </w:rPr>
  </w:style>
  <w:style w:type="paragraph" w:customStyle="1" w:styleId="Figuredescription">
    <w:name w:val="Figure description"/>
    <w:basedOn w:val="Normal"/>
    <w:next w:val="Normal"/>
    <w:rsid w:val="00CA62E0"/>
    <w:pPr>
      <w:spacing w:after="240" w:line="180" w:lineRule="atLeast"/>
    </w:pPr>
    <w:rPr>
      <w:sz w:val="18"/>
    </w:rPr>
  </w:style>
  <w:style w:type="paragraph" w:customStyle="1" w:styleId="Figuretitle">
    <w:name w:val="Figure title"/>
    <w:basedOn w:val="Normal"/>
    <w:next w:val="Normal"/>
    <w:rsid w:val="00CA62E0"/>
    <w:pPr>
      <w:outlineLvl w:val="4"/>
    </w:pPr>
    <w:rPr>
      <w:b/>
    </w:rPr>
  </w:style>
  <w:style w:type="paragraph" w:styleId="DocumentMap">
    <w:name w:val="Document Map"/>
    <w:basedOn w:val="Normal"/>
    <w:link w:val="DocumentMapChar"/>
    <w:uiPriority w:val="99"/>
    <w:semiHidden/>
    <w:unhideWhenUsed/>
    <w:rsid w:val="001B5CE3"/>
    <w:pPr>
      <w:spacing w:before="0" w:after="0" w:line="240" w:lineRule="auto"/>
    </w:pPr>
    <w:rPr>
      <w:rFonts w:ascii="Tahoma" w:hAnsi="Tahoma" w:cs="Tahoma"/>
      <w:sz w:val="16"/>
      <w:szCs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DocumentMapChar">
    <w:name w:val="Document Map Char"/>
    <w:basedOn w:val="DefaultParagraphFont"/>
    <w:link w:val="DocumentMap"/>
    <w:uiPriority w:val="99"/>
    <w:semiHidden/>
    <w:rsid w:val="001B5CE3"/>
    <w:rPr>
      <w:rFonts w:ascii="Tahoma" w:hAnsi="Tahoma" w:cs="Tahoma"/>
      <w:sz w:val="16"/>
      <w:szCs w:val="16"/>
      <w:lang w:eastAsia="en-US"/>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2534B2"/>
    <w:rPr>
      <w:rFonts w:eastAsia="Times New Roman"/>
      <w:b/>
      <w:bCs/>
      <w:i/>
      <w:color w:val="001523"/>
      <w:sz w:val="22"/>
      <w:szCs w:val="26"/>
      <w:lang w:eastAsia="en-US"/>
    </w:rPr>
  </w:style>
  <w:style w:type="character" w:styleId="FollowedHyperlink">
    <w:name w:val="FollowedHyperlink"/>
    <w:basedOn w:val="DefaultParagraphFont"/>
    <w:semiHidden/>
    <w:unhideWhenUsed/>
    <w:rsid w:val="006B3CF2"/>
    <w:rPr>
      <w:color w:val="800080"/>
      <w:u w:val="single"/>
    </w:rPr>
  </w:style>
  <w:style w:type="paragraph" w:styleId="Footer">
    <w:name w:val="footer"/>
    <w:basedOn w:val="Normal"/>
    <w:link w:val="FooterChar"/>
    <w:uiPriority w:val="99"/>
    <w:rsid w:val="00B138BE"/>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B138BE"/>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EB74A7"/>
    <w:pPr>
      <w:pBdr>
        <w:bottom w:val="none" w:sz="0" w:space="0" w:color="auto"/>
      </w:pBdr>
      <w:spacing w:before="240" w:after="120"/>
    </w:pPr>
  </w:style>
  <w:style w:type="character" w:customStyle="1" w:styleId="Heading5Char">
    <w:name w:val="Heading 5 Char"/>
    <w:basedOn w:val="DefaultParagraphFont"/>
    <w:link w:val="Heading5"/>
    <w:uiPriority w:val="9"/>
    <w:rsid w:val="006C57B7"/>
    <w:rPr>
      <w:rFonts w:eastAsia="Times New Roman"/>
      <w:b/>
      <w:bCs/>
      <w:i/>
      <w:color w:val="001523"/>
      <w:sz w:val="22"/>
      <w:szCs w:val="26"/>
      <w:lang w:eastAsia="en-US"/>
    </w:rPr>
  </w:style>
  <w:style w:type="character" w:customStyle="1" w:styleId="Heading6Char">
    <w:name w:val="Heading 6 Char"/>
    <w:basedOn w:val="DefaultParagraphFont"/>
    <w:link w:val="Heading6"/>
    <w:uiPriority w:val="9"/>
    <w:rsid w:val="00F3148D"/>
    <w:rPr>
      <w:rFonts w:eastAsia="Times New Roman"/>
      <w:b/>
      <w:bCs/>
      <w:i/>
      <w:sz w:val="22"/>
      <w:szCs w:val="21"/>
      <w:lang w:eastAsia="en-US"/>
    </w:rPr>
  </w:style>
  <w:style w:type="character" w:customStyle="1" w:styleId="Heading7Char">
    <w:name w:val="Heading 7 Char"/>
    <w:basedOn w:val="DefaultParagraphFont"/>
    <w:link w:val="Heading7"/>
    <w:uiPriority w:val="9"/>
    <w:rsid w:val="00F3148D"/>
    <w:rPr>
      <w:rFonts w:eastAsia="Times New Roman"/>
      <w:bCs/>
      <w:i/>
      <w:sz w:val="22"/>
      <w:szCs w:val="22"/>
      <w:lang w:eastAsia="en-US"/>
    </w:rPr>
  </w:style>
  <w:style w:type="character" w:styleId="Hyperlink">
    <w:name w:val="Hyperlink"/>
    <w:aliases w:val="OECD Hyperlink"/>
    <w:basedOn w:val="DefaultParagraphFont"/>
    <w:uiPriority w:val="99"/>
    <w:unhideWhenUsed/>
    <w:rsid w:val="00B138BE"/>
    <w:rPr>
      <w:color w:val="0000FF"/>
      <w:u w:val="single"/>
    </w:rPr>
  </w:style>
  <w:style w:type="paragraph" w:customStyle="1" w:styleId="LegalCopy">
    <w:name w:val="Legal Copy"/>
    <w:basedOn w:val="Footer"/>
    <w:unhideWhenUsed/>
    <w:rsid w:val="006B3CF2"/>
  </w:style>
  <w:style w:type="paragraph" w:customStyle="1" w:styleId="LegalSubheading">
    <w:name w:val="Legal Subheading"/>
    <w:basedOn w:val="Footer"/>
    <w:unhideWhenUsed/>
    <w:rsid w:val="006B3CF2"/>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534B2"/>
    <w:pPr>
      <w:numPr>
        <w:numId w:val="3"/>
      </w:numPr>
    </w:pPr>
  </w:style>
  <w:style w:type="paragraph" w:styleId="ListBullet2">
    <w:name w:val="List Bullet 2"/>
    <w:basedOn w:val="Normal"/>
    <w:uiPriority w:val="2"/>
    <w:qFormat/>
    <w:rsid w:val="00E313A8"/>
    <w:pPr>
      <w:numPr>
        <w:ilvl w:val="1"/>
        <w:numId w:val="3"/>
      </w:numPr>
    </w:pPr>
  </w:style>
  <w:style w:type="paragraph" w:styleId="ListBullet3">
    <w:name w:val="List Bullet 3"/>
    <w:basedOn w:val="Normal"/>
    <w:uiPriority w:val="2"/>
    <w:qFormat/>
    <w:rsid w:val="00574118"/>
    <w:pPr>
      <w:numPr>
        <w:ilvl w:val="2"/>
        <w:numId w:val="1"/>
      </w:numPr>
      <w:ind w:left="426" w:hanging="426"/>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313A8"/>
    <w:pPr>
      <w:numPr>
        <w:numId w:val="4"/>
      </w:numPr>
    </w:pPr>
  </w:style>
  <w:style w:type="paragraph" w:customStyle="1" w:styleId="Numberbullet2">
    <w:name w:val="Number bullet 2"/>
    <w:basedOn w:val="ListBullet2"/>
    <w:qFormat/>
    <w:rsid w:val="00E313A8"/>
    <w:pPr>
      <w:numPr>
        <w:numId w:val="4"/>
      </w:numPr>
    </w:pPr>
  </w:style>
  <w:style w:type="paragraph" w:customStyle="1" w:styleId="Numberbullet3">
    <w:name w:val="Number bullet 3"/>
    <w:basedOn w:val="ListBullet3"/>
    <w:uiPriority w:val="3"/>
    <w:qFormat/>
    <w:rsid w:val="00E313A8"/>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B138BE"/>
    <w:pPr>
      <w:spacing w:before="40" w:after="0"/>
      <w:ind w:left="170" w:hanging="170"/>
    </w:pPr>
    <w:rPr>
      <w:sz w:val="19"/>
    </w:rPr>
  </w:style>
  <w:style w:type="paragraph" w:styleId="Subtitle">
    <w:name w:val="Subtitle"/>
    <w:basedOn w:val="Normal"/>
    <w:next w:val="Normal"/>
    <w:link w:val="SubtitleChar"/>
    <w:uiPriority w:val="11"/>
    <w:unhideWhenUsed/>
    <w:rsid w:val="001F04D7"/>
    <w:pPr>
      <w:numPr>
        <w:ilvl w:val="1"/>
      </w:numPr>
      <w:spacing w:after="12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1F04D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E860E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E860E0"/>
    <w:pPr>
      <w:keepNext/>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styleId="Title">
    <w:name w:val="Title"/>
    <w:next w:val="Normal"/>
    <w:link w:val="TitleChar"/>
    <w:uiPriority w:val="10"/>
    <w:unhideWhenUsed/>
    <w:rsid w:val="009F20E4"/>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9F20E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D3724"/>
    <w:pPr>
      <w:keepNext/>
      <w:keepLines/>
      <w:tabs>
        <w:tab w:val="right" w:leader="underscore" w:pos="8505"/>
      </w:tabs>
      <w:spacing w:after="200"/>
    </w:pPr>
    <w:rPr>
      <w:rFonts w:ascii="Arial" w:hAnsi="Arial"/>
      <w:b/>
    </w:rPr>
  </w:style>
  <w:style w:type="paragraph" w:styleId="TOC2">
    <w:name w:val="toc 2"/>
    <w:basedOn w:val="Normal"/>
    <w:next w:val="Normal"/>
    <w:uiPriority w:val="39"/>
    <w:unhideWhenUsed/>
    <w:rsid w:val="008D3724"/>
    <w:pPr>
      <w:keepNext/>
      <w:keepLines/>
      <w:tabs>
        <w:tab w:val="right" w:leader="underscore" w:pos="8505"/>
      </w:tabs>
      <w:spacing w:after="100"/>
      <w:ind w:left="425"/>
    </w:pPr>
  </w:style>
  <w:style w:type="paragraph" w:styleId="TOC3">
    <w:name w:val="toc 3"/>
    <w:basedOn w:val="Normal"/>
    <w:next w:val="Normal"/>
    <w:uiPriority w:val="39"/>
    <w:unhideWhenUsed/>
    <w:rsid w:val="008D3724"/>
    <w:pPr>
      <w:keepNext/>
      <w:keepLines/>
      <w:tabs>
        <w:tab w:val="right" w:leader="hyphen" w:pos="8505"/>
      </w:tabs>
      <w:spacing w:after="100"/>
      <w:ind w:left="851"/>
    </w:pPr>
    <w:rPr>
      <w:sz w:val="20"/>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B138BE"/>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NonTOCheading2">
    <w:name w:val="Non TOC heading 2"/>
    <w:basedOn w:val="Normal"/>
    <w:next w:val="Normal"/>
    <w:rsid w:val="008D3724"/>
    <w:pPr>
      <w:keepNext/>
      <w:keepLines/>
      <w:spacing w:before="360"/>
    </w:pPr>
    <w:rPr>
      <w:rFonts w:ascii="Arial" w:hAnsi="Arial"/>
      <w:b/>
    </w:rPr>
  </w:style>
  <w:style w:type="paragraph" w:customStyle="1" w:styleId="Quotation">
    <w:name w:val="Quotation"/>
    <w:basedOn w:val="Normal"/>
    <w:next w:val="Normal"/>
    <w:uiPriority w:val="4"/>
    <w:qFormat/>
    <w:rsid w:val="00B138BE"/>
    <w:pPr>
      <w:ind w:left="425"/>
    </w:pPr>
    <w:rPr>
      <w:sz w:val="20"/>
    </w:rPr>
  </w:style>
  <w:style w:type="paragraph" w:customStyle="1" w:styleId="Tabledescription">
    <w:name w:val="Table description"/>
    <w:basedOn w:val="Figuredescription"/>
    <w:next w:val="Normal"/>
    <w:rsid w:val="00CA62E0"/>
  </w:style>
  <w:style w:type="paragraph" w:customStyle="1" w:styleId="Tabletitle">
    <w:name w:val="Table title"/>
    <w:basedOn w:val="Normal"/>
    <w:next w:val="Normal"/>
    <w:rsid w:val="00041297"/>
    <w:pPr>
      <w:keepNext/>
      <w:outlineLvl w:val="4"/>
    </w:pPr>
    <w:rPr>
      <w:b/>
    </w:rPr>
  </w:style>
  <w:style w:type="paragraph" w:styleId="TOC4">
    <w:name w:val="toc 4"/>
    <w:basedOn w:val="Normal"/>
    <w:next w:val="Normal"/>
    <w:autoRedefine/>
    <w:uiPriority w:val="39"/>
    <w:semiHidden/>
    <w:unhideWhenUsed/>
    <w:rsid w:val="00B138BE"/>
    <w:pPr>
      <w:tabs>
        <w:tab w:val="right" w:leader="hyphen" w:pos="8505"/>
      </w:tabs>
      <w:spacing w:after="100"/>
      <w:ind w:left="1276"/>
    </w:pPr>
  </w:style>
  <w:style w:type="paragraph" w:styleId="TOC5">
    <w:name w:val="toc 5"/>
    <w:basedOn w:val="Normal"/>
    <w:next w:val="Normal"/>
    <w:autoRedefine/>
    <w:uiPriority w:val="39"/>
    <w:semiHidden/>
    <w:unhideWhenUsed/>
    <w:rsid w:val="00B138BE"/>
    <w:pPr>
      <w:tabs>
        <w:tab w:val="right" w:leader="dot" w:pos="8505"/>
      </w:tabs>
      <w:spacing w:after="100"/>
      <w:ind w:left="1701"/>
    </w:pPr>
    <w:rPr>
      <w:noProof/>
    </w:rPr>
  </w:style>
  <w:style w:type="paragraph" w:styleId="TOC6">
    <w:name w:val="toc 6"/>
    <w:basedOn w:val="Normal"/>
    <w:next w:val="Normal"/>
    <w:autoRedefine/>
    <w:uiPriority w:val="39"/>
    <w:semiHidden/>
    <w:unhideWhenUsed/>
    <w:rsid w:val="00B138BE"/>
    <w:pPr>
      <w:tabs>
        <w:tab w:val="right" w:pos="8505"/>
      </w:tabs>
      <w:spacing w:after="100"/>
      <w:ind w:left="2126"/>
    </w:pPr>
  </w:style>
  <w:style w:type="paragraph" w:styleId="EndnoteText">
    <w:name w:val="endnote text"/>
    <w:basedOn w:val="FootnoteText"/>
    <w:link w:val="EndnoteTextChar"/>
    <w:semiHidden/>
    <w:unhideWhenUsed/>
    <w:rsid w:val="00732B06"/>
    <w:rPr>
      <w:rFonts w:asciiTheme="minorHAnsi" w:hAnsiTheme="minorHAnsi" w:cstheme="minorBidi"/>
      <w:szCs w:val="22"/>
    </w:rPr>
  </w:style>
  <w:style w:type="character" w:customStyle="1" w:styleId="EndnoteTextChar">
    <w:name w:val="Endnote Text Char"/>
    <w:basedOn w:val="DefaultParagraphFont"/>
    <w:link w:val="EndnoteText"/>
    <w:semiHidden/>
    <w:rsid w:val="00732B06"/>
    <w:rPr>
      <w:rFonts w:asciiTheme="minorHAnsi" w:hAnsiTheme="minorHAnsi" w:cstheme="minorBidi"/>
      <w:szCs w:val="22"/>
      <w:lang w:eastAsia="en-US"/>
    </w:rPr>
  </w:style>
  <w:style w:type="paragraph" w:styleId="ListParagraph">
    <w:name w:val="List Paragraph"/>
    <w:basedOn w:val="Normal"/>
    <w:uiPriority w:val="34"/>
    <w:qFormat/>
    <w:rsid w:val="008D3FCE"/>
    <w:pPr>
      <w:ind w:left="720"/>
      <w:contextualSpacing/>
    </w:pPr>
  </w:style>
  <w:style w:type="character" w:customStyle="1" w:styleId="Heading8Char">
    <w:name w:val="Heading 8 Char"/>
    <w:basedOn w:val="DefaultParagraphFont"/>
    <w:link w:val="Heading8"/>
    <w:uiPriority w:val="9"/>
    <w:semiHidden/>
    <w:rsid w:val="00430AAA"/>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430AAA"/>
    <w:rPr>
      <w:rFonts w:asciiTheme="majorHAnsi" w:eastAsiaTheme="majorEastAsia" w:hAnsiTheme="majorHAnsi" w:cstheme="majorBidi"/>
      <w:i/>
      <w:iCs/>
      <w:color w:val="0070B5" w:themeColor="text1" w:themeTint="BF"/>
      <w:lang w:eastAsia="en-US"/>
    </w:rPr>
  </w:style>
  <w:style w:type="character" w:styleId="CommentReference">
    <w:name w:val="annotation reference"/>
    <w:basedOn w:val="DefaultParagraphFont"/>
    <w:uiPriority w:val="99"/>
    <w:semiHidden/>
    <w:unhideWhenUsed/>
    <w:rsid w:val="00A342E4"/>
    <w:rPr>
      <w:sz w:val="16"/>
      <w:szCs w:val="16"/>
    </w:rPr>
  </w:style>
  <w:style w:type="paragraph" w:styleId="CommentText">
    <w:name w:val="annotation text"/>
    <w:basedOn w:val="Normal"/>
    <w:link w:val="CommentTextChar"/>
    <w:uiPriority w:val="99"/>
    <w:unhideWhenUsed/>
    <w:rsid w:val="00A342E4"/>
    <w:pPr>
      <w:spacing w:line="240" w:lineRule="auto"/>
    </w:pPr>
    <w:rPr>
      <w:sz w:val="20"/>
    </w:rPr>
  </w:style>
  <w:style w:type="character" w:customStyle="1" w:styleId="CommentTextChar">
    <w:name w:val="Comment Text Char"/>
    <w:basedOn w:val="DefaultParagraphFont"/>
    <w:link w:val="CommentText"/>
    <w:uiPriority w:val="99"/>
    <w:rsid w:val="00A342E4"/>
    <w:rPr>
      <w:lang w:eastAsia="en-US"/>
    </w:rPr>
  </w:style>
  <w:style w:type="paragraph" w:styleId="CommentSubject">
    <w:name w:val="annotation subject"/>
    <w:basedOn w:val="CommentText"/>
    <w:next w:val="CommentText"/>
    <w:link w:val="CommentSubjectChar"/>
    <w:uiPriority w:val="99"/>
    <w:semiHidden/>
    <w:unhideWhenUsed/>
    <w:rsid w:val="00A342E4"/>
    <w:rPr>
      <w:b/>
      <w:bCs/>
    </w:rPr>
  </w:style>
  <w:style w:type="character" w:customStyle="1" w:styleId="CommentSubjectChar">
    <w:name w:val="Comment Subject Char"/>
    <w:basedOn w:val="CommentTextChar"/>
    <w:link w:val="CommentSubject"/>
    <w:uiPriority w:val="99"/>
    <w:semiHidden/>
    <w:rsid w:val="00A342E4"/>
    <w:rPr>
      <w:b/>
      <w:bCs/>
      <w:lang w:eastAsia="en-US"/>
    </w:rPr>
  </w:style>
  <w:style w:type="table" w:styleId="LightList-Accent1">
    <w:name w:val="Light List Accent 1"/>
    <w:basedOn w:val="TableNormal"/>
    <w:uiPriority w:val="61"/>
    <w:rsid w:val="00D47415"/>
    <w:rPr>
      <w:rFonts w:asciiTheme="minorHAnsi" w:eastAsiaTheme="minorEastAsia" w:hAnsiTheme="minorHAnsi" w:cstheme="minorBidi"/>
      <w:sz w:val="22"/>
      <w:szCs w:val="22"/>
      <w:lang w:eastAsia="en-US"/>
    </w:rPr>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paragraph" w:styleId="TOC9">
    <w:name w:val="toc 9"/>
    <w:basedOn w:val="Normal"/>
    <w:next w:val="Normal"/>
    <w:autoRedefine/>
    <w:uiPriority w:val="39"/>
    <w:semiHidden/>
    <w:unhideWhenUsed/>
    <w:rsid w:val="008D3724"/>
    <w:pPr>
      <w:spacing w:after="100"/>
      <w:ind w:left="1760"/>
    </w:pPr>
  </w:style>
  <w:style w:type="paragraph" w:customStyle="1" w:styleId="TableTitle0">
    <w:name w:val="Table Title"/>
    <w:basedOn w:val="Normal"/>
    <w:next w:val="Normal"/>
    <w:qFormat/>
    <w:rsid w:val="00FA7DF1"/>
    <w:pPr>
      <w:spacing w:before="180"/>
    </w:pPr>
    <w:rPr>
      <w:b/>
    </w:rPr>
  </w:style>
  <w:style w:type="character" w:styleId="Strong">
    <w:name w:val="Strong"/>
    <w:basedOn w:val="DefaultParagraphFont"/>
    <w:uiPriority w:val="22"/>
    <w:qFormat/>
    <w:rsid w:val="00FA7DF1"/>
    <w:rPr>
      <w:b/>
      <w:bCs/>
    </w:rPr>
  </w:style>
  <w:style w:type="paragraph" w:customStyle="1" w:styleId="Default">
    <w:name w:val="Default"/>
    <w:rsid w:val="00AE6155"/>
    <w:pPr>
      <w:autoSpaceDE w:val="0"/>
      <w:autoSpaceDN w:val="0"/>
      <w:adjustRightInd w:val="0"/>
    </w:pPr>
    <w:rPr>
      <w:rFonts w:ascii="Times New Roman" w:hAnsi="Times New Roman"/>
      <w:color w:val="000000"/>
      <w:sz w:val="24"/>
      <w:szCs w:val="24"/>
    </w:rPr>
  </w:style>
  <w:style w:type="character" w:styleId="EndnoteReference">
    <w:name w:val="endnote reference"/>
    <w:basedOn w:val="DefaultParagraphFont"/>
    <w:uiPriority w:val="99"/>
    <w:semiHidden/>
    <w:unhideWhenUsed/>
    <w:rsid w:val="00871E49"/>
    <w:rPr>
      <w:vertAlign w:val="superscript"/>
    </w:rPr>
  </w:style>
  <w:style w:type="character" w:customStyle="1" w:styleId="fontstyle01">
    <w:name w:val="fontstyle01"/>
    <w:basedOn w:val="DefaultParagraphFont"/>
    <w:rsid w:val="002B3304"/>
    <w:rPr>
      <w:rFonts w:ascii="Cambria" w:hAnsi="Cambria" w:hint="default"/>
      <w:b w:val="0"/>
      <w:bCs w:val="0"/>
      <w:i w:val="0"/>
      <w:iCs w:val="0"/>
      <w:color w:val="000000"/>
      <w:sz w:val="22"/>
      <w:szCs w:val="22"/>
    </w:rPr>
  </w:style>
  <w:style w:type="character" w:customStyle="1" w:styleId="fontstyle21">
    <w:name w:val="fontstyle21"/>
    <w:basedOn w:val="DefaultParagraphFont"/>
    <w:rsid w:val="002B3304"/>
    <w:rPr>
      <w:rFonts w:ascii="Cambria-Bold" w:hAnsi="Cambria-Bold" w:hint="default"/>
      <w:b/>
      <w:bCs/>
      <w:i w:val="0"/>
      <w:iCs w:val="0"/>
      <w:color w:val="000000"/>
      <w:sz w:val="22"/>
      <w:szCs w:val="22"/>
    </w:rPr>
  </w:style>
  <w:style w:type="paragraph" w:styleId="Revision">
    <w:name w:val="Revision"/>
    <w:hidden/>
    <w:uiPriority w:val="99"/>
    <w:semiHidden/>
    <w:rsid w:val="002C48BF"/>
    <w:rPr>
      <w:sz w:val="22"/>
      <w:lang w:eastAsia="en-US"/>
    </w:rPr>
  </w:style>
  <w:style w:type="paragraph" w:customStyle="1" w:styleId="ListBulleta">
    <w:name w:val="List Bullet a)"/>
    <w:basedOn w:val="ListBullet"/>
    <w:uiPriority w:val="1"/>
    <w:qFormat/>
    <w:rsid w:val="005302F5"/>
    <w:pPr>
      <w:numPr>
        <w:numId w:val="6"/>
      </w:numPr>
    </w:pPr>
  </w:style>
  <w:style w:type="paragraph" w:customStyle="1" w:styleId="ListBulleti">
    <w:name w:val="List Bullet i)"/>
    <w:basedOn w:val="ListBullet"/>
    <w:uiPriority w:val="1"/>
    <w:qFormat/>
    <w:rsid w:val="005302F5"/>
    <w:pPr>
      <w:numPr>
        <w:numId w:val="7"/>
      </w:numPr>
    </w:pPr>
  </w:style>
  <w:style w:type="character" w:customStyle="1" w:styleId="Style1">
    <w:name w:val="Style1"/>
    <w:basedOn w:val="DefaultParagraphFont"/>
    <w:uiPriority w:val="1"/>
    <w:rsid w:val="005A5916"/>
    <w:rPr>
      <w:rFonts w:ascii="Cambria" w:hAnsi="Cambria"/>
      <w:sz w:val="22"/>
    </w:rPr>
  </w:style>
  <w:style w:type="paragraph" w:styleId="NormalWeb">
    <w:name w:val="Normal (Web)"/>
    <w:basedOn w:val="Normal"/>
    <w:uiPriority w:val="99"/>
    <w:unhideWhenUsed/>
    <w:rsid w:val="004B545E"/>
    <w:pPr>
      <w:spacing w:before="100" w:beforeAutospacing="1" w:after="100" w:afterAutospacing="1" w:line="240" w:lineRule="auto"/>
    </w:pPr>
    <w:rPr>
      <w:rFonts w:ascii="Times New Roman" w:eastAsia="Times New Roman" w:hAnsi="Times New Roman"/>
      <w:sz w:val="24"/>
      <w:szCs w:val="24"/>
      <w:lang w:eastAsia="en-AU"/>
    </w:rPr>
  </w:style>
  <w:style w:type="character" w:styleId="HTMLCite">
    <w:name w:val="HTML Cite"/>
    <w:basedOn w:val="DefaultParagraphFont"/>
    <w:uiPriority w:val="99"/>
    <w:semiHidden/>
    <w:unhideWhenUsed/>
    <w:rsid w:val="00E604FC"/>
    <w:rPr>
      <w:i/>
      <w:iCs/>
    </w:rPr>
  </w:style>
  <w:style w:type="paragraph" w:customStyle="1" w:styleId="Numberbullet2ared">
    <w:name w:val="Number bullet 2 a) red"/>
    <w:basedOn w:val="Normal"/>
    <w:uiPriority w:val="1"/>
    <w:qFormat/>
    <w:rsid w:val="007C7456"/>
    <w:pPr>
      <w:numPr>
        <w:numId w:val="9"/>
      </w:numPr>
    </w:pPr>
    <w:rPr>
      <w:color w:val="FF0000"/>
      <w:lang w:eastAsia="en-AU"/>
    </w:rPr>
  </w:style>
  <w:style w:type="paragraph" w:customStyle="1" w:styleId="Normal-hanging">
    <w:name w:val="Normal - hanging"/>
    <w:basedOn w:val="Normal"/>
    <w:next w:val="Normal"/>
    <w:qFormat/>
    <w:rsid w:val="007C7456"/>
    <w:pPr>
      <w:spacing w:before="0" w:after="0"/>
      <w:ind w:left="397" w:hanging="397"/>
    </w:pPr>
    <w:rPr>
      <w:rFonts w:ascii="Times New Roman" w:hAnsi="Times New Roman"/>
    </w:rPr>
  </w:style>
  <w:style w:type="paragraph" w:customStyle="1" w:styleId="Numberbullet2aitalicised">
    <w:name w:val="Number bullet 2 a) italicised"/>
    <w:basedOn w:val="Numberbullet2"/>
    <w:uiPriority w:val="1"/>
    <w:qFormat/>
    <w:rsid w:val="00574118"/>
    <w:pPr>
      <w:numPr>
        <w:ilvl w:val="0"/>
        <w:numId w:val="8"/>
      </w:numPr>
      <w:spacing w:after="120"/>
      <w:ind w:left="426" w:hanging="426"/>
    </w:pPr>
    <w:rPr>
      <w:i/>
    </w:rPr>
  </w:style>
  <w:style w:type="character" w:customStyle="1" w:styleId="UnresolvedMention1">
    <w:name w:val="Unresolved Mention1"/>
    <w:basedOn w:val="DefaultParagraphFont"/>
    <w:uiPriority w:val="99"/>
    <w:semiHidden/>
    <w:unhideWhenUsed/>
    <w:rsid w:val="00CC1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786088">
      <w:bodyDiv w:val="1"/>
      <w:marLeft w:val="0"/>
      <w:marRight w:val="0"/>
      <w:marTop w:val="0"/>
      <w:marBottom w:val="0"/>
      <w:divBdr>
        <w:top w:val="none" w:sz="0" w:space="0" w:color="auto"/>
        <w:left w:val="none" w:sz="0" w:space="0" w:color="auto"/>
        <w:bottom w:val="none" w:sz="0" w:space="0" w:color="auto"/>
        <w:right w:val="none" w:sz="0" w:space="0" w:color="auto"/>
      </w:divBdr>
    </w:div>
    <w:div w:id="255601268">
      <w:bodyDiv w:val="1"/>
      <w:marLeft w:val="0"/>
      <w:marRight w:val="0"/>
      <w:marTop w:val="0"/>
      <w:marBottom w:val="0"/>
      <w:divBdr>
        <w:top w:val="none" w:sz="0" w:space="0" w:color="auto"/>
        <w:left w:val="none" w:sz="0" w:space="0" w:color="auto"/>
        <w:bottom w:val="none" w:sz="0" w:space="0" w:color="auto"/>
        <w:right w:val="none" w:sz="0" w:space="0" w:color="auto"/>
      </w:divBdr>
    </w:div>
    <w:div w:id="328411861">
      <w:bodyDiv w:val="1"/>
      <w:marLeft w:val="0"/>
      <w:marRight w:val="0"/>
      <w:marTop w:val="0"/>
      <w:marBottom w:val="0"/>
      <w:divBdr>
        <w:top w:val="none" w:sz="0" w:space="0" w:color="auto"/>
        <w:left w:val="none" w:sz="0" w:space="0" w:color="auto"/>
        <w:bottom w:val="none" w:sz="0" w:space="0" w:color="auto"/>
        <w:right w:val="none" w:sz="0" w:space="0" w:color="auto"/>
      </w:divBdr>
    </w:div>
    <w:div w:id="331683981">
      <w:bodyDiv w:val="1"/>
      <w:marLeft w:val="0"/>
      <w:marRight w:val="0"/>
      <w:marTop w:val="0"/>
      <w:marBottom w:val="0"/>
      <w:divBdr>
        <w:top w:val="none" w:sz="0" w:space="0" w:color="auto"/>
        <w:left w:val="none" w:sz="0" w:space="0" w:color="auto"/>
        <w:bottom w:val="none" w:sz="0" w:space="0" w:color="auto"/>
        <w:right w:val="none" w:sz="0" w:space="0" w:color="auto"/>
      </w:divBdr>
    </w:div>
    <w:div w:id="792988824">
      <w:bodyDiv w:val="1"/>
      <w:marLeft w:val="0"/>
      <w:marRight w:val="0"/>
      <w:marTop w:val="0"/>
      <w:marBottom w:val="0"/>
      <w:divBdr>
        <w:top w:val="none" w:sz="0" w:space="0" w:color="auto"/>
        <w:left w:val="none" w:sz="0" w:space="0" w:color="auto"/>
        <w:bottom w:val="none" w:sz="0" w:space="0" w:color="auto"/>
        <w:right w:val="none" w:sz="0" w:space="0" w:color="auto"/>
      </w:divBdr>
    </w:div>
    <w:div w:id="1068499367">
      <w:bodyDiv w:val="1"/>
      <w:marLeft w:val="0"/>
      <w:marRight w:val="0"/>
      <w:marTop w:val="0"/>
      <w:marBottom w:val="0"/>
      <w:divBdr>
        <w:top w:val="none" w:sz="0" w:space="0" w:color="auto"/>
        <w:left w:val="none" w:sz="0" w:space="0" w:color="auto"/>
        <w:bottom w:val="none" w:sz="0" w:space="0" w:color="auto"/>
        <w:right w:val="none" w:sz="0" w:space="0" w:color="auto"/>
      </w:divBdr>
    </w:div>
    <w:div w:id="1574504825">
      <w:bodyDiv w:val="1"/>
      <w:marLeft w:val="0"/>
      <w:marRight w:val="0"/>
      <w:marTop w:val="0"/>
      <w:marBottom w:val="0"/>
      <w:divBdr>
        <w:top w:val="none" w:sz="0" w:space="0" w:color="auto"/>
        <w:left w:val="none" w:sz="0" w:space="0" w:color="auto"/>
        <w:bottom w:val="none" w:sz="0" w:space="0" w:color="auto"/>
        <w:right w:val="none" w:sz="0" w:space="0" w:color="auto"/>
      </w:divBdr>
      <w:divsChild>
        <w:div w:id="599458895">
          <w:marLeft w:val="0"/>
          <w:marRight w:val="0"/>
          <w:marTop w:val="0"/>
          <w:marBottom w:val="0"/>
          <w:divBdr>
            <w:top w:val="single" w:sz="6" w:space="15" w:color="ADADAD"/>
            <w:left w:val="single" w:sz="6" w:space="15" w:color="ADADAD"/>
            <w:bottom w:val="single" w:sz="6" w:space="15" w:color="ADADAD"/>
            <w:right w:val="single" w:sz="6" w:space="15" w:color="ADADAD"/>
          </w:divBdr>
        </w:div>
      </w:divsChild>
    </w:div>
    <w:div w:id="1668363772">
      <w:bodyDiv w:val="1"/>
      <w:marLeft w:val="0"/>
      <w:marRight w:val="0"/>
      <w:marTop w:val="0"/>
      <w:marBottom w:val="0"/>
      <w:divBdr>
        <w:top w:val="none" w:sz="0" w:space="0" w:color="auto"/>
        <w:left w:val="none" w:sz="0" w:space="0" w:color="auto"/>
        <w:bottom w:val="none" w:sz="0" w:space="0" w:color="auto"/>
        <w:right w:val="none" w:sz="0" w:space="0" w:color="auto"/>
      </w:divBdr>
    </w:div>
    <w:div w:id="201811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consultation-invitation/consultation-proposed-amendments-poisons-standard-acms-accs-and-joint-acmsaccs-meetings-march-2021" TargetMode="External"/><Relationship Id="rId18" Type="http://schemas.openxmlformats.org/officeDocument/2006/relationships/hyperlink" Target="https://doi.org/10.1111/ajad.12372"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ons.gov.uk/peoplepopulationandcommunity/birthsdeathsandmarriages/deaths/datasets/deathsrelatedtovolatilesubstanceabuseandheliumgreatbritain" TargetMode="External"/><Relationship Id="rId7" Type="http://schemas.openxmlformats.org/officeDocument/2006/relationships/endnotes" Target="endnotes.xml"/><Relationship Id="rId12" Type="http://schemas.openxmlformats.org/officeDocument/2006/relationships/hyperlink" Target="https://consultations.health.gov.au/tga/march_2021_interim_nitrous_oxide" TargetMode="External"/><Relationship Id="rId17" Type="http://schemas.openxmlformats.org/officeDocument/2006/relationships/hyperlink" Target="https://www.tga.gov.au/publication/scheduling-handbook-guidance-amending-poisons-standard"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tga.gov.au/publication/ahmac-scheduling-policy-framework-medicines-and-chemicals" TargetMode="External"/><Relationship Id="rId20" Type="http://schemas.openxmlformats.org/officeDocument/2006/relationships/hyperlink" Target="https://doi.org/10.5694/mja2.503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a.copyright@tga.gov.a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tga.gov.au/consultation-invitation/consultation-proposed-amendments-poisons-standard-acms-accs-and-joint-acmsaccs-meetings-march-2021"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doi.org/10.1016/j.jns.2010.10.03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onsultations.health.gov.au/tga/march_2021/" TargetMode="External"/><Relationship Id="rId22" Type="http://schemas.openxmlformats.org/officeDocument/2006/relationships/hyperlink" Target="https://www.boc-gas.com.au/en/images/Nitrous%20Oxide%20SDS_tcm351-496573.pdf"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mic\AppData\Local\Hewlett-Packard\HP%20TRIM\TEMP\HPTRIM.7372\R14%201178772%20%20Template%20%23011%20-%20Minutes%20-%20ACMS.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889F3-FB85-4382-B552-503F6B9EF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R14 1178772  Template #011 - Minutes - ACMS.DOTX</Template>
  <TotalTime>372</TotalTime>
  <Pages>11</Pages>
  <Words>3651</Words>
  <Characters>20157</Characters>
  <Application>Microsoft Office Word</Application>
  <DocSecurity>0</DocSecurity>
  <Lines>341</Lines>
  <Paragraphs>149</Paragraphs>
  <ScaleCrop>false</ScaleCrop>
  <HeadingPairs>
    <vt:vector size="2" baseType="variant">
      <vt:variant>
        <vt:lpstr>Title</vt:lpstr>
      </vt:variant>
      <vt:variant>
        <vt:i4>1</vt:i4>
      </vt:variant>
    </vt:vector>
  </HeadingPairs>
  <TitlesOfParts>
    <vt:vector size="1" baseType="lpstr">
      <vt:lpstr>Notice of interim decisions to amend (or not amend) the current Poisons Standard</vt:lpstr>
    </vt:vector>
  </TitlesOfParts>
  <Company>TGA</Company>
  <LinksUpToDate>false</LinksUpToDate>
  <CharactersWithSpaces>23659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interim decisions to amend (or not amend) the current Poisons Standard</dc:title>
  <dc:subject>scheduling</dc:subject>
  <dc:creator>Therapeutic Goods Administration</dc:creator>
  <dc:description/>
  <cp:lastPrinted>2020-05-01T05:17:00Z</cp:lastPrinted>
  <dcterms:created xsi:type="dcterms:W3CDTF">2021-07-26T05:00:00Z</dcterms:created>
  <dcterms:modified xsi:type="dcterms:W3CDTF">2021-07-30T07:55:00Z</dcterms:modified>
</cp:coreProperties>
</file>