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7504D647" w14:textId="77777777" w:rsidTr="00ED0C8B">
        <w:tc>
          <w:tcPr>
            <w:tcW w:w="8720" w:type="dxa"/>
          </w:tcPr>
          <w:p w14:paraId="553FFB28" w14:textId="77777777" w:rsidR="001D480A" w:rsidRDefault="001E0113" w:rsidP="00ED0C8B">
            <w:pPr>
              <w:pStyle w:val="Title"/>
            </w:pPr>
            <w:r>
              <w:t>Notice of interim decisions to amend (or not amend) the current Poisons Standard</w:t>
            </w:r>
          </w:p>
          <w:p w14:paraId="24EB616A" w14:textId="4AAED3F8" w:rsidR="006367DA" w:rsidRPr="009401F6" w:rsidRDefault="006367DA" w:rsidP="00ED0C8B">
            <w:pPr>
              <w:pStyle w:val="Title"/>
            </w:pPr>
            <w:r>
              <w:t>Joint ACMS-ACCS #28</w:t>
            </w:r>
          </w:p>
        </w:tc>
      </w:tr>
      <w:tr w:rsidR="00ED0C8B" w:rsidRPr="009401F6" w14:paraId="10807413" w14:textId="77777777" w:rsidTr="00ED0C8B">
        <w:trPr>
          <w:trHeight w:val="1387"/>
        </w:trPr>
        <w:tc>
          <w:tcPr>
            <w:tcW w:w="8720" w:type="dxa"/>
          </w:tcPr>
          <w:p w14:paraId="559D5987" w14:textId="65DDD91A" w:rsidR="001D480A" w:rsidRPr="009401F6" w:rsidRDefault="00805E0F" w:rsidP="00ED0C8B">
            <w:pPr>
              <w:pStyle w:val="Subtitle"/>
              <w:ind w:left="0"/>
              <w:rPr>
                <w:lang w:eastAsia="en-AU"/>
              </w:rPr>
            </w:pPr>
            <w:r>
              <w:rPr>
                <w:lang w:eastAsia="en-AU"/>
              </w:rPr>
              <w:t xml:space="preserve">12 </w:t>
            </w:r>
            <w:r w:rsidR="00B95FAC">
              <w:rPr>
                <w:lang w:eastAsia="en-AU"/>
              </w:rPr>
              <w:t>October 2021</w:t>
            </w:r>
          </w:p>
        </w:tc>
      </w:tr>
      <w:tr w:rsidR="00ED0C8B" w:rsidRPr="009401F6" w14:paraId="17D9CA74" w14:textId="77777777" w:rsidTr="00ED0C8B">
        <w:tc>
          <w:tcPr>
            <w:tcW w:w="8720" w:type="dxa"/>
          </w:tcPr>
          <w:p w14:paraId="2AF1C330" w14:textId="65A0FBF5" w:rsidR="00ED0C8B" w:rsidRPr="009401F6" w:rsidRDefault="00ED0C8B" w:rsidP="00EB182C">
            <w:pPr>
              <w:pStyle w:val="Date"/>
              <w:rPr>
                <w:lang w:eastAsia="en-AU"/>
              </w:rPr>
            </w:pPr>
          </w:p>
        </w:tc>
      </w:tr>
    </w:tbl>
    <w:p w14:paraId="19387898" w14:textId="77777777" w:rsidR="00BA6FF1" w:rsidRPr="009401F6" w:rsidRDefault="00BA6FF1" w:rsidP="007C7B5B">
      <w:pPr>
        <w:rPr>
          <w:lang w:eastAsia="en-AU"/>
        </w:rPr>
      </w:pPr>
    </w:p>
    <w:p w14:paraId="26771864"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41EF7E82" w14:textId="77777777" w:rsidR="00BA6FF1" w:rsidRPr="00C721A5" w:rsidRDefault="00BA6FF1" w:rsidP="00FE1941">
      <w:pPr>
        <w:pStyle w:val="LegalSubheading"/>
        <w:pageBreakBefore/>
      </w:pPr>
      <w:r w:rsidRPr="00C721A5">
        <w:lastRenderedPageBreak/>
        <w:t>Copyright</w:t>
      </w:r>
    </w:p>
    <w:p w14:paraId="1BD51453" w14:textId="77777777" w:rsidR="00611B57" w:rsidRDefault="00EA453A" w:rsidP="00FE1941">
      <w:pPr>
        <w:pStyle w:val="LegalCopy"/>
        <w:spacing w:after="0"/>
      </w:pPr>
      <w:r w:rsidRPr="009401F6">
        <w:t>© Commonwealth of Australia 20</w:t>
      </w:r>
      <w:r w:rsidR="00D433BD">
        <w:t>21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14:paraId="5879787C" w14:textId="77777777" w:rsidR="008D2B09" w:rsidRPr="00C721A5" w:rsidRDefault="008D2B09" w:rsidP="00611B57">
      <w:pPr>
        <w:pStyle w:val="LegalSubheading"/>
        <w:rPr>
          <w:lang w:eastAsia="en-AU"/>
        </w:rPr>
      </w:pPr>
      <w:r w:rsidRPr="00C721A5">
        <w:rPr>
          <w:lang w:eastAsia="en-AU"/>
        </w:rPr>
        <w:t>Confidentiality</w:t>
      </w:r>
    </w:p>
    <w:p w14:paraId="47102010"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14:paraId="50AAD8AF" w14:textId="77777777" w:rsidR="00B92C72" w:rsidRPr="009401F6" w:rsidRDefault="00B92C72" w:rsidP="00B92C72">
          <w:pPr>
            <w:pStyle w:val="NonTOCheading2"/>
          </w:pPr>
          <w:r w:rsidRPr="009401F6">
            <w:t>Contents</w:t>
          </w:r>
        </w:p>
        <w:p w14:paraId="4E54B4A5" w14:textId="2E6E3E2F" w:rsidR="009A1704" w:rsidRDefault="006C626D">
          <w:pPr>
            <w:pStyle w:val="TOC1"/>
            <w:tabs>
              <w:tab w:val="left" w:pos="851"/>
            </w:tabs>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80898721" w:history="1">
            <w:r w:rsidR="009A1704" w:rsidRPr="009E5753">
              <w:rPr>
                <w:rStyle w:val="Hyperlink"/>
                <w:noProof/>
              </w:rPr>
              <w:t>1.</w:t>
            </w:r>
            <w:r w:rsidR="009A1704">
              <w:rPr>
                <w:rFonts w:asciiTheme="minorHAnsi" w:eastAsiaTheme="minorEastAsia" w:hAnsiTheme="minorHAnsi" w:cstheme="minorBidi"/>
                <w:b w:val="0"/>
                <w:noProof/>
                <w:sz w:val="22"/>
                <w:szCs w:val="22"/>
                <w:lang w:eastAsia="en-AU"/>
              </w:rPr>
              <w:tab/>
            </w:r>
            <w:r w:rsidR="009A1704" w:rsidRPr="009E5753">
              <w:rPr>
                <w:rStyle w:val="Hyperlink"/>
                <w:noProof/>
              </w:rPr>
              <w:t xml:space="preserve">Notice of interim decisions made under Regulation 42ZCZN of the </w:t>
            </w:r>
            <w:r w:rsidR="009A1704" w:rsidRPr="009E5753">
              <w:rPr>
                <w:rStyle w:val="Hyperlink"/>
                <w:i/>
                <w:noProof/>
              </w:rPr>
              <w:t>Therapeutic Goods Regulations 1990</w:t>
            </w:r>
            <w:r w:rsidR="009A1704">
              <w:rPr>
                <w:noProof/>
                <w:webHidden/>
              </w:rPr>
              <w:tab/>
            </w:r>
            <w:r w:rsidR="009A1704">
              <w:rPr>
                <w:noProof/>
                <w:webHidden/>
              </w:rPr>
              <w:fldChar w:fldCharType="begin"/>
            </w:r>
            <w:r w:rsidR="009A1704">
              <w:rPr>
                <w:noProof/>
                <w:webHidden/>
              </w:rPr>
              <w:instrText xml:space="preserve"> PAGEREF _Toc80898721 \h </w:instrText>
            </w:r>
            <w:r w:rsidR="009A1704">
              <w:rPr>
                <w:noProof/>
                <w:webHidden/>
              </w:rPr>
            </w:r>
            <w:r w:rsidR="009A1704">
              <w:rPr>
                <w:noProof/>
                <w:webHidden/>
              </w:rPr>
              <w:fldChar w:fldCharType="separate"/>
            </w:r>
            <w:r w:rsidR="009A1704">
              <w:rPr>
                <w:noProof/>
                <w:webHidden/>
              </w:rPr>
              <w:t>4</w:t>
            </w:r>
            <w:r w:rsidR="009A1704">
              <w:rPr>
                <w:noProof/>
                <w:webHidden/>
              </w:rPr>
              <w:fldChar w:fldCharType="end"/>
            </w:r>
          </w:hyperlink>
        </w:p>
        <w:p w14:paraId="22A2EF51" w14:textId="5D1663E4" w:rsidR="009A1704" w:rsidRDefault="00B12DEA">
          <w:pPr>
            <w:pStyle w:val="TOC1"/>
            <w:tabs>
              <w:tab w:val="left" w:pos="851"/>
            </w:tabs>
            <w:rPr>
              <w:rFonts w:asciiTheme="minorHAnsi" w:eastAsiaTheme="minorEastAsia" w:hAnsiTheme="minorHAnsi" w:cstheme="minorBidi"/>
              <w:b w:val="0"/>
              <w:noProof/>
              <w:sz w:val="22"/>
              <w:szCs w:val="22"/>
              <w:lang w:eastAsia="en-AU"/>
            </w:rPr>
          </w:pPr>
          <w:hyperlink w:anchor="_Toc80898722" w:history="1">
            <w:r w:rsidR="009A1704" w:rsidRPr="009E5753">
              <w:rPr>
                <w:rStyle w:val="Hyperlink"/>
                <w:noProof/>
              </w:rPr>
              <w:t>2.</w:t>
            </w:r>
            <w:r w:rsidR="009A1704">
              <w:rPr>
                <w:rFonts w:asciiTheme="minorHAnsi" w:eastAsiaTheme="minorEastAsia" w:hAnsiTheme="minorHAnsi" w:cstheme="minorBidi"/>
                <w:b w:val="0"/>
                <w:noProof/>
                <w:sz w:val="22"/>
                <w:szCs w:val="22"/>
                <w:lang w:eastAsia="en-AU"/>
              </w:rPr>
              <w:tab/>
            </w:r>
            <w:r w:rsidR="009A1704" w:rsidRPr="009E5753">
              <w:rPr>
                <w:rStyle w:val="Hyperlink"/>
                <w:noProof/>
              </w:rPr>
              <w:t>Interim decisions on proposed amendments referred to the Advisory Committee on Medicines and Chemicals Scheduling in joint session (Joint ACMS-ACCS #28, June 2021)</w:t>
            </w:r>
            <w:r w:rsidR="009A1704">
              <w:rPr>
                <w:noProof/>
                <w:webHidden/>
              </w:rPr>
              <w:tab/>
            </w:r>
            <w:r w:rsidR="009A1704">
              <w:rPr>
                <w:noProof/>
                <w:webHidden/>
              </w:rPr>
              <w:fldChar w:fldCharType="begin"/>
            </w:r>
            <w:r w:rsidR="009A1704">
              <w:rPr>
                <w:noProof/>
                <w:webHidden/>
              </w:rPr>
              <w:instrText xml:space="preserve"> PAGEREF _Toc80898722 \h </w:instrText>
            </w:r>
            <w:r w:rsidR="009A1704">
              <w:rPr>
                <w:noProof/>
                <w:webHidden/>
              </w:rPr>
            </w:r>
            <w:r w:rsidR="009A1704">
              <w:rPr>
                <w:noProof/>
                <w:webHidden/>
              </w:rPr>
              <w:fldChar w:fldCharType="separate"/>
            </w:r>
            <w:r w:rsidR="009A1704">
              <w:rPr>
                <w:noProof/>
                <w:webHidden/>
              </w:rPr>
              <w:t>5</w:t>
            </w:r>
            <w:r w:rsidR="009A1704">
              <w:rPr>
                <w:noProof/>
                <w:webHidden/>
              </w:rPr>
              <w:fldChar w:fldCharType="end"/>
            </w:r>
          </w:hyperlink>
        </w:p>
        <w:p w14:paraId="5FC3B3F1" w14:textId="472D0CB1" w:rsidR="009A1704" w:rsidRDefault="00B12DEA">
          <w:pPr>
            <w:pStyle w:val="TOC2"/>
            <w:tabs>
              <w:tab w:val="left" w:pos="1276"/>
            </w:tabs>
            <w:rPr>
              <w:rFonts w:asciiTheme="minorHAnsi" w:eastAsiaTheme="minorEastAsia" w:hAnsiTheme="minorHAnsi" w:cstheme="minorBidi"/>
              <w:b w:val="0"/>
              <w:noProof/>
              <w:sz w:val="22"/>
              <w:szCs w:val="22"/>
              <w:lang w:eastAsia="en-AU"/>
            </w:rPr>
          </w:pPr>
          <w:hyperlink w:anchor="_Toc80898723" w:history="1">
            <w:r w:rsidR="009A1704" w:rsidRPr="009E5753">
              <w:rPr>
                <w:rStyle w:val="Hyperlink"/>
                <w:noProof/>
              </w:rPr>
              <w:t>2.1</w:t>
            </w:r>
            <w:r w:rsidR="009A1704">
              <w:rPr>
                <w:rFonts w:asciiTheme="minorHAnsi" w:eastAsiaTheme="minorEastAsia" w:hAnsiTheme="minorHAnsi" w:cstheme="minorBidi"/>
                <w:b w:val="0"/>
                <w:noProof/>
                <w:sz w:val="22"/>
                <w:szCs w:val="22"/>
                <w:lang w:eastAsia="en-AU"/>
              </w:rPr>
              <w:tab/>
            </w:r>
            <w:r w:rsidR="009A1704" w:rsidRPr="009E5753">
              <w:rPr>
                <w:rStyle w:val="Hyperlink"/>
                <w:noProof/>
              </w:rPr>
              <w:t>Interim decision in relation to ethanol and isopropanol in hand sanitisers</w:t>
            </w:r>
            <w:r w:rsidR="009A1704">
              <w:rPr>
                <w:noProof/>
                <w:webHidden/>
              </w:rPr>
              <w:tab/>
            </w:r>
            <w:r w:rsidR="009A1704">
              <w:rPr>
                <w:noProof/>
                <w:webHidden/>
              </w:rPr>
              <w:fldChar w:fldCharType="begin"/>
            </w:r>
            <w:r w:rsidR="009A1704">
              <w:rPr>
                <w:noProof/>
                <w:webHidden/>
              </w:rPr>
              <w:instrText xml:space="preserve"> PAGEREF _Toc80898723 \h </w:instrText>
            </w:r>
            <w:r w:rsidR="009A1704">
              <w:rPr>
                <w:noProof/>
                <w:webHidden/>
              </w:rPr>
            </w:r>
            <w:r w:rsidR="009A1704">
              <w:rPr>
                <w:noProof/>
                <w:webHidden/>
              </w:rPr>
              <w:fldChar w:fldCharType="separate"/>
            </w:r>
            <w:r w:rsidR="009A1704">
              <w:rPr>
                <w:noProof/>
                <w:webHidden/>
              </w:rPr>
              <w:t>5</w:t>
            </w:r>
            <w:r w:rsidR="009A1704">
              <w:rPr>
                <w:noProof/>
                <w:webHidden/>
              </w:rPr>
              <w:fldChar w:fldCharType="end"/>
            </w:r>
          </w:hyperlink>
        </w:p>
        <w:p w14:paraId="71DB0342" w14:textId="2376AC63" w:rsidR="009A1704" w:rsidRDefault="00B12DEA">
          <w:pPr>
            <w:pStyle w:val="TOC3"/>
            <w:rPr>
              <w:rFonts w:asciiTheme="minorHAnsi" w:eastAsiaTheme="minorEastAsia" w:hAnsiTheme="minorHAnsi" w:cstheme="minorBidi"/>
              <w:b w:val="0"/>
              <w:noProof/>
              <w:szCs w:val="22"/>
              <w:lang w:eastAsia="en-AU"/>
            </w:rPr>
          </w:pPr>
          <w:hyperlink w:anchor="_Toc80898724" w:history="1">
            <w:r w:rsidR="009A1704" w:rsidRPr="009E5753">
              <w:rPr>
                <w:rStyle w:val="Hyperlink"/>
                <w:rFonts w:eastAsia="Times New Roman"/>
                <w:i/>
                <w:noProof/>
              </w:rPr>
              <w:t>Proposal</w:t>
            </w:r>
            <w:r w:rsidR="009A1704">
              <w:rPr>
                <w:noProof/>
                <w:webHidden/>
              </w:rPr>
              <w:tab/>
            </w:r>
            <w:r w:rsidR="009A1704">
              <w:rPr>
                <w:noProof/>
                <w:webHidden/>
              </w:rPr>
              <w:fldChar w:fldCharType="begin"/>
            </w:r>
            <w:r w:rsidR="009A1704">
              <w:rPr>
                <w:noProof/>
                <w:webHidden/>
              </w:rPr>
              <w:instrText xml:space="preserve"> PAGEREF _Toc80898724 \h </w:instrText>
            </w:r>
            <w:r w:rsidR="009A1704">
              <w:rPr>
                <w:noProof/>
                <w:webHidden/>
              </w:rPr>
            </w:r>
            <w:r w:rsidR="009A1704">
              <w:rPr>
                <w:noProof/>
                <w:webHidden/>
              </w:rPr>
              <w:fldChar w:fldCharType="separate"/>
            </w:r>
            <w:r w:rsidR="009A1704">
              <w:rPr>
                <w:noProof/>
                <w:webHidden/>
              </w:rPr>
              <w:t>5</w:t>
            </w:r>
            <w:r w:rsidR="009A1704">
              <w:rPr>
                <w:noProof/>
                <w:webHidden/>
              </w:rPr>
              <w:fldChar w:fldCharType="end"/>
            </w:r>
          </w:hyperlink>
        </w:p>
        <w:p w14:paraId="7A18EB97" w14:textId="58E739D0" w:rsidR="009A1704" w:rsidRDefault="00B12DEA">
          <w:pPr>
            <w:pStyle w:val="TOC3"/>
            <w:rPr>
              <w:rFonts w:asciiTheme="minorHAnsi" w:eastAsiaTheme="minorEastAsia" w:hAnsiTheme="minorHAnsi" w:cstheme="minorBidi"/>
              <w:b w:val="0"/>
              <w:noProof/>
              <w:szCs w:val="22"/>
              <w:lang w:eastAsia="en-AU"/>
            </w:rPr>
          </w:pPr>
          <w:hyperlink w:anchor="_Toc80898725" w:history="1">
            <w:r w:rsidR="009A1704" w:rsidRPr="009E5753">
              <w:rPr>
                <w:rStyle w:val="Hyperlink"/>
                <w:rFonts w:eastAsia="Times New Roman"/>
                <w:i/>
                <w:noProof/>
              </w:rPr>
              <w:t>Interim decision</w:t>
            </w:r>
            <w:r w:rsidR="009A1704">
              <w:rPr>
                <w:noProof/>
                <w:webHidden/>
              </w:rPr>
              <w:tab/>
            </w:r>
            <w:r w:rsidR="009A1704">
              <w:rPr>
                <w:noProof/>
                <w:webHidden/>
              </w:rPr>
              <w:fldChar w:fldCharType="begin"/>
            </w:r>
            <w:r w:rsidR="009A1704">
              <w:rPr>
                <w:noProof/>
                <w:webHidden/>
              </w:rPr>
              <w:instrText xml:space="preserve"> PAGEREF _Toc80898725 \h </w:instrText>
            </w:r>
            <w:r w:rsidR="009A1704">
              <w:rPr>
                <w:noProof/>
                <w:webHidden/>
              </w:rPr>
            </w:r>
            <w:r w:rsidR="009A1704">
              <w:rPr>
                <w:noProof/>
                <w:webHidden/>
              </w:rPr>
              <w:fldChar w:fldCharType="separate"/>
            </w:r>
            <w:r w:rsidR="009A1704">
              <w:rPr>
                <w:noProof/>
                <w:webHidden/>
              </w:rPr>
              <w:t>5</w:t>
            </w:r>
            <w:r w:rsidR="009A1704">
              <w:rPr>
                <w:noProof/>
                <w:webHidden/>
              </w:rPr>
              <w:fldChar w:fldCharType="end"/>
            </w:r>
          </w:hyperlink>
        </w:p>
        <w:p w14:paraId="2913005C" w14:textId="5EBF3C1F" w:rsidR="009A1704" w:rsidRDefault="00B12DEA">
          <w:pPr>
            <w:pStyle w:val="TOC3"/>
            <w:rPr>
              <w:rFonts w:asciiTheme="minorHAnsi" w:eastAsiaTheme="minorEastAsia" w:hAnsiTheme="minorHAnsi" w:cstheme="minorBidi"/>
              <w:b w:val="0"/>
              <w:noProof/>
              <w:szCs w:val="22"/>
              <w:lang w:eastAsia="en-AU"/>
            </w:rPr>
          </w:pPr>
          <w:hyperlink w:anchor="_Toc80898726" w:history="1">
            <w:r w:rsidR="009A1704" w:rsidRPr="009E5753">
              <w:rPr>
                <w:rStyle w:val="Hyperlink"/>
                <w:rFonts w:eastAsia="Times New Roman"/>
                <w:i/>
                <w:noProof/>
              </w:rPr>
              <w:t>Materials considered</w:t>
            </w:r>
            <w:r w:rsidR="009A1704">
              <w:rPr>
                <w:noProof/>
                <w:webHidden/>
              </w:rPr>
              <w:tab/>
            </w:r>
            <w:r w:rsidR="009A1704">
              <w:rPr>
                <w:noProof/>
                <w:webHidden/>
              </w:rPr>
              <w:fldChar w:fldCharType="begin"/>
            </w:r>
            <w:r w:rsidR="009A1704">
              <w:rPr>
                <w:noProof/>
                <w:webHidden/>
              </w:rPr>
              <w:instrText xml:space="preserve"> PAGEREF _Toc80898726 \h </w:instrText>
            </w:r>
            <w:r w:rsidR="009A1704">
              <w:rPr>
                <w:noProof/>
                <w:webHidden/>
              </w:rPr>
            </w:r>
            <w:r w:rsidR="009A1704">
              <w:rPr>
                <w:noProof/>
                <w:webHidden/>
              </w:rPr>
              <w:fldChar w:fldCharType="separate"/>
            </w:r>
            <w:r w:rsidR="009A1704">
              <w:rPr>
                <w:noProof/>
                <w:webHidden/>
              </w:rPr>
              <w:t>5</w:t>
            </w:r>
            <w:r w:rsidR="009A1704">
              <w:rPr>
                <w:noProof/>
                <w:webHidden/>
              </w:rPr>
              <w:fldChar w:fldCharType="end"/>
            </w:r>
          </w:hyperlink>
        </w:p>
        <w:p w14:paraId="590190AD" w14:textId="0DCC9FC4" w:rsidR="009A1704" w:rsidRDefault="00B12DEA">
          <w:pPr>
            <w:pStyle w:val="TOC3"/>
            <w:rPr>
              <w:rFonts w:asciiTheme="minorHAnsi" w:eastAsiaTheme="minorEastAsia" w:hAnsiTheme="minorHAnsi" w:cstheme="minorBidi"/>
              <w:b w:val="0"/>
              <w:noProof/>
              <w:szCs w:val="22"/>
              <w:lang w:eastAsia="en-AU"/>
            </w:rPr>
          </w:pPr>
          <w:hyperlink w:anchor="_Toc80898727" w:history="1">
            <w:r w:rsidR="009A1704" w:rsidRPr="009E5753">
              <w:rPr>
                <w:rStyle w:val="Hyperlink"/>
                <w:rFonts w:eastAsia="Times New Roman"/>
                <w:i/>
                <w:noProof/>
              </w:rPr>
              <w:t>Summary of ACMS-ACCS advice to the delegate</w:t>
            </w:r>
            <w:r w:rsidR="009A1704">
              <w:rPr>
                <w:noProof/>
                <w:webHidden/>
              </w:rPr>
              <w:tab/>
            </w:r>
            <w:r w:rsidR="009A1704">
              <w:rPr>
                <w:noProof/>
                <w:webHidden/>
              </w:rPr>
              <w:fldChar w:fldCharType="begin"/>
            </w:r>
            <w:r w:rsidR="009A1704">
              <w:rPr>
                <w:noProof/>
                <w:webHidden/>
              </w:rPr>
              <w:instrText xml:space="preserve"> PAGEREF _Toc80898727 \h </w:instrText>
            </w:r>
            <w:r w:rsidR="009A1704">
              <w:rPr>
                <w:noProof/>
                <w:webHidden/>
              </w:rPr>
            </w:r>
            <w:r w:rsidR="009A1704">
              <w:rPr>
                <w:noProof/>
                <w:webHidden/>
              </w:rPr>
              <w:fldChar w:fldCharType="separate"/>
            </w:r>
            <w:r w:rsidR="009A1704">
              <w:rPr>
                <w:noProof/>
                <w:webHidden/>
              </w:rPr>
              <w:t>5</w:t>
            </w:r>
            <w:r w:rsidR="009A1704">
              <w:rPr>
                <w:noProof/>
                <w:webHidden/>
              </w:rPr>
              <w:fldChar w:fldCharType="end"/>
            </w:r>
          </w:hyperlink>
        </w:p>
        <w:p w14:paraId="2C183316" w14:textId="3F53025F" w:rsidR="009A1704" w:rsidRDefault="00B12DEA">
          <w:pPr>
            <w:pStyle w:val="TOC3"/>
            <w:rPr>
              <w:rFonts w:asciiTheme="minorHAnsi" w:eastAsiaTheme="minorEastAsia" w:hAnsiTheme="minorHAnsi" w:cstheme="minorBidi"/>
              <w:b w:val="0"/>
              <w:noProof/>
              <w:szCs w:val="22"/>
              <w:lang w:eastAsia="en-AU"/>
            </w:rPr>
          </w:pPr>
          <w:hyperlink w:anchor="_Toc80898728" w:history="1">
            <w:r w:rsidR="009A1704" w:rsidRPr="009E5753">
              <w:rPr>
                <w:rStyle w:val="Hyperlink"/>
                <w:rFonts w:eastAsia="Times New Roman"/>
                <w:i/>
                <w:noProof/>
              </w:rPr>
              <w:t xml:space="preserve">Reasons for the interim decision (including findings on material questions </w:t>
            </w:r>
            <w:r w:rsidR="009A1704">
              <w:rPr>
                <w:rStyle w:val="Hyperlink"/>
                <w:rFonts w:eastAsia="Times New Roman"/>
                <w:i/>
                <w:noProof/>
              </w:rPr>
              <w:br/>
            </w:r>
            <w:r w:rsidR="009A1704" w:rsidRPr="009E5753">
              <w:rPr>
                <w:rStyle w:val="Hyperlink"/>
                <w:rFonts w:eastAsia="Times New Roman"/>
                <w:i/>
                <w:noProof/>
              </w:rPr>
              <w:t>of fact)</w:t>
            </w:r>
            <w:r w:rsidR="009A1704">
              <w:rPr>
                <w:noProof/>
                <w:webHidden/>
              </w:rPr>
              <w:tab/>
            </w:r>
            <w:r w:rsidR="009A1704">
              <w:rPr>
                <w:noProof/>
                <w:webHidden/>
              </w:rPr>
              <w:fldChar w:fldCharType="begin"/>
            </w:r>
            <w:r w:rsidR="009A1704">
              <w:rPr>
                <w:noProof/>
                <w:webHidden/>
              </w:rPr>
              <w:instrText xml:space="preserve"> PAGEREF _Toc80898728 \h </w:instrText>
            </w:r>
            <w:r w:rsidR="009A1704">
              <w:rPr>
                <w:noProof/>
                <w:webHidden/>
              </w:rPr>
            </w:r>
            <w:r w:rsidR="009A1704">
              <w:rPr>
                <w:noProof/>
                <w:webHidden/>
              </w:rPr>
              <w:fldChar w:fldCharType="separate"/>
            </w:r>
            <w:r w:rsidR="009A1704">
              <w:rPr>
                <w:noProof/>
                <w:webHidden/>
              </w:rPr>
              <w:t>6</w:t>
            </w:r>
            <w:r w:rsidR="009A1704">
              <w:rPr>
                <w:noProof/>
                <w:webHidden/>
              </w:rPr>
              <w:fldChar w:fldCharType="end"/>
            </w:r>
          </w:hyperlink>
        </w:p>
        <w:p w14:paraId="376C9E98" w14:textId="31170FC4" w:rsidR="009A1704" w:rsidRDefault="00B12DEA">
          <w:pPr>
            <w:pStyle w:val="TOC2"/>
            <w:tabs>
              <w:tab w:val="left" w:pos="1276"/>
            </w:tabs>
            <w:rPr>
              <w:rFonts w:asciiTheme="minorHAnsi" w:eastAsiaTheme="minorEastAsia" w:hAnsiTheme="minorHAnsi" w:cstheme="minorBidi"/>
              <w:b w:val="0"/>
              <w:noProof/>
              <w:sz w:val="22"/>
              <w:szCs w:val="22"/>
              <w:lang w:eastAsia="en-AU"/>
            </w:rPr>
          </w:pPr>
          <w:hyperlink w:anchor="_Toc80898729" w:history="1">
            <w:r w:rsidR="009A1704" w:rsidRPr="009E5753">
              <w:rPr>
                <w:rStyle w:val="Hyperlink"/>
                <w:noProof/>
              </w:rPr>
              <w:t>2.2</w:t>
            </w:r>
            <w:r w:rsidR="009A1704">
              <w:rPr>
                <w:rFonts w:asciiTheme="minorHAnsi" w:eastAsiaTheme="minorEastAsia" w:hAnsiTheme="minorHAnsi" w:cstheme="minorBidi"/>
                <w:b w:val="0"/>
                <w:noProof/>
                <w:sz w:val="22"/>
                <w:szCs w:val="22"/>
                <w:lang w:eastAsia="en-AU"/>
              </w:rPr>
              <w:tab/>
            </w:r>
            <w:r w:rsidR="009A1704" w:rsidRPr="009E5753">
              <w:rPr>
                <w:rStyle w:val="Hyperlink"/>
                <w:noProof/>
              </w:rPr>
              <w:t>Interim decision in relation to methanol in hand sanitisers</w:t>
            </w:r>
            <w:r w:rsidR="009A1704">
              <w:rPr>
                <w:noProof/>
                <w:webHidden/>
              </w:rPr>
              <w:tab/>
            </w:r>
            <w:r w:rsidR="009A1704">
              <w:rPr>
                <w:noProof/>
                <w:webHidden/>
              </w:rPr>
              <w:fldChar w:fldCharType="begin"/>
            </w:r>
            <w:r w:rsidR="009A1704">
              <w:rPr>
                <w:noProof/>
                <w:webHidden/>
              </w:rPr>
              <w:instrText xml:space="preserve"> PAGEREF _Toc80898729 \h </w:instrText>
            </w:r>
            <w:r w:rsidR="009A1704">
              <w:rPr>
                <w:noProof/>
                <w:webHidden/>
              </w:rPr>
            </w:r>
            <w:r w:rsidR="009A1704">
              <w:rPr>
                <w:noProof/>
                <w:webHidden/>
              </w:rPr>
              <w:fldChar w:fldCharType="separate"/>
            </w:r>
            <w:r w:rsidR="009A1704">
              <w:rPr>
                <w:noProof/>
                <w:webHidden/>
              </w:rPr>
              <w:t>7</w:t>
            </w:r>
            <w:r w:rsidR="009A1704">
              <w:rPr>
                <w:noProof/>
                <w:webHidden/>
              </w:rPr>
              <w:fldChar w:fldCharType="end"/>
            </w:r>
          </w:hyperlink>
        </w:p>
        <w:p w14:paraId="5D0D119F" w14:textId="0C8F453A" w:rsidR="009A1704" w:rsidRDefault="00B12DEA">
          <w:pPr>
            <w:pStyle w:val="TOC3"/>
            <w:rPr>
              <w:rFonts w:asciiTheme="minorHAnsi" w:eastAsiaTheme="minorEastAsia" w:hAnsiTheme="minorHAnsi" w:cstheme="minorBidi"/>
              <w:b w:val="0"/>
              <w:noProof/>
              <w:szCs w:val="22"/>
              <w:lang w:eastAsia="en-AU"/>
            </w:rPr>
          </w:pPr>
          <w:hyperlink w:anchor="_Toc80898730" w:history="1">
            <w:r w:rsidR="009A1704" w:rsidRPr="009E5753">
              <w:rPr>
                <w:rStyle w:val="Hyperlink"/>
                <w:rFonts w:eastAsia="Times New Roman"/>
                <w:i/>
                <w:noProof/>
              </w:rPr>
              <w:t>Proposal</w:t>
            </w:r>
            <w:r w:rsidR="009A1704">
              <w:rPr>
                <w:noProof/>
                <w:webHidden/>
              </w:rPr>
              <w:tab/>
            </w:r>
            <w:r w:rsidR="009A1704">
              <w:rPr>
                <w:noProof/>
                <w:webHidden/>
              </w:rPr>
              <w:fldChar w:fldCharType="begin"/>
            </w:r>
            <w:r w:rsidR="009A1704">
              <w:rPr>
                <w:noProof/>
                <w:webHidden/>
              </w:rPr>
              <w:instrText xml:space="preserve"> PAGEREF _Toc80898730 \h </w:instrText>
            </w:r>
            <w:r w:rsidR="009A1704">
              <w:rPr>
                <w:noProof/>
                <w:webHidden/>
              </w:rPr>
            </w:r>
            <w:r w:rsidR="009A1704">
              <w:rPr>
                <w:noProof/>
                <w:webHidden/>
              </w:rPr>
              <w:fldChar w:fldCharType="separate"/>
            </w:r>
            <w:r w:rsidR="009A1704">
              <w:rPr>
                <w:noProof/>
                <w:webHidden/>
              </w:rPr>
              <w:t>7</w:t>
            </w:r>
            <w:r w:rsidR="009A1704">
              <w:rPr>
                <w:noProof/>
                <w:webHidden/>
              </w:rPr>
              <w:fldChar w:fldCharType="end"/>
            </w:r>
          </w:hyperlink>
        </w:p>
        <w:p w14:paraId="5969E9E3" w14:textId="31FAF76D" w:rsidR="009A1704" w:rsidRDefault="00B12DEA">
          <w:pPr>
            <w:pStyle w:val="TOC3"/>
            <w:rPr>
              <w:rFonts w:asciiTheme="minorHAnsi" w:eastAsiaTheme="minorEastAsia" w:hAnsiTheme="minorHAnsi" w:cstheme="minorBidi"/>
              <w:b w:val="0"/>
              <w:noProof/>
              <w:szCs w:val="22"/>
              <w:lang w:eastAsia="en-AU"/>
            </w:rPr>
          </w:pPr>
          <w:hyperlink w:anchor="_Toc80898731" w:history="1">
            <w:r w:rsidR="009A1704" w:rsidRPr="009E5753">
              <w:rPr>
                <w:rStyle w:val="Hyperlink"/>
                <w:rFonts w:eastAsia="Times New Roman"/>
                <w:i/>
                <w:noProof/>
              </w:rPr>
              <w:t>Interim decision</w:t>
            </w:r>
            <w:r w:rsidR="009A1704">
              <w:rPr>
                <w:noProof/>
                <w:webHidden/>
              </w:rPr>
              <w:tab/>
            </w:r>
            <w:r w:rsidR="009A1704">
              <w:rPr>
                <w:noProof/>
                <w:webHidden/>
              </w:rPr>
              <w:fldChar w:fldCharType="begin"/>
            </w:r>
            <w:r w:rsidR="009A1704">
              <w:rPr>
                <w:noProof/>
                <w:webHidden/>
              </w:rPr>
              <w:instrText xml:space="preserve"> PAGEREF _Toc80898731 \h </w:instrText>
            </w:r>
            <w:r w:rsidR="009A1704">
              <w:rPr>
                <w:noProof/>
                <w:webHidden/>
              </w:rPr>
            </w:r>
            <w:r w:rsidR="009A1704">
              <w:rPr>
                <w:noProof/>
                <w:webHidden/>
              </w:rPr>
              <w:fldChar w:fldCharType="separate"/>
            </w:r>
            <w:r w:rsidR="009A1704">
              <w:rPr>
                <w:noProof/>
                <w:webHidden/>
              </w:rPr>
              <w:t>7</w:t>
            </w:r>
            <w:r w:rsidR="009A1704">
              <w:rPr>
                <w:noProof/>
                <w:webHidden/>
              </w:rPr>
              <w:fldChar w:fldCharType="end"/>
            </w:r>
          </w:hyperlink>
        </w:p>
        <w:p w14:paraId="4F3E7D3C" w14:textId="405B6A28" w:rsidR="009A1704" w:rsidRDefault="00B12DEA">
          <w:pPr>
            <w:pStyle w:val="TOC3"/>
            <w:rPr>
              <w:rFonts w:asciiTheme="minorHAnsi" w:eastAsiaTheme="minorEastAsia" w:hAnsiTheme="minorHAnsi" w:cstheme="minorBidi"/>
              <w:b w:val="0"/>
              <w:noProof/>
              <w:szCs w:val="22"/>
              <w:lang w:eastAsia="en-AU"/>
            </w:rPr>
          </w:pPr>
          <w:hyperlink w:anchor="_Toc80898732" w:history="1">
            <w:r w:rsidR="009A1704" w:rsidRPr="009E5753">
              <w:rPr>
                <w:rStyle w:val="Hyperlink"/>
                <w:rFonts w:eastAsia="Times New Roman"/>
                <w:i/>
                <w:noProof/>
              </w:rPr>
              <w:t>Materials considered</w:t>
            </w:r>
            <w:r w:rsidR="009A1704">
              <w:rPr>
                <w:noProof/>
                <w:webHidden/>
              </w:rPr>
              <w:tab/>
            </w:r>
            <w:r w:rsidR="009A1704">
              <w:rPr>
                <w:noProof/>
                <w:webHidden/>
              </w:rPr>
              <w:fldChar w:fldCharType="begin"/>
            </w:r>
            <w:r w:rsidR="009A1704">
              <w:rPr>
                <w:noProof/>
                <w:webHidden/>
              </w:rPr>
              <w:instrText xml:space="preserve"> PAGEREF _Toc80898732 \h </w:instrText>
            </w:r>
            <w:r w:rsidR="009A1704">
              <w:rPr>
                <w:noProof/>
                <w:webHidden/>
              </w:rPr>
            </w:r>
            <w:r w:rsidR="009A1704">
              <w:rPr>
                <w:noProof/>
                <w:webHidden/>
              </w:rPr>
              <w:fldChar w:fldCharType="separate"/>
            </w:r>
            <w:r w:rsidR="009A1704">
              <w:rPr>
                <w:noProof/>
                <w:webHidden/>
              </w:rPr>
              <w:t>9</w:t>
            </w:r>
            <w:r w:rsidR="009A1704">
              <w:rPr>
                <w:noProof/>
                <w:webHidden/>
              </w:rPr>
              <w:fldChar w:fldCharType="end"/>
            </w:r>
          </w:hyperlink>
        </w:p>
        <w:p w14:paraId="2B57437C" w14:textId="4ECF4A87" w:rsidR="009A1704" w:rsidRDefault="00B12DEA">
          <w:pPr>
            <w:pStyle w:val="TOC3"/>
            <w:rPr>
              <w:rFonts w:asciiTheme="minorHAnsi" w:eastAsiaTheme="minorEastAsia" w:hAnsiTheme="minorHAnsi" w:cstheme="minorBidi"/>
              <w:b w:val="0"/>
              <w:noProof/>
              <w:szCs w:val="22"/>
              <w:lang w:eastAsia="en-AU"/>
            </w:rPr>
          </w:pPr>
          <w:hyperlink w:anchor="_Toc80898733" w:history="1">
            <w:r w:rsidR="009A1704" w:rsidRPr="009E5753">
              <w:rPr>
                <w:rStyle w:val="Hyperlink"/>
                <w:rFonts w:eastAsia="Times New Roman"/>
                <w:i/>
                <w:noProof/>
              </w:rPr>
              <w:t>Summary of ACMS-ACCS advice to the delegate</w:t>
            </w:r>
            <w:r w:rsidR="009A1704">
              <w:rPr>
                <w:noProof/>
                <w:webHidden/>
              </w:rPr>
              <w:tab/>
            </w:r>
            <w:r w:rsidR="009A1704">
              <w:rPr>
                <w:noProof/>
                <w:webHidden/>
              </w:rPr>
              <w:fldChar w:fldCharType="begin"/>
            </w:r>
            <w:r w:rsidR="009A1704">
              <w:rPr>
                <w:noProof/>
                <w:webHidden/>
              </w:rPr>
              <w:instrText xml:space="preserve"> PAGEREF _Toc80898733 \h </w:instrText>
            </w:r>
            <w:r w:rsidR="009A1704">
              <w:rPr>
                <w:noProof/>
                <w:webHidden/>
              </w:rPr>
            </w:r>
            <w:r w:rsidR="009A1704">
              <w:rPr>
                <w:noProof/>
                <w:webHidden/>
              </w:rPr>
              <w:fldChar w:fldCharType="separate"/>
            </w:r>
            <w:r w:rsidR="009A1704">
              <w:rPr>
                <w:noProof/>
                <w:webHidden/>
              </w:rPr>
              <w:t>9</w:t>
            </w:r>
            <w:r w:rsidR="009A1704">
              <w:rPr>
                <w:noProof/>
                <w:webHidden/>
              </w:rPr>
              <w:fldChar w:fldCharType="end"/>
            </w:r>
          </w:hyperlink>
        </w:p>
        <w:p w14:paraId="4DC4B9F9" w14:textId="0C51F5E5" w:rsidR="009A1704" w:rsidRDefault="00B12DEA">
          <w:pPr>
            <w:pStyle w:val="TOC3"/>
            <w:rPr>
              <w:rFonts w:asciiTheme="minorHAnsi" w:eastAsiaTheme="minorEastAsia" w:hAnsiTheme="minorHAnsi" w:cstheme="minorBidi"/>
              <w:b w:val="0"/>
              <w:noProof/>
              <w:szCs w:val="22"/>
              <w:lang w:eastAsia="en-AU"/>
            </w:rPr>
          </w:pPr>
          <w:hyperlink w:anchor="_Toc80898734" w:history="1">
            <w:r w:rsidR="009A1704" w:rsidRPr="009E5753">
              <w:rPr>
                <w:rStyle w:val="Hyperlink"/>
                <w:rFonts w:eastAsia="Times New Roman"/>
                <w:i/>
                <w:noProof/>
              </w:rPr>
              <w:t xml:space="preserve">Reasons for the interim decision (including findings on material questions </w:t>
            </w:r>
            <w:r w:rsidR="009A1704">
              <w:rPr>
                <w:rStyle w:val="Hyperlink"/>
                <w:rFonts w:eastAsia="Times New Roman"/>
                <w:i/>
                <w:noProof/>
              </w:rPr>
              <w:br/>
            </w:r>
            <w:r w:rsidR="009A1704" w:rsidRPr="009E5753">
              <w:rPr>
                <w:rStyle w:val="Hyperlink"/>
                <w:rFonts w:eastAsia="Times New Roman"/>
                <w:i/>
                <w:noProof/>
              </w:rPr>
              <w:t>of fact)</w:t>
            </w:r>
            <w:r w:rsidR="009A1704">
              <w:rPr>
                <w:noProof/>
                <w:webHidden/>
              </w:rPr>
              <w:tab/>
            </w:r>
            <w:r w:rsidR="009A1704">
              <w:rPr>
                <w:noProof/>
                <w:webHidden/>
              </w:rPr>
              <w:fldChar w:fldCharType="begin"/>
            </w:r>
            <w:r w:rsidR="009A1704">
              <w:rPr>
                <w:noProof/>
                <w:webHidden/>
              </w:rPr>
              <w:instrText xml:space="preserve"> PAGEREF _Toc80898734 \h </w:instrText>
            </w:r>
            <w:r w:rsidR="009A1704">
              <w:rPr>
                <w:noProof/>
                <w:webHidden/>
              </w:rPr>
            </w:r>
            <w:r w:rsidR="009A1704">
              <w:rPr>
                <w:noProof/>
                <w:webHidden/>
              </w:rPr>
              <w:fldChar w:fldCharType="separate"/>
            </w:r>
            <w:r w:rsidR="009A1704">
              <w:rPr>
                <w:noProof/>
                <w:webHidden/>
              </w:rPr>
              <w:t>11</w:t>
            </w:r>
            <w:r w:rsidR="009A1704">
              <w:rPr>
                <w:noProof/>
                <w:webHidden/>
              </w:rPr>
              <w:fldChar w:fldCharType="end"/>
            </w:r>
          </w:hyperlink>
        </w:p>
        <w:p w14:paraId="0F1F5BB4" w14:textId="3B7217FA" w:rsidR="009A1704" w:rsidRDefault="00B12DEA">
          <w:pPr>
            <w:pStyle w:val="TOC2"/>
            <w:tabs>
              <w:tab w:val="left" w:pos="1276"/>
            </w:tabs>
            <w:rPr>
              <w:rFonts w:asciiTheme="minorHAnsi" w:eastAsiaTheme="minorEastAsia" w:hAnsiTheme="minorHAnsi" w:cstheme="minorBidi"/>
              <w:b w:val="0"/>
              <w:noProof/>
              <w:sz w:val="22"/>
              <w:szCs w:val="22"/>
              <w:lang w:eastAsia="en-AU"/>
            </w:rPr>
          </w:pPr>
          <w:hyperlink w:anchor="_Toc80898735" w:history="1">
            <w:r w:rsidR="009A1704" w:rsidRPr="009E5753">
              <w:rPr>
                <w:rStyle w:val="Hyperlink"/>
                <w:noProof/>
              </w:rPr>
              <w:t>2.3</w:t>
            </w:r>
            <w:r w:rsidR="009A1704">
              <w:rPr>
                <w:rFonts w:asciiTheme="minorHAnsi" w:eastAsiaTheme="minorEastAsia" w:hAnsiTheme="minorHAnsi" w:cstheme="minorBidi"/>
                <w:b w:val="0"/>
                <w:noProof/>
                <w:sz w:val="22"/>
                <w:szCs w:val="22"/>
                <w:lang w:eastAsia="en-AU"/>
              </w:rPr>
              <w:tab/>
            </w:r>
            <w:r w:rsidR="009A1704" w:rsidRPr="009E5753">
              <w:rPr>
                <w:rStyle w:val="Hyperlink"/>
                <w:noProof/>
              </w:rPr>
              <w:t>Interim decision in relation to eugenol</w:t>
            </w:r>
            <w:r w:rsidR="009A1704">
              <w:rPr>
                <w:noProof/>
                <w:webHidden/>
              </w:rPr>
              <w:tab/>
            </w:r>
            <w:r w:rsidR="009A1704">
              <w:rPr>
                <w:noProof/>
                <w:webHidden/>
              </w:rPr>
              <w:fldChar w:fldCharType="begin"/>
            </w:r>
            <w:r w:rsidR="009A1704">
              <w:rPr>
                <w:noProof/>
                <w:webHidden/>
              </w:rPr>
              <w:instrText xml:space="preserve"> PAGEREF _Toc80898735 \h </w:instrText>
            </w:r>
            <w:r w:rsidR="009A1704">
              <w:rPr>
                <w:noProof/>
                <w:webHidden/>
              </w:rPr>
            </w:r>
            <w:r w:rsidR="009A1704">
              <w:rPr>
                <w:noProof/>
                <w:webHidden/>
              </w:rPr>
              <w:fldChar w:fldCharType="separate"/>
            </w:r>
            <w:r w:rsidR="009A1704">
              <w:rPr>
                <w:noProof/>
                <w:webHidden/>
              </w:rPr>
              <w:t>13</w:t>
            </w:r>
            <w:r w:rsidR="009A1704">
              <w:rPr>
                <w:noProof/>
                <w:webHidden/>
              </w:rPr>
              <w:fldChar w:fldCharType="end"/>
            </w:r>
          </w:hyperlink>
        </w:p>
        <w:p w14:paraId="410DBE7D" w14:textId="09196F2E" w:rsidR="009A1704" w:rsidRDefault="00B12DEA">
          <w:pPr>
            <w:pStyle w:val="TOC3"/>
            <w:rPr>
              <w:rFonts w:asciiTheme="minorHAnsi" w:eastAsiaTheme="minorEastAsia" w:hAnsiTheme="minorHAnsi" w:cstheme="minorBidi"/>
              <w:b w:val="0"/>
              <w:noProof/>
              <w:szCs w:val="22"/>
              <w:lang w:eastAsia="en-AU"/>
            </w:rPr>
          </w:pPr>
          <w:hyperlink w:anchor="_Toc80898736" w:history="1">
            <w:r w:rsidR="009A1704" w:rsidRPr="009E5753">
              <w:rPr>
                <w:rStyle w:val="Hyperlink"/>
                <w:rFonts w:eastAsia="Times New Roman"/>
                <w:i/>
                <w:noProof/>
              </w:rPr>
              <w:t>Proposal</w:t>
            </w:r>
            <w:r w:rsidR="009A1704">
              <w:rPr>
                <w:noProof/>
                <w:webHidden/>
              </w:rPr>
              <w:tab/>
            </w:r>
            <w:r w:rsidR="009A1704">
              <w:rPr>
                <w:noProof/>
                <w:webHidden/>
              </w:rPr>
              <w:fldChar w:fldCharType="begin"/>
            </w:r>
            <w:r w:rsidR="009A1704">
              <w:rPr>
                <w:noProof/>
                <w:webHidden/>
              </w:rPr>
              <w:instrText xml:space="preserve"> PAGEREF _Toc80898736 \h </w:instrText>
            </w:r>
            <w:r w:rsidR="009A1704">
              <w:rPr>
                <w:noProof/>
                <w:webHidden/>
              </w:rPr>
            </w:r>
            <w:r w:rsidR="009A1704">
              <w:rPr>
                <w:noProof/>
                <w:webHidden/>
              </w:rPr>
              <w:fldChar w:fldCharType="separate"/>
            </w:r>
            <w:r w:rsidR="009A1704">
              <w:rPr>
                <w:noProof/>
                <w:webHidden/>
              </w:rPr>
              <w:t>13</w:t>
            </w:r>
            <w:r w:rsidR="009A1704">
              <w:rPr>
                <w:noProof/>
                <w:webHidden/>
              </w:rPr>
              <w:fldChar w:fldCharType="end"/>
            </w:r>
          </w:hyperlink>
        </w:p>
        <w:p w14:paraId="4751A0CB" w14:textId="11B64F22" w:rsidR="009A1704" w:rsidRDefault="00B12DEA">
          <w:pPr>
            <w:pStyle w:val="TOC3"/>
            <w:rPr>
              <w:rFonts w:asciiTheme="minorHAnsi" w:eastAsiaTheme="minorEastAsia" w:hAnsiTheme="minorHAnsi" w:cstheme="minorBidi"/>
              <w:b w:val="0"/>
              <w:noProof/>
              <w:szCs w:val="22"/>
              <w:lang w:eastAsia="en-AU"/>
            </w:rPr>
          </w:pPr>
          <w:hyperlink w:anchor="_Toc80898737" w:history="1">
            <w:r w:rsidR="009A1704" w:rsidRPr="009E5753">
              <w:rPr>
                <w:rStyle w:val="Hyperlink"/>
                <w:rFonts w:eastAsia="Times New Roman"/>
                <w:i/>
                <w:noProof/>
              </w:rPr>
              <w:t>Erratum</w:t>
            </w:r>
            <w:r w:rsidR="009A1704">
              <w:rPr>
                <w:noProof/>
                <w:webHidden/>
              </w:rPr>
              <w:tab/>
            </w:r>
            <w:r w:rsidR="009A1704">
              <w:rPr>
                <w:noProof/>
                <w:webHidden/>
              </w:rPr>
              <w:fldChar w:fldCharType="begin"/>
            </w:r>
            <w:r w:rsidR="009A1704">
              <w:rPr>
                <w:noProof/>
                <w:webHidden/>
              </w:rPr>
              <w:instrText xml:space="preserve"> PAGEREF _Toc80898737 \h </w:instrText>
            </w:r>
            <w:r w:rsidR="009A1704">
              <w:rPr>
                <w:noProof/>
                <w:webHidden/>
              </w:rPr>
            </w:r>
            <w:r w:rsidR="009A1704">
              <w:rPr>
                <w:noProof/>
                <w:webHidden/>
              </w:rPr>
              <w:fldChar w:fldCharType="separate"/>
            </w:r>
            <w:r w:rsidR="009A1704">
              <w:rPr>
                <w:noProof/>
                <w:webHidden/>
              </w:rPr>
              <w:t>13</w:t>
            </w:r>
            <w:r w:rsidR="009A1704">
              <w:rPr>
                <w:noProof/>
                <w:webHidden/>
              </w:rPr>
              <w:fldChar w:fldCharType="end"/>
            </w:r>
          </w:hyperlink>
        </w:p>
        <w:p w14:paraId="21926E5B" w14:textId="5070A029" w:rsidR="009A1704" w:rsidRDefault="00B12DEA">
          <w:pPr>
            <w:pStyle w:val="TOC3"/>
            <w:rPr>
              <w:rFonts w:asciiTheme="minorHAnsi" w:eastAsiaTheme="minorEastAsia" w:hAnsiTheme="minorHAnsi" w:cstheme="minorBidi"/>
              <w:b w:val="0"/>
              <w:noProof/>
              <w:szCs w:val="22"/>
              <w:lang w:eastAsia="en-AU"/>
            </w:rPr>
          </w:pPr>
          <w:hyperlink w:anchor="_Toc80898738" w:history="1">
            <w:r w:rsidR="009A1704" w:rsidRPr="009E5753">
              <w:rPr>
                <w:rStyle w:val="Hyperlink"/>
                <w:rFonts w:eastAsia="Times New Roman"/>
                <w:i/>
                <w:noProof/>
              </w:rPr>
              <w:t>Interim decision</w:t>
            </w:r>
            <w:r w:rsidR="009A1704">
              <w:rPr>
                <w:noProof/>
                <w:webHidden/>
              </w:rPr>
              <w:tab/>
            </w:r>
            <w:r w:rsidR="009A1704">
              <w:rPr>
                <w:noProof/>
                <w:webHidden/>
              </w:rPr>
              <w:fldChar w:fldCharType="begin"/>
            </w:r>
            <w:r w:rsidR="009A1704">
              <w:rPr>
                <w:noProof/>
                <w:webHidden/>
              </w:rPr>
              <w:instrText xml:space="preserve"> PAGEREF _Toc80898738 \h </w:instrText>
            </w:r>
            <w:r w:rsidR="009A1704">
              <w:rPr>
                <w:noProof/>
                <w:webHidden/>
              </w:rPr>
            </w:r>
            <w:r w:rsidR="009A1704">
              <w:rPr>
                <w:noProof/>
                <w:webHidden/>
              </w:rPr>
              <w:fldChar w:fldCharType="separate"/>
            </w:r>
            <w:r w:rsidR="009A1704">
              <w:rPr>
                <w:noProof/>
                <w:webHidden/>
              </w:rPr>
              <w:t>13</w:t>
            </w:r>
            <w:r w:rsidR="009A1704">
              <w:rPr>
                <w:noProof/>
                <w:webHidden/>
              </w:rPr>
              <w:fldChar w:fldCharType="end"/>
            </w:r>
          </w:hyperlink>
        </w:p>
        <w:p w14:paraId="09A04E09" w14:textId="4C93EF46" w:rsidR="009A1704" w:rsidRDefault="00B12DEA">
          <w:pPr>
            <w:pStyle w:val="TOC3"/>
            <w:rPr>
              <w:rFonts w:asciiTheme="minorHAnsi" w:eastAsiaTheme="minorEastAsia" w:hAnsiTheme="minorHAnsi" w:cstheme="minorBidi"/>
              <w:b w:val="0"/>
              <w:noProof/>
              <w:szCs w:val="22"/>
              <w:lang w:eastAsia="en-AU"/>
            </w:rPr>
          </w:pPr>
          <w:hyperlink w:anchor="_Toc80898739" w:history="1">
            <w:r w:rsidR="009A1704" w:rsidRPr="009E5753">
              <w:rPr>
                <w:rStyle w:val="Hyperlink"/>
                <w:rFonts w:eastAsia="Times New Roman"/>
                <w:i/>
                <w:noProof/>
              </w:rPr>
              <w:t>Materials considered</w:t>
            </w:r>
            <w:r w:rsidR="009A1704">
              <w:rPr>
                <w:noProof/>
                <w:webHidden/>
              </w:rPr>
              <w:tab/>
            </w:r>
            <w:r w:rsidR="009A1704">
              <w:rPr>
                <w:noProof/>
                <w:webHidden/>
              </w:rPr>
              <w:fldChar w:fldCharType="begin"/>
            </w:r>
            <w:r w:rsidR="009A1704">
              <w:rPr>
                <w:noProof/>
                <w:webHidden/>
              </w:rPr>
              <w:instrText xml:space="preserve"> PAGEREF _Toc80898739 \h </w:instrText>
            </w:r>
            <w:r w:rsidR="009A1704">
              <w:rPr>
                <w:noProof/>
                <w:webHidden/>
              </w:rPr>
            </w:r>
            <w:r w:rsidR="009A1704">
              <w:rPr>
                <w:noProof/>
                <w:webHidden/>
              </w:rPr>
              <w:fldChar w:fldCharType="separate"/>
            </w:r>
            <w:r w:rsidR="009A1704">
              <w:rPr>
                <w:noProof/>
                <w:webHidden/>
              </w:rPr>
              <w:t>13</w:t>
            </w:r>
            <w:r w:rsidR="009A1704">
              <w:rPr>
                <w:noProof/>
                <w:webHidden/>
              </w:rPr>
              <w:fldChar w:fldCharType="end"/>
            </w:r>
          </w:hyperlink>
        </w:p>
        <w:p w14:paraId="65DE72DA" w14:textId="60032359" w:rsidR="009A1704" w:rsidRDefault="00B12DEA">
          <w:pPr>
            <w:pStyle w:val="TOC3"/>
            <w:rPr>
              <w:rFonts w:asciiTheme="minorHAnsi" w:eastAsiaTheme="minorEastAsia" w:hAnsiTheme="minorHAnsi" w:cstheme="minorBidi"/>
              <w:b w:val="0"/>
              <w:noProof/>
              <w:szCs w:val="22"/>
              <w:lang w:eastAsia="en-AU"/>
            </w:rPr>
          </w:pPr>
          <w:hyperlink w:anchor="_Toc80898740" w:history="1">
            <w:r w:rsidR="009A1704" w:rsidRPr="009E5753">
              <w:rPr>
                <w:rStyle w:val="Hyperlink"/>
                <w:rFonts w:eastAsia="Times New Roman"/>
                <w:i/>
                <w:noProof/>
              </w:rPr>
              <w:t>Summary of ACMS-ACCS advice to the delegate</w:t>
            </w:r>
            <w:r w:rsidR="009A1704">
              <w:rPr>
                <w:noProof/>
                <w:webHidden/>
              </w:rPr>
              <w:tab/>
            </w:r>
            <w:r w:rsidR="009A1704">
              <w:rPr>
                <w:noProof/>
                <w:webHidden/>
              </w:rPr>
              <w:fldChar w:fldCharType="begin"/>
            </w:r>
            <w:r w:rsidR="009A1704">
              <w:rPr>
                <w:noProof/>
                <w:webHidden/>
              </w:rPr>
              <w:instrText xml:space="preserve"> PAGEREF _Toc80898740 \h </w:instrText>
            </w:r>
            <w:r w:rsidR="009A1704">
              <w:rPr>
                <w:noProof/>
                <w:webHidden/>
              </w:rPr>
            </w:r>
            <w:r w:rsidR="009A1704">
              <w:rPr>
                <w:noProof/>
                <w:webHidden/>
              </w:rPr>
              <w:fldChar w:fldCharType="separate"/>
            </w:r>
            <w:r w:rsidR="009A1704">
              <w:rPr>
                <w:noProof/>
                <w:webHidden/>
              </w:rPr>
              <w:t>14</w:t>
            </w:r>
            <w:r w:rsidR="009A1704">
              <w:rPr>
                <w:noProof/>
                <w:webHidden/>
              </w:rPr>
              <w:fldChar w:fldCharType="end"/>
            </w:r>
          </w:hyperlink>
        </w:p>
        <w:p w14:paraId="7173C130" w14:textId="21E90F41" w:rsidR="00B92C72" w:rsidRPr="009401F6" w:rsidRDefault="006C626D" w:rsidP="0023397F">
          <w:r w:rsidRPr="009401F6">
            <w:fldChar w:fldCharType="end"/>
          </w:r>
        </w:p>
      </w:sdtContent>
    </w:sdt>
    <w:p w14:paraId="00C73D43" w14:textId="77777777" w:rsidR="00F8365F" w:rsidRPr="009401F6" w:rsidRDefault="00F8365F" w:rsidP="008A07FF">
      <w:r w:rsidRPr="009401F6">
        <w:br w:type="page"/>
      </w:r>
    </w:p>
    <w:p w14:paraId="7685D953" w14:textId="77777777" w:rsidR="001525B4" w:rsidRDefault="001E0113" w:rsidP="00371400">
      <w:pPr>
        <w:pStyle w:val="Heading2"/>
        <w:rPr>
          <w:i/>
        </w:rPr>
      </w:pPr>
      <w:bookmarkStart w:id="1" w:name="_Toc60738322"/>
      <w:bookmarkStart w:id="2" w:name="_Toc80898721"/>
      <w:bookmarkEnd w:id="0"/>
      <w:r w:rsidRPr="00597B50">
        <w:lastRenderedPageBreak/>
        <w:t>Not</w:t>
      </w:r>
      <w:r>
        <w:t xml:space="preserve">ice of interim decisions made under Regulation 42ZCZN of the </w:t>
      </w:r>
      <w:r w:rsidRPr="009B574B">
        <w:rPr>
          <w:i/>
        </w:rPr>
        <w:t>Therapeutic Goods Regulations 1990</w:t>
      </w:r>
      <w:bookmarkEnd w:id="1"/>
      <w:bookmarkEnd w:id="2"/>
    </w:p>
    <w:p w14:paraId="07A51D27" w14:textId="77777777" w:rsidR="00CD1C8D" w:rsidRDefault="00CD1C8D" w:rsidP="00CD1C8D">
      <w:bookmarkStart w:id="3" w:name="_Toc46323639"/>
      <w:bookmarkStart w:id="4" w:name="_Toc60738323"/>
      <w:bookmarkStart w:id="5" w:name="_Toc323738671"/>
      <w:bookmarkStart w:id="6" w:name="_Toc356305157"/>
      <w:r>
        <w:t xml:space="preserve">This web publication constitutes a notice for the purposes of </w:t>
      </w:r>
      <w:r w:rsidRPr="00A24A9F">
        <w:t xml:space="preserve">regulation 42ZCZP of the </w:t>
      </w:r>
      <w:r w:rsidRPr="00A24A9F">
        <w:rPr>
          <w:i/>
        </w:rPr>
        <w:t>Therapeutic</w:t>
      </w:r>
      <w:r>
        <w:rPr>
          <w:i/>
        </w:rPr>
        <w:t xml:space="preserve"> </w:t>
      </w:r>
      <w:r w:rsidRPr="00E80A53">
        <w:rPr>
          <w:i/>
        </w:rPr>
        <w:t>Goods Regulations 1990</w:t>
      </w:r>
      <w:r>
        <w:rPr>
          <w:i/>
        </w:rPr>
        <w:t xml:space="preserve"> </w:t>
      </w:r>
      <w:r>
        <w:t xml:space="preserve">(the </w:t>
      </w:r>
      <w:r>
        <w:rPr>
          <w:b/>
        </w:rPr>
        <w:t>Regulations</w:t>
      </w:r>
      <w:r>
        <w:t xml:space="preserve">). In accordance with regulation </w:t>
      </w:r>
      <w:r w:rsidRPr="00A24A9F">
        <w:t>42ZCZP</w:t>
      </w:r>
      <w:r>
        <w:t>, this notice sets out:</w:t>
      </w:r>
    </w:p>
    <w:p w14:paraId="645C0DAC" w14:textId="323742F3" w:rsidR="00CD1C8D" w:rsidRPr="009B574B" w:rsidRDefault="00CD1C8D" w:rsidP="00CD1C8D">
      <w:pPr>
        <w:pStyle w:val="ListBullet"/>
      </w:pPr>
      <w:r w:rsidRPr="009B574B">
        <w:t>the interim decision</w:t>
      </w:r>
      <w:r w:rsidRPr="00BE3418">
        <w:t>s</w:t>
      </w:r>
      <w:r w:rsidRPr="009B574B">
        <w:t xml:space="preserve"> made by a delegate of the Secretary under r</w:t>
      </w:r>
      <w:r>
        <w:t>egulation 42ZCZN in relation to</w:t>
      </w:r>
      <w:r w:rsidRPr="009B574B">
        <w:t xml:space="preserve"> proposed amendmen</w:t>
      </w:r>
      <w:r w:rsidRPr="00BE3418">
        <w:t>ts</w:t>
      </w:r>
      <w:r w:rsidRPr="009B574B">
        <w:t xml:space="preserve"> to the</w:t>
      </w:r>
      <w:r>
        <w:t xml:space="preserve"> current Poisons Standard </w:t>
      </w:r>
      <w:r w:rsidRPr="00BE3418">
        <w:t>which were referred</w:t>
      </w:r>
      <w:r w:rsidRPr="009B574B">
        <w:t xml:space="preserve"> to an expert advisory committee under subdivision 3D.2 of the Regulations in </w:t>
      </w:r>
      <w:r w:rsidR="006C252C">
        <w:t>June</w:t>
      </w:r>
      <w:r>
        <w:t xml:space="preserve"> </w:t>
      </w:r>
      <w:proofErr w:type="gramStart"/>
      <w:r>
        <w:t>2021</w:t>
      </w:r>
      <w:r w:rsidRPr="009B574B">
        <w:t>;</w:t>
      </w:r>
      <w:proofErr w:type="gramEnd"/>
    </w:p>
    <w:p w14:paraId="3A857BA4" w14:textId="77777777" w:rsidR="00CD1C8D" w:rsidRPr="009B574B" w:rsidRDefault="00CD1C8D" w:rsidP="00CD1C8D">
      <w:pPr>
        <w:pStyle w:val="ListBullet"/>
      </w:pPr>
      <w:r w:rsidRPr="009B574B">
        <w:t>the proposed date of effect of the proposed amendment</w:t>
      </w:r>
      <w:r w:rsidRPr="00BE3418">
        <w:t>s</w:t>
      </w:r>
      <w:r w:rsidRPr="009B574B">
        <w:t xml:space="preserve"> (in circumstances where the interim decision proposes an amendment to the current Poisons Standard).</w:t>
      </w:r>
    </w:p>
    <w:p w14:paraId="2DE51B98" w14:textId="07B388FD" w:rsidR="00CD1C8D" w:rsidRDefault="00CD1C8D" w:rsidP="00CD1C8D">
      <w:r>
        <w:t>In accordance with regulation 42ZCZP, i</w:t>
      </w:r>
      <w:r w:rsidRPr="004B78E1">
        <w:t xml:space="preserve">nterested persons </w:t>
      </w:r>
      <w:r>
        <w:t xml:space="preserve">(including </w:t>
      </w:r>
      <w:r w:rsidRPr="004B78E1">
        <w:t xml:space="preserve">the </w:t>
      </w:r>
      <w:r>
        <w:t>a</w:t>
      </w:r>
      <w:r w:rsidRPr="004B78E1">
        <w:t>pplicant requesting the amendment</w:t>
      </w:r>
      <w:r>
        <w:t xml:space="preserve">) </w:t>
      </w:r>
      <w:r w:rsidRPr="004B78E1">
        <w:t>are invited</w:t>
      </w:r>
      <w:r>
        <w:t xml:space="preserve"> to make </w:t>
      </w:r>
      <w:r w:rsidRPr="00416B66">
        <w:t>submissions to the Secretary in relation to these interim decisions on</w:t>
      </w:r>
      <w:r>
        <w:t xml:space="preserve"> or </w:t>
      </w:r>
      <w:r w:rsidRPr="0094532D">
        <w:t xml:space="preserve">before </w:t>
      </w:r>
      <w:r w:rsidR="00805E0F">
        <w:rPr>
          <w:b/>
        </w:rPr>
        <w:t>11</w:t>
      </w:r>
      <w:r w:rsidRPr="003D2511">
        <w:rPr>
          <w:b/>
        </w:rPr>
        <w:t xml:space="preserve"> </w:t>
      </w:r>
      <w:r w:rsidR="00B95FAC">
        <w:rPr>
          <w:b/>
        </w:rPr>
        <w:t>November</w:t>
      </w:r>
      <w:r w:rsidRPr="003D2511">
        <w:rPr>
          <w:b/>
        </w:rPr>
        <w:t xml:space="preserve"> 2021</w:t>
      </w:r>
      <w:r w:rsidRPr="0094532D">
        <w:t>.</w:t>
      </w:r>
    </w:p>
    <w:p w14:paraId="496067F7" w14:textId="77777777" w:rsidR="00CD1C8D" w:rsidRPr="00F46CB7" w:rsidRDefault="00CD1C8D" w:rsidP="00CD1C8D">
      <w:pPr>
        <w:shd w:val="clear" w:color="auto" w:fill="F1F1F1"/>
        <w:spacing w:after="120" w:line="240" w:lineRule="auto"/>
        <w:rPr>
          <w:rFonts w:eastAsia="Times New Roman"/>
          <w:i/>
          <w:color w:val="000000"/>
          <w:lang w:val="en" w:eastAsia="en-AU"/>
        </w:rPr>
      </w:pPr>
      <w:r w:rsidRPr="00F46CB7">
        <w:rPr>
          <w:rFonts w:eastAsia="Times New Roman"/>
          <w:i/>
          <w:color w:val="000000"/>
          <w:lang w:val="en" w:eastAsia="en-AU"/>
        </w:rPr>
        <w:t>We have changed the way to make submissions.</w:t>
      </w:r>
    </w:p>
    <w:p w14:paraId="12814F17" w14:textId="4715A883" w:rsidR="00CD1C8D" w:rsidRDefault="00CD1C8D" w:rsidP="00CD1C8D">
      <w:pPr>
        <w:shd w:val="clear" w:color="auto" w:fill="F1F1F1"/>
        <w:spacing w:after="120" w:line="240" w:lineRule="auto"/>
        <w:rPr>
          <w:rFonts w:eastAsia="Times New Roman"/>
          <w:color w:val="000000"/>
          <w:lang w:val="en" w:eastAsia="en-AU"/>
        </w:rPr>
      </w:pPr>
      <w:r w:rsidRPr="00150EDF">
        <w:rPr>
          <w:rFonts w:eastAsia="Times New Roman"/>
          <w:color w:val="000000"/>
          <w:lang w:val="en" w:eastAsia="en-AU"/>
        </w:rPr>
        <w:t>Submissions should</w:t>
      </w:r>
      <w:r>
        <w:rPr>
          <w:rFonts w:eastAsia="Times New Roman"/>
          <w:color w:val="000000"/>
          <w:lang w:val="en" w:eastAsia="en-AU"/>
        </w:rPr>
        <w:t xml:space="preserve"> now</w:t>
      </w:r>
      <w:r w:rsidRPr="00150EDF">
        <w:rPr>
          <w:rFonts w:eastAsia="Times New Roman"/>
          <w:color w:val="000000"/>
          <w:lang w:val="en" w:eastAsia="en-AU"/>
        </w:rPr>
        <w:t xml:space="preserve"> be provided through our </w:t>
      </w:r>
      <w:hyperlink r:id="rId13" w:history="1">
        <w:r w:rsidRPr="000041AF">
          <w:rPr>
            <w:rStyle w:val="Hyperlink"/>
            <w:lang w:val="en" w:eastAsia="en-AU"/>
          </w:rPr>
          <w:t>consultation hub</w:t>
        </w:r>
      </w:hyperlink>
      <w:r w:rsidRPr="00150EDF">
        <w:rPr>
          <w:rFonts w:eastAsia="Times New Roman"/>
          <w:color w:val="000000"/>
          <w:lang w:val="en" w:eastAsia="en-AU"/>
        </w:rPr>
        <w:t xml:space="preserve">. </w:t>
      </w:r>
      <w:r>
        <w:rPr>
          <w:rFonts w:eastAsia="Times New Roman"/>
          <w:color w:val="000000"/>
          <w:lang w:val="en" w:eastAsia="en-AU"/>
        </w:rPr>
        <w:t>Submissions</w:t>
      </w:r>
      <w:r w:rsidRPr="00150EDF">
        <w:rPr>
          <w:rFonts w:eastAsia="Times New Roman"/>
          <w:color w:val="000000"/>
          <w:lang w:val="en" w:eastAsia="en-AU"/>
        </w:rPr>
        <w:t xml:space="preserve"> will be considered </w:t>
      </w:r>
      <w:r>
        <w:rPr>
          <w:rFonts w:eastAsia="Times New Roman"/>
          <w:color w:val="000000"/>
          <w:lang w:val="en" w:eastAsia="en-AU"/>
        </w:rPr>
        <w:t>by the Delegate in making the final decision.</w:t>
      </w:r>
    </w:p>
    <w:p w14:paraId="05C3EF77" w14:textId="7DE8CE8D" w:rsidR="00987184" w:rsidRDefault="00CD1C8D" w:rsidP="00CD1C8D">
      <w:pPr>
        <w:rPr>
          <w:rFonts w:asciiTheme="minorHAnsi" w:hAnsiTheme="minorHAnsi"/>
        </w:rPr>
      </w:pPr>
      <w:r>
        <w:rPr>
          <w:rFonts w:asciiTheme="minorHAnsi" w:hAnsiTheme="minorHAnsi"/>
        </w:rPr>
        <w:t xml:space="preserve">Please note that in accordance with </w:t>
      </w:r>
      <w:proofErr w:type="spellStart"/>
      <w:r>
        <w:rPr>
          <w:rFonts w:asciiTheme="minorHAnsi" w:hAnsiTheme="minorHAnsi"/>
        </w:rPr>
        <w:t>subregulation</w:t>
      </w:r>
      <w:proofErr w:type="spellEnd"/>
      <w:r>
        <w:rPr>
          <w:rFonts w:asciiTheme="minorHAnsi" w:hAnsiTheme="minorHAnsi"/>
        </w:rPr>
        <w:t xml:space="preserve"> 42</w:t>
      </w:r>
      <w:proofErr w:type="gramStart"/>
      <w:r>
        <w:rPr>
          <w:rFonts w:asciiTheme="minorHAnsi" w:hAnsiTheme="minorHAnsi"/>
        </w:rPr>
        <w:t>ZCZQ(</w:t>
      </w:r>
      <w:proofErr w:type="gramEnd"/>
      <w:r>
        <w:rPr>
          <w:rFonts w:asciiTheme="minorHAnsi" w:hAnsiTheme="minorHAnsi"/>
        </w:rPr>
        <w:t>4) of the Regulations, the Secretary must publish all relevant submissions received, unless the Secretary considers the information to be confidential information.</w:t>
      </w:r>
    </w:p>
    <w:p w14:paraId="7D92A59F" w14:textId="1230F45F" w:rsidR="00CD1C8D" w:rsidRPr="00416B66" w:rsidRDefault="00987184" w:rsidP="00987184">
      <w:pPr>
        <w:spacing w:before="0" w:after="0" w:line="240" w:lineRule="auto"/>
        <w:rPr>
          <w:rFonts w:asciiTheme="minorHAnsi" w:hAnsiTheme="minorHAnsi"/>
        </w:rPr>
      </w:pPr>
      <w:r>
        <w:rPr>
          <w:rFonts w:asciiTheme="minorHAnsi" w:hAnsiTheme="minorHAnsi"/>
        </w:rPr>
        <w:br w:type="page"/>
      </w:r>
    </w:p>
    <w:p w14:paraId="5E5E381B" w14:textId="2F5DA288" w:rsidR="001E0113" w:rsidRDefault="001E0113" w:rsidP="00371400">
      <w:pPr>
        <w:pStyle w:val="Heading2"/>
      </w:pPr>
      <w:bookmarkStart w:id="7" w:name="_Toc80898722"/>
      <w:r>
        <w:lastRenderedPageBreak/>
        <w:t xml:space="preserve">Interim </w:t>
      </w:r>
      <w:r w:rsidRPr="00371400">
        <w:t>d</w:t>
      </w:r>
      <w:r w:rsidRPr="00CD1C8D">
        <w:t xml:space="preserve">ecisions </w:t>
      </w:r>
      <w:bookmarkEnd w:id="3"/>
      <w:r w:rsidRPr="00CD1C8D">
        <w:t>on proposed amendments referred to the</w:t>
      </w:r>
      <w:r w:rsidR="003C5C8E">
        <w:t xml:space="preserve"> Advisory Committee on </w:t>
      </w:r>
      <w:r w:rsidR="00966C65">
        <w:t xml:space="preserve">Medicines and </w:t>
      </w:r>
      <w:r w:rsidR="003C5C8E">
        <w:t>Chemicals</w:t>
      </w:r>
      <w:r w:rsidRPr="00CD1C8D">
        <w:t xml:space="preserve"> Scheduling</w:t>
      </w:r>
      <w:r w:rsidR="00966C65">
        <w:t xml:space="preserve"> in joint session</w:t>
      </w:r>
      <w:r w:rsidRPr="00CD1C8D">
        <w:t xml:space="preserve"> (</w:t>
      </w:r>
      <w:r w:rsidR="00966C65">
        <w:t>Joint ACMS-ACCS #28</w:t>
      </w:r>
      <w:r w:rsidR="00CD1C8D" w:rsidRPr="00CD1C8D">
        <w:t>, June 2021</w:t>
      </w:r>
      <w:r w:rsidRPr="00CD1C8D">
        <w:t>)</w:t>
      </w:r>
      <w:bookmarkEnd w:id="4"/>
      <w:bookmarkEnd w:id="7"/>
    </w:p>
    <w:p w14:paraId="5F9B5B3E" w14:textId="10306671" w:rsidR="001E0113" w:rsidRDefault="001E0113" w:rsidP="00A61442">
      <w:pPr>
        <w:pStyle w:val="Heading3"/>
      </w:pPr>
      <w:bookmarkStart w:id="8" w:name="_Toc80898723"/>
      <w:r>
        <w:t xml:space="preserve">Interim decision in </w:t>
      </w:r>
      <w:r w:rsidRPr="001E0113">
        <w:t>relation</w:t>
      </w:r>
      <w:r>
        <w:t xml:space="preserve"> to </w:t>
      </w:r>
      <w:r w:rsidR="00966C65">
        <w:t>ethanol and isopropanol in hand sanitisers</w:t>
      </w:r>
      <w:bookmarkEnd w:id="8"/>
    </w:p>
    <w:p w14:paraId="786B0D09" w14:textId="65DD5D83" w:rsidR="00CD1C8D" w:rsidRPr="00C721A5" w:rsidRDefault="00CD1C8D" w:rsidP="00C721A5">
      <w:pPr>
        <w:pStyle w:val="Heading4"/>
      </w:pPr>
      <w:bookmarkStart w:id="9" w:name="_Toc80898724"/>
      <w:r w:rsidRPr="00C721A5">
        <w:rPr>
          <w:rFonts w:ascii="Cambria" w:eastAsia="Times New Roman" w:hAnsi="Cambria"/>
          <w:i/>
          <w:color w:val="001523"/>
          <w:sz w:val="22"/>
        </w:rPr>
        <w:t>Proposal</w:t>
      </w:r>
      <w:bookmarkEnd w:id="9"/>
    </w:p>
    <w:p w14:paraId="0A94384E" w14:textId="438CECCF" w:rsidR="00AF7612" w:rsidRPr="00AF7612" w:rsidRDefault="00A03BF3" w:rsidP="00AF7612">
      <w:r>
        <w:t>The applicant(s) proposed to create new Schedule 6 entr</w:t>
      </w:r>
      <w:r w:rsidR="005C2393">
        <w:t>ies</w:t>
      </w:r>
      <w:r>
        <w:t xml:space="preserve"> for ethanol and isopropanol when present in hand sanitiser</w:t>
      </w:r>
      <w:r w:rsidR="00F42129">
        <w:t xml:space="preserve"> preparations at concentrations greater than</w:t>
      </w:r>
      <w:r w:rsidRPr="00A03BF3">
        <w:t xml:space="preserve"> 50%</w:t>
      </w:r>
      <w:r w:rsidR="00AF7612">
        <w:t xml:space="preserve">, with exceptions when meeting certain requirements for packaging, labelling, </w:t>
      </w:r>
      <w:proofErr w:type="gramStart"/>
      <w:r w:rsidR="00AF7612">
        <w:t>formulation</w:t>
      </w:r>
      <w:proofErr w:type="gramEnd"/>
      <w:r w:rsidR="00AF7612">
        <w:t xml:space="preserve"> and physical properties.</w:t>
      </w:r>
    </w:p>
    <w:p w14:paraId="470047DF" w14:textId="06F73CDA" w:rsidR="001C1E0E" w:rsidRDefault="00A03BF3" w:rsidP="00AF7612">
      <w:r>
        <w:t xml:space="preserve">Neither substance is currently captured by any Schedule entry, </w:t>
      </w:r>
      <w:r w:rsidR="006852E2">
        <w:t>al</w:t>
      </w:r>
      <w:r>
        <w:t>though ethanol is listed in Appendix B (substances considered not to require control by scheduling) under the alternative name ethyl alcohol</w:t>
      </w:r>
      <w:r w:rsidR="00701DF4">
        <w:t>.</w:t>
      </w:r>
      <w:r>
        <w:t xml:space="preserve"> </w:t>
      </w:r>
    </w:p>
    <w:p w14:paraId="660847E4" w14:textId="28DA80AB" w:rsidR="001E0113" w:rsidRPr="00C721A5" w:rsidRDefault="00CD1C8D" w:rsidP="00C721A5">
      <w:pPr>
        <w:pStyle w:val="Heading4"/>
        <w:rPr>
          <w:rFonts w:ascii="Cambria" w:eastAsia="Times New Roman" w:hAnsi="Cambria"/>
          <w:i/>
          <w:color w:val="001523"/>
          <w:sz w:val="22"/>
        </w:rPr>
      </w:pPr>
      <w:bookmarkStart w:id="10" w:name="_Toc80898725"/>
      <w:r w:rsidRPr="00C721A5">
        <w:rPr>
          <w:rFonts w:ascii="Cambria" w:eastAsia="Times New Roman" w:hAnsi="Cambria"/>
          <w:i/>
          <w:color w:val="001523"/>
          <w:sz w:val="22"/>
        </w:rPr>
        <w:t>Interim d</w:t>
      </w:r>
      <w:r w:rsidR="004A7E67" w:rsidRPr="00C721A5">
        <w:rPr>
          <w:rFonts w:ascii="Cambria" w:eastAsia="Times New Roman" w:hAnsi="Cambria"/>
          <w:i/>
          <w:color w:val="001523"/>
          <w:sz w:val="22"/>
        </w:rPr>
        <w:t>ecision</w:t>
      </w:r>
      <w:bookmarkEnd w:id="10"/>
    </w:p>
    <w:p w14:paraId="1EDA9241" w14:textId="6D874CC5" w:rsidR="004B1687" w:rsidRDefault="004B1687" w:rsidP="004B1687">
      <w:r w:rsidRPr="00A05D10">
        <w:t xml:space="preserve">Pursuant to regulation 42ZCZN of the Regulations, a Delegate of the Secretary has, in relation to the proposed amendment, made an interim decision </w:t>
      </w:r>
      <w:r>
        <w:t>not</w:t>
      </w:r>
      <w:r w:rsidRPr="00A05D10">
        <w:t xml:space="preserve"> to amend the</w:t>
      </w:r>
      <w:r>
        <w:t xml:space="preserve"> scheduling for ethanol and isopropanol in hand sanitisers in the </w:t>
      </w:r>
      <w:r w:rsidRPr="00A05D10">
        <w:t>current Poisons St</w:t>
      </w:r>
      <w:r>
        <w:t>andard.</w:t>
      </w:r>
    </w:p>
    <w:p w14:paraId="1F7B2B9B" w14:textId="77777777" w:rsidR="00185524" w:rsidRPr="00C721A5" w:rsidRDefault="00185524" w:rsidP="00185524">
      <w:pPr>
        <w:pStyle w:val="Heading4"/>
        <w:rPr>
          <w:rFonts w:ascii="Cambria" w:eastAsia="Times New Roman" w:hAnsi="Cambria"/>
          <w:i/>
          <w:color w:val="001523"/>
          <w:sz w:val="22"/>
        </w:rPr>
      </w:pPr>
      <w:bookmarkStart w:id="11" w:name="_Toc80898726"/>
      <w:r w:rsidRPr="00C721A5">
        <w:rPr>
          <w:rFonts w:ascii="Cambria" w:eastAsia="Times New Roman" w:hAnsi="Cambria"/>
          <w:i/>
          <w:color w:val="001523"/>
          <w:sz w:val="22"/>
        </w:rPr>
        <w:t>Materials considered</w:t>
      </w:r>
      <w:bookmarkEnd w:id="11"/>
    </w:p>
    <w:p w14:paraId="5344ACC7" w14:textId="77777777" w:rsidR="00185524" w:rsidRDefault="00185524" w:rsidP="00185524">
      <w:r>
        <w:t>In making this interim decision, the Delegate considered the following material:</w:t>
      </w:r>
    </w:p>
    <w:p w14:paraId="0CA53579" w14:textId="61A45C09" w:rsidR="00185524" w:rsidRDefault="00185524" w:rsidP="00185524">
      <w:pPr>
        <w:pStyle w:val="ListBullet"/>
      </w:pPr>
      <w:r w:rsidRPr="000E0D69">
        <w:t xml:space="preserve">The </w:t>
      </w:r>
      <w:hyperlink r:id="rId14" w:history="1">
        <w:r w:rsidRPr="00D70DC2">
          <w:rPr>
            <w:rStyle w:val="Hyperlink"/>
          </w:rPr>
          <w:t>application</w:t>
        </w:r>
      </w:hyperlink>
      <w:r w:rsidR="00F51CC7">
        <w:rPr>
          <w:rStyle w:val="Hyperlink"/>
        </w:rPr>
        <w:t>s</w:t>
      </w:r>
      <w:r w:rsidRPr="000E0D69">
        <w:t xml:space="preserve"> to amend the</w:t>
      </w:r>
      <w:r>
        <w:t xml:space="preserve"> current Poisons Standard with respect to </w:t>
      </w:r>
      <w:r w:rsidR="00F51CC7">
        <w:t>ethanol and isopropanol</w:t>
      </w:r>
      <w:r>
        <w:t>;</w:t>
      </w:r>
    </w:p>
    <w:p w14:paraId="39011B01" w14:textId="3E00F2AB" w:rsidR="00185524" w:rsidRPr="006367ED" w:rsidRDefault="00185524" w:rsidP="00185524">
      <w:pPr>
        <w:pStyle w:val="ListBullet"/>
      </w:pPr>
      <w:r>
        <w:t xml:space="preserve">The </w:t>
      </w:r>
      <w:r w:rsidR="005360D4">
        <w:t>six</w:t>
      </w:r>
      <w:r w:rsidRPr="006367ED">
        <w:t xml:space="preserve"> </w:t>
      </w:r>
      <w:hyperlink r:id="rId15" w:history="1">
        <w:r w:rsidRPr="006367ED">
          <w:rPr>
            <w:rStyle w:val="Hyperlink"/>
          </w:rPr>
          <w:t>public submissions</w:t>
        </w:r>
      </w:hyperlink>
      <w:r w:rsidRPr="006367ED">
        <w:rPr>
          <w:rStyle w:val="Hyperlink"/>
          <w:color w:val="auto"/>
        </w:rPr>
        <w:t>,</w:t>
      </w:r>
      <w:r w:rsidRPr="006367ED">
        <w:t xml:space="preserve"> </w:t>
      </w:r>
      <w:r>
        <w:t>all</w:t>
      </w:r>
      <w:r w:rsidRPr="006367ED">
        <w:t xml:space="preserve"> including a written component, received in response to the </w:t>
      </w:r>
      <w:hyperlink r:id="rId16" w:history="1">
        <w:r w:rsidRPr="006367ED">
          <w:rPr>
            <w:rStyle w:val="Hyperlink"/>
          </w:rPr>
          <w:t>pre-meeting consultation</w:t>
        </w:r>
      </w:hyperlink>
      <w:r w:rsidRPr="006367ED">
        <w:t xml:space="preserve"> under regulation 42ZCZK of the Regulations;</w:t>
      </w:r>
    </w:p>
    <w:p w14:paraId="7A75CA1B" w14:textId="77777777" w:rsidR="00185524" w:rsidRDefault="00185524" w:rsidP="00185524">
      <w:pPr>
        <w:pStyle w:val="ListBullet"/>
      </w:pPr>
      <w:r>
        <w:t>The advice received from the m</w:t>
      </w:r>
      <w:r w:rsidRPr="00A825A4">
        <w:t xml:space="preserve">eeting of the </w:t>
      </w:r>
      <w:r>
        <w:t>A</w:t>
      </w:r>
      <w:r w:rsidRPr="00344CA2">
        <w:t>dvisory Committee on Medicines and Chemicals Scheduling in jo</w:t>
      </w:r>
      <w:r>
        <w:t>int session (Joint ACMS-ACCS #28</w:t>
      </w:r>
      <w:proofErr w:type="gramStart"/>
      <w:r w:rsidRPr="00344CA2">
        <w:t>);</w:t>
      </w:r>
      <w:proofErr w:type="gramEnd"/>
    </w:p>
    <w:p w14:paraId="13D7585C" w14:textId="77777777" w:rsidR="00185524" w:rsidRDefault="00185524" w:rsidP="00185524">
      <w:pPr>
        <w:pStyle w:val="ListBullet"/>
      </w:pPr>
      <w:r>
        <w:t xml:space="preserve">Subsection 52E(1) of the </w:t>
      </w:r>
      <w:r w:rsidRPr="00FC4D25">
        <w:rPr>
          <w:i/>
        </w:rPr>
        <w:t xml:space="preserve">Therapeutic Goods Act 1989, </w:t>
      </w:r>
      <w:r w:rsidRPr="001169AC">
        <w:t xml:space="preserve">in particular </w:t>
      </w:r>
      <w:r>
        <w:t>(a) risks and benefits of the use of a substance; (b) the purposes for which a substance is to be used and the extent of use of a substance;</w:t>
      </w:r>
      <w:r w:rsidRPr="00253950">
        <w:t xml:space="preserve"> (c) the toxicity of a substance; (d) the dosage, formulation, labelling, packaging and presentation of a substance; </w:t>
      </w:r>
      <w:r>
        <w:t>(e) the potential for abuse of a substance;</w:t>
      </w:r>
      <w:r w:rsidRPr="00253950">
        <w:t xml:space="preserve"> and (f) any other matters that the Secretary considers nec</w:t>
      </w:r>
      <w:r>
        <w:t>essary to protect public health;</w:t>
      </w:r>
    </w:p>
    <w:p w14:paraId="47658049" w14:textId="77777777" w:rsidR="00185524" w:rsidRDefault="00185524" w:rsidP="00185524">
      <w:pPr>
        <w:pStyle w:val="ListBullet"/>
      </w:pPr>
      <w:r w:rsidRPr="002C1418">
        <w:t xml:space="preserve">The Australian Health Ministers’ Advisory Council’s </w:t>
      </w:r>
      <w:hyperlink r:id="rId17" w:history="1">
        <w:r w:rsidRPr="001A7580">
          <w:rPr>
            <w:rStyle w:val="Hyperlink"/>
          </w:rPr>
          <w:t>Scheduling Policy Framework</w:t>
        </w:r>
      </w:hyperlink>
      <w:r>
        <w:t xml:space="preserve"> (SPF 2018</w:t>
      </w:r>
      <w:r w:rsidRPr="002C20AE">
        <w:t>);</w:t>
      </w:r>
      <w:r>
        <w:t xml:space="preserve"> and</w:t>
      </w:r>
    </w:p>
    <w:p w14:paraId="1BF75992" w14:textId="77777777" w:rsidR="00185524" w:rsidRPr="006501A1" w:rsidRDefault="00185524" w:rsidP="00185524">
      <w:pPr>
        <w:pStyle w:val="ListBullet"/>
      </w:pPr>
      <w:r>
        <w:t xml:space="preserve">The </w:t>
      </w:r>
      <w:hyperlink r:id="rId18" w:history="1">
        <w:r w:rsidRPr="001A7580">
          <w:rPr>
            <w:rStyle w:val="Hyperlink"/>
          </w:rPr>
          <w:t>Scheduling handbook: Guidance for amending the Poisons Standard</w:t>
        </w:r>
      </w:hyperlink>
      <w:r>
        <w:t>.</w:t>
      </w:r>
    </w:p>
    <w:p w14:paraId="7B3402D6" w14:textId="77777777" w:rsidR="00185524" w:rsidRPr="00C721A5" w:rsidRDefault="00185524" w:rsidP="00185524">
      <w:pPr>
        <w:pStyle w:val="Heading4"/>
        <w:rPr>
          <w:rFonts w:ascii="Cambria" w:eastAsia="Times New Roman" w:hAnsi="Cambria"/>
          <w:i/>
          <w:color w:val="001523"/>
          <w:sz w:val="22"/>
        </w:rPr>
      </w:pPr>
      <w:bookmarkStart w:id="12" w:name="_Toc80898727"/>
      <w:r>
        <w:rPr>
          <w:rFonts w:ascii="Cambria" w:eastAsia="Times New Roman" w:hAnsi="Cambria"/>
          <w:i/>
          <w:color w:val="001523"/>
          <w:sz w:val="22"/>
        </w:rPr>
        <w:lastRenderedPageBreak/>
        <w:t>Summary of ACMS-ACC</w:t>
      </w:r>
      <w:r w:rsidRPr="00C721A5">
        <w:rPr>
          <w:rFonts w:ascii="Cambria" w:eastAsia="Times New Roman" w:hAnsi="Cambria"/>
          <w:i/>
          <w:color w:val="001523"/>
          <w:sz w:val="22"/>
        </w:rPr>
        <w:t>S advice to the delegate</w:t>
      </w:r>
      <w:bookmarkEnd w:id="12"/>
    </w:p>
    <w:p w14:paraId="0EF74093" w14:textId="24B3B464" w:rsidR="00F51CC7" w:rsidRDefault="00F51CC7" w:rsidP="00F51CC7">
      <w:r>
        <w:t>The Committee did not make a recommendation regarding the scheduling of ethanol and isopropanol in hand sanitisers. They advised that there w</w:t>
      </w:r>
      <w:r w:rsidR="003E2AB6">
        <w:t>ere</w:t>
      </w:r>
      <w:r>
        <w:t xml:space="preserve"> insufficient data provided to support changes to the current scheduling of either substance.</w:t>
      </w:r>
    </w:p>
    <w:p w14:paraId="2314CAFD" w14:textId="1D1C1C6C" w:rsidR="00AF7612" w:rsidRDefault="00AF7612" w:rsidP="00AF7612">
      <w:pPr>
        <w:pStyle w:val="Default"/>
        <w:spacing w:after="143"/>
        <w:rPr>
          <w:sz w:val="22"/>
          <w:szCs w:val="22"/>
        </w:rPr>
      </w:pPr>
      <w:r>
        <w:rPr>
          <w:sz w:val="22"/>
          <w:szCs w:val="22"/>
        </w:rPr>
        <w:t>The Committee acknowledged that the increased use of high concentration</w:t>
      </w:r>
      <w:r w:rsidR="006852E2">
        <w:rPr>
          <w:sz w:val="22"/>
          <w:szCs w:val="22"/>
        </w:rPr>
        <w:t>,</w:t>
      </w:r>
      <w:r>
        <w:rPr>
          <w:sz w:val="22"/>
          <w:szCs w:val="22"/>
        </w:rPr>
        <w:t xml:space="preserve"> alcohol-based hand sanitisers (up to 90% concentration) in domestic settings has increased public health risks for accidental and deliberate ingestion. The Committee also acknowledged the increase in calls to Australian </w:t>
      </w:r>
      <w:r w:rsidR="003E2AB6">
        <w:rPr>
          <w:sz w:val="22"/>
          <w:szCs w:val="22"/>
        </w:rPr>
        <w:t>Poison</w:t>
      </w:r>
      <w:r w:rsidR="00105FC4">
        <w:rPr>
          <w:sz w:val="22"/>
          <w:szCs w:val="22"/>
        </w:rPr>
        <w:t>s</w:t>
      </w:r>
      <w:r w:rsidR="003E2AB6">
        <w:rPr>
          <w:sz w:val="22"/>
          <w:szCs w:val="22"/>
        </w:rPr>
        <w:t xml:space="preserve"> Information Centres (</w:t>
      </w:r>
      <w:r>
        <w:rPr>
          <w:sz w:val="22"/>
          <w:szCs w:val="22"/>
        </w:rPr>
        <w:t>PICs</w:t>
      </w:r>
      <w:r w:rsidR="003E2AB6">
        <w:rPr>
          <w:sz w:val="22"/>
          <w:szCs w:val="22"/>
        </w:rPr>
        <w:t>)</w:t>
      </w:r>
      <w:r>
        <w:rPr>
          <w:sz w:val="22"/>
          <w:szCs w:val="22"/>
        </w:rPr>
        <w:t xml:space="preserve"> but noted there has been no information provided on</w:t>
      </w:r>
      <w:r w:rsidR="006852E2">
        <w:rPr>
          <w:sz w:val="22"/>
          <w:szCs w:val="22"/>
        </w:rPr>
        <w:t xml:space="preserve"> the</w:t>
      </w:r>
      <w:r>
        <w:rPr>
          <w:sz w:val="22"/>
          <w:szCs w:val="22"/>
        </w:rPr>
        <w:t xml:space="preserve"> amounts ingested, the patient condition, </w:t>
      </w:r>
      <w:r w:rsidR="00C73529">
        <w:rPr>
          <w:sz w:val="22"/>
          <w:szCs w:val="22"/>
        </w:rPr>
        <w:t xml:space="preserve">the </w:t>
      </w:r>
      <w:r>
        <w:rPr>
          <w:sz w:val="22"/>
          <w:szCs w:val="22"/>
        </w:rPr>
        <w:t>severity</w:t>
      </w:r>
      <w:r w:rsidR="00C73529">
        <w:rPr>
          <w:sz w:val="22"/>
          <w:szCs w:val="22"/>
        </w:rPr>
        <w:t xml:space="preserve"> of the intoxication</w:t>
      </w:r>
      <w:r>
        <w:rPr>
          <w:sz w:val="22"/>
          <w:szCs w:val="22"/>
        </w:rPr>
        <w:t xml:space="preserve"> and </w:t>
      </w:r>
      <w:r w:rsidR="00C73529">
        <w:rPr>
          <w:sz w:val="22"/>
          <w:szCs w:val="22"/>
        </w:rPr>
        <w:t xml:space="preserve">the clinical </w:t>
      </w:r>
      <w:r>
        <w:rPr>
          <w:sz w:val="22"/>
          <w:szCs w:val="22"/>
        </w:rPr>
        <w:t xml:space="preserve">outcomes – other than to indicate that some had presented to the hospital or </w:t>
      </w:r>
      <w:r w:rsidR="006852E2">
        <w:rPr>
          <w:sz w:val="22"/>
          <w:szCs w:val="22"/>
        </w:rPr>
        <w:t>general practitioner (</w:t>
      </w:r>
      <w:r>
        <w:rPr>
          <w:sz w:val="22"/>
          <w:szCs w:val="22"/>
        </w:rPr>
        <w:t>GP</w:t>
      </w:r>
      <w:r w:rsidR="006852E2">
        <w:rPr>
          <w:sz w:val="22"/>
          <w:szCs w:val="22"/>
        </w:rPr>
        <w:t>)</w:t>
      </w:r>
      <w:r>
        <w:rPr>
          <w:sz w:val="22"/>
          <w:szCs w:val="22"/>
        </w:rPr>
        <w:t xml:space="preserve">. </w:t>
      </w:r>
      <w:r w:rsidR="00D53648">
        <w:rPr>
          <w:sz w:val="22"/>
          <w:szCs w:val="22"/>
        </w:rPr>
        <w:t xml:space="preserve">Members noted that </w:t>
      </w:r>
      <w:r w:rsidR="00786FA8">
        <w:rPr>
          <w:sz w:val="22"/>
          <w:szCs w:val="22"/>
        </w:rPr>
        <w:t xml:space="preserve">no information </w:t>
      </w:r>
      <w:r w:rsidR="00D53648">
        <w:rPr>
          <w:sz w:val="22"/>
          <w:szCs w:val="22"/>
        </w:rPr>
        <w:t xml:space="preserve">was </w:t>
      </w:r>
      <w:r w:rsidR="00786FA8">
        <w:rPr>
          <w:sz w:val="22"/>
          <w:szCs w:val="22"/>
        </w:rPr>
        <w:t>provided</w:t>
      </w:r>
      <w:r w:rsidR="00D53648">
        <w:rPr>
          <w:sz w:val="22"/>
          <w:szCs w:val="22"/>
        </w:rPr>
        <w:t xml:space="preserve"> on whether the proposed scheduling changes would have prevented these incidents. </w:t>
      </w:r>
    </w:p>
    <w:p w14:paraId="04CB32B3" w14:textId="5A7B28A2" w:rsidR="00AF7612" w:rsidRDefault="00AF7612" w:rsidP="00AF7612">
      <w:pPr>
        <w:pStyle w:val="Default"/>
        <w:spacing w:after="143"/>
        <w:rPr>
          <w:sz w:val="22"/>
          <w:szCs w:val="22"/>
        </w:rPr>
      </w:pPr>
      <w:r>
        <w:rPr>
          <w:sz w:val="22"/>
          <w:szCs w:val="22"/>
        </w:rPr>
        <w:t xml:space="preserve">The </w:t>
      </w:r>
      <w:r w:rsidR="00786FA8">
        <w:rPr>
          <w:sz w:val="22"/>
          <w:szCs w:val="22"/>
        </w:rPr>
        <w:t>C</w:t>
      </w:r>
      <w:r>
        <w:rPr>
          <w:sz w:val="22"/>
          <w:szCs w:val="22"/>
        </w:rPr>
        <w:t xml:space="preserve">ommittee </w:t>
      </w:r>
      <w:r w:rsidR="00786FA8">
        <w:rPr>
          <w:sz w:val="22"/>
          <w:szCs w:val="22"/>
        </w:rPr>
        <w:t>noted</w:t>
      </w:r>
      <w:r>
        <w:rPr>
          <w:sz w:val="22"/>
          <w:szCs w:val="22"/>
        </w:rPr>
        <w:t xml:space="preserve"> public submissions opposing the scheduling amendment</w:t>
      </w:r>
      <w:r w:rsidR="00786FA8">
        <w:rPr>
          <w:sz w:val="22"/>
          <w:szCs w:val="22"/>
        </w:rPr>
        <w:t xml:space="preserve"> for hand sanitisers and their long history of safe use.  The </w:t>
      </w:r>
      <w:r w:rsidR="00C73529">
        <w:rPr>
          <w:sz w:val="22"/>
          <w:szCs w:val="22"/>
        </w:rPr>
        <w:t>C</w:t>
      </w:r>
      <w:r w:rsidR="00786FA8">
        <w:rPr>
          <w:sz w:val="22"/>
          <w:szCs w:val="22"/>
        </w:rPr>
        <w:t xml:space="preserve">ommittee noted </w:t>
      </w:r>
      <w:r w:rsidR="0017141E">
        <w:rPr>
          <w:sz w:val="22"/>
          <w:szCs w:val="22"/>
        </w:rPr>
        <w:t xml:space="preserve">submissions </w:t>
      </w:r>
      <w:r w:rsidR="00786FA8">
        <w:rPr>
          <w:sz w:val="22"/>
          <w:szCs w:val="22"/>
        </w:rPr>
        <w:t>calling for</w:t>
      </w:r>
      <w:r>
        <w:rPr>
          <w:sz w:val="22"/>
          <w:szCs w:val="22"/>
        </w:rPr>
        <w:t xml:space="preserve"> more time </w:t>
      </w:r>
      <w:r w:rsidR="00786FA8">
        <w:rPr>
          <w:sz w:val="22"/>
          <w:szCs w:val="22"/>
        </w:rPr>
        <w:t>to</w:t>
      </w:r>
      <w:r>
        <w:rPr>
          <w:sz w:val="22"/>
          <w:szCs w:val="22"/>
        </w:rPr>
        <w:t xml:space="preserve"> monitor </w:t>
      </w:r>
      <w:r w:rsidR="00786FA8">
        <w:rPr>
          <w:sz w:val="22"/>
          <w:szCs w:val="22"/>
        </w:rPr>
        <w:t xml:space="preserve">the impact of </w:t>
      </w:r>
      <w:proofErr w:type="gramStart"/>
      <w:r w:rsidR="00786FA8">
        <w:rPr>
          <w:sz w:val="22"/>
          <w:szCs w:val="22"/>
        </w:rPr>
        <w:t>a number of</w:t>
      </w:r>
      <w:proofErr w:type="gramEnd"/>
      <w:r w:rsidR="00786FA8">
        <w:rPr>
          <w:sz w:val="22"/>
          <w:szCs w:val="22"/>
        </w:rPr>
        <w:t xml:space="preserve"> regulatory changes and market stabilisation </w:t>
      </w:r>
      <w:r>
        <w:rPr>
          <w:sz w:val="22"/>
          <w:szCs w:val="22"/>
        </w:rPr>
        <w:t xml:space="preserve">before assessing the need for scheduling intervention. </w:t>
      </w:r>
    </w:p>
    <w:p w14:paraId="157E8A3F" w14:textId="440AA696" w:rsidR="00AF7612" w:rsidRPr="00DA53AC" w:rsidRDefault="00AF7612" w:rsidP="00414D68">
      <w:pPr>
        <w:pStyle w:val="Default"/>
        <w:spacing w:after="143"/>
        <w:rPr>
          <w:szCs w:val="22"/>
        </w:rPr>
      </w:pPr>
      <w:r>
        <w:rPr>
          <w:sz w:val="22"/>
          <w:szCs w:val="22"/>
        </w:rPr>
        <w:t>The Committee also considered public submissions that raised concerns regarding the proposed viscosity levels, mandatory inclusion of bittering agents, and</w:t>
      </w:r>
      <w:r w:rsidR="00786FA8">
        <w:rPr>
          <w:sz w:val="22"/>
          <w:szCs w:val="22"/>
        </w:rPr>
        <w:t xml:space="preserve"> questioning</w:t>
      </w:r>
      <w:r>
        <w:rPr>
          <w:sz w:val="22"/>
          <w:szCs w:val="22"/>
        </w:rPr>
        <w:t xml:space="preserve"> the practicality of inclu</w:t>
      </w:r>
      <w:r w:rsidR="00786FA8">
        <w:rPr>
          <w:sz w:val="22"/>
          <w:szCs w:val="22"/>
        </w:rPr>
        <w:t>ding</w:t>
      </w:r>
      <w:r>
        <w:rPr>
          <w:sz w:val="22"/>
          <w:szCs w:val="22"/>
        </w:rPr>
        <w:t xml:space="preserve"> </w:t>
      </w:r>
      <w:r w:rsidR="00786FA8">
        <w:rPr>
          <w:sz w:val="22"/>
          <w:szCs w:val="22"/>
        </w:rPr>
        <w:t xml:space="preserve">the </w:t>
      </w:r>
      <w:r>
        <w:rPr>
          <w:sz w:val="22"/>
          <w:szCs w:val="22"/>
        </w:rPr>
        <w:t xml:space="preserve">label warnings to some products due to small packaging size and the lack of clarity around the proposed packaging requirements. </w:t>
      </w:r>
    </w:p>
    <w:p w14:paraId="155CA591" w14:textId="72DFCBCD" w:rsidR="00185524" w:rsidRDefault="00154C27" w:rsidP="002650A0">
      <w:pPr>
        <w:pStyle w:val="Heading4"/>
        <w:rPr>
          <w:rFonts w:ascii="Cambria" w:eastAsia="Times New Roman" w:hAnsi="Cambria"/>
          <w:i/>
          <w:color w:val="001523"/>
          <w:sz w:val="22"/>
        </w:rPr>
      </w:pPr>
      <w:bookmarkStart w:id="13" w:name="_Toc80898728"/>
      <w:r w:rsidRPr="00C721A5">
        <w:rPr>
          <w:rFonts w:ascii="Cambria" w:eastAsia="Times New Roman" w:hAnsi="Cambria"/>
          <w:i/>
          <w:color w:val="001523"/>
          <w:sz w:val="22"/>
        </w:rPr>
        <w:t>Reasons for the interim decision (including findings on material questions of fact)</w:t>
      </w:r>
      <w:bookmarkEnd w:id="13"/>
    </w:p>
    <w:p w14:paraId="55B8C493" w14:textId="77777777" w:rsidR="006F1F0C" w:rsidRPr="006F1F0C" w:rsidRDefault="006F1F0C" w:rsidP="006F1F0C">
      <w:pPr>
        <w:spacing w:before="180"/>
        <w:rPr>
          <w:rFonts w:cstheme="minorBidi"/>
          <w:szCs w:val="22"/>
        </w:rPr>
      </w:pPr>
      <w:r w:rsidRPr="006F1F0C">
        <w:rPr>
          <w:rFonts w:cstheme="minorBidi"/>
          <w:szCs w:val="22"/>
        </w:rPr>
        <w:t>I have made an interim decision not to amend the current Poisons Standard in relation to ethanol (ethyl alcohol) and isopropanol. The detailed reasons for my decision follow.</w:t>
      </w:r>
    </w:p>
    <w:p w14:paraId="2C5A1565" w14:textId="74E62BD8" w:rsidR="006F1F0C" w:rsidRPr="006F1F0C" w:rsidRDefault="006F1F0C" w:rsidP="006F1F0C">
      <w:pPr>
        <w:spacing w:before="180"/>
        <w:rPr>
          <w:rFonts w:cstheme="minorBidi"/>
          <w:bCs/>
          <w:szCs w:val="22"/>
        </w:rPr>
      </w:pPr>
      <w:r w:rsidRPr="006F1F0C">
        <w:rPr>
          <w:rFonts w:cstheme="minorBidi"/>
          <w:szCs w:val="22"/>
        </w:rPr>
        <w:t xml:space="preserve">I </w:t>
      </w:r>
      <w:r>
        <w:rPr>
          <w:rFonts w:cstheme="minorBidi"/>
          <w:szCs w:val="22"/>
        </w:rPr>
        <w:t>find</w:t>
      </w:r>
      <w:r w:rsidRPr="006F1F0C">
        <w:rPr>
          <w:rFonts w:cstheme="minorBidi"/>
          <w:szCs w:val="22"/>
        </w:rPr>
        <w:t xml:space="preserve"> that the relevant provisions of Section 52E of the </w:t>
      </w:r>
      <w:r w:rsidRPr="006F1F0C">
        <w:rPr>
          <w:rFonts w:cstheme="minorBidi"/>
          <w:bCs/>
          <w:i/>
          <w:iCs/>
          <w:szCs w:val="22"/>
        </w:rPr>
        <w:t>Therapeutic Goods Act 1989</w:t>
      </w:r>
      <w:r w:rsidRPr="006F1F0C">
        <w:rPr>
          <w:rFonts w:cstheme="minorBidi"/>
          <w:bCs/>
          <w:szCs w:val="22"/>
        </w:rPr>
        <w:t> are:</w:t>
      </w:r>
      <w:r w:rsidRPr="006F1F0C">
        <w:rPr>
          <w:rFonts w:cstheme="minorBidi"/>
          <w:szCs w:val="22"/>
        </w:rPr>
        <w:t xml:space="preserve"> (a) </w:t>
      </w:r>
      <w:r w:rsidR="00FC7FD1">
        <w:rPr>
          <w:rFonts w:cstheme="minorBidi"/>
          <w:szCs w:val="22"/>
        </w:rPr>
        <w:t xml:space="preserve">the </w:t>
      </w:r>
      <w:r w:rsidRPr="006F1F0C">
        <w:rPr>
          <w:rFonts w:cstheme="minorBidi"/>
          <w:szCs w:val="22"/>
        </w:rPr>
        <w:t>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r w:rsidRPr="006F1F0C">
        <w:rPr>
          <w:rFonts w:cstheme="minorBidi"/>
          <w:bCs/>
          <w:szCs w:val="22"/>
        </w:rPr>
        <w:t xml:space="preserve"> </w:t>
      </w:r>
    </w:p>
    <w:p w14:paraId="16F37CF1" w14:textId="7A7D2F97" w:rsidR="006F1F0C" w:rsidRPr="006F1F0C" w:rsidRDefault="006F1F0C" w:rsidP="006F1F0C">
      <w:pPr>
        <w:spacing w:before="180"/>
        <w:rPr>
          <w:rFonts w:cstheme="minorBidi"/>
          <w:szCs w:val="22"/>
        </w:rPr>
      </w:pPr>
      <w:r w:rsidRPr="006F1F0C">
        <w:rPr>
          <w:rFonts w:cstheme="minorBidi"/>
          <w:szCs w:val="22"/>
        </w:rPr>
        <w:t xml:space="preserve">Concordant with the Scheduling Policy Framework (SPF 2018), </w:t>
      </w:r>
      <w:r w:rsidR="00786FA8">
        <w:rPr>
          <w:rFonts w:cstheme="minorBidi"/>
          <w:szCs w:val="22"/>
        </w:rPr>
        <w:t xml:space="preserve">I considered that </w:t>
      </w:r>
      <w:r w:rsidRPr="006F1F0C">
        <w:rPr>
          <w:rFonts w:cstheme="minorBidi"/>
          <w:szCs w:val="22"/>
        </w:rPr>
        <w:t xml:space="preserve">ethanol and isopropanol do not meet the scheduling factors for inclusion in Schedule 6 (based on the toxicity of the substances). </w:t>
      </w:r>
    </w:p>
    <w:p w14:paraId="0B3B1175" w14:textId="1CEB3C90" w:rsidR="00FC7FD1" w:rsidRDefault="006F1F0C" w:rsidP="006F1F0C">
      <w:pPr>
        <w:pStyle w:val="ListBullet"/>
      </w:pPr>
      <w:r w:rsidRPr="006F1F0C">
        <w:t xml:space="preserve">Ethyl alcohol (ethanol) </w:t>
      </w:r>
      <w:r w:rsidR="00FC7FD1">
        <w:t xml:space="preserve">has a low oral, dermal and inhalation toxicity. </w:t>
      </w:r>
      <w:r w:rsidR="00FC7FD1" w:rsidRPr="006F1F0C">
        <w:t xml:space="preserve">It is a moderate eye irritant and is neither a skin sensitiser nor skin irritant, although there is evidence of chronic irritation following repeat exposure in humans. </w:t>
      </w:r>
      <w:r w:rsidR="00FC7FD1">
        <w:t>The substance does not present a moderate hazard from repeated use in hand sanitisers.</w:t>
      </w:r>
    </w:p>
    <w:p w14:paraId="053AB638" w14:textId="7790AC24" w:rsidR="006F1F0C" w:rsidRPr="006F1F0C" w:rsidRDefault="006F1F0C" w:rsidP="006F1F0C">
      <w:pPr>
        <w:pStyle w:val="ListBullet"/>
      </w:pPr>
      <w:r w:rsidRPr="006F1F0C">
        <w:t>Isopropanol is a severe eye irritant in animal studies and is a skin irritant in humas following repeated exposure.</w:t>
      </w:r>
      <w:r w:rsidR="00FC7FD1">
        <w:t xml:space="preserve"> However, the substance does not present a moderate hazard from repeated use in hand sanitisers.</w:t>
      </w:r>
    </w:p>
    <w:p w14:paraId="386D470E" w14:textId="2156BD8A" w:rsidR="006F1F0C" w:rsidRDefault="00FC7FD1" w:rsidP="006F1F0C">
      <w:pPr>
        <w:spacing w:before="180"/>
        <w:rPr>
          <w:rFonts w:cstheme="minorBidi"/>
          <w:szCs w:val="22"/>
        </w:rPr>
      </w:pPr>
      <w:r>
        <w:rPr>
          <w:rFonts w:cstheme="minorBidi"/>
          <w:szCs w:val="22"/>
        </w:rPr>
        <w:t>On balance, ethyl alcohol and isopropanol do not fit the Schedule 6 sche</w:t>
      </w:r>
      <w:r w:rsidR="00C204C9">
        <w:rPr>
          <w:rFonts w:cstheme="minorBidi"/>
          <w:szCs w:val="22"/>
        </w:rPr>
        <w:t xml:space="preserve">duling factors </w:t>
      </w:r>
      <w:r w:rsidR="005360D4">
        <w:rPr>
          <w:rFonts w:cstheme="minorBidi"/>
          <w:szCs w:val="22"/>
        </w:rPr>
        <w:t>when used in hand sanitisers</w:t>
      </w:r>
      <w:r w:rsidR="00C204C9">
        <w:rPr>
          <w:rFonts w:cstheme="minorBidi"/>
          <w:szCs w:val="22"/>
        </w:rPr>
        <w:t xml:space="preserve">. </w:t>
      </w:r>
      <w:r w:rsidR="006F1F0C" w:rsidRPr="006F1F0C">
        <w:rPr>
          <w:rFonts w:cstheme="minorBidi"/>
          <w:szCs w:val="22"/>
        </w:rPr>
        <w:t>Furthermore,</w:t>
      </w:r>
      <w:r w:rsidR="00C204C9">
        <w:rPr>
          <w:rFonts w:cstheme="minorBidi"/>
          <w:szCs w:val="22"/>
        </w:rPr>
        <w:t xml:space="preserve"> ethanol is currently</w:t>
      </w:r>
      <w:r w:rsidR="005360D4">
        <w:rPr>
          <w:rFonts w:cstheme="minorBidi"/>
          <w:szCs w:val="22"/>
        </w:rPr>
        <w:t xml:space="preserve"> </w:t>
      </w:r>
      <w:r w:rsidR="00061F6A">
        <w:rPr>
          <w:rFonts w:cstheme="minorBidi"/>
          <w:szCs w:val="22"/>
        </w:rPr>
        <w:t>exempt from scheduling via inclusion in</w:t>
      </w:r>
      <w:r w:rsidR="005360D4">
        <w:rPr>
          <w:rFonts w:cstheme="minorBidi"/>
          <w:szCs w:val="22"/>
        </w:rPr>
        <w:t xml:space="preserve"> Appendix B</w:t>
      </w:r>
      <w:r w:rsidR="00061F6A">
        <w:rPr>
          <w:rFonts w:cstheme="minorBidi"/>
          <w:szCs w:val="22"/>
        </w:rPr>
        <w:t>.</w:t>
      </w:r>
      <w:r w:rsidR="007E2A67">
        <w:rPr>
          <w:rFonts w:cstheme="minorBidi"/>
          <w:szCs w:val="22"/>
        </w:rPr>
        <w:t xml:space="preserve"> As such, I am of the view that inclusion in Schedule 6 is not appropriate.</w:t>
      </w:r>
      <w:r w:rsidR="005360D4">
        <w:rPr>
          <w:rFonts w:cstheme="minorBidi"/>
          <w:szCs w:val="22"/>
        </w:rPr>
        <w:t xml:space="preserve"> </w:t>
      </w:r>
    </w:p>
    <w:p w14:paraId="79860D26" w14:textId="37A36360" w:rsidR="00AC3AD2" w:rsidRPr="006F1F0C" w:rsidRDefault="00AC3AD2" w:rsidP="006F1F0C">
      <w:pPr>
        <w:spacing w:before="180"/>
        <w:rPr>
          <w:rFonts w:cstheme="minorBidi"/>
          <w:szCs w:val="22"/>
        </w:rPr>
      </w:pPr>
      <w:r>
        <w:rPr>
          <w:rFonts w:cstheme="minorBidi"/>
          <w:szCs w:val="22"/>
        </w:rPr>
        <w:t xml:space="preserve">In considering the </w:t>
      </w:r>
      <w:r w:rsidR="00061F6A">
        <w:rPr>
          <w:rFonts w:cstheme="minorBidi"/>
          <w:szCs w:val="22"/>
        </w:rPr>
        <w:t>applications</w:t>
      </w:r>
      <w:r>
        <w:rPr>
          <w:rFonts w:cstheme="minorBidi"/>
          <w:szCs w:val="22"/>
        </w:rPr>
        <w:t>, I note that several</w:t>
      </w:r>
      <w:r w:rsidRPr="006F1F0C">
        <w:rPr>
          <w:rFonts w:cstheme="minorBidi"/>
          <w:szCs w:val="22"/>
        </w:rPr>
        <w:t xml:space="preserve"> problems associated with inadequate labelling, packaging and product presentation were </w:t>
      </w:r>
      <w:r>
        <w:rPr>
          <w:rFonts w:cstheme="minorBidi"/>
          <w:szCs w:val="22"/>
        </w:rPr>
        <w:t>recently</w:t>
      </w:r>
      <w:r w:rsidRPr="006F1F0C">
        <w:rPr>
          <w:rFonts w:cstheme="minorBidi"/>
          <w:szCs w:val="22"/>
        </w:rPr>
        <w:t xml:space="preserve"> addressed by amendments to the </w:t>
      </w:r>
      <w:hyperlink r:id="rId19" w:history="1">
        <w:r w:rsidRPr="006F1F0C">
          <w:rPr>
            <w:rFonts w:cstheme="minorBidi"/>
            <w:color w:val="0000FF"/>
            <w:szCs w:val="22"/>
            <w:u w:val="single"/>
          </w:rPr>
          <w:t>Excluded Goods Order</w:t>
        </w:r>
      </w:hyperlink>
      <w:r w:rsidRPr="006F1F0C">
        <w:rPr>
          <w:rFonts w:cstheme="minorBidi"/>
          <w:szCs w:val="22"/>
        </w:rPr>
        <w:t xml:space="preserve"> (EGD)</w:t>
      </w:r>
      <w:r w:rsidRPr="006F1F0C">
        <w:rPr>
          <w:rFonts w:cstheme="minorBidi"/>
          <w:szCs w:val="22"/>
          <w:vertAlign w:val="superscript"/>
        </w:rPr>
        <w:footnoteReference w:id="1"/>
      </w:r>
      <w:r w:rsidRPr="006F1F0C">
        <w:rPr>
          <w:rFonts w:cstheme="minorBidi"/>
          <w:szCs w:val="22"/>
        </w:rPr>
        <w:t xml:space="preserve"> in April and May 2020. These updates allowed for the use of </w:t>
      </w:r>
      <w:proofErr w:type="gramStart"/>
      <w:r w:rsidRPr="006F1F0C">
        <w:rPr>
          <w:rFonts w:cstheme="minorBidi"/>
          <w:szCs w:val="22"/>
        </w:rPr>
        <w:t>denaturants</w:t>
      </w:r>
      <w:r w:rsidR="007E2A67">
        <w:rPr>
          <w:rFonts w:cstheme="minorBidi"/>
          <w:szCs w:val="22"/>
        </w:rPr>
        <w:t>,</w:t>
      </w:r>
      <w:r w:rsidRPr="006F1F0C">
        <w:rPr>
          <w:rFonts w:cstheme="minorBidi"/>
          <w:szCs w:val="22"/>
        </w:rPr>
        <w:t xml:space="preserve"> and</w:t>
      </w:r>
      <w:proofErr w:type="gramEnd"/>
      <w:r w:rsidRPr="006F1F0C">
        <w:rPr>
          <w:rFonts w:cstheme="minorBidi"/>
          <w:szCs w:val="22"/>
        </w:rPr>
        <w:t xml:space="preserve"> specified that products should not be presented in a way that </w:t>
      </w:r>
      <w:r>
        <w:rPr>
          <w:rFonts w:cstheme="minorBidi"/>
          <w:szCs w:val="22"/>
        </w:rPr>
        <w:t>could be</w:t>
      </w:r>
      <w:r w:rsidRPr="006F1F0C">
        <w:rPr>
          <w:rFonts w:cstheme="minorBidi"/>
          <w:szCs w:val="22"/>
        </w:rPr>
        <w:t xml:space="preserve"> mistaken for food or drink. The </w:t>
      </w:r>
      <w:hyperlink r:id="rId20" w:history="1">
        <w:r w:rsidRPr="006F1F0C">
          <w:rPr>
            <w:rFonts w:cstheme="minorBidi"/>
            <w:color w:val="0000FF"/>
            <w:szCs w:val="22"/>
            <w:u w:val="single"/>
          </w:rPr>
          <w:t>Trade Practices (Consumer Information Standards) (Cosmetics) Regulations 1991</w:t>
        </w:r>
      </w:hyperlink>
      <w:r w:rsidRPr="006F1F0C">
        <w:rPr>
          <w:rFonts w:cstheme="minorBidi"/>
          <w:szCs w:val="22"/>
          <w:vertAlign w:val="superscript"/>
        </w:rPr>
        <w:footnoteReference w:id="2"/>
      </w:r>
      <w:r w:rsidRPr="006F1F0C">
        <w:rPr>
          <w:rFonts w:cstheme="minorBidi"/>
          <w:szCs w:val="22"/>
        </w:rPr>
        <w:t xml:space="preserve"> was also amended in November 2020 to include additional requirements for cosmetic hand sanitisers containing alcohol. Published as the </w:t>
      </w:r>
      <w:hyperlink r:id="rId21" w:history="1">
        <w:r w:rsidRPr="006F1F0C">
          <w:rPr>
            <w:rFonts w:cstheme="minorBidi"/>
            <w:iCs/>
            <w:color w:val="0000FF"/>
            <w:szCs w:val="22"/>
            <w:u w:val="single"/>
          </w:rPr>
          <w:t>Consumer Goods (Cosmetics) Information Standard 2020</w:t>
        </w:r>
      </w:hyperlink>
      <w:r w:rsidRPr="006F1F0C">
        <w:rPr>
          <w:rFonts w:cstheme="minorBidi"/>
          <w:szCs w:val="22"/>
          <w:vertAlign w:val="superscript"/>
        </w:rPr>
        <w:footnoteReference w:id="3"/>
      </w:r>
      <w:r w:rsidRPr="006F1F0C">
        <w:rPr>
          <w:rFonts w:cstheme="minorBidi"/>
          <w:szCs w:val="22"/>
        </w:rPr>
        <w:t xml:space="preserve"> (CIS), it came into effect in May 2021 and includes requirements for the disclosure of the alcohol content</w:t>
      </w:r>
      <w:r>
        <w:rPr>
          <w:rFonts w:cstheme="minorBidi"/>
          <w:szCs w:val="22"/>
        </w:rPr>
        <w:t xml:space="preserve">, the inclusion of </w:t>
      </w:r>
      <w:r w:rsidRPr="006F1F0C">
        <w:rPr>
          <w:rFonts w:cstheme="minorBidi"/>
          <w:szCs w:val="22"/>
        </w:rPr>
        <w:t>warning statements</w:t>
      </w:r>
      <w:r>
        <w:rPr>
          <w:rFonts w:cstheme="minorBidi"/>
          <w:szCs w:val="22"/>
        </w:rPr>
        <w:t>, and the substantiation of any claims on the label.</w:t>
      </w:r>
      <w:r w:rsidRPr="006F1F0C">
        <w:rPr>
          <w:rFonts w:cstheme="minorBidi"/>
          <w:szCs w:val="22"/>
        </w:rPr>
        <w:t xml:space="preserve">  </w:t>
      </w:r>
    </w:p>
    <w:p w14:paraId="27D2AE6E" w14:textId="3AD5DB5A" w:rsidR="005360D4" w:rsidRDefault="006F1F0C" w:rsidP="006F1F0C">
      <w:pPr>
        <w:spacing w:before="180" w:after="240"/>
        <w:rPr>
          <w:rFonts w:cstheme="minorBidi"/>
          <w:bCs/>
          <w:szCs w:val="22"/>
        </w:rPr>
      </w:pPr>
      <w:r w:rsidRPr="006F1F0C">
        <w:rPr>
          <w:rFonts w:cstheme="minorBidi"/>
          <w:bCs/>
          <w:szCs w:val="22"/>
        </w:rPr>
        <w:t>I</w:t>
      </w:r>
      <w:r w:rsidR="00A440E8">
        <w:rPr>
          <w:rFonts w:cstheme="minorBidi"/>
          <w:bCs/>
          <w:szCs w:val="22"/>
        </w:rPr>
        <w:t xml:space="preserve"> also note several points raised in the written pre-meeting public submissions,</w:t>
      </w:r>
      <w:r w:rsidR="005360D4">
        <w:rPr>
          <w:rFonts w:cstheme="minorBidi"/>
          <w:bCs/>
          <w:szCs w:val="22"/>
        </w:rPr>
        <w:t xml:space="preserve"> </w:t>
      </w:r>
      <w:r w:rsidR="00A440E8">
        <w:rPr>
          <w:rFonts w:cstheme="minorBidi"/>
          <w:bCs/>
          <w:szCs w:val="22"/>
        </w:rPr>
        <w:t xml:space="preserve">of which four out of five </w:t>
      </w:r>
      <w:r w:rsidR="005360D4">
        <w:rPr>
          <w:rFonts w:cstheme="minorBidi"/>
          <w:bCs/>
          <w:szCs w:val="22"/>
        </w:rPr>
        <w:t>opposed</w:t>
      </w:r>
      <w:r w:rsidR="00A440E8">
        <w:rPr>
          <w:rFonts w:cstheme="minorBidi"/>
          <w:bCs/>
          <w:szCs w:val="22"/>
        </w:rPr>
        <w:t xml:space="preserve"> the amendments. Respondents</w:t>
      </w:r>
      <w:r w:rsidRPr="006F1F0C">
        <w:rPr>
          <w:rFonts w:cstheme="minorBidi"/>
          <w:bCs/>
          <w:szCs w:val="22"/>
        </w:rPr>
        <w:t xml:space="preserve"> note</w:t>
      </w:r>
      <w:r w:rsidR="00A440E8">
        <w:rPr>
          <w:rFonts w:cstheme="minorBidi"/>
          <w:bCs/>
          <w:szCs w:val="22"/>
        </w:rPr>
        <w:t>d</w:t>
      </w:r>
      <w:r w:rsidRPr="006F1F0C">
        <w:rPr>
          <w:rFonts w:cstheme="minorBidi"/>
          <w:bCs/>
          <w:szCs w:val="22"/>
        </w:rPr>
        <w:t xml:space="preserve"> that </w:t>
      </w:r>
      <w:r w:rsidR="005360D4">
        <w:rPr>
          <w:rFonts w:cstheme="minorBidi"/>
          <w:bCs/>
          <w:szCs w:val="22"/>
        </w:rPr>
        <w:t>hand sanitisers have a long history of safe use, and that the increase in poisonings was due to the extraordinary demand at the start of the</w:t>
      </w:r>
      <w:r w:rsidR="00105FC4">
        <w:rPr>
          <w:rFonts w:cstheme="minorBidi"/>
          <w:bCs/>
          <w:szCs w:val="22"/>
        </w:rPr>
        <w:t xml:space="preserve"> COVID-19</w:t>
      </w:r>
      <w:r w:rsidR="005360D4">
        <w:rPr>
          <w:rFonts w:cstheme="minorBidi"/>
          <w:bCs/>
          <w:szCs w:val="22"/>
        </w:rPr>
        <w:t xml:space="preserve"> pandemic. </w:t>
      </w:r>
      <w:r w:rsidR="005360D4" w:rsidRPr="005360D4">
        <w:rPr>
          <w:rFonts w:cstheme="minorBidi"/>
          <w:bCs/>
          <w:szCs w:val="22"/>
        </w:rPr>
        <w:t xml:space="preserve">Businesses with no previous experience pivoted </w:t>
      </w:r>
      <w:r w:rsidR="005360D4">
        <w:rPr>
          <w:rFonts w:cstheme="minorBidi"/>
          <w:bCs/>
          <w:szCs w:val="22"/>
        </w:rPr>
        <w:t xml:space="preserve">to produce hand sanitisers, leading to </w:t>
      </w:r>
      <w:r w:rsidR="005360D4" w:rsidRPr="005360D4">
        <w:rPr>
          <w:rFonts w:cstheme="minorBidi"/>
          <w:bCs/>
          <w:szCs w:val="22"/>
        </w:rPr>
        <w:t>well</w:t>
      </w:r>
      <w:r w:rsidR="005360D4">
        <w:rPr>
          <w:rFonts w:cstheme="minorBidi"/>
          <w:bCs/>
          <w:szCs w:val="22"/>
        </w:rPr>
        <w:t>-</w:t>
      </w:r>
      <w:r w:rsidR="005360D4" w:rsidRPr="005360D4">
        <w:rPr>
          <w:rFonts w:cstheme="minorBidi"/>
          <w:bCs/>
          <w:szCs w:val="22"/>
        </w:rPr>
        <w:t>intentioned but inappropriate</w:t>
      </w:r>
      <w:r w:rsidR="005360D4">
        <w:rPr>
          <w:rFonts w:cstheme="minorBidi"/>
          <w:bCs/>
          <w:szCs w:val="22"/>
        </w:rPr>
        <w:t>ly packaged</w:t>
      </w:r>
      <w:r w:rsidR="005360D4" w:rsidRPr="005360D4">
        <w:rPr>
          <w:rFonts w:cstheme="minorBidi"/>
          <w:bCs/>
          <w:szCs w:val="22"/>
        </w:rPr>
        <w:t xml:space="preserve"> products enter</w:t>
      </w:r>
      <w:r w:rsidR="005360D4">
        <w:rPr>
          <w:rFonts w:cstheme="minorBidi"/>
          <w:bCs/>
          <w:szCs w:val="22"/>
        </w:rPr>
        <w:t>ing</w:t>
      </w:r>
      <w:r w:rsidR="005360D4" w:rsidRPr="005360D4">
        <w:rPr>
          <w:rFonts w:cstheme="minorBidi"/>
          <w:bCs/>
          <w:szCs w:val="22"/>
        </w:rPr>
        <w:t xml:space="preserve"> the market. These submissions proposed that more time should be given to monitor whether the amendments to the EGD and the CIS, together with market stabilisation, will address the identified public health risks without the need for scheduling intervention.</w:t>
      </w:r>
      <w:r w:rsidR="005360D4">
        <w:rPr>
          <w:rFonts w:cstheme="minorBidi"/>
          <w:bCs/>
          <w:szCs w:val="22"/>
        </w:rPr>
        <w:t xml:space="preserve"> </w:t>
      </w:r>
    </w:p>
    <w:p w14:paraId="6D016756" w14:textId="3EAD2AEF" w:rsidR="006F1F0C" w:rsidRPr="006F1F0C" w:rsidRDefault="006F1F0C" w:rsidP="006F1F0C">
      <w:pPr>
        <w:autoSpaceDE w:val="0"/>
        <w:autoSpaceDN w:val="0"/>
        <w:adjustRightInd w:val="0"/>
        <w:spacing w:before="0" w:after="0" w:line="240" w:lineRule="auto"/>
        <w:rPr>
          <w:rFonts w:cstheme="minorBidi"/>
          <w:szCs w:val="22"/>
        </w:rPr>
      </w:pPr>
      <w:r w:rsidRPr="006F1F0C">
        <w:rPr>
          <w:rFonts w:cstheme="minorBidi"/>
          <w:bCs/>
          <w:iCs/>
          <w:szCs w:val="22"/>
        </w:rPr>
        <w:t>In reaching my decision, I have consider</w:t>
      </w:r>
      <w:r w:rsidR="008A41CD">
        <w:rPr>
          <w:rFonts w:cstheme="minorBidi"/>
          <w:bCs/>
          <w:iCs/>
          <w:szCs w:val="22"/>
        </w:rPr>
        <w:t>ed</w:t>
      </w:r>
      <w:r w:rsidRPr="006F1F0C">
        <w:rPr>
          <w:rFonts w:cstheme="minorBidi"/>
          <w:bCs/>
          <w:iCs/>
          <w:szCs w:val="22"/>
        </w:rPr>
        <w:t xml:space="preserve"> data from </w:t>
      </w:r>
      <w:r w:rsidR="008A41CD">
        <w:rPr>
          <w:rFonts w:cstheme="minorBidi"/>
          <w:bCs/>
          <w:iCs/>
          <w:szCs w:val="22"/>
        </w:rPr>
        <w:t xml:space="preserve">the </w:t>
      </w:r>
      <w:r w:rsidRPr="006F1F0C">
        <w:rPr>
          <w:rFonts w:cstheme="minorBidi"/>
          <w:bCs/>
          <w:iCs/>
          <w:szCs w:val="22"/>
        </w:rPr>
        <w:t>PICs that document up to a 2.5-fold increase in poisoning incidents</w:t>
      </w:r>
      <w:r w:rsidR="00105FC4">
        <w:rPr>
          <w:rFonts w:cstheme="minorBidi"/>
          <w:bCs/>
          <w:iCs/>
          <w:szCs w:val="22"/>
        </w:rPr>
        <w:t xml:space="preserve"> reported to them</w:t>
      </w:r>
      <w:r w:rsidRPr="006F1F0C">
        <w:rPr>
          <w:rFonts w:cstheme="minorBidi"/>
          <w:bCs/>
          <w:iCs/>
          <w:szCs w:val="22"/>
        </w:rPr>
        <w:t xml:space="preserve"> from January to July 2020, compared to the same period in 2019. The increase in calls correlates with the first six months of the pandemic when </w:t>
      </w:r>
      <w:r w:rsidR="00655570">
        <w:rPr>
          <w:rFonts w:cstheme="minorBidi"/>
          <w:bCs/>
          <w:iCs/>
          <w:szCs w:val="22"/>
        </w:rPr>
        <w:t xml:space="preserve">there was a particularly significant </w:t>
      </w:r>
      <w:r w:rsidRPr="006F1F0C">
        <w:rPr>
          <w:rFonts w:cstheme="minorBidi"/>
          <w:bCs/>
          <w:iCs/>
          <w:szCs w:val="22"/>
        </w:rPr>
        <w:t>demand for hand sanitisers in the community</w:t>
      </w:r>
      <w:r w:rsidRPr="006F1F0C">
        <w:rPr>
          <w:rFonts w:cstheme="minorBidi"/>
          <w:szCs w:val="22"/>
        </w:rPr>
        <w:t xml:space="preserve">. However, </w:t>
      </w:r>
      <w:r w:rsidR="005256B8">
        <w:rPr>
          <w:rFonts w:cstheme="minorBidi"/>
          <w:bCs/>
          <w:iCs/>
          <w:szCs w:val="22"/>
        </w:rPr>
        <w:t>the data do not distinguish whether these calls were related to factors such as</w:t>
      </w:r>
      <w:r w:rsidRPr="006F1F0C">
        <w:rPr>
          <w:rFonts w:cstheme="minorBidi"/>
          <w:bCs/>
          <w:iCs/>
          <w:szCs w:val="22"/>
        </w:rPr>
        <w:t xml:space="preserve"> poor packaging, poor presentation, low viscosity or lack of bittering agents</w:t>
      </w:r>
      <w:r w:rsidR="00655570">
        <w:rPr>
          <w:rFonts w:cstheme="minorBidi"/>
          <w:bCs/>
          <w:iCs/>
          <w:szCs w:val="22"/>
        </w:rPr>
        <w:t>;</w:t>
      </w:r>
      <w:r w:rsidRPr="006F1F0C">
        <w:rPr>
          <w:rFonts w:cstheme="minorBidi"/>
          <w:bCs/>
          <w:iCs/>
          <w:szCs w:val="22"/>
        </w:rPr>
        <w:t xml:space="preserve"> </w:t>
      </w:r>
      <w:r w:rsidR="00105FC4">
        <w:rPr>
          <w:rFonts w:cstheme="minorBidi"/>
          <w:bCs/>
          <w:iCs/>
          <w:szCs w:val="22"/>
        </w:rPr>
        <w:t xml:space="preserve">and </w:t>
      </w:r>
      <w:r w:rsidRPr="006F1F0C">
        <w:rPr>
          <w:rFonts w:cstheme="minorBidi"/>
          <w:szCs w:val="22"/>
        </w:rPr>
        <w:t>the applicants have not addressed whether any of the proposed amendments would have prevented these incidents. I concur with the Committee</w:t>
      </w:r>
      <w:r w:rsidR="00061F6A">
        <w:rPr>
          <w:rFonts w:cstheme="minorBidi"/>
          <w:szCs w:val="22"/>
        </w:rPr>
        <w:t xml:space="preserve">’s </w:t>
      </w:r>
      <w:r w:rsidR="00786FA8">
        <w:rPr>
          <w:rFonts w:cstheme="minorBidi"/>
          <w:szCs w:val="22"/>
        </w:rPr>
        <w:t xml:space="preserve">concern </w:t>
      </w:r>
      <w:r w:rsidR="005256B8">
        <w:rPr>
          <w:rFonts w:cstheme="minorBidi"/>
          <w:szCs w:val="22"/>
        </w:rPr>
        <w:t xml:space="preserve">that there is no evidence that differently worded warning statements, changes to </w:t>
      </w:r>
      <w:r w:rsidR="00061F6A">
        <w:rPr>
          <w:rFonts w:cstheme="minorBidi"/>
          <w:szCs w:val="22"/>
        </w:rPr>
        <w:t xml:space="preserve">packaging or </w:t>
      </w:r>
      <w:r w:rsidR="007E2A67">
        <w:rPr>
          <w:rFonts w:cstheme="minorBidi"/>
          <w:szCs w:val="22"/>
        </w:rPr>
        <w:t xml:space="preserve">reformulation of </w:t>
      </w:r>
      <w:r w:rsidR="00061F6A">
        <w:rPr>
          <w:rFonts w:cstheme="minorBidi"/>
          <w:szCs w:val="22"/>
        </w:rPr>
        <w:t>product</w:t>
      </w:r>
      <w:r w:rsidR="007E2A67">
        <w:rPr>
          <w:rFonts w:cstheme="minorBidi"/>
          <w:szCs w:val="22"/>
        </w:rPr>
        <w:t>s</w:t>
      </w:r>
      <w:r w:rsidR="00061F6A">
        <w:rPr>
          <w:rFonts w:cstheme="minorBidi"/>
          <w:szCs w:val="22"/>
        </w:rPr>
        <w:t xml:space="preserve"> would have prevented these incidents. </w:t>
      </w:r>
      <w:r w:rsidR="00061F6A">
        <w:rPr>
          <w:rFonts w:cstheme="minorBidi"/>
          <w:szCs w:val="22"/>
        </w:rPr>
        <w:br/>
      </w:r>
    </w:p>
    <w:p w14:paraId="518337D6" w14:textId="1CA8200E" w:rsidR="0024144B" w:rsidRDefault="006F1F0C" w:rsidP="00B516A7">
      <w:pPr>
        <w:autoSpaceDE w:val="0"/>
        <w:autoSpaceDN w:val="0"/>
        <w:adjustRightInd w:val="0"/>
        <w:spacing w:before="0" w:after="0" w:line="240" w:lineRule="auto"/>
      </w:pPr>
      <w:r w:rsidRPr="006F1F0C">
        <w:rPr>
          <w:rFonts w:cs="Cambria"/>
          <w:color w:val="000000"/>
          <w:szCs w:val="22"/>
          <w:lang w:eastAsia="en-AU"/>
        </w:rPr>
        <w:t xml:space="preserve">I consider that effective hand sanitiser use is one of the key public health measures promoted by </w:t>
      </w:r>
      <w:r w:rsidR="00105FC4">
        <w:rPr>
          <w:rFonts w:cs="Cambria"/>
          <w:color w:val="000000"/>
          <w:szCs w:val="22"/>
          <w:lang w:eastAsia="en-AU"/>
        </w:rPr>
        <w:t>Australian health authorities f</w:t>
      </w:r>
      <w:r w:rsidRPr="006F1F0C">
        <w:rPr>
          <w:rFonts w:cs="Cambria"/>
          <w:color w:val="000000"/>
          <w:szCs w:val="22"/>
          <w:lang w:eastAsia="en-AU"/>
        </w:rPr>
        <w:t>or personal and population health</w:t>
      </w:r>
      <w:r w:rsidR="00105FC4">
        <w:rPr>
          <w:rFonts w:cs="Cambria"/>
          <w:color w:val="000000"/>
          <w:szCs w:val="22"/>
          <w:lang w:eastAsia="en-AU"/>
        </w:rPr>
        <w:t>,</w:t>
      </w:r>
      <w:r w:rsidRPr="006F1F0C">
        <w:rPr>
          <w:rFonts w:cs="Cambria"/>
          <w:color w:val="000000"/>
          <w:szCs w:val="22"/>
          <w:lang w:eastAsia="en-AU"/>
        </w:rPr>
        <w:t xml:space="preserve"> and safety during the ongoing pandemic.  </w:t>
      </w:r>
      <w:r w:rsidR="007E2A67">
        <w:rPr>
          <w:rFonts w:cs="Cambria"/>
          <w:color w:val="000000"/>
          <w:szCs w:val="22"/>
          <w:lang w:eastAsia="en-AU"/>
        </w:rPr>
        <w:t xml:space="preserve">In this </w:t>
      </w:r>
      <w:r w:rsidR="00105FC4">
        <w:rPr>
          <w:rFonts w:cs="Cambria"/>
          <w:color w:val="000000"/>
          <w:szCs w:val="22"/>
          <w:lang w:eastAsia="en-AU"/>
        </w:rPr>
        <w:t>context</w:t>
      </w:r>
      <w:r w:rsidR="007E2A67">
        <w:rPr>
          <w:rFonts w:cs="Cambria"/>
          <w:color w:val="000000"/>
          <w:szCs w:val="22"/>
          <w:lang w:eastAsia="en-AU"/>
        </w:rPr>
        <w:t>, I note that</w:t>
      </w:r>
      <w:r w:rsidR="00105FC4">
        <w:rPr>
          <w:rFonts w:cs="Cambria"/>
          <w:color w:val="000000"/>
          <w:szCs w:val="22"/>
          <w:lang w:eastAsia="en-AU"/>
        </w:rPr>
        <w:t xml:space="preserve"> an</w:t>
      </w:r>
      <w:r w:rsidR="007E2A67">
        <w:rPr>
          <w:rFonts w:cs="Cambria"/>
          <w:color w:val="000000"/>
          <w:szCs w:val="22"/>
          <w:lang w:eastAsia="en-AU"/>
        </w:rPr>
        <w:t xml:space="preserve"> increased</w:t>
      </w:r>
      <w:r w:rsidRPr="006F1F0C">
        <w:rPr>
          <w:rFonts w:cs="Cambria"/>
          <w:color w:val="000000"/>
          <w:szCs w:val="22"/>
          <w:lang w:eastAsia="en-AU"/>
        </w:rPr>
        <w:t xml:space="preserve"> regulatory impost on industry</w:t>
      </w:r>
      <w:r w:rsidR="007E2A67">
        <w:rPr>
          <w:rFonts w:cs="Cambria"/>
          <w:color w:val="000000"/>
          <w:szCs w:val="22"/>
          <w:lang w:eastAsia="en-AU"/>
        </w:rPr>
        <w:t xml:space="preserve"> may reduce the availability, or increase the cost, of hand sanitisers and therefore lead to negative public health outcomes</w:t>
      </w:r>
      <w:r w:rsidRPr="006F1F0C">
        <w:rPr>
          <w:rFonts w:cs="Cambria"/>
          <w:color w:val="000000"/>
          <w:szCs w:val="22"/>
          <w:lang w:eastAsia="en-AU"/>
        </w:rPr>
        <w:t>. T</w:t>
      </w:r>
      <w:r w:rsidRPr="006F1F0C">
        <w:rPr>
          <w:rFonts w:cstheme="minorBidi"/>
          <w:szCs w:val="22"/>
        </w:rPr>
        <w:t xml:space="preserve">he proposed scheduling changes would have an impact across all regulated and compliant hand sanitiser products. I am also concerned that labelling these products as ‘POISON’ with an Appendix F warning of ‘May be fatal to children’ </w:t>
      </w:r>
      <w:r w:rsidRPr="006F1F0C">
        <w:rPr>
          <w:rFonts w:cs="Cambria"/>
          <w:color w:val="000000"/>
          <w:szCs w:val="22"/>
          <w:lang w:eastAsia="en-AU"/>
        </w:rPr>
        <w:t>could be counter-productive and deter use</w:t>
      </w:r>
      <w:r w:rsidR="00105FC4">
        <w:rPr>
          <w:rFonts w:cs="Cambria"/>
          <w:color w:val="000000"/>
          <w:szCs w:val="22"/>
          <w:lang w:eastAsia="en-AU"/>
        </w:rPr>
        <w:t xml:space="preserve">. </w:t>
      </w:r>
      <w:proofErr w:type="gramStart"/>
      <w:r w:rsidR="00105FC4">
        <w:rPr>
          <w:rFonts w:cs="Cambria"/>
          <w:color w:val="000000"/>
          <w:szCs w:val="22"/>
          <w:lang w:eastAsia="en-AU"/>
        </w:rPr>
        <w:t>Furthermore</w:t>
      </w:r>
      <w:proofErr w:type="gramEnd"/>
      <w:r w:rsidR="00105FC4">
        <w:rPr>
          <w:rFonts w:cs="Cambria"/>
          <w:color w:val="000000"/>
          <w:szCs w:val="22"/>
          <w:lang w:eastAsia="en-AU"/>
        </w:rPr>
        <w:t xml:space="preserve"> the proposed labelling could</w:t>
      </w:r>
      <w:r w:rsidRPr="006F1F0C">
        <w:rPr>
          <w:rFonts w:cs="Cambria"/>
          <w:color w:val="000000"/>
          <w:szCs w:val="22"/>
          <w:lang w:eastAsia="en-AU"/>
        </w:rPr>
        <w:t xml:space="preserve"> cause confusion in light of government messaging encouraging consumers to use hand sanitisers when soap and water </w:t>
      </w:r>
      <w:r w:rsidR="00105FC4">
        <w:rPr>
          <w:rFonts w:cs="Cambria"/>
          <w:color w:val="000000"/>
          <w:szCs w:val="22"/>
          <w:lang w:eastAsia="en-AU"/>
        </w:rPr>
        <w:t>are</w:t>
      </w:r>
      <w:r w:rsidRPr="006F1F0C">
        <w:rPr>
          <w:rFonts w:cs="Cambria"/>
          <w:color w:val="000000"/>
          <w:szCs w:val="22"/>
          <w:lang w:eastAsia="en-AU"/>
        </w:rPr>
        <w:t xml:space="preserve"> unavailable. </w:t>
      </w:r>
      <w:r w:rsidR="002F4684">
        <w:rPr>
          <w:rFonts w:cs="Cambria"/>
          <w:color w:val="000000"/>
          <w:szCs w:val="22"/>
          <w:lang w:eastAsia="en-AU"/>
        </w:rPr>
        <w:br/>
      </w:r>
      <w:r w:rsidR="002F4684">
        <w:rPr>
          <w:rFonts w:cstheme="minorBidi"/>
          <w:szCs w:val="22"/>
        </w:rPr>
        <w:br/>
      </w:r>
      <w:r w:rsidRPr="006F1F0C">
        <w:rPr>
          <w:rFonts w:cstheme="minorBidi"/>
          <w:szCs w:val="22"/>
        </w:rPr>
        <w:t>I am not satisfied that the applicants have provided sufficient evidence to support t</w:t>
      </w:r>
      <w:r w:rsidR="00716CF7">
        <w:rPr>
          <w:rFonts w:cstheme="minorBidi"/>
          <w:szCs w:val="22"/>
        </w:rPr>
        <w:t>he need for</w:t>
      </w:r>
      <w:r w:rsidRPr="006F1F0C">
        <w:rPr>
          <w:rFonts w:cstheme="minorBidi"/>
          <w:szCs w:val="22"/>
        </w:rPr>
        <w:t xml:space="preserve"> scheduling intervention at this time. I consider that the issues raised by the applicants are covered under the existing regulatory framework, and that the problems of inappropriate containers and labelling seen at the beginning of the pandemic appear to be self-correcting. </w:t>
      </w:r>
      <w:r w:rsidRPr="006F1F0C">
        <w:rPr>
          <w:rFonts w:cs="Cambria"/>
          <w:color w:val="000000"/>
          <w:szCs w:val="22"/>
          <w:lang w:eastAsia="en-AU"/>
        </w:rPr>
        <w:t xml:space="preserve">Sales data </w:t>
      </w:r>
      <w:r w:rsidR="0066417E">
        <w:rPr>
          <w:rFonts w:cs="Cambria"/>
          <w:color w:val="000000"/>
          <w:szCs w:val="22"/>
          <w:lang w:eastAsia="en-AU"/>
        </w:rPr>
        <w:t xml:space="preserve">provided in the submissions </w:t>
      </w:r>
      <w:r w:rsidRPr="006F1F0C">
        <w:rPr>
          <w:rFonts w:cs="Cambria"/>
          <w:color w:val="000000"/>
          <w:szCs w:val="22"/>
          <w:lang w:eastAsia="en-AU"/>
        </w:rPr>
        <w:t xml:space="preserve">indicate </w:t>
      </w:r>
      <w:r w:rsidR="00B516A7">
        <w:rPr>
          <w:rFonts w:cs="Cambria"/>
          <w:color w:val="000000"/>
          <w:szCs w:val="22"/>
          <w:lang w:eastAsia="en-AU"/>
        </w:rPr>
        <w:t xml:space="preserve">that </w:t>
      </w:r>
      <w:r w:rsidRPr="006F1F0C">
        <w:rPr>
          <w:rFonts w:cs="Cambria"/>
          <w:color w:val="000000"/>
          <w:szCs w:val="22"/>
          <w:lang w:eastAsia="en-AU"/>
        </w:rPr>
        <w:t xml:space="preserve">sales volumes are stabilising. </w:t>
      </w:r>
      <w:r w:rsidRPr="006F1F0C">
        <w:rPr>
          <w:rFonts w:cstheme="minorBidi"/>
          <w:szCs w:val="22"/>
        </w:rPr>
        <w:t>I am of the view that more time should be given to monitor whether the</w:t>
      </w:r>
      <w:r w:rsidR="008A41CD">
        <w:rPr>
          <w:rFonts w:cstheme="minorBidi"/>
          <w:szCs w:val="22"/>
        </w:rPr>
        <w:t>se developments, and the</w:t>
      </w:r>
      <w:r w:rsidRPr="006F1F0C">
        <w:rPr>
          <w:rFonts w:cstheme="minorBidi"/>
          <w:szCs w:val="22"/>
        </w:rPr>
        <w:t xml:space="preserve"> amendments to the EGD and the CIS, will address the identified public health risks without the need for scheduling amendments.</w:t>
      </w:r>
    </w:p>
    <w:p w14:paraId="4F334452" w14:textId="7A5CC61E" w:rsidR="00D60ACA" w:rsidRDefault="00D60ACA" w:rsidP="00D60ACA">
      <w:pPr>
        <w:pStyle w:val="Heading3"/>
      </w:pPr>
      <w:bookmarkStart w:id="14" w:name="_Toc80714283"/>
      <w:bookmarkStart w:id="15" w:name="_Toc80898729"/>
      <w:bookmarkEnd w:id="14"/>
      <w:r>
        <w:lastRenderedPageBreak/>
        <w:t xml:space="preserve">Interim decision in </w:t>
      </w:r>
      <w:r w:rsidRPr="001E0113">
        <w:t>relation</w:t>
      </w:r>
      <w:r>
        <w:t xml:space="preserve"> to </w:t>
      </w:r>
      <w:r w:rsidR="00701DF4">
        <w:t>methanol in hand sanitisers</w:t>
      </w:r>
      <w:bookmarkEnd w:id="15"/>
    </w:p>
    <w:p w14:paraId="6E503897" w14:textId="77777777" w:rsidR="00A40CB9" w:rsidRPr="00C721A5" w:rsidRDefault="00A40CB9" w:rsidP="00A40CB9">
      <w:pPr>
        <w:pStyle w:val="Heading4"/>
      </w:pPr>
      <w:bookmarkStart w:id="16" w:name="_Toc80898730"/>
      <w:r w:rsidRPr="00C721A5">
        <w:rPr>
          <w:rFonts w:ascii="Cambria" w:eastAsia="Times New Roman" w:hAnsi="Cambria"/>
          <w:i/>
          <w:color w:val="001523"/>
          <w:sz w:val="22"/>
        </w:rPr>
        <w:t>Proposal</w:t>
      </w:r>
      <w:bookmarkEnd w:id="16"/>
    </w:p>
    <w:p w14:paraId="74224CD7" w14:textId="18010445" w:rsidR="00F42129" w:rsidRDefault="00F42129" w:rsidP="00F42129">
      <w:r>
        <w:t>The applicant proposed to create a new Schedule 10 entry for methanol when used in hand sanitiser preparations at concentrations greater than 2</w:t>
      </w:r>
      <w:r w:rsidRPr="00A03BF3">
        <w:t>%</w:t>
      </w:r>
      <w:r>
        <w:t>. The substance is currently captured in Schedule 6 at concentrations greater than 10%, Schedule 5 at concentrations between 2% and 10%, and is unscheduled at concentrations below 2%.</w:t>
      </w:r>
    </w:p>
    <w:p w14:paraId="5C776602" w14:textId="77777777" w:rsidR="00A40CB9" w:rsidRPr="00C721A5" w:rsidRDefault="00A40CB9" w:rsidP="00A40CB9">
      <w:pPr>
        <w:pStyle w:val="Heading4"/>
        <w:rPr>
          <w:rFonts w:ascii="Cambria" w:eastAsia="Times New Roman" w:hAnsi="Cambria"/>
          <w:i/>
          <w:color w:val="001523"/>
          <w:sz w:val="22"/>
        </w:rPr>
      </w:pPr>
      <w:bookmarkStart w:id="17" w:name="_Toc80898731"/>
      <w:r w:rsidRPr="00C721A5">
        <w:rPr>
          <w:rFonts w:ascii="Cambria" w:eastAsia="Times New Roman" w:hAnsi="Cambria"/>
          <w:i/>
          <w:color w:val="001523"/>
          <w:sz w:val="22"/>
        </w:rPr>
        <w:t>Interim decision</w:t>
      </w:r>
      <w:bookmarkEnd w:id="17"/>
    </w:p>
    <w:p w14:paraId="6B914B6B" w14:textId="380195A1" w:rsidR="00A40CB9" w:rsidRDefault="00A40CB9" w:rsidP="00A40CB9">
      <w:r w:rsidRPr="00A05D10">
        <w:t>Pursuant to regulation 42ZCZN of the Regulations, a Delegate of the Secretary has, in relation to the proposed amendment, made an interim decision to amend the</w:t>
      </w:r>
      <w:r>
        <w:t xml:space="preserve"> scheduling for </w:t>
      </w:r>
      <w:r w:rsidR="00F42129">
        <w:t>methanol</w:t>
      </w:r>
      <w:r w:rsidR="0086593D">
        <w:t xml:space="preserve"> and create a new definition for hand sanitisers</w:t>
      </w:r>
      <w:r>
        <w:t xml:space="preserve"> in the </w:t>
      </w:r>
      <w:r w:rsidRPr="00A05D10">
        <w:t>current Poisons St</w:t>
      </w:r>
      <w:r>
        <w:t>andard as follows</w:t>
      </w:r>
      <w:r w:rsidRPr="00A05D10">
        <w:t>:</w:t>
      </w:r>
      <w:r w:rsidR="003E2CAF">
        <w:t xml:space="preserve"> </w:t>
      </w:r>
    </w:p>
    <w:p w14:paraId="4D4BA436" w14:textId="1DC49F96" w:rsidR="00A745D7" w:rsidRDefault="00A745D7" w:rsidP="00A745D7">
      <w:pPr>
        <w:ind w:left="709"/>
        <w:rPr>
          <w:b/>
        </w:rPr>
      </w:pPr>
      <w:r>
        <w:rPr>
          <w:b/>
        </w:rPr>
        <w:t>Schedule 10</w:t>
      </w:r>
      <w:r w:rsidR="003E2CAF" w:rsidRPr="003E2CAF">
        <w:rPr>
          <w:b/>
        </w:rPr>
        <w:t xml:space="preserve"> – New Entry</w:t>
      </w:r>
    </w:p>
    <w:p w14:paraId="1B2B0CC5" w14:textId="00EDEBFE" w:rsidR="00CC0869" w:rsidRPr="00CC0869" w:rsidRDefault="00CC0869" w:rsidP="00A745D7">
      <w:pPr>
        <w:ind w:left="709"/>
        <w:rPr>
          <w:color w:val="00B050"/>
        </w:rPr>
      </w:pPr>
      <w:r w:rsidRPr="00CC0869">
        <w:rPr>
          <w:color w:val="00B050"/>
        </w:rPr>
        <w:t>METHANOL in hand sanitisers containing more than 5 per cent methanol.</w:t>
      </w:r>
    </w:p>
    <w:p w14:paraId="47D90F93" w14:textId="77777777" w:rsidR="009A1704" w:rsidRPr="00A266AB" w:rsidRDefault="009A1704" w:rsidP="009A1704">
      <w:pPr>
        <w:ind w:left="284" w:firstLine="436"/>
        <w:rPr>
          <w:b/>
          <w:color w:val="00B050"/>
        </w:rPr>
      </w:pPr>
      <w:r w:rsidRPr="00716CF7">
        <w:rPr>
          <w:b/>
        </w:rPr>
        <w:t>Schedule 6 – Amend Entry</w:t>
      </w:r>
    </w:p>
    <w:p w14:paraId="6D3756A3" w14:textId="77777777" w:rsidR="009A1704" w:rsidRPr="00716CF7" w:rsidRDefault="009A1704" w:rsidP="009A1704">
      <w:pPr>
        <w:ind w:left="284" w:firstLine="436"/>
        <w:rPr>
          <w:b/>
          <w:bCs/>
        </w:rPr>
      </w:pPr>
      <w:r w:rsidRPr="00716CF7">
        <w:t xml:space="preserve">METHANOL (excluding its derivatives) </w:t>
      </w:r>
      <w:r w:rsidRPr="00716CF7">
        <w:rPr>
          <w:b/>
          <w:bCs/>
        </w:rPr>
        <w:t xml:space="preserve">except: </w:t>
      </w:r>
    </w:p>
    <w:p w14:paraId="7F039C0E" w14:textId="77777777" w:rsidR="009A1704" w:rsidRPr="00716CF7" w:rsidRDefault="009A1704" w:rsidP="009A1704">
      <w:pPr>
        <w:pStyle w:val="ListBulleta"/>
        <w:numPr>
          <w:ilvl w:val="0"/>
          <w:numId w:val="25"/>
        </w:numPr>
        <w:rPr>
          <w:color w:val="00B050"/>
        </w:rPr>
      </w:pPr>
      <w:r w:rsidRPr="00A266AB">
        <w:t>when included in Schedule 5; or</w:t>
      </w:r>
      <w:r w:rsidRPr="00716CF7">
        <w:rPr>
          <w:color w:val="00B050"/>
        </w:rPr>
        <w:t xml:space="preserve"> </w:t>
      </w:r>
    </w:p>
    <w:p w14:paraId="4886B434" w14:textId="77777777" w:rsidR="009A1704" w:rsidRPr="00716CF7" w:rsidRDefault="009A1704" w:rsidP="009A1704">
      <w:pPr>
        <w:pStyle w:val="ListBulleta"/>
        <w:rPr>
          <w:color w:val="00B050"/>
        </w:rPr>
      </w:pPr>
      <w:r w:rsidRPr="00716CF7">
        <w:rPr>
          <w:color w:val="00B050"/>
        </w:rPr>
        <w:t>when included in Schedule 10; or</w:t>
      </w:r>
    </w:p>
    <w:p w14:paraId="72BC171D" w14:textId="77777777" w:rsidR="009A1704" w:rsidRPr="00A266AB" w:rsidRDefault="009A1704" w:rsidP="009A1704">
      <w:pPr>
        <w:pStyle w:val="ListBulleta"/>
      </w:pPr>
      <w:r w:rsidRPr="00A266AB">
        <w:t>in preparations containing 2 per cent or less of methanol.</w:t>
      </w:r>
    </w:p>
    <w:p w14:paraId="34CFA6C7" w14:textId="77777777" w:rsidR="009A1704" w:rsidRDefault="009A1704" w:rsidP="009A1704">
      <w:pPr>
        <w:ind w:left="284" w:firstLine="436"/>
        <w:rPr>
          <w:b/>
        </w:rPr>
      </w:pPr>
      <w:r w:rsidRPr="00B16EF7">
        <w:rPr>
          <w:b/>
        </w:rPr>
        <w:t>Schedule 5 – Amend Entry</w:t>
      </w:r>
    </w:p>
    <w:p w14:paraId="1D3DE1DC" w14:textId="77777777" w:rsidR="009A1704" w:rsidRDefault="009A1704" w:rsidP="009A1704">
      <w:pPr>
        <w:ind w:left="720"/>
        <w:rPr>
          <w:b/>
          <w:bCs/>
          <w:szCs w:val="22"/>
        </w:rPr>
      </w:pPr>
      <w:r>
        <w:rPr>
          <w:szCs w:val="22"/>
        </w:rPr>
        <w:t xml:space="preserve">METHANOL (excluding its derivatives) in preparations containing 10 per cent or less of methanol </w:t>
      </w:r>
      <w:r>
        <w:rPr>
          <w:b/>
          <w:bCs/>
          <w:szCs w:val="22"/>
        </w:rPr>
        <w:t xml:space="preserve">except </w:t>
      </w:r>
    </w:p>
    <w:p w14:paraId="6A0E65EC" w14:textId="77777777" w:rsidR="009A1704" w:rsidRPr="00344464" w:rsidRDefault="009A1704" w:rsidP="009A1704">
      <w:pPr>
        <w:pStyle w:val="ListBulleta"/>
        <w:numPr>
          <w:ilvl w:val="0"/>
          <w:numId w:val="21"/>
        </w:numPr>
        <w:rPr>
          <w:color w:val="00B050"/>
        </w:rPr>
      </w:pPr>
      <w:r w:rsidRPr="00344464">
        <w:rPr>
          <w:color w:val="00B050"/>
        </w:rPr>
        <w:t>when included in Schedule 10, or</w:t>
      </w:r>
    </w:p>
    <w:p w14:paraId="456906FF" w14:textId="77777777" w:rsidR="009A1704" w:rsidRPr="00344464" w:rsidRDefault="009A1704" w:rsidP="009A1704">
      <w:pPr>
        <w:pStyle w:val="ListBulleta"/>
        <w:rPr>
          <w:color w:val="00B050"/>
        </w:rPr>
      </w:pPr>
      <w:r w:rsidRPr="00344464">
        <w:t>in preparations containing 2 per cent or less of methanol.</w:t>
      </w:r>
    </w:p>
    <w:p w14:paraId="5F8C6547" w14:textId="6C8C5543" w:rsidR="00EB375A" w:rsidRDefault="00EB375A" w:rsidP="00EB375A">
      <w:pPr>
        <w:ind w:left="709"/>
        <w:rPr>
          <w:b/>
        </w:rPr>
      </w:pPr>
      <w:r>
        <w:rPr>
          <w:b/>
        </w:rPr>
        <w:t>Appendix E,</w:t>
      </w:r>
      <w:r w:rsidRPr="006D5C84">
        <w:rPr>
          <w:b/>
        </w:rPr>
        <w:t xml:space="preserve"> Part </w:t>
      </w:r>
      <w:r>
        <w:rPr>
          <w:b/>
        </w:rPr>
        <w:t xml:space="preserve">2 </w:t>
      </w:r>
    </w:p>
    <w:tbl>
      <w:tblPr>
        <w:tblStyle w:val="TableTGAblue"/>
        <w:tblW w:w="6804" w:type="dxa"/>
        <w:tblInd w:w="416" w:type="dxa"/>
        <w:tblLook w:val="04A0" w:firstRow="1" w:lastRow="0" w:firstColumn="1" w:lastColumn="0" w:noHBand="0" w:noVBand="1"/>
      </w:tblPr>
      <w:tblGrid>
        <w:gridCol w:w="4536"/>
        <w:gridCol w:w="2268"/>
      </w:tblGrid>
      <w:tr w:rsidR="00EB375A" w:rsidRPr="001E2829" w14:paraId="43565C69" w14:textId="77777777" w:rsidTr="00241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28164B2E" w14:textId="77777777" w:rsidR="00EB375A" w:rsidRPr="00702170" w:rsidRDefault="00EB375A" w:rsidP="0024144B">
            <w:pPr>
              <w:rPr>
                <w:sz w:val="20"/>
                <w:szCs w:val="20"/>
              </w:rPr>
            </w:pPr>
            <w:r w:rsidRPr="00702170">
              <w:rPr>
                <w:sz w:val="20"/>
              </w:rPr>
              <w:t>POISON</w:t>
            </w:r>
          </w:p>
        </w:tc>
        <w:tc>
          <w:tcPr>
            <w:tcW w:w="2268" w:type="dxa"/>
          </w:tcPr>
          <w:p w14:paraId="7A4EFD3F" w14:textId="77777777" w:rsidR="00EB375A" w:rsidRPr="00702170" w:rsidRDefault="00EB375A" w:rsidP="0024144B">
            <w:pPr>
              <w:cnfStyle w:val="100000000000" w:firstRow="1" w:lastRow="0" w:firstColumn="0" w:lastColumn="0" w:oddVBand="0" w:evenVBand="0" w:oddHBand="0" w:evenHBand="0" w:firstRowFirstColumn="0" w:firstRowLastColumn="0" w:lastRowFirstColumn="0" w:lastRowLastColumn="0"/>
              <w:rPr>
                <w:sz w:val="20"/>
                <w:szCs w:val="20"/>
              </w:rPr>
            </w:pPr>
            <w:r>
              <w:rPr>
                <w:sz w:val="20"/>
              </w:rPr>
              <w:t xml:space="preserve">First Aid Instructions </w:t>
            </w:r>
          </w:p>
        </w:tc>
      </w:tr>
      <w:tr w:rsidR="00EB375A" w:rsidRPr="00465E72" w14:paraId="50AE6B6C" w14:textId="77777777" w:rsidTr="0024144B">
        <w:tc>
          <w:tcPr>
            <w:cnfStyle w:val="001000000000" w:firstRow="0" w:lastRow="0" w:firstColumn="1" w:lastColumn="0" w:oddVBand="0" w:evenVBand="0" w:oddHBand="0" w:evenHBand="0" w:firstRowFirstColumn="0" w:firstRowLastColumn="0" w:lastRowFirstColumn="0" w:lastRowLastColumn="0"/>
            <w:tcW w:w="4536" w:type="dxa"/>
          </w:tcPr>
          <w:p w14:paraId="6324122B" w14:textId="77777777" w:rsidR="00EB375A" w:rsidRDefault="00EB375A" w:rsidP="0024144B">
            <w:pPr>
              <w:rPr>
                <w:sz w:val="20"/>
                <w:szCs w:val="20"/>
              </w:rPr>
            </w:pPr>
            <w:r>
              <w:rPr>
                <w:sz w:val="20"/>
                <w:szCs w:val="20"/>
              </w:rPr>
              <w:t>METHANOL</w:t>
            </w:r>
          </w:p>
          <w:p w14:paraId="79D9D648" w14:textId="77777777" w:rsidR="00EB375A" w:rsidRPr="00095D56" w:rsidRDefault="00EB375A" w:rsidP="00EB375A">
            <w:pPr>
              <w:pStyle w:val="ListBullet"/>
              <w:numPr>
                <w:ilvl w:val="0"/>
                <w:numId w:val="20"/>
              </w:numPr>
              <w:rPr>
                <w:sz w:val="20"/>
                <w:szCs w:val="20"/>
              </w:rPr>
            </w:pPr>
            <w:r w:rsidRPr="00A36949">
              <w:rPr>
                <w:lang w:eastAsia="en-AU"/>
              </w:rPr>
              <w:t>above 10 per cent</w:t>
            </w:r>
          </w:p>
          <w:p w14:paraId="34FE801E" w14:textId="77777777" w:rsidR="00EB375A" w:rsidRPr="00465E72" w:rsidRDefault="00EB375A" w:rsidP="00EB375A">
            <w:pPr>
              <w:pStyle w:val="ListBullet"/>
              <w:numPr>
                <w:ilvl w:val="0"/>
                <w:numId w:val="20"/>
              </w:numPr>
              <w:rPr>
                <w:sz w:val="20"/>
                <w:szCs w:val="20"/>
              </w:rPr>
            </w:pPr>
            <w:r w:rsidRPr="00A36949">
              <w:rPr>
                <w:lang w:eastAsia="en-AU"/>
              </w:rPr>
              <w:t>10 per cent or less</w:t>
            </w:r>
          </w:p>
        </w:tc>
        <w:tc>
          <w:tcPr>
            <w:tcW w:w="2268" w:type="dxa"/>
          </w:tcPr>
          <w:p w14:paraId="2285D166" w14:textId="77777777" w:rsidR="00EB375A" w:rsidRDefault="00EB375A" w:rsidP="0024144B">
            <w:pPr>
              <w:cnfStyle w:val="000000000000" w:firstRow="0" w:lastRow="0" w:firstColumn="0" w:lastColumn="0" w:oddVBand="0" w:evenVBand="0" w:oddHBand="0" w:evenHBand="0" w:firstRowFirstColumn="0" w:firstRowLastColumn="0" w:lastRowFirstColumn="0" w:lastRowLastColumn="0"/>
              <w:rPr>
                <w:sz w:val="20"/>
              </w:rPr>
            </w:pPr>
          </w:p>
          <w:p w14:paraId="02BEE903" w14:textId="77777777" w:rsidR="00EB375A" w:rsidRDefault="00EB375A" w:rsidP="0024144B">
            <w:pPr>
              <w:cnfStyle w:val="000000000000" w:firstRow="0" w:lastRow="0" w:firstColumn="0" w:lastColumn="0" w:oddVBand="0" w:evenVBand="0" w:oddHBand="0" w:evenHBand="0" w:firstRowFirstColumn="0" w:firstRowLastColumn="0" w:lastRowFirstColumn="0" w:lastRowLastColumn="0"/>
              <w:rPr>
                <w:b/>
                <w:sz w:val="20"/>
              </w:rPr>
            </w:pPr>
            <w:r w:rsidRPr="003129CE">
              <w:rPr>
                <w:b/>
                <w:sz w:val="20"/>
              </w:rPr>
              <w:t>A</w:t>
            </w:r>
            <w:r>
              <w:rPr>
                <w:b/>
                <w:sz w:val="20"/>
              </w:rPr>
              <w:t xml:space="preserve">, </w:t>
            </w:r>
            <w:r w:rsidRPr="00C076CE">
              <w:rPr>
                <w:b/>
                <w:sz w:val="20"/>
              </w:rPr>
              <w:t>G</w:t>
            </w:r>
            <w:r>
              <w:rPr>
                <w:b/>
                <w:sz w:val="20"/>
              </w:rPr>
              <w:t>3</w:t>
            </w:r>
            <w:r w:rsidRPr="00C076CE">
              <w:rPr>
                <w:b/>
                <w:sz w:val="20"/>
              </w:rPr>
              <w:t xml:space="preserve"> </w:t>
            </w:r>
          </w:p>
          <w:p w14:paraId="70FDB8FB" w14:textId="77777777" w:rsidR="00EB375A" w:rsidRPr="00465E72" w:rsidRDefault="00EB375A" w:rsidP="0024144B">
            <w:pPr>
              <w:cnfStyle w:val="000000000000" w:firstRow="0" w:lastRow="0" w:firstColumn="0" w:lastColumn="0" w:oddVBand="0" w:evenVBand="0" w:oddHBand="0" w:evenHBand="0" w:firstRowFirstColumn="0" w:firstRowLastColumn="0" w:lastRowFirstColumn="0" w:lastRowLastColumn="0"/>
              <w:rPr>
                <w:sz w:val="20"/>
              </w:rPr>
            </w:pPr>
            <w:r w:rsidRPr="003129CE">
              <w:rPr>
                <w:b/>
                <w:sz w:val="20"/>
              </w:rPr>
              <w:t>A</w:t>
            </w:r>
          </w:p>
        </w:tc>
      </w:tr>
      <w:tr w:rsidR="00EB375A" w:rsidRPr="00465E72" w14:paraId="0FF599E5" w14:textId="77777777" w:rsidTr="0024144B">
        <w:tc>
          <w:tcPr>
            <w:cnfStyle w:val="001000000000" w:firstRow="0" w:lastRow="0" w:firstColumn="1" w:lastColumn="0" w:oddVBand="0" w:evenVBand="0" w:oddHBand="0" w:evenHBand="0" w:firstRowFirstColumn="0" w:firstRowLastColumn="0" w:lastRowFirstColumn="0" w:lastRowLastColumn="0"/>
            <w:tcW w:w="6804" w:type="dxa"/>
            <w:gridSpan w:val="2"/>
          </w:tcPr>
          <w:p w14:paraId="4E5BF0EA" w14:textId="77777777" w:rsidR="00EB375A" w:rsidRDefault="00EB375A" w:rsidP="0024144B">
            <w:pPr>
              <w:rPr>
                <w:sz w:val="20"/>
              </w:rPr>
            </w:pPr>
            <w:r w:rsidRPr="003129CE">
              <w:rPr>
                <w:b/>
                <w:sz w:val="20"/>
              </w:rPr>
              <w:t>A</w:t>
            </w:r>
            <w:r>
              <w:rPr>
                <w:sz w:val="20"/>
              </w:rPr>
              <w:t xml:space="preserve"> – </w:t>
            </w:r>
            <w:r w:rsidRPr="00465E72">
              <w:rPr>
                <w:sz w:val="20"/>
              </w:rPr>
              <w:t>For advice, contact a Poisons Information Centre (e.g. phone Australia 13 11 26; New Zealand 0800 764 766) or a doctor (at once)</w:t>
            </w:r>
            <w:r>
              <w:rPr>
                <w:sz w:val="20"/>
              </w:rPr>
              <w:t>.</w:t>
            </w:r>
          </w:p>
          <w:p w14:paraId="38362351" w14:textId="77777777" w:rsidR="00EB375A" w:rsidRDefault="00EB375A" w:rsidP="0024144B">
            <w:pPr>
              <w:rPr>
                <w:sz w:val="20"/>
              </w:rPr>
            </w:pPr>
            <w:r w:rsidRPr="004B28E6">
              <w:rPr>
                <w:b/>
                <w:sz w:val="20"/>
              </w:rPr>
              <w:t>G</w:t>
            </w:r>
            <w:r>
              <w:rPr>
                <w:b/>
                <w:sz w:val="20"/>
              </w:rPr>
              <w:t>3</w:t>
            </w:r>
            <w:r w:rsidRPr="004B28E6">
              <w:rPr>
                <w:b/>
                <w:sz w:val="20"/>
              </w:rPr>
              <w:t xml:space="preserve"> -</w:t>
            </w:r>
            <w:r>
              <w:rPr>
                <w:sz w:val="20"/>
              </w:rPr>
              <w:t xml:space="preserve"> </w:t>
            </w:r>
            <w:r w:rsidRPr="00465E72">
              <w:rPr>
                <w:sz w:val="20"/>
              </w:rPr>
              <w:t>If swallowed, do NOT induce vomiting</w:t>
            </w:r>
            <w:r>
              <w:rPr>
                <w:sz w:val="20"/>
              </w:rPr>
              <w:t xml:space="preserve">. </w:t>
            </w:r>
          </w:p>
        </w:tc>
      </w:tr>
    </w:tbl>
    <w:p w14:paraId="5C1D93E5" w14:textId="77777777" w:rsidR="00EB375A" w:rsidRDefault="00EB375A" w:rsidP="00B12DEA">
      <w:pPr>
        <w:pageBreakBefore/>
        <w:ind w:left="709"/>
        <w:rPr>
          <w:b/>
        </w:rPr>
      </w:pPr>
      <w:r>
        <w:rPr>
          <w:b/>
        </w:rPr>
        <w:lastRenderedPageBreak/>
        <w:t>Appendix F,</w:t>
      </w:r>
      <w:r w:rsidRPr="006D5C84">
        <w:rPr>
          <w:b/>
        </w:rPr>
        <w:t xml:space="preserve"> Part </w:t>
      </w:r>
      <w:r>
        <w:rPr>
          <w:b/>
        </w:rPr>
        <w:t>3</w:t>
      </w:r>
    </w:p>
    <w:tbl>
      <w:tblPr>
        <w:tblStyle w:val="TableTGAblue"/>
        <w:tblW w:w="8601" w:type="dxa"/>
        <w:tblInd w:w="416" w:type="dxa"/>
        <w:tblLook w:val="04A0" w:firstRow="1" w:lastRow="0" w:firstColumn="1" w:lastColumn="0" w:noHBand="0" w:noVBand="1"/>
      </w:tblPr>
      <w:tblGrid>
        <w:gridCol w:w="2409"/>
        <w:gridCol w:w="2127"/>
        <w:gridCol w:w="4065"/>
      </w:tblGrid>
      <w:tr w:rsidR="00EB375A" w:rsidRPr="001E2829" w14:paraId="51D1C8E4" w14:textId="77777777" w:rsidTr="002414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75BFB0C0" w14:textId="77777777" w:rsidR="00EB375A" w:rsidRPr="00702170" w:rsidRDefault="00EB375A" w:rsidP="0024144B">
            <w:pPr>
              <w:rPr>
                <w:sz w:val="20"/>
                <w:szCs w:val="20"/>
              </w:rPr>
            </w:pPr>
            <w:r w:rsidRPr="00702170">
              <w:rPr>
                <w:sz w:val="20"/>
              </w:rPr>
              <w:t>P</w:t>
            </w:r>
            <w:r>
              <w:rPr>
                <w:sz w:val="20"/>
              </w:rPr>
              <w:t>oison</w:t>
            </w:r>
          </w:p>
        </w:tc>
        <w:tc>
          <w:tcPr>
            <w:tcW w:w="2127" w:type="dxa"/>
          </w:tcPr>
          <w:p w14:paraId="55EC998E" w14:textId="77777777" w:rsidR="00EB375A" w:rsidRPr="00702170" w:rsidRDefault="00EB375A" w:rsidP="0024144B">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rPr>
              <w:t>Warning Statements</w:t>
            </w:r>
          </w:p>
        </w:tc>
        <w:tc>
          <w:tcPr>
            <w:tcW w:w="4065" w:type="dxa"/>
          </w:tcPr>
          <w:p w14:paraId="70CBB453" w14:textId="77777777" w:rsidR="00EB375A" w:rsidRPr="00702170" w:rsidRDefault="00EB375A" w:rsidP="0024144B">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rPr>
              <w:t>Safety Directions</w:t>
            </w:r>
          </w:p>
        </w:tc>
      </w:tr>
      <w:tr w:rsidR="00EB375A" w:rsidRPr="001E2829" w14:paraId="2A70F2AF" w14:textId="77777777" w:rsidTr="0024144B">
        <w:tc>
          <w:tcPr>
            <w:cnfStyle w:val="001000000000" w:firstRow="0" w:lastRow="0" w:firstColumn="1" w:lastColumn="0" w:oddVBand="0" w:evenVBand="0" w:oddHBand="0" w:evenHBand="0" w:firstRowFirstColumn="0" w:firstRowLastColumn="0" w:lastRowFirstColumn="0" w:lastRowLastColumn="0"/>
            <w:tcW w:w="2409" w:type="dxa"/>
          </w:tcPr>
          <w:p w14:paraId="7814ACAA" w14:textId="77777777" w:rsidR="00EB375A" w:rsidRPr="00ED363D" w:rsidRDefault="00EB375A" w:rsidP="0024144B">
            <w:pPr>
              <w:rPr>
                <w:szCs w:val="22"/>
              </w:rPr>
            </w:pPr>
            <w:r w:rsidRPr="00ED363D">
              <w:rPr>
                <w:szCs w:val="22"/>
              </w:rPr>
              <w:t xml:space="preserve">METHANOL </w:t>
            </w:r>
            <w:r w:rsidRPr="00ED363D">
              <w:rPr>
                <w:b/>
                <w:szCs w:val="22"/>
              </w:rPr>
              <w:t>except</w:t>
            </w:r>
            <w:r w:rsidRPr="00ED363D">
              <w:rPr>
                <w:szCs w:val="22"/>
              </w:rPr>
              <w:t xml:space="preserve"> in methylated spirit</w:t>
            </w:r>
          </w:p>
        </w:tc>
        <w:tc>
          <w:tcPr>
            <w:tcW w:w="2127" w:type="dxa"/>
          </w:tcPr>
          <w:p w14:paraId="4C30EDCB" w14:textId="77777777" w:rsidR="00EB375A" w:rsidRPr="00702170" w:rsidRDefault="00EB375A" w:rsidP="0024144B">
            <w:pPr>
              <w:cnfStyle w:val="000000000000" w:firstRow="0" w:lastRow="0" w:firstColumn="0" w:lastColumn="0" w:oddVBand="0" w:evenVBand="0" w:oddHBand="0" w:evenHBand="0" w:firstRowFirstColumn="0" w:firstRowLastColumn="0" w:lastRowFirstColumn="0" w:lastRowLastColumn="0"/>
              <w:rPr>
                <w:sz w:val="20"/>
              </w:rPr>
            </w:pPr>
          </w:p>
        </w:tc>
        <w:tc>
          <w:tcPr>
            <w:tcW w:w="4065" w:type="dxa"/>
          </w:tcPr>
          <w:p w14:paraId="0C1F5E4A" w14:textId="77777777" w:rsidR="00EB375A" w:rsidRDefault="00EB375A" w:rsidP="0024144B">
            <w:pPr>
              <w:cnfStyle w:val="000000000000" w:firstRow="0" w:lastRow="0" w:firstColumn="0" w:lastColumn="0" w:oddVBand="0" w:evenVBand="0" w:oddHBand="0" w:evenHBand="0" w:firstRowFirstColumn="0" w:firstRowLastColumn="0" w:lastRowFirstColumn="0" w:lastRowLastColumn="0"/>
              <w:rPr>
                <w:sz w:val="20"/>
              </w:rPr>
            </w:pPr>
            <w:r w:rsidRPr="00C1405E">
              <w:rPr>
                <w:b/>
                <w:sz w:val="20"/>
              </w:rPr>
              <w:t>1</w:t>
            </w:r>
            <w:r>
              <w:rPr>
                <w:sz w:val="20"/>
              </w:rPr>
              <w:t xml:space="preserve"> (</w:t>
            </w:r>
            <w:r>
              <w:t xml:space="preserve">Avoid contact with eyes), </w:t>
            </w:r>
            <w:r w:rsidRPr="00C1405E">
              <w:rPr>
                <w:b/>
              </w:rPr>
              <w:t>4</w:t>
            </w:r>
            <w:r>
              <w:t xml:space="preserve"> (</w:t>
            </w:r>
            <w:r>
              <w:rPr>
                <w:szCs w:val="22"/>
                <w:shd w:val="clear" w:color="auto" w:fill="FFFFFF"/>
              </w:rPr>
              <w:t xml:space="preserve">Avoid contact with skin), </w:t>
            </w:r>
            <w:r w:rsidRPr="00C1405E">
              <w:rPr>
                <w:b/>
                <w:szCs w:val="22"/>
                <w:shd w:val="clear" w:color="auto" w:fill="FFFFFF"/>
              </w:rPr>
              <w:t>8</w:t>
            </w:r>
            <w:r>
              <w:rPr>
                <w:szCs w:val="22"/>
                <w:shd w:val="clear" w:color="auto" w:fill="FFFFFF"/>
              </w:rPr>
              <w:t xml:space="preserve"> (Avoid breathing dust (or) vapour (or) spray mist)</w:t>
            </w:r>
          </w:p>
        </w:tc>
      </w:tr>
    </w:tbl>
    <w:p w14:paraId="40798BD6" w14:textId="0615C795" w:rsidR="003E2CAF" w:rsidRDefault="003E2CAF" w:rsidP="00A745D7">
      <w:pPr>
        <w:ind w:left="709"/>
        <w:rPr>
          <w:b/>
        </w:rPr>
      </w:pPr>
      <w:r>
        <w:rPr>
          <w:b/>
        </w:rPr>
        <w:t>I</w:t>
      </w:r>
      <w:r w:rsidR="00CC0869">
        <w:rPr>
          <w:b/>
        </w:rPr>
        <w:t>ndex – Amend Entry</w:t>
      </w:r>
    </w:p>
    <w:p w14:paraId="51B6CCD6" w14:textId="77777777" w:rsidR="00CC0869" w:rsidRPr="00CC0869" w:rsidRDefault="00CC0869" w:rsidP="00A745D7">
      <w:pPr>
        <w:ind w:left="709"/>
        <w:rPr>
          <w:b/>
        </w:rPr>
      </w:pPr>
      <w:r w:rsidRPr="00CC0869">
        <w:rPr>
          <w:b/>
        </w:rPr>
        <w:t xml:space="preserve">METHANOL </w:t>
      </w:r>
    </w:p>
    <w:p w14:paraId="5D52591C" w14:textId="69BF3E92" w:rsidR="00CC0869" w:rsidRDefault="00CC0869" w:rsidP="00A745D7">
      <w:pPr>
        <w:ind w:left="709"/>
      </w:pPr>
      <w:r w:rsidRPr="00CC0869">
        <w:rPr>
          <w:color w:val="00B050"/>
        </w:rPr>
        <w:t>Schedule 10</w:t>
      </w:r>
      <w:r>
        <w:br/>
        <w:t xml:space="preserve">Schedule 6 </w:t>
      </w:r>
      <w:r>
        <w:br/>
        <w:t xml:space="preserve">Schedule 5 </w:t>
      </w:r>
      <w:r>
        <w:br/>
        <w:t xml:space="preserve">Appendix E, Part 2 </w:t>
      </w:r>
      <w:r>
        <w:br/>
        <w:t>Appendix F, Part 3</w:t>
      </w:r>
    </w:p>
    <w:p w14:paraId="02BDC804" w14:textId="77777777" w:rsidR="00EB375A" w:rsidRDefault="00EB375A" w:rsidP="00EB375A">
      <w:pPr>
        <w:ind w:left="709"/>
        <w:rPr>
          <w:b/>
        </w:rPr>
      </w:pPr>
      <w:r>
        <w:rPr>
          <w:b/>
        </w:rPr>
        <w:t>PART 1 (INTERPRETATION) – New Entry</w:t>
      </w:r>
    </w:p>
    <w:p w14:paraId="45AEF095" w14:textId="77777777" w:rsidR="00EB375A" w:rsidRPr="00CC0869" w:rsidRDefault="00EB375A" w:rsidP="00EB375A">
      <w:pPr>
        <w:autoSpaceDE w:val="0"/>
        <w:autoSpaceDN w:val="0"/>
        <w:adjustRightInd w:val="0"/>
        <w:spacing w:before="0" w:after="0" w:line="240" w:lineRule="auto"/>
        <w:ind w:firstLine="709"/>
        <w:rPr>
          <w:rFonts w:cs="CIDFont+F1"/>
          <w:color w:val="00B050"/>
          <w:szCs w:val="22"/>
        </w:rPr>
      </w:pPr>
      <w:r w:rsidRPr="00CC0869">
        <w:rPr>
          <w:rFonts w:cs="CIDFont+F1"/>
          <w:color w:val="00B050"/>
          <w:szCs w:val="22"/>
        </w:rPr>
        <w:t>“</w:t>
      </w:r>
      <w:r w:rsidRPr="00CC0869">
        <w:rPr>
          <w:rFonts w:cs="CIDFont+F1"/>
          <w:b/>
          <w:color w:val="00B050"/>
          <w:szCs w:val="22"/>
        </w:rPr>
        <w:t>Hand sanitiser preparation</w:t>
      </w:r>
      <w:r w:rsidRPr="00CC0869">
        <w:rPr>
          <w:rFonts w:cs="CIDFont+F1"/>
          <w:color w:val="00B050"/>
          <w:szCs w:val="22"/>
        </w:rPr>
        <w:t>” means an antimicrobial skin care product:</w:t>
      </w:r>
    </w:p>
    <w:p w14:paraId="635067A2" w14:textId="77777777" w:rsidR="00EB375A" w:rsidRPr="001637B9" w:rsidRDefault="00EB375A" w:rsidP="00EB375A">
      <w:pPr>
        <w:pStyle w:val="ListBulleta"/>
        <w:numPr>
          <w:ilvl w:val="0"/>
          <w:numId w:val="12"/>
        </w:numPr>
        <w:rPr>
          <w:color w:val="00B050"/>
          <w:lang w:eastAsia="en-AU"/>
        </w:rPr>
      </w:pPr>
      <w:r w:rsidRPr="001637B9">
        <w:rPr>
          <w:color w:val="00B050"/>
          <w:lang w:eastAsia="en-AU"/>
        </w:rPr>
        <w:t xml:space="preserve">that consists of, </w:t>
      </w:r>
      <w:proofErr w:type="gramStart"/>
      <w:r w:rsidRPr="001637B9">
        <w:rPr>
          <w:color w:val="00B050"/>
          <w:lang w:eastAsia="en-AU"/>
        </w:rPr>
        <w:t>contains</w:t>
      </w:r>
      <w:proofErr w:type="gramEnd"/>
      <w:r w:rsidRPr="001637B9">
        <w:rPr>
          <w:color w:val="00B050"/>
          <w:lang w:eastAsia="en-AU"/>
        </w:rPr>
        <w:t xml:space="preserve"> or generates one or more antimicrobial active substances; and</w:t>
      </w:r>
    </w:p>
    <w:p w14:paraId="1EA4AB17" w14:textId="77777777" w:rsidR="00EB375A" w:rsidRPr="004E3101" w:rsidRDefault="00EB375A" w:rsidP="00EB375A">
      <w:pPr>
        <w:pStyle w:val="ListBulleta"/>
        <w:rPr>
          <w:color w:val="00B050"/>
          <w:lang w:eastAsia="en-AU"/>
        </w:rPr>
      </w:pPr>
      <w:r w:rsidRPr="004E3101">
        <w:rPr>
          <w:color w:val="00B050"/>
          <w:lang w:eastAsia="en-AU"/>
        </w:rPr>
        <w:t>that is represented in any way to be, or is likely to be taken to be (whether because of the way in which it is presented or for any other reason):</w:t>
      </w:r>
    </w:p>
    <w:p w14:paraId="2E4440C9" w14:textId="77777777" w:rsidR="00EB375A" w:rsidRPr="001637B9" w:rsidRDefault="00EB375A" w:rsidP="00EB375A">
      <w:pPr>
        <w:pStyle w:val="ListBulleti"/>
        <w:numPr>
          <w:ilvl w:val="0"/>
          <w:numId w:val="15"/>
        </w:numPr>
        <w:rPr>
          <w:color w:val="00B050"/>
          <w:lang w:eastAsia="en-AU"/>
        </w:rPr>
      </w:pPr>
      <w:r w:rsidRPr="001637B9">
        <w:rPr>
          <w:color w:val="00B050"/>
          <w:lang w:eastAsia="en-AU"/>
        </w:rPr>
        <w:t>for use on hands when soap and water are not available; and</w:t>
      </w:r>
    </w:p>
    <w:p w14:paraId="0B76380A" w14:textId="77777777" w:rsidR="00EB375A" w:rsidRDefault="00EB375A" w:rsidP="00EB375A">
      <w:pPr>
        <w:pStyle w:val="ListBulleti"/>
        <w:rPr>
          <w:color w:val="00B050"/>
          <w:lang w:eastAsia="en-AU"/>
        </w:rPr>
      </w:pPr>
      <w:r w:rsidRPr="004E3101">
        <w:rPr>
          <w:color w:val="00B050"/>
          <w:lang w:eastAsia="en-AU"/>
        </w:rPr>
        <w:t>applied to the hands without rinsing off; and</w:t>
      </w:r>
    </w:p>
    <w:p w14:paraId="68D04EBD" w14:textId="2D60541B" w:rsidR="00EB375A" w:rsidRPr="00EB375A" w:rsidRDefault="00EB375A" w:rsidP="00EB375A">
      <w:pPr>
        <w:pStyle w:val="ListBulleti"/>
        <w:rPr>
          <w:color w:val="00B050"/>
          <w:lang w:eastAsia="en-AU"/>
        </w:rPr>
      </w:pPr>
      <w:r w:rsidRPr="00A84798">
        <w:rPr>
          <w:color w:val="00B050"/>
          <w:lang w:eastAsia="en-AU"/>
        </w:rPr>
        <w:t>intended to destroy, deter, render harmless, prevent the action of, or otherwise exert a controlling effect on any microbes on the skin.</w:t>
      </w:r>
    </w:p>
    <w:p w14:paraId="0070B30E" w14:textId="77777777" w:rsidR="00A40CB9" w:rsidRPr="00C721A5" w:rsidRDefault="00A40CB9" w:rsidP="00A40CB9">
      <w:pPr>
        <w:pStyle w:val="Heading4"/>
        <w:rPr>
          <w:rFonts w:ascii="Cambria" w:eastAsia="Times New Roman" w:hAnsi="Cambria"/>
          <w:i/>
          <w:color w:val="001523"/>
          <w:sz w:val="22"/>
        </w:rPr>
      </w:pPr>
      <w:bookmarkStart w:id="18" w:name="_Toc80898732"/>
      <w:r w:rsidRPr="00C721A5">
        <w:rPr>
          <w:rFonts w:ascii="Cambria" w:eastAsia="Times New Roman" w:hAnsi="Cambria"/>
          <w:i/>
          <w:color w:val="001523"/>
          <w:sz w:val="22"/>
        </w:rPr>
        <w:t>Materials considered</w:t>
      </w:r>
      <w:bookmarkEnd w:id="18"/>
    </w:p>
    <w:p w14:paraId="7E91BE94" w14:textId="77777777" w:rsidR="00A40CB9" w:rsidRDefault="00A40CB9" w:rsidP="00A40CB9">
      <w:r>
        <w:t>In making this interim decision, the Delegate considered the following material:</w:t>
      </w:r>
    </w:p>
    <w:p w14:paraId="0E67AC12" w14:textId="1DD46949" w:rsidR="00EA3372" w:rsidRDefault="00EA3372" w:rsidP="00EA3372">
      <w:pPr>
        <w:pStyle w:val="ListBullet"/>
      </w:pPr>
      <w:r w:rsidRPr="000E0D69">
        <w:t xml:space="preserve">The </w:t>
      </w:r>
      <w:hyperlink r:id="rId22" w:history="1">
        <w:r w:rsidRPr="00D70DC2">
          <w:rPr>
            <w:rStyle w:val="Hyperlink"/>
          </w:rPr>
          <w:t>application</w:t>
        </w:r>
      </w:hyperlink>
      <w:r w:rsidRPr="000E0D69">
        <w:t xml:space="preserve"> to amend the</w:t>
      </w:r>
      <w:r>
        <w:t xml:space="preserve"> current Poisons Standard with respect to </w:t>
      </w:r>
      <w:r w:rsidR="00344464">
        <w:t>methanol</w:t>
      </w:r>
      <w:r>
        <w:t>;</w:t>
      </w:r>
    </w:p>
    <w:p w14:paraId="6AF13316" w14:textId="5B5C8A91" w:rsidR="00A40CB9" w:rsidRPr="006367ED" w:rsidRDefault="00344464" w:rsidP="00A40CB9">
      <w:pPr>
        <w:pStyle w:val="ListBullet"/>
      </w:pPr>
      <w:r>
        <w:t>The five</w:t>
      </w:r>
      <w:r w:rsidR="00A40CB9" w:rsidRPr="006367ED">
        <w:t xml:space="preserve"> </w:t>
      </w:r>
      <w:hyperlink r:id="rId23" w:history="1">
        <w:r w:rsidR="00A40CB9" w:rsidRPr="006367ED">
          <w:rPr>
            <w:rStyle w:val="Hyperlink"/>
          </w:rPr>
          <w:t>public submissions</w:t>
        </w:r>
      </w:hyperlink>
      <w:r w:rsidR="00A40CB9" w:rsidRPr="006367ED">
        <w:rPr>
          <w:rStyle w:val="Hyperlink"/>
          <w:color w:val="auto"/>
        </w:rPr>
        <w:t>,</w:t>
      </w:r>
      <w:r w:rsidR="00A40CB9" w:rsidRPr="006367ED">
        <w:t xml:space="preserve"> </w:t>
      </w:r>
      <w:r>
        <w:t>all</w:t>
      </w:r>
      <w:r w:rsidR="00A40CB9" w:rsidRPr="006367ED">
        <w:t xml:space="preserve"> including a written component, received in response to the </w:t>
      </w:r>
      <w:hyperlink r:id="rId24" w:history="1">
        <w:r w:rsidR="00A40CB9" w:rsidRPr="006367ED">
          <w:rPr>
            <w:rStyle w:val="Hyperlink"/>
          </w:rPr>
          <w:t>pre-meeting consultation</w:t>
        </w:r>
      </w:hyperlink>
      <w:r w:rsidR="00A40CB9" w:rsidRPr="006367ED">
        <w:t xml:space="preserve"> under regulation 42ZCZK of the Regulations;</w:t>
      </w:r>
    </w:p>
    <w:p w14:paraId="7292338A" w14:textId="64D748EC" w:rsidR="00344464" w:rsidRDefault="00344464" w:rsidP="00344464">
      <w:pPr>
        <w:pStyle w:val="ListBullet"/>
      </w:pPr>
      <w:r>
        <w:t>The advice received from the m</w:t>
      </w:r>
      <w:r w:rsidRPr="00A825A4">
        <w:t xml:space="preserve">eeting of the </w:t>
      </w:r>
      <w:r>
        <w:t>A</w:t>
      </w:r>
      <w:r w:rsidRPr="00344CA2">
        <w:t>dvisory Committee on Medicines and Chemicals Scheduling in jo</w:t>
      </w:r>
      <w:r>
        <w:t>int session (Joint ACMS-ACCS #28</w:t>
      </w:r>
      <w:proofErr w:type="gramStart"/>
      <w:r w:rsidRPr="00344CA2">
        <w:t>);</w:t>
      </w:r>
      <w:proofErr w:type="gramEnd"/>
    </w:p>
    <w:p w14:paraId="71F11B40" w14:textId="7595B2FD" w:rsidR="00A40CB9" w:rsidRDefault="00A40CB9" w:rsidP="00253950">
      <w:pPr>
        <w:pStyle w:val="ListBullet"/>
      </w:pPr>
      <w:r>
        <w:t xml:space="preserve">Subsection 52E(1) of the </w:t>
      </w:r>
      <w:r w:rsidRPr="00FC4D25">
        <w:rPr>
          <w:i/>
        </w:rPr>
        <w:t xml:space="preserve">Therapeutic Goods Act 1989, </w:t>
      </w:r>
      <w:r w:rsidRPr="001169AC">
        <w:t xml:space="preserve">in particular </w:t>
      </w:r>
      <w:r>
        <w:t>(a) risks and benefits of the use of a substance; (b) the purposes for which a substance is to be used and the extent of use of a substance;</w:t>
      </w:r>
      <w:r w:rsidR="00253950" w:rsidRPr="00253950">
        <w:t xml:space="preserve"> (c) the toxicity of a substance; (d) the dosage, formulation, labelling, packaging and presentation of a substance; </w:t>
      </w:r>
      <w:r w:rsidR="00344464">
        <w:t>(e) the potential for abuse of a substance;</w:t>
      </w:r>
      <w:r w:rsidR="00344464" w:rsidRPr="00253950">
        <w:t xml:space="preserve"> </w:t>
      </w:r>
      <w:r w:rsidR="00253950" w:rsidRPr="00253950">
        <w:t>and (f) any other matters that the Secretary considers nec</w:t>
      </w:r>
      <w:r w:rsidR="00253950">
        <w:t>essary to protect public health;</w:t>
      </w:r>
    </w:p>
    <w:p w14:paraId="49AF627B" w14:textId="77777777" w:rsidR="00A40CB9" w:rsidRDefault="00A40CB9" w:rsidP="00A40CB9">
      <w:pPr>
        <w:pStyle w:val="ListBullet"/>
      </w:pPr>
      <w:r w:rsidRPr="002C1418">
        <w:t xml:space="preserve">The Australian Health Ministers’ Advisory Council’s </w:t>
      </w:r>
      <w:hyperlink r:id="rId25" w:history="1">
        <w:r w:rsidRPr="001A7580">
          <w:rPr>
            <w:rStyle w:val="Hyperlink"/>
          </w:rPr>
          <w:t>Scheduling Policy Framework</w:t>
        </w:r>
      </w:hyperlink>
      <w:r>
        <w:t xml:space="preserve"> (SPF 2018</w:t>
      </w:r>
      <w:r w:rsidRPr="002C20AE">
        <w:t>);</w:t>
      </w:r>
      <w:r>
        <w:t xml:space="preserve"> and</w:t>
      </w:r>
    </w:p>
    <w:p w14:paraId="6861E8D0" w14:textId="77777777" w:rsidR="00A40CB9" w:rsidRPr="006501A1" w:rsidRDefault="00A40CB9" w:rsidP="00A40CB9">
      <w:pPr>
        <w:pStyle w:val="ListBullet"/>
      </w:pPr>
      <w:r>
        <w:t xml:space="preserve">The </w:t>
      </w:r>
      <w:hyperlink r:id="rId26" w:history="1">
        <w:r w:rsidRPr="001A7580">
          <w:rPr>
            <w:rStyle w:val="Hyperlink"/>
          </w:rPr>
          <w:t>Scheduling handbook: Guidance for amending the Poisons Standard</w:t>
        </w:r>
      </w:hyperlink>
      <w:r>
        <w:t>.</w:t>
      </w:r>
    </w:p>
    <w:p w14:paraId="0F2D757E" w14:textId="1711CCA6" w:rsidR="00A40CB9" w:rsidRPr="00C721A5" w:rsidRDefault="00BA402D" w:rsidP="00A40CB9">
      <w:pPr>
        <w:pStyle w:val="Heading4"/>
        <w:rPr>
          <w:rFonts w:ascii="Cambria" w:eastAsia="Times New Roman" w:hAnsi="Cambria"/>
          <w:i/>
          <w:color w:val="001523"/>
          <w:sz w:val="22"/>
        </w:rPr>
      </w:pPr>
      <w:bookmarkStart w:id="19" w:name="_Toc80898733"/>
      <w:r>
        <w:rPr>
          <w:rFonts w:ascii="Cambria" w:eastAsia="Times New Roman" w:hAnsi="Cambria"/>
          <w:i/>
          <w:color w:val="001523"/>
          <w:sz w:val="22"/>
        </w:rPr>
        <w:lastRenderedPageBreak/>
        <w:t xml:space="preserve">Summary of </w:t>
      </w:r>
      <w:r w:rsidR="008606EF">
        <w:rPr>
          <w:rFonts w:ascii="Cambria" w:eastAsia="Times New Roman" w:hAnsi="Cambria"/>
          <w:i/>
          <w:color w:val="001523"/>
          <w:sz w:val="22"/>
        </w:rPr>
        <w:t>ACMS-</w:t>
      </w:r>
      <w:r>
        <w:rPr>
          <w:rFonts w:ascii="Cambria" w:eastAsia="Times New Roman" w:hAnsi="Cambria"/>
          <w:i/>
          <w:color w:val="001523"/>
          <w:sz w:val="22"/>
        </w:rPr>
        <w:t>ACC</w:t>
      </w:r>
      <w:r w:rsidR="00A40CB9" w:rsidRPr="00C721A5">
        <w:rPr>
          <w:rFonts w:ascii="Cambria" w:eastAsia="Times New Roman" w:hAnsi="Cambria"/>
          <w:i/>
          <w:color w:val="001523"/>
          <w:sz w:val="22"/>
        </w:rPr>
        <w:t>S advice to the delegate</w:t>
      </w:r>
      <w:bookmarkEnd w:id="19"/>
    </w:p>
    <w:p w14:paraId="5E0114E6" w14:textId="72A3DEA3" w:rsidR="00A40CB9" w:rsidRDefault="00A40CB9" w:rsidP="00A40CB9">
      <w:r>
        <w:t>The Committee advised that</w:t>
      </w:r>
      <w:r w:rsidR="003E2CAF">
        <w:t xml:space="preserve"> </w:t>
      </w:r>
      <w:r w:rsidR="00344464">
        <w:t xml:space="preserve">the scheduling for methanol be amended in the </w:t>
      </w:r>
      <w:r>
        <w:t xml:space="preserve">Poisons Standard as follows: </w:t>
      </w:r>
    </w:p>
    <w:p w14:paraId="70C0CB52" w14:textId="77777777" w:rsidR="00344464" w:rsidRPr="00101762" w:rsidRDefault="00344464" w:rsidP="00344464">
      <w:pPr>
        <w:ind w:left="284" w:firstLine="436"/>
        <w:rPr>
          <w:b/>
        </w:rPr>
      </w:pPr>
      <w:r w:rsidRPr="00101762">
        <w:rPr>
          <w:b/>
        </w:rPr>
        <w:t>S</w:t>
      </w:r>
      <w:r>
        <w:rPr>
          <w:b/>
        </w:rPr>
        <w:t>chedule 10</w:t>
      </w:r>
      <w:r w:rsidRPr="00101762">
        <w:rPr>
          <w:b/>
        </w:rPr>
        <w:t xml:space="preserve"> – New Entry</w:t>
      </w:r>
    </w:p>
    <w:p w14:paraId="2F44EBFF" w14:textId="15482381" w:rsidR="00344464" w:rsidRDefault="00344464" w:rsidP="00344464">
      <w:pPr>
        <w:ind w:left="284" w:firstLine="436"/>
        <w:rPr>
          <w:color w:val="00B050"/>
        </w:rPr>
      </w:pPr>
      <w:r w:rsidRPr="00B16EF7">
        <w:rPr>
          <w:color w:val="00B050"/>
        </w:rPr>
        <w:t>METHANOL in hand sa</w:t>
      </w:r>
      <w:r>
        <w:rPr>
          <w:color w:val="00B050"/>
        </w:rPr>
        <w:t>nitisers containing more than 5 per cent</w:t>
      </w:r>
      <w:r w:rsidRPr="00B16EF7">
        <w:rPr>
          <w:color w:val="00B050"/>
        </w:rPr>
        <w:t xml:space="preserve"> methanol.</w:t>
      </w:r>
    </w:p>
    <w:p w14:paraId="39F5531F" w14:textId="77777777" w:rsidR="00A266AB" w:rsidRPr="00A266AB" w:rsidRDefault="00A266AB" w:rsidP="00A266AB">
      <w:pPr>
        <w:ind w:left="284" w:firstLine="436"/>
        <w:rPr>
          <w:b/>
          <w:color w:val="00B050"/>
        </w:rPr>
      </w:pPr>
      <w:r w:rsidRPr="00716CF7">
        <w:rPr>
          <w:b/>
        </w:rPr>
        <w:t>Schedule 6 – Amend Entry</w:t>
      </w:r>
    </w:p>
    <w:p w14:paraId="13828CEE" w14:textId="77777777" w:rsidR="00A266AB" w:rsidRPr="00716CF7" w:rsidRDefault="00A266AB" w:rsidP="00A266AB">
      <w:pPr>
        <w:ind w:left="284" w:firstLine="436"/>
        <w:rPr>
          <w:b/>
          <w:bCs/>
        </w:rPr>
      </w:pPr>
      <w:r w:rsidRPr="00716CF7">
        <w:t xml:space="preserve">METHANOL (excluding its derivatives) </w:t>
      </w:r>
      <w:r w:rsidRPr="00716CF7">
        <w:rPr>
          <w:b/>
          <w:bCs/>
        </w:rPr>
        <w:t xml:space="preserve">except: </w:t>
      </w:r>
    </w:p>
    <w:p w14:paraId="12653093" w14:textId="77777777" w:rsidR="00A266AB" w:rsidRPr="009A1704" w:rsidRDefault="00A266AB" w:rsidP="009A1704">
      <w:pPr>
        <w:pStyle w:val="ListBulleta"/>
        <w:numPr>
          <w:ilvl w:val="0"/>
          <w:numId w:val="30"/>
        </w:numPr>
        <w:rPr>
          <w:color w:val="00B050"/>
        </w:rPr>
      </w:pPr>
      <w:r w:rsidRPr="00A266AB">
        <w:t>when included in Schedule 5; or</w:t>
      </w:r>
      <w:r w:rsidRPr="009A1704">
        <w:rPr>
          <w:color w:val="00B050"/>
        </w:rPr>
        <w:t xml:space="preserve"> </w:t>
      </w:r>
    </w:p>
    <w:p w14:paraId="4F052E06" w14:textId="77777777" w:rsidR="00A266AB" w:rsidRPr="00716CF7" w:rsidRDefault="00A266AB" w:rsidP="00716CF7">
      <w:pPr>
        <w:pStyle w:val="ListBulleta"/>
        <w:rPr>
          <w:color w:val="00B050"/>
        </w:rPr>
      </w:pPr>
      <w:r w:rsidRPr="00716CF7">
        <w:rPr>
          <w:color w:val="00B050"/>
        </w:rPr>
        <w:t>when included in Schedule 10; or</w:t>
      </w:r>
    </w:p>
    <w:p w14:paraId="0B86D0E0" w14:textId="7A6631A4" w:rsidR="00A266AB" w:rsidRPr="00A266AB" w:rsidRDefault="00A266AB" w:rsidP="00716CF7">
      <w:pPr>
        <w:pStyle w:val="ListBulleta"/>
      </w:pPr>
      <w:r w:rsidRPr="00A266AB">
        <w:t>in preparations containing 2 per cent or less of methanol.</w:t>
      </w:r>
    </w:p>
    <w:p w14:paraId="021E5C00" w14:textId="77777777" w:rsidR="00344464" w:rsidRDefault="00344464" w:rsidP="00344464">
      <w:pPr>
        <w:ind w:left="284" w:firstLine="436"/>
        <w:rPr>
          <w:b/>
        </w:rPr>
      </w:pPr>
      <w:r w:rsidRPr="00B16EF7">
        <w:rPr>
          <w:b/>
        </w:rPr>
        <w:t>Schedule 5 – Amend Entry</w:t>
      </w:r>
    </w:p>
    <w:p w14:paraId="61BC0E9D" w14:textId="77777777" w:rsidR="00344464" w:rsidRDefault="00344464" w:rsidP="00344464">
      <w:pPr>
        <w:ind w:left="720"/>
        <w:rPr>
          <w:b/>
          <w:bCs/>
          <w:szCs w:val="22"/>
        </w:rPr>
      </w:pPr>
      <w:r>
        <w:rPr>
          <w:szCs w:val="22"/>
        </w:rPr>
        <w:t xml:space="preserve">METHANOL (excluding its derivatives) in preparations containing 10 per cent or less of methanol </w:t>
      </w:r>
      <w:r>
        <w:rPr>
          <w:b/>
          <w:bCs/>
          <w:szCs w:val="22"/>
        </w:rPr>
        <w:t xml:space="preserve">except </w:t>
      </w:r>
    </w:p>
    <w:p w14:paraId="06899A19" w14:textId="7166FA14" w:rsidR="00344464" w:rsidRPr="009A1704" w:rsidRDefault="00344464" w:rsidP="009A1704">
      <w:pPr>
        <w:pStyle w:val="ListBulleta"/>
        <w:numPr>
          <w:ilvl w:val="0"/>
          <w:numId w:val="31"/>
        </w:numPr>
        <w:rPr>
          <w:color w:val="00B050"/>
        </w:rPr>
      </w:pPr>
      <w:r w:rsidRPr="009A1704">
        <w:rPr>
          <w:color w:val="00B050"/>
        </w:rPr>
        <w:t>when included in Schedule 10, or</w:t>
      </w:r>
    </w:p>
    <w:p w14:paraId="67E95B44" w14:textId="7003A4BA" w:rsidR="00344464" w:rsidRPr="00344464" w:rsidRDefault="00344464" w:rsidP="00344464">
      <w:pPr>
        <w:pStyle w:val="ListBulleta"/>
        <w:rPr>
          <w:color w:val="00B050"/>
        </w:rPr>
      </w:pPr>
      <w:r w:rsidRPr="00344464">
        <w:t>in preparations containing 2 per cent or less of methanol.</w:t>
      </w:r>
    </w:p>
    <w:p w14:paraId="7E5F23A7" w14:textId="2CD00A30" w:rsidR="00344464" w:rsidRDefault="00344464" w:rsidP="00344464">
      <w:r>
        <w:t>The C</w:t>
      </w:r>
      <w:r w:rsidR="0086593D">
        <w:t>ommittee also advised</w:t>
      </w:r>
      <w:r>
        <w:t xml:space="preserve"> that Part 1 (Interpretation) of the Poisons Standard be amended to include a definition of ‘hand sanitiser’ based on the definition of hand sanitiser in the </w:t>
      </w:r>
      <w:hyperlink r:id="rId27" w:history="1">
        <w:r w:rsidRPr="000C62EC">
          <w:rPr>
            <w:rStyle w:val="Hyperlink"/>
          </w:rPr>
          <w:t>Consumer Goods (Cosmetics) Information Standard 2020</w:t>
        </w:r>
      </w:hyperlink>
      <w:r>
        <w:rPr>
          <w:rStyle w:val="FootnoteReference"/>
        </w:rPr>
        <w:footnoteReference w:id="4"/>
      </w:r>
      <w:r>
        <w:t>, as follows:</w:t>
      </w:r>
    </w:p>
    <w:p w14:paraId="22E7C9B6" w14:textId="3A449EF1" w:rsidR="00344464" w:rsidRPr="0086593D" w:rsidRDefault="00344464" w:rsidP="0086593D">
      <w:pPr>
        <w:autoSpaceDE w:val="0"/>
        <w:autoSpaceDN w:val="0"/>
        <w:adjustRightInd w:val="0"/>
        <w:spacing w:before="0" w:after="0" w:line="240" w:lineRule="auto"/>
        <w:ind w:firstLine="720"/>
        <w:rPr>
          <w:rFonts w:cs="CIDFont+F1"/>
          <w:color w:val="00B050"/>
          <w:szCs w:val="22"/>
        </w:rPr>
      </w:pPr>
      <w:r w:rsidRPr="0086593D">
        <w:rPr>
          <w:rFonts w:cs="CIDFont+F1"/>
          <w:color w:val="00B050"/>
          <w:szCs w:val="22"/>
        </w:rPr>
        <w:t>“</w:t>
      </w:r>
      <w:r w:rsidRPr="0086593D">
        <w:rPr>
          <w:rFonts w:cs="CIDFont+F1"/>
          <w:b/>
          <w:color w:val="00B050"/>
          <w:szCs w:val="22"/>
        </w:rPr>
        <w:t>Hand sanitiser preparation</w:t>
      </w:r>
      <w:r w:rsidRPr="0086593D">
        <w:rPr>
          <w:rFonts w:cs="CIDFont+F1"/>
          <w:color w:val="00B050"/>
          <w:szCs w:val="22"/>
        </w:rPr>
        <w:t>” means an antimicrobial skin care product:</w:t>
      </w:r>
      <w:r w:rsidR="0086593D">
        <w:rPr>
          <w:rFonts w:cs="CIDFont+F1"/>
          <w:color w:val="00B050"/>
          <w:szCs w:val="22"/>
        </w:rPr>
        <w:t xml:space="preserve"> </w:t>
      </w:r>
    </w:p>
    <w:p w14:paraId="31321154" w14:textId="77777777" w:rsidR="00344464" w:rsidRPr="0086593D" w:rsidRDefault="00344464" w:rsidP="0086593D">
      <w:pPr>
        <w:pStyle w:val="ListBulleta"/>
        <w:numPr>
          <w:ilvl w:val="0"/>
          <w:numId w:val="22"/>
        </w:numPr>
        <w:rPr>
          <w:color w:val="00B050"/>
          <w:lang w:eastAsia="en-AU"/>
        </w:rPr>
      </w:pPr>
      <w:r w:rsidRPr="0086593D">
        <w:rPr>
          <w:color w:val="00B050"/>
          <w:lang w:eastAsia="en-AU"/>
        </w:rPr>
        <w:t xml:space="preserve">that consists of, </w:t>
      </w:r>
      <w:proofErr w:type="gramStart"/>
      <w:r w:rsidRPr="0086593D">
        <w:rPr>
          <w:color w:val="00B050"/>
          <w:lang w:eastAsia="en-AU"/>
        </w:rPr>
        <w:t>contains</w:t>
      </w:r>
      <w:proofErr w:type="gramEnd"/>
      <w:r w:rsidRPr="0086593D">
        <w:rPr>
          <w:color w:val="00B050"/>
          <w:lang w:eastAsia="en-AU"/>
        </w:rPr>
        <w:t xml:space="preserve"> or generates one or more antimicrobial active substances; and</w:t>
      </w:r>
    </w:p>
    <w:p w14:paraId="68CF7E8F" w14:textId="77777777" w:rsidR="00344464" w:rsidRPr="004E3101" w:rsidRDefault="00344464" w:rsidP="00344464">
      <w:pPr>
        <w:pStyle w:val="ListBulleta"/>
        <w:rPr>
          <w:color w:val="00B050"/>
          <w:lang w:eastAsia="en-AU"/>
        </w:rPr>
      </w:pPr>
      <w:r w:rsidRPr="004E3101">
        <w:rPr>
          <w:color w:val="00B050"/>
          <w:lang w:eastAsia="en-AU"/>
        </w:rPr>
        <w:t>that is represented in any way to be, or is likely to be taken to be (whether because of the way in which it is presented or for any other reason):</w:t>
      </w:r>
    </w:p>
    <w:p w14:paraId="7B3712E1" w14:textId="77777777" w:rsidR="00344464" w:rsidRPr="0086593D" w:rsidRDefault="00344464" w:rsidP="0086593D">
      <w:pPr>
        <w:pStyle w:val="ListBulleti"/>
        <w:numPr>
          <w:ilvl w:val="0"/>
          <w:numId w:val="23"/>
        </w:numPr>
        <w:rPr>
          <w:color w:val="00B050"/>
          <w:lang w:eastAsia="en-AU"/>
        </w:rPr>
      </w:pPr>
      <w:r w:rsidRPr="0086593D">
        <w:rPr>
          <w:color w:val="00B050"/>
          <w:lang w:eastAsia="en-AU"/>
        </w:rPr>
        <w:t>for use on hands when soap and water are not available; and</w:t>
      </w:r>
    </w:p>
    <w:p w14:paraId="0ADC4744" w14:textId="77777777" w:rsidR="00344464" w:rsidRDefault="00344464" w:rsidP="00344464">
      <w:pPr>
        <w:pStyle w:val="ListBulleti"/>
        <w:rPr>
          <w:color w:val="00B050"/>
          <w:lang w:eastAsia="en-AU"/>
        </w:rPr>
      </w:pPr>
      <w:r w:rsidRPr="004E3101">
        <w:rPr>
          <w:color w:val="00B050"/>
          <w:lang w:eastAsia="en-AU"/>
        </w:rPr>
        <w:t>applied to the hands without rinsing off; and</w:t>
      </w:r>
    </w:p>
    <w:p w14:paraId="3FA6A331" w14:textId="77777777" w:rsidR="00344464" w:rsidRPr="00A84798" w:rsidRDefault="00344464" w:rsidP="00344464">
      <w:pPr>
        <w:pStyle w:val="ListBulleti"/>
        <w:rPr>
          <w:color w:val="00B050"/>
          <w:lang w:eastAsia="en-AU"/>
        </w:rPr>
      </w:pPr>
      <w:r w:rsidRPr="00A84798">
        <w:rPr>
          <w:color w:val="00B050"/>
          <w:lang w:eastAsia="en-AU"/>
        </w:rPr>
        <w:t>intended to destroy, deter, render harmless, prevent the action of, or otherwise exert a controlling effect on any microbes on the skin.</w:t>
      </w:r>
    </w:p>
    <w:p w14:paraId="6A2F13E9" w14:textId="068643EC" w:rsidR="00344464" w:rsidRDefault="00344464" w:rsidP="00A40CB9">
      <w:r>
        <w:t xml:space="preserve">The Committee also recommended an implementation date of </w:t>
      </w:r>
      <w:r w:rsidRPr="00D47415">
        <w:rPr>
          <w:b/>
        </w:rPr>
        <w:t xml:space="preserve">1 </w:t>
      </w:r>
      <w:r>
        <w:rPr>
          <w:b/>
        </w:rPr>
        <w:t>February</w:t>
      </w:r>
      <w:r w:rsidRPr="00101762">
        <w:rPr>
          <w:b/>
        </w:rPr>
        <w:t xml:space="preserve"> </w:t>
      </w:r>
      <w:r>
        <w:rPr>
          <w:b/>
        </w:rPr>
        <w:t>2022</w:t>
      </w:r>
      <w:r>
        <w:t xml:space="preserve">, due to public health concerns associated with this substance. </w:t>
      </w:r>
    </w:p>
    <w:p w14:paraId="076E3B6A" w14:textId="34CBC5E2" w:rsidR="00A40CB9" w:rsidRDefault="00A40CB9" w:rsidP="00A40CB9">
      <w:r>
        <w:t xml:space="preserve">Members agreed that the relevant matters under Section 52E(1) of the </w:t>
      </w:r>
      <w:r w:rsidRPr="00AC262B">
        <w:rPr>
          <w:i/>
        </w:rPr>
        <w:t>Therapeutic Goods Act 1989</w:t>
      </w:r>
      <w:r>
        <w:t xml:space="preserve"> included: </w:t>
      </w:r>
      <w:r w:rsidR="00800210">
        <w:t xml:space="preserve">(a) risks and benefits of the use of a substance; (b) the purposes for which a substance is to be used and the extent of use of a substance; </w:t>
      </w:r>
      <w:r w:rsidR="00800210" w:rsidRPr="00253950">
        <w:t>(c) the toxicity of a substance; (d) the dosage, formulation, labelling, packaging and presentation of a substance;</w:t>
      </w:r>
      <w:r w:rsidR="00344464" w:rsidRPr="00344464">
        <w:t xml:space="preserve"> </w:t>
      </w:r>
      <w:r w:rsidR="00344464">
        <w:t>(e) the potential for abuse of a substance;</w:t>
      </w:r>
      <w:r w:rsidR="00800210" w:rsidRPr="00253950">
        <w:t xml:space="preserve"> and (f) any other matters that the Secretary considers nec</w:t>
      </w:r>
      <w:r w:rsidR="00800210">
        <w:t>essary to protect public health</w:t>
      </w:r>
      <w:r>
        <w:t xml:space="preserve">. </w:t>
      </w:r>
    </w:p>
    <w:p w14:paraId="2AE9F8EC" w14:textId="2A6EC645" w:rsidR="00A40CB9" w:rsidRDefault="00A40CB9" w:rsidP="00A40CB9">
      <w:r>
        <w:t>The reasons for the advice included:</w:t>
      </w:r>
    </w:p>
    <w:p w14:paraId="53C12209" w14:textId="77777777" w:rsidR="00696B6B" w:rsidRDefault="00696B6B" w:rsidP="00696B6B">
      <w:pPr>
        <w:pStyle w:val="ListParagraph"/>
        <w:numPr>
          <w:ilvl w:val="0"/>
          <w:numId w:val="29"/>
        </w:numPr>
        <w:spacing w:line="360" w:lineRule="auto"/>
        <w:ind w:left="426" w:firstLine="0"/>
        <w:rPr>
          <w:i/>
        </w:rPr>
      </w:pPr>
      <w:r>
        <w:rPr>
          <w:i/>
        </w:rPr>
        <w:lastRenderedPageBreak/>
        <w:t>the risks and benefits of the use of a substance</w:t>
      </w:r>
    </w:p>
    <w:p w14:paraId="33439B59" w14:textId="77777777" w:rsidR="00696B6B" w:rsidRDefault="00696B6B" w:rsidP="00696B6B">
      <w:pPr>
        <w:pStyle w:val="ListParagraph"/>
        <w:ind w:left="426"/>
      </w:pPr>
      <w:r>
        <w:rPr>
          <w:rFonts w:eastAsia="Times New Roman"/>
        </w:rPr>
        <w:t>Risks:</w:t>
      </w:r>
    </w:p>
    <w:p w14:paraId="43AB6446" w14:textId="77777777" w:rsidR="00696B6B" w:rsidRDefault="00696B6B" w:rsidP="00696B6B">
      <w:pPr>
        <w:pStyle w:val="ListBullet2"/>
        <w:numPr>
          <w:ilvl w:val="1"/>
          <w:numId w:val="28"/>
        </w:numPr>
      </w:pPr>
      <w:r>
        <w:t>Methanol can be absorbed by all exposure pathways and can cause irreversible damage to humans at low doses particularly to the central nervous system including the optic nerve.</w:t>
      </w:r>
    </w:p>
    <w:p w14:paraId="21329B16" w14:textId="77777777" w:rsidR="00696B6B" w:rsidRDefault="00696B6B" w:rsidP="00696B6B">
      <w:pPr>
        <w:pStyle w:val="ListBullet2"/>
        <w:numPr>
          <w:ilvl w:val="1"/>
          <w:numId w:val="28"/>
        </w:numPr>
      </w:pPr>
      <w:r>
        <w:t>Methanol can arise as a denaturing agent for ethanol or as a by–product from distillation processes.</w:t>
      </w:r>
    </w:p>
    <w:p w14:paraId="2D7463AD" w14:textId="77777777" w:rsidR="00696B6B" w:rsidRDefault="00696B6B" w:rsidP="00696B6B">
      <w:pPr>
        <w:pStyle w:val="ListBullet2"/>
        <w:numPr>
          <w:ilvl w:val="1"/>
          <w:numId w:val="28"/>
        </w:numPr>
      </w:pPr>
      <w:r>
        <w:t>It may also be misused in hand sanitisers to a limited extent if ethanol or isopropyl alcohol is difficult to obtain due to supply chain issues, such as was experienced in the early days of the coronavirus pandemic.</w:t>
      </w:r>
    </w:p>
    <w:p w14:paraId="65209EAA" w14:textId="77777777" w:rsidR="00696B6B" w:rsidRDefault="00696B6B" w:rsidP="00696B6B">
      <w:pPr>
        <w:pStyle w:val="ListParagraph"/>
        <w:ind w:left="426"/>
      </w:pPr>
      <w:r>
        <w:t>Benefits:</w:t>
      </w:r>
    </w:p>
    <w:p w14:paraId="2F73D027" w14:textId="77777777" w:rsidR="00696B6B" w:rsidRDefault="00696B6B" w:rsidP="00696B6B">
      <w:pPr>
        <w:pStyle w:val="ListBullet2"/>
        <w:numPr>
          <w:ilvl w:val="1"/>
          <w:numId w:val="28"/>
        </w:numPr>
      </w:pPr>
      <w:r>
        <w:t>Methanol is an effective denaturing agent that can be added to consumer products containing ethanol to prevent intentional ingestion.</w:t>
      </w:r>
    </w:p>
    <w:p w14:paraId="09052D55" w14:textId="77777777" w:rsidR="00696B6B" w:rsidRDefault="00696B6B" w:rsidP="00696B6B">
      <w:pPr>
        <w:pStyle w:val="ListParagraph"/>
        <w:numPr>
          <w:ilvl w:val="0"/>
          <w:numId w:val="29"/>
        </w:numPr>
        <w:ind w:left="426" w:firstLine="0"/>
        <w:rPr>
          <w:rFonts w:eastAsia="Times New Roman"/>
          <w:i/>
        </w:rPr>
      </w:pPr>
      <w:r>
        <w:rPr>
          <w:rFonts w:eastAsia="Times New Roman"/>
          <w:i/>
        </w:rPr>
        <w:t>the purposes for which a substance is to be used and the extent of use of a substance</w:t>
      </w:r>
    </w:p>
    <w:p w14:paraId="26A8BC18" w14:textId="77777777" w:rsidR="00696B6B" w:rsidRDefault="00696B6B" w:rsidP="00696B6B">
      <w:pPr>
        <w:pStyle w:val="ListBullet2"/>
        <w:numPr>
          <w:ilvl w:val="1"/>
          <w:numId w:val="28"/>
        </w:numPr>
      </w:pPr>
      <w:r>
        <w:t>Denaturant in ethanol.</w:t>
      </w:r>
    </w:p>
    <w:p w14:paraId="3244B09F" w14:textId="77777777" w:rsidR="00696B6B" w:rsidRDefault="00696B6B" w:rsidP="00696B6B">
      <w:pPr>
        <w:pStyle w:val="ListParagraph"/>
        <w:numPr>
          <w:ilvl w:val="0"/>
          <w:numId w:val="29"/>
        </w:numPr>
        <w:ind w:left="426" w:firstLine="0"/>
        <w:rPr>
          <w:i/>
        </w:rPr>
      </w:pPr>
      <w:r>
        <w:rPr>
          <w:i/>
        </w:rPr>
        <w:t>the toxicity of a substance</w:t>
      </w:r>
    </w:p>
    <w:p w14:paraId="10389DAE" w14:textId="77777777" w:rsidR="00696B6B" w:rsidRDefault="00696B6B" w:rsidP="00696B6B">
      <w:pPr>
        <w:pStyle w:val="ListBullet2"/>
        <w:numPr>
          <w:ilvl w:val="1"/>
          <w:numId w:val="28"/>
        </w:numPr>
      </w:pPr>
      <w:r>
        <w:t>Methanol is a central nervous system depressant and can cause irreversible damage including blindness.</w:t>
      </w:r>
    </w:p>
    <w:p w14:paraId="6705CE7C" w14:textId="77777777" w:rsidR="00696B6B" w:rsidRDefault="00696B6B" w:rsidP="00696B6B">
      <w:pPr>
        <w:pStyle w:val="ListBullet2"/>
        <w:numPr>
          <w:ilvl w:val="1"/>
          <w:numId w:val="28"/>
        </w:numPr>
      </w:pPr>
      <w:r>
        <w:t>Methanol is toxic to humans at levels below those found in animal studies. This degree of toxicity is already accounted for in the current scheduling for methanol.</w:t>
      </w:r>
    </w:p>
    <w:p w14:paraId="64CF66AD" w14:textId="77777777" w:rsidR="00696B6B" w:rsidRDefault="00696B6B" w:rsidP="00696B6B">
      <w:pPr>
        <w:pStyle w:val="ListParagraph"/>
        <w:numPr>
          <w:ilvl w:val="0"/>
          <w:numId w:val="29"/>
        </w:numPr>
        <w:ind w:left="426" w:firstLine="0"/>
        <w:rPr>
          <w:rFonts w:eastAsia="Times New Roman"/>
          <w:i/>
        </w:rPr>
      </w:pPr>
      <w:r>
        <w:rPr>
          <w:rFonts w:eastAsia="Times New Roman"/>
          <w:i/>
        </w:rPr>
        <w:t xml:space="preserve">the dosage, formulation, labelling, </w:t>
      </w:r>
      <w:proofErr w:type="gramStart"/>
      <w:r>
        <w:rPr>
          <w:rFonts w:eastAsia="Times New Roman"/>
          <w:i/>
        </w:rPr>
        <w:t>packaging</w:t>
      </w:r>
      <w:proofErr w:type="gramEnd"/>
      <w:r>
        <w:rPr>
          <w:rFonts w:eastAsia="Times New Roman"/>
          <w:i/>
        </w:rPr>
        <w:t xml:space="preserve"> and presentation of a substance</w:t>
      </w:r>
    </w:p>
    <w:p w14:paraId="03A2EFD1" w14:textId="77777777" w:rsidR="00696B6B" w:rsidRDefault="00696B6B" w:rsidP="00696B6B">
      <w:pPr>
        <w:pStyle w:val="ListBullet2"/>
        <w:numPr>
          <w:ilvl w:val="1"/>
          <w:numId w:val="28"/>
        </w:numPr>
      </w:pPr>
      <w:r>
        <w:t>Used as a denaturant in ethanol, which is the active ingredient used in hand sanitiser preparations.</w:t>
      </w:r>
    </w:p>
    <w:p w14:paraId="1CD6C6CC" w14:textId="77777777" w:rsidR="00696B6B" w:rsidRDefault="00696B6B" w:rsidP="00696B6B">
      <w:pPr>
        <w:pStyle w:val="ListBullet2"/>
        <w:numPr>
          <w:ilvl w:val="1"/>
          <w:numId w:val="28"/>
        </w:numPr>
      </w:pPr>
      <w:r>
        <w:t>The dosage is within the current parameters included in Schedules 5 and 6. However, the labelling requirements may need adjustment to account for its use in products that are meant to be in contact with the skin.</w:t>
      </w:r>
    </w:p>
    <w:p w14:paraId="7695377A" w14:textId="77777777" w:rsidR="00696B6B" w:rsidRDefault="00696B6B" w:rsidP="00696B6B">
      <w:pPr>
        <w:pStyle w:val="ListParagraph"/>
        <w:numPr>
          <w:ilvl w:val="0"/>
          <w:numId w:val="29"/>
        </w:numPr>
        <w:ind w:left="426" w:firstLine="0"/>
        <w:rPr>
          <w:i/>
        </w:rPr>
      </w:pPr>
      <w:r>
        <w:rPr>
          <w:i/>
        </w:rPr>
        <w:t>the potential for abuse of a substance</w:t>
      </w:r>
    </w:p>
    <w:p w14:paraId="557E4C70" w14:textId="77777777" w:rsidR="00696B6B" w:rsidRDefault="00696B6B" w:rsidP="00696B6B">
      <w:pPr>
        <w:pStyle w:val="ListBullet2"/>
        <w:numPr>
          <w:ilvl w:val="1"/>
          <w:numId w:val="28"/>
        </w:numPr>
      </w:pPr>
      <w:r>
        <w:t>Intentional and unintentional misuse from ingestion.</w:t>
      </w:r>
    </w:p>
    <w:p w14:paraId="69474E1C" w14:textId="77777777" w:rsidR="00696B6B" w:rsidRDefault="00696B6B" w:rsidP="00696B6B">
      <w:pPr>
        <w:pStyle w:val="ListParagraph"/>
        <w:numPr>
          <w:ilvl w:val="0"/>
          <w:numId w:val="29"/>
        </w:numPr>
        <w:ind w:left="426" w:firstLine="0"/>
        <w:rPr>
          <w:rFonts w:eastAsia="Times New Roman"/>
          <w:i/>
        </w:rPr>
      </w:pPr>
      <w:r>
        <w:rPr>
          <w:rFonts w:eastAsia="Times New Roman"/>
          <w:i/>
        </w:rPr>
        <w:t>any other matters that the Secretary considers necessary to protect public health</w:t>
      </w:r>
    </w:p>
    <w:p w14:paraId="6F8C77D0" w14:textId="77777777" w:rsidR="00696B6B" w:rsidRDefault="00696B6B" w:rsidP="00696B6B">
      <w:pPr>
        <w:pStyle w:val="ListBullet2"/>
        <w:numPr>
          <w:ilvl w:val="1"/>
          <w:numId w:val="28"/>
        </w:numPr>
      </w:pPr>
      <w:r>
        <w:t>Consideration could be given to the current Schedule 5 and Schedule 6 entries with regards methanol as a denaturant with ethanol.</w:t>
      </w:r>
    </w:p>
    <w:p w14:paraId="76B90A13" w14:textId="0419CA64" w:rsidR="00696B6B" w:rsidRPr="0023227D" w:rsidRDefault="00696B6B" w:rsidP="00A40CB9">
      <w:pPr>
        <w:pStyle w:val="ListBullet2"/>
        <w:numPr>
          <w:ilvl w:val="1"/>
          <w:numId w:val="28"/>
        </w:numPr>
      </w:pPr>
      <w:r>
        <w:t>Noting that the Australian Health Protection Principle Committee have undertaken some work around generic hand sanitiser use, a public guidance or education campaign regarding hand sanitiser use highlighting use in infants could be undertaken.</w:t>
      </w:r>
    </w:p>
    <w:p w14:paraId="6CFF3E0A" w14:textId="77777777" w:rsidR="00A40CB9" w:rsidRPr="00C721A5" w:rsidRDefault="00A40CB9" w:rsidP="00A40CB9">
      <w:pPr>
        <w:pStyle w:val="Heading4"/>
        <w:rPr>
          <w:rFonts w:ascii="Cambria" w:eastAsia="Times New Roman" w:hAnsi="Cambria"/>
          <w:i/>
          <w:color w:val="001523"/>
          <w:sz w:val="22"/>
        </w:rPr>
      </w:pPr>
      <w:bookmarkStart w:id="20" w:name="_Toc80898734"/>
      <w:r w:rsidRPr="00C721A5">
        <w:rPr>
          <w:rFonts w:ascii="Cambria" w:eastAsia="Times New Roman" w:hAnsi="Cambria"/>
          <w:i/>
          <w:color w:val="001523"/>
          <w:sz w:val="22"/>
        </w:rPr>
        <w:t>Reasons for the interim decision (including findings on material questions of fact)</w:t>
      </w:r>
      <w:bookmarkEnd w:id="20"/>
    </w:p>
    <w:p w14:paraId="2ACC7661" w14:textId="54B50A43" w:rsidR="00606BC1" w:rsidRDefault="0086593D" w:rsidP="00A40CB9">
      <w:r>
        <w:t>I have made an interim decision to create a new</w:t>
      </w:r>
      <w:r w:rsidR="00E67770">
        <w:t xml:space="preserve"> Schedule 10 entry for methanol in hand sanitiser preparations</w:t>
      </w:r>
      <w:r w:rsidR="00A8337B">
        <w:t xml:space="preserve"> containing more than 5 % methanol </w:t>
      </w:r>
      <w:r w:rsidR="00606BC1">
        <w:t xml:space="preserve">and </w:t>
      </w:r>
      <w:r w:rsidR="002C195A">
        <w:t>include</w:t>
      </w:r>
      <w:r w:rsidR="00FB2CBA">
        <w:t xml:space="preserve"> a new definition for hand sanitiser preparations in Part 1 of the Poisons Standard. </w:t>
      </w:r>
      <w:r w:rsidR="00A56959">
        <w:t>The detailed reasons for my decision follow.</w:t>
      </w:r>
    </w:p>
    <w:p w14:paraId="5959C3E0" w14:textId="20E4BCD2" w:rsidR="00A40CB9" w:rsidRDefault="00A40CB9" w:rsidP="00A40CB9">
      <w:r w:rsidRPr="006B74E6">
        <w:rPr>
          <w:bCs/>
        </w:rPr>
        <w:lastRenderedPageBreak/>
        <w:t>I agree with the Committee's finding</w:t>
      </w:r>
      <w:r>
        <w:rPr>
          <w:bCs/>
        </w:rPr>
        <w:t>s</w:t>
      </w:r>
      <w:r w:rsidRPr="006B74E6">
        <w:rPr>
          <w:bCs/>
        </w:rPr>
        <w:t xml:space="preserve"> that the relevant provisions of section 52E of the </w:t>
      </w:r>
      <w:r w:rsidRPr="006B74E6">
        <w:rPr>
          <w:bCs/>
          <w:i/>
          <w:iCs/>
        </w:rPr>
        <w:t>Therapeutic Goods Act 1989</w:t>
      </w:r>
      <w:r w:rsidRPr="006B74E6">
        <w:rPr>
          <w:bCs/>
        </w:rPr>
        <w:t> are</w:t>
      </w:r>
      <w:r>
        <w:rPr>
          <w:bCs/>
        </w:rPr>
        <w:t>:</w:t>
      </w:r>
      <w:r w:rsidRPr="00C70F72">
        <w:t xml:space="preserve"> </w:t>
      </w:r>
      <w:r w:rsidR="00800210">
        <w:t xml:space="preserve">(a) risks and benefits of the use of a substance; (b) the purposes for which a substance is to be used and the extent of use of a substance; </w:t>
      </w:r>
      <w:r w:rsidR="00800210" w:rsidRPr="00253950">
        <w:t xml:space="preserve">(c) the toxicity of a substance; (d) the dosage, formulation, labelling, packaging and presentation of a substance; </w:t>
      </w:r>
      <w:r w:rsidR="00344464">
        <w:t xml:space="preserve">(e) the potential for abuse of a substance; </w:t>
      </w:r>
      <w:r w:rsidR="00800210" w:rsidRPr="00253950">
        <w:t>and (f) any other matters that the Secretary considers nec</w:t>
      </w:r>
      <w:r w:rsidR="00800210">
        <w:t>essary to protect public health.</w:t>
      </w:r>
    </w:p>
    <w:p w14:paraId="7AC82F34" w14:textId="78E27A58" w:rsidR="00F41A76" w:rsidRDefault="00556406" w:rsidP="00556406">
      <w:pPr>
        <w:rPr>
          <w:szCs w:val="22"/>
        </w:rPr>
      </w:pPr>
      <w:bookmarkStart w:id="21" w:name="_Hlk79403349"/>
      <w:r>
        <w:rPr>
          <w:szCs w:val="22"/>
        </w:rPr>
        <w:t xml:space="preserve">Having considered the </w:t>
      </w:r>
      <w:r w:rsidR="00B516A7">
        <w:rPr>
          <w:szCs w:val="22"/>
        </w:rPr>
        <w:t>s</w:t>
      </w:r>
      <w:r>
        <w:rPr>
          <w:szCs w:val="22"/>
        </w:rPr>
        <w:t xml:space="preserve">cheduling </w:t>
      </w:r>
      <w:r w:rsidR="00B516A7">
        <w:rPr>
          <w:szCs w:val="22"/>
        </w:rPr>
        <w:t>f</w:t>
      </w:r>
      <w:r>
        <w:rPr>
          <w:szCs w:val="22"/>
        </w:rPr>
        <w:t>actors for Schedule</w:t>
      </w:r>
      <w:r w:rsidR="00B516A7">
        <w:rPr>
          <w:szCs w:val="22"/>
        </w:rPr>
        <w:t>s</w:t>
      </w:r>
      <w:r>
        <w:rPr>
          <w:szCs w:val="22"/>
        </w:rPr>
        <w:t xml:space="preserve"> 5, 6 and 10</w:t>
      </w:r>
      <w:r w:rsidR="00B516A7">
        <w:rPr>
          <w:szCs w:val="22"/>
        </w:rPr>
        <w:t>, along with</w:t>
      </w:r>
      <w:r w:rsidR="00D3302A">
        <w:rPr>
          <w:szCs w:val="22"/>
        </w:rPr>
        <w:t xml:space="preserve"> the available toxicological data, </w:t>
      </w:r>
      <w:r>
        <w:rPr>
          <w:szCs w:val="22"/>
        </w:rPr>
        <w:t xml:space="preserve">I </w:t>
      </w:r>
      <w:r w:rsidR="00887344">
        <w:rPr>
          <w:szCs w:val="22"/>
        </w:rPr>
        <w:t>consider</w:t>
      </w:r>
      <w:r>
        <w:rPr>
          <w:szCs w:val="22"/>
        </w:rPr>
        <w:t xml:space="preserve"> that </w:t>
      </w:r>
      <w:r w:rsidR="00D3302A">
        <w:rPr>
          <w:szCs w:val="22"/>
        </w:rPr>
        <w:t xml:space="preserve">methanol </w:t>
      </w:r>
      <w:r>
        <w:rPr>
          <w:szCs w:val="22"/>
        </w:rPr>
        <w:t xml:space="preserve">does not </w:t>
      </w:r>
      <w:r w:rsidR="00887344">
        <w:rPr>
          <w:szCs w:val="22"/>
        </w:rPr>
        <w:t xml:space="preserve">broadly </w:t>
      </w:r>
      <w:r>
        <w:rPr>
          <w:szCs w:val="22"/>
        </w:rPr>
        <w:t xml:space="preserve">meet the Scheduling Factors for Schedule 10. </w:t>
      </w:r>
      <w:r w:rsidR="00B171EF">
        <w:rPr>
          <w:szCs w:val="22"/>
        </w:rPr>
        <w:t xml:space="preserve">Nevertheless, </w:t>
      </w:r>
      <w:r w:rsidR="00EE28DC" w:rsidRPr="00041A14">
        <w:rPr>
          <w:szCs w:val="22"/>
        </w:rPr>
        <w:t>I acknowledge that the increased use of alcohol-based hand sanitisers (up to 90 % concentration) in domestic and community settings due to the COVID-19 pandemic has increased public health risks for accidental and deliberate ingestion</w:t>
      </w:r>
      <w:r w:rsidR="00B171EF">
        <w:rPr>
          <w:szCs w:val="22"/>
        </w:rPr>
        <w:t>, especially in young children</w:t>
      </w:r>
      <w:r w:rsidR="00EE28DC" w:rsidRPr="00041A14">
        <w:rPr>
          <w:szCs w:val="22"/>
        </w:rPr>
        <w:t xml:space="preserve">. </w:t>
      </w:r>
    </w:p>
    <w:p w14:paraId="0E542309" w14:textId="30F93F77" w:rsidR="009248F4" w:rsidRPr="005A1E2D" w:rsidRDefault="00F41A76" w:rsidP="009248F4">
      <w:r w:rsidRPr="008606EF">
        <w:t xml:space="preserve">Methanol </w:t>
      </w:r>
      <w:r>
        <w:rPr>
          <w:szCs w:val="22"/>
        </w:rPr>
        <w:t xml:space="preserve">is a central nervous system depressant and </w:t>
      </w:r>
      <w:r w:rsidRPr="008606EF">
        <w:t>is toxic to humans in small quantities. The current entries in Schedule 5 (between 2 and 10</w:t>
      </w:r>
      <w:r>
        <w:t xml:space="preserve"> percent</w:t>
      </w:r>
      <w:r w:rsidRPr="008606EF">
        <w:t xml:space="preserve"> concentration) and Schedule 6 </w:t>
      </w:r>
      <w:r w:rsidR="005A1E2D">
        <w:t>(</w:t>
      </w:r>
      <w:r w:rsidRPr="008606EF">
        <w:t>greater than 1</w:t>
      </w:r>
      <w:r>
        <w:t>0 percent</w:t>
      </w:r>
      <w:r w:rsidRPr="008606EF">
        <w:t xml:space="preserve"> concentration) are based on animal toxicological studies which indicate that methanol poses a low risk from all exposure routes. However, humans </w:t>
      </w:r>
      <w:r>
        <w:t xml:space="preserve">and non-human primates </w:t>
      </w:r>
      <w:r w:rsidRPr="008606EF">
        <w:t xml:space="preserve">are more susceptible to toxic effects of methanol than </w:t>
      </w:r>
      <w:r>
        <w:t xml:space="preserve">other </w:t>
      </w:r>
      <w:r w:rsidRPr="008606EF">
        <w:t>animals</w:t>
      </w:r>
      <w:r>
        <w:t xml:space="preserve">, </w:t>
      </w:r>
      <w:r w:rsidRPr="008606EF">
        <w:t>due to their limited ability to oxidise formic acid, a metabolite of methanol.</w:t>
      </w:r>
      <w:r>
        <w:t xml:space="preserve"> </w:t>
      </w:r>
      <w:r w:rsidR="009248F4" w:rsidRPr="00041A14">
        <w:rPr>
          <w:szCs w:val="22"/>
        </w:rPr>
        <w:t xml:space="preserve">Given </w:t>
      </w:r>
      <w:r w:rsidR="009248F4">
        <w:rPr>
          <w:szCs w:val="22"/>
        </w:rPr>
        <w:t xml:space="preserve">the irreversible toxic effects of methanol to humans even at low doses, </w:t>
      </w:r>
      <w:r w:rsidR="00887344">
        <w:rPr>
          <w:szCs w:val="22"/>
        </w:rPr>
        <w:t>I consider that</w:t>
      </w:r>
      <w:r w:rsidR="00894209">
        <w:rPr>
          <w:szCs w:val="22"/>
        </w:rPr>
        <w:t xml:space="preserve"> </w:t>
      </w:r>
      <w:r w:rsidR="009248F4">
        <w:rPr>
          <w:szCs w:val="22"/>
        </w:rPr>
        <w:t xml:space="preserve">methanol in hand sanitisers presents </w:t>
      </w:r>
      <w:r w:rsidR="005A1E2D">
        <w:rPr>
          <w:szCs w:val="22"/>
        </w:rPr>
        <w:t xml:space="preserve">an </w:t>
      </w:r>
      <w:r w:rsidR="009248F4">
        <w:rPr>
          <w:szCs w:val="22"/>
        </w:rPr>
        <w:t>unacceptable public health risk warranting a Schedule 10 entry</w:t>
      </w:r>
      <w:r w:rsidR="00887344">
        <w:rPr>
          <w:szCs w:val="22"/>
        </w:rPr>
        <w:t xml:space="preserve"> for certain concentrations</w:t>
      </w:r>
      <w:r w:rsidR="009248F4">
        <w:rPr>
          <w:szCs w:val="22"/>
        </w:rPr>
        <w:t xml:space="preserve">. </w:t>
      </w:r>
    </w:p>
    <w:p w14:paraId="49CC0C75" w14:textId="06ACF55E" w:rsidR="0035586F" w:rsidRPr="00A5730E" w:rsidRDefault="0035586F" w:rsidP="0035586F">
      <w:pPr>
        <w:rPr>
          <w:szCs w:val="22"/>
        </w:rPr>
      </w:pPr>
      <w:r w:rsidRPr="00A5730E">
        <w:rPr>
          <w:szCs w:val="22"/>
        </w:rPr>
        <w:t>In reaching my decision</w:t>
      </w:r>
      <w:r w:rsidR="009248F4" w:rsidRPr="00A5730E">
        <w:rPr>
          <w:szCs w:val="22"/>
        </w:rPr>
        <w:t xml:space="preserve"> to include methanol in hand sanitisers in Schedule 10</w:t>
      </w:r>
      <w:r w:rsidRPr="00A5730E">
        <w:rPr>
          <w:szCs w:val="22"/>
        </w:rPr>
        <w:t>, I have taken into account data from the Victorian and Queensland Poisons Information Centres (PICs) demonstrating the up to 250% increase in calls for advice about hand sanitisers during the first half of 2020 compared to the same period in 2019. While th</w:t>
      </w:r>
      <w:r w:rsidR="009248F4" w:rsidRPr="00A5730E">
        <w:rPr>
          <w:szCs w:val="22"/>
        </w:rPr>
        <w:t>is</w:t>
      </w:r>
      <w:r w:rsidRPr="00A5730E">
        <w:rPr>
          <w:szCs w:val="22"/>
        </w:rPr>
        <w:t xml:space="preserve"> increase</w:t>
      </w:r>
      <w:r w:rsidR="009248F4" w:rsidRPr="00A5730E">
        <w:rPr>
          <w:szCs w:val="22"/>
        </w:rPr>
        <w:t xml:space="preserve"> in</w:t>
      </w:r>
      <w:r w:rsidRPr="00A5730E">
        <w:rPr>
          <w:szCs w:val="22"/>
        </w:rPr>
        <w:t xml:space="preserve"> calls to </w:t>
      </w:r>
      <w:r w:rsidR="005A1E2D">
        <w:rPr>
          <w:szCs w:val="22"/>
        </w:rPr>
        <w:t xml:space="preserve">the </w:t>
      </w:r>
      <w:r w:rsidRPr="00A5730E">
        <w:rPr>
          <w:szCs w:val="22"/>
        </w:rPr>
        <w:t xml:space="preserve">PICs correlates with the spike in demand for hand sanitisers by the public due to the onset of the COVID-19 pandemic, </w:t>
      </w:r>
      <w:r w:rsidR="009248F4" w:rsidRPr="00A5730E">
        <w:rPr>
          <w:szCs w:val="22"/>
        </w:rPr>
        <w:t xml:space="preserve">I am concerned that </w:t>
      </w:r>
      <w:r w:rsidRPr="00A5730E">
        <w:rPr>
          <w:szCs w:val="22"/>
        </w:rPr>
        <w:t xml:space="preserve">the data shows that the majority of calls </w:t>
      </w:r>
      <w:r w:rsidR="00026A4F">
        <w:rPr>
          <w:szCs w:val="22"/>
        </w:rPr>
        <w:t>involved</w:t>
      </w:r>
      <w:r w:rsidRPr="00A5730E">
        <w:rPr>
          <w:szCs w:val="22"/>
        </w:rPr>
        <w:t xml:space="preserve"> </w:t>
      </w:r>
      <w:r w:rsidR="00B90D91" w:rsidRPr="00A5730E">
        <w:rPr>
          <w:szCs w:val="22"/>
        </w:rPr>
        <w:t xml:space="preserve">accidental poisoning in </w:t>
      </w:r>
      <w:r w:rsidRPr="00A5730E">
        <w:rPr>
          <w:szCs w:val="22"/>
        </w:rPr>
        <w:t>children under 5 years of age</w:t>
      </w:r>
      <w:r w:rsidR="00B90D91" w:rsidRPr="00A5730E">
        <w:rPr>
          <w:szCs w:val="22"/>
        </w:rPr>
        <w:t xml:space="preserve"> and deliberate </w:t>
      </w:r>
      <w:r w:rsidR="004453D3">
        <w:rPr>
          <w:szCs w:val="22"/>
        </w:rPr>
        <w:t>misuse</w:t>
      </w:r>
      <w:r w:rsidR="00B90D91" w:rsidRPr="00A5730E">
        <w:rPr>
          <w:szCs w:val="22"/>
        </w:rPr>
        <w:t xml:space="preserve"> in adolescents (15 to 19 years of age).</w:t>
      </w:r>
      <w:r w:rsidR="00A5730E" w:rsidRPr="00A5730E">
        <w:rPr>
          <w:szCs w:val="22"/>
        </w:rPr>
        <w:t xml:space="preserve"> While no </w:t>
      </w:r>
      <w:r w:rsidRPr="00A5730E">
        <w:rPr>
          <w:szCs w:val="22"/>
        </w:rPr>
        <w:t>information</w:t>
      </w:r>
      <w:r w:rsidR="009248F4" w:rsidRPr="00A5730E">
        <w:rPr>
          <w:szCs w:val="22"/>
        </w:rPr>
        <w:t xml:space="preserve"> </w:t>
      </w:r>
      <w:r w:rsidR="00A5730E" w:rsidRPr="00A5730E">
        <w:rPr>
          <w:szCs w:val="22"/>
        </w:rPr>
        <w:t xml:space="preserve">was </w:t>
      </w:r>
      <w:r w:rsidRPr="00A5730E">
        <w:rPr>
          <w:szCs w:val="22"/>
        </w:rPr>
        <w:t xml:space="preserve">provided on </w:t>
      </w:r>
      <w:r w:rsidR="00A5730E" w:rsidRPr="00A5730E">
        <w:rPr>
          <w:szCs w:val="22"/>
        </w:rPr>
        <w:t xml:space="preserve">the </w:t>
      </w:r>
      <w:r w:rsidRPr="00A5730E">
        <w:rPr>
          <w:szCs w:val="22"/>
        </w:rPr>
        <w:t xml:space="preserve">amounts </w:t>
      </w:r>
      <w:r w:rsidR="009248F4" w:rsidRPr="00A5730E">
        <w:rPr>
          <w:szCs w:val="22"/>
        </w:rPr>
        <w:t xml:space="preserve">of hand sanitiser </w:t>
      </w:r>
      <w:r w:rsidRPr="00A5730E">
        <w:rPr>
          <w:szCs w:val="22"/>
        </w:rPr>
        <w:t xml:space="preserve">ingested, patient condition, </w:t>
      </w:r>
      <w:r w:rsidR="00894209">
        <w:rPr>
          <w:szCs w:val="22"/>
        </w:rPr>
        <w:t xml:space="preserve">the </w:t>
      </w:r>
      <w:r w:rsidRPr="00F633BC">
        <w:rPr>
          <w:szCs w:val="22"/>
        </w:rPr>
        <w:t>severity</w:t>
      </w:r>
      <w:r w:rsidR="00894209">
        <w:rPr>
          <w:szCs w:val="22"/>
        </w:rPr>
        <w:t xml:space="preserve"> of the intoxication</w:t>
      </w:r>
      <w:r w:rsidRPr="00A5730E">
        <w:rPr>
          <w:szCs w:val="22"/>
        </w:rPr>
        <w:t xml:space="preserve"> and </w:t>
      </w:r>
      <w:r w:rsidR="00894209">
        <w:rPr>
          <w:szCs w:val="22"/>
        </w:rPr>
        <w:t xml:space="preserve">the clinical </w:t>
      </w:r>
      <w:r w:rsidRPr="00A5730E">
        <w:rPr>
          <w:szCs w:val="22"/>
        </w:rPr>
        <w:t>outcomes</w:t>
      </w:r>
      <w:r w:rsidR="009248F4" w:rsidRPr="00A5730E">
        <w:rPr>
          <w:szCs w:val="22"/>
        </w:rPr>
        <w:t xml:space="preserve">, </w:t>
      </w:r>
      <w:r w:rsidR="00A5730E" w:rsidRPr="00A5730E">
        <w:rPr>
          <w:szCs w:val="22"/>
        </w:rPr>
        <w:t xml:space="preserve">the data </w:t>
      </w:r>
      <w:r w:rsidR="00020C5C">
        <w:rPr>
          <w:szCs w:val="22"/>
        </w:rPr>
        <w:t>indicate</w:t>
      </w:r>
      <w:r w:rsidR="00020C5C" w:rsidRPr="00A5730E">
        <w:rPr>
          <w:szCs w:val="22"/>
        </w:rPr>
        <w:t xml:space="preserve"> </w:t>
      </w:r>
      <w:r w:rsidR="00A5730E" w:rsidRPr="00A5730E">
        <w:rPr>
          <w:szCs w:val="22"/>
        </w:rPr>
        <w:t xml:space="preserve">that the increased availability and use of alcohol-based sanitisers </w:t>
      </w:r>
      <w:r w:rsidR="00026A4F">
        <w:rPr>
          <w:szCs w:val="22"/>
        </w:rPr>
        <w:t xml:space="preserve">in the community </w:t>
      </w:r>
      <w:r w:rsidR="00A5730E" w:rsidRPr="00A5730E">
        <w:rPr>
          <w:szCs w:val="22"/>
        </w:rPr>
        <w:t xml:space="preserve">due to the pandemic </w:t>
      </w:r>
      <w:r w:rsidR="00020C5C">
        <w:rPr>
          <w:szCs w:val="22"/>
        </w:rPr>
        <w:t>has led to an</w:t>
      </w:r>
      <w:r w:rsidR="00A5730E" w:rsidRPr="00A5730E">
        <w:rPr>
          <w:szCs w:val="22"/>
        </w:rPr>
        <w:t xml:space="preserve"> </w:t>
      </w:r>
      <w:r w:rsidR="00020C5C">
        <w:rPr>
          <w:szCs w:val="22"/>
        </w:rPr>
        <w:t>increased risk of accidental poisoning</w:t>
      </w:r>
      <w:r w:rsidR="00A5730E" w:rsidRPr="00A5730E">
        <w:rPr>
          <w:szCs w:val="22"/>
        </w:rPr>
        <w:t>.</w:t>
      </w:r>
    </w:p>
    <w:p w14:paraId="22A02F2F" w14:textId="01D02D84" w:rsidR="00990032" w:rsidRDefault="00990032" w:rsidP="00556406">
      <w:pPr>
        <w:rPr>
          <w:szCs w:val="22"/>
        </w:rPr>
      </w:pPr>
      <w:r>
        <w:t xml:space="preserve">I have considered the international reports of </w:t>
      </w:r>
      <w:r>
        <w:rPr>
          <w:szCs w:val="22"/>
        </w:rPr>
        <w:t xml:space="preserve">toxicity cited by the </w:t>
      </w:r>
      <w:proofErr w:type="gramStart"/>
      <w:r>
        <w:rPr>
          <w:szCs w:val="22"/>
        </w:rPr>
        <w:t>applicants</w:t>
      </w:r>
      <w:r w:rsidR="00696B6B">
        <w:rPr>
          <w:szCs w:val="22"/>
        </w:rPr>
        <w:t>,</w:t>
      </w:r>
      <w:proofErr w:type="gramEnd"/>
      <w:r>
        <w:rPr>
          <w:szCs w:val="22"/>
        </w:rPr>
        <w:t xml:space="preserve"> however these reports have not been material to my decision. </w:t>
      </w:r>
      <w:r w:rsidRPr="00DC0036">
        <w:rPr>
          <w:szCs w:val="22"/>
        </w:rPr>
        <w:t>The reports of toxicity in the U</w:t>
      </w:r>
      <w:r>
        <w:rPr>
          <w:szCs w:val="22"/>
        </w:rPr>
        <w:t xml:space="preserve">nited </w:t>
      </w:r>
      <w:r w:rsidRPr="00DC0036">
        <w:rPr>
          <w:szCs w:val="22"/>
        </w:rPr>
        <w:t>S</w:t>
      </w:r>
      <w:r>
        <w:rPr>
          <w:szCs w:val="22"/>
        </w:rPr>
        <w:t>tates (US)</w:t>
      </w:r>
      <w:r w:rsidRPr="00DC0036">
        <w:rPr>
          <w:szCs w:val="22"/>
        </w:rPr>
        <w:t xml:space="preserve">, </w:t>
      </w:r>
      <w:r>
        <w:rPr>
          <w:szCs w:val="22"/>
        </w:rPr>
        <w:t>the European Union (</w:t>
      </w:r>
      <w:r w:rsidRPr="00DC0036">
        <w:rPr>
          <w:szCs w:val="22"/>
        </w:rPr>
        <w:t>EU</w:t>
      </w:r>
      <w:r>
        <w:rPr>
          <w:szCs w:val="22"/>
        </w:rPr>
        <w:t>)</w:t>
      </w:r>
      <w:r w:rsidRPr="00DC0036">
        <w:rPr>
          <w:szCs w:val="22"/>
        </w:rPr>
        <w:t xml:space="preserve"> and Mexico, were the result of adulteration and deliberate falsificatio</w:t>
      </w:r>
      <w:r>
        <w:rPr>
          <w:szCs w:val="22"/>
        </w:rPr>
        <w:t>n</w:t>
      </w:r>
      <w:r w:rsidRPr="00DC0036">
        <w:rPr>
          <w:szCs w:val="22"/>
        </w:rPr>
        <w:t xml:space="preserve">. </w:t>
      </w:r>
      <w:r>
        <w:rPr>
          <w:szCs w:val="22"/>
        </w:rPr>
        <w:t>In the United States, deaths were reported as being due to ingestion of hand sanitisers containing methanol at up to 81 % (V/V).</w:t>
      </w:r>
      <w:r>
        <w:rPr>
          <w:rStyle w:val="FootnoteReference"/>
          <w:szCs w:val="22"/>
        </w:rPr>
        <w:footnoteReference w:id="5"/>
      </w:r>
      <w:r>
        <w:rPr>
          <w:szCs w:val="22"/>
        </w:rPr>
        <w:t xml:space="preserve"> In the EU, multiple hand sanitisers were recalled for high (up to 48%) methanol.</w:t>
      </w:r>
      <w:r>
        <w:rPr>
          <w:rStyle w:val="FootnoteReference"/>
          <w:szCs w:val="22"/>
        </w:rPr>
        <w:footnoteReference w:id="6"/>
      </w:r>
      <w:r>
        <w:rPr>
          <w:szCs w:val="22"/>
        </w:rPr>
        <w:t xml:space="preserve"> Issues regarding unacceptably high levels of methanol have not been detected in Australia from imported products and there is no evidence that currently registered hand sanitisers that use </w:t>
      </w:r>
      <w:proofErr w:type="spellStart"/>
      <w:r>
        <w:rPr>
          <w:szCs w:val="22"/>
        </w:rPr>
        <w:t>pharmacopoeial</w:t>
      </w:r>
      <w:proofErr w:type="spellEnd"/>
      <w:r>
        <w:rPr>
          <w:szCs w:val="22"/>
        </w:rPr>
        <w:t xml:space="preserve"> or food grade ingredients (as required under the </w:t>
      </w:r>
      <w:hyperlink r:id="rId28" w:history="1">
        <w:r w:rsidRPr="00BB6648">
          <w:rPr>
            <w:rStyle w:val="Hyperlink"/>
            <w:szCs w:val="22"/>
          </w:rPr>
          <w:t>OTC monograph</w:t>
        </w:r>
      </w:hyperlink>
      <w:r>
        <w:rPr>
          <w:szCs w:val="22"/>
        </w:rPr>
        <w:t xml:space="preserve">, or the </w:t>
      </w:r>
      <w:hyperlink r:id="rId29" w:history="1">
        <w:r w:rsidRPr="004F216A">
          <w:rPr>
            <w:rStyle w:val="Hyperlink"/>
            <w:szCs w:val="22"/>
          </w:rPr>
          <w:t>Therapeutic Goods (Excluded Goods – Hand Sanitisers) Determination 2020</w:t>
        </w:r>
      </w:hyperlink>
      <w:r>
        <w:rPr>
          <w:i/>
          <w:iCs/>
          <w:szCs w:val="22"/>
        </w:rPr>
        <w:t xml:space="preserve"> (EGD)</w:t>
      </w:r>
      <w:r>
        <w:rPr>
          <w:szCs w:val="22"/>
        </w:rPr>
        <w:t>)</w:t>
      </w:r>
      <w:r>
        <w:rPr>
          <w:rStyle w:val="FootnoteReference"/>
          <w:szCs w:val="22"/>
        </w:rPr>
        <w:footnoteReference w:id="7"/>
      </w:r>
      <w:r>
        <w:rPr>
          <w:szCs w:val="22"/>
        </w:rPr>
        <w:t xml:space="preserve"> present the same risk.</w:t>
      </w:r>
    </w:p>
    <w:p w14:paraId="59F10431" w14:textId="33C5A86E" w:rsidR="003D32D5" w:rsidRDefault="003D32D5" w:rsidP="005427C7">
      <w:r>
        <w:t xml:space="preserve">I have considered the </w:t>
      </w:r>
      <w:r w:rsidR="00C11715">
        <w:t>five</w:t>
      </w:r>
      <w:r>
        <w:t xml:space="preserve"> public submissions, of which </w:t>
      </w:r>
      <w:r w:rsidR="00C11715">
        <w:t>three</w:t>
      </w:r>
      <w:r>
        <w:t xml:space="preserve"> were in opposition</w:t>
      </w:r>
      <w:r w:rsidR="00C11715">
        <w:t>, one partially in support</w:t>
      </w:r>
      <w:r>
        <w:t xml:space="preserve"> and </w:t>
      </w:r>
      <w:r w:rsidR="00C11715">
        <w:t xml:space="preserve">one fully supportive of the proposal. </w:t>
      </w:r>
      <w:r w:rsidR="005C3994">
        <w:t>In particular, I note that two of the submissions opposed to the proposed 2% limit on methanol</w:t>
      </w:r>
      <w:r w:rsidR="00F633BC">
        <w:t>, considered that this limit to</w:t>
      </w:r>
      <w:r w:rsidR="005C3994">
        <w:t xml:space="preserve"> be too restrictive, given </w:t>
      </w:r>
      <w:r w:rsidR="00F60567">
        <w:t xml:space="preserve">that </w:t>
      </w:r>
      <w:r w:rsidR="005C3994">
        <w:t>the use of the substance as a denaturant in ethanol</w:t>
      </w:r>
      <w:r w:rsidR="00F60567">
        <w:t xml:space="preserve"> </w:t>
      </w:r>
      <w:r w:rsidR="0066417E">
        <w:t xml:space="preserve">may </w:t>
      </w:r>
      <w:r w:rsidR="00F60567">
        <w:t xml:space="preserve">cause some </w:t>
      </w:r>
      <w:r w:rsidR="00F60567">
        <w:lastRenderedPageBreak/>
        <w:t xml:space="preserve">currently marketed hand sanitiser products to exceed the 2% limit. I acknowledge that the 5% limit proposed in one of the submissions is </w:t>
      </w:r>
      <w:r w:rsidR="0066417E">
        <w:t>achievable</w:t>
      </w:r>
      <w:r w:rsidR="00F60567">
        <w:t xml:space="preserve"> for </w:t>
      </w:r>
      <w:r w:rsidR="0066417E">
        <w:t>manufacturers</w:t>
      </w:r>
      <w:r w:rsidR="00F60567">
        <w:t>, while also addressing the health issues associated with this substance.</w:t>
      </w:r>
    </w:p>
    <w:p w14:paraId="4A1FAB0D" w14:textId="7B068FD6" w:rsidR="003D32D5" w:rsidRDefault="00650927" w:rsidP="005427C7">
      <w:pPr>
        <w:rPr>
          <w:rFonts w:cs="Cambria"/>
          <w:color w:val="000000"/>
          <w:lang w:eastAsia="en-AU"/>
        </w:rPr>
      </w:pPr>
      <w:r w:rsidRPr="00F9024F">
        <w:t xml:space="preserve">In deciding on a concentration cut-off to Schedule 10, I have taken into consideration </w:t>
      </w:r>
      <w:r w:rsidR="00CB4265">
        <w:t xml:space="preserve">the advice from the Committee and </w:t>
      </w:r>
      <w:r w:rsidRPr="00F9024F">
        <w:t xml:space="preserve">public submissions from industry </w:t>
      </w:r>
      <w:r w:rsidR="00F633BC">
        <w:t xml:space="preserve">that had </w:t>
      </w:r>
      <w:r w:rsidR="00020C5C">
        <w:t>rais</w:t>
      </w:r>
      <w:r w:rsidR="00F633BC">
        <w:t>ed</w:t>
      </w:r>
      <w:r w:rsidR="00020C5C">
        <w:t xml:space="preserve"> concerns </w:t>
      </w:r>
      <w:r>
        <w:t xml:space="preserve">that </w:t>
      </w:r>
      <w:r w:rsidR="00A5730E">
        <w:t xml:space="preserve">a </w:t>
      </w:r>
      <w:r>
        <w:t>cut-off of greater than 2% is excessive given that TGA</w:t>
      </w:r>
      <w:r w:rsidR="00B171EF">
        <w:t xml:space="preserve">-approved hand sanitisers, containing nominal amounts of methanol as a denaturant, have been marketed for several years without any </w:t>
      </w:r>
      <w:hyperlink r:id="rId30" w:history="1">
        <w:r w:rsidR="00B171EF" w:rsidRPr="00154207">
          <w:rPr>
            <w:rStyle w:val="Hyperlink"/>
          </w:rPr>
          <w:t>reported incidents</w:t>
        </w:r>
      </w:hyperlink>
      <w:r w:rsidR="00B171EF">
        <w:rPr>
          <w:rStyle w:val="FootnoteReference"/>
        </w:rPr>
        <w:footnoteReference w:id="8"/>
      </w:r>
      <w:r w:rsidR="00B171EF">
        <w:t xml:space="preserve"> related to the methanol content</w:t>
      </w:r>
      <w:r w:rsidR="00F633BC">
        <w:t>. Moreover, the</w:t>
      </w:r>
      <w:r w:rsidR="00A5730E">
        <w:t xml:space="preserve"> </w:t>
      </w:r>
      <w:r w:rsidR="00B171EF">
        <w:t>adverse events associated with unacceptably high levels of methanol, as seen in international jurisdictions, have not been detected in Australia with imported hand sanitisers.</w:t>
      </w:r>
      <w:r w:rsidR="004F6239">
        <w:t xml:space="preserve"> I have also </w:t>
      </w:r>
      <w:r w:rsidR="00F633BC">
        <w:t>noted</w:t>
      </w:r>
      <w:r w:rsidR="004F6239">
        <w:t xml:space="preserve"> that </w:t>
      </w:r>
      <w:r w:rsidRPr="00F9024F">
        <w:t xml:space="preserve">the </w:t>
      </w:r>
      <w:hyperlink r:id="rId31" w:history="1">
        <w:r w:rsidRPr="00F9024F">
          <w:rPr>
            <w:rStyle w:val="Hyperlink"/>
            <w:lang w:eastAsia="en-AU"/>
          </w:rPr>
          <w:t xml:space="preserve">Australian Taxation Office Excise (Denatured Spirits) Determination </w:t>
        </w:r>
        <w:r w:rsidRPr="00A70BB9">
          <w:rPr>
            <w:rStyle w:val="Hyperlink"/>
          </w:rPr>
          <w:t>2016 (N0.3)</w:t>
        </w:r>
      </w:hyperlink>
      <w:r>
        <w:rPr>
          <w:rStyle w:val="FootnoteReference"/>
        </w:rPr>
        <w:footnoteReference w:id="9"/>
      </w:r>
      <w:r w:rsidRPr="00F9024F">
        <w:rPr>
          <w:rFonts w:cs="Cambria"/>
          <w:color w:val="000000"/>
          <w:lang w:eastAsia="en-AU"/>
        </w:rPr>
        <w:t xml:space="preserve"> mandates that when denaturing </w:t>
      </w:r>
      <w:r>
        <w:t xml:space="preserve">100 % ethanol </w:t>
      </w:r>
      <w:r w:rsidRPr="00F9024F">
        <w:rPr>
          <w:rFonts w:cs="Cambria"/>
          <w:color w:val="000000"/>
          <w:lang w:eastAsia="en-AU"/>
        </w:rPr>
        <w:t>with methanol</w:t>
      </w:r>
      <w:r>
        <w:t>,</w:t>
      </w:r>
      <w:r w:rsidRPr="00F9024F">
        <w:rPr>
          <w:rFonts w:cs="Cambria"/>
          <w:color w:val="000000"/>
          <w:lang w:eastAsia="en-AU"/>
        </w:rPr>
        <w:t xml:space="preserve"> the minimum concentration of methanol must be 5%</w:t>
      </w:r>
      <w:r>
        <w:t xml:space="preserve"> volume/volume (V/V)</w:t>
      </w:r>
      <w:r w:rsidRPr="00F9024F">
        <w:rPr>
          <w:rFonts w:cs="Cambria"/>
          <w:color w:val="000000"/>
          <w:lang w:eastAsia="en-AU"/>
        </w:rPr>
        <w:t>.</w:t>
      </w:r>
      <w:r w:rsidR="004F6239">
        <w:rPr>
          <w:rFonts w:cs="Cambria"/>
          <w:color w:val="000000"/>
          <w:lang w:eastAsia="en-AU"/>
        </w:rPr>
        <w:t xml:space="preserve"> The applicant’s proposed scheduling amendment would prohibit ethanol denatured with methanol from being used in ethanol-based hand sanitiser products despite the</w:t>
      </w:r>
      <w:r w:rsidR="005A1E2D">
        <w:rPr>
          <w:rFonts w:cs="Cambria"/>
          <w:color w:val="000000"/>
          <w:lang w:eastAsia="en-AU"/>
        </w:rPr>
        <w:t xml:space="preserve"> lack of </w:t>
      </w:r>
      <w:r w:rsidR="00026A4F">
        <w:rPr>
          <w:rFonts w:cs="Cambria"/>
          <w:color w:val="000000"/>
          <w:lang w:eastAsia="en-AU"/>
        </w:rPr>
        <w:t xml:space="preserve">clear </w:t>
      </w:r>
      <w:r w:rsidR="005A1E2D">
        <w:rPr>
          <w:rFonts w:cs="Cambria"/>
          <w:color w:val="000000"/>
          <w:lang w:eastAsia="en-AU"/>
        </w:rPr>
        <w:t>evidence of harms.</w:t>
      </w:r>
    </w:p>
    <w:p w14:paraId="5C1D1304" w14:textId="6D2F18F3" w:rsidR="005427C7" w:rsidRDefault="00CB4265" w:rsidP="005427C7">
      <w:pPr>
        <w:rPr>
          <w:szCs w:val="22"/>
        </w:rPr>
      </w:pPr>
      <w:r>
        <w:rPr>
          <w:rFonts w:cs="Cambria"/>
          <w:color w:val="000000"/>
          <w:lang w:eastAsia="en-AU"/>
        </w:rPr>
        <w:t>I agree with the Committee’s advice that a cut-off 5% is preferrable to a 2% cut-</w:t>
      </w:r>
      <w:proofErr w:type="gramStart"/>
      <w:r>
        <w:rPr>
          <w:rFonts w:cs="Cambria"/>
          <w:color w:val="000000"/>
          <w:lang w:eastAsia="en-AU"/>
        </w:rPr>
        <w:t>off ,</w:t>
      </w:r>
      <w:proofErr w:type="gramEnd"/>
      <w:r>
        <w:rPr>
          <w:rFonts w:cs="Cambria"/>
          <w:color w:val="000000"/>
          <w:lang w:eastAsia="en-AU"/>
        </w:rPr>
        <w:t xml:space="preserve"> a</w:t>
      </w:r>
      <w:r w:rsidR="004F6239">
        <w:rPr>
          <w:rFonts w:cs="Cambria"/>
          <w:color w:val="000000"/>
          <w:lang w:eastAsia="en-AU"/>
        </w:rPr>
        <w:t>s</w:t>
      </w:r>
      <w:r w:rsidR="006852E2">
        <w:rPr>
          <w:rFonts w:cs="Cambria"/>
          <w:color w:val="000000"/>
          <w:lang w:eastAsia="en-AU"/>
        </w:rPr>
        <w:t xml:space="preserve"> a</w:t>
      </w:r>
      <w:r w:rsidR="004F6239">
        <w:rPr>
          <w:rFonts w:cs="Cambria"/>
          <w:color w:val="000000"/>
          <w:lang w:eastAsia="en-AU"/>
        </w:rPr>
        <w:t xml:space="preserve"> methanol concentration of greater than 5 % is not required for hand sanitiser use</w:t>
      </w:r>
      <w:r>
        <w:rPr>
          <w:rFonts w:cs="Cambria"/>
          <w:color w:val="000000"/>
          <w:lang w:eastAsia="en-AU"/>
        </w:rPr>
        <w:t xml:space="preserve"> and would not adversely impact currently supplied compliant products. On this basis,</w:t>
      </w:r>
      <w:r w:rsidR="006852E2">
        <w:rPr>
          <w:rFonts w:cs="Cambria"/>
          <w:color w:val="000000"/>
          <w:lang w:eastAsia="en-AU"/>
        </w:rPr>
        <w:t xml:space="preserve"> </w:t>
      </w:r>
      <w:r w:rsidR="004F6239">
        <w:rPr>
          <w:rFonts w:cs="Cambria"/>
          <w:color w:val="000000"/>
          <w:lang w:eastAsia="en-AU"/>
        </w:rPr>
        <w:t xml:space="preserve">I have decided that </w:t>
      </w:r>
      <w:r w:rsidR="00A5730E">
        <w:rPr>
          <w:rFonts w:cs="Cambria"/>
          <w:color w:val="000000"/>
          <w:lang w:eastAsia="en-AU"/>
        </w:rPr>
        <w:t xml:space="preserve">a </w:t>
      </w:r>
      <w:r w:rsidR="004F6239">
        <w:rPr>
          <w:rFonts w:cs="Cambria"/>
          <w:color w:val="000000"/>
          <w:lang w:eastAsia="en-AU"/>
        </w:rPr>
        <w:t xml:space="preserve">concentration cut-off </w:t>
      </w:r>
      <w:r w:rsidR="00F41A76">
        <w:rPr>
          <w:rFonts w:cs="Cambria"/>
          <w:color w:val="000000"/>
          <w:lang w:eastAsia="en-AU"/>
        </w:rPr>
        <w:t xml:space="preserve">to Schedule 10, </w:t>
      </w:r>
      <w:r w:rsidR="004F6239">
        <w:rPr>
          <w:rFonts w:cs="Cambria"/>
          <w:color w:val="000000"/>
          <w:lang w:eastAsia="en-AU"/>
        </w:rPr>
        <w:t xml:space="preserve">of greater than 5 % </w:t>
      </w:r>
      <w:r w:rsidR="004F6239">
        <w:rPr>
          <w:szCs w:val="22"/>
        </w:rPr>
        <w:t>methanol</w:t>
      </w:r>
      <w:r w:rsidR="00F41A76">
        <w:rPr>
          <w:szCs w:val="22"/>
        </w:rPr>
        <w:t xml:space="preserve"> is appropriate</w:t>
      </w:r>
      <w:r w:rsidR="00A5730E">
        <w:rPr>
          <w:szCs w:val="22"/>
        </w:rPr>
        <w:t xml:space="preserve"> to </w:t>
      </w:r>
      <w:r w:rsidR="004F6239">
        <w:rPr>
          <w:szCs w:val="22"/>
        </w:rPr>
        <w:t>address identified public health risks from unintentional or intentional ingestion</w:t>
      </w:r>
      <w:r w:rsidR="00026A4F">
        <w:rPr>
          <w:szCs w:val="22"/>
        </w:rPr>
        <w:t>,</w:t>
      </w:r>
      <w:r w:rsidR="00F41A76">
        <w:rPr>
          <w:szCs w:val="22"/>
        </w:rPr>
        <w:t xml:space="preserve"> </w:t>
      </w:r>
      <w:r w:rsidR="00A5730E">
        <w:rPr>
          <w:szCs w:val="22"/>
        </w:rPr>
        <w:t>while</w:t>
      </w:r>
      <w:r w:rsidR="004F6239">
        <w:rPr>
          <w:szCs w:val="22"/>
        </w:rPr>
        <w:t xml:space="preserve"> not impact</w:t>
      </w:r>
      <w:r w:rsidR="00A5730E">
        <w:rPr>
          <w:szCs w:val="22"/>
        </w:rPr>
        <w:t>ing</w:t>
      </w:r>
      <w:r w:rsidR="004F6239">
        <w:rPr>
          <w:szCs w:val="22"/>
        </w:rPr>
        <w:t xml:space="preserve"> compliant hand sanitiser products currently marketed in Australia. </w:t>
      </w:r>
    </w:p>
    <w:p w14:paraId="1356E716" w14:textId="28783914" w:rsidR="00A5730E" w:rsidRPr="00A5730E" w:rsidRDefault="00A5730E" w:rsidP="005427C7">
      <w:pPr>
        <w:rPr>
          <w:szCs w:val="22"/>
        </w:rPr>
      </w:pPr>
      <w:r>
        <w:rPr>
          <w:szCs w:val="22"/>
        </w:rPr>
        <w:t xml:space="preserve">I concur with the </w:t>
      </w:r>
      <w:r w:rsidR="00B516A7">
        <w:rPr>
          <w:szCs w:val="22"/>
        </w:rPr>
        <w:t>C</w:t>
      </w:r>
      <w:r>
        <w:rPr>
          <w:szCs w:val="22"/>
        </w:rPr>
        <w:t>ommittee that a definition for ‘hand sanitiser’</w:t>
      </w:r>
      <w:r w:rsidR="00E73B47">
        <w:rPr>
          <w:szCs w:val="22"/>
        </w:rPr>
        <w:t xml:space="preserve"> in Part 1, Interpretation, of the Poisons Standard is </w:t>
      </w:r>
      <w:r w:rsidR="00026A4F">
        <w:rPr>
          <w:szCs w:val="22"/>
        </w:rPr>
        <w:t xml:space="preserve">also </w:t>
      </w:r>
      <w:r w:rsidR="00E73B47">
        <w:rPr>
          <w:szCs w:val="22"/>
        </w:rPr>
        <w:t>required for clarity</w:t>
      </w:r>
      <w:r w:rsidR="00C43689">
        <w:rPr>
          <w:szCs w:val="22"/>
        </w:rPr>
        <w:t xml:space="preserve"> to prevent other legitimate products being unintentionally captured by the new Schedule 10 entry</w:t>
      </w:r>
      <w:r w:rsidR="00E73B47">
        <w:rPr>
          <w:szCs w:val="22"/>
        </w:rPr>
        <w:t>. I have decided to adopt the hand sanitiser definition</w:t>
      </w:r>
      <w:r w:rsidR="00C43689">
        <w:rPr>
          <w:szCs w:val="22"/>
        </w:rPr>
        <w:t xml:space="preserve"> from the</w:t>
      </w:r>
      <w:r w:rsidR="00E73B47">
        <w:rPr>
          <w:szCs w:val="22"/>
        </w:rPr>
        <w:t xml:space="preserve"> </w:t>
      </w:r>
      <w:hyperlink r:id="rId32" w:history="1">
        <w:r w:rsidR="00E73B47" w:rsidRPr="000C62EC">
          <w:rPr>
            <w:rStyle w:val="Hyperlink"/>
          </w:rPr>
          <w:t>Consumer Goods (Cosmetics) Information Standard 2020</w:t>
        </w:r>
      </w:hyperlink>
      <w:r w:rsidR="00C43689" w:rsidRPr="00C43689">
        <w:rPr>
          <w:rStyle w:val="Hyperlink"/>
          <w:u w:val="none"/>
        </w:rPr>
        <w:t>.</w:t>
      </w:r>
      <w:r w:rsidR="00E73B47">
        <w:rPr>
          <w:rStyle w:val="FootnoteReference"/>
        </w:rPr>
        <w:footnoteReference w:id="10"/>
      </w:r>
      <w:r w:rsidR="00C43689" w:rsidRPr="00C43689">
        <w:rPr>
          <w:rStyle w:val="Hyperlink"/>
          <w:color w:val="auto"/>
          <w:u w:val="none"/>
        </w:rPr>
        <w:t>.</w:t>
      </w:r>
      <w:r w:rsidR="00E73B47">
        <w:rPr>
          <w:szCs w:val="22"/>
        </w:rPr>
        <w:t>T</w:t>
      </w:r>
      <w:r w:rsidR="00C43689">
        <w:rPr>
          <w:szCs w:val="22"/>
        </w:rPr>
        <w:t xml:space="preserve">his will </w:t>
      </w:r>
      <w:r w:rsidR="00E73B47">
        <w:rPr>
          <w:szCs w:val="22"/>
        </w:rPr>
        <w:t>provide consistency and certainty for manufacturers and sponsors</w:t>
      </w:r>
      <w:r w:rsidR="00C43689">
        <w:rPr>
          <w:szCs w:val="22"/>
        </w:rPr>
        <w:t xml:space="preserve"> of both therapeutic and cosmetic hand sanitisers.</w:t>
      </w:r>
    </w:p>
    <w:bookmarkEnd w:id="21"/>
    <w:p w14:paraId="63BC5206" w14:textId="459C85EB" w:rsidR="00A40CB9" w:rsidRPr="008606EF" w:rsidRDefault="00A40CB9" w:rsidP="008606EF">
      <w:pPr>
        <w:rPr>
          <w:rFonts w:eastAsia="Times New Roman"/>
          <w:b/>
          <w:bCs/>
          <w:i/>
          <w:color w:val="001523"/>
        </w:rPr>
      </w:pPr>
      <w:r w:rsidRPr="008606EF">
        <w:rPr>
          <w:rFonts w:eastAsia="Times New Roman"/>
          <w:b/>
          <w:bCs/>
          <w:i/>
          <w:color w:val="001523"/>
        </w:rPr>
        <w:t>Proposed implementation date</w:t>
      </w:r>
    </w:p>
    <w:p w14:paraId="4AA38E5D" w14:textId="77777777" w:rsidR="00A40CB9" w:rsidRDefault="00A40CB9" w:rsidP="00A40CB9">
      <w:pPr>
        <w:rPr>
          <w:rFonts w:eastAsia="Times New Roman"/>
          <w:b/>
          <w:bCs/>
          <w:color w:val="001523"/>
          <w:szCs w:val="26"/>
        </w:rPr>
      </w:pPr>
      <w:r>
        <w:rPr>
          <w:rFonts w:eastAsia="Times New Roman"/>
          <w:b/>
          <w:bCs/>
          <w:color w:val="001523"/>
          <w:szCs w:val="26"/>
        </w:rPr>
        <w:t>1 February 2022</w:t>
      </w:r>
    </w:p>
    <w:p w14:paraId="2F6C60A7" w14:textId="7B8D2E3A" w:rsidR="001D6386" w:rsidRDefault="001D6386" w:rsidP="001D6386">
      <w:pPr>
        <w:pStyle w:val="Heading3"/>
      </w:pPr>
      <w:bookmarkStart w:id="22" w:name="_Toc80898735"/>
      <w:r>
        <w:t xml:space="preserve">Interim decision in </w:t>
      </w:r>
      <w:r w:rsidRPr="001E0113">
        <w:t>relation</w:t>
      </w:r>
      <w:r>
        <w:t xml:space="preserve"> to </w:t>
      </w:r>
      <w:r w:rsidR="00A56959">
        <w:t>eugenol</w:t>
      </w:r>
      <w:bookmarkEnd w:id="22"/>
    </w:p>
    <w:p w14:paraId="3A310334" w14:textId="4215ED85" w:rsidR="00A56959" w:rsidRDefault="00453E6A" w:rsidP="00FE5347">
      <w:pPr>
        <w:pStyle w:val="Heading4"/>
      </w:pPr>
      <w:bookmarkStart w:id="23" w:name="_Toc80898736"/>
      <w:bookmarkEnd w:id="5"/>
      <w:bookmarkEnd w:id="6"/>
      <w:r w:rsidRPr="00C721A5">
        <w:rPr>
          <w:rFonts w:ascii="Cambria" w:eastAsia="Times New Roman" w:hAnsi="Cambria"/>
          <w:i/>
          <w:color w:val="001523"/>
          <w:sz w:val="22"/>
        </w:rPr>
        <w:t>Proposal</w:t>
      </w:r>
      <w:bookmarkEnd w:id="23"/>
    </w:p>
    <w:p w14:paraId="0D28DDC9" w14:textId="23717FC0" w:rsidR="00B4151F" w:rsidRDefault="00453E6A" w:rsidP="00453E6A">
      <w:r>
        <w:t xml:space="preserve">A Delegate of the Secretary of the Commonwealth Department of Health (the Delegate) proposed to </w:t>
      </w:r>
      <w:r w:rsidR="00A56959">
        <w:t>amend the Schedule 6 entry for eugenol to</w:t>
      </w:r>
      <w:r w:rsidR="00FE5347">
        <w:t xml:space="preserve"> reduce concentration cut-offs for cosmetic preparations intended for skin contact.</w:t>
      </w:r>
    </w:p>
    <w:p w14:paraId="2FBB5547" w14:textId="12C170B5" w:rsidR="00FE5347" w:rsidRDefault="00FE5347" w:rsidP="00FE5347">
      <w:pPr>
        <w:pStyle w:val="Heading4"/>
        <w:rPr>
          <w:rFonts w:ascii="Cambria" w:eastAsia="Times New Roman" w:hAnsi="Cambria"/>
          <w:i/>
          <w:color w:val="001523"/>
          <w:sz w:val="22"/>
        </w:rPr>
      </w:pPr>
      <w:bookmarkStart w:id="24" w:name="_Toc80898737"/>
      <w:r w:rsidRPr="00FE5347">
        <w:rPr>
          <w:rFonts w:ascii="Cambria" w:eastAsia="Times New Roman" w:hAnsi="Cambria"/>
          <w:i/>
          <w:color w:val="001523"/>
          <w:sz w:val="22"/>
        </w:rPr>
        <w:t>Erratum</w:t>
      </w:r>
      <w:bookmarkEnd w:id="24"/>
    </w:p>
    <w:p w14:paraId="39224458" w14:textId="42DD2374" w:rsidR="00FE5347" w:rsidRDefault="00FE5347" w:rsidP="00FE5347">
      <w:r>
        <w:t>The original proposal</w:t>
      </w:r>
      <w:r w:rsidR="00B4151F">
        <w:t xml:space="preserve"> </w:t>
      </w:r>
      <w:r>
        <w:t xml:space="preserve">contained errors regarding the European Union regulation of eugenol, where limits were incorrectly indicated as prohibitive. </w:t>
      </w:r>
      <w:r w:rsidRPr="00FE5347">
        <w:t xml:space="preserve">References to these limits </w:t>
      </w:r>
      <w:r>
        <w:t>were corrected prior to consideration</w:t>
      </w:r>
      <w:r w:rsidR="006928F0">
        <w:t xml:space="preserve"> by the Committee</w:t>
      </w:r>
      <w:r>
        <w:t>,</w:t>
      </w:r>
      <w:r w:rsidRPr="00FE5347">
        <w:t xml:space="preserve"> and the proposed scheduling </w:t>
      </w:r>
      <w:r>
        <w:t xml:space="preserve">was </w:t>
      </w:r>
      <w:r w:rsidRPr="00FE5347">
        <w:t>amended to align with the EU requirements</w:t>
      </w:r>
      <w:r w:rsidR="003D32D5">
        <w:t xml:space="preserve"> as follows:</w:t>
      </w:r>
    </w:p>
    <w:p w14:paraId="41FF825B" w14:textId="5241CF07" w:rsidR="006E50C2" w:rsidRDefault="00FE5347" w:rsidP="00FE5347">
      <w:r w:rsidRPr="00FE5347">
        <w:lastRenderedPageBreak/>
        <w:t xml:space="preserve">The </w:t>
      </w:r>
      <w:r w:rsidR="00B4151F">
        <w:t xml:space="preserve">updated proposal </w:t>
      </w:r>
      <w:r w:rsidR="003D32D5">
        <w:t xml:space="preserve">considered by the Committee </w:t>
      </w:r>
      <w:r w:rsidR="00B4151F">
        <w:t>sought to</w:t>
      </w:r>
      <w:r w:rsidR="006E50C2">
        <w:t xml:space="preserve"> </w:t>
      </w:r>
      <w:r w:rsidR="003D32D5">
        <w:t xml:space="preserve">require </w:t>
      </w:r>
      <w:r w:rsidR="006E50C2">
        <w:t>eugenol</w:t>
      </w:r>
      <w:r w:rsidR="003D32D5">
        <w:t xml:space="preserve"> to be disclosed on</w:t>
      </w:r>
      <w:r w:rsidR="006E50C2">
        <w:t xml:space="preserve"> the label of unscheduled products intended for skin contact. Leave on preparations with concentrations of greater than 0.001% eugenol, and rinse off preparations with concentrations of greater than 0.01% eugenol, would be captured in Schedule 6 unless </w:t>
      </w:r>
      <w:r w:rsidR="00854FBB">
        <w:t xml:space="preserve">the substance is </w:t>
      </w:r>
      <w:r w:rsidR="006E50C2">
        <w:t>listed on the label.</w:t>
      </w:r>
    </w:p>
    <w:p w14:paraId="41C7E5D0" w14:textId="7054D209" w:rsidR="00453E6A" w:rsidRPr="00C721A5" w:rsidRDefault="00453E6A" w:rsidP="00FE5347">
      <w:pPr>
        <w:pStyle w:val="Heading4"/>
        <w:rPr>
          <w:rFonts w:ascii="Cambria" w:eastAsia="Times New Roman" w:hAnsi="Cambria"/>
          <w:i/>
          <w:color w:val="001523"/>
          <w:sz w:val="22"/>
        </w:rPr>
      </w:pPr>
      <w:bookmarkStart w:id="25" w:name="_Toc80898738"/>
      <w:r w:rsidRPr="00C721A5">
        <w:rPr>
          <w:rFonts w:ascii="Cambria" w:eastAsia="Times New Roman" w:hAnsi="Cambria"/>
          <w:i/>
          <w:color w:val="001523"/>
          <w:sz w:val="22"/>
        </w:rPr>
        <w:t>Interim decision</w:t>
      </w:r>
      <w:bookmarkEnd w:id="25"/>
    </w:p>
    <w:p w14:paraId="5A341C49" w14:textId="4F62EAA5" w:rsidR="00A266AB" w:rsidRDefault="00A266AB" w:rsidP="00A266AB">
      <w:r w:rsidRPr="00A05D10">
        <w:t xml:space="preserve">Pursuant to regulation 42ZCZN of the Regulations, a Delegate of the Secretary has, in relation to the proposed amendment, made an interim decision </w:t>
      </w:r>
      <w:r>
        <w:t>not</w:t>
      </w:r>
      <w:r w:rsidRPr="00A05D10">
        <w:t xml:space="preserve"> to amend the</w:t>
      </w:r>
      <w:r>
        <w:t xml:space="preserve"> scheduling for eugenol in the </w:t>
      </w:r>
      <w:r w:rsidRPr="00A05D10">
        <w:t>current Poisons St</w:t>
      </w:r>
      <w:r>
        <w:t>andard.</w:t>
      </w:r>
    </w:p>
    <w:p w14:paraId="398E1A67" w14:textId="77777777" w:rsidR="00A006F9" w:rsidRPr="00C721A5" w:rsidRDefault="00A006F9" w:rsidP="00A006F9">
      <w:pPr>
        <w:pStyle w:val="Heading4"/>
        <w:rPr>
          <w:rFonts w:ascii="Cambria" w:eastAsia="Times New Roman" w:hAnsi="Cambria"/>
          <w:i/>
          <w:color w:val="001523"/>
          <w:sz w:val="22"/>
        </w:rPr>
      </w:pPr>
      <w:bookmarkStart w:id="26" w:name="_Toc80898739"/>
      <w:r w:rsidRPr="00C721A5">
        <w:rPr>
          <w:rFonts w:ascii="Cambria" w:eastAsia="Times New Roman" w:hAnsi="Cambria"/>
          <w:i/>
          <w:color w:val="001523"/>
          <w:sz w:val="22"/>
        </w:rPr>
        <w:t>Materials considered</w:t>
      </w:r>
      <w:bookmarkEnd w:id="26"/>
    </w:p>
    <w:p w14:paraId="1B97B723" w14:textId="77777777" w:rsidR="00A006F9" w:rsidRDefault="00A006F9" w:rsidP="00A006F9">
      <w:r>
        <w:t>In making this interim decision, the Delegate considered the following material:</w:t>
      </w:r>
    </w:p>
    <w:p w14:paraId="26598BC3" w14:textId="1AC7E1EA" w:rsidR="00A006F9" w:rsidRDefault="007F04D8" w:rsidP="00A006F9">
      <w:pPr>
        <w:pStyle w:val="ListBullet"/>
      </w:pPr>
      <w:r>
        <w:t xml:space="preserve">A </w:t>
      </w:r>
      <w:hyperlink r:id="rId33" w:history="1">
        <w:r w:rsidRPr="007F04D8">
          <w:rPr>
            <w:rStyle w:val="Hyperlink"/>
          </w:rPr>
          <w:t>human health tier II assessment</w:t>
        </w:r>
      </w:hyperlink>
      <w:r w:rsidR="00A006F9">
        <w:t xml:space="preserve"> </w:t>
      </w:r>
      <w:r>
        <w:t>for</w:t>
      </w:r>
      <w:r w:rsidR="00A006F9">
        <w:t xml:space="preserve"> eugenol</w:t>
      </w:r>
      <w:r w:rsidR="00B95FAC">
        <w:t xml:space="preserve">, published by </w:t>
      </w:r>
      <w:r w:rsidR="00370B41">
        <w:t xml:space="preserve">AICIS </w:t>
      </w:r>
      <w:r w:rsidR="00B95FAC">
        <w:t>(</w:t>
      </w:r>
      <w:r w:rsidR="00370B41">
        <w:t>30 June 2020)</w:t>
      </w:r>
      <w:r w:rsidR="00A006F9">
        <w:t>;</w:t>
      </w:r>
    </w:p>
    <w:p w14:paraId="54538DB5" w14:textId="09C6B515" w:rsidR="00A006F9" w:rsidRPr="006367ED" w:rsidRDefault="00A006F9" w:rsidP="00A006F9">
      <w:pPr>
        <w:pStyle w:val="ListBullet"/>
      </w:pPr>
      <w:r>
        <w:t>The 11</w:t>
      </w:r>
      <w:r w:rsidRPr="006367ED">
        <w:t xml:space="preserve"> </w:t>
      </w:r>
      <w:hyperlink r:id="rId34" w:history="1">
        <w:r w:rsidRPr="006367ED">
          <w:rPr>
            <w:rStyle w:val="Hyperlink"/>
          </w:rPr>
          <w:t>public submissions</w:t>
        </w:r>
      </w:hyperlink>
      <w:r w:rsidRPr="006367ED">
        <w:rPr>
          <w:rStyle w:val="Hyperlink"/>
          <w:color w:val="auto"/>
        </w:rPr>
        <w:t>,</w:t>
      </w:r>
      <w:r w:rsidRPr="006367ED">
        <w:t xml:space="preserve"> </w:t>
      </w:r>
      <w:r>
        <w:t>all</w:t>
      </w:r>
      <w:r w:rsidRPr="006367ED">
        <w:t xml:space="preserve"> including a written component, received in response to the </w:t>
      </w:r>
      <w:hyperlink r:id="rId35" w:history="1">
        <w:r w:rsidRPr="006367ED">
          <w:rPr>
            <w:rStyle w:val="Hyperlink"/>
          </w:rPr>
          <w:t>pre-meeting consultation</w:t>
        </w:r>
      </w:hyperlink>
      <w:r w:rsidRPr="006367ED">
        <w:t xml:space="preserve"> under regulation 42ZCZK of the Regulations;</w:t>
      </w:r>
    </w:p>
    <w:p w14:paraId="247038BD" w14:textId="77777777" w:rsidR="00A006F9" w:rsidRDefault="00A006F9" w:rsidP="00A006F9">
      <w:pPr>
        <w:pStyle w:val="ListBullet"/>
      </w:pPr>
      <w:r>
        <w:t>The advice received from the m</w:t>
      </w:r>
      <w:r w:rsidRPr="00A825A4">
        <w:t xml:space="preserve">eeting of the </w:t>
      </w:r>
      <w:r>
        <w:t>A</w:t>
      </w:r>
      <w:r w:rsidRPr="00344CA2">
        <w:t>dvisory Committee on Medicines and Chemicals Scheduling in jo</w:t>
      </w:r>
      <w:r>
        <w:t>int session (Joint ACMS-ACCS #28</w:t>
      </w:r>
      <w:proofErr w:type="gramStart"/>
      <w:r w:rsidRPr="00344CA2">
        <w:t>);</w:t>
      </w:r>
      <w:proofErr w:type="gramEnd"/>
    </w:p>
    <w:p w14:paraId="003D784A" w14:textId="32927E88" w:rsidR="00A006F9" w:rsidRDefault="00A006F9" w:rsidP="00A006F9">
      <w:pPr>
        <w:pStyle w:val="ListBullet"/>
      </w:pPr>
      <w:r>
        <w:t xml:space="preserve">Subsection 52E(1) of the </w:t>
      </w:r>
      <w:r w:rsidRPr="00FC4D25">
        <w:rPr>
          <w:i/>
        </w:rPr>
        <w:t xml:space="preserve">Therapeutic Goods Act 1989, </w:t>
      </w:r>
      <w:r w:rsidRPr="001169AC">
        <w:t xml:space="preserve">in particular </w:t>
      </w:r>
      <w:r>
        <w:t>(a) risks and benefits of the use of a substance; (b) the purposes for which a substance is to be used and the extent of use of a substance;</w:t>
      </w:r>
      <w:r w:rsidRPr="00253950">
        <w:t xml:space="preserve"> (c) the toxicity of a substance; (d) the dosage, formulation, labelling, packaging and presentation of a substance; and (f) any other matters that the Secretary considers nec</w:t>
      </w:r>
      <w:r>
        <w:t>essary to protect public health;</w:t>
      </w:r>
    </w:p>
    <w:p w14:paraId="513C6940" w14:textId="77777777" w:rsidR="00A006F9" w:rsidRDefault="00A006F9" w:rsidP="00A006F9">
      <w:pPr>
        <w:pStyle w:val="ListBullet"/>
      </w:pPr>
      <w:r w:rsidRPr="002C1418">
        <w:t xml:space="preserve">The Australian Health Ministers’ Advisory Council’s </w:t>
      </w:r>
      <w:hyperlink r:id="rId36" w:history="1">
        <w:r w:rsidRPr="001A7580">
          <w:rPr>
            <w:rStyle w:val="Hyperlink"/>
          </w:rPr>
          <w:t>Scheduling Policy Framework</w:t>
        </w:r>
      </w:hyperlink>
      <w:r>
        <w:t xml:space="preserve"> (SPF 2018</w:t>
      </w:r>
      <w:r w:rsidRPr="002C20AE">
        <w:t>);</w:t>
      </w:r>
      <w:r>
        <w:t xml:space="preserve"> and</w:t>
      </w:r>
    </w:p>
    <w:p w14:paraId="159EA933" w14:textId="62F3FFD4" w:rsidR="00A006F9" w:rsidRDefault="00A006F9" w:rsidP="00A006F9">
      <w:pPr>
        <w:pStyle w:val="ListBullet"/>
      </w:pPr>
      <w:r>
        <w:t xml:space="preserve">The </w:t>
      </w:r>
      <w:hyperlink r:id="rId37" w:history="1">
        <w:r w:rsidRPr="001A7580">
          <w:rPr>
            <w:rStyle w:val="Hyperlink"/>
          </w:rPr>
          <w:t>Scheduling handbook: Guidance for amending the Poisons Standard</w:t>
        </w:r>
      </w:hyperlink>
      <w:r>
        <w:t>.</w:t>
      </w:r>
    </w:p>
    <w:p w14:paraId="344D8AF3" w14:textId="10B7C7CC" w:rsidR="00906D86" w:rsidRPr="00E441CB" w:rsidRDefault="00906D86" w:rsidP="00906D86">
      <w:pPr>
        <w:pStyle w:val="Heading4"/>
        <w:rPr>
          <w:rFonts w:eastAsia="Times New Roman"/>
          <w:b w:val="0"/>
          <w:bCs w:val="0"/>
          <w:i/>
          <w:color w:val="001523"/>
        </w:rPr>
      </w:pPr>
      <w:bookmarkStart w:id="27" w:name="_Toc80545771"/>
      <w:bookmarkStart w:id="28" w:name="_Toc80898740"/>
      <w:r w:rsidRPr="00C721A5">
        <w:rPr>
          <w:rFonts w:ascii="Cambria" w:eastAsia="Times New Roman" w:hAnsi="Cambria"/>
          <w:i/>
          <w:color w:val="001523"/>
          <w:sz w:val="22"/>
        </w:rPr>
        <w:t>Summary of ACMS</w:t>
      </w:r>
      <w:r>
        <w:rPr>
          <w:rFonts w:ascii="Cambria" w:eastAsia="Times New Roman" w:hAnsi="Cambria"/>
          <w:i/>
          <w:color w:val="001523"/>
          <w:sz w:val="22"/>
        </w:rPr>
        <w:t>-ACCS</w:t>
      </w:r>
      <w:r w:rsidRPr="00C721A5">
        <w:rPr>
          <w:rFonts w:ascii="Cambria" w:eastAsia="Times New Roman" w:hAnsi="Cambria"/>
          <w:i/>
          <w:color w:val="001523"/>
          <w:sz w:val="22"/>
        </w:rPr>
        <w:t xml:space="preserve"> advice to the delegate</w:t>
      </w:r>
      <w:bookmarkEnd w:id="27"/>
      <w:bookmarkEnd w:id="28"/>
    </w:p>
    <w:p w14:paraId="1DD85BC7" w14:textId="04D45C90" w:rsidR="00906D86" w:rsidRDefault="00906D86" w:rsidP="00906D86">
      <w:r>
        <w:t>The Committee advised that the current scheduling for eugenol remains appropriate.</w:t>
      </w:r>
    </w:p>
    <w:p w14:paraId="1045B06C" w14:textId="61EFBB94" w:rsidR="00906D86" w:rsidRDefault="00906D86" w:rsidP="00906D86">
      <w:r>
        <w:t xml:space="preserve">Members agreed that the relevant matters under Section 52E(1) of the </w:t>
      </w:r>
      <w:r w:rsidRPr="00AC262B">
        <w:rPr>
          <w:i/>
        </w:rPr>
        <w:t>Therapeutic Goods Act 1989</w:t>
      </w:r>
      <w:r>
        <w:t xml:space="preserve"> included: (a) the risks and benefits of the use of a substance; (b) the purposes for which a substance is to be used and the extent of use of a substance; (c) the toxicity of a substance; (d) the dosage, formulation, labelling, packaging and presentation of a substance; and (f) any other matters that the Secretary considers necessary to protect public health. </w:t>
      </w:r>
    </w:p>
    <w:p w14:paraId="5C8DCB84" w14:textId="56A481E9" w:rsidR="00906D86" w:rsidRDefault="00906D86" w:rsidP="00906D86">
      <w:r>
        <w:t>The reasons for the advice included:</w:t>
      </w:r>
    </w:p>
    <w:p w14:paraId="5058F148" w14:textId="77777777" w:rsidR="00906D86" w:rsidRDefault="00906D86" w:rsidP="00906D86">
      <w:pPr>
        <w:ind w:left="426"/>
        <w:rPr>
          <w:bCs/>
          <w:i/>
          <w:iCs/>
        </w:rPr>
      </w:pPr>
      <w:r>
        <w:rPr>
          <w:bCs/>
          <w:i/>
          <w:iCs/>
        </w:rPr>
        <w:t>a)  the risks and benefits of the use of a substance</w:t>
      </w:r>
    </w:p>
    <w:p w14:paraId="7F2D3497" w14:textId="77777777" w:rsidR="00906D86" w:rsidRDefault="00906D86" w:rsidP="00906D86">
      <w:pPr>
        <w:pStyle w:val="ListBullet2"/>
      </w:pPr>
      <w:r>
        <w:t>Potential risk for skin sensitisation and eye irritation.</w:t>
      </w:r>
    </w:p>
    <w:p w14:paraId="04477FBE" w14:textId="77777777" w:rsidR="00906D86" w:rsidRDefault="00906D86" w:rsidP="00906D86">
      <w:pPr>
        <w:ind w:left="426"/>
        <w:rPr>
          <w:i/>
        </w:rPr>
      </w:pPr>
      <w:r>
        <w:rPr>
          <w:i/>
        </w:rPr>
        <w:t>b)  the purposes for which a substance is to be used and the extent of use of a substance</w:t>
      </w:r>
    </w:p>
    <w:p w14:paraId="45FC4B4E" w14:textId="77777777" w:rsidR="00906D86" w:rsidRDefault="00906D86" w:rsidP="00906D86">
      <w:pPr>
        <w:pStyle w:val="ListBullet2"/>
      </w:pPr>
      <w:r>
        <w:t>Widely used in cosmetic and household products as a fragrance compound, including as a component of essential oils.</w:t>
      </w:r>
    </w:p>
    <w:p w14:paraId="7AE1BA69" w14:textId="77777777" w:rsidR="00906D86" w:rsidRDefault="00906D86" w:rsidP="00906D86">
      <w:pPr>
        <w:ind w:left="426"/>
      </w:pPr>
      <w:r>
        <w:rPr>
          <w:i/>
        </w:rPr>
        <w:t>c)  the toxicity of a substance</w:t>
      </w:r>
    </w:p>
    <w:p w14:paraId="40B94E7F" w14:textId="77777777" w:rsidR="00906D86" w:rsidRDefault="00906D86" w:rsidP="00906D86">
      <w:pPr>
        <w:pStyle w:val="ListBullet2"/>
      </w:pPr>
      <w:r>
        <w:lastRenderedPageBreak/>
        <w:t>Critical adverse health effects are eye irritation and skin sensitisation. Overall acute toxicity is consistent with a primary entry in Schedule 6.</w:t>
      </w:r>
    </w:p>
    <w:p w14:paraId="20053DD3" w14:textId="77777777" w:rsidR="00906D86" w:rsidRDefault="00906D86" w:rsidP="00906D86">
      <w:pPr>
        <w:ind w:left="426"/>
        <w:rPr>
          <w:i/>
        </w:rPr>
      </w:pPr>
      <w:r>
        <w:rPr>
          <w:i/>
        </w:rPr>
        <w:t xml:space="preserve">d)  the dosage, formulation, labelling, </w:t>
      </w:r>
      <w:proofErr w:type="gramStart"/>
      <w:r>
        <w:rPr>
          <w:i/>
        </w:rPr>
        <w:t>packaging</w:t>
      </w:r>
      <w:proofErr w:type="gramEnd"/>
      <w:r>
        <w:rPr>
          <w:i/>
        </w:rPr>
        <w:t xml:space="preserve"> and presentation of a substance</w:t>
      </w:r>
    </w:p>
    <w:p w14:paraId="04217969" w14:textId="77777777" w:rsidR="00906D86" w:rsidRDefault="00906D86" w:rsidP="00906D86">
      <w:pPr>
        <w:pStyle w:val="ListBullet2"/>
      </w:pPr>
      <w:r>
        <w:t>Inclusion of the presence of eugenol on labels of cosmetic products is recommended as a risk mitigation strategy in relation to skin sensitisation.</w:t>
      </w:r>
    </w:p>
    <w:p w14:paraId="133B55A3" w14:textId="77777777" w:rsidR="00906D86" w:rsidRDefault="00906D86" w:rsidP="00906D86">
      <w:pPr>
        <w:pStyle w:val="ListBullet2"/>
      </w:pPr>
      <w:r>
        <w:t>Inclusion of cut-off concentrations equivalent to the maximum concentrations allowed by the IFRA Standard for eugenol could minimise the risk of eye irritation.</w:t>
      </w:r>
    </w:p>
    <w:p w14:paraId="6651134C" w14:textId="77777777" w:rsidR="00906D86" w:rsidRDefault="00906D86" w:rsidP="00906D86">
      <w:pPr>
        <w:pStyle w:val="ListBullet"/>
        <w:numPr>
          <w:ilvl w:val="0"/>
          <w:numId w:val="0"/>
        </w:numPr>
        <w:ind w:left="426"/>
        <w:rPr>
          <w:i/>
        </w:rPr>
      </w:pPr>
      <w:r>
        <w:rPr>
          <w:i/>
        </w:rPr>
        <w:t xml:space="preserve">e)  </w:t>
      </w:r>
      <w:r w:rsidRPr="00F56B86">
        <w:rPr>
          <w:i/>
        </w:rPr>
        <w:t>the potential for abuse of a substance</w:t>
      </w:r>
    </w:p>
    <w:p w14:paraId="4F5E3695" w14:textId="77777777" w:rsidR="00906D86" w:rsidRDefault="00906D86" w:rsidP="00906D86">
      <w:pPr>
        <w:pStyle w:val="ListBullet2"/>
        <w:numPr>
          <w:ilvl w:val="0"/>
          <w:numId w:val="0"/>
        </w:numPr>
        <w:ind w:left="850"/>
      </w:pPr>
      <w:r>
        <w:t>Nil</w:t>
      </w:r>
    </w:p>
    <w:p w14:paraId="6C60C226" w14:textId="77777777" w:rsidR="00906D86" w:rsidRDefault="00906D86" w:rsidP="00906D86">
      <w:pPr>
        <w:pStyle w:val="ListBullet"/>
        <w:numPr>
          <w:ilvl w:val="0"/>
          <w:numId w:val="0"/>
        </w:numPr>
        <w:ind w:left="426"/>
        <w:rPr>
          <w:i/>
        </w:rPr>
      </w:pPr>
      <w:r w:rsidRPr="00265EAC">
        <w:rPr>
          <w:i/>
        </w:rPr>
        <w:t xml:space="preserve">f) </w:t>
      </w:r>
      <w:r>
        <w:rPr>
          <w:i/>
        </w:rPr>
        <w:t xml:space="preserve"> </w:t>
      </w:r>
      <w:r w:rsidRPr="00265EAC">
        <w:rPr>
          <w:i/>
        </w:rPr>
        <w:t>any other matter that the Secretary considers necessary to protect public health</w:t>
      </w:r>
    </w:p>
    <w:p w14:paraId="0018BEB6" w14:textId="257CCEB1" w:rsidR="00906D86" w:rsidRDefault="00906D86" w:rsidP="00906D86">
      <w:pPr>
        <w:pStyle w:val="ListBullet2"/>
      </w:pPr>
      <w:r>
        <w:t xml:space="preserve">No </w:t>
      </w:r>
      <w:r w:rsidRPr="00295A44">
        <w:t>signals</w:t>
      </w:r>
      <w:r>
        <w:t xml:space="preserve"> indicate an increasing or changing risk profile for eugenol. Therefore, alignment with international standards and regulatory controls over cosmetics is recommended.</w:t>
      </w:r>
    </w:p>
    <w:p w14:paraId="401234B7" w14:textId="5607B8B7" w:rsidR="008D2E60" w:rsidRPr="009A1704" w:rsidRDefault="008D2E60" w:rsidP="009A1704">
      <w:pPr>
        <w:pStyle w:val="Heading4"/>
        <w:rPr>
          <w:rFonts w:ascii="Cambria" w:eastAsia="Times New Roman" w:hAnsi="Cambria"/>
          <w:i/>
          <w:color w:val="001523"/>
          <w:sz w:val="22"/>
        </w:rPr>
      </w:pPr>
      <w:r w:rsidRPr="009A1704">
        <w:rPr>
          <w:rFonts w:ascii="Cambria" w:eastAsia="Times New Roman" w:hAnsi="Cambria"/>
          <w:i/>
          <w:color w:val="001523"/>
          <w:sz w:val="22"/>
        </w:rPr>
        <w:t>Reasons for the interim decision (including findings on material questions of fact)</w:t>
      </w:r>
    </w:p>
    <w:p w14:paraId="31A436BA" w14:textId="23CA0171" w:rsidR="008D2E60" w:rsidRDefault="008D2E60" w:rsidP="008D2E60">
      <w:pPr>
        <w:spacing w:after="240"/>
        <w:rPr>
          <w:rFonts w:asciiTheme="minorHAnsi" w:hAnsiTheme="minorHAnsi"/>
          <w:bCs/>
          <w:szCs w:val="22"/>
        </w:rPr>
      </w:pPr>
      <w:r w:rsidRPr="002D0EDB">
        <w:rPr>
          <w:rFonts w:asciiTheme="minorHAnsi" w:hAnsiTheme="minorHAnsi"/>
          <w:bCs/>
          <w:szCs w:val="22"/>
        </w:rPr>
        <w:t>I have made an interim decision</w:t>
      </w:r>
      <w:r>
        <w:rPr>
          <w:rFonts w:asciiTheme="minorHAnsi" w:hAnsiTheme="minorHAnsi"/>
          <w:bCs/>
          <w:szCs w:val="22"/>
        </w:rPr>
        <w:t xml:space="preserve"> not to amend</w:t>
      </w:r>
      <w:r w:rsidRPr="002D0EDB">
        <w:rPr>
          <w:rFonts w:asciiTheme="minorHAnsi" w:hAnsiTheme="minorHAnsi"/>
          <w:bCs/>
          <w:szCs w:val="22"/>
        </w:rPr>
        <w:t xml:space="preserve"> the current Poisons Standard in relation </w:t>
      </w:r>
      <w:r>
        <w:rPr>
          <w:rFonts w:asciiTheme="minorHAnsi" w:hAnsiTheme="minorHAnsi"/>
          <w:bCs/>
          <w:szCs w:val="22"/>
        </w:rPr>
        <w:t xml:space="preserve">to eugenol. </w:t>
      </w:r>
      <w:r w:rsidRPr="002D0EDB">
        <w:rPr>
          <w:rFonts w:asciiTheme="minorHAnsi" w:hAnsiTheme="minorHAnsi"/>
          <w:bCs/>
          <w:szCs w:val="22"/>
        </w:rPr>
        <w:t>The detailed reasons for my decision follow.</w:t>
      </w:r>
    </w:p>
    <w:p w14:paraId="58040FB4" w14:textId="725040E7" w:rsidR="002F4FCF" w:rsidRDefault="002F4FCF" w:rsidP="002F4FCF">
      <w:r w:rsidRPr="006B74E6">
        <w:rPr>
          <w:bCs/>
        </w:rPr>
        <w:t>I agree with the Committee's finding</w:t>
      </w:r>
      <w:r>
        <w:rPr>
          <w:bCs/>
        </w:rPr>
        <w:t>s</w:t>
      </w:r>
      <w:r w:rsidRPr="006B74E6">
        <w:rPr>
          <w:bCs/>
        </w:rPr>
        <w:t xml:space="preserve"> that the relevant provisions of section 52E of the </w:t>
      </w:r>
      <w:r w:rsidRPr="006B74E6">
        <w:rPr>
          <w:bCs/>
          <w:i/>
          <w:iCs/>
        </w:rPr>
        <w:t>Therapeutic Goods Act 1989</w:t>
      </w:r>
      <w:r w:rsidRPr="006B74E6">
        <w:rPr>
          <w:bCs/>
        </w:rPr>
        <w:t> are</w:t>
      </w:r>
      <w:r>
        <w:rPr>
          <w:bCs/>
        </w:rPr>
        <w:t>:</w:t>
      </w:r>
      <w:r w:rsidRPr="00C70F72">
        <w:t xml:space="preserve"> </w:t>
      </w:r>
      <w:r>
        <w:t xml:space="preserve">(a) risks and benefits of the use of a substance; (b) the purposes for which a substance is to be used and the extent of use of a substance; </w:t>
      </w:r>
      <w:r w:rsidRPr="00253950">
        <w:t>(c) the toxicity of a substance; (d) the dosage, formulation, labelling, packaging and presentation of a substance; and (f) any other matters that the Secretary considers nec</w:t>
      </w:r>
      <w:r>
        <w:t>essary to protect public health.</w:t>
      </w:r>
    </w:p>
    <w:p w14:paraId="1950125F" w14:textId="3DCE3880" w:rsidR="00132084" w:rsidRDefault="005E4166" w:rsidP="002F4FCF">
      <w:r>
        <w:t>I note that eugenol is a</w:t>
      </w:r>
      <w:r w:rsidR="00132084">
        <w:t>n aromatic oil extracted from cloves</w:t>
      </w:r>
      <w:r w:rsidR="00736049">
        <w:t>, and is added to a variety of cosmetic, personal care and domestic products for its fragrance properties</w:t>
      </w:r>
      <w:r w:rsidR="00132084">
        <w:t>.</w:t>
      </w:r>
      <w:r w:rsidR="0027497D">
        <w:t xml:space="preserve"> Eugenol can also be produced synthetically.</w:t>
      </w:r>
      <w:r>
        <w:t xml:space="preserve"> </w:t>
      </w:r>
      <w:r w:rsidR="00497410">
        <w:t>It has a wide range of uses</w:t>
      </w:r>
      <w:r w:rsidR="007F04D8">
        <w:t xml:space="preserve"> in Australia</w:t>
      </w:r>
      <w:r w:rsidR="00497410">
        <w:t xml:space="preserve">, including in </w:t>
      </w:r>
      <w:r w:rsidR="00736049">
        <w:t>aftershaves, hair care products and bath products</w:t>
      </w:r>
      <w:r w:rsidR="00497410">
        <w:t xml:space="preserve">. </w:t>
      </w:r>
      <w:r w:rsidR="007F04D8">
        <w:t>However, the substance is</w:t>
      </w:r>
      <w:r w:rsidR="000050B5">
        <w:t xml:space="preserve"> also</w:t>
      </w:r>
      <w:r w:rsidR="007F04D8">
        <w:t xml:space="preserve"> a </w:t>
      </w:r>
      <w:r w:rsidR="00132084">
        <w:t>well-known</w:t>
      </w:r>
      <w:r w:rsidR="007F04D8">
        <w:t xml:space="preserve"> skin sensitiser,</w:t>
      </w:r>
      <w:r w:rsidR="00736049">
        <w:t xml:space="preserve"> to the extent that it is used in fragrance mixes used for patch testing against common allergens. It is</w:t>
      </w:r>
      <w:r w:rsidR="007F04D8">
        <w:t xml:space="preserve"> </w:t>
      </w:r>
      <w:r w:rsidR="000050B5">
        <w:t>considered</w:t>
      </w:r>
      <w:r w:rsidR="007F04D8">
        <w:t xml:space="preserve"> one of the most frequently reported allergens in </w:t>
      </w:r>
      <w:r w:rsidR="00132084">
        <w:t xml:space="preserve">consumer products. </w:t>
      </w:r>
      <w:r w:rsidR="00736049">
        <w:t xml:space="preserve">The </w:t>
      </w:r>
      <w:r>
        <w:t>current proposal</w:t>
      </w:r>
      <w:r w:rsidR="00497410">
        <w:t xml:space="preserve"> </w:t>
      </w:r>
      <w:r w:rsidR="007C1919">
        <w:t>seeks to</w:t>
      </w:r>
      <w:r w:rsidR="000050B5">
        <w:t xml:space="preserve"> reduce the elicitation of contact dermatitis by</w:t>
      </w:r>
      <w:r w:rsidR="00497410">
        <w:t xml:space="preserve"> introduc</w:t>
      </w:r>
      <w:r w:rsidR="000050B5">
        <w:t>ing</w:t>
      </w:r>
      <w:r w:rsidR="00497410">
        <w:t xml:space="preserve"> a requirement </w:t>
      </w:r>
      <w:r w:rsidR="007C1919">
        <w:t xml:space="preserve">for eugenol to be listed on the label of </w:t>
      </w:r>
      <w:r w:rsidR="00497410">
        <w:t>preparations intended for skin contact</w:t>
      </w:r>
      <w:r w:rsidR="007F04D8">
        <w:t xml:space="preserve">. </w:t>
      </w:r>
    </w:p>
    <w:p w14:paraId="550B9CF8" w14:textId="2A6469FD" w:rsidR="00696B6B" w:rsidRDefault="00516D22" w:rsidP="002F4FCF">
      <w:r>
        <w:t xml:space="preserve">The </w:t>
      </w:r>
      <w:r w:rsidR="00A64E79">
        <w:t>critical health effects of eugenol</w:t>
      </w:r>
      <w:r>
        <w:t xml:space="preserve"> w</w:t>
      </w:r>
      <w:r w:rsidR="00A64E79">
        <w:t>ere</w:t>
      </w:r>
      <w:r>
        <w:t xml:space="preserve"> </w:t>
      </w:r>
      <w:r w:rsidR="00611BC0">
        <w:t>considered</w:t>
      </w:r>
      <w:r>
        <w:t xml:space="preserve"> in a recent human health tier II assessment</w:t>
      </w:r>
      <w:r w:rsidR="0027497D">
        <w:t xml:space="preserve"> (AICIS, 2020)</w:t>
      </w:r>
      <w:r>
        <w:t xml:space="preserve">. The </w:t>
      </w:r>
      <w:r w:rsidR="00432B0B">
        <w:t>report a</w:t>
      </w:r>
      <w:r w:rsidR="00611BC0">
        <w:t>nalysed</w:t>
      </w:r>
      <w:r w:rsidR="00A64E79">
        <w:t xml:space="preserve"> data from a range of animal models and human </w:t>
      </w:r>
      <w:proofErr w:type="gramStart"/>
      <w:r w:rsidR="00A64E79">
        <w:t xml:space="preserve">reports, </w:t>
      </w:r>
      <w:r w:rsidR="00611BC0">
        <w:t>and</w:t>
      </w:r>
      <w:proofErr w:type="gramEnd"/>
      <w:r w:rsidR="00611BC0">
        <w:t xml:space="preserve"> concluded that the substance presents risk to the public due to eye irritation and skin sensitisation</w:t>
      </w:r>
      <w:r w:rsidR="008A0B3B">
        <w:t>.</w:t>
      </w:r>
      <w:r w:rsidR="00B010F1">
        <w:t xml:space="preserve"> Despite this potential, there is ample evidence that eugenol is included in products </w:t>
      </w:r>
      <w:r w:rsidR="000050B5">
        <w:t>that are exposed to human skin during normal use.</w:t>
      </w:r>
      <w:r w:rsidR="008A0B3B">
        <w:t xml:space="preserve"> </w:t>
      </w:r>
      <w:r w:rsidR="00B010F1">
        <w:t>As such,</w:t>
      </w:r>
      <w:r w:rsidR="007C1919">
        <w:t xml:space="preserve"> I acknowledge that </w:t>
      </w:r>
      <w:r w:rsidR="00696B6B">
        <w:t xml:space="preserve">the proposed labelling requirements may help mitigate the potential for contact dermatitis in sensitised individuals. </w:t>
      </w:r>
    </w:p>
    <w:p w14:paraId="02458A03" w14:textId="33EBC3A6" w:rsidR="007121BC" w:rsidRDefault="007121BC" w:rsidP="007121BC">
      <w:r>
        <w:t>In making my decision, I note that nine out of ten public submissions were opposed to the scheduling change, though this opposition may relate to errors in the initial proposal that have since been corrected. Respondents clarified the interpretation and intent of the EU labelling requirements – and suggested that the International Fragrance Association (IRFA) standards may provide more appropriate cut-offs</w:t>
      </w:r>
      <w:r w:rsidRPr="009A63A2">
        <w:t>.</w:t>
      </w:r>
      <w:r>
        <w:t xml:space="preserve"> They also identified a wide range of products that contain eugenol and advised caution in capturing them as Schedule 6 </w:t>
      </w:r>
      <w:proofErr w:type="gramStart"/>
      <w:r>
        <w:t>poisons;</w:t>
      </w:r>
      <w:proofErr w:type="gramEnd"/>
      <w:r>
        <w:t xml:space="preserve"> </w:t>
      </w:r>
      <w:r w:rsidR="0027497D">
        <w:t xml:space="preserve">as </w:t>
      </w:r>
      <w:r>
        <w:t xml:space="preserve">any changes to scheduling or labelling may impact the domestic and international sale of a wide range of </w:t>
      </w:r>
      <w:r>
        <w:lastRenderedPageBreak/>
        <w:t xml:space="preserve">products. I consider that these concerns are pertinent and am of the view that the intended outcomes of the proposed scheduling changes have not been sufficiently established. </w:t>
      </w:r>
    </w:p>
    <w:p w14:paraId="4622C2AD" w14:textId="433A8416" w:rsidR="003202D2" w:rsidRDefault="00B010F1" w:rsidP="002F4FCF">
      <w:r>
        <w:t>While there may be some benefit to</w:t>
      </w:r>
      <w:r w:rsidR="000050B5">
        <w:t xml:space="preserve"> rescheduling,</w:t>
      </w:r>
      <w:r>
        <w:t xml:space="preserve"> I note that the scope of the </w:t>
      </w:r>
      <w:r w:rsidR="004A5195">
        <w:t>initial consultation was</w:t>
      </w:r>
      <w:r>
        <w:t xml:space="preserve"> limited. The original proposal focussed on eugenol in clove oil, </w:t>
      </w:r>
      <w:r w:rsidR="004A5195">
        <w:t xml:space="preserve">with the intent of only amending the scheduling of </w:t>
      </w:r>
      <w:r>
        <w:t>cosmetic</w:t>
      </w:r>
      <w:r w:rsidR="004A5195">
        <w:t xml:space="preserve"> products</w:t>
      </w:r>
      <w:r>
        <w:t>. However,</w:t>
      </w:r>
      <w:r w:rsidR="004A5195">
        <w:t xml:space="preserve"> the proposed changes </w:t>
      </w:r>
      <w:r w:rsidR="000050B5">
        <w:t>could</w:t>
      </w:r>
      <w:r w:rsidR="004A5195">
        <w:t xml:space="preserve"> capture a wide range of unintended</w:t>
      </w:r>
      <w:r w:rsidR="000050B5">
        <w:t xml:space="preserve"> domestic</w:t>
      </w:r>
      <w:r w:rsidR="004A5195">
        <w:t xml:space="preserve"> products such as detergents. Eugenol is also present as a major component of several essential oils</w:t>
      </w:r>
      <w:r w:rsidR="000050B5">
        <w:t xml:space="preserve"> that were not discussed in the proposal</w:t>
      </w:r>
      <w:r w:rsidR="004A5195">
        <w:t xml:space="preserve">, including nutmeg, cinnamon, </w:t>
      </w:r>
      <w:proofErr w:type="gramStart"/>
      <w:r w:rsidR="004A5195">
        <w:t>basil</w:t>
      </w:r>
      <w:proofErr w:type="gramEnd"/>
      <w:r w:rsidR="004A5195">
        <w:t xml:space="preserve"> and bay leaf</w:t>
      </w:r>
      <w:r w:rsidR="000050B5">
        <w:t xml:space="preserve"> oi</w:t>
      </w:r>
      <w:r w:rsidR="0027497D">
        <w:t>l. I</w:t>
      </w:r>
      <w:r w:rsidR="003202D2">
        <w:t>t is</w:t>
      </w:r>
      <w:r w:rsidR="000050B5">
        <w:t xml:space="preserve"> </w:t>
      </w:r>
      <w:r w:rsidR="004A5195">
        <w:t>a minor component of many other</w:t>
      </w:r>
      <w:r w:rsidR="0027497D">
        <w:t xml:space="preserve"> essential oils</w:t>
      </w:r>
      <w:r w:rsidR="004A5195">
        <w:t>.</w:t>
      </w:r>
      <w:r w:rsidR="00886A64" w:rsidRPr="00886A64">
        <w:t xml:space="preserve"> </w:t>
      </w:r>
      <w:r w:rsidR="00886A64">
        <w:t xml:space="preserve">New labelling requirements could </w:t>
      </w:r>
      <w:r w:rsidR="001314E9">
        <w:t>affect</w:t>
      </w:r>
      <w:r w:rsidR="00886A64">
        <w:t xml:space="preserve"> the sale and supply of products containing these oils</w:t>
      </w:r>
      <w:r w:rsidR="00E74A19">
        <w:t>. A</w:t>
      </w:r>
      <w:r w:rsidR="00886A64">
        <w:t>s such</w:t>
      </w:r>
      <w:r w:rsidR="00E74A19">
        <w:t>,</w:t>
      </w:r>
      <w:r w:rsidR="00886A64">
        <w:t xml:space="preserve"> the scope</w:t>
      </w:r>
      <w:r w:rsidR="00E74A19">
        <w:t>, and public health outcomes for different classes of products, requires clarification</w:t>
      </w:r>
      <w:r w:rsidR="001314E9">
        <w:t xml:space="preserve"> and careful consideration</w:t>
      </w:r>
      <w:r w:rsidR="00E74A19">
        <w:t xml:space="preserve"> before a decision can be made</w:t>
      </w:r>
      <w:r w:rsidR="00886A64">
        <w:t xml:space="preserve">. </w:t>
      </w:r>
      <w:r w:rsidR="003202D2">
        <w:t>Given th</w:t>
      </w:r>
      <w:r w:rsidR="00886A64">
        <w:t>e wide range of affected</w:t>
      </w:r>
      <w:r w:rsidR="003202D2">
        <w:t xml:space="preserve"> </w:t>
      </w:r>
      <w:r w:rsidR="00886A64">
        <w:t xml:space="preserve">oils and </w:t>
      </w:r>
      <w:r w:rsidR="003202D2">
        <w:t>products</w:t>
      </w:r>
      <w:r w:rsidR="00E74A19">
        <w:t xml:space="preserve"> that </w:t>
      </w:r>
      <w:r w:rsidR="00886A64">
        <w:t>were not captured in the initial consultation</w:t>
      </w:r>
      <w:r w:rsidR="00FA69E7">
        <w:t xml:space="preserve"> and the lack of information available to support these changes across all potentially impacted product types</w:t>
      </w:r>
      <w:r w:rsidR="00886A64">
        <w:t xml:space="preserve">, I am </w:t>
      </w:r>
      <w:r w:rsidR="000C35B0">
        <w:t xml:space="preserve">in agreement with the Committee </w:t>
      </w:r>
      <w:r w:rsidR="00886A64">
        <w:t xml:space="preserve">that a scheduling amendment is </w:t>
      </w:r>
      <w:r w:rsidR="0027497D">
        <w:t xml:space="preserve">not </w:t>
      </w:r>
      <w:r w:rsidR="00886A64">
        <w:t xml:space="preserve">appropriate at this time. </w:t>
      </w:r>
    </w:p>
    <w:p w14:paraId="6006E47D" w14:textId="3523ADAB" w:rsidR="00265E1C" w:rsidRDefault="00265E1C" w:rsidP="002F4FCF">
      <w:r>
        <w:t xml:space="preserve">As such, I have made </w:t>
      </w:r>
      <w:r w:rsidR="001314E9">
        <w:t>an</w:t>
      </w:r>
      <w:r>
        <w:t xml:space="preserve"> interim decision </w:t>
      </w:r>
      <w:r w:rsidR="009E0C54">
        <w:t>not to amend the</w:t>
      </w:r>
      <w:r>
        <w:t xml:space="preserve"> scheduling of eugenol at this time. While there </w:t>
      </w:r>
      <w:r w:rsidR="007121BC">
        <w:t xml:space="preserve">may be </w:t>
      </w:r>
      <w:r>
        <w:t>some benefits to adding new labelling requirements, these require clarification and</w:t>
      </w:r>
      <w:r w:rsidR="007121BC">
        <w:t xml:space="preserve"> I agree with the Committee’s advice that</w:t>
      </w:r>
      <w:r>
        <w:t xml:space="preserve"> further consultation</w:t>
      </w:r>
      <w:r w:rsidR="007121BC">
        <w:t xml:space="preserve"> with </w:t>
      </w:r>
      <w:r w:rsidR="0027497D">
        <w:t>affected</w:t>
      </w:r>
      <w:r w:rsidR="007121BC">
        <w:t xml:space="preserve"> stakeholders</w:t>
      </w:r>
      <w:r w:rsidR="0027497D">
        <w:t xml:space="preserve"> </w:t>
      </w:r>
      <w:r w:rsidR="007121BC">
        <w:t>is necessary</w:t>
      </w:r>
      <w:r>
        <w:t xml:space="preserve"> before </w:t>
      </w:r>
      <w:r w:rsidR="007121BC">
        <w:t>further progressing such a proposal</w:t>
      </w:r>
      <w:r>
        <w:t xml:space="preserve">. </w:t>
      </w:r>
    </w:p>
    <w:p w14:paraId="5FA9048E" w14:textId="5B563588" w:rsidR="00132084" w:rsidRDefault="00132084" w:rsidP="002F4FCF"/>
    <w:p w14:paraId="1FD7EC39" w14:textId="77777777" w:rsidR="00A006F9" w:rsidRPr="00E441CB" w:rsidRDefault="00A006F9" w:rsidP="00B87D65"/>
    <w:sectPr w:rsidR="00A006F9" w:rsidRPr="00E441CB" w:rsidSect="00CD1C8D">
      <w:headerReference w:type="first" r:id="rId38"/>
      <w:footerReference w:type="first" r:id="rId39"/>
      <w:type w:val="continuous"/>
      <w:pgSz w:w="11906" w:h="16838" w:code="9"/>
      <w:pgMar w:top="1530" w:right="1418" w:bottom="1361" w:left="1418" w:header="99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01B48" w14:textId="77777777" w:rsidR="00163196" w:rsidRDefault="00163196" w:rsidP="00C40A36">
      <w:pPr>
        <w:spacing w:after="0"/>
      </w:pPr>
      <w:r>
        <w:separator/>
      </w:r>
    </w:p>
    <w:p w14:paraId="36338940" w14:textId="77777777" w:rsidR="00163196" w:rsidRDefault="00163196"/>
  </w:endnote>
  <w:endnote w:type="continuationSeparator" w:id="0">
    <w:p w14:paraId="1711F39E" w14:textId="77777777" w:rsidR="00163196" w:rsidRDefault="00163196" w:rsidP="00C40A36">
      <w:pPr>
        <w:spacing w:after="0"/>
      </w:pPr>
      <w:r>
        <w:continuationSeparator/>
      </w:r>
    </w:p>
    <w:p w14:paraId="26BBBEF4" w14:textId="77777777" w:rsidR="00163196" w:rsidRDefault="00163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ACFFCFA" w:usb2="00000016" w:usb3="00000000" w:csb0="00100001" w:csb1="00000000"/>
  </w:font>
  <w:font w:name="CIDFont+F1">
    <w:panose1 w:val="00000000000000000000"/>
    <w:charset w:val="00"/>
    <w:family w:val="auto"/>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C204C9" w:rsidRPr="00257138" w14:paraId="4AF11DA5" w14:textId="77777777" w:rsidTr="00453E6A">
      <w:trPr>
        <w:trHeight w:val="189"/>
      </w:trPr>
      <w:tc>
        <w:tcPr>
          <w:tcW w:w="7338" w:type="dxa"/>
        </w:tcPr>
        <w:p w14:paraId="7140D75F" w14:textId="24EB20EB" w:rsidR="00C204C9" w:rsidRDefault="00C204C9" w:rsidP="00987184">
          <w:pPr>
            <w:pStyle w:val="Footer"/>
          </w:pPr>
          <w:r>
            <w:t>Delegate’s interim decisions and reasons for decisions (Joint ACMS-ACCS#28, June 2021)</w:t>
          </w:r>
        </w:p>
        <w:p w14:paraId="5F9340DC" w14:textId="77777777" w:rsidR="00C204C9" w:rsidRPr="00257138" w:rsidRDefault="00C204C9" w:rsidP="00987184">
          <w:pPr>
            <w:pStyle w:val="Footer"/>
          </w:pPr>
        </w:p>
      </w:tc>
      <w:tc>
        <w:tcPr>
          <w:tcW w:w="1382" w:type="dxa"/>
        </w:tcPr>
        <w:sdt>
          <w:sdtPr>
            <w:id w:val="602996628"/>
            <w:docPartObj>
              <w:docPartGallery w:val="Page Numbers (Top of Page)"/>
              <w:docPartUnique/>
            </w:docPartObj>
          </w:sdtPr>
          <w:sdtEndPr/>
          <w:sdtContent>
            <w:p w14:paraId="2F2C20BF" w14:textId="1037F82A" w:rsidR="00C204C9" w:rsidRPr="00257138" w:rsidRDefault="00C204C9" w:rsidP="00987184">
              <w:pPr>
                <w:pStyle w:val="Footer"/>
                <w:jc w:val="right"/>
              </w:pPr>
              <w:r w:rsidRPr="00257138">
                <w:t xml:space="preserve">Page </w:t>
              </w:r>
              <w:r>
                <w:fldChar w:fldCharType="begin"/>
              </w:r>
              <w:r>
                <w:instrText xml:space="preserve"> PAGE </w:instrText>
              </w:r>
              <w:r>
                <w:fldChar w:fldCharType="separate"/>
              </w:r>
              <w:r>
                <w:rPr>
                  <w:noProof/>
                </w:rPr>
                <w:t>7</w:t>
              </w:r>
              <w:r>
                <w:rPr>
                  <w:noProof/>
                </w:rPr>
                <w:fldChar w:fldCharType="end"/>
              </w:r>
              <w:r w:rsidRPr="00257138">
                <w:t xml:space="preserve"> of </w:t>
              </w:r>
              <w:r w:rsidR="00B12DEA">
                <w:fldChar w:fldCharType="begin"/>
              </w:r>
              <w:r w:rsidR="00B12DEA">
                <w:instrText xml:space="preserve"> NUMPAGES  </w:instrText>
              </w:r>
              <w:r w:rsidR="00B12DEA">
                <w:fldChar w:fldCharType="separate"/>
              </w:r>
              <w:r>
                <w:rPr>
                  <w:noProof/>
                </w:rPr>
                <w:t>9</w:t>
              </w:r>
              <w:r w:rsidR="00B12DEA">
                <w:rPr>
                  <w:noProof/>
                </w:rPr>
                <w:fldChar w:fldCharType="end"/>
              </w:r>
            </w:p>
          </w:sdtContent>
        </w:sdt>
      </w:tc>
    </w:tr>
  </w:tbl>
  <w:p w14:paraId="6E7E3FB0" w14:textId="77777777" w:rsidR="00C204C9" w:rsidRPr="00826007" w:rsidRDefault="00C204C9"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A70C2" w14:textId="77777777" w:rsidR="00C204C9" w:rsidRDefault="00C204C9"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A3B85" w14:textId="77777777" w:rsidR="00C204C9" w:rsidRPr="00F8404D" w:rsidRDefault="00C204C9"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563E8" w14:textId="77777777" w:rsidR="00163196" w:rsidRDefault="00163196" w:rsidP="00FE1941">
      <w:pPr>
        <w:spacing w:after="0"/>
      </w:pPr>
      <w:r>
        <w:separator/>
      </w:r>
    </w:p>
  </w:footnote>
  <w:footnote w:type="continuationSeparator" w:id="0">
    <w:p w14:paraId="5280A342" w14:textId="77777777" w:rsidR="00163196" w:rsidRDefault="00163196" w:rsidP="00C40A36">
      <w:pPr>
        <w:spacing w:after="0"/>
      </w:pPr>
      <w:r>
        <w:continuationSeparator/>
      </w:r>
    </w:p>
    <w:p w14:paraId="2C03F3EB" w14:textId="77777777" w:rsidR="00163196" w:rsidRDefault="00163196"/>
  </w:footnote>
  <w:footnote w:id="1">
    <w:p w14:paraId="48B324CA" w14:textId="77777777" w:rsidR="00AC3AD2" w:rsidRPr="00150D00" w:rsidRDefault="00AC3AD2" w:rsidP="00AC3AD2">
      <w:pPr>
        <w:pStyle w:val="FootnoteText"/>
      </w:pPr>
      <w:r>
        <w:rPr>
          <w:rStyle w:val="FootnoteReference"/>
        </w:rPr>
        <w:footnoteRef/>
      </w:r>
      <w:r>
        <w:t xml:space="preserve"> </w:t>
      </w:r>
      <w:hyperlink r:id="rId1" w:history="1">
        <w:r w:rsidRPr="00150D00">
          <w:rPr>
            <w:color w:val="0000FF"/>
            <w:sz w:val="16"/>
            <w:szCs w:val="16"/>
            <w:u w:val="single"/>
          </w:rPr>
          <w:t>https://www.legislation.gov.au/Series/F2020L00340</w:t>
        </w:r>
      </w:hyperlink>
    </w:p>
  </w:footnote>
  <w:footnote w:id="2">
    <w:p w14:paraId="1B972C8E" w14:textId="77777777" w:rsidR="00AC3AD2" w:rsidRDefault="00AC3AD2" w:rsidP="00AC3AD2">
      <w:pPr>
        <w:pStyle w:val="FootnoteText"/>
        <w:rPr>
          <w:sz w:val="16"/>
          <w:szCs w:val="16"/>
        </w:rPr>
      </w:pPr>
      <w:r>
        <w:rPr>
          <w:rStyle w:val="FootnoteReference"/>
        </w:rPr>
        <w:footnoteRef/>
      </w:r>
      <w:r>
        <w:rPr>
          <w:sz w:val="16"/>
          <w:szCs w:val="16"/>
        </w:rPr>
        <w:t xml:space="preserve"> </w:t>
      </w:r>
      <w:hyperlink r:id="rId2" w:history="1">
        <w:r>
          <w:rPr>
            <w:rStyle w:val="Hyperlink"/>
            <w:sz w:val="16"/>
            <w:szCs w:val="16"/>
          </w:rPr>
          <w:t>Trade Practices (Consumer Product Information Standards) (Cosmetics) Regulations 1991 (legislation.gov.au)</w:t>
        </w:r>
      </w:hyperlink>
    </w:p>
  </w:footnote>
  <w:footnote w:id="3">
    <w:p w14:paraId="11950EE4" w14:textId="77777777" w:rsidR="00AC3AD2" w:rsidRDefault="00AC3AD2" w:rsidP="00AC3AD2">
      <w:pPr>
        <w:pStyle w:val="FootnoteText"/>
      </w:pPr>
      <w:r>
        <w:rPr>
          <w:rStyle w:val="FootnoteReference"/>
        </w:rPr>
        <w:footnoteRef/>
      </w:r>
      <w:r>
        <w:rPr>
          <w:sz w:val="16"/>
          <w:szCs w:val="16"/>
        </w:rPr>
        <w:t xml:space="preserve"> </w:t>
      </w:r>
      <w:hyperlink r:id="rId3" w:history="1">
        <w:r>
          <w:rPr>
            <w:rStyle w:val="Hyperlink"/>
            <w:sz w:val="16"/>
            <w:szCs w:val="16"/>
          </w:rPr>
          <w:t>https://www.legislation.gov.au/Series/F2020L01469</w:t>
        </w:r>
      </w:hyperlink>
    </w:p>
  </w:footnote>
  <w:footnote w:id="4">
    <w:p w14:paraId="48827721" w14:textId="77777777" w:rsidR="00C204C9" w:rsidRDefault="00C204C9" w:rsidP="00344464">
      <w:pPr>
        <w:pStyle w:val="FootnoteText"/>
      </w:pPr>
      <w:r>
        <w:rPr>
          <w:rStyle w:val="FootnoteReference"/>
        </w:rPr>
        <w:footnoteRef/>
      </w:r>
      <w:r>
        <w:t xml:space="preserve"> </w:t>
      </w:r>
      <w:r w:rsidRPr="00485F35">
        <w:rPr>
          <w:sz w:val="16"/>
        </w:rPr>
        <w:t xml:space="preserve">Consumer Goods (Cosmetics) Information Standard 2020 </w:t>
      </w:r>
      <w:hyperlink r:id="rId4" w:history="1">
        <w:r w:rsidRPr="00485F35">
          <w:rPr>
            <w:rStyle w:val="Hyperlink"/>
            <w:sz w:val="16"/>
          </w:rPr>
          <w:t>https://www.legislation.gov.au/Series/F2020L01469</w:t>
        </w:r>
      </w:hyperlink>
    </w:p>
  </w:footnote>
  <w:footnote w:id="5">
    <w:p w14:paraId="2523D768" w14:textId="77777777" w:rsidR="00C204C9" w:rsidRPr="007C1919" w:rsidRDefault="00C204C9" w:rsidP="00990032">
      <w:pPr>
        <w:pStyle w:val="FootnoteText"/>
        <w:rPr>
          <w:sz w:val="16"/>
          <w:szCs w:val="16"/>
        </w:rPr>
      </w:pPr>
      <w:r w:rsidRPr="007C1919">
        <w:rPr>
          <w:rStyle w:val="FootnoteReference"/>
          <w:sz w:val="16"/>
          <w:szCs w:val="16"/>
        </w:rPr>
        <w:footnoteRef/>
      </w:r>
      <w:r w:rsidRPr="007C1919">
        <w:rPr>
          <w:sz w:val="16"/>
          <w:szCs w:val="16"/>
        </w:rPr>
        <w:t xml:space="preserve"> </w:t>
      </w:r>
      <w:hyperlink r:id="rId5" w:history="1">
        <w:r w:rsidRPr="007C1919">
          <w:rPr>
            <w:rStyle w:val="Hyperlink"/>
            <w:sz w:val="16"/>
            <w:szCs w:val="16"/>
          </w:rPr>
          <w:t>https://www.fda.gov/drugs/drug-safety-and-availability/fda-advises-consumers-not-use-hand-sanitizer-products-manufactured-eskbiochem</w:t>
        </w:r>
      </w:hyperlink>
    </w:p>
  </w:footnote>
  <w:footnote w:id="6">
    <w:p w14:paraId="6B0B79AF" w14:textId="77777777" w:rsidR="00C204C9" w:rsidRPr="007C1919" w:rsidRDefault="00C204C9" w:rsidP="00990032">
      <w:pPr>
        <w:pStyle w:val="FootnoteText"/>
        <w:rPr>
          <w:sz w:val="16"/>
          <w:szCs w:val="16"/>
        </w:rPr>
      </w:pPr>
      <w:r w:rsidRPr="007C1919">
        <w:rPr>
          <w:rStyle w:val="FootnoteReference"/>
          <w:sz w:val="16"/>
          <w:szCs w:val="16"/>
        </w:rPr>
        <w:footnoteRef/>
      </w:r>
      <w:r w:rsidRPr="007C1919">
        <w:rPr>
          <w:sz w:val="16"/>
          <w:szCs w:val="16"/>
        </w:rPr>
        <w:t xml:space="preserve"> </w:t>
      </w:r>
      <w:hyperlink r:id="rId6" w:history="1">
        <w:r w:rsidRPr="007C1919">
          <w:rPr>
            <w:rStyle w:val="Hyperlink"/>
            <w:sz w:val="16"/>
            <w:szCs w:val="16"/>
          </w:rPr>
          <w:t>https://mccaa.org.mt/media/5782/safety-gate-notifications-hand-disinfectants.pdf</w:t>
        </w:r>
      </w:hyperlink>
    </w:p>
  </w:footnote>
  <w:footnote w:id="7">
    <w:p w14:paraId="14B34B6D" w14:textId="2896A264" w:rsidR="00C204C9" w:rsidRPr="007C1919" w:rsidRDefault="00C204C9" w:rsidP="00990032">
      <w:pPr>
        <w:pStyle w:val="FootnoteText"/>
        <w:rPr>
          <w:sz w:val="16"/>
          <w:szCs w:val="16"/>
        </w:rPr>
      </w:pPr>
      <w:r w:rsidRPr="007C1919">
        <w:rPr>
          <w:rStyle w:val="FootnoteReference"/>
          <w:sz w:val="16"/>
          <w:szCs w:val="16"/>
        </w:rPr>
        <w:footnoteRef/>
      </w:r>
      <w:r w:rsidRPr="007C1919">
        <w:rPr>
          <w:sz w:val="16"/>
          <w:szCs w:val="16"/>
        </w:rPr>
        <w:t xml:space="preserve"> </w:t>
      </w:r>
      <w:hyperlink r:id="rId7" w:history="1">
        <w:r w:rsidRPr="007C1919">
          <w:rPr>
            <w:rStyle w:val="Hyperlink"/>
            <w:sz w:val="16"/>
            <w:szCs w:val="16"/>
          </w:rPr>
          <w:t>https://www.legislation.gov.au/Series/F2020L00340</w:t>
        </w:r>
      </w:hyperlink>
    </w:p>
  </w:footnote>
  <w:footnote w:id="8">
    <w:p w14:paraId="5D4F07AE" w14:textId="77777777" w:rsidR="00C204C9" w:rsidRPr="007C1919" w:rsidRDefault="00C204C9" w:rsidP="00B171EF">
      <w:pPr>
        <w:pStyle w:val="FootnoteText"/>
        <w:rPr>
          <w:sz w:val="16"/>
          <w:szCs w:val="16"/>
        </w:rPr>
      </w:pPr>
      <w:r w:rsidRPr="007C1919">
        <w:rPr>
          <w:rStyle w:val="FootnoteReference"/>
          <w:sz w:val="16"/>
          <w:szCs w:val="16"/>
        </w:rPr>
        <w:footnoteRef/>
      </w:r>
      <w:hyperlink r:id="rId8" w:history="1">
        <w:r w:rsidRPr="007C1919">
          <w:rPr>
            <w:rStyle w:val="Hyperlink"/>
            <w:sz w:val="16"/>
            <w:szCs w:val="16"/>
          </w:rPr>
          <w:t>https://www.tga.gov.au/database-adverse-event-notifications-daen</w:t>
        </w:r>
      </w:hyperlink>
      <w:r w:rsidRPr="007C1919">
        <w:rPr>
          <w:sz w:val="16"/>
          <w:szCs w:val="16"/>
        </w:rPr>
        <w:t xml:space="preserve"> </w:t>
      </w:r>
    </w:p>
  </w:footnote>
  <w:footnote w:id="9">
    <w:p w14:paraId="2B45C61E" w14:textId="499D62E7" w:rsidR="00C204C9" w:rsidRPr="007C1919" w:rsidRDefault="00C204C9" w:rsidP="00650927">
      <w:pPr>
        <w:pStyle w:val="FootnoteText"/>
        <w:rPr>
          <w:sz w:val="16"/>
          <w:szCs w:val="16"/>
        </w:rPr>
      </w:pPr>
      <w:r w:rsidRPr="007C1919">
        <w:rPr>
          <w:rStyle w:val="FootnoteReference"/>
          <w:sz w:val="16"/>
          <w:szCs w:val="16"/>
        </w:rPr>
        <w:footnoteRef/>
      </w:r>
      <w:r w:rsidRPr="007C1919">
        <w:rPr>
          <w:sz w:val="16"/>
          <w:szCs w:val="16"/>
        </w:rPr>
        <w:t xml:space="preserve"> </w:t>
      </w:r>
      <w:hyperlink r:id="rId9" w:history="1">
        <w:r w:rsidRPr="007C1919">
          <w:rPr>
            <w:rStyle w:val="Hyperlink"/>
            <w:sz w:val="16"/>
            <w:szCs w:val="16"/>
          </w:rPr>
          <w:t>https://www.legislation.gov.au/Details/F2016L01523</w:t>
        </w:r>
      </w:hyperlink>
    </w:p>
  </w:footnote>
  <w:footnote w:id="10">
    <w:p w14:paraId="7D2DCC6B" w14:textId="23AD4784" w:rsidR="00C204C9" w:rsidRDefault="00C204C9" w:rsidP="00E73B47">
      <w:pPr>
        <w:pStyle w:val="FootnoteText"/>
      </w:pPr>
      <w:r w:rsidRPr="007C1919">
        <w:rPr>
          <w:rStyle w:val="FootnoteReference"/>
          <w:sz w:val="16"/>
          <w:szCs w:val="16"/>
        </w:rPr>
        <w:footnoteRef/>
      </w:r>
      <w:r w:rsidRPr="007C1919">
        <w:rPr>
          <w:sz w:val="16"/>
          <w:szCs w:val="16"/>
        </w:rPr>
        <w:t xml:space="preserve"> </w:t>
      </w:r>
      <w:hyperlink r:id="rId10" w:history="1">
        <w:r w:rsidRPr="007C1919">
          <w:rPr>
            <w:rStyle w:val="Hyperlink"/>
            <w:sz w:val="16"/>
            <w:szCs w:val="16"/>
          </w:rPr>
          <w:t>https://www.legislation.gov.au/Series/F2020L01469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BC3B1" w14:textId="77777777" w:rsidR="00C204C9" w:rsidRPr="00920FF4" w:rsidRDefault="00C204C9"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36B8D" w14:textId="77777777" w:rsidR="00C204C9" w:rsidRPr="00E32326" w:rsidRDefault="00C204C9" w:rsidP="00F202AB">
    <w:r w:rsidRPr="00F3255D">
      <w:rPr>
        <w:noProof/>
        <w:lang w:eastAsia="en-AU"/>
      </w:rPr>
      <w:drawing>
        <wp:anchor distT="0" distB="0" distL="114300" distR="114300" simplePos="0" relativeHeight="251659264" behindDoc="0" locked="0" layoutInCell="1" allowOverlap="1" wp14:anchorId="0A765D9D" wp14:editId="79F2036F">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C204C9" w:rsidRPr="00FF7B50" w14:paraId="2738DE9F" w14:textId="77777777" w:rsidTr="00453E6A">
      <w:trPr>
        <w:trHeight w:hRule="exact" w:val="8845"/>
      </w:trPr>
      <w:tc>
        <w:tcPr>
          <w:tcW w:w="11964" w:type="dxa"/>
        </w:tcPr>
        <w:p w14:paraId="31F1E05B" w14:textId="77777777" w:rsidR="00C204C9" w:rsidRPr="00FF7B50" w:rsidRDefault="00B12DEA" w:rsidP="00AE0320">
          <w:pPr>
            <w:pStyle w:val="Header"/>
            <w:ind w:left="-57"/>
            <w:jc w:val="left"/>
            <w:rPr>
              <w:noProof/>
              <w:lang w:eastAsia="en-AU"/>
            </w:rPr>
          </w:pPr>
          <w:sdt>
            <w:sdtPr>
              <w:rPr>
                <w:noProof/>
                <w:lang w:eastAsia="en-AU"/>
              </w:rPr>
              <w:id w:val="3702145"/>
              <w:showingPlcHdr/>
              <w:picture/>
            </w:sdtPr>
            <w:sdtEndPr/>
            <w:sdtContent>
              <w:r w:rsidR="00C204C9" w:rsidRPr="00FF7B50">
                <w:rPr>
                  <w:noProof/>
                  <w:lang w:eastAsia="en-AU"/>
                </w:rPr>
                <w:drawing>
                  <wp:inline distT="0" distB="0" distL="0" distR="0" wp14:anchorId="547AAA64" wp14:editId="00E79BEB">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4BC15240" w14:textId="77777777" w:rsidR="00C204C9" w:rsidRPr="00E32326" w:rsidRDefault="00C204C9" w:rsidP="00F202AB">
    <w:r>
      <w:rPr>
        <w:noProof/>
        <w:lang w:eastAsia="en-AU"/>
      </w:rPr>
      <w:drawing>
        <wp:anchor distT="0" distB="0" distL="114300" distR="114300" simplePos="0" relativeHeight="251657216" behindDoc="0" locked="0" layoutInCell="0" allowOverlap="1" wp14:anchorId="505534D3" wp14:editId="6FD8742B">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C1C8E" w14:textId="77777777" w:rsidR="00C204C9" w:rsidRPr="009401F6" w:rsidRDefault="00C204C9" w:rsidP="0047772E"/>
  <w:p w14:paraId="28504B54" w14:textId="77777777" w:rsidR="00C204C9" w:rsidRPr="002B0C2E" w:rsidRDefault="00C204C9"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7083F"/>
    <w:multiLevelType w:val="hybridMultilevel"/>
    <w:tmpl w:val="09322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1D3B"/>
    <w:multiLevelType w:val="multilevel"/>
    <w:tmpl w:val="6A68AFD0"/>
    <w:lvl w:ilvl="0">
      <w:start w:val="1"/>
      <w:numFmt w:val="decimal"/>
      <w:pStyle w:val="Heading2"/>
      <w:lvlText w:val="%1."/>
      <w:lvlJc w:val="left"/>
      <w:pPr>
        <w:ind w:left="720" w:hanging="360"/>
      </w:pPr>
      <w:rPr>
        <w:i w:val="0"/>
      </w:rPr>
    </w:lvl>
    <w:lvl w:ilvl="1">
      <w:start w:val="1"/>
      <w:numFmt w:val="decimal"/>
      <w:pStyle w:val="Heading3"/>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053F11"/>
    <w:multiLevelType w:val="multilevel"/>
    <w:tmpl w:val="34564E88"/>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2D35EB3"/>
    <w:multiLevelType w:val="hybridMultilevel"/>
    <w:tmpl w:val="7EDEA9F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ABD74D0"/>
    <w:multiLevelType w:val="hybridMultilevel"/>
    <w:tmpl w:val="78ACC722"/>
    <w:lvl w:ilvl="0" w:tplc="E4368A8A">
      <w:start w:val="1"/>
      <w:numFmt w:val="lowerRoman"/>
      <w:pStyle w:val="ListBulleti"/>
      <w:lvlText w:val="%1)"/>
      <w:lvlJc w:val="left"/>
      <w:pPr>
        <w:ind w:left="1800" w:hanging="360"/>
      </w:pPr>
      <w:rPr>
        <w:rFonts w:hint="default"/>
        <w:color w:val="00B05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2E924211"/>
    <w:multiLevelType w:val="hybridMultilevel"/>
    <w:tmpl w:val="3F2CE8A0"/>
    <w:lvl w:ilvl="0" w:tplc="01AEB35A">
      <w:start w:val="1"/>
      <w:numFmt w:val="lowerLetter"/>
      <w:pStyle w:val="ListBulleta"/>
      <w:lvlText w:val="%1)"/>
      <w:lvlJc w:val="left"/>
      <w:pPr>
        <w:ind w:left="1146" w:hanging="360"/>
      </w:pPr>
      <w:rPr>
        <w:color w:val="00B050"/>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7"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394F4E38"/>
    <w:multiLevelType w:val="hybridMultilevel"/>
    <w:tmpl w:val="F15AC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133EBB"/>
    <w:multiLevelType w:val="hybridMultilevel"/>
    <w:tmpl w:val="131C581A"/>
    <w:lvl w:ilvl="0" w:tplc="47168314">
      <w:start w:val="1"/>
      <w:numFmt w:val="lowerLetter"/>
      <w:lvlText w:val="%1)"/>
      <w:lvlJc w:val="left"/>
      <w:pPr>
        <w:ind w:left="1420" w:hanging="360"/>
      </w:pPr>
      <w:rPr>
        <w:rFonts w:ascii="Cambria" w:hAnsi="Cambria" w:cs="Calibri" w:hint="default"/>
        <w:b w:val="0"/>
        <w:i w:val="0"/>
        <w:sz w:val="22"/>
        <w:szCs w:val="22"/>
      </w:rPr>
    </w:lvl>
    <w:lvl w:ilvl="1" w:tplc="0C090019">
      <w:start w:val="1"/>
      <w:numFmt w:val="lowerLetter"/>
      <w:lvlText w:val="%2."/>
      <w:lvlJc w:val="left"/>
      <w:pPr>
        <w:ind w:left="2140" w:hanging="360"/>
      </w:pPr>
    </w:lvl>
    <w:lvl w:ilvl="2" w:tplc="0C09001B">
      <w:start w:val="1"/>
      <w:numFmt w:val="lowerRoman"/>
      <w:lvlText w:val="%3."/>
      <w:lvlJc w:val="right"/>
      <w:pPr>
        <w:ind w:left="2860" w:hanging="180"/>
      </w:pPr>
    </w:lvl>
    <w:lvl w:ilvl="3" w:tplc="0C09000F" w:tentative="1">
      <w:start w:val="1"/>
      <w:numFmt w:val="decimal"/>
      <w:lvlText w:val="%4."/>
      <w:lvlJc w:val="left"/>
      <w:pPr>
        <w:ind w:left="3580" w:hanging="360"/>
      </w:pPr>
    </w:lvl>
    <w:lvl w:ilvl="4" w:tplc="0C090019" w:tentative="1">
      <w:start w:val="1"/>
      <w:numFmt w:val="lowerLetter"/>
      <w:lvlText w:val="%5."/>
      <w:lvlJc w:val="left"/>
      <w:pPr>
        <w:ind w:left="4300" w:hanging="360"/>
      </w:pPr>
    </w:lvl>
    <w:lvl w:ilvl="5" w:tplc="0C09001B" w:tentative="1">
      <w:start w:val="1"/>
      <w:numFmt w:val="lowerRoman"/>
      <w:lvlText w:val="%6."/>
      <w:lvlJc w:val="right"/>
      <w:pPr>
        <w:ind w:left="5020" w:hanging="180"/>
      </w:pPr>
    </w:lvl>
    <w:lvl w:ilvl="6" w:tplc="0C09000F" w:tentative="1">
      <w:start w:val="1"/>
      <w:numFmt w:val="decimal"/>
      <w:lvlText w:val="%7."/>
      <w:lvlJc w:val="left"/>
      <w:pPr>
        <w:ind w:left="5740" w:hanging="360"/>
      </w:pPr>
    </w:lvl>
    <w:lvl w:ilvl="7" w:tplc="0C090019" w:tentative="1">
      <w:start w:val="1"/>
      <w:numFmt w:val="lowerLetter"/>
      <w:lvlText w:val="%8."/>
      <w:lvlJc w:val="left"/>
      <w:pPr>
        <w:ind w:left="6460" w:hanging="360"/>
      </w:pPr>
    </w:lvl>
    <w:lvl w:ilvl="8" w:tplc="0C09001B" w:tentative="1">
      <w:start w:val="1"/>
      <w:numFmt w:val="lowerRoman"/>
      <w:lvlText w:val="%9."/>
      <w:lvlJc w:val="right"/>
      <w:pPr>
        <w:ind w:left="7180" w:hanging="180"/>
      </w:pPr>
    </w:lvl>
  </w:abstractNum>
  <w:abstractNum w:abstractNumId="10" w15:restartNumberingAfterBreak="0">
    <w:nsid w:val="4E351D8D"/>
    <w:multiLevelType w:val="hybridMultilevel"/>
    <w:tmpl w:val="D0AE63A4"/>
    <w:lvl w:ilvl="0" w:tplc="0A2CBBC2">
      <w:start w:val="1"/>
      <w:numFmt w:val="lowerLetter"/>
      <w:pStyle w:val="Numberbullet2"/>
      <w:lvlText w:val="%1)"/>
      <w:lvlJc w:val="left"/>
      <w:pPr>
        <w:ind w:left="1505" w:hanging="360"/>
      </w:pPr>
      <w:rPr>
        <w:rFonts w:hint="default"/>
        <w:i/>
      </w:r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11" w15:restartNumberingAfterBreak="0">
    <w:nsid w:val="66D830A1"/>
    <w:multiLevelType w:val="hybridMultilevel"/>
    <w:tmpl w:val="D75A1A66"/>
    <w:lvl w:ilvl="0" w:tplc="B4E09CA4">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705F4C1A"/>
    <w:multiLevelType w:val="hybridMultilevel"/>
    <w:tmpl w:val="7C8EE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
  </w:num>
  <w:num w:numId="3">
    <w:abstractNumId w:val="4"/>
  </w:num>
  <w:num w:numId="4">
    <w:abstractNumId w:val="2"/>
  </w:num>
  <w:num w:numId="5">
    <w:abstractNumId w:val="7"/>
  </w:num>
  <w:num w:numId="6">
    <w:abstractNumId w:val="13"/>
  </w:num>
  <w:num w:numId="7">
    <w:abstractNumId w:val="1"/>
  </w:num>
  <w:num w:numId="8">
    <w:abstractNumId w:val="10"/>
  </w:num>
  <w:num w:numId="9">
    <w:abstractNumId w:val="9"/>
    <w:lvlOverride w:ilvl="0">
      <w:startOverride w:val="1"/>
    </w:lvlOverride>
  </w:num>
  <w:num w:numId="10">
    <w:abstractNumId w:val="6"/>
  </w:num>
  <w:num w:numId="11">
    <w:abstractNumId w:val="4"/>
    <w:lvlOverride w:ilvl="1">
      <w:lvl w:ilvl="1">
        <w:start w:val="1"/>
        <w:numFmt w:val="bullet"/>
        <w:pStyle w:val="ListBullet2"/>
        <w:lvlText w:val="–"/>
        <w:lvlJc w:val="left"/>
        <w:pPr>
          <w:ind w:left="720" w:hanging="360"/>
        </w:pPr>
        <w:rPr>
          <w:rFonts w:ascii="Arial" w:hAnsi="Arial" w:hint="default"/>
          <w:color w:val="auto"/>
        </w:rPr>
      </w:lvl>
    </w:lvlOverride>
  </w:num>
  <w:num w:numId="12">
    <w:abstractNumId w:val="6"/>
    <w:lvlOverride w:ilvl="0">
      <w:startOverride w:val="1"/>
    </w:lvlOverride>
  </w:num>
  <w:num w:numId="13">
    <w:abstractNumId w:val="9"/>
    <w:lvlOverride w:ilvl="0">
      <w:startOverride w:val="1"/>
    </w:lvlOverride>
  </w:num>
  <w:num w:numId="14">
    <w:abstractNumId w:val="5"/>
  </w:num>
  <w:num w:numId="15">
    <w:abstractNumId w:val="5"/>
    <w:lvlOverride w:ilvl="0">
      <w:startOverride w:val="1"/>
    </w:lvlOverride>
  </w:num>
  <w:num w:numId="16">
    <w:abstractNumId w:val="0"/>
  </w:num>
  <w:num w:numId="17">
    <w:abstractNumId w:val="6"/>
    <w:lvlOverride w:ilvl="0">
      <w:startOverride w:val="1"/>
    </w:lvlOverride>
  </w:num>
  <w:num w:numId="18">
    <w:abstractNumId w:val="6"/>
    <w:lvlOverride w:ilvl="0">
      <w:startOverride w:val="1"/>
    </w:lvlOverride>
  </w:num>
  <w:num w:numId="19">
    <w:abstractNumId w:val="4"/>
    <w:lvlOverride w:ilvl="0">
      <w:lvl w:ilvl="0">
        <w:start w:val="4"/>
        <w:numFmt w:val="bullet"/>
        <w:pStyle w:val="ListBullet"/>
        <w:lvlText w:val="•"/>
        <w:lvlJc w:val="left"/>
        <w:pPr>
          <w:ind w:left="360" w:hanging="360"/>
        </w:pPr>
        <w:rPr>
          <w:rFonts w:ascii="Arial" w:eastAsia="Cambria" w:hAnsi="Arial" w:hint="default"/>
          <w:color w:val="auto"/>
        </w:rPr>
      </w:lvl>
    </w:lvlOverride>
  </w:num>
  <w:num w:numId="20">
    <w:abstractNumId w:val="4"/>
    <w:lvlOverride w:ilvl="0">
      <w:lvl w:ilvl="0">
        <w:start w:val="4"/>
        <w:numFmt w:val="bullet"/>
        <w:pStyle w:val="ListBullet"/>
        <w:lvlText w:val="•"/>
        <w:lvlJc w:val="left"/>
        <w:pPr>
          <w:ind w:left="360" w:hanging="360"/>
        </w:pPr>
        <w:rPr>
          <w:rFonts w:ascii="Arial" w:eastAsia="Cambria" w:hAnsi="Arial" w:hint="default"/>
          <w:color w:val="auto"/>
        </w:rPr>
      </w:lvl>
    </w:lvlOverride>
    <w:lvlOverride w:ilvl="1">
      <w:lvl w:ilvl="1">
        <w:start w:val="1"/>
        <w:numFmt w:val="bullet"/>
        <w:pStyle w:val="ListBullet2"/>
        <w:lvlText w:val="–"/>
        <w:lvlJc w:val="left"/>
        <w:pPr>
          <w:ind w:left="720" w:hanging="360"/>
        </w:pPr>
        <w:rPr>
          <w:rFonts w:ascii="Arial" w:hAnsi="Arial"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1">
    <w:abstractNumId w:val="6"/>
    <w:lvlOverride w:ilvl="0">
      <w:startOverride w:val="1"/>
    </w:lvlOverride>
  </w:num>
  <w:num w:numId="22">
    <w:abstractNumId w:val="6"/>
    <w:lvlOverride w:ilvl="0">
      <w:startOverride w:val="1"/>
    </w:lvlOverride>
  </w:num>
  <w:num w:numId="23">
    <w:abstractNumId w:val="5"/>
    <w:lvlOverride w:ilvl="0">
      <w:startOverride w:val="1"/>
    </w:lvlOverride>
  </w:num>
  <w:num w:numId="24">
    <w:abstractNumId w:val="11"/>
  </w:num>
  <w:num w:numId="25">
    <w:abstractNumId w:val="6"/>
    <w:lvlOverride w:ilvl="0">
      <w:startOverride w:val="1"/>
    </w:lvlOverride>
  </w:num>
  <w:num w:numId="26">
    <w:abstractNumId w:val="8"/>
  </w:num>
  <w:num w:numId="27">
    <w:abstractNumId w:val="12"/>
  </w:num>
  <w:num w:numId="28">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num>
  <w:num w:numId="31">
    <w:abstractNumId w:val="6"/>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113"/>
    <w:rsid w:val="00002031"/>
    <w:rsid w:val="00004734"/>
    <w:rsid w:val="000050B5"/>
    <w:rsid w:val="00006B22"/>
    <w:rsid w:val="0001276A"/>
    <w:rsid w:val="00020C5C"/>
    <w:rsid w:val="000246AE"/>
    <w:rsid w:val="00025C67"/>
    <w:rsid w:val="00026A4F"/>
    <w:rsid w:val="00032FF2"/>
    <w:rsid w:val="0003306D"/>
    <w:rsid w:val="000407BB"/>
    <w:rsid w:val="00041A14"/>
    <w:rsid w:val="00052C58"/>
    <w:rsid w:val="00055129"/>
    <w:rsid w:val="000554B4"/>
    <w:rsid w:val="0005559E"/>
    <w:rsid w:val="00061E51"/>
    <w:rsid w:val="00061F6A"/>
    <w:rsid w:val="00063028"/>
    <w:rsid w:val="00076E90"/>
    <w:rsid w:val="00077775"/>
    <w:rsid w:val="00090471"/>
    <w:rsid w:val="000904AB"/>
    <w:rsid w:val="000958DF"/>
    <w:rsid w:val="0009604B"/>
    <w:rsid w:val="000A0965"/>
    <w:rsid w:val="000B0A5D"/>
    <w:rsid w:val="000B3532"/>
    <w:rsid w:val="000B3A75"/>
    <w:rsid w:val="000B7084"/>
    <w:rsid w:val="000C1C08"/>
    <w:rsid w:val="000C35B0"/>
    <w:rsid w:val="000C5A31"/>
    <w:rsid w:val="000D391B"/>
    <w:rsid w:val="000D3AD6"/>
    <w:rsid w:val="000D3D6D"/>
    <w:rsid w:val="000D4FC7"/>
    <w:rsid w:val="000E0DF4"/>
    <w:rsid w:val="000F4869"/>
    <w:rsid w:val="000F5B42"/>
    <w:rsid w:val="000F6E6F"/>
    <w:rsid w:val="001003F2"/>
    <w:rsid w:val="00101694"/>
    <w:rsid w:val="00105FC4"/>
    <w:rsid w:val="0010601F"/>
    <w:rsid w:val="00107378"/>
    <w:rsid w:val="00110EA5"/>
    <w:rsid w:val="001119DF"/>
    <w:rsid w:val="00115240"/>
    <w:rsid w:val="00125091"/>
    <w:rsid w:val="00125318"/>
    <w:rsid w:val="001305A2"/>
    <w:rsid w:val="001314E9"/>
    <w:rsid w:val="00132084"/>
    <w:rsid w:val="00132294"/>
    <w:rsid w:val="00133238"/>
    <w:rsid w:val="00140FE3"/>
    <w:rsid w:val="0014197B"/>
    <w:rsid w:val="001447CD"/>
    <w:rsid w:val="001516B1"/>
    <w:rsid w:val="001525B4"/>
    <w:rsid w:val="00154207"/>
    <w:rsid w:val="00154C27"/>
    <w:rsid w:val="00156316"/>
    <w:rsid w:val="00160006"/>
    <w:rsid w:val="00163196"/>
    <w:rsid w:val="00165389"/>
    <w:rsid w:val="00170B7E"/>
    <w:rsid w:val="00170CED"/>
    <w:rsid w:val="0017106E"/>
    <w:rsid w:val="0017141E"/>
    <w:rsid w:val="0017693F"/>
    <w:rsid w:val="0018110E"/>
    <w:rsid w:val="00181684"/>
    <w:rsid w:val="001843C6"/>
    <w:rsid w:val="001850E0"/>
    <w:rsid w:val="00185524"/>
    <w:rsid w:val="0018693C"/>
    <w:rsid w:val="0019255A"/>
    <w:rsid w:val="001A525F"/>
    <w:rsid w:val="001A69AB"/>
    <w:rsid w:val="001B09F9"/>
    <w:rsid w:val="001B6448"/>
    <w:rsid w:val="001C1E0E"/>
    <w:rsid w:val="001D389B"/>
    <w:rsid w:val="001D480A"/>
    <w:rsid w:val="001D6386"/>
    <w:rsid w:val="001E0113"/>
    <w:rsid w:val="001E07CF"/>
    <w:rsid w:val="001E59F1"/>
    <w:rsid w:val="001F49EB"/>
    <w:rsid w:val="001F6CBA"/>
    <w:rsid w:val="001F78B9"/>
    <w:rsid w:val="00201D4E"/>
    <w:rsid w:val="00204F19"/>
    <w:rsid w:val="00207515"/>
    <w:rsid w:val="0021081E"/>
    <w:rsid w:val="00211C7B"/>
    <w:rsid w:val="0021279F"/>
    <w:rsid w:val="00220B8A"/>
    <w:rsid w:val="002232C2"/>
    <w:rsid w:val="002238E6"/>
    <w:rsid w:val="002257F3"/>
    <w:rsid w:val="002302EC"/>
    <w:rsid w:val="002303B0"/>
    <w:rsid w:val="002314E8"/>
    <w:rsid w:val="0023227D"/>
    <w:rsid w:val="00233456"/>
    <w:rsid w:val="0023397F"/>
    <w:rsid w:val="002339A5"/>
    <w:rsid w:val="002368DB"/>
    <w:rsid w:val="0024144B"/>
    <w:rsid w:val="0024480F"/>
    <w:rsid w:val="002452E7"/>
    <w:rsid w:val="00245F98"/>
    <w:rsid w:val="00246194"/>
    <w:rsid w:val="00247A61"/>
    <w:rsid w:val="002538AE"/>
    <w:rsid w:val="00253950"/>
    <w:rsid w:val="002541E7"/>
    <w:rsid w:val="00257138"/>
    <w:rsid w:val="00257848"/>
    <w:rsid w:val="00264B59"/>
    <w:rsid w:val="002650A0"/>
    <w:rsid w:val="00265E1C"/>
    <w:rsid w:val="0027084A"/>
    <w:rsid w:val="00271109"/>
    <w:rsid w:val="0027497D"/>
    <w:rsid w:val="0027750A"/>
    <w:rsid w:val="00277803"/>
    <w:rsid w:val="00277EF5"/>
    <w:rsid w:val="0028114E"/>
    <w:rsid w:val="00286434"/>
    <w:rsid w:val="00286C59"/>
    <w:rsid w:val="002942D1"/>
    <w:rsid w:val="00295DEF"/>
    <w:rsid w:val="002A0556"/>
    <w:rsid w:val="002A59F0"/>
    <w:rsid w:val="002B0C2E"/>
    <w:rsid w:val="002B1638"/>
    <w:rsid w:val="002B6177"/>
    <w:rsid w:val="002B706C"/>
    <w:rsid w:val="002C195A"/>
    <w:rsid w:val="002C1D7D"/>
    <w:rsid w:val="002C2511"/>
    <w:rsid w:val="002C2ADB"/>
    <w:rsid w:val="002D1EDF"/>
    <w:rsid w:val="002E4C9A"/>
    <w:rsid w:val="002F11F8"/>
    <w:rsid w:val="002F286F"/>
    <w:rsid w:val="002F3F56"/>
    <w:rsid w:val="002F44B5"/>
    <w:rsid w:val="002F4684"/>
    <w:rsid w:val="002F4FCF"/>
    <w:rsid w:val="00311AC0"/>
    <w:rsid w:val="003202D2"/>
    <w:rsid w:val="003204DD"/>
    <w:rsid w:val="00331DBB"/>
    <w:rsid w:val="00332680"/>
    <w:rsid w:val="00341FF0"/>
    <w:rsid w:val="003438CD"/>
    <w:rsid w:val="00344464"/>
    <w:rsid w:val="00351BA0"/>
    <w:rsid w:val="003521E8"/>
    <w:rsid w:val="0035586F"/>
    <w:rsid w:val="00365414"/>
    <w:rsid w:val="00365DDD"/>
    <w:rsid w:val="003664BF"/>
    <w:rsid w:val="00370B41"/>
    <w:rsid w:val="00371400"/>
    <w:rsid w:val="003728F3"/>
    <w:rsid w:val="00390900"/>
    <w:rsid w:val="00392E85"/>
    <w:rsid w:val="003A13F0"/>
    <w:rsid w:val="003A35BD"/>
    <w:rsid w:val="003B00C5"/>
    <w:rsid w:val="003B0907"/>
    <w:rsid w:val="003B443E"/>
    <w:rsid w:val="003B48CD"/>
    <w:rsid w:val="003B7E39"/>
    <w:rsid w:val="003C30DC"/>
    <w:rsid w:val="003C55AD"/>
    <w:rsid w:val="003C58DC"/>
    <w:rsid w:val="003C5C8E"/>
    <w:rsid w:val="003C7461"/>
    <w:rsid w:val="003D0CD9"/>
    <w:rsid w:val="003D32D5"/>
    <w:rsid w:val="003D7561"/>
    <w:rsid w:val="003E2AB6"/>
    <w:rsid w:val="003E2CAF"/>
    <w:rsid w:val="003E3208"/>
    <w:rsid w:val="003E3D34"/>
    <w:rsid w:val="003E7EAA"/>
    <w:rsid w:val="003F0B04"/>
    <w:rsid w:val="003F6F7D"/>
    <w:rsid w:val="0040134E"/>
    <w:rsid w:val="00410839"/>
    <w:rsid w:val="0041452B"/>
    <w:rsid w:val="00414D68"/>
    <w:rsid w:val="004169A8"/>
    <w:rsid w:val="00432B0B"/>
    <w:rsid w:val="00440A2D"/>
    <w:rsid w:val="004414E4"/>
    <w:rsid w:val="004453D3"/>
    <w:rsid w:val="00453E6A"/>
    <w:rsid w:val="00455A6F"/>
    <w:rsid w:val="004564A7"/>
    <w:rsid w:val="004617BF"/>
    <w:rsid w:val="004634F1"/>
    <w:rsid w:val="00465E90"/>
    <w:rsid w:val="0047772E"/>
    <w:rsid w:val="00477BB1"/>
    <w:rsid w:val="00487E44"/>
    <w:rsid w:val="004923FF"/>
    <w:rsid w:val="00494E60"/>
    <w:rsid w:val="00496BAC"/>
    <w:rsid w:val="00497410"/>
    <w:rsid w:val="004A5195"/>
    <w:rsid w:val="004A7E67"/>
    <w:rsid w:val="004B1687"/>
    <w:rsid w:val="004B2032"/>
    <w:rsid w:val="004B4CB5"/>
    <w:rsid w:val="004B5A6B"/>
    <w:rsid w:val="004B7B76"/>
    <w:rsid w:val="004C0070"/>
    <w:rsid w:val="004C2E29"/>
    <w:rsid w:val="004D3B35"/>
    <w:rsid w:val="004D51A6"/>
    <w:rsid w:val="004F0F38"/>
    <w:rsid w:val="004F1A46"/>
    <w:rsid w:val="004F216A"/>
    <w:rsid w:val="004F4D12"/>
    <w:rsid w:val="004F6239"/>
    <w:rsid w:val="00501921"/>
    <w:rsid w:val="00511904"/>
    <w:rsid w:val="00515128"/>
    <w:rsid w:val="00516D22"/>
    <w:rsid w:val="00522A0C"/>
    <w:rsid w:val="005234E9"/>
    <w:rsid w:val="005256B8"/>
    <w:rsid w:val="00530354"/>
    <w:rsid w:val="00531B11"/>
    <w:rsid w:val="005360D4"/>
    <w:rsid w:val="005427C7"/>
    <w:rsid w:val="005434C6"/>
    <w:rsid w:val="00543B39"/>
    <w:rsid w:val="0054583D"/>
    <w:rsid w:val="005477E7"/>
    <w:rsid w:val="00550096"/>
    <w:rsid w:val="0055532D"/>
    <w:rsid w:val="00556406"/>
    <w:rsid w:val="00557FF9"/>
    <w:rsid w:val="005728AC"/>
    <w:rsid w:val="00576378"/>
    <w:rsid w:val="00577279"/>
    <w:rsid w:val="00577E38"/>
    <w:rsid w:val="00584E11"/>
    <w:rsid w:val="00585322"/>
    <w:rsid w:val="00585D0F"/>
    <w:rsid w:val="00593AD1"/>
    <w:rsid w:val="00594D03"/>
    <w:rsid w:val="00597516"/>
    <w:rsid w:val="00597877"/>
    <w:rsid w:val="005A1131"/>
    <w:rsid w:val="005A1E2D"/>
    <w:rsid w:val="005A61CE"/>
    <w:rsid w:val="005C2393"/>
    <w:rsid w:val="005C3994"/>
    <w:rsid w:val="005C5570"/>
    <w:rsid w:val="005C79A4"/>
    <w:rsid w:val="005D4EA1"/>
    <w:rsid w:val="005D5442"/>
    <w:rsid w:val="005E4166"/>
    <w:rsid w:val="005E6592"/>
    <w:rsid w:val="00606BC1"/>
    <w:rsid w:val="00611B57"/>
    <w:rsid w:val="00611BC0"/>
    <w:rsid w:val="00613ECE"/>
    <w:rsid w:val="00617EAC"/>
    <w:rsid w:val="006239CD"/>
    <w:rsid w:val="006367DA"/>
    <w:rsid w:val="006367ED"/>
    <w:rsid w:val="00640190"/>
    <w:rsid w:val="006405A9"/>
    <w:rsid w:val="00640FC3"/>
    <w:rsid w:val="00642020"/>
    <w:rsid w:val="006501A1"/>
    <w:rsid w:val="00650927"/>
    <w:rsid w:val="00651C87"/>
    <w:rsid w:val="0065337B"/>
    <w:rsid w:val="00653FBF"/>
    <w:rsid w:val="0065419D"/>
    <w:rsid w:val="00655570"/>
    <w:rsid w:val="006604D8"/>
    <w:rsid w:val="0066417E"/>
    <w:rsid w:val="00664A5B"/>
    <w:rsid w:val="00665F8C"/>
    <w:rsid w:val="00667942"/>
    <w:rsid w:val="00667B4F"/>
    <w:rsid w:val="00676703"/>
    <w:rsid w:val="00680C08"/>
    <w:rsid w:val="006827BD"/>
    <w:rsid w:val="00683517"/>
    <w:rsid w:val="006844FC"/>
    <w:rsid w:val="006852E2"/>
    <w:rsid w:val="0068741A"/>
    <w:rsid w:val="00691723"/>
    <w:rsid w:val="006928F0"/>
    <w:rsid w:val="006931B1"/>
    <w:rsid w:val="00693CDB"/>
    <w:rsid w:val="00696B6B"/>
    <w:rsid w:val="006A15C0"/>
    <w:rsid w:val="006B188D"/>
    <w:rsid w:val="006C1F3B"/>
    <w:rsid w:val="006C252C"/>
    <w:rsid w:val="006C3E2A"/>
    <w:rsid w:val="006C626D"/>
    <w:rsid w:val="006C642F"/>
    <w:rsid w:val="006C6EDB"/>
    <w:rsid w:val="006D039E"/>
    <w:rsid w:val="006D03E5"/>
    <w:rsid w:val="006D0C3B"/>
    <w:rsid w:val="006D418E"/>
    <w:rsid w:val="006D5D3E"/>
    <w:rsid w:val="006E08B3"/>
    <w:rsid w:val="006E50C2"/>
    <w:rsid w:val="006E5AB4"/>
    <w:rsid w:val="006F01F5"/>
    <w:rsid w:val="006F1F0C"/>
    <w:rsid w:val="006F572E"/>
    <w:rsid w:val="00701DF4"/>
    <w:rsid w:val="007046D6"/>
    <w:rsid w:val="00705DB0"/>
    <w:rsid w:val="00706AFE"/>
    <w:rsid w:val="00707AAB"/>
    <w:rsid w:val="007121BC"/>
    <w:rsid w:val="007140BD"/>
    <w:rsid w:val="00716CF7"/>
    <w:rsid w:val="00720CF9"/>
    <w:rsid w:val="00725A8B"/>
    <w:rsid w:val="00736049"/>
    <w:rsid w:val="0074066C"/>
    <w:rsid w:val="00742004"/>
    <w:rsid w:val="0074253D"/>
    <w:rsid w:val="00742F16"/>
    <w:rsid w:val="007439E2"/>
    <w:rsid w:val="0074429B"/>
    <w:rsid w:val="007477F8"/>
    <w:rsid w:val="007615BC"/>
    <w:rsid w:val="00762F05"/>
    <w:rsid w:val="00763336"/>
    <w:rsid w:val="00763A9D"/>
    <w:rsid w:val="00764EB9"/>
    <w:rsid w:val="007652FF"/>
    <w:rsid w:val="00766F39"/>
    <w:rsid w:val="00771329"/>
    <w:rsid w:val="00773EF7"/>
    <w:rsid w:val="00774E1D"/>
    <w:rsid w:val="00775788"/>
    <w:rsid w:val="0077675A"/>
    <w:rsid w:val="00780355"/>
    <w:rsid w:val="00785721"/>
    <w:rsid w:val="00785B46"/>
    <w:rsid w:val="00786FA8"/>
    <w:rsid w:val="00793A59"/>
    <w:rsid w:val="007A2162"/>
    <w:rsid w:val="007B302B"/>
    <w:rsid w:val="007B4123"/>
    <w:rsid w:val="007B43ED"/>
    <w:rsid w:val="007B4BF9"/>
    <w:rsid w:val="007C0F3D"/>
    <w:rsid w:val="007C1919"/>
    <w:rsid w:val="007C1AF7"/>
    <w:rsid w:val="007C7A6D"/>
    <w:rsid w:val="007C7B5B"/>
    <w:rsid w:val="007E2A67"/>
    <w:rsid w:val="007E7BF8"/>
    <w:rsid w:val="007F04D8"/>
    <w:rsid w:val="007F2FF0"/>
    <w:rsid w:val="00800210"/>
    <w:rsid w:val="00805E0F"/>
    <w:rsid w:val="00810598"/>
    <w:rsid w:val="00811166"/>
    <w:rsid w:val="00814492"/>
    <w:rsid w:val="00821776"/>
    <w:rsid w:val="00826007"/>
    <w:rsid w:val="008321F5"/>
    <w:rsid w:val="00832369"/>
    <w:rsid w:val="00834660"/>
    <w:rsid w:val="00834C8E"/>
    <w:rsid w:val="00836BC2"/>
    <w:rsid w:val="0084156C"/>
    <w:rsid w:val="0084580B"/>
    <w:rsid w:val="00845BCA"/>
    <w:rsid w:val="00853C8F"/>
    <w:rsid w:val="00854FBB"/>
    <w:rsid w:val="0085641B"/>
    <w:rsid w:val="00857136"/>
    <w:rsid w:val="008606EF"/>
    <w:rsid w:val="0086593D"/>
    <w:rsid w:val="00870B12"/>
    <w:rsid w:val="008752CE"/>
    <w:rsid w:val="008821AA"/>
    <w:rsid w:val="008855B8"/>
    <w:rsid w:val="00886A64"/>
    <w:rsid w:val="00887344"/>
    <w:rsid w:val="008932F3"/>
    <w:rsid w:val="00894209"/>
    <w:rsid w:val="00896018"/>
    <w:rsid w:val="008A07FF"/>
    <w:rsid w:val="008A0B3B"/>
    <w:rsid w:val="008A2B9D"/>
    <w:rsid w:val="008A41CD"/>
    <w:rsid w:val="008A5E0B"/>
    <w:rsid w:val="008A5E18"/>
    <w:rsid w:val="008A6D59"/>
    <w:rsid w:val="008B2D31"/>
    <w:rsid w:val="008B4B03"/>
    <w:rsid w:val="008B596F"/>
    <w:rsid w:val="008B7B8B"/>
    <w:rsid w:val="008C159F"/>
    <w:rsid w:val="008C1623"/>
    <w:rsid w:val="008C51A9"/>
    <w:rsid w:val="008C56D9"/>
    <w:rsid w:val="008D2B09"/>
    <w:rsid w:val="008D2E60"/>
    <w:rsid w:val="008D4740"/>
    <w:rsid w:val="008E7B83"/>
    <w:rsid w:val="008F1CCC"/>
    <w:rsid w:val="008F2967"/>
    <w:rsid w:val="008F3956"/>
    <w:rsid w:val="008F407A"/>
    <w:rsid w:val="0090354E"/>
    <w:rsid w:val="00904C37"/>
    <w:rsid w:val="00906D86"/>
    <w:rsid w:val="00907ACE"/>
    <w:rsid w:val="00920330"/>
    <w:rsid w:val="0092083B"/>
    <w:rsid w:val="00920FF4"/>
    <w:rsid w:val="009219D7"/>
    <w:rsid w:val="00922D53"/>
    <w:rsid w:val="00923B70"/>
    <w:rsid w:val="009248F4"/>
    <w:rsid w:val="00925DC5"/>
    <w:rsid w:val="0092600B"/>
    <w:rsid w:val="00930237"/>
    <w:rsid w:val="00934397"/>
    <w:rsid w:val="009401F6"/>
    <w:rsid w:val="00940F44"/>
    <w:rsid w:val="00941988"/>
    <w:rsid w:val="00945E67"/>
    <w:rsid w:val="00952562"/>
    <w:rsid w:val="00963433"/>
    <w:rsid w:val="00963C08"/>
    <w:rsid w:val="00966C65"/>
    <w:rsid w:val="00966C72"/>
    <w:rsid w:val="00987184"/>
    <w:rsid w:val="00990032"/>
    <w:rsid w:val="0099205A"/>
    <w:rsid w:val="00997420"/>
    <w:rsid w:val="009A09AA"/>
    <w:rsid w:val="009A1704"/>
    <w:rsid w:val="009A474D"/>
    <w:rsid w:val="009A4CED"/>
    <w:rsid w:val="009A63A2"/>
    <w:rsid w:val="009A6DAB"/>
    <w:rsid w:val="009B15F1"/>
    <w:rsid w:val="009B1D12"/>
    <w:rsid w:val="009B416B"/>
    <w:rsid w:val="009B533F"/>
    <w:rsid w:val="009C4BD5"/>
    <w:rsid w:val="009D2E04"/>
    <w:rsid w:val="009D7B77"/>
    <w:rsid w:val="009E0BB0"/>
    <w:rsid w:val="009E0C54"/>
    <w:rsid w:val="009E3FBB"/>
    <w:rsid w:val="009E71F4"/>
    <w:rsid w:val="009F018D"/>
    <w:rsid w:val="009F7D61"/>
    <w:rsid w:val="00A006F9"/>
    <w:rsid w:val="00A03BF3"/>
    <w:rsid w:val="00A04EF5"/>
    <w:rsid w:val="00A052B5"/>
    <w:rsid w:val="00A1235B"/>
    <w:rsid w:val="00A14DF7"/>
    <w:rsid w:val="00A23F3C"/>
    <w:rsid w:val="00A266AB"/>
    <w:rsid w:val="00A3246D"/>
    <w:rsid w:val="00A3654F"/>
    <w:rsid w:val="00A36FA7"/>
    <w:rsid w:val="00A40CB9"/>
    <w:rsid w:val="00A426F2"/>
    <w:rsid w:val="00A440E8"/>
    <w:rsid w:val="00A475B7"/>
    <w:rsid w:val="00A47AF7"/>
    <w:rsid w:val="00A47C3E"/>
    <w:rsid w:val="00A50226"/>
    <w:rsid w:val="00A539AC"/>
    <w:rsid w:val="00A55896"/>
    <w:rsid w:val="00A56488"/>
    <w:rsid w:val="00A56959"/>
    <w:rsid w:val="00A5730E"/>
    <w:rsid w:val="00A60BAD"/>
    <w:rsid w:val="00A61442"/>
    <w:rsid w:val="00A64387"/>
    <w:rsid w:val="00A64E79"/>
    <w:rsid w:val="00A70BB9"/>
    <w:rsid w:val="00A736F3"/>
    <w:rsid w:val="00A73A8D"/>
    <w:rsid w:val="00A745D7"/>
    <w:rsid w:val="00A8337B"/>
    <w:rsid w:val="00A84503"/>
    <w:rsid w:val="00A85B04"/>
    <w:rsid w:val="00A87334"/>
    <w:rsid w:val="00A96C7F"/>
    <w:rsid w:val="00AB6F47"/>
    <w:rsid w:val="00AC2B40"/>
    <w:rsid w:val="00AC2BB2"/>
    <w:rsid w:val="00AC2C3C"/>
    <w:rsid w:val="00AC3AD2"/>
    <w:rsid w:val="00AC3BD9"/>
    <w:rsid w:val="00AC62E7"/>
    <w:rsid w:val="00AC7EB0"/>
    <w:rsid w:val="00AE0320"/>
    <w:rsid w:val="00AE15C1"/>
    <w:rsid w:val="00AE65EB"/>
    <w:rsid w:val="00AF1D94"/>
    <w:rsid w:val="00AF60C5"/>
    <w:rsid w:val="00AF7612"/>
    <w:rsid w:val="00B0024F"/>
    <w:rsid w:val="00B009C6"/>
    <w:rsid w:val="00B010F1"/>
    <w:rsid w:val="00B01548"/>
    <w:rsid w:val="00B12DEA"/>
    <w:rsid w:val="00B171EF"/>
    <w:rsid w:val="00B17F66"/>
    <w:rsid w:val="00B21138"/>
    <w:rsid w:val="00B21D29"/>
    <w:rsid w:val="00B21FC5"/>
    <w:rsid w:val="00B21FEE"/>
    <w:rsid w:val="00B22D6F"/>
    <w:rsid w:val="00B25034"/>
    <w:rsid w:val="00B33863"/>
    <w:rsid w:val="00B37D17"/>
    <w:rsid w:val="00B40C62"/>
    <w:rsid w:val="00B4151F"/>
    <w:rsid w:val="00B4175E"/>
    <w:rsid w:val="00B510E1"/>
    <w:rsid w:val="00B516A7"/>
    <w:rsid w:val="00B54C25"/>
    <w:rsid w:val="00B600DA"/>
    <w:rsid w:val="00B64F68"/>
    <w:rsid w:val="00B76B91"/>
    <w:rsid w:val="00B82713"/>
    <w:rsid w:val="00B87D65"/>
    <w:rsid w:val="00B90D91"/>
    <w:rsid w:val="00B92C72"/>
    <w:rsid w:val="00B95FAC"/>
    <w:rsid w:val="00BA402D"/>
    <w:rsid w:val="00BA6FF1"/>
    <w:rsid w:val="00BB0909"/>
    <w:rsid w:val="00BB6529"/>
    <w:rsid w:val="00BB6648"/>
    <w:rsid w:val="00BC0EC8"/>
    <w:rsid w:val="00BC1CAB"/>
    <w:rsid w:val="00BC61AE"/>
    <w:rsid w:val="00BC622A"/>
    <w:rsid w:val="00BD6F8A"/>
    <w:rsid w:val="00BE0A78"/>
    <w:rsid w:val="00BE79F0"/>
    <w:rsid w:val="00BF046D"/>
    <w:rsid w:val="00BF5D04"/>
    <w:rsid w:val="00C11715"/>
    <w:rsid w:val="00C13563"/>
    <w:rsid w:val="00C204C9"/>
    <w:rsid w:val="00C20DC3"/>
    <w:rsid w:val="00C212DF"/>
    <w:rsid w:val="00C25417"/>
    <w:rsid w:val="00C339C6"/>
    <w:rsid w:val="00C404A6"/>
    <w:rsid w:val="00C40A36"/>
    <w:rsid w:val="00C43689"/>
    <w:rsid w:val="00C44419"/>
    <w:rsid w:val="00C45E7B"/>
    <w:rsid w:val="00C471B1"/>
    <w:rsid w:val="00C52BEE"/>
    <w:rsid w:val="00C6316B"/>
    <w:rsid w:val="00C634A9"/>
    <w:rsid w:val="00C721A5"/>
    <w:rsid w:val="00C73529"/>
    <w:rsid w:val="00C73D6C"/>
    <w:rsid w:val="00C74568"/>
    <w:rsid w:val="00C772FF"/>
    <w:rsid w:val="00C77BC8"/>
    <w:rsid w:val="00C801AF"/>
    <w:rsid w:val="00C80256"/>
    <w:rsid w:val="00C8758C"/>
    <w:rsid w:val="00CA31EA"/>
    <w:rsid w:val="00CA77CC"/>
    <w:rsid w:val="00CB135C"/>
    <w:rsid w:val="00CB4265"/>
    <w:rsid w:val="00CB6BC0"/>
    <w:rsid w:val="00CB7F60"/>
    <w:rsid w:val="00CC0869"/>
    <w:rsid w:val="00CC1B7C"/>
    <w:rsid w:val="00CC727F"/>
    <w:rsid w:val="00CD080B"/>
    <w:rsid w:val="00CD1C8D"/>
    <w:rsid w:val="00CD2699"/>
    <w:rsid w:val="00CD7871"/>
    <w:rsid w:val="00CE5BB0"/>
    <w:rsid w:val="00CF15C3"/>
    <w:rsid w:val="00CF2B6F"/>
    <w:rsid w:val="00CF3409"/>
    <w:rsid w:val="00CF6740"/>
    <w:rsid w:val="00D017ED"/>
    <w:rsid w:val="00D04254"/>
    <w:rsid w:val="00D072D8"/>
    <w:rsid w:val="00D10190"/>
    <w:rsid w:val="00D153B1"/>
    <w:rsid w:val="00D224FE"/>
    <w:rsid w:val="00D229BA"/>
    <w:rsid w:val="00D26B84"/>
    <w:rsid w:val="00D3302A"/>
    <w:rsid w:val="00D34909"/>
    <w:rsid w:val="00D433BD"/>
    <w:rsid w:val="00D43AFF"/>
    <w:rsid w:val="00D53648"/>
    <w:rsid w:val="00D5616E"/>
    <w:rsid w:val="00D60ACA"/>
    <w:rsid w:val="00D634FE"/>
    <w:rsid w:val="00D6493E"/>
    <w:rsid w:val="00D85AC0"/>
    <w:rsid w:val="00DA1124"/>
    <w:rsid w:val="00DA1DEF"/>
    <w:rsid w:val="00DA3043"/>
    <w:rsid w:val="00DA53AC"/>
    <w:rsid w:val="00DA5985"/>
    <w:rsid w:val="00DA761A"/>
    <w:rsid w:val="00DB61B4"/>
    <w:rsid w:val="00DC0036"/>
    <w:rsid w:val="00DC5FA3"/>
    <w:rsid w:val="00DD4C9F"/>
    <w:rsid w:val="00DD75A3"/>
    <w:rsid w:val="00DD7A91"/>
    <w:rsid w:val="00DE02AE"/>
    <w:rsid w:val="00DE047B"/>
    <w:rsid w:val="00DE6A0C"/>
    <w:rsid w:val="00DE6C04"/>
    <w:rsid w:val="00DE75AC"/>
    <w:rsid w:val="00DF1783"/>
    <w:rsid w:val="00DF1D7F"/>
    <w:rsid w:val="00E02FB4"/>
    <w:rsid w:val="00E06659"/>
    <w:rsid w:val="00E1340C"/>
    <w:rsid w:val="00E155A9"/>
    <w:rsid w:val="00E1688D"/>
    <w:rsid w:val="00E20571"/>
    <w:rsid w:val="00E21651"/>
    <w:rsid w:val="00E235F7"/>
    <w:rsid w:val="00E239D4"/>
    <w:rsid w:val="00E32326"/>
    <w:rsid w:val="00E37087"/>
    <w:rsid w:val="00E40B22"/>
    <w:rsid w:val="00E441CB"/>
    <w:rsid w:val="00E4588F"/>
    <w:rsid w:val="00E4608E"/>
    <w:rsid w:val="00E46DA3"/>
    <w:rsid w:val="00E51164"/>
    <w:rsid w:val="00E53B72"/>
    <w:rsid w:val="00E57CBF"/>
    <w:rsid w:val="00E67770"/>
    <w:rsid w:val="00E73B47"/>
    <w:rsid w:val="00E7403F"/>
    <w:rsid w:val="00E74A19"/>
    <w:rsid w:val="00E8120B"/>
    <w:rsid w:val="00E93E74"/>
    <w:rsid w:val="00E97AFA"/>
    <w:rsid w:val="00EA16DE"/>
    <w:rsid w:val="00EA3372"/>
    <w:rsid w:val="00EA406B"/>
    <w:rsid w:val="00EA453A"/>
    <w:rsid w:val="00EB0798"/>
    <w:rsid w:val="00EB182C"/>
    <w:rsid w:val="00EB19F8"/>
    <w:rsid w:val="00EB33D4"/>
    <w:rsid w:val="00EB375A"/>
    <w:rsid w:val="00EB40AD"/>
    <w:rsid w:val="00EB586E"/>
    <w:rsid w:val="00EB5FC8"/>
    <w:rsid w:val="00EC1271"/>
    <w:rsid w:val="00ED06BE"/>
    <w:rsid w:val="00ED0C8B"/>
    <w:rsid w:val="00ED5A41"/>
    <w:rsid w:val="00EE1482"/>
    <w:rsid w:val="00EE255A"/>
    <w:rsid w:val="00EE28DC"/>
    <w:rsid w:val="00EF0EAB"/>
    <w:rsid w:val="00EF47F3"/>
    <w:rsid w:val="00EF578B"/>
    <w:rsid w:val="00F033EC"/>
    <w:rsid w:val="00F03963"/>
    <w:rsid w:val="00F04F68"/>
    <w:rsid w:val="00F05542"/>
    <w:rsid w:val="00F0627D"/>
    <w:rsid w:val="00F11A17"/>
    <w:rsid w:val="00F12670"/>
    <w:rsid w:val="00F14B27"/>
    <w:rsid w:val="00F202AB"/>
    <w:rsid w:val="00F3148D"/>
    <w:rsid w:val="00F3255D"/>
    <w:rsid w:val="00F350D4"/>
    <w:rsid w:val="00F35298"/>
    <w:rsid w:val="00F3529E"/>
    <w:rsid w:val="00F36C32"/>
    <w:rsid w:val="00F40F73"/>
    <w:rsid w:val="00F41A76"/>
    <w:rsid w:val="00F42129"/>
    <w:rsid w:val="00F4305F"/>
    <w:rsid w:val="00F44B0D"/>
    <w:rsid w:val="00F4663D"/>
    <w:rsid w:val="00F467A6"/>
    <w:rsid w:val="00F47E37"/>
    <w:rsid w:val="00F51CC7"/>
    <w:rsid w:val="00F55165"/>
    <w:rsid w:val="00F5593A"/>
    <w:rsid w:val="00F60159"/>
    <w:rsid w:val="00F60567"/>
    <w:rsid w:val="00F623FD"/>
    <w:rsid w:val="00F633BC"/>
    <w:rsid w:val="00F63C0D"/>
    <w:rsid w:val="00F640B6"/>
    <w:rsid w:val="00F67B16"/>
    <w:rsid w:val="00F739D1"/>
    <w:rsid w:val="00F80E40"/>
    <w:rsid w:val="00F8365F"/>
    <w:rsid w:val="00F8404D"/>
    <w:rsid w:val="00F87B87"/>
    <w:rsid w:val="00F9024F"/>
    <w:rsid w:val="00F96893"/>
    <w:rsid w:val="00FA4D6D"/>
    <w:rsid w:val="00FA5B82"/>
    <w:rsid w:val="00FA639E"/>
    <w:rsid w:val="00FA69E7"/>
    <w:rsid w:val="00FB2CBA"/>
    <w:rsid w:val="00FB4A8C"/>
    <w:rsid w:val="00FB59CE"/>
    <w:rsid w:val="00FC03C8"/>
    <w:rsid w:val="00FC25E4"/>
    <w:rsid w:val="00FC260C"/>
    <w:rsid w:val="00FC4EF7"/>
    <w:rsid w:val="00FC7FD1"/>
    <w:rsid w:val="00FD060C"/>
    <w:rsid w:val="00FE1941"/>
    <w:rsid w:val="00FE1DEE"/>
    <w:rsid w:val="00FE5347"/>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FC7F76"/>
  <w15:docId w15:val="{BEC490A8-FF98-4239-B441-4ADAE51E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371400"/>
    <w:pPr>
      <w:keepNext/>
      <w:keepLines/>
      <w:numPr>
        <w:numId w:val="7"/>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1E0113"/>
    <w:pPr>
      <w:keepNext/>
      <w:keepLines/>
      <w:numPr>
        <w:ilvl w:val="1"/>
        <w:numId w:val="7"/>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371400"/>
    <w:rPr>
      <w:rFonts w:ascii="Arial" w:eastAsia="Times New Roman" w:hAnsi="Arial"/>
      <w:b/>
      <w:bCs/>
      <w:sz w:val="38"/>
      <w:szCs w:val="38"/>
      <w:lang w:eastAsia="en-US"/>
    </w:rPr>
  </w:style>
  <w:style w:type="character" w:customStyle="1" w:styleId="Heading3Char">
    <w:name w:val="Heading 3 Char"/>
    <w:basedOn w:val="DefaultParagraphFont"/>
    <w:link w:val="Heading3"/>
    <w:rsid w:val="001E0113"/>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aliases w:val="OECD 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932F3"/>
    <w:pPr>
      <w:numPr>
        <w:numId w:val="3"/>
      </w:numPr>
    </w:pPr>
  </w:style>
  <w:style w:type="paragraph" w:styleId="ListBullet2">
    <w:name w:val="List Bullet 2"/>
    <w:basedOn w:val="Normal"/>
    <w:uiPriority w:val="2"/>
    <w:qFormat/>
    <w:rsid w:val="004B5A6B"/>
    <w:pPr>
      <w:numPr>
        <w:ilvl w:val="1"/>
        <w:numId w:val="3"/>
      </w:numPr>
      <w:ind w:left="850" w:hanging="425"/>
    </w:pPr>
  </w:style>
  <w:style w:type="paragraph" w:styleId="ListBullet3">
    <w:name w:val="List Bullet 3"/>
    <w:basedOn w:val="Normal"/>
    <w:uiPriority w:val="2"/>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E1482"/>
    <w:pPr>
      <w:numPr>
        <w:numId w:val="4"/>
      </w:numPr>
    </w:pPr>
  </w:style>
  <w:style w:type="paragraph" w:customStyle="1" w:styleId="Numberbullet2">
    <w:name w:val="Number bullet 2"/>
    <w:basedOn w:val="ListBullet2"/>
    <w:qFormat/>
    <w:rsid w:val="00B22D6F"/>
    <w:pPr>
      <w:numPr>
        <w:ilvl w:val="0"/>
        <w:numId w:val="8"/>
      </w:numPr>
    </w:pPr>
    <w:rPr>
      <w:i/>
    </w:rPr>
  </w:style>
  <w:style w:type="paragraph" w:customStyle="1" w:styleId="Numberbullet3">
    <w:name w:val="Number bullet 3"/>
    <w:basedOn w:val="Normal"/>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1E0113"/>
    <w:pPr>
      <w:ind w:left="720"/>
      <w:contextualSpacing/>
    </w:pPr>
  </w:style>
  <w:style w:type="paragraph" w:customStyle="1" w:styleId="ListBulleta">
    <w:name w:val="List Bullet a)"/>
    <w:basedOn w:val="ListBullet"/>
    <w:uiPriority w:val="1"/>
    <w:qFormat/>
    <w:rsid w:val="00E37087"/>
    <w:pPr>
      <w:numPr>
        <w:numId w:val="10"/>
      </w:numPr>
    </w:pPr>
  </w:style>
  <w:style w:type="paragraph" w:customStyle="1" w:styleId="ListBulleti">
    <w:name w:val="List Bullet i)"/>
    <w:basedOn w:val="ListBullet"/>
    <w:uiPriority w:val="1"/>
    <w:qFormat/>
    <w:rsid w:val="00CC0869"/>
    <w:pPr>
      <w:numPr>
        <w:numId w:val="14"/>
      </w:numPr>
    </w:pPr>
  </w:style>
  <w:style w:type="paragraph" w:customStyle="1" w:styleId="Default">
    <w:name w:val="Default"/>
    <w:rsid w:val="004F216A"/>
    <w:pPr>
      <w:autoSpaceDE w:val="0"/>
      <w:autoSpaceDN w:val="0"/>
      <w:adjustRightInd w:val="0"/>
    </w:pPr>
    <w:rPr>
      <w:rFonts w:cs="Cambria"/>
      <w:color w:val="000000"/>
      <w:sz w:val="24"/>
      <w:szCs w:val="24"/>
    </w:rPr>
  </w:style>
  <w:style w:type="character" w:styleId="UnresolvedMention">
    <w:name w:val="Unresolved Mention"/>
    <w:basedOn w:val="DefaultParagraphFont"/>
    <w:uiPriority w:val="99"/>
    <w:semiHidden/>
    <w:unhideWhenUsed/>
    <w:rsid w:val="00CA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8446553">
      <w:bodyDiv w:val="1"/>
      <w:marLeft w:val="0"/>
      <w:marRight w:val="0"/>
      <w:marTop w:val="0"/>
      <w:marBottom w:val="0"/>
      <w:divBdr>
        <w:top w:val="none" w:sz="0" w:space="0" w:color="auto"/>
        <w:left w:val="none" w:sz="0" w:space="0" w:color="auto"/>
        <w:bottom w:val="none" w:sz="0" w:space="0" w:color="auto"/>
        <w:right w:val="none" w:sz="0" w:space="0" w:color="auto"/>
      </w:divBdr>
    </w:div>
    <w:div w:id="1701272190">
      <w:bodyDiv w:val="1"/>
      <w:marLeft w:val="0"/>
      <w:marRight w:val="0"/>
      <w:marTop w:val="0"/>
      <w:marBottom w:val="0"/>
      <w:divBdr>
        <w:top w:val="none" w:sz="0" w:space="0" w:color="auto"/>
        <w:left w:val="none" w:sz="0" w:space="0" w:color="auto"/>
        <w:bottom w:val="none" w:sz="0" w:space="0" w:color="auto"/>
        <w:right w:val="none" w:sz="0" w:space="0" w:color="auto"/>
      </w:divBdr>
    </w:div>
    <w:div w:id="1840538238">
      <w:bodyDiv w:val="1"/>
      <w:marLeft w:val="0"/>
      <w:marRight w:val="0"/>
      <w:marTop w:val="0"/>
      <w:marBottom w:val="0"/>
      <w:divBdr>
        <w:top w:val="none" w:sz="0" w:space="0" w:color="auto"/>
        <w:left w:val="none" w:sz="0" w:space="0" w:color="auto"/>
        <w:bottom w:val="none" w:sz="0" w:space="0" w:color="auto"/>
        <w:right w:val="none" w:sz="0" w:space="0" w:color="auto"/>
      </w:divBdr>
    </w:div>
    <w:div w:id="2029944797">
      <w:bodyDiv w:val="1"/>
      <w:marLeft w:val="0"/>
      <w:marRight w:val="0"/>
      <w:marTop w:val="0"/>
      <w:marBottom w:val="0"/>
      <w:divBdr>
        <w:top w:val="none" w:sz="0" w:space="0" w:color="auto"/>
        <w:left w:val="none" w:sz="0" w:space="0" w:color="auto"/>
        <w:bottom w:val="none" w:sz="0" w:space="0" w:color="auto"/>
        <w:right w:val="none" w:sz="0" w:space="0" w:color="auto"/>
      </w:divBdr>
    </w:div>
    <w:div w:id="206421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nsultations.health.gov.au/tga/june_2021_joint_interim" TargetMode="External"/><Relationship Id="rId18" Type="http://schemas.openxmlformats.org/officeDocument/2006/relationships/hyperlink" Target="https://www.tga.gov.au/publication/scheduling-handbook-guidance-amending-poisons-standard" TargetMode="External"/><Relationship Id="rId26" Type="http://schemas.openxmlformats.org/officeDocument/2006/relationships/hyperlink" Target="https://www.tga.gov.au/publication/scheduling-handbook-guidance-amending-poisons-standard"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legislation.gov.au/Series/F2020L01469" TargetMode="External"/><Relationship Id="rId34" Type="http://schemas.openxmlformats.org/officeDocument/2006/relationships/hyperlink" Target="https://consultations.health.gov.au/tga/june_2021_joint/"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publication/ahmac-scheduling-policy-framework-medicines-and-chemicals" TargetMode="External"/><Relationship Id="rId25" Type="http://schemas.openxmlformats.org/officeDocument/2006/relationships/hyperlink" Target="https://www.tga.gov.au/publication/ahmac-scheduling-policy-framework-medicines-and-chemicals" TargetMode="External"/><Relationship Id="rId33" Type="http://schemas.openxmlformats.org/officeDocument/2006/relationships/hyperlink" Target="https://www.industrialchemicals.gov.au/sites/default/files/Phenol%2C%202-methoxy-4-%282-propenyl%29-_Human%20health%20tier%20II%20assessment.pdf"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tga.gov.au/sites/default/files/consultation-proposed-amendments-poisons-standard-joint-acmsaccs-28-june-2021.pdf" TargetMode="External"/><Relationship Id="rId20" Type="http://schemas.openxmlformats.org/officeDocument/2006/relationships/hyperlink" Target="https://www.legislation.gov.au/Details/F2008C00244" TargetMode="External"/><Relationship Id="rId29" Type="http://schemas.openxmlformats.org/officeDocument/2006/relationships/hyperlink" Target="https://www.legislation.gov.au/Series/F2020L0034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sites/default/files/consultation-proposed-amendments-poisons-standard-joint-acmsaccs-28-june-2021.pdf" TargetMode="External"/><Relationship Id="rId32" Type="http://schemas.openxmlformats.org/officeDocument/2006/relationships/hyperlink" Target="https://www.legislation.gov.au/Series/F2020L01469" TargetMode="External"/><Relationship Id="rId37" Type="http://schemas.openxmlformats.org/officeDocument/2006/relationships/hyperlink" Target="https://www.tga.gov.au/publication/scheduling-handbook-guidance-amending-poisons-standard"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sultations.health.gov.au/tga/june_2021_joint/" TargetMode="External"/><Relationship Id="rId23" Type="http://schemas.openxmlformats.org/officeDocument/2006/relationships/hyperlink" Target="https://consultations.health.gov.au/tga/june_2021_joint/" TargetMode="External"/><Relationship Id="rId28" Type="http://schemas.openxmlformats.org/officeDocument/2006/relationships/hyperlink" Target="https://www.tga.gov.au/otc-medicine-monograph-hand-sanitisers" TargetMode="External"/><Relationship Id="rId36" Type="http://schemas.openxmlformats.org/officeDocument/2006/relationships/hyperlink" Target="https://www.tga.gov.au/publication/ahmac-scheduling-policy-framework-medicines-and-chemicals" TargetMode="External"/><Relationship Id="rId10" Type="http://schemas.openxmlformats.org/officeDocument/2006/relationships/header" Target="header2.xml"/><Relationship Id="rId19" Type="http://schemas.openxmlformats.org/officeDocument/2006/relationships/hyperlink" Target="https://www.legislation.gov.au/Series/F2020L00340" TargetMode="External"/><Relationship Id="rId31" Type="http://schemas.openxmlformats.org/officeDocument/2006/relationships/hyperlink" Target="https://www.legislation.gov.au/Details/F2016L0152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sites/default/files/consultation-proposed-amendments-poisons-standard-joint-acmsaccs-28-june-2021.pdf" TargetMode="External"/><Relationship Id="rId22" Type="http://schemas.openxmlformats.org/officeDocument/2006/relationships/hyperlink" Target="https://www.tga.gov.au/sites/default/files/consultation-proposed-amendments-poisons-standard-joint-acmsaccs-28-june-2021.pdf" TargetMode="External"/><Relationship Id="rId27" Type="http://schemas.openxmlformats.org/officeDocument/2006/relationships/hyperlink" Target="https://www.legislation.gov.au/Series/F2020L01469" TargetMode="External"/><Relationship Id="rId30" Type="http://schemas.openxmlformats.org/officeDocument/2006/relationships/hyperlink" Target="https://www.tga.gov.au/database-adverse-event-notifications-daen" TargetMode="External"/><Relationship Id="rId35" Type="http://schemas.openxmlformats.org/officeDocument/2006/relationships/hyperlink" Target="https://www.tga.gov.au/sites/default/files/consultation-proposed-amendments-poisons-standard-joint-acmsaccs-28-june-2021.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ga.gov.au/database-adverse-event-notifications-daen" TargetMode="External"/><Relationship Id="rId3" Type="http://schemas.openxmlformats.org/officeDocument/2006/relationships/hyperlink" Target="https://www.legislation.gov.au/Series/F2020L01469" TargetMode="External"/><Relationship Id="rId7" Type="http://schemas.openxmlformats.org/officeDocument/2006/relationships/hyperlink" Target="https://www.legislation.gov.au/Series/F2020L00340" TargetMode="External"/><Relationship Id="rId2" Type="http://schemas.openxmlformats.org/officeDocument/2006/relationships/hyperlink" Target="https://www.legislation.gov.au/Details/F2008C00244" TargetMode="External"/><Relationship Id="rId1" Type="http://schemas.openxmlformats.org/officeDocument/2006/relationships/hyperlink" Target="https://www.legislation.gov.au/Series/F2020L00340" TargetMode="External"/><Relationship Id="rId6" Type="http://schemas.openxmlformats.org/officeDocument/2006/relationships/hyperlink" Target="https://mccaa.org.mt/media/5782/safety-gate-notifications-hand-disinfectants.pdf" TargetMode="External"/><Relationship Id="rId5" Type="http://schemas.openxmlformats.org/officeDocument/2006/relationships/hyperlink" Target="https://www.fda.gov/drugs/drug-safety-and-availability/fda-advises-consumers-not-use-hand-sanitizer-products-manufactured-eskbiochem" TargetMode="External"/><Relationship Id="rId10" Type="http://schemas.openxmlformats.org/officeDocument/2006/relationships/hyperlink" Target="https://www.legislation.gov.au/Series/F2020L01469" TargetMode="External"/><Relationship Id="rId4" Type="http://schemas.openxmlformats.org/officeDocument/2006/relationships/hyperlink" Target="https://www.legislation.gov.au/Series/F2020L01469" TargetMode="External"/><Relationship Id="rId9" Type="http://schemas.openxmlformats.org/officeDocument/2006/relationships/hyperlink" Target="https://www.legislation.gov.au/Details/F2016L01523"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ECFBC-A974-4CBB-A521-54FEBF560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7</TotalTime>
  <Pages>16</Pages>
  <Words>6292</Words>
  <Characters>33916</Characters>
  <Application>Microsoft Office Word</Application>
  <DocSecurity>0</DocSecurity>
  <Lines>665</Lines>
  <Paragraphs>358</Paragraphs>
  <ScaleCrop>false</ScaleCrop>
  <HeadingPairs>
    <vt:vector size="2" baseType="variant">
      <vt:variant>
        <vt:lpstr>Title</vt:lpstr>
      </vt:variant>
      <vt:variant>
        <vt:i4>1</vt:i4>
      </vt:variant>
    </vt:vector>
  </HeadingPairs>
  <TitlesOfParts>
    <vt:vector size="1" baseType="lpstr">
      <vt:lpstr/>
    </vt:vector>
  </TitlesOfParts>
  <Company>Department of Health, TGA</Company>
  <LinksUpToDate>false</LinksUpToDate>
  <CharactersWithSpaces>39850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decisions to amend (or not amend) the current Poisons Standard</dc:title>
  <dc:subject>scheduling</dc:subject>
  <dc:creator>Therapeutic Goods Administration</dc:creator>
  <cp:lastPrinted>2010-12-20T22:59:00Z</cp:lastPrinted>
  <dcterms:created xsi:type="dcterms:W3CDTF">2021-10-13T04:31:00Z</dcterms:created>
  <dcterms:modified xsi:type="dcterms:W3CDTF">2021-10-13T04:36:00Z</dcterms:modified>
</cp:coreProperties>
</file>