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24EB616A" w14:textId="038B7299" w:rsidR="001D480A" w:rsidRPr="009401F6" w:rsidRDefault="001E0113" w:rsidP="00ED0C8B">
            <w:pPr>
              <w:pStyle w:val="Title"/>
            </w:pPr>
            <w:r>
              <w:t>Notice of interim decision to not amend the current Poisons Standard</w:t>
            </w:r>
            <w:r w:rsidR="000B0294">
              <w:t xml:space="preserve"> </w:t>
            </w:r>
            <w:r w:rsidR="00217838">
              <w:t>–</w:t>
            </w:r>
            <w:r w:rsidR="000B0294">
              <w:t xml:space="preserve"> </w:t>
            </w:r>
            <w:proofErr w:type="spellStart"/>
            <w:r w:rsidR="000B0294">
              <w:t>isothiazolinones</w:t>
            </w:r>
            <w:proofErr w:type="spellEnd"/>
            <w:r w:rsidR="00217838">
              <w:t xml:space="preserve">, </w:t>
            </w:r>
            <w:r w:rsidR="00217838" w:rsidRPr="00217838">
              <w:t xml:space="preserve">methylisothiazolinone and </w:t>
            </w:r>
            <w:proofErr w:type="spellStart"/>
            <w:r w:rsidR="00217838" w:rsidRPr="00217838">
              <w:t>methylchloroisothiazolinone</w:t>
            </w:r>
            <w:proofErr w:type="spellEnd"/>
          </w:p>
        </w:tc>
      </w:tr>
      <w:tr w:rsidR="00ED0C8B" w:rsidRPr="009401F6" w14:paraId="10807413" w14:textId="77777777" w:rsidTr="00ED0C8B">
        <w:trPr>
          <w:trHeight w:val="1387"/>
        </w:trPr>
        <w:tc>
          <w:tcPr>
            <w:tcW w:w="8720" w:type="dxa"/>
          </w:tcPr>
          <w:p w14:paraId="559D5987" w14:textId="011429E2" w:rsidR="001D480A" w:rsidRPr="009401F6" w:rsidRDefault="0080342F" w:rsidP="00ED0C8B">
            <w:pPr>
              <w:pStyle w:val="Subtitle"/>
              <w:ind w:left="0"/>
              <w:rPr>
                <w:lang w:eastAsia="en-AU"/>
              </w:rPr>
            </w:pPr>
            <w:r>
              <w:rPr>
                <w:lang w:eastAsia="en-AU"/>
              </w:rPr>
              <w:t>10</w:t>
            </w:r>
            <w:r w:rsidR="00F44B33">
              <w:rPr>
                <w:lang w:eastAsia="en-AU"/>
              </w:rPr>
              <w:t xml:space="preserve"> </w:t>
            </w:r>
            <w:r w:rsidR="00B512D5">
              <w:rPr>
                <w:lang w:eastAsia="en-AU"/>
              </w:rPr>
              <w:t>March</w:t>
            </w:r>
            <w:r w:rsidR="00F44B33">
              <w:rPr>
                <w:lang w:eastAsia="en-AU"/>
              </w:rPr>
              <w:t xml:space="preserve"> 202</w:t>
            </w:r>
            <w:r w:rsidR="00DD6730">
              <w:rPr>
                <w:lang w:eastAsia="en-AU"/>
              </w:rPr>
              <w:t>2</w:t>
            </w:r>
          </w:p>
        </w:tc>
      </w:tr>
      <w:tr w:rsidR="00ED0C8B" w:rsidRPr="009401F6" w14:paraId="17D9CA74" w14:textId="77777777" w:rsidTr="00ED0C8B">
        <w:tc>
          <w:tcPr>
            <w:tcW w:w="8720" w:type="dxa"/>
          </w:tcPr>
          <w:p w14:paraId="2AF1C330" w14:textId="2B96B5F1"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5D4EA1" w:rsidRDefault="00BA6FF1" w:rsidP="00FE1941">
      <w:pPr>
        <w:pStyle w:val="LegalSubheading"/>
        <w:pageBreakBefore/>
      </w:pPr>
      <w:r w:rsidRPr="00691723">
        <w:lastRenderedPageBreak/>
        <w:t>Copyright</w:t>
      </w:r>
    </w:p>
    <w:p w14:paraId="1BD51453" w14:textId="4F885788" w:rsidR="00611B57" w:rsidRDefault="00EA453A" w:rsidP="00FE1941">
      <w:pPr>
        <w:pStyle w:val="LegalCopy"/>
        <w:spacing w:after="0"/>
      </w:pPr>
      <w:r w:rsidRPr="009401F6">
        <w:t>© Commonwealth of Australia 20</w:t>
      </w:r>
      <w:r w:rsidR="00D433BD">
        <w:t>2</w:t>
      </w:r>
      <w:r w:rsidR="00DD6730">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9401F6" w:rsidRDefault="008D2B09" w:rsidP="00611B57">
      <w:pPr>
        <w:pStyle w:val="LegalSubheading"/>
      </w:pPr>
      <w:r w:rsidRPr="009401F6">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6DF25DD5" w14:textId="708C3B62" w:rsidR="009469B9"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97552306" w:history="1">
            <w:r w:rsidR="009469B9" w:rsidRPr="00210B19">
              <w:rPr>
                <w:rStyle w:val="Hyperlink"/>
                <w:noProof/>
              </w:rPr>
              <w:t>1.</w:t>
            </w:r>
            <w:r w:rsidR="009469B9">
              <w:rPr>
                <w:rFonts w:asciiTheme="minorHAnsi" w:eastAsiaTheme="minorEastAsia" w:hAnsiTheme="minorHAnsi" w:cstheme="minorBidi"/>
                <w:b w:val="0"/>
                <w:noProof/>
                <w:sz w:val="22"/>
                <w:szCs w:val="22"/>
                <w:lang w:eastAsia="en-AU"/>
              </w:rPr>
              <w:tab/>
            </w:r>
            <w:r w:rsidR="009469B9" w:rsidRPr="00210B19">
              <w:rPr>
                <w:rStyle w:val="Hyperlink"/>
                <w:noProof/>
              </w:rPr>
              <w:t xml:space="preserve">Notice of interim decision made under Regulation 42ZCZN of the </w:t>
            </w:r>
            <w:r w:rsidR="009469B9" w:rsidRPr="00210B19">
              <w:rPr>
                <w:rStyle w:val="Hyperlink"/>
                <w:i/>
                <w:noProof/>
              </w:rPr>
              <w:t>Therapeutic Goods Regulations 1990</w:t>
            </w:r>
            <w:r w:rsidR="009469B9">
              <w:rPr>
                <w:noProof/>
                <w:webHidden/>
              </w:rPr>
              <w:tab/>
            </w:r>
            <w:r w:rsidR="009469B9">
              <w:rPr>
                <w:noProof/>
                <w:webHidden/>
              </w:rPr>
              <w:fldChar w:fldCharType="begin"/>
            </w:r>
            <w:r w:rsidR="009469B9">
              <w:rPr>
                <w:noProof/>
                <w:webHidden/>
              </w:rPr>
              <w:instrText xml:space="preserve"> PAGEREF _Toc97552306 \h </w:instrText>
            </w:r>
            <w:r w:rsidR="009469B9">
              <w:rPr>
                <w:noProof/>
                <w:webHidden/>
              </w:rPr>
            </w:r>
            <w:r w:rsidR="009469B9">
              <w:rPr>
                <w:noProof/>
                <w:webHidden/>
              </w:rPr>
              <w:fldChar w:fldCharType="separate"/>
            </w:r>
            <w:r w:rsidR="009469B9">
              <w:rPr>
                <w:noProof/>
                <w:webHidden/>
              </w:rPr>
              <w:t>4</w:t>
            </w:r>
            <w:r w:rsidR="009469B9">
              <w:rPr>
                <w:noProof/>
                <w:webHidden/>
              </w:rPr>
              <w:fldChar w:fldCharType="end"/>
            </w:r>
          </w:hyperlink>
        </w:p>
        <w:p w14:paraId="060696EA" w14:textId="3BD5EA77" w:rsidR="009469B9" w:rsidRDefault="00852F43">
          <w:pPr>
            <w:pStyle w:val="TOC1"/>
            <w:tabs>
              <w:tab w:val="left" w:pos="851"/>
            </w:tabs>
            <w:rPr>
              <w:rFonts w:asciiTheme="minorHAnsi" w:eastAsiaTheme="minorEastAsia" w:hAnsiTheme="minorHAnsi" w:cstheme="minorBidi"/>
              <w:b w:val="0"/>
              <w:noProof/>
              <w:sz w:val="22"/>
              <w:szCs w:val="22"/>
              <w:lang w:eastAsia="en-AU"/>
            </w:rPr>
          </w:pPr>
          <w:hyperlink w:anchor="_Toc97552307" w:history="1">
            <w:r w:rsidR="009469B9" w:rsidRPr="00210B19">
              <w:rPr>
                <w:rStyle w:val="Hyperlink"/>
                <w:noProof/>
              </w:rPr>
              <w:t>2.</w:t>
            </w:r>
            <w:r w:rsidR="009469B9">
              <w:rPr>
                <w:rFonts w:asciiTheme="minorHAnsi" w:eastAsiaTheme="minorEastAsia" w:hAnsiTheme="minorHAnsi" w:cstheme="minorBidi"/>
                <w:b w:val="0"/>
                <w:noProof/>
                <w:sz w:val="22"/>
                <w:szCs w:val="22"/>
                <w:lang w:eastAsia="en-AU"/>
              </w:rPr>
              <w:tab/>
            </w:r>
            <w:r w:rsidR="009469B9" w:rsidRPr="00210B19">
              <w:rPr>
                <w:rStyle w:val="Hyperlink"/>
                <w:noProof/>
              </w:rPr>
              <w:t>Interim decision on a proposed amendment referred to the Advisory Committee on Medicines and Chemicals Scheduling in joint session (Joint ACMS-ACCS #25, June 2020)</w:t>
            </w:r>
            <w:r w:rsidR="009469B9">
              <w:rPr>
                <w:noProof/>
                <w:webHidden/>
              </w:rPr>
              <w:tab/>
            </w:r>
            <w:r w:rsidR="009469B9">
              <w:rPr>
                <w:noProof/>
                <w:webHidden/>
              </w:rPr>
              <w:fldChar w:fldCharType="begin"/>
            </w:r>
            <w:r w:rsidR="009469B9">
              <w:rPr>
                <w:noProof/>
                <w:webHidden/>
              </w:rPr>
              <w:instrText xml:space="preserve"> PAGEREF _Toc97552307 \h </w:instrText>
            </w:r>
            <w:r w:rsidR="009469B9">
              <w:rPr>
                <w:noProof/>
                <w:webHidden/>
              </w:rPr>
            </w:r>
            <w:r w:rsidR="009469B9">
              <w:rPr>
                <w:noProof/>
                <w:webHidden/>
              </w:rPr>
              <w:fldChar w:fldCharType="separate"/>
            </w:r>
            <w:r w:rsidR="009469B9">
              <w:rPr>
                <w:noProof/>
                <w:webHidden/>
              </w:rPr>
              <w:t>4</w:t>
            </w:r>
            <w:r w:rsidR="009469B9">
              <w:rPr>
                <w:noProof/>
                <w:webHidden/>
              </w:rPr>
              <w:fldChar w:fldCharType="end"/>
            </w:r>
          </w:hyperlink>
        </w:p>
        <w:p w14:paraId="45D83D17" w14:textId="1EED5C36" w:rsidR="009469B9" w:rsidRDefault="00852F43">
          <w:pPr>
            <w:pStyle w:val="TOC2"/>
            <w:tabs>
              <w:tab w:val="left" w:pos="1276"/>
            </w:tabs>
            <w:rPr>
              <w:rFonts w:asciiTheme="minorHAnsi" w:eastAsiaTheme="minorEastAsia" w:hAnsiTheme="minorHAnsi" w:cstheme="minorBidi"/>
              <w:b w:val="0"/>
              <w:noProof/>
              <w:sz w:val="22"/>
              <w:szCs w:val="22"/>
              <w:lang w:eastAsia="en-AU"/>
            </w:rPr>
          </w:pPr>
          <w:hyperlink w:anchor="_Toc97552308" w:history="1">
            <w:r w:rsidR="009469B9" w:rsidRPr="00210B19">
              <w:rPr>
                <w:rStyle w:val="Hyperlink"/>
                <w:noProof/>
              </w:rPr>
              <w:t>2.1</w:t>
            </w:r>
            <w:r w:rsidR="009469B9">
              <w:rPr>
                <w:rFonts w:asciiTheme="minorHAnsi" w:eastAsiaTheme="minorEastAsia" w:hAnsiTheme="minorHAnsi" w:cstheme="minorBidi"/>
                <w:b w:val="0"/>
                <w:noProof/>
                <w:sz w:val="22"/>
                <w:szCs w:val="22"/>
                <w:lang w:eastAsia="en-AU"/>
              </w:rPr>
              <w:tab/>
            </w:r>
            <w:r w:rsidR="009469B9" w:rsidRPr="00210B19">
              <w:rPr>
                <w:rStyle w:val="Hyperlink"/>
                <w:noProof/>
              </w:rPr>
              <w:t>Interim decision in relation to isothiazolinones, methylisothiazolinone and methylchloroisothiazolinone</w:t>
            </w:r>
            <w:r w:rsidR="009469B9">
              <w:rPr>
                <w:noProof/>
                <w:webHidden/>
              </w:rPr>
              <w:tab/>
            </w:r>
            <w:r w:rsidR="009469B9">
              <w:rPr>
                <w:noProof/>
                <w:webHidden/>
              </w:rPr>
              <w:fldChar w:fldCharType="begin"/>
            </w:r>
            <w:r w:rsidR="009469B9">
              <w:rPr>
                <w:noProof/>
                <w:webHidden/>
              </w:rPr>
              <w:instrText xml:space="preserve"> PAGEREF _Toc97552308 \h </w:instrText>
            </w:r>
            <w:r w:rsidR="009469B9">
              <w:rPr>
                <w:noProof/>
                <w:webHidden/>
              </w:rPr>
            </w:r>
            <w:r w:rsidR="009469B9">
              <w:rPr>
                <w:noProof/>
                <w:webHidden/>
              </w:rPr>
              <w:fldChar w:fldCharType="separate"/>
            </w:r>
            <w:r w:rsidR="009469B9">
              <w:rPr>
                <w:noProof/>
                <w:webHidden/>
              </w:rPr>
              <w:t>4</w:t>
            </w:r>
            <w:r w:rsidR="009469B9">
              <w:rPr>
                <w:noProof/>
                <w:webHidden/>
              </w:rPr>
              <w:fldChar w:fldCharType="end"/>
            </w:r>
          </w:hyperlink>
        </w:p>
        <w:p w14:paraId="7173C130" w14:textId="13AC6A09" w:rsidR="00B92C72" w:rsidRPr="009401F6" w:rsidRDefault="006C626D" w:rsidP="0023397F">
          <w:r w:rsidRPr="009401F6">
            <w:fldChar w:fldCharType="end"/>
          </w:r>
        </w:p>
      </w:sdtContent>
    </w:sdt>
    <w:p w14:paraId="00C73D43" w14:textId="77777777" w:rsidR="00F8365F" w:rsidRPr="009401F6" w:rsidRDefault="00F8365F" w:rsidP="008A07FF">
      <w:r w:rsidRPr="009401F6">
        <w:br w:type="page"/>
      </w:r>
    </w:p>
    <w:p w14:paraId="7685D953" w14:textId="1D826E46" w:rsidR="001525B4" w:rsidRDefault="001E0113" w:rsidP="00DD6730">
      <w:pPr>
        <w:pStyle w:val="Heading2"/>
        <w:ind w:hanging="720"/>
        <w:rPr>
          <w:i/>
        </w:rPr>
      </w:pPr>
      <w:bookmarkStart w:id="1" w:name="_Toc60738322"/>
      <w:bookmarkStart w:id="2" w:name="_Toc97552306"/>
      <w:bookmarkEnd w:id="0"/>
      <w:r w:rsidRPr="00597B50">
        <w:lastRenderedPageBreak/>
        <w:t>Not</w:t>
      </w:r>
      <w:r>
        <w:t xml:space="preserve">ice of interim decision made under Regulation 42ZCZN of the </w:t>
      </w:r>
      <w:r w:rsidRPr="009B574B">
        <w:rPr>
          <w:i/>
        </w:rPr>
        <w:t>Therapeutic Goods Regulations 1990</w:t>
      </w:r>
      <w:bookmarkEnd w:id="1"/>
      <w:bookmarkEnd w:id="2"/>
    </w:p>
    <w:p w14:paraId="01CBAB32" w14:textId="155F0441" w:rsidR="001E0113" w:rsidRPr="009B574B" w:rsidRDefault="001E0113" w:rsidP="001E0113">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r w:rsidR="004531DC">
        <w:t xml:space="preserve"> </w:t>
      </w:r>
      <w:r w:rsidRPr="009B574B">
        <w:t xml:space="preserve">the interim decision made by a </w:t>
      </w:r>
      <w:r w:rsidR="000E54E3">
        <w:t>D</w:t>
      </w:r>
      <w:r w:rsidRPr="009B574B">
        <w:t>elegate of the Secretary under r</w:t>
      </w:r>
      <w:r>
        <w:t>egulation 42ZCZN in relation to</w:t>
      </w:r>
      <w:r w:rsidRPr="009B574B">
        <w:t xml:space="preserve"> </w:t>
      </w:r>
      <w:r w:rsidRPr="004531DC">
        <w:t>a</w:t>
      </w:r>
      <w:r>
        <w:t xml:space="preserve"> </w:t>
      </w:r>
      <w:r w:rsidRPr="009B574B">
        <w:t>proposed amendmen</w:t>
      </w:r>
      <w:r w:rsidRPr="00BE3418">
        <w:t>t</w:t>
      </w:r>
      <w:r w:rsidRPr="009B574B">
        <w:t xml:space="preserve"> to the</w:t>
      </w:r>
      <w:r>
        <w:t xml:space="preserve"> current Poisons Standard </w:t>
      </w:r>
      <w:r w:rsidRPr="00BE3418">
        <w:t xml:space="preserve">which </w:t>
      </w:r>
      <w:r w:rsidRPr="004531DC">
        <w:t>was</w:t>
      </w:r>
      <w:r w:rsidRPr="00BE3418">
        <w:t xml:space="preserve"> referred</w:t>
      </w:r>
      <w:r w:rsidRPr="009B574B">
        <w:t xml:space="preserve"> to an expert advisory committee under subdivision 3D.2 of the Regulations in </w:t>
      </w:r>
      <w:r w:rsidR="004531DC" w:rsidRPr="004531DC">
        <w:t>June</w:t>
      </w:r>
      <w:r w:rsidRPr="004531DC">
        <w:t xml:space="preserve"> 20</w:t>
      </w:r>
      <w:r w:rsidR="004531DC">
        <w:t>20.</w:t>
      </w:r>
    </w:p>
    <w:p w14:paraId="4B681B12" w14:textId="6942FDFD" w:rsidR="001E0113" w:rsidRDefault="001E0113" w:rsidP="001E0113">
      <w:r>
        <w:t>In accordance with regulation 42ZCZP, i</w:t>
      </w:r>
      <w:r w:rsidRPr="004B78E1">
        <w:t>nterested persons are invited</w:t>
      </w:r>
      <w:r>
        <w:t xml:space="preserve"> to make </w:t>
      </w:r>
      <w:r w:rsidRPr="00416B66">
        <w:t xml:space="preserve">submissions to the Secretary in relation to </w:t>
      </w:r>
      <w:r w:rsidRPr="004531DC">
        <w:t>this</w:t>
      </w:r>
      <w:r w:rsidRPr="00416B66">
        <w:t xml:space="preserve"> interim decision on</w:t>
      </w:r>
      <w:r>
        <w:t xml:space="preserve"> or </w:t>
      </w:r>
      <w:r w:rsidRPr="00296C32">
        <w:t xml:space="preserve">before </w:t>
      </w:r>
      <w:r w:rsidR="00296C32" w:rsidRPr="00296C32">
        <w:rPr>
          <w:b/>
        </w:rPr>
        <w:t>11</w:t>
      </w:r>
      <w:r w:rsidRPr="00296C32">
        <w:rPr>
          <w:b/>
        </w:rPr>
        <w:t xml:space="preserve"> </w:t>
      </w:r>
      <w:r w:rsidR="00296C32" w:rsidRPr="00296C32">
        <w:rPr>
          <w:b/>
        </w:rPr>
        <w:t>April</w:t>
      </w:r>
      <w:r w:rsidRPr="00296C32">
        <w:rPr>
          <w:b/>
        </w:rPr>
        <w:t xml:space="preserve"> 20</w:t>
      </w:r>
      <w:r w:rsidR="00F101CB" w:rsidRPr="00296C32">
        <w:rPr>
          <w:b/>
        </w:rPr>
        <w:t>22</w:t>
      </w:r>
      <w:r w:rsidRPr="00296C32">
        <w:t>.</w:t>
      </w:r>
    </w:p>
    <w:p w14:paraId="76A24DF9" w14:textId="0721DA58" w:rsidR="001E0113" w:rsidRDefault="001E0113" w:rsidP="001E0113">
      <w:pPr>
        <w:rPr>
          <w:rFonts w:eastAsia="Times New Roman"/>
          <w:color w:val="000000"/>
          <w:lang w:val="en" w:eastAsia="en-AU"/>
        </w:rPr>
      </w:pPr>
      <w:r w:rsidRPr="00150EDF">
        <w:rPr>
          <w:rFonts w:eastAsia="Times New Roman"/>
          <w:color w:val="000000"/>
          <w:lang w:val="en" w:eastAsia="en-AU"/>
        </w:rPr>
        <w:t xml:space="preserve">Submissions should be provided through our </w:t>
      </w:r>
      <w:hyperlink r:id="rId13" w:tgtFrame="_blank" w:history="1">
        <w:r w:rsidRPr="00150EDF">
          <w:rPr>
            <w:rFonts w:eastAsia="Times New Roman"/>
            <w:color w:val="006EAB"/>
            <w:u w:val="single"/>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4B964191" w14:textId="77777777" w:rsidR="001E0113" w:rsidRDefault="001E0113" w:rsidP="001E0113">
      <w:pPr>
        <w:rPr>
          <w:rFonts w:asciiTheme="minorHAnsi" w:hAnsiTheme="minorHAnsi"/>
        </w:rPr>
      </w:pPr>
      <w:r>
        <w:rPr>
          <w:rFonts w:asciiTheme="minorHAnsi" w:hAnsiTheme="minorHAnsi"/>
        </w:rPr>
        <w:t xml:space="preserve">Please note that in accordance with </w:t>
      </w:r>
      <w:proofErr w:type="spellStart"/>
      <w:r>
        <w:rPr>
          <w:rFonts w:asciiTheme="minorHAnsi" w:hAnsiTheme="minorHAnsi"/>
        </w:rPr>
        <w:t>subregulation</w:t>
      </w:r>
      <w:proofErr w:type="spellEnd"/>
      <w:r>
        <w:rPr>
          <w:rFonts w:asciiTheme="minorHAnsi" w:hAnsiTheme="minorHAnsi"/>
        </w:rPr>
        <w:t xml:space="preserve"> 42</w:t>
      </w:r>
      <w:proofErr w:type="gramStart"/>
      <w:r>
        <w:rPr>
          <w:rFonts w:asciiTheme="minorHAnsi" w:hAnsiTheme="minorHAnsi"/>
        </w:rPr>
        <w:t>ZCZQ(</w:t>
      </w:r>
      <w:proofErr w:type="gramEnd"/>
      <w:r>
        <w:rPr>
          <w:rFonts w:asciiTheme="minorHAnsi" w:hAnsiTheme="minorHAnsi"/>
        </w:rPr>
        <w:t>4) of the Regulations, the Secretary must publish all relevant submissions received, unless the Secretary considers the information to be confidential information.</w:t>
      </w:r>
    </w:p>
    <w:p w14:paraId="7C4D4D53" w14:textId="26902F1B" w:rsidR="00B22D6F" w:rsidRPr="00296C32" w:rsidRDefault="00B22D6F" w:rsidP="00F101CB">
      <w:pPr>
        <w:pStyle w:val="Heading2"/>
        <w:ind w:left="851" w:hanging="851"/>
        <w:rPr>
          <w:color w:val="002C47" w:themeColor="text1"/>
        </w:rPr>
      </w:pPr>
      <w:bookmarkStart w:id="3" w:name="_Toc47103709"/>
      <w:bookmarkStart w:id="4" w:name="_Toc60738374"/>
      <w:bookmarkStart w:id="5" w:name="_Toc97552307"/>
      <w:bookmarkStart w:id="6" w:name="_Toc323738671"/>
      <w:bookmarkStart w:id="7" w:name="_Toc356305157"/>
      <w:r w:rsidRPr="00D72019">
        <w:t xml:space="preserve">Interim decision on </w:t>
      </w:r>
      <w:r w:rsidR="004531DC">
        <w:t xml:space="preserve">a </w:t>
      </w:r>
      <w:r w:rsidRPr="00D72019">
        <w:t>proposed amendment referred to the Advisory Committee on Medicines and Chemicals Scheduling in joint session (Joint ACMS-ACCS #</w:t>
      </w:r>
      <w:r w:rsidR="004531DC">
        <w:t>25</w:t>
      </w:r>
      <w:r w:rsidRPr="00D72019">
        <w:t xml:space="preserve">, </w:t>
      </w:r>
      <w:r w:rsidR="004531DC">
        <w:t>June</w:t>
      </w:r>
      <w:r w:rsidRPr="00D72019">
        <w:t xml:space="preserve"> 20</w:t>
      </w:r>
      <w:bookmarkEnd w:id="3"/>
      <w:bookmarkEnd w:id="4"/>
      <w:r w:rsidR="004531DC">
        <w:t>20</w:t>
      </w:r>
      <w:r>
        <w:t>)</w:t>
      </w:r>
      <w:bookmarkEnd w:id="5"/>
    </w:p>
    <w:p w14:paraId="3C9C6C5A" w14:textId="67B6FAD7" w:rsidR="00B22D6F" w:rsidRDefault="00B22D6F" w:rsidP="00B22D6F">
      <w:pPr>
        <w:pStyle w:val="Heading3"/>
        <w:ind w:left="576" w:hanging="576"/>
      </w:pPr>
      <w:bookmarkStart w:id="8" w:name="_Toc60738375"/>
      <w:bookmarkStart w:id="9" w:name="_Toc97552308"/>
      <w:r>
        <w:t xml:space="preserve">Interim decision in relation to </w:t>
      </w:r>
      <w:bookmarkEnd w:id="8"/>
      <w:proofErr w:type="spellStart"/>
      <w:r w:rsidR="004531DC">
        <w:t>isothiazolinones</w:t>
      </w:r>
      <w:proofErr w:type="spellEnd"/>
      <w:r w:rsidR="004531DC">
        <w:t xml:space="preserve">, methylisothiazolinone and </w:t>
      </w:r>
      <w:proofErr w:type="spellStart"/>
      <w:r w:rsidR="004531DC">
        <w:t>methylchloroisothiazolinone</w:t>
      </w:r>
      <w:bookmarkEnd w:id="9"/>
      <w:proofErr w:type="spellEnd"/>
    </w:p>
    <w:p w14:paraId="226F8FA1" w14:textId="2CC9FA48" w:rsidR="00F148E4" w:rsidRPr="006147BB" w:rsidRDefault="00F148E4" w:rsidP="006147BB">
      <w:pPr>
        <w:pStyle w:val="Heading4"/>
      </w:pPr>
      <w:r w:rsidRPr="006147BB">
        <w:t>Proposal</w:t>
      </w:r>
    </w:p>
    <w:p w14:paraId="5B937385" w14:textId="6D6067E0" w:rsidR="00F148E4" w:rsidRPr="00F148E4" w:rsidRDefault="008C06F0" w:rsidP="00F148E4">
      <w:r>
        <w:t xml:space="preserve">A </w:t>
      </w:r>
      <w:r w:rsidR="00794984">
        <w:t>proposal was initiated by a Delegate of the Secretary of the Commonwealth Department of Health</w:t>
      </w:r>
      <w:r>
        <w:t>,</w:t>
      </w:r>
      <w:r w:rsidR="00794984">
        <w:t xml:space="preserve"> </w:t>
      </w:r>
      <w:r w:rsidR="000E54E3">
        <w:t>following</w:t>
      </w:r>
      <w:r w:rsidR="00794984">
        <w:t xml:space="preserve"> advice from the National Industrial Chemicals Notification and Assessment Scheme (NICNAS</w:t>
      </w:r>
      <w:r w:rsidR="00FF159D">
        <w:t>)</w:t>
      </w:r>
      <w:r w:rsidR="00794984">
        <w:t xml:space="preserve">, now known as </w:t>
      </w:r>
      <w:r w:rsidR="00FF159D">
        <w:t>the Australian Industrial Chemicals Introduction Scheme (</w:t>
      </w:r>
      <w:r w:rsidR="00794984">
        <w:t>AICIS)</w:t>
      </w:r>
      <w:r w:rsidR="00BD45FD">
        <w:t>. The proposal was that</w:t>
      </w:r>
      <w:r>
        <w:t xml:space="preserve"> the Poisons Standard </w:t>
      </w:r>
      <w:r w:rsidR="00BD45FD">
        <w:t xml:space="preserve">be amended </w:t>
      </w:r>
      <w:r>
        <w:t xml:space="preserve">in relation to </w:t>
      </w:r>
      <w:proofErr w:type="spellStart"/>
      <w:r w:rsidRPr="008C06F0">
        <w:t>isothiazolinones</w:t>
      </w:r>
      <w:proofErr w:type="spellEnd"/>
      <w:r w:rsidRPr="008C06F0">
        <w:t>, methylisothiazolinone</w:t>
      </w:r>
      <w:r w:rsidR="004D1885">
        <w:t xml:space="preserve"> </w:t>
      </w:r>
      <w:r w:rsidRPr="008C06F0">
        <w:t xml:space="preserve">and </w:t>
      </w:r>
      <w:proofErr w:type="spellStart"/>
      <w:r w:rsidRPr="008C06F0">
        <w:t>methylchloroisothiazolinone</w:t>
      </w:r>
      <w:proofErr w:type="spellEnd"/>
      <w:r w:rsidR="004D1885">
        <w:t xml:space="preserve"> </w:t>
      </w:r>
      <w:r>
        <w:t xml:space="preserve">(the </w:t>
      </w:r>
      <w:r w:rsidRPr="00F101CB">
        <w:rPr>
          <w:b/>
          <w:bCs/>
        </w:rPr>
        <w:t>Proposal</w:t>
      </w:r>
      <w:r>
        <w:t>)</w:t>
      </w:r>
      <w:r w:rsidR="00794984">
        <w:t xml:space="preserve">. </w:t>
      </w:r>
      <w:r>
        <w:t>Specifically, t</w:t>
      </w:r>
      <w:r w:rsidR="00794984">
        <w:t xml:space="preserve">he </w:t>
      </w:r>
      <w:r>
        <w:t>P</w:t>
      </w:r>
      <w:r w:rsidR="00794984">
        <w:t xml:space="preserve">roposal included creation of a new group entry in Schedule 6 of the Poisons Standard for </w:t>
      </w:r>
      <w:proofErr w:type="spellStart"/>
      <w:r w:rsidR="00794984">
        <w:t>isothiazolinones</w:t>
      </w:r>
      <w:proofErr w:type="spellEnd"/>
      <w:r w:rsidR="00794984">
        <w:t xml:space="preserve">, and amendment of the existing entries for methylisothiazolinone </w:t>
      </w:r>
      <w:r w:rsidR="0072103F">
        <w:t xml:space="preserve">(MI) </w:t>
      </w:r>
      <w:r w:rsidR="00794984">
        <w:t xml:space="preserve">and </w:t>
      </w:r>
      <w:proofErr w:type="spellStart"/>
      <w:r w:rsidR="00794984">
        <w:t>methylchlorothiazolinone</w:t>
      </w:r>
      <w:proofErr w:type="spellEnd"/>
      <w:r w:rsidR="00794984">
        <w:t xml:space="preserve"> </w:t>
      </w:r>
      <w:r w:rsidR="0072103F">
        <w:t xml:space="preserve">(MCI) </w:t>
      </w:r>
      <w:r w:rsidR="00794984">
        <w:t>to exempt</w:t>
      </w:r>
      <w:r w:rsidR="00BD36B4">
        <w:t xml:space="preserve"> appropriately labelled</w:t>
      </w:r>
      <w:r w:rsidR="00794984">
        <w:t xml:space="preserve"> preparations </w:t>
      </w:r>
      <w:r w:rsidR="0072103F">
        <w:t xml:space="preserve">not intended for direct application to the skin </w:t>
      </w:r>
      <w:r w:rsidR="00BD36B4">
        <w:t xml:space="preserve">that contain low levels of </w:t>
      </w:r>
      <w:proofErr w:type="spellStart"/>
      <w:r w:rsidR="00BD36B4">
        <w:t>isothiazolinones</w:t>
      </w:r>
      <w:proofErr w:type="spellEnd"/>
      <w:r w:rsidR="00794984">
        <w:t>.</w:t>
      </w:r>
    </w:p>
    <w:p w14:paraId="57F594A2" w14:textId="6E648C84" w:rsidR="00B22D6F" w:rsidRPr="00794984" w:rsidRDefault="00B22D6F" w:rsidP="006147BB">
      <w:pPr>
        <w:pStyle w:val="Heading4"/>
      </w:pPr>
      <w:r w:rsidRPr="00794984">
        <w:t xml:space="preserve">Interim Decision </w:t>
      </w:r>
    </w:p>
    <w:p w14:paraId="13D7DCBE" w14:textId="3677C6C2" w:rsidR="00794984" w:rsidRDefault="00B22D6F" w:rsidP="00B22D6F">
      <w:r w:rsidRPr="00C55FF4">
        <w:t xml:space="preserve">Pursuant to regulation 42ZCZN of the Regulations, a Delegate of the Secretary has, in relation to </w:t>
      </w:r>
      <w:r w:rsidR="008C06F0">
        <w:t>the Proposal</w:t>
      </w:r>
      <w:r w:rsidRPr="00C55FF4">
        <w:t xml:space="preserve">, made an interim decision </w:t>
      </w:r>
      <w:r w:rsidRPr="004531DC">
        <w:t xml:space="preserve">to </w:t>
      </w:r>
      <w:r w:rsidR="004531DC" w:rsidRPr="004531DC">
        <w:t xml:space="preserve">not </w:t>
      </w:r>
      <w:r w:rsidRPr="004531DC">
        <w:t xml:space="preserve">amend the current Poisons Standard in relation to </w:t>
      </w:r>
      <w:proofErr w:type="spellStart"/>
      <w:r w:rsidR="004531DC" w:rsidRPr="004531DC">
        <w:t>isothiazolinones</w:t>
      </w:r>
      <w:proofErr w:type="spellEnd"/>
      <w:r w:rsidR="004531DC" w:rsidRPr="004531DC">
        <w:t xml:space="preserve">, </w:t>
      </w:r>
      <w:r w:rsidR="0072103F">
        <w:t>MI</w:t>
      </w:r>
      <w:r w:rsidR="0072103F" w:rsidRPr="004531DC">
        <w:t xml:space="preserve"> </w:t>
      </w:r>
      <w:r w:rsidR="004531DC" w:rsidRPr="004531DC">
        <w:t xml:space="preserve">and </w:t>
      </w:r>
      <w:r w:rsidR="0072103F">
        <w:t>MCI</w:t>
      </w:r>
      <w:r w:rsidRPr="004531DC">
        <w:t>.</w:t>
      </w:r>
      <w:r w:rsidR="00291DF7">
        <w:t xml:space="preserve"> </w:t>
      </w:r>
      <w:r w:rsidR="00291DF7">
        <w:rPr>
          <w:rFonts w:asciiTheme="minorHAnsi" w:hAnsiTheme="minorHAnsi"/>
          <w:bCs/>
          <w:szCs w:val="22"/>
        </w:rPr>
        <w:t xml:space="preserve">The interim decision on this Proposal was previously deferred in September 2020, with the support of the Committee, pending provision of further information to </w:t>
      </w:r>
      <w:r w:rsidR="00291DF7">
        <w:rPr>
          <w:rFonts w:asciiTheme="minorHAnsi" w:hAnsiTheme="minorHAnsi"/>
          <w:bCs/>
          <w:szCs w:val="22"/>
        </w:rPr>
        <w:lastRenderedPageBreak/>
        <w:t xml:space="preserve">allow for consideration of appropriate cut-offs and for consultation with key industry stakeholders. </w:t>
      </w:r>
    </w:p>
    <w:p w14:paraId="43BE5461" w14:textId="77777777" w:rsidR="00B22D6F" w:rsidRPr="00794984" w:rsidRDefault="00B22D6F" w:rsidP="006147BB">
      <w:pPr>
        <w:pStyle w:val="Heading4"/>
      </w:pPr>
      <w:r w:rsidRPr="00794984">
        <w:t xml:space="preserve">Materials considered </w:t>
      </w:r>
    </w:p>
    <w:p w14:paraId="77B7E5F4" w14:textId="77777777" w:rsidR="00B22D6F" w:rsidRDefault="00B22D6F" w:rsidP="00B22D6F">
      <w:r>
        <w:t>In making this interim decision, the Delegate considered the following material:</w:t>
      </w:r>
    </w:p>
    <w:p w14:paraId="64FDB4E1" w14:textId="0368555C" w:rsidR="00B22D6F" w:rsidRDefault="00B22D6F" w:rsidP="00B22D6F">
      <w:pPr>
        <w:pStyle w:val="ListBullet"/>
        <w:numPr>
          <w:ilvl w:val="0"/>
          <w:numId w:val="3"/>
        </w:numPr>
      </w:pPr>
      <w:r w:rsidRPr="00C300D3">
        <w:t>The</w:t>
      </w:r>
      <w:r w:rsidR="00870360">
        <w:t xml:space="preserve"> </w:t>
      </w:r>
      <w:hyperlink r:id="rId14" w:history="1">
        <w:r w:rsidR="00870360" w:rsidRPr="00870360">
          <w:rPr>
            <w:rStyle w:val="Hyperlink"/>
          </w:rPr>
          <w:t>Proposal</w:t>
        </w:r>
      </w:hyperlink>
      <w:r w:rsidR="006147BB">
        <w:rPr>
          <w:rStyle w:val="Hyperlink"/>
        </w:rPr>
        <w:t xml:space="preserve"> </w:t>
      </w:r>
      <w:r w:rsidR="006147BB" w:rsidRPr="003D69DF">
        <w:rPr>
          <w:rFonts w:asciiTheme="minorHAnsi" w:hAnsiTheme="minorHAnsi"/>
        </w:rPr>
        <w:t xml:space="preserve">to amend the current Poisons Standard with respect to </w:t>
      </w:r>
      <w:proofErr w:type="spellStart"/>
      <w:r w:rsidR="006147BB" w:rsidRPr="008C06F0">
        <w:t>isothiazolinones</w:t>
      </w:r>
      <w:proofErr w:type="spellEnd"/>
      <w:r w:rsidR="006147BB" w:rsidRPr="008C06F0">
        <w:t>, methylisothiazolinone</w:t>
      </w:r>
      <w:r w:rsidR="006147BB">
        <w:t xml:space="preserve"> </w:t>
      </w:r>
      <w:r w:rsidR="006147BB" w:rsidRPr="008C06F0">
        <w:t xml:space="preserve">and </w:t>
      </w:r>
      <w:proofErr w:type="spellStart"/>
      <w:r w:rsidR="006147BB" w:rsidRPr="008C06F0">
        <w:t>methylchloroisothiazolinone</w:t>
      </w:r>
      <w:proofErr w:type="spellEnd"/>
      <w:r w:rsidR="00644296">
        <w:t xml:space="preserve"> (the </w:t>
      </w:r>
      <w:r w:rsidR="00644296" w:rsidRPr="00F101CB">
        <w:rPr>
          <w:b/>
          <w:bCs/>
        </w:rPr>
        <w:t>Proposal</w:t>
      </w:r>
      <w:r w:rsidR="00644296">
        <w:t>)</w:t>
      </w:r>
      <w:r w:rsidR="00F24A60">
        <w:t>;</w:t>
      </w:r>
      <w:r w:rsidRPr="00C300D3">
        <w:t xml:space="preserve"> </w:t>
      </w:r>
    </w:p>
    <w:p w14:paraId="741103A9" w14:textId="222889F6" w:rsidR="00B22D6F" w:rsidRDefault="00B22D6F" w:rsidP="00B22D6F">
      <w:pPr>
        <w:pStyle w:val="ListBullet"/>
        <w:numPr>
          <w:ilvl w:val="0"/>
          <w:numId w:val="3"/>
        </w:numPr>
      </w:pPr>
      <w:r>
        <w:t xml:space="preserve">The </w:t>
      </w:r>
      <w:r w:rsidR="004531DC">
        <w:t>15</w:t>
      </w:r>
      <w:r>
        <w:t xml:space="preserve"> </w:t>
      </w:r>
      <w:hyperlink r:id="rId15" w:history="1">
        <w:r w:rsidRPr="00F44B33">
          <w:rPr>
            <w:rStyle w:val="Hyperlink"/>
          </w:rPr>
          <w:t>public submissions</w:t>
        </w:r>
      </w:hyperlink>
      <w:r w:rsidRPr="00F44B33">
        <w:t xml:space="preserve"> received</w:t>
      </w:r>
      <w:r>
        <w:t xml:space="preserve"> in response to the </w:t>
      </w:r>
      <w:r w:rsidRPr="0072652C">
        <w:t>pre-meeting consultation</w:t>
      </w:r>
      <w:r>
        <w:t xml:space="preserve"> under regulation 42ZCZK of the Regulations</w:t>
      </w:r>
      <w:r w:rsidR="00F24A60">
        <w:t>;</w:t>
      </w:r>
      <w:r>
        <w:t xml:space="preserve"> </w:t>
      </w:r>
    </w:p>
    <w:p w14:paraId="4BC66820" w14:textId="2CDFEA5E" w:rsidR="00B22D6F" w:rsidRDefault="00B22D6F" w:rsidP="00B22D6F">
      <w:pPr>
        <w:pStyle w:val="ListBullet"/>
        <w:numPr>
          <w:ilvl w:val="0"/>
          <w:numId w:val="3"/>
        </w:numPr>
      </w:pPr>
      <w:r>
        <w:t>The advice received from th</w:t>
      </w:r>
      <w:r w:rsidRPr="00C51001">
        <w:t xml:space="preserve">e </w:t>
      </w:r>
      <w:r w:rsidR="008C06F0">
        <w:t>25</w:t>
      </w:r>
      <w:r w:rsidR="008C06F0" w:rsidRPr="00870360">
        <w:rPr>
          <w:vertAlign w:val="superscript"/>
        </w:rPr>
        <w:t>th</w:t>
      </w:r>
      <w:r w:rsidR="008C06F0">
        <w:t xml:space="preserve"> </w:t>
      </w:r>
      <w:r w:rsidR="00517BAB">
        <w:t>m</w:t>
      </w:r>
      <w:r w:rsidRPr="00C51001">
        <w:t>eeting of th</w:t>
      </w:r>
      <w:r>
        <w:t>e Advisory Committee</w:t>
      </w:r>
      <w:r w:rsidR="00517BAB">
        <w:t>s</w:t>
      </w:r>
      <w:r>
        <w:t xml:space="preserve"> on Medicines and Chemicals Scheduling </w:t>
      </w:r>
      <w:r w:rsidR="004531DC">
        <w:t xml:space="preserve">in </w:t>
      </w:r>
      <w:r>
        <w:t>joint session</w:t>
      </w:r>
      <w:r w:rsidR="004531DC">
        <w:t xml:space="preserve"> </w:t>
      </w:r>
      <w:r>
        <w:t>(</w:t>
      </w:r>
      <w:r w:rsidR="00517BAB">
        <w:t xml:space="preserve">the </w:t>
      </w:r>
      <w:r w:rsidR="00517BAB" w:rsidRPr="00870360">
        <w:rPr>
          <w:b/>
          <w:bCs/>
        </w:rPr>
        <w:t>Committee</w:t>
      </w:r>
      <w:proofErr w:type="gramStart"/>
      <w:r w:rsidRPr="00C51001">
        <w:t>);</w:t>
      </w:r>
      <w:proofErr w:type="gramEnd"/>
    </w:p>
    <w:p w14:paraId="159565AD" w14:textId="01062EE7" w:rsidR="00B22D6F" w:rsidRDefault="00B22D6F" w:rsidP="00B22D6F">
      <w:pPr>
        <w:pStyle w:val="ListBullet"/>
        <w:numPr>
          <w:ilvl w:val="0"/>
          <w:numId w:val="3"/>
        </w:numPr>
      </w:pPr>
      <w:r w:rsidRPr="001169AC">
        <w:t>Subsection 52</w:t>
      </w:r>
      <w:proofErr w:type="gramStart"/>
      <w:r w:rsidRPr="001169AC">
        <w:t>E(</w:t>
      </w:r>
      <w:proofErr w:type="gramEnd"/>
      <w:r w:rsidRPr="001169AC">
        <w:t xml:space="preserve">1) of </w:t>
      </w:r>
      <w:r w:rsidRPr="001169AC">
        <w:rPr>
          <w:i/>
        </w:rPr>
        <w:t>the Therapeutic Goods Act 1989</w:t>
      </w:r>
      <w:r w:rsidR="00517BAB">
        <w:rPr>
          <w:iCs/>
        </w:rPr>
        <w:t xml:space="preserve"> </w:t>
      </w:r>
      <w:r w:rsidR="000E54E3">
        <w:rPr>
          <w:iCs/>
        </w:rPr>
        <w:t>(</w:t>
      </w:r>
      <w:proofErr w:type="spellStart"/>
      <w:r w:rsidR="000E54E3">
        <w:rPr>
          <w:iCs/>
        </w:rPr>
        <w:t>Cth</w:t>
      </w:r>
      <w:proofErr w:type="spellEnd"/>
      <w:r w:rsidR="000E54E3">
        <w:rPr>
          <w:iCs/>
        </w:rPr>
        <w:t xml:space="preserve">) </w:t>
      </w:r>
      <w:r w:rsidR="00517BAB">
        <w:rPr>
          <w:iCs/>
        </w:rPr>
        <w:t xml:space="preserve">(the </w:t>
      </w:r>
      <w:r w:rsidR="00517BAB" w:rsidRPr="00870360">
        <w:rPr>
          <w:b/>
          <w:bCs/>
          <w:iCs/>
        </w:rPr>
        <w:t>Act</w:t>
      </w:r>
      <w:r w:rsidR="00517BAB">
        <w:rPr>
          <w:iCs/>
        </w:rPr>
        <w:t>)</w:t>
      </w:r>
      <w:r w:rsidRPr="001169AC">
        <w:t xml:space="preserve">, in particular (a) the risks and benefits of the use of a substance; (b) the purposes for which a substance is to be used and the extent of use of a substance; (c) the toxicity of a substance; </w:t>
      </w:r>
      <w:r w:rsidR="008A65EA">
        <w:t xml:space="preserve">and </w:t>
      </w:r>
      <w:r w:rsidRPr="001169AC">
        <w:t>(d) the dosage, formulation, labelling, packaging and presentation of a substance</w:t>
      </w:r>
      <w:r w:rsidR="00F24A60">
        <w:t>;</w:t>
      </w:r>
    </w:p>
    <w:p w14:paraId="1F6A4D5B" w14:textId="7FE7CB95" w:rsidR="00B22D6F" w:rsidRDefault="00B22D6F" w:rsidP="00B22D6F">
      <w:pPr>
        <w:pStyle w:val="ListBullet"/>
        <w:numPr>
          <w:ilvl w:val="0"/>
          <w:numId w:val="3"/>
        </w:numPr>
      </w:pPr>
      <w:r w:rsidRPr="002C1418">
        <w:t xml:space="preserve">The </w:t>
      </w:r>
      <w:hyperlink r:id="rId16" w:history="1">
        <w:r w:rsidRPr="001A7580">
          <w:rPr>
            <w:rStyle w:val="Hyperlink"/>
          </w:rPr>
          <w:t>Scheduling Policy Framework</w:t>
        </w:r>
      </w:hyperlink>
      <w:r>
        <w:t xml:space="preserve"> </w:t>
      </w:r>
      <w:r w:rsidR="00517BAB">
        <w:t xml:space="preserve">2018 </w:t>
      </w:r>
      <w:r>
        <w:t>(</w:t>
      </w:r>
      <w:r w:rsidR="00517BAB">
        <w:t xml:space="preserve">the </w:t>
      </w:r>
      <w:r w:rsidRPr="00870360">
        <w:rPr>
          <w:b/>
          <w:bCs/>
        </w:rPr>
        <w:t>SPF</w:t>
      </w:r>
      <w:r>
        <w:t>)</w:t>
      </w:r>
      <w:r w:rsidR="00517BAB">
        <w:t xml:space="preserve"> pursuant to subsection 52E(2)</w:t>
      </w:r>
      <w:r w:rsidR="006147BB">
        <w:t>(a)</w:t>
      </w:r>
      <w:r w:rsidR="00517BAB">
        <w:t xml:space="preserve"> of the Act</w:t>
      </w:r>
      <w:r>
        <w:t xml:space="preserve">; </w:t>
      </w:r>
      <w:r w:rsidR="00FB3BFE">
        <w:t>and</w:t>
      </w:r>
    </w:p>
    <w:p w14:paraId="75B1C1D5" w14:textId="74766549" w:rsidR="00B22D6F" w:rsidRDefault="00B22D6F" w:rsidP="00FB3BFE">
      <w:pPr>
        <w:pStyle w:val="ListBullet"/>
        <w:numPr>
          <w:ilvl w:val="0"/>
          <w:numId w:val="3"/>
        </w:numPr>
      </w:pPr>
      <w:r>
        <w:t xml:space="preserve">The </w:t>
      </w:r>
      <w:hyperlink r:id="rId17" w:history="1">
        <w:r w:rsidRPr="001A7580">
          <w:rPr>
            <w:rStyle w:val="Hyperlink"/>
          </w:rPr>
          <w:t>Scheduling handbook: Guidance for amending the Poisons Standard</w:t>
        </w:r>
      </w:hyperlink>
      <w:r w:rsidR="00FB3BFE">
        <w:t>.</w:t>
      </w:r>
    </w:p>
    <w:p w14:paraId="15600152" w14:textId="63055196" w:rsidR="000904AB" w:rsidRPr="00794984" w:rsidRDefault="000904AB" w:rsidP="006147BB">
      <w:pPr>
        <w:pStyle w:val="Heading4"/>
        <w:rPr>
          <w:rStyle w:val="Heading6Char"/>
          <w:rFonts w:eastAsia="Cambria"/>
          <w:b/>
          <w:bCs/>
          <w:i/>
          <w:iCs w:val="0"/>
          <w:sz w:val="26"/>
          <w:szCs w:val="26"/>
        </w:rPr>
      </w:pPr>
      <w:r w:rsidRPr="00794984">
        <w:t xml:space="preserve">Summary of </w:t>
      </w:r>
      <w:r w:rsidR="00517BAB">
        <w:t>Committee</w:t>
      </w:r>
      <w:r w:rsidRPr="00794984">
        <w:t xml:space="preserve"> advice to the Delegate</w:t>
      </w:r>
    </w:p>
    <w:p w14:paraId="54D17F92" w14:textId="374183DE" w:rsidR="00B22D6F" w:rsidRDefault="00B22D6F" w:rsidP="00B22D6F">
      <w:r>
        <w:t>The Committee recommended that</w:t>
      </w:r>
      <w:r w:rsidR="00FB3BFE">
        <w:t xml:space="preserve"> the Delegate defer </w:t>
      </w:r>
      <w:r w:rsidR="00517BAB">
        <w:t xml:space="preserve">their interim decision </w:t>
      </w:r>
      <w:r w:rsidR="00FB3BFE">
        <w:t>until June 2021, pending the provision of further information to allow for consideration of appropriate cut-offs and for consultation with key industry stakeholders that will be affected by any change in the scheduling of these substances</w:t>
      </w:r>
      <w:r>
        <w:t>.</w:t>
      </w:r>
    </w:p>
    <w:p w14:paraId="23D2A869" w14:textId="2931A4DC" w:rsidR="00F44B33" w:rsidRPr="00AB71C7" w:rsidRDefault="00F44B33" w:rsidP="00F44B33">
      <w:pPr>
        <w:pStyle w:val="ListBullet"/>
        <w:numPr>
          <w:ilvl w:val="0"/>
          <w:numId w:val="0"/>
        </w:numPr>
      </w:pPr>
      <w:r>
        <w:t xml:space="preserve">As the Committee’s recommendation </w:t>
      </w:r>
      <w:r w:rsidR="00517BAB">
        <w:t>was</w:t>
      </w:r>
      <w:r>
        <w:t xml:space="preserve"> to defer </w:t>
      </w:r>
      <w:r w:rsidR="00B71B43">
        <w:t>the Delegate’s interim decision</w:t>
      </w:r>
      <w:r>
        <w:t xml:space="preserve"> until June 2021, pending the provision of further information,</w:t>
      </w:r>
      <w:r w:rsidR="00517BAB">
        <w:t xml:space="preserve"> </w:t>
      </w:r>
      <w:r w:rsidR="00B71B43">
        <w:t>the Committee</w:t>
      </w:r>
      <w:r w:rsidR="00517BAB">
        <w:t xml:space="preserve"> did not </w:t>
      </w:r>
      <w:r w:rsidR="008C06F0">
        <w:t xml:space="preserve">advise on the application of the criteria in subsection </w:t>
      </w:r>
      <w:r>
        <w:t>52</w:t>
      </w:r>
      <w:proofErr w:type="gramStart"/>
      <w:r>
        <w:t>E</w:t>
      </w:r>
      <w:r w:rsidR="008C06F0">
        <w:t>(</w:t>
      </w:r>
      <w:proofErr w:type="gramEnd"/>
      <w:r w:rsidR="008C06F0">
        <w:t>1)</w:t>
      </w:r>
      <w:r>
        <w:t xml:space="preserve"> </w:t>
      </w:r>
      <w:r w:rsidR="008C06F0">
        <w:t>of the Act to the Proposal</w:t>
      </w:r>
      <w:r>
        <w:t>.</w:t>
      </w:r>
    </w:p>
    <w:p w14:paraId="0417DB1C" w14:textId="77777777" w:rsidR="00B22D6F" w:rsidRPr="00794984" w:rsidRDefault="00B22D6F" w:rsidP="006147BB">
      <w:pPr>
        <w:pStyle w:val="Heading4"/>
      </w:pPr>
      <w:r w:rsidRPr="00794984">
        <w:t>Reasons for the interim decision (including findings on material questions of fact)</w:t>
      </w:r>
    </w:p>
    <w:p w14:paraId="08FBDD2B" w14:textId="1FBCB1D8" w:rsidR="00D12212" w:rsidRDefault="00B22D6F" w:rsidP="00F148E4">
      <w:pPr>
        <w:spacing w:after="240"/>
        <w:rPr>
          <w:rFonts w:asciiTheme="minorHAnsi" w:hAnsiTheme="minorHAnsi"/>
          <w:bCs/>
          <w:szCs w:val="22"/>
        </w:rPr>
      </w:pPr>
      <w:r w:rsidRPr="002D0EDB">
        <w:rPr>
          <w:rFonts w:asciiTheme="minorHAnsi" w:hAnsiTheme="minorHAnsi"/>
          <w:bCs/>
          <w:szCs w:val="22"/>
        </w:rPr>
        <w:t>I have made an interim decision</w:t>
      </w:r>
      <w:r>
        <w:rPr>
          <w:rFonts w:asciiTheme="minorHAnsi" w:hAnsiTheme="minorHAnsi"/>
          <w:bCs/>
          <w:szCs w:val="22"/>
        </w:rPr>
        <w:t xml:space="preserve"> </w:t>
      </w:r>
      <w:r w:rsidRPr="00F148E4">
        <w:rPr>
          <w:rFonts w:asciiTheme="minorHAnsi" w:hAnsiTheme="minorHAnsi"/>
          <w:bCs/>
          <w:szCs w:val="22"/>
        </w:rPr>
        <w:t xml:space="preserve">to </w:t>
      </w:r>
      <w:r w:rsidR="00FB3BFE" w:rsidRPr="00F148E4">
        <w:rPr>
          <w:rFonts w:asciiTheme="minorHAnsi" w:hAnsiTheme="minorHAnsi"/>
          <w:bCs/>
          <w:szCs w:val="22"/>
        </w:rPr>
        <w:t xml:space="preserve">not </w:t>
      </w:r>
      <w:r w:rsidRPr="00F148E4">
        <w:rPr>
          <w:rFonts w:asciiTheme="minorHAnsi" w:hAnsiTheme="minorHAnsi"/>
          <w:bCs/>
          <w:szCs w:val="22"/>
        </w:rPr>
        <w:t>amend</w:t>
      </w:r>
      <w:r w:rsidRPr="002D0EDB">
        <w:rPr>
          <w:rFonts w:asciiTheme="minorHAnsi" w:hAnsiTheme="minorHAnsi"/>
          <w:bCs/>
          <w:szCs w:val="22"/>
        </w:rPr>
        <w:t xml:space="preserve"> the current Poisons Standard in relation </w:t>
      </w:r>
      <w:r w:rsidR="00FB3BFE">
        <w:rPr>
          <w:rFonts w:asciiTheme="minorHAnsi" w:hAnsiTheme="minorHAnsi"/>
          <w:bCs/>
          <w:szCs w:val="22"/>
        </w:rPr>
        <w:t xml:space="preserve">to </w:t>
      </w:r>
      <w:proofErr w:type="spellStart"/>
      <w:r w:rsidR="00FB3BFE">
        <w:rPr>
          <w:rFonts w:asciiTheme="minorHAnsi" w:hAnsiTheme="minorHAnsi"/>
          <w:bCs/>
          <w:szCs w:val="22"/>
        </w:rPr>
        <w:t>isothiazolinones</w:t>
      </w:r>
      <w:proofErr w:type="spellEnd"/>
      <w:r w:rsidR="00FB3BFE">
        <w:rPr>
          <w:rFonts w:asciiTheme="minorHAnsi" w:hAnsiTheme="minorHAnsi"/>
          <w:bCs/>
          <w:szCs w:val="22"/>
        </w:rPr>
        <w:t xml:space="preserve">, </w:t>
      </w:r>
      <w:r w:rsidR="00DF4076">
        <w:rPr>
          <w:rFonts w:asciiTheme="minorHAnsi" w:hAnsiTheme="minorHAnsi"/>
          <w:bCs/>
          <w:szCs w:val="22"/>
        </w:rPr>
        <w:t xml:space="preserve">MI </w:t>
      </w:r>
      <w:r w:rsidR="00FB3BFE">
        <w:rPr>
          <w:rFonts w:asciiTheme="minorHAnsi" w:hAnsiTheme="minorHAnsi"/>
          <w:bCs/>
          <w:szCs w:val="22"/>
        </w:rPr>
        <w:t xml:space="preserve">and </w:t>
      </w:r>
      <w:r w:rsidR="00DF4076">
        <w:rPr>
          <w:rFonts w:asciiTheme="minorHAnsi" w:hAnsiTheme="minorHAnsi"/>
          <w:bCs/>
          <w:szCs w:val="22"/>
        </w:rPr>
        <w:t>MCI</w:t>
      </w:r>
      <w:r>
        <w:rPr>
          <w:rFonts w:asciiTheme="minorHAnsi" w:hAnsiTheme="minorHAnsi"/>
          <w:bCs/>
          <w:szCs w:val="22"/>
        </w:rPr>
        <w:t>.</w:t>
      </w:r>
    </w:p>
    <w:p w14:paraId="4BB48B60" w14:textId="7F4CC475" w:rsidR="008E4D29" w:rsidRDefault="008E4D29" w:rsidP="00F148E4">
      <w:pPr>
        <w:spacing w:after="240"/>
        <w:rPr>
          <w:rFonts w:asciiTheme="minorHAnsi" w:hAnsiTheme="minorHAnsi"/>
          <w:bCs/>
          <w:szCs w:val="22"/>
        </w:rPr>
      </w:pPr>
      <w:r>
        <w:rPr>
          <w:rFonts w:asciiTheme="minorHAnsi" w:hAnsiTheme="minorHAnsi"/>
          <w:bCs/>
          <w:szCs w:val="22"/>
        </w:rPr>
        <w:t>I</w:t>
      </w:r>
      <w:r w:rsidR="00B532AF">
        <w:rPr>
          <w:rFonts w:asciiTheme="minorHAnsi" w:hAnsiTheme="minorHAnsi"/>
          <w:bCs/>
          <w:szCs w:val="22"/>
        </w:rPr>
        <w:t xml:space="preserve">n </w:t>
      </w:r>
      <w:r w:rsidR="007456BB">
        <w:rPr>
          <w:rFonts w:asciiTheme="minorHAnsi" w:hAnsiTheme="minorHAnsi"/>
          <w:bCs/>
          <w:szCs w:val="22"/>
        </w:rPr>
        <w:t>reviewing</w:t>
      </w:r>
      <w:r w:rsidR="00B532AF">
        <w:rPr>
          <w:rFonts w:asciiTheme="minorHAnsi" w:hAnsiTheme="minorHAnsi"/>
          <w:bCs/>
          <w:szCs w:val="22"/>
        </w:rPr>
        <w:t xml:space="preserve"> the </w:t>
      </w:r>
      <w:r w:rsidR="007456BB">
        <w:rPr>
          <w:rFonts w:asciiTheme="minorHAnsi" w:hAnsiTheme="minorHAnsi"/>
          <w:bCs/>
          <w:szCs w:val="22"/>
        </w:rPr>
        <w:t>P</w:t>
      </w:r>
      <w:r w:rsidR="00B532AF">
        <w:rPr>
          <w:rFonts w:asciiTheme="minorHAnsi" w:hAnsiTheme="minorHAnsi"/>
          <w:bCs/>
          <w:szCs w:val="22"/>
        </w:rPr>
        <w:t>roposal</w:t>
      </w:r>
      <w:r w:rsidR="007456BB">
        <w:rPr>
          <w:rFonts w:asciiTheme="minorHAnsi" w:hAnsiTheme="minorHAnsi"/>
          <w:bCs/>
          <w:szCs w:val="22"/>
        </w:rPr>
        <w:t xml:space="preserve"> and conducting further analysis of the data available on </w:t>
      </w:r>
      <w:proofErr w:type="spellStart"/>
      <w:r w:rsidR="007456BB">
        <w:rPr>
          <w:rFonts w:asciiTheme="minorHAnsi" w:hAnsiTheme="minorHAnsi"/>
          <w:bCs/>
          <w:szCs w:val="22"/>
        </w:rPr>
        <w:t>isothiazolinones</w:t>
      </w:r>
      <w:proofErr w:type="spellEnd"/>
      <w:r w:rsidR="00B532AF">
        <w:rPr>
          <w:rFonts w:asciiTheme="minorHAnsi" w:hAnsiTheme="minorHAnsi"/>
          <w:bCs/>
          <w:szCs w:val="22"/>
        </w:rPr>
        <w:t>,</w:t>
      </w:r>
      <w:r w:rsidR="007456BB">
        <w:rPr>
          <w:rFonts w:asciiTheme="minorHAnsi" w:hAnsiTheme="minorHAnsi"/>
          <w:bCs/>
          <w:szCs w:val="22"/>
        </w:rPr>
        <w:t xml:space="preserve"> </w:t>
      </w:r>
      <w:r w:rsidR="00B532AF">
        <w:rPr>
          <w:rFonts w:asciiTheme="minorHAnsi" w:hAnsiTheme="minorHAnsi"/>
          <w:bCs/>
          <w:szCs w:val="22"/>
        </w:rPr>
        <w:t>I</w:t>
      </w:r>
      <w:r>
        <w:rPr>
          <w:rFonts w:asciiTheme="minorHAnsi" w:hAnsiTheme="minorHAnsi"/>
          <w:bCs/>
          <w:szCs w:val="22"/>
        </w:rPr>
        <w:t xml:space="preserve"> note that </w:t>
      </w:r>
      <w:proofErr w:type="spellStart"/>
      <w:r w:rsidR="0051611F">
        <w:rPr>
          <w:rFonts w:asciiTheme="minorHAnsi" w:hAnsiTheme="minorHAnsi"/>
          <w:bCs/>
          <w:szCs w:val="22"/>
        </w:rPr>
        <w:t>isothiazolinones</w:t>
      </w:r>
      <w:proofErr w:type="spellEnd"/>
      <w:r w:rsidR="004D1885">
        <w:rPr>
          <w:rFonts w:asciiTheme="minorHAnsi" w:hAnsiTheme="minorHAnsi"/>
          <w:bCs/>
          <w:szCs w:val="22"/>
        </w:rPr>
        <w:t>, including MI and MCI,</w:t>
      </w:r>
      <w:r>
        <w:rPr>
          <w:rFonts w:asciiTheme="minorHAnsi" w:hAnsiTheme="minorHAnsi"/>
          <w:bCs/>
          <w:szCs w:val="22"/>
        </w:rPr>
        <w:t xml:space="preserve"> </w:t>
      </w:r>
      <w:r w:rsidR="00553A5B">
        <w:rPr>
          <w:rFonts w:asciiTheme="minorHAnsi" w:hAnsiTheme="minorHAnsi"/>
          <w:bCs/>
          <w:szCs w:val="22"/>
        </w:rPr>
        <w:t>are not considered hazardous to human</w:t>
      </w:r>
      <w:r>
        <w:rPr>
          <w:rFonts w:asciiTheme="minorHAnsi" w:hAnsiTheme="minorHAnsi"/>
          <w:bCs/>
          <w:szCs w:val="22"/>
        </w:rPr>
        <w:t xml:space="preserve"> reproduction or development at the concentrations found in a wide range of consumer products, such as cosmetics, paint </w:t>
      </w:r>
      <w:r w:rsidR="00805802">
        <w:rPr>
          <w:rFonts w:asciiTheme="minorHAnsi" w:hAnsiTheme="minorHAnsi"/>
          <w:bCs/>
          <w:szCs w:val="22"/>
        </w:rPr>
        <w:t xml:space="preserve">and coating </w:t>
      </w:r>
      <w:r>
        <w:rPr>
          <w:rFonts w:asciiTheme="minorHAnsi" w:hAnsiTheme="minorHAnsi"/>
          <w:bCs/>
          <w:szCs w:val="22"/>
        </w:rPr>
        <w:t xml:space="preserve">products, </w:t>
      </w:r>
      <w:r w:rsidR="00805802">
        <w:rPr>
          <w:rFonts w:asciiTheme="minorHAnsi" w:hAnsiTheme="minorHAnsi"/>
          <w:bCs/>
          <w:szCs w:val="22"/>
        </w:rPr>
        <w:t xml:space="preserve">cleaning products, </w:t>
      </w:r>
      <w:proofErr w:type="gramStart"/>
      <w:r>
        <w:rPr>
          <w:rFonts w:asciiTheme="minorHAnsi" w:hAnsiTheme="minorHAnsi"/>
          <w:bCs/>
          <w:szCs w:val="22"/>
        </w:rPr>
        <w:t>medicines</w:t>
      </w:r>
      <w:proofErr w:type="gramEnd"/>
      <w:r>
        <w:rPr>
          <w:rFonts w:asciiTheme="minorHAnsi" w:hAnsiTheme="minorHAnsi"/>
          <w:bCs/>
          <w:szCs w:val="22"/>
        </w:rPr>
        <w:t xml:space="preserve"> and agricultural </w:t>
      </w:r>
      <w:r w:rsidR="004D1885">
        <w:rPr>
          <w:rFonts w:asciiTheme="minorHAnsi" w:hAnsiTheme="minorHAnsi"/>
          <w:bCs/>
          <w:szCs w:val="22"/>
        </w:rPr>
        <w:t xml:space="preserve">and veterinary </w:t>
      </w:r>
      <w:r>
        <w:rPr>
          <w:rFonts w:asciiTheme="minorHAnsi" w:hAnsiTheme="minorHAnsi"/>
          <w:bCs/>
          <w:szCs w:val="22"/>
        </w:rPr>
        <w:t>products.</w:t>
      </w:r>
      <w:r w:rsidR="00805802">
        <w:rPr>
          <w:rFonts w:asciiTheme="minorHAnsi" w:hAnsiTheme="minorHAnsi"/>
          <w:bCs/>
          <w:szCs w:val="22"/>
        </w:rPr>
        <w:t xml:space="preserve"> </w:t>
      </w:r>
      <w:r w:rsidR="00553A5B">
        <w:rPr>
          <w:rFonts w:asciiTheme="minorHAnsi" w:hAnsiTheme="minorHAnsi"/>
          <w:bCs/>
          <w:szCs w:val="22"/>
        </w:rPr>
        <w:t xml:space="preserve">However, </w:t>
      </w:r>
      <w:r w:rsidR="00805802">
        <w:rPr>
          <w:rFonts w:asciiTheme="minorHAnsi" w:hAnsiTheme="minorHAnsi"/>
          <w:bCs/>
          <w:szCs w:val="22"/>
        </w:rPr>
        <w:t>MI and MCI</w:t>
      </w:r>
      <w:r w:rsidR="006D7B47">
        <w:rPr>
          <w:rFonts w:asciiTheme="minorHAnsi" w:hAnsiTheme="minorHAnsi"/>
          <w:bCs/>
          <w:szCs w:val="22"/>
        </w:rPr>
        <w:t xml:space="preserve"> have</w:t>
      </w:r>
      <w:r w:rsidR="00DF4076">
        <w:rPr>
          <w:rFonts w:asciiTheme="minorHAnsi" w:hAnsiTheme="minorHAnsi"/>
          <w:bCs/>
          <w:szCs w:val="22"/>
        </w:rPr>
        <w:t xml:space="preserve"> the potential to cause </w:t>
      </w:r>
      <w:r w:rsidR="00BB2048">
        <w:rPr>
          <w:rFonts w:asciiTheme="minorHAnsi" w:hAnsiTheme="minorHAnsi"/>
          <w:bCs/>
          <w:szCs w:val="22"/>
        </w:rPr>
        <w:t xml:space="preserve">severe damage </w:t>
      </w:r>
      <w:r>
        <w:rPr>
          <w:rFonts w:asciiTheme="minorHAnsi" w:hAnsiTheme="minorHAnsi"/>
          <w:bCs/>
          <w:szCs w:val="22"/>
        </w:rPr>
        <w:t>to the eyes and are known skin sensitisers</w:t>
      </w:r>
      <w:r w:rsidR="00805802">
        <w:rPr>
          <w:rFonts w:asciiTheme="minorHAnsi" w:hAnsiTheme="minorHAnsi"/>
          <w:bCs/>
          <w:szCs w:val="22"/>
        </w:rPr>
        <w:t xml:space="preserve"> above certain concentrations</w:t>
      </w:r>
      <w:r w:rsidR="00DF4076">
        <w:rPr>
          <w:rFonts w:asciiTheme="minorHAnsi" w:hAnsiTheme="minorHAnsi"/>
          <w:bCs/>
          <w:szCs w:val="22"/>
        </w:rPr>
        <w:t>. T</w:t>
      </w:r>
      <w:r w:rsidR="00805802">
        <w:rPr>
          <w:rFonts w:asciiTheme="minorHAnsi" w:hAnsiTheme="minorHAnsi"/>
          <w:bCs/>
          <w:szCs w:val="22"/>
        </w:rPr>
        <w:t xml:space="preserve">hese </w:t>
      </w:r>
      <w:r>
        <w:rPr>
          <w:rFonts w:asciiTheme="minorHAnsi" w:hAnsiTheme="minorHAnsi"/>
          <w:bCs/>
          <w:szCs w:val="22"/>
        </w:rPr>
        <w:t xml:space="preserve">are </w:t>
      </w:r>
      <w:r w:rsidR="0051611F">
        <w:rPr>
          <w:rFonts w:asciiTheme="minorHAnsi" w:hAnsiTheme="minorHAnsi"/>
          <w:bCs/>
          <w:szCs w:val="22"/>
        </w:rPr>
        <w:t xml:space="preserve">the </w:t>
      </w:r>
      <w:r>
        <w:rPr>
          <w:rFonts w:asciiTheme="minorHAnsi" w:hAnsiTheme="minorHAnsi"/>
          <w:bCs/>
          <w:szCs w:val="22"/>
        </w:rPr>
        <w:t>key factors in the current Schedule 6 classification in the Poisons Standard</w:t>
      </w:r>
      <w:r w:rsidR="0072103F">
        <w:rPr>
          <w:rFonts w:asciiTheme="minorHAnsi" w:hAnsiTheme="minorHAnsi"/>
          <w:bCs/>
          <w:szCs w:val="22"/>
        </w:rPr>
        <w:t xml:space="preserve"> for these two substances</w:t>
      </w:r>
      <w:r w:rsidR="00805802">
        <w:rPr>
          <w:rFonts w:asciiTheme="minorHAnsi" w:hAnsiTheme="minorHAnsi"/>
          <w:bCs/>
          <w:szCs w:val="22"/>
        </w:rPr>
        <w:t>.</w:t>
      </w:r>
    </w:p>
    <w:p w14:paraId="5FE38057" w14:textId="080A96C8" w:rsidR="00DF4076" w:rsidRDefault="0051611F" w:rsidP="00F148E4">
      <w:pPr>
        <w:spacing w:after="240"/>
        <w:rPr>
          <w:rFonts w:asciiTheme="minorHAnsi" w:hAnsiTheme="minorHAnsi"/>
          <w:bCs/>
          <w:szCs w:val="22"/>
        </w:rPr>
      </w:pPr>
      <w:r>
        <w:rPr>
          <w:rFonts w:asciiTheme="minorHAnsi" w:hAnsiTheme="minorHAnsi"/>
          <w:bCs/>
          <w:szCs w:val="22"/>
        </w:rPr>
        <w:t xml:space="preserve">The Proposal </w:t>
      </w:r>
      <w:r w:rsidR="00644296">
        <w:rPr>
          <w:rFonts w:asciiTheme="minorHAnsi" w:hAnsiTheme="minorHAnsi"/>
          <w:bCs/>
          <w:szCs w:val="22"/>
        </w:rPr>
        <w:t>is to implement</w:t>
      </w:r>
      <w:r>
        <w:rPr>
          <w:rFonts w:asciiTheme="minorHAnsi" w:hAnsiTheme="minorHAnsi"/>
          <w:bCs/>
          <w:szCs w:val="22"/>
        </w:rPr>
        <w:t xml:space="preserve"> a </w:t>
      </w:r>
      <w:r w:rsidR="00564010">
        <w:rPr>
          <w:rFonts w:asciiTheme="minorHAnsi" w:hAnsiTheme="minorHAnsi"/>
          <w:bCs/>
          <w:szCs w:val="22"/>
        </w:rPr>
        <w:t xml:space="preserve">0.05 per cent </w:t>
      </w:r>
      <w:r w:rsidR="002C139C">
        <w:rPr>
          <w:rFonts w:asciiTheme="minorHAnsi" w:hAnsiTheme="minorHAnsi"/>
          <w:bCs/>
          <w:szCs w:val="22"/>
        </w:rPr>
        <w:t xml:space="preserve">cut-off </w:t>
      </w:r>
      <w:r w:rsidR="008E4D29">
        <w:rPr>
          <w:rFonts w:asciiTheme="minorHAnsi" w:hAnsiTheme="minorHAnsi"/>
          <w:bCs/>
          <w:szCs w:val="22"/>
        </w:rPr>
        <w:t xml:space="preserve">for </w:t>
      </w:r>
      <w:r w:rsidR="00185434">
        <w:rPr>
          <w:rFonts w:asciiTheme="minorHAnsi" w:hAnsiTheme="minorHAnsi"/>
          <w:bCs/>
          <w:szCs w:val="22"/>
        </w:rPr>
        <w:t>total</w:t>
      </w:r>
      <w:r w:rsidR="008E4D29">
        <w:rPr>
          <w:rFonts w:asciiTheme="minorHAnsi" w:hAnsiTheme="minorHAnsi"/>
          <w:bCs/>
          <w:szCs w:val="22"/>
        </w:rPr>
        <w:t xml:space="preserve"> </w:t>
      </w:r>
      <w:proofErr w:type="spellStart"/>
      <w:r w:rsidR="00564010">
        <w:rPr>
          <w:rFonts w:asciiTheme="minorHAnsi" w:hAnsiTheme="minorHAnsi"/>
          <w:bCs/>
          <w:szCs w:val="22"/>
        </w:rPr>
        <w:t>isothiazolinones</w:t>
      </w:r>
      <w:proofErr w:type="spellEnd"/>
      <w:r>
        <w:rPr>
          <w:rFonts w:asciiTheme="minorHAnsi" w:hAnsiTheme="minorHAnsi"/>
          <w:bCs/>
          <w:szCs w:val="22"/>
        </w:rPr>
        <w:t xml:space="preserve"> </w:t>
      </w:r>
      <w:r w:rsidR="00D226E9">
        <w:rPr>
          <w:rFonts w:asciiTheme="minorHAnsi" w:hAnsiTheme="minorHAnsi"/>
          <w:bCs/>
          <w:szCs w:val="22"/>
        </w:rPr>
        <w:t xml:space="preserve">(including MI and MCI) </w:t>
      </w:r>
      <w:r w:rsidR="00BD36B4">
        <w:rPr>
          <w:rFonts w:asciiTheme="minorHAnsi" w:hAnsiTheme="minorHAnsi"/>
          <w:bCs/>
          <w:szCs w:val="22"/>
        </w:rPr>
        <w:t>to exempt</w:t>
      </w:r>
      <w:r w:rsidR="002C139C">
        <w:rPr>
          <w:rFonts w:asciiTheme="minorHAnsi" w:hAnsiTheme="minorHAnsi"/>
          <w:bCs/>
          <w:szCs w:val="22"/>
        </w:rPr>
        <w:t xml:space="preserve"> </w:t>
      </w:r>
      <w:r>
        <w:rPr>
          <w:rFonts w:asciiTheme="minorHAnsi" w:hAnsiTheme="minorHAnsi"/>
          <w:bCs/>
          <w:szCs w:val="22"/>
        </w:rPr>
        <w:t>preparations not intended for direct application to the skin</w:t>
      </w:r>
      <w:r w:rsidR="00BD36B4">
        <w:rPr>
          <w:rFonts w:asciiTheme="minorHAnsi" w:hAnsiTheme="minorHAnsi"/>
          <w:bCs/>
          <w:szCs w:val="22"/>
        </w:rPr>
        <w:t xml:space="preserve"> from scheduling</w:t>
      </w:r>
      <w:r>
        <w:rPr>
          <w:rFonts w:asciiTheme="minorHAnsi" w:hAnsiTheme="minorHAnsi"/>
          <w:bCs/>
          <w:szCs w:val="22"/>
        </w:rPr>
        <w:t>, when those products are labelled with the specified warnings.</w:t>
      </w:r>
      <w:r w:rsidR="00564010">
        <w:rPr>
          <w:rFonts w:asciiTheme="minorHAnsi" w:hAnsiTheme="minorHAnsi"/>
          <w:bCs/>
          <w:szCs w:val="22"/>
        </w:rPr>
        <w:t xml:space="preserve"> </w:t>
      </w:r>
      <w:r w:rsidR="008A65EA">
        <w:rPr>
          <w:rFonts w:asciiTheme="minorHAnsi" w:hAnsiTheme="minorHAnsi"/>
          <w:bCs/>
          <w:szCs w:val="22"/>
        </w:rPr>
        <w:t xml:space="preserve">In considering paragraph 52E(1)(a) of the Act, </w:t>
      </w:r>
      <w:r w:rsidR="00564010">
        <w:rPr>
          <w:rFonts w:asciiTheme="minorHAnsi" w:hAnsiTheme="minorHAnsi"/>
          <w:bCs/>
          <w:szCs w:val="22"/>
        </w:rPr>
        <w:t xml:space="preserve">I agree with the Committee’s advice that there is insufficient </w:t>
      </w:r>
      <w:r w:rsidR="00805802">
        <w:rPr>
          <w:rFonts w:asciiTheme="minorHAnsi" w:hAnsiTheme="minorHAnsi"/>
          <w:bCs/>
          <w:szCs w:val="22"/>
        </w:rPr>
        <w:t xml:space="preserve">conclusive evidence </w:t>
      </w:r>
      <w:r w:rsidR="008A65EA">
        <w:rPr>
          <w:rFonts w:asciiTheme="minorHAnsi" w:hAnsiTheme="minorHAnsi"/>
          <w:bCs/>
          <w:szCs w:val="22"/>
        </w:rPr>
        <w:t xml:space="preserve">regarding the risks and benefits of the use of these substances </w:t>
      </w:r>
      <w:r w:rsidR="00564010">
        <w:rPr>
          <w:rFonts w:asciiTheme="minorHAnsi" w:hAnsiTheme="minorHAnsi"/>
          <w:bCs/>
          <w:szCs w:val="22"/>
        </w:rPr>
        <w:t>at this stage</w:t>
      </w:r>
      <w:r w:rsidR="00BB2048">
        <w:rPr>
          <w:rFonts w:asciiTheme="minorHAnsi" w:hAnsiTheme="minorHAnsi"/>
          <w:bCs/>
          <w:szCs w:val="22"/>
        </w:rPr>
        <w:t xml:space="preserve"> to support </w:t>
      </w:r>
      <w:r w:rsidR="002C139C">
        <w:rPr>
          <w:rFonts w:asciiTheme="minorHAnsi" w:hAnsiTheme="minorHAnsi"/>
          <w:bCs/>
          <w:szCs w:val="22"/>
        </w:rPr>
        <w:lastRenderedPageBreak/>
        <w:t xml:space="preserve">such </w:t>
      </w:r>
      <w:r w:rsidR="00BB2048">
        <w:rPr>
          <w:rFonts w:asciiTheme="minorHAnsi" w:hAnsiTheme="minorHAnsi"/>
          <w:bCs/>
          <w:szCs w:val="22"/>
        </w:rPr>
        <w:t>a change to the current scheduling</w:t>
      </w:r>
      <w:r w:rsidR="002C139C">
        <w:rPr>
          <w:rFonts w:asciiTheme="minorHAnsi" w:hAnsiTheme="minorHAnsi"/>
          <w:bCs/>
          <w:szCs w:val="22"/>
        </w:rPr>
        <w:t>, and I am not convinced that the proposed limit is appropriate to address the public health concerns that may be presented by these substances</w:t>
      </w:r>
      <w:r w:rsidR="006D7B47">
        <w:rPr>
          <w:rFonts w:asciiTheme="minorHAnsi" w:hAnsiTheme="minorHAnsi"/>
          <w:bCs/>
          <w:szCs w:val="22"/>
        </w:rPr>
        <w:t xml:space="preserve"> based on the information available at this time</w:t>
      </w:r>
      <w:r w:rsidR="00564010">
        <w:rPr>
          <w:rFonts w:asciiTheme="minorHAnsi" w:hAnsiTheme="minorHAnsi"/>
          <w:bCs/>
          <w:szCs w:val="22"/>
        </w:rPr>
        <w:t xml:space="preserve">. </w:t>
      </w:r>
      <w:r w:rsidR="0072103F">
        <w:rPr>
          <w:rFonts w:asciiTheme="minorHAnsi" w:hAnsiTheme="minorHAnsi"/>
          <w:bCs/>
          <w:szCs w:val="22"/>
        </w:rPr>
        <w:t>The interim decision on the Proposal was initially deferred to allow time to gather further information from domestic and international bodies on a suitable cut-off for the amended entries, however this information has not been forthcoming.</w:t>
      </w:r>
    </w:p>
    <w:p w14:paraId="7E09F860" w14:textId="15FA5BEF" w:rsidR="00DF4076" w:rsidRDefault="008A65EA" w:rsidP="00F148E4">
      <w:pPr>
        <w:spacing w:after="240"/>
        <w:rPr>
          <w:rFonts w:asciiTheme="minorHAnsi" w:hAnsiTheme="minorHAnsi"/>
          <w:bCs/>
          <w:szCs w:val="22"/>
        </w:rPr>
      </w:pPr>
      <w:proofErr w:type="gramStart"/>
      <w:r>
        <w:rPr>
          <w:rFonts w:asciiTheme="minorHAnsi" w:hAnsiTheme="minorHAnsi"/>
          <w:bCs/>
          <w:szCs w:val="22"/>
        </w:rPr>
        <w:t>With regard to</w:t>
      </w:r>
      <w:proofErr w:type="gramEnd"/>
      <w:r>
        <w:rPr>
          <w:rFonts w:asciiTheme="minorHAnsi" w:hAnsiTheme="minorHAnsi"/>
          <w:bCs/>
          <w:szCs w:val="22"/>
        </w:rPr>
        <w:t xml:space="preserve"> paragraph 52E(1)(c) of the Act, </w:t>
      </w:r>
      <w:r w:rsidR="00DF4076">
        <w:rPr>
          <w:rFonts w:asciiTheme="minorHAnsi" w:hAnsiTheme="minorHAnsi"/>
          <w:bCs/>
          <w:szCs w:val="22"/>
        </w:rPr>
        <w:t>I acknowledge that w</w:t>
      </w:r>
      <w:r w:rsidR="00564010">
        <w:rPr>
          <w:rFonts w:asciiTheme="minorHAnsi" w:hAnsiTheme="minorHAnsi"/>
          <w:bCs/>
          <w:szCs w:val="22"/>
        </w:rPr>
        <w:t>hile there is evidence</w:t>
      </w:r>
      <w:r>
        <w:rPr>
          <w:rFonts w:asciiTheme="minorHAnsi" w:hAnsiTheme="minorHAnsi"/>
          <w:bCs/>
          <w:szCs w:val="22"/>
        </w:rPr>
        <w:t xml:space="preserve"> of toxicity</w:t>
      </w:r>
      <w:r w:rsidR="00564010">
        <w:rPr>
          <w:rFonts w:asciiTheme="minorHAnsi" w:hAnsiTheme="minorHAnsi"/>
          <w:bCs/>
          <w:szCs w:val="22"/>
        </w:rPr>
        <w:t xml:space="preserve"> available based on patch tests for certain substances within this class,</w:t>
      </w:r>
      <w:r w:rsidR="006D7B47">
        <w:rPr>
          <w:rFonts w:asciiTheme="minorHAnsi" w:hAnsiTheme="minorHAnsi"/>
          <w:bCs/>
          <w:szCs w:val="22"/>
        </w:rPr>
        <w:t xml:space="preserve"> it is unclear if the findings from these test</w:t>
      </w:r>
      <w:r w:rsidR="008A661C">
        <w:rPr>
          <w:rFonts w:asciiTheme="minorHAnsi" w:hAnsiTheme="minorHAnsi"/>
          <w:bCs/>
          <w:szCs w:val="22"/>
        </w:rPr>
        <w:t>s</w:t>
      </w:r>
      <w:r w:rsidR="006D7B47">
        <w:rPr>
          <w:rFonts w:asciiTheme="minorHAnsi" w:hAnsiTheme="minorHAnsi"/>
          <w:bCs/>
          <w:szCs w:val="22"/>
        </w:rPr>
        <w:t xml:space="preserve"> </w:t>
      </w:r>
      <w:r w:rsidR="00564010">
        <w:rPr>
          <w:rFonts w:asciiTheme="minorHAnsi" w:hAnsiTheme="minorHAnsi"/>
          <w:bCs/>
          <w:szCs w:val="22"/>
        </w:rPr>
        <w:t xml:space="preserve">can be applied more broadly to all </w:t>
      </w:r>
      <w:proofErr w:type="spellStart"/>
      <w:r w:rsidR="00564010">
        <w:rPr>
          <w:rFonts w:asciiTheme="minorHAnsi" w:hAnsiTheme="minorHAnsi"/>
          <w:bCs/>
          <w:szCs w:val="22"/>
        </w:rPr>
        <w:t>isothiazolinones</w:t>
      </w:r>
      <w:proofErr w:type="spellEnd"/>
      <w:r w:rsidR="00564010">
        <w:rPr>
          <w:rFonts w:asciiTheme="minorHAnsi" w:hAnsiTheme="minorHAnsi"/>
          <w:bCs/>
          <w:szCs w:val="22"/>
        </w:rPr>
        <w:t xml:space="preserve">. </w:t>
      </w:r>
      <w:r w:rsidR="00DF4076">
        <w:rPr>
          <w:rFonts w:asciiTheme="minorHAnsi" w:hAnsiTheme="minorHAnsi"/>
          <w:bCs/>
          <w:szCs w:val="22"/>
        </w:rPr>
        <w:t xml:space="preserve">I also agree with the Committee that </w:t>
      </w:r>
      <w:r w:rsidR="00FB6487">
        <w:rPr>
          <w:rFonts w:asciiTheme="minorHAnsi" w:hAnsiTheme="minorHAnsi"/>
          <w:bCs/>
          <w:szCs w:val="22"/>
        </w:rPr>
        <w:t xml:space="preserve">while </w:t>
      </w:r>
      <w:r w:rsidR="00DF4076">
        <w:rPr>
          <w:rFonts w:asciiTheme="minorHAnsi" w:hAnsiTheme="minorHAnsi"/>
          <w:bCs/>
          <w:szCs w:val="22"/>
        </w:rPr>
        <w:t>patch test d</w:t>
      </w:r>
      <w:r w:rsidR="00FB6487">
        <w:rPr>
          <w:rFonts w:asciiTheme="minorHAnsi" w:hAnsiTheme="minorHAnsi"/>
          <w:bCs/>
          <w:szCs w:val="22"/>
        </w:rPr>
        <w:t xml:space="preserve">ata may have identified a public health risk associated with </w:t>
      </w:r>
      <w:proofErr w:type="spellStart"/>
      <w:r w:rsidR="00FB6487">
        <w:rPr>
          <w:rFonts w:asciiTheme="minorHAnsi" w:hAnsiTheme="minorHAnsi"/>
          <w:bCs/>
          <w:szCs w:val="22"/>
        </w:rPr>
        <w:t>isothiazolinones</w:t>
      </w:r>
      <w:proofErr w:type="spellEnd"/>
      <w:r w:rsidR="00FB6487">
        <w:rPr>
          <w:rFonts w:asciiTheme="minorHAnsi" w:hAnsiTheme="minorHAnsi"/>
          <w:bCs/>
          <w:szCs w:val="22"/>
        </w:rPr>
        <w:t>, the use of these data in isolation is</w:t>
      </w:r>
      <w:r w:rsidR="00DF4076">
        <w:rPr>
          <w:rFonts w:asciiTheme="minorHAnsi" w:hAnsiTheme="minorHAnsi"/>
          <w:bCs/>
          <w:szCs w:val="22"/>
        </w:rPr>
        <w:t xml:space="preserve"> problematic for the establishment of cut-offs</w:t>
      </w:r>
      <w:r w:rsidR="00185434">
        <w:rPr>
          <w:rFonts w:asciiTheme="minorHAnsi" w:hAnsiTheme="minorHAnsi"/>
          <w:bCs/>
          <w:szCs w:val="22"/>
        </w:rPr>
        <w:t xml:space="preserve"> and may not accurately reflect the hazards associated with the use of these substances</w:t>
      </w:r>
      <w:r w:rsidR="00DF4076">
        <w:rPr>
          <w:rFonts w:asciiTheme="minorHAnsi" w:hAnsiTheme="minorHAnsi"/>
          <w:bCs/>
          <w:szCs w:val="22"/>
        </w:rPr>
        <w:t xml:space="preserve">. </w:t>
      </w:r>
    </w:p>
    <w:p w14:paraId="543FBE14" w14:textId="34F9FA61" w:rsidR="008E4D29" w:rsidRDefault="006D7B47" w:rsidP="00F148E4">
      <w:pPr>
        <w:spacing w:after="240"/>
        <w:rPr>
          <w:rFonts w:asciiTheme="minorHAnsi" w:hAnsiTheme="minorHAnsi"/>
          <w:bCs/>
          <w:szCs w:val="22"/>
        </w:rPr>
      </w:pPr>
      <w:r>
        <w:rPr>
          <w:rFonts w:asciiTheme="minorHAnsi" w:hAnsiTheme="minorHAnsi"/>
          <w:bCs/>
          <w:szCs w:val="22"/>
        </w:rPr>
        <w:t>In addition,</w:t>
      </w:r>
      <w:r w:rsidR="008A65EA">
        <w:rPr>
          <w:rFonts w:asciiTheme="minorHAnsi" w:hAnsiTheme="minorHAnsi"/>
          <w:bCs/>
          <w:szCs w:val="22"/>
        </w:rPr>
        <w:t xml:space="preserve"> with respect to paragraphs 52E(1)(b) and (d)of the Act,</w:t>
      </w:r>
      <w:r>
        <w:rPr>
          <w:rFonts w:asciiTheme="minorHAnsi" w:hAnsiTheme="minorHAnsi"/>
          <w:bCs/>
          <w:szCs w:val="22"/>
        </w:rPr>
        <w:t xml:space="preserve"> t</w:t>
      </w:r>
      <w:r w:rsidR="00564010">
        <w:rPr>
          <w:rFonts w:asciiTheme="minorHAnsi" w:hAnsiTheme="minorHAnsi"/>
          <w:bCs/>
          <w:szCs w:val="22"/>
        </w:rPr>
        <w:t>he effect that th</w:t>
      </w:r>
      <w:r w:rsidR="00DF4076">
        <w:rPr>
          <w:rFonts w:asciiTheme="minorHAnsi" w:hAnsiTheme="minorHAnsi"/>
          <w:bCs/>
          <w:szCs w:val="22"/>
        </w:rPr>
        <w:t xml:space="preserve">e Proposal </w:t>
      </w:r>
      <w:r w:rsidR="00564010">
        <w:rPr>
          <w:rFonts w:asciiTheme="minorHAnsi" w:hAnsiTheme="minorHAnsi"/>
          <w:bCs/>
          <w:szCs w:val="22"/>
        </w:rPr>
        <w:t xml:space="preserve">would have on a broad range of products and industries </w:t>
      </w:r>
      <w:r>
        <w:rPr>
          <w:rFonts w:asciiTheme="minorHAnsi" w:hAnsiTheme="minorHAnsi"/>
          <w:bCs/>
          <w:szCs w:val="22"/>
        </w:rPr>
        <w:t xml:space="preserve">is not fully apparent at this time </w:t>
      </w:r>
      <w:r w:rsidR="0022793E">
        <w:rPr>
          <w:rFonts w:asciiTheme="minorHAnsi" w:hAnsiTheme="minorHAnsi"/>
          <w:bCs/>
          <w:szCs w:val="22"/>
        </w:rPr>
        <w:t xml:space="preserve">and further </w:t>
      </w:r>
      <w:r>
        <w:rPr>
          <w:rFonts w:asciiTheme="minorHAnsi" w:hAnsiTheme="minorHAnsi"/>
          <w:bCs/>
          <w:szCs w:val="22"/>
        </w:rPr>
        <w:t>information on this matter</w:t>
      </w:r>
      <w:r w:rsidR="0022793E">
        <w:rPr>
          <w:rFonts w:asciiTheme="minorHAnsi" w:hAnsiTheme="minorHAnsi"/>
          <w:bCs/>
          <w:szCs w:val="22"/>
        </w:rPr>
        <w:t xml:space="preserve"> </w:t>
      </w:r>
      <w:r w:rsidR="00256052">
        <w:rPr>
          <w:rFonts w:asciiTheme="minorHAnsi" w:hAnsiTheme="minorHAnsi"/>
          <w:bCs/>
          <w:szCs w:val="22"/>
        </w:rPr>
        <w:t>w</w:t>
      </w:r>
      <w:r>
        <w:rPr>
          <w:rFonts w:asciiTheme="minorHAnsi" w:hAnsiTheme="minorHAnsi"/>
          <w:bCs/>
          <w:szCs w:val="22"/>
        </w:rPr>
        <w:t>ould</w:t>
      </w:r>
      <w:r w:rsidR="00626272">
        <w:rPr>
          <w:rFonts w:asciiTheme="minorHAnsi" w:hAnsiTheme="minorHAnsi"/>
          <w:bCs/>
          <w:szCs w:val="22"/>
        </w:rPr>
        <w:t xml:space="preserve"> be beneficial</w:t>
      </w:r>
      <w:r w:rsidR="0022793E">
        <w:rPr>
          <w:rFonts w:asciiTheme="minorHAnsi" w:hAnsiTheme="minorHAnsi"/>
          <w:bCs/>
          <w:szCs w:val="22"/>
        </w:rPr>
        <w:t xml:space="preserve"> before </w:t>
      </w:r>
      <w:r w:rsidR="00DF4076">
        <w:rPr>
          <w:rFonts w:asciiTheme="minorHAnsi" w:hAnsiTheme="minorHAnsi"/>
          <w:bCs/>
          <w:szCs w:val="22"/>
        </w:rPr>
        <w:t xml:space="preserve">consideration of </w:t>
      </w:r>
      <w:r w:rsidR="00ED5ABA">
        <w:rPr>
          <w:rFonts w:asciiTheme="minorHAnsi" w:hAnsiTheme="minorHAnsi"/>
          <w:bCs/>
          <w:szCs w:val="22"/>
        </w:rPr>
        <w:t>any amendments to the Poisons Standard</w:t>
      </w:r>
      <w:r w:rsidR="00564010">
        <w:rPr>
          <w:rFonts w:asciiTheme="minorHAnsi" w:hAnsiTheme="minorHAnsi"/>
          <w:bCs/>
          <w:szCs w:val="22"/>
        </w:rPr>
        <w:t>.</w:t>
      </w:r>
      <w:r w:rsidR="0022793E">
        <w:rPr>
          <w:rFonts w:asciiTheme="minorHAnsi" w:hAnsiTheme="minorHAnsi"/>
          <w:bCs/>
          <w:szCs w:val="22"/>
        </w:rPr>
        <w:t xml:space="preserve"> This viewpoint is supported by the pre-meeting public submissions on this proposal, many of which voiced concerns regarding the varying risk levels of different </w:t>
      </w:r>
      <w:proofErr w:type="spellStart"/>
      <w:r w:rsidR="0022793E">
        <w:rPr>
          <w:rFonts w:asciiTheme="minorHAnsi" w:hAnsiTheme="minorHAnsi"/>
          <w:bCs/>
          <w:szCs w:val="22"/>
        </w:rPr>
        <w:t>isothiazolinones</w:t>
      </w:r>
      <w:proofErr w:type="spellEnd"/>
      <w:r w:rsidR="00240D0B">
        <w:rPr>
          <w:rFonts w:asciiTheme="minorHAnsi" w:hAnsiTheme="minorHAnsi"/>
          <w:bCs/>
          <w:szCs w:val="22"/>
        </w:rPr>
        <w:t>, and uncertainty regarding the ramifications of the proposal.</w:t>
      </w:r>
    </w:p>
    <w:p w14:paraId="533F108B" w14:textId="043E7522" w:rsidR="00ED5ABA" w:rsidRDefault="00ED5ABA" w:rsidP="00F148E4">
      <w:pPr>
        <w:spacing w:after="240"/>
        <w:rPr>
          <w:rFonts w:asciiTheme="minorHAnsi" w:hAnsiTheme="minorHAnsi"/>
          <w:bCs/>
          <w:szCs w:val="22"/>
        </w:rPr>
      </w:pPr>
      <w:r>
        <w:rPr>
          <w:rFonts w:asciiTheme="minorHAnsi" w:hAnsiTheme="minorHAnsi"/>
          <w:bCs/>
          <w:szCs w:val="22"/>
        </w:rPr>
        <w:t xml:space="preserve">At the time of the Committee’s considerations, </w:t>
      </w:r>
      <w:proofErr w:type="spellStart"/>
      <w:r>
        <w:rPr>
          <w:rFonts w:asciiTheme="minorHAnsi" w:hAnsiTheme="minorHAnsi"/>
          <w:bCs/>
          <w:szCs w:val="22"/>
        </w:rPr>
        <w:t>isothiazolinones</w:t>
      </w:r>
      <w:proofErr w:type="spellEnd"/>
      <w:r>
        <w:rPr>
          <w:rFonts w:asciiTheme="minorHAnsi" w:hAnsiTheme="minorHAnsi"/>
          <w:bCs/>
          <w:szCs w:val="22"/>
        </w:rPr>
        <w:t xml:space="preserve"> were under various stages of review under the European Union Biocidal Products Regulation, as well as re-evaluation by the Canadian Pest Management Regulatory Agency and the United States Environmental Protection Agency.</w:t>
      </w:r>
      <w:r w:rsidR="00DF4076">
        <w:rPr>
          <w:rFonts w:asciiTheme="minorHAnsi" w:hAnsiTheme="minorHAnsi"/>
          <w:bCs/>
          <w:szCs w:val="22"/>
        </w:rPr>
        <w:t xml:space="preserve"> </w:t>
      </w:r>
      <w:proofErr w:type="gramStart"/>
      <w:r w:rsidR="00DF4076">
        <w:rPr>
          <w:rFonts w:asciiTheme="minorHAnsi" w:hAnsiTheme="minorHAnsi"/>
          <w:bCs/>
          <w:szCs w:val="22"/>
        </w:rPr>
        <w:t>As yet</w:t>
      </w:r>
      <w:proofErr w:type="gramEnd"/>
      <w:r w:rsidR="00DF4076">
        <w:rPr>
          <w:rFonts w:asciiTheme="minorHAnsi" w:hAnsiTheme="minorHAnsi"/>
          <w:bCs/>
          <w:szCs w:val="22"/>
        </w:rPr>
        <w:t>, no definitive data have been received t</w:t>
      </w:r>
      <w:r w:rsidR="001F7532">
        <w:rPr>
          <w:rFonts w:asciiTheme="minorHAnsi" w:hAnsiTheme="minorHAnsi"/>
          <w:bCs/>
          <w:szCs w:val="22"/>
        </w:rPr>
        <w:t xml:space="preserve">o </w:t>
      </w:r>
      <w:r w:rsidR="00D226E9">
        <w:rPr>
          <w:rFonts w:asciiTheme="minorHAnsi" w:hAnsiTheme="minorHAnsi"/>
          <w:bCs/>
          <w:szCs w:val="22"/>
        </w:rPr>
        <w:t xml:space="preserve">inform the cut-offs presented in </w:t>
      </w:r>
      <w:r w:rsidR="001F7532">
        <w:rPr>
          <w:rFonts w:asciiTheme="minorHAnsi" w:hAnsiTheme="minorHAnsi"/>
          <w:bCs/>
          <w:szCs w:val="22"/>
        </w:rPr>
        <w:t>the proposed amendments.</w:t>
      </w:r>
    </w:p>
    <w:p w14:paraId="3E53D482" w14:textId="6AFB49E8" w:rsidR="00B22D6F" w:rsidRPr="00F148E4" w:rsidRDefault="00F148E4" w:rsidP="00F148E4">
      <w:pPr>
        <w:spacing w:after="240"/>
        <w:rPr>
          <w:rFonts w:asciiTheme="minorHAnsi" w:hAnsiTheme="minorHAnsi"/>
          <w:bCs/>
          <w:szCs w:val="22"/>
        </w:rPr>
      </w:pPr>
      <w:r>
        <w:rPr>
          <w:rFonts w:asciiTheme="minorHAnsi" w:hAnsiTheme="minorHAnsi"/>
          <w:bCs/>
          <w:szCs w:val="22"/>
        </w:rPr>
        <w:t xml:space="preserve">I have therefore </w:t>
      </w:r>
      <w:r w:rsidR="008E4D29">
        <w:rPr>
          <w:rFonts w:asciiTheme="minorHAnsi" w:hAnsiTheme="minorHAnsi"/>
          <w:bCs/>
          <w:szCs w:val="22"/>
        </w:rPr>
        <w:t>chosen</w:t>
      </w:r>
      <w:r>
        <w:rPr>
          <w:rFonts w:asciiTheme="minorHAnsi" w:hAnsiTheme="minorHAnsi"/>
          <w:bCs/>
          <w:szCs w:val="22"/>
        </w:rPr>
        <w:t xml:space="preserve"> to make an interim decision to not amend the scheduling of </w:t>
      </w:r>
      <w:proofErr w:type="spellStart"/>
      <w:r>
        <w:rPr>
          <w:rFonts w:asciiTheme="minorHAnsi" w:hAnsiTheme="minorHAnsi"/>
          <w:bCs/>
          <w:szCs w:val="22"/>
        </w:rPr>
        <w:t>isothiazolinones</w:t>
      </w:r>
      <w:proofErr w:type="spellEnd"/>
      <w:r w:rsidR="00D12212">
        <w:rPr>
          <w:rFonts w:asciiTheme="minorHAnsi" w:hAnsiTheme="minorHAnsi"/>
          <w:bCs/>
          <w:szCs w:val="22"/>
        </w:rPr>
        <w:t xml:space="preserve"> (including </w:t>
      </w:r>
      <w:r w:rsidR="00ED5ABA">
        <w:rPr>
          <w:rFonts w:asciiTheme="minorHAnsi" w:hAnsiTheme="minorHAnsi"/>
          <w:bCs/>
          <w:szCs w:val="22"/>
        </w:rPr>
        <w:t xml:space="preserve">MI </w:t>
      </w:r>
      <w:r w:rsidR="00D12212">
        <w:rPr>
          <w:rFonts w:asciiTheme="minorHAnsi" w:hAnsiTheme="minorHAnsi"/>
          <w:bCs/>
          <w:szCs w:val="22"/>
        </w:rPr>
        <w:t xml:space="preserve">and </w:t>
      </w:r>
      <w:r w:rsidR="00ED5ABA">
        <w:rPr>
          <w:rFonts w:asciiTheme="minorHAnsi" w:hAnsiTheme="minorHAnsi"/>
          <w:bCs/>
          <w:szCs w:val="22"/>
        </w:rPr>
        <w:t>MCI</w:t>
      </w:r>
      <w:r w:rsidR="00D12212">
        <w:rPr>
          <w:rFonts w:asciiTheme="minorHAnsi" w:hAnsiTheme="minorHAnsi"/>
          <w:bCs/>
          <w:szCs w:val="22"/>
        </w:rPr>
        <w:t>)</w:t>
      </w:r>
      <w:r>
        <w:rPr>
          <w:rFonts w:asciiTheme="minorHAnsi" w:hAnsiTheme="minorHAnsi"/>
          <w:bCs/>
          <w:szCs w:val="22"/>
        </w:rPr>
        <w:t>, and to seek further information via a second round of public consultation.</w:t>
      </w:r>
    </w:p>
    <w:p w14:paraId="297A7F54" w14:textId="77777777" w:rsidR="00B22D6F" w:rsidRPr="00B22D6F" w:rsidRDefault="00B22D6F" w:rsidP="00B22D6F">
      <w:pPr>
        <w:spacing w:after="240"/>
        <w:rPr>
          <w:rFonts w:asciiTheme="minorHAnsi" w:hAnsiTheme="minorHAnsi"/>
          <w:b/>
          <w:bCs/>
          <w:szCs w:val="22"/>
        </w:rPr>
      </w:pPr>
    </w:p>
    <w:bookmarkEnd w:id="6"/>
    <w:bookmarkEnd w:id="7"/>
    <w:p w14:paraId="1BE310F0" w14:textId="45EE594E" w:rsidR="003E3D34" w:rsidRPr="009401F6" w:rsidRDefault="003E3D34" w:rsidP="00F8404D">
      <w:pPr>
        <w:sectPr w:rsidR="003E3D34" w:rsidRPr="009401F6" w:rsidSect="0074066C">
          <w:headerReference w:type="default" r:id="rId18"/>
          <w:footerReference w:type="default" r:id="rId19"/>
          <w:headerReference w:type="first" r:id="rId20"/>
          <w:type w:val="continuous"/>
          <w:pgSz w:w="11906" w:h="16838" w:code="9"/>
          <w:pgMar w:top="1530" w:right="1418" w:bottom="1361" w:left="1418" w:header="998" w:footer="283" w:gutter="0"/>
          <w:cols w:space="708"/>
          <w:titlePg/>
          <w:docGrid w:linePitch="360"/>
        </w:sectPr>
      </w:pPr>
    </w:p>
    <w:p w14:paraId="18F4105D" w14:textId="77777777" w:rsidR="0084580B" w:rsidRPr="009401F6" w:rsidRDefault="0084580B" w:rsidP="00F8404D">
      <w:pPr>
        <w:pStyle w:val="Footer"/>
      </w:pPr>
    </w:p>
    <w:sectPr w:rsidR="0084580B" w:rsidRPr="009401F6" w:rsidSect="00F8404D">
      <w:headerReference w:type="first" r:id="rId21"/>
      <w:footerReference w:type="first" r:id="rId22"/>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E4026" w14:textId="77777777" w:rsidR="00114105" w:rsidRDefault="00114105" w:rsidP="00C40A36">
      <w:pPr>
        <w:spacing w:after="0"/>
      </w:pPr>
      <w:r>
        <w:separator/>
      </w:r>
    </w:p>
    <w:p w14:paraId="1CAFB791" w14:textId="77777777" w:rsidR="00114105" w:rsidRDefault="00114105"/>
  </w:endnote>
  <w:endnote w:type="continuationSeparator" w:id="0">
    <w:p w14:paraId="5C9867BA" w14:textId="77777777" w:rsidR="00114105" w:rsidRDefault="00114105" w:rsidP="00C40A36">
      <w:pPr>
        <w:spacing w:after="0"/>
      </w:pPr>
      <w:r>
        <w:continuationSeparator/>
      </w:r>
    </w:p>
    <w:p w14:paraId="5DD0277B" w14:textId="77777777" w:rsidR="00114105" w:rsidRDefault="00114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B033" w14:textId="77777777"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14:paraId="2BB9ACC4" w14:textId="77777777" w:rsidTr="00A3654F">
      <w:trPr>
        <w:trHeight w:val="423"/>
      </w:trPr>
      <w:tc>
        <w:tcPr>
          <w:tcW w:w="4360" w:type="dxa"/>
          <w:tcBorders>
            <w:top w:val="single" w:sz="4" w:space="0" w:color="auto"/>
          </w:tcBorders>
        </w:tcPr>
        <w:p w14:paraId="649562D3" w14:textId="77777777" w:rsidR="00F739D1" w:rsidRDefault="00F739D1" w:rsidP="008D4740">
          <w:pPr>
            <w:pStyle w:val="Footer"/>
          </w:pPr>
        </w:p>
        <w:p w14:paraId="51FD31BC" w14:textId="77777777"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7969E783" w14:textId="77777777" w:rsidR="00F739D1" w:rsidRDefault="00F739D1" w:rsidP="008D4740">
              <w:pPr>
                <w:pStyle w:val="Footer"/>
                <w:jc w:val="right"/>
              </w:pPr>
            </w:p>
            <w:p w14:paraId="6EE39435" w14:textId="77777777"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r w:rsidR="00852F43">
                <w:fldChar w:fldCharType="begin"/>
              </w:r>
              <w:r w:rsidR="00852F43">
                <w:instrText xml:space="preserve"> NUMPAGES  </w:instrText>
              </w:r>
              <w:r w:rsidR="00852F43">
                <w:fldChar w:fldCharType="separate"/>
              </w:r>
              <w:r w:rsidR="001E0113">
                <w:rPr>
                  <w:noProof/>
                </w:rPr>
                <w:t>3</w:t>
              </w:r>
              <w:r w:rsidR="00852F43">
                <w:rPr>
                  <w:noProof/>
                </w:rPr>
                <w:fldChar w:fldCharType="end"/>
              </w:r>
            </w:p>
          </w:sdtContent>
        </w:sdt>
      </w:tc>
    </w:tr>
    <w:tr w:rsidR="00F739D1" w:rsidRPr="00257138" w14:paraId="41B24141" w14:textId="77777777" w:rsidTr="00A3654F">
      <w:trPr>
        <w:trHeight w:val="263"/>
      </w:trPr>
      <w:tc>
        <w:tcPr>
          <w:tcW w:w="4360" w:type="dxa"/>
        </w:tcPr>
        <w:p w14:paraId="0D25AA42" w14:textId="77777777" w:rsidR="00F739D1" w:rsidRPr="00257138" w:rsidRDefault="00F739D1" w:rsidP="008D4740">
          <w:pPr>
            <w:pStyle w:val="Footer"/>
          </w:pPr>
          <w:r w:rsidRPr="00257138">
            <w:t xml:space="preserve">V1.0 </w:t>
          </w:r>
          <w:r>
            <w:t>Month</w:t>
          </w:r>
          <w:r w:rsidRPr="00257138">
            <w:t xml:space="preserve"> 201</w:t>
          </w:r>
          <w:r>
            <w:t>2</w:t>
          </w:r>
        </w:p>
      </w:tc>
      <w:tc>
        <w:tcPr>
          <w:tcW w:w="4360" w:type="dxa"/>
        </w:tcPr>
        <w:p w14:paraId="79014B4A" w14:textId="77777777" w:rsidR="00F739D1" w:rsidRPr="00257138" w:rsidRDefault="00F739D1" w:rsidP="008D4740">
          <w:pPr>
            <w:pStyle w:val="Footer"/>
            <w:jc w:val="right"/>
          </w:pPr>
        </w:p>
      </w:tc>
    </w:tr>
  </w:tbl>
  <w:p w14:paraId="6E7E3FB0" w14:textId="77777777"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70C2" w14:textId="77777777"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F739D1" w:rsidRPr="00257138" w14:paraId="312C1FEB" w14:textId="77777777" w:rsidTr="00D433BD">
      <w:trPr>
        <w:trHeight w:val="423"/>
      </w:trPr>
      <w:tc>
        <w:tcPr>
          <w:tcW w:w="7479" w:type="dxa"/>
        </w:tcPr>
        <w:p w14:paraId="252DCF82" w14:textId="69E42BFF" w:rsidR="00F739D1" w:rsidRPr="00257138" w:rsidRDefault="001E0113" w:rsidP="00EB182C">
          <w:pPr>
            <w:pStyle w:val="Footer"/>
            <w:spacing w:before="120" w:after="120"/>
          </w:pPr>
          <w:r>
            <w:t>Notice of interim decision to not amend the current Poisons Standard</w:t>
          </w:r>
          <w:r w:rsidR="00794984">
            <w:t xml:space="preserve"> – </w:t>
          </w:r>
          <w:proofErr w:type="spellStart"/>
          <w:r w:rsidR="00794984">
            <w:t>isothiazolinones</w:t>
          </w:r>
          <w:proofErr w:type="spellEnd"/>
          <w:r w:rsidR="00794984">
            <w:t xml:space="preserve"> (Joint ACMS-ACCS, June 2020)</w:t>
          </w:r>
          <w:r w:rsidR="00EE1482">
            <w:t xml:space="preserve"> </w:t>
          </w:r>
        </w:p>
      </w:tc>
      <w:tc>
        <w:tcPr>
          <w:tcW w:w="1593" w:type="dxa"/>
        </w:tcPr>
        <w:sdt>
          <w:sdtPr>
            <w:id w:val="3702141"/>
            <w:docPartObj>
              <w:docPartGallery w:val="Page Numbers (Top of Page)"/>
              <w:docPartUnique/>
            </w:docPartObj>
          </w:sdtPr>
          <w:sdtEndPr/>
          <w:sdtContent>
            <w:p w14:paraId="697E666C" w14:textId="086C5DA3"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A96C7F">
                <w:rPr>
                  <w:noProof/>
                </w:rPr>
                <w:t>7</w:t>
              </w:r>
              <w:r w:rsidR="00F87B87">
                <w:rPr>
                  <w:noProof/>
                </w:rPr>
                <w:fldChar w:fldCharType="end"/>
              </w:r>
              <w:r w:rsidRPr="00257138">
                <w:t xml:space="preserve"> of </w:t>
              </w:r>
              <w:r w:rsidR="00852F43">
                <w:fldChar w:fldCharType="begin"/>
              </w:r>
              <w:r w:rsidR="00852F43">
                <w:instrText xml:space="preserve"> NUMPAGES  </w:instrText>
              </w:r>
              <w:r w:rsidR="00852F43">
                <w:fldChar w:fldCharType="separate"/>
              </w:r>
              <w:r w:rsidR="00A96C7F">
                <w:rPr>
                  <w:noProof/>
                </w:rPr>
                <w:t>15</w:t>
              </w:r>
              <w:r w:rsidR="00852F43">
                <w:rPr>
                  <w:noProof/>
                </w:rPr>
                <w:fldChar w:fldCharType="end"/>
              </w:r>
            </w:p>
          </w:sdtContent>
        </w:sdt>
      </w:tc>
    </w:tr>
  </w:tbl>
  <w:p w14:paraId="04D13651" w14:textId="77777777"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B85" w14:textId="77777777"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61E77" w14:textId="77777777" w:rsidR="00114105" w:rsidRDefault="00114105" w:rsidP="00FE1941">
      <w:pPr>
        <w:spacing w:after="0"/>
      </w:pPr>
      <w:r>
        <w:separator/>
      </w:r>
    </w:p>
  </w:footnote>
  <w:footnote w:type="continuationSeparator" w:id="0">
    <w:p w14:paraId="09BD8D5D" w14:textId="77777777" w:rsidR="00114105" w:rsidRDefault="00114105" w:rsidP="00C40A36">
      <w:pPr>
        <w:spacing w:after="0"/>
      </w:pPr>
      <w:r>
        <w:continuationSeparator/>
      </w:r>
    </w:p>
    <w:p w14:paraId="47E4D2E5" w14:textId="77777777" w:rsidR="00114105" w:rsidRDefault="00114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3B1" w14:textId="77777777"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6B8D" w14:textId="77777777" w:rsidR="00FF7B50" w:rsidRPr="00E32326" w:rsidRDefault="00F3255D" w:rsidP="00F202AB">
    <w:r w:rsidRPr="00F3255D">
      <w:rPr>
        <w:noProof/>
        <w:lang w:eastAsia="en-AU"/>
      </w:rPr>
      <w:drawing>
        <wp:anchor distT="0" distB="0" distL="114300" distR="114300" simplePos="0" relativeHeight="251659264" behindDoc="0" locked="0" layoutInCell="1" allowOverlap="1" wp14:anchorId="0A765D9D" wp14:editId="79F2036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p w14:paraId="4BC15240" w14:textId="77777777" w:rsidR="00F739D1" w:rsidRPr="00E32326" w:rsidRDefault="00FF7B50"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D60C7" w14:textId="77777777" w:rsidR="00F739D1" w:rsidRPr="00920FF4" w:rsidRDefault="00F739D1"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67EE6" w14:textId="77777777" w:rsidR="001D480A" w:rsidRPr="00920FF4" w:rsidRDefault="001D480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1C8E" w14:textId="77777777" w:rsidR="0047772E" w:rsidRPr="009401F6" w:rsidRDefault="0047772E" w:rsidP="0047772E"/>
  <w:p w14:paraId="28504B54" w14:textId="77777777" w:rsidR="00F739D1" w:rsidRPr="002B0C2E" w:rsidRDefault="00F739D1"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ED1D3B"/>
    <w:multiLevelType w:val="multilevel"/>
    <w:tmpl w:val="6A68AFD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1636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390A6A8C"/>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11560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351D8D"/>
    <w:multiLevelType w:val="hybridMultilevel"/>
    <w:tmpl w:val="D0AE63A4"/>
    <w:lvl w:ilvl="0" w:tplc="0A2CBBC2">
      <w:start w:val="1"/>
      <w:numFmt w:val="lowerLetter"/>
      <w:pStyle w:val="Numberbullet2"/>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5"/>
  </w:num>
  <w:num w:numId="19">
    <w:abstractNumId w:val="5"/>
  </w:num>
  <w:num w:numId="20">
    <w:abstractNumId w:val="5"/>
  </w:num>
  <w:num w:numId="21">
    <w:abstractNumId w:val="4"/>
  </w:num>
  <w:num w:numId="22">
    <w:abstractNumId w:val="4"/>
  </w:num>
  <w:num w:numId="23">
    <w:abstractNumId w:val="4"/>
  </w:num>
  <w:num w:numId="24">
    <w:abstractNumId w:val="6"/>
  </w:num>
  <w:num w:numId="25">
    <w:abstractNumId w:val="5"/>
  </w:num>
  <w:num w:numId="26">
    <w:abstractNumId w:val="5"/>
  </w:num>
  <w:num w:numId="27">
    <w:abstractNumId w:val="5"/>
  </w:num>
  <w:num w:numId="28">
    <w:abstractNumId w:val="4"/>
  </w:num>
  <w:num w:numId="29">
    <w:abstractNumId w:val="4"/>
  </w:num>
  <w:num w:numId="30">
    <w:abstractNumId w:val="4"/>
  </w:num>
  <w:num w:numId="31">
    <w:abstractNumId w:val="8"/>
  </w:num>
  <w:num w:numId="32">
    <w:abstractNumId w:val="13"/>
  </w:num>
  <w:num w:numId="33">
    <w:abstractNumId w:val="3"/>
  </w:num>
  <w:num w:numId="34">
    <w:abstractNumId w:val="9"/>
  </w:num>
  <w:num w:numId="35">
    <w:abstractNumId w:val="12"/>
  </w:num>
  <w:num w:numId="36">
    <w:abstractNumId w:val="10"/>
  </w:num>
  <w:num w:numId="37">
    <w:abstractNumId w:val="1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6B22"/>
    <w:rsid w:val="0001276A"/>
    <w:rsid w:val="000246AE"/>
    <w:rsid w:val="00025C67"/>
    <w:rsid w:val="0003306D"/>
    <w:rsid w:val="00033EBA"/>
    <w:rsid w:val="00055129"/>
    <w:rsid w:val="000554B4"/>
    <w:rsid w:val="0005559E"/>
    <w:rsid w:val="00061E51"/>
    <w:rsid w:val="00063028"/>
    <w:rsid w:val="00077775"/>
    <w:rsid w:val="00090471"/>
    <w:rsid w:val="000904AB"/>
    <w:rsid w:val="000958DF"/>
    <w:rsid w:val="0009604B"/>
    <w:rsid w:val="000A0965"/>
    <w:rsid w:val="000B0294"/>
    <w:rsid w:val="000B0A5D"/>
    <w:rsid w:val="000B155D"/>
    <w:rsid w:val="000B3532"/>
    <w:rsid w:val="000B3A75"/>
    <w:rsid w:val="000B7084"/>
    <w:rsid w:val="000C1C08"/>
    <w:rsid w:val="000C5A31"/>
    <w:rsid w:val="000D391B"/>
    <w:rsid w:val="000D3D6D"/>
    <w:rsid w:val="000D4FC7"/>
    <w:rsid w:val="000D73FC"/>
    <w:rsid w:val="000E54E3"/>
    <w:rsid w:val="000F4869"/>
    <w:rsid w:val="000F5B42"/>
    <w:rsid w:val="000F6E6F"/>
    <w:rsid w:val="001003F2"/>
    <w:rsid w:val="001032EA"/>
    <w:rsid w:val="0010601F"/>
    <w:rsid w:val="00107378"/>
    <w:rsid w:val="00110EA5"/>
    <w:rsid w:val="001119DF"/>
    <w:rsid w:val="00114105"/>
    <w:rsid w:val="00115240"/>
    <w:rsid w:val="00125091"/>
    <w:rsid w:val="00125318"/>
    <w:rsid w:val="001305A2"/>
    <w:rsid w:val="00132294"/>
    <w:rsid w:val="00133238"/>
    <w:rsid w:val="001349EB"/>
    <w:rsid w:val="00140FE3"/>
    <w:rsid w:val="0014197B"/>
    <w:rsid w:val="001447CD"/>
    <w:rsid w:val="00146BF2"/>
    <w:rsid w:val="001516B1"/>
    <w:rsid w:val="001525B4"/>
    <w:rsid w:val="00156316"/>
    <w:rsid w:val="00160006"/>
    <w:rsid w:val="00165389"/>
    <w:rsid w:val="00170CED"/>
    <w:rsid w:val="00171833"/>
    <w:rsid w:val="0017693F"/>
    <w:rsid w:val="0018110E"/>
    <w:rsid w:val="00181684"/>
    <w:rsid w:val="001843C6"/>
    <w:rsid w:val="001850E0"/>
    <w:rsid w:val="00185434"/>
    <w:rsid w:val="0018693C"/>
    <w:rsid w:val="0019255A"/>
    <w:rsid w:val="001A19BE"/>
    <w:rsid w:val="001A525F"/>
    <w:rsid w:val="001A69AB"/>
    <w:rsid w:val="001B09F9"/>
    <w:rsid w:val="001B6448"/>
    <w:rsid w:val="001D480A"/>
    <w:rsid w:val="001E0113"/>
    <w:rsid w:val="001E07CF"/>
    <w:rsid w:val="001E59F1"/>
    <w:rsid w:val="001F49EB"/>
    <w:rsid w:val="001F6CBA"/>
    <w:rsid w:val="001F7532"/>
    <w:rsid w:val="001F78B9"/>
    <w:rsid w:val="00201D4E"/>
    <w:rsid w:val="00204F19"/>
    <w:rsid w:val="00207515"/>
    <w:rsid w:val="00211C7B"/>
    <w:rsid w:val="00217838"/>
    <w:rsid w:val="00220B8A"/>
    <w:rsid w:val="002232C2"/>
    <w:rsid w:val="002257F3"/>
    <w:rsid w:val="0022793E"/>
    <w:rsid w:val="002302EC"/>
    <w:rsid w:val="002303B0"/>
    <w:rsid w:val="002314E8"/>
    <w:rsid w:val="00233456"/>
    <w:rsid w:val="0023397F"/>
    <w:rsid w:val="002339A5"/>
    <w:rsid w:val="002368DB"/>
    <w:rsid w:val="00240D0B"/>
    <w:rsid w:val="002452E7"/>
    <w:rsid w:val="00245F98"/>
    <w:rsid w:val="00246194"/>
    <w:rsid w:val="002538AE"/>
    <w:rsid w:val="002541E7"/>
    <w:rsid w:val="00256052"/>
    <w:rsid w:val="00257138"/>
    <w:rsid w:val="00257848"/>
    <w:rsid w:val="0027084A"/>
    <w:rsid w:val="00271109"/>
    <w:rsid w:val="00277EF5"/>
    <w:rsid w:val="00286434"/>
    <w:rsid w:val="00286C59"/>
    <w:rsid w:val="00291DF7"/>
    <w:rsid w:val="002942D1"/>
    <w:rsid w:val="00294BF8"/>
    <w:rsid w:val="00296C32"/>
    <w:rsid w:val="002A0556"/>
    <w:rsid w:val="002B0C2E"/>
    <w:rsid w:val="002B1638"/>
    <w:rsid w:val="002B706C"/>
    <w:rsid w:val="002C139C"/>
    <w:rsid w:val="002C1D7D"/>
    <w:rsid w:val="002C2511"/>
    <w:rsid w:val="002D1EDF"/>
    <w:rsid w:val="002E4C9A"/>
    <w:rsid w:val="002F11F8"/>
    <w:rsid w:val="002F3F56"/>
    <w:rsid w:val="002F44B5"/>
    <w:rsid w:val="00311203"/>
    <w:rsid w:val="00311AC0"/>
    <w:rsid w:val="003204DD"/>
    <w:rsid w:val="00331DBB"/>
    <w:rsid w:val="00332680"/>
    <w:rsid w:val="003521E8"/>
    <w:rsid w:val="00365DDD"/>
    <w:rsid w:val="003664BF"/>
    <w:rsid w:val="00371400"/>
    <w:rsid w:val="003728F3"/>
    <w:rsid w:val="00390900"/>
    <w:rsid w:val="003A13F0"/>
    <w:rsid w:val="003A35BD"/>
    <w:rsid w:val="003B00C5"/>
    <w:rsid w:val="003B443E"/>
    <w:rsid w:val="003B6A53"/>
    <w:rsid w:val="003B7E39"/>
    <w:rsid w:val="003C30DC"/>
    <w:rsid w:val="003C58DC"/>
    <w:rsid w:val="003C7461"/>
    <w:rsid w:val="003D0CD9"/>
    <w:rsid w:val="003E3208"/>
    <w:rsid w:val="003E3D34"/>
    <w:rsid w:val="003E7EAA"/>
    <w:rsid w:val="003F0B04"/>
    <w:rsid w:val="003F6F7D"/>
    <w:rsid w:val="0040134E"/>
    <w:rsid w:val="00410839"/>
    <w:rsid w:val="0041452B"/>
    <w:rsid w:val="004169A8"/>
    <w:rsid w:val="00440A2D"/>
    <w:rsid w:val="004414E4"/>
    <w:rsid w:val="004531DC"/>
    <w:rsid w:val="00454531"/>
    <w:rsid w:val="00455A6F"/>
    <w:rsid w:val="004564A7"/>
    <w:rsid w:val="004617BF"/>
    <w:rsid w:val="004634F1"/>
    <w:rsid w:val="00465E90"/>
    <w:rsid w:val="0047772E"/>
    <w:rsid w:val="00477BB1"/>
    <w:rsid w:val="004923FF"/>
    <w:rsid w:val="00494E60"/>
    <w:rsid w:val="00496BAC"/>
    <w:rsid w:val="004A6803"/>
    <w:rsid w:val="004A7E67"/>
    <w:rsid w:val="004B4CB5"/>
    <w:rsid w:val="004B5A6B"/>
    <w:rsid w:val="004B7B76"/>
    <w:rsid w:val="004C0070"/>
    <w:rsid w:val="004C2E29"/>
    <w:rsid w:val="004D1885"/>
    <w:rsid w:val="004D3B35"/>
    <w:rsid w:val="004D51A6"/>
    <w:rsid w:val="004F0F38"/>
    <w:rsid w:val="004F1A46"/>
    <w:rsid w:val="004F3CB3"/>
    <w:rsid w:val="004F4D12"/>
    <w:rsid w:val="004F709F"/>
    <w:rsid w:val="00501921"/>
    <w:rsid w:val="00511904"/>
    <w:rsid w:val="0051611F"/>
    <w:rsid w:val="00517BAB"/>
    <w:rsid w:val="00522A0C"/>
    <w:rsid w:val="005234E9"/>
    <w:rsid w:val="00530354"/>
    <w:rsid w:val="00531B11"/>
    <w:rsid w:val="005434C6"/>
    <w:rsid w:val="00543B39"/>
    <w:rsid w:val="0054583D"/>
    <w:rsid w:val="005477E7"/>
    <w:rsid w:val="00550096"/>
    <w:rsid w:val="00553A5B"/>
    <w:rsid w:val="0055532D"/>
    <w:rsid w:val="00557FF9"/>
    <w:rsid w:val="00561B39"/>
    <w:rsid w:val="00564010"/>
    <w:rsid w:val="00576378"/>
    <w:rsid w:val="00577279"/>
    <w:rsid w:val="00577E38"/>
    <w:rsid w:val="00585322"/>
    <w:rsid w:val="00593AD1"/>
    <w:rsid w:val="00594D03"/>
    <w:rsid w:val="00597877"/>
    <w:rsid w:val="005A1131"/>
    <w:rsid w:val="005A61CE"/>
    <w:rsid w:val="005C5570"/>
    <w:rsid w:val="005C79A4"/>
    <w:rsid w:val="005D4EA1"/>
    <w:rsid w:val="005D5442"/>
    <w:rsid w:val="005E3ED2"/>
    <w:rsid w:val="005E6592"/>
    <w:rsid w:val="00611B57"/>
    <w:rsid w:val="006147BB"/>
    <w:rsid w:val="00617EAC"/>
    <w:rsid w:val="006239CD"/>
    <w:rsid w:val="00626272"/>
    <w:rsid w:val="006323B2"/>
    <w:rsid w:val="00640190"/>
    <w:rsid w:val="006405A9"/>
    <w:rsid w:val="00640FC3"/>
    <w:rsid w:val="00642020"/>
    <w:rsid w:val="00644296"/>
    <w:rsid w:val="0064657D"/>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D7B47"/>
    <w:rsid w:val="006E08B3"/>
    <w:rsid w:val="006E5AB4"/>
    <w:rsid w:val="006F572E"/>
    <w:rsid w:val="007046D6"/>
    <w:rsid w:val="00705DB0"/>
    <w:rsid w:val="00706AFE"/>
    <w:rsid w:val="0072103F"/>
    <w:rsid w:val="00725A8B"/>
    <w:rsid w:val="0074066C"/>
    <w:rsid w:val="00742004"/>
    <w:rsid w:val="0074253D"/>
    <w:rsid w:val="0074429B"/>
    <w:rsid w:val="007456BB"/>
    <w:rsid w:val="007477F8"/>
    <w:rsid w:val="007615BC"/>
    <w:rsid w:val="00762F05"/>
    <w:rsid w:val="00763336"/>
    <w:rsid w:val="00764EB9"/>
    <w:rsid w:val="007652FF"/>
    <w:rsid w:val="00766F39"/>
    <w:rsid w:val="00771329"/>
    <w:rsid w:val="00773EF7"/>
    <w:rsid w:val="00774E1D"/>
    <w:rsid w:val="0077675A"/>
    <w:rsid w:val="00777A1E"/>
    <w:rsid w:val="00780355"/>
    <w:rsid w:val="00785721"/>
    <w:rsid w:val="00793A59"/>
    <w:rsid w:val="00794984"/>
    <w:rsid w:val="007A2162"/>
    <w:rsid w:val="007B302B"/>
    <w:rsid w:val="007B43ED"/>
    <w:rsid w:val="007B4BF9"/>
    <w:rsid w:val="007C0F3D"/>
    <w:rsid w:val="007C1AF7"/>
    <w:rsid w:val="007C7A6D"/>
    <w:rsid w:val="007C7B5B"/>
    <w:rsid w:val="007E7BF8"/>
    <w:rsid w:val="007F2FF0"/>
    <w:rsid w:val="0080342F"/>
    <w:rsid w:val="00805802"/>
    <w:rsid w:val="00810598"/>
    <w:rsid w:val="00811166"/>
    <w:rsid w:val="00814492"/>
    <w:rsid w:val="00821776"/>
    <w:rsid w:val="00826007"/>
    <w:rsid w:val="008321F5"/>
    <w:rsid w:val="00832369"/>
    <w:rsid w:val="00834660"/>
    <w:rsid w:val="00834C8E"/>
    <w:rsid w:val="00836BC2"/>
    <w:rsid w:val="0084156C"/>
    <w:rsid w:val="0084580B"/>
    <w:rsid w:val="00845BCA"/>
    <w:rsid w:val="00852F43"/>
    <w:rsid w:val="00853C8F"/>
    <w:rsid w:val="0085641B"/>
    <w:rsid w:val="00857136"/>
    <w:rsid w:val="00870360"/>
    <w:rsid w:val="00870B12"/>
    <w:rsid w:val="0087496B"/>
    <w:rsid w:val="008752CE"/>
    <w:rsid w:val="008821AA"/>
    <w:rsid w:val="008855B8"/>
    <w:rsid w:val="008932F3"/>
    <w:rsid w:val="00894FA6"/>
    <w:rsid w:val="00896018"/>
    <w:rsid w:val="00896A29"/>
    <w:rsid w:val="008A07FF"/>
    <w:rsid w:val="008A2B9D"/>
    <w:rsid w:val="008A5E0B"/>
    <w:rsid w:val="008A5E18"/>
    <w:rsid w:val="008A65EA"/>
    <w:rsid w:val="008A661C"/>
    <w:rsid w:val="008A6D59"/>
    <w:rsid w:val="008B08DB"/>
    <w:rsid w:val="008B2D31"/>
    <w:rsid w:val="008B4B03"/>
    <w:rsid w:val="008B596F"/>
    <w:rsid w:val="008C06F0"/>
    <w:rsid w:val="008C159F"/>
    <w:rsid w:val="008C1623"/>
    <w:rsid w:val="008C51A9"/>
    <w:rsid w:val="008C56D9"/>
    <w:rsid w:val="008D2B09"/>
    <w:rsid w:val="008D4740"/>
    <w:rsid w:val="008E4D29"/>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469B9"/>
    <w:rsid w:val="00952562"/>
    <w:rsid w:val="00952E93"/>
    <w:rsid w:val="009614CE"/>
    <w:rsid w:val="00963C08"/>
    <w:rsid w:val="0098750A"/>
    <w:rsid w:val="00997420"/>
    <w:rsid w:val="009A09AA"/>
    <w:rsid w:val="009A474D"/>
    <w:rsid w:val="009A4CED"/>
    <w:rsid w:val="009B15F1"/>
    <w:rsid w:val="009B1D12"/>
    <w:rsid w:val="009B416B"/>
    <w:rsid w:val="009C4BD5"/>
    <w:rsid w:val="009D2E04"/>
    <w:rsid w:val="009D7B77"/>
    <w:rsid w:val="009E0BB0"/>
    <w:rsid w:val="009E3FBB"/>
    <w:rsid w:val="009E4FBF"/>
    <w:rsid w:val="009E71F4"/>
    <w:rsid w:val="009F018D"/>
    <w:rsid w:val="009F4DC1"/>
    <w:rsid w:val="009F7D61"/>
    <w:rsid w:val="00A052B5"/>
    <w:rsid w:val="00A1235B"/>
    <w:rsid w:val="00A14DF7"/>
    <w:rsid w:val="00A23F3C"/>
    <w:rsid w:val="00A2501D"/>
    <w:rsid w:val="00A3019B"/>
    <w:rsid w:val="00A3246D"/>
    <w:rsid w:val="00A3654F"/>
    <w:rsid w:val="00A36FA7"/>
    <w:rsid w:val="00A475B7"/>
    <w:rsid w:val="00A47AF7"/>
    <w:rsid w:val="00A47C3E"/>
    <w:rsid w:val="00A50226"/>
    <w:rsid w:val="00A539AC"/>
    <w:rsid w:val="00A56488"/>
    <w:rsid w:val="00A60167"/>
    <w:rsid w:val="00A60BAD"/>
    <w:rsid w:val="00A64387"/>
    <w:rsid w:val="00A736F3"/>
    <w:rsid w:val="00A73A8D"/>
    <w:rsid w:val="00A7450F"/>
    <w:rsid w:val="00A84503"/>
    <w:rsid w:val="00A85B04"/>
    <w:rsid w:val="00A87334"/>
    <w:rsid w:val="00A95CFD"/>
    <w:rsid w:val="00A96C7F"/>
    <w:rsid w:val="00AB6F47"/>
    <w:rsid w:val="00AC2B40"/>
    <w:rsid w:val="00AC2BB2"/>
    <w:rsid w:val="00AC2C3C"/>
    <w:rsid w:val="00AC3BD9"/>
    <w:rsid w:val="00AC62E7"/>
    <w:rsid w:val="00AC7EB0"/>
    <w:rsid w:val="00AE0320"/>
    <w:rsid w:val="00AE2BCC"/>
    <w:rsid w:val="00AE65EB"/>
    <w:rsid w:val="00AF1D94"/>
    <w:rsid w:val="00AF60C5"/>
    <w:rsid w:val="00B009C6"/>
    <w:rsid w:val="00B01548"/>
    <w:rsid w:val="00B21D29"/>
    <w:rsid w:val="00B21FC5"/>
    <w:rsid w:val="00B21FEE"/>
    <w:rsid w:val="00B22D6F"/>
    <w:rsid w:val="00B25034"/>
    <w:rsid w:val="00B33863"/>
    <w:rsid w:val="00B37D17"/>
    <w:rsid w:val="00B40C62"/>
    <w:rsid w:val="00B4175E"/>
    <w:rsid w:val="00B510E1"/>
    <w:rsid w:val="00B512D5"/>
    <w:rsid w:val="00B532AF"/>
    <w:rsid w:val="00B54C25"/>
    <w:rsid w:val="00B600DA"/>
    <w:rsid w:val="00B64F68"/>
    <w:rsid w:val="00B67E12"/>
    <w:rsid w:val="00B71B43"/>
    <w:rsid w:val="00B739C4"/>
    <w:rsid w:val="00B76B91"/>
    <w:rsid w:val="00B92C72"/>
    <w:rsid w:val="00BA6FF1"/>
    <w:rsid w:val="00BB0909"/>
    <w:rsid w:val="00BB2048"/>
    <w:rsid w:val="00BB6529"/>
    <w:rsid w:val="00BC1CAB"/>
    <w:rsid w:val="00BC622A"/>
    <w:rsid w:val="00BD36B4"/>
    <w:rsid w:val="00BD45FD"/>
    <w:rsid w:val="00BD6F8A"/>
    <w:rsid w:val="00BE0A78"/>
    <w:rsid w:val="00BE5E76"/>
    <w:rsid w:val="00BE79F0"/>
    <w:rsid w:val="00BF046D"/>
    <w:rsid w:val="00BF5D04"/>
    <w:rsid w:val="00C13563"/>
    <w:rsid w:val="00C300D3"/>
    <w:rsid w:val="00C339C6"/>
    <w:rsid w:val="00C35EA2"/>
    <w:rsid w:val="00C404A6"/>
    <w:rsid w:val="00C40A36"/>
    <w:rsid w:val="00C44419"/>
    <w:rsid w:val="00C45E7B"/>
    <w:rsid w:val="00C471B1"/>
    <w:rsid w:val="00C52BEE"/>
    <w:rsid w:val="00C6316B"/>
    <w:rsid w:val="00C634A9"/>
    <w:rsid w:val="00C73D6C"/>
    <w:rsid w:val="00C772FF"/>
    <w:rsid w:val="00C77BC8"/>
    <w:rsid w:val="00C801AF"/>
    <w:rsid w:val="00C80256"/>
    <w:rsid w:val="00C952F4"/>
    <w:rsid w:val="00CA77CC"/>
    <w:rsid w:val="00CB6BC0"/>
    <w:rsid w:val="00CC1B7C"/>
    <w:rsid w:val="00CC727F"/>
    <w:rsid w:val="00CD2699"/>
    <w:rsid w:val="00CD7871"/>
    <w:rsid w:val="00CE5BB0"/>
    <w:rsid w:val="00CF15C3"/>
    <w:rsid w:val="00CF2B6F"/>
    <w:rsid w:val="00CF3409"/>
    <w:rsid w:val="00D017ED"/>
    <w:rsid w:val="00D03A07"/>
    <w:rsid w:val="00D12212"/>
    <w:rsid w:val="00D153B1"/>
    <w:rsid w:val="00D224FE"/>
    <w:rsid w:val="00D226E9"/>
    <w:rsid w:val="00D229BA"/>
    <w:rsid w:val="00D26B84"/>
    <w:rsid w:val="00D433BD"/>
    <w:rsid w:val="00D5616E"/>
    <w:rsid w:val="00D62CC2"/>
    <w:rsid w:val="00D634FE"/>
    <w:rsid w:val="00D6493E"/>
    <w:rsid w:val="00D85AC0"/>
    <w:rsid w:val="00DA1124"/>
    <w:rsid w:val="00DA1DEF"/>
    <w:rsid w:val="00DA3043"/>
    <w:rsid w:val="00DD130B"/>
    <w:rsid w:val="00DD4C9F"/>
    <w:rsid w:val="00DD6730"/>
    <w:rsid w:val="00DD75A3"/>
    <w:rsid w:val="00DD7A91"/>
    <w:rsid w:val="00DE02AE"/>
    <w:rsid w:val="00DE6A0C"/>
    <w:rsid w:val="00DE6C04"/>
    <w:rsid w:val="00DE75AC"/>
    <w:rsid w:val="00DF1D7F"/>
    <w:rsid w:val="00DF4076"/>
    <w:rsid w:val="00E00EB1"/>
    <w:rsid w:val="00E02FB4"/>
    <w:rsid w:val="00E1340C"/>
    <w:rsid w:val="00E20571"/>
    <w:rsid w:val="00E21651"/>
    <w:rsid w:val="00E235F7"/>
    <w:rsid w:val="00E239D4"/>
    <w:rsid w:val="00E30B1E"/>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D5ABA"/>
    <w:rsid w:val="00EE1482"/>
    <w:rsid w:val="00EE255A"/>
    <w:rsid w:val="00EF0EAB"/>
    <w:rsid w:val="00EF1E37"/>
    <w:rsid w:val="00EF47F3"/>
    <w:rsid w:val="00EF578B"/>
    <w:rsid w:val="00F033EC"/>
    <w:rsid w:val="00F04F68"/>
    <w:rsid w:val="00F0627D"/>
    <w:rsid w:val="00F06942"/>
    <w:rsid w:val="00F101CB"/>
    <w:rsid w:val="00F11A17"/>
    <w:rsid w:val="00F12670"/>
    <w:rsid w:val="00F148E4"/>
    <w:rsid w:val="00F14B27"/>
    <w:rsid w:val="00F202AB"/>
    <w:rsid w:val="00F24A60"/>
    <w:rsid w:val="00F3148D"/>
    <w:rsid w:val="00F3255D"/>
    <w:rsid w:val="00F35298"/>
    <w:rsid w:val="00F3529E"/>
    <w:rsid w:val="00F36C32"/>
    <w:rsid w:val="00F40F73"/>
    <w:rsid w:val="00F4305F"/>
    <w:rsid w:val="00F44B0D"/>
    <w:rsid w:val="00F44B33"/>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3BFE"/>
    <w:rsid w:val="00FB59CE"/>
    <w:rsid w:val="00FB6487"/>
    <w:rsid w:val="00FC03C8"/>
    <w:rsid w:val="00FC25E4"/>
    <w:rsid w:val="00FC260C"/>
    <w:rsid w:val="00FC4EF7"/>
    <w:rsid w:val="00FD3E84"/>
    <w:rsid w:val="00FE1941"/>
    <w:rsid w:val="00FE1DEE"/>
    <w:rsid w:val="00FF159D"/>
    <w:rsid w:val="00FF2126"/>
    <w:rsid w:val="00FF3EE8"/>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71400"/>
    <w:pPr>
      <w:keepNext/>
      <w:keepLines/>
      <w:numPr>
        <w:numId w:val="33"/>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E0113"/>
    <w:pPr>
      <w:keepNext/>
      <w:keepLines/>
      <w:numPr>
        <w:ilvl w:val="1"/>
        <w:numId w:val="33"/>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6147BB"/>
    <w:pPr>
      <w:keepNext/>
      <w:keepLines/>
      <w:spacing w:before="360" w:after="120"/>
      <w:outlineLvl w:val="3"/>
    </w:pPr>
    <w:rPr>
      <w:rFonts w:asciiTheme="minorHAnsi" w:hAnsiTheme="minorHAnsi"/>
      <w:b/>
      <w:bCs/>
      <w:i/>
      <w:iCs/>
      <w:szCs w:val="22"/>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371400"/>
    <w:rPr>
      <w:rFonts w:ascii="Arial" w:eastAsia="Times New Roman" w:hAnsi="Arial"/>
      <w:b/>
      <w:bCs/>
      <w:sz w:val="38"/>
      <w:szCs w:val="38"/>
      <w:lang w:eastAsia="en-US"/>
    </w:rPr>
  </w:style>
  <w:style w:type="character" w:customStyle="1" w:styleId="Heading3Char">
    <w:name w:val="Heading 3 Char"/>
    <w:basedOn w:val="DefaultParagraphFont"/>
    <w:link w:val="Heading3"/>
    <w:rsid w:val="001E0113"/>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6147BB"/>
    <w:rPr>
      <w:rFonts w:asciiTheme="minorHAnsi" w:hAnsiTheme="minorHAnsi"/>
      <w:b/>
      <w:bCs/>
      <w:i/>
      <w:iCs/>
      <w:sz w:val="22"/>
      <w:szCs w:val="22"/>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27"/>
      </w:numPr>
    </w:pPr>
  </w:style>
  <w:style w:type="paragraph" w:styleId="ListBullet2">
    <w:name w:val="List Bullet 2"/>
    <w:basedOn w:val="Normal"/>
    <w:uiPriority w:val="2"/>
    <w:qFormat/>
    <w:rsid w:val="004B5A6B"/>
    <w:pPr>
      <w:numPr>
        <w:ilvl w:val="1"/>
        <w:numId w:val="27"/>
      </w:numPr>
      <w:ind w:left="850" w:hanging="425"/>
    </w:pPr>
  </w:style>
  <w:style w:type="paragraph" w:styleId="ListBullet3">
    <w:name w:val="List Bullet 3"/>
    <w:basedOn w:val="Normal"/>
    <w:uiPriority w:val="2"/>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30"/>
      </w:numPr>
    </w:pPr>
  </w:style>
  <w:style w:type="paragraph" w:customStyle="1" w:styleId="Numberbullet2">
    <w:name w:val="Number bullet 2"/>
    <w:basedOn w:val="ListBullet2"/>
    <w:qFormat/>
    <w:rsid w:val="00B22D6F"/>
    <w:pPr>
      <w:numPr>
        <w:ilvl w:val="0"/>
        <w:numId w:val="35"/>
      </w:numPr>
      <w:ind w:left="709"/>
    </w:pPr>
    <w:rPr>
      <w:i/>
    </w:rPr>
  </w:style>
  <w:style w:type="paragraph" w:customStyle="1" w:styleId="Numberbullet3">
    <w:name w:val="Number bullet 3"/>
    <w:basedOn w:val="Normal"/>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0113"/>
    <w:pPr>
      <w:ind w:left="720"/>
      <w:contextualSpacing/>
    </w:pPr>
  </w:style>
  <w:style w:type="character" w:styleId="UnresolvedMention">
    <w:name w:val="Unresolved Mention"/>
    <w:basedOn w:val="DefaultParagraphFont"/>
    <w:uiPriority w:val="99"/>
    <w:semiHidden/>
    <w:unhideWhenUsed/>
    <w:rsid w:val="0045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tga.gov.au/tga/june_2020_acms_accs_isothiazolinon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scheduling-handbook-guidance-amending-poisons-standard" TargetMode="Externa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scheduling-submission/public-submissions-scheduling-matters-referred-acms-31-and-joint-acms-accs-25-meetings-held-june-2020"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invitation/consultation-proposed-amendments-poisons-standard-acms-and-joint-acmsaccs-meetings-june-2020"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5F7B-91A6-4B78-B599-A6A68A05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3</TotalTime>
  <Pages>6</Pages>
  <Words>1654</Words>
  <Characters>9363</Characters>
  <Application>Microsoft Office Word</Application>
  <DocSecurity>0</DocSecurity>
  <Lines>158</Lines>
  <Paragraphs>51</Paragraphs>
  <ScaleCrop>false</ScaleCrop>
  <HeadingPairs>
    <vt:vector size="2" baseType="variant">
      <vt:variant>
        <vt:lpstr>Title</vt:lpstr>
      </vt:variant>
      <vt:variant>
        <vt:i4>1</vt:i4>
      </vt:variant>
    </vt:vector>
  </HeadingPairs>
  <TitlesOfParts>
    <vt:vector size="1" baseType="lpstr">
      <vt:lpstr>Notice of interim decision to not amend the current Poisons Standard</vt:lpstr>
    </vt:vector>
  </TitlesOfParts>
  <Company>Department of Health, TGA</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 to not amend the current Poisons Standard</dc:title>
  <dc:subject>scheduling</dc:subject>
  <dc:creator>Therapeutic Goods Administration</dc:creator>
  <cp:lastPrinted>2010-12-20T22:59:00Z</cp:lastPrinted>
  <dcterms:created xsi:type="dcterms:W3CDTF">2022-03-10T05:06:00Z</dcterms:created>
  <dcterms:modified xsi:type="dcterms:W3CDTF">2022-03-10T05:08:00Z</dcterms:modified>
</cp:coreProperties>
</file>