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7504D647" w14:textId="77777777" w:rsidTr="00ED0C8B">
        <w:tc>
          <w:tcPr>
            <w:tcW w:w="8720" w:type="dxa"/>
          </w:tcPr>
          <w:p w14:paraId="24EB616A" w14:textId="5819714A" w:rsidR="001D480A" w:rsidRPr="009401F6" w:rsidRDefault="001E0113" w:rsidP="00ED0C8B">
            <w:pPr>
              <w:pStyle w:val="Title"/>
            </w:pPr>
            <w:r>
              <w:t>Notice of interim decisions to amend (or not amend) the current Poisons Standard</w:t>
            </w:r>
            <w:r w:rsidR="00E737D5">
              <w:br/>
              <w:t>(oral contraceptive substances)</w:t>
            </w:r>
          </w:p>
        </w:tc>
      </w:tr>
      <w:tr w:rsidR="00ED0C8B" w:rsidRPr="009401F6" w14:paraId="10807413" w14:textId="77777777" w:rsidTr="00ED0C8B">
        <w:trPr>
          <w:trHeight w:val="1387"/>
        </w:trPr>
        <w:tc>
          <w:tcPr>
            <w:tcW w:w="8720" w:type="dxa"/>
          </w:tcPr>
          <w:p w14:paraId="559D5987" w14:textId="2CD43FD1" w:rsidR="001D480A" w:rsidRPr="009401F6" w:rsidRDefault="001D480A" w:rsidP="00ED0C8B">
            <w:pPr>
              <w:pStyle w:val="Subtitle"/>
              <w:ind w:left="0"/>
              <w:rPr>
                <w:lang w:eastAsia="en-AU"/>
              </w:rPr>
            </w:pPr>
          </w:p>
        </w:tc>
      </w:tr>
      <w:tr w:rsidR="00ED0C8B" w:rsidRPr="009401F6" w14:paraId="17D9CA74" w14:textId="77777777" w:rsidTr="00ED0C8B">
        <w:tc>
          <w:tcPr>
            <w:tcW w:w="8720" w:type="dxa"/>
          </w:tcPr>
          <w:p w14:paraId="2AF1C330" w14:textId="65A0FBF5" w:rsidR="00ED0C8B" w:rsidRPr="009401F6" w:rsidRDefault="00ED0C8B" w:rsidP="00EB182C">
            <w:pPr>
              <w:pStyle w:val="Date"/>
              <w:rPr>
                <w:lang w:eastAsia="en-AU"/>
              </w:rPr>
            </w:pPr>
          </w:p>
        </w:tc>
      </w:tr>
    </w:tbl>
    <w:p w14:paraId="19387898" w14:textId="77777777" w:rsidR="00BA6FF1" w:rsidRPr="009401F6" w:rsidRDefault="00BA6FF1" w:rsidP="007C7B5B">
      <w:pPr>
        <w:rPr>
          <w:lang w:eastAsia="en-AU"/>
        </w:rPr>
      </w:pPr>
    </w:p>
    <w:p w14:paraId="26771864" w14:textId="77777777" w:rsidR="001D480A" w:rsidRPr="009401F6" w:rsidRDefault="001D480A" w:rsidP="0054583D">
      <w:pPr>
        <w:rPr>
          <w:lang w:eastAsia="en-AU"/>
        </w:rPr>
        <w:sectPr w:rsidR="001D480A" w:rsidRPr="009401F6" w:rsidSect="00F8404D">
          <w:headerReference w:type="default" r:id="rId8"/>
          <w:footerReference w:type="default" r:id="rId9"/>
          <w:headerReference w:type="first" r:id="rId10"/>
          <w:footerReference w:type="first" r:id="rId11"/>
          <w:type w:val="continuous"/>
          <w:pgSz w:w="11906" w:h="16838" w:code="9"/>
          <w:pgMar w:top="6923" w:right="1418" w:bottom="709" w:left="1418" w:header="998" w:footer="0" w:gutter="0"/>
          <w:cols w:space="708"/>
          <w:titlePg/>
          <w:docGrid w:linePitch="360"/>
        </w:sectPr>
      </w:pPr>
    </w:p>
    <w:p w14:paraId="41EF7E82" w14:textId="77777777" w:rsidR="00BA6FF1" w:rsidRPr="00C721A5" w:rsidRDefault="00BA6FF1" w:rsidP="00FE1941">
      <w:pPr>
        <w:pStyle w:val="LegalSubheading"/>
        <w:pageBreakBefore/>
      </w:pPr>
      <w:r w:rsidRPr="00C721A5">
        <w:lastRenderedPageBreak/>
        <w:t>Copyright</w:t>
      </w:r>
    </w:p>
    <w:p w14:paraId="1BD51453" w14:textId="77777777" w:rsidR="00611B57" w:rsidRDefault="00EA453A" w:rsidP="00FE1941">
      <w:pPr>
        <w:pStyle w:val="LegalCopy"/>
        <w:spacing w:after="0"/>
      </w:pPr>
      <w:r w:rsidRPr="009401F6">
        <w:t>© Commonwealth of Australia 20</w:t>
      </w:r>
      <w:r w:rsidR="00D433BD">
        <w:t>21</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9401F6">
          <w:rPr>
            <w:rStyle w:val="Hyperlink"/>
            <w:rFonts w:cs="Arial"/>
          </w:rPr>
          <w:t>tga.copyright@tga.gov.au</w:t>
        </w:r>
      </w:hyperlink>
      <w:r w:rsidR="004169A8" w:rsidRPr="009401F6">
        <w:t>&gt;</w:t>
      </w:r>
    </w:p>
    <w:p w14:paraId="5879787C" w14:textId="77777777" w:rsidR="008D2B09" w:rsidRPr="00C721A5" w:rsidRDefault="008D2B09" w:rsidP="00611B57">
      <w:pPr>
        <w:pStyle w:val="LegalSubheading"/>
        <w:rPr>
          <w:lang w:eastAsia="en-AU"/>
        </w:rPr>
      </w:pPr>
      <w:r w:rsidRPr="00C721A5">
        <w:rPr>
          <w:lang w:eastAsia="en-AU"/>
        </w:rPr>
        <w:t>Confidentiality</w:t>
      </w:r>
    </w:p>
    <w:p w14:paraId="47102010"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50AAD8AF" w14:textId="77777777" w:rsidR="00B92C72" w:rsidRPr="009401F6" w:rsidRDefault="00B92C72" w:rsidP="00B92C72">
          <w:pPr>
            <w:pStyle w:val="NonTOCheading2"/>
          </w:pPr>
          <w:r w:rsidRPr="009401F6">
            <w:t>Contents</w:t>
          </w:r>
        </w:p>
        <w:p w14:paraId="23BEE27F" w14:textId="47BCF933" w:rsidR="00A828B1" w:rsidRDefault="006C626D">
          <w:pPr>
            <w:pStyle w:val="TOC1"/>
            <w:tabs>
              <w:tab w:val="left" w:pos="851"/>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76983341" w:history="1">
            <w:r w:rsidR="00A828B1" w:rsidRPr="009207A9">
              <w:rPr>
                <w:rStyle w:val="Hyperlink"/>
                <w:noProof/>
              </w:rPr>
              <w:t>1.</w:t>
            </w:r>
            <w:r w:rsidR="00A828B1">
              <w:rPr>
                <w:rFonts w:asciiTheme="minorHAnsi" w:eastAsiaTheme="minorEastAsia" w:hAnsiTheme="minorHAnsi" w:cstheme="minorBidi"/>
                <w:b w:val="0"/>
                <w:noProof/>
                <w:sz w:val="22"/>
                <w:szCs w:val="22"/>
                <w:lang w:eastAsia="en-AU"/>
              </w:rPr>
              <w:tab/>
            </w:r>
            <w:r w:rsidR="00A828B1" w:rsidRPr="009207A9">
              <w:rPr>
                <w:rStyle w:val="Hyperlink"/>
                <w:noProof/>
              </w:rPr>
              <w:t xml:space="preserve">Notice of interim decisions made under Regulation 42ZCZN of the </w:t>
            </w:r>
            <w:r w:rsidR="00A828B1" w:rsidRPr="009207A9">
              <w:rPr>
                <w:rStyle w:val="Hyperlink"/>
                <w:i/>
                <w:noProof/>
              </w:rPr>
              <w:t>Therapeutic Goods Regulations 1990</w:t>
            </w:r>
            <w:r w:rsidR="00A828B1">
              <w:rPr>
                <w:noProof/>
                <w:webHidden/>
              </w:rPr>
              <w:tab/>
            </w:r>
            <w:r w:rsidR="00A828B1">
              <w:rPr>
                <w:noProof/>
                <w:webHidden/>
              </w:rPr>
              <w:fldChar w:fldCharType="begin"/>
            </w:r>
            <w:r w:rsidR="00A828B1">
              <w:rPr>
                <w:noProof/>
                <w:webHidden/>
              </w:rPr>
              <w:instrText xml:space="preserve"> PAGEREF _Toc76983341 \h </w:instrText>
            </w:r>
            <w:r w:rsidR="00A828B1">
              <w:rPr>
                <w:noProof/>
                <w:webHidden/>
              </w:rPr>
            </w:r>
            <w:r w:rsidR="00A828B1">
              <w:rPr>
                <w:noProof/>
                <w:webHidden/>
              </w:rPr>
              <w:fldChar w:fldCharType="separate"/>
            </w:r>
            <w:r w:rsidR="00AB1349">
              <w:rPr>
                <w:noProof/>
                <w:webHidden/>
              </w:rPr>
              <w:t>4</w:t>
            </w:r>
            <w:r w:rsidR="00A828B1">
              <w:rPr>
                <w:noProof/>
                <w:webHidden/>
              </w:rPr>
              <w:fldChar w:fldCharType="end"/>
            </w:r>
          </w:hyperlink>
        </w:p>
        <w:p w14:paraId="6D03DBE7" w14:textId="1C7D776A" w:rsidR="00A828B1" w:rsidRDefault="00CF5C6A">
          <w:pPr>
            <w:pStyle w:val="TOC1"/>
            <w:tabs>
              <w:tab w:val="left" w:pos="851"/>
            </w:tabs>
            <w:rPr>
              <w:rFonts w:asciiTheme="minorHAnsi" w:eastAsiaTheme="minorEastAsia" w:hAnsiTheme="minorHAnsi" w:cstheme="minorBidi"/>
              <w:b w:val="0"/>
              <w:noProof/>
              <w:sz w:val="22"/>
              <w:szCs w:val="22"/>
              <w:lang w:eastAsia="en-AU"/>
            </w:rPr>
          </w:pPr>
          <w:hyperlink w:anchor="_Toc76983342" w:history="1">
            <w:r w:rsidR="00A828B1" w:rsidRPr="009207A9">
              <w:rPr>
                <w:rStyle w:val="Hyperlink"/>
                <w:noProof/>
              </w:rPr>
              <w:t>2.</w:t>
            </w:r>
            <w:r w:rsidR="00A828B1">
              <w:rPr>
                <w:rFonts w:asciiTheme="minorHAnsi" w:eastAsiaTheme="minorEastAsia" w:hAnsiTheme="minorHAnsi" w:cstheme="minorBidi"/>
                <w:b w:val="0"/>
                <w:noProof/>
                <w:sz w:val="22"/>
                <w:szCs w:val="22"/>
                <w:lang w:eastAsia="en-AU"/>
              </w:rPr>
              <w:tab/>
            </w:r>
            <w:r w:rsidR="00A828B1" w:rsidRPr="009207A9">
              <w:rPr>
                <w:rStyle w:val="Hyperlink"/>
                <w:noProof/>
              </w:rPr>
              <w:t>Interim decisions on proposed amendments referred to the Advisory Committee on Medicines Scheduling (ACMS #34, June 2021)</w:t>
            </w:r>
            <w:r w:rsidR="00A828B1">
              <w:rPr>
                <w:noProof/>
                <w:webHidden/>
              </w:rPr>
              <w:tab/>
            </w:r>
            <w:r w:rsidR="00A828B1">
              <w:rPr>
                <w:noProof/>
                <w:webHidden/>
              </w:rPr>
              <w:fldChar w:fldCharType="begin"/>
            </w:r>
            <w:r w:rsidR="00A828B1">
              <w:rPr>
                <w:noProof/>
                <w:webHidden/>
              </w:rPr>
              <w:instrText xml:space="preserve"> PAGEREF _Toc76983342 \h </w:instrText>
            </w:r>
            <w:r w:rsidR="00A828B1">
              <w:rPr>
                <w:noProof/>
                <w:webHidden/>
              </w:rPr>
            </w:r>
            <w:r w:rsidR="00A828B1">
              <w:rPr>
                <w:noProof/>
                <w:webHidden/>
              </w:rPr>
              <w:fldChar w:fldCharType="separate"/>
            </w:r>
            <w:r w:rsidR="00AB1349">
              <w:rPr>
                <w:noProof/>
                <w:webHidden/>
              </w:rPr>
              <w:t>5</w:t>
            </w:r>
            <w:r w:rsidR="00A828B1">
              <w:rPr>
                <w:noProof/>
                <w:webHidden/>
              </w:rPr>
              <w:fldChar w:fldCharType="end"/>
            </w:r>
          </w:hyperlink>
        </w:p>
        <w:p w14:paraId="48182ED8" w14:textId="7E322122" w:rsidR="00A828B1" w:rsidRDefault="00CF5C6A">
          <w:pPr>
            <w:pStyle w:val="TOC2"/>
            <w:tabs>
              <w:tab w:val="left" w:pos="1276"/>
            </w:tabs>
            <w:rPr>
              <w:rFonts w:asciiTheme="minorHAnsi" w:eastAsiaTheme="minorEastAsia" w:hAnsiTheme="minorHAnsi" w:cstheme="minorBidi"/>
              <w:b w:val="0"/>
              <w:noProof/>
              <w:sz w:val="22"/>
              <w:szCs w:val="22"/>
              <w:lang w:eastAsia="en-AU"/>
            </w:rPr>
          </w:pPr>
          <w:hyperlink w:anchor="_Toc76983343" w:history="1">
            <w:r w:rsidR="00A828B1" w:rsidRPr="009207A9">
              <w:rPr>
                <w:rStyle w:val="Hyperlink"/>
                <w:noProof/>
              </w:rPr>
              <w:t>2.1</w:t>
            </w:r>
            <w:r w:rsidR="00A828B1">
              <w:rPr>
                <w:rFonts w:asciiTheme="minorHAnsi" w:eastAsiaTheme="minorEastAsia" w:hAnsiTheme="minorHAnsi" w:cstheme="minorBidi"/>
                <w:b w:val="0"/>
                <w:noProof/>
                <w:sz w:val="22"/>
                <w:szCs w:val="22"/>
                <w:lang w:eastAsia="en-AU"/>
              </w:rPr>
              <w:tab/>
            </w:r>
            <w:r w:rsidR="00A828B1" w:rsidRPr="009207A9">
              <w:rPr>
                <w:rStyle w:val="Hyperlink"/>
                <w:noProof/>
              </w:rPr>
              <w:t>Interim decision in relation to oral contraceptive substances</w:t>
            </w:r>
            <w:r w:rsidR="00A828B1">
              <w:rPr>
                <w:noProof/>
                <w:webHidden/>
              </w:rPr>
              <w:tab/>
            </w:r>
            <w:r w:rsidR="00A828B1">
              <w:rPr>
                <w:noProof/>
                <w:webHidden/>
              </w:rPr>
              <w:fldChar w:fldCharType="begin"/>
            </w:r>
            <w:r w:rsidR="00A828B1">
              <w:rPr>
                <w:noProof/>
                <w:webHidden/>
              </w:rPr>
              <w:instrText xml:space="preserve"> PAGEREF _Toc76983343 \h </w:instrText>
            </w:r>
            <w:r w:rsidR="00A828B1">
              <w:rPr>
                <w:noProof/>
                <w:webHidden/>
              </w:rPr>
            </w:r>
            <w:r w:rsidR="00A828B1">
              <w:rPr>
                <w:noProof/>
                <w:webHidden/>
              </w:rPr>
              <w:fldChar w:fldCharType="separate"/>
            </w:r>
            <w:r w:rsidR="00AB1349">
              <w:rPr>
                <w:noProof/>
                <w:webHidden/>
              </w:rPr>
              <w:t>5</w:t>
            </w:r>
            <w:r w:rsidR="00A828B1">
              <w:rPr>
                <w:noProof/>
                <w:webHidden/>
              </w:rPr>
              <w:fldChar w:fldCharType="end"/>
            </w:r>
          </w:hyperlink>
        </w:p>
        <w:p w14:paraId="62C9ED1B" w14:textId="57179918" w:rsidR="00A828B1" w:rsidRDefault="00CF5C6A">
          <w:pPr>
            <w:pStyle w:val="TOC3"/>
            <w:rPr>
              <w:rFonts w:asciiTheme="minorHAnsi" w:eastAsiaTheme="minorEastAsia" w:hAnsiTheme="minorHAnsi" w:cstheme="minorBidi"/>
              <w:b w:val="0"/>
              <w:noProof/>
              <w:szCs w:val="22"/>
              <w:lang w:eastAsia="en-AU"/>
            </w:rPr>
          </w:pPr>
          <w:hyperlink w:anchor="_Toc76983344" w:history="1">
            <w:r w:rsidR="00A828B1" w:rsidRPr="009207A9">
              <w:rPr>
                <w:rStyle w:val="Hyperlink"/>
                <w:rFonts w:eastAsia="Times New Roman"/>
                <w:i/>
                <w:noProof/>
              </w:rPr>
              <w:t>Proposal</w:t>
            </w:r>
            <w:r w:rsidR="00A828B1">
              <w:rPr>
                <w:noProof/>
                <w:webHidden/>
              </w:rPr>
              <w:tab/>
            </w:r>
            <w:r w:rsidR="00A828B1">
              <w:rPr>
                <w:noProof/>
                <w:webHidden/>
              </w:rPr>
              <w:fldChar w:fldCharType="begin"/>
            </w:r>
            <w:r w:rsidR="00A828B1">
              <w:rPr>
                <w:noProof/>
                <w:webHidden/>
              </w:rPr>
              <w:instrText xml:space="preserve"> PAGEREF _Toc76983344 \h </w:instrText>
            </w:r>
            <w:r w:rsidR="00A828B1">
              <w:rPr>
                <w:noProof/>
                <w:webHidden/>
              </w:rPr>
            </w:r>
            <w:r w:rsidR="00A828B1">
              <w:rPr>
                <w:noProof/>
                <w:webHidden/>
              </w:rPr>
              <w:fldChar w:fldCharType="separate"/>
            </w:r>
            <w:r w:rsidR="00AB1349">
              <w:rPr>
                <w:noProof/>
                <w:webHidden/>
              </w:rPr>
              <w:t>5</w:t>
            </w:r>
            <w:r w:rsidR="00A828B1">
              <w:rPr>
                <w:noProof/>
                <w:webHidden/>
              </w:rPr>
              <w:fldChar w:fldCharType="end"/>
            </w:r>
          </w:hyperlink>
        </w:p>
        <w:p w14:paraId="779A2070" w14:textId="55A36933" w:rsidR="00A828B1" w:rsidRDefault="00CF5C6A">
          <w:pPr>
            <w:pStyle w:val="TOC3"/>
            <w:rPr>
              <w:rFonts w:asciiTheme="minorHAnsi" w:eastAsiaTheme="minorEastAsia" w:hAnsiTheme="minorHAnsi" w:cstheme="minorBidi"/>
              <w:b w:val="0"/>
              <w:noProof/>
              <w:szCs w:val="22"/>
              <w:lang w:eastAsia="en-AU"/>
            </w:rPr>
          </w:pPr>
          <w:hyperlink w:anchor="_Toc76983345" w:history="1">
            <w:r w:rsidR="00A828B1" w:rsidRPr="009207A9">
              <w:rPr>
                <w:rStyle w:val="Hyperlink"/>
                <w:rFonts w:eastAsia="Times New Roman"/>
                <w:i/>
                <w:noProof/>
              </w:rPr>
              <w:t>Interim decision</w:t>
            </w:r>
            <w:r w:rsidR="00A828B1">
              <w:rPr>
                <w:noProof/>
                <w:webHidden/>
              </w:rPr>
              <w:tab/>
            </w:r>
            <w:r w:rsidR="00A828B1">
              <w:rPr>
                <w:noProof/>
                <w:webHidden/>
              </w:rPr>
              <w:fldChar w:fldCharType="begin"/>
            </w:r>
            <w:r w:rsidR="00A828B1">
              <w:rPr>
                <w:noProof/>
                <w:webHidden/>
              </w:rPr>
              <w:instrText xml:space="preserve"> PAGEREF _Toc76983345 \h </w:instrText>
            </w:r>
            <w:r w:rsidR="00A828B1">
              <w:rPr>
                <w:noProof/>
                <w:webHidden/>
              </w:rPr>
            </w:r>
            <w:r w:rsidR="00A828B1">
              <w:rPr>
                <w:noProof/>
                <w:webHidden/>
              </w:rPr>
              <w:fldChar w:fldCharType="separate"/>
            </w:r>
            <w:r w:rsidR="00AB1349">
              <w:rPr>
                <w:noProof/>
                <w:webHidden/>
              </w:rPr>
              <w:t>5</w:t>
            </w:r>
            <w:r w:rsidR="00A828B1">
              <w:rPr>
                <w:noProof/>
                <w:webHidden/>
              </w:rPr>
              <w:fldChar w:fldCharType="end"/>
            </w:r>
          </w:hyperlink>
        </w:p>
        <w:p w14:paraId="6EDB5DA6" w14:textId="33F68BA0" w:rsidR="00A828B1" w:rsidRDefault="00CF5C6A">
          <w:pPr>
            <w:pStyle w:val="TOC3"/>
            <w:rPr>
              <w:rFonts w:asciiTheme="minorHAnsi" w:eastAsiaTheme="minorEastAsia" w:hAnsiTheme="minorHAnsi" w:cstheme="minorBidi"/>
              <w:b w:val="0"/>
              <w:noProof/>
              <w:szCs w:val="22"/>
              <w:lang w:eastAsia="en-AU"/>
            </w:rPr>
          </w:pPr>
          <w:hyperlink w:anchor="_Toc76983346" w:history="1">
            <w:r w:rsidR="00A828B1" w:rsidRPr="009207A9">
              <w:rPr>
                <w:rStyle w:val="Hyperlink"/>
                <w:rFonts w:eastAsia="Times New Roman"/>
                <w:i/>
                <w:noProof/>
              </w:rPr>
              <w:t>Materials considered</w:t>
            </w:r>
            <w:r w:rsidR="00A828B1">
              <w:rPr>
                <w:noProof/>
                <w:webHidden/>
              </w:rPr>
              <w:tab/>
            </w:r>
            <w:r w:rsidR="00A828B1">
              <w:rPr>
                <w:noProof/>
                <w:webHidden/>
              </w:rPr>
              <w:fldChar w:fldCharType="begin"/>
            </w:r>
            <w:r w:rsidR="00A828B1">
              <w:rPr>
                <w:noProof/>
                <w:webHidden/>
              </w:rPr>
              <w:instrText xml:space="preserve"> PAGEREF _Toc76983346 \h </w:instrText>
            </w:r>
            <w:r w:rsidR="00A828B1">
              <w:rPr>
                <w:noProof/>
                <w:webHidden/>
              </w:rPr>
            </w:r>
            <w:r w:rsidR="00A828B1">
              <w:rPr>
                <w:noProof/>
                <w:webHidden/>
              </w:rPr>
              <w:fldChar w:fldCharType="separate"/>
            </w:r>
            <w:r w:rsidR="00AB1349">
              <w:rPr>
                <w:noProof/>
                <w:webHidden/>
              </w:rPr>
              <w:t>5</w:t>
            </w:r>
            <w:r w:rsidR="00A828B1">
              <w:rPr>
                <w:noProof/>
                <w:webHidden/>
              </w:rPr>
              <w:fldChar w:fldCharType="end"/>
            </w:r>
          </w:hyperlink>
        </w:p>
        <w:p w14:paraId="70A497F9" w14:textId="72EEB83B" w:rsidR="00A828B1" w:rsidRDefault="00CF5C6A">
          <w:pPr>
            <w:pStyle w:val="TOC3"/>
            <w:rPr>
              <w:rFonts w:asciiTheme="minorHAnsi" w:eastAsiaTheme="minorEastAsia" w:hAnsiTheme="minorHAnsi" w:cstheme="minorBidi"/>
              <w:b w:val="0"/>
              <w:noProof/>
              <w:szCs w:val="22"/>
              <w:lang w:eastAsia="en-AU"/>
            </w:rPr>
          </w:pPr>
          <w:hyperlink w:anchor="_Toc76983347" w:history="1">
            <w:r w:rsidR="00A828B1" w:rsidRPr="009207A9">
              <w:rPr>
                <w:rStyle w:val="Hyperlink"/>
                <w:rFonts w:eastAsia="Times New Roman"/>
                <w:i/>
                <w:noProof/>
              </w:rPr>
              <w:t>Summary of ACMS advice to the delegate</w:t>
            </w:r>
            <w:r w:rsidR="00A828B1">
              <w:rPr>
                <w:noProof/>
                <w:webHidden/>
              </w:rPr>
              <w:tab/>
            </w:r>
            <w:r w:rsidR="00A828B1">
              <w:rPr>
                <w:noProof/>
                <w:webHidden/>
              </w:rPr>
              <w:fldChar w:fldCharType="begin"/>
            </w:r>
            <w:r w:rsidR="00A828B1">
              <w:rPr>
                <w:noProof/>
                <w:webHidden/>
              </w:rPr>
              <w:instrText xml:space="preserve"> PAGEREF _Toc76983347 \h </w:instrText>
            </w:r>
            <w:r w:rsidR="00A828B1">
              <w:rPr>
                <w:noProof/>
                <w:webHidden/>
              </w:rPr>
            </w:r>
            <w:r w:rsidR="00A828B1">
              <w:rPr>
                <w:noProof/>
                <w:webHidden/>
              </w:rPr>
              <w:fldChar w:fldCharType="separate"/>
            </w:r>
            <w:r w:rsidR="00AB1349">
              <w:rPr>
                <w:noProof/>
                <w:webHidden/>
              </w:rPr>
              <w:t>6</w:t>
            </w:r>
            <w:r w:rsidR="00A828B1">
              <w:rPr>
                <w:noProof/>
                <w:webHidden/>
              </w:rPr>
              <w:fldChar w:fldCharType="end"/>
            </w:r>
          </w:hyperlink>
        </w:p>
        <w:p w14:paraId="7567103C" w14:textId="710BAB91" w:rsidR="00A828B1" w:rsidRDefault="00CF5C6A">
          <w:pPr>
            <w:pStyle w:val="TOC3"/>
            <w:rPr>
              <w:rFonts w:asciiTheme="minorHAnsi" w:eastAsiaTheme="minorEastAsia" w:hAnsiTheme="minorHAnsi" w:cstheme="minorBidi"/>
              <w:b w:val="0"/>
              <w:noProof/>
              <w:szCs w:val="22"/>
              <w:lang w:eastAsia="en-AU"/>
            </w:rPr>
          </w:pPr>
          <w:hyperlink w:anchor="_Toc76983348" w:history="1">
            <w:r w:rsidR="00A828B1" w:rsidRPr="009207A9">
              <w:rPr>
                <w:rStyle w:val="Hyperlink"/>
                <w:rFonts w:eastAsia="Times New Roman"/>
                <w:i/>
                <w:noProof/>
              </w:rPr>
              <w:t xml:space="preserve">Reasons for the interim decision (including findings on material questions </w:t>
            </w:r>
            <w:r w:rsidR="00A828B1">
              <w:rPr>
                <w:rStyle w:val="Hyperlink"/>
                <w:rFonts w:eastAsia="Times New Roman"/>
                <w:i/>
                <w:noProof/>
              </w:rPr>
              <w:br/>
            </w:r>
            <w:r w:rsidR="00A828B1" w:rsidRPr="009207A9">
              <w:rPr>
                <w:rStyle w:val="Hyperlink"/>
                <w:rFonts w:eastAsia="Times New Roman"/>
                <w:i/>
                <w:noProof/>
              </w:rPr>
              <w:t>of fact)</w:t>
            </w:r>
            <w:r w:rsidR="00A828B1">
              <w:rPr>
                <w:noProof/>
                <w:webHidden/>
              </w:rPr>
              <w:tab/>
            </w:r>
            <w:r w:rsidR="00A828B1">
              <w:rPr>
                <w:noProof/>
                <w:webHidden/>
              </w:rPr>
              <w:fldChar w:fldCharType="begin"/>
            </w:r>
            <w:r w:rsidR="00A828B1">
              <w:rPr>
                <w:noProof/>
                <w:webHidden/>
              </w:rPr>
              <w:instrText xml:space="preserve"> PAGEREF _Toc76983348 \h </w:instrText>
            </w:r>
            <w:r w:rsidR="00A828B1">
              <w:rPr>
                <w:noProof/>
                <w:webHidden/>
              </w:rPr>
            </w:r>
            <w:r w:rsidR="00A828B1">
              <w:rPr>
                <w:noProof/>
                <w:webHidden/>
              </w:rPr>
              <w:fldChar w:fldCharType="separate"/>
            </w:r>
            <w:r w:rsidR="00AB1349">
              <w:rPr>
                <w:noProof/>
                <w:webHidden/>
              </w:rPr>
              <w:t>8</w:t>
            </w:r>
            <w:r w:rsidR="00A828B1">
              <w:rPr>
                <w:noProof/>
                <w:webHidden/>
              </w:rPr>
              <w:fldChar w:fldCharType="end"/>
            </w:r>
          </w:hyperlink>
        </w:p>
        <w:p w14:paraId="7173C130" w14:textId="464016FE" w:rsidR="00B92C72" w:rsidRPr="009401F6" w:rsidRDefault="006C626D" w:rsidP="0023397F">
          <w:r w:rsidRPr="009401F6">
            <w:fldChar w:fldCharType="end"/>
          </w:r>
        </w:p>
      </w:sdtContent>
    </w:sdt>
    <w:p w14:paraId="7685D953" w14:textId="77777777" w:rsidR="001525B4" w:rsidRDefault="001E0113" w:rsidP="004554A8">
      <w:pPr>
        <w:pStyle w:val="Heading2"/>
        <w:rPr>
          <w:i/>
        </w:rPr>
      </w:pPr>
      <w:bookmarkStart w:id="1" w:name="_Toc60738322"/>
      <w:bookmarkStart w:id="2" w:name="_Toc76983341"/>
      <w:bookmarkEnd w:id="0"/>
      <w:r w:rsidRPr="00597B50">
        <w:lastRenderedPageBreak/>
        <w:t>Not</w:t>
      </w:r>
      <w:r>
        <w:t xml:space="preserve">ice of interim decisions made under Regulation 42ZCZN of the </w:t>
      </w:r>
      <w:r w:rsidRPr="009B574B">
        <w:rPr>
          <w:i/>
        </w:rPr>
        <w:t>Therapeutic Goods Regulations 1990</w:t>
      </w:r>
      <w:bookmarkEnd w:id="1"/>
      <w:bookmarkEnd w:id="2"/>
    </w:p>
    <w:p w14:paraId="07A51D27" w14:textId="77777777" w:rsidR="00CD1C8D" w:rsidRDefault="00CD1C8D" w:rsidP="00CD1C8D">
      <w:bookmarkStart w:id="3" w:name="_Toc46323639"/>
      <w:bookmarkStart w:id="4" w:name="_Toc60738323"/>
      <w:bookmarkStart w:id="5" w:name="_Toc323738671"/>
      <w:bookmarkStart w:id="6" w:name="_Toc356305157"/>
      <w:r>
        <w:t xml:space="preserve">This web publication constitutes a notice for the purposes of </w:t>
      </w:r>
      <w:r w:rsidRPr="00A24A9F">
        <w:t xml:space="preserve">regulation 42ZCZP of the </w:t>
      </w:r>
      <w:r w:rsidRPr="00A24A9F">
        <w:rPr>
          <w:i/>
        </w:rPr>
        <w:t>Therapeutic</w:t>
      </w:r>
      <w:r>
        <w:rPr>
          <w:i/>
        </w:rPr>
        <w:t xml:space="preserve"> </w:t>
      </w:r>
      <w:r w:rsidRPr="00E80A53">
        <w:rPr>
          <w:i/>
        </w:rPr>
        <w:t>Goods Regulations 1990</w:t>
      </w:r>
      <w:r>
        <w:rPr>
          <w:i/>
        </w:rPr>
        <w:t xml:space="preserve"> </w:t>
      </w:r>
      <w:r>
        <w:t xml:space="preserve">(the </w:t>
      </w:r>
      <w:r>
        <w:rPr>
          <w:b/>
        </w:rPr>
        <w:t>Regulations</w:t>
      </w:r>
      <w:r>
        <w:t xml:space="preserve">). In accordance with regulation </w:t>
      </w:r>
      <w:r w:rsidRPr="00A24A9F">
        <w:t>42ZCZP</w:t>
      </w:r>
      <w:r>
        <w:t>, this notice sets out:</w:t>
      </w:r>
    </w:p>
    <w:p w14:paraId="645C0DAC" w14:textId="0713DE1A" w:rsidR="00CD1C8D" w:rsidRPr="009B574B" w:rsidRDefault="00CD1C8D" w:rsidP="00CD1C8D">
      <w:pPr>
        <w:pStyle w:val="ListBullet"/>
      </w:pPr>
      <w:r w:rsidRPr="009B574B">
        <w:t>the interim decision</w:t>
      </w:r>
      <w:r w:rsidRPr="00BE3418">
        <w:t>s</w:t>
      </w:r>
      <w:r w:rsidRPr="009B574B">
        <w:t xml:space="preserve"> made by a delegate of the Secretary under r</w:t>
      </w:r>
      <w:r>
        <w:t>egulation 42ZCZN in relation to</w:t>
      </w:r>
      <w:r w:rsidRPr="009B574B">
        <w:t xml:space="preserve"> proposed amendmen</w:t>
      </w:r>
      <w:r w:rsidRPr="00BE3418">
        <w:t>ts</w:t>
      </w:r>
      <w:r w:rsidRPr="009B574B">
        <w:t xml:space="preserve"> to the</w:t>
      </w:r>
      <w:r>
        <w:t xml:space="preserve"> current Poisons Standard </w:t>
      </w:r>
      <w:r w:rsidRPr="00BE3418">
        <w:t>which were referred</w:t>
      </w:r>
      <w:r w:rsidRPr="009B574B">
        <w:t xml:space="preserve"> to an expert advisory committee under subdivision 3D.2 of the Regulations in </w:t>
      </w:r>
      <w:r w:rsidR="006C79CF">
        <w:t>June</w:t>
      </w:r>
      <w:r>
        <w:t xml:space="preserve"> 2021</w:t>
      </w:r>
      <w:r w:rsidRPr="009B574B">
        <w:t>;</w:t>
      </w:r>
    </w:p>
    <w:p w14:paraId="3A857BA4" w14:textId="77777777" w:rsidR="00CD1C8D" w:rsidRPr="009B574B" w:rsidRDefault="00CD1C8D" w:rsidP="00CD1C8D">
      <w:pPr>
        <w:pStyle w:val="ListBullet"/>
      </w:pPr>
      <w:r w:rsidRPr="009B574B">
        <w:t>the proposed date of effect of the proposed amendment</w:t>
      </w:r>
      <w:r w:rsidRPr="00BE3418">
        <w:t>s</w:t>
      </w:r>
      <w:r w:rsidRPr="009B574B">
        <w:t xml:space="preserve"> (in circumstances where the interim decision proposes an amendment to the current Poisons Standard).</w:t>
      </w:r>
    </w:p>
    <w:p w14:paraId="2DE51B98" w14:textId="66D523F9" w:rsidR="00CD1C8D" w:rsidRDefault="00CD1C8D" w:rsidP="00CD1C8D">
      <w:r>
        <w:t>In accordance with regulation 42ZCZP, i</w:t>
      </w:r>
      <w:r w:rsidRPr="004B78E1">
        <w:t xml:space="preserve">nterested persons </w:t>
      </w:r>
      <w:r>
        <w:t xml:space="preserve">(including </w:t>
      </w:r>
      <w:r w:rsidRPr="004B78E1">
        <w:t xml:space="preserve">the </w:t>
      </w:r>
      <w:r>
        <w:t>a</w:t>
      </w:r>
      <w:r w:rsidRPr="004B78E1">
        <w:t>pplicant requesting the amendment</w:t>
      </w:r>
      <w:r>
        <w:t xml:space="preserve">) </w:t>
      </w:r>
      <w:r w:rsidRPr="004B78E1">
        <w:t>are invited</w:t>
      </w:r>
      <w:r>
        <w:t xml:space="preserve"> to make </w:t>
      </w:r>
      <w:r w:rsidRPr="00416B66">
        <w:t>submissions to the Secretary in relation to these interim decisions on</w:t>
      </w:r>
      <w:r>
        <w:t xml:space="preserve"> or </w:t>
      </w:r>
      <w:r w:rsidRPr="0094532D">
        <w:t xml:space="preserve">before </w:t>
      </w:r>
      <w:r w:rsidR="001C7BD8">
        <w:rPr>
          <w:b/>
        </w:rPr>
        <w:t>1</w:t>
      </w:r>
      <w:r w:rsidRPr="003D2511">
        <w:rPr>
          <w:b/>
        </w:rPr>
        <w:t xml:space="preserve"> </w:t>
      </w:r>
      <w:r w:rsidR="001C7BD8">
        <w:rPr>
          <w:b/>
        </w:rPr>
        <w:t>November</w:t>
      </w:r>
      <w:r w:rsidRPr="003D2511">
        <w:rPr>
          <w:b/>
        </w:rPr>
        <w:t xml:space="preserve"> 2021</w:t>
      </w:r>
      <w:r w:rsidRPr="0094532D">
        <w:t>.</w:t>
      </w:r>
    </w:p>
    <w:p w14:paraId="496067F7" w14:textId="77777777" w:rsidR="00CD1C8D" w:rsidRPr="00F46CB7" w:rsidRDefault="00CD1C8D" w:rsidP="00CD1C8D">
      <w:pPr>
        <w:shd w:val="clear" w:color="auto" w:fill="F1F1F1"/>
        <w:spacing w:after="120" w:line="240" w:lineRule="auto"/>
        <w:rPr>
          <w:rFonts w:eastAsia="Times New Roman"/>
          <w:i/>
          <w:color w:val="000000"/>
          <w:lang w:val="en" w:eastAsia="en-AU"/>
        </w:rPr>
      </w:pPr>
      <w:r w:rsidRPr="00F46CB7">
        <w:rPr>
          <w:rFonts w:eastAsia="Times New Roman"/>
          <w:i/>
          <w:color w:val="000000"/>
          <w:lang w:val="en" w:eastAsia="en-AU"/>
        </w:rPr>
        <w:t>We have changed the way to make submissions.</w:t>
      </w:r>
    </w:p>
    <w:p w14:paraId="12814F17" w14:textId="35E026C2" w:rsidR="00CD1C8D" w:rsidRDefault="00CD1C8D" w:rsidP="00CD1C8D">
      <w:pPr>
        <w:shd w:val="clear" w:color="auto" w:fill="F1F1F1"/>
        <w:spacing w:after="120" w:line="240" w:lineRule="auto"/>
        <w:rPr>
          <w:rFonts w:eastAsia="Times New Roman"/>
          <w:color w:val="000000"/>
          <w:lang w:val="en" w:eastAsia="en-AU"/>
        </w:rPr>
      </w:pPr>
      <w:r w:rsidRPr="00150EDF">
        <w:rPr>
          <w:rFonts w:eastAsia="Times New Roman"/>
          <w:color w:val="000000"/>
          <w:lang w:val="en" w:eastAsia="en-AU"/>
        </w:rPr>
        <w:t>Submissions should</w:t>
      </w:r>
      <w:r>
        <w:rPr>
          <w:rFonts w:eastAsia="Times New Roman"/>
          <w:color w:val="000000"/>
          <w:lang w:val="en" w:eastAsia="en-AU"/>
        </w:rPr>
        <w:t xml:space="preserve"> now</w:t>
      </w:r>
      <w:r w:rsidRPr="00150EDF">
        <w:rPr>
          <w:rFonts w:eastAsia="Times New Roman"/>
          <w:color w:val="000000"/>
          <w:lang w:val="en" w:eastAsia="en-AU"/>
        </w:rPr>
        <w:t xml:space="preserve"> be provided through our </w:t>
      </w:r>
      <w:hyperlink r:id="rId13" w:history="1">
        <w:r w:rsidRPr="000041AF">
          <w:rPr>
            <w:rStyle w:val="Hyperlink"/>
            <w:lang w:val="en" w:eastAsia="en-AU"/>
          </w:rPr>
          <w:t>consultation hub</w:t>
        </w:r>
      </w:hyperlink>
      <w:r w:rsidRPr="00150EDF">
        <w:rPr>
          <w:rFonts w:eastAsia="Times New Roman"/>
          <w:color w:val="000000"/>
          <w:lang w:val="en" w:eastAsia="en-AU"/>
        </w:rPr>
        <w:t xml:space="preserve">. </w:t>
      </w:r>
      <w:r>
        <w:rPr>
          <w:rFonts w:eastAsia="Times New Roman"/>
          <w:color w:val="000000"/>
          <w:lang w:val="en" w:eastAsia="en-AU"/>
        </w:rPr>
        <w:t>Submissions</w:t>
      </w:r>
      <w:r w:rsidRPr="00150EDF">
        <w:rPr>
          <w:rFonts w:eastAsia="Times New Roman"/>
          <w:color w:val="000000"/>
          <w:lang w:val="en" w:eastAsia="en-AU"/>
        </w:rPr>
        <w:t xml:space="preserve"> will be considered </w:t>
      </w:r>
      <w:r>
        <w:rPr>
          <w:rFonts w:eastAsia="Times New Roman"/>
          <w:color w:val="000000"/>
          <w:lang w:val="en" w:eastAsia="en-AU"/>
        </w:rPr>
        <w:t>by the Delegate in making the final decision.</w:t>
      </w:r>
    </w:p>
    <w:p w14:paraId="7D92A59F" w14:textId="410D03A3" w:rsidR="00CD1C8D" w:rsidRPr="00416B66" w:rsidRDefault="00CD1C8D" w:rsidP="00ED7571">
      <w:pPr>
        <w:rPr>
          <w:rFonts w:asciiTheme="minorHAnsi" w:hAnsiTheme="minorHAnsi"/>
        </w:rPr>
      </w:pPr>
      <w:r w:rsidRPr="005240B1">
        <w:t xml:space="preserve">Please note that in accordance with </w:t>
      </w:r>
      <w:proofErr w:type="spellStart"/>
      <w:r w:rsidRPr="005240B1">
        <w:t>subregulation</w:t>
      </w:r>
      <w:proofErr w:type="spellEnd"/>
      <w:r w:rsidRPr="005240B1">
        <w:t xml:space="preserve"> 42ZCZQ(4) of the Regulations, the Secretary must publish all relevant submissions received, unless the Secretary considers the information to be confidential information.</w:t>
      </w:r>
    </w:p>
    <w:p w14:paraId="5E5E381B" w14:textId="2FDF2471" w:rsidR="001E0113" w:rsidRDefault="001E0113" w:rsidP="004554A8">
      <w:pPr>
        <w:pStyle w:val="Heading2"/>
      </w:pPr>
      <w:bookmarkStart w:id="7" w:name="_Toc76983342"/>
      <w:r>
        <w:lastRenderedPageBreak/>
        <w:t xml:space="preserve">Interim </w:t>
      </w:r>
      <w:r w:rsidRPr="00371400">
        <w:t>d</w:t>
      </w:r>
      <w:r w:rsidRPr="00CD1C8D">
        <w:t xml:space="preserve">ecisions </w:t>
      </w:r>
      <w:bookmarkEnd w:id="3"/>
      <w:r w:rsidRPr="00CD1C8D">
        <w:t>on proposed amendments referred to the Advisory Committee on Medicines Scheduling (</w:t>
      </w:r>
      <w:r w:rsidR="00CD1C8D" w:rsidRPr="00CD1C8D">
        <w:t>ACMS #34, June 2021</w:t>
      </w:r>
      <w:r w:rsidRPr="00CD1C8D">
        <w:t>)</w:t>
      </w:r>
      <w:bookmarkEnd w:id="4"/>
      <w:bookmarkEnd w:id="7"/>
    </w:p>
    <w:p w14:paraId="5F9B5B3E" w14:textId="65F51660" w:rsidR="001E0113" w:rsidRDefault="001E0113" w:rsidP="004554A8">
      <w:pPr>
        <w:pStyle w:val="Heading3"/>
      </w:pPr>
      <w:bookmarkStart w:id="8" w:name="_Toc76983343"/>
      <w:r>
        <w:t xml:space="preserve">Interim decision in </w:t>
      </w:r>
      <w:r w:rsidRPr="001E0113">
        <w:t>relation</w:t>
      </w:r>
      <w:r>
        <w:t xml:space="preserve"> to </w:t>
      </w:r>
      <w:r w:rsidR="0052556F">
        <w:t>oral contraceptive substances</w:t>
      </w:r>
      <w:bookmarkEnd w:id="8"/>
    </w:p>
    <w:p w14:paraId="786B0D09" w14:textId="65DD5D83" w:rsidR="00CD1C8D" w:rsidRPr="00C721A5" w:rsidRDefault="00CD1C8D" w:rsidP="004554A8">
      <w:pPr>
        <w:pStyle w:val="Heading4"/>
      </w:pPr>
      <w:bookmarkStart w:id="9" w:name="_Toc76983344"/>
      <w:r w:rsidRPr="00C721A5">
        <w:t>Proposal</w:t>
      </w:r>
      <w:bookmarkEnd w:id="9"/>
    </w:p>
    <w:p w14:paraId="37584E65" w14:textId="3FA2B312" w:rsidR="0052556F" w:rsidRDefault="0052556F" w:rsidP="004554A8">
      <w:pPr>
        <w:rPr>
          <w:lang w:eastAsia="en-AU"/>
        </w:rPr>
      </w:pPr>
      <w:r>
        <w:rPr>
          <w:lang w:eastAsia="en-AU"/>
        </w:rPr>
        <w:t xml:space="preserve">Two applicants proposed to </w:t>
      </w:r>
      <w:r w:rsidR="00447C3E">
        <w:rPr>
          <w:lang w:eastAsia="en-AU"/>
        </w:rPr>
        <w:t>move</w:t>
      </w:r>
      <w:r>
        <w:rPr>
          <w:lang w:eastAsia="en-AU"/>
        </w:rPr>
        <w:t xml:space="preserve"> substances used in oral contraceptive pills from Schedule 4 to Schedule 3. A brief summary of each application</w:t>
      </w:r>
      <w:r w:rsidR="00E3759D">
        <w:rPr>
          <w:lang w:eastAsia="en-AU"/>
        </w:rPr>
        <w:t xml:space="preserve"> is</w:t>
      </w:r>
      <w:r>
        <w:rPr>
          <w:lang w:eastAsia="en-AU"/>
        </w:rPr>
        <w:t xml:space="preserve"> given below:</w:t>
      </w:r>
    </w:p>
    <w:p w14:paraId="51C44AAA" w14:textId="77777777" w:rsidR="0052556F" w:rsidRDefault="0052556F" w:rsidP="004554A8">
      <w:pPr>
        <w:pStyle w:val="ListBullet"/>
        <w:rPr>
          <w:lang w:eastAsia="en-AU"/>
        </w:rPr>
      </w:pPr>
      <w:r>
        <w:rPr>
          <w:lang w:eastAsia="en-AU"/>
        </w:rPr>
        <w:t xml:space="preserve">Application A: Proposal to create a new Schedule 3 entry for </w:t>
      </w:r>
      <w:proofErr w:type="spellStart"/>
      <w:r>
        <w:rPr>
          <w:lang w:eastAsia="en-AU"/>
        </w:rPr>
        <w:t>ethinylestradiol</w:t>
      </w:r>
      <w:proofErr w:type="spellEnd"/>
      <w:r>
        <w:rPr>
          <w:lang w:eastAsia="en-AU"/>
        </w:rPr>
        <w:t xml:space="preserve"> and norethisterone, and expand the current Schedule 3 entry for levonorgestrel. Under the proposal, the three substances would also be subject to requirements set out in Appendix M. Advertising would also be permitted via inclusion in Appendix H.</w:t>
      </w:r>
    </w:p>
    <w:p w14:paraId="72712AA8" w14:textId="77777777" w:rsidR="0052556F" w:rsidRDefault="0052556F" w:rsidP="004554A8">
      <w:pPr>
        <w:pStyle w:val="ListBullet"/>
        <w:rPr>
          <w:lang w:eastAsia="en-AU"/>
        </w:rPr>
      </w:pPr>
      <w:r>
        <w:rPr>
          <w:lang w:eastAsia="en-AU"/>
        </w:rPr>
        <w:t xml:space="preserve">Application B: Proposal to create a new Schedule 3 entry for </w:t>
      </w:r>
      <w:proofErr w:type="spellStart"/>
      <w:r>
        <w:rPr>
          <w:lang w:eastAsia="en-AU"/>
        </w:rPr>
        <w:t>ethinylestradiol</w:t>
      </w:r>
      <w:proofErr w:type="spellEnd"/>
      <w:r>
        <w:rPr>
          <w:lang w:eastAsia="en-AU"/>
        </w:rPr>
        <w:t xml:space="preserve">, norethisterone, cyproterone, </w:t>
      </w:r>
      <w:proofErr w:type="spellStart"/>
      <w:r>
        <w:rPr>
          <w:lang w:eastAsia="en-AU"/>
        </w:rPr>
        <w:t>desogestrel</w:t>
      </w:r>
      <w:proofErr w:type="spellEnd"/>
      <w:r>
        <w:rPr>
          <w:lang w:eastAsia="en-AU"/>
        </w:rPr>
        <w:t xml:space="preserve">, </w:t>
      </w:r>
      <w:proofErr w:type="spellStart"/>
      <w:r>
        <w:rPr>
          <w:lang w:eastAsia="en-AU"/>
        </w:rPr>
        <w:t>dienogest</w:t>
      </w:r>
      <w:proofErr w:type="spellEnd"/>
      <w:r>
        <w:rPr>
          <w:lang w:eastAsia="en-AU"/>
        </w:rPr>
        <w:t xml:space="preserve">, </w:t>
      </w:r>
      <w:proofErr w:type="spellStart"/>
      <w:r>
        <w:rPr>
          <w:lang w:eastAsia="en-AU"/>
        </w:rPr>
        <w:t>drospirenone</w:t>
      </w:r>
      <w:proofErr w:type="spellEnd"/>
      <w:r>
        <w:rPr>
          <w:lang w:eastAsia="en-AU"/>
        </w:rPr>
        <w:t xml:space="preserve">, </w:t>
      </w:r>
      <w:proofErr w:type="spellStart"/>
      <w:r>
        <w:rPr>
          <w:lang w:eastAsia="en-AU"/>
        </w:rPr>
        <w:t>estradiol</w:t>
      </w:r>
      <w:proofErr w:type="spellEnd"/>
      <w:r>
        <w:rPr>
          <w:lang w:eastAsia="en-AU"/>
        </w:rPr>
        <w:t xml:space="preserve">, </w:t>
      </w:r>
      <w:proofErr w:type="spellStart"/>
      <w:r>
        <w:rPr>
          <w:lang w:eastAsia="en-AU"/>
        </w:rPr>
        <w:t>gestodene</w:t>
      </w:r>
      <w:proofErr w:type="spellEnd"/>
      <w:r>
        <w:rPr>
          <w:lang w:eastAsia="en-AU"/>
        </w:rPr>
        <w:t xml:space="preserve">, mestranol and </w:t>
      </w:r>
      <w:proofErr w:type="spellStart"/>
      <w:r>
        <w:rPr>
          <w:lang w:eastAsia="en-AU"/>
        </w:rPr>
        <w:t>nomegestrol</w:t>
      </w:r>
      <w:proofErr w:type="spellEnd"/>
      <w:r>
        <w:rPr>
          <w:lang w:eastAsia="en-AU"/>
        </w:rPr>
        <w:t>, and expand the current Schedule 3 entry for levonorgestrel. Under the proposal, the eleven substances would also be subject to requirements set out in Appendix M.</w:t>
      </w:r>
    </w:p>
    <w:p w14:paraId="660847E4" w14:textId="28DA80AB" w:rsidR="001E0113" w:rsidRPr="00C721A5" w:rsidRDefault="00CD1C8D" w:rsidP="004554A8">
      <w:pPr>
        <w:pStyle w:val="Heading4"/>
      </w:pPr>
      <w:bookmarkStart w:id="10" w:name="_Toc76983345"/>
      <w:r w:rsidRPr="00C721A5">
        <w:t>Interim d</w:t>
      </w:r>
      <w:r w:rsidR="004A7E67" w:rsidRPr="00C721A5">
        <w:t>ecision</w:t>
      </w:r>
      <w:bookmarkEnd w:id="10"/>
    </w:p>
    <w:p w14:paraId="18665910" w14:textId="5C905588" w:rsidR="0052556F" w:rsidRDefault="0052556F" w:rsidP="004554A8">
      <w:r w:rsidRPr="00A05D10">
        <w:t>Pursuant to regulation 42ZCZN of the Regulations, a Delegate of the Secretary has, in relation to the proposed amendment, made an interim decision</w:t>
      </w:r>
      <w:r>
        <w:t xml:space="preserve"> not</w:t>
      </w:r>
      <w:r w:rsidRPr="00A05D10">
        <w:t xml:space="preserve"> to amend the</w:t>
      </w:r>
      <w:r>
        <w:t xml:space="preserve"> scheduling for oral contraceptive substances in the </w:t>
      </w:r>
      <w:r w:rsidRPr="00A05D10">
        <w:t>current Poisons St</w:t>
      </w:r>
      <w:r>
        <w:t>andard.</w:t>
      </w:r>
    </w:p>
    <w:p w14:paraId="32B98B69" w14:textId="0A434453" w:rsidR="00CD1C8D" w:rsidRPr="00C721A5" w:rsidRDefault="00CD1C8D" w:rsidP="004554A8">
      <w:pPr>
        <w:pStyle w:val="Heading4"/>
      </w:pPr>
      <w:bookmarkStart w:id="11" w:name="_Toc76983346"/>
      <w:r w:rsidRPr="00C721A5">
        <w:t>Materials considered</w:t>
      </w:r>
      <w:bookmarkEnd w:id="11"/>
    </w:p>
    <w:p w14:paraId="4CE2D319" w14:textId="77777777" w:rsidR="006501A1" w:rsidRDefault="006501A1" w:rsidP="006501A1">
      <w:r>
        <w:t>In making this interim decision, the Delegate considered the following material:</w:t>
      </w:r>
    </w:p>
    <w:p w14:paraId="34C949E3" w14:textId="33662FAD" w:rsidR="006501A1" w:rsidRPr="006501A1" w:rsidRDefault="006501A1" w:rsidP="004554A8">
      <w:pPr>
        <w:pStyle w:val="ListBullet"/>
      </w:pPr>
      <w:r w:rsidRPr="006501A1">
        <w:t>The</w:t>
      </w:r>
      <w:r w:rsidR="0052556F">
        <w:t xml:space="preserve"> </w:t>
      </w:r>
      <w:hyperlink r:id="rId14" w:history="1">
        <w:r w:rsidR="0052556F" w:rsidRPr="0052556F">
          <w:rPr>
            <w:rStyle w:val="Hyperlink"/>
          </w:rPr>
          <w:t>two</w:t>
        </w:r>
        <w:r w:rsidRPr="0052556F">
          <w:rPr>
            <w:rStyle w:val="Hyperlink"/>
          </w:rPr>
          <w:t xml:space="preserve"> application</w:t>
        </w:r>
        <w:r w:rsidR="0052556F" w:rsidRPr="0052556F">
          <w:rPr>
            <w:rStyle w:val="Hyperlink"/>
          </w:rPr>
          <w:t>s</w:t>
        </w:r>
      </w:hyperlink>
      <w:r w:rsidRPr="006501A1">
        <w:t xml:space="preserve"> to amend the current Poisons Standard with respect to </w:t>
      </w:r>
      <w:r w:rsidR="0052556F">
        <w:t>oral contraceptive substances</w:t>
      </w:r>
      <w:r w:rsidRPr="006501A1">
        <w:t>;</w:t>
      </w:r>
    </w:p>
    <w:p w14:paraId="29246135" w14:textId="28A4CDE9" w:rsidR="006501A1" w:rsidRPr="006367ED" w:rsidRDefault="006501A1" w:rsidP="006501A1">
      <w:pPr>
        <w:pStyle w:val="ListBullet"/>
      </w:pPr>
      <w:r w:rsidRPr="006367ED">
        <w:t>The</w:t>
      </w:r>
      <w:r w:rsidR="0052556F">
        <w:t xml:space="preserve"> 27</w:t>
      </w:r>
      <w:r w:rsidRPr="006367ED">
        <w:t xml:space="preserve"> </w:t>
      </w:r>
      <w:hyperlink r:id="rId15" w:history="1">
        <w:r w:rsidRPr="006367ED">
          <w:rPr>
            <w:rStyle w:val="Hyperlink"/>
          </w:rPr>
          <w:t>public submissions</w:t>
        </w:r>
      </w:hyperlink>
      <w:r w:rsidRPr="006367ED">
        <w:rPr>
          <w:rStyle w:val="Hyperlink"/>
          <w:color w:val="auto"/>
        </w:rPr>
        <w:t>,</w:t>
      </w:r>
      <w:r w:rsidRPr="006367ED">
        <w:t xml:space="preserve"> </w:t>
      </w:r>
      <w:r w:rsidR="0052556F">
        <w:t>23</w:t>
      </w:r>
      <w:r w:rsidR="006367ED" w:rsidRPr="006367ED">
        <w:t xml:space="preserve"> including</w:t>
      </w:r>
      <w:r w:rsidRPr="006367ED">
        <w:t xml:space="preserve"> </w:t>
      </w:r>
      <w:r w:rsidR="006367ED" w:rsidRPr="006367ED">
        <w:t xml:space="preserve">a </w:t>
      </w:r>
      <w:r w:rsidRPr="006367ED">
        <w:t xml:space="preserve">written </w:t>
      </w:r>
      <w:r w:rsidR="006367ED" w:rsidRPr="006367ED">
        <w:t>component</w:t>
      </w:r>
      <w:r w:rsidRPr="006367ED">
        <w:t xml:space="preserve">, received in response to the </w:t>
      </w:r>
      <w:hyperlink r:id="rId16" w:history="1">
        <w:r w:rsidRPr="006367ED">
          <w:rPr>
            <w:rStyle w:val="Hyperlink"/>
          </w:rPr>
          <w:t>pre-meeting consultation</w:t>
        </w:r>
      </w:hyperlink>
      <w:r w:rsidRPr="006367ED">
        <w:t xml:space="preserve"> under regulation 42ZCZK of the Regulations;</w:t>
      </w:r>
    </w:p>
    <w:p w14:paraId="73B1FCA0" w14:textId="7A30307D" w:rsidR="006501A1" w:rsidRDefault="006501A1" w:rsidP="006501A1">
      <w:pPr>
        <w:pStyle w:val="ListBullet"/>
      </w:pPr>
      <w:r>
        <w:t xml:space="preserve">The advice </w:t>
      </w:r>
      <w:r w:rsidRPr="00A825A4">
        <w:t>received from the Meeting of the Advisory Committee o</w:t>
      </w:r>
      <w:r>
        <w:t>n Medicines Scheduling (ACMS #34</w:t>
      </w:r>
      <w:r w:rsidRPr="00A825A4">
        <w:t>);</w:t>
      </w:r>
    </w:p>
    <w:p w14:paraId="64CF010D" w14:textId="5F7CA583" w:rsidR="006501A1" w:rsidRDefault="006501A1" w:rsidP="006501A1">
      <w:pPr>
        <w:pStyle w:val="ListBullet"/>
      </w:pPr>
      <w:r>
        <w:t xml:space="preserve">Subsection 52E(1) of the </w:t>
      </w:r>
      <w:r w:rsidRPr="00FC4D25">
        <w:rPr>
          <w:i/>
        </w:rPr>
        <w:t xml:space="preserve">Therapeutic Goods Act 1989, </w:t>
      </w:r>
      <w:r w:rsidRPr="001169AC">
        <w:t xml:space="preserve">in particular </w:t>
      </w:r>
      <w:r>
        <w:t>(a) risks and benefits of the use of a substance; (b) the purpose</w:t>
      </w:r>
      <w:r w:rsidR="008151EA">
        <w:t>s</w:t>
      </w:r>
      <w:r>
        <w:t xml:space="preserve"> for which a</w:t>
      </w:r>
      <w:r w:rsidR="008151EA">
        <w:t xml:space="preserve"> substance is to be used</w:t>
      </w:r>
      <w:r>
        <w:t xml:space="preserve"> and</w:t>
      </w:r>
      <w:r w:rsidR="008151EA">
        <w:t xml:space="preserve"> the</w:t>
      </w:r>
      <w:r>
        <w:t xml:space="preserve"> extent of use</w:t>
      </w:r>
      <w:r w:rsidR="008151EA">
        <w:t xml:space="preserve"> of a substance</w:t>
      </w:r>
      <w:r>
        <w:t>; (c) the toxicity of a substance; (d) the dosage, formulation, labelling, packaging and presentation of a substance; and (f) any other matters that the Secretary considers necessary to protect public health;</w:t>
      </w:r>
    </w:p>
    <w:p w14:paraId="36695686" w14:textId="48D2F2BA" w:rsidR="006501A1" w:rsidRDefault="006501A1" w:rsidP="006501A1">
      <w:pPr>
        <w:pStyle w:val="ListBullet"/>
      </w:pPr>
      <w:r w:rsidRPr="002C1418">
        <w:t xml:space="preserve">The Australian Health Ministers’ Advisory Council’s </w:t>
      </w:r>
      <w:hyperlink r:id="rId17" w:history="1">
        <w:r w:rsidRPr="001A7580">
          <w:rPr>
            <w:rStyle w:val="Hyperlink"/>
          </w:rPr>
          <w:t>Scheduling Policy Framework</w:t>
        </w:r>
      </w:hyperlink>
      <w:r>
        <w:t xml:space="preserve"> (SPF 2018</w:t>
      </w:r>
      <w:r w:rsidRPr="002C20AE">
        <w:t>);</w:t>
      </w:r>
    </w:p>
    <w:p w14:paraId="51A0E74A" w14:textId="513B3B13" w:rsidR="006501A1" w:rsidRDefault="006501A1" w:rsidP="00CD1C8D">
      <w:pPr>
        <w:pStyle w:val="ListBullet"/>
      </w:pPr>
      <w:r>
        <w:t xml:space="preserve">The </w:t>
      </w:r>
      <w:hyperlink r:id="rId18" w:history="1">
        <w:r w:rsidRPr="001A7580">
          <w:rPr>
            <w:rStyle w:val="Hyperlink"/>
          </w:rPr>
          <w:t>Scheduling handbook: Guidance for amending the Poisons Standard</w:t>
        </w:r>
      </w:hyperlink>
      <w:r w:rsidR="00E539F5">
        <w:t xml:space="preserve">; </w:t>
      </w:r>
      <w:r w:rsidR="00CF442E">
        <w:t>and</w:t>
      </w:r>
    </w:p>
    <w:p w14:paraId="32E25EB1" w14:textId="685615E7" w:rsidR="00E539F5" w:rsidRDefault="00E539F5" w:rsidP="00CD1C8D">
      <w:pPr>
        <w:pStyle w:val="ListBullet"/>
      </w:pPr>
      <w:r>
        <w:lastRenderedPageBreak/>
        <w:t xml:space="preserve">A </w:t>
      </w:r>
      <w:hyperlink r:id="rId19" w:history="1">
        <w:r>
          <w:rPr>
            <w:rStyle w:val="Hyperlink"/>
          </w:rPr>
          <w:t>medicines</w:t>
        </w:r>
        <w:r w:rsidRPr="00E539F5">
          <w:rPr>
            <w:rStyle w:val="Hyperlink"/>
          </w:rPr>
          <w:t xml:space="preserve"> safety update</w:t>
        </w:r>
      </w:hyperlink>
      <w:r>
        <w:t xml:space="preserve"> on the risk of venous thromboembolism associated with oral contraceptive use</w:t>
      </w:r>
      <w:r w:rsidR="00CF442E">
        <w:t>.</w:t>
      </w:r>
    </w:p>
    <w:p w14:paraId="5D43EEAC" w14:textId="11C6D3A7" w:rsidR="00CD1C8D" w:rsidRPr="00C721A5" w:rsidRDefault="00CD1C8D" w:rsidP="004554A8">
      <w:pPr>
        <w:pStyle w:val="Heading4"/>
      </w:pPr>
      <w:bookmarkStart w:id="12" w:name="_Toc76983347"/>
      <w:r w:rsidRPr="00C721A5">
        <w:t>Summary of ACMS advice to the delegate</w:t>
      </w:r>
      <w:bookmarkEnd w:id="12"/>
    </w:p>
    <w:p w14:paraId="22DC704E" w14:textId="5FB6A1C2" w:rsidR="00CD514D" w:rsidRDefault="00CD514D" w:rsidP="00CD514D">
      <w:r>
        <w:t>The Committee advised that the current scheduling for oral contraceptive substances remains appropriate.</w:t>
      </w:r>
    </w:p>
    <w:p w14:paraId="6DF3DB33" w14:textId="512945B8" w:rsidR="0023227D" w:rsidRDefault="0023227D" w:rsidP="004554A8">
      <w:r>
        <w:t xml:space="preserve">Members agreed that the relevant matters under Section 52E(1) of the </w:t>
      </w:r>
      <w:r w:rsidRPr="00AC262B">
        <w:rPr>
          <w:i/>
        </w:rPr>
        <w:t>Therapeutic Goods Act 1989</w:t>
      </w:r>
      <w:r>
        <w:t xml:space="preserve"> included: (a) the risks and benefits of the use of a substance; (b) </w:t>
      </w:r>
      <w:r w:rsidR="008151EA">
        <w:t>the purposes for which a substance is to be used and the extent of use of a substance</w:t>
      </w:r>
      <w:r>
        <w:t xml:space="preserve">; (c) the toxicity of a substance; (d) the dosage, formulation, labelling, packaging and presentation of a substance; and (f) any other matters that the Secretary considers necessary to protect public health. </w:t>
      </w:r>
      <w:r w:rsidR="00893BD3">
        <w:t xml:space="preserve"> The committee considered the proposal</w:t>
      </w:r>
      <w:r w:rsidR="00B450C2">
        <w:t>s</w:t>
      </w:r>
      <w:r w:rsidR="00893BD3">
        <w:t xml:space="preserve"> for each substance </w:t>
      </w:r>
      <w:r w:rsidR="00B450C2">
        <w:t>separately,</w:t>
      </w:r>
      <w:r w:rsidR="00893BD3">
        <w:t xml:space="preserve"> noting that many of the risks and benefit were common across the oral contraceptive substances</w:t>
      </w:r>
      <w:r w:rsidR="00B450C2">
        <w:t xml:space="preserve"> under consideration</w:t>
      </w:r>
      <w:r w:rsidR="00893BD3">
        <w:t>.</w:t>
      </w:r>
    </w:p>
    <w:p w14:paraId="35E68777" w14:textId="1FC0D939" w:rsidR="0023227D" w:rsidRDefault="0023227D" w:rsidP="004554A8">
      <w:r>
        <w:t>The reasons for the advice included:</w:t>
      </w:r>
    </w:p>
    <w:p w14:paraId="5AC3EB06" w14:textId="77777777" w:rsidR="003318CF" w:rsidRPr="00ED7D5A" w:rsidRDefault="003318CF" w:rsidP="004554A8">
      <w:pPr>
        <w:pStyle w:val="Numberbulleta"/>
      </w:pPr>
      <w:r w:rsidRPr="00ED7D5A">
        <w:t>the risks and benefits of the use of a substance</w:t>
      </w:r>
    </w:p>
    <w:p w14:paraId="291C240A" w14:textId="4C09AA83" w:rsidR="003318CF" w:rsidRPr="00ED7D5A" w:rsidRDefault="003318CF" w:rsidP="003318CF">
      <w:pPr>
        <w:pStyle w:val="ListBullet"/>
        <w:numPr>
          <w:ilvl w:val="0"/>
          <w:numId w:val="0"/>
        </w:numPr>
        <w:ind w:left="425"/>
      </w:pPr>
      <w:r w:rsidRPr="00ED7D5A">
        <w:t>Benefits:</w:t>
      </w:r>
    </w:p>
    <w:p w14:paraId="379F6BD3" w14:textId="77777777" w:rsidR="003318CF" w:rsidRPr="003318CF" w:rsidRDefault="003318CF" w:rsidP="004554A8">
      <w:pPr>
        <w:pStyle w:val="ListBullet2"/>
      </w:pPr>
      <w:r w:rsidRPr="003318CF">
        <w:t>Prevents or reduces the risk of unintended pregnancy, with up to 93% effectiveness with typical use and 99.5% effectiveness with perfect use.</w:t>
      </w:r>
    </w:p>
    <w:p w14:paraId="79F84F79" w14:textId="77777777" w:rsidR="003318CF" w:rsidRPr="003318CF" w:rsidRDefault="003318CF" w:rsidP="003318CF">
      <w:pPr>
        <w:pStyle w:val="ListBullet2"/>
      </w:pPr>
      <w:r w:rsidRPr="003318CF">
        <w:t>Offers some non-contraceptive benefits that depend on the specific product.</w:t>
      </w:r>
    </w:p>
    <w:p w14:paraId="460DBC48" w14:textId="77777777" w:rsidR="003318CF" w:rsidRPr="003318CF" w:rsidRDefault="003318CF" w:rsidP="003318CF">
      <w:pPr>
        <w:pStyle w:val="ListBullet2"/>
      </w:pPr>
      <w:r w:rsidRPr="003318CF">
        <w:t>Increased ease of oral contraceptive access under the proposed amendments.</w:t>
      </w:r>
    </w:p>
    <w:p w14:paraId="17FD0295" w14:textId="77777777" w:rsidR="003318CF" w:rsidRPr="00ED7D5A" w:rsidRDefault="003318CF" w:rsidP="003318CF">
      <w:pPr>
        <w:pStyle w:val="ListBullet"/>
        <w:numPr>
          <w:ilvl w:val="0"/>
          <w:numId w:val="0"/>
        </w:numPr>
        <w:ind w:left="425"/>
      </w:pPr>
      <w:r w:rsidRPr="00ED7D5A">
        <w:t>Risks:</w:t>
      </w:r>
    </w:p>
    <w:p w14:paraId="6058BB3C" w14:textId="77777777" w:rsidR="003318CF" w:rsidRPr="003318CF" w:rsidRDefault="003318CF" w:rsidP="003318CF">
      <w:pPr>
        <w:pStyle w:val="ListBullet2"/>
      </w:pPr>
      <w:r w:rsidRPr="003318CF">
        <w:t>Relatively low risk for second generation oral contraceptives (</w:t>
      </w:r>
      <w:proofErr w:type="spellStart"/>
      <w:r w:rsidRPr="003318CF">
        <w:t>ethinylestradiol</w:t>
      </w:r>
      <w:proofErr w:type="spellEnd"/>
      <w:r w:rsidRPr="003318CF">
        <w:t xml:space="preserve"> in combination with norethisterone or levonorgestrel), but eligibility criteria is complex.</w:t>
      </w:r>
    </w:p>
    <w:p w14:paraId="4713D3F9" w14:textId="77777777" w:rsidR="003318CF" w:rsidRPr="003318CF" w:rsidRDefault="003318CF" w:rsidP="003318CF">
      <w:pPr>
        <w:pStyle w:val="ListBullet2"/>
      </w:pPr>
      <w:r w:rsidRPr="003318CF">
        <w:t>Increased risk of thromboembolism.</w:t>
      </w:r>
    </w:p>
    <w:p w14:paraId="5EB7D5DD" w14:textId="77777777" w:rsidR="003318CF" w:rsidRPr="003318CF" w:rsidRDefault="003318CF" w:rsidP="003318CF">
      <w:pPr>
        <w:pStyle w:val="ListBullet2"/>
      </w:pPr>
      <w:r w:rsidRPr="003318CF">
        <w:t>Increased cardiovascular risks (including stroke), particularly women who are over 35, smokers, obese, or have migraines with aura.</w:t>
      </w:r>
    </w:p>
    <w:p w14:paraId="4D947A64" w14:textId="77777777" w:rsidR="003318CF" w:rsidRPr="003318CF" w:rsidRDefault="003318CF" w:rsidP="003318CF">
      <w:pPr>
        <w:pStyle w:val="ListBullet2"/>
      </w:pPr>
      <w:r w:rsidRPr="003318CF">
        <w:t>Small increased risk of cervical cancer.</w:t>
      </w:r>
    </w:p>
    <w:p w14:paraId="542838E0" w14:textId="77777777" w:rsidR="003318CF" w:rsidRPr="003318CF" w:rsidRDefault="003318CF" w:rsidP="003318CF">
      <w:pPr>
        <w:pStyle w:val="ListBullet2"/>
      </w:pPr>
      <w:r w:rsidRPr="003318CF">
        <w:t>Some risk of contraceptive failure.</w:t>
      </w:r>
    </w:p>
    <w:p w14:paraId="261ACE75" w14:textId="77777777" w:rsidR="003318CF" w:rsidRPr="003318CF" w:rsidRDefault="003318CF" w:rsidP="003318CF">
      <w:pPr>
        <w:pStyle w:val="ListBullet2"/>
      </w:pPr>
      <w:r w:rsidRPr="003318CF">
        <w:t>Increased risk of weight gain.</w:t>
      </w:r>
    </w:p>
    <w:p w14:paraId="6D6F1340" w14:textId="4B86DD68" w:rsidR="003318CF" w:rsidRPr="003318CF" w:rsidRDefault="003318CF" w:rsidP="003318CF">
      <w:pPr>
        <w:pStyle w:val="ListBullet2"/>
      </w:pPr>
      <w:r w:rsidRPr="003318CF">
        <w:t>Patient risks change over time.</w:t>
      </w:r>
    </w:p>
    <w:p w14:paraId="594279A8" w14:textId="77777777" w:rsidR="003318CF" w:rsidRPr="00ED7D5A" w:rsidRDefault="003318CF" w:rsidP="004554A8">
      <w:pPr>
        <w:pStyle w:val="Numberbulleta"/>
      </w:pPr>
      <w:r w:rsidRPr="00ED7D5A">
        <w:t>the purposes for which a substance is to be used and the extent of use of a substance</w:t>
      </w:r>
    </w:p>
    <w:p w14:paraId="6642022A" w14:textId="77777777" w:rsidR="003318CF" w:rsidRPr="003318CF" w:rsidRDefault="003318CF" w:rsidP="003318CF">
      <w:pPr>
        <w:pStyle w:val="ListBullet2"/>
      </w:pPr>
      <w:r w:rsidRPr="003318CF">
        <w:t>Primary purpose is for oral contraception, with the exception of cyproterone.</w:t>
      </w:r>
    </w:p>
    <w:p w14:paraId="0D59E0D3" w14:textId="77777777" w:rsidR="003318CF" w:rsidRPr="003318CF" w:rsidRDefault="003318CF" w:rsidP="004554A8">
      <w:pPr>
        <w:pStyle w:val="ListBullet2"/>
      </w:pPr>
      <w:r w:rsidRPr="003318CF">
        <w:t>Cyproterone is indicated for the treatment of signs of androgenisation in women, including:</w:t>
      </w:r>
    </w:p>
    <w:p w14:paraId="4C12B0C7" w14:textId="77777777" w:rsidR="003318CF" w:rsidRPr="00ED7D5A" w:rsidRDefault="003318CF" w:rsidP="004554A8">
      <w:pPr>
        <w:pStyle w:val="ListBullet3"/>
      </w:pPr>
      <w:r w:rsidRPr="00ED7D5A">
        <w:t xml:space="preserve">severe acne (involving inflammation or </w:t>
      </w:r>
      <w:proofErr w:type="spellStart"/>
      <w:r w:rsidRPr="00ED7D5A">
        <w:t>nordularity</w:t>
      </w:r>
      <w:proofErr w:type="spellEnd"/>
      <w:r w:rsidRPr="00ED7D5A">
        <w:t xml:space="preserve"> or risk of scarring) where prolonged oral antibiotics or local treatment alone has not been successful; or</w:t>
      </w:r>
    </w:p>
    <w:p w14:paraId="0414AFFE" w14:textId="77777777" w:rsidR="003318CF" w:rsidRPr="00ED7D5A" w:rsidRDefault="003318CF" w:rsidP="004554A8">
      <w:pPr>
        <w:pStyle w:val="ListBullet3"/>
      </w:pPr>
      <w:r w:rsidRPr="00ED7D5A">
        <w:t>idiopathic hirsutism of mild to moderate degree.</w:t>
      </w:r>
    </w:p>
    <w:p w14:paraId="28B053C1" w14:textId="77777777" w:rsidR="003318CF" w:rsidRPr="003318CF" w:rsidRDefault="003318CF" w:rsidP="004554A8">
      <w:pPr>
        <w:pStyle w:val="ListBullet2"/>
      </w:pPr>
      <w:r w:rsidRPr="003318CF">
        <w:t>Also used for non-contraceptive effects</w:t>
      </w:r>
    </w:p>
    <w:p w14:paraId="0F89DA99" w14:textId="77777777" w:rsidR="003318CF" w:rsidRPr="003318CF" w:rsidRDefault="003318CF" w:rsidP="003318CF">
      <w:pPr>
        <w:pStyle w:val="ListBullet2"/>
      </w:pPr>
      <w:r w:rsidRPr="003318CF">
        <w:lastRenderedPageBreak/>
        <w:t>Commonly used.</w:t>
      </w:r>
    </w:p>
    <w:p w14:paraId="3693DE00" w14:textId="77777777" w:rsidR="003318CF" w:rsidRPr="003318CF" w:rsidRDefault="003318CF" w:rsidP="003318CF">
      <w:pPr>
        <w:pStyle w:val="ListBullet2"/>
      </w:pPr>
      <w:proofErr w:type="spellStart"/>
      <w:r w:rsidRPr="003318CF">
        <w:t>Dieongest</w:t>
      </w:r>
      <w:proofErr w:type="spellEnd"/>
      <w:r w:rsidRPr="003318CF">
        <w:t xml:space="preserve"> is also indicated for treatment of heavy and/or prolonged menstruation and treatment of mild to moderate acne in women seeking contraception.</w:t>
      </w:r>
    </w:p>
    <w:p w14:paraId="61B8653D" w14:textId="77777777" w:rsidR="003318CF" w:rsidRPr="003318CF" w:rsidRDefault="003318CF" w:rsidP="003318CF">
      <w:pPr>
        <w:pStyle w:val="ListBullet2"/>
      </w:pPr>
      <w:proofErr w:type="spellStart"/>
      <w:r w:rsidRPr="003318CF">
        <w:t>Drosperinone</w:t>
      </w:r>
      <w:proofErr w:type="spellEnd"/>
      <w:r w:rsidRPr="003318CF">
        <w:t xml:space="preserve"> is also indicated for acne vulgaris and pre-menstrual dysphoric disorder in women seeking contraception.</w:t>
      </w:r>
    </w:p>
    <w:p w14:paraId="7A10BAAF" w14:textId="77777777" w:rsidR="003318CF" w:rsidRPr="00ED7D5A" w:rsidRDefault="003318CF" w:rsidP="004554A8">
      <w:pPr>
        <w:pStyle w:val="Numberbulleta"/>
      </w:pPr>
      <w:r w:rsidRPr="00ED7D5A">
        <w:t>the toxicity of a substance</w:t>
      </w:r>
    </w:p>
    <w:p w14:paraId="6ED6D07F" w14:textId="77777777" w:rsidR="003318CF" w:rsidRPr="003318CF" w:rsidRDefault="003318CF" w:rsidP="003318CF">
      <w:pPr>
        <w:pStyle w:val="ListBullet2"/>
      </w:pPr>
      <w:r w:rsidRPr="003318CF">
        <w:t>Well established toxicity profile.</w:t>
      </w:r>
    </w:p>
    <w:p w14:paraId="42097AF8" w14:textId="77777777" w:rsidR="003318CF" w:rsidRPr="003318CF" w:rsidRDefault="003318CF" w:rsidP="003318CF">
      <w:pPr>
        <w:pStyle w:val="ListBullet2"/>
      </w:pPr>
      <w:r w:rsidRPr="003318CF">
        <w:t>Most are in category B3 for use in pregnancy, and are generally not recommended in breastfeeding.</w:t>
      </w:r>
    </w:p>
    <w:p w14:paraId="00BF460D" w14:textId="77777777" w:rsidR="003318CF" w:rsidRPr="00ED7D5A" w:rsidRDefault="003318CF" w:rsidP="004554A8">
      <w:pPr>
        <w:pStyle w:val="Numberbulleta"/>
      </w:pPr>
      <w:r w:rsidRPr="00ED7D5A">
        <w:t>the dosage, formulation, labelling, packaging and presentation of a substance</w:t>
      </w:r>
    </w:p>
    <w:p w14:paraId="44EF1EEA" w14:textId="1C3322BC" w:rsidR="003318CF" w:rsidRPr="003318CF" w:rsidRDefault="003318CF" w:rsidP="003318CF">
      <w:pPr>
        <w:pStyle w:val="ListBullet2"/>
      </w:pPr>
      <w:r w:rsidRPr="003318CF">
        <w:t>Once daily oral tablet with varying amounts of substances depending on product and place in cycle.</w:t>
      </w:r>
    </w:p>
    <w:p w14:paraId="2481C7B5" w14:textId="70C835CC" w:rsidR="003318CF" w:rsidRPr="003318CF" w:rsidRDefault="003318CF" w:rsidP="003318CF">
      <w:pPr>
        <w:pStyle w:val="ListBullet2"/>
      </w:pPr>
      <w:r w:rsidRPr="003318CF">
        <w:t>Labelled as Prescription Only.</w:t>
      </w:r>
    </w:p>
    <w:p w14:paraId="21D741BF" w14:textId="77777777" w:rsidR="003318CF" w:rsidRPr="003318CF" w:rsidRDefault="003318CF" w:rsidP="003318CF">
      <w:pPr>
        <w:pStyle w:val="ListBullet2"/>
      </w:pPr>
      <w:r w:rsidRPr="003318CF">
        <w:t>Either 3 or 4 months’ worth of medication per supply depending on the product.</w:t>
      </w:r>
    </w:p>
    <w:p w14:paraId="5A0211CE" w14:textId="77777777" w:rsidR="003318CF" w:rsidRPr="003318CF" w:rsidRDefault="003318CF" w:rsidP="003318CF">
      <w:pPr>
        <w:pStyle w:val="ListBullet2"/>
      </w:pPr>
      <w:r w:rsidRPr="003318CF">
        <w:t xml:space="preserve">Venous thromboembolism risk increases with estrogen dosage. If </w:t>
      </w:r>
      <w:proofErr w:type="spellStart"/>
      <w:r w:rsidRPr="003318CF">
        <w:t>ethinylestradiol</w:t>
      </w:r>
      <w:proofErr w:type="spellEnd"/>
      <w:r w:rsidRPr="003318CF">
        <w:t xml:space="preserve"> is considered for inclusion in Schedule 3, it should be limited to a maximum of 35 µg.</w:t>
      </w:r>
    </w:p>
    <w:p w14:paraId="1C71E860" w14:textId="2EA15198" w:rsidR="003318CF" w:rsidRPr="00ED7D5A" w:rsidRDefault="003318CF" w:rsidP="004554A8">
      <w:pPr>
        <w:pStyle w:val="Numberbulleta"/>
      </w:pPr>
      <w:r w:rsidRPr="00ED7D5A">
        <w:t>the potential for abuse of a substance</w:t>
      </w:r>
    </w:p>
    <w:p w14:paraId="58EC6ADD" w14:textId="77777777" w:rsidR="003318CF" w:rsidRPr="00ED7D5A" w:rsidRDefault="003318CF" w:rsidP="004554A8">
      <w:pPr>
        <w:pStyle w:val="ListBullet2"/>
      </w:pPr>
      <w:r w:rsidRPr="00ED7D5A">
        <w:t>Nil</w:t>
      </w:r>
    </w:p>
    <w:p w14:paraId="00CC7EC6" w14:textId="35849BEA" w:rsidR="003318CF" w:rsidRPr="00ED7D5A" w:rsidRDefault="003318CF" w:rsidP="004554A8">
      <w:pPr>
        <w:pStyle w:val="Numberbulleta"/>
      </w:pPr>
      <w:r w:rsidRPr="00ED7D5A">
        <w:t>any other matters that the Secretary considers necessary to protect public health</w:t>
      </w:r>
    </w:p>
    <w:p w14:paraId="40282747" w14:textId="656F7475" w:rsidR="003318CF" w:rsidRPr="003318CF" w:rsidRDefault="003318CF" w:rsidP="004554A8">
      <w:pPr>
        <w:pStyle w:val="ListBullet2"/>
      </w:pPr>
      <w:r w:rsidRPr="003318CF">
        <w:t xml:space="preserve">Internationally, most are only available as prescription only medicines, if approved for use at all. </w:t>
      </w:r>
      <w:bookmarkStart w:id="13" w:name="_Hlk80977950"/>
      <w:r w:rsidRPr="003318CF">
        <w:t xml:space="preserve">Exceptions are </w:t>
      </w:r>
      <w:proofErr w:type="spellStart"/>
      <w:r w:rsidRPr="003318CF">
        <w:t>ethinylestradiol</w:t>
      </w:r>
      <w:proofErr w:type="spellEnd"/>
      <w:r w:rsidRPr="003318CF">
        <w:t xml:space="preserve">, levonorgestrel, norethisterone and </w:t>
      </w:r>
      <w:proofErr w:type="spellStart"/>
      <w:r w:rsidRPr="003318CF">
        <w:t>desogestrel</w:t>
      </w:r>
      <w:proofErr w:type="spellEnd"/>
      <w:r w:rsidRPr="003318CF">
        <w:t xml:space="preserve">, which </w:t>
      </w:r>
      <w:bookmarkStart w:id="14" w:name="_Hlk80977812"/>
      <w:r w:rsidRPr="003318CF">
        <w:t>are available as over the counter medicines in New Zealand in certain limited contexts</w:t>
      </w:r>
      <w:bookmarkEnd w:id="13"/>
      <w:r w:rsidRPr="003318CF">
        <w:t>.</w:t>
      </w:r>
      <w:bookmarkEnd w:id="14"/>
    </w:p>
    <w:p w14:paraId="5F77B538" w14:textId="2F8DBB84" w:rsidR="003318CF" w:rsidRPr="003318CF" w:rsidRDefault="003318CF" w:rsidP="004554A8">
      <w:pPr>
        <w:pStyle w:val="ListBullet2"/>
      </w:pPr>
      <w:r w:rsidRPr="003318CF">
        <w:t>Appendix H listing may bias decisions for consumers and cause them to overlook more suitable contraceptive options.</w:t>
      </w:r>
    </w:p>
    <w:p w14:paraId="0E701644" w14:textId="77777777" w:rsidR="003318CF" w:rsidRPr="003318CF" w:rsidRDefault="003318CF" w:rsidP="004554A8">
      <w:pPr>
        <w:pStyle w:val="ListBullet2"/>
      </w:pPr>
      <w:r w:rsidRPr="003318CF">
        <w:t>While increasing access to contraception is important, promoting oral contraceptives over other more effective (and often safer) options may have unintended consequences.</w:t>
      </w:r>
    </w:p>
    <w:p w14:paraId="7D12D7E9" w14:textId="77777777" w:rsidR="003318CF" w:rsidRPr="003318CF" w:rsidRDefault="003318CF" w:rsidP="003318CF">
      <w:pPr>
        <w:pStyle w:val="ListBullet2"/>
      </w:pPr>
      <w:r w:rsidRPr="003318CF">
        <w:t>Despite being common medicines, good medical management of contraception is complex and needs medical oversight.</w:t>
      </w:r>
    </w:p>
    <w:p w14:paraId="56F20219" w14:textId="77777777" w:rsidR="003318CF" w:rsidRPr="003318CF" w:rsidRDefault="003318CF" w:rsidP="003318CF">
      <w:pPr>
        <w:pStyle w:val="ListBullet2"/>
      </w:pPr>
      <w:r w:rsidRPr="003318CF">
        <w:t>Health risks for women using oral contraceptives are addressed by maintaining initiation of supply by an authorised prescriber.</w:t>
      </w:r>
    </w:p>
    <w:p w14:paraId="1D476E0C" w14:textId="77777777" w:rsidR="003318CF" w:rsidRPr="003318CF" w:rsidRDefault="003318CF" w:rsidP="003318CF">
      <w:pPr>
        <w:pStyle w:val="ListBullet2"/>
      </w:pPr>
      <w:r w:rsidRPr="003318CF">
        <w:t>A woman can determine whether she needs oral contraception.</w:t>
      </w:r>
    </w:p>
    <w:p w14:paraId="58558A97" w14:textId="77777777" w:rsidR="003318CF" w:rsidRPr="003318CF" w:rsidRDefault="003318CF" w:rsidP="003318CF">
      <w:pPr>
        <w:pStyle w:val="ListBullet2"/>
      </w:pPr>
      <w:r w:rsidRPr="003318CF">
        <w:t>Down-scheduling will mean that if a woman runs out of her prescription, she can access oral contraceptives without the delay of booking a GP appointment; such access may reduce the risk of unwanted pregnancies.</w:t>
      </w:r>
    </w:p>
    <w:p w14:paraId="64B2A097" w14:textId="77777777" w:rsidR="003318CF" w:rsidRPr="00ED7D5A" w:rsidRDefault="003318CF" w:rsidP="003318CF">
      <w:pPr>
        <w:pStyle w:val="ListBullet2"/>
      </w:pPr>
      <w:r w:rsidRPr="00ED7D5A">
        <w:t xml:space="preserve">Women can already access emergency contraception from pharmacies, and this potentially provides a supply model for the </w:t>
      </w:r>
      <w:r w:rsidRPr="003318CF">
        <w:t>proposals</w:t>
      </w:r>
      <w:r w:rsidRPr="00ED7D5A">
        <w:t>.</w:t>
      </w:r>
    </w:p>
    <w:p w14:paraId="33C7A39D" w14:textId="77777777" w:rsidR="003318CF" w:rsidRPr="00ED7D5A" w:rsidRDefault="003318CF" w:rsidP="003318CF">
      <w:pPr>
        <w:pStyle w:val="ListBullet2"/>
      </w:pPr>
      <w:r w:rsidRPr="00ED7D5A">
        <w:lastRenderedPageBreak/>
        <w:t xml:space="preserve">PBS Continued Dispensing rules already allow the continued supply (4 months) of the oral contraceptive pill by pharmacists (maximum PBS quantity once in a 12 month period). </w:t>
      </w:r>
      <w:r>
        <w:t>For oral contraceptive preparations that are not listed on the PBS, 4-month continued dispensing arrangements are available in many Australian states and territories</w:t>
      </w:r>
      <w:r w:rsidRPr="00ED7D5A">
        <w:t>.</w:t>
      </w:r>
    </w:p>
    <w:p w14:paraId="0CDC80F3" w14:textId="77777777" w:rsidR="003318CF" w:rsidRPr="00ED7D5A" w:rsidRDefault="003318CF" w:rsidP="003318CF">
      <w:pPr>
        <w:pStyle w:val="ListBullet2"/>
      </w:pPr>
      <w:r w:rsidRPr="00ED7D5A">
        <w:t xml:space="preserve">There may be a </w:t>
      </w:r>
      <w:r w:rsidRPr="003318CF">
        <w:t>better</w:t>
      </w:r>
      <w:r w:rsidRPr="00ED7D5A">
        <w:t xml:space="preserve"> mechanism to achieve the same outcome, such as extending </w:t>
      </w:r>
      <w:r>
        <w:t xml:space="preserve">the </w:t>
      </w:r>
      <w:r w:rsidRPr="00ED7D5A">
        <w:t xml:space="preserve">maximum </w:t>
      </w:r>
      <w:r>
        <w:t xml:space="preserve">number of repeats under the PBS, or the period of validity of </w:t>
      </w:r>
      <w:r w:rsidRPr="00ED7D5A">
        <w:t>prescriptions.</w:t>
      </w:r>
    </w:p>
    <w:p w14:paraId="024BA5A0" w14:textId="77777777" w:rsidR="003318CF" w:rsidRPr="00ED7D5A" w:rsidRDefault="003318CF" w:rsidP="003318CF">
      <w:pPr>
        <w:pStyle w:val="ListBullet2"/>
      </w:pPr>
      <w:r w:rsidRPr="00ED7D5A">
        <w:t xml:space="preserve">Several details of the proposals are </w:t>
      </w:r>
      <w:r w:rsidRPr="003318CF">
        <w:t>unclear</w:t>
      </w:r>
      <w:r w:rsidRPr="00ED7D5A">
        <w:t>, including:</w:t>
      </w:r>
    </w:p>
    <w:p w14:paraId="2B1D9935" w14:textId="77777777" w:rsidR="003318CF" w:rsidRPr="00ED7D5A" w:rsidRDefault="003318CF" w:rsidP="004554A8">
      <w:pPr>
        <w:pStyle w:val="ListBullet3"/>
      </w:pPr>
      <w:r w:rsidRPr="00ED7D5A">
        <w:t>how long patients can continue to access over the counter oral contraceptives under each proposal;</w:t>
      </w:r>
    </w:p>
    <w:p w14:paraId="298B54EF" w14:textId="77777777" w:rsidR="003318CF" w:rsidRPr="00ED7D5A" w:rsidRDefault="003318CF" w:rsidP="004554A8">
      <w:pPr>
        <w:pStyle w:val="ListBullet3"/>
      </w:pPr>
      <w:r w:rsidRPr="00ED7D5A">
        <w:t>how to handle high-risk patients, including how information would be shared between doctors and pharmacists;</w:t>
      </w:r>
    </w:p>
    <w:p w14:paraId="614614A9" w14:textId="77777777" w:rsidR="003318CF" w:rsidRPr="00ED7D5A" w:rsidRDefault="003318CF" w:rsidP="004554A8">
      <w:pPr>
        <w:pStyle w:val="ListBullet3"/>
      </w:pPr>
      <w:r w:rsidRPr="00ED7D5A">
        <w:rPr>
          <w:lang w:eastAsia="en-AU"/>
        </w:rPr>
        <w:t>details of proposed pharmacist reviews; and</w:t>
      </w:r>
    </w:p>
    <w:p w14:paraId="58938E4E" w14:textId="77777777" w:rsidR="003318CF" w:rsidRPr="00ED7D5A" w:rsidRDefault="003318CF" w:rsidP="004554A8">
      <w:pPr>
        <w:pStyle w:val="ListBullet3"/>
      </w:pPr>
      <w:r w:rsidRPr="00ED7D5A">
        <w:rPr>
          <w:lang w:eastAsia="en-AU"/>
        </w:rPr>
        <w:t>how pharmacists would record the dispensing of oral contraceptives.</w:t>
      </w:r>
    </w:p>
    <w:p w14:paraId="5CE74C47" w14:textId="3552FB57" w:rsidR="00CD1C8D" w:rsidRPr="00C721A5" w:rsidRDefault="00CD1C8D" w:rsidP="004554A8">
      <w:pPr>
        <w:pStyle w:val="Heading4"/>
      </w:pPr>
      <w:bookmarkStart w:id="15" w:name="_Toc76983348"/>
      <w:r w:rsidRPr="00C721A5">
        <w:t>Reasons for the interim decision (including findings on material questions of fact)</w:t>
      </w:r>
      <w:bookmarkEnd w:id="15"/>
    </w:p>
    <w:p w14:paraId="56787460" w14:textId="783E03CC" w:rsidR="00CD514D" w:rsidRDefault="00CD514D" w:rsidP="004A7E67">
      <w:r>
        <w:t xml:space="preserve">I </w:t>
      </w:r>
      <w:r w:rsidR="003D2AF3">
        <w:t>have made an interim decision</w:t>
      </w:r>
      <w:r>
        <w:t xml:space="preserve"> not</w:t>
      </w:r>
      <w:r w:rsidR="003D2AF3">
        <w:t xml:space="preserve"> to</w:t>
      </w:r>
      <w:r>
        <w:t xml:space="preserve"> amend the scheduling for oral contraceptive substances in the current Poisons Standard. The detailed reasons for my decision follow.</w:t>
      </w:r>
    </w:p>
    <w:p w14:paraId="6C1F2933" w14:textId="7CA9E8BF" w:rsidR="001D6386" w:rsidRDefault="001D6386" w:rsidP="004A7E67">
      <w:r w:rsidRPr="006B74E6">
        <w:rPr>
          <w:bCs/>
        </w:rPr>
        <w:t>I agree with the Committee's finding</w:t>
      </w:r>
      <w:r>
        <w:rPr>
          <w:bCs/>
        </w:rPr>
        <w:t>s</w:t>
      </w:r>
      <w:r w:rsidRPr="006B74E6">
        <w:rPr>
          <w:bCs/>
        </w:rPr>
        <w:t xml:space="preserve"> that the relevant provisions of section 52E of the</w:t>
      </w:r>
      <w:r w:rsidR="004554A8">
        <w:rPr>
          <w:bCs/>
        </w:rPr>
        <w:t xml:space="preserve"> </w:t>
      </w:r>
      <w:r w:rsidRPr="006B74E6">
        <w:rPr>
          <w:bCs/>
          <w:i/>
          <w:iCs/>
        </w:rPr>
        <w:t>Therapeutic Goods Act 1989</w:t>
      </w:r>
      <w:r w:rsidR="004554A8">
        <w:rPr>
          <w:bCs/>
          <w:i/>
          <w:iCs/>
        </w:rPr>
        <w:t xml:space="preserve"> </w:t>
      </w:r>
      <w:r w:rsidRPr="006B74E6">
        <w:rPr>
          <w:bCs/>
        </w:rPr>
        <w:t>are</w:t>
      </w:r>
      <w:r>
        <w:rPr>
          <w:bCs/>
        </w:rPr>
        <w:t>:</w:t>
      </w:r>
      <w:r w:rsidRPr="00C70F72">
        <w:t xml:space="preserve"> (a) risks and benefits of the use of a substance; (b) </w:t>
      </w:r>
      <w:r w:rsidR="008151EA">
        <w:t>the purposes for which a substance is to be used and the extent of use of a substance</w:t>
      </w:r>
      <w:r w:rsidRPr="00C70F72">
        <w:t xml:space="preserve">; (c) the toxicity of a substance; (d) the dosage, formulation, labelling, packaging and presentation of a substance; </w:t>
      </w:r>
      <w:r w:rsidRPr="00082B02">
        <w:t>and (f) any other matters that the Secretary considers necessary to protect public health.</w:t>
      </w:r>
      <w:bookmarkEnd w:id="5"/>
      <w:bookmarkEnd w:id="6"/>
    </w:p>
    <w:p w14:paraId="57A97425" w14:textId="1D52F0CF" w:rsidR="001253BC" w:rsidRDefault="00F36678" w:rsidP="00023551">
      <w:pPr>
        <w:rPr>
          <w:lang w:eastAsia="en-AU"/>
        </w:rPr>
      </w:pPr>
      <w:r>
        <w:rPr>
          <w:lang w:eastAsia="en-AU"/>
        </w:rPr>
        <w:t>I note that t</w:t>
      </w:r>
      <w:r w:rsidR="00B21C93">
        <w:rPr>
          <w:lang w:eastAsia="en-AU"/>
        </w:rPr>
        <w:t>he eleven</w:t>
      </w:r>
      <w:r w:rsidR="0044753E">
        <w:rPr>
          <w:lang w:eastAsia="en-AU"/>
        </w:rPr>
        <w:t xml:space="preserve"> substances</w:t>
      </w:r>
      <w:r w:rsidR="00083590">
        <w:rPr>
          <w:lang w:eastAsia="en-AU"/>
        </w:rPr>
        <w:t xml:space="preserve"> </w:t>
      </w:r>
      <w:r w:rsidR="00490B4F">
        <w:rPr>
          <w:lang w:eastAsia="en-AU"/>
        </w:rPr>
        <w:t>under consideration</w:t>
      </w:r>
      <w:r w:rsidR="009961A5">
        <w:rPr>
          <w:lang w:eastAsia="en-AU"/>
        </w:rPr>
        <w:t xml:space="preserve"> </w:t>
      </w:r>
      <w:r w:rsidR="00D01039">
        <w:rPr>
          <w:lang w:eastAsia="en-AU"/>
        </w:rPr>
        <w:t>cover the</w:t>
      </w:r>
      <w:r>
        <w:rPr>
          <w:lang w:eastAsia="en-AU"/>
        </w:rPr>
        <w:t xml:space="preserve"> full scope of </w:t>
      </w:r>
      <w:r w:rsidR="00D01039">
        <w:rPr>
          <w:lang w:eastAsia="en-AU"/>
        </w:rPr>
        <w:t>active</w:t>
      </w:r>
      <w:r w:rsidR="004449A1">
        <w:rPr>
          <w:lang w:eastAsia="en-AU"/>
        </w:rPr>
        <w:t xml:space="preserve"> ingredients</w:t>
      </w:r>
      <w:r w:rsidR="00FC7560">
        <w:rPr>
          <w:lang w:eastAsia="en-AU"/>
        </w:rPr>
        <w:t xml:space="preserve"> </w:t>
      </w:r>
      <w:r w:rsidR="00D01039">
        <w:rPr>
          <w:lang w:eastAsia="en-AU"/>
        </w:rPr>
        <w:t xml:space="preserve">available in oral contraceptive pills in Australia. </w:t>
      </w:r>
      <w:r>
        <w:rPr>
          <w:lang w:eastAsia="en-AU"/>
        </w:rPr>
        <w:t>These</w:t>
      </w:r>
      <w:r w:rsidR="00D01039">
        <w:rPr>
          <w:lang w:eastAsia="en-AU"/>
        </w:rPr>
        <w:t xml:space="preserve"> pills</w:t>
      </w:r>
      <w:r>
        <w:rPr>
          <w:lang w:eastAsia="en-AU"/>
        </w:rPr>
        <w:t xml:space="preserve"> generally consist of an estrogen and progestogen component in various ratios, often with these ratios changing throughout a monthly cycle. Despite the variation in the </w:t>
      </w:r>
      <w:r w:rsidR="00B70C52">
        <w:rPr>
          <w:lang w:eastAsia="en-AU"/>
        </w:rPr>
        <w:t>active substances and dosing regimens</w:t>
      </w:r>
      <w:r>
        <w:rPr>
          <w:lang w:eastAsia="en-AU"/>
        </w:rPr>
        <w:t xml:space="preserve"> </w:t>
      </w:r>
      <w:r w:rsidR="00FC7560">
        <w:rPr>
          <w:lang w:eastAsia="en-AU"/>
        </w:rPr>
        <w:t>for</w:t>
      </w:r>
      <w:r>
        <w:rPr>
          <w:lang w:eastAsia="en-AU"/>
        </w:rPr>
        <w:t xml:space="preserve"> each </w:t>
      </w:r>
      <w:r w:rsidR="00D01039">
        <w:rPr>
          <w:lang w:eastAsia="en-AU"/>
        </w:rPr>
        <w:t>product</w:t>
      </w:r>
      <w:r>
        <w:rPr>
          <w:lang w:eastAsia="en-AU"/>
        </w:rPr>
        <w:t>,</w:t>
      </w:r>
      <w:r w:rsidR="00023551">
        <w:rPr>
          <w:lang w:eastAsia="en-AU"/>
        </w:rPr>
        <w:t xml:space="preserve"> </w:t>
      </w:r>
      <w:r w:rsidR="0044753E">
        <w:rPr>
          <w:lang w:eastAsia="en-AU"/>
        </w:rPr>
        <w:t>there are broad similarities regarding the mechanism</w:t>
      </w:r>
      <w:r w:rsidR="00023551">
        <w:rPr>
          <w:lang w:eastAsia="en-AU"/>
        </w:rPr>
        <w:t xml:space="preserve"> of action, risk factors and considerations for prescribing. </w:t>
      </w:r>
      <w:r w:rsidR="00C45A7A">
        <w:rPr>
          <w:lang w:eastAsia="en-AU"/>
        </w:rPr>
        <w:t xml:space="preserve">As such, </w:t>
      </w:r>
      <w:r w:rsidR="00CC02EB">
        <w:rPr>
          <w:lang w:eastAsia="en-AU"/>
        </w:rPr>
        <w:t>I consider</w:t>
      </w:r>
      <w:r w:rsidR="00023551">
        <w:rPr>
          <w:lang w:eastAsia="en-AU"/>
        </w:rPr>
        <w:t xml:space="preserve"> that it is appropriate to </w:t>
      </w:r>
      <w:r w:rsidR="00B450C2">
        <w:rPr>
          <w:lang w:eastAsia="en-AU"/>
        </w:rPr>
        <w:t xml:space="preserve">document the reasons for my decision on both applications to down-schedule oral contraceptives </w:t>
      </w:r>
      <w:r w:rsidR="00023551">
        <w:rPr>
          <w:lang w:eastAsia="en-AU"/>
        </w:rPr>
        <w:t>as a group</w:t>
      </w:r>
      <w:r w:rsidR="002217B7">
        <w:rPr>
          <w:lang w:eastAsia="en-AU"/>
        </w:rPr>
        <w:t xml:space="preserve"> (</w:t>
      </w:r>
      <w:r w:rsidR="00B23D37">
        <w:rPr>
          <w:lang w:eastAsia="en-AU"/>
        </w:rPr>
        <w:t xml:space="preserve">though </w:t>
      </w:r>
      <w:r w:rsidR="009961A5">
        <w:rPr>
          <w:lang w:eastAsia="en-AU"/>
        </w:rPr>
        <w:t xml:space="preserve">differences </w:t>
      </w:r>
      <w:r w:rsidR="00B70C52">
        <w:rPr>
          <w:lang w:eastAsia="en-AU"/>
        </w:rPr>
        <w:t xml:space="preserve">between substances </w:t>
      </w:r>
      <w:r w:rsidR="00B23D37">
        <w:rPr>
          <w:lang w:eastAsia="en-AU"/>
        </w:rPr>
        <w:t>are specifically discussed</w:t>
      </w:r>
      <w:r w:rsidR="002217B7">
        <w:rPr>
          <w:lang w:eastAsia="en-AU"/>
        </w:rPr>
        <w:t>)</w:t>
      </w:r>
      <w:r w:rsidR="00023551">
        <w:rPr>
          <w:lang w:eastAsia="en-AU"/>
        </w:rPr>
        <w:t>.</w:t>
      </w:r>
    </w:p>
    <w:p w14:paraId="078C40FD" w14:textId="25C38AB4" w:rsidR="00A3606B" w:rsidRDefault="00EC5414" w:rsidP="00023551">
      <w:pPr>
        <w:rPr>
          <w:lang w:eastAsia="en-AU"/>
        </w:rPr>
      </w:pPr>
      <w:r>
        <w:rPr>
          <w:lang w:eastAsia="en-AU"/>
        </w:rPr>
        <w:t>The use of oral contraceptive pills can cause significant adverse effects</w:t>
      </w:r>
      <w:r w:rsidR="00551A58">
        <w:rPr>
          <w:lang w:eastAsia="en-AU"/>
        </w:rPr>
        <w:t xml:space="preserve"> that </w:t>
      </w:r>
      <w:r w:rsidR="00A162C9">
        <w:rPr>
          <w:lang w:eastAsia="en-AU"/>
        </w:rPr>
        <w:t>are not consistent with</w:t>
      </w:r>
      <w:r w:rsidR="00C45A7A">
        <w:rPr>
          <w:lang w:eastAsia="en-AU"/>
        </w:rPr>
        <w:t xml:space="preserve"> </w:t>
      </w:r>
      <w:r w:rsidR="00A162C9">
        <w:rPr>
          <w:lang w:eastAsia="en-AU"/>
        </w:rPr>
        <w:t>over the counter</w:t>
      </w:r>
      <w:r w:rsidR="00C45A7A">
        <w:rPr>
          <w:lang w:eastAsia="en-AU"/>
        </w:rPr>
        <w:t xml:space="preserve"> medicines</w:t>
      </w:r>
      <w:r>
        <w:rPr>
          <w:lang w:eastAsia="en-AU"/>
        </w:rPr>
        <w:t xml:space="preserve">. </w:t>
      </w:r>
      <w:r w:rsidR="00551A58">
        <w:rPr>
          <w:lang w:eastAsia="en-AU"/>
        </w:rPr>
        <w:t>These effects include we</w:t>
      </w:r>
      <w:r w:rsidR="00A162C9">
        <w:rPr>
          <w:lang w:eastAsia="en-AU"/>
        </w:rPr>
        <w:t>ight gain, emotional anxiety,</w:t>
      </w:r>
      <w:r w:rsidR="00551A58">
        <w:rPr>
          <w:lang w:eastAsia="en-AU"/>
        </w:rPr>
        <w:t xml:space="preserve"> heavy bleeding and</w:t>
      </w:r>
      <w:r w:rsidR="009961A5">
        <w:rPr>
          <w:lang w:eastAsia="en-AU"/>
        </w:rPr>
        <w:t xml:space="preserve"> </w:t>
      </w:r>
      <w:r w:rsidR="00551A58">
        <w:rPr>
          <w:lang w:eastAsia="en-AU"/>
        </w:rPr>
        <w:t>thromboembolism</w:t>
      </w:r>
      <w:r w:rsidR="009961A5">
        <w:rPr>
          <w:lang w:eastAsia="en-AU"/>
        </w:rPr>
        <w:t>, particularly with increasing age</w:t>
      </w:r>
      <w:r w:rsidR="00551A58">
        <w:rPr>
          <w:lang w:eastAsia="en-AU"/>
        </w:rPr>
        <w:t xml:space="preserve">. Even </w:t>
      </w:r>
      <w:r w:rsidR="00A162C9">
        <w:rPr>
          <w:lang w:eastAsia="en-AU"/>
        </w:rPr>
        <w:t xml:space="preserve">oral contraceptive </w:t>
      </w:r>
      <w:r w:rsidR="00551A58">
        <w:rPr>
          <w:lang w:eastAsia="en-AU"/>
        </w:rPr>
        <w:t>products with the most favourable safety profile</w:t>
      </w:r>
      <w:r w:rsidR="00EB3733">
        <w:rPr>
          <w:lang w:eastAsia="en-AU"/>
        </w:rPr>
        <w:t>s</w:t>
      </w:r>
      <w:r w:rsidR="00551A58">
        <w:rPr>
          <w:lang w:eastAsia="en-AU"/>
        </w:rPr>
        <w:t xml:space="preserve"> lead to a rate of 5-7 cases of thromboembolism per 10,000 women per year, compared to a baseline of 2 in 10,000</w:t>
      </w:r>
      <w:r w:rsidR="002217B7">
        <w:rPr>
          <w:rStyle w:val="FootnoteReference"/>
          <w:lang w:eastAsia="en-AU"/>
        </w:rPr>
        <w:footnoteReference w:id="1"/>
      </w:r>
      <w:r w:rsidR="00551A58">
        <w:rPr>
          <w:lang w:eastAsia="en-AU"/>
        </w:rPr>
        <w:t>.</w:t>
      </w:r>
      <w:r w:rsidR="00A162C9">
        <w:rPr>
          <w:lang w:eastAsia="en-AU"/>
        </w:rPr>
        <w:t xml:space="preserve"> </w:t>
      </w:r>
      <w:r w:rsidR="002217B7">
        <w:rPr>
          <w:lang w:eastAsia="en-AU"/>
        </w:rPr>
        <w:t>I also note the Committee’s advice that t</w:t>
      </w:r>
      <w:r w:rsidR="003D2AF3">
        <w:rPr>
          <w:lang w:eastAsia="en-AU"/>
        </w:rPr>
        <w:t xml:space="preserve">hese </w:t>
      </w:r>
      <w:r w:rsidR="002217B7">
        <w:rPr>
          <w:lang w:eastAsia="en-AU"/>
        </w:rPr>
        <w:t>preparations can</w:t>
      </w:r>
      <w:r w:rsidR="003D2AF3">
        <w:rPr>
          <w:lang w:eastAsia="en-AU"/>
        </w:rPr>
        <w:t xml:space="preserve"> </w:t>
      </w:r>
      <w:r w:rsidR="005B7A2B">
        <w:rPr>
          <w:lang w:eastAsia="en-AU"/>
        </w:rPr>
        <w:t xml:space="preserve">exacerbate the risks of </w:t>
      </w:r>
      <w:r w:rsidR="003D2AF3">
        <w:rPr>
          <w:lang w:eastAsia="en-AU"/>
        </w:rPr>
        <w:t xml:space="preserve">cardiovascular disease (including stroke) – especially in </w:t>
      </w:r>
      <w:r w:rsidR="001253BC">
        <w:rPr>
          <w:lang w:eastAsia="en-AU"/>
        </w:rPr>
        <w:t xml:space="preserve">women </w:t>
      </w:r>
      <w:r w:rsidR="00E0394D">
        <w:rPr>
          <w:lang w:eastAsia="en-AU"/>
        </w:rPr>
        <w:t xml:space="preserve">who are </w:t>
      </w:r>
      <w:r w:rsidR="001253BC">
        <w:rPr>
          <w:lang w:eastAsia="en-AU"/>
        </w:rPr>
        <w:t xml:space="preserve">over 35, </w:t>
      </w:r>
      <w:r w:rsidR="00A162C9">
        <w:rPr>
          <w:lang w:eastAsia="en-AU"/>
        </w:rPr>
        <w:t>obese, smoke, have diabetes, have uncontrolled hypertension or get migraines with aura.</w:t>
      </w:r>
      <w:r w:rsidR="001253BC">
        <w:rPr>
          <w:lang w:eastAsia="en-AU"/>
        </w:rPr>
        <w:t xml:space="preserve"> I am of the view that </w:t>
      </w:r>
      <w:r w:rsidR="00B21C93">
        <w:rPr>
          <w:lang w:eastAsia="en-AU"/>
        </w:rPr>
        <w:t>the adverse effects</w:t>
      </w:r>
      <w:r w:rsidR="001253BC">
        <w:rPr>
          <w:lang w:eastAsia="en-AU"/>
        </w:rPr>
        <w:t xml:space="preserve"> </w:t>
      </w:r>
      <w:r w:rsidR="003D2AF3">
        <w:rPr>
          <w:lang w:eastAsia="en-AU"/>
        </w:rPr>
        <w:t>of oral contraceptive substances</w:t>
      </w:r>
      <w:r w:rsidR="00D01039">
        <w:rPr>
          <w:lang w:eastAsia="en-AU"/>
        </w:rPr>
        <w:t>,</w:t>
      </w:r>
      <w:r w:rsidR="003D2AF3">
        <w:rPr>
          <w:lang w:eastAsia="en-AU"/>
        </w:rPr>
        <w:t xml:space="preserve"> </w:t>
      </w:r>
      <w:r w:rsidR="009961A5">
        <w:rPr>
          <w:lang w:eastAsia="en-AU"/>
        </w:rPr>
        <w:t>and the</w:t>
      </w:r>
      <w:r w:rsidR="00897020">
        <w:rPr>
          <w:lang w:eastAsia="en-AU"/>
        </w:rPr>
        <w:t xml:space="preserve"> potential for</w:t>
      </w:r>
      <w:r w:rsidR="009961A5">
        <w:rPr>
          <w:lang w:eastAsia="en-AU"/>
        </w:rPr>
        <w:t xml:space="preserve"> </w:t>
      </w:r>
      <w:r w:rsidR="00FC7560">
        <w:rPr>
          <w:lang w:eastAsia="en-AU"/>
        </w:rPr>
        <w:t xml:space="preserve">evolving </w:t>
      </w:r>
      <w:r w:rsidR="009961A5">
        <w:rPr>
          <w:lang w:eastAsia="en-AU"/>
        </w:rPr>
        <w:t>risk</w:t>
      </w:r>
      <w:r w:rsidR="00FC7560">
        <w:rPr>
          <w:lang w:eastAsia="en-AU"/>
        </w:rPr>
        <w:t>s</w:t>
      </w:r>
      <w:r w:rsidR="009961A5">
        <w:rPr>
          <w:lang w:eastAsia="en-AU"/>
        </w:rPr>
        <w:t xml:space="preserve"> over time</w:t>
      </w:r>
      <w:r w:rsidR="00D01039">
        <w:rPr>
          <w:lang w:eastAsia="en-AU"/>
        </w:rPr>
        <w:t>,</w:t>
      </w:r>
      <w:r w:rsidR="009961A5">
        <w:rPr>
          <w:lang w:eastAsia="en-AU"/>
        </w:rPr>
        <w:t xml:space="preserve"> </w:t>
      </w:r>
      <w:r w:rsidR="001253BC">
        <w:rPr>
          <w:lang w:eastAsia="en-AU"/>
        </w:rPr>
        <w:t xml:space="preserve">are </w:t>
      </w:r>
      <w:r w:rsidR="00B450C2">
        <w:rPr>
          <w:lang w:eastAsia="en-AU"/>
        </w:rPr>
        <w:t xml:space="preserve">significant and require </w:t>
      </w:r>
      <w:r w:rsidR="001253BC">
        <w:rPr>
          <w:lang w:eastAsia="en-AU"/>
        </w:rPr>
        <w:t>manage</w:t>
      </w:r>
      <w:r w:rsidR="00B450C2">
        <w:rPr>
          <w:lang w:eastAsia="en-AU"/>
        </w:rPr>
        <w:t>ment</w:t>
      </w:r>
      <w:r w:rsidR="001253BC">
        <w:rPr>
          <w:lang w:eastAsia="en-AU"/>
        </w:rPr>
        <w:t xml:space="preserve"> by a </w:t>
      </w:r>
      <w:r w:rsidR="00B450C2">
        <w:rPr>
          <w:lang w:eastAsia="en-AU"/>
        </w:rPr>
        <w:t>medical practitioner</w:t>
      </w:r>
      <w:r w:rsidR="001253BC">
        <w:rPr>
          <w:lang w:eastAsia="en-AU"/>
        </w:rPr>
        <w:t>.</w:t>
      </w:r>
    </w:p>
    <w:p w14:paraId="14696410" w14:textId="79F0905D" w:rsidR="00D21FB8" w:rsidRDefault="00D21FB8" w:rsidP="006504F9">
      <w:r>
        <w:lastRenderedPageBreak/>
        <w:t>In considering access</w:t>
      </w:r>
      <w:r w:rsidR="009961A5">
        <w:t xml:space="preserve"> through a pharmacist</w:t>
      </w:r>
      <w:r>
        <w:t>, I note the Committee’s analysis of oral contraceptive preparations against the Schedule 3 scheduling factors outlined in the Scheduling Policy Framework (SPF 2018):</w:t>
      </w:r>
    </w:p>
    <w:p w14:paraId="020DD556" w14:textId="32B3FEF2" w:rsidR="00170A77" w:rsidRDefault="00170A77" w:rsidP="006504F9">
      <w:pPr>
        <w:pStyle w:val="ListBullet"/>
        <w:rPr>
          <w:lang w:eastAsia="en-AU"/>
        </w:rPr>
      </w:pPr>
      <w:r>
        <w:rPr>
          <w:lang w:eastAsia="en-AU"/>
        </w:rPr>
        <w:t>Consumers can identify when they require (oral) contraception, but consultation with a pharmacist is not sufficient to ensure safety</w:t>
      </w:r>
      <w:r w:rsidR="005B262C">
        <w:rPr>
          <w:lang w:eastAsia="en-AU"/>
        </w:rPr>
        <w:t>, particularly over extended periods of time</w:t>
      </w:r>
      <w:r>
        <w:rPr>
          <w:lang w:eastAsia="en-AU"/>
        </w:rPr>
        <w:t>.</w:t>
      </w:r>
    </w:p>
    <w:p w14:paraId="67BDFA6A" w14:textId="77777777" w:rsidR="00170A77" w:rsidRDefault="00170A77" w:rsidP="006504F9">
      <w:pPr>
        <w:pStyle w:val="ListBullet"/>
        <w:rPr>
          <w:lang w:eastAsia="en-AU"/>
        </w:rPr>
      </w:pPr>
      <w:r>
        <w:rPr>
          <w:lang w:eastAsia="en-AU"/>
        </w:rPr>
        <w:t>The medicine is not expected to produce dependency and there is no risk of abuse or illicit use.</w:t>
      </w:r>
    </w:p>
    <w:p w14:paraId="7E3C9ADC" w14:textId="599E8CFB" w:rsidR="00170A77" w:rsidRDefault="00170A77" w:rsidP="006504F9">
      <w:pPr>
        <w:pStyle w:val="ListBullet"/>
        <w:rPr>
          <w:lang w:eastAsia="en-AU"/>
        </w:rPr>
      </w:pPr>
      <w:r>
        <w:rPr>
          <w:lang w:eastAsia="en-AU"/>
        </w:rPr>
        <w:t>The risk factors for adverse effects, interactions and contraindications are known, but are numerous and complex</w:t>
      </w:r>
      <w:r w:rsidR="00B70C52">
        <w:rPr>
          <w:lang w:eastAsia="en-AU"/>
        </w:rPr>
        <w:t>. These</w:t>
      </w:r>
      <w:r w:rsidR="005B262C">
        <w:rPr>
          <w:lang w:eastAsia="en-AU"/>
        </w:rPr>
        <w:t xml:space="preserve"> are more </w:t>
      </w:r>
      <w:r>
        <w:rPr>
          <w:lang w:eastAsia="en-AU"/>
        </w:rPr>
        <w:t xml:space="preserve">appropriately managed by a </w:t>
      </w:r>
      <w:r w:rsidR="005B262C">
        <w:rPr>
          <w:lang w:eastAsia="en-AU"/>
        </w:rPr>
        <w:t>medical practitioner</w:t>
      </w:r>
      <w:r>
        <w:rPr>
          <w:lang w:eastAsia="en-AU"/>
        </w:rPr>
        <w:t>.</w:t>
      </w:r>
    </w:p>
    <w:p w14:paraId="760DDF68" w14:textId="183893C1" w:rsidR="00170A77" w:rsidRDefault="00170A77" w:rsidP="006504F9">
      <w:pPr>
        <w:pStyle w:val="ListBullet"/>
        <w:rPr>
          <w:lang w:eastAsia="en-AU"/>
        </w:rPr>
      </w:pPr>
      <w:r>
        <w:rPr>
          <w:lang w:eastAsia="en-AU"/>
        </w:rPr>
        <w:t xml:space="preserve">Patient risk factors </w:t>
      </w:r>
      <w:r w:rsidR="00B450C2">
        <w:rPr>
          <w:lang w:eastAsia="en-AU"/>
        </w:rPr>
        <w:t xml:space="preserve">generally </w:t>
      </w:r>
      <w:r w:rsidR="005B262C">
        <w:rPr>
          <w:lang w:eastAsia="en-AU"/>
        </w:rPr>
        <w:t xml:space="preserve">increase </w:t>
      </w:r>
      <w:r>
        <w:rPr>
          <w:lang w:eastAsia="en-AU"/>
        </w:rPr>
        <w:t>over time, necessitating close medical management by a medical practitioner – even after the initial establishment of safe treatment.</w:t>
      </w:r>
    </w:p>
    <w:p w14:paraId="0D4091CB" w14:textId="11ECEDC6" w:rsidR="00170A77" w:rsidRDefault="00170A77" w:rsidP="006504F9">
      <w:pPr>
        <w:pStyle w:val="ListBullet"/>
        <w:rPr>
          <w:lang w:eastAsia="en-AU"/>
        </w:rPr>
      </w:pPr>
      <w:r>
        <w:rPr>
          <w:lang w:eastAsia="en-AU"/>
        </w:rPr>
        <w:t>The use of oral contraceptives may mask symptoms, or delay the diagnosis, of serious conditions such as endometriosis.</w:t>
      </w:r>
    </w:p>
    <w:p w14:paraId="409B2349" w14:textId="496A7DBA" w:rsidR="005B262C" w:rsidRDefault="00D21FB8" w:rsidP="006504F9">
      <w:pPr>
        <w:rPr>
          <w:lang w:eastAsia="en-AU"/>
        </w:rPr>
      </w:pPr>
      <w:r>
        <w:rPr>
          <w:lang w:eastAsia="en-AU"/>
        </w:rPr>
        <w:t>On balance, I find</w:t>
      </w:r>
      <w:r w:rsidR="00170A77">
        <w:rPr>
          <w:lang w:eastAsia="en-AU"/>
        </w:rPr>
        <w:t xml:space="preserve"> that </w:t>
      </w:r>
      <w:r w:rsidR="0055653E">
        <w:rPr>
          <w:lang w:eastAsia="en-AU"/>
        </w:rPr>
        <w:t xml:space="preserve">the general properties of </w:t>
      </w:r>
      <w:r w:rsidR="00170A77">
        <w:rPr>
          <w:lang w:eastAsia="en-AU"/>
        </w:rPr>
        <w:t xml:space="preserve">oral contraceptive substances </w:t>
      </w:r>
      <w:r w:rsidR="00733C5F">
        <w:rPr>
          <w:lang w:eastAsia="en-AU"/>
        </w:rPr>
        <w:t xml:space="preserve">do not align with the Schedule 3 factors, and do not warrant any scheduling action </w:t>
      </w:r>
      <w:r w:rsidR="00170A77">
        <w:rPr>
          <w:lang w:eastAsia="en-AU"/>
        </w:rPr>
        <w:t xml:space="preserve">– even </w:t>
      </w:r>
      <w:r w:rsidR="001238E0">
        <w:rPr>
          <w:lang w:eastAsia="en-AU"/>
        </w:rPr>
        <w:t xml:space="preserve">if </w:t>
      </w:r>
      <w:r w:rsidR="006D7EB5">
        <w:rPr>
          <w:lang w:eastAsia="en-AU"/>
        </w:rPr>
        <w:t>additional controls</w:t>
      </w:r>
      <w:r w:rsidR="00C02CF3">
        <w:rPr>
          <w:lang w:eastAsia="en-AU"/>
        </w:rPr>
        <w:t xml:space="preserve"> were implemented</w:t>
      </w:r>
      <w:r w:rsidR="001238E0">
        <w:rPr>
          <w:lang w:eastAsia="en-AU"/>
        </w:rPr>
        <w:t xml:space="preserve"> </w:t>
      </w:r>
      <w:r w:rsidR="00B450C2">
        <w:rPr>
          <w:lang w:eastAsia="en-AU"/>
        </w:rPr>
        <w:t>as proposed through Appendix M</w:t>
      </w:r>
      <w:r w:rsidR="00170A77">
        <w:rPr>
          <w:lang w:eastAsia="en-AU"/>
        </w:rPr>
        <w:t>. The</w:t>
      </w:r>
      <w:r w:rsidR="001205A1">
        <w:rPr>
          <w:lang w:eastAsia="en-AU"/>
        </w:rPr>
        <w:t xml:space="preserve"> </w:t>
      </w:r>
      <w:r w:rsidR="004206E2">
        <w:rPr>
          <w:lang w:eastAsia="en-AU"/>
        </w:rPr>
        <w:t>complexity</w:t>
      </w:r>
      <w:r w:rsidR="001205A1">
        <w:rPr>
          <w:lang w:eastAsia="en-AU"/>
        </w:rPr>
        <w:t xml:space="preserve"> of the risk factors,</w:t>
      </w:r>
      <w:r w:rsidR="001238E0">
        <w:rPr>
          <w:lang w:eastAsia="en-AU"/>
        </w:rPr>
        <w:t xml:space="preserve"> adverse effect</w:t>
      </w:r>
      <w:r w:rsidR="001205A1">
        <w:rPr>
          <w:lang w:eastAsia="en-AU"/>
        </w:rPr>
        <w:t>s</w:t>
      </w:r>
      <w:r w:rsidR="00A72BA8">
        <w:rPr>
          <w:lang w:eastAsia="en-AU"/>
        </w:rPr>
        <w:t xml:space="preserve"> and</w:t>
      </w:r>
      <w:r w:rsidR="001238E0">
        <w:rPr>
          <w:lang w:eastAsia="en-AU"/>
        </w:rPr>
        <w:t xml:space="preserve"> interactions</w:t>
      </w:r>
      <w:r w:rsidR="001205A1">
        <w:rPr>
          <w:lang w:eastAsia="en-AU"/>
        </w:rPr>
        <w:t xml:space="preserve"> </w:t>
      </w:r>
      <w:r w:rsidR="004206E2">
        <w:rPr>
          <w:lang w:eastAsia="en-AU"/>
        </w:rPr>
        <w:t>necessitates</w:t>
      </w:r>
      <w:r w:rsidR="001238E0">
        <w:rPr>
          <w:lang w:eastAsia="en-AU"/>
        </w:rPr>
        <w:t xml:space="preserve"> </w:t>
      </w:r>
      <w:r w:rsidR="001205A1">
        <w:rPr>
          <w:lang w:eastAsia="en-AU"/>
        </w:rPr>
        <w:t>regular medical review</w:t>
      </w:r>
      <w:r w:rsidR="004456E1">
        <w:rPr>
          <w:lang w:eastAsia="en-AU"/>
        </w:rPr>
        <w:t>s</w:t>
      </w:r>
      <w:r w:rsidR="001205A1">
        <w:rPr>
          <w:lang w:eastAsia="en-AU"/>
        </w:rPr>
        <w:t xml:space="preserve"> </w:t>
      </w:r>
      <w:r w:rsidR="004206E2">
        <w:rPr>
          <w:lang w:eastAsia="en-AU"/>
        </w:rPr>
        <w:t xml:space="preserve">with a GP, even </w:t>
      </w:r>
      <w:r w:rsidR="001205A1">
        <w:rPr>
          <w:lang w:eastAsia="en-AU"/>
        </w:rPr>
        <w:t xml:space="preserve">after the </w:t>
      </w:r>
      <w:r w:rsidR="004206E2">
        <w:rPr>
          <w:lang w:eastAsia="en-AU"/>
        </w:rPr>
        <w:t xml:space="preserve">initial </w:t>
      </w:r>
      <w:r w:rsidR="001205A1">
        <w:rPr>
          <w:lang w:eastAsia="en-AU"/>
        </w:rPr>
        <w:t>establishment of treatment.</w:t>
      </w:r>
    </w:p>
    <w:p w14:paraId="26A27442" w14:textId="7B351406" w:rsidR="00945C0B" w:rsidRDefault="00945C0B" w:rsidP="006504F9">
      <w:pPr>
        <w:rPr>
          <w:lang w:eastAsia="en-AU"/>
        </w:rPr>
      </w:pPr>
      <w:r>
        <w:t xml:space="preserve">I note that internationally, oral contraceptive substances are </w:t>
      </w:r>
      <w:r w:rsidR="00952750">
        <w:t xml:space="preserve">generally </w:t>
      </w:r>
      <w:r>
        <w:t xml:space="preserve">only available as prescription medicines. As noted by the Committee, </w:t>
      </w:r>
      <w:r w:rsidRPr="003318CF">
        <w:t xml:space="preserve">in New Zealand </w:t>
      </w:r>
      <w:proofErr w:type="spellStart"/>
      <w:r w:rsidRPr="003318CF">
        <w:t>ethinylestradiol</w:t>
      </w:r>
      <w:proofErr w:type="spellEnd"/>
      <w:r w:rsidRPr="003318CF">
        <w:t xml:space="preserve">, levonorgestrel, norethisterone and </w:t>
      </w:r>
      <w:proofErr w:type="spellStart"/>
      <w:r w:rsidRPr="003318CF">
        <w:t>desogestrel</w:t>
      </w:r>
      <w:proofErr w:type="spellEnd"/>
      <w:r>
        <w:t xml:space="preserve"> can be supplied without a doctor’s prescription by a registered pharmacist</w:t>
      </w:r>
      <w:r w:rsidRPr="003318CF">
        <w:t xml:space="preserve"> </w:t>
      </w:r>
      <w:r>
        <w:t>who has successfully completed the approved training program. I note that</w:t>
      </w:r>
      <w:r w:rsidR="005A66DF">
        <w:t xml:space="preserve"> while pharmacist supply without a prescription can occur in very limited circumstances,</w:t>
      </w:r>
      <w:r>
        <w:t xml:space="preserve"> these substances are not formally classified as over the counter medicines</w:t>
      </w:r>
      <w:r w:rsidR="00B860A7">
        <w:t xml:space="preserve"> in New Zealand</w:t>
      </w:r>
      <w:r>
        <w:rPr>
          <w:lang w:eastAsia="en-AU"/>
        </w:rPr>
        <w:t>.</w:t>
      </w:r>
    </w:p>
    <w:p w14:paraId="76D37978" w14:textId="7B95386C" w:rsidR="00D21FB8" w:rsidRDefault="005B262C" w:rsidP="006504F9">
      <w:pPr>
        <w:rPr>
          <w:lang w:eastAsia="en-AU"/>
        </w:rPr>
      </w:pPr>
      <w:r>
        <w:rPr>
          <w:lang w:eastAsia="en-AU"/>
        </w:rPr>
        <w:t>W</w:t>
      </w:r>
      <w:r w:rsidR="00D21FB8">
        <w:rPr>
          <w:lang w:eastAsia="en-AU"/>
        </w:rPr>
        <w:t xml:space="preserve">hile </w:t>
      </w:r>
      <w:r w:rsidR="00B450C2">
        <w:rPr>
          <w:lang w:eastAsia="en-AU"/>
        </w:rPr>
        <w:t xml:space="preserve">recognising </w:t>
      </w:r>
      <w:r w:rsidR="00B75AD4">
        <w:rPr>
          <w:lang w:eastAsia="en-AU"/>
        </w:rPr>
        <w:t xml:space="preserve">that there are many similarities in the risks associated with </w:t>
      </w:r>
      <w:r w:rsidR="00D21FB8">
        <w:rPr>
          <w:lang w:eastAsia="en-AU"/>
        </w:rPr>
        <w:t xml:space="preserve">oral contraceptive </w:t>
      </w:r>
      <w:r w:rsidR="00B75AD4">
        <w:rPr>
          <w:lang w:eastAsia="en-AU"/>
        </w:rPr>
        <w:t xml:space="preserve">substances, </w:t>
      </w:r>
      <w:r w:rsidR="00D21FB8">
        <w:rPr>
          <w:lang w:eastAsia="en-AU"/>
        </w:rPr>
        <w:t xml:space="preserve">I have also considered </w:t>
      </w:r>
      <w:r>
        <w:rPr>
          <w:lang w:eastAsia="en-AU"/>
        </w:rPr>
        <w:t xml:space="preserve">individual </w:t>
      </w:r>
      <w:r w:rsidR="00D21FB8">
        <w:rPr>
          <w:lang w:eastAsia="en-AU"/>
        </w:rPr>
        <w:t>substance</w:t>
      </w:r>
      <w:r w:rsidR="00897020">
        <w:rPr>
          <w:lang w:eastAsia="en-AU"/>
        </w:rPr>
        <w:t>s</w:t>
      </w:r>
      <w:r w:rsidR="00D21FB8">
        <w:rPr>
          <w:lang w:eastAsia="en-AU"/>
        </w:rPr>
        <w:t xml:space="preserve">, </w:t>
      </w:r>
      <w:r w:rsidR="00897020">
        <w:rPr>
          <w:lang w:eastAsia="en-AU"/>
        </w:rPr>
        <w:t xml:space="preserve">and </w:t>
      </w:r>
      <w:r w:rsidR="00D21FB8">
        <w:rPr>
          <w:lang w:eastAsia="en-AU"/>
        </w:rPr>
        <w:t>group</w:t>
      </w:r>
      <w:r w:rsidR="00897020">
        <w:rPr>
          <w:lang w:eastAsia="en-AU"/>
        </w:rPr>
        <w:t>s</w:t>
      </w:r>
      <w:r w:rsidR="00D21FB8">
        <w:rPr>
          <w:lang w:eastAsia="en-AU"/>
        </w:rPr>
        <w:t xml:space="preserve"> of substances, </w:t>
      </w:r>
      <w:r w:rsidR="00897020">
        <w:rPr>
          <w:lang w:eastAsia="en-AU"/>
        </w:rPr>
        <w:t xml:space="preserve">to ensure due </w:t>
      </w:r>
      <w:r w:rsidR="00D21FB8">
        <w:rPr>
          <w:lang w:eastAsia="en-AU"/>
        </w:rPr>
        <w:t xml:space="preserve">consideration </w:t>
      </w:r>
      <w:r w:rsidR="00897020">
        <w:rPr>
          <w:lang w:eastAsia="en-AU"/>
        </w:rPr>
        <w:t xml:space="preserve">of </w:t>
      </w:r>
      <w:r w:rsidR="00584013">
        <w:rPr>
          <w:lang w:eastAsia="en-AU"/>
        </w:rPr>
        <w:t>each</w:t>
      </w:r>
      <w:r w:rsidR="00897020">
        <w:rPr>
          <w:lang w:eastAsia="en-AU"/>
        </w:rPr>
        <w:t xml:space="preserve"> </w:t>
      </w:r>
      <w:r w:rsidR="00D21FB8">
        <w:rPr>
          <w:lang w:eastAsia="en-AU"/>
        </w:rPr>
        <w:t xml:space="preserve">against the </w:t>
      </w:r>
      <w:r w:rsidR="00B23D37">
        <w:rPr>
          <w:lang w:eastAsia="en-AU"/>
        </w:rPr>
        <w:t>s</w:t>
      </w:r>
      <w:r w:rsidR="00D21FB8">
        <w:rPr>
          <w:lang w:eastAsia="en-AU"/>
        </w:rPr>
        <w:t xml:space="preserve">cheduling factors. </w:t>
      </w:r>
      <w:r w:rsidR="00150C4B">
        <w:rPr>
          <w:lang w:eastAsia="en-AU"/>
        </w:rPr>
        <w:t xml:space="preserve">As such, </w:t>
      </w:r>
      <w:r w:rsidR="00D21FB8">
        <w:rPr>
          <w:lang w:eastAsia="en-AU"/>
        </w:rPr>
        <w:t xml:space="preserve">I note that the public submissions and </w:t>
      </w:r>
      <w:r w:rsidR="00B75AD4">
        <w:rPr>
          <w:lang w:eastAsia="en-AU"/>
        </w:rPr>
        <w:t xml:space="preserve">the </w:t>
      </w:r>
      <w:r w:rsidR="00D21FB8">
        <w:rPr>
          <w:lang w:eastAsia="en-AU"/>
        </w:rPr>
        <w:t>Committee</w:t>
      </w:r>
      <w:r w:rsidR="004206E2">
        <w:rPr>
          <w:lang w:eastAsia="en-AU"/>
        </w:rPr>
        <w:t>’s</w:t>
      </w:r>
      <w:r w:rsidR="00B23D37">
        <w:rPr>
          <w:lang w:eastAsia="en-AU"/>
        </w:rPr>
        <w:t xml:space="preserve"> advice</w:t>
      </w:r>
      <w:r w:rsidR="00D21FB8">
        <w:rPr>
          <w:lang w:eastAsia="en-AU"/>
        </w:rPr>
        <w:t xml:space="preserve"> highlighted several substances </w:t>
      </w:r>
      <w:r w:rsidR="00490B4F">
        <w:rPr>
          <w:lang w:eastAsia="en-AU"/>
        </w:rPr>
        <w:t>that have</w:t>
      </w:r>
      <w:r w:rsidR="00D21FB8">
        <w:rPr>
          <w:lang w:eastAsia="en-AU"/>
        </w:rPr>
        <w:t xml:space="preserve"> distinct safety profiles</w:t>
      </w:r>
      <w:r w:rsidR="00A72BA8">
        <w:rPr>
          <w:lang w:eastAsia="en-AU"/>
        </w:rPr>
        <w:t xml:space="preserve"> or indications</w:t>
      </w:r>
      <w:r w:rsidR="00D21FB8">
        <w:rPr>
          <w:lang w:eastAsia="en-AU"/>
        </w:rPr>
        <w:t>:</w:t>
      </w:r>
    </w:p>
    <w:p w14:paraId="29E7F525" w14:textId="40053324" w:rsidR="00D21FB8" w:rsidRDefault="00D21FB8" w:rsidP="006504F9">
      <w:pPr>
        <w:pStyle w:val="ListBullet"/>
        <w:rPr>
          <w:lang w:eastAsia="en-AU"/>
        </w:rPr>
      </w:pPr>
      <w:r>
        <w:rPr>
          <w:lang w:eastAsia="en-AU"/>
        </w:rPr>
        <w:t xml:space="preserve">Second generation oral contraceptive pills, containing </w:t>
      </w:r>
      <w:proofErr w:type="spellStart"/>
      <w:r>
        <w:rPr>
          <w:lang w:eastAsia="en-AU"/>
        </w:rPr>
        <w:t>ethinylestradiol</w:t>
      </w:r>
      <w:proofErr w:type="spellEnd"/>
      <w:r>
        <w:rPr>
          <w:lang w:eastAsia="en-AU"/>
        </w:rPr>
        <w:t xml:space="preserve"> in combination with norethisterone or levonorgestrel, have the lowest thrombosis risk</w:t>
      </w:r>
      <w:r>
        <w:rPr>
          <w:rStyle w:val="FootnoteReference"/>
          <w:lang w:eastAsia="en-AU"/>
        </w:rPr>
        <w:footnoteReference w:id="2"/>
      </w:r>
      <w:r>
        <w:rPr>
          <w:lang w:eastAsia="en-AU"/>
        </w:rPr>
        <w:t xml:space="preserve"> and are generally considered to be the ‘gold standard’ in relation to </w:t>
      </w:r>
      <w:r w:rsidR="00B23D37">
        <w:rPr>
          <w:lang w:eastAsia="en-AU"/>
        </w:rPr>
        <w:t xml:space="preserve">their </w:t>
      </w:r>
      <w:r>
        <w:rPr>
          <w:lang w:eastAsia="en-AU"/>
        </w:rPr>
        <w:t>safety</w:t>
      </w:r>
      <w:r w:rsidR="00B23D37">
        <w:rPr>
          <w:lang w:eastAsia="en-AU"/>
        </w:rPr>
        <w:t xml:space="preserve"> profile</w:t>
      </w:r>
      <w:r>
        <w:rPr>
          <w:lang w:eastAsia="en-AU"/>
        </w:rPr>
        <w:t>. However, the seriousness, severity and frequency of adverse effects/interactions are such that monitoring by a medical practitioner is required.</w:t>
      </w:r>
    </w:p>
    <w:p w14:paraId="42B44C5B" w14:textId="45FB5F19" w:rsidR="00D21FB8" w:rsidRDefault="00D21FB8" w:rsidP="006504F9">
      <w:pPr>
        <w:pStyle w:val="ListBullet"/>
        <w:rPr>
          <w:lang w:eastAsia="en-AU"/>
        </w:rPr>
      </w:pPr>
      <w:r>
        <w:rPr>
          <w:lang w:eastAsia="en-AU"/>
        </w:rPr>
        <w:t xml:space="preserve">Cyproterone-containing pills have efficacy as oral contraceptives, but </w:t>
      </w:r>
      <w:r w:rsidR="00733C5F">
        <w:rPr>
          <w:lang w:eastAsia="en-AU"/>
        </w:rPr>
        <w:t>their</w:t>
      </w:r>
      <w:r>
        <w:rPr>
          <w:lang w:eastAsia="en-AU"/>
        </w:rPr>
        <w:t xml:space="preserve"> primary indication</w:t>
      </w:r>
      <w:r w:rsidR="00733C5F">
        <w:rPr>
          <w:lang w:eastAsia="en-AU"/>
        </w:rPr>
        <w:t xml:space="preserve"> is</w:t>
      </w:r>
      <w:r>
        <w:rPr>
          <w:lang w:eastAsia="en-AU"/>
        </w:rPr>
        <w:t xml:space="preserve"> for treating acne and hirsutism. These conditions require consultation with a medical practitioner.</w:t>
      </w:r>
    </w:p>
    <w:p w14:paraId="19E21694" w14:textId="689027D8" w:rsidR="00D21FB8" w:rsidRDefault="00D21FB8" w:rsidP="006504F9">
      <w:pPr>
        <w:pStyle w:val="ListBullet"/>
        <w:rPr>
          <w:lang w:eastAsia="en-AU"/>
        </w:rPr>
      </w:pPr>
      <w:r>
        <w:rPr>
          <w:lang w:eastAsia="en-AU"/>
        </w:rPr>
        <w:t xml:space="preserve">Mestranol-containing pills are rarely prescribed in Australia. </w:t>
      </w:r>
      <w:r w:rsidR="00B75AD4">
        <w:rPr>
          <w:lang w:eastAsia="en-AU"/>
        </w:rPr>
        <w:t xml:space="preserve">These </w:t>
      </w:r>
      <w:r>
        <w:rPr>
          <w:lang w:eastAsia="en-AU"/>
        </w:rPr>
        <w:t>products have been discontinued in the United States and Canada. The risk profile</w:t>
      </w:r>
      <w:r w:rsidR="00203523">
        <w:rPr>
          <w:lang w:eastAsia="en-AU"/>
        </w:rPr>
        <w:t>s</w:t>
      </w:r>
      <w:r>
        <w:rPr>
          <w:lang w:eastAsia="en-AU"/>
        </w:rPr>
        <w:t xml:space="preserve"> of these medicines are not well defined.</w:t>
      </w:r>
    </w:p>
    <w:p w14:paraId="15C90035" w14:textId="4FDD77AE" w:rsidR="00D21FB8" w:rsidRDefault="00D21FB8" w:rsidP="006504F9">
      <w:pPr>
        <w:rPr>
          <w:lang w:eastAsia="en-AU"/>
        </w:rPr>
      </w:pPr>
      <w:r>
        <w:rPr>
          <w:lang w:eastAsia="en-AU"/>
        </w:rPr>
        <w:lastRenderedPageBreak/>
        <w:t>I am satisfied that the</w:t>
      </w:r>
      <w:r w:rsidR="00B75AD4">
        <w:rPr>
          <w:lang w:eastAsia="en-AU"/>
        </w:rPr>
        <w:t xml:space="preserve"> common and substance specific</w:t>
      </w:r>
      <w:r>
        <w:rPr>
          <w:lang w:eastAsia="en-AU"/>
        </w:rPr>
        <w:t xml:space="preserve"> risks and indications </w:t>
      </w:r>
      <w:r w:rsidR="0055653E">
        <w:rPr>
          <w:lang w:eastAsia="en-AU"/>
        </w:rPr>
        <w:t>are consistent with my finding</w:t>
      </w:r>
      <w:r>
        <w:rPr>
          <w:lang w:eastAsia="en-AU"/>
        </w:rPr>
        <w:t xml:space="preserve"> that </w:t>
      </w:r>
      <w:r w:rsidR="00B75AD4">
        <w:rPr>
          <w:lang w:eastAsia="en-AU"/>
        </w:rPr>
        <w:t>use of these oral contraceptive substance requires management by a medical practitioner.</w:t>
      </w:r>
    </w:p>
    <w:p w14:paraId="58A84E7A" w14:textId="406E71C1" w:rsidR="006F1B71" w:rsidRDefault="006F1B71" w:rsidP="00023551">
      <w:pPr>
        <w:rPr>
          <w:lang w:eastAsia="en-AU"/>
        </w:rPr>
      </w:pPr>
      <w:r>
        <w:rPr>
          <w:lang w:eastAsia="en-AU"/>
        </w:rPr>
        <w:t>In considering whether</w:t>
      </w:r>
      <w:r w:rsidR="00F12C2F">
        <w:rPr>
          <w:lang w:eastAsia="en-AU"/>
        </w:rPr>
        <w:t xml:space="preserve"> any other public health considerations warrant</w:t>
      </w:r>
      <w:r w:rsidR="004449A1">
        <w:rPr>
          <w:lang w:eastAsia="en-AU"/>
        </w:rPr>
        <w:t xml:space="preserve"> over the counter supply of these substances,</w:t>
      </w:r>
      <w:r w:rsidR="00E0394D">
        <w:rPr>
          <w:lang w:eastAsia="en-AU"/>
        </w:rPr>
        <w:t xml:space="preserve"> I </w:t>
      </w:r>
      <w:r w:rsidR="00CC02EB">
        <w:rPr>
          <w:lang w:eastAsia="en-AU"/>
        </w:rPr>
        <w:t>note that</w:t>
      </w:r>
      <w:r>
        <w:rPr>
          <w:lang w:eastAsia="en-AU"/>
        </w:rPr>
        <w:t xml:space="preserve"> timely acce</w:t>
      </w:r>
      <w:r w:rsidR="00EE3F64">
        <w:rPr>
          <w:lang w:eastAsia="en-AU"/>
        </w:rPr>
        <w:t xml:space="preserve">ss to contraceptives may prevent unintended pregnancies </w:t>
      </w:r>
      <w:r w:rsidR="00E85184">
        <w:rPr>
          <w:lang w:eastAsia="en-AU"/>
        </w:rPr>
        <w:t>and improve the health, well-being and choices available to women</w:t>
      </w:r>
      <w:r>
        <w:rPr>
          <w:lang w:eastAsia="en-AU"/>
        </w:rPr>
        <w:t xml:space="preserve">. </w:t>
      </w:r>
      <w:r w:rsidR="00E0394D">
        <w:rPr>
          <w:lang w:eastAsia="en-AU"/>
        </w:rPr>
        <w:t xml:space="preserve">Improving access to </w:t>
      </w:r>
      <w:r w:rsidR="00E85184">
        <w:rPr>
          <w:lang w:eastAsia="en-AU"/>
        </w:rPr>
        <w:t xml:space="preserve">contraceptive </w:t>
      </w:r>
      <w:r w:rsidR="00E0394D">
        <w:rPr>
          <w:lang w:eastAsia="en-AU"/>
        </w:rPr>
        <w:t>options may</w:t>
      </w:r>
      <w:r w:rsidR="00E539F5">
        <w:rPr>
          <w:lang w:eastAsia="en-AU"/>
        </w:rPr>
        <w:t xml:space="preserve"> </w:t>
      </w:r>
      <w:r w:rsidR="005204C1">
        <w:rPr>
          <w:lang w:eastAsia="en-AU"/>
        </w:rPr>
        <w:t xml:space="preserve">particularly </w:t>
      </w:r>
      <w:r w:rsidR="004449A1">
        <w:rPr>
          <w:lang w:eastAsia="en-AU"/>
        </w:rPr>
        <w:t>assist</w:t>
      </w:r>
      <w:r w:rsidR="00E0394D">
        <w:rPr>
          <w:lang w:eastAsia="en-AU"/>
        </w:rPr>
        <w:t xml:space="preserve"> </w:t>
      </w:r>
      <w:r>
        <w:rPr>
          <w:lang w:eastAsia="en-AU"/>
        </w:rPr>
        <w:t xml:space="preserve">those that live in rural or remote areas </w:t>
      </w:r>
      <w:r w:rsidR="00E0394D">
        <w:rPr>
          <w:lang w:eastAsia="en-AU"/>
        </w:rPr>
        <w:t>with limited</w:t>
      </w:r>
      <w:r>
        <w:rPr>
          <w:lang w:eastAsia="en-AU"/>
        </w:rPr>
        <w:t xml:space="preserve"> access to GPs.</w:t>
      </w:r>
      <w:r w:rsidRPr="006F1B71">
        <w:rPr>
          <w:lang w:eastAsia="en-AU"/>
        </w:rPr>
        <w:t xml:space="preserve"> </w:t>
      </w:r>
      <w:r>
        <w:rPr>
          <w:lang w:eastAsia="en-AU"/>
        </w:rPr>
        <w:t xml:space="preserve">However, while there may </w:t>
      </w:r>
      <w:r w:rsidR="003F289F">
        <w:rPr>
          <w:lang w:eastAsia="en-AU"/>
        </w:rPr>
        <w:t>be</w:t>
      </w:r>
      <w:r w:rsidR="004449A1">
        <w:rPr>
          <w:lang w:eastAsia="en-AU"/>
        </w:rPr>
        <w:t xml:space="preserve"> prescriber access</w:t>
      </w:r>
      <w:r w:rsidR="00CF4EB8">
        <w:rPr>
          <w:lang w:eastAsia="en-AU"/>
        </w:rPr>
        <w:t xml:space="preserve"> challenges</w:t>
      </w:r>
      <w:r w:rsidR="004449A1">
        <w:rPr>
          <w:lang w:eastAsia="en-AU"/>
        </w:rPr>
        <w:t xml:space="preserve"> in some communities, I note the Committee’s findings that the proposed changes would not </w:t>
      </w:r>
      <w:r w:rsidR="00CF4EB8">
        <w:rPr>
          <w:lang w:eastAsia="en-AU"/>
        </w:rPr>
        <w:t xml:space="preserve">address these issues. I </w:t>
      </w:r>
      <w:r w:rsidR="003F289F">
        <w:rPr>
          <w:lang w:eastAsia="en-AU"/>
        </w:rPr>
        <w:t xml:space="preserve">also </w:t>
      </w:r>
      <w:r w:rsidR="00CF4EB8">
        <w:rPr>
          <w:lang w:eastAsia="en-AU"/>
        </w:rPr>
        <w:t xml:space="preserve">note that there are already mechanisms in place to allow for access to oral contraceptives without the need to physically visit a GP, including telehealth and emergency pharmacy supply arrangements of up to four </w:t>
      </w:r>
      <w:r w:rsidR="00CF442E">
        <w:rPr>
          <w:lang w:eastAsia="en-AU"/>
        </w:rPr>
        <w:t>months’</w:t>
      </w:r>
      <w:r w:rsidR="00CF4EB8">
        <w:rPr>
          <w:lang w:eastAsia="en-AU"/>
        </w:rPr>
        <w:t xml:space="preserve"> supply.</w:t>
      </w:r>
    </w:p>
    <w:p w14:paraId="5A40AB00" w14:textId="680ECD8E" w:rsidR="00CF4EB8" w:rsidRDefault="00CF4EB8" w:rsidP="00CF4EB8">
      <w:pPr>
        <w:rPr>
          <w:lang w:eastAsia="en-AU"/>
        </w:rPr>
      </w:pPr>
      <w:r>
        <w:rPr>
          <w:lang w:eastAsia="en-AU"/>
        </w:rPr>
        <w:t>On balance</w:t>
      </w:r>
      <w:r w:rsidR="003F289F">
        <w:rPr>
          <w:lang w:eastAsia="en-AU"/>
        </w:rPr>
        <w:t>,</w:t>
      </w:r>
      <w:r>
        <w:rPr>
          <w:lang w:eastAsia="en-AU"/>
        </w:rPr>
        <w:t xml:space="preserve"> I consider that the proposed changes would introduce new risks which outweigh the potential benefits.</w:t>
      </w:r>
    </w:p>
    <w:p w14:paraId="4FBE092D" w14:textId="1AF0B5A0" w:rsidR="0093479A" w:rsidRDefault="00E770C9" w:rsidP="00023551">
      <w:pPr>
        <w:rPr>
          <w:lang w:eastAsia="en-AU"/>
        </w:rPr>
      </w:pPr>
      <w:r>
        <w:rPr>
          <w:lang w:eastAsia="en-AU"/>
        </w:rPr>
        <w:t>I note that u</w:t>
      </w:r>
      <w:r w:rsidR="00172310">
        <w:rPr>
          <w:lang w:eastAsia="en-AU"/>
        </w:rPr>
        <w:t xml:space="preserve">nder current scheduling, patients visit their doctor on a yearly basis to </w:t>
      </w:r>
      <w:r w:rsidR="0004248D">
        <w:rPr>
          <w:lang w:eastAsia="en-AU"/>
        </w:rPr>
        <w:t>get prescriptions for</w:t>
      </w:r>
      <w:r w:rsidR="00172310">
        <w:rPr>
          <w:lang w:eastAsia="en-AU"/>
        </w:rPr>
        <w:t xml:space="preserve"> their medication.</w:t>
      </w:r>
      <w:r w:rsidR="00B37958">
        <w:rPr>
          <w:lang w:eastAsia="en-AU"/>
        </w:rPr>
        <w:t xml:space="preserve"> </w:t>
      </w:r>
      <w:r w:rsidR="00172310">
        <w:rPr>
          <w:lang w:eastAsia="en-AU"/>
        </w:rPr>
        <w:t>These</w:t>
      </w:r>
      <w:r w:rsidR="00B37958">
        <w:rPr>
          <w:lang w:eastAsia="en-AU"/>
        </w:rPr>
        <w:t xml:space="preserve"> </w:t>
      </w:r>
      <w:r w:rsidR="008748B7">
        <w:rPr>
          <w:lang w:eastAsia="en-AU"/>
        </w:rPr>
        <w:t>a</w:t>
      </w:r>
      <w:r w:rsidR="00126BFD">
        <w:rPr>
          <w:lang w:eastAsia="en-AU"/>
        </w:rPr>
        <w:t xml:space="preserve">nnual GP </w:t>
      </w:r>
      <w:r w:rsidR="00B37958">
        <w:rPr>
          <w:lang w:eastAsia="en-AU"/>
        </w:rPr>
        <w:t>visits allow women to review the most appropriate form of contraception for them</w:t>
      </w:r>
      <w:r>
        <w:rPr>
          <w:lang w:eastAsia="en-AU"/>
        </w:rPr>
        <w:t xml:space="preserve"> from a full range of </w:t>
      </w:r>
      <w:r w:rsidR="00B37958">
        <w:rPr>
          <w:lang w:eastAsia="en-AU"/>
        </w:rPr>
        <w:t>options</w:t>
      </w:r>
      <w:r>
        <w:rPr>
          <w:lang w:eastAsia="en-AU"/>
        </w:rPr>
        <w:t xml:space="preserve"> including </w:t>
      </w:r>
      <w:r w:rsidR="008204FA">
        <w:rPr>
          <w:lang w:eastAsia="en-AU"/>
        </w:rPr>
        <w:t>l</w:t>
      </w:r>
      <w:r w:rsidR="00543B60">
        <w:rPr>
          <w:lang w:eastAsia="en-AU"/>
        </w:rPr>
        <w:t>ong acting reversible contraceptives (LARCs)</w:t>
      </w:r>
      <w:r>
        <w:rPr>
          <w:lang w:eastAsia="en-AU"/>
        </w:rPr>
        <w:t>, which</w:t>
      </w:r>
      <w:r w:rsidR="00543B60">
        <w:rPr>
          <w:lang w:eastAsia="en-AU"/>
        </w:rPr>
        <w:t xml:space="preserve"> are increasingly recommended as the </w:t>
      </w:r>
      <w:r w:rsidR="00D26CD7">
        <w:rPr>
          <w:lang w:eastAsia="en-AU"/>
        </w:rPr>
        <w:t>first-line form of contraception</w:t>
      </w:r>
      <w:r>
        <w:rPr>
          <w:lang w:eastAsia="en-AU"/>
        </w:rPr>
        <w:t>.</w:t>
      </w:r>
      <w:r w:rsidR="00CF442E">
        <w:rPr>
          <w:lang w:eastAsia="en-AU"/>
        </w:rPr>
        <w:t xml:space="preserve"> </w:t>
      </w:r>
      <w:r w:rsidR="00BD141C">
        <w:rPr>
          <w:lang w:eastAsia="en-AU"/>
        </w:rPr>
        <w:t>By moving conversations about contraception to pharmacies,</w:t>
      </w:r>
      <w:r w:rsidR="00126BFD">
        <w:rPr>
          <w:lang w:eastAsia="en-AU"/>
        </w:rPr>
        <w:t xml:space="preserve"> </w:t>
      </w:r>
      <w:r>
        <w:rPr>
          <w:lang w:eastAsia="en-AU"/>
        </w:rPr>
        <w:t xml:space="preserve">I am concerned that </w:t>
      </w:r>
      <w:r w:rsidR="001B1060">
        <w:rPr>
          <w:lang w:eastAsia="en-AU"/>
        </w:rPr>
        <w:t xml:space="preserve">the proposals </w:t>
      </w:r>
      <w:r>
        <w:rPr>
          <w:lang w:eastAsia="en-AU"/>
        </w:rPr>
        <w:t xml:space="preserve">would impede </w:t>
      </w:r>
      <w:r w:rsidR="008204FA">
        <w:rPr>
          <w:lang w:eastAsia="en-AU"/>
        </w:rPr>
        <w:t xml:space="preserve">women from </w:t>
      </w:r>
      <w:r>
        <w:rPr>
          <w:lang w:eastAsia="en-AU"/>
        </w:rPr>
        <w:t xml:space="preserve">accessing the most </w:t>
      </w:r>
      <w:r w:rsidR="008204FA">
        <w:rPr>
          <w:lang w:eastAsia="en-AU"/>
        </w:rPr>
        <w:t>appropriate form of contraception</w:t>
      </w:r>
      <w:r>
        <w:rPr>
          <w:lang w:eastAsia="en-AU"/>
        </w:rPr>
        <w:t xml:space="preserve"> for their circumstances and individual risk factors</w:t>
      </w:r>
      <w:r w:rsidR="00661D3D">
        <w:rPr>
          <w:lang w:eastAsia="en-AU"/>
        </w:rPr>
        <w:t>.</w:t>
      </w:r>
    </w:p>
    <w:p w14:paraId="02C7E828" w14:textId="1F748A54" w:rsidR="00B07F0D" w:rsidRDefault="00A07E23" w:rsidP="00023551">
      <w:pPr>
        <w:rPr>
          <w:lang w:eastAsia="en-AU"/>
        </w:rPr>
      </w:pPr>
      <w:r>
        <w:rPr>
          <w:lang w:eastAsia="en-AU"/>
        </w:rPr>
        <w:t>The applicants have also proposed Appendix M entries. I note the</w:t>
      </w:r>
      <w:r w:rsidR="00E770C9">
        <w:rPr>
          <w:lang w:eastAsia="en-AU"/>
        </w:rPr>
        <w:t xml:space="preserve"> Committee</w:t>
      </w:r>
      <w:r>
        <w:rPr>
          <w:lang w:eastAsia="en-AU"/>
        </w:rPr>
        <w:t>’s advice</w:t>
      </w:r>
      <w:r w:rsidR="00E770C9">
        <w:rPr>
          <w:lang w:eastAsia="en-AU"/>
        </w:rPr>
        <w:t xml:space="preserve"> that</w:t>
      </w:r>
      <w:r w:rsidR="002164DF">
        <w:rPr>
          <w:lang w:eastAsia="en-AU"/>
        </w:rPr>
        <w:t xml:space="preserve"> </w:t>
      </w:r>
      <w:r w:rsidR="00E770C9">
        <w:rPr>
          <w:lang w:eastAsia="en-AU"/>
        </w:rPr>
        <w:t xml:space="preserve">it is not clear how </w:t>
      </w:r>
      <w:r>
        <w:rPr>
          <w:lang w:eastAsia="en-AU"/>
        </w:rPr>
        <w:t>these</w:t>
      </w:r>
      <w:r w:rsidR="002164DF">
        <w:rPr>
          <w:lang w:eastAsia="en-AU"/>
        </w:rPr>
        <w:t xml:space="preserve"> Appendix M entr</w:t>
      </w:r>
      <w:r w:rsidR="00BC18E0">
        <w:rPr>
          <w:lang w:eastAsia="en-AU"/>
        </w:rPr>
        <w:t>ies</w:t>
      </w:r>
      <w:r w:rsidR="00E770C9">
        <w:rPr>
          <w:lang w:eastAsia="en-AU"/>
        </w:rPr>
        <w:t xml:space="preserve"> could be implemented and enforced.</w:t>
      </w:r>
      <w:r w:rsidR="00BC18E0">
        <w:rPr>
          <w:lang w:eastAsia="en-AU"/>
        </w:rPr>
        <w:t xml:space="preserve"> </w:t>
      </w:r>
      <w:r w:rsidR="00B07F0D">
        <w:rPr>
          <w:lang w:eastAsia="en-AU"/>
        </w:rPr>
        <w:t xml:space="preserve">As such, </w:t>
      </w:r>
      <w:r>
        <w:rPr>
          <w:lang w:eastAsia="en-AU"/>
        </w:rPr>
        <w:t xml:space="preserve">I have concerns that </w:t>
      </w:r>
      <w:r w:rsidR="00B07F0D">
        <w:rPr>
          <w:lang w:eastAsia="en-AU"/>
        </w:rPr>
        <w:t>the</w:t>
      </w:r>
      <w:r w:rsidR="00F1270D">
        <w:rPr>
          <w:lang w:eastAsia="en-AU"/>
        </w:rPr>
        <w:t xml:space="preserve"> </w:t>
      </w:r>
      <w:r>
        <w:rPr>
          <w:lang w:eastAsia="en-AU"/>
        </w:rPr>
        <w:t xml:space="preserve">proposed </w:t>
      </w:r>
      <w:r w:rsidR="00F1270D">
        <w:rPr>
          <w:lang w:eastAsia="en-AU"/>
        </w:rPr>
        <w:t>amendments</w:t>
      </w:r>
      <w:r w:rsidR="00C02CF3">
        <w:rPr>
          <w:lang w:eastAsia="en-AU"/>
        </w:rPr>
        <w:t>,</w:t>
      </w:r>
      <w:r>
        <w:rPr>
          <w:lang w:eastAsia="en-AU"/>
        </w:rPr>
        <w:t xml:space="preserve"> including the potentially unenforceable Appendix M entries</w:t>
      </w:r>
      <w:r w:rsidR="00C02CF3">
        <w:rPr>
          <w:lang w:eastAsia="en-AU"/>
        </w:rPr>
        <w:t>,</w:t>
      </w:r>
      <w:r w:rsidR="00B07F0D">
        <w:rPr>
          <w:lang w:eastAsia="en-AU"/>
        </w:rPr>
        <w:t xml:space="preserve"> could lead to confusion among consumers, doctors and pharmacists, rather than achieve certainty and </w:t>
      </w:r>
      <w:r>
        <w:rPr>
          <w:lang w:eastAsia="en-AU"/>
        </w:rPr>
        <w:t>improved access</w:t>
      </w:r>
      <w:r w:rsidR="00B07F0D">
        <w:rPr>
          <w:lang w:eastAsia="en-AU"/>
        </w:rPr>
        <w:t>.</w:t>
      </w:r>
    </w:p>
    <w:p w14:paraId="703B0143" w14:textId="794FE4EF" w:rsidR="00BE2772" w:rsidRDefault="00BE2772" w:rsidP="00023551">
      <w:pPr>
        <w:rPr>
          <w:lang w:eastAsia="en-AU"/>
        </w:rPr>
      </w:pPr>
      <w:r>
        <w:rPr>
          <w:lang w:eastAsia="en-AU"/>
        </w:rPr>
        <w:t xml:space="preserve">I have </w:t>
      </w:r>
      <w:r w:rsidR="00A07E23">
        <w:rPr>
          <w:lang w:eastAsia="en-AU"/>
        </w:rPr>
        <w:t xml:space="preserve">also </w:t>
      </w:r>
      <w:r>
        <w:rPr>
          <w:lang w:eastAsia="en-AU"/>
        </w:rPr>
        <w:t xml:space="preserve">considered the 27 public submissions received during the </w:t>
      </w:r>
      <w:r w:rsidR="006A2F00">
        <w:rPr>
          <w:lang w:eastAsia="en-AU"/>
        </w:rPr>
        <w:t>pre-meeting public consultation, noting that support for rescheduling varied depending on the proposal and substance.</w:t>
      </w:r>
      <w:r w:rsidR="00CC02EB">
        <w:rPr>
          <w:lang w:eastAsia="en-AU"/>
        </w:rPr>
        <w:t xml:space="preserve"> Submissions outlined potential risks and benefits of the proposal</w:t>
      </w:r>
      <w:r w:rsidR="008577E2">
        <w:rPr>
          <w:lang w:eastAsia="en-AU"/>
        </w:rPr>
        <w:t>s</w:t>
      </w:r>
      <w:r w:rsidR="00CC02EB">
        <w:rPr>
          <w:lang w:eastAsia="en-AU"/>
        </w:rPr>
        <w:t xml:space="preserve"> from a wide range of perspectives. For example:</w:t>
      </w:r>
    </w:p>
    <w:p w14:paraId="265129B0" w14:textId="4C1C3421" w:rsidR="00CC02EB" w:rsidRDefault="00A42011" w:rsidP="006504F9">
      <w:pPr>
        <w:pStyle w:val="ListBullet"/>
        <w:rPr>
          <w:lang w:eastAsia="en-AU"/>
        </w:rPr>
      </w:pPr>
      <w:r>
        <w:rPr>
          <w:lang w:eastAsia="en-AU"/>
        </w:rPr>
        <w:t>The Australian Medical Association (AMA)</w:t>
      </w:r>
      <w:r w:rsidR="006F5F5D">
        <w:rPr>
          <w:rStyle w:val="FootnoteReference"/>
          <w:lang w:eastAsia="en-AU"/>
        </w:rPr>
        <w:footnoteReference w:id="3"/>
      </w:r>
      <w:r>
        <w:rPr>
          <w:lang w:eastAsia="en-AU"/>
        </w:rPr>
        <w:t xml:space="preserve"> noted that taking oral contraceptives is not without risks, and that other contraceptives such as LARCs should be promoted. Moreover, their use may mask particular medical conditions such as endometriosis, and supply</w:t>
      </w:r>
      <w:r w:rsidR="00995707">
        <w:rPr>
          <w:lang w:eastAsia="en-AU"/>
        </w:rPr>
        <w:t xml:space="preserve"> under Schedule 3</w:t>
      </w:r>
      <w:r>
        <w:rPr>
          <w:lang w:eastAsia="en-AU"/>
        </w:rPr>
        <w:t xml:space="preserve"> may fragment patient care by GPs. As such, the AMA expressed that they “vehemently” oppose both applications.</w:t>
      </w:r>
    </w:p>
    <w:p w14:paraId="2856FFA7" w14:textId="6CD12698" w:rsidR="00A42011" w:rsidRDefault="00A42011" w:rsidP="006504F9">
      <w:pPr>
        <w:pStyle w:val="ListBullet"/>
        <w:rPr>
          <w:lang w:eastAsia="en-AU"/>
        </w:rPr>
      </w:pPr>
      <w:r>
        <w:rPr>
          <w:lang w:eastAsia="en-AU"/>
        </w:rPr>
        <w:t>The Pharmaceutical Society of Australia</w:t>
      </w:r>
      <w:r w:rsidR="0089729B">
        <w:rPr>
          <w:lang w:eastAsia="en-AU"/>
        </w:rPr>
        <w:t xml:space="preserve"> (PSA)</w:t>
      </w:r>
      <w:r w:rsidR="006F5F5D">
        <w:rPr>
          <w:rStyle w:val="FootnoteReference"/>
          <w:lang w:eastAsia="en-AU"/>
        </w:rPr>
        <w:footnoteReference w:id="4"/>
      </w:r>
      <w:r w:rsidR="00F34ACE">
        <w:rPr>
          <w:lang w:eastAsia="en-AU"/>
        </w:rPr>
        <w:t xml:space="preserve"> noted that</w:t>
      </w:r>
      <w:r w:rsidR="003D40E9">
        <w:rPr>
          <w:lang w:eastAsia="en-AU"/>
        </w:rPr>
        <w:t>, after holding discussions with Applicant A,</w:t>
      </w:r>
      <w:r w:rsidR="00F34ACE">
        <w:rPr>
          <w:lang w:eastAsia="en-AU"/>
        </w:rPr>
        <w:t xml:space="preserve"> they had considered a preliminary outline </w:t>
      </w:r>
      <w:r w:rsidR="00F34ACE" w:rsidRPr="00F34ACE">
        <w:rPr>
          <w:lang w:eastAsia="en-AU"/>
        </w:rPr>
        <w:t>of</w:t>
      </w:r>
      <w:r w:rsidR="0064318E">
        <w:rPr>
          <w:lang w:eastAsia="en-AU"/>
        </w:rPr>
        <w:t xml:space="preserve"> a wide range of materials that would </w:t>
      </w:r>
      <w:r w:rsidR="00995707">
        <w:rPr>
          <w:lang w:eastAsia="en-AU"/>
        </w:rPr>
        <w:t xml:space="preserve">supplement </w:t>
      </w:r>
      <w:r w:rsidR="0064318E">
        <w:rPr>
          <w:lang w:eastAsia="en-AU"/>
        </w:rPr>
        <w:t>the i</w:t>
      </w:r>
      <w:r w:rsidR="0089729B">
        <w:rPr>
          <w:lang w:eastAsia="en-AU"/>
        </w:rPr>
        <w:t>mplementation</w:t>
      </w:r>
      <w:r w:rsidR="003D40E9">
        <w:rPr>
          <w:lang w:eastAsia="en-AU"/>
        </w:rPr>
        <w:t xml:space="preserve"> of this proposal</w:t>
      </w:r>
      <w:r w:rsidR="0089729B">
        <w:rPr>
          <w:lang w:eastAsia="en-AU"/>
        </w:rPr>
        <w:t>. The PSA did not support Application B – in part because they considered that the risk profile of several substances was unfavourable for Schedule 3 supply.</w:t>
      </w:r>
    </w:p>
    <w:p w14:paraId="2AA408E7" w14:textId="6E50A9CD" w:rsidR="00A42011" w:rsidRDefault="003D40E9" w:rsidP="0048485C">
      <w:pPr>
        <w:pStyle w:val="ListBullet"/>
        <w:rPr>
          <w:lang w:eastAsia="en-AU"/>
        </w:rPr>
      </w:pPr>
      <w:r>
        <w:rPr>
          <w:lang w:eastAsia="en-AU"/>
        </w:rPr>
        <w:t>Family Planning NSW</w:t>
      </w:r>
      <w:r w:rsidR="006F5F5D">
        <w:rPr>
          <w:rStyle w:val="FootnoteReference"/>
          <w:lang w:eastAsia="en-AU"/>
        </w:rPr>
        <w:footnoteReference w:id="5"/>
      </w:r>
      <w:r>
        <w:rPr>
          <w:lang w:eastAsia="en-AU"/>
        </w:rPr>
        <w:t xml:space="preserve"> were broadly supportive of the proposed amendments</w:t>
      </w:r>
      <w:r w:rsidR="008577E2">
        <w:rPr>
          <w:lang w:eastAsia="en-AU"/>
        </w:rPr>
        <w:t xml:space="preserve"> listed in both applications</w:t>
      </w:r>
      <w:r>
        <w:rPr>
          <w:lang w:eastAsia="en-AU"/>
        </w:rPr>
        <w:t xml:space="preserve">, but identified a wide range of specific concerns and areas for clarification. </w:t>
      </w:r>
      <w:r>
        <w:rPr>
          <w:lang w:eastAsia="en-AU"/>
        </w:rPr>
        <w:lastRenderedPageBreak/>
        <w:t>Alongside their position, they noted that pharmacist provision should not replace ongoing care by medical practitioners</w:t>
      </w:r>
      <w:r w:rsidR="008577E2">
        <w:rPr>
          <w:lang w:eastAsia="en-AU"/>
        </w:rPr>
        <w:t xml:space="preserve"> –</w:t>
      </w:r>
      <w:r>
        <w:rPr>
          <w:lang w:eastAsia="en-AU"/>
        </w:rPr>
        <w:t xml:space="preserve"> and that several </w:t>
      </w:r>
      <w:r w:rsidR="008577E2">
        <w:rPr>
          <w:lang w:eastAsia="en-AU"/>
        </w:rPr>
        <w:t>resources</w:t>
      </w:r>
      <w:r>
        <w:rPr>
          <w:lang w:eastAsia="en-AU"/>
        </w:rPr>
        <w:t xml:space="preserve"> </w:t>
      </w:r>
      <w:r w:rsidR="00DA6CA4">
        <w:rPr>
          <w:lang w:eastAsia="en-AU"/>
        </w:rPr>
        <w:t xml:space="preserve">would need to be developed, </w:t>
      </w:r>
      <w:r w:rsidR="008577E2">
        <w:rPr>
          <w:lang w:eastAsia="en-AU"/>
        </w:rPr>
        <w:t>and mechanisms</w:t>
      </w:r>
      <w:r w:rsidR="00DA6CA4">
        <w:rPr>
          <w:lang w:eastAsia="en-AU"/>
        </w:rPr>
        <w:t xml:space="preserve"> put in place,</w:t>
      </w:r>
      <w:r w:rsidR="008577E2">
        <w:rPr>
          <w:lang w:eastAsia="en-AU"/>
        </w:rPr>
        <w:t xml:space="preserve"> </w:t>
      </w:r>
      <w:r w:rsidR="00F432F8">
        <w:rPr>
          <w:lang w:eastAsia="en-AU"/>
        </w:rPr>
        <w:t>to ensure safe implementation.</w:t>
      </w:r>
    </w:p>
    <w:p w14:paraId="3C94AEBE" w14:textId="3727B665" w:rsidR="004A17A8" w:rsidRPr="00E441CB" w:rsidRDefault="008577E2" w:rsidP="0048485C">
      <w:r>
        <w:rPr>
          <w:lang w:eastAsia="en-AU"/>
        </w:rPr>
        <w:t xml:space="preserve">On balance, I consider that </w:t>
      </w:r>
      <w:r w:rsidR="00CB3482">
        <w:rPr>
          <w:lang w:eastAsia="en-AU"/>
        </w:rPr>
        <w:t xml:space="preserve">neither </w:t>
      </w:r>
      <w:r w:rsidR="00A07E23">
        <w:rPr>
          <w:lang w:eastAsia="en-AU"/>
        </w:rPr>
        <w:t>applicant</w:t>
      </w:r>
      <w:r w:rsidR="00C02CF3">
        <w:rPr>
          <w:lang w:eastAsia="en-AU"/>
        </w:rPr>
        <w:t>’</w:t>
      </w:r>
      <w:r w:rsidR="00A07E23">
        <w:rPr>
          <w:lang w:eastAsia="en-AU"/>
        </w:rPr>
        <w:t xml:space="preserve">s </w:t>
      </w:r>
      <w:r w:rsidR="00CB3482">
        <w:rPr>
          <w:lang w:eastAsia="en-AU"/>
        </w:rPr>
        <w:t>proposal can be implemented at this time</w:t>
      </w:r>
      <w:r w:rsidR="00995707">
        <w:rPr>
          <w:lang w:eastAsia="en-AU"/>
        </w:rPr>
        <w:t xml:space="preserve"> and that the risks in doing so outweigh the benefits</w:t>
      </w:r>
      <w:r w:rsidR="00CB3482">
        <w:rPr>
          <w:lang w:eastAsia="en-AU"/>
        </w:rPr>
        <w:t xml:space="preserve">. </w:t>
      </w:r>
      <w:r w:rsidR="00F11D9E">
        <w:rPr>
          <w:lang w:eastAsia="en-AU"/>
        </w:rPr>
        <w:t xml:space="preserve">All </w:t>
      </w:r>
      <w:r w:rsidR="009360CE">
        <w:rPr>
          <w:lang w:eastAsia="en-AU"/>
        </w:rPr>
        <w:t>eleven substances</w:t>
      </w:r>
      <w:r w:rsidR="00F11D9E">
        <w:rPr>
          <w:lang w:eastAsia="en-AU"/>
        </w:rPr>
        <w:t xml:space="preserve"> are associated with </w:t>
      </w:r>
      <w:r w:rsidR="00995707">
        <w:rPr>
          <w:lang w:eastAsia="en-AU"/>
        </w:rPr>
        <w:t>risk</w:t>
      </w:r>
      <w:r w:rsidR="00DF3819">
        <w:rPr>
          <w:lang w:eastAsia="en-AU"/>
        </w:rPr>
        <w:t>s</w:t>
      </w:r>
      <w:r w:rsidR="00995707">
        <w:rPr>
          <w:lang w:eastAsia="en-AU"/>
        </w:rPr>
        <w:t xml:space="preserve"> of </w:t>
      </w:r>
      <w:r w:rsidR="00F11D9E">
        <w:rPr>
          <w:lang w:eastAsia="en-AU"/>
        </w:rPr>
        <w:t xml:space="preserve">significant </w:t>
      </w:r>
      <w:r w:rsidR="00EE3F64">
        <w:rPr>
          <w:lang w:eastAsia="en-AU"/>
        </w:rPr>
        <w:t>adverse effects, interactions and contraindications</w:t>
      </w:r>
      <w:r w:rsidR="00F11D9E">
        <w:rPr>
          <w:lang w:eastAsia="en-AU"/>
        </w:rPr>
        <w:t xml:space="preserve"> that require </w:t>
      </w:r>
      <w:r w:rsidR="00A07E23">
        <w:rPr>
          <w:lang w:eastAsia="en-AU"/>
        </w:rPr>
        <w:t xml:space="preserve">regular </w:t>
      </w:r>
      <w:r w:rsidR="00F11D9E">
        <w:rPr>
          <w:lang w:eastAsia="en-AU"/>
        </w:rPr>
        <w:t xml:space="preserve">review </w:t>
      </w:r>
      <w:r w:rsidR="00F1270D">
        <w:rPr>
          <w:lang w:eastAsia="en-AU"/>
        </w:rPr>
        <w:t xml:space="preserve">by </w:t>
      </w:r>
      <w:r w:rsidR="00F11D9E">
        <w:rPr>
          <w:lang w:eastAsia="en-AU"/>
        </w:rPr>
        <w:t>a doctor</w:t>
      </w:r>
      <w:r w:rsidR="00062F79">
        <w:rPr>
          <w:lang w:eastAsia="en-AU"/>
        </w:rPr>
        <w:t xml:space="preserve"> – and</w:t>
      </w:r>
      <w:r w:rsidR="009360CE">
        <w:rPr>
          <w:lang w:eastAsia="en-AU"/>
        </w:rPr>
        <w:t xml:space="preserve"> their inclusion in Schedule 3 would put </w:t>
      </w:r>
      <w:r w:rsidR="00995707">
        <w:rPr>
          <w:lang w:eastAsia="en-AU"/>
        </w:rPr>
        <w:t xml:space="preserve">many </w:t>
      </w:r>
      <w:r w:rsidR="009360CE">
        <w:rPr>
          <w:lang w:eastAsia="en-AU"/>
        </w:rPr>
        <w:t>Australian women at unnecessary risk</w:t>
      </w:r>
      <w:r w:rsidR="00F11D9E">
        <w:rPr>
          <w:lang w:eastAsia="en-AU"/>
        </w:rPr>
        <w:t xml:space="preserve">. While there </w:t>
      </w:r>
      <w:r w:rsidR="008D5DCA">
        <w:rPr>
          <w:lang w:eastAsia="en-AU"/>
        </w:rPr>
        <w:t xml:space="preserve">are </w:t>
      </w:r>
      <w:r w:rsidR="00995707">
        <w:rPr>
          <w:lang w:eastAsia="en-AU"/>
        </w:rPr>
        <w:t xml:space="preserve">recognised </w:t>
      </w:r>
      <w:r w:rsidR="00F11D9E">
        <w:rPr>
          <w:lang w:eastAsia="en-AU"/>
        </w:rPr>
        <w:t xml:space="preserve">benefits to </w:t>
      </w:r>
      <w:r w:rsidR="009360CE">
        <w:rPr>
          <w:lang w:eastAsia="en-AU"/>
        </w:rPr>
        <w:t>widening the availability of</w:t>
      </w:r>
      <w:r w:rsidR="00F11D9E">
        <w:rPr>
          <w:lang w:eastAsia="en-AU"/>
        </w:rPr>
        <w:t xml:space="preserve"> </w:t>
      </w:r>
      <w:r w:rsidR="008D5DCA">
        <w:rPr>
          <w:lang w:eastAsia="en-AU"/>
        </w:rPr>
        <w:t xml:space="preserve">oral </w:t>
      </w:r>
      <w:r w:rsidR="00F11D9E">
        <w:rPr>
          <w:lang w:eastAsia="en-AU"/>
        </w:rPr>
        <w:t xml:space="preserve">contraceptives, </w:t>
      </w:r>
      <w:r w:rsidR="00A07E23">
        <w:rPr>
          <w:lang w:eastAsia="en-AU"/>
        </w:rPr>
        <w:t xml:space="preserve">I do not consider that </w:t>
      </w:r>
      <w:r w:rsidR="00F11D9E">
        <w:rPr>
          <w:lang w:eastAsia="en-AU"/>
        </w:rPr>
        <w:t xml:space="preserve">the proposals </w:t>
      </w:r>
      <w:r w:rsidR="00A07E23">
        <w:rPr>
          <w:lang w:eastAsia="en-AU"/>
        </w:rPr>
        <w:t>would</w:t>
      </w:r>
      <w:r w:rsidR="00F11D9E">
        <w:rPr>
          <w:lang w:eastAsia="en-AU"/>
        </w:rPr>
        <w:t xml:space="preserve"> </w:t>
      </w:r>
      <w:r w:rsidR="00A07E23">
        <w:rPr>
          <w:lang w:eastAsia="en-AU"/>
        </w:rPr>
        <w:t xml:space="preserve">significantly reduce </w:t>
      </w:r>
      <w:r w:rsidR="009360CE">
        <w:rPr>
          <w:lang w:eastAsia="en-AU"/>
        </w:rPr>
        <w:t xml:space="preserve">current barriers to access. </w:t>
      </w:r>
      <w:r w:rsidR="00EE3F64">
        <w:rPr>
          <w:lang w:eastAsia="en-AU"/>
        </w:rPr>
        <w:t xml:space="preserve">In making my decision, </w:t>
      </w:r>
      <w:r w:rsidR="009360CE">
        <w:rPr>
          <w:lang w:eastAsia="en-AU"/>
        </w:rPr>
        <w:t xml:space="preserve">I </w:t>
      </w:r>
      <w:r w:rsidR="00A07E23">
        <w:rPr>
          <w:lang w:eastAsia="en-AU"/>
        </w:rPr>
        <w:t xml:space="preserve">acknowledge </w:t>
      </w:r>
      <w:r w:rsidR="009360CE">
        <w:rPr>
          <w:lang w:eastAsia="en-AU"/>
        </w:rPr>
        <w:t xml:space="preserve">that timely access to contraceptives is vital to </w:t>
      </w:r>
      <w:r w:rsidR="00A07E23">
        <w:rPr>
          <w:lang w:eastAsia="en-AU"/>
        </w:rPr>
        <w:t xml:space="preserve">many </w:t>
      </w:r>
      <w:r w:rsidR="00324EEB">
        <w:rPr>
          <w:lang w:eastAsia="en-AU"/>
        </w:rPr>
        <w:t>women’s</w:t>
      </w:r>
      <w:r w:rsidR="009360CE">
        <w:rPr>
          <w:lang w:eastAsia="en-AU"/>
        </w:rPr>
        <w:t xml:space="preserve"> health and autonomy</w:t>
      </w:r>
      <w:r w:rsidR="00062F79">
        <w:rPr>
          <w:lang w:eastAsia="en-AU"/>
        </w:rPr>
        <w:t>;</w:t>
      </w:r>
      <w:r w:rsidR="00D35506">
        <w:rPr>
          <w:lang w:eastAsia="en-AU"/>
        </w:rPr>
        <w:t xml:space="preserve"> </w:t>
      </w:r>
      <w:r w:rsidR="00062F79">
        <w:rPr>
          <w:lang w:eastAsia="en-AU"/>
        </w:rPr>
        <w:t>h</w:t>
      </w:r>
      <w:r w:rsidR="009360CE">
        <w:rPr>
          <w:lang w:eastAsia="en-AU"/>
        </w:rPr>
        <w:t xml:space="preserve">owever, upon </w:t>
      </w:r>
      <w:r w:rsidR="00D35506">
        <w:rPr>
          <w:lang w:eastAsia="en-AU"/>
        </w:rPr>
        <w:t xml:space="preserve">careful </w:t>
      </w:r>
      <w:r w:rsidR="009360CE">
        <w:rPr>
          <w:lang w:eastAsia="en-AU"/>
        </w:rPr>
        <w:t>consideration of the risks and benefits,</w:t>
      </w:r>
      <w:r w:rsidR="009360CE" w:rsidRPr="009360CE">
        <w:rPr>
          <w:lang w:eastAsia="en-AU"/>
        </w:rPr>
        <w:t xml:space="preserve"> </w:t>
      </w:r>
      <w:r w:rsidR="009360CE">
        <w:rPr>
          <w:lang w:eastAsia="en-AU"/>
        </w:rPr>
        <w:t xml:space="preserve">I have </w:t>
      </w:r>
      <w:r w:rsidR="0004248D">
        <w:rPr>
          <w:lang w:eastAsia="en-AU"/>
        </w:rPr>
        <w:t>decided</w:t>
      </w:r>
      <w:r w:rsidR="009360CE">
        <w:rPr>
          <w:lang w:eastAsia="en-AU"/>
        </w:rPr>
        <w:t xml:space="preserve"> to retain the current scheduling of all eleven oral contraceptive substances.</w:t>
      </w:r>
    </w:p>
    <w:sectPr w:rsidR="004A17A8" w:rsidRPr="00E441CB" w:rsidSect="00CD1C8D">
      <w:headerReference w:type="first" r:id="rId20"/>
      <w:footerReference w:type="first" r:id="rId21"/>
      <w:type w:val="continuous"/>
      <w:pgSz w:w="11906" w:h="16838" w:code="9"/>
      <w:pgMar w:top="1530" w:right="1418" w:bottom="1361" w:left="1418" w:header="99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3BF9E" w14:textId="77777777" w:rsidR="00BD60CB" w:rsidRDefault="00BD60CB" w:rsidP="00C40A36">
      <w:pPr>
        <w:spacing w:after="0"/>
      </w:pPr>
      <w:r>
        <w:separator/>
      </w:r>
    </w:p>
    <w:p w14:paraId="1E1ACA9F" w14:textId="77777777" w:rsidR="00BD60CB" w:rsidRDefault="00BD60CB"/>
  </w:endnote>
  <w:endnote w:type="continuationSeparator" w:id="0">
    <w:p w14:paraId="0455F1EA" w14:textId="77777777" w:rsidR="00BD60CB" w:rsidRDefault="00BD60CB" w:rsidP="00C40A36">
      <w:pPr>
        <w:spacing w:after="0"/>
      </w:pPr>
      <w:r>
        <w:continuationSeparator/>
      </w:r>
    </w:p>
    <w:p w14:paraId="702E4139" w14:textId="77777777" w:rsidR="00BD60CB" w:rsidRDefault="00BD6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987184" w:rsidRPr="00257138" w14:paraId="4AF11DA5" w14:textId="77777777" w:rsidTr="00B5518D">
      <w:trPr>
        <w:trHeight w:val="189"/>
      </w:trPr>
      <w:tc>
        <w:tcPr>
          <w:tcW w:w="7338" w:type="dxa"/>
        </w:tcPr>
        <w:p w14:paraId="5F9340DC" w14:textId="4D7837D7" w:rsidR="00987184" w:rsidRPr="00257138" w:rsidRDefault="00987184" w:rsidP="0048485C">
          <w:pPr>
            <w:pStyle w:val="Footer"/>
          </w:pPr>
          <w:r>
            <w:t>Delegate’s interim decisions and reasons for decisions (</w:t>
          </w:r>
          <w:r w:rsidR="00E737D5">
            <w:t xml:space="preserve">oral contraceptive substances, </w:t>
          </w:r>
          <w:r>
            <w:t>ACMS#34, June 2021)</w:t>
          </w:r>
        </w:p>
      </w:tc>
      <w:tc>
        <w:tcPr>
          <w:tcW w:w="1382" w:type="dxa"/>
        </w:tcPr>
        <w:sdt>
          <w:sdtPr>
            <w:id w:val="602996628"/>
            <w:docPartObj>
              <w:docPartGallery w:val="Page Numbers (Top of Page)"/>
              <w:docPartUnique/>
            </w:docPartObj>
          </w:sdtPr>
          <w:sdtEndPr/>
          <w:sdtContent>
            <w:p w14:paraId="2F2C20BF" w14:textId="004973E3" w:rsidR="00987184" w:rsidRPr="00257138" w:rsidRDefault="00987184" w:rsidP="00987184">
              <w:pPr>
                <w:pStyle w:val="Footer"/>
                <w:jc w:val="right"/>
              </w:pPr>
              <w:r w:rsidRPr="00257138">
                <w:t xml:space="preserve">Page </w:t>
              </w:r>
              <w:r>
                <w:fldChar w:fldCharType="begin"/>
              </w:r>
              <w:r>
                <w:instrText xml:space="preserve"> PAGE </w:instrText>
              </w:r>
              <w:r>
                <w:fldChar w:fldCharType="separate"/>
              </w:r>
              <w:r w:rsidR="00144C2B">
                <w:rPr>
                  <w:noProof/>
                </w:rPr>
                <w:t>9</w:t>
              </w:r>
              <w:r>
                <w:rPr>
                  <w:noProof/>
                </w:rPr>
                <w:fldChar w:fldCharType="end"/>
              </w:r>
              <w:r w:rsidRPr="00257138">
                <w:t xml:space="preserve"> of </w:t>
              </w:r>
              <w:fldSimple w:instr=" NUMPAGES  ">
                <w:r w:rsidR="00144C2B">
                  <w:rPr>
                    <w:noProof/>
                  </w:rPr>
                  <w:t>9</w:t>
                </w:r>
              </w:fldSimple>
            </w:p>
          </w:sdtContent>
        </w:sdt>
      </w:tc>
    </w:tr>
  </w:tbl>
  <w:p w14:paraId="6E7E3FB0" w14:textId="77777777" w:rsidR="00F739D1" w:rsidRPr="00826007" w:rsidRDefault="00F739D1"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A70C2" w14:textId="77777777" w:rsidR="00F739D1" w:rsidRDefault="00F739D1"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A3B85" w14:textId="77777777" w:rsidR="00F739D1" w:rsidRPr="00F8404D" w:rsidRDefault="00F739D1"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B938B" w14:textId="77777777" w:rsidR="00BD60CB" w:rsidRDefault="00BD60CB" w:rsidP="00FE1941">
      <w:pPr>
        <w:spacing w:after="0"/>
      </w:pPr>
      <w:r>
        <w:separator/>
      </w:r>
    </w:p>
  </w:footnote>
  <w:footnote w:type="continuationSeparator" w:id="0">
    <w:p w14:paraId="6674B842" w14:textId="77777777" w:rsidR="00BD60CB" w:rsidRDefault="00BD60CB" w:rsidP="00C40A36">
      <w:pPr>
        <w:spacing w:after="0"/>
      </w:pPr>
      <w:r>
        <w:continuationSeparator/>
      </w:r>
    </w:p>
    <w:p w14:paraId="26CD997D" w14:textId="77777777" w:rsidR="00BD60CB" w:rsidRDefault="00BD60CB"/>
  </w:footnote>
  <w:footnote w:id="1">
    <w:p w14:paraId="052343D0" w14:textId="228F993C" w:rsidR="002217B7" w:rsidRPr="008748B7" w:rsidRDefault="002217B7">
      <w:pPr>
        <w:pStyle w:val="FootnoteText"/>
        <w:rPr>
          <w:sz w:val="16"/>
          <w:szCs w:val="16"/>
        </w:rPr>
      </w:pPr>
      <w:r w:rsidRPr="008748B7">
        <w:rPr>
          <w:rStyle w:val="FootnoteReference"/>
          <w:sz w:val="16"/>
          <w:szCs w:val="16"/>
        </w:rPr>
        <w:footnoteRef/>
      </w:r>
      <w:r w:rsidRPr="008748B7">
        <w:rPr>
          <w:sz w:val="16"/>
          <w:szCs w:val="16"/>
        </w:rPr>
        <w:t xml:space="preserve"> </w:t>
      </w:r>
      <w:hyperlink r:id="rId1" w:history="1">
        <w:r w:rsidRPr="008748B7">
          <w:rPr>
            <w:rStyle w:val="Hyperlink"/>
            <w:sz w:val="16"/>
            <w:szCs w:val="16"/>
          </w:rPr>
          <w:t>https://www.tga.gov.au/publication-issue/update-dienogest-and-risk-venous-thromboembolism</w:t>
        </w:r>
      </w:hyperlink>
    </w:p>
  </w:footnote>
  <w:footnote w:id="2">
    <w:p w14:paraId="4BCF14D9" w14:textId="577C1FD1" w:rsidR="00D21FB8" w:rsidRPr="008748B7" w:rsidRDefault="00D21FB8" w:rsidP="00D21FB8">
      <w:pPr>
        <w:pStyle w:val="FootnoteText"/>
        <w:rPr>
          <w:sz w:val="16"/>
          <w:szCs w:val="16"/>
        </w:rPr>
      </w:pPr>
      <w:r w:rsidRPr="008748B7">
        <w:rPr>
          <w:rStyle w:val="FootnoteReference"/>
          <w:sz w:val="16"/>
          <w:szCs w:val="16"/>
        </w:rPr>
        <w:footnoteRef/>
      </w:r>
      <w:r w:rsidRPr="008748B7">
        <w:rPr>
          <w:sz w:val="16"/>
          <w:szCs w:val="16"/>
        </w:rPr>
        <w:t xml:space="preserve"> </w:t>
      </w:r>
      <w:hyperlink r:id="rId2" w:history="1">
        <w:r w:rsidRPr="008748B7">
          <w:rPr>
            <w:rStyle w:val="Hyperlink"/>
            <w:sz w:val="16"/>
            <w:szCs w:val="16"/>
          </w:rPr>
          <w:t>https://www.tga.gov.au/publication-issue/update-dienogest-and-risk-venous-thromboembolism</w:t>
        </w:r>
      </w:hyperlink>
    </w:p>
  </w:footnote>
  <w:footnote w:id="3">
    <w:p w14:paraId="76C24782" w14:textId="3EA94DA0" w:rsidR="006F5F5D" w:rsidRPr="00166B78" w:rsidRDefault="006F5F5D" w:rsidP="006504F9">
      <w:pPr>
        <w:pStyle w:val="FootnoteText"/>
        <w:spacing w:line="240" w:lineRule="auto"/>
        <w:rPr>
          <w:sz w:val="16"/>
          <w:szCs w:val="16"/>
        </w:rPr>
      </w:pPr>
      <w:r w:rsidRPr="00166B78">
        <w:rPr>
          <w:rStyle w:val="FootnoteReference"/>
          <w:sz w:val="16"/>
          <w:szCs w:val="16"/>
        </w:rPr>
        <w:footnoteRef/>
      </w:r>
      <w:r w:rsidRPr="00166B78">
        <w:rPr>
          <w:sz w:val="16"/>
          <w:szCs w:val="16"/>
        </w:rPr>
        <w:t xml:space="preserve"> </w:t>
      </w:r>
      <w:hyperlink r:id="rId3" w:history="1">
        <w:r w:rsidRPr="00166B78">
          <w:rPr>
            <w:rStyle w:val="Hyperlink"/>
            <w:sz w:val="16"/>
            <w:szCs w:val="16"/>
          </w:rPr>
          <w:t>https://consultations.health.gov.au/tga/june_2021_acms_oral_contraceptives/user_uploads/ama-submission-to-the-tga---proposed-amendments-to-the-poisons-standard---june-2021-proposals---oral-contraceptives---final_redacted.pdf</w:t>
        </w:r>
      </w:hyperlink>
    </w:p>
  </w:footnote>
  <w:footnote w:id="4">
    <w:p w14:paraId="47AE3F66" w14:textId="16236378" w:rsidR="006F5F5D" w:rsidRPr="00166B78" w:rsidRDefault="006F5F5D" w:rsidP="006504F9">
      <w:pPr>
        <w:pStyle w:val="FootnoteText"/>
        <w:spacing w:line="240" w:lineRule="auto"/>
        <w:rPr>
          <w:sz w:val="16"/>
          <w:szCs w:val="16"/>
        </w:rPr>
      </w:pPr>
      <w:r w:rsidRPr="00166B78">
        <w:rPr>
          <w:rStyle w:val="FootnoteReference"/>
          <w:sz w:val="16"/>
          <w:szCs w:val="16"/>
        </w:rPr>
        <w:footnoteRef/>
      </w:r>
      <w:r w:rsidRPr="00166B78">
        <w:rPr>
          <w:sz w:val="16"/>
          <w:szCs w:val="16"/>
        </w:rPr>
        <w:t xml:space="preserve"> </w:t>
      </w:r>
      <w:hyperlink r:id="rId4" w:history="1">
        <w:r w:rsidRPr="00166B78">
          <w:rPr>
            <w:rStyle w:val="Hyperlink"/>
            <w:sz w:val="16"/>
            <w:szCs w:val="16"/>
          </w:rPr>
          <w:t>https://consultations.health.gov.au/tga/june_2021_acms_oral_contraceptives/user_uploads/</w:t>
        </w:r>
        <w:r w:rsidRPr="00166B78">
          <w:rPr>
            <w:rStyle w:val="Hyperlink"/>
            <w:sz w:val="16"/>
            <w:szCs w:val="16"/>
          </w:rPr>
          <w:br/>
          <w:t>2021may27_acms_oc_psa_sub_final_redacted.pdf</w:t>
        </w:r>
      </w:hyperlink>
    </w:p>
  </w:footnote>
  <w:footnote w:id="5">
    <w:p w14:paraId="0E718378" w14:textId="0FCCC122" w:rsidR="006F5F5D" w:rsidRDefault="006F5F5D">
      <w:pPr>
        <w:pStyle w:val="FootnoteText"/>
      </w:pPr>
      <w:r w:rsidRPr="00166B78">
        <w:rPr>
          <w:rStyle w:val="FootnoteReference"/>
          <w:sz w:val="16"/>
          <w:szCs w:val="16"/>
        </w:rPr>
        <w:footnoteRef/>
      </w:r>
      <w:r w:rsidRPr="00166B78">
        <w:rPr>
          <w:sz w:val="16"/>
          <w:szCs w:val="16"/>
        </w:rPr>
        <w:t xml:space="preserve"> </w:t>
      </w:r>
      <w:hyperlink r:id="rId5" w:history="1">
        <w:r w:rsidR="0048485C" w:rsidRPr="002855BB">
          <w:rPr>
            <w:rStyle w:val="Hyperlink"/>
            <w:sz w:val="16"/>
            <w:szCs w:val="16"/>
          </w:rPr>
          <w:t>https://consultations.health.gov.au/tga/june_2021_acms_oral_contraceptives/user_uploads</w:t>
        </w:r>
        <w:r w:rsidR="0048485C" w:rsidRPr="002855BB">
          <w:rPr>
            <w:rStyle w:val="Hyperlink"/>
            <w:sz w:val="16"/>
            <w:szCs w:val="16"/>
          </w:rPr>
          <w:br/>
          <w:t>submitted_fpnsw-public-consultation-on-proposed-amendments-to-the-poisons-standard--oral-contraceptives--26may2021.pdf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BC3B1" w14:textId="77777777" w:rsidR="00F739D1" w:rsidRPr="00920FF4" w:rsidRDefault="00F739D1"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36B8D" w14:textId="77777777" w:rsidR="00FF7B50" w:rsidRPr="00E32326" w:rsidRDefault="00F3255D" w:rsidP="00F202AB">
    <w:r w:rsidRPr="00F3255D">
      <w:rPr>
        <w:noProof/>
        <w:lang w:eastAsia="en-AU"/>
      </w:rPr>
      <w:drawing>
        <wp:anchor distT="0" distB="0" distL="114300" distR="114300" simplePos="0" relativeHeight="251659264" behindDoc="0" locked="0" layoutInCell="1" allowOverlap="1" wp14:anchorId="0A765D9D" wp14:editId="79F2036F">
          <wp:simplePos x="0" y="0"/>
          <wp:positionH relativeFrom="column">
            <wp:posOffset>-195580</wp:posOffset>
          </wp:positionH>
          <wp:positionV relativeFrom="paragraph">
            <wp:posOffset>-62230</wp:posOffset>
          </wp:positionV>
          <wp:extent cx="3524250" cy="1209675"/>
          <wp:effectExtent l="19050" t="0" r="0" b="0"/>
          <wp:wrapTopAndBottom/>
          <wp:docPr id="3"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1"/>
                  <a:srcRect/>
                  <a:stretch>
                    <a:fillRect/>
                  </a:stretch>
                </pic:blipFill>
                <pic:spPr bwMode="auto">
                  <a:xfrm>
                    <a:off x="0" y="0"/>
                    <a:ext cx="3524250" cy="1209675"/>
                  </a:xfrm>
                  <a:prstGeom prst="rect">
                    <a:avLst/>
                  </a:prstGeom>
                  <a:noFill/>
                  <a:ln w="9525">
                    <a:noFill/>
                    <a:miter lim="800000"/>
                    <a:headEnd/>
                    <a:tailEnd/>
                  </a:ln>
                </pic:spPr>
              </pic:pic>
            </a:graphicData>
          </a:graphic>
        </wp:anchor>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F7B50" w:rsidRPr="00FF7B50" w14:paraId="2738DE9F" w14:textId="77777777" w:rsidTr="002C6B85">
      <w:trPr>
        <w:trHeight w:hRule="exact" w:val="8845"/>
      </w:trPr>
      <w:tc>
        <w:tcPr>
          <w:tcW w:w="11964" w:type="dxa"/>
        </w:tcPr>
        <w:p w14:paraId="31F1E05B" w14:textId="77777777" w:rsidR="00FF7B50" w:rsidRPr="00FF7B50" w:rsidRDefault="00CF5C6A" w:rsidP="00AE0320">
          <w:pPr>
            <w:pStyle w:val="Header"/>
            <w:ind w:left="-57"/>
            <w:jc w:val="left"/>
            <w:rPr>
              <w:noProof/>
              <w:lang w:eastAsia="en-AU"/>
            </w:rPr>
          </w:pPr>
          <w:sdt>
            <w:sdtPr>
              <w:rPr>
                <w:noProof/>
                <w:lang w:eastAsia="en-AU"/>
              </w:rPr>
              <w:id w:val="3702145"/>
              <w:showingPlcHdr/>
              <w:picture/>
            </w:sdtPr>
            <w:sdtEndPr/>
            <w:sdtContent>
              <w:r w:rsidR="00FF7B50" w:rsidRPr="00FF7B50">
                <w:rPr>
                  <w:noProof/>
                  <w:lang w:eastAsia="en-AU"/>
                </w:rPr>
                <w:drawing>
                  <wp:inline distT="0" distB="0" distL="0" distR="0" wp14:anchorId="547AAA64" wp14:editId="00E79BEB">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14:paraId="4BC15240" w14:textId="77777777" w:rsidR="00F739D1" w:rsidRPr="00E32326" w:rsidRDefault="00FF7B50" w:rsidP="00F202AB">
    <w:r>
      <w:rPr>
        <w:noProof/>
        <w:lang w:eastAsia="en-AU"/>
      </w:rPr>
      <w:drawing>
        <wp:anchor distT="0" distB="0" distL="114300" distR="114300" simplePos="0" relativeHeight="251657216" behindDoc="0" locked="0" layoutInCell="0" allowOverlap="1" wp14:anchorId="505534D3" wp14:editId="6FD8742B">
          <wp:simplePos x="0" y="0"/>
          <wp:positionH relativeFrom="column">
            <wp:posOffset>-900430</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C1C8E" w14:textId="77777777" w:rsidR="0047772E" w:rsidRPr="009401F6" w:rsidRDefault="0047772E" w:rsidP="0047772E"/>
  <w:p w14:paraId="28504B54" w14:textId="77777777" w:rsidR="00F739D1" w:rsidRPr="002B0C2E" w:rsidRDefault="00F739D1"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5D2EA56"/>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ED1D3B"/>
    <w:multiLevelType w:val="multilevel"/>
    <w:tmpl w:val="C52A58DA"/>
    <w:lvl w:ilvl="0">
      <w:start w:val="1"/>
      <w:numFmt w:val="decimal"/>
      <w:pStyle w:val="Heading2"/>
      <w:lvlText w:val="%1."/>
      <w:lvlJc w:val="left"/>
      <w:pPr>
        <w:ind w:left="720" w:hanging="360"/>
      </w:pPr>
      <w:rPr>
        <w:i w:val="0"/>
      </w:rPr>
    </w:lvl>
    <w:lvl w:ilvl="1">
      <w:start w:val="1"/>
      <w:numFmt w:val="decimal"/>
      <w:pStyle w:val="Heading3"/>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B92256"/>
    <w:multiLevelType w:val="hybridMultilevel"/>
    <w:tmpl w:val="3536A2DC"/>
    <w:lvl w:ilvl="0" w:tplc="08090017">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10053F11"/>
    <w:multiLevelType w:val="multilevel"/>
    <w:tmpl w:val="34564E88"/>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68F13E9"/>
    <w:multiLevelType w:val="multilevel"/>
    <w:tmpl w:val="CB32B508"/>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15:restartNumberingAfterBreak="0">
    <w:nsid w:val="1AE04A9C"/>
    <w:multiLevelType w:val="hybridMultilevel"/>
    <w:tmpl w:val="3536A2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B44E74"/>
    <w:multiLevelType w:val="hybridMultilevel"/>
    <w:tmpl w:val="E64EE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1636E"/>
    <w:multiLevelType w:val="hybridMultilevel"/>
    <w:tmpl w:val="80FCC504"/>
    <w:lvl w:ilvl="0" w:tplc="9CC810EE">
      <w:start w:val="1"/>
      <w:numFmt w:val="lowerLetter"/>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1" w15:restartNumberingAfterBreak="0">
    <w:nsid w:val="390A6A8C"/>
    <w:multiLevelType w:val="hybridMultilevel"/>
    <w:tmpl w:val="80FCC504"/>
    <w:lvl w:ilvl="0" w:tplc="9CC810EE">
      <w:start w:val="1"/>
      <w:numFmt w:val="lowerLetter"/>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C62D26"/>
    <w:multiLevelType w:val="hybridMultilevel"/>
    <w:tmpl w:val="8D6AA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E35A0F"/>
    <w:multiLevelType w:val="hybridMultilevel"/>
    <w:tmpl w:val="72C424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133EBB"/>
    <w:multiLevelType w:val="hybridMultilevel"/>
    <w:tmpl w:val="6264FA32"/>
    <w:lvl w:ilvl="0" w:tplc="F462D6CE">
      <w:start w:val="1"/>
      <w:numFmt w:val="lowerLetter"/>
      <w:pStyle w:val="Numberbulleta"/>
      <w:lvlText w:val="%1)"/>
      <w:lvlJc w:val="left"/>
      <w:pPr>
        <w:ind w:left="786"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11560E"/>
    <w:multiLevelType w:val="hybridMultilevel"/>
    <w:tmpl w:val="80FCC504"/>
    <w:lvl w:ilvl="0" w:tplc="9CC810EE">
      <w:start w:val="1"/>
      <w:numFmt w:val="lowerLetter"/>
      <w:lvlText w:val="%1)"/>
      <w:lvlJc w:val="left"/>
      <w:pPr>
        <w:ind w:left="720" w:hanging="360"/>
      </w:pPr>
      <w:rPr>
        <w:rFonts w:hint="default"/>
        <w: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E351D8D"/>
    <w:multiLevelType w:val="hybridMultilevel"/>
    <w:tmpl w:val="D0AE63A4"/>
    <w:lvl w:ilvl="0" w:tplc="0A2CBBC2">
      <w:start w:val="1"/>
      <w:numFmt w:val="lowerLetter"/>
      <w:pStyle w:val="Numberbullet2"/>
      <w:lvlText w:val="%1)"/>
      <w:lvlJc w:val="left"/>
      <w:pPr>
        <w:ind w:left="1145" w:hanging="360"/>
      </w:pPr>
      <w:rPr>
        <w:rFonts w:hint="default"/>
        <w:i/>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7" w15:restartNumberingAfterBreak="0">
    <w:nsid w:val="587E33CC"/>
    <w:multiLevelType w:val="hybridMultilevel"/>
    <w:tmpl w:val="3536A2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4E30363"/>
    <w:multiLevelType w:val="hybridMultilevel"/>
    <w:tmpl w:val="34AE77F4"/>
    <w:lvl w:ilvl="0" w:tplc="DA82526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6"/>
  </w:num>
  <w:num w:numId="13">
    <w:abstractNumId w:val="6"/>
  </w:num>
  <w:num w:numId="14">
    <w:abstractNumId w:val="6"/>
  </w:num>
  <w:num w:numId="15">
    <w:abstractNumId w:val="5"/>
  </w:num>
  <w:num w:numId="16">
    <w:abstractNumId w:val="5"/>
  </w:num>
  <w:num w:numId="17">
    <w:abstractNumId w:val="5"/>
  </w:num>
  <w:num w:numId="18">
    <w:abstractNumId w:val="6"/>
  </w:num>
  <w:num w:numId="19">
    <w:abstractNumId w:val="6"/>
  </w:num>
  <w:num w:numId="20">
    <w:abstractNumId w:val="6"/>
  </w:num>
  <w:num w:numId="21">
    <w:abstractNumId w:val="5"/>
  </w:num>
  <w:num w:numId="22">
    <w:abstractNumId w:val="5"/>
  </w:num>
  <w:num w:numId="23">
    <w:abstractNumId w:val="5"/>
  </w:num>
  <w:num w:numId="24">
    <w:abstractNumId w:val="8"/>
  </w:num>
  <w:num w:numId="25">
    <w:abstractNumId w:val="6"/>
  </w:num>
  <w:num w:numId="26">
    <w:abstractNumId w:val="6"/>
  </w:num>
  <w:num w:numId="27">
    <w:abstractNumId w:val="6"/>
  </w:num>
  <w:num w:numId="28">
    <w:abstractNumId w:val="5"/>
  </w:num>
  <w:num w:numId="29">
    <w:abstractNumId w:val="5"/>
  </w:num>
  <w:num w:numId="30">
    <w:abstractNumId w:val="5"/>
  </w:num>
  <w:num w:numId="31">
    <w:abstractNumId w:val="10"/>
  </w:num>
  <w:num w:numId="32">
    <w:abstractNumId w:val="18"/>
  </w:num>
  <w:num w:numId="33">
    <w:abstractNumId w:val="3"/>
  </w:num>
  <w:num w:numId="34">
    <w:abstractNumId w:val="11"/>
  </w:num>
  <w:num w:numId="35">
    <w:abstractNumId w:val="16"/>
  </w:num>
  <w:num w:numId="36">
    <w:abstractNumId w:val="13"/>
  </w:num>
  <w:num w:numId="37">
    <w:abstractNumId w:val="15"/>
  </w:num>
  <w:num w:numId="38">
    <w:abstractNumId w:val="9"/>
  </w:num>
  <w:num w:numId="39">
    <w:abstractNumId w:val="17"/>
  </w:num>
  <w:num w:numId="40">
    <w:abstractNumId w:val="7"/>
  </w:num>
  <w:num w:numId="41">
    <w:abstractNumId w:val="4"/>
  </w:num>
  <w:num w:numId="42">
    <w:abstractNumId w:val="19"/>
  </w:num>
  <w:num w:numId="43">
    <w:abstractNumId w:val="6"/>
    <w:lvlOverride w:ilvl="0">
      <w:lvl w:ilvl="0">
        <w:start w:val="1"/>
        <w:numFmt w:val="bullet"/>
        <w:pStyle w:val="ListBullet"/>
        <w:lvlText w:val=""/>
        <w:lvlJc w:val="left"/>
        <w:pPr>
          <w:ind w:left="360" w:hanging="360"/>
        </w:pPr>
        <w:rPr>
          <w:rFonts w:ascii="Symbol" w:hAnsi="Symbol" w:hint="default"/>
        </w:rPr>
      </w:lvl>
    </w:lvlOverride>
    <w:lvlOverride w:ilvl="1">
      <w:lvl w:ilvl="1">
        <w:start w:val="1"/>
        <w:numFmt w:val="bullet"/>
        <w:pStyle w:val="ListBullet2"/>
        <w:lvlText w:val="–"/>
        <w:lvlJc w:val="left"/>
        <w:pPr>
          <w:ind w:left="720" w:hanging="360"/>
        </w:pPr>
        <w:rPr>
          <w:rFonts w:ascii="Arial" w:hAnsi="Arial" w:hint="default"/>
        </w:rPr>
      </w:lvl>
    </w:lvlOverride>
  </w:num>
  <w:num w:numId="44">
    <w:abstractNumId w:val="12"/>
  </w:num>
  <w:num w:numId="45">
    <w:abstractNumId w:val="14"/>
  </w:num>
  <w:num w:numId="46">
    <w:abstractNumId w:val="16"/>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113"/>
    <w:rsid w:val="00002031"/>
    <w:rsid w:val="00004734"/>
    <w:rsid w:val="00006B22"/>
    <w:rsid w:val="0001276A"/>
    <w:rsid w:val="00022500"/>
    <w:rsid w:val="00023551"/>
    <w:rsid w:val="000246AE"/>
    <w:rsid w:val="00025C67"/>
    <w:rsid w:val="000270AA"/>
    <w:rsid w:val="00032FF2"/>
    <w:rsid w:val="0003306D"/>
    <w:rsid w:val="0004248D"/>
    <w:rsid w:val="00055129"/>
    <w:rsid w:val="000554B4"/>
    <w:rsid w:val="0005559E"/>
    <w:rsid w:val="00061E51"/>
    <w:rsid w:val="00062F79"/>
    <w:rsid w:val="00063028"/>
    <w:rsid w:val="00077775"/>
    <w:rsid w:val="00083590"/>
    <w:rsid w:val="00090471"/>
    <w:rsid w:val="000904AB"/>
    <w:rsid w:val="000958DF"/>
    <w:rsid w:val="0009604B"/>
    <w:rsid w:val="000A0965"/>
    <w:rsid w:val="000B0A5D"/>
    <w:rsid w:val="000B3532"/>
    <w:rsid w:val="000B3A75"/>
    <w:rsid w:val="000B7084"/>
    <w:rsid w:val="000C1C08"/>
    <w:rsid w:val="000C5A31"/>
    <w:rsid w:val="000D391B"/>
    <w:rsid w:val="000D3AD6"/>
    <w:rsid w:val="000D3D6D"/>
    <w:rsid w:val="000D4FC7"/>
    <w:rsid w:val="000E0AFD"/>
    <w:rsid w:val="000E10C4"/>
    <w:rsid w:val="000E5991"/>
    <w:rsid w:val="000F4869"/>
    <w:rsid w:val="000F5B42"/>
    <w:rsid w:val="000F6E6F"/>
    <w:rsid w:val="001003F2"/>
    <w:rsid w:val="0010601F"/>
    <w:rsid w:val="00107378"/>
    <w:rsid w:val="00110EA5"/>
    <w:rsid w:val="001119DF"/>
    <w:rsid w:val="00115240"/>
    <w:rsid w:val="001205A1"/>
    <w:rsid w:val="001238E0"/>
    <w:rsid w:val="00125091"/>
    <w:rsid w:val="00125318"/>
    <w:rsid w:val="001253BC"/>
    <w:rsid w:val="00125A2E"/>
    <w:rsid w:val="00126BFD"/>
    <w:rsid w:val="001305A2"/>
    <w:rsid w:val="00132294"/>
    <w:rsid w:val="00132C24"/>
    <w:rsid w:val="00133238"/>
    <w:rsid w:val="00135C78"/>
    <w:rsid w:val="00140FE3"/>
    <w:rsid w:val="0014197B"/>
    <w:rsid w:val="001447CD"/>
    <w:rsid w:val="00144C2B"/>
    <w:rsid w:val="00150C4B"/>
    <w:rsid w:val="001516B1"/>
    <w:rsid w:val="001525B4"/>
    <w:rsid w:val="00156316"/>
    <w:rsid w:val="00160006"/>
    <w:rsid w:val="00165389"/>
    <w:rsid w:val="00166B78"/>
    <w:rsid w:val="00170A77"/>
    <w:rsid w:val="00170CED"/>
    <w:rsid w:val="00172310"/>
    <w:rsid w:val="0017693F"/>
    <w:rsid w:val="0018110E"/>
    <w:rsid w:val="00181684"/>
    <w:rsid w:val="001843C6"/>
    <w:rsid w:val="001850E0"/>
    <w:rsid w:val="0018693C"/>
    <w:rsid w:val="0019255A"/>
    <w:rsid w:val="001A525F"/>
    <w:rsid w:val="001A69AB"/>
    <w:rsid w:val="001B09F9"/>
    <w:rsid w:val="001B1060"/>
    <w:rsid w:val="001B5A00"/>
    <w:rsid w:val="001B6448"/>
    <w:rsid w:val="001C7BD8"/>
    <w:rsid w:val="001D480A"/>
    <w:rsid w:val="001D6386"/>
    <w:rsid w:val="001E0113"/>
    <w:rsid w:val="001E07CF"/>
    <w:rsid w:val="001E2444"/>
    <w:rsid w:val="001E2849"/>
    <w:rsid w:val="001E59F1"/>
    <w:rsid w:val="001F49EB"/>
    <w:rsid w:val="001F6CBA"/>
    <w:rsid w:val="001F78B9"/>
    <w:rsid w:val="00201D4E"/>
    <w:rsid w:val="00203523"/>
    <w:rsid w:val="00204F19"/>
    <w:rsid w:val="00207515"/>
    <w:rsid w:val="00211C7B"/>
    <w:rsid w:val="002164DF"/>
    <w:rsid w:val="00220B8A"/>
    <w:rsid w:val="002217B7"/>
    <w:rsid w:val="002232C2"/>
    <w:rsid w:val="002257F3"/>
    <w:rsid w:val="002302EC"/>
    <w:rsid w:val="002303B0"/>
    <w:rsid w:val="002314E8"/>
    <w:rsid w:val="0023227D"/>
    <w:rsid w:val="00233456"/>
    <w:rsid w:val="0023397F"/>
    <w:rsid w:val="002339A5"/>
    <w:rsid w:val="002368DB"/>
    <w:rsid w:val="002452E7"/>
    <w:rsid w:val="00245F98"/>
    <w:rsid w:val="00246194"/>
    <w:rsid w:val="002538AE"/>
    <w:rsid w:val="002541E7"/>
    <w:rsid w:val="00255E43"/>
    <w:rsid w:val="00257138"/>
    <w:rsid w:val="0025771A"/>
    <w:rsid w:val="00257848"/>
    <w:rsid w:val="00265935"/>
    <w:rsid w:val="0027084A"/>
    <w:rsid w:val="00271109"/>
    <w:rsid w:val="00277EF5"/>
    <w:rsid w:val="00286434"/>
    <w:rsid w:val="00286C59"/>
    <w:rsid w:val="002942D1"/>
    <w:rsid w:val="002A0556"/>
    <w:rsid w:val="002B0C2E"/>
    <w:rsid w:val="002B1638"/>
    <w:rsid w:val="002B5D13"/>
    <w:rsid w:val="002B706C"/>
    <w:rsid w:val="002C1D7D"/>
    <w:rsid w:val="002C2511"/>
    <w:rsid w:val="002D1EDF"/>
    <w:rsid w:val="002E4C9A"/>
    <w:rsid w:val="002F11F8"/>
    <w:rsid w:val="002F3F56"/>
    <w:rsid w:val="002F44B5"/>
    <w:rsid w:val="00302B6D"/>
    <w:rsid w:val="00311AC0"/>
    <w:rsid w:val="00312D9D"/>
    <w:rsid w:val="003204DD"/>
    <w:rsid w:val="00324EEB"/>
    <w:rsid w:val="00325170"/>
    <w:rsid w:val="003318CF"/>
    <w:rsid w:val="00331DBB"/>
    <w:rsid w:val="00332680"/>
    <w:rsid w:val="00335B07"/>
    <w:rsid w:val="0033655A"/>
    <w:rsid w:val="003521E8"/>
    <w:rsid w:val="00361667"/>
    <w:rsid w:val="00361F45"/>
    <w:rsid w:val="00365DDD"/>
    <w:rsid w:val="003664BF"/>
    <w:rsid w:val="00371400"/>
    <w:rsid w:val="003728F3"/>
    <w:rsid w:val="00373757"/>
    <w:rsid w:val="0038313D"/>
    <w:rsid w:val="00390900"/>
    <w:rsid w:val="00396CAC"/>
    <w:rsid w:val="003A13F0"/>
    <w:rsid w:val="003A35BD"/>
    <w:rsid w:val="003B00C5"/>
    <w:rsid w:val="003B443E"/>
    <w:rsid w:val="003B7E07"/>
    <w:rsid w:val="003B7E39"/>
    <w:rsid w:val="003C30DC"/>
    <w:rsid w:val="003C58DC"/>
    <w:rsid w:val="003C7461"/>
    <w:rsid w:val="003D0CD9"/>
    <w:rsid w:val="003D2AF3"/>
    <w:rsid w:val="003D40E9"/>
    <w:rsid w:val="003E3208"/>
    <w:rsid w:val="003E3D34"/>
    <w:rsid w:val="003E7EAA"/>
    <w:rsid w:val="003F0B04"/>
    <w:rsid w:val="003F289F"/>
    <w:rsid w:val="003F6F7D"/>
    <w:rsid w:val="0040134E"/>
    <w:rsid w:val="00410839"/>
    <w:rsid w:val="0041452B"/>
    <w:rsid w:val="004169A8"/>
    <w:rsid w:val="004206E2"/>
    <w:rsid w:val="00434328"/>
    <w:rsid w:val="00440230"/>
    <w:rsid w:val="00440A2D"/>
    <w:rsid w:val="00441069"/>
    <w:rsid w:val="004414E4"/>
    <w:rsid w:val="00444838"/>
    <w:rsid w:val="004449A1"/>
    <w:rsid w:val="004456E1"/>
    <w:rsid w:val="0044753E"/>
    <w:rsid w:val="00447C3E"/>
    <w:rsid w:val="0045507E"/>
    <w:rsid w:val="004554A8"/>
    <w:rsid w:val="00455A6F"/>
    <w:rsid w:val="004564A7"/>
    <w:rsid w:val="004617BF"/>
    <w:rsid w:val="004634F1"/>
    <w:rsid w:val="00465E90"/>
    <w:rsid w:val="0047772E"/>
    <w:rsid w:val="00477BB1"/>
    <w:rsid w:val="0048485C"/>
    <w:rsid w:val="00490B4F"/>
    <w:rsid w:val="004923FF"/>
    <w:rsid w:val="00494E60"/>
    <w:rsid w:val="00496BAC"/>
    <w:rsid w:val="004A17A8"/>
    <w:rsid w:val="004A7E67"/>
    <w:rsid w:val="004B4CB5"/>
    <w:rsid w:val="004B5A6B"/>
    <w:rsid w:val="004B7B76"/>
    <w:rsid w:val="004C0070"/>
    <w:rsid w:val="004C2E29"/>
    <w:rsid w:val="004D3B35"/>
    <w:rsid w:val="004D51A6"/>
    <w:rsid w:val="004E149B"/>
    <w:rsid w:val="004F0F38"/>
    <w:rsid w:val="004F1A46"/>
    <w:rsid w:val="004F4D12"/>
    <w:rsid w:val="00501921"/>
    <w:rsid w:val="00511904"/>
    <w:rsid w:val="00515128"/>
    <w:rsid w:val="005204C1"/>
    <w:rsid w:val="00522A0C"/>
    <w:rsid w:val="005234E9"/>
    <w:rsid w:val="005240B1"/>
    <w:rsid w:val="0052556F"/>
    <w:rsid w:val="00527C7E"/>
    <w:rsid w:val="00530354"/>
    <w:rsid w:val="00531B11"/>
    <w:rsid w:val="00535937"/>
    <w:rsid w:val="005434C6"/>
    <w:rsid w:val="00543B39"/>
    <w:rsid w:val="00543B60"/>
    <w:rsid w:val="005455A3"/>
    <w:rsid w:val="0054583D"/>
    <w:rsid w:val="005477E7"/>
    <w:rsid w:val="00550096"/>
    <w:rsid w:val="00551A58"/>
    <w:rsid w:val="0055532D"/>
    <w:rsid w:val="0055653E"/>
    <w:rsid w:val="00557FF9"/>
    <w:rsid w:val="00567927"/>
    <w:rsid w:val="00576378"/>
    <w:rsid w:val="00577279"/>
    <w:rsid w:val="00577E38"/>
    <w:rsid w:val="005827F4"/>
    <w:rsid w:val="00584013"/>
    <w:rsid w:val="00585322"/>
    <w:rsid w:val="00593AD1"/>
    <w:rsid w:val="00594D03"/>
    <w:rsid w:val="00597877"/>
    <w:rsid w:val="005A1131"/>
    <w:rsid w:val="005A61CE"/>
    <w:rsid w:val="005A66DF"/>
    <w:rsid w:val="005B0E2A"/>
    <w:rsid w:val="005B262C"/>
    <w:rsid w:val="005B7A2B"/>
    <w:rsid w:val="005C5570"/>
    <w:rsid w:val="005C79A4"/>
    <w:rsid w:val="005D4752"/>
    <w:rsid w:val="005D4EA1"/>
    <w:rsid w:val="005D5442"/>
    <w:rsid w:val="005E05A0"/>
    <w:rsid w:val="005E6592"/>
    <w:rsid w:val="00611B57"/>
    <w:rsid w:val="00617EAC"/>
    <w:rsid w:val="006209BA"/>
    <w:rsid w:val="006239CD"/>
    <w:rsid w:val="006367ED"/>
    <w:rsid w:val="00640190"/>
    <w:rsid w:val="006405A9"/>
    <w:rsid w:val="00640FC3"/>
    <w:rsid w:val="00642020"/>
    <w:rsid w:val="0064318E"/>
    <w:rsid w:val="00644CE5"/>
    <w:rsid w:val="006501A1"/>
    <w:rsid w:val="006504F9"/>
    <w:rsid w:val="00651C87"/>
    <w:rsid w:val="0065337B"/>
    <w:rsid w:val="00653FBF"/>
    <w:rsid w:val="0065419D"/>
    <w:rsid w:val="006604D8"/>
    <w:rsid w:val="00661D3D"/>
    <w:rsid w:val="00663F8F"/>
    <w:rsid w:val="00664A5B"/>
    <w:rsid w:val="00665F8C"/>
    <w:rsid w:val="00667942"/>
    <w:rsid w:val="00667B4F"/>
    <w:rsid w:val="00680C08"/>
    <w:rsid w:val="006827F6"/>
    <w:rsid w:val="00683517"/>
    <w:rsid w:val="00686B2E"/>
    <w:rsid w:val="0068741A"/>
    <w:rsid w:val="00691723"/>
    <w:rsid w:val="006931B1"/>
    <w:rsid w:val="00693CDB"/>
    <w:rsid w:val="006A15C0"/>
    <w:rsid w:val="006A2F00"/>
    <w:rsid w:val="006B188D"/>
    <w:rsid w:val="006B1A38"/>
    <w:rsid w:val="006C1F3B"/>
    <w:rsid w:val="006C3E2A"/>
    <w:rsid w:val="006C626D"/>
    <w:rsid w:val="006C642F"/>
    <w:rsid w:val="006C6EDB"/>
    <w:rsid w:val="006C79CF"/>
    <w:rsid w:val="006D039E"/>
    <w:rsid w:val="006D03E5"/>
    <w:rsid w:val="006D0C3B"/>
    <w:rsid w:val="006D5D3E"/>
    <w:rsid w:val="006D66C6"/>
    <w:rsid w:val="006D7EB5"/>
    <w:rsid w:val="006E08B3"/>
    <w:rsid w:val="006E5AB4"/>
    <w:rsid w:val="006F1B71"/>
    <w:rsid w:val="006F572E"/>
    <w:rsid w:val="006F5F5D"/>
    <w:rsid w:val="007046D6"/>
    <w:rsid w:val="00705DB0"/>
    <w:rsid w:val="00706AFE"/>
    <w:rsid w:val="007147EF"/>
    <w:rsid w:val="00725A8B"/>
    <w:rsid w:val="00733C5F"/>
    <w:rsid w:val="0074066C"/>
    <w:rsid w:val="00742004"/>
    <w:rsid w:val="0074253D"/>
    <w:rsid w:val="0074429B"/>
    <w:rsid w:val="00744554"/>
    <w:rsid w:val="007477F8"/>
    <w:rsid w:val="007522EE"/>
    <w:rsid w:val="007615BC"/>
    <w:rsid w:val="00762CFF"/>
    <w:rsid w:val="00762F05"/>
    <w:rsid w:val="00763336"/>
    <w:rsid w:val="00764EB9"/>
    <w:rsid w:val="007652FF"/>
    <w:rsid w:val="00766D5D"/>
    <w:rsid w:val="00766F39"/>
    <w:rsid w:val="00771329"/>
    <w:rsid w:val="0077288B"/>
    <w:rsid w:val="00773A91"/>
    <w:rsid w:val="00773EF7"/>
    <w:rsid w:val="00774E1D"/>
    <w:rsid w:val="0077675A"/>
    <w:rsid w:val="00780355"/>
    <w:rsid w:val="00785721"/>
    <w:rsid w:val="00793A59"/>
    <w:rsid w:val="007A2162"/>
    <w:rsid w:val="007A3B4E"/>
    <w:rsid w:val="007B302B"/>
    <w:rsid w:val="007B43ED"/>
    <w:rsid w:val="007B4BF9"/>
    <w:rsid w:val="007C0F3D"/>
    <w:rsid w:val="007C1AF7"/>
    <w:rsid w:val="007C7A6D"/>
    <w:rsid w:val="007C7B5B"/>
    <w:rsid w:val="007E4912"/>
    <w:rsid w:val="007E5FDB"/>
    <w:rsid w:val="007E7BF8"/>
    <w:rsid w:val="007F2FF0"/>
    <w:rsid w:val="00810598"/>
    <w:rsid w:val="00811166"/>
    <w:rsid w:val="00814492"/>
    <w:rsid w:val="0081495E"/>
    <w:rsid w:val="008151EA"/>
    <w:rsid w:val="008179B3"/>
    <w:rsid w:val="008204FA"/>
    <w:rsid w:val="00821776"/>
    <w:rsid w:val="00826007"/>
    <w:rsid w:val="00827EE3"/>
    <w:rsid w:val="008321F5"/>
    <w:rsid w:val="00832369"/>
    <w:rsid w:val="00834660"/>
    <w:rsid w:val="00834C8E"/>
    <w:rsid w:val="00836BC2"/>
    <w:rsid w:val="0084156C"/>
    <w:rsid w:val="0084580B"/>
    <w:rsid w:val="00845BCA"/>
    <w:rsid w:val="00853C8F"/>
    <w:rsid w:val="0085641B"/>
    <w:rsid w:val="00857136"/>
    <w:rsid w:val="008577E2"/>
    <w:rsid w:val="00870B12"/>
    <w:rsid w:val="008748B7"/>
    <w:rsid w:val="008752CE"/>
    <w:rsid w:val="008821AA"/>
    <w:rsid w:val="008855B8"/>
    <w:rsid w:val="008932F3"/>
    <w:rsid w:val="00893BD3"/>
    <w:rsid w:val="00896018"/>
    <w:rsid w:val="00897020"/>
    <w:rsid w:val="0089729B"/>
    <w:rsid w:val="008A07FF"/>
    <w:rsid w:val="008A2B9D"/>
    <w:rsid w:val="008A5E0B"/>
    <w:rsid w:val="008A5E18"/>
    <w:rsid w:val="008A6D59"/>
    <w:rsid w:val="008B02C9"/>
    <w:rsid w:val="008B2D31"/>
    <w:rsid w:val="008B4B03"/>
    <w:rsid w:val="008B596F"/>
    <w:rsid w:val="008B78BD"/>
    <w:rsid w:val="008C159F"/>
    <w:rsid w:val="008C1623"/>
    <w:rsid w:val="008C51A9"/>
    <w:rsid w:val="008C56D9"/>
    <w:rsid w:val="008D2B09"/>
    <w:rsid w:val="008D4740"/>
    <w:rsid w:val="008D5DCA"/>
    <w:rsid w:val="008E1E38"/>
    <w:rsid w:val="008E7B83"/>
    <w:rsid w:val="008F1CCC"/>
    <w:rsid w:val="008F2967"/>
    <w:rsid w:val="008F407A"/>
    <w:rsid w:val="008F679F"/>
    <w:rsid w:val="0090354E"/>
    <w:rsid w:val="00907ACE"/>
    <w:rsid w:val="0091579D"/>
    <w:rsid w:val="00920330"/>
    <w:rsid w:val="00920FF4"/>
    <w:rsid w:val="009219D7"/>
    <w:rsid w:val="00922D53"/>
    <w:rsid w:val="00923B70"/>
    <w:rsid w:val="00925DC5"/>
    <w:rsid w:val="0092600B"/>
    <w:rsid w:val="00930237"/>
    <w:rsid w:val="00934397"/>
    <w:rsid w:val="0093479A"/>
    <w:rsid w:val="009360CE"/>
    <w:rsid w:val="009401F6"/>
    <w:rsid w:val="00940F44"/>
    <w:rsid w:val="00941988"/>
    <w:rsid w:val="00945C0B"/>
    <w:rsid w:val="00945E67"/>
    <w:rsid w:val="00952562"/>
    <w:rsid w:val="00952750"/>
    <w:rsid w:val="0096224B"/>
    <w:rsid w:val="00963C08"/>
    <w:rsid w:val="00966C72"/>
    <w:rsid w:val="00987184"/>
    <w:rsid w:val="009930F3"/>
    <w:rsid w:val="00994410"/>
    <w:rsid w:val="00995707"/>
    <w:rsid w:val="009961A5"/>
    <w:rsid w:val="00997420"/>
    <w:rsid w:val="009A09AA"/>
    <w:rsid w:val="009A474D"/>
    <w:rsid w:val="009A4CED"/>
    <w:rsid w:val="009B02C0"/>
    <w:rsid w:val="009B15F1"/>
    <w:rsid w:val="009B1D12"/>
    <w:rsid w:val="009B416B"/>
    <w:rsid w:val="009C04BC"/>
    <w:rsid w:val="009C4BD5"/>
    <w:rsid w:val="009D2E04"/>
    <w:rsid w:val="009D7B77"/>
    <w:rsid w:val="009E0BB0"/>
    <w:rsid w:val="009E3FBB"/>
    <w:rsid w:val="009E71F4"/>
    <w:rsid w:val="009F018D"/>
    <w:rsid w:val="009F218C"/>
    <w:rsid w:val="009F7D61"/>
    <w:rsid w:val="00A052B5"/>
    <w:rsid w:val="00A052D5"/>
    <w:rsid w:val="00A07E23"/>
    <w:rsid w:val="00A1235B"/>
    <w:rsid w:val="00A14DF7"/>
    <w:rsid w:val="00A162C9"/>
    <w:rsid w:val="00A170D9"/>
    <w:rsid w:val="00A233BA"/>
    <w:rsid w:val="00A23F3C"/>
    <w:rsid w:val="00A3246D"/>
    <w:rsid w:val="00A3606B"/>
    <w:rsid w:val="00A3654F"/>
    <w:rsid w:val="00A36FA7"/>
    <w:rsid w:val="00A42011"/>
    <w:rsid w:val="00A475B7"/>
    <w:rsid w:val="00A47AF7"/>
    <w:rsid w:val="00A47C3E"/>
    <w:rsid w:val="00A50226"/>
    <w:rsid w:val="00A539AC"/>
    <w:rsid w:val="00A56488"/>
    <w:rsid w:val="00A56519"/>
    <w:rsid w:val="00A60BAD"/>
    <w:rsid w:val="00A64387"/>
    <w:rsid w:val="00A72BA8"/>
    <w:rsid w:val="00A72BB9"/>
    <w:rsid w:val="00A736F3"/>
    <w:rsid w:val="00A73A8D"/>
    <w:rsid w:val="00A828B1"/>
    <w:rsid w:val="00A84503"/>
    <w:rsid w:val="00A85B04"/>
    <w:rsid w:val="00A87334"/>
    <w:rsid w:val="00A96C7F"/>
    <w:rsid w:val="00A97B21"/>
    <w:rsid w:val="00AB1349"/>
    <w:rsid w:val="00AB6F47"/>
    <w:rsid w:val="00AC2B40"/>
    <w:rsid w:val="00AC2BB2"/>
    <w:rsid w:val="00AC2C3C"/>
    <w:rsid w:val="00AC3BD9"/>
    <w:rsid w:val="00AC52FB"/>
    <w:rsid w:val="00AC62E7"/>
    <w:rsid w:val="00AC7EB0"/>
    <w:rsid w:val="00AE0320"/>
    <w:rsid w:val="00AE65EB"/>
    <w:rsid w:val="00AF1D94"/>
    <w:rsid w:val="00AF60C5"/>
    <w:rsid w:val="00B009C6"/>
    <w:rsid w:val="00B01548"/>
    <w:rsid w:val="00B07F0D"/>
    <w:rsid w:val="00B11DA9"/>
    <w:rsid w:val="00B17F66"/>
    <w:rsid w:val="00B21C93"/>
    <w:rsid w:val="00B21D29"/>
    <w:rsid w:val="00B21FC5"/>
    <w:rsid w:val="00B21FEE"/>
    <w:rsid w:val="00B22D6F"/>
    <w:rsid w:val="00B23D37"/>
    <w:rsid w:val="00B25034"/>
    <w:rsid w:val="00B33863"/>
    <w:rsid w:val="00B37958"/>
    <w:rsid w:val="00B37D17"/>
    <w:rsid w:val="00B40C62"/>
    <w:rsid w:val="00B4175E"/>
    <w:rsid w:val="00B4443D"/>
    <w:rsid w:val="00B450C2"/>
    <w:rsid w:val="00B510E1"/>
    <w:rsid w:val="00B54C25"/>
    <w:rsid w:val="00B54D95"/>
    <w:rsid w:val="00B55902"/>
    <w:rsid w:val="00B600DA"/>
    <w:rsid w:val="00B6211A"/>
    <w:rsid w:val="00B64F68"/>
    <w:rsid w:val="00B70C52"/>
    <w:rsid w:val="00B75AD4"/>
    <w:rsid w:val="00B76B91"/>
    <w:rsid w:val="00B8488A"/>
    <w:rsid w:val="00B860A7"/>
    <w:rsid w:val="00B92C72"/>
    <w:rsid w:val="00BA2C27"/>
    <w:rsid w:val="00BA6FF1"/>
    <w:rsid w:val="00BB0909"/>
    <w:rsid w:val="00BB6529"/>
    <w:rsid w:val="00BC058B"/>
    <w:rsid w:val="00BC18E0"/>
    <w:rsid w:val="00BC1CAB"/>
    <w:rsid w:val="00BC61AE"/>
    <w:rsid w:val="00BC622A"/>
    <w:rsid w:val="00BD141C"/>
    <w:rsid w:val="00BD60CB"/>
    <w:rsid w:val="00BD6F8A"/>
    <w:rsid w:val="00BE0A78"/>
    <w:rsid w:val="00BE2772"/>
    <w:rsid w:val="00BE79F0"/>
    <w:rsid w:val="00BF046D"/>
    <w:rsid w:val="00BF5D04"/>
    <w:rsid w:val="00C02CF3"/>
    <w:rsid w:val="00C13563"/>
    <w:rsid w:val="00C20DC3"/>
    <w:rsid w:val="00C212DF"/>
    <w:rsid w:val="00C339C6"/>
    <w:rsid w:val="00C34556"/>
    <w:rsid w:val="00C404A6"/>
    <w:rsid w:val="00C40A36"/>
    <w:rsid w:val="00C44419"/>
    <w:rsid w:val="00C45A7A"/>
    <w:rsid w:val="00C45E7B"/>
    <w:rsid w:val="00C471B1"/>
    <w:rsid w:val="00C52BEE"/>
    <w:rsid w:val="00C6316B"/>
    <w:rsid w:val="00C634A9"/>
    <w:rsid w:val="00C721A5"/>
    <w:rsid w:val="00C73D6C"/>
    <w:rsid w:val="00C772FF"/>
    <w:rsid w:val="00C77BC8"/>
    <w:rsid w:val="00C801AF"/>
    <w:rsid w:val="00C80256"/>
    <w:rsid w:val="00C8758C"/>
    <w:rsid w:val="00C91FDB"/>
    <w:rsid w:val="00CA77CC"/>
    <w:rsid w:val="00CB3482"/>
    <w:rsid w:val="00CB509E"/>
    <w:rsid w:val="00CB6BC0"/>
    <w:rsid w:val="00CC02EB"/>
    <w:rsid w:val="00CC1B7C"/>
    <w:rsid w:val="00CC701E"/>
    <w:rsid w:val="00CC727F"/>
    <w:rsid w:val="00CD1C8D"/>
    <w:rsid w:val="00CD2699"/>
    <w:rsid w:val="00CD514D"/>
    <w:rsid w:val="00CD7871"/>
    <w:rsid w:val="00CE1F02"/>
    <w:rsid w:val="00CE5BB0"/>
    <w:rsid w:val="00CF042D"/>
    <w:rsid w:val="00CF15C3"/>
    <w:rsid w:val="00CF2B6F"/>
    <w:rsid w:val="00CF3409"/>
    <w:rsid w:val="00CF442E"/>
    <w:rsid w:val="00CF4EB8"/>
    <w:rsid w:val="00CF5C6A"/>
    <w:rsid w:val="00D01039"/>
    <w:rsid w:val="00D017ED"/>
    <w:rsid w:val="00D153B1"/>
    <w:rsid w:val="00D21FB8"/>
    <w:rsid w:val="00D224FE"/>
    <w:rsid w:val="00D229BA"/>
    <w:rsid w:val="00D26B84"/>
    <w:rsid w:val="00D26CD7"/>
    <w:rsid w:val="00D35506"/>
    <w:rsid w:val="00D433BD"/>
    <w:rsid w:val="00D516C6"/>
    <w:rsid w:val="00D543AA"/>
    <w:rsid w:val="00D5616E"/>
    <w:rsid w:val="00D60ACA"/>
    <w:rsid w:val="00D634FE"/>
    <w:rsid w:val="00D6493E"/>
    <w:rsid w:val="00D85AC0"/>
    <w:rsid w:val="00DA1124"/>
    <w:rsid w:val="00DA1DEF"/>
    <w:rsid w:val="00DA3043"/>
    <w:rsid w:val="00DA6CA4"/>
    <w:rsid w:val="00DB3038"/>
    <w:rsid w:val="00DD4C9F"/>
    <w:rsid w:val="00DD6ABA"/>
    <w:rsid w:val="00DD75A3"/>
    <w:rsid w:val="00DD7A91"/>
    <w:rsid w:val="00DE02AE"/>
    <w:rsid w:val="00DE0F80"/>
    <w:rsid w:val="00DE6A0C"/>
    <w:rsid w:val="00DE6C04"/>
    <w:rsid w:val="00DE75AC"/>
    <w:rsid w:val="00DF07B5"/>
    <w:rsid w:val="00DF1D7F"/>
    <w:rsid w:val="00DF3735"/>
    <w:rsid w:val="00DF3819"/>
    <w:rsid w:val="00E02FB4"/>
    <w:rsid w:val="00E0394D"/>
    <w:rsid w:val="00E04F73"/>
    <w:rsid w:val="00E12A65"/>
    <w:rsid w:val="00E1340C"/>
    <w:rsid w:val="00E1688D"/>
    <w:rsid w:val="00E20571"/>
    <w:rsid w:val="00E21651"/>
    <w:rsid w:val="00E2173D"/>
    <w:rsid w:val="00E235F7"/>
    <w:rsid w:val="00E239D4"/>
    <w:rsid w:val="00E32326"/>
    <w:rsid w:val="00E3759D"/>
    <w:rsid w:val="00E40B22"/>
    <w:rsid w:val="00E4170C"/>
    <w:rsid w:val="00E441CB"/>
    <w:rsid w:val="00E4588F"/>
    <w:rsid w:val="00E46DA3"/>
    <w:rsid w:val="00E51164"/>
    <w:rsid w:val="00E539F5"/>
    <w:rsid w:val="00E559B6"/>
    <w:rsid w:val="00E7142D"/>
    <w:rsid w:val="00E737D5"/>
    <w:rsid w:val="00E770C9"/>
    <w:rsid w:val="00E8120B"/>
    <w:rsid w:val="00E85184"/>
    <w:rsid w:val="00E916C6"/>
    <w:rsid w:val="00EA16DE"/>
    <w:rsid w:val="00EA406B"/>
    <w:rsid w:val="00EA453A"/>
    <w:rsid w:val="00EB0798"/>
    <w:rsid w:val="00EB182C"/>
    <w:rsid w:val="00EB19F8"/>
    <w:rsid w:val="00EB3733"/>
    <w:rsid w:val="00EB40AD"/>
    <w:rsid w:val="00EB586E"/>
    <w:rsid w:val="00EB5FC8"/>
    <w:rsid w:val="00EC1271"/>
    <w:rsid w:val="00EC4B80"/>
    <w:rsid w:val="00EC5414"/>
    <w:rsid w:val="00ED0C8B"/>
    <w:rsid w:val="00ED31EB"/>
    <w:rsid w:val="00ED5A41"/>
    <w:rsid w:val="00ED7571"/>
    <w:rsid w:val="00EE1482"/>
    <w:rsid w:val="00EE255A"/>
    <w:rsid w:val="00EE3F64"/>
    <w:rsid w:val="00EF0EAB"/>
    <w:rsid w:val="00EF47F3"/>
    <w:rsid w:val="00EF578B"/>
    <w:rsid w:val="00F033EC"/>
    <w:rsid w:val="00F0392F"/>
    <w:rsid w:val="00F04F68"/>
    <w:rsid w:val="00F05542"/>
    <w:rsid w:val="00F0627D"/>
    <w:rsid w:val="00F11A17"/>
    <w:rsid w:val="00F11D9E"/>
    <w:rsid w:val="00F12670"/>
    <w:rsid w:val="00F1270D"/>
    <w:rsid w:val="00F12C2F"/>
    <w:rsid w:val="00F14B27"/>
    <w:rsid w:val="00F17BFB"/>
    <w:rsid w:val="00F202AB"/>
    <w:rsid w:val="00F3148D"/>
    <w:rsid w:val="00F3255D"/>
    <w:rsid w:val="00F34ACE"/>
    <w:rsid w:val="00F350D4"/>
    <w:rsid w:val="00F35298"/>
    <w:rsid w:val="00F3529E"/>
    <w:rsid w:val="00F36678"/>
    <w:rsid w:val="00F36C32"/>
    <w:rsid w:val="00F40F73"/>
    <w:rsid w:val="00F4305F"/>
    <w:rsid w:val="00F432F8"/>
    <w:rsid w:val="00F44B0D"/>
    <w:rsid w:val="00F4663D"/>
    <w:rsid w:val="00F467A6"/>
    <w:rsid w:val="00F47E37"/>
    <w:rsid w:val="00F623FD"/>
    <w:rsid w:val="00F63C0D"/>
    <w:rsid w:val="00F640B6"/>
    <w:rsid w:val="00F67B16"/>
    <w:rsid w:val="00F739D1"/>
    <w:rsid w:val="00F80E40"/>
    <w:rsid w:val="00F8365F"/>
    <w:rsid w:val="00F8404D"/>
    <w:rsid w:val="00F87B87"/>
    <w:rsid w:val="00FA4D6D"/>
    <w:rsid w:val="00FA5B82"/>
    <w:rsid w:val="00FA639E"/>
    <w:rsid w:val="00FB59CE"/>
    <w:rsid w:val="00FC03C8"/>
    <w:rsid w:val="00FC25E4"/>
    <w:rsid w:val="00FC260C"/>
    <w:rsid w:val="00FC3972"/>
    <w:rsid w:val="00FC4EF7"/>
    <w:rsid w:val="00FC7560"/>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FC7F76"/>
  <w15:docId w15:val="{BEC490A8-FF98-4239-B441-4ADAE51E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4554A8"/>
    <w:pPr>
      <w:keepNext/>
      <w:keepLines/>
      <w:pageBreakBefore/>
      <w:numPr>
        <w:numId w:val="33"/>
      </w:numPr>
      <w:spacing w:before="480" w:after="120"/>
      <w:ind w:left="567" w:hanging="567"/>
      <w:outlineLvl w:val="1"/>
    </w:pPr>
    <w:rPr>
      <w:rFonts w:ascii="Arial" w:eastAsia="Times New Roman" w:hAnsi="Arial"/>
      <w:b/>
      <w:bCs/>
      <w:sz w:val="38"/>
      <w:szCs w:val="38"/>
    </w:rPr>
  </w:style>
  <w:style w:type="paragraph" w:styleId="Heading3">
    <w:name w:val="heading 3"/>
    <w:basedOn w:val="Normal"/>
    <w:next w:val="Normal"/>
    <w:link w:val="Heading3Char"/>
    <w:qFormat/>
    <w:rsid w:val="004554A8"/>
    <w:pPr>
      <w:keepNext/>
      <w:keepLines/>
      <w:numPr>
        <w:ilvl w:val="1"/>
        <w:numId w:val="33"/>
      </w:numPr>
      <w:spacing w:before="480" w:after="120"/>
      <w:ind w:left="851" w:hanging="824"/>
      <w:outlineLvl w:val="2"/>
    </w:pPr>
    <w:rPr>
      <w:rFonts w:ascii="Arial" w:eastAsia="Times New Roman" w:hAnsi="Arial"/>
      <w:b/>
      <w:bCs/>
      <w:sz w:val="32"/>
      <w:szCs w:val="32"/>
    </w:rPr>
  </w:style>
  <w:style w:type="paragraph" w:styleId="Heading4">
    <w:name w:val="heading 4"/>
    <w:basedOn w:val="Normal"/>
    <w:next w:val="Normal"/>
    <w:link w:val="Heading4Char"/>
    <w:qFormat/>
    <w:rsid w:val="004554A8"/>
    <w:pPr>
      <w:keepNext/>
      <w:keepLines/>
      <w:spacing w:before="360" w:after="120"/>
      <w:outlineLvl w:val="3"/>
    </w:pPr>
    <w:rPr>
      <w:rFonts w:eastAsia="Times New Roman"/>
      <w:b/>
      <w:bCs/>
      <w:i/>
      <w:color w:val="001523"/>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EE1482"/>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EE1482"/>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4554A8"/>
    <w:rPr>
      <w:rFonts w:ascii="Arial" w:eastAsia="Times New Roman" w:hAnsi="Arial"/>
      <w:b/>
      <w:bCs/>
      <w:sz w:val="38"/>
      <w:szCs w:val="38"/>
      <w:lang w:eastAsia="en-US"/>
    </w:rPr>
  </w:style>
  <w:style w:type="character" w:customStyle="1" w:styleId="Heading3Char">
    <w:name w:val="Heading 3 Char"/>
    <w:basedOn w:val="DefaultParagraphFont"/>
    <w:link w:val="Heading3"/>
    <w:rsid w:val="004554A8"/>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semiHidden/>
    <w:unhideWhenUsed/>
    <w:rsid w:val="008A07FF"/>
    <w:pPr>
      <w:tabs>
        <w:tab w:val="right" w:leader="hyphen" w:pos="8505"/>
      </w:tabs>
      <w:spacing w:after="100"/>
      <w:ind w:left="1276"/>
    </w:pPr>
  </w:style>
  <w:style w:type="paragraph" w:styleId="TOC5">
    <w:name w:val="toc 5"/>
    <w:basedOn w:val="Normal"/>
    <w:next w:val="Normal"/>
    <w:autoRedefine/>
    <w:uiPriority w:val="39"/>
    <w:semiHidden/>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semiHidden/>
    <w:unhideWhenUsed/>
    <w:rsid w:val="008A07FF"/>
    <w:pPr>
      <w:tabs>
        <w:tab w:val="right" w:pos="8505"/>
      </w:tabs>
      <w:spacing w:after="100"/>
      <w:ind w:left="2126"/>
    </w:pPr>
  </w:style>
  <w:style w:type="paragraph" w:styleId="TOC7">
    <w:name w:val="toc 7"/>
    <w:basedOn w:val="Normal"/>
    <w:next w:val="Normal"/>
    <w:autoRedefine/>
    <w:uiPriority w:val="39"/>
    <w:semiHidden/>
    <w:unhideWhenUsed/>
    <w:rsid w:val="008A07FF"/>
    <w:pPr>
      <w:spacing w:after="100"/>
      <w:ind w:left="2211"/>
    </w:pPr>
  </w:style>
  <w:style w:type="character" w:customStyle="1" w:styleId="Heading4Char">
    <w:name w:val="Heading 4 Char"/>
    <w:basedOn w:val="DefaultParagraphFont"/>
    <w:link w:val="Heading4"/>
    <w:rsid w:val="004554A8"/>
    <w:rPr>
      <w:rFonts w:eastAsia="Times New Roman"/>
      <w:b/>
      <w:bCs/>
      <w:i/>
      <w:color w:val="001523"/>
      <w:sz w:val="22"/>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aliases w:val="OECD 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27"/>
      </w:numPr>
    </w:pPr>
  </w:style>
  <w:style w:type="paragraph" w:styleId="ListBullet2">
    <w:name w:val="List Bullet 2"/>
    <w:basedOn w:val="Normal"/>
    <w:uiPriority w:val="2"/>
    <w:qFormat/>
    <w:rsid w:val="004B5A6B"/>
    <w:pPr>
      <w:numPr>
        <w:ilvl w:val="1"/>
        <w:numId w:val="27"/>
      </w:numPr>
      <w:ind w:left="850" w:hanging="425"/>
    </w:pPr>
  </w:style>
  <w:style w:type="paragraph" w:styleId="ListBullet3">
    <w:name w:val="List Bullet 3"/>
    <w:basedOn w:val="Normal"/>
    <w:uiPriority w:val="2"/>
    <w:qFormat/>
    <w:rsid w:val="002B706C"/>
    <w:pPr>
      <w:numPr>
        <w:numId w:val="31"/>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E1482"/>
    <w:pPr>
      <w:numPr>
        <w:numId w:val="30"/>
      </w:numPr>
    </w:pPr>
  </w:style>
  <w:style w:type="paragraph" w:customStyle="1" w:styleId="Numberbullet2">
    <w:name w:val="Number bullet 2"/>
    <w:basedOn w:val="ListBullet2"/>
    <w:qFormat/>
    <w:rsid w:val="00B22D6F"/>
    <w:pPr>
      <w:numPr>
        <w:ilvl w:val="0"/>
        <w:numId w:val="35"/>
      </w:numPr>
    </w:pPr>
    <w:rPr>
      <w:i/>
    </w:rPr>
  </w:style>
  <w:style w:type="paragraph" w:customStyle="1" w:styleId="Numberbullet3">
    <w:name w:val="Number bullet 3"/>
    <w:basedOn w:val="Normal"/>
    <w:qFormat/>
    <w:rsid w:val="004B4CB5"/>
    <w:pPr>
      <w:numPr>
        <w:numId w:val="32"/>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3"/>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uiPriority w:val="34"/>
    <w:qFormat/>
    <w:rsid w:val="001E0113"/>
    <w:pPr>
      <w:ind w:left="720"/>
      <w:contextualSpacing/>
    </w:pPr>
  </w:style>
  <w:style w:type="character" w:styleId="UnresolvedMention">
    <w:name w:val="Unresolved Mention"/>
    <w:basedOn w:val="DefaultParagraphFont"/>
    <w:uiPriority w:val="99"/>
    <w:semiHidden/>
    <w:unhideWhenUsed/>
    <w:rsid w:val="00E539F5"/>
    <w:rPr>
      <w:color w:val="605E5C"/>
      <w:shd w:val="clear" w:color="auto" w:fill="E1DFDD"/>
    </w:rPr>
  </w:style>
  <w:style w:type="paragraph" w:styleId="Revision">
    <w:name w:val="Revision"/>
    <w:hidden/>
    <w:uiPriority w:val="99"/>
    <w:semiHidden/>
    <w:rsid w:val="00C91FDB"/>
    <w:rPr>
      <w:sz w:val="22"/>
      <w:lang w:eastAsia="en-US"/>
    </w:rPr>
  </w:style>
  <w:style w:type="character" w:styleId="Strong">
    <w:name w:val="Strong"/>
    <w:basedOn w:val="DefaultParagraphFont"/>
    <w:uiPriority w:val="22"/>
    <w:qFormat/>
    <w:rsid w:val="00C91FDB"/>
    <w:rPr>
      <w:b/>
      <w:bCs/>
    </w:rPr>
  </w:style>
  <w:style w:type="paragraph" w:customStyle="1" w:styleId="Numberbulleta">
    <w:name w:val="Number bullet a)"/>
    <w:basedOn w:val="Numberbullet2"/>
    <w:qFormat/>
    <w:rsid w:val="004554A8"/>
    <w:pPr>
      <w:numPr>
        <w:numId w:val="45"/>
      </w:numPr>
      <w:spacing w:before="0" w:after="120" w:line="259" w:lineRule="auto"/>
      <w:ind w:left="426" w:hanging="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827240">
      <w:bodyDiv w:val="1"/>
      <w:marLeft w:val="0"/>
      <w:marRight w:val="0"/>
      <w:marTop w:val="0"/>
      <w:marBottom w:val="0"/>
      <w:divBdr>
        <w:top w:val="none" w:sz="0" w:space="0" w:color="auto"/>
        <w:left w:val="none" w:sz="0" w:space="0" w:color="auto"/>
        <w:bottom w:val="none" w:sz="0" w:space="0" w:color="auto"/>
        <w:right w:val="none" w:sz="0" w:space="0" w:color="auto"/>
      </w:divBdr>
      <w:divsChild>
        <w:div w:id="565801807">
          <w:marLeft w:val="0"/>
          <w:marRight w:val="0"/>
          <w:marTop w:val="0"/>
          <w:marBottom w:val="0"/>
          <w:divBdr>
            <w:top w:val="none" w:sz="0" w:space="0" w:color="auto"/>
            <w:left w:val="none" w:sz="0" w:space="0" w:color="auto"/>
            <w:bottom w:val="none" w:sz="0" w:space="0" w:color="auto"/>
            <w:right w:val="none" w:sz="0" w:space="0" w:color="auto"/>
          </w:divBdr>
        </w:div>
        <w:div w:id="1047069406">
          <w:marLeft w:val="0"/>
          <w:marRight w:val="0"/>
          <w:marTop w:val="0"/>
          <w:marBottom w:val="0"/>
          <w:divBdr>
            <w:top w:val="none" w:sz="0" w:space="0" w:color="auto"/>
            <w:left w:val="none" w:sz="0" w:space="0" w:color="auto"/>
            <w:bottom w:val="none" w:sz="0" w:space="0" w:color="auto"/>
            <w:right w:val="none" w:sz="0" w:space="0" w:color="auto"/>
          </w:divBdr>
        </w:div>
        <w:div w:id="2064477299">
          <w:marLeft w:val="0"/>
          <w:marRight w:val="0"/>
          <w:marTop w:val="0"/>
          <w:marBottom w:val="0"/>
          <w:divBdr>
            <w:top w:val="none" w:sz="0" w:space="0" w:color="auto"/>
            <w:left w:val="none" w:sz="0" w:space="0" w:color="auto"/>
            <w:bottom w:val="none" w:sz="0" w:space="0" w:color="auto"/>
            <w:right w:val="none" w:sz="0" w:space="0" w:color="auto"/>
          </w:divBdr>
        </w:div>
        <w:div w:id="317267980">
          <w:marLeft w:val="0"/>
          <w:marRight w:val="0"/>
          <w:marTop w:val="0"/>
          <w:marBottom w:val="0"/>
          <w:divBdr>
            <w:top w:val="none" w:sz="0" w:space="0" w:color="auto"/>
            <w:left w:val="none" w:sz="0" w:space="0" w:color="auto"/>
            <w:bottom w:val="none" w:sz="0" w:space="0" w:color="auto"/>
            <w:right w:val="none" w:sz="0" w:space="0" w:color="auto"/>
          </w:divBdr>
        </w:div>
        <w:div w:id="1873834249">
          <w:marLeft w:val="0"/>
          <w:marRight w:val="0"/>
          <w:marTop w:val="0"/>
          <w:marBottom w:val="0"/>
          <w:divBdr>
            <w:top w:val="none" w:sz="0" w:space="0" w:color="auto"/>
            <w:left w:val="none" w:sz="0" w:space="0" w:color="auto"/>
            <w:bottom w:val="none" w:sz="0" w:space="0" w:color="auto"/>
            <w:right w:val="none" w:sz="0" w:space="0" w:color="auto"/>
          </w:divBdr>
        </w:div>
        <w:div w:id="588849898">
          <w:marLeft w:val="0"/>
          <w:marRight w:val="0"/>
          <w:marTop w:val="0"/>
          <w:marBottom w:val="0"/>
          <w:divBdr>
            <w:top w:val="none" w:sz="0" w:space="0" w:color="auto"/>
            <w:left w:val="none" w:sz="0" w:space="0" w:color="auto"/>
            <w:bottom w:val="none" w:sz="0" w:space="0" w:color="auto"/>
            <w:right w:val="none" w:sz="0" w:space="0" w:color="auto"/>
          </w:divBdr>
        </w:div>
        <w:div w:id="2012025953">
          <w:marLeft w:val="0"/>
          <w:marRight w:val="0"/>
          <w:marTop w:val="0"/>
          <w:marBottom w:val="0"/>
          <w:divBdr>
            <w:top w:val="none" w:sz="0" w:space="0" w:color="auto"/>
            <w:left w:val="none" w:sz="0" w:space="0" w:color="auto"/>
            <w:bottom w:val="none" w:sz="0" w:space="0" w:color="auto"/>
            <w:right w:val="none" w:sz="0" w:space="0" w:color="auto"/>
          </w:divBdr>
        </w:div>
        <w:div w:id="1279294670">
          <w:marLeft w:val="0"/>
          <w:marRight w:val="0"/>
          <w:marTop w:val="0"/>
          <w:marBottom w:val="0"/>
          <w:divBdr>
            <w:top w:val="none" w:sz="0" w:space="0" w:color="auto"/>
            <w:left w:val="none" w:sz="0" w:space="0" w:color="auto"/>
            <w:bottom w:val="none" w:sz="0" w:space="0" w:color="auto"/>
            <w:right w:val="none" w:sz="0" w:space="0" w:color="auto"/>
          </w:divBdr>
        </w:div>
        <w:div w:id="719746342">
          <w:marLeft w:val="0"/>
          <w:marRight w:val="0"/>
          <w:marTop w:val="0"/>
          <w:marBottom w:val="0"/>
          <w:divBdr>
            <w:top w:val="none" w:sz="0" w:space="0" w:color="auto"/>
            <w:left w:val="none" w:sz="0" w:space="0" w:color="auto"/>
            <w:bottom w:val="none" w:sz="0" w:space="0" w:color="auto"/>
            <w:right w:val="none" w:sz="0" w:space="0" w:color="auto"/>
          </w:divBdr>
        </w:div>
        <w:div w:id="1527136335">
          <w:marLeft w:val="0"/>
          <w:marRight w:val="0"/>
          <w:marTop w:val="0"/>
          <w:marBottom w:val="0"/>
          <w:divBdr>
            <w:top w:val="none" w:sz="0" w:space="0" w:color="auto"/>
            <w:left w:val="none" w:sz="0" w:space="0" w:color="auto"/>
            <w:bottom w:val="none" w:sz="0" w:space="0" w:color="auto"/>
            <w:right w:val="none" w:sz="0" w:space="0" w:color="auto"/>
          </w:divBdr>
        </w:div>
        <w:div w:id="992443071">
          <w:marLeft w:val="0"/>
          <w:marRight w:val="0"/>
          <w:marTop w:val="0"/>
          <w:marBottom w:val="0"/>
          <w:divBdr>
            <w:top w:val="none" w:sz="0" w:space="0" w:color="auto"/>
            <w:left w:val="none" w:sz="0" w:space="0" w:color="auto"/>
            <w:bottom w:val="none" w:sz="0" w:space="0" w:color="auto"/>
            <w:right w:val="none" w:sz="0" w:space="0" w:color="auto"/>
          </w:divBdr>
        </w:div>
        <w:div w:id="635720055">
          <w:marLeft w:val="0"/>
          <w:marRight w:val="0"/>
          <w:marTop w:val="0"/>
          <w:marBottom w:val="0"/>
          <w:divBdr>
            <w:top w:val="none" w:sz="0" w:space="0" w:color="auto"/>
            <w:left w:val="none" w:sz="0" w:space="0" w:color="auto"/>
            <w:bottom w:val="none" w:sz="0" w:space="0" w:color="auto"/>
            <w:right w:val="none" w:sz="0" w:space="0" w:color="auto"/>
          </w:divBdr>
        </w:div>
        <w:div w:id="1697659937">
          <w:marLeft w:val="0"/>
          <w:marRight w:val="0"/>
          <w:marTop w:val="0"/>
          <w:marBottom w:val="0"/>
          <w:divBdr>
            <w:top w:val="none" w:sz="0" w:space="0" w:color="auto"/>
            <w:left w:val="none" w:sz="0" w:space="0" w:color="auto"/>
            <w:bottom w:val="none" w:sz="0" w:space="0" w:color="auto"/>
            <w:right w:val="none" w:sz="0" w:space="0" w:color="auto"/>
          </w:divBdr>
        </w:div>
        <w:div w:id="1175337806">
          <w:marLeft w:val="0"/>
          <w:marRight w:val="0"/>
          <w:marTop w:val="0"/>
          <w:marBottom w:val="0"/>
          <w:divBdr>
            <w:top w:val="none" w:sz="0" w:space="0" w:color="auto"/>
            <w:left w:val="none" w:sz="0" w:space="0" w:color="auto"/>
            <w:bottom w:val="none" w:sz="0" w:space="0" w:color="auto"/>
            <w:right w:val="none" w:sz="0" w:space="0" w:color="auto"/>
          </w:divBdr>
        </w:div>
        <w:div w:id="781875787">
          <w:marLeft w:val="0"/>
          <w:marRight w:val="0"/>
          <w:marTop w:val="0"/>
          <w:marBottom w:val="0"/>
          <w:divBdr>
            <w:top w:val="none" w:sz="0" w:space="0" w:color="auto"/>
            <w:left w:val="none" w:sz="0" w:space="0" w:color="auto"/>
            <w:bottom w:val="none" w:sz="0" w:space="0" w:color="auto"/>
            <w:right w:val="none" w:sz="0" w:space="0" w:color="auto"/>
          </w:divBdr>
        </w:div>
        <w:div w:id="1100567348">
          <w:marLeft w:val="0"/>
          <w:marRight w:val="0"/>
          <w:marTop w:val="0"/>
          <w:marBottom w:val="0"/>
          <w:divBdr>
            <w:top w:val="none" w:sz="0" w:space="0" w:color="auto"/>
            <w:left w:val="none" w:sz="0" w:space="0" w:color="auto"/>
            <w:bottom w:val="none" w:sz="0" w:space="0" w:color="auto"/>
            <w:right w:val="none" w:sz="0" w:space="0" w:color="auto"/>
          </w:divBdr>
        </w:div>
        <w:div w:id="458768515">
          <w:marLeft w:val="0"/>
          <w:marRight w:val="0"/>
          <w:marTop w:val="0"/>
          <w:marBottom w:val="0"/>
          <w:divBdr>
            <w:top w:val="none" w:sz="0" w:space="0" w:color="auto"/>
            <w:left w:val="none" w:sz="0" w:space="0" w:color="auto"/>
            <w:bottom w:val="none" w:sz="0" w:space="0" w:color="auto"/>
            <w:right w:val="none" w:sz="0" w:space="0" w:color="auto"/>
          </w:divBdr>
        </w:div>
        <w:div w:id="111825978">
          <w:marLeft w:val="0"/>
          <w:marRight w:val="0"/>
          <w:marTop w:val="0"/>
          <w:marBottom w:val="0"/>
          <w:divBdr>
            <w:top w:val="none" w:sz="0" w:space="0" w:color="auto"/>
            <w:left w:val="none" w:sz="0" w:space="0" w:color="auto"/>
            <w:bottom w:val="none" w:sz="0" w:space="0" w:color="auto"/>
            <w:right w:val="none" w:sz="0" w:space="0" w:color="auto"/>
          </w:divBdr>
        </w:div>
        <w:div w:id="1215653917">
          <w:marLeft w:val="0"/>
          <w:marRight w:val="0"/>
          <w:marTop w:val="0"/>
          <w:marBottom w:val="0"/>
          <w:divBdr>
            <w:top w:val="none" w:sz="0" w:space="0" w:color="auto"/>
            <w:left w:val="none" w:sz="0" w:space="0" w:color="auto"/>
            <w:bottom w:val="none" w:sz="0" w:space="0" w:color="auto"/>
            <w:right w:val="none" w:sz="0" w:space="0" w:color="auto"/>
          </w:divBdr>
        </w:div>
        <w:div w:id="1228611005">
          <w:marLeft w:val="0"/>
          <w:marRight w:val="0"/>
          <w:marTop w:val="0"/>
          <w:marBottom w:val="0"/>
          <w:divBdr>
            <w:top w:val="none" w:sz="0" w:space="0" w:color="auto"/>
            <w:left w:val="none" w:sz="0" w:space="0" w:color="auto"/>
            <w:bottom w:val="none" w:sz="0" w:space="0" w:color="auto"/>
            <w:right w:val="none" w:sz="0" w:space="0" w:color="auto"/>
          </w:divBdr>
        </w:div>
        <w:div w:id="1583030028">
          <w:marLeft w:val="0"/>
          <w:marRight w:val="0"/>
          <w:marTop w:val="0"/>
          <w:marBottom w:val="0"/>
          <w:divBdr>
            <w:top w:val="none" w:sz="0" w:space="0" w:color="auto"/>
            <w:left w:val="none" w:sz="0" w:space="0" w:color="auto"/>
            <w:bottom w:val="none" w:sz="0" w:space="0" w:color="auto"/>
            <w:right w:val="none" w:sz="0" w:space="0" w:color="auto"/>
          </w:divBdr>
        </w:div>
        <w:div w:id="497232143">
          <w:marLeft w:val="0"/>
          <w:marRight w:val="0"/>
          <w:marTop w:val="0"/>
          <w:marBottom w:val="0"/>
          <w:divBdr>
            <w:top w:val="none" w:sz="0" w:space="0" w:color="auto"/>
            <w:left w:val="none" w:sz="0" w:space="0" w:color="auto"/>
            <w:bottom w:val="none" w:sz="0" w:space="0" w:color="auto"/>
            <w:right w:val="none" w:sz="0" w:space="0" w:color="auto"/>
          </w:divBdr>
        </w:div>
        <w:div w:id="693457638">
          <w:marLeft w:val="0"/>
          <w:marRight w:val="0"/>
          <w:marTop w:val="0"/>
          <w:marBottom w:val="0"/>
          <w:divBdr>
            <w:top w:val="none" w:sz="0" w:space="0" w:color="auto"/>
            <w:left w:val="none" w:sz="0" w:space="0" w:color="auto"/>
            <w:bottom w:val="none" w:sz="0" w:space="0" w:color="auto"/>
            <w:right w:val="none" w:sz="0" w:space="0" w:color="auto"/>
          </w:divBdr>
        </w:div>
        <w:div w:id="1729256165">
          <w:marLeft w:val="0"/>
          <w:marRight w:val="0"/>
          <w:marTop w:val="0"/>
          <w:marBottom w:val="0"/>
          <w:divBdr>
            <w:top w:val="none" w:sz="0" w:space="0" w:color="auto"/>
            <w:left w:val="none" w:sz="0" w:space="0" w:color="auto"/>
            <w:bottom w:val="none" w:sz="0" w:space="0" w:color="auto"/>
            <w:right w:val="none" w:sz="0" w:space="0" w:color="auto"/>
          </w:divBdr>
        </w:div>
        <w:div w:id="831063315">
          <w:marLeft w:val="0"/>
          <w:marRight w:val="0"/>
          <w:marTop w:val="0"/>
          <w:marBottom w:val="0"/>
          <w:divBdr>
            <w:top w:val="none" w:sz="0" w:space="0" w:color="auto"/>
            <w:left w:val="none" w:sz="0" w:space="0" w:color="auto"/>
            <w:bottom w:val="none" w:sz="0" w:space="0" w:color="auto"/>
            <w:right w:val="none" w:sz="0" w:space="0" w:color="auto"/>
          </w:divBdr>
        </w:div>
        <w:div w:id="571768702">
          <w:marLeft w:val="0"/>
          <w:marRight w:val="0"/>
          <w:marTop w:val="0"/>
          <w:marBottom w:val="0"/>
          <w:divBdr>
            <w:top w:val="none" w:sz="0" w:space="0" w:color="auto"/>
            <w:left w:val="none" w:sz="0" w:space="0" w:color="auto"/>
            <w:bottom w:val="none" w:sz="0" w:space="0" w:color="auto"/>
            <w:right w:val="none" w:sz="0" w:space="0" w:color="auto"/>
          </w:divBdr>
        </w:div>
        <w:div w:id="965820350">
          <w:marLeft w:val="0"/>
          <w:marRight w:val="0"/>
          <w:marTop w:val="0"/>
          <w:marBottom w:val="0"/>
          <w:divBdr>
            <w:top w:val="none" w:sz="0" w:space="0" w:color="auto"/>
            <w:left w:val="none" w:sz="0" w:space="0" w:color="auto"/>
            <w:bottom w:val="none" w:sz="0" w:space="0" w:color="auto"/>
            <w:right w:val="none" w:sz="0" w:space="0" w:color="auto"/>
          </w:divBdr>
        </w:div>
        <w:div w:id="1704288527">
          <w:marLeft w:val="0"/>
          <w:marRight w:val="0"/>
          <w:marTop w:val="0"/>
          <w:marBottom w:val="0"/>
          <w:divBdr>
            <w:top w:val="none" w:sz="0" w:space="0" w:color="auto"/>
            <w:left w:val="none" w:sz="0" w:space="0" w:color="auto"/>
            <w:bottom w:val="none" w:sz="0" w:space="0" w:color="auto"/>
            <w:right w:val="none" w:sz="0" w:space="0" w:color="auto"/>
          </w:divBdr>
        </w:div>
        <w:div w:id="282201551">
          <w:marLeft w:val="0"/>
          <w:marRight w:val="0"/>
          <w:marTop w:val="0"/>
          <w:marBottom w:val="0"/>
          <w:divBdr>
            <w:top w:val="none" w:sz="0" w:space="0" w:color="auto"/>
            <w:left w:val="none" w:sz="0" w:space="0" w:color="auto"/>
            <w:bottom w:val="none" w:sz="0" w:space="0" w:color="auto"/>
            <w:right w:val="none" w:sz="0" w:space="0" w:color="auto"/>
          </w:divBdr>
        </w:div>
        <w:div w:id="1516075000">
          <w:marLeft w:val="0"/>
          <w:marRight w:val="0"/>
          <w:marTop w:val="0"/>
          <w:marBottom w:val="0"/>
          <w:divBdr>
            <w:top w:val="none" w:sz="0" w:space="0" w:color="auto"/>
            <w:left w:val="none" w:sz="0" w:space="0" w:color="auto"/>
            <w:bottom w:val="none" w:sz="0" w:space="0" w:color="auto"/>
            <w:right w:val="none" w:sz="0" w:space="0" w:color="auto"/>
          </w:divBdr>
        </w:div>
        <w:div w:id="432752045">
          <w:marLeft w:val="0"/>
          <w:marRight w:val="0"/>
          <w:marTop w:val="0"/>
          <w:marBottom w:val="0"/>
          <w:divBdr>
            <w:top w:val="none" w:sz="0" w:space="0" w:color="auto"/>
            <w:left w:val="none" w:sz="0" w:space="0" w:color="auto"/>
            <w:bottom w:val="none" w:sz="0" w:space="0" w:color="auto"/>
            <w:right w:val="none" w:sz="0" w:space="0" w:color="auto"/>
          </w:divBdr>
        </w:div>
        <w:div w:id="558319844">
          <w:marLeft w:val="0"/>
          <w:marRight w:val="0"/>
          <w:marTop w:val="0"/>
          <w:marBottom w:val="0"/>
          <w:divBdr>
            <w:top w:val="none" w:sz="0" w:space="0" w:color="auto"/>
            <w:left w:val="none" w:sz="0" w:space="0" w:color="auto"/>
            <w:bottom w:val="none" w:sz="0" w:space="0" w:color="auto"/>
            <w:right w:val="none" w:sz="0" w:space="0" w:color="auto"/>
          </w:divBdr>
        </w:div>
        <w:div w:id="1773237609">
          <w:marLeft w:val="0"/>
          <w:marRight w:val="0"/>
          <w:marTop w:val="0"/>
          <w:marBottom w:val="0"/>
          <w:divBdr>
            <w:top w:val="none" w:sz="0" w:space="0" w:color="auto"/>
            <w:left w:val="none" w:sz="0" w:space="0" w:color="auto"/>
            <w:bottom w:val="none" w:sz="0" w:space="0" w:color="auto"/>
            <w:right w:val="none" w:sz="0" w:space="0" w:color="auto"/>
          </w:divBdr>
        </w:div>
        <w:div w:id="1889952477">
          <w:marLeft w:val="0"/>
          <w:marRight w:val="0"/>
          <w:marTop w:val="0"/>
          <w:marBottom w:val="0"/>
          <w:divBdr>
            <w:top w:val="none" w:sz="0" w:space="0" w:color="auto"/>
            <w:left w:val="none" w:sz="0" w:space="0" w:color="auto"/>
            <w:bottom w:val="none" w:sz="0" w:space="0" w:color="auto"/>
            <w:right w:val="none" w:sz="0" w:space="0" w:color="auto"/>
          </w:divBdr>
        </w:div>
        <w:div w:id="1404832069">
          <w:marLeft w:val="0"/>
          <w:marRight w:val="0"/>
          <w:marTop w:val="0"/>
          <w:marBottom w:val="0"/>
          <w:divBdr>
            <w:top w:val="none" w:sz="0" w:space="0" w:color="auto"/>
            <w:left w:val="none" w:sz="0" w:space="0" w:color="auto"/>
            <w:bottom w:val="none" w:sz="0" w:space="0" w:color="auto"/>
            <w:right w:val="none" w:sz="0" w:space="0" w:color="auto"/>
          </w:divBdr>
        </w:div>
        <w:div w:id="506482986">
          <w:marLeft w:val="0"/>
          <w:marRight w:val="0"/>
          <w:marTop w:val="0"/>
          <w:marBottom w:val="0"/>
          <w:divBdr>
            <w:top w:val="none" w:sz="0" w:space="0" w:color="auto"/>
            <w:left w:val="none" w:sz="0" w:space="0" w:color="auto"/>
            <w:bottom w:val="none" w:sz="0" w:space="0" w:color="auto"/>
            <w:right w:val="none" w:sz="0" w:space="0" w:color="auto"/>
          </w:divBdr>
        </w:div>
        <w:div w:id="1580943522">
          <w:marLeft w:val="0"/>
          <w:marRight w:val="0"/>
          <w:marTop w:val="0"/>
          <w:marBottom w:val="0"/>
          <w:divBdr>
            <w:top w:val="none" w:sz="0" w:space="0" w:color="auto"/>
            <w:left w:val="none" w:sz="0" w:space="0" w:color="auto"/>
            <w:bottom w:val="none" w:sz="0" w:space="0" w:color="auto"/>
            <w:right w:val="none" w:sz="0" w:space="0" w:color="auto"/>
          </w:divBdr>
        </w:div>
        <w:div w:id="207113664">
          <w:marLeft w:val="0"/>
          <w:marRight w:val="0"/>
          <w:marTop w:val="0"/>
          <w:marBottom w:val="0"/>
          <w:divBdr>
            <w:top w:val="none" w:sz="0" w:space="0" w:color="auto"/>
            <w:left w:val="none" w:sz="0" w:space="0" w:color="auto"/>
            <w:bottom w:val="none" w:sz="0" w:space="0" w:color="auto"/>
            <w:right w:val="none" w:sz="0" w:space="0" w:color="auto"/>
          </w:divBdr>
        </w:div>
        <w:div w:id="1746761976">
          <w:marLeft w:val="0"/>
          <w:marRight w:val="0"/>
          <w:marTop w:val="0"/>
          <w:marBottom w:val="0"/>
          <w:divBdr>
            <w:top w:val="none" w:sz="0" w:space="0" w:color="auto"/>
            <w:left w:val="none" w:sz="0" w:space="0" w:color="auto"/>
            <w:bottom w:val="none" w:sz="0" w:space="0" w:color="auto"/>
            <w:right w:val="none" w:sz="0" w:space="0" w:color="auto"/>
          </w:divBdr>
        </w:div>
        <w:div w:id="2080249382">
          <w:marLeft w:val="0"/>
          <w:marRight w:val="0"/>
          <w:marTop w:val="0"/>
          <w:marBottom w:val="0"/>
          <w:divBdr>
            <w:top w:val="none" w:sz="0" w:space="0" w:color="auto"/>
            <w:left w:val="none" w:sz="0" w:space="0" w:color="auto"/>
            <w:bottom w:val="none" w:sz="0" w:space="0" w:color="auto"/>
            <w:right w:val="none" w:sz="0" w:space="0" w:color="auto"/>
          </w:divBdr>
        </w:div>
        <w:div w:id="925460052">
          <w:marLeft w:val="0"/>
          <w:marRight w:val="0"/>
          <w:marTop w:val="0"/>
          <w:marBottom w:val="0"/>
          <w:divBdr>
            <w:top w:val="none" w:sz="0" w:space="0" w:color="auto"/>
            <w:left w:val="none" w:sz="0" w:space="0" w:color="auto"/>
            <w:bottom w:val="none" w:sz="0" w:space="0" w:color="auto"/>
            <w:right w:val="none" w:sz="0" w:space="0" w:color="auto"/>
          </w:divBdr>
        </w:div>
        <w:div w:id="988829133">
          <w:marLeft w:val="0"/>
          <w:marRight w:val="0"/>
          <w:marTop w:val="0"/>
          <w:marBottom w:val="0"/>
          <w:divBdr>
            <w:top w:val="none" w:sz="0" w:space="0" w:color="auto"/>
            <w:left w:val="none" w:sz="0" w:space="0" w:color="auto"/>
            <w:bottom w:val="none" w:sz="0" w:space="0" w:color="auto"/>
            <w:right w:val="none" w:sz="0" w:space="0" w:color="auto"/>
          </w:divBdr>
        </w:div>
        <w:div w:id="1001813500">
          <w:marLeft w:val="0"/>
          <w:marRight w:val="0"/>
          <w:marTop w:val="0"/>
          <w:marBottom w:val="0"/>
          <w:divBdr>
            <w:top w:val="none" w:sz="0" w:space="0" w:color="auto"/>
            <w:left w:val="none" w:sz="0" w:space="0" w:color="auto"/>
            <w:bottom w:val="none" w:sz="0" w:space="0" w:color="auto"/>
            <w:right w:val="none" w:sz="0" w:space="0" w:color="auto"/>
          </w:divBdr>
        </w:div>
        <w:div w:id="1816219755">
          <w:marLeft w:val="0"/>
          <w:marRight w:val="0"/>
          <w:marTop w:val="0"/>
          <w:marBottom w:val="0"/>
          <w:divBdr>
            <w:top w:val="none" w:sz="0" w:space="0" w:color="auto"/>
            <w:left w:val="none" w:sz="0" w:space="0" w:color="auto"/>
            <w:bottom w:val="none" w:sz="0" w:space="0" w:color="auto"/>
            <w:right w:val="none" w:sz="0" w:space="0" w:color="auto"/>
          </w:divBdr>
        </w:div>
        <w:div w:id="677972135">
          <w:marLeft w:val="0"/>
          <w:marRight w:val="0"/>
          <w:marTop w:val="0"/>
          <w:marBottom w:val="0"/>
          <w:divBdr>
            <w:top w:val="none" w:sz="0" w:space="0" w:color="auto"/>
            <w:left w:val="none" w:sz="0" w:space="0" w:color="auto"/>
            <w:bottom w:val="none" w:sz="0" w:space="0" w:color="auto"/>
            <w:right w:val="none" w:sz="0" w:space="0" w:color="auto"/>
          </w:divBdr>
        </w:div>
        <w:div w:id="1831601888">
          <w:marLeft w:val="0"/>
          <w:marRight w:val="0"/>
          <w:marTop w:val="0"/>
          <w:marBottom w:val="0"/>
          <w:divBdr>
            <w:top w:val="none" w:sz="0" w:space="0" w:color="auto"/>
            <w:left w:val="none" w:sz="0" w:space="0" w:color="auto"/>
            <w:bottom w:val="none" w:sz="0" w:space="0" w:color="auto"/>
            <w:right w:val="none" w:sz="0" w:space="0" w:color="auto"/>
          </w:divBdr>
        </w:div>
        <w:div w:id="1059783846">
          <w:marLeft w:val="0"/>
          <w:marRight w:val="0"/>
          <w:marTop w:val="0"/>
          <w:marBottom w:val="0"/>
          <w:divBdr>
            <w:top w:val="none" w:sz="0" w:space="0" w:color="auto"/>
            <w:left w:val="none" w:sz="0" w:space="0" w:color="auto"/>
            <w:bottom w:val="none" w:sz="0" w:space="0" w:color="auto"/>
            <w:right w:val="none" w:sz="0" w:space="0" w:color="auto"/>
          </w:divBdr>
        </w:div>
        <w:div w:id="1330451668">
          <w:marLeft w:val="0"/>
          <w:marRight w:val="0"/>
          <w:marTop w:val="0"/>
          <w:marBottom w:val="0"/>
          <w:divBdr>
            <w:top w:val="none" w:sz="0" w:space="0" w:color="auto"/>
            <w:left w:val="none" w:sz="0" w:space="0" w:color="auto"/>
            <w:bottom w:val="none" w:sz="0" w:space="0" w:color="auto"/>
            <w:right w:val="none" w:sz="0" w:space="0" w:color="auto"/>
          </w:divBdr>
        </w:div>
        <w:div w:id="376508926">
          <w:marLeft w:val="0"/>
          <w:marRight w:val="0"/>
          <w:marTop w:val="0"/>
          <w:marBottom w:val="0"/>
          <w:divBdr>
            <w:top w:val="none" w:sz="0" w:space="0" w:color="auto"/>
            <w:left w:val="none" w:sz="0" w:space="0" w:color="auto"/>
            <w:bottom w:val="none" w:sz="0" w:space="0" w:color="auto"/>
            <w:right w:val="none" w:sz="0" w:space="0" w:color="auto"/>
          </w:divBdr>
        </w:div>
        <w:div w:id="1121147260">
          <w:marLeft w:val="0"/>
          <w:marRight w:val="0"/>
          <w:marTop w:val="0"/>
          <w:marBottom w:val="0"/>
          <w:divBdr>
            <w:top w:val="none" w:sz="0" w:space="0" w:color="auto"/>
            <w:left w:val="none" w:sz="0" w:space="0" w:color="auto"/>
            <w:bottom w:val="none" w:sz="0" w:space="0" w:color="auto"/>
            <w:right w:val="none" w:sz="0" w:space="0" w:color="auto"/>
          </w:divBdr>
        </w:div>
        <w:div w:id="433860783">
          <w:marLeft w:val="0"/>
          <w:marRight w:val="0"/>
          <w:marTop w:val="0"/>
          <w:marBottom w:val="0"/>
          <w:divBdr>
            <w:top w:val="none" w:sz="0" w:space="0" w:color="auto"/>
            <w:left w:val="none" w:sz="0" w:space="0" w:color="auto"/>
            <w:bottom w:val="none" w:sz="0" w:space="0" w:color="auto"/>
            <w:right w:val="none" w:sz="0" w:space="0" w:color="auto"/>
          </w:divBdr>
        </w:div>
        <w:div w:id="1187250696">
          <w:marLeft w:val="0"/>
          <w:marRight w:val="0"/>
          <w:marTop w:val="0"/>
          <w:marBottom w:val="0"/>
          <w:divBdr>
            <w:top w:val="none" w:sz="0" w:space="0" w:color="auto"/>
            <w:left w:val="none" w:sz="0" w:space="0" w:color="auto"/>
            <w:bottom w:val="none" w:sz="0" w:space="0" w:color="auto"/>
            <w:right w:val="none" w:sz="0" w:space="0" w:color="auto"/>
          </w:divBdr>
        </w:div>
        <w:div w:id="41910104">
          <w:marLeft w:val="0"/>
          <w:marRight w:val="0"/>
          <w:marTop w:val="0"/>
          <w:marBottom w:val="0"/>
          <w:divBdr>
            <w:top w:val="none" w:sz="0" w:space="0" w:color="auto"/>
            <w:left w:val="none" w:sz="0" w:space="0" w:color="auto"/>
            <w:bottom w:val="none" w:sz="0" w:space="0" w:color="auto"/>
            <w:right w:val="none" w:sz="0" w:space="0" w:color="auto"/>
          </w:divBdr>
        </w:div>
        <w:div w:id="1857111339">
          <w:marLeft w:val="0"/>
          <w:marRight w:val="0"/>
          <w:marTop w:val="0"/>
          <w:marBottom w:val="0"/>
          <w:divBdr>
            <w:top w:val="none" w:sz="0" w:space="0" w:color="auto"/>
            <w:left w:val="none" w:sz="0" w:space="0" w:color="auto"/>
            <w:bottom w:val="none" w:sz="0" w:space="0" w:color="auto"/>
            <w:right w:val="none" w:sz="0" w:space="0" w:color="auto"/>
          </w:divBdr>
        </w:div>
        <w:div w:id="418138334">
          <w:marLeft w:val="0"/>
          <w:marRight w:val="0"/>
          <w:marTop w:val="0"/>
          <w:marBottom w:val="0"/>
          <w:divBdr>
            <w:top w:val="none" w:sz="0" w:space="0" w:color="auto"/>
            <w:left w:val="none" w:sz="0" w:space="0" w:color="auto"/>
            <w:bottom w:val="none" w:sz="0" w:space="0" w:color="auto"/>
            <w:right w:val="none" w:sz="0" w:space="0" w:color="auto"/>
          </w:divBdr>
        </w:div>
        <w:div w:id="26026750">
          <w:marLeft w:val="0"/>
          <w:marRight w:val="0"/>
          <w:marTop w:val="0"/>
          <w:marBottom w:val="0"/>
          <w:divBdr>
            <w:top w:val="none" w:sz="0" w:space="0" w:color="auto"/>
            <w:left w:val="none" w:sz="0" w:space="0" w:color="auto"/>
            <w:bottom w:val="none" w:sz="0" w:space="0" w:color="auto"/>
            <w:right w:val="none" w:sz="0" w:space="0" w:color="auto"/>
          </w:divBdr>
        </w:div>
      </w:divsChild>
    </w:div>
    <w:div w:id="70190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8226;%09https:/consultations.health.gov.au/tga/june_2021_interim_oral_contraceptives" TargetMode="External"/><Relationship Id="rId18" Type="http://schemas.openxmlformats.org/officeDocument/2006/relationships/hyperlink" Target="https://www.tga.gov.au/publication/scheduling-handbook-guidance-amending-poisons-standard"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publication/ahmac-scheduling-policy-framework-medicines-and-chemicals" TargetMode="External"/><Relationship Id="rId2" Type="http://schemas.openxmlformats.org/officeDocument/2006/relationships/numbering" Target="numbering.xml"/><Relationship Id="rId16" Type="http://schemas.openxmlformats.org/officeDocument/2006/relationships/hyperlink" Target="https://www.tga.gov.au/sites/default/files/consultation-proposed-amendments-poisons-standard-oral-contraceptives-acms-34-june-2021.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onsultations.health.gov.au/tga/june_2021_acms_oral_contraceptives/"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tga.gov.au/publication-issue/update-dienogest-and-risk-venous-thromboembolis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sites/default/files/consultation-proposed-amendments-poisons-standard-oral-contraceptives-acms-34-june-2021.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nsultations.health.gov.au/tga/june_2021_acms_oral_contraceptives/user_uploads/ama-submission-to-the-tga---proposed-amendments-to-the-poisons-standard---june-2021-proposals---oral-contraceptives---final_redacted.pdf" TargetMode="External"/><Relationship Id="rId2" Type="http://schemas.openxmlformats.org/officeDocument/2006/relationships/hyperlink" Target="https://www.tga.gov.au/publication-issue/update-dienogest-and-risk-venous-thromboembolism" TargetMode="External"/><Relationship Id="rId1" Type="http://schemas.openxmlformats.org/officeDocument/2006/relationships/hyperlink" Target="https://www.tga.gov.au/publication-issue/update-dienogest-and-risk-venous-thromboembolism" TargetMode="External"/><Relationship Id="rId5" Type="http://schemas.openxmlformats.org/officeDocument/2006/relationships/hyperlink" Target="https://consultations.health.gov.au/tga/june_2021_acms_oral_contraceptives/user_uploadssubmitted_fpnsw-public-consultation-on-proposed-amendments-to-the-poisons-standard--oral-contraceptives--26may2021.pdf" TargetMode="External"/><Relationship Id="rId4" Type="http://schemas.openxmlformats.org/officeDocument/2006/relationships/hyperlink" Target="https://consultations.health.gov.au/tga/june_2021_acms_oral_contraceptives/user_uploads/2021may27_acms_oc_psa_sub_final_redacted.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90C25-69C6-49A0-8725-F4875C73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407</TotalTime>
  <Pages>11</Pages>
  <Words>3384</Words>
  <Characters>19291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Notice of interim decisions to amend (or not amend) the current Poisons Standard (oral contraceptive substances)</vt:lpstr>
    </vt:vector>
  </TitlesOfParts>
  <Company>TGA</Company>
  <LinksUpToDate>false</LinksUpToDate>
  <CharactersWithSpaces>22630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interim decisions to amend (or not amend) the current Poisons Standard (oral contraceptive substances)</dc:title>
  <dc:subject>scheduling</dc:subject>
  <dc:creator>Therapeutic Goods Administration</dc:creator>
  <cp:lastModifiedBy>SHEPPARD, Fran</cp:lastModifiedBy>
  <cp:revision>2</cp:revision>
  <cp:lastPrinted>2021-09-29T11:25:00Z</cp:lastPrinted>
  <dcterms:created xsi:type="dcterms:W3CDTF">2021-08-26T04:42:00Z</dcterms:created>
  <dcterms:modified xsi:type="dcterms:W3CDTF">2021-10-06T09:03:00Z</dcterms:modified>
</cp:coreProperties>
</file>