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1531D807" w14:textId="77777777" w:rsidR="001D480A" w:rsidRDefault="001E0113" w:rsidP="00ED0C8B">
            <w:pPr>
              <w:pStyle w:val="Title"/>
            </w:pPr>
            <w:r>
              <w:t>Notice of interim decisions to amend (or not amend) the current Poisons Standard</w:t>
            </w:r>
          </w:p>
          <w:p w14:paraId="24EB616A" w14:textId="77F9EAE1" w:rsidR="008C4ED5" w:rsidRPr="009401F6" w:rsidRDefault="008C4ED5" w:rsidP="00ED0C8B">
            <w:pPr>
              <w:pStyle w:val="Title"/>
            </w:pPr>
            <w:r>
              <w:t>ACMS #34</w:t>
            </w:r>
          </w:p>
        </w:tc>
      </w:tr>
      <w:tr w:rsidR="00ED0C8B" w:rsidRPr="009401F6" w14:paraId="10807413" w14:textId="77777777" w:rsidTr="00ED0C8B">
        <w:trPr>
          <w:trHeight w:val="1387"/>
        </w:trPr>
        <w:tc>
          <w:tcPr>
            <w:tcW w:w="8720" w:type="dxa"/>
          </w:tcPr>
          <w:p w14:paraId="559D5987" w14:textId="2CD43FD1" w:rsidR="001D480A" w:rsidRPr="009401F6" w:rsidRDefault="001D480A" w:rsidP="00ED0C8B">
            <w:pPr>
              <w:pStyle w:val="Subtitle"/>
              <w:ind w:left="0"/>
              <w:rPr>
                <w:lang w:eastAsia="en-AU"/>
              </w:rPr>
            </w:pPr>
          </w:p>
        </w:tc>
      </w:tr>
      <w:tr w:rsidR="00ED0C8B" w:rsidRPr="009401F6" w14:paraId="17D9CA74" w14:textId="77777777" w:rsidTr="00ED0C8B">
        <w:tc>
          <w:tcPr>
            <w:tcW w:w="8720" w:type="dxa"/>
          </w:tcPr>
          <w:p w14:paraId="2AF1C330" w14:textId="65A0FBF5" w:rsidR="00ED0C8B" w:rsidRPr="009401F6" w:rsidRDefault="00ED0C8B" w:rsidP="00EB182C">
            <w:pPr>
              <w:pStyle w:val="Date"/>
              <w:rPr>
                <w:lang w:eastAsia="en-AU"/>
              </w:rPr>
            </w:pPr>
          </w:p>
        </w:tc>
      </w:tr>
    </w:tbl>
    <w:p w14:paraId="19387898" w14:textId="77777777" w:rsidR="00BA6FF1" w:rsidRPr="009401F6" w:rsidRDefault="00BA6FF1" w:rsidP="007C7B5B">
      <w:pPr>
        <w:rPr>
          <w:lang w:eastAsia="en-AU"/>
        </w:rPr>
      </w:pPr>
    </w:p>
    <w:p w14:paraId="2677186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EF7E82" w14:textId="77777777" w:rsidR="00BA6FF1" w:rsidRPr="00C721A5" w:rsidRDefault="00BA6FF1" w:rsidP="00FE1941">
      <w:pPr>
        <w:pStyle w:val="LegalSubheading"/>
        <w:pageBreakBefore/>
      </w:pPr>
      <w:r w:rsidRPr="00C721A5">
        <w:lastRenderedPageBreak/>
        <w:t>Copyright</w:t>
      </w:r>
    </w:p>
    <w:p w14:paraId="1BD51453"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879787C" w14:textId="77777777" w:rsidR="008D2B09" w:rsidRPr="00C721A5" w:rsidRDefault="008D2B09" w:rsidP="00611B57">
      <w:pPr>
        <w:pStyle w:val="LegalSubheading"/>
        <w:rPr>
          <w:lang w:eastAsia="en-AU"/>
        </w:rPr>
      </w:pPr>
      <w:r w:rsidRPr="00C721A5">
        <w:rPr>
          <w:lang w:eastAsia="en-AU"/>
        </w:rPr>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0AAD8AF" w14:textId="77777777" w:rsidR="00B92C72" w:rsidRPr="009401F6" w:rsidRDefault="00B92C72" w:rsidP="00B92C72">
          <w:pPr>
            <w:pStyle w:val="NonTOCheading2"/>
          </w:pPr>
          <w:r w:rsidRPr="009401F6">
            <w:t>Contents</w:t>
          </w:r>
        </w:p>
        <w:p w14:paraId="57DE2F91" w14:textId="329DAE11" w:rsidR="00656E46"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83820093" w:history="1">
            <w:r w:rsidR="00656E46" w:rsidRPr="00FB52C1">
              <w:rPr>
                <w:rStyle w:val="Hyperlink"/>
                <w:noProof/>
              </w:rPr>
              <w:t>1.</w:t>
            </w:r>
            <w:r w:rsidR="00656E46">
              <w:rPr>
                <w:rFonts w:asciiTheme="minorHAnsi" w:eastAsiaTheme="minorEastAsia" w:hAnsiTheme="minorHAnsi" w:cstheme="minorBidi"/>
                <w:b w:val="0"/>
                <w:noProof/>
                <w:sz w:val="22"/>
                <w:szCs w:val="22"/>
                <w:lang w:eastAsia="en-AU"/>
              </w:rPr>
              <w:tab/>
            </w:r>
            <w:r w:rsidR="00656E46" w:rsidRPr="00FB52C1">
              <w:rPr>
                <w:rStyle w:val="Hyperlink"/>
                <w:noProof/>
              </w:rPr>
              <w:t xml:space="preserve">Notice of interim decisions made under Regulation 42ZCZN of the </w:t>
            </w:r>
            <w:r w:rsidR="00656E46" w:rsidRPr="00FB52C1">
              <w:rPr>
                <w:rStyle w:val="Hyperlink"/>
                <w:i/>
                <w:noProof/>
              </w:rPr>
              <w:t>Therapeutic Goods Regulations 1990</w:t>
            </w:r>
            <w:r w:rsidR="00656E46">
              <w:rPr>
                <w:noProof/>
                <w:webHidden/>
              </w:rPr>
              <w:tab/>
            </w:r>
            <w:r w:rsidR="00656E46">
              <w:rPr>
                <w:noProof/>
                <w:webHidden/>
              </w:rPr>
              <w:fldChar w:fldCharType="begin"/>
            </w:r>
            <w:r w:rsidR="00656E46">
              <w:rPr>
                <w:noProof/>
                <w:webHidden/>
              </w:rPr>
              <w:instrText xml:space="preserve"> PAGEREF _Toc83820093 \h </w:instrText>
            </w:r>
            <w:r w:rsidR="00656E46">
              <w:rPr>
                <w:noProof/>
                <w:webHidden/>
              </w:rPr>
            </w:r>
            <w:r w:rsidR="00656E46">
              <w:rPr>
                <w:noProof/>
                <w:webHidden/>
              </w:rPr>
              <w:fldChar w:fldCharType="separate"/>
            </w:r>
            <w:r w:rsidR="008F7828">
              <w:rPr>
                <w:noProof/>
                <w:webHidden/>
              </w:rPr>
              <w:t>4</w:t>
            </w:r>
            <w:r w:rsidR="00656E46">
              <w:rPr>
                <w:noProof/>
                <w:webHidden/>
              </w:rPr>
              <w:fldChar w:fldCharType="end"/>
            </w:r>
          </w:hyperlink>
        </w:p>
        <w:p w14:paraId="01D3B36F" w14:textId="3226F5F6" w:rsidR="00656E46" w:rsidRDefault="00EA666D">
          <w:pPr>
            <w:pStyle w:val="TOC1"/>
            <w:tabs>
              <w:tab w:val="left" w:pos="851"/>
            </w:tabs>
            <w:rPr>
              <w:rFonts w:asciiTheme="minorHAnsi" w:eastAsiaTheme="minorEastAsia" w:hAnsiTheme="minorHAnsi" w:cstheme="minorBidi"/>
              <w:b w:val="0"/>
              <w:noProof/>
              <w:sz w:val="22"/>
              <w:szCs w:val="22"/>
              <w:lang w:eastAsia="en-AU"/>
            </w:rPr>
          </w:pPr>
          <w:hyperlink w:anchor="_Toc83820094" w:history="1">
            <w:r w:rsidR="00656E46" w:rsidRPr="00FB52C1">
              <w:rPr>
                <w:rStyle w:val="Hyperlink"/>
                <w:noProof/>
              </w:rPr>
              <w:t>2.</w:t>
            </w:r>
            <w:r w:rsidR="00656E46">
              <w:rPr>
                <w:rFonts w:asciiTheme="minorHAnsi" w:eastAsiaTheme="minorEastAsia" w:hAnsiTheme="minorHAnsi" w:cstheme="minorBidi"/>
                <w:b w:val="0"/>
                <w:noProof/>
                <w:sz w:val="22"/>
                <w:szCs w:val="22"/>
                <w:lang w:eastAsia="en-AU"/>
              </w:rPr>
              <w:tab/>
            </w:r>
            <w:r w:rsidR="00656E46" w:rsidRPr="00FB52C1">
              <w:rPr>
                <w:rStyle w:val="Hyperlink"/>
                <w:noProof/>
              </w:rPr>
              <w:t>Interim decisions on proposed amendments referred to the Advisory Committee on Medicines Scheduling (ACMS #34, June 2021)</w:t>
            </w:r>
            <w:r w:rsidR="00656E46">
              <w:rPr>
                <w:noProof/>
                <w:webHidden/>
              </w:rPr>
              <w:tab/>
            </w:r>
            <w:r w:rsidR="00656E46">
              <w:rPr>
                <w:noProof/>
                <w:webHidden/>
              </w:rPr>
              <w:fldChar w:fldCharType="begin"/>
            </w:r>
            <w:r w:rsidR="00656E46">
              <w:rPr>
                <w:noProof/>
                <w:webHidden/>
              </w:rPr>
              <w:instrText xml:space="preserve"> PAGEREF _Toc83820094 \h </w:instrText>
            </w:r>
            <w:r w:rsidR="00656E46">
              <w:rPr>
                <w:noProof/>
                <w:webHidden/>
              </w:rPr>
            </w:r>
            <w:r w:rsidR="00656E46">
              <w:rPr>
                <w:noProof/>
                <w:webHidden/>
              </w:rPr>
              <w:fldChar w:fldCharType="separate"/>
            </w:r>
            <w:r w:rsidR="008F7828">
              <w:rPr>
                <w:noProof/>
                <w:webHidden/>
              </w:rPr>
              <w:t>5</w:t>
            </w:r>
            <w:r w:rsidR="00656E46">
              <w:rPr>
                <w:noProof/>
                <w:webHidden/>
              </w:rPr>
              <w:fldChar w:fldCharType="end"/>
            </w:r>
          </w:hyperlink>
        </w:p>
        <w:p w14:paraId="31975010" w14:textId="4BE53981" w:rsidR="00656E46" w:rsidRDefault="00EA666D">
          <w:pPr>
            <w:pStyle w:val="TOC2"/>
            <w:tabs>
              <w:tab w:val="left" w:pos="1276"/>
            </w:tabs>
            <w:rPr>
              <w:rFonts w:asciiTheme="minorHAnsi" w:eastAsiaTheme="minorEastAsia" w:hAnsiTheme="minorHAnsi" w:cstheme="minorBidi"/>
              <w:b w:val="0"/>
              <w:noProof/>
              <w:sz w:val="22"/>
              <w:szCs w:val="22"/>
              <w:lang w:eastAsia="en-AU"/>
            </w:rPr>
          </w:pPr>
          <w:hyperlink w:anchor="_Toc83820095" w:history="1">
            <w:r w:rsidR="00656E46" w:rsidRPr="00FB52C1">
              <w:rPr>
                <w:rStyle w:val="Hyperlink"/>
                <w:noProof/>
              </w:rPr>
              <w:t>2.1</w:t>
            </w:r>
            <w:r w:rsidR="00656E46">
              <w:rPr>
                <w:rFonts w:asciiTheme="minorHAnsi" w:eastAsiaTheme="minorEastAsia" w:hAnsiTheme="minorHAnsi" w:cstheme="minorBidi"/>
                <w:b w:val="0"/>
                <w:noProof/>
                <w:sz w:val="22"/>
                <w:szCs w:val="22"/>
                <w:lang w:eastAsia="en-AU"/>
              </w:rPr>
              <w:tab/>
            </w:r>
            <w:r w:rsidR="00656E46" w:rsidRPr="00FB52C1">
              <w:rPr>
                <w:rStyle w:val="Hyperlink"/>
                <w:noProof/>
              </w:rPr>
              <w:t>Interim decision in relation to amygdalin and hydrocyanic acid</w:t>
            </w:r>
            <w:r w:rsidR="00656E46">
              <w:rPr>
                <w:noProof/>
                <w:webHidden/>
              </w:rPr>
              <w:tab/>
            </w:r>
            <w:r w:rsidR="00656E46">
              <w:rPr>
                <w:noProof/>
                <w:webHidden/>
              </w:rPr>
              <w:fldChar w:fldCharType="begin"/>
            </w:r>
            <w:r w:rsidR="00656E46">
              <w:rPr>
                <w:noProof/>
                <w:webHidden/>
              </w:rPr>
              <w:instrText xml:space="preserve"> PAGEREF _Toc83820095 \h </w:instrText>
            </w:r>
            <w:r w:rsidR="00656E46">
              <w:rPr>
                <w:noProof/>
                <w:webHidden/>
              </w:rPr>
            </w:r>
            <w:r w:rsidR="00656E46">
              <w:rPr>
                <w:noProof/>
                <w:webHidden/>
              </w:rPr>
              <w:fldChar w:fldCharType="separate"/>
            </w:r>
            <w:r w:rsidR="008F7828">
              <w:rPr>
                <w:noProof/>
                <w:webHidden/>
              </w:rPr>
              <w:t>5</w:t>
            </w:r>
            <w:r w:rsidR="00656E46">
              <w:rPr>
                <w:noProof/>
                <w:webHidden/>
              </w:rPr>
              <w:fldChar w:fldCharType="end"/>
            </w:r>
          </w:hyperlink>
        </w:p>
        <w:p w14:paraId="14E74C23" w14:textId="149EAEDE" w:rsidR="00656E46" w:rsidRDefault="00EA666D">
          <w:pPr>
            <w:pStyle w:val="TOC3"/>
            <w:rPr>
              <w:rFonts w:asciiTheme="minorHAnsi" w:eastAsiaTheme="minorEastAsia" w:hAnsiTheme="minorHAnsi" w:cstheme="minorBidi"/>
              <w:b w:val="0"/>
              <w:noProof/>
              <w:szCs w:val="22"/>
              <w:lang w:eastAsia="en-AU"/>
            </w:rPr>
          </w:pPr>
          <w:hyperlink w:anchor="_Toc83820096" w:history="1">
            <w:r w:rsidR="00656E46" w:rsidRPr="00FB52C1">
              <w:rPr>
                <w:rStyle w:val="Hyperlink"/>
                <w:noProof/>
              </w:rPr>
              <w:t>Proposal</w:t>
            </w:r>
            <w:r w:rsidR="00656E46">
              <w:rPr>
                <w:noProof/>
                <w:webHidden/>
              </w:rPr>
              <w:tab/>
            </w:r>
            <w:r w:rsidR="00656E46">
              <w:rPr>
                <w:noProof/>
                <w:webHidden/>
              </w:rPr>
              <w:fldChar w:fldCharType="begin"/>
            </w:r>
            <w:r w:rsidR="00656E46">
              <w:rPr>
                <w:noProof/>
                <w:webHidden/>
              </w:rPr>
              <w:instrText xml:space="preserve"> PAGEREF _Toc83820096 \h </w:instrText>
            </w:r>
            <w:r w:rsidR="00656E46">
              <w:rPr>
                <w:noProof/>
                <w:webHidden/>
              </w:rPr>
            </w:r>
            <w:r w:rsidR="00656E46">
              <w:rPr>
                <w:noProof/>
                <w:webHidden/>
              </w:rPr>
              <w:fldChar w:fldCharType="separate"/>
            </w:r>
            <w:r w:rsidR="008F7828">
              <w:rPr>
                <w:noProof/>
                <w:webHidden/>
              </w:rPr>
              <w:t>5</w:t>
            </w:r>
            <w:r w:rsidR="00656E46">
              <w:rPr>
                <w:noProof/>
                <w:webHidden/>
              </w:rPr>
              <w:fldChar w:fldCharType="end"/>
            </w:r>
          </w:hyperlink>
        </w:p>
        <w:p w14:paraId="0860886D" w14:textId="7A364A0A" w:rsidR="00656E46" w:rsidRDefault="00EA666D">
          <w:pPr>
            <w:pStyle w:val="TOC3"/>
            <w:rPr>
              <w:rFonts w:asciiTheme="minorHAnsi" w:eastAsiaTheme="minorEastAsia" w:hAnsiTheme="minorHAnsi" w:cstheme="minorBidi"/>
              <w:b w:val="0"/>
              <w:noProof/>
              <w:szCs w:val="22"/>
              <w:lang w:eastAsia="en-AU"/>
            </w:rPr>
          </w:pPr>
          <w:hyperlink w:anchor="_Toc83820097" w:history="1">
            <w:r w:rsidR="00656E46" w:rsidRPr="00FB52C1">
              <w:rPr>
                <w:rStyle w:val="Hyperlink"/>
                <w:noProof/>
              </w:rPr>
              <w:t>Interim decision</w:t>
            </w:r>
            <w:r w:rsidR="00656E46">
              <w:rPr>
                <w:noProof/>
                <w:webHidden/>
              </w:rPr>
              <w:tab/>
            </w:r>
            <w:r w:rsidR="00656E46">
              <w:rPr>
                <w:noProof/>
                <w:webHidden/>
              </w:rPr>
              <w:fldChar w:fldCharType="begin"/>
            </w:r>
            <w:r w:rsidR="00656E46">
              <w:rPr>
                <w:noProof/>
                <w:webHidden/>
              </w:rPr>
              <w:instrText xml:space="preserve"> PAGEREF _Toc83820097 \h </w:instrText>
            </w:r>
            <w:r w:rsidR="00656E46">
              <w:rPr>
                <w:noProof/>
                <w:webHidden/>
              </w:rPr>
            </w:r>
            <w:r w:rsidR="00656E46">
              <w:rPr>
                <w:noProof/>
                <w:webHidden/>
              </w:rPr>
              <w:fldChar w:fldCharType="separate"/>
            </w:r>
            <w:r w:rsidR="008F7828">
              <w:rPr>
                <w:noProof/>
                <w:webHidden/>
              </w:rPr>
              <w:t>5</w:t>
            </w:r>
            <w:r w:rsidR="00656E46">
              <w:rPr>
                <w:noProof/>
                <w:webHidden/>
              </w:rPr>
              <w:fldChar w:fldCharType="end"/>
            </w:r>
          </w:hyperlink>
        </w:p>
        <w:p w14:paraId="7A5E696D" w14:textId="53F212E8" w:rsidR="00656E46" w:rsidRDefault="00EA666D">
          <w:pPr>
            <w:pStyle w:val="TOC3"/>
            <w:rPr>
              <w:rFonts w:asciiTheme="minorHAnsi" w:eastAsiaTheme="minorEastAsia" w:hAnsiTheme="minorHAnsi" w:cstheme="minorBidi"/>
              <w:b w:val="0"/>
              <w:noProof/>
              <w:szCs w:val="22"/>
              <w:lang w:eastAsia="en-AU"/>
            </w:rPr>
          </w:pPr>
          <w:hyperlink w:anchor="_Toc83820098" w:history="1">
            <w:r w:rsidR="00656E46" w:rsidRPr="00FB52C1">
              <w:rPr>
                <w:rStyle w:val="Hyperlink"/>
                <w:noProof/>
              </w:rPr>
              <w:t>Materials considered</w:t>
            </w:r>
            <w:r w:rsidR="00656E46">
              <w:rPr>
                <w:noProof/>
                <w:webHidden/>
              </w:rPr>
              <w:tab/>
            </w:r>
            <w:r w:rsidR="00656E46">
              <w:rPr>
                <w:noProof/>
                <w:webHidden/>
              </w:rPr>
              <w:fldChar w:fldCharType="begin"/>
            </w:r>
            <w:r w:rsidR="00656E46">
              <w:rPr>
                <w:noProof/>
                <w:webHidden/>
              </w:rPr>
              <w:instrText xml:space="preserve"> PAGEREF _Toc83820098 \h </w:instrText>
            </w:r>
            <w:r w:rsidR="00656E46">
              <w:rPr>
                <w:noProof/>
                <w:webHidden/>
              </w:rPr>
            </w:r>
            <w:r w:rsidR="00656E46">
              <w:rPr>
                <w:noProof/>
                <w:webHidden/>
              </w:rPr>
              <w:fldChar w:fldCharType="separate"/>
            </w:r>
            <w:r w:rsidR="008F7828">
              <w:rPr>
                <w:noProof/>
                <w:webHidden/>
              </w:rPr>
              <w:t>5</w:t>
            </w:r>
            <w:r w:rsidR="00656E46">
              <w:rPr>
                <w:noProof/>
                <w:webHidden/>
              </w:rPr>
              <w:fldChar w:fldCharType="end"/>
            </w:r>
          </w:hyperlink>
        </w:p>
        <w:p w14:paraId="12FF84C5" w14:textId="1D2E87C9" w:rsidR="00656E46" w:rsidRDefault="00EA666D">
          <w:pPr>
            <w:pStyle w:val="TOC3"/>
            <w:rPr>
              <w:rFonts w:asciiTheme="minorHAnsi" w:eastAsiaTheme="minorEastAsia" w:hAnsiTheme="minorHAnsi" w:cstheme="minorBidi"/>
              <w:b w:val="0"/>
              <w:noProof/>
              <w:szCs w:val="22"/>
              <w:lang w:eastAsia="en-AU"/>
            </w:rPr>
          </w:pPr>
          <w:hyperlink w:anchor="_Toc83820099" w:history="1">
            <w:r w:rsidR="00656E46" w:rsidRPr="00FB52C1">
              <w:rPr>
                <w:rStyle w:val="Hyperlink"/>
                <w:noProof/>
              </w:rPr>
              <w:t>Summary of ACMS advice to the delegate</w:t>
            </w:r>
            <w:r w:rsidR="00656E46">
              <w:rPr>
                <w:noProof/>
                <w:webHidden/>
              </w:rPr>
              <w:tab/>
            </w:r>
            <w:r w:rsidR="00656E46">
              <w:rPr>
                <w:noProof/>
                <w:webHidden/>
              </w:rPr>
              <w:fldChar w:fldCharType="begin"/>
            </w:r>
            <w:r w:rsidR="00656E46">
              <w:rPr>
                <w:noProof/>
                <w:webHidden/>
              </w:rPr>
              <w:instrText xml:space="preserve"> PAGEREF _Toc83820099 \h </w:instrText>
            </w:r>
            <w:r w:rsidR="00656E46">
              <w:rPr>
                <w:noProof/>
                <w:webHidden/>
              </w:rPr>
            </w:r>
            <w:r w:rsidR="00656E46">
              <w:rPr>
                <w:noProof/>
                <w:webHidden/>
              </w:rPr>
              <w:fldChar w:fldCharType="separate"/>
            </w:r>
            <w:r w:rsidR="008F7828">
              <w:rPr>
                <w:noProof/>
                <w:webHidden/>
              </w:rPr>
              <w:t>6</w:t>
            </w:r>
            <w:r w:rsidR="00656E46">
              <w:rPr>
                <w:noProof/>
                <w:webHidden/>
              </w:rPr>
              <w:fldChar w:fldCharType="end"/>
            </w:r>
          </w:hyperlink>
        </w:p>
        <w:p w14:paraId="6F952AF1" w14:textId="556B5080" w:rsidR="00656E46" w:rsidRDefault="00EA666D">
          <w:pPr>
            <w:pStyle w:val="TOC3"/>
            <w:rPr>
              <w:rFonts w:asciiTheme="minorHAnsi" w:eastAsiaTheme="minorEastAsia" w:hAnsiTheme="minorHAnsi" w:cstheme="minorBidi"/>
              <w:b w:val="0"/>
              <w:noProof/>
              <w:szCs w:val="22"/>
              <w:lang w:eastAsia="en-AU"/>
            </w:rPr>
          </w:pPr>
          <w:hyperlink w:anchor="_Toc83820100" w:history="1">
            <w:r w:rsidR="00656E46" w:rsidRPr="00FB52C1">
              <w:rPr>
                <w:rStyle w:val="Hyperlink"/>
                <w:noProof/>
              </w:rPr>
              <w:t>Reasons for the interim decision (including findings on material questions of fact)</w:t>
            </w:r>
            <w:r w:rsidR="00656E46">
              <w:rPr>
                <w:noProof/>
                <w:webHidden/>
              </w:rPr>
              <w:tab/>
            </w:r>
            <w:r w:rsidR="00656E46">
              <w:rPr>
                <w:noProof/>
                <w:webHidden/>
              </w:rPr>
              <w:fldChar w:fldCharType="begin"/>
            </w:r>
            <w:r w:rsidR="00656E46">
              <w:rPr>
                <w:noProof/>
                <w:webHidden/>
              </w:rPr>
              <w:instrText xml:space="preserve"> PAGEREF _Toc83820100 \h </w:instrText>
            </w:r>
            <w:r w:rsidR="00656E46">
              <w:rPr>
                <w:noProof/>
                <w:webHidden/>
              </w:rPr>
            </w:r>
            <w:r w:rsidR="00656E46">
              <w:rPr>
                <w:noProof/>
                <w:webHidden/>
              </w:rPr>
              <w:fldChar w:fldCharType="separate"/>
            </w:r>
            <w:r w:rsidR="008F7828">
              <w:rPr>
                <w:noProof/>
                <w:webHidden/>
              </w:rPr>
              <w:t>8</w:t>
            </w:r>
            <w:r w:rsidR="00656E46">
              <w:rPr>
                <w:noProof/>
                <w:webHidden/>
              </w:rPr>
              <w:fldChar w:fldCharType="end"/>
            </w:r>
          </w:hyperlink>
        </w:p>
        <w:p w14:paraId="489D544A" w14:textId="3366A5F5" w:rsidR="00656E46" w:rsidRDefault="00EA666D">
          <w:pPr>
            <w:pStyle w:val="TOC2"/>
            <w:tabs>
              <w:tab w:val="left" w:pos="1276"/>
            </w:tabs>
            <w:rPr>
              <w:rFonts w:asciiTheme="minorHAnsi" w:eastAsiaTheme="minorEastAsia" w:hAnsiTheme="minorHAnsi" w:cstheme="minorBidi"/>
              <w:b w:val="0"/>
              <w:noProof/>
              <w:sz w:val="22"/>
              <w:szCs w:val="22"/>
              <w:lang w:eastAsia="en-AU"/>
            </w:rPr>
          </w:pPr>
          <w:hyperlink w:anchor="_Toc83820101" w:history="1">
            <w:r w:rsidR="00656E46" w:rsidRPr="00FB52C1">
              <w:rPr>
                <w:rStyle w:val="Hyperlink"/>
                <w:noProof/>
              </w:rPr>
              <w:t>2.2</w:t>
            </w:r>
            <w:r w:rsidR="00656E46">
              <w:rPr>
                <w:rFonts w:asciiTheme="minorHAnsi" w:eastAsiaTheme="minorEastAsia" w:hAnsiTheme="minorHAnsi" w:cstheme="minorBidi"/>
                <w:b w:val="0"/>
                <w:noProof/>
                <w:sz w:val="22"/>
                <w:szCs w:val="22"/>
                <w:lang w:eastAsia="en-AU"/>
              </w:rPr>
              <w:tab/>
            </w:r>
            <w:r w:rsidR="00656E46" w:rsidRPr="00FB52C1">
              <w:rPr>
                <w:rStyle w:val="Hyperlink"/>
                <w:noProof/>
              </w:rPr>
              <w:t>Interim decision in relation to bufexamac</w:t>
            </w:r>
            <w:r w:rsidR="00656E46">
              <w:rPr>
                <w:noProof/>
                <w:webHidden/>
              </w:rPr>
              <w:tab/>
            </w:r>
            <w:r w:rsidR="00656E46">
              <w:rPr>
                <w:noProof/>
                <w:webHidden/>
              </w:rPr>
              <w:fldChar w:fldCharType="begin"/>
            </w:r>
            <w:r w:rsidR="00656E46">
              <w:rPr>
                <w:noProof/>
                <w:webHidden/>
              </w:rPr>
              <w:instrText xml:space="preserve"> PAGEREF _Toc83820101 \h </w:instrText>
            </w:r>
            <w:r w:rsidR="00656E46">
              <w:rPr>
                <w:noProof/>
                <w:webHidden/>
              </w:rPr>
            </w:r>
            <w:r w:rsidR="00656E46">
              <w:rPr>
                <w:noProof/>
                <w:webHidden/>
              </w:rPr>
              <w:fldChar w:fldCharType="separate"/>
            </w:r>
            <w:r w:rsidR="008F7828">
              <w:rPr>
                <w:noProof/>
                <w:webHidden/>
              </w:rPr>
              <w:t>10</w:t>
            </w:r>
            <w:r w:rsidR="00656E46">
              <w:rPr>
                <w:noProof/>
                <w:webHidden/>
              </w:rPr>
              <w:fldChar w:fldCharType="end"/>
            </w:r>
          </w:hyperlink>
        </w:p>
        <w:p w14:paraId="56B774B9" w14:textId="1586F230" w:rsidR="00656E46" w:rsidRDefault="00EA666D">
          <w:pPr>
            <w:pStyle w:val="TOC3"/>
            <w:rPr>
              <w:rFonts w:asciiTheme="minorHAnsi" w:eastAsiaTheme="minorEastAsia" w:hAnsiTheme="minorHAnsi" w:cstheme="minorBidi"/>
              <w:b w:val="0"/>
              <w:noProof/>
              <w:szCs w:val="22"/>
              <w:lang w:eastAsia="en-AU"/>
            </w:rPr>
          </w:pPr>
          <w:hyperlink w:anchor="_Toc83820102" w:history="1">
            <w:r w:rsidR="00656E46" w:rsidRPr="00FB52C1">
              <w:rPr>
                <w:rStyle w:val="Hyperlink"/>
                <w:noProof/>
              </w:rPr>
              <w:t>Proposal</w:t>
            </w:r>
            <w:r w:rsidR="00656E46">
              <w:rPr>
                <w:noProof/>
                <w:webHidden/>
              </w:rPr>
              <w:tab/>
            </w:r>
            <w:r w:rsidR="00656E46">
              <w:rPr>
                <w:noProof/>
                <w:webHidden/>
              </w:rPr>
              <w:fldChar w:fldCharType="begin"/>
            </w:r>
            <w:r w:rsidR="00656E46">
              <w:rPr>
                <w:noProof/>
                <w:webHidden/>
              </w:rPr>
              <w:instrText xml:space="preserve"> PAGEREF _Toc83820102 \h </w:instrText>
            </w:r>
            <w:r w:rsidR="00656E46">
              <w:rPr>
                <w:noProof/>
                <w:webHidden/>
              </w:rPr>
            </w:r>
            <w:r w:rsidR="00656E46">
              <w:rPr>
                <w:noProof/>
                <w:webHidden/>
              </w:rPr>
              <w:fldChar w:fldCharType="separate"/>
            </w:r>
            <w:r w:rsidR="008F7828">
              <w:rPr>
                <w:noProof/>
                <w:webHidden/>
              </w:rPr>
              <w:t>10</w:t>
            </w:r>
            <w:r w:rsidR="00656E46">
              <w:rPr>
                <w:noProof/>
                <w:webHidden/>
              </w:rPr>
              <w:fldChar w:fldCharType="end"/>
            </w:r>
          </w:hyperlink>
        </w:p>
        <w:p w14:paraId="5705AEE1" w14:textId="7BE54CE8" w:rsidR="00656E46" w:rsidRDefault="00EA666D">
          <w:pPr>
            <w:pStyle w:val="TOC3"/>
            <w:rPr>
              <w:rFonts w:asciiTheme="minorHAnsi" w:eastAsiaTheme="minorEastAsia" w:hAnsiTheme="minorHAnsi" w:cstheme="minorBidi"/>
              <w:b w:val="0"/>
              <w:noProof/>
              <w:szCs w:val="22"/>
              <w:lang w:eastAsia="en-AU"/>
            </w:rPr>
          </w:pPr>
          <w:hyperlink w:anchor="_Toc83820103" w:history="1">
            <w:r w:rsidR="00656E46" w:rsidRPr="00FB52C1">
              <w:rPr>
                <w:rStyle w:val="Hyperlink"/>
                <w:noProof/>
              </w:rPr>
              <w:t>Interim decision</w:t>
            </w:r>
            <w:r w:rsidR="00656E46">
              <w:rPr>
                <w:noProof/>
                <w:webHidden/>
              </w:rPr>
              <w:tab/>
            </w:r>
            <w:r w:rsidR="00656E46">
              <w:rPr>
                <w:noProof/>
                <w:webHidden/>
              </w:rPr>
              <w:fldChar w:fldCharType="begin"/>
            </w:r>
            <w:r w:rsidR="00656E46">
              <w:rPr>
                <w:noProof/>
                <w:webHidden/>
              </w:rPr>
              <w:instrText xml:space="preserve"> PAGEREF _Toc83820103 \h </w:instrText>
            </w:r>
            <w:r w:rsidR="00656E46">
              <w:rPr>
                <w:noProof/>
                <w:webHidden/>
              </w:rPr>
            </w:r>
            <w:r w:rsidR="00656E46">
              <w:rPr>
                <w:noProof/>
                <w:webHidden/>
              </w:rPr>
              <w:fldChar w:fldCharType="separate"/>
            </w:r>
            <w:r w:rsidR="008F7828">
              <w:rPr>
                <w:noProof/>
                <w:webHidden/>
              </w:rPr>
              <w:t>10</w:t>
            </w:r>
            <w:r w:rsidR="00656E46">
              <w:rPr>
                <w:noProof/>
                <w:webHidden/>
              </w:rPr>
              <w:fldChar w:fldCharType="end"/>
            </w:r>
          </w:hyperlink>
        </w:p>
        <w:p w14:paraId="1012C722" w14:textId="57F27891" w:rsidR="00656E46" w:rsidRDefault="00EA666D">
          <w:pPr>
            <w:pStyle w:val="TOC3"/>
            <w:rPr>
              <w:rFonts w:asciiTheme="minorHAnsi" w:eastAsiaTheme="minorEastAsia" w:hAnsiTheme="minorHAnsi" w:cstheme="minorBidi"/>
              <w:b w:val="0"/>
              <w:noProof/>
              <w:szCs w:val="22"/>
              <w:lang w:eastAsia="en-AU"/>
            </w:rPr>
          </w:pPr>
          <w:hyperlink w:anchor="_Toc83820104" w:history="1">
            <w:r w:rsidR="00656E46" w:rsidRPr="00FB52C1">
              <w:rPr>
                <w:rStyle w:val="Hyperlink"/>
                <w:noProof/>
              </w:rPr>
              <w:t>Materials considered</w:t>
            </w:r>
            <w:r w:rsidR="00656E46">
              <w:rPr>
                <w:noProof/>
                <w:webHidden/>
              </w:rPr>
              <w:tab/>
            </w:r>
            <w:r w:rsidR="00656E46">
              <w:rPr>
                <w:noProof/>
                <w:webHidden/>
              </w:rPr>
              <w:fldChar w:fldCharType="begin"/>
            </w:r>
            <w:r w:rsidR="00656E46">
              <w:rPr>
                <w:noProof/>
                <w:webHidden/>
              </w:rPr>
              <w:instrText xml:space="preserve"> PAGEREF _Toc83820104 \h </w:instrText>
            </w:r>
            <w:r w:rsidR="00656E46">
              <w:rPr>
                <w:noProof/>
                <w:webHidden/>
              </w:rPr>
            </w:r>
            <w:r w:rsidR="00656E46">
              <w:rPr>
                <w:noProof/>
                <w:webHidden/>
              </w:rPr>
              <w:fldChar w:fldCharType="separate"/>
            </w:r>
            <w:r w:rsidR="008F7828">
              <w:rPr>
                <w:noProof/>
                <w:webHidden/>
              </w:rPr>
              <w:t>10</w:t>
            </w:r>
            <w:r w:rsidR="00656E46">
              <w:rPr>
                <w:noProof/>
                <w:webHidden/>
              </w:rPr>
              <w:fldChar w:fldCharType="end"/>
            </w:r>
          </w:hyperlink>
        </w:p>
        <w:p w14:paraId="3B6E0B37" w14:textId="32A8DE38" w:rsidR="00656E46" w:rsidRDefault="00EA666D">
          <w:pPr>
            <w:pStyle w:val="TOC3"/>
            <w:rPr>
              <w:rFonts w:asciiTheme="minorHAnsi" w:eastAsiaTheme="minorEastAsia" w:hAnsiTheme="minorHAnsi" w:cstheme="minorBidi"/>
              <w:b w:val="0"/>
              <w:noProof/>
              <w:szCs w:val="22"/>
              <w:lang w:eastAsia="en-AU"/>
            </w:rPr>
          </w:pPr>
          <w:hyperlink w:anchor="_Toc83820105" w:history="1">
            <w:r w:rsidR="00656E46" w:rsidRPr="00FB52C1">
              <w:rPr>
                <w:rStyle w:val="Hyperlink"/>
                <w:noProof/>
              </w:rPr>
              <w:t>Summary of ACMS advice to the delegate</w:t>
            </w:r>
            <w:r w:rsidR="00656E46">
              <w:rPr>
                <w:noProof/>
                <w:webHidden/>
              </w:rPr>
              <w:tab/>
            </w:r>
            <w:r w:rsidR="00656E46">
              <w:rPr>
                <w:noProof/>
                <w:webHidden/>
              </w:rPr>
              <w:fldChar w:fldCharType="begin"/>
            </w:r>
            <w:r w:rsidR="00656E46">
              <w:rPr>
                <w:noProof/>
                <w:webHidden/>
              </w:rPr>
              <w:instrText xml:space="preserve"> PAGEREF _Toc83820105 \h </w:instrText>
            </w:r>
            <w:r w:rsidR="00656E46">
              <w:rPr>
                <w:noProof/>
                <w:webHidden/>
              </w:rPr>
            </w:r>
            <w:r w:rsidR="00656E46">
              <w:rPr>
                <w:noProof/>
                <w:webHidden/>
              </w:rPr>
              <w:fldChar w:fldCharType="separate"/>
            </w:r>
            <w:r w:rsidR="008F7828">
              <w:rPr>
                <w:noProof/>
                <w:webHidden/>
              </w:rPr>
              <w:t>11</w:t>
            </w:r>
            <w:r w:rsidR="00656E46">
              <w:rPr>
                <w:noProof/>
                <w:webHidden/>
              </w:rPr>
              <w:fldChar w:fldCharType="end"/>
            </w:r>
          </w:hyperlink>
        </w:p>
        <w:p w14:paraId="07B108BD" w14:textId="2ADDEEE1" w:rsidR="00656E46" w:rsidRDefault="00EA666D">
          <w:pPr>
            <w:pStyle w:val="TOC3"/>
            <w:rPr>
              <w:rFonts w:asciiTheme="minorHAnsi" w:eastAsiaTheme="minorEastAsia" w:hAnsiTheme="minorHAnsi" w:cstheme="minorBidi"/>
              <w:b w:val="0"/>
              <w:noProof/>
              <w:szCs w:val="22"/>
              <w:lang w:eastAsia="en-AU"/>
            </w:rPr>
          </w:pPr>
          <w:hyperlink w:anchor="_Toc83820106" w:history="1">
            <w:r w:rsidR="00656E46" w:rsidRPr="00FB52C1">
              <w:rPr>
                <w:rStyle w:val="Hyperlink"/>
                <w:noProof/>
              </w:rPr>
              <w:t>Reasons for the interim decision (including findings on material questions of fact)</w:t>
            </w:r>
            <w:r w:rsidR="00656E46">
              <w:rPr>
                <w:noProof/>
                <w:webHidden/>
              </w:rPr>
              <w:tab/>
            </w:r>
            <w:r w:rsidR="00656E46">
              <w:rPr>
                <w:noProof/>
                <w:webHidden/>
              </w:rPr>
              <w:fldChar w:fldCharType="begin"/>
            </w:r>
            <w:r w:rsidR="00656E46">
              <w:rPr>
                <w:noProof/>
                <w:webHidden/>
              </w:rPr>
              <w:instrText xml:space="preserve"> PAGEREF _Toc83820106 \h </w:instrText>
            </w:r>
            <w:r w:rsidR="00656E46">
              <w:rPr>
                <w:noProof/>
                <w:webHidden/>
              </w:rPr>
            </w:r>
            <w:r w:rsidR="00656E46">
              <w:rPr>
                <w:noProof/>
                <w:webHidden/>
              </w:rPr>
              <w:fldChar w:fldCharType="separate"/>
            </w:r>
            <w:r w:rsidR="008F7828">
              <w:rPr>
                <w:noProof/>
                <w:webHidden/>
              </w:rPr>
              <w:t>12</w:t>
            </w:r>
            <w:r w:rsidR="00656E46">
              <w:rPr>
                <w:noProof/>
                <w:webHidden/>
              </w:rPr>
              <w:fldChar w:fldCharType="end"/>
            </w:r>
          </w:hyperlink>
        </w:p>
        <w:p w14:paraId="2DA8E047" w14:textId="77A36945" w:rsidR="00656E46" w:rsidRDefault="00EA666D">
          <w:pPr>
            <w:pStyle w:val="TOC3"/>
            <w:rPr>
              <w:rFonts w:asciiTheme="minorHAnsi" w:eastAsiaTheme="minorEastAsia" w:hAnsiTheme="minorHAnsi" w:cstheme="minorBidi"/>
              <w:b w:val="0"/>
              <w:noProof/>
              <w:szCs w:val="22"/>
              <w:lang w:eastAsia="en-AU"/>
            </w:rPr>
          </w:pPr>
          <w:hyperlink w:anchor="_Toc83820107" w:history="1">
            <w:r w:rsidR="00656E46" w:rsidRPr="00FB52C1">
              <w:rPr>
                <w:rStyle w:val="Hyperlink"/>
                <w:noProof/>
              </w:rPr>
              <w:t>Proposed implementation date</w:t>
            </w:r>
            <w:r w:rsidR="00656E46">
              <w:rPr>
                <w:noProof/>
                <w:webHidden/>
              </w:rPr>
              <w:tab/>
            </w:r>
            <w:r w:rsidR="00656E46">
              <w:rPr>
                <w:noProof/>
                <w:webHidden/>
              </w:rPr>
              <w:fldChar w:fldCharType="begin"/>
            </w:r>
            <w:r w:rsidR="00656E46">
              <w:rPr>
                <w:noProof/>
                <w:webHidden/>
              </w:rPr>
              <w:instrText xml:space="preserve"> PAGEREF _Toc83820107 \h </w:instrText>
            </w:r>
            <w:r w:rsidR="00656E46">
              <w:rPr>
                <w:noProof/>
                <w:webHidden/>
              </w:rPr>
            </w:r>
            <w:r w:rsidR="00656E46">
              <w:rPr>
                <w:noProof/>
                <w:webHidden/>
              </w:rPr>
              <w:fldChar w:fldCharType="separate"/>
            </w:r>
            <w:r w:rsidR="008F7828">
              <w:rPr>
                <w:noProof/>
                <w:webHidden/>
              </w:rPr>
              <w:t>13</w:t>
            </w:r>
            <w:r w:rsidR="00656E46">
              <w:rPr>
                <w:noProof/>
                <w:webHidden/>
              </w:rPr>
              <w:fldChar w:fldCharType="end"/>
            </w:r>
          </w:hyperlink>
        </w:p>
        <w:p w14:paraId="42B0BE50" w14:textId="546DD377" w:rsidR="00656E46" w:rsidRDefault="00EA666D">
          <w:pPr>
            <w:pStyle w:val="TOC2"/>
            <w:tabs>
              <w:tab w:val="left" w:pos="1276"/>
            </w:tabs>
            <w:rPr>
              <w:rFonts w:asciiTheme="minorHAnsi" w:eastAsiaTheme="minorEastAsia" w:hAnsiTheme="minorHAnsi" w:cstheme="minorBidi"/>
              <w:b w:val="0"/>
              <w:noProof/>
              <w:sz w:val="22"/>
              <w:szCs w:val="22"/>
              <w:lang w:eastAsia="en-AU"/>
            </w:rPr>
          </w:pPr>
          <w:hyperlink w:anchor="_Toc83820108" w:history="1">
            <w:r w:rsidR="00656E46" w:rsidRPr="00FB52C1">
              <w:rPr>
                <w:rStyle w:val="Hyperlink"/>
                <w:noProof/>
              </w:rPr>
              <w:t>2.3</w:t>
            </w:r>
            <w:r w:rsidR="00656E46">
              <w:rPr>
                <w:rFonts w:asciiTheme="minorHAnsi" w:eastAsiaTheme="minorEastAsia" w:hAnsiTheme="minorHAnsi" w:cstheme="minorBidi"/>
                <w:b w:val="0"/>
                <w:noProof/>
                <w:sz w:val="22"/>
                <w:szCs w:val="22"/>
                <w:lang w:eastAsia="en-AU"/>
              </w:rPr>
              <w:tab/>
            </w:r>
            <w:r w:rsidR="00656E46" w:rsidRPr="00FB52C1">
              <w:rPr>
                <w:rStyle w:val="Hyperlink"/>
                <w:noProof/>
              </w:rPr>
              <w:t>Interim decision in relation to ibuprofen</w:t>
            </w:r>
            <w:r w:rsidR="00656E46">
              <w:rPr>
                <w:noProof/>
                <w:webHidden/>
              </w:rPr>
              <w:tab/>
            </w:r>
            <w:r w:rsidR="00656E46">
              <w:rPr>
                <w:noProof/>
                <w:webHidden/>
              </w:rPr>
              <w:fldChar w:fldCharType="begin"/>
            </w:r>
            <w:r w:rsidR="00656E46">
              <w:rPr>
                <w:noProof/>
                <w:webHidden/>
              </w:rPr>
              <w:instrText xml:space="preserve"> PAGEREF _Toc83820108 \h </w:instrText>
            </w:r>
            <w:r w:rsidR="00656E46">
              <w:rPr>
                <w:noProof/>
                <w:webHidden/>
              </w:rPr>
            </w:r>
            <w:r w:rsidR="00656E46">
              <w:rPr>
                <w:noProof/>
                <w:webHidden/>
              </w:rPr>
              <w:fldChar w:fldCharType="separate"/>
            </w:r>
            <w:r w:rsidR="008F7828">
              <w:rPr>
                <w:noProof/>
                <w:webHidden/>
              </w:rPr>
              <w:t>13</w:t>
            </w:r>
            <w:r w:rsidR="00656E46">
              <w:rPr>
                <w:noProof/>
                <w:webHidden/>
              </w:rPr>
              <w:fldChar w:fldCharType="end"/>
            </w:r>
          </w:hyperlink>
        </w:p>
        <w:p w14:paraId="1181D796" w14:textId="502AD6F5" w:rsidR="00656E46" w:rsidRDefault="00EA666D">
          <w:pPr>
            <w:pStyle w:val="TOC3"/>
            <w:rPr>
              <w:rFonts w:asciiTheme="minorHAnsi" w:eastAsiaTheme="minorEastAsia" w:hAnsiTheme="minorHAnsi" w:cstheme="minorBidi"/>
              <w:b w:val="0"/>
              <w:noProof/>
              <w:szCs w:val="22"/>
              <w:lang w:eastAsia="en-AU"/>
            </w:rPr>
          </w:pPr>
          <w:hyperlink w:anchor="_Toc83820109" w:history="1">
            <w:r w:rsidR="00656E46" w:rsidRPr="00FB52C1">
              <w:rPr>
                <w:rStyle w:val="Hyperlink"/>
                <w:noProof/>
              </w:rPr>
              <w:t>Proposal</w:t>
            </w:r>
            <w:r w:rsidR="00656E46">
              <w:rPr>
                <w:noProof/>
                <w:webHidden/>
              </w:rPr>
              <w:tab/>
            </w:r>
            <w:r w:rsidR="00656E46">
              <w:rPr>
                <w:noProof/>
                <w:webHidden/>
              </w:rPr>
              <w:fldChar w:fldCharType="begin"/>
            </w:r>
            <w:r w:rsidR="00656E46">
              <w:rPr>
                <w:noProof/>
                <w:webHidden/>
              </w:rPr>
              <w:instrText xml:space="preserve"> PAGEREF _Toc83820109 \h </w:instrText>
            </w:r>
            <w:r w:rsidR="00656E46">
              <w:rPr>
                <w:noProof/>
                <w:webHidden/>
              </w:rPr>
            </w:r>
            <w:r w:rsidR="00656E46">
              <w:rPr>
                <w:noProof/>
                <w:webHidden/>
              </w:rPr>
              <w:fldChar w:fldCharType="separate"/>
            </w:r>
            <w:r w:rsidR="008F7828">
              <w:rPr>
                <w:noProof/>
                <w:webHidden/>
              </w:rPr>
              <w:t>13</w:t>
            </w:r>
            <w:r w:rsidR="00656E46">
              <w:rPr>
                <w:noProof/>
                <w:webHidden/>
              </w:rPr>
              <w:fldChar w:fldCharType="end"/>
            </w:r>
          </w:hyperlink>
        </w:p>
        <w:p w14:paraId="3D3844C6" w14:textId="16E03B98" w:rsidR="00656E46" w:rsidRDefault="00EA666D">
          <w:pPr>
            <w:pStyle w:val="TOC3"/>
            <w:rPr>
              <w:rFonts w:asciiTheme="minorHAnsi" w:eastAsiaTheme="minorEastAsia" w:hAnsiTheme="minorHAnsi" w:cstheme="minorBidi"/>
              <w:b w:val="0"/>
              <w:noProof/>
              <w:szCs w:val="22"/>
              <w:lang w:eastAsia="en-AU"/>
            </w:rPr>
          </w:pPr>
          <w:hyperlink w:anchor="_Toc83820110" w:history="1">
            <w:r w:rsidR="00656E46" w:rsidRPr="00FB52C1">
              <w:rPr>
                <w:rStyle w:val="Hyperlink"/>
                <w:noProof/>
              </w:rPr>
              <w:t>Interim decision</w:t>
            </w:r>
            <w:r w:rsidR="00656E46">
              <w:rPr>
                <w:noProof/>
                <w:webHidden/>
              </w:rPr>
              <w:tab/>
            </w:r>
            <w:r w:rsidR="00656E46">
              <w:rPr>
                <w:noProof/>
                <w:webHidden/>
              </w:rPr>
              <w:fldChar w:fldCharType="begin"/>
            </w:r>
            <w:r w:rsidR="00656E46">
              <w:rPr>
                <w:noProof/>
                <w:webHidden/>
              </w:rPr>
              <w:instrText xml:space="preserve"> PAGEREF _Toc83820110 \h </w:instrText>
            </w:r>
            <w:r w:rsidR="00656E46">
              <w:rPr>
                <w:noProof/>
                <w:webHidden/>
              </w:rPr>
            </w:r>
            <w:r w:rsidR="00656E46">
              <w:rPr>
                <w:noProof/>
                <w:webHidden/>
              </w:rPr>
              <w:fldChar w:fldCharType="separate"/>
            </w:r>
            <w:r w:rsidR="008F7828">
              <w:rPr>
                <w:noProof/>
                <w:webHidden/>
              </w:rPr>
              <w:t>13</w:t>
            </w:r>
            <w:r w:rsidR="00656E46">
              <w:rPr>
                <w:noProof/>
                <w:webHidden/>
              </w:rPr>
              <w:fldChar w:fldCharType="end"/>
            </w:r>
          </w:hyperlink>
        </w:p>
        <w:p w14:paraId="32B32B02" w14:textId="457B9887" w:rsidR="00656E46" w:rsidRDefault="00EA666D">
          <w:pPr>
            <w:pStyle w:val="TOC3"/>
            <w:rPr>
              <w:rFonts w:asciiTheme="minorHAnsi" w:eastAsiaTheme="minorEastAsia" w:hAnsiTheme="minorHAnsi" w:cstheme="minorBidi"/>
              <w:b w:val="0"/>
              <w:noProof/>
              <w:szCs w:val="22"/>
              <w:lang w:eastAsia="en-AU"/>
            </w:rPr>
          </w:pPr>
          <w:hyperlink w:anchor="_Toc83820111" w:history="1">
            <w:r w:rsidR="00656E46" w:rsidRPr="00FB52C1">
              <w:rPr>
                <w:rStyle w:val="Hyperlink"/>
                <w:noProof/>
              </w:rPr>
              <w:t>Materials considered</w:t>
            </w:r>
            <w:r w:rsidR="00656E46">
              <w:rPr>
                <w:noProof/>
                <w:webHidden/>
              </w:rPr>
              <w:tab/>
            </w:r>
            <w:r w:rsidR="00656E46">
              <w:rPr>
                <w:noProof/>
                <w:webHidden/>
              </w:rPr>
              <w:fldChar w:fldCharType="begin"/>
            </w:r>
            <w:r w:rsidR="00656E46">
              <w:rPr>
                <w:noProof/>
                <w:webHidden/>
              </w:rPr>
              <w:instrText xml:space="preserve"> PAGEREF _Toc83820111 \h </w:instrText>
            </w:r>
            <w:r w:rsidR="00656E46">
              <w:rPr>
                <w:noProof/>
                <w:webHidden/>
              </w:rPr>
            </w:r>
            <w:r w:rsidR="00656E46">
              <w:rPr>
                <w:noProof/>
                <w:webHidden/>
              </w:rPr>
              <w:fldChar w:fldCharType="separate"/>
            </w:r>
            <w:r w:rsidR="008F7828">
              <w:rPr>
                <w:noProof/>
                <w:webHidden/>
              </w:rPr>
              <w:t>13</w:t>
            </w:r>
            <w:r w:rsidR="00656E46">
              <w:rPr>
                <w:noProof/>
                <w:webHidden/>
              </w:rPr>
              <w:fldChar w:fldCharType="end"/>
            </w:r>
          </w:hyperlink>
        </w:p>
        <w:p w14:paraId="1E85C5B8" w14:textId="16E88F32" w:rsidR="00656E46" w:rsidRDefault="00EA666D">
          <w:pPr>
            <w:pStyle w:val="TOC3"/>
            <w:rPr>
              <w:rFonts w:asciiTheme="minorHAnsi" w:eastAsiaTheme="minorEastAsia" w:hAnsiTheme="minorHAnsi" w:cstheme="minorBidi"/>
              <w:b w:val="0"/>
              <w:noProof/>
              <w:szCs w:val="22"/>
              <w:lang w:eastAsia="en-AU"/>
            </w:rPr>
          </w:pPr>
          <w:hyperlink w:anchor="_Toc83820112" w:history="1">
            <w:r w:rsidR="00656E46" w:rsidRPr="00FB52C1">
              <w:rPr>
                <w:rStyle w:val="Hyperlink"/>
                <w:noProof/>
              </w:rPr>
              <w:t>Summary of ACMS advice to the delegate</w:t>
            </w:r>
            <w:r w:rsidR="00656E46">
              <w:rPr>
                <w:noProof/>
                <w:webHidden/>
              </w:rPr>
              <w:tab/>
            </w:r>
            <w:r w:rsidR="00656E46">
              <w:rPr>
                <w:noProof/>
                <w:webHidden/>
              </w:rPr>
              <w:fldChar w:fldCharType="begin"/>
            </w:r>
            <w:r w:rsidR="00656E46">
              <w:rPr>
                <w:noProof/>
                <w:webHidden/>
              </w:rPr>
              <w:instrText xml:space="preserve"> PAGEREF _Toc83820112 \h </w:instrText>
            </w:r>
            <w:r w:rsidR="00656E46">
              <w:rPr>
                <w:noProof/>
                <w:webHidden/>
              </w:rPr>
            </w:r>
            <w:r w:rsidR="00656E46">
              <w:rPr>
                <w:noProof/>
                <w:webHidden/>
              </w:rPr>
              <w:fldChar w:fldCharType="separate"/>
            </w:r>
            <w:r w:rsidR="008F7828">
              <w:rPr>
                <w:noProof/>
                <w:webHidden/>
              </w:rPr>
              <w:t>13</w:t>
            </w:r>
            <w:r w:rsidR="00656E46">
              <w:rPr>
                <w:noProof/>
                <w:webHidden/>
              </w:rPr>
              <w:fldChar w:fldCharType="end"/>
            </w:r>
          </w:hyperlink>
        </w:p>
        <w:p w14:paraId="0CFEDD18" w14:textId="515988D3" w:rsidR="00656E46" w:rsidRDefault="00EA666D">
          <w:pPr>
            <w:pStyle w:val="TOC3"/>
            <w:rPr>
              <w:rFonts w:asciiTheme="minorHAnsi" w:eastAsiaTheme="minorEastAsia" w:hAnsiTheme="minorHAnsi" w:cstheme="minorBidi"/>
              <w:b w:val="0"/>
              <w:noProof/>
              <w:szCs w:val="22"/>
              <w:lang w:eastAsia="en-AU"/>
            </w:rPr>
          </w:pPr>
          <w:hyperlink w:anchor="_Toc83820113" w:history="1">
            <w:r w:rsidR="00656E46" w:rsidRPr="00FB52C1">
              <w:rPr>
                <w:rStyle w:val="Hyperlink"/>
                <w:noProof/>
              </w:rPr>
              <w:t>Reasons for the interim decision (including findings on material questions of fact)</w:t>
            </w:r>
            <w:r w:rsidR="00656E46">
              <w:rPr>
                <w:noProof/>
                <w:webHidden/>
              </w:rPr>
              <w:tab/>
            </w:r>
            <w:r w:rsidR="00656E46">
              <w:rPr>
                <w:noProof/>
                <w:webHidden/>
              </w:rPr>
              <w:fldChar w:fldCharType="begin"/>
            </w:r>
            <w:r w:rsidR="00656E46">
              <w:rPr>
                <w:noProof/>
                <w:webHidden/>
              </w:rPr>
              <w:instrText xml:space="preserve"> PAGEREF _Toc83820113 \h </w:instrText>
            </w:r>
            <w:r w:rsidR="00656E46">
              <w:rPr>
                <w:noProof/>
                <w:webHidden/>
              </w:rPr>
            </w:r>
            <w:r w:rsidR="00656E46">
              <w:rPr>
                <w:noProof/>
                <w:webHidden/>
              </w:rPr>
              <w:fldChar w:fldCharType="separate"/>
            </w:r>
            <w:r w:rsidR="008F7828">
              <w:rPr>
                <w:noProof/>
                <w:webHidden/>
              </w:rPr>
              <w:t>15</w:t>
            </w:r>
            <w:r w:rsidR="00656E46">
              <w:rPr>
                <w:noProof/>
                <w:webHidden/>
              </w:rPr>
              <w:fldChar w:fldCharType="end"/>
            </w:r>
          </w:hyperlink>
        </w:p>
        <w:p w14:paraId="00C73D43" w14:textId="28748C81" w:rsidR="00F8365F" w:rsidRPr="009401F6" w:rsidRDefault="006C626D" w:rsidP="008A07FF">
          <w:r w:rsidRPr="009401F6">
            <w:fldChar w:fldCharType="end"/>
          </w:r>
        </w:p>
      </w:sdtContent>
    </w:sdt>
    <w:p w14:paraId="7685D953" w14:textId="77777777" w:rsidR="001525B4" w:rsidRDefault="001E0113" w:rsidP="00D94D4D">
      <w:pPr>
        <w:pStyle w:val="Heading2"/>
        <w:rPr>
          <w:i/>
        </w:rPr>
      </w:pPr>
      <w:bookmarkStart w:id="1" w:name="_Toc60738322"/>
      <w:bookmarkStart w:id="2" w:name="_Toc83820093"/>
      <w:bookmarkEnd w:id="0"/>
      <w:r w:rsidRPr="00597B50">
        <w:lastRenderedPageBreak/>
        <w:t>Not</w:t>
      </w:r>
      <w:r>
        <w:t xml:space="preserve">ice of interim decisions made under Regulation 42ZCZN of the </w:t>
      </w:r>
      <w:r w:rsidRPr="009B574B">
        <w:rPr>
          <w:i/>
        </w:rPr>
        <w:t>Therapeutic Goods Regulations 1990</w:t>
      </w:r>
      <w:bookmarkEnd w:id="1"/>
      <w:bookmarkEnd w:id="2"/>
    </w:p>
    <w:p w14:paraId="07A51D27" w14:textId="77777777" w:rsidR="00CD1C8D" w:rsidRDefault="00CD1C8D" w:rsidP="00D94D4D">
      <w:bookmarkStart w:id="3" w:name="_Toc46323639"/>
      <w:bookmarkStart w:id="4" w:name="_Toc60738323"/>
      <w:bookmarkStart w:id="5" w:name="_Toc323738671"/>
      <w:bookmarkStart w:id="6" w:name="_Toc356305157"/>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645C0DAC" w14:textId="0713DE1A" w:rsidR="00CD1C8D" w:rsidRPr="009B574B" w:rsidRDefault="00CD1C8D" w:rsidP="00D94D4D">
      <w:pPr>
        <w:pStyle w:val="ListBullet"/>
      </w:pPr>
      <w:r w:rsidRPr="009B574B">
        <w:t>the interim decision</w:t>
      </w:r>
      <w:r w:rsidRPr="00BE3418">
        <w:t>s</w:t>
      </w:r>
      <w:r w:rsidRPr="009B574B">
        <w:t xml:space="preserve"> made by a delegate of the Secretary under r</w:t>
      </w:r>
      <w:r>
        <w:t>egulation 42ZCZN in relation to</w:t>
      </w:r>
      <w:r w:rsidRPr="009B574B">
        <w:t xml:space="preserve"> proposed amendmen</w:t>
      </w:r>
      <w:r w:rsidRPr="00BE3418">
        <w:t>ts</w:t>
      </w:r>
      <w:r w:rsidRPr="009B574B">
        <w:t xml:space="preserve"> to the</w:t>
      </w:r>
      <w:r>
        <w:t xml:space="preserve"> current Poisons Standard </w:t>
      </w:r>
      <w:r w:rsidRPr="00BE3418">
        <w:t>which were referred</w:t>
      </w:r>
      <w:r w:rsidRPr="009B574B">
        <w:t xml:space="preserve"> to an expert advisory committee under subdivision 3D.2 of the Regulations in </w:t>
      </w:r>
      <w:r w:rsidR="006C79CF">
        <w:t>June</w:t>
      </w:r>
      <w:r>
        <w:t xml:space="preserve"> 2021</w:t>
      </w:r>
      <w:r w:rsidRPr="009B574B">
        <w:t>;</w:t>
      </w:r>
    </w:p>
    <w:p w14:paraId="3A857BA4" w14:textId="77777777" w:rsidR="00CD1C8D" w:rsidRPr="009B574B" w:rsidRDefault="00CD1C8D" w:rsidP="00D94D4D">
      <w:pPr>
        <w:pStyle w:val="ListBullet"/>
      </w:pPr>
      <w:r w:rsidRPr="009B574B">
        <w:t>the proposed date of effect of the proposed amendment</w:t>
      </w:r>
      <w:r w:rsidRPr="00BE3418">
        <w:t>s</w:t>
      </w:r>
      <w:r w:rsidRPr="009B574B">
        <w:t xml:space="preserve"> (in circumstances where the interim decision proposes an amendment to the current Poisons Standard).</w:t>
      </w:r>
    </w:p>
    <w:p w14:paraId="2DE51B98" w14:textId="43FBCCDC" w:rsidR="00CD1C8D" w:rsidRDefault="00CD1C8D" w:rsidP="00D94D4D">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w:t>
      </w:r>
      <w:r w:rsidRPr="00416B66">
        <w:t>submissions to the Secretary in relation to these interim decisions on</w:t>
      </w:r>
      <w:r>
        <w:t xml:space="preserve"> or </w:t>
      </w:r>
      <w:r w:rsidRPr="0094532D">
        <w:t xml:space="preserve">before </w:t>
      </w:r>
      <w:r w:rsidR="008F0230">
        <w:rPr>
          <w:b/>
        </w:rPr>
        <w:t>1</w:t>
      </w:r>
      <w:r w:rsidR="00727926">
        <w:rPr>
          <w:b/>
        </w:rPr>
        <w:t xml:space="preserve"> </w:t>
      </w:r>
      <w:r w:rsidR="008F0230">
        <w:rPr>
          <w:b/>
        </w:rPr>
        <w:t>November</w:t>
      </w:r>
      <w:r w:rsidRPr="003D2511">
        <w:rPr>
          <w:b/>
        </w:rPr>
        <w:t xml:space="preserve"> 2021</w:t>
      </w:r>
      <w:r w:rsidRPr="0094532D">
        <w:t>.</w:t>
      </w:r>
    </w:p>
    <w:p w14:paraId="496067F7" w14:textId="77777777" w:rsidR="00CD1C8D" w:rsidRPr="00F46CB7" w:rsidRDefault="00CD1C8D" w:rsidP="00CD1C8D">
      <w:pPr>
        <w:shd w:val="clear" w:color="auto" w:fill="F1F1F1"/>
        <w:spacing w:after="120" w:line="240" w:lineRule="auto"/>
        <w:rPr>
          <w:rFonts w:eastAsia="Times New Roman"/>
          <w:i/>
          <w:color w:val="000000"/>
          <w:lang w:val="en" w:eastAsia="en-AU"/>
        </w:rPr>
      </w:pPr>
      <w:r w:rsidRPr="00F46CB7">
        <w:rPr>
          <w:rFonts w:eastAsia="Times New Roman"/>
          <w:i/>
          <w:color w:val="000000"/>
          <w:lang w:val="en" w:eastAsia="en-AU"/>
        </w:rPr>
        <w:t>We have changed the way to make submissions.</w:t>
      </w:r>
    </w:p>
    <w:p w14:paraId="12814F17" w14:textId="384B0124" w:rsidR="00CD1C8D" w:rsidRDefault="00CD1C8D" w:rsidP="00CD1C8D">
      <w:pPr>
        <w:shd w:val="clear" w:color="auto" w:fill="F1F1F1"/>
        <w:spacing w:after="120" w:line="240" w:lineRule="auto"/>
        <w:rPr>
          <w:rFonts w:eastAsia="Times New Roman"/>
          <w:color w:val="000000"/>
          <w:lang w:val="en" w:eastAsia="en-AU"/>
        </w:rPr>
      </w:pPr>
      <w:r w:rsidRPr="00150EDF">
        <w:rPr>
          <w:rFonts w:eastAsia="Times New Roman"/>
          <w:color w:val="000000"/>
          <w:lang w:val="en" w:eastAsia="en-AU"/>
        </w:rPr>
        <w:t>Submissions should</w:t>
      </w:r>
      <w:r>
        <w:rPr>
          <w:rFonts w:eastAsia="Times New Roman"/>
          <w:color w:val="000000"/>
          <w:lang w:val="en" w:eastAsia="en-AU"/>
        </w:rPr>
        <w:t xml:space="preserve"> now</w:t>
      </w:r>
      <w:r w:rsidRPr="00150EDF">
        <w:rPr>
          <w:rFonts w:eastAsia="Times New Roman"/>
          <w:color w:val="000000"/>
          <w:lang w:val="en" w:eastAsia="en-AU"/>
        </w:rPr>
        <w:t xml:space="preserve"> be provided through our </w:t>
      </w:r>
      <w:hyperlink r:id="rId13" w:history="1">
        <w:r w:rsidRPr="000041AF">
          <w:rPr>
            <w:rStyle w:val="Hyperlink"/>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7D92A59F" w14:textId="00475700" w:rsidR="00CD1C8D" w:rsidRPr="00D94D4D" w:rsidRDefault="00CD1C8D" w:rsidP="00D94D4D">
      <w:r>
        <w:t xml:space="preserve">Please note that in accordance with </w:t>
      </w:r>
      <w:proofErr w:type="spellStart"/>
      <w:r>
        <w:t>subregulation</w:t>
      </w:r>
      <w:proofErr w:type="spellEnd"/>
      <w:r>
        <w:t xml:space="preserve"> 42ZCZQ(4) of the Regulations, the Secretary must publish all relevant submissions received, unless the Secretary considers the information to be confidential information.</w:t>
      </w:r>
    </w:p>
    <w:p w14:paraId="5E5E381B" w14:textId="2FDF2471" w:rsidR="001E0113" w:rsidRDefault="001E0113" w:rsidP="00D94D4D">
      <w:pPr>
        <w:pStyle w:val="Heading2"/>
      </w:pPr>
      <w:bookmarkStart w:id="7" w:name="_Toc83820094"/>
      <w:r>
        <w:lastRenderedPageBreak/>
        <w:t xml:space="preserve">Interim </w:t>
      </w:r>
      <w:r w:rsidRPr="00371400">
        <w:t>d</w:t>
      </w:r>
      <w:r w:rsidRPr="00CD1C8D">
        <w:t xml:space="preserve">ecisions </w:t>
      </w:r>
      <w:bookmarkEnd w:id="3"/>
      <w:r w:rsidRPr="00CD1C8D">
        <w:t>on proposed amendments referred to the Advisory Committee on Medicines Scheduling (</w:t>
      </w:r>
      <w:r w:rsidR="00CD1C8D" w:rsidRPr="00CD1C8D">
        <w:t>ACMS #34, June 2021</w:t>
      </w:r>
      <w:r w:rsidRPr="00CD1C8D">
        <w:t>)</w:t>
      </w:r>
      <w:bookmarkEnd w:id="4"/>
      <w:bookmarkEnd w:id="7"/>
    </w:p>
    <w:p w14:paraId="5F9B5B3E" w14:textId="792B9AC6" w:rsidR="001E0113" w:rsidRDefault="001E0113" w:rsidP="00D94D4D">
      <w:pPr>
        <w:pStyle w:val="Heading3"/>
      </w:pPr>
      <w:bookmarkStart w:id="8" w:name="_Toc83820095"/>
      <w:r>
        <w:t xml:space="preserve">Interim decision in </w:t>
      </w:r>
      <w:r w:rsidRPr="001E0113">
        <w:t>relation</w:t>
      </w:r>
      <w:r>
        <w:t xml:space="preserve"> to </w:t>
      </w:r>
      <w:r w:rsidR="00CD1C8D">
        <w:t>amygdalin and hydrocyanic acid</w:t>
      </w:r>
      <w:bookmarkEnd w:id="8"/>
    </w:p>
    <w:p w14:paraId="786B0D09" w14:textId="65DD5D83" w:rsidR="00CD1C8D" w:rsidRPr="00C721A5" w:rsidRDefault="00CD1C8D" w:rsidP="00D94D4D">
      <w:pPr>
        <w:pStyle w:val="Heading4"/>
      </w:pPr>
      <w:bookmarkStart w:id="9" w:name="_Toc83820096"/>
      <w:r w:rsidRPr="00C721A5">
        <w:t>Proposal</w:t>
      </w:r>
      <w:bookmarkEnd w:id="9"/>
    </w:p>
    <w:p w14:paraId="75F0EF14" w14:textId="21D83695" w:rsidR="000D3AD6" w:rsidRDefault="000D3AD6" w:rsidP="00CD1C8D">
      <w:r>
        <w:t>The applicant proposed to amend the Schedule 10 entry for amygdalin to allow for unscheduled oral use as a natural component in traditional Chinese medicines in adults, with a maximum daily dose not exceeding 5 mg of amygdalin.</w:t>
      </w:r>
    </w:p>
    <w:p w14:paraId="144AF619" w14:textId="2B629714" w:rsidR="000D3AD6" w:rsidRDefault="000D3AD6" w:rsidP="00CD1C8D">
      <w:r>
        <w:t xml:space="preserve">The applicant also proposed a change to the Schedule 4 entry for hydrocyanic acid to allow for unscheduled oral </w:t>
      </w:r>
      <w:r w:rsidR="004575C9">
        <w:t xml:space="preserve">therapeutic </w:t>
      </w:r>
      <w:r>
        <w:t xml:space="preserve">use when present as a natural component in </w:t>
      </w:r>
      <w:r w:rsidR="004575C9">
        <w:t>T</w:t>
      </w:r>
      <w:r>
        <w:t xml:space="preserve">raditional Chinese </w:t>
      </w:r>
      <w:r w:rsidR="004575C9">
        <w:t>M</w:t>
      </w:r>
      <w:r>
        <w:t>edicines</w:t>
      </w:r>
      <w:r w:rsidR="004575C9">
        <w:t xml:space="preserve"> (TCM)</w:t>
      </w:r>
      <w:r>
        <w:t>, in adults with a maximum daily dose not exceeding 0.3 mg of hydrocyanic acid.</w:t>
      </w:r>
    </w:p>
    <w:p w14:paraId="753B91F2" w14:textId="0BBBD8A3" w:rsidR="000D3AD6" w:rsidRDefault="000D3AD6" w:rsidP="00CD1C8D">
      <w:r>
        <w:t xml:space="preserve">A </w:t>
      </w:r>
      <w:hyperlink r:id="rId14" w:history="1">
        <w:r w:rsidR="00891223">
          <w:rPr>
            <w:rStyle w:val="Hyperlink"/>
          </w:rPr>
          <w:t>previous</w:t>
        </w:r>
        <w:r w:rsidRPr="000D3AD6">
          <w:rPr>
            <w:rStyle w:val="Hyperlink"/>
          </w:rPr>
          <w:t xml:space="preserve"> proposal</w:t>
        </w:r>
      </w:hyperlink>
      <w:r>
        <w:t xml:space="preserve"> to amend the scheduling of amygdalin and hydrocyanic acid was also recently considered, including referral to the November 2020 meeting of the ACMS, and a </w:t>
      </w:r>
      <w:hyperlink r:id="rId15" w:history="1">
        <w:r w:rsidRPr="000D3AD6">
          <w:rPr>
            <w:rStyle w:val="Hyperlink"/>
          </w:rPr>
          <w:t>final decision</w:t>
        </w:r>
      </w:hyperlink>
      <w:r>
        <w:t xml:space="preserve"> was published on 22 April 2021.</w:t>
      </w:r>
    </w:p>
    <w:p w14:paraId="660847E4" w14:textId="28DA80AB" w:rsidR="001E0113" w:rsidRPr="00C721A5" w:rsidRDefault="00CD1C8D" w:rsidP="00D94D4D">
      <w:pPr>
        <w:pStyle w:val="Heading4"/>
      </w:pPr>
      <w:bookmarkStart w:id="10" w:name="_Toc83820097"/>
      <w:r w:rsidRPr="00C721A5">
        <w:t>Interim d</w:t>
      </w:r>
      <w:r w:rsidR="004A7E67" w:rsidRPr="00C721A5">
        <w:t>ecision</w:t>
      </w:r>
      <w:bookmarkEnd w:id="10"/>
    </w:p>
    <w:p w14:paraId="6DF249EF" w14:textId="60E9DA20" w:rsidR="00F05542" w:rsidRDefault="00F05542" w:rsidP="00F05542">
      <w:r w:rsidRPr="00A05D10">
        <w:t xml:space="preserve">Pursuant to regulation 42ZCZN of the Regulations, a Delegate of the Secretary has, in relation to the proposed amendment, made an interim decision </w:t>
      </w:r>
      <w:r w:rsidR="00357209">
        <w:t>not</w:t>
      </w:r>
      <w:r w:rsidR="00357209" w:rsidRPr="00A05D10">
        <w:t xml:space="preserve"> to amend the</w:t>
      </w:r>
      <w:r w:rsidR="00357209">
        <w:t xml:space="preserve"> scheduling for amygdalin and hydrocyanic acid in the </w:t>
      </w:r>
      <w:r w:rsidR="00357209" w:rsidRPr="00A05D10">
        <w:t>current Poisons St</w:t>
      </w:r>
      <w:r w:rsidR="00357209">
        <w:t>andard.</w:t>
      </w:r>
      <w:r w:rsidR="006A554F">
        <w:t xml:space="preserve"> A new index entry will be created for apricot kernels, with cross references to both amygdalin and hydrocyanic acid.</w:t>
      </w:r>
    </w:p>
    <w:p w14:paraId="32B98B69" w14:textId="0A434453" w:rsidR="00CD1C8D" w:rsidRPr="00C721A5" w:rsidRDefault="00CD1C8D" w:rsidP="00D94D4D">
      <w:pPr>
        <w:pStyle w:val="Heading4"/>
      </w:pPr>
      <w:bookmarkStart w:id="11" w:name="_Toc83820098"/>
      <w:r w:rsidRPr="00C721A5">
        <w:t>Materials considered</w:t>
      </w:r>
      <w:bookmarkEnd w:id="11"/>
    </w:p>
    <w:p w14:paraId="4CE2D319" w14:textId="77777777" w:rsidR="006501A1" w:rsidRDefault="006501A1" w:rsidP="006501A1">
      <w:r>
        <w:t>In making this interim decision, the Delegate considered the following material:</w:t>
      </w:r>
    </w:p>
    <w:p w14:paraId="34C949E3" w14:textId="6C6538F8" w:rsidR="006501A1" w:rsidRPr="006501A1" w:rsidRDefault="006501A1" w:rsidP="00D94D4D">
      <w:pPr>
        <w:pStyle w:val="ListBullet"/>
      </w:pPr>
      <w:r w:rsidRPr="006501A1">
        <w:t xml:space="preserve">The </w:t>
      </w:r>
      <w:hyperlink r:id="rId16" w:history="1">
        <w:r w:rsidRPr="006501A1">
          <w:rPr>
            <w:rStyle w:val="Hyperlink"/>
          </w:rPr>
          <w:t>application</w:t>
        </w:r>
      </w:hyperlink>
      <w:r w:rsidRPr="006501A1">
        <w:t xml:space="preserve"> to amend the current Poisons Standard with respect to amygdalin and hydrocyanic acid;</w:t>
      </w:r>
    </w:p>
    <w:p w14:paraId="29246135" w14:textId="14FB14B3" w:rsidR="006501A1" w:rsidRPr="006367ED" w:rsidRDefault="006501A1" w:rsidP="006501A1">
      <w:pPr>
        <w:pStyle w:val="ListBullet"/>
      </w:pPr>
      <w:r w:rsidRPr="006367ED">
        <w:t xml:space="preserve">The </w:t>
      </w:r>
      <w:r w:rsidR="006367ED" w:rsidRPr="006367ED">
        <w:t>seven</w:t>
      </w:r>
      <w:r w:rsidRPr="006367ED">
        <w:t xml:space="preserve"> </w:t>
      </w:r>
      <w:hyperlink r:id="rId17" w:history="1">
        <w:r w:rsidRPr="006367ED">
          <w:rPr>
            <w:rStyle w:val="Hyperlink"/>
          </w:rPr>
          <w:t>public submissions</w:t>
        </w:r>
      </w:hyperlink>
      <w:r w:rsidRPr="006367ED">
        <w:rPr>
          <w:rStyle w:val="Hyperlink"/>
          <w:color w:val="auto"/>
        </w:rPr>
        <w:t>,</w:t>
      </w:r>
      <w:r w:rsidRPr="006367ED">
        <w:t xml:space="preserve"> </w:t>
      </w:r>
      <w:r w:rsidR="006367ED" w:rsidRPr="006367ED">
        <w:t>all including</w:t>
      </w:r>
      <w:r w:rsidRPr="006367ED">
        <w:t xml:space="preserve"> </w:t>
      </w:r>
      <w:r w:rsidR="006367ED" w:rsidRPr="006367ED">
        <w:t xml:space="preserve">a </w:t>
      </w:r>
      <w:r w:rsidRPr="006367ED">
        <w:t xml:space="preserve">written </w:t>
      </w:r>
      <w:r w:rsidR="006367ED" w:rsidRPr="006367ED">
        <w:t>component</w:t>
      </w:r>
      <w:r w:rsidRPr="006367ED">
        <w:t xml:space="preserve">, received in response to the </w:t>
      </w:r>
      <w:hyperlink r:id="rId18" w:history="1">
        <w:r w:rsidRPr="006367ED">
          <w:rPr>
            <w:rStyle w:val="Hyperlink"/>
          </w:rPr>
          <w:t>pre-meeting consultation</w:t>
        </w:r>
      </w:hyperlink>
      <w:r w:rsidRPr="006367ED">
        <w:t xml:space="preserve"> under regulation 42ZCZK of the Regulations;</w:t>
      </w:r>
    </w:p>
    <w:p w14:paraId="73B1FCA0" w14:textId="7A30307D" w:rsidR="006501A1" w:rsidRDefault="006501A1" w:rsidP="006501A1">
      <w:pPr>
        <w:pStyle w:val="ListBullet"/>
      </w:pPr>
      <w:r>
        <w:t xml:space="preserve">The advice </w:t>
      </w:r>
      <w:r w:rsidRPr="00A825A4">
        <w:t>received from the Meeting of the Advisory Committee o</w:t>
      </w:r>
      <w:r>
        <w:t>n Medicines Scheduling (ACMS #34</w:t>
      </w:r>
      <w:r w:rsidRPr="00A825A4">
        <w:t>);</w:t>
      </w:r>
    </w:p>
    <w:p w14:paraId="64CF010D" w14:textId="0E62A892" w:rsidR="006501A1" w:rsidRDefault="006501A1" w:rsidP="006501A1">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w:t>
      </w:r>
      <w:r w:rsidR="008151EA">
        <w:t>s</w:t>
      </w:r>
      <w:r>
        <w:t xml:space="preserve"> for which a</w:t>
      </w:r>
      <w:r w:rsidR="008151EA">
        <w:t xml:space="preserve"> substance is to be used</w:t>
      </w:r>
      <w:r>
        <w:t xml:space="preserve"> and</w:t>
      </w:r>
      <w:r w:rsidR="008151EA">
        <w:t xml:space="preserve"> the</w:t>
      </w:r>
      <w:r>
        <w:t xml:space="preserve"> extent of use</w:t>
      </w:r>
      <w:r w:rsidR="008151EA">
        <w:t xml:space="preserve"> of a substance</w:t>
      </w:r>
      <w:r>
        <w:t>; (c) the toxicity of a substance; (d) the dosage, formulation, labelling, packaging and presentation of a substance; (e) the potential for abuse of a substance; and (f) any other matters that the Secretary considers necessary to protect public health;</w:t>
      </w:r>
    </w:p>
    <w:p w14:paraId="36695686" w14:textId="44B0133B" w:rsidR="006501A1" w:rsidRDefault="006501A1" w:rsidP="006501A1">
      <w:pPr>
        <w:pStyle w:val="ListBullet"/>
      </w:pPr>
      <w:r w:rsidRPr="002C1418">
        <w:t xml:space="preserve">The Australian Health Ministers’ Advisory Council’s </w:t>
      </w:r>
      <w:hyperlink r:id="rId19" w:history="1">
        <w:r w:rsidRPr="001A7580">
          <w:rPr>
            <w:rStyle w:val="Hyperlink"/>
          </w:rPr>
          <w:t>Scheduling Policy Framework</w:t>
        </w:r>
      </w:hyperlink>
      <w:r>
        <w:t xml:space="preserve"> (SPF 2018</w:t>
      </w:r>
      <w:r w:rsidRPr="002C20AE">
        <w:t>);</w:t>
      </w:r>
      <w:r>
        <w:t xml:space="preserve"> and</w:t>
      </w:r>
    </w:p>
    <w:p w14:paraId="51A0E74A" w14:textId="6B87A21F" w:rsidR="006501A1" w:rsidRPr="006501A1" w:rsidRDefault="006501A1" w:rsidP="00CD1C8D">
      <w:pPr>
        <w:pStyle w:val="ListBullet"/>
      </w:pPr>
      <w:r>
        <w:t xml:space="preserve">The </w:t>
      </w:r>
      <w:hyperlink r:id="rId20" w:history="1">
        <w:r w:rsidRPr="001A7580">
          <w:rPr>
            <w:rStyle w:val="Hyperlink"/>
          </w:rPr>
          <w:t>Scheduling handbook: Guidance for amending the Poisons Standard</w:t>
        </w:r>
      </w:hyperlink>
      <w:r>
        <w:t>.</w:t>
      </w:r>
    </w:p>
    <w:p w14:paraId="5D43EEAC" w14:textId="11C6D3A7" w:rsidR="00CD1C8D" w:rsidRPr="00C721A5" w:rsidRDefault="00CD1C8D" w:rsidP="00D94D4D">
      <w:pPr>
        <w:pStyle w:val="Heading4"/>
      </w:pPr>
      <w:bookmarkStart w:id="12" w:name="_Toc83820099"/>
      <w:r w:rsidRPr="00C721A5">
        <w:lastRenderedPageBreak/>
        <w:t>Summary of ACMS advice to the delegate</w:t>
      </w:r>
      <w:bookmarkEnd w:id="12"/>
    </w:p>
    <w:p w14:paraId="2E37CF9B" w14:textId="06ADEC4E" w:rsidR="0023227D" w:rsidRDefault="0023227D" w:rsidP="0023227D">
      <w:r>
        <w:t xml:space="preserve">The Committee advised that the current scheduling for amygdalin and hydrocyanic acid remains appropriate, with </w:t>
      </w:r>
      <w:r w:rsidR="004575C9">
        <w:t xml:space="preserve">recommendation to </w:t>
      </w:r>
      <w:r>
        <w:t>add a</w:t>
      </w:r>
      <w:r w:rsidR="006A554F">
        <w:t xml:space="preserve"> new index entry for</w:t>
      </w:r>
      <w:r>
        <w:t xml:space="preserve"> ‘apricot kernels’</w:t>
      </w:r>
      <w:r w:rsidR="006A554F">
        <w:t xml:space="preserve"> with cross references</w:t>
      </w:r>
      <w:r>
        <w:t xml:space="preserve"> in the index entr</w:t>
      </w:r>
      <w:r w:rsidR="006A554F">
        <w:t>ies</w:t>
      </w:r>
      <w:r>
        <w:t xml:space="preserve"> for </w:t>
      </w:r>
      <w:r w:rsidR="006A554F">
        <w:t>both amygdalin and hydrocyanic acid</w:t>
      </w:r>
      <w:r>
        <w:t>:</w:t>
      </w:r>
    </w:p>
    <w:p w14:paraId="742ECF68" w14:textId="6410E9F6" w:rsidR="006A554F" w:rsidRDefault="006A554F" w:rsidP="0023227D">
      <w:pPr>
        <w:ind w:left="709"/>
        <w:rPr>
          <w:b/>
        </w:rPr>
      </w:pPr>
      <w:r>
        <w:rPr>
          <w:b/>
        </w:rPr>
        <w:t>Index – New Entry</w:t>
      </w:r>
    </w:p>
    <w:p w14:paraId="77EC78D3" w14:textId="4C072B45" w:rsidR="006A554F" w:rsidRDefault="006A554F" w:rsidP="0023227D">
      <w:pPr>
        <w:ind w:left="709"/>
        <w:rPr>
          <w:b/>
        </w:rPr>
      </w:pPr>
      <w:r w:rsidRPr="00D25C52">
        <w:rPr>
          <w:b/>
          <w:color w:val="00B050"/>
        </w:rPr>
        <w:t>APRICOT KERNELS</w:t>
      </w:r>
      <w:r w:rsidRPr="00D25C52">
        <w:rPr>
          <w:b/>
          <w:color w:val="00B050"/>
        </w:rPr>
        <w:br/>
      </w:r>
      <w:r w:rsidRPr="00D25C52">
        <w:rPr>
          <w:bCs/>
          <w:color w:val="00B050"/>
        </w:rPr>
        <w:t>cross reference: AMYGDALIN, HYDROCYANIC ACID</w:t>
      </w:r>
    </w:p>
    <w:p w14:paraId="2E242AFA" w14:textId="0661E22F" w:rsidR="0023227D" w:rsidRPr="00360473" w:rsidRDefault="0023227D" w:rsidP="0023227D">
      <w:pPr>
        <w:ind w:left="709"/>
        <w:rPr>
          <w:b/>
        </w:rPr>
      </w:pPr>
      <w:r w:rsidRPr="00360473">
        <w:rPr>
          <w:b/>
        </w:rPr>
        <w:t>Index – Amend Entry</w:t>
      </w:r>
    </w:p>
    <w:p w14:paraId="3C917F1B" w14:textId="77777777" w:rsidR="0023227D" w:rsidRDefault="0023227D" w:rsidP="0023227D">
      <w:pPr>
        <w:ind w:left="709"/>
      </w:pPr>
      <w:r w:rsidRPr="00360473">
        <w:rPr>
          <w:b/>
        </w:rPr>
        <w:t>AMYGDALIN</w:t>
      </w:r>
      <w:r>
        <w:br/>
      </w:r>
      <w:r w:rsidRPr="00360473">
        <w:rPr>
          <w:color w:val="00B050"/>
        </w:rPr>
        <w:t>cross reference: APRICOT KERNELS</w:t>
      </w:r>
    </w:p>
    <w:p w14:paraId="34C5F0D2" w14:textId="77777777" w:rsidR="0023227D" w:rsidRDefault="0023227D" w:rsidP="0023227D">
      <w:pPr>
        <w:ind w:left="709"/>
      </w:pPr>
      <w:r>
        <w:t>Schedule 10</w:t>
      </w:r>
    </w:p>
    <w:p w14:paraId="28B4831B" w14:textId="77777777" w:rsidR="0023227D" w:rsidRDefault="0023227D" w:rsidP="0023227D">
      <w:pPr>
        <w:ind w:left="709"/>
      </w:pPr>
      <w:r w:rsidRPr="00360473">
        <w:rPr>
          <w:b/>
        </w:rPr>
        <w:t>HYDROCYANIC ACID</w:t>
      </w:r>
      <w:r>
        <w:br/>
      </w:r>
      <w:r w:rsidRPr="00360473">
        <w:t>cross reference: CYANIDES</w:t>
      </w:r>
      <w:r>
        <w:rPr>
          <w:color w:val="00B050"/>
        </w:rPr>
        <w:t xml:space="preserve">, </w:t>
      </w:r>
      <w:r w:rsidRPr="00360473">
        <w:rPr>
          <w:color w:val="00B050"/>
        </w:rPr>
        <w:t>APRICOT KERNELS</w:t>
      </w:r>
    </w:p>
    <w:p w14:paraId="30165BFB" w14:textId="77777777" w:rsidR="0023227D" w:rsidRDefault="0023227D" w:rsidP="0023227D">
      <w:pPr>
        <w:ind w:left="709"/>
      </w:pPr>
      <w:r>
        <w:t>Schedule 7</w:t>
      </w:r>
      <w:r>
        <w:br/>
        <w:t>Schedule 4</w:t>
      </w:r>
      <w:r>
        <w:br/>
        <w:t>Appendix F, Part 3</w:t>
      </w:r>
      <w:r>
        <w:br/>
        <w:t>Appendix G</w:t>
      </w:r>
      <w:r>
        <w:br/>
        <w:t>Appendix J, Part 2</w:t>
      </w:r>
    </w:p>
    <w:p w14:paraId="13B2717B" w14:textId="741B4C11" w:rsidR="0023227D" w:rsidRDefault="0023227D" w:rsidP="00CD1C8D">
      <w:r>
        <w:t xml:space="preserve">The Committee also recommended an implementation date of </w:t>
      </w:r>
      <w:r w:rsidRPr="00D47415">
        <w:rPr>
          <w:b/>
        </w:rPr>
        <w:t xml:space="preserve">1 </w:t>
      </w:r>
      <w:r w:rsidR="00BC61AE">
        <w:rPr>
          <w:b/>
        </w:rPr>
        <w:t>February 2022</w:t>
      </w:r>
      <w:r w:rsidRPr="000460D2">
        <w:t>.</w:t>
      </w:r>
    </w:p>
    <w:p w14:paraId="6DF3DB33" w14:textId="5EE843FA" w:rsidR="0023227D" w:rsidRDefault="0023227D" w:rsidP="0023227D">
      <w:r>
        <w:t xml:space="preserve">Members agreed that the relevant matters under Section 52E(1) of the </w:t>
      </w:r>
      <w:r w:rsidRPr="00AC262B">
        <w:rPr>
          <w:i/>
        </w:rPr>
        <w:t>Therapeutic Goods Act 1989</w:t>
      </w:r>
      <w:r>
        <w:t xml:space="preserve"> included: (a) the risks and benefits of the use of a substance; (b) </w:t>
      </w:r>
      <w:r w:rsidR="008151EA">
        <w:t>the purposes for which a substance is to be used and the extent of use of a substance</w:t>
      </w:r>
      <w:r>
        <w:t xml:space="preserve">; (c) the toxicity of a substance; (d) the dosage, formulation, labelling, packaging and presentation of a substance; (e) the potential for abuse of a substance; and (f) any other matters that the Secretary considers necessary to protect public health. </w:t>
      </w:r>
    </w:p>
    <w:p w14:paraId="35E68777" w14:textId="43975219" w:rsidR="0023227D" w:rsidRDefault="0023227D" w:rsidP="00CD1C8D">
      <w:r>
        <w:t>The reasons for the advice included:</w:t>
      </w:r>
    </w:p>
    <w:p w14:paraId="1F52FEAF" w14:textId="6011FA9B" w:rsidR="00D52AB5" w:rsidRPr="00ED7D5A" w:rsidRDefault="00D52AB5" w:rsidP="00D94D4D">
      <w:pPr>
        <w:pStyle w:val="Numberbulleta"/>
      </w:pPr>
      <w:r w:rsidRPr="00ED7D5A">
        <w:t>the risks and benefits of the use of a substance</w:t>
      </w:r>
    </w:p>
    <w:p w14:paraId="4E013B97" w14:textId="77777777" w:rsidR="00D52AB5" w:rsidRPr="00ED7D5A" w:rsidRDefault="00D52AB5" w:rsidP="00D52AB5">
      <w:pPr>
        <w:pStyle w:val="ListBullet"/>
        <w:numPr>
          <w:ilvl w:val="0"/>
          <w:numId w:val="0"/>
        </w:numPr>
        <w:ind w:left="425"/>
      </w:pPr>
      <w:r w:rsidRPr="00ED7D5A">
        <w:t>Risks:</w:t>
      </w:r>
    </w:p>
    <w:p w14:paraId="2057FCA7" w14:textId="04177BEE" w:rsidR="00D52AB5" w:rsidRPr="00ED7D5A" w:rsidRDefault="00D52AB5" w:rsidP="00D52AB5">
      <w:pPr>
        <w:pStyle w:val="ListBullet2"/>
      </w:pPr>
      <w:bookmarkStart w:id="13" w:name="_Hlk78881498"/>
      <w:r w:rsidRPr="00ED7D5A">
        <w:t>Risk outweighs benefit as an exemption from scheduling the substance due to concerns about use in children and inappropriate uses, including as a cancer therapy and for COVID-19, which may result in increased severity of illness and even death.</w:t>
      </w:r>
    </w:p>
    <w:p w14:paraId="6A84629D" w14:textId="407294A5" w:rsidR="00D52AB5" w:rsidRPr="00ED7D5A" w:rsidRDefault="00D52AB5" w:rsidP="00D52AB5">
      <w:pPr>
        <w:pStyle w:val="ListBullet2"/>
      </w:pPr>
      <w:r w:rsidRPr="00ED7D5A">
        <w:t>Exemption from scheduling would mean the public has direct access to these products without consultation with a health professional.</w:t>
      </w:r>
    </w:p>
    <w:bookmarkEnd w:id="13"/>
    <w:p w14:paraId="73C819F7" w14:textId="77777777" w:rsidR="00D52AB5" w:rsidRPr="00ED7D5A" w:rsidRDefault="00D52AB5" w:rsidP="00D52AB5">
      <w:pPr>
        <w:pStyle w:val="ListBullet"/>
        <w:numPr>
          <w:ilvl w:val="0"/>
          <w:numId w:val="0"/>
        </w:numPr>
        <w:ind w:left="425"/>
      </w:pPr>
      <w:r w:rsidRPr="00ED7D5A">
        <w:t>Benefits:</w:t>
      </w:r>
    </w:p>
    <w:p w14:paraId="5E991F60" w14:textId="77777777" w:rsidR="00D52AB5" w:rsidRPr="00ED7D5A" w:rsidRDefault="00D52AB5" w:rsidP="00D94D4D">
      <w:pPr>
        <w:pStyle w:val="ListBullet2"/>
      </w:pPr>
      <w:bookmarkStart w:id="14" w:name="_Hlk78881524"/>
      <w:r w:rsidRPr="00ED7D5A">
        <w:t xml:space="preserve">Limited evidence </w:t>
      </w:r>
      <w:r>
        <w:t xml:space="preserve">presented to demonstrate </w:t>
      </w:r>
      <w:r w:rsidRPr="00ED7D5A">
        <w:t>benefit</w:t>
      </w:r>
      <w:r>
        <w:t>s</w:t>
      </w:r>
      <w:r w:rsidRPr="00ED7D5A">
        <w:t xml:space="preserve"> other than increased access.</w:t>
      </w:r>
    </w:p>
    <w:bookmarkEnd w:id="14"/>
    <w:p w14:paraId="33558F73" w14:textId="69C57EDA" w:rsidR="00D52AB5" w:rsidRPr="00ED7D5A" w:rsidRDefault="00D52AB5" w:rsidP="00D94D4D">
      <w:pPr>
        <w:pStyle w:val="Numberbulleta"/>
      </w:pPr>
      <w:r w:rsidRPr="00ED7D5A">
        <w:t>the purposes for which a substance is to be used and the extent of use of a substance</w:t>
      </w:r>
    </w:p>
    <w:p w14:paraId="746D05FE" w14:textId="1DDAAB5A" w:rsidR="00D52AB5" w:rsidRPr="00ED7D5A" w:rsidRDefault="00D52AB5" w:rsidP="00D52AB5">
      <w:pPr>
        <w:pStyle w:val="ListBullet2"/>
        <w:rPr>
          <w:rFonts w:eastAsia="Times New Roman"/>
        </w:rPr>
      </w:pPr>
      <w:bookmarkStart w:id="15" w:name="_Hlk78881555"/>
      <w:r>
        <w:t>Therapeutic</w:t>
      </w:r>
      <w:r w:rsidRPr="00ED7D5A">
        <w:t xml:space="preserve"> purpose of use not well defined in the application, </w:t>
      </w:r>
      <w:r>
        <w:t>though a</w:t>
      </w:r>
      <w:r w:rsidRPr="00ED7D5A">
        <w:t xml:space="preserve"> long history of use in TCM</w:t>
      </w:r>
      <w:r>
        <w:t xml:space="preserve"> was described</w:t>
      </w:r>
      <w:r w:rsidRPr="00ED7D5A">
        <w:t>.</w:t>
      </w:r>
      <w:r>
        <w:t xml:space="preserve"> Most of the claimed indications are conditions which require management by a medical practitioner.</w:t>
      </w:r>
    </w:p>
    <w:p w14:paraId="158BCB99" w14:textId="77777777" w:rsidR="00D52AB5" w:rsidRPr="00ED7D5A" w:rsidRDefault="00D52AB5" w:rsidP="00D52AB5">
      <w:pPr>
        <w:pStyle w:val="ListBullet2"/>
        <w:rPr>
          <w:rFonts w:eastAsia="Times New Roman"/>
        </w:rPr>
      </w:pPr>
      <w:r w:rsidRPr="00ED7D5A">
        <w:lastRenderedPageBreak/>
        <w:t>Amygdalin and hydrocyanic acid (released by the natural degradation of amygdalin by enzymes in the plant preparation) occur naturally in plants used in TCM for health conditions described within the philosophy (theory, pathology, diagnosis, treatment and herbal pharmacology principles) of TCM.</w:t>
      </w:r>
    </w:p>
    <w:bookmarkEnd w:id="15"/>
    <w:p w14:paraId="2F0E7CD5" w14:textId="3BA1CDCD" w:rsidR="00D52AB5" w:rsidRPr="00ED7D5A" w:rsidRDefault="00D52AB5" w:rsidP="00D94D4D">
      <w:pPr>
        <w:pStyle w:val="Numberbulleta"/>
      </w:pPr>
      <w:r w:rsidRPr="00ED7D5A">
        <w:t>the toxicity of a substance</w:t>
      </w:r>
    </w:p>
    <w:p w14:paraId="59D7BF75" w14:textId="77777777" w:rsidR="00D52AB5" w:rsidRPr="00ED7D5A" w:rsidRDefault="00D52AB5" w:rsidP="00D52AB5">
      <w:pPr>
        <w:pStyle w:val="ListBullet2"/>
        <w:rPr>
          <w:rFonts w:eastAsia="Times New Roman"/>
        </w:rPr>
      </w:pPr>
      <w:bookmarkStart w:id="16" w:name="_Hlk78881591"/>
      <w:r w:rsidRPr="00ED7D5A">
        <w:t>Amygdalin exhibit considerable toxicity due the production of hydrocyanic acid (HCN) following hydrolysis.</w:t>
      </w:r>
    </w:p>
    <w:p w14:paraId="44D8E1AA" w14:textId="1F947218" w:rsidR="00D52AB5" w:rsidRPr="00ED7D5A" w:rsidRDefault="00D52AB5" w:rsidP="00D52AB5">
      <w:pPr>
        <w:pStyle w:val="ListBullet2"/>
      </w:pPr>
      <w:r w:rsidRPr="00ED7D5A">
        <w:t>HCN is highly toxic. While toxicity is dose related, there is also significant inter-</w:t>
      </w:r>
      <w:r w:rsidR="00D94D4D">
        <w:t> </w:t>
      </w:r>
      <w:r w:rsidRPr="00ED7D5A">
        <w:t>individual variability.</w:t>
      </w:r>
    </w:p>
    <w:p w14:paraId="4F5621C1" w14:textId="77777777" w:rsidR="00D52AB5" w:rsidRPr="00ED7D5A" w:rsidRDefault="00D52AB5" w:rsidP="00D52AB5">
      <w:pPr>
        <w:pStyle w:val="ListBullet2"/>
        <w:rPr>
          <w:rFonts w:eastAsia="Times New Roman"/>
        </w:rPr>
      </w:pPr>
      <w:r w:rsidRPr="00ED7D5A">
        <w:t>Complete degradation of 1g amygdalin releases 59mg of hydrocyanic acid (5mg amygdalin would be equivalent to 0.3mg HCN). Cyanide is readily absorbed reaching maximum blood levels within minutes and is distributed to all organs. The primary mode of action by which cyanide exerts acute toxicity is the inhibition of oxidative phosphorylation</w:t>
      </w:r>
      <w:r w:rsidRPr="00ED7D5A">
        <w:rPr>
          <w:rStyle w:val="FootnoteReference"/>
          <w:color w:val="000000"/>
        </w:rPr>
        <w:footnoteReference w:id="1"/>
      </w:r>
      <w:r w:rsidRPr="00ED7D5A">
        <w:t>.</w:t>
      </w:r>
    </w:p>
    <w:p w14:paraId="3659D1A4" w14:textId="77777777" w:rsidR="00D52AB5" w:rsidRPr="00ED7D5A" w:rsidRDefault="00D52AB5" w:rsidP="00D52AB5">
      <w:pPr>
        <w:pStyle w:val="ListBullet2"/>
      </w:pPr>
      <w:r w:rsidRPr="00ED7D5A">
        <w:t>In humans, the lethal oral dose of HCN is reported to be 0.5–3.5 mg/kg body weight. A level of 0.5 mg/L (approximately 20 mM) of cyanide in blood is cited in the literature as a toxicity threshold in humans</w:t>
      </w:r>
      <w:r w:rsidRPr="00ED7D5A">
        <w:rPr>
          <w:rStyle w:val="FootnoteReference"/>
          <w:b/>
          <w:color w:val="000000"/>
        </w:rPr>
        <w:footnoteReference w:id="2"/>
      </w:r>
      <w:r w:rsidRPr="00ED7D5A">
        <w:t>.</w:t>
      </w:r>
    </w:p>
    <w:p w14:paraId="2ECC42F7" w14:textId="3C0D8DC4" w:rsidR="00D52AB5" w:rsidRPr="002274DD" w:rsidRDefault="00D52AB5" w:rsidP="00D52AB5">
      <w:pPr>
        <w:pStyle w:val="ListBullet2"/>
        <w:rPr>
          <w:rFonts w:eastAsia="Times New Roman"/>
        </w:rPr>
      </w:pPr>
      <w:r w:rsidRPr="00ED7D5A">
        <w:t>A series of poisoning cases are reported from ingestion of preparations containing amygdalin and bitter apricot kernels.</w:t>
      </w:r>
    </w:p>
    <w:p w14:paraId="6D31D505" w14:textId="090701E6" w:rsidR="00D52AB5" w:rsidRPr="00E3429D" w:rsidRDefault="00D52AB5" w:rsidP="00D52AB5">
      <w:pPr>
        <w:pStyle w:val="ListBullet2"/>
        <w:rPr>
          <w:rFonts w:eastAsia="Times New Roman"/>
        </w:rPr>
      </w:pPr>
      <w:r w:rsidRPr="00ED7D5A">
        <w:t>Concerns about quality control and risk of higher amygdalin levels being present.</w:t>
      </w:r>
      <w:bookmarkEnd w:id="16"/>
    </w:p>
    <w:p w14:paraId="2BC6121C" w14:textId="3220B73F" w:rsidR="00D52AB5" w:rsidRPr="00ED7D5A" w:rsidRDefault="00D52AB5" w:rsidP="00D94D4D">
      <w:pPr>
        <w:pStyle w:val="Numberbulleta"/>
      </w:pPr>
      <w:r w:rsidRPr="00ED7D5A">
        <w:t>the dosage, formulation, labelling, packaging and presentation of a substance</w:t>
      </w:r>
    </w:p>
    <w:p w14:paraId="68B18839" w14:textId="77777777" w:rsidR="00D52AB5" w:rsidRPr="00D94D4D" w:rsidRDefault="00D52AB5" w:rsidP="00D94D4D">
      <w:pPr>
        <w:pStyle w:val="ListBullet2"/>
      </w:pPr>
      <w:bookmarkStart w:id="17" w:name="_Hlk78881697"/>
      <w:r w:rsidRPr="00D94D4D">
        <w:t>TCM uses various oral dose forms and no specific products were described in the application.</w:t>
      </w:r>
    </w:p>
    <w:bookmarkEnd w:id="17"/>
    <w:p w14:paraId="7DC3DA8E" w14:textId="41B382BE" w:rsidR="00D52AB5" w:rsidRPr="00ED7D5A" w:rsidRDefault="00D52AB5" w:rsidP="00D94D4D">
      <w:pPr>
        <w:pStyle w:val="Numberbulleta"/>
      </w:pPr>
      <w:r w:rsidRPr="00ED7D5A">
        <w:t>ethe potential for abuse of a substance</w:t>
      </w:r>
    </w:p>
    <w:p w14:paraId="5DA47059" w14:textId="77777777" w:rsidR="00D52AB5" w:rsidRPr="00ED7D5A" w:rsidRDefault="00D52AB5" w:rsidP="00D52AB5">
      <w:pPr>
        <w:pStyle w:val="ListBullet2"/>
      </w:pPr>
      <w:bookmarkStart w:id="18" w:name="_Hlk78881718"/>
      <w:r w:rsidRPr="00ED7D5A">
        <w:t>Amygdalin has been inappropriately promoted and used as an alternative cancer treatment.</w:t>
      </w:r>
    </w:p>
    <w:p w14:paraId="7D15A43C" w14:textId="7DED9D09" w:rsidR="004575C9" w:rsidRPr="00ED7D5A" w:rsidRDefault="00D52AB5" w:rsidP="00D52AB5">
      <w:pPr>
        <w:pStyle w:val="ListBullet2"/>
      </w:pPr>
      <w:r w:rsidRPr="00ED7D5A">
        <w:t>Claims for use in treating or preventing cancer are unproven.</w:t>
      </w:r>
    </w:p>
    <w:p w14:paraId="52F3101F" w14:textId="1877960B" w:rsidR="00D52AB5" w:rsidRPr="00ED7D5A" w:rsidRDefault="00D52AB5" w:rsidP="00D52AB5">
      <w:pPr>
        <w:pStyle w:val="ListBullet2"/>
      </w:pPr>
      <w:r w:rsidRPr="00ED7D5A">
        <w:t>Exemption from scheduling means there is no requirement for any input from a health professional.</w:t>
      </w:r>
    </w:p>
    <w:bookmarkEnd w:id="18"/>
    <w:p w14:paraId="51BE5CE3" w14:textId="2490F57C" w:rsidR="00D52AB5" w:rsidRPr="00ED7D5A" w:rsidRDefault="00D52AB5" w:rsidP="00D94D4D">
      <w:pPr>
        <w:pStyle w:val="Numberbulleta"/>
      </w:pPr>
      <w:r w:rsidRPr="00ED7D5A">
        <w:t>any other matters that the Secretary considers necessary to protect public health</w:t>
      </w:r>
    </w:p>
    <w:p w14:paraId="0EFE5253" w14:textId="77777777" w:rsidR="00D52AB5" w:rsidRPr="00ED7D5A" w:rsidRDefault="00D52AB5" w:rsidP="00D52AB5">
      <w:pPr>
        <w:pStyle w:val="ListBullet2"/>
        <w:rPr>
          <w:rFonts w:eastAsia="Times New Roman"/>
        </w:rPr>
      </w:pPr>
      <w:r w:rsidRPr="00ED7D5A">
        <w:t>Due to the potential toxicity of amygdalin, it is important to prevent label claims of amygdalin and the promotion of other herbal medicines as a source of amygdalin.</w:t>
      </w:r>
    </w:p>
    <w:p w14:paraId="4DA8F62B" w14:textId="77777777" w:rsidR="00D52AB5" w:rsidRPr="00CB6C1B" w:rsidRDefault="00D52AB5" w:rsidP="00D52AB5">
      <w:pPr>
        <w:pStyle w:val="ListBullet2"/>
        <w:rPr>
          <w:rFonts w:eastAsia="Times New Roman"/>
        </w:rPr>
      </w:pPr>
      <w:r w:rsidRPr="00ED7D5A">
        <w:t>Labelling and packaging controls apply only for products on the Australian Register of Therapeutic Goods (ARTG). If unscheduled, there would be no controls on exempted products, including on packaging and labelling, available through sate and territory medicines and poisons legislation.</w:t>
      </w:r>
    </w:p>
    <w:p w14:paraId="65F8BC6A" w14:textId="77777777" w:rsidR="00D52AB5" w:rsidRPr="00ED7D5A" w:rsidRDefault="00D52AB5" w:rsidP="00D52AB5">
      <w:pPr>
        <w:pStyle w:val="ListBullet2"/>
      </w:pPr>
      <w:r w:rsidRPr="00ED7D5A">
        <w:lastRenderedPageBreak/>
        <w:t>Risk to public health due to inherent issues with labelling and determining content of TCM, particularly when imported into Australia.</w:t>
      </w:r>
    </w:p>
    <w:p w14:paraId="126124D3" w14:textId="23100884" w:rsidR="00D52AB5" w:rsidRPr="00ED7D5A" w:rsidRDefault="00D52AB5" w:rsidP="00D52AB5">
      <w:pPr>
        <w:pStyle w:val="ListBullet2"/>
        <w:rPr>
          <w:rFonts w:eastAsia="Times New Roman"/>
          <w:b/>
        </w:rPr>
      </w:pPr>
      <w:r w:rsidRPr="00ED7D5A">
        <w:t>Limiting amygdalin to being a natural component of TCM for oral use by adults does not provide sufficient regulatory safety.</w:t>
      </w:r>
    </w:p>
    <w:p w14:paraId="33CE5EDC" w14:textId="602AAF44" w:rsidR="00D52AB5" w:rsidRPr="005E088E" w:rsidRDefault="00D52AB5" w:rsidP="00D52AB5">
      <w:pPr>
        <w:pStyle w:val="ListBullet2"/>
        <w:rPr>
          <w:rFonts w:eastAsia="Times New Roman"/>
        </w:rPr>
      </w:pPr>
      <w:r w:rsidRPr="005E088E">
        <w:rPr>
          <w:rFonts w:eastAsia="Times New Roman"/>
        </w:rPr>
        <w:t xml:space="preserve">Exemptions under the therapeutic goods legislation allow </w:t>
      </w:r>
      <w:r w:rsidRPr="005E088E">
        <w:t>for health practitioners who prepare a medicine for an individual patient following a consultation with that patient, or to fill a prescription for that patient. This exemption would apply to direct supply of a compounded medicine to patients of a compounded medicine by a registered Chinese medicine practitioner, who holds registration in the Chinese herbal medicine practitioner or Chinese herbal dispenser category.</w:t>
      </w:r>
    </w:p>
    <w:p w14:paraId="1F35579C" w14:textId="0F19FE35" w:rsidR="00D52AB5" w:rsidRPr="0023227D" w:rsidRDefault="00D52AB5" w:rsidP="00D52AB5">
      <w:pPr>
        <w:pStyle w:val="ListBullet2"/>
      </w:pPr>
      <w:r w:rsidRPr="00ED7D5A">
        <w:t>No healthcare professional, including TCM practitioners, would be required to be consulted if this proposal was accepted.</w:t>
      </w:r>
    </w:p>
    <w:p w14:paraId="5CE74C47" w14:textId="3552FB57" w:rsidR="00CD1C8D" w:rsidRPr="00C721A5" w:rsidRDefault="00CD1C8D" w:rsidP="00D94D4D">
      <w:pPr>
        <w:pStyle w:val="Heading4"/>
      </w:pPr>
      <w:bookmarkStart w:id="19" w:name="_Toc83820100"/>
      <w:r w:rsidRPr="00C721A5">
        <w:t>Reasons for the interim decision (including findings on material questions of fact)</w:t>
      </w:r>
      <w:bookmarkEnd w:id="19"/>
    </w:p>
    <w:p w14:paraId="450FDAEB" w14:textId="7C304E48" w:rsidR="00357209" w:rsidRDefault="00357209" w:rsidP="00357209">
      <w:r>
        <w:t>I have made an interim decision not to amend the scheduling for amygdalin</w:t>
      </w:r>
      <w:r w:rsidR="00550ED7">
        <w:t xml:space="preserve"> and </w:t>
      </w:r>
      <w:r>
        <w:t>hydrocyanic acid in the current Poisons Standard. The detailed reasons for my decision follow.</w:t>
      </w:r>
    </w:p>
    <w:p w14:paraId="4D5A2431" w14:textId="3FB6CA80" w:rsidR="001D6386" w:rsidRDefault="001D6386" w:rsidP="004A7E67">
      <w:r w:rsidRPr="006B74E6">
        <w:rPr>
          <w:bCs/>
        </w:rPr>
        <w:t>I agree with the Committee's finding</w:t>
      </w:r>
      <w:r>
        <w:rPr>
          <w:bCs/>
        </w:rPr>
        <w:t>s</w:t>
      </w:r>
      <w:r w:rsidRPr="006B74E6">
        <w:rPr>
          <w:bCs/>
        </w:rPr>
        <w:t xml:space="preserve"> that the relevant provisions of section 52E of the</w:t>
      </w:r>
      <w:r w:rsidR="00D94D4D">
        <w:rPr>
          <w:bCs/>
        </w:rPr>
        <w:t xml:space="preserve"> </w:t>
      </w:r>
      <w:r w:rsidRPr="006B74E6">
        <w:rPr>
          <w:bCs/>
          <w:i/>
          <w:iCs/>
        </w:rPr>
        <w:t>Therapeutic Goods Act 1989</w:t>
      </w:r>
      <w:r w:rsidR="00D94D4D">
        <w:rPr>
          <w:bCs/>
        </w:rPr>
        <w:t xml:space="preserve"> </w:t>
      </w:r>
      <w:r w:rsidRPr="006B74E6">
        <w:rPr>
          <w:bCs/>
        </w:rPr>
        <w:t>are</w:t>
      </w:r>
      <w:r>
        <w:rPr>
          <w:bCs/>
        </w:rPr>
        <w:t>:</w:t>
      </w:r>
      <w:r w:rsidRPr="00C70F72">
        <w:t xml:space="preserve"> (a) risks and benefits of the use of a substance; (b) </w:t>
      </w:r>
      <w:r w:rsidR="008151EA">
        <w:t>the purposes for which a substance is to be used and the extent of use of a substance</w:t>
      </w:r>
      <w:r w:rsidRPr="00C70F72">
        <w:t>; (c) the toxicity of a substance; (d) the dosage, formulation, labelling, packaging and presentation of a substance; (e) the potential for abuse of a substance;</w:t>
      </w:r>
      <w:r w:rsidRPr="00082B02">
        <w:t xml:space="preserve"> and (f) any other matters that the Secretary considers necessary to protect public health.</w:t>
      </w:r>
    </w:p>
    <w:p w14:paraId="22C4635B" w14:textId="2D160003" w:rsidR="00E76535" w:rsidRDefault="00E76535" w:rsidP="004A7E67">
      <w:r>
        <w:t>In my view, the relevant parts of the Scheduling Policy Framework (SPF 2018) are the scheduling factors for Schedule 10:</w:t>
      </w:r>
    </w:p>
    <w:p w14:paraId="400B328E" w14:textId="436CED4A" w:rsidR="00E76535" w:rsidRDefault="00E76535" w:rsidP="00D94D4D">
      <w:pPr>
        <w:pStyle w:val="ListBullet"/>
      </w:pPr>
      <w:r>
        <w:t>Amygdalin pose</w:t>
      </w:r>
      <w:r w:rsidR="00E22FEE">
        <w:t>s</w:t>
      </w:r>
      <w:r>
        <w:t xml:space="preserve"> such a high public health risk that its sale, supply and use require very strict control, with access generally being prohibited.</w:t>
      </w:r>
    </w:p>
    <w:p w14:paraId="2783BE0E" w14:textId="62835DE6" w:rsidR="00E76535" w:rsidRDefault="00E76535" w:rsidP="00D94D4D">
      <w:pPr>
        <w:pStyle w:val="ListBullet"/>
      </w:pPr>
      <w:r>
        <w:t xml:space="preserve">The risks of </w:t>
      </w:r>
      <w:r w:rsidR="00C604BE">
        <w:t>amygdalin</w:t>
      </w:r>
      <w:r>
        <w:t xml:space="preserve"> substantially outweigh the benefits to the extent that no other </w:t>
      </w:r>
      <w:r w:rsidR="006C7A9E">
        <w:t>s</w:t>
      </w:r>
      <w:r>
        <w:t>chedule would provide appropriate public access to any proposed or known products.</w:t>
      </w:r>
    </w:p>
    <w:p w14:paraId="77B03E3A" w14:textId="64B632BE" w:rsidR="00824539" w:rsidRDefault="00DD11BE" w:rsidP="00D94D4D">
      <w:pPr>
        <w:rPr>
          <w:rFonts w:asciiTheme="minorHAnsi" w:hAnsiTheme="minorHAnsi"/>
          <w:bCs/>
          <w:szCs w:val="22"/>
        </w:rPr>
      </w:pPr>
      <w:r>
        <w:t>T</w:t>
      </w:r>
      <w:r w:rsidR="00CE6FBD">
        <w:t>he applicant proposed to</w:t>
      </w:r>
      <w:r w:rsidR="00824539">
        <w:t xml:space="preserve"> exempt amygdalin from scheduling when it is a natural component in TCM, where the maximum daily dose does not exceed 5 mg of amygdalin.</w:t>
      </w:r>
      <w:r w:rsidR="00824539" w:rsidRPr="00660998">
        <w:t xml:space="preserve"> </w:t>
      </w:r>
      <w:r w:rsidR="00824539">
        <w:t xml:space="preserve">It was also proposed that </w:t>
      </w:r>
      <w:r w:rsidR="00824539" w:rsidRPr="006612A4">
        <w:rPr>
          <w:rFonts w:asciiTheme="minorHAnsi" w:hAnsiTheme="minorHAnsi"/>
          <w:bCs/>
          <w:szCs w:val="22"/>
        </w:rPr>
        <w:t>hydrocyanic acid</w:t>
      </w:r>
      <w:r w:rsidR="00824539">
        <w:rPr>
          <w:rFonts w:asciiTheme="minorHAnsi" w:hAnsiTheme="minorHAnsi"/>
          <w:bCs/>
          <w:szCs w:val="22"/>
        </w:rPr>
        <w:t xml:space="preserve"> is exempted from scheduling</w:t>
      </w:r>
      <w:r w:rsidR="00824539" w:rsidRPr="00B779C4">
        <w:t xml:space="preserve"> </w:t>
      </w:r>
      <w:r w:rsidR="00824539">
        <w:t xml:space="preserve">at a maximum daily dose of </w:t>
      </w:r>
      <w:r w:rsidR="00824539" w:rsidRPr="00B779C4">
        <w:t>0.3 mg</w:t>
      </w:r>
      <w:r w:rsidR="00824539">
        <w:t xml:space="preserve">. </w:t>
      </w:r>
      <w:r w:rsidR="00CE6FBD">
        <w:t xml:space="preserve">In considering </w:t>
      </w:r>
      <w:r w:rsidR="006C7A9E">
        <w:t>these amendments</w:t>
      </w:r>
      <w:r w:rsidR="00CE6FBD">
        <w:t xml:space="preserve">, </w:t>
      </w:r>
      <w:r w:rsidR="00824539">
        <w:rPr>
          <w:rFonts w:asciiTheme="minorHAnsi" w:hAnsiTheme="minorHAnsi"/>
          <w:bCs/>
          <w:szCs w:val="22"/>
        </w:rPr>
        <w:t>I note that a</w:t>
      </w:r>
      <w:r w:rsidR="00824539" w:rsidRPr="006A5DE2">
        <w:rPr>
          <w:rFonts w:asciiTheme="minorHAnsi" w:hAnsiTheme="minorHAnsi"/>
          <w:bCs/>
          <w:szCs w:val="22"/>
        </w:rPr>
        <w:t xml:space="preserve"> </w:t>
      </w:r>
      <w:hyperlink r:id="rId21" w:history="1">
        <w:r w:rsidR="00824539">
          <w:rPr>
            <w:rStyle w:val="Hyperlink"/>
            <w:rFonts w:asciiTheme="minorHAnsi" w:hAnsiTheme="minorHAnsi"/>
            <w:bCs/>
            <w:szCs w:val="22"/>
          </w:rPr>
          <w:t>similar</w:t>
        </w:r>
        <w:r w:rsidR="00824539" w:rsidRPr="006A5DE2">
          <w:rPr>
            <w:rStyle w:val="Hyperlink"/>
            <w:rFonts w:asciiTheme="minorHAnsi" w:hAnsiTheme="minorHAnsi"/>
            <w:bCs/>
            <w:szCs w:val="22"/>
          </w:rPr>
          <w:t xml:space="preserve"> proposal</w:t>
        </w:r>
      </w:hyperlink>
      <w:r w:rsidR="00824539">
        <w:rPr>
          <w:rFonts w:asciiTheme="minorHAnsi" w:hAnsiTheme="minorHAnsi"/>
          <w:bCs/>
          <w:szCs w:val="22"/>
        </w:rPr>
        <w:t xml:space="preserve"> was</w:t>
      </w:r>
      <w:r w:rsidR="00824539" w:rsidRPr="006A5DE2">
        <w:rPr>
          <w:rFonts w:asciiTheme="minorHAnsi" w:hAnsiTheme="minorHAnsi"/>
          <w:bCs/>
          <w:szCs w:val="22"/>
        </w:rPr>
        <w:t xml:space="preserve"> </w:t>
      </w:r>
      <w:r w:rsidR="00AE440C">
        <w:rPr>
          <w:rFonts w:asciiTheme="minorHAnsi" w:hAnsiTheme="minorHAnsi"/>
          <w:bCs/>
          <w:szCs w:val="22"/>
        </w:rPr>
        <w:t>discussed</w:t>
      </w:r>
      <w:r w:rsidR="00824539" w:rsidRPr="006A5DE2">
        <w:rPr>
          <w:rFonts w:asciiTheme="minorHAnsi" w:hAnsiTheme="minorHAnsi"/>
          <w:bCs/>
          <w:szCs w:val="22"/>
        </w:rPr>
        <w:t xml:space="preserve"> at the November 2020 meeting of the Advisory Committee on Medicines Scheduling </w:t>
      </w:r>
      <w:r w:rsidR="00824539">
        <w:rPr>
          <w:rFonts w:asciiTheme="minorHAnsi" w:hAnsiTheme="minorHAnsi"/>
          <w:bCs/>
          <w:szCs w:val="22"/>
        </w:rPr>
        <w:t>(ACMS #32), and that the</w:t>
      </w:r>
      <w:r w:rsidR="00824539" w:rsidRPr="006A5DE2">
        <w:rPr>
          <w:rFonts w:asciiTheme="minorHAnsi" w:hAnsiTheme="minorHAnsi"/>
          <w:bCs/>
          <w:szCs w:val="22"/>
        </w:rPr>
        <w:t xml:space="preserve"> </w:t>
      </w:r>
      <w:hyperlink r:id="rId22" w:history="1">
        <w:r w:rsidR="00824539" w:rsidRPr="009E527A">
          <w:rPr>
            <w:rStyle w:val="Hyperlink"/>
            <w:rFonts w:asciiTheme="minorHAnsi" w:hAnsiTheme="minorHAnsi"/>
            <w:bCs/>
            <w:szCs w:val="22"/>
          </w:rPr>
          <w:t>final decision</w:t>
        </w:r>
      </w:hyperlink>
      <w:r w:rsidR="00824539" w:rsidRPr="006A5DE2">
        <w:rPr>
          <w:rFonts w:asciiTheme="minorHAnsi" w:hAnsiTheme="minorHAnsi"/>
          <w:bCs/>
          <w:szCs w:val="22"/>
        </w:rPr>
        <w:t xml:space="preserve"> was </w:t>
      </w:r>
      <w:r w:rsidR="00824539">
        <w:rPr>
          <w:rFonts w:asciiTheme="minorHAnsi" w:hAnsiTheme="minorHAnsi"/>
          <w:bCs/>
          <w:szCs w:val="22"/>
        </w:rPr>
        <w:t>to retain the current scheduling</w:t>
      </w:r>
      <w:r w:rsidR="00824539" w:rsidRPr="006A5DE2">
        <w:rPr>
          <w:rFonts w:asciiTheme="minorHAnsi" w:hAnsiTheme="minorHAnsi"/>
          <w:bCs/>
          <w:szCs w:val="22"/>
        </w:rPr>
        <w:t xml:space="preserve"> of these substances</w:t>
      </w:r>
      <w:r w:rsidR="00824539">
        <w:rPr>
          <w:rFonts w:asciiTheme="minorHAnsi" w:hAnsiTheme="minorHAnsi"/>
          <w:bCs/>
          <w:szCs w:val="22"/>
        </w:rPr>
        <w:t>. I</w:t>
      </w:r>
      <w:r w:rsidR="00CE6FBD">
        <w:rPr>
          <w:rFonts w:asciiTheme="minorHAnsi" w:hAnsiTheme="minorHAnsi"/>
          <w:bCs/>
          <w:szCs w:val="22"/>
        </w:rPr>
        <w:t>n my view, the</w:t>
      </w:r>
      <w:r w:rsidR="00110A1B">
        <w:rPr>
          <w:rFonts w:asciiTheme="minorHAnsi" w:hAnsiTheme="minorHAnsi"/>
          <w:bCs/>
          <w:szCs w:val="22"/>
        </w:rPr>
        <w:t xml:space="preserve"> concerns raised in the </w:t>
      </w:r>
      <w:r w:rsidR="005500E6">
        <w:rPr>
          <w:rFonts w:asciiTheme="minorHAnsi" w:hAnsiTheme="minorHAnsi"/>
          <w:bCs/>
          <w:szCs w:val="22"/>
        </w:rPr>
        <w:t xml:space="preserve">previous </w:t>
      </w:r>
      <w:r w:rsidR="00110A1B">
        <w:rPr>
          <w:rFonts w:asciiTheme="minorHAnsi" w:hAnsiTheme="minorHAnsi"/>
          <w:bCs/>
          <w:szCs w:val="22"/>
        </w:rPr>
        <w:t>Committee advice,</w:t>
      </w:r>
      <w:r w:rsidR="00737CFE">
        <w:rPr>
          <w:rFonts w:asciiTheme="minorHAnsi" w:hAnsiTheme="minorHAnsi"/>
          <w:bCs/>
          <w:szCs w:val="22"/>
        </w:rPr>
        <w:t xml:space="preserve"> along with the</w:t>
      </w:r>
      <w:r w:rsidR="00110A1B">
        <w:rPr>
          <w:rFonts w:asciiTheme="minorHAnsi" w:hAnsiTheme="minorHAnsi"/>
          <w:bCs/>
          <w:szCs w:val="22"/>
        </w:rPr>
        <w:t xml:space="preserve"> interim and final decisions</w:t>
      </w:r>
      <w:r w:rsidR="00737CFE">
        <w:rPr>
          <w:rFonts w:asciiTheme="minorHAnsi" w:hAnsiTheme="minorHAnsi"/>
          <w:bCs/>
          <w:szCs w:val="22"/>
        </w:rPr>
        <w:t>,</w:t>
      </w:r>
      <w:r w:rsidR="00110A1B">
        <w:rPr>
          <w:rFonts w:asciiTheme="minorHAnsi" w:hAnsiTheme="minorHAnsi"/>
          <w:bCs/>
          <w:szCs w:val="22"/>
        </w:rPr>
        <w:t xml:space="preserve"> remain pertinent.</w:t>
      </w:r>
    </w:p>
    <w:p w14:paraId="67DAD043" w14:textId="5637504A" w:rsidR="00CB1FAA" w:rsidRDefault="00A32541" w:rsidP="00D94D4D">
      <w:r>
        <w:t>I note that a</w:t>
      </w:r>
      <w:r w:rsidRPr="006612A4">
        <w:t xml:space="preserve">mygdalin is a cyanogenic glycoside found naturally in many plants including cassava, sorghum, lima beans, bitter almonds, apricot kernels and seeds of other plants in the </w:t>
      </w:r>
      <w:r w:rsidRPr="00DC2CE3">
        <w:rPr>
          <w:i/>
          <w:iCs/>
        </w:rPr>
        <w:t>Prunus</w:t>
      </w:r>
      <w:r w:rsidRPr="006612A4">
        <w:t xml:space="preserve"> genus. It is converted into hydrocyanic acid</w:t>
      </w:r>
      <w:r w:rsidR="00434539">
        <w:t xml:space="preserve"> (cyanide)</w:t>
      </w:r>
      <w:r w:rsidRPr="006612A4">
        <w:t xml:space="preserve"> in the gut</w:t>
      </w:r>
      <w:r w:rsidR="00434539">
        <w:t xml:space="preserve">, which </w:t>
      </w:r>
      <w:r w:rsidRPr="006612A4">
        <w:t>halts cellular respiration</w:t>
      </w:r>
      <w:r w:rsidR="004F0ECE">
        <w:t xml:space="preserve">. At </w:t>
      </w:r>
      <w:r w:rsidR="007637DE">
        <w:t xml:space="preserve">high enough doses, </w:t>
      </w:r>
      <w:r w:rsidR="00813773">
        <w:t>this can cause</w:t>
      </w:r>
      <w:r w:rsidRPr="006612A4">
        <w:t xml:space="preserve"> nausea, fever, headaches, insomnia, thirst, lethargy, nervousness, joint and muscle pains, falling blood pressure</w:t>
      </w:r>
      <w:r w:rsidR="002E785A">
        <w:t xml:space="preserve"> and</w:t>
      </w:r>
      <w:r w:rsidRPr="006612A4">
        <w:t xml:space="preserve"> </w:t>
      </w:r>
      <w:r w:rsidR="00737CFE">
        <w:t>(</w:t>
      </w:r>
      <w:r w:rsidRPr="006612A4">
        <w:t>in some cases</w:t>
      </w:r>
      <w:r w:rsidR="00737CFE">
        <w:t>)</w:t>
      </w:r>
      <w:r w:rsidRPr="006612A4">
        <w:t xml:space="preserve"> death</w:t>
      </w:r>
      <w:r>
        <w:rPr>
          <w:rStyle w:val="FootnoteReference"/>
          <w:rFonts w:asciiTheme="minorHAnsi" w:hAnsiTheme="minorHAnsi"/>
          <w:bCs/>
          <w:szCs w:val="22"/>
        </w:rPr>
        <w:footnoteReference w:id="3"/>
      </w:r>
      <w:r w:rsidRPr="006612A4">
        <w:t xml:space="preserve">. The toxicity </w:t>
      </w:r>
      <w:r w:rsidR="00CB1FAA">
        <w:t>is</w:t>
      </w:r>
      <w:r w:rsidRPr="006612A4">
        <w:t xml:space="preserve"> </w:t>
      </w:r>
      <w:r w:rsidR="002E785A">
        <w:t xml:space="preserve">also </w:t>
      </w:r>
      <w:r w:rsidRPr="006612A4">
        <w:t>highly variable</w:t>
      </w:r>
      <w:r w:rsidR="007637DE">
        <w:t xml:space="preserve"> between individuals</w:t>
      </w:r>
      <w:r w:rsidRPr="006612A4">
        <w:t xml:space="preserve"> and</w:t>
      </w:r>
      <w:r w:rsidR="00CB1FAA">
        <w:t xml:space="preserve"> is</w:t>
      </w:r>
      <w:r w:rsidRPr="006612A4">
        <w:t xml:space="preserve"> influenced </w:t>
      </w:r>
      <w:r w:rsidR="00CB1FAA">
        <w:t>by factors such as other</w:t>
      </w:r>
      <w:r w:rsidRPr="006612A4">
        <w:t xml:space="preserve"> ingested plants</w:t>
      </w:r>
      <w:r w:rsidR="00CB1FAA">
        <w:t>/</w:t>
      </w:r>
      <w:r w:rsidRPr="006612A4">
        <w:t>nutrients</w:t>
      </w:r>
      <w:r w:rsidR="00CB1FAA">
        <w:t xml:space="preserve">, </w:t>
      </w:r>
      <w:r w:rsidRPr="006612A4">
        <w:t xml:space="preserve">vitamin B12 </w:t>
      </w:r>
      <w:r w:rsidR="00CB1FAA">
        <w:t>levels</w:t>
      </w:r>
      <w:r w:rsidR="00737CFE">
        <w:t xml:space="preserve"> and</w:t>
      </w:r>
      <w:r w:rsidRPr="006612A4">
        <w:t xml:space="preserve"> individual gut flora</w:t>
      </w:r>
      <w:r w:rsidR="00AE440C">
        <w:t xml:space="preserve">. Given the large variation </w:t>
      </w:r>
      <w:r w:rsidR="00AE440C">
        <w:lastRenderedPageBreak/>
        <w:t xml:space="preserve">in toxicity, </w:t>
      </w:r>
      <w:r w:rsidR="00875832">
        <w:t>I emphasise that it is necessary to exercise</w:t>
      </w:r>
      <w:r w:rsidR="00CE6FBD">
        <w:t xml:space="preserve"> a high </w:t>
      </w:r>
      <w:r w:rsidR="006C7A9E">
        <w:t>degree</w:t>
      </w:r>
      <w:r w:rsidR="00CE6FBD">
        <w:t xml:space="preserve"> of</w:t>
      </w:r>
      <w:r w:rsidR="00875832">
        <w:t xml:space="preserve"> caution in</w:t>
      </w:r>
      <w:r w:rsidR="00737CFE">
        <w:t xml:space="preserve"> considering the public </w:t>
      </w:r>
      <w:r w:rsidR="00B5427F">
        <w:t xml:space="preserve">access to </w:t>
      </w:r>
      <w:r w:rsidR="00737CFE">
        <w:t>these substances</w:t>
      </w:r>
      <w:r w:rsidR="006C7A9E">
        <w:t xml:space="preserve"> – even at low concentrations</w:t>
      </w:r>
      <w:r w:rsidR="00875832">
        <w:t>.</w:t>
      </w:r>
    </w:p>
    <w:p w14:paraId="1F248D4B" w14:textId="30DF5266" w:rsidR="006874C6" w:rsidRPr="00C604BE" w:rsidRDefault="006874C6" w:rsidP="00C604BE">
      <w:pPr>
        <w:rPr>
          <w:rFonts w:asciiTheme="minorHAnsi" w:hAnsiTheme="minorHAnsi"/>
        </w:rPr>
      </w:pPr>
      <w:bookmarkStart w:id="20" w:name="_Hlk78968817"/>
      <w:r>
        <w:rPr>
          <w:rFonts w:asciiTheme="minorHAnsi" w:hAnsiTheme="minorHAnsi"/>
        </w:rPr>
        <w:t xml:space="preserve">I agree with the Committee’s advice that amygdalin </w:t>
      </w:r>
      <w:r w:rsidR="00737CFE">
        <w:rPr>
          <w:rFonts w:asciiTheme="minorHAnsi" w:hAnsiTheme="minorHAnsi"/>
        </w:rPr>
        <w:t>preparations are</w:t>
      </w:r>
      <w:r>
        <w:rPr>
          <w:rFonts w:asciiTheme="minorHAnsi" w:hAnsiTheme="minorHAnsi"/>
        </w:rPr>
        <w:t xml:space="preserve"> not appropriate for</w:t>
      </w:r>
      <w:r w:rsidR="00737CFE">
        <w:rPr>
          <w:rFonts w:asciiTheme="minorHAnsi" w:hAnsiTheme="minorHAnsi"/>
        </w:rPr>
        <w:t xml:space="preserve"> exclusion from the Schedule 10 entry</w:t>
      </w:r>
      <w:r>
        <w:rPr>
          <w:rFonts w:asciiTheme="minorHAnsi" w:hAnsiTheme="minorHAnsi"/>
        </w:rPr>
        <w:t xml:space="preserve"> at any dosage. E</w:t>
      </w:r>
      <w:r w:rsidRPr="00F94792">
        <w:rPr>
          <w:rFonts w:asciiTheme="minorHAnsi" w:hAnsiTheme="minorHAnsi"/>
        </w:rPr>
        <w:t xml:space="preserve">xemption from scheduling </w:t>
      </w:r>
      <w:r>
        <w:rPr>
          <w:rFonts w:asciiTheme="minorHAnsi" w:hAnsiTheme="minorHAnsi"/>
        </w:rPr>
        <w:t>would enable</w:t>
      </w:r>
      <w:r w:rsidRPr="00F94792">
        <w:rPr>
          <w:rFonts w:asciiTheme="minorHAnsi" w:hAnsiTheme="minorHAnsi"/>
        </w:rPr>
        <w:t xml:space="preserve"> </w:t>
      </w:r>
      <w:r>
        <w:rPr>
          <w:rFonts w:asciiTheme="minorHAnsi" w:hAnsiTheme="minorHAnsi"/>
        </w:rPr>
        <w:t xml:space="preserve">the public to </w:t>
      </w:r>
      <w:r w:rsidRPr="00F94792">
        <w:rPr>
          <w:rFonts w:asciiTheme="minorHAnsi" w:hAnsiTheme="minorHAnsi"/>
        </w:rPr>
        <w:t xml:space="preserve">purchase and use </w:t>
      </w:r>
      <w:r w:rsidR="007A2295">
        <w:rPr>
          <w:rFonts w:asciiTheme="minorHAnsi" w:hAnsiTheme="minorHAnsi"/>
        </w:rPr>
        <w:t>these</w:t>
      </w:r>
      <w:r w:rsidRPr="00F94792">
        <w:rPr>
          <w:rFonts w:asciiTheme="minorHAnsi" w:hAnsiTheme="minorHAnsi"/>
        </w:rPr>
        <w:t xml:space="preserve"> products without any interaction with a health professional, including </w:t>
      </w:r>
      <w:r>
        <w:rPr>
          <w:rFonts w:asciiTheme="minorHAnsi" w:hAnsiTheme="minorHAnsi"/>
        </w:rPr>
        <w:t>TCM</w:t>
      </w:r>
      <w:r w:rsidRPr="00F94792">
        <w:rPr>
          <w:rFonts w:asciiTheme="minorHAnsi" w:hAnsiTheme="minorHAnsi"/>
        </w:rPr>
        <w:t xml:space="preserve"> practitioner</w:t>
      </w:r>
      <w:r>
        <w:rPr>
          <w:rFonts w:asciiTheme="minorHAnsi" w:hAnsiTheme="minorHAnsi"/>
        </w:rPr>
        <w:t>s, and without any regulation through the Poisons Standard</w:t>
      </w:r>
      <w:r w:rsidRPr="00F94792">
        <w:rPr>
          <w:rFonts w:asciiTheme="minorHAnsi" w:hAnsiTheme="minorHAnsi"/>
        </w:rPr>
        <w:t xml:space="preserve">. </w:t>
      </w:r>
      <w:r>
        <w:rPr>
          <w:rFonts w:asciiTheme="minorHAnsi" w:hAnsiTheme="minorHAnsi"/>
        </w:rPr>
        <w:t>As such, t</w:t>
      </w:r>
      <w:r w:rsidRPr="00F94792">
        <w:rPr>
          <w:rFonts w:asciiTheme="minorHAnsi" w:hAnsiTheme="minorHAnsi"/>
        </w:rPr>
        <w:t xml:space="preserve">here would be no labelling </w:t>
      </w:r>
      <w:r>
        <w:rPr>
          <w:rFonts w:asciiTheme="minorHAnsi" w:hAnsiTheme="minorHAnsi"/>
        </w:rPr>
        <w:t>or</w:t>
      </w:r>
      <w:r w:rsidRPr="00F94792">
        <w:rPr>
          <w:rFonts w:asciiTheme="minorHAnsi" w:hAnsiTheme="minorHAnsi"/>
        </w:rPr>
        <w:t xml:space="preserve"> packaging requirements through state and territory medicines and poisons legislation</w:t>
      </w:r>
      <w:r>
        <w:rPr>
          <w:rFonts w:asciiTheme="minorHAnsi" w:hAnsiTheme="minorHAnsi"/>
        </w:rPr>
        <w:t>. It</w:t>
      </w:r>
      <w:r w:rsidR="00737CFE">
        <w:rPr>
          <w:rFonts w:asciiTheme="minorHAnsi" w:hAnsiTheme="minorHAnsi"/>
        </w:rPr>
        <w:t xml:space="preserve"> also</w:t>
      </w:r>
      <w:r w:rsidRPr="00F94792">
        <w:rPr>
          <w:rFonts w:asciiTheme="minorHAnsi" w:hAnsiTheme="minorHAnsi"/>
        </w:rPr>
        <w:t xml:space="preserve"> would be difficult to prevent</w:t>
      </w:r>
      <w:r w:rsidR="00D06340">
        <w:rPr>
          <w:rFonts w:asciiTheme="minorHAnsi" w:hAnsiTheme="minorHAnsi"/>
        </w:rPr>
        <w:t xml:space="preserve"> use </w:t>
      </w:r>
      <w:r>
        <w:rPr>
          <w:rFonts w:asciiTheme="minorHAnsi" w:hAnsiTheme="minorHAnsi"/>
        </w:rPr>
        <w:t>at higher dosages that cause severe toxicity</w:t>
      </w:r>
      <w:r w:rsidR="00737CFE">
        <w:rPr>
          <w:rFonts w:asciiTheme="minorHAnsi" w:hAnsiTheme="minorHAnsi"/>
          <w:bCs/>
          <w:szCs w:val="22"/>
        </w:rPr>
        <w:t>. T</w:t>
      </w:r>
      <w:r>
        <w:rPr>
          <w:rFonts w:asciiTheme="minorHAnsi" w:hAnsiTheme="minorHAnsi"/>
          <w:bCs/>
          <w:szCs w:val="22"/>
        </w:rPr>
        <w:t>hese risks are exacerbated when considering the potential for poisoning in children, who can experience severe cyanide toxicity at particularly low dosages</w:t>
      </w:r>
      <w:r>
        <w:rPr>
          <w:rFonts w:asciiTheme="minorHAnsi" w:hAnsiTheme="minorHAnsi"/>
        </w:rPr>
        <w:t>. I am of the view that the</w:t>
      </w:r>
      <w:r w:rsidR="00D06340">
        <w:rPr>
          <w:rFonts w:asciiTheme="minorHAnsi" w:hAnsiTheme="minorHAnsi"/>
        </w:rPr>
        <w:t xml:space="preserve"> proposed scheduling </w:t>
      </w:r>
      <w:r w:rsidR="00D06340" w:rsidRPr="001E509D">
        <w:rPr>
          <w:szCs w:val="22"/>
        </w:rPr>
        <w:t xml:space="preserve">does not provide sufficient regulatory control to mitigate against known risks </w:t>
      </w:r>
      <w:r w:rsidR="00737CFE">
        <w:rPr>
          <w:szCs w:val="22"/>
        </w:rPr>
        <w:t>of the substance</w:t>
      </w:r>
      <w:r w:rsidR="00D06340">
        <w:rPr>
          <w:szCs w:val="22"/>
        </w:rPr>
        <w:t>.</w:t>
      </w:r>
    </w:p>
    <w:p w14:paraId="081A4B37" w14:textId="3E2D1E4D" w:rsidR="00210109" w:rsidRDefault="0097097F" w:rsidP="0097097F">
      <w:r>
        <w:rPr>
          <w:rFonts w:asciiTheme="minorHAnsi" w:hAnsiTheme="minorHAnsi"/>
          <w:bCs/>
          <w:szCs w:val="22"/>
        </w:rPr>
        <w:t>I further note that m</w:t>
      </w:r>
      <w:r w:rsidRPr="00F826E6">
        <w:t>edicinal preparations exempted from scheduling must able to be supplied</w:t>
      </w:r>
      <w:r>
        <w:t xml:space="preserve"> with</w:t>
      </w:r>
      <w:r w:rsidRPr="00F826E6">
        <w:t xml:space="preserve"> ‘reasonable safety’</w:t>
      </w:r>
      <w:r>
        <w:t>.</w:t>
      </w:r>
      <w:r w:rsidRPr="00F826E6">
        <w:t xml:space="preserve"> </w:t>
      </w:r>
      <w:r w:rsidR="00F94792">
        <w:t xml:space="preserve">However, </w:t>
      </w:r>
      <w:r w:rsidR="00737CFE">
        <w:t xml:space="preserve">amygdalin does not fit </w:t>
      </w:r>
      <w:r w:rsidR="00F94792">
        <w:t>the definition of reasonable safety</w:t>
      </w:r>
      <w:r w:rsidR="00737CFE">
        <w:t>,</w:t>
      </w:r>
      <w:r w:rsidR="00F94792">
        <w:t xml:space="preserve"> </w:t>
      </w:r>
      <w:r w:rsidR="00737CFE">
        <w:t xml:space="preserve">as provided </w:t>
      </w:r>
      <w:r w:rsidR="00210109">
        <w:t>in the Scheduling Handbook</w:t>
      </w:r>
      <w:r w:rsidR="00737CFE">
        <w:t>,</w:t>
      </w:r>
      <w:r w:rsidR="00210109">
        <w:t xml:space="preserve"> at any dosage:</w:t>
      </w:r>
    </w:p>
    <w:p w14:paraId="4698404A" w14:textId="33BD6111" w:rsidR="00210109" w:rsidRDefault="003B376C" w:rsidP="00CF2F55">
      <w:pPr>
        <w:pStyle w:val="ListBullet"/>
      </w:pPr>
      <w:r>
        <w:t>Indications for medicines that contain amygdalin</w:t>
      </w:r>
      <w:r w:rsidR="00F94792">
        <w:t xml:space="preserve"> and hydrocyanic acid</w:t>
      </w:r>
      <w:r>
        <w:t xml:space="preserve"> include </w:t>
      </w:r>
      <w:r w:rsidRPr="003B376C">
        <w:t>cough and wheezing, profuse sputum, masses, lung abscess and intestinal abscess</w:t>
      </w:r>
      <w:r w:rsidR="00293CC1">
        <w:rPr>
          <w:rStyle w:val="FootnoteReference"/>
        </w:rPr>
        <w:footnoteReference w:id="4"/>
      </w:r>
      <w:r>
        <w:t xml:space="preserve">; </w:t>
      </w:r>
      <w:r w:rsidR="00210109">
        <w:t>the consumer is not able to identify and self-manage the</w:t>
      </w:r>
      <w:r>
        <w:t>se</w:t>
      </w:r>
      <w:r w:rsidR="00210109">
        <w:t xml:space="preserve"> conditions without health professional input</w:t>
      </w:r>
      <w:r>
        <w:t>.</w:t>
      </w:r>
    </w:p>
    <w:p w14:paraId="03F55DB7" w14:textId="0FA8BEEC" w:rsidR="003B376C" w:rsidRDefault="003B376C" w:rsidP="00CF2F55">
      <w:pPr>
        <w:pStyle w:val="ListBullet"/>
      </w:pPr>
      <w:r>
        <w:t>Amygdalin and hydrocyanic acid can cause severe toxicity, even at low dosages; the risks to human health are significant and cannot be managed by packaging and labelling.</w:t>
      </w:r>
    </w:p>
    <w:p w14:paraId="5077B1D1" w14:textId="3EDAB58A" w:rsidR="003B376C" w:rsidRDefault="003B376C" w:rsidP="00CF2F55">
      <w:pPr>
        <w:pStyle w:val="ListBullet"/>
      </w:pPr>
      <w:r>
        <w:t>There is evidence that these substances are inappropriately used in the treatment of cancer</w:t>
      </w:r>
      <w:r w:rsidR="007637DE">
        <w:t xml:space="preserve"> and possibly in other serious health conditions</w:t>
      </w:r>
      <w:r>
        <w:t>, including in the context of TCM; the risk of inappropriate use is not negligible.</w:t>
      </w:r>
    </w:p>
    <w:p w14:paraId="699A7A9E" w14:textId="27322DD6" w:rsidR="003B376C" w:rsidRDefault="003B376C" w:rsidP="00CF2F55">
      <w:pPr>
        <w:pStyle w:val="ListBullet"/>
      </w:pPr>
      <w:r>
        <w:t xml:space="preserve">There is no compelling evidence of a public health benefit from wider availability </w:t>
      </w:r>
      <w:r w:rsidR="007A2295">
        <w:t>to</w:t>
      </w:r>
      <w:r>
        <w:t xml:space="preserve"> consumer</w:t>
      </w:r>
      <w:r w:rsidR="007A2295">
        <w:t>s</w:t>
      </w:r>
      <w:r>
        <w:t>.</w:t>
      </w:r>
    </w:p>
    <w:p w14:paraId="39D61B8B" w14:textId="0C157323" w:rsidR="00F94792" w:rsidRDefault="0097097F" w:rsidP="0097097F">
      <w:pPr>
        <w:rPr>
          <w:rFonts w:asciiTheme="minorHAnsi" w:hAnsiTheme="minorHAnsi"/>
        </w:rPr>
      </w:pPr>
      <w:r w:rsidRPr="00F826E6">
        <w:rPr>
          <w:rFonts w:asciiTheme="minorHAnsi" w:hAnsiTheme="minorHAnsi"/>
        </w:rPr>
        <w:t xml:space="preserve">On the basis of evidence provided </w:t>
      </w:r>
      <w:r w:rsidR="003B376C">
        <w:rPr>
          <w:rFonts w:asciiTheme="minorHAnsi" w:hAnsiTheme="minorHAnsi"/>
        </w:rPr>
        <w:t>in</w:t>
      </w:r>
      <w:r w:rsidRPr="00F826E6">
        <w:rPr>
          <w:rFonts w:asciiTheme="minorHAnsi" w:hAnsiTheme="minorHAnsi"/>
        </w:rPr>
        <w:t xml:space="preserve"> the application, I am not satisfied that </w:t>
      </w:r>
      <w:r w:rsidRPr="00F826E6">
        <w:rPr>
          <w:rFonts w:asciiTheme="minorHAnsi" w:hAnsiTheme="minorHAnsi"/>
          <w:iCs/>
        </w:rPr>
        <w:t>amygdalin</w:t>
      </w:r>
      <w:r w:rsidRPr="00F826E6">
        <w:rPr>
          <w:rFonts w:asciiTheme="minorHAnsi" w:hAnsiTheme="minorHAnsi"/>
        </w:rPr>
        <w:t xml:space="preserve"> meets the standard for ‘reasonable safety’</w:t>
      </w:r>
      <w:r w:rsidR="00737CFE">
        <w:rPr>
          <w:rFonts w:asciiTheme="minorHAnsi" w:hAnsiTheme="minorHAnsi"/>
        </w:rPr>
        <w:t>.</w:t>
      </w:r>
    </w:p>
    <w:p w14:paraId="3653B980" w14:textId="7CF07EE7" w:rsidR="00F6515E" w:rsidRDefault="00F6515E" w:rsidP="0097097F">
      <w:pPr>
        <w:rPr>
          <w:szCs w:val="24"/>
        </w:rPr>
      </w:pPr>
      <w:r>
        <w:rPr>
          <w:szCs w:val="24"/>
        </w:rPr>
        <w:t xml:space="preserve">In making my decision, I have taken into account the seven public submissions received during the pre-meeting consultation, noting that one was supportive of the proposed changes, two were partially supportive and four were opposed. </w:t>
      </w:r>
      <w:r w:rsidR="006E2B07">
        <w:rPr>
          <w:szCs w:val="24"/>
        </w:rPr>
        <w:t xml:space="preserve">Supportive responses referenced the need for a concentration limit that is aligned with food regulations and is easily detectable at analytical facilities. However, </w:t>
      </w:r>
      <w:r>
        <w:rPr>
          <w:szCs w:val="24"/>
        </w:rPr>
        <w:t xml:space="preserve">I </w:t>
      </w:r>
      <w:r w:rsidR="006E2B07">
        <w:rPr>
          <w:szCs w:val="24"/>
        </w:rPr>
        <w:t>note the Committee’s advice that</w:t>
      </w:r>
      <w:r w:rsidR="00D87FB2">
        <w:rPr>
          <w:szCs w:val="24"/>
        </w:rPr>
        <w:t xml:space="preserve"> even a 5mg dose</w:t>
      </w:r>
      <w:r w:rsidR="006E2B07">
        <w:rPr>
          <w:szCs w:val="24"/>
        </w:rPr>
        <w:t xml:space="preserve"> </w:t>
      </w:r>
      <w:r w:rsidR="00D87FB2">
        <w:rPr>
          <w:szCs w:val="24"/>
        </w:rPr>
        <w:t>presents a significant risk to children, and that the preparations</w:t>
      </w:r>
      <w:r w:rsidR="006E2B07">
        <w:rPr>
          <w:szCs w:val="24"/>
        </w:rPr>
        <w:t xml:space="preserve"> used in TCM are not checked for amygdalin content</w:t>
      </w:r>
      <w:r w:rsidR="00D87FB2">
        <w:rPr>
          <w:szCs w:val="24"/>
        </w:rPr>
        <w:t xml:space="preserve"> in practice.</w:t>
      </w:r>
      <w:r w:rsidR="006E2B07">
        <w:rPr>
          <w:szCs w:val="24"/>
        </w:rPr>
        <w:t xml:space="preserve"> </w:t>
      </w:r>
      <w:r w:rsidR="00D87FB2">
        <w:rPr>
          <w:szCs w:val="24"/>
        </w:rPr>
        <w:t>I</w:t>
      </w:r>
      <w:r w:rsidR="006E2B07">
        <w:rPr>
          <w:szCs w:val="24"/>
        </w:rPr>
        <w:t xml:space="preserve"> </w:t>
      </w:r>
      <w:r>
        <w:rPr>
          <w:szCs w:val="24"/>
        </w:rPr>
        <w:t>find that the points raised in the submissions from the Australian Medical Association</w:t>
      </w:r>
      <w:r w:rsidR="00DD11BE">
        <w:rPr>
          <w:szCs w:val="24"/>
        </w:rPr>
        <w:t xml:space="preserve"> (AMA),</w:t>
      </w:r>
      <w:r>
        <w:rPr>
          <w:szCs w:val="24"/>
        </w:rPr>
        <w:t xml:space="preserve"> NSW Poisons Information Centre</w:t>
      </w:r>
      <w:r w:rsidR="00DD11BE">
        <w:rPr>
          <w:szCs w:val="24"/>
        </w:rPr>
        <w:t xml:space="preserve"> (NSW PIC) and Pharmacy Guild of Australia (the Guild)</w:t>
      </w:r>
      <w:r>
        <w:rPr>
          <w:szCs w:val="24"/>
        </w:rPr>
        <w:t xml:space="preserve"> were particularly pertinent:</w:t>
      </w:r>
    </w:p>
    <w:p w14:paraId="5FBFFCC6" w14:textId="4080A805" w:rsidR="00A535B4" w:rsidRDefault="00FC73FE" w:rsidP="00CF2F55">
      <w:pPr>
        <w:pStyle w:val="ListBullet"/>
      </w:pPr>
      <w:r>
        <w:t>The AMA noted that the applicant’s comparison between cyanide levels in food and TCM products is not appropriate</w:t>
      </w:r>
      <w:r w:rsidR="006A6EF4">
        <w:t xml:space="preserve">; </w:t>
      </w:r>
      <w:r w:rsidR="00370BEA" w:rsidRPr="00370BEA">
        <w:t>TCM products should go through the same process as other medicines to become registered on the Australian Register of Therapeutic Goods</w:t>
      </w:r>
      <w:r w:rsidR="00370BEA">
        <w:t xml:space="preserve">, including assessment </w:t>
      </w:r>
      <w:r w:rsidR="00370BEA" w:rsidRPr="00370BEA">
        <w:t>for safety, quality, and efficacy.</w:t>
      </w:r>
      <w:r w:rsidR="00370BEA">
        <w:t xml:space="preserve"> </w:t>
      </w:r>
      <w:r>
        <w:t>The</w:t>
      </w:r>
      <w:r w:rsidR="00370BEA">
        <w:t xml:space="preserve"> AMA</w:t>
      </w:r>
      <w:r>
        <w:t xml:space="preserve"> also reiterated their previous concerns regarding the risks of cyanide poisoning and</w:t>
      </w:r>
      <w:r w:rsidR="00A535B4">
        <w:t xml:space="preserve"> the potential for misuse as an alternative to cancer therapy.</w:t>
      </w:r>
    </w:p>
    <w:p w14:paraId="19C24F9C" w14:textId="2DEEB080" w:rsidR="00A535B4" w:rsidRDefault="00A535B4" w:rsidP="00CF2F55">
      <w:pPr>
        <w:pStyle w:val="ListBullet"/>
      </w:pPr>
      <w:r>
        <w:t>The NSW PIC</w:t>
      </w:r>
      <w:r w:rsidR="007311E4" w:rsidRPr="007311E4">
        <w:t xml:space="preserve"> </w:t>
      </w:r>
      <w:r w:rsidR="007311E4">
        <w:t xml:space="preserve">reported 4 calls </w:t>
      </w:r>
      <w:r w:rsidR="00127C20">
        <w:t>regarding ingestion of</w:t>
      </w:r>
      <w:r w:rsidR="0052400E">
        <w:t xml:space="preserve"> </w:t>
      </w:r>
      <w:r w:rsidR="007311E4">
        <w:t xml:space="preserve">amygdalin-containing </w:t>
      </w:r>
      <w:r w:rsidR="00127C20">
        <w:t>preparations</w:t>
      </w:r>
      <w:r w:rsidR="007311E4">
        <w:t xml:space="preserve"> since September 2020.</w:t>
      </w:r>
      <w:r>
        <w:t xml:space="preserve"> </w:t>
      </w:r>
      <w:r w:rsidR="004305CC">
        <w:t>It was</w:t>
      </w:r>
      <w:r w:rsidR="007311E4">
        <w:t xml:space="preserve"> noted</w:t>
      </w:r>
      <w:r>
        <w:t xml:space="preserve"> that TCM products </w:t>
      </w:r>
      <w:r w:rsidR="00127C20">
        <w:t xml:space="preserve">can be relatively safe at low doses of </w:t>
      </w:r>
      <w:r w:rsidR="00127C20">
        <w:lastRenderedPageBreak/>
        <w:t>amygdalin; however,</w:t>
      </w:r>
      <w:r w:rsidR="00976CE6">
        <w:t xml:space="preserve"> serious concern was expressed regarding</w:t>
      </w:r>
      <w:r>
        <w:t xml:space="preserve"> deliberate self-poisoning</w:t>
      </w:r>
      <w:r w:rsidR="007311E4">
        <w:t>,</w:t>
      </w:r>
      <w:r>
        <w:t xml:space="preserve"> chronic overuse </w:t>
      </w:r>
      <w:r w:rsidR="007311E4">
        <w:t>and quality control of these products.</w:t>
      </w:r>
    </w:p>
    <w:p w14:paraId="0B6B603A" w14:textId="50BBCF19" w:rsidR="00A535B4" w:rsidRDefault="00A535B4" w:rsidP="00CF2F55">
      <w:pPr>
        <w:pStyle w:val="ListBullet"/>
      </w:pPr>
      <w:r>
        <w:t xml:space="preserve">The Guild opposed the amendments due to a lack of scientific evidence to support the purported indications for use, </w:t>
      </w:r>
      <w:r w:rsidR="004305CC">
        <w:t xml:space="preserve">the potential for </w:t>
      </w:r>
      <w:r>
        <w:t xml:space="preserve">patients </w:t>
      </w:r>
      <w:r w:rsidR="004305CC">
        <w:t xml:space="preserve">to </w:t>
      </w:r>
      <w:r>
        <w:t>delay appropriate treatment, and the risk of cyanide poisoning.</w:t>
      </w:r>
    </w:p>
    <w:p w14:paraId="2325EE2E" w14:textId="1BA5A7D9" w:rsidR="00550ED7" w:rsidRDefault="007311E4" w:rsidP="00CF2F55">
      <w:pPr>
        <w:rPr>
          <w:bCs/>
          <w:szCs w:val="22"/>
        </w:rPr>
      </w:pPr>
      <w:r>
        <w:t>On balance, I find that</w:t>
      </w:r>
      <w:r w:rsidR="00C604BE">
        <w:t xml:space="preserve"> amygdalin and hydrocyanic acid have an unfavourable</w:t>
      </w:r>
      <w:r>
        <w:t xml:space="preserve"> risk/benefit profile</w:t>
      </w:r>
      <w:r w:rsidR="00CD2690">
        <w:t xml:space="preserve"> to the extent that</w:t>
      </w:r>
      <w:r w:rsidR="00C604BE">
        <w:t xml:space="preserve"> they should not</w:t>
      </w:r>
      <w:r w:rsidR="00B85772">
        <w:t xml:space="preserve"> exempted from scheduling and allowed</w:t>
      </w:r>
      <w:r w:rsidR="00C604BE">
        <w:t xml:space="preserve"> </w:t>
      </w:r>
      <w:r w:rsidR="00B85772">
        <w:t>for</w:t>
      </w:r>
      <w:r w:rsidR="00C604BE">
        <w:t xml:space="preserve"> general</w:t>
      </w:r>
      <w:r w:rsidR="00B85772">
        <w:t xml:space="preserve"> retail</w:t>
      </w:r>
      <w:r w:rsidR="00C604BE">
        <w:t xml:space="preserve"> sale at any concentration</w:t>
      </w:r>
      <w:r w:rsidR="0052400E">
        <w:t xml:space="preserve"> (outside of the current hydrocyanic acid cut-off in Appendix G)</w:t>
      </w:r>
      <w:r w:rsidR="00C604BE">
        <w:t>.</w:t>
      </w:r>
      <w:r>
        <w:t xml:space="preserve"> </w:t>
      </w:r>
      <w:r w:rsidR="00B85772">
        <w:t>I consider that they meet the Schedule 10 factors and a</w:t>
      </w:r>
      <w:r>
        <w:t>s such, I have made an interim decision to retain the current scheduling of these substances.</w:t>
      </w:r>
      <w:r w:rsidR="00C604BE">
        <w:t xml:space="preserve"> To clarify the scheduling of TCM ingredients containing these substances,</w:t>
      </w:r>
      <w:bookmarkEnd w:id="20"/>
      <w:r w:rsidR="00C604BE">
        <w:rPr>
          <w:iCs/>
          <w:szCs w:val="22"/>
        </w:rPr>
        <w:t xml:space="preserve"> </w:t>
      </w:r>
      <w:r w:rsidR="00D06340">
        <w:rPr>
          <w:bCs/>
          <w:szCs w:val="22"/>
        </w:rPr>
        <w:t>I have</w:t>
      </w:r>
      <w:r w:rsidR="00F33ED9">
        <w:rPr>
          <w:bCs/>
          <w:szCs w:val="22"/>
        </w:rPr>
        <w:t xml:space="preserve"> </w:t>
      </w:r>
      <w:r w:rsidR="00C604BE">
        <w:rPr>
          <w:bCs/>
          <w:szCs w:val="22"/>
        </w:rPr>
        <w:t>also</w:t>
      </w:r>
      <w:r w:rsidR="00CD2690">
        <w:rPr>
          <w:bCs/>
          <w:szCs w:val="22"/>
        </w:rPr>
        <w:t xml:space="preserve"> </w:t>
      </w:r>
      <w:r w:rsidR="00D06340">
        <w:rPr>
          <w:bCs/>
          <w:szCs w:val="22"/>
        </w:rPr>
        <w:t>decided to</w:t>
      </w:r>
      <w:r w:rsidR="00CD2690" w:rsidRPr="00CD2690">
        <w:rPr>
          <w:bCs/>
          <w:szCs w:val="22"/>
        </w:rPr>
        <w:t xml:space="preserve"> </w:t>
      </w:r>
      <w:r w:rsidR="00C604BE">
        <w:rPr>
          <w:bCs/>
          <w:szCs w:val="22"/>
        </w:rPr>
        <w:t xml:space="preserve">add </w:t>
      </w:r>
      <w:r w:rsidR="00F94792">
        <w:rPr>
          <w:bCs/>
          <w:szCs w:val="22"/>
        </w:rPr>
        <w:t>a cross reference to apricot kernel</w:t>
      </w:r>
      <w:r w:rsidR="00D06340">
        <w:rPr>
          <w:bCs/>
          <w:szCs w:val="22"/>
        </w:rPr>
        <w:t>s</w:t>
      </w:r>
      <w:r w:rsidR="00F94792">
        <w:rPr>
          <w:bCs/>
          <w:szCs w:val="22"/>
        </w:rPr>
        <w:t xml:space="preserve"> in the index entries for amygdalin</w:t>
      </w:r>
      <w:r w:rsidR="00CD2690">
        <w:rPr>
          <w:bCs/>
          <w:szCs w:val="22"/>
        </w:rPr>
        <w:t xml:space="preserve"> and</w:t>
      </w:r>
      <w:r w:rsidR="00F94792">
        <w:rPr>
          <w:bCs/>
          <w:szCs w:val="22"/>
        </w:rPr>
        <w:t xml:space="preserve"> hydrocyanic acid</w:t>
      </w:r>
      <w:r w:rsidR="00C604BE">
        <w:rPr>
          <w:bCs/>
          <w:szCs w:val="22"/>
        </w:rPr>
        <w:t>.</w:t>
      </w:r>
    </w:p>
    <w:p w14:paraId="4F334452" w14:textId="31D51CF7" w:rsidR="00D60ACA" w:rsidRDefault="00D60ACA" w:rsidP="00D94D4D">
      <w:pPr>
        <w:pStyle w:val="Heading3"/>
      </w:pPr>
      <w:bookmarkStart w:id="21" w:name="_Toc83820101"/>
      <w:r>
        <w:t xml:space="preserve">Interim decision in </w:t>
      </w:r>
      <w:r w:rsidRPr="001E0113">
        <w:t>relation</w:t>
      </w:r>
      <w:r>
        <w:t xml:space="preserve"> to </w:t>
      </w:r>
      <w:proofErr w:type="spellStart"/>
      <w:r>
        <w:t>bufexamac</w:t>
      </w:r>
      <w:bookmarkEnd w:id="21"/>
      <w:proofErr w:type="spellEnd"/>
    </w:p>
    <w:p w14:paraId="7CD0D334" w14:textId="77777777" w:rsidR="00D60ACA" w:rsidRPr="00C721A5" w:rsidRDefault="00D60ACA" w:rsidP="00D94D4D">
      <w:pPr>
        <w:pStyle w:val="Heading4"/>
      </w:pPr>
      <w:bookmarkStart w:id="22" w:name="_Toc83820102"/>
      <w:r w:rsidRPr="00C721A5">
        <w:t>Proposal</w:t>
      </w:r>
      <w:bookmarkEnd w:id="22"/>
    </w:p>
    <w:p w14:paraId="5AC76922" w14:textId="60C9667F" w:rsidR="00D60ACA" w:rsidRDefault="00D60ACA" w:rsidP="00D60ACA">
      <w:r>
        <w:t xml:space="preserve">A Delegate of the Secretary of the Commonwealth Department of Health (the Delegate) proposed to amend the Schedule 4 entry for </w:t>
      </w:r>
      <w:proofErr w:type="spellStart"/>
      <w:r>
        <w:t>bufexamac</w:t>
      </w:r>
      <w:proofErr w:type="spellEnd"/>
      <w:r>
        <w:t xml:space="preserve"> to remove the existing exceptions for suppositories and dermal use.</w:t>
      </w:r>
    </w:p>
    <w:p w14:paraId="516DC721" w14:textId="77777777" w:rsidR="00D60ACA" w:rsidRPr="00C721A5" w:rsidRDefault="00D60ACA" w:rsidP="00D94D4D">
      <w:pPr>
        <w:pStyle w:val="Heading4"/>
      </w:pPr>
      <w:bookmarkStart w:id="23" w:name="_Toc83820103"/>
      <w:r w:rsidRPr="00C721A5">
        <w:t>Interim decision</w:t>
      </w:r>
      <w:bookmarkEnd w:id="23"/>
    </w:p>
    <w:p w14:paraId="7B7D1FD1" w14:textId="484C587E" w:rsidR="00D60ACA" w:rsidRDefault="00D60ACA" w:rsidP="00D60ACA">
      <w:r w:rsidRPr="00A05D10">
        <w:t xml:space="preserve">Pursuant to regulation 42ZCZN of the Regulations, a Delegate of the Secretary has, in relation to the proposed amendment, made an interim decision to amend the </w:t>
      </w:r>
      <w:r>
        <w:t xml:space="preserve">scheduling for </w:t>
      </w:r>
      <w:proofErr w:type="spellStart"/>
      <w:r>
        <w:t>bufexamac</w:t>
      </w:r>
      <w:proofErr w:type="spellEnd"/>
      <w:r>
        <w:t xml:space="preserve"> in the </w:t>
      </w:r>
      <w:r w:rsidRPr="00A05D10">
        <w:t>current Poisons St</w:t>
      </w:r>
      <w:r>
        <w:t>andard as follows</w:t>
      </w:r>
      <w:r w:rsidRPr="00A05D10">
        <w:t>:</w:t>
      </w:r>
    </w:p>
    <w:p w14:paraId="7967DCA5" w14:textId="77777777" w:rsidR="00BC61AE" w:rsidRPr="00101762" w:rsidRDefault="00BC61AE" w:rsidP="00BC61AE">
      <w:pPr>
        <w:ind w:left="709"/>
        <w:rPr>
          <w:b/>
        </w:rPr>
      </w:pPr>
      <w:r w:rsidRPr="00101762">
        <w:rPr>
          <w:b/>
        </w:rPr>
        <w:t xml:space="preserve">Schedule </w:t>
      </w:r>
      <w:r>
        <w:rPr>
          <w:b/>
        </w:rPr>
        <w:t>4</w:t>
      </w:r>
      <w:r w:rsidRPr="00101762">
        <w:rPr>
          <w:b/>
        </w:rPr>
        <w:t xml:space="preserve"> – Amend Entry</w:t>
      </w:r>
    </w:p>
    <w:p w14:paraId="20888CBF" w14:textId="7F3218D0" w:rsidR="00BC61AE" w:rsidRPr="00966180" w:rsidRDefault="00BC61AE" w:rsidP="00CF2F55">
      <w:pPr>
        <w:ind w:left="709"/>
        <w:rPr>
          <w:strike/>
          <w:color w:val="FF0000"/>
        </w:rPr>
      </w:pPr>
      <w:r w:rsidRPr="00360473">
        <w:t xml:space="preserve">BUFEXAMAC </w:t>
      </w:r>
      <w:r w:rsidRPr="00966180">
        <w:rPr>
          <w:strike/>
          <w:color w:val="FF0000"/>
        </w:rPr>
        <w:t>except:</w:t>
      </w:r>
    </w:p>
    <w:p w14:paraId="318C36F5" w14:textId="1056D4E6" w:rsidR="00BC61AE" w:rsidRPr="00966180" w:rsidRDefault="00BC61AE" w:rsidP="00C83227">
      <w:pPr>
        <w:numPr>
          <w:ilvl w:val="0"/>
          <w:numId w:val="9"/>
        </w:numPr>
        <w:ind w:left="1134" w:firstLine="0"/>
        <w:rPr>
          <w:strike/>
          <w:color w:val="FF0000"/>
        </w:rPr>
      </w:pPr>
      <w:r w:rsidRPr="00966180">
        <w:rPr>
          <w:strike/>
          <w:color w:val="FF0000"/>
        </w:rPr>
        <w:t xml:space="preserve">in preparations for dermal use containing 5 per cent or less of </w:t>
      </w:r>
      <w:proofErr w:type="spellStart"/>
      <w:r w:rsidRPr="00966180">
        <w:rPr>
          <w:strike/>
          <w:color w:val="FF0000"/>
        </w:rPr>
        <w:t>bufexamac</w:t>
      </w:r>
      <w:proofErr w:type="spellEnd"/>
      <w:r w:rsidRPr="00966180">
        <w:rPr>
          <w:strike/>
          <w:color w:val="FF0000"/>
        </w:rPr>
        <w:t>; or</w:t>
      </w:r>
    </w:p>
    <w:p w14:paraId="6B2517FD" w14:textId="708DF0AB" w:rsidR="00BC61AE" w:rsidRDefault="00BC61AE" w:rsidP="00BC61AE">
      <w:pPr>
        <w:ind w:left="1134"/>
        <w:rPr>
          <w:strike/>
          <w:color w:val="FF0000"/>
        </w:rPr>
      </w:pPr>
      <w:r w:rsidRPr="00966180">
        <w:rPr>
          <w:strike/>
          <w:color w:val="FF0000"/>
        </w:rPr>
        <w:t>b) in suppositories</w:t>
      </w:r>
      <w:r>
        <w:rPr>
          <w:strike/>
          <w:color w:val="FF0000"/>
        </w:rPr>
        <w:t>.</w:t>
      </w:r>
    </w:p>
    <w:p w14:paraId="170A2C23" w14:textId="1842C3A0" w:rsidR="00BC61AE" w:rsidRDefault="00BC61AE" w:rsidP="00CF2F55">
      <w:pPr>
        <w:ind w:left="709"/>
        <w:rPr>
          <w:b/>
        </w:rPr>
      </w:pPr>
      <w:r>
        <w:rPr>
          <w:b/>
        </w:rPr>
        <w:t>Index</w:t>
      </w:r>
    </w:p>
    <w:p w14:paraId="1D7B6794" w14:textId="5457972F" w:rsidR="00BC61AE" w:rsidRDefault="00BC61AE" w:rsidP="00CF2F55">
      <w:pPr>
        <w:ind w:left="709"/>
        <w:rPr>
          <w:b/>
        </w:rPr>
      </w:pPr>
      <w:r>
        <w:rPr>
          <w:b/>
        </w:rPr>
        <w:t>BUFEXAMAC</w:t>
      </w:r>
    </w:p>
    <w:p w14:paraId="1EB2B2E4" w14:textId="3F4FB98B" w:rsidR="00BC61AE" w:rsidRPr="00BC61AE" w:rsidRDefault="00BC61AE" w:rsidP="00CF2F55">
      <w:pPr>
        <w:ind w:left="709"/>
      </w:pPr>
      <w:r w:rsidRPr="00BC61AE">
        <w:t>Schedule 4</w:t>
      </w:r>
    </w:p>
    <w:p w14:paraId="6C28BC84" w14:textId="77777777" w:rsidR="00D60ACA" w:rsidRPr="00C721A5" w:rsidRDefault="00D60ACA" w:rsidP="00D94D4D">
      <w:pPr>
        <w:pStyle w:val="Heading4"/>
      </w:pPr>
      <w:bookmarkStart w:id="24" w:name="_Toc83820104"/>
      <w:r w:rsidRPr="00C721A5">
        <w:t>Materials considered</w:t>
      </w:r>
      <w:bookmarkEnd w:id="24"/>
    </w:p>
    <w:p w14:paraId="71D509D0" w14:textId="77777777" w:rsidR="00D60ACA" w:rsidRDefault="00D60ACA" w:rsidP="00D60ACA">
      <w:r>
        <w:t>In making this interim decision, the Delegate considered the following material:</w:t>
      </w:r>
    </w:p>
    <w:p w14:paraId="65E8B350" w14:textId="2B6050A5" w:rsidR="00D60ACA" w:rsidRPr="006367ED" w:rsidRDefault="00D60ACA" w:rsidP="00D60ACA">
      <w:pPr>
        <w:pStyle w:val="ListBullet"/>
      </w:pPr>
      <w:r w:rsidRPr="006367ED">
        <w:t xml:space="preserve">The </w:t>
      </w:r>
      <w:r>
        <w:t>two</w:t>
      </w:r>
      <w:r w:rsidRPr="006367ED">
        <w:t xml:space="preserve"> </w:t>
      </w:r>
      <w:hyperlink r:id="rId23" w:history="1">
        <w:r w:rsidRPr="006367ED">
          <w:rPr>
            <w:rStyle w:val="Hyperlink"/>
          </w:rPr>
          <w:t>public submissions</w:t>
        </w:r>
      </w:hyperlink>
      <w:r w:rsidRPr="006367ED">
        <w:rPr>
          <w:rStyle w:val="Hyperlink"/>
          <w:color w:val="auto"/>
        </w:rPr>
        <w:t>,</w:t>
      </w:r>
      <w:r w:rsidRPr="006367ED">
        <w:t xml:space="preserve"> </w:t>
      </w:r>
      <w:r>
        <w:t>both</w:t>
      </w:r>
      <w:r w:rsidRPr="006367ED">
        <w:t xml:space="preserve"> including a written component, received in response to the </w:t>
      </w:r>
      <w:hyperlink r:id="rId24" w:history="1">
        <w:r w:rsidRPr="006367ED">
          <w:rPr>
            <w:rStyle w:val="Hyperlink"/>
          </w:rPr>
          <w:t>pre-meeting consultation</w:t>
        </w:r>
      </w:hyperlink>
      <w:r w:rsidRPr="006367ED">
        <w:t xml:space="preserve"> under regulation 42ZCZK of the Regulations;</w:t>
      </w:r>
    </w:p>
    <w:p w14:paraId="2B33EE2A" w14:textId="77777777" w:rsidR="00D60ACA" w:rsidRDefault="00D60ACA" w:rsidP="00D60ACA">
      <w:pPr>
        <w:pStyle w:val="ListBullet"/>
      </w:pPr>
      <w:r>
        <w:t xml:space="preserve">The advice </w:t>
      </w:r>
      <w:r w:rsidRPr="00A825A4">
        <w:t>received from the Meeting of the Advisory Committee o</w:t>
      </w:r>
      <w:r>
        <w:t>n Medicines Scheduling (ACMS #34</w:t>
      </w:r>
      <w:r w:rsidRPr="00A825A4">
        <w:t>);</w:t>
      </w:r>
    </w:p>
    <w:p w14:paraId="02447C88" w14:textId="29955993" w:rsidR="00D60ACA" w:rsidRDefault="00D60ACA" w:rsidP="00D60ACA">
      <w:pPr>
        <w:pStyle w:val="ListBullet"/>
      </w:pPr>
      <w:r>
        <w:t xml:space="preserve">Subsection 52E(1) of the </w:t>
      </w:r>
      <w:r w:rsidRPr="00FC4D25">
        <w:rPr>
          <w:i/>
        </w:rPr>
        <w:t xml:space="preserve">Therapeutic Goods Act 1989, </w:t>
      </w:r>
      <w:r w:rsidRPr="001169AC">
        <w:t xml:space="preserve">in particular </w:t>
      </w:r>
      <w:r>
        <w:t xml:space="preserve">(a) risks and benefits of the use of a substance; (b) </w:t>
      </w:r>
      <w:r w:rsidR="008151EA">
        <w:t xml:space="preserve">the purposes for which a substance is to be used and the extent of </w:t>
      </w:r>
      <w:r w:rsidR="008151EA">
        <w:lastRenderedPageBreak/>
        <w:t>use of a substance</w:t>
      </w:r>
      <w:r>
        <w:t>; (c) the toxicity of a substance; and (f) any other matters that the Secretary considers necessary to protect public health;</w:t>
      </w:r>
    </w:p>
    <w:p w14:paraId="186A1486" w14:textId="6E3229EF" w:rsidR="00D60ACA" w:rsidRDefault="00D60ACA" w:rsidP="00D60ACA">
      <w:pPr>
        <w:pStyle w:val="ListBullet"/>
      </w:pPr>
      <w:r w:rsidRPr="002C1418">
        <w:t xml:space="preserve">The Australian Health Ministers’ Advisory Council’s </w:t>
      </w:r>
      <w:hyperlink r:id="rId25" w:history="1">
        <w:r w:rsidRPr="001A7580">
          <w:rPr>
            <w:rStyle w:val="Hyperlink"/>
          </w:rPr>
          <w:t>Scheduling Policy Framework</w:t>
        </w:r>
      </w:hyperlink>
      <w:r>
        <w:t xml:space="preserve"> (SPF 2018</w:t>
      </w:r>
      <w:r w:rsidRPr="002C20AE">
        <w:t>);</w:t>
      </w:r>
    </w:p>
    <w:p w14:paraId="38A2051E" w14:textId="5A40DB4A" w:rsidR="00D60ACA" w:rsidRDefault="00D60ACA" w:rsidP="00D60ACA">
      <w:pPr>
        <w:pStyle w:val="ListBullet"/>
      </w:pPr>
      <w:r>
        <w:t xml:space="preserve">The </w:t>
      </w:r>
      <w:hyperlink r:id="rId26" w:history="1">
        <w:r w:rsidRPr="001A7580">
          <w:rPr>
            <w:rStyle w:val="Hyperlink"/>
          </w:rPr>
          <w:t>Scheduling handbook: Guidance for amending the Poisons Standard</w:t>
        </w:r>
      </w:hyperlink>
      <w:r w:rsidR="00813773">
        <w:t>; and</w:t>
      </w:r>
    </w:p>
    <w:p w14:paraId="348721E5" w14:textId="31CF70A4" w:rsidR="00813773" w:rsidRPr="006501A1" w:rsidRDefault="00813773" w:rsidP="00D60ACA">
      <w:pPr>
        <w:pStyle w:val="ListBullet"/>
      </w:pPr>
      <w:r>
        <w:t xml:space="preserve">A recent </w:t>
      </w:r>
      <w:hyperlink r:id="rId27" w:history="1">
        <w:r w:rsidRPr="00813773">
          <w:rPr>
            <w:rStyle w:val="Hyperlink"/>
          </w:rPr>
          <w:t>TGA safety alert</w:t>
        </w:r>
      </w:hyperlink>
      <w:r>
        <w:t xml:space="preserve"> regarding first aid creams containing </w:t>
      </w:r>
      <w:proofErr w:type="spellStart"/>
      <w:r>
        <w:t>bufexamac</w:t>
      </w:r>
      <w:proofErr w:type="spellEnd"/>
      <w:r>
        <w:t>.</w:t>
      </w:r>
    </w:p>
    <w:p w14:paraId="3AAB0F5D" w14:textId="77777777" w:rsidR="00D60ACA" w:rsidRPr="00C721A5" w:rsidRDefault="00D60ACA" w:rsidP="00D94D4D">
      <w:pPr>
        <w:pStyle w:val="Heading4"/>
      </w:pPr>
      <w:bookmarkStart w:id="25" w:name="_Toc83820105"/>
      <w:r w:rsidRPr="00C721A5">
        <w:t>Summary of ACMS advice to the delegate</w:t>
      </w:r>
      <w:bookmarkEnd w:id="25"/>
    </w:p>
    <w:p w14:paraId="40A74C44" w14:textId="157FA060" w:rsidR="00BC61AE" w:rsidRDefault="00BC61AE" w:rsidP="00BC61AE">
      <w:r>
        <w:t xml:space="preserve">The Committee advised that the Schedule 4 entry for </w:t>
      </w:r>
      <w:proofErr w:type="spellStart"/>
      <w:r>
        <w:t>bufexamac</w:t>
      </w:r>
      <w:proofErr w:type="spellEnd"/>
      <w:r>
        <w:t xml:space="preserve"> be amended as follows:</w:t>
      </w:r>
    </w:p>
    <w:p w14:paraId="6D25A198" w14:textId="77777777" w:rsidR="00BC61AE" w:rsidRPr="00101762" w:rsidRDefault="00BC61AE" w:rsidP="00BC61AE">
      <w:pPr>
        <w:ind w:left="284" w:firstLine="436"/>
        <w:rPr>
          <w:b/>
        </w:rPr>
      </w:pPr>
      <w:r w:rsidRPr="00101762">
        <w:rPr>
          <w:b/>
        </w:rPr>
        <w:t xml:space="preserve">Schedule </w:t>
      </w:r>
      <w:r>
        <w:rPr>
          <w:b/>
        </w:rPr>
        <w:t>4</w:t>
      </w:r>
      <w:r w:rsidRPr="00101762">
        <w:rPr>
          <w:b/>
        </w:rPr>
        <w:t xml:space="preserve"> – Amend Entry</w:t>
      </w:r>
    </w:p>
    <w:p w14:paraId="57B53CB4" w14:textId="5C3841BD" w:rsidR="00BC61AE" w:rsidRPr="00966180" w:rsidRDefault="00BC61AE" w:rsidP="00CF2F55">
      <w:pPr>
        <w:ind w:left="709"/>
        <w:rPr>
          <w:strike/>
          <w:color w:val="FF0000"/>
        </w:rPr>
      </w:pPr>
      <w:r w:rsidRPr="00360473">
        <w:t>BUFEXAMAC</w:t>
      </w:r>
      <w:r w:rsidRPr="00B22ADD">
        <w:rPr>
          <w:b/>
        </w:rPr>
        <w:t xml:space="preserve"> </w:t>
      </w:r>
      <w:r w:rsidRPr="00B22ADD">
        <w:rPr>
          <w:b/>
          <w:strike/>
          <w:color w:val="FF0000"/>
        </w:rPr>
        <w:t>except</w:t>
      </w:r>
      <w:r w:rsidRPr="00966180">
        <w:rPr>
          <w:strike/>
          <w:color w:val="FF0000"/>
        </w:rPr>
        <w:t xml:space="preserve">: </w:t>
      </w:r>
    </w:p>
    <w:p w14:paraId="5EE6A23A" w14:textId="21B79864" w:rsidR="00BC61AE" w:rsidRPr="00966180" w:rsidRDefault="00BC61AE" w:rsidP="00C83227">
      <w:pPr>
        <w:numPr>
          <w:ilvl w:val="0"/>
          <w:numId w:val="10"/>
        </w:numPr>
        <w:rPr>
          <w:strike/>
          <w:color w:val="FF0000"/>
        </w:rPr>
      </w:pPr>
      <w:r w:rsidRPr="00966180">
        <w:rPr>
          <w:strike/>
          <w:color w:val="FF0000"/>
        </w:rPr>
        <w:t xml:space="preserve">in preparations for dermal use containing 5 per cent or less of </w:t>
      </w:r>
      <w:proofErr w:type="spellStart"/>
      <w:r w:rsidRPr="00966180">
        <w:rPr>
          <w:strike/>
          <w:color w:val="FF0000"/>
        </w:rPr>
        <w:t>bufexamac</w:t>
      </w:r>
      <w:proofErr w:type="spellEnd"/>
      <w:r w:rsidRPr="00966180">
        <w:rPr>
          <w:strike/>
          <w:color w:val="FF0000"/>
        </w:rPr>
        <w:t>; or</w:t>
      </w:r>
    </w:p>
    <w:p w14:paraId="37FFB3C9" w14:textId="52563D89" w:rsidR="00BC61AE" w:rsidRDefault="00BC61AE" w:rsidP="00C83227">
      <w:pPr>
        <w:numPr>
          <w:ilvl w:val="0"/>
          <w:numId w:val="10"/>
        </w:numPr>
        <w:ind w:left="1134" w:firstLine="0"/>
        <w:rPr>
          <w:strike/>
          <w:color w:val="FF0000"/>
        </w:rPr>
      </w:pPr>
      <w:r w:rsidRPr="00BC61AE">
        <w:rPr>
          <w:strike/>
          <w:color w:val="FF0000"/>
        </w:rPr>
        <w:t>in suppositories.</w:t>
      </w:r>
    </w:p>
    <w:p w14:paraId="518399E5" w14:textId="6B3A8929" w:rsidR="00BC61AE" w:rsidRPr="00BC61AE" w:rsidRDefault="00BC61AE" w:rsidP="00BC61AE">
      <w:pPr>
        <w:ind w:left="720"/>
        <w:rPr>
          <w:b/>
        </w:rPr>
      </w:pPr>
      <w:r w:rsidRPr="00BC61AE">
        <w:rPr>
          <w:b/>
        </w:rPr>
        <w:t>Index</w:t>
      </w:r>
    </w:p>
    <w:p w14:paraId="57BB9F51" w14:textId="10B3523D" w:rsidR="00BC61AE" w:rsidRPr="00BC61AE" w:rsidRDefault="00BC61AE" w:rsidP="00BC61AE">
      <w:pPr>
        <w:ind w:left="720"/>
        <w:rPr>
          <w:b/>
        </w:rPr>
      </w:pPr>
      <w:r w:rsidRPr="00BC61AE">
        <w:rPr>
          <w:b/>
        </w:rPr>
        <w:t>BUFEXAMAC</w:t>
      </w:r>
    </w:p>
    <w:p w14:paraId="4A669ECA" w14:textId="0D4AC58C" w:rsidR="00BC61AE" w:rsidRPr="00BC61AE" w:rsidRDefault="00BC61AE" w:rsidP="00BC61AE">
      <w:pPr>
        <w:ind w:left="720"/>
      </w:pPr>
      <w:r>
        <w:t>Schedule 4</w:t>
      </w:r>
    </w:p>
    <w:p w14:paraId="7ADF8A69" w14:textId="00FFF43A" w:rsidR="00BC61AE" w:rsidRDefault="00BC61AE" w:rsidP="00BC61AE">
      <w:r>
        <w:t xml:space="preserve">The Committee also recommended an implementation date of </w:t>
      </w:r>
      <w:r w:rsidRPr="00D47415">
        <w:rPr>
          <w:b/>
        </w:rPr>
        <w:t xml:space="preserve">1 </w:t>
      </w:r>
      <w:r>
        <w:rPr>
          <w:b/>
        </w:rPr>
        <w:t>February</w:t>
      </w:r>
      <w:r w:rsidRPr="00101762">
        <w:rPr>
          <w:b/>
        </w:rPr>
        <w:t xml:space="preserve"> </w:t>
      </w:r>
      <w:r>
        <w:rPr>
          <w:b/>
        </w:rPr>
        <w:t>2022.</w:t>
      </w:r>
    </w:p>
    <w:p w14:paraId="282CD3A8" w14:textId="2B380F49" w:rsidR="00D60ACA" w:rsidRDefault="00D60ACA" w:rsidP="00D60ACA">
      <w:r>
        <w:t xml:space="preserve">Members agreed that the relevant matters under Section 52E(1) of the </w:t>
      </w:r>
      <w:r w:rsidRPr="00AC262B">
        <w:rPr>
          <w:i/>
        </w:rPr>
        <w:t>Therapeutic Goods Act 1989</w:t>
      </w:r>
      <w:r>
        <w:t xml:space="preserve"> included: (a) the risks and benefits of the use of a substance; (b) </w:t>
      </w:r>
      <w:r w:rsidR="008151EA">
        <w:t>the purposes for which a substance is to be used and the extent of use of a substance</w:t>
      </w:r>
      <w:r>
        <w:t xml:space="preserve">; (c) the toxicity of a substance; and (f) any other matters that the Secretary considers necessary to protect public health. </w:t>
      </w:r>
    </w:p>
    <w:p w14:paraId="5AC09DFC" w14:textId="5B549A70" w:rsidR="00D60ACA" w:rsidRDefault="00D60ACA" w:rsidP="00D60ACA">
      <w:r>
        <w:t>The reasons for the advice included:</w:t>
      </w:r>
    </w:p>
    <w:p w14:paraId="6BD6534D" w14:textId="77777777" w:rsidR="00D52AB5" w:rsidRPr="00ED7D5A" w:rsidRDefault="00D52AB5" w:rsidP="00CF2F55">
      <w:pPr>
        <w:pStyle w:val="Numberbulleta"/>
        <w:numPr>
          <w:ilvl w:val="0"/>
          <w:numId w:val="20"/>
        </w:numPr>
        <w:ind w:left="426" w:hanging="426"/>
      </w:pPr>
      <w:r w:rsidRPr="00ED7D5A">
        <w:t>the toxicity of a substance</w:t>
      </w:r>
    </w:p>
    <w:p w14:paraId="1846900F" w14:textId="77777777" w:rsidR="00D52AB5" w:rsidRPr="00ED7D5A" w:rsidRDefault="00D52AB5" w:rsidP="00D52AB5">
      <w:pPr>
        <w:pStyle w:val="ListBullet"/>
        <w:numPr>
          <w:ilvl w:val="0"/>
          <w:numId w:val="0"/>
        </w:numPr>
        <w:ind w:left="425"/>
      </w:pPr>
      <w:r w:rsidRPr="00ED7D5A">
        <w:t>Risks:</w:t>
      </w:r>
    </w:p>
    <w:p w14:paraId="66115641" w14:textId="77777777" w:rsidR="00D52AB5" w:rsidRPr="00ED7D5A" w:rsidRDefault="00D52AB5" w:rsidP="00D52AB5">
      <w:pPr>
        <w:pStyle w:val="ListBullet2"/>
        <w:spacing w:before="0" w:after="160" w:line="259" w:lineRule="auto"/>
        <w:rPr>
          <w:rFonts w:eastAsia="Times New Roman"/>
        </w:rPr>
      </w:pPr>
      <w:r w:rsidRPr="00ED7D5A">
        <w:t>Risk of allergic dermatitis, in some cases very severe, requiring hospitalisation.</w:t>
      </w:r>
    </w:p>
    <w:p w14:paraId="4226EE67" w14:textId="7CF09EF1" w:rsidR="00D52AB5" w:rsidRPr="00ED7D5A" w:rsidRDefault="00D52AB5" w:rsidP="00D52AB5">
      <w:pPr>
        <w:pStyle w:val="ListBullet2"/>
        <w:spacing w:before="0" w:after="160" w:line="259" w:lineRule="auto"/>
      </w:pPr>
      <w:r w:rsidRPr="00ED7D5A">
        <w:t>Efficacy is questionable.</w:t>
      </w:r>
    </w:p>
    <w:p w14:paraId="6A94C9BF" w14:textId="77777777" w:rsidR="00D52AB5" w:rsidRPr="00ED7D5A" w:rsidRDefault="00D52AB5" w:rsidP="00CF2F55">
      <w:pPr>
        <w:pStyle w:val="Numberbulleta"/>
      </w:pPr>
      <w:r w:rsidRPr="00ED7D5A">
        <w:t>the purposes for which a substance is to be used and the extent of use of a substance</w:t>
      </w:r>
    </w:p>
    <w:p w14:paraId="690C868A" w14:textId="77777777" w:rsidR="00D52AB5" w:rsidRPr="00ED7D5A" w:rsidRDefault="00D52AB5" w:rsidP="00D52AB5">
      <w:pPr>
        <w:pStyle w:val="ListBullet2"/>
        <w:spacing w:before="0" w:after="160" w:line="259" w:lineRule="auto"/>
        <w:rPr>
          <w:rFonts w:eastAsia="Times New Roman"/>
        </w:rPr>
      </w:pPr>
      <w:r w:rsidRPr="00ED7D5A">
        <w:t xml:space="preserve">There are currently no registered medicines in Australia that use </w:t>
      </w:r>
      <w:proofErr w:type="spellStart"/>
      <w:r w:rsidRPr="00ED7D5A">
        <w:t>bufexamac</w:t>
      </w:r>
      <w:proofErr w:type="spellEnd"/>
      <w:r w:rsidRPr="00ED7D5A">
        <w:t xml:space="preserve"> as an active ingredient. The TGA has previously determined that there is insufficient evidence that </w:t>
      </w:r>
      <w:proofErr w:type="spellStart"/>
      <w:r w:rsidRPr="00ED7D5A">
        <w:t>bufexamac</w:t>
      </w:r>
      <w:proofErr w:type="spellEnd"/>
      <w:r w:rsidRPr="00ED7D5A">
        <w:t xml:space="preserve"> is an effective medicine in anti-inflammatory preparations.</w:t>
      </w:r>
    </w:p>
    <w:p w14:paraId="20925A64" w14:textId="77777777" w:rsidR="00D52AB5" w:rsidRPr="00ED7D5A" w:rsidRDefault="00D52AB5" w:rsidP="00CF2F55">
      <w:pPr>
        <w:pStyle w:val="Numberbulleta"/>
      </w:pPr>
      <w:r w:rsidRPr="00ED7D5A">
        <w:t>the toxicity of a substance</w:t>
      </w:r>
    </w:p>
    <w:p w14:paraId="29A26447" w14:textId="77777777" w:rsidR="00D52AB5" w:rsidRPr="00ED7D5A" w:rsidRDefault="00D52AB5" w:rsidP="00D52AB5">
      <w:pPr>
        <w:pStyle w:val="ListBullet2"/>
        <w:spacing w:before="0" w:after="160" w:line="259" w:lineRule="auto"/>
        <w:rPr>
          <w:rFonts w:eastAsia="Times New Roman"/>
        </w:rPr>
      </w:pPr>
      <w:r w:rsidRPr="00ED7D5A">
        <w:t>Severe allergic contact dermatitis in susceptible persons.</w:t>
      </w:r>
    </w:p>
    <w:p w14:paraId="55EDC93D" w14:textId="77777777" w:rsidR="00D52AB5" w:rsidRPr="00ED7D5A" w:rsidRDefault="00D52AB5" w:rsidP="00D52AB5">
      <w:pPr>
        <w:pStyle w:val="ListBullet2"/>
        <w:spacing w:before="0" w:after="160" w:line="259" w:lineRule="auto"/>
        <w:rPr>
          <w:rFonts w:eastAsia="Times New Roman"/>
        </w:rPr>
      </w:pPr>
      <w:r w:rsidRPr="00ED7D5A">
        <w:t xml:space="preserve">There have been reports of hospitalisation due to serious skin reactions believed to be caused by </w:t>
      </w:r>
      <w:proofErr w:type="spellStart"/>
      <w:r w:rsidRPr="00ED7D5A">
        <w:t>bufexamac</w:t>
      </w:r>
      <w:proofErr w:type="spellEnd"/>
      <w:r w:rsidRPr="00ED7D5A">
        <w:t xml:space="preserve">. All products containing </w:t>
      </w:r>
      <w:proofErr w:type="spellStart"/>
      <w:r w:rsidRPr="00ED7D5A">
        <w:t>bufexamac</w:t>
      </w:r>
      <w:proofErr w:type="spellEnd"/>
      <w:r w:rsidRPr="00ED7D5A">
        <w:t xml:space="preserve"> were cancelled from the ARTG in September 2020.</w:t>
      </w:r>
    </w:p>
    <w:p w14:paraId="1E4E1403" w14:textId="77777777" w:rsidR="00D52AB5" w:rsidRPr="00ED7D5A" w:rsidRDefault="00D52AB5" w:rsidP="00CF2F55">
      <w:pPr>
        <w:pStyle w:val="Numberbulleta"/>
        <w:keepNext/>
        <w:ind w:left="425" w:hanging="425"/>
      </w:pPr>
      <w:r w:rsidRPr="00ED7D5A">
        <w:lastRenderedPageBreak/>
        <w:t>the dosage, formulation, labelling, packaging and presentation of a substance</w:t>
      </w:r>
    </w:p>
    <w:p w14:paraId="34626B51" w14:textId="77777777" w:rsidR="00D52AB5" w:rsidRPr="00ED7D5A" w:rsidRDefault="00D52AB5" w:rsidP="00D52AB5">
      <w:pPr>
        <w:pStyle w:val="ListBullet2"/>
        <w:numPr>
          <w:ilvl w:val="0"/>
          <w:numId w:val="0"/>
        </w:numPr>
        <w:ind w:left="850"/>
        <w:rPr>
          <w:rFonts w:eastAsia="Times New Roman"/>
          <w:b/>
        </w:rPr>
      </w:pPr>
      <w:r w:rsidRPr="00ED7D5A">
        <w:t>Nil</w:t>
      </w:r>
    </w:p>
    <w:p w14:paraId="3EBBCD0E" w14:textId="77777777" w:rsidR="00D52AB5" w:rsidRPr="00ED7D5A" w:rsidRDefault="00D52AB5" w:rsidP="00CF2F55">
      <w:pPr>
        <w:pStyle w:val="Numberbulleta"/>
      </w:pPr>
      <w:r w:rsidRPr="00ED7D5A">
        <w:t>the potential for abuse of a substance</w:t>
      </w:r>
    </w:p>
    <w:p w14:paraId="45B668A1" w14:textId="77777777" w:rsidR="00D52AB5" w:rsidRPr="00ED7D5A" w:rsidRDefault="00D52AB5" w:rsidP="00D52AB5">
      <w:pPr>
        <w:pStyle w:val="ListBullet2"/>
        <w:numPr>
          <w:ilvl w:val="0"/>
          <w:numId w:val="0"/>
        </w:numPr>
        <w:ind w:left="850"/>
      </w:pPr>
      <w:r w:rsidRPr="00ED7D5A">
        <w:t>Nil</w:t>
      </w:r>
    </w:p>
    <w:p w14:paraId="01D8BA77" w14:textId="77777777" w:rsidR="00D52AB5" w:rsidRPr="00ED7D5A" w:rsidRDefault="00D52AB5" w:rsidP="00CF2F55">
      <w:pPr>
        <w:pStyle w:val="Numberbulleta"/>
      </w:pPr>
      <w:r w:rsidRPr="00ED7D5A">
        <w:t>any other matters that the Secretary considers necessary to protect public health</w:t>
      </w:r>
    </w:p>
    <w:p w14:paraId="72760FC4" w14:textId="60721350" w:rsidR="00D52AB5" w:rsidRPr="00ED7D5A" w:rsidRDefault="00D52AB5" w:rsidP="00D52AB5">
      <w:pPr>
        <w:pStyle w:val="ListBullet2"/>
        <w:spacing w:before="0" w:after="160" w:line="259" w:lineRule="auto"/>
        <w:rPr>
          <w:rFonts w:eastAsia="Times New Roman"/>
        </w:rPr>
      </w:pPr>
      <w:r w:rsidRPr="00ED7D5A">
        <w:t xml:space="preserve">No </w:t>
      </w:r>
      <w:r w:rsidR="007637DE">
        <w:t xml:space="preserve">current </w:t>
      </w:r>
      <w:r w:rsidRPr="00ED7D5A">
        <w:t xml:space="preserve">products are registered for </w:t>
      </w:r>
      <w:proofErr w:type="spellStart"/>
      <w:r w:rsidRPr="00ED7D5A">
        <w:t>bufexamac</w:t>
      </w:r>
      <w:proofErr w:type="spellEnd"/>
      <w:r w:rsidRPr="00ED7D5A">
        <w:t>.</w:t>
      </w:r>
    </w:p>
    <w:p w14:paraId="57B59307" w14:textId="3647B650" w:rsidR="00D52AB5" w:rsidRPr="0023227D" w:rsidRDefault="00D52AB5" w:rsidP="00D52AB5">
      <w:pPr>
        <w:pStyle w:val="ListBullet2"/>
      </w:pPr>
      <w:r w:rsidRPr="00ED7D5A">
        <w:t>Given the nature of the risks, it is warranted that consultation with a medical practitioner is conducted prior to supply.</w:t>
      </w:r>
    </w:p>
    <w:p w14:paraId="2A79B11A" w14:textId="77777777" w:rsidR="00D60ACA" w:rsidRPr="00C721A5" w:rsidRDefault="00D60ACA" w:rsidP="00D94D4D">
      <w:pPr>
        <w:pStyle w:val="Heading4"/>
      </w:pPr>
      <w:bookmarkStart w:id="26" w:name="_Toc83820106"/>
      <w:r w:rsidRPr="00C721A5">
        <w:t>Reasons for the interim decision (including findings on material questions of fact)</w:t>
      </w:r>
      <w:bookmarkEnd w:id="26"/>
    </w:p>
    <w:p w14:paraId="2A42346F" w14:textId="77777777" w:rsidR="00B22ADD" w:rsidRDefault="00B22ADD" w:rsidP="00B22ADD">
      <w:r>
        <w:t xml:space="preserve">I have made an interim decision to amend the Schedule 4 entry for </w:t>
      </w:r>
      <w:proofErr w:type="spellStart"/>
      <w:r>
        <w:t>bufexamac</w:t>
      </w:r>
      <w:proofErr w:type="spellEnd"/>
      <w:r>
        <w:t xml:space="preserve"> to remove the existing exceptions for suppositories and dermal use. The detailed reasons for my decisions follow.</w:t>
      </w:r>
    </w:p>
    <w:p w14:paraId="48E262A3" w14:textId="31E67240" w:rsidR="00B22ADD" w:rsidRDefault="00B22ADD" w:rsidP="00B22ADD">
      <w:r w:rsidRPr="006B74E6">
        <w:rPr>
          <w:bCs/>
        </w:rPr>
        <w:t>I agree with the Committee's finding</w:t>
      </w:r>
      <w:r>
        <w:rPr>
          <w:bCs/>
        </w:rPr>
        <w:t>s</w:t>
      </w:r>
      <w:r w:rsidRPr="006B74E6">
        <w:rPr>
          <w:bCs/>
        </w:rPr>
        <w:t xml:space="preserve"> that the relevant provisions of section 52E of the</w:t>
      </w:r>
      <w:r w:rsidR="00CF2F55">
        <w:rPr>
          <w:bCs/>
        </w:rPr>
        <w:t xml:space="preserve"> </w:t>
      </w:r>
      <w:r w:rsidRPr="006B74E6">
        <w:rPr>
          <w:bCs/>
          <w:i/>
          <w:iCs/>
        </w:rPr>
        <w:t>Therapeutic Goods Act 1989</w:t>
      </w:r>
      <w:r w:rsidR="00CF2F55">
        <w:rPr>
          <w:bCs/>
        </w:rPr>
        <w:t xml:space="preserve"> </w:t>
      </w:r>
      <w:r w:rsidRPr="006B74E6">
        <w:rPr>
          <w:bCs/>
        </w:rPr>
        <w:t>are</w:t>
      </w:r>
      <w:r>
        <w:rPr>
          <w:bCs/>
        </w:rPr>
        <w:t>:</w:t>
      </w:r>
      <w:r w:rsidRPr="00C70F72">
        <w:t xml:space="preserve"> (a) risks and benefits of the use of a substance; (b) </w:t>
      </w:r>
      <w:r>
        <w:t>the purposes for which a substance is to be used and the extent of use of a substance</w:t>
      </w:r>
      <w:r w:rsidRPr="00C70F72">
        <w:t xml:space="preserve">; (c) the toxicity of a substance; </w:t>
      </w:r>
      <w:r w:rsidRPr="00082B02">
        <w:t>and (f) any other matters that the Secretary considers necessary to protect public health.</w:t>
      </w:r>
    </w:p>
    <w:p w14:paraId="2FEED8AA" w14:textId="4184B20A" w:rsidR="00B22ADD" w:rsidRDefault="00B22ADD" w:rsidP="00B22ADD">
      <w:pPr>
        <w:rPr>
          <w:rFonts w:cstheme="minorBidi"/>
          <w:szCs w:val="22"/>
        </w:rPr>
      </w:pPr>
      <w:r>
        <w:t xml:space="preserve">I note that </w:t>
      </w:r>
      <w:proofErr w:type="spellStart"/>
      <w:r>
        <w:t>bufexamac</w:t>
      </w:r>
      <w:proofErr w:type="spellEnd"/>
      <w:r>
        <w:t xml:space="preserve"> is a non-steroidal anti-inflammatory drug (NSAID) previously used in first aid creams and suppositories in Australia. In September 2020, the TGA cancelled all </w:t>
      </w:r>
      <w:proofErr w:type="spellStart"/>
      <w:r>
        <w:t>bufexamac</w:t>
      </w:r>
      <w:proofErr w:type="spellEnd"/>
      <w:r>
        <w:t xml:space="preserve"> products </w:t>
      </w:r>
      <w:r w:rsidR="00153E59">
        <w:t>i</w:t>
      </w:r>
      <w:r>
        <w:t xml:space="preserve">n the ARTG after </w:t>
      </w:r>
      <w:r w:rsidRPr="004F5D80">
        <w:rPr>
          <w:rFonts w:cstheme="minorBidi"/>
          <w:szCs w:val="22"/>
        </w:rPr>
        <w:t>conclud</w:t>
      </w:r>
      <w:r>
        <w:rPr>
          <w:rFonts w:cstheme="minorBidi"/>
          <w:szCs w:val="22"/>
        </w:rPr>
        <w:t>ing</w:t>
      </w:r>
      <w:r w:rsidRPr="004F5D80">
        <w:rPr>
          <w:rFonts w:cstheme="minorBidi"/>
          <w:szCs w:val="22"/>
        </w:rPr>
        <w:t xml:space="preserve"> that the safety and effectiveness profile of</w:t>
      </w:r>
      <w:r>
        <w:rPr>
          <w:rFonts w:cstheme="minorBidi"/>
          <w:szCs w:val="22"/>
        </w:rPr>
        <w:t xml:space="preserve"> the substance</w:t>
      </w:r>
      <w:r w:rsidRPr="004F5D80">
        <w:rPr>
          <w:rFonts w:cstheme="minorBidi"/>
          <w:szCs w:val="22"/>
        </w:rPr>
        <w:t xml:space="preserve"> was unacceptable</w:t>
      </w:r>
      <w:r w:rsidR="00813773">
        <w:rPr>
          <w:rStyle w:val="FootnoteReference"/>
          <w:rFonts w:cstheme="minorBidi"/>
          <w:szCs w:val="22"/>
        </w:rPr>
        <w:footnoteReference w:id="5"/>
      </w:r>
      <w:r>
        <w:rPr>
          <w:rFonts w:cstheme="minorBidi"/>
          <w:szCs w:val="22"/>
        </w:rPr>
        <w:t>.</w:t>
      </w:r>
      <w:r w:rsidRPr="00F97EFF">
        <w:rPr>
          <w:rFonts w:cstheme="minorBidi"/>
          <w:szCs w:val="22"/>
        </w:rPr>
        <w:t xml:space="preserve"> </w:t>
      </w:r>
      <w:r>
        <w:rPr>
          <w:rFonts w:cstheme="minorBidi"/>
          <w:szCs w:val="22"/>
        </w:rPr>
        <w:t xml:space="preserve">It was determined that use of the substance is associated with a risk of serious skin reactions, and </w:t>
      </w:r>
      <w:r w:rsidR="00432A90">
        <w:rPr>
          <w:rFonts w:cstheme="minorBidi"/>
          <w:szCs w:val="22"/>
        </w:rPr>
        <w:t xml:space="preserve">that </w:t>
      </w:r>
      <w:r w:rsidR="00B541B7">
        <w:rPr>
          <w:rFonts w:cstheme="minorBidi"/>
          <w:szCs w:val="22"/>
        </w:rPr>
        <w:t xml:space="preserve">there is </w:t>
      </w:r>
      <w:r>
        <w:rPr>
          <w:rFonts w:cstheme="minorBidi"/>
          <w:szCs w:val="22"/>
        </w:rPr>
        <w:t xml:space="preserve">little evidence demonstrating its effectiveness. I concur that the widespread use of </w:t>
      </w:r>
      <w:proofErr w:type="spellStart"/>
      <w:r>
        <w:rPr>
          <w:rFonts w:cstheme="minorBidi"/>
          <w:szCs w:val="22"/>
        </w:rPr>
        <w:t>bufexamac</w:t>
      </w:r>
      <w:proofErr w:type="spellEnd"/>
      <w:r>
        <w:rPr>
          <w:rFonts w:cstheme="minorBidi"/>
          <w:szCs w:val="22"/>
        </w:rPr>
        <w:t xml:space="preserve"> is not supported by the safety nor efficacy data.</w:t>
      </w:r>
    </w:p>
    <w:p w14:paraId="78FAB63D" w14:textId="7D3A8B8C" w:rsidR="00B22ADD" w:rsidRDefault="00B22ADD" w:rsidP="00B22ADD">
      <w:pPr>
        <w:rPr>
          <w:rFonts w:cstheme="minorBidi"/>
          <w:szCs w:val="22"/>
        </w:rPr>
      </w:pPr>
      <w:r>
        <w:rPr>
          <w:rFonts w:cstheme="minorBidi"/>
          <w:szCs w:val="22"/>
        </w:rPr>
        <w:t xml:space="preserve">I am of the view that the risk profile for </w:t>
      </w:r>
      <w:proofErr w:type="spellStart"/>
      <w:r>
        <w:rPr>
          <w:rFonts w:cstheme="minorBidi"/>
          <w:szCs w:val="22"/>
        </w:rPr>
        <w:t>bufexamac</w:t>
      </w:r>
      <w:proofErr w:type="spellEnd"/>
      <w:r>
        <w:rPr>
          <w:rFonts w:cstheme="minorBidi"/>
          <w:szCs w:val="22"/>
        </w:rPr>
        <w:t xml:space="preserve"> is not consistent with the exceptions listed in its Schedule 4 entry. The Scheduling Handbook provides that medicinal preparations exempted from scheduling must be able to be supplied, with reasonable safety, without any access to advice from a health professional. Given the risk of adverse reactions highlighted in the TGA review, and the absence of evidence that</w:t>
      </w:r>
      <w:r w:rsidRPr="00F54AF6">
        <w:rPr>
          <w:rFonts w:cstheme="minorBidi"/>
          <w:szCs w:val="22"/>
        </w:rPr>
        <w:t xml:space="preserve"> </w:t>
      </w:r>
      <w:r>
        <w:rPr>
          <w:rFonts w:cstheme="minorBidi"/>
          <w:szCs w:val="22"/>
        </w:rPr>
        <w:t xml:space="preserve">there is any public health benefit from wider availability, </w:t>
      </w:r>
      <w:proofErr w:type="spellStart"/>
      <w:r>
        <w:rPr>
          <w:rFonts w:cstheme="minorBidi"/>
          <w:szCs w:val="22"/>
        </w:rPr>
        <w:t>bufexamac</w:t>
      </w:r>
      <w:proofErr w:type="spellEnd"/>
      <w:r>
        <w:rPr>
          <w:rFonts w:cstheme="minorBidi"/>
          <w:szCs w:val="22"/>
        </w:rPr>
        <w:t xml:space="preserve"> </w:t>
      </w:r>
      <w:r w:rsidR="00A05AEF">
        <w:rPr>
          <w:rFonts w:cstheme="minorBidi"/>
          <w:szCs w:val="22"/>
        </w:rPr>
        <w:t>does not fit these</w:t>
      </w:r>
      <w:r w:rsidR="00432A90">
        <w:rPr>
          <w:rFonts w:cstheme="minorBidi"/>
          <w:szCs w:val="22"/>
        </w:rPr>
        <w:t xml:space="preserve"> criteria</w:t>
      </w:r>
      <w:r>
        <w:rPr>
          <w:rFonts w:cstheme="minorBidi"/>
          <w:szCs w:val="22"/>
        </w:rPr>
        <w:t xml:space="preserve">. I have therefore determined that all preparations containing </w:t>
      </w:r>
      <w:proofErr w:type="spellStart"/>
      <w:r>
        <w:rPr>
          <w:rFonts w:cstheme="minorBidi"/>
          <w:szCs w:val="22"/>
        </w:rPr>
        <w:t>bufexamac</w:t>
      </w:r>
      <w:proofErr w:type="spellEnd"/>
      <w:r>
        <w:rPr>
          <w:rFonts w:cstheme="minorBidi"/>
          <w:szCs w:val="22"/>
        </w:rPr>
        <w:t xml:space="preserve"> require control through scheduling.</w:t>
      </w:r>
    </w:p>
    <w:p w14:paraId="452E431D" w14:textId="4A087531" w:rsidR="00B22ADD" w:rsidRDefault="00B22ADD" w:rsidP="00B22ADD">
      <w:pPr>
        <w:spacing w:before="180"/>
        <w:rPr>
          <w:rFonts w:cstheme="minorBidi"/>
          <w:szCs w:val="22"/>
        </w:rPr>
      </w:pPr>
      <w:r>
        <w:rPr>
          <w:rFonts w:cstheme="minorBidi"/>
          <w:szCs w:val="22"/>
        </w:rPr>
        <w:t xml:space="preserve">In considering appropriate controls for </w:t>
      </w:r>
      <w:proofErr w:type="spellStart"/>
      <w:r>
        <w:rPr>
          <w:rFonts w:cstheme="minorBidi"/>
          <w:szCs w:val="22"/>
        </w:rPr>
        <w:t>bufexamac</w:t>
      </w:r>
      <w:proofErr w:type="spellEnd"/>
      <w:r>
        <w:rPr>
          <w:rFonts w:cstheme="minorBidi"/>
          <w:szCs w:val="22"/>
        </w:rPr>
        <w:t>, I note that the substance</w:t>
      </w:r>
      <w:r w:rsidRPr="004F5D80">
        <w:rPr>
          <w:rFonts w:cstheme="minorBidi"/>
          <w:szCs w:val="22"/>
        </w:rPr>
        <w:t xml:space="preserve"> </w:t>
      </w:r>
      <w:r w:rsidR="00A05AEF">
        <w:rPr>
          <w:rFonts w:cstheme="minorBidi"/>
          <w:szCs w:val="22"/>
        </w:rPr>
        <w:t>meets</w:t>
      </w:r>
      <w:r w:rsidR="00A05AEF" w:rsidRPr="004F5D80">
        <w:rPr>
          <w:rFonts w:cstheme="minorBidi"/>
          <w:szCs w:val="22"/>
        </w:rPr>
        <w:t xml:space="preserve"> </w:t>
      </w:r>
      <w:r w:rsidRPr="004F5D80">
        <w:rPr>
          <w:rFonts w:cstheme="minorBidi"/>
          <w:szCs w:val="22"/>
        </w:rPr>
        <w:t>the Schedule 4</w:t>
      </w:r>
      <w:r>
        <w:rPr>
          <w:rFonts w:cstheme="minorBidi"/>
          <w:szCs w:val="22"/>
        </w:rPr>
        <w:t xml:space="preserve"> Scheduling F</w:t>
      </w:r>
      <w:r w:rsidRPr="004F5D80">
        <w:rPr>
          <w:rFonts w:cstheme="minorBidi"/>
          <w:szCs w:val="22"/>
        </w:rPr>
        <w:t>actors set out in the</w:t>
      </w:r>
      <w:r>
        <w:rPr>
          <w:rFonts w:cstheme="minorBidi"/>
          <w:szCs w:val="22"/>
        </w:rPr>
        <w:t xml:space="preserve"> Scheduling Policy Framework</w:t>
      </w:r>
      <w:r w:rsidRPr="004F5D80">
        <w:rPr>
          <w:rFonts w:cstheme="minorBidi"/>
          <w:szCs w:val="22"/>
        </w:rPr>
        <w:t xml:space="preserve"> </w:t>
      </w:r>
      <w:r>
        <w:rPr>
          <w:rFonts w:cstheme="minorBidi"/>
          <w:szCs w:val="22"/>
        </w:rPr>
        <w:t>(</w:t>
      </w:r>
      <w:r w:rsidRPr="004F5D80">
        <w:rPr>
          <w:rFonts w:cstheme="minorBidi"/>
          <w:szCs w:val="22"/>
        </w:rPr>
        <w:t xml:space="preserve">SPF </w:t>
      </w:r>
      <w:r>
        <w:rPr>
          <w:rFonts w:cstheme="minorBidi"/>
          <w:szCs w:val="22"/>
        </w:rPr>
        <w:t>2018);</w:t>
      </w:r>
      <w:r w:rsidRPr="004F5D80">
        <w:rPr>
          <w:rFonts w:cstheme="minorBidi"/>
          <w:szCs w:val="22"/>
        </w:rPr>
        <w:t xml:space="preserve"> </w:t>
      </w:r>
      <w:r>
        <w:rPr>
          <w:rFonts w:cstheme="minorBidi"/>
          <w:szCs w:val="22"/>
        </w:rPr>
        <w:t>in particular,</w:t>
      </w:r>
      <w:r w:rsidRPr="004F5D80">
        <w:rPr>
          <w:rFonts w:cstheme="minorBidi"/>
          <w:szCs w:val="22"/>
        </w:rPr>
        <w:t xml:space="preserve"> the seriousness and severity of adverse effects are such that intervention by a medical practitioner is required. </w:t>
      </w:r>
      <w:r>
        <w:rPr>
          <w:rFonts w:cstheme="minorBidi"/>
          <w:szCs w:val="22"/>
        </w:rPr>
        <w:t xml:space="preserve">As such, I agree with the Committee’s advice that </w:t>
      </w:r>
      <w:proofErr w:type="spellStart"/>
      <w:r>
        <w:rPr>
          <w:rFonts w:cstheme="minorBidi"/>
          <w:szCs w:val="22"/>
        </w:rPr>
        <w:t>bufexamac</w:t>
      </w:r>
      <w:proofErr w:type="spellEnd"/>
      <w:r>
        <w:rPr>
          <w:rFonts w:cstheme="minorBidi"/>
          <w:szCs w:val="22"/>
        </w:rPr>
        <w:t xml:space="preserve"> is appropriate for inclusion in Schedule 4 of the Poisons Standard.</w:t>
      </w:r>
    </w:p>
    <w:p w14:paraId="1AD17A3E" w14:textId="08AAA79B" w:rsidR="00B22ADD" w:rsidRDefault="00B22ADD" w:rsidP="00B22ADD">
      <w:pPr>
        <w:spacing w:before="180"/>
        <w:rPr>
          <w:rFonts w:cstheme="minorBidi"/>
          <w:szCs w:val="22"/>
        </w:rPr>
      </w:pPr>
      <w:r w:rsidRPr="004F5D80">
        <w:rPr>
          <w:rFonts w:cstheme="minorBidi"/>
          <w:szCs w:val="22"/>
        </w:rPr>
        <w:t>I</w:t>
      </w:r>
      <w:r>
        <w:rPr>
          <w:rFonts w:cstheme="minorBidi"/>
          <w:szCs w:val="22"/>
        </w:rPr>
        <w:t>n making my decision, I</w:t>
      </w:r>
      <w:r w:rsidRPr="004F5D80">
        <w:rPr>
          <w:rFonts w:cstheme="minorBidi"/>
          <w:szCs w:val="22"/>
        </w:rPr>
        <w:t xml:space="preserve"> have taken into account the two public submissions</w:t>
      </w:r>
      <w:r>
        <w:rPr>
          <w:rFonts w:cstheme="minorBidi"/>
          <w:szCs w:val="22"/>
        </w:rPr>
        <w:t xml:space="preserve"> received during the pre-meeting consultation,</w:t>
      </w:r>
      <w:r w:rsidRPr="004F5D80">
        <w:rPr>
          <w:rFonts w:cstheme="minorBidi"/>
          <w:szCs w:val="22"/>
        </w:rPr>
        <w:t xml:space="preserve"> from the Australasian Medical Association and the Australasian College of Dermatologists</w:t>
      </w:r>
      <w:r>
        <w:rPr>
          <w:rFonts w:cstheme="minorBidi"/>
          <w:szCs w:val="22"/>
        </w:rPr>
        <w:t>. I note that</w:t>
      </w:r>
      <w:r w:rsidRPr="004F5D80">
        <w:rPr>
          <w:rFonts w:cstheme="minorBidi"/>
          <w:szCs w:val="22"/>
        </w:rPr>
        <w:t xml:space="preserve"> </w:t>
      </w:r>
      <w:r>
        <w:rPr>
          <w:rFonts w:cstheme="minorBidi"/>
          <w:szCs w:val="22"/>
        </w:rPr>
        <w:t xml:space="preserve">both submissions were supportive of </w:t>
      </w:r>
      <w:r w:rsidR="00153E59">
        <w:rPr>
          <w:rFonts w:cstheme="minorBidi"/>
          <w:szCs w:val="22"/>
        </w:rPr>
        <w:t xml:space="preserve">the </w:t>
      </w:r>
      <w:r>
        <w:rPr>
          <w:rFonts w:cstheme="minorBidi"/>
          <w:szCs w:val="22"/>
        </w:rPr>
        <w:t xml:space="preserve">proposal, citing the recent TGA review on </w:t>
      </w:r>
      <w:proofErr w:type="spellStart"/>
      <w:r>
        <w:rPr>
          <w:rFonts w:cstheme="minorBidi"/>
          <w:szCs w:val="22"/>
        </w:rPr>
        <w:t>bufexamac</w:t>
      </w:r>
      <w:proofErr w:type="spellEnd"/>
      <w:r>
        <w:rPr>
          <w:rFonts w:cstheme="minorBidi"/>
          <w:szCs w:val="22"/>
        </w:rPr>
        <w:t xml:space="preserve"> and the cancellation of all products containing the substance. It was also noted that preparations containing </w:t>
      </w:r>
      <w:proofErr w:type="spellStart"/>
      <w:r>
        <w:rPr>
          <w:rFonts w:cstheme="minorBidi"/>
          <w:szCs w:val="22"/>
        </w:rPr>
        <w:t>bufexamac</w:t>
      </w:r>
      <w:proofErr w:type="spellEnd"/>
      <w:r>
        <w:rPr>
          <w:rFonts w:cstheme="minorBidi"/>
          <w:szCs w:val="22"/>
        </w:rPr>
        <w:t xml:space="preserve"> can cause severe allergic </w:t>
      </w:r>
      <w:r>
        <w:rPr>
          <w:rFonts w:cstheme="minorBidi"/>
          <w:szCs w:val="22"/>
        </w:rPr>
        <w:lastRenderedPageBreak/>
        <w:t>reactions that require treatment similar to that of burn victims and can sometimes result in long lasting sensitivities.</w:t>
      </w:r>
    </w:p>
    <w:p w14:paraId="714B53AB" w14:textId="15ECAB5F" w:rsidR="00B22ADD" w:rsidRPr="004F5D80" w:rsidRDefault="00B22ADD" w:rsidP="00B22ADD">
      <w:pPr>
        <w:spacing w:before="180"/>
        <w:rPr>
          <w:rFonts w:cstheme="minorBidi"/>
          <w:szCs w:val="22"/>
        </w:rPr>
      </w:pPr>
      <w:r>
        <w:rPr>
          <w:rFonts w:cstheme="minorBidi"/>
          <w:szCs w:val="22"/>
        </w:rPr>
        <w:t>On balance, I find that the r</w:t>
      </w:r>
      <w:r w:rsidR="0085162D">
        <w:rPr>
          <w:rFonts w:cstheme="minorBidi"/>
          <w:szCs w:val="22"/>
        </w:rPr>
        <w:t xml:space="preserve">isk/benefit profile of </w:t>
      </w:r>
      <w:proofErr w:type="spellStart"/>
      <w:r w:rsidR="0085162D">
        <w:rPr>
          <w:rFonts w:cstheme="minorBidi"/>
          <w:szCs w:val="22"/>
        </w:rPr>
        <w:t>bufexamac</w:t>
      </w:r>
      <w:proofErr w:type="spellEnd"/>
      <w:r>
        <w:rPr>
          <w:rFonts w:cstheme="minorBidi"/>
          <w:szCs w:val="22"/>
        </w:rPr>
        <w:t xml:space="preserve"> </w:t>
      </w:r>
      <w:r w:rsidR="00E94E48">
        <w:rPr>
          <w:rFonts w:cstheme="minorBidi"/>
          <w:szCs w:val="22"/>
        </w:rPr>
        <w:t>requires access only on the advice of medical practitioner and</w:t>
      </w:r>
      <w:r>
        <w:rPr>
          <w:rFonts w:cstheme="minorBidi"/>
          <w:szCs w:val="22"/>
        </w:rPr>
        <w:t xml:space="preserve"> I</w:t>
      </w:r>
      <w:r w:rsidR="00D20871">
        <w:rPr>
          <w:rFonts w:cstheme="minorBidi"/>
          <w:szCs w:val="22"/>
        </w:rPr>
        <w:t xml:space="preserve"> have therefore</w:t>
      </w:r>
      <w:r>
        <w:rPr>
          <w:rFonts w:cstheme="minorBidi"/>
          <w:szCs w:val="22"/>
        </w:rPr>
        <w:t xml:space="preserve"> decided to remove all exception</w:t>
      </w:r>
      <w:r w:rsidR="0085162D">
        <w:rPr>
          <w:rFonts w:cstheme="minorBidi"/>
          <w:szCs w:val="22"/>
        </w:rPr>
        <w:t>s from the current Schedule 4 entry</w:t>
      </w:r>
      <w:r>
        <w:rPr>
          <w:rFonts w:cstheme="minorBidi"/>
          <w:szCs w:val="22"/>
        </w:rPr>
        <w:t>.</w:t>
      </w:r>
    </w:p>
    <w:p w14:paraId="2B616DF9" w14:textId="7FE22877" w:rsidR="00D60ACA" w:rsidRPr="00C721A5" w:rsidRDefault="00D60ACA" w:rsidP="00D94D4D">
      <w:pPr>
        <w:pStyle w:val="Heading4"/>
      </w:pPr>
      <w:bookmarkStart w:id="27" w:name="_Toc83820107"/>
      <w:r w:rsidRPr="00C721A5">
        <w:t>Proposed implementation date</w:t>
      </w:r>
      <w:bookmarkEnd w:id="27"/>
    </w:p>
    <w:p w14:paraId="53C4A087" w14:textId="77777777" w:rsidR="00D60ACA" w:rsidRPr="006367ED" w:rsidRDefault="00D60ACA" w:rsidP="00D60ACA">
      <w:r>
        <w:rPr>
          <w:rFonts w:eastAsia="Times New Roman"/>
          <w:b/>
          <w:bCs/>
          <w:color w:val="001523"/>
          <w:szCs w:val="26"/>
        </w:rPr>
        <w:t>1 February 2022</w:t>
      </w:r>
    </w:p>
    <w:p w14:paraId="2F6C60A7" w14:textId="7CB4D0AB" w:rsidR="001D6386" w:rsidRDefault="001D6386" w:rsidP="00D94D4D">
      <w:pPr>
        <w:pStyle w:val="Heading3"/>
      </w:pPr>
      <w:bookmarkStart w:id="28" w:name="_Toc83820108"/>
      <w:r>
        <w:t xml:space="preserve">Interim decision in </w:t>
      </w:r>
      <w:r w:rsidRPr="001E0113">
        <w:t>relation</w:t>
      </w:r>
      <w:r>
        <w:t xml:space="preserve"> to ibuprofen</w:t>
      </w:r>
      <w:bookmarkEnd w:id="28"/>
    </w:p>
    <w:p w14:paraId="6BC4AA40" w14:textId="77777777" w:rsidR="001D6386" w:rsidRPr="00C721A5" w:rsidRDefault="001D6386" w:rsidP="00D94D4D">
      <w:pPr>
        <w:pStyle w:val="Heading4"/>
      </w:pPr>
      <w:bookmarkStart w:id="29" w:name="_Toc83820109"/>
      <w:r w:rsidRPr="00C721A5">
        <w:t>Proposal</w:t>
      </w:r>
      <w:bookmarkEnd w:id="29"/>
    </w:p>
    <w:p w14:paraId="7EFFDA53" w14:textId="3377089F" w:rsidR="00966C72" w:rsidRDefault="00B17F66" w:rsidP="001D6386">
      <w:r>
        <w:t>The applicant proposed</w:t>
      </w:r>
      <w:r w:rsidR="00966C72">
        <w:t xml:space="preserve"> to amend the Schedule 2 entry for ibuprofen to include a modified release </w:t>
      </w:r>
      <w:r w:rsidR="00A05AEF">
        <w:t xml:space="preserve">(MR) </w:t>
      </w:r>
      <w:r w:rsidR="00966C72">
        <w:t>dosage form, each containing 600 mg (specifically) of ibuprofen in a primary pack containing not more than 16 dosage units, when labelled:</w:t>
      </w:r>
    </w:p>
    <w:p w14:paraId="7B370CF4" w14:textId="4B206133" w:rsidR="00B17F66" w:rsidRDefault="00966C72" w:rsidP="00656E46">
      <w:pPr>
        <w:pStyle w:val="Numberbulleti"/>
      </w:pPr>
      <w:r>
        <w:t>with a recommended daily dose of 1200 mg or less of ibu</w:t>
      </w:r>
      <w:r w:rsidR="00B17F66">
        <w:t>profen; and</w:t>
      </w:r>
    </w:p>
    <w:p w14:paraId="358E38E8" w14:textId="58A31DDB" w:rsidR="00966C72" w:rsidRDefault="00966C72" w:rsidP="00656E46">
      <w:pPr>
        <w:pStyle w:val="Numberbulleti"/>
      </w:pPr>
      <w:r>
        <w:t>not for the treatment of children under 12 years of age.</w:t>
      </w:r>
    </w:p>
    <w:p w14:paraId="04593414" w14:textId="77777777" w:rsidR="001D6386" w:rsidRPr="00C721A5" w:rsidRDefault="001D6386" w:rsidP="00D94D4D">
      <w:pPr>
        <w:pStyle w:val="Heading4"/>
      </w:pPr>
      <w:bookmarkStart w:id="30" w:name="_Toc83820110"/>
      <w:r w:rsidRPr="00C721A5">
        <w:t>Interim decision</w:t>
      </w:r>
      <w:bookmarkEnd w:id="30"/>
    </w:p>
    <w:p w14:paraId="6D2FA01B" w14:textId="288AD057" w:rsidR="001D6386" w:rsidRDefault="001D6386" w:rsidP="001D6386">
      <w:r w:rsidRPr="00A05D10">
        <w:t>Pursuant to regulation 42ZCZN of the Regulations, a Delegate of the Secretary has, in relation to the proposed amendment, made an interim decision</w:t>
      </w:r>
      <w:r w:rsidR="00B17F66">
        <w:t xml:space="preserve"> not</w:t>
      </w:r>
      <w:r w:rsidRPr="00A05D10">
        <w:t xml:space="preserve"> to amend the</w:t>
      </w:r>
      <w:r w:rsidR="00B17F66">
        <w:t xml:space="preserve"> scheduling for ibuprofen in the</w:t>
      </w:r>
      <w:r>
        <w:t xml:space="preserve"> </w:t>
      </w:r>
      <w:r w:rsidRPr="00A05D10">
        <w:t>current Poisons St</w:t>
      </w:r>
      <w:r w:rsidR="00B17F66">
        <w:t>andard.</w:t>
      </w:r>
    </w:p>
    <w:p w14:paraId="586BCB7A" w14:textId="77777777" w:rsidR="001D6386" w:rsidRPr="00C721A5" w:rsidRDefault="001D6386" w:rsidP="00D94D4D">
      <w:pPr>
        <w:pStyle w:val="Heading4"/>
      </w:pPr>
      <w:bookmarkStart w:id="31" w:name="_Toc83820111"/>
      <w:r w:rsidRPr="00C721A5">
        <w:t>Materials considered</w:t>
      </w:r>
      <w:bookmarkEnd w:id="31"/>
    </w:p>
    <w:p w14:paraId="3A69DF5D" w14:textId="77777777" w:rsidR="001D6386" w:rsidRDefault="001D6386" w:rsidP="001D6386">
      <w:r>
        <w:t>In making this interim decision, the Delegate considered the following material:</w:t>
      </w:r>
    </w:p>
    <w:p w14:paraId="0AAAB6AC" w14:textId="17DAA33A" w:rsidR="001D6386" w:rsidRPr="006501A1" w:rsidRDefault="001D6386" w:rsidP="001D6386">
      <w:pPr>
        <w:pStyle w:val="ListBullet"/>
      </w:pPr>
      <w:r w:rsidRPr="006501A1">
        <w:t xml:space="preserve">The </w:t>
      </w:r>
      <w:hyperlink r:id="rId28" w:history="1">
        <w:r w:rsidRPr="00415ADE">
          <w:rPr>
            <w:rStyle w:val="Hyperlink"/>
          </w:rPr>
          <w:t>application</w:t>
        </w:r>
      </w:hyperlink>
      <w:r w:rsidRPr="006501A1">
        <w:t xml:space="preserve"> to amend the current Poisons Standard with respect to </w:t>
      </w:r>
      <w:r w:rsidR="00415ADE">
        <w:t>ibuprofen</w:t>
      </w:r>
      <w:r w:rsidRPr="006501A1">
        <w:t>;</w:t>
      </w:r>
    </w:p>
    <w:p w14:paraId="522EADB0" w14:textId="56B5A375" w:rsidR="001D6386" w:rsidRPr="006367ED" w:rsidRDefault="001D6386" w:rsidP="001D6386">
      <w:pPr>
        <w:pStyle w:val="ListBullet"/>
      </w:pPr>
      <w:r w:rsidRPr="006367ED">
        <w:t xml:space="preserve">The </w:t>
      </w:r>
      <w:r w:rsidR="00E441CB">
        <w:t>six</w:t>
      </w:r>
      <w:r w:rsidRPr="006367ED">
        <w:t xml:space="preserve"> </w:t>
      </w:r>
      <w:hyperlink r:id="rId29" w:history="1">
        <w:r w:rsidRPr="006367ED">
          <w:rPr>
            <w:rStyle w:val="Hyperlink"/>
          </w:rPr>
          <w:t>public submissions</w:t>
        </w:r>
      </w:hyperlink>
      <w:r w:rsidRPr="00656E46">
        <w:rPr>
          <w:rStyle w:val="Hyperlink"/>
          <w:color w:val="auto"/>
          <w:u w:val="none"/>
        </w:rPr>
        <w:t>,</w:t>
      </w:r>
      <w:r w:rsidRPr="00656E46">
        <w:t xml:space="preserve"> </w:t>
      </w:r>
      <w:r w:rsidRPr="006367ED">
        <w:t xml:space="preserve">all including a written component, received in response to the </w:t>
      </w:r>
      <w:hyperlink r:id="rId30" w:history="1">
        <w:r w:rsidRPr="006367ED">
          <w:rPr>
            <w:rStyle w:val="Hyperlink"/>
          </w:rPr>
          <w:t>pre-meeting consultation</w:t>
        </w:r>
      </w:hyperlink>
      <w:r w:rsidRPr="006367ED">
        <w:t xml:space="preserve"> under regulation 42ZCZK of the Regulations;</w:t>
      </w:r>
    </w:p>
    <w:p w14:paraId="63CA2488" w14:textId="77777777" w:rsidR="001D6386" w:rsidRDefault="001D6386" w:rsidP="001D6386">
      <w:pPr>
        <w:pStyle w:val="ListBullet"/>
      </w:pPr>
      <w:r>
        <w:t xml:space="preserve">The advice </w:t>
      </w:r>
      <w:r w:rsidRPr="00A825A4">
        <w:t>received from the Meeting of the Advisory Committee o</w:t>
      </w:r>
      <w:r>
        <w:t>n Medicines Scheduling (ACMS #34</w:t>
      </w:r>
      <w:r w:rsidRPr="00A825A4">
        <w:t>);</w:t>
      </w:r>
    </w:p>
    <w:p w14:paraId="5CE86F50" w14:textId="19CF4112" w:rsidR="001D6386" w:rsidRDefault="001D6386" w:rsidP="001D6386">
      <w:pPr>
        <w:pStyle w:val="ListBullet"/>
      </w:pPr>
      <w:r>
        <w:t xml:space="preserve">Subsection 52E(1) of the </w:t>
      </w:r>
      <w:r w:rsidRPr="00FC4D25">
        <w:rPr>
          <w:i/>
        </w:rPr>
        <w:t xml:space="preserve">Therapeutic Goods Act 1989, </w:t>
      </w:r>
      <w:r w:rsidRPr="001169AC">
        <w:t xml:space="preserve">in particular </w:t>
      </w:r>
      <w:r>
        <w:t xml:space="preserve">(a) risks and benefits of the use of a substance; (b) </w:t>
      </w:r>
      <w:r w:rsidR="008151EA">
        <w:t>the purposes for which a substance is to be used and the extent of use of a substance</w:t>
      </w:r>
      <w:r>
        <w:t>; (c) the toxicity of a substance; (d) the dosage, formulation, labelling, packaging and presentation of a substance; (e) the potential for abuse of a substance; and (f) any other matters that the Secretary considers necessary to protect public health;</w:t>
      </w:r>
    </w:p>
    <w:p w14:paraId="5C033E35" w14:textId="77777777" w:rsidR="001D6386" w:rsidRDefault="001D6386" w:rsidP="001D6386">
      <w:pPr>
        <w:pStyle w:val="ListBullet"/>
      </w:pPr>
      <w:r w:rsidRPr="002C1418">
        <w:t xml:space="preserve">The Australian Health Ministers’ Advisory Council’s </w:t>
      </w:r>
      <w:hyperlink r:id="rId31" w:history="1">
        <w:r w:rsidRPr="001A7580">
          <w:rPr>
            <w:rStyle w:val="Hyperlink"/>
          </w:rPr>
          <w:t>Scheduling Policy Framework</w:t>
        </w:r>
      </w:hyperlink>
      <w:r>
        <w:t xml:space="preserve"> (SPF 2018</w:t>
      </w:r>
      <w:r w:rsidRPr="002C20AE">
        <w:t>);</w:t>
      </w:r>
      <w:r>
        <w:t xml:space="preserve"> and</w:t>
      </w:r>
    </w:p>
    <w:p w14:paraId="0376518C" w14:textId="77777777" w:rsidR="001D6386" w:rsidRPr="006501A1" w:rsidRDefault="001D6386" w:rsidP="001D6386">
      <w:pPr>
        <w:pStyle w:val="ListBullet"/>
      </w:pPr>
      <w:r>
        <w:t xml:space="preserve">The </w:t>
      </w:r>
      <w:hyperlink r:id="rId32" w:history="1">
        <w:r w:rsidRPr="001A7580">
          <w:rPr>
            <w:rStyle w:val="Hyperlink"/>
          </w:rPr>
          <w:t>Scheduling handbook: Guidance for amending the Poisons Standard</w:t>
        </w:r>
      </w:hyperlink>
      <w:r>
        <w:t>.</w:t>
      </w:r>
    </w:p>
    <w:p w14:paraId="66BB4D8D" w14:textId="0CE72CA2" w:rsidR="00E441CB" w:rsidRPr="00E441CB" w:rsidRDefault="001D6386" w:rsidP="00D94D4D">
      <w:pPr>
        <w:pStyle w:val="Heading4"/>
      </w:pPr>
      <w:bookmarkStart w:id="32" w:name="_Toc83820112"/>
      <w:r w:rsidRPr="00C721A5">
        <w:t>Summary of ACMS advice to the delegate</w:t>
      </w:r>
      <w:bookmarkEnd w:id="32"/>
    </w:p>
    <w:p w14:paraId="6A6C8194" w14:textId="31DB722B" w:rsidR="001D6386" w:rsidRDefault="001D6386" w:rsidP="00E441CB">
      <w:r>
        <w:t xml:space="preserve">The Committee advised that the current scheduling for </w:t>
      </w:r>
      <w:r w:rsidR="00E441CB">
        <w:t xml:space="preserve">ibuprofen </w:t>
      </w:r>
      <w:r>
        <w:t>remains appropriate</w:t>
      </w:r>
      <w:r w:rsidR="00E441CB">
        <w:t>.</w:t>
      </w:r>
    </w:p>
    <w:p w14:paraId="5FB3FB4E" w14:textId="4748D81A" w:rsidR="001D6386" w:rsidRDefault="001D6386" w:rsidP="001D6386">
      <w:r>
        <w:lastRenderedPageBreak/>
        <w:t xml:space="preserve">Members agreed that the relevant matters under Section 52E(1) of the </w:t>
      </w:r>
      <w:r w:rsidRPr="00AC262B">
        <w:rPr>
          <w:i/>
        </w:rPr>
        <w:t>Therapeutic Goods Act 1989</w:t>
      </w:r>
      <w:r>
        <w:t xml:space="preserve"> included: (a) the risks and benefits of the use of a substance; (b) </w:t>
      </w:r>
      <w:r w:rsidR="008151EA">
        <w:t>the purposes for which a substance is to be used and the extent of use of a substance</w:t>
      </w:r>
      <w:r>
        <w:t>; (c) the toxicity of a substance; (d) the dosage, formulation, labelling, packaging and presentation of a substance; (e) the potential for abuse of a substance; and (f) any other matters that the Secretary considers necessary to protect public health.</w:t>
      </w:r>
    </w:p>
    <w:p w14:paraId="16BCD8CC" w14:textId="0AEAA7A3" w:rsidR="001D6386" w:rsidRDefault="001D6386" w:rsidP="001D6386">
      <w:r>
        <w:t>The reasons for the advice included:</w:t>
      </w:r>
    </w:p>
    <w:p w14:paraId="617667C9" w14:textId="77777777" w:rsidR="00B541B7" w:rsidRPr="00ED7D5A" w:rsidRDefault="00B541B7" w:rsidP="00656E46">
      <w:pPr>
        <w:pStyle w:val="Numberbulleta"/>
        <w:numPr>
          <w:ilvl w:val="0"/>
          <w:numId w:val="21"/>
        </w:numPr>
        <w:ind w:left="426" w:hanging="426"/>
      </w:pPr>
      <w:r w:rsidRPr="00ED7D5A">
        <w:t>the risks and benefits of the use of a substance</w:t>
      </w:r>
    </w:p>
    <w:p w14:paraId="16786210" w14:textId="77777777" w:rsidR="00B541B7" w:rsidRPr="00ED7D5A" w:rsidRDefault="00B541B7" w:rsidP="00B541B7">
      <w:pPr>
        <w:pStyle w:val="ListBullet"/>
        <w:numPr>
          <w:ilvl w:val="0"/>
          <w:numId w:val="0"/>
        </w:numPr>
        <w:ind w:left="425"/>
      </w:pPr>
      <w:r w:rsidRPr="00ED7D5A">
        <w:t>Risks:</w:t>
      </w:r>
    </w:p>
    <w:p w14:paraId="2356C3B3" w14:textId="77777777" w:rsidR="00B541B7" w:rsidRPr="00ED7D5A" w:rsidRDefault="00B541B7" w:rsidP="00B541B7">
      <w:pPr>
        <w:pStyle w:val="ListBullet2"/>
        <w:spacing w:before="0" w:after="160" w:line="259" w:lineRule="auto"/>
        <w:rPr>
          <w:rFonts w:eastAsia="Times New Roman"/>
        </w:rPr>
      </w:pPr>
      <w:r w:rsidRPr="00ED7D5A">
        <w:t>Increased risk to the elderly, those with cardiovascular disease, renal disease and asthma and a rare incidence of hypersensitivity reactions and liver damage.</w:t>
      </w:r>
    </w:p>
    <w:p w14:paraId="529E733B" w14:textId="77777777" w:rsidR="00B541B7" w:rsidRPr="00ED7D5A" w:rsidRDefault="00B541B7" w:rsidP="00B541B7">
      <w:pPr>
        <w:pStyle w:val="ListBullet2"/>
        <w:spacing w:before="0" w:after="160" w:line="259" w:lineRule="auto"/>
        <w:rPr>
          <w:rFonts w:eastAsia="Times New Roman"/>
        </w:rPr>
      </w:pPr>
      <w:r w:rsidRPr="00ED7D5A">
        <w:t>Increased risk of gastrointestinal bleeding in persons who have a past history of gastric bleeding, stomach ulcers or prolonged use of ibuprofen.</w:t>
      </w:r>
    </w:p>
    <w:p w14:paraId="23B78A08" w14:textId="65C9544D" w:rsidR="00B541B7" w:rsidRPr="00813773" w:rsidRDefault="00B541B7" w:rsidP="00B541B7">
      <w:pPr>
        <w:pStyle w:val="ListBullet2"/>
        <w:spacing w:before="0" w:after="160" w:line="259" w:lineRule="auto"/>
        <w:rPr>
          <w:rFonts w:eastAsia="Times New Roman"/>
        </w:rPr>
      </w:pPr>
      <w:r w:rsidRPr="00ED7D5A">
        <w:t>It should not be taken by those who have an allergy to aspirin or NSAIDs.</w:t>
      </w:r>
    </w:p>
    <w:p w14:paraId="53372873" w14:textId="77777777" w:rsidR="00B541B7" w:rsidRPr="00ED7D5A" w:rsidRDefault="00B541B7" w:rsidP="00B541B7">
      <w:pPr>
        <w:pStyle w:val="ListBullet"/>
        <w:numPr>
          <w:ilvl w:val="0"/>
          <w:numId w:val="0"/>
        </w:numPr>
        <w:ind w:left="425"/>
      </w:pPr>
      <w:r w:rsidRPr="00ED7D5A">
        <w:t>Benefits:</w:t>
      </w:r>
    </w:p>
    <w:p w14:paraId="0617B1ED" w14:textId="77777777" w:rsidR="00B541B7" w:rsidRPr="00ED7D5A" w:rsidRDefault="00B541B7" w:rsidP="00B541B7">
      <w:pPr>
        <w:pStyle w:val="ListBullet2"/>
        <w:spacing w:before="0" w:after="160" w:line="259" w:lineRule="auto"/>
        <w:rPr>
          <w:rFonts w:eastAsia="Times New Roman"/>
        </w:rPr>
      </w:pPr>
      <w:r w:rsidRPr="00ED7D5A">
        <w:t>Relief of pain and fever.</w:t>
      </w:r>
    </w:p>
    <w:p w14:paraId="56118506" w14:textId="77777777" w:rsidR="00B541B7" w:rsidRPr="00ED7D5A" w:rsidRDefault="00B541B7" w:rsidP="00B541B7">
      <w:pPr>
        <w:pStyle w:val="ListBullet2"/>
        <w:spacing w:before="0" w:after="160" w:line="259" w:lineRule="auto"/>
        <w:rPr>
          <w:rFonts w:eastAsia="Times New Roman"/>
        </w:rPr>
      </w:pPr>
      <w:r w:rsidRPr="00ED7D5A">
        <w:t>Ibuprofen is well tolerated with an excellent safety profile at these dosages.</w:t>
      </w:r>
    </w:p>
    <w:p w14:paraId="79290C4C" w14:textId="010232A9" w:rsidR="00B541B7" w:rsidRPr="00ED7D5A" w:rsidRDefault="00B541B7" w:rsidP="00B541B7">
      <w:pPr>
        <w:pStyle w:val="ListBullet2"/>
        <w:spacing w:before="0" w:after="160" w:line="259" w:lineRule="auto"/>
      </w:pPr>
      <w:r w:rsidRPr="00ED7D5A">
        <w:t>Only a single tablet is required to be taken at reduced frequency.</w:t>
      </w:r>
    </w:p>
    <w:p w14:paraId="36C9A6A3" w14:textId="77777777" w:rsidR="00B541B7" w:rsidRPr="00ED7D5A" w:rsidRDefault="00B541B7" w:rsidP="00656E46">
      <w:pPr>
        <w:pStyle w:val="Numberbulleta"/>
      </w:pPr>
      <w:r w:rsidRPr="00ED7D5A">
        <w:t>the purposes for which a substance is to be used and the extent of use of a substance</w:t>
      </w:r>
    </w:p>
    <w:p w14:paraId="710A8BC3" w14:textId="77777777" w:rsidR="00B541B7" w:rsidRPr="00ED7D5A" w:rsidRDefault="00B541B7" w:rsidP="00B541B7">
      <w:pPr>
        <w:pStyle w:val="ListBullet2"/>
        <w:spacing w:before="0" w:after="160" w:line="259" w:lineRule="auto"/>
        <w:rPr>
          <w:rFonts w:eastAsia="Times New Roman"/>
        </w:rPr>
      </w:pPr>
      <w:r w:rsidRPr="00ED7D5A">
        <w:t>Short term treatment for the relief of mild to moderate pain and fever associated with colds and flu, headaches, back pain, muscular aches and pain, dental related pain, arthritis, primary dysmenorrhoea, and other inflammatory conditions.</w:t>
      </w:r>
    </w:p>
    <w:p w14:paraId="3CA09BCB" w14:textId="77777777" w:rsidR="00B541B7" w:rsidRPr="00ED7D5A" w:rsidRDefault="00B541B7" w:rsidP="00656E46">
      <w:pPr>
        <w:pStyle w:val="Numberbulleta"/>
      </w:pPr>
      <w:r w:rsidRPr="00ED7D5A">
        <w:t>the toxicity of a substance</w:t>
      </w:r>
    </w:p>
    <w:p w14:paraId="7885A092" w14:textId="77777777" w:rsidR="00B541B7" w:rsidRPr="00ED7D5A" w:rsidRDefault="00B541B7" w:rsidP="00B541B7">
      <w:pPr>
        <w:pStyle w:val="ListBullet2"/>
        <w:spacing w:before="0" w:after="160" w:line="259" w:lineRule="auto"/>
        <w:rPr>
          <w:rFonts w:eastAsia="Times New Roman"/>
        </w:rPr>
      </w:pPr>
      <w:r w:rsidRPr="00ED7D5A">
        <w:t>Minimal toxicity at recommended dosage.</w:t>
      </w:r>
    </w:p>
    <w:p w14:paraId="396DFB79" w14:textId="77777777" w:rsidR="00B541B7" w:rsidRPr="00ED7D5A" w:rsidRDefault="00B541B7" w:rsidP="00656E46">
      <w:pPr>
        <w:pStyle w:val="Numberbulleta"/>
      </w:pPr>
      <w:r w:rsidRPr="00ED7D5A">
        <w:t>the dosage, formulation, labelling, packaging and presentation of a substance</w:t>
      </w:r>
    </w:p>
    <w:p w14:paraId="4B55234E" w14:textId="6E1EA2AF" w:rsidR="00B541B7" w:rsidRPr="00ED7D5A" w:rsidRDefault="00B541B7" w:rsidP="00B541B7">
      <w:pPr>
        <w:pStyle w:val="ListBullet2"/>
        <w:spacing w:before="0" w:after="160" w:line="259" w:lineRule="auto"/>
        <w:rPr>
          <w:rFonts w:eastAsia="Times New Roman"/>
        </w:rPr>
      </w:pPr>
      <w:r w:rsidRPr="00ED7D5A">
        <w:t>600mg MR formulation adding to the existing 200mg and 400mg IR formulations</w:t>
      </w:r>
      <w:r w:rsidR="00A05AEF">
        <w:t xml:space="preserve"> in Schedule 2</w:t>
      </w:r>
      <w:r w:rsidRPr="00ED7D5A">
        <w:t>.</w:t>
      </w:r>
    </w:p>
    <w:p w14:paraId="1C3832B7" w14:textId="77777777" w:rsidR="00B541B7" w:rsidRPr="00ED7D5A" w:rsidRDefault="00B541B7" w:rsidP="00B541B7">
      <w:pPr>
        <w:pStyle w:val="ListBullet2"/>
        <w:spacing w:before="0" w:after="160" w:line="259" w:lineRule="auto"/>
        <w:rPr>
          <w:rFonts w:eastAsia="Times New Roman"/>
        </w:rPr>
      </w:pPr>
      <w:r>
        <w:t>In addition to concerns about</w:t>
      </w:r>
      <w:r w:rsidRPr="00ED7D5A">
        <w:t xml:space="preserve"> accidental overuse normal dosing, may </w:t>
      </w:r>
      <w:r>
        <w:t>lead to</w:t>
      </w:r>
      <w:r w:rsidRPr="00ED7D5A">
        <w:t xml:space="preserve"> increased exposure to ibuprofen when IR </w:t>
      </w:r>
      <w:r>
        <w:t xml:space="preserve">dose </w:t>
      </w:r>
      <w:r w:rsidRPr="00ED7D5A">
        <w:t>may have been sufficient.</w:t>
      </w:r>
    </w:p>
    <w:p w14:paraId="32FE65FB" w14:textId="77777777" w:rsidR="00B541B7" w:rsidRPr="00ED7D5A" w:rsidRDefault="00B541B7" w:rsidP="00656E46">
      <w:pPr>
        <w:pStyle w:val="Numberbulleta"/>
      </w:pPr>
      <w:r w:rsidRPr="00ED7D5A">
        <w:t>the potential for abuse of a substance</w:t>
      </w:r>
    </w:p>
    <w:p w14:paraId="649B1D4E" w14:textId="77777777" w:rsidR="00B541B7" w:rsidRPr="00ED7D5A" w:rsidRDefault="00B541B7" w:rsidP="00B541B7">
      <w:pPr>
        <w:pStyle w:val="ListBullet2"/>
        <w:spacing w:before="0" w:after="160" w:line="259" w:lineRule="auto"/>
      </w:pPr>
      <w:r w:rsidRPr="00ED7D5A">
        <w:t>Low.</w:t>
      </w:r>
    </w:p>
    <w:p w14:paraId="2DC03259" w14:textId="77777777" w:rsidR="00B541B7" w:rsidRPr="00ED7D5A" w:rsidRDefault="00B541B7" w:rsidP="00656E46">
      <w:pPr>
        <w:pStyle w:val="Numberbulleta"/>
      </w:pPr>
      <w:r w:rsidRPr="00ED7D5A">
        <w:t>any other matters that the Secretary considers necessary to protect public health</w:t>
      </w:r>
    </w:p>
    <w:p w14:paraId="672DC1F3" w14:textId="2E0BDE19" w:rsidR="00B541B7" w:rsidRPr="0023227D" w:rsidRDefault="00B541B7" w:rsidP="001D6386">
      <w:pPr>
        <w:pStyle w:val="ListBullet2"/>
        <w:spacing w:before="0" w:after="160" w:line="259" w:lineRule="auto"/>
      </w:pPr>
      <w:r w:rsidRPr="00ED7D5A">
        <w:t>Potential for patient confusion in a complex product landscape comprised of multiple products with differing administration instructions with regards to number of tablets to be taken and frequency of administration.</w:t>
      </w:r>
    </w:p>
    <w:p w14:paraId="65D5CE71" w14:textId="77777777" w:rsidR="001D6386" w:rsidRPr="00C721A5" w:rsidRDefault="001D6386" w:rsidP="00D94D4D">
      <w:pPr>
        <w:pStyle w:val="Heading4"/>
      </w:pPr>
      <w:bookmarkStart w:id="33" w:name="_Toc83820113"/>
      <w:r w:rsidRPr="00C721A5">
        <w:lastRenderedPageBreak/>
        <w:t>Reasons for the interim decision (including findings on material questions of fact)</w:t>
      </w:r>
      <w:bookmarkEnd w:id="33"/>
    </w:p>
    <w:bookmarkEnd w:id="5"/>
    <w:bookmarkEnd w:id="6"/>
    <w:p w14:paraId="178AB01E" w14:textId="77777777" w:rsidR="00B22ADD" w:rsidRDefault="00B22ADD" w:rsidP="00B22ADD">
      <w:r>
        <w:t>I have made an interim decision not to amend the scheduling for ibuprofen in the current Poisons Standard. The detailed reasons for my decision follow.</w:t>
      </w:r>
    </w:p>
    <w:p w14:paraId="3E933AE0" w14:textId="6554C078" w:rsidR="00B22ADD" w:rsidRDefault="00B22ADD" w:rsidP="00B22ADD">
      <w:r w:rsidRPr="006B74E6">
        <w:rPr>
          <w:bCs/>
        </w:rPr>
        <w:t>I agree with the Committee's finding</w:t>
      </w:r>
      <w:r>
        <w:rPr>
          <w:bCs/>
        </w:rPr>
        <w:t>s</w:t>
      </w:r>
      <w:r w:rsidRPr="006B74E6">
        <w:rPr>
          <w:bCs/>
        </w:rPr>
        <w:t xml:space="preserve"> that the relevant provisions of section 52E of the</w:t>
      </w:r>
      <w:r w:rsidR="00656E46">
        <w:rPr>
          <w:bCs/>
        </w:rPr>
        <w:t xml:space="preserve"> </w:t>
      </w:r>
      <w:r w:rsidRPr="006B74E6">
        <w:rPr>
          <w:bCs/>
          <w:i/>
          <w:iCs/>
        </w:rPr>
        <w:t>Therapeutic Goods Act 1989</w:t>
      </w:r>
      <w:r w:rsidR="00656E46">
        <w:rPr>
          <w:bCs/>
        </w:rPr>
        <w:t xml:space="preserve"> </w:t>
      </w:r>
      <w:r w:rsidRPr="006B74E6">
        <w:rPr>
          <w:bCs/>
        </w:rPr>
        <w:t>are</w:t>
      </w:r>
      <w:r>
        <w:rPr>
          <w:bCs/>
        </w:rPr>
        <w:t>:</w:t>
      </w:r>
      <w:r w:rsidRPr="00C70F72">
        <w:t xml:space="preserve"> (a) risks and benefits of the use of a substance; (b) </w:t>
      </w:r>
      <w:r>
        <w:t>the purposes for which a substance is to be used and the extent of use of a substance</w:t>
      </w:r>
      <w:r w:rsidRPr="00C70F72">
        <w:t>; (c) the toxicity of a substance; (d) the dosage, formulation, labelling, packaging and presentation of a substance; (e) the potential for abuse of a substance;</w:t>
      </w:r>
      <w:r w:rsidRPr="00082B02">
        <w:t xml:space="preserve"> and (f) any other matters that the Secretary considers necessary to protect public health.</w:t>
      </w:r>
    </w:p>
    <w:p w14:paraId="31468442" w14:textId="277F72F1" w:rsidR="00B22ADD" w:rsidRDefault="00B22ADD" w:rsidP="00B22ADD">
      <w:pPr>
        <w:spacing w:before="180"/>
        <w:rPr>
          <w:rFonts w:cstheme="minorBidi"/>
          <w:szCs w:val="22"/>
        </w:rPr>
      </w:pPr>
      <w:r w:rsidRPr="00CF6636">
        <w:rPr>
          <w:rFonts w:cstheme="minorBidi"/>
          <w:szCs w:val="22"/>
        </w:rPr>
        <w:t xml:space="preserve">In making my decision, I have </w:t>
      </w:r>
      <w:r>
        <w:rPr>
          <w:rFonts w:cstheme="minorBidi"/>
          <w:szCs w:val="22"/>
        </w:rPr>
        <w:t>determined</w:t>
      </w:r>
      <w:r w:rsidRPr="00CF6636">
        <w:rPr>
          <w:rFonts w:cstheme="minorBidi"/>
          <w:szCs w:val="22"/>
        </w:rPr>
        <w:t xml:space="preserve"> that the modified release ibuprofen 600mg formulati</w:t>
      </w:r>
      <w:r>
        <w:rPr>
          <w:rFonts w:cstheme="minorBidi"/>
          <w:szCs w:val="22"/>
        </w:rPr>
        <w:t>on does not fit the Schedule 2 scheduling f</w:t>
      </w:r>
      <w:r w:rsidRPr="00CF6636">
        <w:rPr>
          <w:rFonts w:cstheme="minorBidi"/>
          <w:szCs w:val="22"/>
        </w:rPr>
        <w:t>actors set out in the</w:t>
      </w:r>
      <w:r>
        <w:rPr>
          <w:rFonts w:cstheme="minorBidi"/>
          <w:szCs w:val="22"/>
        </w:rPr>
        <w:t xml:space="preserve"> Scheduling Policy Framework</w:t>
      </w:r>
      <w:r w:rsidRPr="00CF6636">
        <w:rPr>
          <w:rFonts w:cstheme="minorBidi"/>
          <w:szCs w:val="22"/>
        </w:rPr>
        <w:t xml:space="preserve"> </w:t>
      </w:r>
      <w:r>
        <w:rPr>
          <w:rFonts w:cstheme="minorBidi"/>
          <w:szCs w:val="22"/>
        </w:rPr>
        <w:t>(</w:t>
      </w:r>
      <w:r w:rsidRPr="00CF6636">
        <w:rPr>
          <w:rFonts w:cstheme="minorBidi"/>
          <w:szCs w:val="22"/>
        </w:rPr>
        <w:t>SPF 2018)</w:t>
      </w:r>
      <w:r>
        <w:rPr>
          <w:rFonts w:cstheme="minorBidi"/>
          <w:szCs w:val="22"/>
        </w:rPr>
        <w:t>:</w:t>
      </w:r>
    </w:p>
    <w:p w14:paraId="794CAC7E" w14:textId="5F694A50" w:rsidR="00B22ADD" w:rsidRDefault="00B22ADD" w:rsidP="00656E46">
      <w:pPr>
        <w:pStyle w:val="ListBullet"/>
      </w:pPr>
      <w:r>
        <w:t>T</w:t>
      </w:r>
      <w:r w:rsidRPr="00CF6636">
        <w:t>he quality use of the medicine cannot be achieved by labelling, packaging, or provision of other information</w:t>
      </w:r>
      <w:r>
        <w:t>;</w:t>
      </w:r>
      <w:r w:rsidRPr="00CF6636">
        <w:t xml:space="preserve"> advice from a pharmacist is required.</w:t>
      </w:r>
    </w:p>
    <w:p w14:paraId="0D8259C8" w14:textId="77777777" w:rsidR="00B22ADD" w:rsidRDefault="00B22ADD" w:rsidP="00656E46">
      <w:pPr>
        <w:pStyle w:val="ListBullet"/>
      </w:pPr>
      <w:r>
        <w:t>Risks of dosing errors cannot be managed by a consumer through appropriate packaging and labelling.</w:t>
      </w:r>
    </w:p>
    <w:p w14:paraId="5CBB18CF" w14:textId="7F689A86" w:rsidR="00B22ADD" w:rsidRDefault="00B22ADD" w:rsidP="00656E46">
      <w:pPr>
        <w:pStyle w:val="ListBullet"/>
      </w:pPr>
      <w:r>
        <w:t>The use of the medicine is substantially safe for short term use. However, modified release formulations may facilitate longer term use of the substance, for the treatment of ailments that would require pharmacist or</w:t>
      </w:r>
      <w:r w:rsidR="00824757">
        <w:t>, more commonly, medical</w:t>
      </w:r>
      <w:r>
        <w:t xml:space="preserve"> practitioner oversight.</w:t>
      </w:r>
    </w:p>
    <w:p w14:paraId="10B39E29" w14:textId="4427FEAA" w:rsidR="00B22ADD" w:rsidRDefault="00B22ADD" w:rsidP="00B22ADD">
      <w:pPr>
        <w:spacing w:before="180"/>
        <w:rPr>
          <w:rFonts w:cstheme="minorBidi"/>
          <w:szCs w:val="22"/>
        </w:rPr>
      </w:pPr>
      <w:r>
        <w:rPr>
          <w:rFonts w:cstheme="minorBidi"/>
          <w:szCs w:val="22"/>
        </w:rPr>
        <w:t>I note that ibuprofen is a common nonsteroidal anti-inflammatory drug (NSAID) with a well-established safety profile in humans. While use is generally safe, it has the potential to cause significant adverse effects – including an increased risk of gastrointestinal bleeding, heart attack, stroke and kidney damage. These risks are relatively low when</w:t>
      </w:r>
      <w:r w:rsidR="007E0377">
        <w:rPr>
          <w:rFonts w:cstheme="minorBidi"/>
          <w:szCs w:val="22"/>
        </w:rPr>
        <w:t xml:space="preserve"> the substance is</w:t>
      </w:r>
      <w:r>
        <w:rPr>
          <w:rFonts w:cstheme="minorBidi"/>
          <w:szCs w:val="22"/>
        </w:rPr>
        <w:t xml:space="preserve"> taken as indicated, as acknowledged through the inclusion of several ibuprofen preparations in Schedule 2 (and general sale). However, the current proposal relates to a modified release form</w:t>
      </w:r>
      <w:r w:rsidR="00824757">
        <w:rPr>
          <w:rFonts w:cstheme="minorBidi"/>
          <w:szCs w:val="22"/>
        </w:rPr>
        <w:t xml:space="preserve">, with </w:t>
      </w:r>
      <w:r>
        <w:rPr>
          <w:rFonts w:cstheme="minorBidi"/>
          <w:szCs w:val="22"/>
        </w:rPr>
        <w:t>different indications and patterns of use. As such, while the chemical safety profile is generally favourable, the dosing, uses and consumer awareness of these products require careful consideration.</w:t>
      </w:r>
    </w:p>
    <w:p w14:paraId="55C74005" w14:textId="6AFD0C33" w:rsidR="00B22ADD" w:rsidRDefault="00B22ADD" w:rsidP="00B22ADD">
      <w:pPr>
        <w:spacing w:before="180"/>
        <w:rPr>
          <w:rFonts w:cstheme="minorBidi"/>
          <w:szCs w:val="22"/>
        </w:rPr>
      </w:pPr>
      <w:r>
        <w:rPr>
          <w:rFonts w:cstheme="minorBidi"/>
          <w:szCs w:val="22"/>
        </w:rPr>
        <w:t xml:space="preserve">I note that down-scheduling modified release preparations would result in a complex </w:t>
      </w:r>
      <w:r w:rsidR="00BC5879">
        <w:rPr>
          <w:rFonts w:cstheme="minorBidi"/>
          <w:szCs w:val="22"/>
        </w:rPr>
        <w:t xml:space="preserve">range </w:t>
      </w:r>
      <w:r>
        <w:rPr>
          <w:rFonts w:cstheme="minorBidi"/>
          <w:szCs w:val="22"/>
        </w:rPr>
        <w:t>of ibuprofen products in Schedule 2. These include 200 mg and 400 mg immediate release preparations, along with</w:t>
      </w:r>
      <w:r w:rsidR="007E0377">
        <w:rPr>
          <w:rFonts w:cstheme="minorBidi"/>
          <w:szCs w:val="22"/>
        </w:rPr>
        <w:t xml:space="preserve"> a</w:t>
      </w:r>
      <w:r>
        <w:rPr>
          <w:rFonts w:cstheme="minorBidi"/>
          <w:szCs w:val="22"/>
        </w:rPr>
        <w:t xml:space="preserve"> 600 mg modified release preparation. Each has a unique set of administration instructions, which </w:t>
      </w:r>
      <w:r w:rsidR="00BC5879">
        <w:rPr>
          <w:rFonts w:cstheme="minorBidi"/>
          <w:szCs w:val="22"/>
        </w:rPr>
        <w:t xml:space="preserve">without pharmacist advice </w:t>
      </w:r>
      <w:r>
        <w:rPr>
          <w:rFonts w:cstheme="minorBidi"/>
          <w:szCs w:val="22"/>
        </w:rPr>
        <w:t>may heighten the risk of dosing errors. I also note that Australian consumers are predominantly</w:t>
      </w:r>
      <w:r w:rsidRPr="00026B0E">
        <w:rPr>
          <w:rFonts w:cstheme="minorBidi"/>
          <w:szCs w:val="22"/>
        </w:rPr>
        <w:t xml:space="preserve"> </w:t>
      </w:r>
      <w:r>
        <w:rPr>
          <w:rFonts w:cstheme="minorBidi"/>
          <w:szCs w:val="22"/>
        </w:rPr>
        <w:t>familiar with immediate release tablets</w:t>
      </w:r>
      <w:r w:rsidR="00BC5879">
        <w:rPr>
          <w:rFonts w:cstheme="minorBidi"/>
          <w:szCs w:val="22"/>
        </w:rPr>
        <w:t>.</w:t>
      </w:r>
      <w:r>
        <w:rPr>
          <w:rFonts w:cstheme="minorBidi"/>
          <w:szCs w:val="22"/>
        </w:rPr>
        <w:t xml:space="preserve"> In the case of modified release preparations, a consumer could inadvertently administer the maximum daily dose of ibuprofen in a single </w:t>
      </w:r>
      <w:r w:rsidR="00113E96">
        <w:rPr>
          <w:rFonts w:cstheme="minorBidi"/>
          <w:szCs w:val="22"/>
        </w:rPr>
        <w:t xml:space="preserve">dose </w:t>
      </w:r>
      <w:r>
        <w:rPr>
          <w:rFonts w:cstheme="minorBidi"/>
          <w:szCs w:val="22"/>
        </w:rPr>
        <w:t xml:space="preserve">if not appropriately </w:t>
      </w:r>
      <w:r w:rsidR="00113E96">
        <w:rPr>
          <w:rFonts w:cstheme="minorBidi"/>
          <w:szCs w:val="22"/>
        </w:rPr>
        <w:t xml:space="preserve">advised </w:t>
      </w:r>
      <w:r>
        <w:rPr>
          <w:rFonts w:cstheme="minorBidi"/>
          <w:szCs w:val="22"/>
        </w:rPr>
        <w:t>by a pharmacist. In the current environment, I consider that consultation with a pharmacist is required to prevent overdose.</w:t>
      </w:r>
    </w:p>
    <w:p w14:paraId="57EFD156" w14:textId="08C9F4BF" w:rsidR="00B22ADD" w:rsidRDefault="0085162D" w:rsidP="00B22ADD">
      <w:pPr>
        <w:spacing w:before="180"/>
        <w:rPr>
          <w:rFonts w:cstheme="minorBidi"/>
          <w:szCs w:val="22"/>
        </w:rPr>
      </w:pPr>
      <w:r>
        <w:rPr>
          <w:rFonts w:cstheme="minorBidi"/>
          <w:szCs w:val="22"/>
        </w:rPr>
        <w:t>I further note that t</w:t>
      </w:r>
      <w:r w:rsidR="00B22ADD">
        <w:rPr>
          <w:rFonts w:cstheme="minorBidi"/>
          <w:szCs w:val="22"/>
        </w:rPr>
        <w:t>he conditions treated by modified release products require pharmacist consultation irrespective o</w:t>
      </w:r>
      <w:r>
        <w:rPr>
          <w:rFonts w:cstheme="minorBidi"/>
          <w:szCs w:val="22"/>
        </w:rPr>
        <w:t xml:space="preserve">f </w:t>
      </w:r>
      <w:r w:rsidR="00753996">
        <w:rPr>
          <w:rFonts w:cstheme="minorBidi"/>
          <w:szCs w:val="22"/>
        </w:rPr>
        <w:t>the potential for inadvertent overdose</w:t>
      </w:r>
      <w:r>
        <w:rPr>
          <w:rFonts w:cstheme="minorBidi"/>
          <w:szCs w:val="22"/>
        </w:rPr>
        <w:t>. These preparations</w:t>
      </w:r>
      <w:r w:rsidR="00B22ADD">
        <w:rPr>
          <w:rFonts w:cstheme="minorBidi"/>
          <w:szCs w:val="22"/>
        </w:rPr>
        <w:t xml:space="preserve"> are i</w:t>
      </w:r>
      <w:r>
        <w:rPr>
          <w:rFonts w:cstheme="minorBidi"/>
          <w:szCs w:val="22"/>
        </w:rPr>
        <w:t>ndicated for ‘persistent pain’ – which</w:t>
      </w:r>
      <w:r w:rsidR="00753996">
        <w:rPr>
          <w:rFonts w:cstheme="minorBidi"/>
          <w:szCs w:val="22"/>
        </w:rPr>
        <w:t xml:space="preserve"> is inconsistent</w:t>
      </w:r>
      <w:r w:rsidR="00B22ADD">
        <w:rPr>
          <w:rFonts w:cstheme="minorBidi"/>
          <w:szCs w:val="22"/>
        </w:rPr>
        <w:t xml:space="preserve"> with minor, short term and self-diagnosable ailments that are treated by Schedule 2 medicines. I also note </w:t>
      </w:r>
      <w:r w:rsidR="00336CBA">
        <w:rPr>
          <w:rFonts w:cstheme="minorBidi"/>
          <w:szCs w:val="22"/>
        </w:rPr>
        <w:t>that any</w:t>
      </w:r>
      <w:r w:rsidR="00B22ADD">
        <w:rPr>
          <w:rFonts w:cstheme="minorBidi"/>
          <w:szCs w:val="22"/>
        </w:rPr>
        <w:t xml:space="preserve"> benefits of modified release preparations, including a reduction in ‘dosing burden’ and the smoothing out of peaks and troughs of action, relate to extended treatment courses that favour</w:t>
      </w:r>
      <w:r w:rsidR="003C5F77">
        <w:rPr>
          <w:rFonts w:cstheme="minorBidi"/>
          <w:szCs w:val="22"/>
        </w:rPr>
        <w:t xml:space="preserve"> the</w:t>
      </w:r>
      <w:r w:rsidR="00B22ADD">
        <w:rPr>
          <w:rFonts w:cstheme="minorBidi"/>
          <w:szCs w:val="22"/>
        </w:rPr>
        <w:t xml:space="preserve"> long</w:t>
      </w:r>
      <w:r w:rsidR="003C5F77">
        <w:rPr>
          <w:rFonts w:cstheme="minorBidi"/>
          <w:szCs w:val="22"/>
        </w:rPr>
        <w:t>-</w:t>
      </w:r>
      <w:r w:rsidR="00B22ADD">
        <w:rPr>
          <w:rFonts w:cstheme="minorBidi"/>
          <w:szCs w:val="22"/>
        </w:rPr>
        <w:t>term treatment of chronic conditions. I am of the view that labellin</w:t>
      </w:r>
      <w:r>
        <w:rPr>
          <w:rFonts w:cstheme="minorBidi"/>
          <w:szCs w:val="22"/>
        </w:rPr>
        <w:t>g cannot adequately address these</w:t>
      </w:r>
      <w:r w:rsidR="00B22ADD">
        <w:rPr>
          <w:rFonts w:cstheme="minorBidi"/>
          <w:szCs w:val="22"/>
        </w:rPr>
        <w:t xml:space="preserve"> issue</w:t>
      </w:r>
      <w:r>
        <w:rPr>
          <w:rFonts w:cstheme="minorBidi"/>
          <w:szCs w:val="22"/>
        </w:rPr>
        <w:t>s</w:t>
      </w:r>
      <w:r w:rsidR="00B22ADD">
        <w:rPr>
          <w:rFonts w:cstheme="minorBidi"/>
          <w:szCs w:val="22"/>
        </w:rPr>
        <w:t xml:space="preserve">, and that </w:t>
      </w:r>
      <w:r>
        <w:rPr>
          <w:rFonts w:cstheme="minorBidi"/>
          <w:szCs w:val="22"/>
        </w:rPr>
        <w:t xml:space="preserve">the </w:t>
      </w:r>
      <w:r w:rsidR="00B22ADD">
        <w:rPr>
          <w:rFonts w:cstheme="minorBidi"/>
          <w:szCs w:val="22"/>
        </w:rPr>
        <w:t xml:space="preserve">current scheduling of ibuprofen remains </w:t>
      </w:r>
      <w:r>
        <w:rPr>
          <w:rFonts w:cstheme="minorBidi"/>
          <w:szCs w:val="22"/>
        </w:rPr>
        <w:t>appropriate</w:t>
      </w:r>
      <w:r w:rsidR="00B22ADD">
        <w:rPr>
          <w:rFonts w:cstheme="minorBidi"/>
          <w:szCs w:val="22"/>
        </w:rPr>
        <w:t>.</w:t>
      </w:r>
    </w:p>
    <w:p w14:paraId="263EC20F" w14:textId="46BEEC5F" w:rsidR="00B22ADD" w:rsidRDefault="00B22ADD" w:rsidP="00B22ADD">
      <w:pPr>
        <w:spacing w:before="180"/>
        <w:rPr>
          <w:rFonts w:cstheme="minorBidi"/>
          <w:szCs w:val="22"/>
        </w:rPr>
      </w:pPr>
      <w:r>
        <w:rPr>
          <w:rFonts w:cstheme="minorBidi"/>
          <w:szCs w:val="22"/>
        </w:rPr>
        <w:lastRenderedPageBreak/>
        <w:t xml:space="preserve">In making my decision, </w:t>
      </w:r>
      <w:r w:rsidRPr="00CF6636">
        <w:rPr>
          <w:rFonts w:cstheme="minorBidi"/>
          <w:szCs w:val="22"/>
        </w:rPr>
        <w:t xml:space="preserve">I have taken into account all </w:t>
      </w:r>
      <w:r w:rsidR="0085162D">
        <w:rPr>
          <w:rFonts w:cstheme="minorBidi"/>
          <w:szCs w:val="22"/>
        </w:rPr>
        <w:t>six</w:t>
      </w:r>
      <w:r w:rsidRPr="00CF6636">
        <w:rPr>
          <w:rFonts w:cstheme="minorBidi"/>
          <w:szCs w:val="22"/>
        </w:rPr>
        <w:t xml:space="preserve"> public submissions</w:t>
      </w:r>
      <w:r>
        <w:rPr>
          <w:rFonts w:cstheme="minorBidi"/>
          <w:szCs w:val="22"/>
        </w:rPr>
        <w:t xml:space="preserve"> received</w:t>
      </w:r>
      <w:r w:rsidR="0085162D">
        <w:rPr>
          <w:rFonts w:cstheme="minorBidi"/>
          <w:szCs w:val="22"/>
        </w:rPr>
        <w:t xml:space="preserve"> during the pre-meeting consultation</w:t>
      </w:r>
      <w:r w:rsidRPr="00CF6636">
        <w:rPr>
          <w:rFonts w:cstheme="minorBidi"/>
          <w:szCs w:val="22"/>
        </w:rPr>
        <w:t>, including those from the Australasian Medical Association (AMA) and the Pharmacy Guild of Australia</w:t>
      </w:r>
      <w:r>
        <w:rPr>
          <w:rFonts w:cstheme="minorBidi"/>
          <w:szCs w:val="22"/>
        </w:rPr>
        <w:t xml:space="preserve"> (the Guild):</w:t>
      </w:r>
    </w:p>
    <w:p w14:paraId="50A78FEA" w14:textId="77777777" w:rsidR="00B22ADD" w:rsidRDefault="00B22ADD" w:rsidP="00656E46">
      <w:pPr>
        <w:pStyle w:val="ListBullet"/>
      </w:pPr>
      <w:r>
        <w:t xml:space="preserve">The AMA noted both </w:t>
      </w:r>
      <w:r w:rsidRPr="00CF6636">
        <w:t xml:space="preserve">public </w:t>
      </w:r>
      <w:r>
        <w:t>awareness</w:t>
      </w:r>
      <w:r w:rsidRPr="00CF6636">
        <w:t xml:space="preserve"> </w:t>
      </w:r>
      <w:r>
        <w:t>and clinical experience relating to modified release preparations are too low – leading to an increased risk of dosing errors and irreversible side effects. The submission also noted that immediate release preparations with a moderate dose can already achieve good analgesic outcomes.</w:t>
      </w:r>
    </w:p>
    <w:p w14:paraId="4748F560" w14:textId="7EF7F489" w:rsidR="00B22ADD" w:rsidRDefault="00B22ADD" w:rsidP="00656E46">
      <w:pPr>
        <w:pStyle w:val="ListBullet"/>
      </w:pPr>
      <w:r>
        <w:t>The Guild further raised that there are significant drug interactions between NSAIDs and other medicines,</w:t>
      </w:r>
      <w:r w:rsidRPr="004013CC">
        <w:t xml:space="preserve"> </w:t>
      </w:r>
      <w:r>
        <w:t xml:space="preserve">as well as contraindications for use, which could be affected by a higher than </w:t>
      </w:r>
      <w:r w:rsidR="0085162D">
        <w:t>recommended dose of ibuprofen. It was noted that p</w:t>
      </w:r>
      <w:r>
        <w:t>harmacist intervention is essential to ide</w:t>
      </w:r>
      <w:r w:rsidR="0085162D">
        <w:t xml:space="preserve">ntifying and managing the </w:t>
      </w:r>
      <w:r>
        <w:t>adverse effects, drug interactions and contraindications</w:t>
      </w:r>
      <w:r w:rsidR="0085162D">
        <w:t xml:space="preserve"> of modified release ibuprofen</w:t>
      </w:r>
      <w:r>
        <w:t>.</w:t>
      </w:r>
    </w:p>
    <w:p w14:paraId="6BC2CA61" w14:textId="257EE011" w:rsidR="00CF6636" w:rsidRPr="00656E46" w:rsidRDefault="00B22ADD" w:rsidP="00656E46">
      <w:pPr>
        <w:spacing w:before="180"/>
        <w:rPr>
          <w:rFonts w:cstheme="minorBidi"/>
          <w:szCs w:val="22"/>
        </w:rPr>
      </w:pPr>
      <w:r>
        <w:rPr>
          <w:rFonts w:cstheme="minorBidi"/>
          <w:szCs w:val="22"/>
        </w:rPr>
        <w:t xml:space="preserve">I concur with the concerns raised in these public submissions </w:t>
      </w:r>
      <w:r w:rsidR="00F40A33">
        <w:rPr>
          <w:rFonts w:cstheme="minorBidi"/>
          <w:szCs w:val="22"/>
        </w:rPr>
        <w:t xml:space="preserve">and the advice of the Committee. I </w:t>
      </w:r>
      <w:r>
        <w:rPr>
          <w:rFonts w:cstheme="minorBidi"/>
          <w:szCs w:val="22"/>
        </w:rPr>
        <w:t xml:space="preserve">am of the view that </w:t>
      </w:r>
      <w:r w:rsidRPr="00CF6636">
        <w:rPr>
          <w:rFonts w:cstheme="minorBidi"/>
          <w:szCs w:val="22"/>
        </w:rPr>
        <w:t>the risk</w:t>
      </w:r>
      <w:r>
        <w:rPr>
          <w:rFonts w:cstheme="minorBidi"/>
          <w:szCs w:val="22"/>
        </w:rPr>
        <w:t>s</w:t>
      </w:r>
      <w:r w:rsidRPr="00CF6636">
        <w:rPr>
          <w:rFonts w:cstheme="minorBidi"/>
          <w:szCs w:val="22"/>
        </w:rPr>
        <w:t xml:space="preserve"> of administrative errors</w:t>
      </w:r>
      <w:r>
        <w:rPr>
          <w:rFonts w:cstheme="minorBidi"/>
          <w:szCs w:val="22"/>
        </w:rPr>
        <w:t>,</w:t>
      </w:r>
      <w:r w:rsidRPr="00CF6636">
        <w:rPr>
          <w:rFonts w:cstheme="minorBidi"/>
          <w:szCs w:val="22"/>
        </w:rPr>
        <w:t xml:space="preserve"> and difficulties in managing overdoses</w:t>
      </w:r>
      <w:r>
        <w:rPr>
          <w:rFonts w:cstheme="minorBidi"/>
          <w:szCs w:val="22"/>
        </w:rPr>
        <w:t>,</w:t>
      </w:r>
      <w:r w:rsidRPr="00CF6636">
        <w:rPr>
          <w:rFonts w:cstheme="minorBidi"/>
          <w:szCs w:val="22"/>
        </w:rPr>
        <w:t xml:space="preserve"> outweigh the</w:t>
      </w:r>
      <w:r>
        <w:rPr>
          <w:rFonts w:cstheme="minorBidi"/>
          <w:szCs w:val="22"/>
        </w:rPr>
        <w:t xml:space="preserve"> benefits of supply as a Schedule 2 substance</w:t>
      </w:r>
      <w:r w:rsidRPr="00CF6636">
        <w:rPr>
          <w:rFonts w:cstheme="minorBidi"/>
          <w:szCs w:val="22"/>
        </w:rPr>
        <w:t>.</w:t>
      </w:r>
      <w:r>
        <w:rPr>
          <w:rFonts w:cstheme="minorBidi"/>
          <w:szCs w:val="22"/>
        </w:rPr>
        <w:t xml:space="preserve"> I have therefore made the interim decision to retain the current scheduling of modified release ibuprofen. Pharmac</w:t>
      </w:r>
      <w:r w:rsidR="0085162D">
        <w:rPr>
          <w:rFonts w:cstheme="minorBidi"/>
          <w:szCs w:val="22"/>
        </w:rPr>
        <w:t>ist intervention</w:t>
      </w:r>
      <w:r w:rsidR="00753996">
        <w:rPr>
          <w:rFonts w:cstheme="minorBidi"/>
          <w:szCs w:val="22"/>
        </w:rPr>
        <w:t xml:space="preserve"> and appropriate referral to a medical practitioner</w:t>
      </w:r>
      <w:r w:rsidR="0085162D">
        <w:rPr>
          <w:rFonts w:cstheme="minorBidi"/>
          <w:szCs w:val="22"/>
        </w:rPr>
        <w:t xml:space="preserve"> </w:t>
      </w:r>
      <w:r>
        <w:rPr>
          <w:rFonts w:cstheme="minorBidi"/>
          <w:szCs w:val="22"/>
        </w:rPr>
        <w:t>i</w:t>
      </w:r>
      <w:r w:rsidR="0085162D">
        <w:rPr>
          <w:rFonts w:cstheme="minorBidi"/>
          <w:szCs w:val="22"/>
        </w:rPr>
        <w:t>s central to</w:t>
      </w:r>
      <w:r>
        <w:rPr>
          <w:rFonts w:cstheme="minorBidi"/>
          <w:szCs w:val="22"/>
        </w:rPr>
        <w:t xml:space="preserve"> reducing potential harm to consumers and ensuring quality use of the medicine.</w:t>
      </w:r>
    </w:p>
    <w:sectPr w:rsidR="00CF6636" w:rsidRPr="00656E46" w:rsidSect="00CD1C8D">
      <w:headerReference w:type="first" r:id="rId33"/>
      <w:footerReference w:type="first" r:id="rId34"/>
      <w:type w:val="continuous"/>
      <w:pgSz w:w="11906" w:h="16838" w:code="9"/>
      <w:pgMar w:top="1530" w:right="1418" w:bottom="1361" w:left="1418" w:header="99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9FCC7" w14:textId="77777777" w:rsidR="00656E46" w:rsidRDefault="00656E46" w:rsidP="00C40A36">
      <w:pPr>
        <w:spacing w:after="0"/>
      </w:pPr>
      <w:r>
        <w:separator/>
      </w:r>
    </w:p>
    <w:p w14:paraId="62C33941" w14:textId="77777777" w:rsidR="00656E46" w:rsidRDefault="00656E46"/>
  </w:endnote>
  <w:endnote w:type="continuationSeparator" w:id="0">
    <w:p w14:paraId="030AEDEF" w14:textId="77777777" w:rsidR="00656E46" w:rsidRDefault="00656E46" w:rsidP="00C40A36">
      <w:pPr>
        <w:spacing w:after="0"/>
      </w:pPr>
      <w:r>
        <w:continuationSeparator/>
      </w:r>
    </w:p>
    <w:p w14:paraId="5556974E" w14:textId="77777777" w:rsidR="00656E46" w:rsidRDefault="00656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656E46" w:rsidRPr="00257138" w14:paraId="4AF11DA5" w14:textId="77777777" w:rsidTr="007270E6">
      <w:trPr>
        <w:trHeight w:val="189"/>
      </w:trPr>
      <w:tc>
        <w:tcPr>
          <w:tcW w:w="7338" w:type="dxa"/>
        </w:tcPr>
        <w:p w14:paraId="5F9340DC" w14:textId="6B59F6E1" w:rsidR="00656E46" w:rsidRPr="00257138" w:rsidRDefault="00656E46" w:rsidP="00D94D4D">
          <w:pPr>
            <w:pStyle w:val="Footer"/>
          </w:pPr>
          <w:r>
            <w:t>Delegate’s interim decisions and reasons for decisions (ACMS#34, June 2021)</w:t>
          </w:r>
        </w:p>
      </w:tc>
      <w:tc>
        <w:tcPr>
          <w:tcW w:w="1382" w:type="dxa"/>
        </w:tcPr>
        <w:sdt>
          <w:sdtPr>
            <w:id w:val="602996628"/>
            <w:docPartObj>
              <w:docPartGallery w:val="Page Numbers (Top of Page)"/>
              <w:docPartUnique/>
            </w:docPartObj>
          </w:sdtPr>
          <w:sdtEndPr/>
          <w:sdtContent>
            <w:p w14:paraId="2F2C20BF" w14:textId="0292F0F2" w:rsidR="00656E46" w:rsidRPr="00257138" w:rsidRDefault="00656E46" w:rsidP="00987184">
              <w:pPr>
                <w:pStyle w:val="Footer"/>
                <w:jc w:val="right"/>
              </w:pPr>
              <w:r w:rsidRPr="00257138">
                <w:t xml:space="preserve">Page </w:t>
              </w:r>
              <w:r>
                <w:fldChar w:fldCharType="begin"/>
              </w:r>
              <w:r>
                <w:instrText xml:space="preserve"> PAGE </w:instrText>
              </w:r>
              <w:r>
                <w:fldChar w:fldCharType="separate"/>
              </w:r>
              <w:r>
                <w:rPr>
                  <w:noProof/>
                </w:rPr>
                <w:t>11</w:t>
              </w:r>
              <w:r>
                <w:rPr>
                  <w:noProof/>
                </w:rPr>
                <w:fldChar w:fldCharType="end"/>
              </w:r>
              <w:r w:rsidRPr="00257138">
                <w:t xml:space="preserve"> of </w:t>
              </w:r>
              <w:fldSimple w:instr=" NUMPAGES  ">
                <w:r>
                  <w:rPr>
                    <w:noProof/>
                  </w:rPr>
                  <w:t>11</w:t>
                </w:r>
              </w:fldSimple>
            </w:p>
          </w:sdtContent>
        </w:sdt>
      </w:tc>
    </w:tr>
  </w:tbl>
  <w:p w14:paraId="6E7E3FB0" w14:textId="77777777" w:rsidR="00656E46" w:rsidRPr="00826007" w:rsidRDefault="00656E46"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70C2" w14:textId="77777777" w:rsidR="00656E46" w:rsidRDefault="00656E46"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3B85" w14:textId="77777777" w:rsidR="00656E46" w:rsidRPr="00F8404D" w:rsidRDefault="00656E46"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345B2" w14:textId="77777777" w:rsidR="00656E46" w:rsidRDefault="00656E46" w:rsidP="00FE1941">
      <w:pPr>
        <w:spacing w:after="0"/>
      </w:pPr>
      <w:r>
        <w:separator/>
      </w:r>
    </w:p>
  </w:footnote>
  <w:footnote w:type="continuationSeparator" w:id="0">
    <w:p w14:paraId="60B71DA3" w14:textId="77777777" w:rsidR="00656E46" w:rsidRDefault="00656E46" w:rsidP="00C40A36">
      <w:pPr>
        <w:spacing w:after="0"/>
      </w:pPr>
      <w:r>
        <w:continuationSeparator/>
      </w:r>
    </w:p>
    <w:p w14:paraId="6BF8E6D4" w14:textId="77777777" w:rsidR="00656E46" w:rsidRDefault="00656E46"/>
  </w:footnote>
  <w:footnote w:id="1">
    <w:p w14:paraId="7339FA63" w14:textId="77777777" w:rsidR="00656E46" w:rsidRPr="00C80D80" w:rsidRDefault="00656E46" w:rsidP="00D94D4D">
      <w:pPr>
        <w:pStyle w:val="FootnoteText"/>
      </w:pPr>
      <w:r>
        <w:rPr>
          <w:rStyle w:val="FootnoteReference"/>
        </w:rPr>
        <w:footnoteRef/>
      </w:r>
      <w:r>
        <w:t xml:space="preserve"> </w:t>
      </w:r>
      <w:r w:rsidRPr="00C80D80">
        <w:t>EFSA</w:t>
      </w:r>
      <w:r>
        <w:t xml:space="preserve"> - </w:t>
      </w:r>
      <w:r w:rsidRPr="005224F5">
        <w:t>E</w:t>
      </w:r>
      <w:r>
        <w:t xml:space="preserve">uropean </w:t>
      </w:r>
      <w:r w:rsidRPr="005224F5">
        <w:t>F</w:t>
      </w:r>
      <w:r>
        <w:t xml:space="preserve">ood </w:t>
      </w:r>
      <w:r w:rsidRPr="005224F5">
        <w:t>S</w:t>
      </w:r>
      <w:r>
        <w:t xml:space="preserve">afety </w:t>
      </w:r>
      <w:r w:rsidRPr="005224F5">
        <w:t>A</w:t>
      </w:r>
      <w:r>
        <w:t>uthority Journal,</w:t>
      </w:r>
      <w:r w:rsidRPr="005224F5">
        <w:t xml:space="preserve"> March 2016: Acute health risks related to the presence of cyanogenic glyc</w:t>
      </w:r>
      <w:r>
        <w:t>osides in raw apricot kernels an</w:t>
      </w:r>
      <w:r w:rsidRPr="005224F5">
        <w:t>d products derived from raw apricot kernel</w:t>
      </w:r>
      <w:r>
        <w:t xml:space="preserve">; </w:t>
      </w:r>
      <w:r w:rsidRPr="005224F5">
        <w:t>doi: 10.2903/j.efsa.2016.4424</w:t>
      </w:r>
      <w:r>
        <w:t xml:space="preserve"> </w:t>
      </w:r>
      <w:hyperlink r:id="rId1" w:history="1">
        <w:r w:rsidRPr="00C17A73">
          <w:rPr>
            <w:rStyle w:val="Hyperlink"/>
          </w:rPr>
          <w:t>https://efsa.onlinelibrary.wiley.com/doi/10.2903/j.efsa.2016.4424</w:t>
        </w:r>
      </w:hyperlink>
    </w:p>
  </w:footnote>
  <w:footnote w:id="2">
    <w:p w14:paraId="12479E94" w14:textId="77777777" w:rsidR="00656E46" w:rsidRDefault="00656E46" w:rsidP="00D94D4D">
      <w:pPr>
        <w:pStyle w:val="FootnoteText"/>
      </w:pPr>
      <w:r>
        <w:rPr>
          <w:rStyle w:val="FootnoteReference"/>
        </w:rPr>
        <w:footnoteRef/>
      </w:r>
      <w:r>
        <w:t xml:space="preserve"> </w:t>
      </w:r>
      <w:r w:rsidRPr="00C80D80">
        <w:t>EFSA</w:t>
      </w:r>
      <w:r>
        <w:t xml:space="preserve"> -</w:t>
      </w:r>
      <w:r w:rsidRPr="005224F5">
        <w:t>E</w:t>
      </w:r>
      <w:r>
        <w:t xml:space="preserve">uropean </w:t>
      </w:r>
      <w:r w:rsidRPr="005224F5">
        <w:t>F</w:t>
      </w:r>
      <w:r>
        <w:t xml:space="preserve">ood </w:t>
      </w:r>
      <w:r w:rsidRPr="005224F5">
        <w:t>S</w:t>
      </w:r>
      <w:r>
        <w:t xml:space="preserve">afety </w:t>
      </w:r>
      <w:r w:rsidRPr="005224F5">
        <w:t>A</w:t>
      </w:r>
      <w:r>
        <w:t>uthority Journal,</w:t>
      </w:r>
      <w:r w:rsidRPr="005224F5">
        <w:t xml:space="preserve"> March 2016: Acute health risks related to the presence of cyanogenic glyc</w:t>
      </w:r>
      <w:r>
        <w:t>osides in raw apricot kernels an</w:t>
      </w:r>
      <w:r w:rsidRPr="005224F5">
        <w:t>d products derived from raw apricot kernel</w:t>
      </w:r>
      <w:r>
        <w:t xml:space="preserve">; </w:t>
      </w:r>
      <w:r w:rsidRPr="005224F5">
        <w:t>doi: 10.2903/j.efsa.2016.4424</w:t>
      </w:r>
      <w:r>
        <w:t xml:space="preserve"> </w:t>
      </w:r>
      <w:hyperlink r:id="rId2" w:history="1">
        <w:r w:rsidRPr="00C17A73">
          <w:rPr>
            <w:rStyle w:val="Hyperlink"/>
          </w:rPr>
          <w:t>https://efsa.onlinelibrary.wiley.com/doi/10.2903/j.efsa.2016.4424</w:t>
        </w:r>
      </w:hyperlink>
    </w:p>
  </w:footnote>
  <w:footnote w:id="3">
    <w:p w14:paraId="2FBF64C9" w14:textId="77777777" w:rsidR="00656E46" w:rsidRPr="00816913" w:rsidRDefault="00656E46" w:rsidP="00D94D4D">
      <w:pPr>
        <w:pStyle w:val="FootnoteText"/>
        <w:rPr>
          <w:szCs w:val="16"/>
        </w:rPr>
      </w:pPr>
      <w:r w:rsidRPr="00816913">
        <w:rPr>
          <w:rStyle w:val="FootnoteReference"/>
          <w:szCs w:val="16"/>
        </w:rPr>
        <w:footnoteRef/>
      </w:r>
      <w:r w:rsidRPr="00816913">
        <w:rPr>
          <w:szCs w:val="16"/>
        </w:rPr>
        <w:t xml:space="preserve"> </w:t>
      </w:r>
      <w:hyperlink r:id="rId3" w:history="1">
        <w:r w:rsidRPr="00816913">
          <w:rPr>
            <w:rStyle w:val="Hyperlink"/>
            <w:szCs w:val="16"/>
          </w:rPr>
          <w:t>https://emergency.cdc.gov/agent/cyanide/basics/facts.asp</w:t>
        </w:r>
      </w:hyperlink>
    </w:p>
  </w:footnote>
  <w:footnote w:id="4">
    <w:p w14:paraId="03418B7E" w14:textId="2968F093" w:rsidR="00656E46" w:rsidRDefault="00656E46" w:rsidP="00D94D4D">
      <w:pPr>
        <w:pStyle w:val="FootnoteText"/>
      </w:pPr>
      <w:r>
        <w:rPr>
          <w:rStyle w:val="FootnoteReference"/>
        </w:rPr>
        <w:footnoteRef/>
      </w:r>
      <w:r>
        <w:t xml:space="preserve"> Pharmacopeia of the People’s Republic of China. 2015 edition. Chinese Pharmacopoeia Commission. People’s Medical Publishing house.</w:t>
      </w:r>
    </w:p>
  </w:footnote>
  <w:footnote w:id="5">
    <w:p w14:paraId="1AAF104A" w14:textId="77335E04" w:rsidR="00656E46" w:rsidRPr="00FE779B" w:rsidRDefault="00656E46" w:rsidP="00D94D4D">
      <w:pPr>
        <w:pStyle w:val="FootnoteText"/>
      </w:pPr>
      <w:r w:rsidRPr="00FE779B">
        <w:rPr>
          <w:rStyle w:val="FootnoteReference"/>
          <w:szCs w:val="16"/>
        </w:rPr>
        <w:footnoteRef/>
      </w:r>
      <w:r w:rsidRPr="00FE779B">
        <w:t xml:space="preserve"> </w:t>
      </w:r>
      <w:hyperlink r:id="rId4" w:history="1">
        <w:r w:rsidRPr="00B66B93">
          <w:rPr>
            <w:rStyle w:val="Hyperlink"/>
          </w:rPr>
          <w:t>https://www.tga.gov.au/alert/bufexamac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C3B1" w14:textId="77777777" w:rsidR="00656E46" w:rsidRPr="00920FF4" w:rsidRDefault="00656E46"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36B8D" w14:textId="77777777" w:rsidR="00656E46" w:rsidRPr="00E32326" w:rsidRDefault="00656E46" w:rsidP="00F202AB">
    <w:r w:rsidRPr="00F3255D">
      <w:rPr>
        <w:noProof/>
        <w:lang w:eastAsia="en-AU"/>
      </w:rPr>
      <w:drawing>
        <wp:anchor distT="0" distB="0" distL="114300" distR="114300" simplePos="0" relativeHeight="251659264" behindDoc="0" locked="0" layoutInCell="1" allowOverlap="1" wp14:anchorId="0A765D9D" wp14:editId="79F2036F">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656E46" w:rsidRPr="00FF7B50" w14:paraId="2738DE9F" w14:textId="77777777" w:rsidTr="007270E6">
      <w:trPr>
        <w:trHeight w:hRule="exact" w:val="8845"/>
      </w:trPr>
      <w:tc>
        <w:tcPr>
          <w:tcW w:w="11964" w:type="dxa"/>
        </w:tcPr>
        <w:p w14:paraId="31F1E05B" w14:textId="77777777" w:rsidR="00656E46" w:rsidRPr="00FF7B50" w:rsidRDefault="00EA666D" w:rsidP="00AE0320">
          <w:pPr>
            <w:pStyle w:val="Header"/>
            <w:ind w:left="-57"/>
            <w:jc w:val="left"/>
            <w:rPr>
              <w:noProof/>
              <w:lang w:eastAsia="en-AU"/>
            </w:rPr>
          </w:pPr>
          <w:sdt>
            <w:sdtPr>
              <w:rPr>
                <w:noProof/>
                <w:lang w:eastAsia="en-AU"/>
              </w:rPr>
              <w:id w:val="3702145"/>
              <w:showingPlcHdr/>
              <w:picture/>
            </w:sdtPr>
            <w:sdtEndPr/>
            <w:sdtContent>
              <w:r w:rsidR="00656E46" w:rsidRPr="00FF7B50">
                <w:rPr>
                  <w:noProof/>
                  <w:lang w:eastAsia="en-AU"/>
                </w:rPr>
                <w:drawing>
                  <wp:inline distT="0" distB="0" distL="0" distR="0" wp14:anchorId="547AAA64" wp14:editId="00E79BEB">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4BC15240" w14:textId="77777777" w:rsidR="00656E46" w:rsidRPr="00E32326" w:rsidRDefault="00656E46"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1C8E" w14:textId="77777777" w:rsidR="00656E46" w:rsidRPr="009401F6" w:rsidRDefault="00656E46" w:rsidP="0047772E"/>
  <w:p w14:paraId="28504B54" w14:textId="77777777" w:rsidR="00656E46" w:rsidRPr="002B0C2E" w:rsidRDefault="00656E46"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1D3B"/>
    <w:multiLevelType w:val="multilevel"/>
    <w:tmpl w:val="8812AB30"/>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256"/>
    <w:multiLevelType w:val="hybridMultilevel"/>
    <w:tmpl w:val="3536A2DC"/>
    <w:lvl w:ilvl="0" w:tplc="0809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1C275F7"/>
    <w:multiLevelType w:val="hybridMultilevel"/>
    <w:tmpl w:val="CD30266A"/>
    <w:lvl w:ilvl="0" w:tplc="89867544">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0994A6A"/>
    <w:multiLevelType w:val="hybridMultilevel"/>
    <w:tmpl w:val="0162532C"/>
    <w:lvl w:ilvl="0" w:tplc="6FC40E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932B92"/>
    <w:multiLevelType w:val="hybridMultilevel"/>
    <w:tmpl w:val="90A8F01E"/>
    <w:lvl w:ilvl="0" w:tplc="5AEA50A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3C0D6C84"/>
    <w:multiLevelType w:val="hybridMultilevel"/>
    <w:tmpl w:val="8818A772"/>
    <w:lvl w:ilvl="0" w:tplc="3A0A09BA">
      <w:start w:val="1"/>
      <w:numFmt w:val="lowerLetter"/>
      <w:pStyle w:val="Numberbulleta"/>
      <w:lvlText w:val="%1)"/>
      <w:lvlJc w:val="left"/>
      <w:pPr>
        <w:ind w:left="1135" w:hanging="360"/>
      </w:pPr>
    </w:lvl>
    <w:lvl w:ilvl="1" w:tplc="0C090019" w:tentative="1">
      <w:start w:val="1"/>
      <w:numFmt w:val="lowerLetter"/>
      <w:lvlText w:val="%2."/>
      <w:lvlJc w:val="left"/>
      <w:pPr>
        <w:ind w:left="1855" w:hanging="360"/>
      </w:pPr>
    </w:lvl>
    <w:lvl w:ilvl="2" w:tplc="0C09001B" w:tentative="1">
      <w:start w:val="1"/>
      <w:numFmt w:val="lowerRoman"/>
      <w:lvlText w:val="%3."/>
      <w:lvlJc w:val="right"/>
      <w:pPr>
        <w:ind w:left="2575" w:hanging="180"/>
      </w:pPr>
    </w:lvl>
    <w:lvl w:ilvl="3" w:tplc="0C09000F" w:tentative="1">
      <w:start w:val="1"/>
      <w:numFmt w:val="decimal"/>
      <w:lvlText w:val="%4."/>
      <w:lvlJc w:val="left"/>
      <w:pPr>
        <w:ind w:left="3295" w:hanging="360"/>
      </w:pPr>
    </w:lvl>
    <w:lvl w:ilvl="4" w:tplc="0C090019" w:tentative="1">
      <w:start w:val="1"/>
      <w:numFmt w:val="lowerLetter"/>
      <w:lvlText w:val="%5."/>
      <w:lvlJc w:val="left"/>
      <w:pPr>
        <w:ind w:left="4015" w:hanging="360"/>
      </w:pPr>
    </w:lvl>
    <w:lvl w:ilvl="5" w:tplc="0C09001B" w:tentative="1">
      <w:start w:val="1"/>
      <w:numFmt w:val="lowerRoman"/>
      <w:lvlText w:val="%6."/>
      <w:lvlJc w:val="right"/>
      <w:pPr>
        <w:ind w:left="4735" w:hanging="180"/>
      </w:pPr>
    </w:lvl>
    <w:lvl w:ilvl="6" w:tplc="0C09000F" w:tentative="1">
      <w:start w:val="1"/>
      <w:numFmt w:val="decimal"/>
      <w:lvlText w:val="%7."/>
      <w:lvlJc w:val="left"/>
      <w:pPr>
        <w:ind w:left="5455" w:hanging="360"/>
      </w:pPr>
    </w:lvl>
    <w:lvl w:ilvl="7" w:tplc="0C090019" w:tentative="1">
      <w:start w:val="1"/>
      <w:numFmt w:val="lowerLetter"/>
      <w:lvlText w:val="%8."/>
      <w:lvlJc w:val="left"/>
      <w:pPr>
        <w:ind w:left="6175" w:hanging="360"/>
      </w:pPr>
    </w:lvl>
    <w:lvl w:ilvl="8" w:tplc="0C09001B" w:tentative="1">
      <w:start w:val="1"/>
      <w:numFmt w:val="lowerRoman"/>
      <w:lvlText w:val="%9."/>
      <w:lvlJc w:val="right"/>
      <w:pPr>
        <w:ind w:left="6895" w:hanging="180"/>
      </w:pPr>
    </w:lvl>
  </w:abstractNum>
  <w:abstractNum w:abstractNumId="9" w15:restartNumberingAfterBreak="0">
    <w:nsid w:val="4E351D8D"/>
    <w:multiLevelType w:val="hybridMultilevel"/>
    <w:tmpl w:val="D0AE63A4"/>
    <w:lvl w:ilvl="0" w:tplc="0A2CBBC2">
      <w:start w:val="1"/>
      <w:numFmt w:val="lowerLetter"/>
      <w:pStyle w:val="Numberbullet2"/>
      <w:lvlText w:val="%1)"/>
      <w:lvlJc w:val="left"/>
      <w:pPr>
        <w:ind w:left="1145" w:hanging="360"/>
      </w:pPr>
      <w:rPr>
        <w:rFonts w:hint="default"/>
        <w:i/>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0" w15:restartNumberingAfterBreak="0">
    <w:nsid w:val="587E33CC"/>
    <w:multiLevelType w:val="hybridMultilevel"/>
    <w:tmpl w:val="353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604890"/>
    <w:multiLevelType w:val="hybridMultilevel"/>
    <w:tmpl w:val="E1226ADE"/>
    <w:lvl w:ilvl="0" w:tplc="CE0C5DC4">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BF3C24"/>
    <w:multiLevelType w:val="hybridMultilevel"/>
    <w:tmpl w:val="F0EAE78A"/>
    <w:lvl w:ilvl="0" w:tplc="250A66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2E1AE2"/>
    <w:multiLevelType w:val="hybridMultilevel"/>
    <w:tmpl w:val="2746EAAA"/>
    <w:lvl w:ilvl="0" w:tplc="7DB4DF58">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765884"/>
    <w:multiLevelType w:val="hybridMultilevel"/>
    <w:tmpl w:val="73ACEBF4"/>
    <w:lvl w:ilvl="0" w:tplc="A2B2364A">
      <w:start w:val="4"/>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E30363"/>
    <w:multiLevelType w:val="hybridMultilevel"/>
    <w:tmpl w:val="D4DEEB22"/>
    <w:lvl w:ilvl="0" w:tplc="806891AA">
      <w:start w:val="1"/>
      <w:numFmt w:val="lowerRoman"/>
      <w:pStyle w:val="Numberbulleti"/>
      <w:lvlText w:val="%1)"/>
      <w:lvlJc w:val="left"/>
      <w:pPr>
        <w:ind w:left="7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4"/>
  </w:num>
  <w:num w:numId="4">
    <w:abstractNumId w:val="2"/>
  </w:num>
  <w:num w:numId="5">
    <w:abstractNumId w:val="7"/>
  </w:num>
  <w:num w:numId="6">
    <w:abstractNumId w:val="14"/>
  </w:num>
  <w:num w:numId="7">
    <w:abstractNumId w:val="0"/>
  </w:num>
  <w:num w:numId="8">
    <w:abstractNumId w:val="9"/>
  </w:num>
  <w:num w:numId="9">
    <w:abstractNumId w:val="10"/>
  </w:num>
  <w:num w:numId="10">
    <w:abstractNumId w:val="1"/>
  </w:num>
  <w:num w:numId="11">
    <w:abstractNumId w:val="16"/>
  </w:num>
  <w:num w:numId="12">
    <w:abstractNumId w:val="12"/>
  </w:num>
  <w:num w:numId="13">
    <w:abstractNumId w:val="5"/>
  </w:num>
  <w:num w:numId="14">
    <w:abstractNumId w:val="6"/>
  </w:num>
  <w:num w:numId="15">
    <w:abstractNumId w:val="13"/>
  </w:num>
  <w:num w:numId="16">
    <w:abstractNumId w:val="15"/>
  </w:num>
  <w:num w:numId="17">
    <w:abstractNumId w:val="11"/>
  </w:num>
  <w:num w:numId="18">
    <w:abstractNumId w:val="3"/>
  </w:num>
  <w:num w:numId="19">
    <w:abstractNumId w:val="8"/>
  </w:num>
  <w:num w:numId="20">
    <w:abstractNumId w:val="8"/>
    <w:lvlOverride w:ilvl="0">
      <w:startOverride w:val="1"/>
    </w:lvlOverride>
  </w:num>
  <w:num w:numId="21">
    <w:abstractNumId w:val="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4734"/>
    <w:rsid w:val="00006B22"/>
    <w:rsid w:val="0001276A"/>
    <w:rsid w:val="000246AE"/>
    <w:rsid w:val="00025C67"/>
    <w:rsid w:val="00032FF2"/>
    <w:rsid w:val="0003306D"/>
    <w:rsid w:val="00037A4C"/>
    <w:rsid w:val="00044669"/>
    <w:rsid w:val="00046C09"/>
    <w:rsid w:val="00055129"/>
    <w:rsid w:val="000554B4"/>
    <w:rsid w:val="0005559E"/>
    <w:rsid w:val="00061E51"/>
    <w:rsid w:val="00063028"/>
    <w:rsid w:val="00077775"/>
    <w:rsid w:val="00090471"/>
    <w:rsid w:val="000904AB"/>
    <w:rsid w:val="000958DF"/>
    <w:rsid w:val="0009604B"/>
    <w:rsid w:val="000A0965"/>
    <w:rsid w:val="000A2016"/>
    <w:rsid w:val="000A5866"/>
    <w:rsid w:val="000B0A5D"/>
    <w:rsid w:val="000B3532"/>
    <w:rsid w:val="000B3A75"/>
    <w:rsid w:val="000B7084"/>
    <w:rsid w:val="000C1C08"/>
    <w:rsid w:val="000C38E2"/>
    <w:rsid w:val="000C5A31"/>
    <w:rsid w:val="000D391B"/>
    <w:rsid w:val="000D3AD6"/>
    <w:rsid w:val="000D3D6D"/>
    <w:rsid w:val="000D4FC7"/>
    <w:rsid w:val="000F4869"/>
    <w:rsid w:val="000F5B42"/>
    <w:rsid w:val="000F6E6F"/>
    <w:rsid w:val="000F755D"/>
    <w:rsid w:val="001003F2"/>
    <w:rsid w:val="0010601F"/>
    <w:rsid w:val="00107378"/>
    <w:rsid w:val="00110A1B"/>
    <w:rsid w:val="00110EA5"/>
    <w:rsid w:val="001119DF"/>
    <w:rsid w:val="00113E96"/>
    <w:rsid w:val="00115240"/>
    <w:rsid w:val="00125091"/>
    <w:rsid w:val="00125318"/>
    <w:rsid w:val="00127C20"/>
    <w:rsid w:val="001305A2"/>
    <w:rsid w:val="00132294"/>
    <w:rsid w:val="00133238"/>
    <w:rsid w:val="00134665"/>
    <w:rsid w:val="00140FE3"/>
    <w:rsid w:val="0014197B"/>
    <w:rsid w:val="001447CD"/>
    <w:rsid w:val="001516B1"/>
    <w:rsid w:val="001525B4"/>
    <w:rsid w:val="00153E59"/>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C6A33"/>
    <w:rsid w:val="001D480A"/>
    <w:rsid w:val="001D6386"/>
    <w:rsid w:val="001E0113"/>
    <w:rsid w:val="001E07CF"/>
    <w:rsid w:val="001E59F1"/>
    <w:rsid w:val="001E636E"/>
    <w:rsid w:val="001F49EB"/>
    <w:rsid w:val="001F6CBA"/>
    <w:rsid w:val="001F78B9"/>
    <w:rsid w:val="00201D4E"/>
    <w:rsid w:val="00204F19"/>
    <w:rsid w:val="00207515"/>
    <w:rsid w:val="00210109"/>
    <w:rsid w:val="00211C7B"/>
    <w:rsid w:val="00220B8A"/>
    <w:rsid w:val="002232C2"/>
    <w:rsid w:val="002257F3"/>
    <w:rsid w:val="002302EC"/>
    <w:rsid w:val="002303B0"/>
    <w:rsid w:val="002314E8"/>
    <w:rsid w:val="0023227D"/>
    <w:rsid w:val="00233456"/>
    <w:rsid w:val="0023397F"/>
    <w:rsid w:val="002339A5"/>
    <w:rsid w:val="002368DB"/>
    <w:rsid w:val="002452E7"/>
    <w:rsid w:val="00245F98"/>
    <w:rsid w:val="00246194"/>
    <w:rsid w:val="002538AE"/>
    <w:rsid w:val="002541E7"/>
    <w:rsid w:val="00257138"/>
    <w:rsid w:val="00257848"/>
    <w:rsid w:val="0027084A"/>
    <w:rsid w:val="00271109"/>
    <w:rsid w:val="00277EF5"/>
    <w:rsid w:val="00286434"/>
    <w:rsid w:val="00286C59"/>
    <w:rsid w:val="00293CC1"/>
    <w:rsid w:val="002942D1"/>
    <w:rsid w:val="002A0556"/>
    <w:rsid w:val="002A297A"/>
    <w:rsid w:val="002A3A93"/>
    <w:rsid w:val="002B0C2E"/>
    <w:rsid w:val="002B1638"/>
    <w:rsid w:val="002B2418"/>
    <w:rsid w:val="002B706C"/>
    <w:rsid w:val="002C1D7D"/>
    <w:rsid w:val="002C2511"/>
    <w:rsid w:val="002D1EDF"/>
    <w:rsid w:val="002D65F4"/>
    <w:rsid w:val="002E4C9A"/>
    <w:rsid w:val="002E785A"/>
    <w:rsid w:val="002F11F8"/>
    <w:rsid w:val="002F3F56"/>
    <w:rsid w:val="002F44B5"/>
    <w:rsid w:val="00311AC0"/>
    <w:rsid w:val="003204DD"/>
    <w:rsid w:val="003214DD"/>
    <w:rsid w:val="00331DBB"/>
    <w:rsid w:val="00332680"/>
    <w:rsid w:val="0033604B"/>
    <w:rsid w:val="00336CBA"/>
    <w:rsid w:val="003435ED"/>
    <w:rsid w:val="00350194"/>
    <w:rsid w:val="003521E8"/>
    <w:rsid w:val="00357209"/>
    <w:rsid w:val="00365DDD"/>
    <w:rsid w:val="003664BF"/>
    <w:rsid w:val="00367D48"/>
    <w:rsid w:val="00370BEA"/>
    <w:rsid w:val="00371400"/>
    <w:rsid w:val="003728F3"/>
    <w:rsid w:val="00384CBD"/>
    <w:rsid w:val="00390900"/>
    <w:rsid w:val="003A13F0"/>
    <w:rsid w:val="003A27D8"/>
    <w:rsid w:val="003A35BD"/>
    <w:rsid w:val="003B00C5"/>
    <w:rsid w:val="003B376C"/>
    <w:rsid w:val="003B443E"/>
    <w:rsid w:val="003B5A64"/>
    <w:rsid w:val="003B7E39"/>
    <w:rsid w:val="003C30DC"/>
    <w:rsid w:val="003C58DC"/>
    <w:rsid w:val="003C5F77"/>
    <w:rsid w:val="003C7461"/>
    <w:rsid w:val="003D0CD9"/>
    <w:rsid w:val="003E3208"/>
    <w:rsid w:val="003E3D34"/>
    <w:rsid w:val="003E7EAA"/>
    <w:rsid w:val="003F0B04"/>
    <w:rsid w:val="003F6F7D"/>
    <w:rsid w:val="0040134E"/>
    <w:rsid w:val="004065F5"/>
    <w:rsid w:val="00410839"/>
    <w:rsid w:val="0041452B"/>
    <w:rsid w:val="00415ADE"/>
    <w:rsid w:val="004169A8"/>
    <w:rsid w:val="004305CC"/>
    <w:rsid w:val="00432A90"/>
    <w:rsid w:val="00434539"/>
    <w:rsid w:val="00440A2D"/>
    <w:rsid w:val="004414E4"/>
    <w:rsid w:val="00455A6F"/>
    <w:rsid w:val="004564A7"/>
    <w:rsid w:val="004575C9"/>
    <w:rsid w:val="004617BF"/>
    <w:rsid w:val="004634F1"/>
    <w:rsid w:val="00465E90"/>
    <w:rsid w:val="0047772E"/>
    <w:rsid w:val="00477BB1"/>
    <w:rsid w:val="004923FF"/>
    <w:rsid w:val="00494E60"/>
    <w:rsid w:val="00496BAC"/>
    <w:rsid w:val="004A7E67"/>
    <w:rsid w:val="004B4CB5"/>
    <w:rsid w:val="004B5A6B"/>
    <w:rsid w:val="004B7B76"/>
    <w:rsid w:val="004C0070"/>
    <w:rsid w:val="004C2E29"/>
    <w:rsid w:val="004C7017"/>
    <w:rsid w:val="004D3B35"/>
    <w:rsid w:val="004D51A6"/>
    <w:rsid w:val="004F0ECE"/>
    <w:rsid w:val="004F0F38"/>
    <w:rsid w:val="004F1A46"/>
    <w:rsid w:val="004F4D12"/>
    <w:rsid w:val="004F5D80"/>
    <w:rsid w:val="00501921"/>
    <w:rsid w:val="00511904"/>
    <w:rsid w:val="00515128"/>
    <w:rsid w:val="00522A0C"/>
    <w:rsid w:val="005234E9"/>
    <w:rsid w:val="0052400E"/>
    <w:rsid w:val="0052506C"/>
    <w:rsid w:val="00530354"/>
    <w:rsid w:val="00531B11"/>
    <w:rsid w:val="005434C6"/>
    <w:rsid w:val="00543B39"/>
    <w:rsid w:val="0054583D"/>
    <w:rsid w:val="005477E7"/>
    <w:rsid w:val="00550096"/>
    <w:rsid w:val="005500E6"/>
    <w:rsid w:val="00550ED7"/>
    <w:rsid w:val="0055532D"/>
    <w:rsid w:val="00557674"/>
    <w:rsid w:val="00557FF9"/>
    <w:rsid w:val="00564DD6"/>
    <w:rsid w:val="00576378"/>
    <w:rsid w:val="00577279"/>
    <w:rsid w:val="00577E38"/>
    <w:rsid w:val="00585322"/>
    <w:rsid w:val="00593AD1"/>
    <w:rsid w:val="00594D03"/>
    <w:rsid w:val="00597877"/>
    <w:rsid w:val="005A1131"/>
    <w:rsid w:val="005A61CE"/>
    <w:rsid w:val="005C5570"/>
    <w:rsid w:val="005C79A4"/>
    <w:rsid w:val="005D415C"/>
    <w:rsid w:val="005D4EA1"/>
    <w:rsid w:val="005D5442"/>
    <w:rsid w:val="005E6592"/>
    <w:rsid w:val="00611B57"/>
    <w:rsid w:val="00617EAC"/>
    <w:rsid w:val="006239CD"/>
    <w:rsid w:val="006367ED"/>
    <w:rsid w:val="00640190"/>
    <w:rsid w:val="006405A9"/>
    <w:rsid w:val="00640FC3"/>
    <w:rsid w:val="00642020"/>
    <w:rsid w:val="006501A1"/>
    <w:rsid w:val="00651C87"/>
    <w:rsid w:val="0065337B"/>
    <w:rsid w:val="00653FBF"/>
    <w:rsid w:val="0065419D"/>
    <w:rsid w:val="00656E46"/>
    <w:rsid w:val="006604D8"/>
    <w:rsid w:val="00664A5B"/>
    <w:rsid w:val="00665F8C"/>
    <w:rsid w:val="00667942"/>
    <w:rsid w:val="00667B4F"/>
    <w:rsid w:val="00680C08"/>
    <w:rsid w:val="00683517"/>
    <w:rsid w:val="0068741A"/>
    <w:rsid w:val="006874C6"/>
    <w:rsid w:val="00691723"/>
    <w:rsid w:val="006931B1"/>
    <w:rsid w:val="00693CDB"/>
    <w:rsid w:val="006A15C0"/>
    <w:rsid w:val="006A4F46"/>
    <w:rsid w:val="006A554F"/>
    <w:rsid w:val="006A6EF4"/>
    <w:rsid w:val="006B188D"/>
    <w:rsid w:val="006C1F3B"/>
    <w:rsid w:val="006C3E2A"/>
    <w:rsid w:val="006C626D"/>
    <w:rsid w:val="006C642F"/>
    <w:rsid w:val="006C6EDB"/>
    <w:rsid w:val="006C79CF"/>
    <w:rsid w:val="006C7A9E"/>
    <w:rsid w:val="006D039E"/>
    <w:rsid w:val="006D03E5"/>
    <w:rsid w:val="006D0C3B"/>
    <w:rsid w:val="006D5D3E"/>
    <w:rsid w:val="006E08B3"/>
    <w:rsid w:val="006E2B07"/>
    <w:rsid w:val="006E5AB4"/>
    <w:rsid w:val="006E7324"/>
    <w:rsid w:val="006F572E"/>
    <w:rsid w:val="007046D6"/>
    <w:rsid w:val="00705DB0"/>
    <w:rsid w:val="00706AFE"/>
    <w:rsid w:val="00725A8B"/>
    <w:rsid w:val="00726413"/>
    <w:rsid w:val="007270E6"/>
    <w:rsid w:val="00727926"/>
    <w:rsid w:val="007311E4"/>
    <w:rsid w:val="00737CFE"/>
    <w:rsid w:val="0074066C"/>
    <w:rsid w:val="00742004"/>
    <w:rsid w:val="0074253D"/>
    <w:rsid w:val="0074429B"/>
    <w:rsid w:val="007477F8"/>
    <w:rsid w:val="00753996"/>
    <w:rsid w:val="007615BC"/>
    <w:rsid w:val="00762F05"/>
    <w:rsid w:val="00763336"/>
    <w:rsid w:val="007637DE"/>
    <w:rsid w:val="007647A9"/>
    <w:rsid w:val="00764EB9"/>
    <w:rsid w:val="007652FF"/>
    <w:rsid w:val="00766F39"/>
    <w:rsid w:val="00771329"/>
    <w:rsid w:val="00773EF7"/>
    <w:rsid w:val="00774E1D"/>
    <w:rsid w:val="0077675A"/>
    <w:rsid w:val="00780355"/>
    <w:rsid w:val="00785721"/>
    <w:rsid w:val="00793A59"/>
    <w:rsid w:val="007A2162"/>
    <w:rsid w:val="007A2295"/>
    <w:rsid w:val="007B302B"/>
    <w:rsid w:val="007B43ED"/>
    <w:rsid w:val="007B4BF9"/>
    <w:rsid w:val="007C0F3D"/>
    <w:rsid w:val="007C1AF7"/>
    <w:rsid w:val="007C7A6D"/>
    <w:rsid w:val="007C7B5B"/>
    <w:rsid w:val="007D354E"/>
    <w:rsid w:val="007E0377"/>
    <w:rsid w:val="007E78B8"/>
    <w:rsid w:val="007E7BF8"/>
    <w:rsid w:val="007F2FF0"/>
    <w:rsid w:val="00805954"/>
    <w:rsid w:val="00810598"/>
    <w:rsid w:val="00811166"/>
    <w:rsid w:val="00813773"/>
    <w:rsid w:val="00814492"/>
    <w:rsid w:val="008151EA"/>
    <w:rsid w:val="00821776"/>
    <w:rsid w:val="00824539"/>
    <w:rsid w:val="00824757"/>
    <w:rsid w:val="00826007"/>
    <w:rsid w:val="008321F5"/>
    <w:rsid w:val="00832369"/>
    <w:rsid w:val="00834660"/>
    <w:rsid w:val="00834C8E"/>
    <w:rsid w:val="00836BC2"/>
    <w:rsid w:val="0084156C"/>
    <w:rsid w:val="0084580B"/>
    <w:rsid w:val="00845BCA"/>
    <w:rsid w:val="00845C2B"/>
    <w:rsid w:val="0085162D"/>
    <w:rsid w:val="00853C8F"/>
    <w:rsid w:val="0085641B"/>
    <w:rsid w:val="00857136"/>
    <w:rsid w:val="00870B12"/>
    <w:rsid w:val="008752CE"/>
    <w:rsid w:val="00875832"/>
    <w:rsid w:val="008821AA"/>
    <w:rsid w:val="008855B8"/>
    <w:rsid w:val="00891223"/>
    <w:rsid w:val="008932F3"/>
    <w:rsid w:val="00896018"/>
    <w:rsid w:val="008A07FF"/>
    <w:rsid w:val="008A2B9D"/>
    <w:rsid w:val="008A4942"/>
    <w:rsid w:val="008A5E0B"/>
    <w:rsid w:val="008A5E18"/>
    <w:rsid w:val="008A6D59"/>
    <w:rsid w:val="008B2D31"/>
    <w:rsid w:val="008B3754"/>
    <w:rsid w:val="008B4B03"/>
    <w:rsid w:val="008B596F"/>
    <w:rsid w:val="008C159F"/>
    <w:rsid w:val="008C1623"/>
    <w:rsid w:val="008C4ED5"/>
    <w:rsid w:val="008C51A9"/>
    <w:rsid w:val="008C56D9"/>
    <w:rsid w:val="008D2B09"/>
    <w:rsid w:val="008D4740"/>
    <w:rsid w:val="008E7B83"/>
    <w:rsid w:val="008F0230"/>
    <w:rsid w:val="008F1CCC"/>
    <w:rsid w:val="008F2967"/>
    <w:rsid w:val="008F407A"/>
    <w:rsid w:val="008F7828"/>
    <w:rsid w:val="0090354E"/>
    <w:rsid w:val="00907ACE"/>
    <w:rsid w:val="00907F7B"/>
    <w:rsid w:val="00920330"/>
    <w:rsid w:val="00920FF4"/>
    <w:rsid w:val="009219D7"/>
    <w:rsid w:val="00922D53"/>
    <w:rsid w:val="00923B70"/>
    <w:rsid w:val="00925DC5"/>
    <w:rsid w:val="0092600B"/>
    <w:rsid w:val="00930237"/>
    <w:rsid w:val="00934397"/>
    <w:rsid w:val="009401F6"/>
    <w:rsid w:val="00940F44"/>
    <w:rsid w:val="00941988"/>
    <w:rsid w:val="00945E67"/>
    <w:rsid w:val="00952562"/>
    <w:rsid w:val="00963C08"/>
    <w:rsid w:val="00966C72"/>
    <w:rsid w:val="0097097F"/>
    <w:rsid w:val="00976CE6"/>
    <w:rsid w:val="00987184"/>
    <w:rsid w:val="00997420"/>
    <w:rsid w:val="009A09AA"/>
    <w:rsid w:val="009A474D"/>
    <w:rsid w:val="009A4CED"/>
    <w:rsid w:val="009B15F1"/>
    <w:rsid w:val="009B1D12"/>
    <w:rsid w:val="009B416B"/>
    <w:rsid w:val="009C4BD5"/>
    <w:rsid w:val="009D2E04"/>
    <w:rsid w:val="009D7B77"/>
    <w:rsid w:val="009E0BB0"/>
    <w:rsid w:val="009E135E"/>
    <w:rsid w:val="009E3FBB"/>
    <w:rsid w:val="009E71F4"/>
    <w:rsid w:val="009F018D"/>
    <w:rsid w:val="009F7D61"/>
    <w:rsid w:val="00A052B5"/>
    <w:rsid w:val="00A05AEF"/>
    <w:rsid w:val="00A1235B"/>
    <w:rsid w:val="00A14DF7"/>
    <w:rsid w:val="00A23F3C"/>
    <w:rsid w:val="00A3246D"/>
    <w:rsid w:val="00A32541"/>
    <w:rsid w:val="00A3654F"/>
    <w:rsid w:val="00A36FA7"/>
    <w:rsid w:val="00A475B7"/>
    <w:rsid w:val="00A47AF7"/>
    <w:rsid w:val="00A47C3E"/>
    <w:rsid w:val="00A50226"/>
    <w:rsid w:val="00A535B4"/>
    <w:rsid w:val="00A539AC"/>
    <w:rsid w:val="00A56488"/>
    <w:rsid w:val="00A60BAD"/>
    <w:rsid w:val="00A64387"/>
    <w:rsid w:val="00A735C3"/>
    <w:rsid w:val="00A736F3"/>
    <w:rsid w:val="00A73A8D"/>
    <w:rsid w:val="00A84503"/>
    <w:rsid w:val="00A85B04"/>
    <w:rsid w:val="00A87334"/>
    <w:rsid w:val="00A96C7F"/>
    <w:rsid w:val="00AA40A7"/>
    <w:rsid w:val="00AB6F47"/>
    <w:rsid w:val="00AC2B40"/>
    <w:rsid w:val="00AC2BB2"/>
    <w:rsid w:val="00AC2C3C"/>
    <w:rsid w:val="00AC3BD9"/>
    <w:rsid w:val="00AC62E7"/>
    <w:rsid w:val="00AC7EB0"/>
    <w:rsid w:val="00AD4DB4"/>
    <w:rsid w:val="00AE0320"/>
    <w:rsid w:val="00AE440C"/>
    <w:rsid w:val="00AE65EB"/>
    <w:rsid w:val="00AF1D94"/>
    <w:rsid w:val="00AF60C5"/>
    <w:rsid w:val="00B009C6"/>
    <w:rsid w:val="00B01548"/>
    <w:rsid w:val="00B06210"/>
    <w:rsid w:val="00B10C03"/>
    <w:rsid w:val="00B17F66"/>
    <w:rsid w:val="00B21D29"/>
    <w:rsid w:val="00B21FC5"/>
    <w:rsid w:val="00B21FEE"/>
    <w:rsid w:val="00B22ADD"/>
    <w:rsid w:val="00B22D6F"/>
    <w:rsid w:val="00B25034"/>
    <w:rsid w:val="00B33863"/>
    <w:rsid w:val="00B37D17"/>
    <w:rsid w:val="00B40C62"/>
    <w:rsid w:val="00B4175E"/>
    <w:rsid w:val="00B510E1"/>
    <w:rsid w:val="00B541B7"/>
    <w:rsid w:val="00B5427F"/>
    <w:rsid w:val="00B54C25"/>
    <w:rsid w:val="00B600DA"/>
    <w:rsid w:val="00B64F68"/>
    <w:rsid w:val="00B76B91"/>
    <w:rsid w:val="00B85772"/>
    <w:rsid w:val="00B92C72"/>
    <w:rsid w:val="00BA6FF1"/>
    <w:rsid w:val="00BB0909"/>
    <w:rsid w:val="00BB6529"/>
    <w:rsid w:val="00BC1CAB"/>
    <w:rsid w:val="00BC5879"/>
    <w:rsid w:val="00BC61AE"/>
    <w:rsid w:val="00BC622A"/>
    <w:rsid w:val="00BD6F8A"/>
    <w:rsid w:val="00BE0A78"/>
    <w:rsid w:val="00BE79F0"/>
    <w:rsid w:val="00BF046D"/>
    <w:rsid w:val="00BF5D04"/>
    <w:rsid w:val="00C13563"/>
    <w:rsid w:val="00C20DC3"/>
    <w:rsid w:val="00C212DF"/>
    <w:rsid w:val="00C339C6"/>
    <w:rsid w:val="00C404A6"/>
    <w:rsid w:val="00C40A36"/>
    <w:rsid w:val="00C44419"/>
    <w:rsid w:val="00C45E7B"/>
    <w:rsid w:val="00C471B1"/>
    <w:rsid w:val="00C52BEE"/>
    <w:rsid w:val="00C604BE"/>
    <w:rsid w:val="00C6316B"/>
    <w:rsid w:val="00C634A9"/>
    <w:rsid w:val="00C651CD"/>
    <w:rsid w:val="00C7119C"/>
    <w:rsid w:val="00C721A5"/>
    <w:rsid w:val="00C73D6C"/>
    <w:rsid w:val="00C772FF"/>
    <w:rsid w:val="00C77BC8"/>
    <w:rsid w:val="00C801AF"/>
    <w:rsid w:val="00C80256"/>
    <w:rsid w:val="00C83227"/>
    <w:rsid w:val="00C8758C"/>
    <w:rsid w:val="00C910CD"/>
    <w:rsid w:val="00CA77CC"/>
    <w:rsid w:val="00CB1FAA"/>
    <w:rsid w:val="00CB6BC0"/>
    <w:rsid w:val="00CC1B7C"/>
    <w:rsid w:val="00CC727F"/>
    <w:rsid w:val="00CD1C8D"/>
    <w:rsid w:val="00CD2690"/>
    <w:rsid w:val="00CD2699"/>
    <w:rsid w:val="00CD7871"/>
    <w:rsid w:val="00CE5BB0"/>
    <w:rsid w:val="00CE6FBD"/>
    <w:rsid w:val="00CF15C3"/>
    <w:rsid w:val="00CF2B6F"/>
    <w:rsid w:val="00CF2F55"/>
    <w:rsid w:val="00CF3409"/>
    <w:rsid w:val="00CF6636"/>
    <w:rsid w:val="00D017ED"/>
    <w:rsid w:val="00D06340"/>
    <w:rsid w:val="00D153B1"/>
    <w:rsid w:val="00D20871"/>
    <w:rsid w:val="00D224FE"/>
    <w:rsid w:val="00D22695"/>
    <w:rsid w:val="00D229BA"/>
    <w:rsid w:val="00D25C52"/>
    <w:rsid w:val="00D26B84"/>
    <w:rsid w:val="00D318BC"/>
    <w:rsid w:val="00D433BD"/>
    <w:rsid w:val="00D52AB5"/>
    <w:rsid w:val="00D5616E"/>
    <w:rsid w:val="00D60ACA"/>
    <w:rsid w:val="00D634FE"/>
    <w:rsid w:val="00D6493E"/>
    <w:rsid w:val="00D70CCB"/>
    <w:rsid w:val="00D85AC0"/>
    <w:rsid w:val="00D86F56"/>
    <w:rsid w:val="00D87FB2"/>
    <w:rsid w:val="00D94D4D"/>
    <w:rsid w:val="00DA1124"/>
    <w:rsid w:val="00DA1DEF"/>
    <w:rsid w:val="00DA3043"/>
    <w:rsid w:val="00DA7ED7"/>
    <w:rsid w:val="00DC0108"/>
    <w:rsid w:val="00DD11BE"/>
    <w:rsid w:val="00DD4C9F"/>
    <w:rsid w:val="00DD7508"/>
    <w:rsid w:val="00DD75A3"/>
    <w:rsid w:val="00DD7A91"/>
    <w:rsid w:val="00DE02AE"/>
    <w:rsid w:val="00DE6A0C"/>
    <w:rsid w:val="00DE6C04"/>
    <w:rsid w:val="00DE75AC"/>
    <w:rsid w:val="00DF1D7F"/>
    <w:rsid w:val="00DF7C06"/>
    <w:rsid w:val="00E02FB4"/>
    <w:rsid w:val="00E1340C"/>
    <w:rsid w:val="00E1688D"/>
    <w:rsid w:val="00E20571"/>
    <w:rsid w:val="00E21651"/>
    <w:rsid w:val="00E22FEE"/>
    <w:rsid w:val="00E235F7"/>
    <w:rsid w:val="00E239D4"/>
    <w:rsid w:val="00E32326"/>
    <w:rsid w:val="00E37CE9"/>
    <w:rsid w:val="00E40B22"/>
    <w:rsid w:val="00E441CB"/>
    <w:rsid w:val="00E4588F"/>
    <w:rsid w:val="00E46DA3"/>
    <w:rsid w:val="00E50F8F"/>
    <w:rsid w:val="00E51164"/>
    <w:rsid w:val="00E627C0"/>
    <w:rsid w:val="00E76535"/>
    <w:rsid w:val="00E8120B"/>
    <w:rsid w:val="00E925BA"/>
    <w:rsid w:val="00E9352F"/>
    <w:rsid w:val="00E94E48"/>
    <w:rsid w:val="00EA16DE"/>
    <w:rsid w:val="00EA406B"/>
    <w:rsid w:val="00EA453A"/>
    <w:rsid w:val="00EA666D"/>
    <w:rsid w:val="00EB0798"/>
    <w:rsid w:val="00EB182C"/>
    <w:rsid w:val="00EB19F8"/>
    <w:rsid w:val="00EB1DA5"/>
    <w:rsid w:val="00EB40AD"/>
    <w:rsid w:val="00EB586E"/>
    <w:rsid w:val="00EB5FC8"/>
    <w:rsid w:val="00EC1271"/>
    <w:rsid w:val="00EC6266"/>
    <w:rsid w:val="00ED0C8B"/>
    <w:rsid w:val="00ED5A41"/>
    <w:rsid w:val="00EE1482"/>
    <w:rsid w:val="00EE255A"/>
    <w:rsid w:val="00EF0EAB"/>
    <w:rsid w:val="00EF47F3"/>
    <w:rsid w:val="00EF578B"/>
    <w:rsid w:val="00F033EC"/>
    <w:rsid w:val="00F04F68"/>
    <w:rsid w:val="00F05542"/>
    <w:rsid w:val="00F0627D"/>
    <w:rsid w:val="00F11A17"/>
    <w:rsid w:val="00F12670"/>
    <w:rsid w:val="00F14B27"/>
    <w:rsid w:val="00F202AB"/>
    <w:rsid w:val="00F3148D"/>
    <w:rsid w:val="00F3255D"/>
    <w:rsid w:val="00F33ED9"/>
    <w:rsid w:val="00F350D4"/>
    <w:rsid w:val="00F35298"/>
    <w:rsid w:val="00F3529E"/>
    <w:rsid w:val="00F36C32"/>
    <w:rsid w:val="00F40A33"/>
    <w:rsid w:val="00F40F73"/>
    <w:rsid w:val="00F4305F"/>
    <w:rsid w:val="00F44B0D"/>
    <w:rsid w:val="00F4663D"/>
    <w:rsid w:val="00F467A6"/>
    <w:rsid w:val="00F47E37"/>
    <w:rsid w:val="00F623FD"/>
    <w:rsid w:val="00F63C0D"/>
    <w:rsid w:val="00F640B6"/>
    <w:rsid w:val="00F6515E"/>
    <w:rsid w:val="00F670AC"/>
    <w:rsid w:val="00F67B16"/>
    <w:rsid w:val="00F739D1"/>
    <w:rsid w:val="00F80E40"/>
    <w:rsid w:val="00F8365F"/>
    <w:rsid w:val="00F8404D"/>
    <w:rsid w:val="00F87B87"/>
    <w:rsid w:val="00F94792"/>
    <w:rsid w:val="00FA4D6D"/>
    <w:rsid w:val="00FA5B82"/>
    <w:rsid w:val="00FA639E"/>
    <w:rsid w:val="00FB59CE"/>
    <w:rsid w:val="00FC03C8"/>
    <w:rsid w:val="00FC25E4"/>
    <w:rsid w:val="00FC260C"/>
    <w:rsid w:val="00FC4EF7"/>
    <w:rsid w:val="00FC73FE"/>
    <w:rsid w:val="00FE1941"/>
    <w:rsid w:val="00FE1DEE"/>
    <w:rsid w:val="00FE779B"/>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7F76"/>
  <w15:docId w15:val="{BEC490A8-FF98-4239-B441-4ADAE51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D94D4D"/>
    <w:pPr>
      <w:keepNext/>
      <w:keepLines/>
      <w:pageBreakBefore/>
      <w:numPr>
        <w:numId w:val="7"/>
      </w:numPr>
      <w:spacing w:before="480" w:after="120"/>
      <w:ind w:left="714" w:hanging="714"/>
      <w:outlineLvl w:val="1"/>
    </w:pPr>
    <w:rPr>
      <w:rFonts w:ascii="Arial" w:eastAsia="Times New Roman" w:hAnsi="Arial"/>
      <w:b/>
      <w:bCs/>
      <w:sz w:val="38"/>
      <w:szCs w:val="38"/>
    </w:rPr>
  </w:style>
  <w:style w:type="paragraph" w:styleId="Heading3">
    <w:name w:val="heading 3"/>
    <w:basedOn w:val="Normal"/>
    <w:next w:val="Normal"/>
    <w:link w:val="Heading3Char"/>
    <w:qFormat/>
    <w:rsid w:val="00D94D4D"/>
    <w:pPr>
      <w:keepNext/>
      <w:keepLines/>
      <w:numPr>
        <w:ilvl w:val="1"/>
        <w:numId w:val="7"/>
      </w:numPr>
      <w:spacing w:before="480" w:after="120"/>
      <w:ind w:left="709" w:hanging="682"/>
      <w:outlineLvl w:val="2"/>
    </w:pPr>
    <w:rPr>
      <w:rFonts w:ascii="Arial" w:eastAsia="Times New Roman" w:hAnsi="Arial"/>
      <w:b/>
      <w:bCs/>
      <w:sz w:val="32"/>
      <w:szCs w:val="32"/>
    </w:rPr>
  </w:style>
  <w:style w:type="paragraph" w:styleId="Heading4">
    <w:name w:val="heading 4"/>
    <w:basedOn w:val="Normal"/>
    <w:next w:val="Normal"/>
    <w:link w:val="Heading4Char"/>
    <w:qFormat/>
    <w:rsid w:val="00D94D4D"/>
    <w:pPr>
      <w:keepNext/>
      <w:keepLines/>
      <w:spacing w:before="360" w:after="120"/>
      <w:outlineLvl w:val="3"/>
    </w:pPr>
    <w:rPr>
      <w:rFonts w:eastAsia="Times New Roman"/>
      <w:b/>
      <w:bCs/>
      <w:i/>
      <w:color w:val="001523"/>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D94D4D"/>
    <w:rPr>
      <w:rFonts w:ascii="Arial" w:eastAsia="Times New Roman" w:hAnsi="Arial"/>
      <w:b/>
      <w:bCs/>
      <w:sz w:val="38"/>
      <w:szCs w:val="38"/>
      <w:lang w:eastAsia="en-US"/>
    </w:rPr>
  </w:style>
  <w:style w:type="character" w:customStyle="1" w:styleId="Heading3Char">
    <w:name w:val="Heading 3 Char"/>
    <w:basedOn w:val="DefaultParagraphFont"/>
    <w:link w:val="Heading3"/>
    <w:rsid w:val="00D94D4D"/>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D94D4D"/>
    <w:rPr>
      <w:rFonts w:eastAsia="Times New Roman"/>
      <w:b/>
      <w:bCs/>
      <w:i/>
      <w:color w:val="001523"/>
      <w:sz w:val="22"/>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B22D6F"/>
    <w:pPr>
      <w:numPr>
        <w:ilvl w:val="0"/>
        <w:numId w:val="8"/>
      </w:numPr>
      <w:ind w:left="709"/>
    </w:pPr>
    <w:rPr>
      <w:i/>
    </w:r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D94D4D"/>
    <w:pPr>
      <w:keepLines/>
      <w:spacing w:before="0" w:after="0" w:line="240" w:lineRule="auto"/>
    </w:pPr>
    <w:rPr>
      <w:sz w:val="16"/>
    </w:rPr>
  </w:style>
  <w:style w:type="character" w:customStyle="1" w:styleId="FootnoteTextChar">
    <w:name w:val="Footnote Text Char"/>
    <w:basedOn w:val="DefaultParagraphFont"/>
    <w:link w:val="FootnoteText"/>
    <w:uiPriority w:val="99"/>
    <w:rsid w:val="00D94D4D"/>
    <w:rPr>
      <w:sz w:val="16"/>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0113"/>
    <w:pPr>
      <w:ind w:left="720"/>
      <w:contextualSpacing/>
    </w:pPr>
  </w:style>
  <w:style w:type="character" w:styleId="UnresolvedMention">
    <w:name w:val="Unresolved Mention"/>
    <w:basedOn w:val="DefaultParagraphFont"/>
    <w:uiPriority w:val="99"/>
    <w:semiHidden/>
    <w:unhideWhenUsed/>
    <w:rsid w:val="00550ED7"/>
    <w:rPr>
      <w:color w:val="605E5C"/>
      <w:shd w:val="clear" w:color="auto" w:fill="E1DFDD"/>
    </w:rPr>
  </w:style>
  <w:style w:type="paragraph" w:customStyle="1" w:styleId="Numberbulleti">
    <w:name w:val="Number bullet i)"/>
    <w:basedOn w:val="Numberbullet2"/>
    <w:qFormat/>
    <w:rsid w:val="00656E46"/>
    <w:pPr>
      <w:numPr>
        <w:numId w:val="11"/>
      </w:numPr>
    </w:pPr>
    <w:rPr>
      <w:i w:val="0"/>
    </w:rPr>
  </w:style>
  <w:style w:type="paragraph" w:customStyle="1" w:styleId="Numberbulleta">
    <w:name w:val="Number bullet a)"/>
    <w:basedOn w:val="Numberbullet2"/>
    <w:qFormat/>
    <w:rsid w:val="00D94D4D"/>
    <w:pPr>
      <w:numPr>
        <w:numId w:val="19"/>
      </w:numPr>
      <w:ind w:left="426" w:hanging="426"/>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health.gov.au/tga/june_2021_acms_interim" TargetMode="External"/><Relationship Id="rId18" Type="http://schemas.openxmlformats.org/officeDocument/2006/relationships/hyperlink" Target="https://www.tga.gov.au/sites/default/files/consultation-proposed-amendments-poisons-standard-acms-34-june-2021.pdf" TargetMode="External"/><Relationship Id="rId26" Type="http://schemas.openxmlformats.org/officeDocument/2006/relationships/hyperlink" Target="https://www.tga.gov.au/publication/scheduling-handbook-guidance-amending-poisons-standard" TargetMode="External"/><Relationship Id="rId3" Type="http://schemas.openxmlformats.org/officeDocument/2006/relationships/styles" Target="styles.xml"/><Relationship Id="rId21" Type="http://schemas.openxmlformats.org/officeDocument/2006/relationships/hyperlink" Target="https://www.tga.gov.au/consultation-invitation/consultation-proposed-amendments-poisons-standard-acms-accs-and-joint-acmsaccs-meetings-november-202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consultations.health.gov.au/tga/june_2021_acms/" TargetMode="External"/><Relationship Id="rId25" Type="http://schemas.openxmlformats.org/officeDocument/2006/relationships/hyperlink" Target="https://www.tga.gov.au/publication/ahmac-scheduling-policy-framework-medicines-and-chemical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ga.gov.au/sites/default/files/consultation-proposed-amendments-poisons-standard-acms-34-june-2021.pdf" TargetMode="External"/><Relationship Id="rId20" Type="http://schemas.openxmlformats.org/officeDocument/2006/relationships/hyperlink" Target="https://www.tga.gov.au/publication/scheduling-handbook-guidance-amending-poisons-standard" TargetMode="External"/><Relationship Id="rId29" Type="http://schemas.openxmlformats.org/officeDocument/2006/relationships/hyperlink" Target="https://consultations.health.gov.au/tga/june_2021_ac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ites/default/files/consultation-proposed-amendments-poisons-standard-acms-34-june-2021.pdf" TargetMode="External"/><Relationship Id="rId32" Type="http://schemas.openxmlformats.org/officeDocument/2006/relationships/hyperlink" Target="https://www.tga.gov.au/publication/scheduling-handbook-guidance-amending-poisons-standard" TargetMode="External"/><Relationship Id="rId5" Type="http://schemas.openxmlformats.org/officeDocument/2006/relationships/webSettings" Target="webSettings.xml"/><Relationship Id="rId15" Type="http://schemas.openxmlformats.org/officeDocument/2006/relationships/hyperlink" Target="https://www.tga.gov.au/sites/default/files/notice-final-decisions-acms-32-accs-29-joint-acms-accs-26-november-2020-meetings.pdf" TargetMode="External"/><Relationship Id="rId23" Type="http://schemas.openxmlformats.org/officeDocument/2006/relationships/hyperlink" Target="https://consultations.health.gov.au/tga/june_2021_acms/" TargetMode="External"/><Relationship Id="rId28" Type="http://schemas.openxmlformats.org/officeDocument/2006/relationships/hyperlink" Target="Consultation:%20Proposed%20amendments%20to%20the%20Poisons%20Standard%20&#8211;%20ACMS,%20June%202021%20(tga.gov.au)"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publication/ahmac-scheduling-policy-framework-medicines-and-chemicals" TargetMode="External"/><Relationship Id="rId31" Type="http://schemas.openxmlformats.org/officeDocument/2006/relationships/hyperlink" Target="https://www.tga.gov.au/publication/ahmac-scheduling-policy-framework-medicines-and-chemic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nsultation-invitation/consultation-proposed-amendments-poisons-standard-acms-accs-and-joint-acmsaccs-meetings-november-2020" TargetMode="External"/><Relationship Id="rId22" Type="http://schemas.openxmlformats.org/officeDocument/2006/relationships/hyperlink" Target="https://www.tga.gov.au/scheduling-decision-final/notice-final-decisions-acms-32-accs-29-joint-acms-accs-26-november-2020-meetings" TargetMode="External"/><Relationship Id="rId27" Type="http://schemas.openxmlformats.org/officeDocument/2006/relationships/hyperlink" Target="https://www.tga.gov.au/alert/bufexamac" TargetMode="External"/><Relationship Id="rId30" Type="http://schemas.openxmlformats.org/officeDocument/2006/relationships/hyperlink" Target="https://www.tga.gov.au/sites/default/files/consultation-proposed-amendments-poisons-standard-acms-34-june-2021.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ergency.cdc.gov/agent/cyanide/basics/facts.asp" TargetMode="External"/><Relationship Id="rId2" Type="http://schemas.openxmlformats.org/officeDocument/2006/relationships/hyperlink" Target="https://efsa.onlinelibrary.wiley.com/doi/10.2903/j.efsa.2016.4424" TargetMode="External"/><Relationship Id="rId1" Type="http://schemas.openxmlformats.org/officeDocument/2006/relationships/hyperlink" Target="https://efsa.onlinelibrary.wiley.com/doi/10.2903/j.efsa.2016.4424" TargetMode="External"/><Relationship Id="rId4" Type="http://schemas.openxmlformats.org/officeDocument/2006/relationships/hyperlink" Target="https://www.tga.gov.au/alert/bufexamac"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A591-3577-4F6A-AC16-3DA5F437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194</TotalTime>
  <Pages>16</Pages>
  <Words>5718</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 ACMS #34</dc:title>
  <dc:subject>scheduling</dc:subject>
  <dc:creator>Therapeutic Goods Administration</dc:creator>
  <cp:lastModifiedBy>SHEPPARD, Fran</cp:lastModifiedBy>
  <cp:revision>14</cp:revision>
  <cp:lastPrinted>2021-09-29T05:02:00Z</cp:lastPrinted>
  <dcterms:created xsi:type="dcterms:W3CDTF">2021-08-27T08:22:00Z</dcterms:created>
  <dcterms:modified xsi:type="dcterms:W3CDTF">2021-10-06T08:56:00Z</dcterms:modified>
</cp:coreProperties>
</file>