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77777777" w:rsidR="001D480A" w:rsidRPr="009401F6" w:rsidRDefault="001E0113" w:rsidP="00ED0C8B">
            <w:pPr>
              <w:pStyle w:val="Title"/>
            </w:pPr>
            <w:r>
              <w:t>Notice of interim decisions to amend (or not amend) the current Poisons Standard</w:t>
            </w:r>
          </w:p>
        </w:tc>
      </w:tr>
      <w:tr w:rsidR="00ED0C8B" w:rsidRPr="009401F6" w14:paraId="10807413" w14:textId="77777777" w:rsidTr="00ED0C8B">
        <w:trPr>
          <w:trHeight w:val="1387"/>
        </w:trPr>
        <w:tc>
          <w:tcPr>
            <w:tcW w:w="8720" w:type="dxa"/>
          </w:tcPr>
          <w:p w14:paraId="559D5987" w14:textId="420CFC2A" w:rsidR="001D480A" w:rsidRPr="009401F6" w:rsidRDefault="00A60447" w:rsidP="00ED0C8B">
            <w:pPr>
              <w:pStyle w:val="Subtitle"/>
              <w:ind w:left="0"/>
              <w:rPr>
                <w:lang w:eastAsia="en-AU"/>
              </w:rPr>
            </w:pPr>
            <w:r>
              <w:rPr>
                <w:lang w:eastAsia="en-AU"/>
              </w:rPr>
              <w:t>12</w:t>
            </w:r>
            <w:r w:rsidR="00D03BE8">
              <w:rPr>
                <w:lang w:eastAsia="en-AU"/>
              </w:rPr>
              <w:t xml:space="preserve"> October 2021</w:t>
            </w:r>
          </w:p>
        </w:tc>
      </w:tr>
      <w:tr w:rsidR="00ED0C8B" w:rsidRPr="009401F6" w14:paraId="17D9CA74" w14:textId="77777777" w:rsidTr="00ED0C8B">
        <w:tc>
          <w:tcPr>
            <w:tcW w:w="8720" w:type="dxa"/>
          </w:tcPr>
          <w:p w14:paraId="2AF1C330" w14:textId="65A0FBF5"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p>
    <w:p w14:paraId="41EF7E82" w14:textId="77777777" w:rsidR="00BA6FF1" w:rsidRPr="00C721A5" w:rsidRDefault="00BA6FF1" w:rsidP="00FE1941">
      <w:pPr>
        <w:pStyle w:val="LegalSubheading"/>
        <w:pageBreakBefore/>
      </w:pPr>
      <w:r w:rsidRPr="00C721A5">
        <w:lastRenderedPageBreak/>
        <w:t>Copyright</w:t>
      </w:r>
    </w:p>
    <w:p w14:paraId="1BD51453"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004169A8" w:rsidRPr="009401F6">
        <w:t>&gt;</w:t>
      </w:r>
    </w:p>
    <w:p w14:paraId="5879787C" w14:textId="77777777" w:rsidR="008D2B09" w:rsidRPr="00C721A5" w:rsidRDefault="008D2B09" w:rsidP="00611B57">
      <w:pPr>
        <w:pStyle w:val="LegalSubheading"/>
        <w:rPr>
          <w:lang w:eastAsia="en-AU"/>
        </w:rPr>
      </w:pPr>
      <w:r w:rsidRPr="00C721A5">
        <w:rPr>
          <w:lang w:eastAsia="en-AU"/>
        </w:rPr>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4F39C9DC" w14:textId="0133661D" w:rsidR="001411F4"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85029567" w:history="1">
            <w:r w:rsidR="001411F4" w:rsidRPr="002A3639">
              <w:rPr>
                <w:rStyle w:val="Hyperlink"/>
                <w:noProof/>
              </w:rPr>
              <w:t>1.</w:t>
            </w:r>
            <w:r w:rsidR="001411F4">
              <w:rPr>
                <w:rFonts w:asciiTheme="minorHAnsi" w:eastAsiaTheme="minorEastAsia" w:hAnsiTheme="minorHAnsi" w:cstheme="minorBidi"/>
                <w:b w:val="0"/>
                <w:noProof/>
                <w:sz w:val="22"/>
                <w:szCs w:val="22"/>
                <w:lang w:eastAsia="en-AU"/>
              </w:rPr>
              <w:tab/>
            </w:r>
            <w:r w:rsidR="001411F4" w:rsidRPr="002A3639">
              <w:rPr>
                <w:rStyle w:val="Hyperlink"/>
                <w:noProof/>
              </w:rPr>
              <w:t xml:space="preserve">Notice of interim decisions made under Regulation 42ZCZN of the </w:t>
            </w:r>
            <w:r w:rsidR="001411F4" w:rsidRPr="002A3639">
              <w:rPr>
                <w:rStyle w:val="Hyperlink"/>
                <w:i/>
                <w:noProof/>
              </w:rPr>
              <w:t>Therapeutic Goods Regulations 1990</w:t>
            </w:r>
            <w:r w:rsidR="001411F4">
              <w:rPr>
                <w:noProof/>
                <w:webHidden/>
              </w:rPr>
              <w:tab/>
            </w:r>
            <w:r w:rsidR="001411F4">
              <w:rPr>
                <w:noProof/>
                <w:webHidden/>
              </w:rPr>
              <w:fldChar w:fldCharType="begin"/>
            </w:r>
            <w:r w:rsidR="001411F4">
              <w:rPr>
                <w:noProof/>
                <w:webHidden/>
              </w:rPr>
              <w:instrText xml:space="preserve"> PAGEREF _Toc85029567 \h </w:instrText>
            </w:r>
            <w:r w:rsidR="001411F4">
              <w:rPr>
                <w:noProof/>
                <w:webHidden/>
              </w:rPr>
            </w:r>
            <w:r w:rsidR="001411F4">
              <w:rPr>
                <w:noProof/>
                <w:webHidden/>
              </w:rPr>
              <w:fldChar w:fldCharType="separate"/>
            </w:r>
            <w:r w:rsidR="001411F4">
              <w:rPr>
                <w:noProof/>
                <w:webHidden/>
              </w:rPr>
              <w:t>4</w:t>
            </w:r>
            <w:r w:rsidR="001411F4">
              <w:rPr>
                <w:noProof/>
                <w:webHidden/>
              </w:rPr>
              <w:fldChar w:fldCharType="end"/>
            </w:r>
          </w:hyperlink>
        </w:p>
        <w:p w14:paraId="7701ED76" w14:textId="19585CCB" w:rsidR="001411F4" w:rsidRDefault="001411F4">
          <w:pPr>
            <w:pStyle w:val="TOC1"/>
            <w:tabs>
              <w:tab w:val="left" w:pos="851"/>
            </w:tabs>
            <w:rPr>
              <w:rFonts w:asciiTheme="minorHAnsi" w:eastAsiaTheme="minorEastAsia" w:hAnsiTheme="minorHAnsi" w:cstheme="minorBidi"/>
              <w:b w:val="0"/>
              <w:noProof/>
              <w:sz w:val="22"/>
              <w:szCs w:val="22"/>
              <w:lang w:eastAsia="en-AU"/>
            </w:rPr>
          </w:pPr>
          <w:hyperlink w:anchor="_Toc85029568" w:history="1">
            <w:r w:rsidRPr="002A3639">
              <w:rPr>
                <w:rStyle w:val="Hyperlink"/>
                <w:noProof/>
              </w:rPr>
              <w:t>2.</w:t>
            </w:r>
            <w:r>
              <w:rPr>
                <w:rFonts w:asciiTheme="minorHAnsi" w:eastAsiaTheme="minorEastAsia" w:hAnsiTheme="minorHAnsi" w:cstheme="minorBidi"/>
                <w:b w:val="0"/>
                <w:noProof/>
                <w:sz w:val="22"/>
                <w:szCs w:val="22"/>
                <w:lang w:eastAsia="en-AU"/>
              </w:rPr>
              <w:tab/>
            </w:r>
            <w:r w:rsidRPr="002A3639">
              <w:rPr>
                <w:rStyle w:val="Hyperlink"/>
                <w:noProof/>
              </w:rPr>
              <w:t>Interim decision in relation to eugenol</w:t>
            </w:r>
            <w:r>
              <w:rPr>
                <w:noProof/>
                <w:webHidden/>
              </w:rPr>
              <w:tab/>
            </w:r>
            <w:r>
              <w:rPr>
                <w:noProof/>
                <w:webHidden/>
              </w:rPr>
              <w:fldChar w:fldCharType="begin"/>
            </w:r>
            <w:r>
              <w:rPr>
                <w:noProof/>
                <w:webHidden/>
              </w:rPr>
              <w:instrText xml:space="preserve"> PAGEREF _Toc85029568 \h </w:instrText>
            </w:r>
            <w:r>
              <w:rPr>
                <w:noProof/>
                <w:webHidden/>
              </w:rPr>
            </w:r>
            <w:r>
              <w:rPr>
                <w:noProof/>
                <w:webHidden/>
              </w:rPr>
              <w:fldChar w:fldCharType="separate"/>
            </w:r>
            <w:r>
              <w:rPr>
                <w:noProof/>
                <w:webHidden/>
              </w:rPr>
              <w:t>4</w:t>
            </w:r>
            <w:r>
              <w:rPr>
                <w:noProof/>
                <w:webHidden/>
              </w:rPr>
              <w:fldChar w:fldCharType="end"/>
            </w:r>
          </w:hyperlink>
        </w:p>
        <w:p w14:paraId="1FFFC154" w14:textId="01EBA711" w:rsidR="001411F4" w:rsidRDefault="001411F4">
          <w:pPr>
            <w:pStyle w:val="TOC1"/>
            <w:tabs>
              <w:tab w:val="left" w:pos="851"/>
            </w:tabs>
            <w:rPr>
              <w:rFonts w:asciiTheme="minorHAnsi" w:eastAsiaTheme="minorEastAsia" w:hAnsiTheme="minorHAnsi" w:cstheme="minorBidi"/>
              <w:b w:val="0"/>
              <w:noProof/>
              <w:sz w:val="22"/>
              <w:szCs w:val="22"/>
              <w:lang w:eastAsia="en-AU"/>
            </w:rPr>
          </w:pPr>
          <w:hyperlink w:anchor="_Toc85029569" w:history="1">
            <w:r w:rsidRPr="002A3639">
              <w:rPr>
                <w:rStyle w:val="Hyperlink"/>
                <w:noProof/>
              </w:rPr>
              <w:t>3.</w:t>
            </w:r>
            <w:r>
              <w:rPr>
                <w:rFonts w:asciiTheme="minorHAnsi" w:eastAsiaTheme="minorEastAsia" w:hAnsiTheme="minorHAnsi" w:cstheme="minorBidi"/>
                <w:b w:val="0"/>
                <w:noProof/>
                <w:sz w:val="22"/>
                <w:szCs w:val="22"/>
                <w:lang w:eastAsia="en-AU"/>
              </w:rPr>
              <w:tab/>
            </w:r>
            <w:r w:rsidRPr="002A3639">
              <w:rPr>
                <w:rStyle w:val="Hyperlink"/>
                <w:noProof/>
              </w:rPr>
              <w:t>Interim decisions on proposed amendments referred to the Advisory Committee on Chemicals Scheduling (ACCS #31, June 2021)</w:t>
            </w:r>
            <w:r>
              <w:rPr>
                <w:noProof/>
                <w:webHidden/>
              </w:rPr>
              <w:tab/>
            </w:r>
            <w:r>
              <w:rPr>
                <w:noProof/>
                <w:webHidden/>
              </w:rPr>
              <w:fldChar w:fldCharType="begin"/>
            </w:r>
            <w:r>
              <w:rPr>
                <w:noProof/>
                <w:webHidden/>
              </w:rPr>
              <w:instrText xml:space="preserve"> PAGEREF _Toc85029569 \h </w:instrText>
            </w:r>
            <w:r>
              <w:rPr>
                <w:noProof/>
                <w:webHidden/>
              </w:rPr>
            </w:r>
            <w:r>
              <w:rPr>
                <w:noProof/>
                <w:webHidden/>
              </w:rPr>
              <w:fldChar w:fldCharType="separate"/>
            </w:r>
            <w:r>
              <w:rPr>
                <w:noProof/>
                <w:webHidden/>
              </w:rPr>
              <w:t>5</w:t>
            </w:r>
            <w:r>
              <w:rPr>
                <w:noProof/>
                <w:webHidden/>
              </w:rPr>
              <w:fldChar w:fldCharType="end"/>
            </w:r>
          </w:hyperlink>
        </w:p>
        <w:p w14:paraId="31A877ED" w14:textId="292DADC0" w:rsidR="001411F4" w:rsidRDefault="001411F4">
          <w:pPr>
            <w:pStyle w:val="TOC2"/>
            <w:tabs>
              <w:tab w:val="left" w:pos="1276"/>
            </w:tabs>
            <w:rPr>
              <w:rFonts w:asciiTheme="minorHAnsi" w:eastAsiaTheme="minorEastAsia" w:hAnsiTheme="minorHAnsi" w:cstheme="minorBidi"/>
              <w:b w:val="0"/>
              <w:noProof/>
              <w:sz w:val="22"/>
              <w:szCs w:val="22"/>
              <w:lang w:eastAsia="en-AU"/>
            </w:rPr>
          </w:pPr>
          <w:hyperlink w:anchor="_Toc85029570" w:history="1">
            <w:r w:rsidRPr="002A3639">
              <w:rPr>
                <w:rStyle w:val="Hyperlink"/>
                <w:noProof/>
              </w:rPr>
              <w:t>3.1</w:t>
            </w:r>
            <w:r>
              <w:rPr>
                <w:rFonts w:asciiTheme="minorHAnsi" w:eastAsiaTheme="minorEastAsia" w:hAnsiTheme="minorHAnsi" w:cstheme="minorBidi"/>
                <w:b w:val="0"/>
                <w:noProof/>
                <w:sz w:val="22"/>
                <w:szCs w:val="22"/>
                <w:lang w:eastAsia="en-AU"/>
              </w:rPr>
              <w:tab/>
            </w:r>
            <w:r w:rsidRPr="002A3639">
              <w:rPr>
                <w:rStyle w:val="Hyperlink"/>
                <w:noProof/>
              </w:rPr>
              <w:t>Interim decision in relation to 2-amino-5-methylphenol</w:t>
            </w:r>
            <w:r>
              <w:rPr>
                <w:noProof/>
                <w:webHidden/>
              </w:rPr>
              <w:tab/>
            </w:r>
            <w:r>
              <w:rPr>
                <w:noProof/>
                <w:webHidden/>
              </w:rPr>
              <w:fldChar w:fldCharType="begin"/>
            </w:r>
            <w:r>
              <w:rPr>
                <w:noProof/>
                <w:webHidden/>
              </w:rPr>
              <w:instrText xml:space="preserve"> PAGEREF _Toc85029570 \h </w:instrText>
            </w:r>
            <w:r>
              <w:rPr>
                <w:noProof/>
                <w:webHidden/>
              </w:rPr>
            </w:r>
            <w:r>
              <w:rPr>
                <w:noProof/>
                <w:webHidden/>
              </w:rPr>
              <w:fldChar w:fldCharType="separate"/>
            </w:r>
            <w:r>
              <w:rPr>
                <w:noProof/>
                <w:webHidden/>
              </w:rPr>
              <w:t>5</w:t>
            </w:r>
            <w:r>
              <w:rPr>
                <w:noProof/>
                <w:webHidden/>
              </w:rPr>
              <w:fldChar w:fldCharType="end"/>
            </w:r>
          </w:hyperlink>
        </w:p>
        <w:p w14:paraId="270D92B8" w14:textId="602A0F55" w:rsidR="001411F4" w:rsidRDefault="001411F4">
          <w:pPr>
            <w:pStyle w:val="TOC3"/>
            <w:rPr>
              <w:rFonts w:asciiTheme="minorHAnsi" w:eastAsiaTheme="minorEastAsia" w:hAnsiTheme="minorHAnsi" w:cstheme="minorBidi"/>
              <w:b w:val="0"/>
              <w:noProof/>
              <w:szCs w:val="22"/>
              <w:lang w:eastAsia="en-AU"/>
            </w:rPr>
          </w:pPr>
          <w:hyperlink w:anchor="_Toc85029571" w:history="1">
            <w:r w:rsidRPr="002A3639">
              <w:rPr>
                <w:rStyle w:val="Hyperlink"/>
                <w:rFonts w:eastAsia="Times New Roman"/>
                <w:i/>
                <w:noProof/>
              </w:rPr>
              <w:t>Proposal</w:t>
            </w:r>
            <w:r>
              <w:rPr>
                <w:noProof/>
                <w:webHidden/>
              </w:rPr>
              <w:tab/>
            </w:r>
            <w:r>
              <w:rPr>
                <w:noProof/>
                <w:webHidden/>
              </w:rPr>
              <w:fldChar w:fldCharType="begin"/>
            </w:r>
            <w:r>
              <w:rPr>
                <w:noProof/>
                <w:webHidden/>
              </w:rPr>
              <w:instrText xml:space="preserve"> PAGEREF _Toc85029571 \h </w:instrText>
            </w:r>
            <w:r>
              <w:rPr>
                <w:noProof/>
                <w:webHidden/>
              </w:rPr>
            </w:r>
            <w:r>
              <w:rPr>
                <w:noProof/>
                <w:webHidden/>
              </w:rPr>
              <w:fldChar w:fldCharType="separate"/>
            </w:r>
            <w:r>
              <w:rPr>
                <w:noProof/>
                <w:webHidden/>
              </w:rPr>
              <w:t>5</w:t>
            </w:r>
            <w:r>
              <w:rPr>
                <w:noProof/>
                <w:webHidden/>
              </w:rPr>
              <w:fldChar w:fldCharType="end"/>
            </w:r>
          </w:hyperlink>
        </w:p>
        <w:p w14:paraId="4EC26B98" w14:textId="24D38EF2" w:rsidR="001411F4" w:rsidRDefault="001411F4">
          <w:pPr>
            <w:pStyle w:val="TOC3"/>
            <w:rPr>
              <w:rFonts w:asciiTheme="minorHAnsi" w:eastAsiaTheme="minorEastAsia" w:hAnsiTheme="minorHAnsi" w:cstheme="minorBidi"/>
              <w:b w:val="0"/>
              <w:noProof/>
              <w:szCs w:val="22"/>
              <w:lang w:eastAsia="en-AU"/>
            </w:rPr>
          </w:pPr>
          <w:hyperlink w:anchor="_Toc85029572" w:history="1">
            <w:r w:rsidRPr="002A3639">
              <w:rPr>
                <w:rStyle w:val="Hyperlink"/>
                <w:rFonts w:eastAsia="Times New Roman"/>
                <w:i/>
                <w:noProof/>
              </w:rPr>
              <w:t>Interim decision</w:t>
            </w:r>
            <w:r>
              <w:rPr>
                <w:noProof/>
                <w:webHidden/>
              </w:rPr>
              <w:tab/>
            </w:r>
            <w:r>
              <w:rPr>
                <w:noProof/>
                <w:webHidden/>
              </w:rPr>
              <w:fldChar w:fldCharType="begin"/>
            </w:r>
            <w:r>
              <w:rPr>
                <w:noProof/>
                <w:webHidden/>
              </w:rPr>
              <w:instrText xml:space="preserve"> PAGEREF _Toc85029572 \h </w:instrText>
            </w:r>
            <w:r>
              <w:rPr>
                <w:noProof/>
                <w:webHidden/>
              </w:rPr>
            </w:r>
            <w:r>
              <w:rPr>
                <w:noProof/>
                <w:webHidden/>
              </w:rPr>
              <w:fldChar w:fldCharType="separate"/>
            </w:r>
            <w:r>
              <w:rPr>
                <w:noProof/>
                <w:webHidden/>
              </w:rPr>
              <w:t>5</w:t>
            </w:r>
            <w:r>
              <w:rPr>
                <w:noProof/>
                <w:webHidden/>
              </w:rPr>
              <w:fldChar w:fldCharType="end"/>
            </w:r>
          </w:hyperlink>
        </w:p>
        <w:p w14:paraId="13A67C64" w14:textId="7B8DEA5E" w:rsidR="001411F4" w:rsidRDefault="001411F4">
          <w:pPr>
            <w:pStyle w:val="TOC3"/>
            <w:rPr>
              <w:rFonts w:asciiTheme="minorHAnsi" w:eastAsiaTheme="minorEastAsia" w:hAnsiTheme="minorHAnsi" w:cstheme="minorBidi"/>
              <w:b w:val="0"/>
              <w:noProof/>
              <w:szCs w:val="22"/>
              <w:lang w:eastAsia="en-AU"/>
            </w:rPr>
          </w:pPr>
          <w:hyperlink w:anchor="_Toc85029573" w:history="1">
            <w:r w:rsidRPr="002A3639">
              <w:rPr>
                <w:rStyle w:val="Hyperlink"/>
                <w:rFonts w:eastAsia="Times New Roman"/>
                <w:i/>
                <w:noProof/>
              </w:rPr>
              <w:t>Materials considered</w:t>
            </w:r>
            <w:r>
              <w:rPr>
                <w:noProof/>
                <w:webHidden/>
              </w:rPr>
              <w:tab/>
            </w:r>
            <w:r>
              <w:rPr>
                <w:noProof/>
                <w:webHidden/>
              </w:rPr>
              <w:fldChar w:fldCharType="begin"/>
            </w:r>
            <w:r>
              <w:rPr>
                <w:noProof/>
                <w:webHidden/>
              </w:rPr>
              <w:instrText xml:space="preserve"> PAGEREF _Toc85029573 \h </w:instrText>
            </w:r>
            <w:r>
              <w:rPr>
                <w:noProof/>
                <w:webHidden/>
              </w:rPr>
            </w:r>
            <w:r>
              <w:rPr>
                <w:noProof/>
                <w:webHidden/>
              </w:rPr>
              <w:fldChar w:fldCharType="separate"/>
            </w:r>
            <w:r>
              <w:rPr>
                <w:noProof/>
                <w:webHidden/>
              </w:rPr>
              <w:t>5</w:t>
            </w:r>
            <w:r>
              <w:rPr>
                <w:noProof/>
                <w:webHidden/>
              </w:rPr>
              <w:fldChar w:fldCharType="end"/>
            </w:r>
          </w:hyperlink>
        </w:p>
        <w:p w14:paraId="74FEB775" w14:textId="2AFC5AD9" w:rsidR="001411F4" w:rsidRDefault="001411F4">
          <w:pPr>
            <w:pStyle w:val="TOC3"/>
            <w:rPr>
              <w:rFonts w:asciiTheme="minorHAnsi" w:eastAsiaTheme="minorEastAsia" w:hAnsiTheme="minorHAnsi" w:cstheme="minorBidi"/>
              <w:b w:val="0"/>
              <w:noProof/>
              <w:szCs w:val="22"/>
              <w:lang w:eastAsia="en-AU"/>
            </w:rPr>
          </w:pPr>
          <w:hyperlink w:anchor="_Toc85029574" w:history="1">
            <w:r w:rsidRPr="002A3639">
              <w:rPr>
                <w:rStyle w:val="Hyperlink"/>
                <w:rFonts w:eastAsia="Times New Roman"/>
                <w:i/>
                <w:noProof/>
              </w:rPr>
              <w:t>Summary of ACCS advice to the delegate</w:t>
            </w:r>
            <w:r>
              <w:rPr>
                <w:noProof/>
                <w:webHidden/>
              </w:rPr>
              <w:tab/>
            </w:r>
            <w:r>
              <w:rPr>
                <w:noProof/>
                <w:webHidden/>
              </w:rPr>
              <w:fldChar w:fldCharType="begin"/>
            </w:r>
            <w:r>
              <w:rPr>
                <w:noProof/>
                <w:webHidden/>
              </w:rPr>
              <w:instrText xml:space="preserve"> PAGEREF _Toc85029574 \h </w:instrText>
            </w:r>
            <w:r>
              <w:rPr>
                <w:noProof/>
                <w:webHidden/>
              </w:rPr>
            </w:r>
            <w:r>
              <w:rPr>
                <w:noProof/>
                <w:webHidden/>
              </w:rPr>
              <w:fldChar w:fldCharType="separate"/>
            </w:r>
            <w:r>
              <w:rPr>
                <w:noProof/>
                <w:webHidden/>
              </w:rPr>
              <w:t>6</w:t>
            </w:r>
            <w:r>
              <w:rPr>
                <w:noProof/>
                <w:webHidden/>
              </w:rPr>
              <w:fldChar w:fldCharType="end"/>
            </w:r>
          </w:hyperlink>
        </w:p>
        <w:p w14:paraId="6AD0E702" w14:textId="08A3666F" w:rsidR="001411F4" w:rsidRDefault="001411F4">
          <w:pPr>
            <w:pStyle w:val="TOC3"/>
            <w:rPr>
              <w:rFonts w:asciiTheme="minorHAnsi" w:eastAsiaTheme="minorEastAsia" w:hAnsiTheme="minorHAnsi" w:cstheme="minorBidi"/>
              <w:b w:val="0"/>
              <w:noProof/>
              <w:szCs w:val="22"/>
              <w:lang w:eastAsia="en-AU"/>
            </w:rPr>
          </w:pPr>
          <w:hyperlink w:anchor="_Toc85029575" w:history="1">
            <w:r w:rsidRPr="002A3639">
              <w:rPr>
                <w:rStyle w:val="Hyperlink"/>
                <w:rFonts w:eastAsia="Times New Roman"/>
                <w:i/>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_Toc85029575 \h </w:instrText>
            </w:r>
            <w:r>
              <w:rPr>
                <w:noProof/>
                <w:webHidden/>
              </w:rPr>
            </w:r>
            <w:r>
              <w:rPr>
                <w:noProof/>
                <w:webHidden/>
              </w:rPr>
              <w:fldChar w:fldCharType="separate"/>
            </w:r>
            <w:r>
              <w:rPr>
                <w:noProof/>
                <w:webHidden/>
              </w:rPr>
              <w:t>7</w:t>
            </w:r>
            <w:r>
              <w:rPr>
                <w:noProof/>
                <w:webHidden/>
              </w:rPr>
              <w:fldChar w:fldCharType="end"/>
            </w:r>
          </w:hyperlink>
        </w:p>
        <w:p w14:paraId="6B3B19F5" w14:textId="3D43340F" w:rsidR="001411F4" w:rsidRDefault="001411F4">
          <w:pPr>
            <w:pStyle w:val="TOC3"/>
            <w:rPr>
              <w:rFonts w:asciiTheme="minorHAnsi" w:eastAsiaTheme="minorEastAsia" w:hAnsiTheme="minorHAnsi" w:cstheme="minorBidi"/>
              <w:b w:val="0"/>
              <w:noProof/>
              <w:szCs w:val="22"/>
              <w:lang w:eastAsia="en-AU"/>
            </w:rPr>
          </w:pPr>
          <w:hyperlink w:anchor="_Toc85029576" w:history="1">
            <w:r w:rsidRPr="002A3639">
              <w:rPr>
                <w:rStyle w:val="Hyperlink"/>
                <w:rFonts w:eastAsia="Times New Roman"/>
                <w:i/>
                <w:noProof/>
              </w:rPr>
              <w:t>Proposed implementation date</w:t>
            </w:r>
            <w:r>
              <w:rPr>
                <w:noProof/>
                <w:webHidden/>
              </w:rPr>
              <w:tab/>
            </w:r>
            <w:r>
              <w:rPr>
                <w:noProof/>
                <w:webHidden/>
              </w:rPr>
              <w:fldChar w:fldCharType="begin"/>
            </w:r>
            <w:r>
              <w:rPr>
                <w:noProof/>
                <w:webHidden/>
              </w:rPr>
              <w:instrText xml:space="preserve"> PAGEREF _Toc85029576 \h </w:instrText>
            </w:r>
            <w:r>
              <w:rPr>
                <w:noProof/>
                <w:webHidden/>
              </w:rPr>
            </w:r>
            <w:r>
              <w:rPr>
                <w:noProof/>
                <w:webHidden/>
              </w:rPr>
              <w:fldChar w:fldCharType="separate"/>
            </w:r>
            <w:r>
              <w:rPr>
                <w:noProof/>
                <w:webHidden/>
              </w:rPr>
              <w:t>8</w:t>
            </w:r>
            <w:r>
              <w:rPr>
                <w:noProof/>
                <w:webHidden/>
              </w:rPr>
              <w:fldChar w:fldCharType="end"/>
            </w:r>
          </w:hyperlink>
        </w:p>
        <w:p w14:paraId="555FAAF0" w14:textId="706BDA1F" w:rsidR="001411F4" w:rsidRDefault="001411F4">
          <w:pPr>
            <w:pStyle w:val="TOC2"/>
            <w:tabs>
              <w:tab w:val="left" w:pos="1276"/>
            </w:tabs>
            <w:rPr>
              <w:rFonts w:asciiTheme="minorHAnsi" w:eastAsiaTheme="minorEastAsia" w:hAnsiTheme="minorHAnsi" w:cstheme="minorBidi"/>
              <w:b w:val="0"/>
              <w:noProof/>
              <w:sz w:val="22"/>
              <w:szCs w:val="22"/>
              <w:lang w:eastAsia="en-AU"/>
            </w:rPr>
          </w:pPr>
          <w:hyperlink w:anchor="_Toc85029577" w:history="1">
            <w:r w:rsidRPr="002A3639">
              <w:rPr>
                <w:rStyle w:val="Hyperlink"/>
                <w:noProof/>
              </w:rPr>
              <w:t>3.2</w:t>
            </w:r>
            <w:r>
              <w:rPr>
                <w:rFonts w:asciiTheme="minorHAnsi" w:eastAsiaTheme="minorEastAsia" w:hAnsiTheme="minorHAnsi" w:cstheme="minorBidi"/>
                <w:b w:val="0"/>
                <w:noProof/>
                <w:sz w:val="22"/>
                <w:szCs w:val="22"/>
                <w:lang w:eastAsia="en-AU"/>
              </w:rPr>
              <w:tab/>
            </w:r>
            <w:r w:rsidRPr="002A3639">
              <w:rPr>
                <w:rStyle w:val="Hyperlink"/>
                <w:noProof/>
              </w:rPr>
              <w:t>Interim decision in relation to 6-methoxy-N2-methyl-2,3-pyridinediamine</w:t>
            </w:r>
            <w:r>
              <w:rPr>
                <w:noProof/>
                <w:webHidden/>
              </w:rPr>
              <w:tab/>
            </w:r>
            <w:r>
              <w:rPr>
                <w:noProof/>
                <w:webHidden/>
              </w:rPr>
              <w:fldChar w:fldCharType="begin"/>
            </w:r>
            <w:r>
              <w:rPr>
                <w:noProof/>
                <w:webHidden/>
              </w:rPr>
              <w:instrText xml:space="preserve"> PAGEREF _Toc85029577 \h </w:instrText>
            </w:r>
            <w:r>
              <w:rPr>
                <w:noProof/>
                <w:webHidden/>
              </w:rPr>
            </w:r>
            <w:r>
              <w:rPr>
                <w:noProof/>
                <w:webHidden/>
              </w:rPr>
              <w:fldChar w:fldCharType="separate"/>
            </w:r>
            <w:r>
              <w:rPr>
                <w:noProof/>
                <w:webHidden/>
              </w:rPr>
              <w:t>8</w:t>
            </w:r>
            <w:r>
              <w:rPr>
                <w:noProof/>
                <w:webHidden/>
              </w:rPr>
              <w:fldChar w:fldCharType="end"/>
            </w:r>
          </w:hyperlink>
        </w:p>
        <w:p w14:paraId="522D986C" w14:textId="48FED8EF" w:rsidR="001411F4" w:rsidRDefault="001411F4">
          <w:pPr>
            <w:pStyle w:val="TOC3"/>
            <w:rPr>
              <w:rFonts w:asciiTheme="minorHAnsi" w:eastAsiaTheme="minorEastAsia" w:hAnsiTheme="minorHAnsi" w:cstheme="minorBidi"/>
              <w:b w:val="0"/>
              <w:noProof/>
              <w:szCs w:val="22"/>
              <w:lang w:eastAsia="en-AU"/>
            </w:rPr>
          </w:pPr>
          <w:hyperlink w:anchor="_Toc85029578" w:history="1">
            <w:r w:rsidRPr="002A3639">
              <w:rPr>
                <w:rStyle w:val="Hyperlink"/>
                <w:rFonts w:eastAsia="Times New Roman"/>
                <w:i/>
                <w:noProof/>
              </w:rPr>
              <w:t>Proposal</w:t>
            </w:r>
            <w:r>
              <w:rPr>
                <w:noProof/>
                <w:webHidden/>
              </w:rPr>
              <w:tab/>
            </w:r>
            <w:r>
              <w:rPr>
                <w:noProof/>
                <w:webHidden/>
              </w:rPr>
              <w:fldChar w:fldCharType="begin"/>
            </w:r>
            <w:r>
              <w:rPr>
                <w:noProof/>
                <w:webHidden/>
              </w:rPr>
              <w:instrText xml:space="preserve"> PAGEREF _Toc85029578 \h </w:instrText>
            </w:r>
            <w:r>
              <w:rPr>
                <w:noProof/>
                <w:webHidden/>
              </w:rPr>
            </w:r>
            <w:r>
              <w:rPr>
                <w:noProof/>
                <w:webHidden/>
              </w:rPr>
              <w:fldChar w:fldCharType="separate"/>
            </w:r>
            <w:r>
              <w:rPr>
                <w:noProof/>
                <w:webHidden/>
              </w:rPr>
              <w:t>8</w:t>
            </w:r>
            <w:r>
              <w:rPr>
                <w:noProof/>
                <w:webHidden/>
              </w:rPr>
              <w:fldChar w:fldCharType="end"/>
            </w:r>
          </w:hyperlink>
        </w:p>
        <w:p w14:paraId="3A3D3BE7" w14:textId="33378C86" w:rsidR="001411F4" w:rsidRDefault="001411F4">
          <w:pPr>
            <w:pStyle w:val="TOC3"/>
            <w:rPr>
              <w:rFonts w:asciiTheme="minorHAnsi" w:eastAsiaTheme="minorEastAsia" w:hAnsiTheme="minorHAnsi" w:cstheme="minorBidi"/>
              <w:b w:val="0"/>
              <w:noProof/>
              <w:szCs w:val="22"/>
              <w:lang w:eastAsia="en-AU"/>
            </w:rPr>
          </w:pPr>
          <w:hyperlink w:anchor="_Toc85029579" w:history="1">
            <w:r w:rsidRPr="002A3639">
              <w:rPr>
                <w:rStyle w:val="Hyperlink"/>
                <w:rFonts w:eastAsia="Times New Roman"/>
                <w:i/>
                <w:noProof/>
              </w:rPr>
              <w:t>Interim decision</w:t>
            </w:r>
            <w:r>
              <w:rPr>
                <w:noProof/>
                <w:webHidden/>
              </w:rPr>
              <w:tab/>
            </w:r>
            <w:r>
              <w:rPr>
                <w:noProof/>
                <w:webHidden/>
              </w:rPr>
              <w:fldChar w:fldCharType="begin"/>
            </w:r>
            <w:r>
              <w:rPr>
                <w:noProof/>
                <w:webHidden/>
              </w:rPr>
              <w:instrText xml:space="preserve"> PAGEREF _Toc85029579 \h </w:instrText>
            </w:r>
            <w:r>
              <w:rPr>
                <w:noProof/>
                <w:webHidden/>
              </w:rPr>
            </w:r>
            <w:r>
              <w:rPr>
                <w:noProof/>
                <w:webHidden/>
              </w:rPr>
              <w:fldChar w:fldCharType="separate"/>
            </w:r>
            <w:r>
              <w:rPr>
                <w:noProof/>
                <w:webHidden/>
              </w:rPr>
              <w:t>8</w:t>
            </w:r>
            <w:r>
              <w:rPr>
                <w:noProof/>
                <w:webHidden/>
              </w:rPr>
              <w:fldChar w:fldCharType="end"/>
            </w:r>
          </w:hyperlink>
        </w:p>
        <w:p w14:paraId="5A2FF07F" w14:textId="2EDC79FE" w:rsidR="001411F4" w:rsidRDefault="001411F4">
          <w:pPr>
            <w:pStyle w:val="TOC3"/>
            <w:rPr>
              <w:rFonts w:asciiTheme="minorHAnsi" w:eastAsiaTheme="minorEastAsia" w:hAnsiTheme="minorHAnsi" w:cstheme="minorBidi"/>
              <w:b w:val="0"/>
              <w:noProof/>
              <w:szCs w:val="22"/>
              <w:lang w:eastAsia="en-AU"/>
            </w:rPr>
          </w:pPr>
          <w:hyperlink w:anchor="_Toc85029580" w:history="1">
            <w:r w:rsidRPr="002A3639">
              <w:rPr>
                <w:rStyle w:val="Hyperlink"/>
                <w:rFonts w:eastAsia="Times New Roman"/>
                <w:i/>
                <w:noProof/>
              </w:rPr>
              <w:t>Materials considered</w:t>
            </w:r>
            <w:r>
              <w:rPr>
                <w:noProof/>
                <w:webHidden/>
              </w:rPr>
              <w:tab/>
            </w:r>
            <w:r>
              <w:rPr>
                <w:noProof/>
                <w:webHidden/>
              </w:rPr>
              <w:fldChar w:fldCharType="begin"/>
            </w:r>
            <w:r>
              <w:rPr>
                <w:noProof/>
                <w:webHidden/>
              </w:rPr>
              <w:instrText xml:space="preserve"> PAGEREF _Toc85029580 \h </w:instrText>
            </w:r>
            <w:r>
              <w:rPr>
                <w:noProof/>
                <w:webHidden/>
              </w:rPr>
            </w:r>
            <w:r>
              <w:rPr>
                <w:noProof/>
                <w:webHidden/>
              </w:rPr>
              <w:fldChar w:fldCharType="separate"/>
            </w:r>
            <w:r>
              <w:rPr>
                <w:noProof/>
                <w:webHidden/>
              </w:rPr>
              <w:t>9</w:t>
            </w:r>
            <w:r>
              <w:rPr>
                <w:noProof/>
                <w:webHidden/>
              </w:rPr>
              <w:fldChar w:fldCharType="end"/>
            </w:r>
          </w:hyperlink>
        </w:p>
        <w:p w14:paraId="7C2A2155" w14:textId="06CE98CA" w:rsidR="001411F4" w:rsidRDefault="001411F4">
          <w:pPr>
            <w:pStyle w:val="TOC3"/>
            <w:rPr>
              <w:rFonts w:asciiTheme="minorHAnsi" w:eastAsiaTheme="minorEastAsia" w:hAnsiTheme="minorHAnsi" w:cstheme="minorBidi"/>
              <w:b w:val="0"/>
              <w:noProof/>
              <w:szCs w:val="22"/>
              <w:lang w:eastAsia="en-AU"/>
            </w:rPr>
          </w:pPr>
          <w:hyperlink w:anchor="_Toc85029581" w:history="1">
            <w:r w:rsidRPr="002A3639">
              <w:rPr>
                <w:rStyle w:val="Hyperlink"/>
                <w:rFonts w:eastAsia="Times New Roman"/>
                <w:i/>
                <w:noProof/>
              </w:rPr>
              <w:t>Summary of ACCS advice to the delegate</w:t>
            </w:r>
            <w:r>
              <w:rPr>
                <w:noProof/>
                <w:webHidden/>
              </w:rPr>
              <w:tab/>
            </w:r>
            <w:r>
              <w:rPr>
                <w:noProof/>
                <w:webHidden/>
              </w:rPr>
              <w:fldChar w:fldCharType="begin"/>
            </w:r>
            <w:r>
              <w:rPr>
                <w:noProof/>
                <w:webHidden/>
              </w:rPr>
              <w:instrText xml:space="preserve"> PAGEREF _Toc85029581 \h </w:instrText>
            </w:r>
            <w:r>
              <w:rPr>
                <w:noProof/>
                <w:webHidden/>
              </w:rPr>
            </w:r>
            <w:r>
              <w:rPr>
                <w:noProof/>
                <w:webHidden/>
              </w:rPr>
              <w:fldChar w:fldCharType="separate"/>
            </w:r>
            <w:r>
              <w:rPr>
                <w:noProof/>
                <w:webHidden/>
              </w:rPr>
              <w:t>9</w:t>
            </w:r>
            <w:r>
              <w:rPr>
                <w:noProof/>
                <w:webHidden/>
              </w:rPr>
              <w:fldChar w:fldCharType="end"/>
            </w:r>
          </w:hyperlink>
        </w:p>
        <w:p w14:paraId="774DBAFA" w14:textId="44242CB4" w:rsidR="001411F4" w:rsidRDefault="001411F4">
          <w:pPr>
            <w:pStyle w:val="TOC3"/>
            <w:rPr>
              <w:rFonts w:asciiTheme="minorHAnsi" w:eastAsiaTheme="minorEastAsia" w:hAnsiTheme="minorHAnsi" w:cstheme="minorBidi"/>
              <w:b w:val="0"/>
              <w:noProof/>
              <w:szCs w:val="22"/>
              <w:lang w:eastAsia="en-AU"/>
            </w:rPr>
          </w:pPr>
          <w:hyperlink w:anchor="_Toc85029582" w:history="1">
            <w:r w:rsidRPr="002A3639">
              <w:rPr>
                <w:rStyle w:val="Hyperlink"/>
                <w:rFonts w:eastAsia="Times New Roman"/>
                <w:i/>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_Toc85029582 \h </w:instrText>
            </w:r>
            <w:r>
              <w:rPr>
                <w:noProof/>
                <w:webHidden/>
              </w:rPr>
            </w:r>
            <w:r>
              <w:rPr>
                <w:noProof/>
                <w:webHidden/>
              </w:rPr>
              <w:fldChar w:fldCharType="separate"/>
            </w:r>
            <w:r>
              <w:rPr>
                <w:noProof/>
                <w:webHidden/>
              </w:rPr>
              <w:t>11</w:t>
            </w:r>
            <w:r>
              <w:rPr>
                <w:noProof/>
                <w:webHidden/>
              </w:rPr>
              <w:fldChar w:fldCharType="end"/>
            </w:r>
          </w:hyperlink>
        </w:p>
        <w:p w14:paraId="7C0B07D2" w14:textId="5145FB59" w:rsidR="001411F4" w:rsidRDefault="001411F4">
          <w:pPr>
            <w:pStyle w:val="TOC3"/>
            <w:rPr>
              <w:rFonts w:asciiTheme="minorHAnsi" w:eastAsiaTheme="minorEastAsia" w:hAnsiTheme="minorHAnsi" w:cstheme="minorBidi"/>
              <w:b w:val="0"/>
              <w:noProof/>
              <w:szCs w:val="22"/>
              <w:lang w:eastAsia="en-AU"/>
            </w:rPr>
          </w:pPr>
          <w:hyperlink w:anchor="_Toc85029583" w:history="1">
            <w:r w:rsidRPr="002A3639">
              <w:rPr>
                <w:rStyle w:val="Hyperlink"/>
                <w:rFonts w:eastAsia="Times New Roman"/>
                <w:i/>
                <w:noProof/>
              </w:rPr>
              <w:t>Proposed implementation date</w:t>
            </w:r>
            <w:r>
              <w:rPr>
                <w:noProof/>
                <w:webHidden/>
              </w:rPr>
              <w:tab/>
            </w:r>
            <w:r>
              <w:rPr>
                <w:noProof/>
                <w:webHidden/>
              </w:rPr>
              <w:fldChar w:fldCharType="begin"/>
            </w:r>
            <w:r>
              <w:rPr>
                <w:noProof/>
                <w:webHidden/>
              </w:rPr>
              <w:instrText xml:space="preserve"> PAGEREF _Toc85029583 \h </w:instrText>
            </w:r>
            <w:r>
              <w:rPr>
                <w:noProof/>
                <w:webHidden/>
              </w:rPr>
            </w:r>
            <w:r>
              <w:rPr>
                <w:noProof/>
                <w:webHidden/>
              </w:rPr>
              <w:fldChar w:fldCharType="separate"/>
            </w:r>
            <w:r>
              <w:rPr>
                <w:noProof/>
                <w:webHidden/>
              </w:rPr>
              <w:t>12</w:t>
            </w:r>
            <w:r>
              <w:rPr>
                <w:noProof/>
                <w:webHidden/>
              </w:rPr>
              <w:fldChar w:fldCharType="end"/>
            </w:r>
          </w:hyperlink>
        </w:p>
        <w:p w14:paraId="4E37FEFF" w14:textId="1E0FB163" w:rsidR="001411F4" w:rsidRDefault="001411F4">
          <w:pPr>
            <w:pStyle w:val="TOC2"/>
            <w:tabs>
              <w:tab w:val="left" w:pos="1276"/>
            </w:tabs>
            <w:rPr>
              <w:rFonts w:asciiTheme="minorHAnsi" w:eastAsiaTheme="minorEastAsia" w:hAnsiTheme="minorHAnsi" w:cstheme="minorBidi"/>
              <w:b w:val="0"/>
              <w:noProof/>
              <w:sz w:val="22"/>
              <w:szCs w:val="22"/>
              <w:lang w:eastAsia="en-AU"/>
            </w:rPr>
          </w:pPr>
          <w:hyperlink w:anchor="_Toc85029584" w:history="1">
            <w:r w:rsidRPr="002A3639">
              <w:rPr>
                <w:rStyle w:val="Hyperlink"/>
                <w:noProof/>
              </w:rPr>
              <w:t>3.3</w:t>
            </w:r>
            <w:r>
              <w:rPr>
                <w:rFonts w:asciiTheme="minorHAnsi" w:eastAsiaTheme="minorEastAsia" w:hAnsiTheme="minorHAnsi" w:cstheme="minorBidi"/>
                <w:b w:val="0"/>
                <w:noProof/>
                <w:sz w:val="22"/>
                <w:szCs w:val="22"/>
                <w:lang w:eastAsia="en-AU"/>
              </w:rPr>
              <w:tab/>
            </w:r>
            <w:r w:rsidRPr="002A3639">
              <w:rPr>
                <w:rStyle w:val="Hyperlink"/>
                <w:noProof/>
              </w:rPr>
              <w:t>Interim decision in relation to lead acetates</w:t>
            </w:r>
            <w:r>
              <w:rPr>
                <w:noProof/>
                <w:webHidden/>
              </w:rPr>
              <w:tab/>
            </w:r>
            <w:r>
              <w:rPr>
                <w:noProof/>
                <w:webHidden/>
              </w:rPr>
              <w:fldChar w:fldCharType="begin"/>
            </w:r>
            <w:r>
              <w:rPr>
                <w:noProof/>
                <w:webHidden/>
              </w:rPr>
              <w:instrText xml:space="preserve"> PAGEREF _Toc85029584 \h </w:instrText>
            </w:r>
            <w:r>
              <w:rPr>
                <w:noProof/>
                <w:webHidden/>
              </w:rPr>
            </w:r>
            <w:r>
              <w:rPr>
                <w:noProof/>
                <w:webHidden/>
              </w:rPr>
              <w:fldChar w:fldCharType="separate"/>
            </w:r>
            <w:r>
              <w:rPr>
                <w:noProof/>
                <w:webHidden/>
              </w:rPr>
              <w:t>12</w:t>
            </w:r>
            <w:r>
              <w:rPr>
                <w:noProof/>
                <w:webHidden/>
              </w:rPr>
              <w:fldChar w:fldCharType="end"/>
            </w:r>
          </w:hyperlink>
        </w:p>
        <w:p w14:paraId="553E5247" w14:textId="1693C83F" w:rsidR="001411F4" w:rsidRDefault="001411F4">
          <w:pPr>
            <w:pStyle w:val="TOC3"/>
            <w:rPr>
              <w:rFonts w:asciiTheme="minorHAnsi" w:eastAsiaTheme="minorEastAsia" w:hAnsiTheme="minorHAnsi" w:cstheme="minorBidi"/>
              <w:b w:val="0"/>
              <w:noProof/>
              <w:szCs w:val="22"/>
              <w:lang w:eastAsia="en-AU"/>
            </w:rPr>
          </w:pPr>
          <w:hyperlink w:anchor="_Toc85029585" w:history="1">
            <w:r w:rsidRPr="002A3639">
              <w:rPr>
                <w:rStyle w:val="Hyperlink"/>
                <w:rFonts w:eastAsia="Times New Roman"/>
                <w:i/>
                <w:noProof/>
              </w:rPr>
              <w:t>Proposal</w:t>
            </w:r>
            <w:r>
              <w:rPr>
                <w:noProof/>
                <w:webHidden/>
              </w:rPr>
              <w:tab/>
            </w:r>
            <w:r>
              <w:rPr>
                <w:noProof/>
                <w:webHidden/>
              </w:rPr>
              <w:fldChar w:fldCharType="begin"/>
            </w:r>
            <w:r>
              <w:rPr>
                <w:noProof/>
                <w:webHidden/>
              </w:rPr>
              <w:instrText xml:space="preserve"> PAGEREF _Toc85029585 \h </w:instrText>
            </w:r>
            <w:r>
              <w:rPr>
                <w:noProof/>
                <w:webHidden/>
              </w:rPr>
            </w:r>
            <w:r>
              <w:rPr>
                <w:noProof/>
                <w:webHidden/>
              </w:rPr>
              <w:fldChar w:fldCharType="separate"/>
            </w:r>
            <w:r>
              <w:rPr>
                <w:noProof/>
                <w:webHidden/>
              </w:rPr>
              <w:t>12</w:t>
            </w:r>
            <w:r>
              <w:rPr>
                <w:noProof/>
                <w:webHidden/>
              </w:rPr>
              <w:fldChar w:fldCharType="end"/>
            </w:r>
          </w:hyperlink>
        </w:p>
        <w:p w14:paraId="52E75F3C" w14:textId="339127EF" w:rsidR="001411F4" w:rsidRDefault="001411F4">
          <w:pPr>
            <w:pStyle w:val="TOC3"/>
            <w:rPr>
              <w:rFonts w:asciiTheme="minorHAnsi" w:eastAsiaTheme="minorEastAsia" w:hAnsiTheme="minorHAnsi" w:cstheme="minorBidi"/>
              <w:b w:val="0"/>
              <w:noProof/>
              <w:szCs w:val="22"/>
              <w:lang w:eastAsia="en-AU"/>
            </w:rPr>
          </w:pPr>
          <w:hyperlink w:anchor="_Toc85029586" w:history="1">
            <w:r w:rsidRPr="002A3639">
              <w:rPr>
                <w:rStyle w:val="Hyperlink"/>
                <w:rFonts w:eastAsia="Times New Roman"/>
                <w:i/>
                <w:noProof/>
              </w:rPr>
              <w:t>Interim decision</w:t>
            </w:r>
            <w:r>
              <w:rPr>
                <w:noProof/>
                <w:webHidden/>
              </w:rPr>
              <w:tab/>
            </w:r>
            <w:r>
              <w:rPr>
                <w:noProof/>
                <w:webHidden/>
              </w:rPr>
              <w:fldChar w:fldCharType="begin"/>
            </w:r>
            <w:r>
              <w:rPr>
                <w:noProof/>
                <w:webHidden/>
              </w:rPr>
              <w:instrText xml:space="preserve"> PAGEREF _Toc85029586 \h </w:instrText>
            </w:r>
            <w:r>
              <w:rPr>
                <w:noProof/>
                <w:webHidden/>
              </w:rPr>
            </w:r>
            <w:r>
              <w:rPr>
                <w:noProof/>
                <w:webHidden/>
              </w:rPr>
              <w:fldChar w:fldCharType="separate"/>
            </w:r>
            <w:r>
              <w:rPr>
                <w:noProof/>
                <w:webHidden/>
              </w:rPr>
              <w:t>12</w:t>
            </w:r>
            <w:r>
              <w:rPr>
                <w:noProof/>
                <w:webHidden/>
              </w:rPr>
              <w:fldChar w:fldCharType="end"/>
            </w:r>
          </w:hyperlink>
        </w:p>
        <w:p w14:paraId="113D5ACA" w14:textId="7B291925" w:rsidR="001411F4" w:rsidRDefault="001411F4">
          <w:pPr>
            <w:pStyle w:val="TOC3"/>
            <w:rPr>
              <w:rFonts w:asciiTheme="minorHAnsi" w:eastAsiaTheme="minorEastAsia" w:hAnsiTheme="minorHAnsi" w:cstheme="minorBidi"/>
              <w:b w:val="0"/>
              <w:noProof/>
              <w:szCs w:val="22"/>
              <w:lang w:eastAsia="en-AU"/>
            </w:rPr>
          </w:pPr>
          <w:hyperlink w:anchor="_Toc85029587" w:history="1">
            <w:r w:rsidRPr="002A3639">
              <w:rPr>
                <w:rStyle w:val="Hyperlink"/>
                <w:rFonts w:eastAsia="Times New Roman"/>
                <w:i/>
                <w:noProof/>
              </w:rPr>
              <w:t>Materials considered</w:t>
            </w:r>
            <w:r>
              <w:rPr>
                <w:noProof/>
                <w:webHidden/>
              </w:rPr>
              <w:tab/>
            </w:r>
            <w:r>
              <w:rPr>
                <w:noProof/>
                <w:webHidden/>
              </w:rPr>
              <w:fldChar w:fldCharType="begin"/>
            </w:r>
            <w:r>
              <w:rPr>
                <w:noProof/>
                <w:webHidden/>
              </w:rPr>
              <w:instrText xml:space="preserve"> PAGEREF _Toc85029587 \h </w:instrText>
            </w:r>
            <w:r>
              <w:rPr>
                <w:noProof/>
                <w:webHidden/>
              </w:rPr>
            </w:r>
            <w:r>
              <w:rPr>
                <w:noProof/>
                <w:webHidden/>
              </w:rPr>
              <w:fldChar w:fldCharType="separate"/>
            </w:r>
            <w:r>
              <w:rPr>
                <w:noProof/>
                <w:webHidden/>
              </w:rPr>
              <w:t>14</w:t>
            </w:r>
            <w:r>
              <w:rPr>
                <w:noProof/>
                <w:webHidden/>
              </w:rPr>
              <w:fldChar w:fldCharType="end"/>
            </w:r>
          </w:hyperlink>
        </w:p>
        <w:p w14:paraId="79D0B0A0" w14:textId="09A0EBBE" w:rsidR="001411F4" w:rsidRDefault="001411F4">
          <w:pPr>
            <w:pStyle w:val="TOC3"/>
            <w:rPr>
              <w:rFonts w:asciiTheme="minorHAnsi" w:eastAsiaTheme="minorEastAsia" w:hAnsiTheme="minorHAnsi" w:cstheme="minorBidi"/>
              <w:b w:val="0"/>
              <w:noProof/>
              <w:szCs w:val="22"/>
              <w:lang w:eastAsia="en-AU"/>
            </w:rPr>
          </w:pPr>
          <w:hyperlink w:anchor="_Toc85029588" w:history="1">
            <w:r w:rsidRPr="002A3639">
              <w:rPr>
                <w:rStyle w:val="Hyperlink"/>
                <w:rFonts w:eastAsia="Times New Roman"/>
                <w:i/>
                <w:noProof/>
              </w:rPr>
              <w:t>Summary of ACCS advice to the delegate</w:t>
            </w:r>
            <w:r>
              <w:rPr>
                <w:noProof/>
                <w:webHidden/>
              </w:rPr>
              <w:tab/>
            </w:r>
            <w:r>
              <w:rPr>
                <w:noProof/>
                <w:webHidden/>
              </w:rPr>
              <w:fldChar w:fldCharType="begin"/>
            </w:r>
            <w:r>
              <w:rPr>
                <w:noProof/>
                <w:webHidden/>
              </w:rPr>
              <w:instrText xml:space="preserve"> PAGEREF _Toc85029588 \h </w:instrText>
            </w:r>
            <w:r>
              <w:rPr>
                <w:noProof/>
                <w:webHidden/>
              </w:rPr>
            </w:r>
            <w:r>
              <w:rPr>
                <w:noProof/>
                <w:webHidden/>
              </w:rPr>
              <w:fldChar w:fldCharType="separate"/>
            </w:r>
            <w:r>
              <w:rPr>
                <w:noProof/>
                <w:webHidden/>
              </w:rPr>
              <w:t>14</w:t>
            </w:r>
            <w:r>
              <w:rPr>
                <w:noProof/>
                <w:webHidden/>
              </w:rPr>
              <w:fldChar w:fldCharType="end"/>
            </w:r>
          </w:hyperlink>
        </w:p>
        <w:p w14:paraId="5614E1A2" w14:textId="77DEC6D6" w:rsidR="001411F4" w:rsidRDefault="001411F4">
          <w:pPr>
            <w:pStyle w:val="TOC3"/>
            <w:rPr>
              <w:rFonts w:asciiTheme="minorHAnsi" w:eastAsiaTheme="minorEastAsia" w:hAnsiTheme="minorHAnsi" w:cstheme="minorBidi"/>
              <w:b w:val="0"/>
              <w:noProof/>
              <w:szCs w:val="22"/>
              <w:lang w:eastAsia="en-AU"/>
            </w:rPr>
          </w:pPr>
          <w:hyperlink w:anchor="_Toc85029589" w:history="1">
            <w:r w:rsidRPr="002A3639">
              <w:rPr>
                <w:rStyle w:val="Hyperlink"/>
                <w:rFonts w:eastAsia="Times New Roman"/>
                <w:i/>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_Toc85029589 \h </w:instrText>
            </w:r>
            <w:r>
              <w:rPr>
                <w:noProof/>
                <w:webHidden/>
              </w:rPr>
            </w:r>
            <w:r>
              <w:rPr>
                <w:noProof/>
                <w:webHidden/>
              </w:rPr>
              <w:fldChar w:fldCharType="separate"/>
            </w:r>
            <w:r>
              <w:rPr>
                <w:noProof/>
                <w:webHidden/>
              </w:rPr>
              <w:t>15</w:t>
            </w:r>
            <w:r>
              <w:rPr>
                <w:noProof/>
                <w:webHidden/>
              </w:rPr>
              <w:fldChar w:fldCharType="end"/>
            </w:r>
          </w:hyperlink>
        </w:p>
        <w:p w14:paraId="7A20F943" w14:textId="2D3B0CBB" w:rsidR="001411F4" w:rsidRDefault="001411F4">
          <w:pPr>
            <w:pStyle w:val="TOC3"/>
            <w:rPr>
              <w:rFonts w:asciiTheme="minorHAnsi" w:eastAsiaTheme="minorEastAsia" w:hAnsiTheme="minorHAnsi" w:cstheme="minorBidi"/>
              <w:b w:val="0"/>
              <w:noProof/>
              <w:szCs w:val="22"/>
              <w:lang w:eastAsia="en-AU"/>
            </w:rPr>
          </w:pPr>
          <w:hyperlink w:anchor="_Toc85029590" w:history="1">
            <w:r w:rsidRPr="002A3639">
              <w:rPr>
                <w:rStyle w:val="Hyperlink"/>
                <w:rFonts w:eastAsia="Times New Roman"/>
                <w:i/>
                <w:noProof/>
              </w:rPr>
              <w:t>Proposed implementation date</w:t>
            </w:r>
            <w:r>
              <w:rPr>
                <w:noProof/>
                <w:webHidden/>
              </w:rPr>
              <w:tab/>
            </w:r>
            <w:r>
              <w:rPr>
                <w:noProof/>
                <w:webHidden/>
              </w:rPr>
              <w:fldChar w:fldCharType="begin"/>
            </w:r>
            <w:r>
              <w:rPr>
                <w:noProof/>
                <w:webHidden/>
              </w:rPr>
              <w:instrText xml:space="preserve"> PAGEREF _Toc85029590 \h </w:instrText>
            </w:r>
            <w:r>
              <w:rPr>
                <w:noProof/>
                <w:webHidden/>
              </w:rPr>
            </w:r>
            <w:r>
              <w:rPr>
                <w:noProof/>
                <w:webHidden/>
              </w:rPr>
              <w:fldChar w:fldCharType="separate"/>
            </w:r>
            <w:r>
              <w:rPr>
                <w:noProof/>
                <w:webHidden/>
              </w:rPr>
              <w:t>18</w:t>
            </w:r>
            <w:r>
              <w:rPr>
                <w:noProof/>
                <w:webHidden/>
              </w:rPr>
              <w:fldChar w:fldCharType="end"/>
            </w:r>
          </w:hyperlink>
        </w:p>
        <w:p w14:paraId="7173C130" w14:textId="5E077161" w:rsidR="00B92C72" w:rsidRPr="009401F6" w:rsidRDefault="006C626D" w:rsidP="0023397F">
          <w:r w:rsidRPr="009401F6">
            <w:fldChar w:fldCharType="end"/>
          </w:r>
        </w:p>
      </w:sdtContent>
    </w:sdt>
    <w:p w14:paraId="00C73D43" w14:textId="77777777" w:rsidR="00F8365F" w:rsidRPr="009401F6" w:rsidRDefault="00F8365F" w:rsidP="008A07FF">
      <w:r w:rsidRPr="009401F6">
        <w:br w:type="page"/>
      </w:r>
    </w:p>
    <w:p w14:paraId="7685D953" w14:textId="77777777" w:rsidR="001525B4" w:rsidRDefault="001E0113" w:rsidP="00371400">
      <w:pPr>
        <w:pStyle w:val="Heading2"/>
        <w:rPr>
          <w:i/>
        </w:rPr>
      </w:pPr>
      <w:bookmarkStart w:id="1" w:name="_Toc60738322"/>
      <w:bookmarkStart w:id="2" w:name="_Toc85029567"/>
      <w:bookmarkEnd w:id="0"/>
      <w:r w:rsidRPr="00597B50">
        <w:lastRenderedPageBreak/>
        <w:t>Not</w:t>
      </w:r>
      <w:r>
        <w:t xml:space="preserve">ice of interim decisions made under Regulation 42ZCZN of the </w:t>
      </w:r>
      <w:r w:rsidRPr="009B574B">
        <w:rPr>
          <w:i/>
        </w:rPr>
        <w:t>Therapeutic Goods Regulations 1990</w:t>
      </w:r>
      <w:bookmarkEnd w:id="1"/>
      <w:bookmarkEnd w:id="2"/>
    </w:p>
    <w:p w14:paraId="07A51D27" w14:textId="77777777" w:rsidR="00CD1C8D" w:rsidRDefault="00CD1C8D" w:rsidP="00CD1C8D">
      <w:bookmarkStart w:id="3" w:name="_Toc46323639"/>
      <w:bookmarkStart w:id="4" w:name="_Toc60738323"/>
      <w:bookmarkStart w:id="5" w:name="_Toc323738671"/>
      <w:bookmarkStart w:id="6" w:name="_Toc356305157"/>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645C0DAC" w14:textId="13CC0F78" w:rsidR="00CD1C8D" w:rsidRPr="009B574B" w:rsidRDefault="00CD1C8D" w:rsidP="00CD1C8D">
      <w:pPr>
        <w:pStyle w:val="ListBullet"/>
      </w:pPr>
      <w:r w:rsidRPr="009B574B">
        <w:t>the interim decision</w:t>
      </w:r>
      <w:r w:rsidRPr="00BE3418">
        <w:t>s</w:t>
      </w:r>
      <w:r w:rsidRPr="009B574B">
        <w:t xml:space="preserve"> made by a delegate of the Secretary under r</w:t>
      </w:r>
      <w:r>
        <w:t>egulation 42ZCZN in relation to</w:t>
      </w:r>
      <w:r w:rsidRPr="009B574B">
        <w:t xml:space="preserve"> proposed amendmen</w:t>
      </w:r>
      <w:r w:rsidRPr="00BE3418">
        <w:t>ts</w:t>
      </w:r>
      <w:r w:rsidRPr="009B574B">
        <w:t xml:space="preserve"> to the</w:t>
      </w:r>
      <w:r>
        <w:t xml:space="preserve"> current Poisons Standard </w:t>
      </w:r>
      <w:r w:rsidRPr="00BE3418">
        <w:t>which were referred</w:t>
      </w:r>
      <w:r w:rsidRPr="009B574B">
        <w:t xml:space="preserve"> to an expert advisory committee under subdivision 3D.2 of the Regulations in </w:t>
      </w:r>
      <w:r w:rsidR="00F109B0">
        <w:t>June</w:t>
      </w:r>
      <w:r>
        <w:t xml:space="preserve"> </w:t>
      </w:r>
      <w:proofErr w:type="gramStart"/>
      <w:r>
        <w:t>2021</w:t>
      </w:r>
      <w:r w:rsidRPr="009B574B">
        <w:t>;</w:t>
      </w:r>
      <w:proofErr w:type="gramEnd"/>
    </w:p>
    <w:p w14:paraId="3A857BA4" w14:textId="77777777" w:rsidR="00CD1C8D" w:rsidRPr="009B574B" w:rsidRDefault="00CD1C8D" w:rsidP="00CD1C8D">
      <w:pPr>
        <w:pStyle w:val="ListBullet"/>
      </w:pPr>
      <w:r w:rsidRPr="009B574B">
        <w:t>the proposed date of effect of the proposed amendment</w:t>
      </w:r>
      <w:r w:rsidRPr="00BE3418">
        <w:t>s</w:t>
      </w:r>
      <w:r w:rsidRPr="009B574B">
        <w:t xml:space="preserve"> (in circumstances where the interim decision proposes an amendment to the current Poisons Standard).</w:t>
      </w:r>
    </w:p>
    <w:p w14:paraId="2DE51B98" w14:textId="0443BCBB" w:rsidR="00CD1C8D" w:rsidRDefault="00CD1C8D" w:rsidP="00CD1C8D">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 these interim decisions on</w:t>
      </w:r>
      <w:r>
        <w:t xml:space="preserve"> or </w:t>
      </w:r>
      <w:r w:rsidRPr="0094532D">
        <w:t xml:space="preserve">before </w:t>
      </w:r>
      <w:r w:rsidR="00A60447">
        <w:rPr>
          <w:b/>
        </w:rPr>
        <w:t>11</w:t>
      </w:r>
      <w:r w:rsidR="003A70BA">
        <w:rPr>
          <w:b/>
        </w:rPr>
        <w:t xml:space="preserve"> Novem</w:t>
      </w:r>
      <w:r w:rsidR="00683517">
        <w:rPr>
          <w:b/>
        </w:rPr>
        <w:t>ber</w:t>
      </w:r>
      <w:r w:rsidRPr="003D2511">
        <w:rPr>
          <w:b/>
        </w:rPr>
        <w:t xml:space="preserve"> 2021</w:t>
      </w:r>
      <w:r w:rsidRPr="0094532D">
        <w:t>.</w:t>
      </w:r>
    </w:p>
    <w:p w14:paraId="496067F7" w14:textId="77777777" w:rsidR="00CD1C8D" w:rsidRPr="00F46CB7" w:rsidRDefault="00CD1C8D" w:rsidP="00CD1C8D">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12814F17" w14:textId="4AD3A265" w:rsidR="00CD1C8D" w:rsidRDefault="00CD1C8D" w:rsidP="00CD1C8D">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Submissions should</w:t>
      </w:r>
      <w:r>
        <w:rPr>
          <w:rFonts w:eastAsia="Times New Roman"/>
          <w:color w:val="000000"/>
          <w:lang w:val="en" w:eastAsia="en-AU"/>
        </w:rPr>
        <w:t xml:space="preserve"> now</w:t>
      </w:r>
      <w:r w:rsidRPr="00150EDF">
        <w:rPr>
          <w:rFonts w:eastAsia="Times New Roman"/>
          <w:color w:val="000000"/>
          <w:lang w:val="en" w:eastAsia="en-AU"/>
        </w:rPr>
        <w:t xml:space="preserve"> be provided through our </w:t>
      </w:r>
      <w:hyperlink r:id="rId15" w:history="1">
        <w:r w:rsidRPr="000041AF">
          <w:rPr>
            <w:rStyle w:val="Hyperlink"/>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701D4F1F" w14:textId="45D7F068" w:rsidR="00987184" w:rsidRDefault="00CD1C8D" w:rsidP="00A732E1">
      <w:pPr>
        <w:rPr>
          <w:rFonts w:asciiTheme="minorHAnsi" w:hAnsiTheme="minorHAnsi"/>
        </w:rPr>
      </w:pPr>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79F60801" w14:textId="77777777" w:rsidR="00A732E1" w:rsidRDefault="00A732E1" w:rsidP="00A732E1">
      <w:pPr>
        <w:pStyle w:val="Heading2"/>
      </w:pPr>
      <w:bookmarkStart w:id="7" w:name="_Toc85029568"/>
      <w:r>
        <w:t>Interim decision in relation to eugenol</w:t>
      </w:r>
      <w:bookmarkEnd w:id="7"/>
    </w:p>
    <w:p w14:paraId="40CCC08F" w14:textId="11EFE5C9" w:rsidR="00A732E1" w:rsidRDefault="00A732E1" w:rsidP="00A732E1">
      <w:r>
        <w:t xml:space="preserve">During the pre-meeting public consultation, stakeholders advised that certain medical uses of eugenol may be impacted by the proposed amendments. As such, the substance was referred to the Advisory Committee on Medicines and Chemicals Scheduling in joint session. An update on the interim decision for eugenol was included in the </w:t>
      </w:r>
      <w:hyperlink r:id="rId16" w:history="1">
        <w:r w:rsidRPr="001411F4">
          <w:rPr>
            <w:rStyle w:val="Hyperlink"/>
          </w:rPr>
          <w:t>Joint ACMS-ACCS #28 public notice of interim decisions.</w:t>
        </w:r>
      </w:hyperlink>
    </w:p>
    <w:p w14:paraId="2F2001E9" w14:textId="77777777" w:rsidR="00A732E1" w:rsidRDefault="00A732E1" w:rsidP="00CD1C8D">
      <w:pPr>
        <w:rPr>
          <w:rFonts w:asciiTheme="minorHAnsi" w:hAnsiTheme="minorHAnsi"/>
        </w:rPr>
      </w:pPr>
    </w:p>
    <w:p w14:paraId="7D92A59F" w14:textId="1230F45F" w:rsidR="00CD1C8D" w:rsidRPr="00416B66" w:rsidRDefault="00987184" w:rsidP="00987184">
      <w:pPr>
        <w:spacing w:before="0" w:after="0" w:line="240" w:lineRule="auto"/>
        <w:rPr>
          <w:rFonts w:asciiTheme="minorHAnsi" w:hAnsiTheme="minorHAnsi"/>
        </w:rPr>
      </w:pPr>
      <w:r>
        <w:rPr>
          <w:rFonts w:asciiTheme="minorHAnsi" w:hAnsiTheme="minorHAnsi"/>
        </w:rPr>
        <w:br w:type="page"/>
      </w:r>
    </w:p>
    <w:p w14:paraId="5E5E381B" w14:textId="1FFB6407" w:rsidR="001E0113" w:rsidRDefault="001E0113" w:rsidP="00371400">
      <w:pPr>
        <w:pStyle w:val="Heading2"/>
      </w:pPr>
      <w:bookmarkStart w:id="8" w:name="_Toc85029569"/>
      <w:r>
        <w:lastRenderedPageBreak/>
        <w:t xml:space="preserve">Interim </w:t>
      </w:r>
      <w:r w:rsidRPr="00371400">
        <w:t>d</w:t>
      </w:r>
      <w:r w:rsidRPr="00CD1C8D">
        <w:t xml:space="preserve">ecisions </w:t>
      </w:r>
      <w:bookmarkEnd w:id="3"/>
      <w:r w:rsidRPr="00CD1C8D">
        <w:t>on proposed amendments referred to the</w:t>
      </w:r>
      <w:r w:rsidR="003C5C8E">
        <w:t xml:space="preserve"> Advisory Committee on Chemicals</w:t>
      </w:r>
      <w:r w:rsidRPr="00CD1C8D">
        <w:t xml:space="preserve"> Scheduling (</w:t>
      </w:r>
      <w:r w:rsidR="00A61442">
        <w:t>ACCS #31</w:t>
      </w:r>
      <w:r w:rsidR="00CD1C8D" w:rsidRPr="00CD1C8D">
        <w:t>, June 2021</w:t>
      </w:r>
      <w:r w:rsidRPr="00CD1C8D">
        <w:t>)</w:t>
      </w:r>
      <w:bookmarkEnd w:id="4"/>
      <w:bookmarkEnd w:id="8"/>
    </w:p>
    <w:p w14:paraId="5F9B5B3E" w14:textId="40D11A94" w:rsidR="001E0113" w:rsidRDefault="001E0113" w:rsidP="00A61442">
      <w:pPr>
        <w:pStyle w:val="Heading3"/>
      </w:pPr>
      <w:bookmarkStart w:id="9" w:name="_Toc85029570"/>
      <w:r>
        <w:t xml:space="preserve">Interim decision in </w:t>
      </w:r>
      <w:r w:rsidRPr="001E0113">
        <w:t>relation</w:t>
      </w:r>
      <w:r>
        <w:t xml:space="preserve"> to </w:t>
      </w:r>
      <w:r w:rsidR="00A61442" w:rsidRPr="00A61442">
        <w:t>2-amino-5-methylphenol</w:t>
      </w:r>
      <w:bookmarkEnd w:id="9"/>
    </w:p>
    <w:p w14:paraId="786B0D09" w14:textId="65DD5D83" w:rsidR="00CD1C8D" w:rsidRPr="00C721A5" w:rsidRDefault="00CD1C8D" w:rsidP="00C721A5">
      <w:pPr>
        <w:pStyle w:val="Heading4"/>
      </w:pPr>
      <w:bookmarkStart w:id="10" w:name="_Toc85029571"/>
      <w:r w:rsidRPr="00C721A5">
        <w:rPr>
          <w:rFonts w:ascii="Cambria" w:eastAsia="Times New Roman" w:hAnsi="Cambria"/>
          <w:i/>
          <w:color w:val="001523"/>
          <w:sz w:val="22"/>
        </w:rPr>
        <w:t>Proposal</w:t>
      </w:r>
      <w:bookmarkEnd w:id="10"/>
    </w:p>
    <w:p w14:paraId="474B4485" w14:textId="4D662263" w:rsidR="00247A61" w:rsidRDefault="00247A61" w:rsidP="00CD1C8D">
      <w:r>
        <w:t xml:space="preserve">A Delegate of the Secretary of the Commonwealth Department of Health (the Delegate) proposed to create a new Schedule 10 entry for 2-amino-5-methyl phenol to prohibit its sale, </w:t>
      </w:r>
      <w:proofErr w:type="gramStart"/>
      <w:r>
        <w:t>supply</w:t>
      </w:r>
      <w:proofErr w:type="gramEnd"/>
      <w:r>
        <w:t xml:space="preserve"> and use. </w:t>
      </w:r>
      <w:r w:rsidR="00A40CB9">
        <w:t>The substance</w:t>
      </w:r>
      <w:r>
        <w:t xml:space="preserve"> is currently not specifically scheduled in the Poisons Standard. </w:t>
      </w:r>
    </w:p>
    <w:p w14:paraId="660847E4" w14:textId="28DA80AB" w:rsidR="001E0113" w:rsidRPr="00C721A5" w:rsidRDefault="00CD1C8D" w:rsidP="00C721A5">
      <w:pPr>
        <w:pStyle w:val="Heading4"/>
        <w:rPr>
          <w:rFonts w:ascii="Cambria" w:eastAsia="Times New Roman" w:hAnsi="Cambria"/>
          <w:i/>
          <w:color w:val="001523"/>
          <w:sz w:val="22"/>
        </w:rPr>
      </w:pPr>
      <w:bookmarkStart w:id="11" w:name="_Toc85029572"/>
      <w:r w:rsidRPr="00C721A5">
        <w:rPr>
          <w:rFonts w:ascii="Cambria" w:eastAsia="Times New Roman" w:hAnsi="Cambria"/>
          <w:i/>
          <w:color w:val="001523"/>
          <w:sz w:val="22"/>
        </w:rPr>
        <w:t>Interim d</w:t>
      </w:r>
      <w:r w:rsidR="004A7E67" w:rsidRPr="00C721A5">
        <w:rPr>
          <w:rFonts w:ascii="Cambria" w:eastAsia="Times New Roman" w:hAnsi="Cambria"/>
          <w:i/>
          <w:color w:val="001523"/>
          <w:sz w:val="22"/>
        </w:rPr>
        <w:t>ecision</w:t>
      </w:r>
      <w:bookmarkEnd w:id="11"/>
    </w:p>
    <w:p w14:paraId="6DF249EF" w14:textId="12FB423E" w:rsidR="00F05542" w:rsidRDefault="00F05542" w:rsidP="00F05542">
      <w:r w:rsidRPr="00A05D10">
        <w:t>Pursuant to regulation 42ZCZN of the Regulations, a Delegate of the Secretary has, in relation to the proposed amendment, made an interim decision to amend the</w:t>
      </w:r>
      <w:r w:rsidR="00247A61">
        <w:t xml:space="preserve"> scheduling for 2-amino-5-methylphenol </w:t>
      </w:r>
      <w:r>
        <w:t xml:space="preserve">in the </w:t>
      </w:r>
      <w:r w:rsidRPr="00A05D10">
        <w:t>current Poisons St</w:t>
      </w:r>
      <w:r>
        <w:t>andard as follows</w:t>
      </w:r>
      <w:r w:rsidRPr="00A05D10">
        <w:t>:</w:t>
      </w:r>
    </w:p>
    <w:p w14:paraId="5E9806A2" w14:textId="77777777" w:rsidR="00247A61" w:rsidRPr="00247A61" w:rsidRDefault="00247A61" w:rsidP="00247A61">
      <w:pPr>
        <w:ind w:left="709"/>
        <w:rPr>
          <w:b/>
        </w:rPr>
      </w:pPr>
      <w:r w:rsidRPr="00247A61">
        <w:rPr>
          <w:b/>
        </w:rPr>
        <w:t>Schedule 10 – New Entry</w:t>
      </w:r>
    </w:p>
    <w:p w14:paraId="0943518B" w14:textId="3358C05F" w:rsidR="00247A61" w:rsidRPr="00247A61" w:rsidRDefault="00247A61" w:rsidP="00247A61">
      <w:pPr>
        <w:ind w:left="709"/>
        <w:rPr>
          <w:color w:val="00B050"/>
        </w:rPr>
      </w:pPr>
      <w:r w:rsidRPr="00247A61">
        <w:rPr>
          <w:color w:val="00B050"/>
        </w:rPr>
        <w:t xml:space="preserve">2-AMINO-5-METHYLPHENOL in </w:t>
      </w:r>
      <w:r w:rsidR="00B37042">
        <w:rPr>
          <w:color w:val="00B050"/>
        </w:rPr>
        <w:t xml:space="preserve">preparations for </w:t>
      </w:r>
      <w:r w:rsidRPr="00247A61">
        <w:rPr>
          <w:color w:val="00B050"/>
        </w:rPr>
        <w:t>cosmetic</w:t>
      </w:r>
      <w:r w:rsidR="00B37042">
        <w:rPr>
          <w:color w:val="00B050"/>
        </w:rPr>
        <w:t xml:space="preserve"> use</w:t>
      </w:r>
      <w:r w:rsidRPr="00247A61">
        <w:rPr>
          <w:color w:val="00B050"/>
        </w:rPr>
        <w:t>.</w:t>
      </w:r>
    </w:p>
    <w:p w14:paraId="769BE90E" w14:textId="77777777" w:rsidR="00247A61" w:rsidRPr="00247A61" w:rsidRDefault="00247A61" w:rsidP="00247A61">
      <w:pPr>
        <w:ind w:left="709"/>
        <w:rPr>
          <w:b/>
        </w:rPr>
      </w:pPr>
      <w:r w:rsidRPr="00247A61">
        <w:rPr>
          <w:b/>
        </w:rPr>
        <w:t>Schedule 7 – New Entry</w:t>
      </w:r>
    </w:p>
    <w:p w14:paraId="1E8CD7C8" w14:textId="5648BAB1" w:rsidR="00247A61" w:rsidRPr="00247A61" w:rsidRDefault="00247A61" w:rsidP="00247A61">
      <w:pPr>
        <w:ind w:left="709"/>
        <w:rPr>
          <w:color w:val="00B050"/>
        </w:rPr>
      </w:pPr>
      <w:r w:rsidRPr="00247A61">
        <w:rPr>
          <w:color w:val="00B050"/>
        </w:rPr>
        <w:t xml:space="preserve">2-AMINO-5-METHYLPHENOL </w:t>
      </w:r>
      <w:r w:rsidRPr="00247A61">
        <w:rPr>
          <w:b/>
          <w:color w:val="00B050"/>
        </w:rPr>
        <w:t>except</w:t>
      </w:r>
      <w:r w:rsidRPr="00247A61">
        <w:rPr>
          <w:color w:val="00B050"/>
        </w:rPr>
        <w:t xml:space="preserve"> when included in Schedule 10.</w:t>
      </w:r>
    </w:p>
    <w:p w14:paraId="53378F97" w14:textId="4FDD3FB1" w:rsidR="00F05542" w:rsidRPr="00360473" w:rsidRDefault="006D418E" w:rsidP="00F05542">
      <w:pPr>
        <w:ind w:left="709"/>
        <w:rPr>
          <w:b/>
        </w:rPr>
      </w:pPr>
      <w:r>
        <w:rPr>
          <w:b/>
        </w:rPr>
        <w:t>Index – New Entry</w:t>
      </w:r>
    </w:p>
    <w:p w14:paraId="158C6F32" w14:textId="12A1F94A" w:rsidR="00F05542" w:rsidRPr="006D418E" w:rsidRDefault="006D418E" w:rsidP="00F05542">
      <w:pPr>
        <w:ind w:left="709"/>
        <w:rPr>
          <w:color w:val="00B050"/>
        </w:rPr>
      </w:pPr>
      <w:r w:rsidRPr="006D418E">
        <w:rPr>
          <w:b/>
          <w:color w:val="00B050"/>
        </w:rPr>
        <w:t>2-AMINO-5-METHYLPHENOL</w:t>
      </w:r>
    </w:p>
    <w:p w14:paraId="113FDAF1" w14:textId="197E2F45" w:rsidR="006D418E" w:rsidRPr="006D418E" w:rsidRDefault="00F05542" w:rsidP="006D418E">
      <w:pPr>
        <w:ind w:left="709"/>
        <w:rPr>
          <w:color w:val="00B050"/>
        </w:rPr>
      </w:pPr>
      <w:r w:rsidRPr="006D418E">
        <w:rPr>
          <w:color w:val="00B050"/>
        </w:rPr>
        <w:t>Schedule 10</w:t>
      </w:r>
      <w:r w:rsidR="006D418E" w:rsidRPr="006D418E">
        <w:rPr>
          <w:color w:val="00B050"/>
        </w:rPr>
        <w:br/>
        <w:t>Schedule 7</w:t>
      </w:r>
    </w:p>
    <w:p w14:paraId="32B98B69" w14:textId="0A434453" w:rsidR="00CD1C8D" w:rsidRPr="00C721A5" w:rsidRDefault="00CD1C8D" w:rsidP="00C721A5">
      <w:pPr>
        <w:pStyle w:val="Heading4"/>
        <w:rPr>
          <w:rFonts w:ascii="Cambria" w:eastAsia="Times New Roman" w:hAnsi="Cambria"/>
          <w:i/>
          <w:color w:val="001523"/>
          <w:sz w:val="22"/>
        </w:rPr>
      </w:pPr>
      <w:bookmarkStart w:id="12" w:name="_Toc85029573"/>
      <w:r w:rsidRPr="00C721A5">
        <w:rPr>
          <w:rFonts w:ascii="Cambria" w:eastAsia="Times New Roman" w:hAnsi="Cambria"/>
          <w:i/>
          <w:color w:val="001523"/>
          <w:sz w:val="22"/>
        </w:rPr>
        <w:t>Materials considered</w:t>
      </w:r>
      <w:bookmarkEnd w:id="12"/>
    </w:p>
    <w:p w14:paraId="4CE2D319" w14:textId="77777777" w:rsidR="006501A1" w:rsidRDefault="006501A1" w:rsidP="006501A1">
      <w:r>
        <w:t>In making this interim decision, the Delegate considered the following material:</w:t>
      </w:r>
    </w:p>
    <w:p w14:paraId="34C949E3" w14:textId="6ED8CFC1" w:rsidR="006501A1" w:rsidRPr="006501A1" w:rsidRDefault="00676703" w:rsidP="006501A1">
      <w:pPr>
        <w:pStyle w:val="ListBullet"/>
      </w:pPr>
      <w:r>
        <w:t xml:space="preserve">A </w:t>
      </w:r>
      <w:hyperlink r:id="rId17" w:history="1">
        <w:r w:rsidRPr="00676703">
          <w:rPr>
            <w:rStyle w:val="Hyperlink"/>
          </w:rPr>
          <w:t>human health tier II assessment</w:t>
        </w:r>
      </w:hyperlink>
      <w:r>
        <w:t xml:space="preserve"> for 2-amino-5-methylphenol</w:t>
      </w:r>
      <w:r w:rsidR="003D13EB">
        <w:t>, published by</w:t>
      </w:r>
      <w:r w:rsidR="00CC73CF">
        <w:t xml:space="preserve"> AICIS (26 October 2018)</w:t>
      </w:r>
      <w:r w:rsidR="006501A1" w:rsidRPr="006501A1">
        <w:t>;</w:t>
      </w:r>
    </w:p>
    <w:p w14:paraId="29246135" w14:textId="3B46E54F" w:rsidR="006501A1" w:rsidRPr="006367ED" w:rsidRDefault="006501A1" w:rsidP="006501A1">
      <w:pPr>
        <w:pStyle w:val="ListBullet"/>
      </w:pPr>
      <w:r w:rsidRPr="006367ED">
        <w:t xml:space="preserve">The </w:t>
      </w:r>
      <w:r w:rsidR="00676703">
        <w:t>two</w:t>
      </w:r>
      <w:r w:rsidRPr="006367ED">
        <w:t xml:space="preserve"> </w:t>
      </w:r>
      <w:hyperlink r:id="rId18" w:history="1">
        <w:r w:rsidRPr="006367ED">
          <w:rPr>
            <w:rStyle w:val="Hyperlink"/>
          </w:rPr>
          <w:t>public submissions</w:t>
        </w:r>
      </w:hyperlink>
      <w:r w:rsidRPr="006367ED">
        <w:rPr>
          <w:rStyle w:val="Hyperlink"/>
          <w:color w:val="auto"/>
        </w:rPr>
        <w:t>,</w:t>
      </w:r>
      <w:r w:rsidRPr="006367ED">
        <w:t xml:space="preserve"> </w:t>
      </w:r>
      <w:r w:rsidR="00676703">
        <w:t>both</w:t>
      </w:r>
      <w:r w:rsidR="006367ED" w:rsidRPr="006367ED">
        <w:t xml:space="preserve"> including</w:t>
      </w:r>
      <w:r w:rsidRPr="006367ED">
        <w:t xml:space="preserve"> </w:t>
      </w:r>
      <w:r w:rsidR="006367ED" w:rsidRPr="006367ED">
        <w:t xml:space="preserve">a </w:t>
      </w:r>
      <w:r w:rsidRPr="006367ED">
        <w:t xml:space="preserve">written </w:t>
      </w:r>
      <w:r w:rsidR="006367ED" w:rsidRPr="006367ED">
        <w:t>component</w:t>
      </w:r>
      <w:r w:rsidRPr="006367ED">
        <w:t xml:space="preserve">, received in response to the </w:t>
      </w:r>
      <w:hyperlink r:id="rId19" w:history="1">
        <w:r w:rsidRPr="006367ED">
          <w:rPr>
            <w:rStyle w:val="Hyperlink"/>
          </w:rPr>
          <w:t>pre-meeting consultation</w:t>
        </w:r>
      </w:hyperlink>
      <w:r w:rsidRPr="006367ED">
        <w:t xml:space="preserve"> under regulation 42ZCZK of the Regulations;</w:t>
      </w:r>
    </w:p>
    <w:p w14:paraId="73B1FCA0" w14:textId="63F80E8E" w:rsidR="006501A1" w:rsidRDefault="006501A1" w:rsidP="006501A1">
      <w:pPr>
        <w:pStyle w:val="ListBullet"/>
      </w:pPr>
      <w:r>
        <w:t xml:space="preserve">The advice </w:t>
      </w:r>
      <w:r w:rsidRPr="00A825A4">
        <w:t>received from the Meeting of the Advisory Committee o</w:t>
      </w:r>
      <w:r w:rsidR="007439E2">
        <w:t>n Chemicals Scheduling (ACC</w:t>
      </w:r>
      <w:r>
        <w:t>S</w:t>
      </w:r>
      <w:r w:rsidR="007439E2">
        <w:t xml:space="preserve"> #31</w:t>
      </w:r>
      <w:proofErr w:type="gramStart"/>
      <w:r w:rsidRPr="00A825A4">
        <w:t>);</w:t>
      </w:r>
      <w:proofErr w:type="gramEnd"/>
    </w:p>
    <w:p w14:paraId="64CF010D" w14:textId="2ADD25A8" w:rsidR="006501A1" w:rsidRDefault="006501A1" w:rsidP="006501A1">
      <w:pPr>
        <w:pStyle w:val="ListBullet"/>
      </w:pPr>
      <w:r>
        <w:t xml:space="preserve">Subsection 52E(1) of the </w:t>
      </w:r>
      <w:r w:rsidRPr="00FC4D25">
        <w:rPr>
          <w:i/>
        </w:rPr>
        <w:t xml:space="preserve">Therapeutic Goods Act 1989, </w:t>
      </w:r>
      <w:r w:rsidRPr="001169AC">
        <w:t xml:space="preserve">in particular </w:t>
      </w:r>
      <w:r>
        <w:t xml:space="preserve">(a) risks and benefits of the use of a substance; (b) </w:t>
      </w:r>
      <w:r w:rsidR="007439E2">
        <w:t>the purposes for which a substance is to be used and the extent of use of a substance</w:t>
      </w:r>
      <w:r>
        <w:t>;</w:t>
      </w:r>
      <w:r w:rsidR="007439E2">
        <w:t xml:space="preserve"> and</w:t>
      </w:r>
      <w:r>
        <w:t xml:space="preserve"> (c) the toxicity of a substance;</w:t>
      </w:r>
    </w:p>
    <w:p w14:paraId="36695686" w14:textId="44B0133B" w:rsidR="006501A1" w:rsidRDefault="006501A1" w:rsidP="006501A1">
      <w:pPr>
        <w:pStyle w:val="ListBullet"/>
      </w:pPr>
      <w:r w:rsidRPr="002C1418">
        <w:t xml:space="preserve">The Australian Health Ministers’ Advisory Council’s </w:t>
      </w:r>
      <w:hyperlink r:id="rId20" w:history="1">
        <w:r w:rsidRPr="001A7580">
          <w:rPr>
            <w:rStyle w:val="Hyperlink"/>
          </w:rPr>
          <w:t>Scheduling Policy Framework</w:t>
        </w:r>
      </w:hyperlink>
      <w:r>
        <w:t xml:space="preserve"> (SPF 2018</w:t>
      </w:r>
      <w:r w:rsidRPr="002C20AE">
        <w:t>);</w:t>
      </w:r>
      <w:r>
        <w:t xml:space="preserve"> and</w:t>
      </w:r>
    </w:p>
    <w:p w14:paraId="51A0E74A" w14:textId="6B87A21F" w:rsidR="006501A1" w:rsidRPr="006501A1" w:rsidRDefault="006501A1" w:rsidP="00CD1C8D">
      <w:pPr>
        <w:pStyle w:val="ListBullet"/>
      </w:pPr>
      <w:r>
        <w:lastRenderedPageBreak/>
        <w:t xml:space="preserve">The </w:t>
      </w:r>
      <w:hyperlink r:id="rId21" w:history="1">
        <w:r w:rsidRPr="001A7580">
          <w:rPr>
            <w:rStyle w:val="Hyperlink"/>
          </w:rPr>
          <w:t>Scheduling handbook: Guidance for amending the Poisons Standard</w:t>
        </w:r>
      </w:hyperlink>
      <w:r>
        <w:t>.</w:t>
      </w:r>
    </w:p>
    <w:p w14:paraId="5D43EEAC" w14:textId="283322BE" w:rsidR="00CD1C8D" w:rsidRPr="00C721A5" w:rsidRDefault="00BA402D" w:rsidP="00C721A5">
      <w:pPr>
        <w:pStyle w:val="Heading4"/>
        <w:rPr>
          <w:rFonts w:ascii="Cambria" w:eastAsia="Times New Roman" w:hAnsi="Cambria"/>
          <w:i/>
          <w:color w:val="001523"/>
          <w:sz w:val="22"/>
        </w:rPr>
      </w:pPr>
      <w:bookmarkStart w:id="13" w:name="_Toc85029574"/>
      <w:r>
        <w:rPr>
          <w:rFonts w:ascii="Cambria" w:eastAsia="Times New Roman" w:hAnsi="Cambria"/>
          <w:i/>
          <w:color w:val="001523"/>
          <w:sz w:val="22"/>
        </w:rPr>
        <w:t>Summary of ACC</w:t>
      </w:r>
      <w:r w:rsidR="00CD1C8D" w:rsidRPr="00C721A5">
        <w:rPr>
          <w:rFonts w:ascii="Cambria" w:eastAsia="Times New Roman" w:hAnsi="Cambria"/>
          <w:i/>
          <w:color w:val="001523"/>
          <w:sz w:val="22"/>
        </w:rPr>
        <w:t>S advice to the delegate</w:t>
      </w:r>
      <w:bookmarkEnd w:id="13"/>
    </w:p>
    <w:p w14:paraId="2E37CF9B" w14:textId="13678570" w:rsidR="0023227D" w:rsidRDefault="0023227D" w:rsidP="0023227D">
      <w:r>
        <w:t xml:space="preserve">The Committee advised that </w:t>
      </w:r>
      <w:r w:rsidR="0028114E">
        <w:t xml:space="preserve">new entries for 2-amino-5-methylphenol be created in Schedule 10 and Schedule 7 of the Poisons Standard as follows: </w:t>
      </w:r>
    </w:p>
    <w:p w14:paraId="45BFBA1C" w14:textId="77777777" w:rsidR="00676703" w:rsidRPr="00247A61" w:rsidRDefault="00676703" w:rsidP="00676703">
      <w:pPr>
        <w:ind w:left="709"/>
        <w:rPr>
          <w:b/>
        </w:rPr>
      </w:pPr>
      <w:r w:rsidRPr="00247A61">
        <w:rPr>
          <w:b/>
        </w:rPr>
        <w:t>Schedule 10 – New Entry</w:t>
      </w:r>
    </w:p>
    <w:p w14:paraId="6753A0B5" w14:textId="33BA0F24" w:rsidR="00676703" w:rsidRPr="00247A61" w:rsidRDefault="00676703" w:rsidP="00676703">
      <w:pPr>
        <w:ind w:left="709"/>
        <w:rPr>
          <w:color w:val="00B050"/>
        </w:rPr>
      </w:pPr>
      <w:r w:rsidRPr="00247A61">
        <w:rPr>
          <w:color w:val="00B050"/>
        </w:rPr>
        <w:t xml:space="preserve">2-AMINO-5-METHYLPHENOL in </w:t>
      </w:r>
      <w:r w:rsidR="00B11C3B">
        <w:rPr>
          <w:color w:val="00B050"/>
        </w:rPr>
        <w:t xml:space="preserve">preparations for </w:t>
      </w:r>
      <w:r w:rsidRPr="00247A61">
        <w:rPr>
          <w:color w:val="00B050"/>
        </w:rPr>
        <w:t>cosmetic</w:t>
      </w:r>
      <w:r w:rsidR="00B11C3B">
        <w:rPr>
          <w:color w:val="00B050"/>
        </w:rPr>
        <w:t xml:space="preserve"> use</w:t>
      </w:r>
      <w:r w:rsidRPr="00247A61">
        <w:rPr>
          <w:color w:val="00B050"/>
        </w:rPr>
        <w:t>.</w:t>
      </w:r>
    </w:p>
    <w:p w14:paraId="0E49261C" w14:textId="77777777" w:rsidR="00676703" w:rsidRPr="00247A61" w:rsidRDefault="00676703" w:rsidP="00676703">
      <w:pPr>
        <w:ind w:left="709"/>
        <w:rPr>
          <w:b/>
        </w:rPr>
      </w:pPr>
      <w:r w:rsidRPr="00247A61">
        <w:rPr>
          <w:b/>
        </w:rPr>
        <w:t>Schedule 7 – New Entry</w:t>
      </w:r>
    </w:p>
    <w:p w14:paraId="2747B84C" w14:textId="77777777" w:rsidR="00676703" w:rsidRPr="00247A61" w:rsidRDefault="00676703" w:rsidP="00676703">
      <w:pPr>
        <w:ind w:left="709"/>
        <w:rPr>
          <w:color w:val="00B050"/>
        </w:rPr>
      </w:pPr>
      <w:r w:rsidRPr="00247A61">
        <w:rPr>
          <w:color w:val="00B050"/>
        </w:rPr>
        <w:t xml:space="preserve">2-AMINO-5-METHYLPHENOL </w:t>
      </w:r>
      <w:r w:rsidRPr="00247A61">
        <w:rPr>
          <w:b/>
          <w:color w:val="00B050"/>
        </w:rPr>
        <w:t>except</w:t>
      </w:r>
      <w:r w:rsidRPr="00247A61">
        <w:rPr>
          <w:color w:val="00B050"/>
        </w:rPr>
        <w:t xml:space="preserve"> when included in Schedule 10.</w:t>
      </w:r>
    </w:p>
    <w:p w14:paraId="0575F0F6" w14:textId="77777777" w:rsidR="00676703" w:rsidRPr="00360473" w:rsidRDefault="00676703" w:rsidP="00676703">
      <w:pPr>
        <w:ind w:left="709"/>
        <w:rPr>
          <w:b/>
        </w:rPr>
      </w:pPr>
      <w:r>
        <w:rPr>
          <w:b/>
        </w:rPr>
        <w:t>Index – New Entry</w:t>
      </w:r>
    </w:p>
    <w:p w14:paraId="18A9CD6F" w14:textId="77777777" w:rsidR="00676703" w:rsidRPr="006D418E" w:rsidRDefault="00676703" w:rsidP="00676703">
      <w:pPr>
        <w:ind w:left="709"/>
        <w:rPr>
          <w:color w:val="00B050"/>
        </w:rPr>
      </w:pPr>
      <w:r w:rsidRPr="006D418E">
        <w:rPr>
          <w:b/>
          <w:color w:val="00B050"/>
        </w:rPr>
        <w:t>2-AMINO-5-METHYLPHENOL</w:t>
      </w:r>
    </w:p>
    <w:p w14:paraId="453ADA6A" w14:textId="77777777" w:rsidR="00676703" w:rsidRPr="006D418E" w:rsidRDefault="00676703" w:rsidP="00676703">
      <w:pPr>
        <w:ind w:left="709"/>
        <w:rPr>
          <w:color w:val="00B050"/>
        </w:rPr>
      </w:pPr>
      <w:r w:rsidRPr="006D418E">
        <w:rPr>
          <w:color w:val="00B050"/>
        </w:rPr>
        <w:t>Schedule 10</w:t>
      </w:r>
      <w:r w:rsidRPr="006D418E">
        <w:rPr>
          <w:color w:val="00B050"/>
        </w:rPr>
        <w:br/>
        <w:t>Schedule 7</w:t>
      </w:r>
    </w:p>
    <w:p w14:paraId="13B2717B" w14:textId="741B4C11" w:rsidR="0023227D" w:rsidRDefault="0023227D" w:rsidP="00CD1C8D">
      <w:r>
        <w:t xml:space="preserve">The Committee also recommended an implementation date of </w:t>
      </w:r>
      <w:r w:rsidRPr="00D47415">
        <w:rPr>
          <w:b/>
        </w:rPr>
        <w:t xml:space="preserve">1 </w:t>
      </w:r>
      <w:r w:rsidR="00BC61AE">
        <w:rPr>
          <w:b/>
        </w:rPr>
        <w:t>February 2022</w:t>
      </w:r>
      <w:r w:rsidRPr="000460D2">
        <w:t>.</w:t>
      </w:r>
    </w:p>
    <w:p w14:paraId="6DF3DB33" w14:textId="09A86EC0" w:rsidR="0023227D" w:rsidRDefault="0023227D" w:rsidP="0023227D">
      <w:r>
        <w:t xml:space="preserve">Members agreed that the relevant matters under Section 52E(1) of the </w:t>
      </w:r>
      <w:r w:rsidRPr="00AC262B">
        <w:rPr>
          <w:i/>
        </w:rPr>
        <w:t>Therapeutic Goods Act 1989</w:t>
      </w:r>
      <w:r>
        <w:t xml:space="preserve"> included: (a) the risks and benefits of the use of a substance; (b) the purpose for which a substance is to be used and the extent of use of a substance; </w:t>
      </w:r>
      <w:r w:rsidR="00676703">
        <w:t xml:space="preserve">and </w:t>
      </w:r>
      <w:r>
        <w:t xml:space="preserve">(c) the toxicity of a substance. </w:t>
      </w:r>
    </w:p>
    <w:p w14:paraId="35E68777" w14:textId="001C91A9" w:rsidR="0023227D" w:rsidRDefault="0023227D" w:rsidP="00CD1C8D">
      <w:r>
        <w:t>The reasons for the advice included:</w:t>
      </w:r>
    </w:p>
    <w:p w14:paraId="6CD789DB" w14:textId="77777777" w:rsidR="00161877" w:rsidRDefault="00161877" w:rsidP="00161877">
      <w:pPr>
        <w:pStyle w:val="Numberbullet2"/>
        <w:numPr>
          <w:ilvl w:val="0"/>
          <w:numId w:val="15"/>
        </w:numPr>
        <w:ind w:left="360"/>
      </w:pPr>
      <w:r w:rsidRPr="00CC6D0D">
        <w:t>the risks and benefits of the use of a substance</w:t>
      </w:r>
    </w:p>
    <w:p w14:paraId="23D082AF" w14:textId="36F7A790" w:rsidR="00161877" w:rsidRDefault="00161877" w:rsidP="00161877">
      <w:pPr>
        <w:pStyle w:val="ListBullet2"/>
        <w:numPr>
          <w:ilvl w:val="1"/>
          <w:numId w:val="1"/>
        </w:numPr>
        <w:ind w:left="850" w:hanging="425"/>
      </w:pPr>
      <w:r>
        <w:t>Clear evidence of interaction with DNA and its exposure at 1.5% to the public that uses permanent hair dyes.</w:t>
      </w:r>
    </w:p>
    <w:p w14:paraId="11322B40" w14:textId="77777777" w:rsidR="00161877" w:rsidRDefault="00161877" w:rsidP="00161877">
      <w:pPr>
        <w:pStyle w:val="ListBullet2"/>
        <w:numPr>
          <w:ilvl w:val="1"/>
          <w:numId w:val="1"/>
        </w:numPr>
        <w:ind w:left="850" w:hanging="425"/>
      </w:pPr>
      <w:r>
        <w:t>Non-cosmetic uses meet the scheduling factors for Schedule 7.</w:t>
      </w:r>
    </w:p>
    <w:p w14:paraId="4CB1E827" w14:textId="77777777" w:rsidR="00161877" w:rsidRDefault="00161877" w:rsidP="00161877">
      <w:pPr>
        <w:pStyle w:val="ListBullet2"/>
        <w:numPr>
          <w:ilvl w:val="1"/>
          <w:numId w:val="1"/>
        </w:numPr>
        <w:ind w:left="850" w:hanging="425"/>
      </w:pPr>
      <w:r>
        <w:t>May be used as a raw material or in laboratory consumables.</w:t>
      </w:r>
    </w:p>
    <w:p w14:paraId="6023F8F5" w14:textId="77777777" w:rsidR="00161877" w:rsidRDefault="00161877" w:rsidP="00161877">
      <w:pPr>
        <w:pStyle w:val="Numberbullet2"/>
        <w:numPr>
          <w:ilvl w:val="0"/>
          <w:numId w:val="15"/>
        </w:numPr>
        <w:ind w:left="360"/>
      </w:pPr>
      <w:r w:rsidRPr="006E31AD">
        <w:t xml:space="preserve">the purposes for which a </w:t>
      </w:r>
      <w:r w:rsidRPr="00D57819">
        <w:t>substance</w:t>
      </w:r>
      <w:r w:rsidRPr="006E31AD">
        <w:t xml:space="preserve"> is to be used and the extent of use of a substance</w:t>
      </w:r>
    </w:p>
    <w:p w14:paraId="5F12B235" w14:textId="77777777" w:rsidR="00161877" w:rsidRDefault="00161877" w:rsidP="00161877">
      <w:pPr>
        <w:pStyle w:val="ListBullet2"/>
        <w:numPr>
          <w:ilvl w:val="1"/>
          <w:numId w:val="1"/>
        </w:numPr>
        <w:ind w:left="850" w:hanging="425"/>
      </w:pPr>
      <w:r>
        <w:t xml:space="preserve">Substance </w:t>
      </w:r>
      <w:proofErr w:type="gramStart"/>
      <w:r>
        <w:t>is considered to be</w:t>
      </w:r>
      <w:proofErr w:type="gramEnd"/>
      <w:r>
        <w:t xml:space="preserve"> in use as a component in permanent hair dye solutions.</w:t>
      </w:r>
    </w:p>
    <w:p w14:paraId="6B4B87F9" w14:textId="77777777" w:rsidR="00161877" w:rsidRDefault="00161877" w:rsidP="00161877">
      <w:pPr>
        <w:pStyle w:val="ListBullet2"/>
        <w:numPr>
          <w:ilvl w:val="1"/>
          <w:numId w:val="1"/>
        </w:numPr>
        <w:ind w:left="850" w:hanging="425"/>
      </w:pPr>
      <w:r>
        <w:t>May be in use in hair dyes in Australia.</w:t>
      </w:r>
    </w:p>
    <w:p w14:paraId="4BAC4ACD" w14:textId="77777777" w:rsidR="00161877" w:rsidRDefault="00161877" w:rsidP="00161877">
      <w:pPr>
        <w:pStyle w:val="ListBullet2"/>
        <w:numPr>
          <w:ilvl w:val="1"/>
          <w:numId w:val="1"/>
        </w:numPr>
        <w:ind w:left="850" w:hanging="425"/>
      </w:pPr>
      <w:r>
        <w:t>Industry bodies that responded to the public consultation indicated that their members do not use the substance.</w:t>
      </w:r>
    </w:p>
    <w:p w14:paraId="2BBE7151" w14:textId="77777777" w:rsidR="00161877" w:rsidRDefault="00161877" w:rsidP="00161877">
      <w:pPr>
        <w:pStyle w:val="ListBullet2"/>
        <w:numPr>
          <w:ilvl w:val="1"/>
          <w:numId w:val="1"/>
        </w:numPr>
        <w:ind w:left="850" w:hanging="425"/>
      </w:pPr>
      <w:r>
        <w:t xml:space="preserve">The substance is highly likely to be supplied to and used in research laboratories, noting the </w:t>
      </w:r>
      <w:proofErr w:type="gramStart"/>
      <w:r>
        <w:t>fairly simple</w:t>
      </w:r>
      <w:proofErr w:type="gramEnd"/>
      <w:r>
        <w:t xml:space="preserve"> chemical structure.</w:t>
      </w:r>
    </w:p>
    <w:p w14:paraId="440DF7E8" w14:textId="77777777" w:rsidR="00161877" w:rsidRDefault="00161877" w:rsidP="00161877">
      <w:pPr>
        <w:pStyle w:val="Numberbullet2"/>
        <w:numPr>
          <w:ilvl w:val="0"/>
          <w:numId w:val="15"/>
        </w:numPr>
        <w:ind w:left="360"/>
      </w:pPr>
      <w:r w:rsidRPr="006E31AD">
        <w:t xml:space="preserve">the toxicity of a </w:t>
      </w:r>
      <w:r w:rsidRPr="00D57819">
        <w:t>substance</w:t>
      </w:r>
    </w:p>
    <w:p w14:paraId="66EC640F" w14:textId="77777777" w:rsidR="00161877" w:rsidRDefault="00161877" w:rsidP="00161877">
      <w:pPr>
        <w:pStyle w:val="ListBullet2"/>
        <w:numPr>
          <w:ilvl w:val="1"/>
          <w:numId w:val="1"/>
        </w:numPr>
        <w:ind w:left="850" w:hanging="425"/>
      </w:pPr>
      <w:r>
        <w:t>The substance is acutely toxic by the oral route.</w:t>
      </w:r>
    </w:p>
    <w:p w14:paraId="15C7790E" w14:textId="55E40B5D" w:rsidR="00161877" w:rsidRDefault="00161877" w:rsidP="00161877">
      <w:pPr>
        <w:pStyle w:val="ListBullet2"/>
        <w:numPr>
          <w:ilvl w:val="1"/>
          <w:numId w:val="1"/>
        </w:numPr>
        <w:ind w:left="850" w:hanging="425"/>
      </w:pPr>
      <w:r>
        <w:t>The substance has the potential for interactions with DNA.</w:t>
      </w:r>
    </w:p>
    <w:p w14:paraId="630CA3C2" w14:textId="4F7CD62B" w:rsidR="00161877" w:rsidRDefault="00161877" w:rsidP="00161877">
      <w:pPr>
        <w:pStyle w:val="ListBullet2"/>
      </w:pPr>
      <w:r>
        <w:t>The substance is a moderate skin sensitiser</w:t>
      </w:r>
    </w:p>
    <w:p w14:paraId="03311142" w14:textId="286B06C0" w:rsidR="00161877" w:rsidRDefault="00161877" w:rsidP="00161877">
      <w:pPr>
        <w:pStyle w:val="Numberbullet2"/>
        <w:numPr>
          <w:ilvl w:val="0"/>
          <w:numId w:val="15"/>
        </w:numPr>
        <w:ind w:left="360"/>
      </w:pPr>
      <w:r>
        <w:t xml:space="preserve">the dosage, formulation, labelling, </w:t>
      </w:r>
      <w:proofErr w:type="gramStart"/>
      <w:r>
        <w:t>packaging</w:t>
      </w:r>
      <w:proofErr w:type="gramEnd"/>
      <w:r>
        <w:t xml:space="preserve"> and presentation of a substance</w:t>
      </w:r>
    </w:p>
    <w:p w14:paraId="2CEECB6B" w14:textId="4A298246" w:rsidR="00161877" w:rsidRDefault="00161877" w:rsidP="00161877">
      <w:pPr>
        <w:pStyle w:val="ListBullet2"/>
      </w:pPr>
      <w:r>
        <w:lastRenderedPageBreak/>
        <w:t>Nil</w:t>
      </w:r>
    </w:p>
    <w:p w14:paraId="357799A9" w14:textId="05A2B596" w:rsidR="00161877" w:rsidRDefault="00161877" w:rsidP="00161877">
      <w:pPr>
        <w:pStyle w:val="Numberbullet2"/>
        <w:numPr>
          <w:ilvl w:val="0"/>
          <w:numId w:val="15"/>
        </w:numPr>
        <w:ind w:left="360"/>
      </w:pPr>
      <w:r>
        <w:t>the potential for abuse of a substance</w:t>
      </w:r>
    </w:p>
    <w:p w14:paraId="4E1CE779" w14:textId="018CCF06" w:rsidR="00161877" w:rsidRDefault="00161877" w:rsidP="00161877">
      <w:pPr>
        <w:pStyle w:val="ListBullet2"/>
      </w:pPr>
      <w:r>
        <w:t>Nil</w:t>
      </w:r>
    </w:p>
    <w:p w14:paraId="11EEC371" w14:textId="294DF1C8" w:rsidR="00161877" w:rsidRDefault="00161877" w:rsidP="00161877">
      <w:pPr>
        <w:pStyle w:val="Numberbullet2"/>
        <w:numPr>
          <w:ilvl w:val="0"/>
          <w:numId w:val="15"/>
        </w:numPr>
        <w:ind w:left="360"/>
      </w:pPr>
      <w:r>
        <w:t>any other matters that the Secretary considers necessary to protect public health</w:t>
      </w:r>
    </w:p>
    <w:p w14:paraId="2E41577B" w14:textId="18D6CB63" w:rsidR="00161877" w:rsidRPr="0023227D" w:rsidRDefault="00161877" w:rsidP="00C937E1">
      <w:pPr>
        <w:pStyle w:val="ListBullet2"/>
      </w:pPr>
      <w:r>
        <w:t>Nil</w:t>
      </w:r>
    </w:p>
    <w:p w14:paraId="5CE74C47" w14:textId="3552FB57" w:rsidR="00CD1C8D" w:rsidRPr="00C721A5" w:rsidRDefault="00CD1C8D" w:rsidP="00C721A5">
      <w:pPr>
        <w:pStyle w:val="Heading4"/>
        <w:rPr>
          <w:rFonts w:ascii="Cambria" w:eastAsia="Times New Roman" w:hAnsi="Cambria"/>
          <w:i/>
          <w:color w:val="001523"/>
          <w:sz w:val="22"/>
        </w:rPr>
      </w:pPr>
      <w:bookmarkStart w:id="14" w:name="_Toc85029575"/>
      <w:r w:rsidRPr="00C721A5">
        <w:rPr>
          <w:rFonts w:ascii="Cambria" w:eastAsia="Times New Roman" w:hAnsi="Cambria"/>
          <w:i/>
          <w:color w:val="001523"/>
          <w:sz w:val="22"/>
        </w:rPr>
        <w:t>Reasons for the interim decision (including findings on material questions of fact)</w:t>
      </w:r>
      <w:bookmarkEnd w:id="14"/>
    </w:p>
    <w:p w14:paraId="4921BF82" w14:textId="29D7E942" w:rsidR="0028114E" w:rsidRDefault="00DC5FA3" w:rsidP="004A7E67">
      <w:r>
        <w:t xml:space="preserve">I have made an interim </w:t>
      </w:r>
      <w:r w:rsidR="00CC73CF">
        <w:t xml:space="preserve">decision </w:t>
      </w:r>
      <w:r w:rsidR="0028114E">
        <w:t xml:space="preserve">to create new Schedule 10 and Schedule 7 entries for 2-amino-5-methylphenol, as recommended by the Committee. </w:t>
      </w:r>
      <w:r>
        <w:t xml:space="preserve">The proposed Schedule 10 entry would capture cosmetic use of the substance, while all other uses would fall under Schedule 7. </w:t>
      </w:r>
      <w:r w:rsidR="0028114E">
        <w:t>The detailed reasons for my decision follow.</w:t>
      </w:r>
    </w:p>
    <w:p w14:paraId="15D402FA" w14:textId="77777777" w:rsidR="00161877" w:rsidRDefault="00161877" w:rsidP="00161877">
      <w:r>
        <w:t xml:space="preserve">2-amino-5-methylphenol is an ingredient in hair dye products. There are currently no restrictions on the use of this substance in Australia. </w:t>
      </w:r>
    </w:p>
    <w:p w14:paraId="0182E07B" w14:textId="6C43F25D" w:rsidR="00161877" w:rsidRDefault="00161877" w:rsidP="00161877">
      <w:r>
        <w:t xml:space="preserve">I note the comparison of this substance with the </w:t>
      </w:r>
      <w:r w:rsidR="001C015C">
        <w:t xml:space="preserve">structurally </w:t>
      </w:r>
      <w:r>
        <w:t xml:space="preserve">similar </w:t>
      </w:r>
      <w:r w:rsidRPr="00AA5731">
        <w:t>2-amino-5-ethylphenol</w:t>
      </w:r>
      <w:r w:rsidR="009169FC">
        <w:t xml:space="preserve">. </w:t>
      </w:r>
      <w:r w:rsidR="009169FC" w:rsidRPr="00AA5731">
        <w:t>2-amino-5-ethylphenol</w:t>
      </w:r>
      <w:r w:rsidRPr="00AA5731">
        <w:t xml:space="preserve"> </w:t>
      </w:r>
      <w:r>
        <w:t>i</w:t>
      </w:r>
      <w:r w:rsidRPr="00AA5731">
        <w:t>s listed in Schedule 6 of the Poisons Standard</w:t>
      </w:r>
      <w:r w:rsidR="002F002C">
        <w:t xml:space="preserve"> </w:t>
      </w:r>
      <w:r w:rsidR="009169FC">
        <w:t>and</w:t>
      </w:r>
      <w:r w:rsidR="002F002C">
        <w:t xml:space="preserve"> is of considerably lower toxicity than 2-amino-5-methylphenol</w:t>
      </w:r>
      <w:r w:rsidRPr="00AA5731">
        <w:t xml:space="preserve">. </w:t>
      </w:r>
      <w:r>
        <w:t>T</w:t>
      </w:r>
      <w:r w:rsidRPr="00AA5731">
        <w:t xml:space="preserve">he </w:t>
      </w:r>
      <w:r w:rsidR="00BC406B">
        <w:t>European Union Scientific Committee on Consumer Safety (</w:t>
      </w:r>
      <w:r w:rsidRPr="00AA5731">
        <w:t>EU</w:t>
      </w:r>
      <w:r w:rsidR="00CC73CF">
        <w:t xml:space="preserve"> </w:t>
      </w:r>
      <w:r w:rsidRPr="00AA5731">
        <w:t>SCCS</w:t>
      </w:r>
      <w:r w:rsidR="00BC406B">
        <w:t>)</w:t>
      </w:r>
      <w:r w:rsidRPr="00AA5731">
        <w:t xml:space="preserve"> opinion on </w:t>
      </w:r>
      <w:r>
        <w:t>2-amino-5-ethylphenol states that it does not</w:t>
      </w:r>
      <w:r w:rsidRPr="00AA5731">
        <w:t xml:space="preserve"> pose a risk to the health of the consumer at a maximum on-head concentration of 1.0%, apart from its sensitisation potential</w:t>
      </w:r>
      <w:r>
        <w:t xml:space="preserve"> which is the primary basis for the Schedule 6 entry.</w:t>
      </w:r>
    </w:p>
    <w:p w14:paraId="14EA6FE1" w14:textId="05B5C469" w:rsidR="00161877" w:rsidRDefault="00161877" w:rsidP="00161877">
      <w:r>
        <w:t xml:space="preserve">I acknowledge that 2-amino-5-methylphenol’s acute oral toxicity data (1225 – 1375 mg/kg </w:t>
      </w:r>
      <w:proofErr w:type="spellStart"/>
      <w:r>
        <w:t>bw</w:t>
      </w:r>
      <w:proofErr w:type="spellEnd"/>
      <w:r>
        <w:t xml:space="preserve"> in rats) aligns with the scheduling factors for Schedule 6, and it is regarded as a moderate skin sensitiser based on</w:t>
      </w:r>
      <w:r w:rsidR="00CC73CF">
        <w:t xml:space="preserve"> results from</w:t>
      </w:r>
      <w:r>
        <w:t xml:space="preserve"> a local lymph node assay. However, I </w:t>
      </w:r>
      <w:r w:rsidR="001C015C">
        <w:t xml:space="preserve">note </w:t>
      </w:r>
      <w:r>
        <w:t xml:space="preserve">that the data on eye and skin irritation properties of the substance </w:t>
      </w:r>
      <w:r w:rsidR="00CC73CF">
        <w:t>are</w:t>
      </w:r>
      <w:r>
        <w:t xml:space="preserve"> limited, and there is a distinct lack of data on acute or repeated dermal and inhalation toxicity.</w:t>
      </w:r>
    </w:p>
    <w:p w14:paraId="00D2D021" w14:textId="44FB5509" w:rsidR="00161877" w:rsidRDefault="00161877" w:rsidP="00161877">
      <w:r>
        <w:t>I agree with the Committee that the primary concern related to the toxicity of this substance is its potential for genotoxicity. I have noted the E</w:t>
      </w:r>
      <w:r w:rsidR="00BC406B">
        <w:t xml:space="preserve">U </w:t>
      </w:r>
      <w:r>
        <w:t xml:space="preserve">SCCS opinion on the substance, which indicates that it has potential for interaction with DNA and concluded that the substance was not safe for consumers when used in oxidative hair dye formulations with a concentration of 1.5%. This conclusion is supported by </w:t>
      </w:r>
      <w:proofErr w:type="gramStart"/>
      <w:r>
        <w:t>a number of</w:t>
      </w:r>
      <w:proofErr w:type="gramEnd"/>
      <w:r>
        <w:t xml:space="preserve"> </w:t>
      </w:r>
      <w:r w:rsidRPr="00825A9B">
        <w:rPr>
          <w:i/>
          <w:iCs/>
        </w:rPr>
        <w:t xml:space="preserve">in vitro </w:t>
      </w:r>
      <w:r>
        <w:t>assay results, including:</w:t>
      </w:r>
    </w:p>
    <w:p w14:paraId="3287223F" w14:textId="77777777" w:rsidR="00161877" w:rsidRDefault="00161877" w:rsidP="00161877">
      <w:pPr>
        <w:pStyle w:val="ListBullet2"/>
        <w:numPr>
          <w:ilvl w:val="1"/>
          <w:numId w:val="1"/>
        </w:numPr>
        <w:ind w:left="850" w:hanging="425"/>
      </w:pPr>
      <w:r>
        <w:t xml:space="preserve">Bacterial reverse mutation assay in </w:t>
      </w:r>
      <w:r w:rsidRPr="00AA5731">
        <w:rPr>
          <w:i/>
        </w:rPr>
        <w:t xml:space="preserve">Salmonella </w:t>
      </w:r>
      <w:proofErr w:type="gramStart"/>
      <w:r w:rsidRPr="00AA5731">
        <w:rPr>
          <w:i/>
        </w:rPr>
        <w:t>typhimurium</w:t>
      </w:r>
      <w:r>
        <w:t>;</w:t>
      </w:r>
      <w:proofErr w:type="gramEnd"/>
    </w:p>
    <w:p w14:paraId="05399914" w14:textId="77777777" w:rsidR="00161877" w:rsidRDefault="00161877" w:rsidP="00161877">
      <w:pPr>
        <w:pStyle w:val="ListBullet2"/>
        <w:numPr>
          <w:ilvl w:val="1"/>
          <w:numId w:val="1"/>
        </w:numPr>
        <w:ind w:left="850" w:hanging="425"/>
      </w:pPr>
      <w:r>
        <w:t xml:space="preserve">Thymidine kinase gene mutation test in mouse lymphoma cells with metabolic activation, indicating a clastogenic </w:t>
      </w:r>
      <w:proofErr w:type="gramStart"/>
      <w:r>
        <w:t>effect;</w:t>
      </w:r>
      <w:proofErr w:type="gramEnd"/>
    </w:p>
    <w:p w14:paraId="0DB254DB" w14:textId="77777777" w:rsidR="00161877" w:rsidRDefault="00161877" w:rsidP="00161877">
      <w:pPr>
        <w:pStyle w:val="ListBullet2"/>
        <w:numPr>
          <w:ilvl w:val="1"/>
          <w:numId w:val="1"/>
        </w:numPr>
        <w:ind w:left="850" w:hanging="425"/>
      </w:pPr>
      <w:r>
        <w:t>Micronucleus test in human lymphocytes without metabolic activation, indicating genotoxicity; and</w:t>
      </w:r>
    </w:p>
    <w:p w14:paraId="0D6E1F11" w14:textId="77777777" w:rsidR="00161877" w:rsidRDefault="00161877" w:rsidP="00161877">
      <w:pPr>
        <w:pStyle w:val="ListBullet2"/>
        <w:numPr>
          <w:ilvl w:val="1"/>
          <w:numId w:val="1"/>
        </w:numPr>
        <w:ind w:left="850" w:hanging="425"/>
      </w:pPr>
      <w:r>
        <w:t>Alkaline comet assay with Chinese hamster lung cells.</w:t>
      </w:r>
    </w:p>
    <w:p w14:paraId="54AA89EB" w14:textId="77777777" w:rsidR="00161877" w:rsidRDefault="00161877" w:rsidP="00161877">
      <w:r>
        <w:t xml:space="preserve">The </w:t>
      </w:r>
      <w:r w:rsidRPr="00AA5731">
        <w:t>irreversible</w:t>
      </w:r>
      <w:r>
        <w:t xml:space="preserve"> systemic toxicity associated with the substance, especially when considering that safer alternatives are readily available for substitution, would align 2-amino-5-methylphenol with the Schedule 10 factors. The public health risk substantially outweighs the benefits, to the extent that restricting public access to this level is warranted.</w:t>
      </w:r>
      <w:r w:rsidRPr="00B14F50">
        <w:t xml:space="preserve"> </w:t>
      </w:r>
      <w:r>
        <w:t>This serious public health risk is restricted to cosmetic use.</w:t>
      </w:r>
    </w:p>
    <w:p w14:paraId="2D79E5CC" w14:textId="629A768B" w:rsidR="00161877" w:rsidRDefault="00161877" w:rsidP="00161877">
      <w:r>
        <w:t>In addition, I have noted that a metabolite of the substance, namely N-acetyl-2-amino-5-methylphenol, was declared genotoxic by the</w:t>
      </w:r>
      <w:r w:rsidR="00A06CF7">
        <w:t xml:space="preserve"> EU</w:t>
      </w:r>
      <w:r>
        <w:t xml:space="preserve"> SCCS based on the results of an </w:t>
      </w:r>
      <w:r w:rsidRPr="00825A9B">
        <w:rPr>
          <w:i/>
          <w:iCs/>
        </w:rPr>
        <w:t>in vitro</w:t>
      </w:r>
      <w:r>
        <w:t xml:space="preserve"> micronucleus assay.</w:t>
      </w:r>
    </w:p>
    <w:p w14:paraId="38718C64" w14:textId="23F5FE82" w:rsidR="00161877" w:rsidRDefault="00161877" w:rsidP="00161877">
      <w:r>
        <w:lastRenderedPageBreak/>
        <w:t xml:space="preserve">I have considered the public submissions regarding the scheduling application. </w:t>
      </w:r>
      <w:proofErr w:type="gramStart"/>
      <w:r>
        <w:t>In particular, I</w:t>
      </w:r>
      <w:proofErr w:type="gramEnd"/>
      <w:r>
        <w:t xml:space="preserve"> note the written submission which opposed the proposed comprehensive Schedule 10 entry on the grounds of the reduced exposure pathways associated with non-cosmetic uses of the substance, such as laboratory and industrial use. I agree with the Committee</w:t>
      </w:r>
      <w:r w:rsidR="00A12C84">
        <w:t>’s</w:t>
      </w:r>
      <w:r>
        <w:t xml:space="preserve"> advice that the relatively simple chemical structure of the substance lends it to use as a synthetic building block for laboratory reagents, and that a Schedule 10 entry without exemptions may be unnecessarily restrictive.</w:t>
      </w:r>
    </w:p>
    <w:p w14:paraId="7723A487" w14:textId="2D58228B" w:rsidR="00161877" w:rsidRDefault="00161877" w:rsidP="00161877">
      <w:pPr>
        <w:pStyle w:val="ListBullet"/>
        <w:numPr>
          <w:ilvl w:val="0"/>
          <w:numId w:val="0"/>
        </w:numPr>
      </w:pPr>
      <w:r>
        <w:t>Noting the substantial barriers to state and territories in authorising the use of Schedule 10 substances, I have decided to restrict the new Schedule 10 entry for the substance to preparations for cosmetic use</w:t>
      </w:r>
      <w:r w:rsidR="00A12C84">
        <w:t xml:space="preserve"> only at this time</w:t>
      </w:r>
      <w:r>
        <w:t xml:space="preserve">. By creating a Schedule 7 entry to capture all other uses of the substance, suitable safeguards </w:t>
      </w:r>
      <w:r w:rsidR="00A12C84">
        <w:t>can be</w:t>
      </w:r>
      <w:r>
        <w:t xml:space="preserve"> implemented for a substance with such associated toxicity, while not unduly preventing access for use in applications with a lower</w:t>
      </w:r>
      <w:r w:rsidR="00A12C84">
        <w:t xml:space="preserve"> level </w:t>
      </w:r>
      <w:r>
        <w:t xml:space="preserve">of exposure. A Schedule 7 entry enables access only to authorised users, who have been adequately trained and informed of the potential harm the substance may cause at low </w:t>
      </w:r>
      <w:r w:rsidR="00A12C84">
        <w:t xml:space="preserve">levels of </w:t>
      </w:r>
      <w:r>
        <w:t>exposure.</w:t>
      </w:r>
    </w:p>
    <w:p w14:paraId="2D6BC4D5" w14:textId="77777777" w:rsidR="00161877" w:rsidRDefault="00161877" w:rsidP="00161877">
      <w:pPr>
        <w:pStyle w:val="ListBullet"/>
        <w:numPr>
          <w:ilvl w:val="0"/>
          <w:numId w:val="0"/>
        </w:numPr>
      </w:pPr>
      <w:r>
        <w:t>Given the potential harms associated with the substance, I see no reason to delay implementation of the new entries into the Poisons Standard.</w:t>
      </w:r>
    </w:p>
    <w:p w14:paraId="4D5A2431" w14:textId="22BA3DAB" w:rsidR="001D6386" w:rsidRDefault="00161877" w:rsidP="004A7E67">
      <w:r w:rsidRPr="006B74E6">
        <w:rPr>
          <w:bCs/>
        </w:rPr>
        <w:t>I agree with the Committee's finding</w:t>
      </w:r>
      <w:r>
        <w:rPr>
          <w:bCs/>
        </w:rPr>
        <w:t>s</w:t>
      </w:r>
      <w:r w:rsidRPr="006B74E6">
        <w:rPr>
          <w:bCs/>
        </w:rPr>
        <w:t xml:space="preserve"> that the relevant provisions of section 52E of the </w:t>
      </w:r>
      <w:r w:rsidRPr="006B74E6">
        <w:rPr>
          <w:bCs/>
          <w:i/>
          <w:iCs/>
        </w:rPr>
        <w:t>Therapeutic Goods Act 1989</w:t>
      </w:r>
      <w:r w:rsidRPr="006B74E6">
        <w:rPr>
          <w:bCs/>
        </w:rPr>
        <w:t> are</w:t>
      </w:r>
      <w:r>
        <w:rPr>
          <w:bCs/>
        </w:rPr>
        <w:t>:</w:t>
      </w:r>
      <w:r w:rsidRPr="00C70F72">
        <w:t xml:space="preserve"> (a) risks and benefits of the use of a substance; (b) the purpose for which a substance is to be used </w:t>
      </w:r>
      <w:r>
        <w:t>and the extent of use of a substance</w:t>
      </w:r>
      <w:r w:rsidRPr="00C70F72">
        <w:t>;</w:t>
      </w:r>
      <w:r>
        <w:t xml:space="preserve"> and</w:t>
      </w:r>
      <w:r w:rsidRPr="00C70F72">
        <w:t xml:space="preserve"> (c) the toxicity of a substance</w:t>
      </w:r>
      <w:r w:rsidRPr="00082B02">
        <w:t>.</w:t>
      </w:r>
    </w:p>
    <w:p w14:paraId="0E3916C5" w14:textId="7BB7AE3E" w:rsidR="0009604B" w:rsidRPr="00C721A5" w:rsidRDefault="006367ED" w:rsidP="00C721A5">
      <w:pPr>
        <w:pStyle w:val="Heading4"/>
        <w:rPr>
          <w:rFonts w:ascii="Cambria" w:eastAsia="Times New Roman" w:hAnsi="Cambria"/>
          <w:i/>
          <w:color w:val="001523"/>
          <w:sz w:val="22"/>
        </w:rPr>
      </w:pPr>
      <w:bookmarkStart w:id="15" w:name="_Toc85029576"/>
      <w:r w:rsidRPr="00C721A5">
        <w:rPr>
          <w:rFonts w:ascii="Cambria" w:eastAsia="Times New Roman" w:hAnsi="Cambria"/>
          <w:i/>
          <w:color w:val="001523"/>
          <w:sz w:val="22"/>
        </w:rPr>
        <w:t>Proposed implementation date</w:t>
      </w:r>
      <w:bookmarkEnd w:id="15"/>
    </w:p>
    <w:p w14:paraId="2929E0B1" w14:textId="3FDD767D" w:rsidR="006367ED" w:rsidRDefault="006367ED" w:rsidP="004A7E67">
      <w:pPr>
        <w:rPr>
          <w:rFonts w:eastAsia="Times New Roman"/>
          <w:b/>
          <w:bCs/>
          <w:color w:val="001523"/>
          <w:szCs w:val="26"/>
        </w:rPr>
      </w:pPr>
      <w:r>
        <w:rPr>
          <w:rFonts w:eastAsia="Times New Roman"/>
          <w:b/>
          <w:bCs/>
          <w:color w:val="001523"/>
          <w:szCs w:val="26"/>
        </w:rPr>
        <w:t>1 February 2022</w:t>
      </w:r>
    </w:p>
    <w:p w14:paraId="4F334452" w14:textId="6E65FA8D" w:rsidR="00D60ACA" w:rsidRDefault="00D60ACA" w:rsidP="00D60ACA">
      <w:pPr>
        <w:pStyle w:val="Heading3"/>
      </w:pPr>
      <w:bookmarkStart w:id="16" w:name="_Toc85029577"/>
      <w:r>
        <w:t xml:space="preserve">Interim decision in </w:t>
      </w:r>
      <w:r w:rsidRPr="001E0113">
        <w:t>relation</w:t>
      </w:r>
      <w:r>
        <w:t xml:space="preserve"> to </w:t>
      </w:r>
      <w:r w:rsidR="00A61442" w:rsidRPr="0078725C">
        <w:t>6-methoxy-N2-methyl-2,3-pyridinediamine</w:t>
      </w:r>
      <w:bookmarkEnd w:id="16"/>
    </w:p>
    <w:p w14:paraId="6E503897" w14:textId="77777777" w:rsidR="00A40CB9" w:rsidRPr="00C721A5" w:rsidRDefault="00A40CB9" w:rsidP="00A40CB9">
      <w:pPr>
        <w:pStyle w:val="Heading4"/>
      </w:pPr>
      <w:bookmarkStart w:id="17" w:name="_Toc85029578"/>
      <w:r w:rsidRPr="00C721A5">
        <w:rPr>
          <w:rFonts w:ascii="Cambria" w:eastAsia="Times New Roman" w:hAnsi="Cambria"/>
          <w:i/>
          <w:color w:val="001523"/>
          <w:sz w:val="22"/>
        </w:rPr>
        <w:t>Proposal</w:t>
      </w:r>
      <w:bookmarkEnd w:id="17"/>
    </w:p>
    <w:p w14:paraId="23865CBF" w14:textId="5B694D76" w:rsidR="00A40CB9" w:rsidRDefault="00A40CB9" w:rsidP="00A40CB9">
      <w:r>
        <w:t xml:space="preserve">A Delegate of the Secretary of the Commonwealth Department of Health (the Delegate) proposed to create a new Schedule 7 entry for </w:t>
      </w:r>
      <w:r w:rsidRPr="0078725C">
        <w:t>6-methoxy-N2-methyl-2,3-pyridinediamine</w:t>
      </w:r>
      <w:r>
        <w:t xml:space="preserve">, with exceptions for low concentrations in cosmetic products with compliant labelling. The substance is currently unscheduled. </w:t>
      </w:r>
    </w:p>
    <w:p w14:paraId="5C776602" w14:textId="77777777" w:rsidR="00A40CB9" w:rsidRPr="00C721A5" w:rsidRDefault="00A40CB9" w:rsidP="00A40CB9">
      <w:pPr>
        <w:pStyle w:val="Heading4"/>
        <w:rPr>
          <w:rFonts w:ascii="Cambria" w:eastAsia="Times New Roman" w:hAnsi="Cambria"/>
          <w:i/>
          <w:color w:val="001523"/>
          <w:sz w:val="22"/>
        </w:rPr>
      </w:pPr>
      <w:bookmarkStart w:id="18" w:name="_Toc85029579"/>
      <w:r w:rsidRPr="00C721A5">
        <w:rPr>
          <w:rFonts w:ascii="Cambria" w:eastAsia="Times New Roman" w:hAnsi="Cambria"/>
          <w:i/>
          <w:color w:val="001523"/>
          <w:sz w:val="22"/>
        </w:rPr>
        <w:t>Interim decision</w:t>
      </w:r>
      <w:bookmarkEnd w:id="18"/>
    </w:p>
    <w:p w14:paraId="6B914B6B" w14:textId="382020AF" w:rsidR="00A40CB9" w:rsidRDefault="00A40CB9" w:rsidP="00A40CB9">
      <w:r w:rsidRPr="00A05D10">
        <w:t>Pursuant to regulation 42ZCZN of the Regulations, a Delegate of the Secretary has, in relation to the proposed amendment, made an interim decision to amend the</w:t>
      </w:r>
      <w:r>
        <w:t xml:space="preserve"> scheduling for </w:t>
      </w:r>
      <w:r w:rsidR="003E2CAF" w:rsidRPr="0078725C">
        <w:t>6-methoxy-N2-methyl-2,3-pyridinediamine</w:t>
      </w:r>
      <w:r>
        <w:t xml:space="preserve"> in the </w:t>
      </w:r>
      <w:r w:rsidRPr="00A05D10">
        <w:t>current Poisons St</w:t>
      </w:r>
      <w:r>
        <w:t>andard as follows</w:t>
      </w:r>
      <w:r w:rsidRPr="00A05D10">
        <w:t>:</w:t>
      </w:r>
      <w:r w:rsidR="003E2CAF">
        <w:t xml:space="preserve"> </w:t>
      </w:r>
    </w:p>
    <w:p w14:paraId="1AF46272" w14:textId="77777777" w:rsidR="003E2CAF" w:rsidRPr="003E2CAF" w:rsidRDefault="003E2CAF" w:rsidP="003E2CAF">
      <w:pPr>
        <w:ind w:left="709"/>
        <w:rPr>
          <w:b/>
        </w:rPr>
      </w:pPr>
      <w:r w:rsidRPr="003E2CAF">
        <w:rPr>
          <w:b/>
        </w:rPr>
        <w:t>Schedule 6 – New Entry</w:t>
      </w:r>
    </w:p>
    <w:p w14:paraId="4403E118" w14:textId="5596FF62" w:rsidR="003E2CAF" w:rsidRDefault="003E2CAF" w:rsidP="003E2CAF">
      <w:pPr>
        <w:ind w:left="709"/>
        <w:rPr>
          <w:color w:val="00B050"/>
        </w:rPr>
      </w:pPr>
      <w:r w:rsidRPr="003E2CAF">
        <w:rPr>
          <w:color w:val="00B050"/>
        </w:rPr>
        <w:t xml:space="preserve">6-METHOXY-N2-METHYL-2,3-PYRIDINEDIAMINE </w:t>
      </w:r>
      <w:r w:rsidRPr="003E2CAF">
        <w:rPr>
          <w:b/>
          <w:color w:val="00B050"/>
        </w:rPr>
        <w:t>except</w:t>
      </w:r>
      <w:r w:rsidRPr="003E2CAF">
        <w:rPr>
          <w:color w:val="00B050"/>
        </w:rPr>
        <w:t xml:space="preserve"> when used in oxidative or non-oxidative hair dyes at a concentration of 1.0% or less when the immediate container and primary pack are labelled:</w:t>
      </w:r>
    </w:p>
    <w:p w14:paraId="404D4E4A" w14:textId="77777777" w:rsidR="00055A19" w:rsidRPr="00F85BA3" w:rsidRDefault="00055A19" w:rsidP="00055A19">
      <w:pPr>
        <w:ind w:left="1276"/>
        <w:rPr>
          <w:color w:val="00B050"/>
        </w:rPr>
      </w:pPr>
      <w:r w:rsidRPr="00F85BA3">
        <w:rPr>
          <w:color w:val="00B050"/>
        </w:rPr>
        <w:t>KEEP OUT OF REACH OF CHILDREN, and</w:t>
      </w:r>
    </w:p>
    <w:p w14:paraId="70C1314A" w14:textId="77777777" w:rsidR="00055A19" w:rsidRPr="00F85BA3" w:rsidRDefault="00055A19" w:rsidP="00055A19">
      <w:pPr>
        <w:ind w:left="1276"/>
        <w:rPr>
          <w:color w:val="00B050"/>
        </w:rPr>
      </w:pPr>
      <w:r w:rsidRPr="00F85BA3">
        <w:rPr>
          <w:color w:val="00B050"/>
        </w:rPr>
        <w:lastRenderedPageBreak/>
        <w:t>WARNING – This product contains ingredients that may cause skin sensitisation to certain individuals. A preliminary test according to the accompanying directions should be made before use.</w:t>
      </w:r>
      <w:r>
        <w:rPr>
          <w:color w:val="00B050"/>
        </w:rPr>
        <w:t xml:space="preserve"> </w:t>
      </w:r>
      <w:r w:rsidRPr="00A474EB">
        <w:rPr>
          <w:color w:val="00B050"/>
          <w:szCs w:val="22"/>
        </w:rPr>
        <w:t>This product must not be used for dyeing eyelashes or eyebrows; to do so may be injurious to the eye.</w:t>
      </w:r>
    </w:p>
    <w:p w14:paraId="1CD03223" w14:textId="1582DF34" w:rsidR="00055A19" w:rsidRDefault="00055A19" w:rsidP="00CC2098">
      <w:pPr>
        <w:ind w:left="1112" w:firstLine="164"/>
        <w:rPr>
          <w:color w:val="00B050"/>
        </w:rPr>
      </w:pPr>
      <w:r w:rsidRPr="00F85BA3">
        <w:rPr>
          <w:color w:val="00B050"/>
        </w:rPr>
        <w:t>written in letters not less than 1.5mm in height.</w:t>
      </w:r>
    </w:p>
    <w:p w14:paraId="40798BD6" w14:textId="77777777" w:rsidR="003E2CAF" w:rsidRPr="00360473" w:rsidRDefault="003E2CAF" w:rsidP="003E2CAF">
      <w:pPr>
        <w:ind w:left="709"/>
        <w:rPr>
          <w:b/>
        </w:rPr>
      </w:pPr>
      <w:r>
        <w:rPr>
          <w:b/>
        </w:rPr>
        <w:t>Index – New Entry</w:t>
      </w:r>
    </w:p>
    <w:p w14:paraId="6DE7EDD7" w14:textId="77777777" w:rsidR="003E2CAF" w:rsidRPr="003E2CAF" w:rsidRDefault="003E2CAF" w:rsidP="003E2CAF">
      <w:pPr>
        <w:ind w:left="709"/>
        <w:rPr>
          <w:b/>
          <w:color w:val="00B050"/>
        </w:rPr>
      </w:pPr>
      <w:r w:rsidRPr="003E2CAF">
        <w:rPr>
          <w:b/>
          <w:color w:val="00B050"/>
        </w:rPr>
        <w:t xml:space="preserve">6-METHOXY-N2-METHYL-2,3-PYRIDINEDIAMINE </w:t>
      </w:r>
    </w:p>
    <w:p w14:paraId="7EDA7CD4" w14:textId="3A4843AC" w:rsidR="003E2CAF" w:rsidRPr="006D418E" w:rsidRDefault="003E2CAF" w:rsidP="003E2CAF">
      <w:pPr>
        <w:ind w:left="709"/>
        <w:rPr>
          <w:color w:val="00B050"/>
        </w:rPr>
      </w:pPr>
      <w:r>
        <w:rPr>
          <w:color w:val="00B050"/>
        </w:rPr>
        <w:t>Schedule 6</w:t>
      </w:r>
    </w:p>
    <w:p w14:paraId="0070B30E" w14:textId="77777777" w:rsidR="00A40CB9" w:rsidRPr="00C721A5" w:rsidRDefault="00A40CB9" w:rsidP="00A40CB9">
      <w:pPr>
        <w:pStyle w:val="Heading4"/>
        <w:rPr>
          <w:rFonts w:ascii="Cambria" w:eastAsia="Times New Roman" w:hAnsi="Cambria"/>
          <w:i/>
          <w:color w:val="001523"/>
          <w:sz w:val="22"/>
        </w:rPr>
      </w:pPr>
      <w:bookmarkStart w:id="19" w:name="_Toc85029580"/>
      <w:r w:rsidRPr="00C721A5">
        <w:rPr>
          <w:rFonts w:ascii="Cambria" w:eastAsia="Times New Roman" w:hAnsi="Cambria"/>
          <w:i/>
          <w:color w:val="001523"/>
          <w:sz w:val="22"/>
        </w:rPr>
        <w:t>Materials considered</w:t>
      </w:r>
      <w:bookmarkEnd w:id="19"/>
    </w:p>
    <w:p w14:paraId="7E91BE94" w14:textId="77777777" w:rsidR="00A40CB9" w:rsidRDefault="00A40CB9" w:rsidP="00A40CB9">
      <w:r>
        <w:t>In making this interim decision, the Delegate considered the following material:</w:t>
      </w:r>
    </w:p>
    <w:p w14:paraId="7149FC21" w14:textId="2931F874" w:rsidR="00E846F1" w:rsidRDefault="00A40CB9" w:rsidP="00A40CB9">
      <w:pPr>
        <w:pStyle w:val="ListBullet"/>
      </w:pPr>
      <w:r>
        <w:t xml:space="preserve">A </w:t>
      </w:r>
      <w:hyperlink r:id="rId22" w:history="1">
        <w:r w:rsidRPr="00676703">
          <w:rPr>
            <w:rStyle w:val="Hyperlink"/>
          </w:rPr>
          <w:t>human health tier II assessment</w:t>
        </w:r>
      </w:hyperlink>
      <w:r>
        <w:t xml:space="preserve"> for </w:t>
      </w:r>
      <w:r w:rsidR="003E2CAF" w:rsidRPr="0078725C">
        <w:t>6-methoxy-N2-methyl-2,3-pyridinediamine</w:t>
      </w:r>
      <w:r w:rsidR="00E846F1">
        <w:t>, published by</w:t>
      </w:r>
      <w:r w:rsidR="00C96D4E">
        <w:t xml:space="preserve"> AICIS (8 March 2019)</w:t>
      </w:r>
      <w:r w:rsidRPr="006501A1">
        <w:t>;</w:t>
      </w:r>
    </w:p>
    <w:p w14:paraId="38493133" w14:textId="3821A1EF" w:rsidR="00A40CB9" w:rsidRPr="006501A1" w:rsidRDefault="00E846F1" w:rsidP="00A40CB9">
      <w:pPr>
        <w:pStyle w:val="ListBullet"/>
      </w:pPr>
      <w:r>
        <w:t xml:space="preserve">The European Chemicals Agency (ECHA) </w:t>
      </w:r>
      <w:hyperlink r:id="rId23" w:history="1">
        <w:r w:rsidRPr="00E846F1">
          <w:rPr>
            <w:rStyle w:val="Hyperlink"/>
          </w:rPr>
          <w:t xml:space="preserve">substance </w:t>
        </w:r>
        <w:proofErr w:type="spellStart"/>
        <w:r w:rsidRPr="00E846F1">
          <w:rPr>
            <w:rStyle w:val="Hyperlink"/>
          </w:rPr>
          <w:t>infocard</w:t>
        </w:r>
        <w:proofErr w:type="spellEnd"/>
      </w:hyperlink>
      <w:r>
        <w:t xml:space="preserve"> for 6-methoxy-N2-methylpyridine-2,3-diamine dihydrochloride;</w:t>
      </w:r>
    </w:p>
    <w:p w14:paraId="6AF13316" w14:textId="321EE594" w:rsidR="00A40CB9" w:rsidRPr="006367ED" w:rsidRDefault="00A40CB9" w:rsidP="00A40CB9">
      <w:pPr>
        <w:pStyle w:val="ListBullet"/>
      </w:pPr>
      <w:r w:rsidRPr="006367ED">
        <w:t xml:space="preserve">The </w:t>
      </w:r>
      <w:r>
        <w:t>two</w:t>
      </w:r>
      <w:r w:rsidRPr="006367ED">
        <w:t xml:space="preserve"> </w:t>
      </w:r>
      <w:hyperlink r:id="rId24" w:history="1">
        <w:r w:rsidRPr="006367ED">
          <w:rPr>
            <w:rStyle w:val="Hyperlink"/>
          </w:rPr>
          <w:t>public submissions</w:t>
        </w:r>
      </w:hyperlink>
      <w:r w:rsidRPr="006367ED">
        <w:rPr>
          <w:rStyle w:val="Hyperlink"/>
          <w:color w:val="auto"/>
        </w:rPr>
        <w:t>,</w:t>
      </w:r>
      <w:r w:rsidRPr="006367ED">
        <w:t xml:space="preserve"> </w:t>
      </w:r>
      <w:r>
        <w:t>both</w:t>
      </w:r>
      <w:r w:rsidRPr="006367ED">
        <w:t xml:space="preserve"> including a written component, received in response to the </w:t>
      </w:r>
      <w:hyperlink r:id="rId25" w:history="1">
        <w:r w:rsidRPr="006367ED">
          <w:rPr>
            <w:rStyle w:val="Hyperlink"/>
          </w:rPr>
          <w:t>pre-meeting consultation</w:t>
        </w:r>
      </w:hyperlink>
      <w:r w:rsidRPr="006367ED">
        <w:t xml:space="preserve"> under regulation 42ZCZK of the Regulations;</w:t>
      </w:r>
    </w:p>
    <w:p w14:paraId="4241D0B9" w14:textId="77777777" w:rsidR="00A40CB9" w:rsidRDefault="00A40CB9" w:rsidP="00A40CB9">
      <w:pPr>
        <w:pStyle w:val="ListBullet"/>
      </w:pPr>
      <w:r>
        <w:t xml:space="preserve">The advice </w:t>
      </w:r>
      <w:r w:rsidRPr="00A825A4">
        <w:t>received from the Meeting of the Advisory Committee o</w:t>
      </w:r>
      <w:r>
        <w:t>n Chemicals Scheduling (ACCS #31</w:t>
      </w:r>
      <w:proofErr w:type="gramStart"/>
      <w:r w:rsidRPr="00A825A4">
        <w:t>);</w:t>
      </w:r>
      <w:proofErr w:type="gramEnd"/>
    </w:p>
    <w:p w14:paraId="71F11B40" w14:textId="20CACDDA" w:rsidR="00A40CB9" w:rsidRDefault="00A40CB9" w:rsidP="00253950">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00253950" w:rsidRPr="00253950">
        <w:t xml:space="preserve"> (c) the toxicity of a substance; (d) the dosage, formulation, labelling, packaging and presentation of a substance; and (f) any other matters that the Secretary considers nec</w:t>
      </w:r>
      <w:r w:rsidR="00253950">
        <w:t>essary to protect public health;</w:t>
      </w:r>
    </w:p>
    <w:p w14:paraId="49AF627B" w14:textId="77777777" w:rsidR="00A40CB9" w:rsidRDefault="00A40CB9" w:rsidP="00A40CB9">
      <w:pPr>
        <w:pStyle w:val="ListBullet"/>
      </w:pPr>
      <w:r w:rsidRPr="002C1418">
        <w:t xml:space="preserve">The Australian Health Ministers’ Advisory Council’s </w:t>
      </w:r>
      <w:hyperlink r:id="rId26" w:history="1">
        <w:r w:rsidRPr="001A7580">
          <w:rPr>
            <w:rStyle w:val="Hyperlink"/>
          </w:rPr>
          <w:t>Scheduling Policy Framework</w:t>
        </w:r>
      </w:hyperlink>
      <w:r>
        <w:t xml:space="preserve"> (SPF 2018</w:t>
      </w:r>
      <w:r w:rsidRPr="002C20AE">
        <w:t>);</w:t>
      </w:r>
      <w:r>
        <w:t xml:space="preserve"> and</w:t>
      </w:r>
    </w:p>
    <w:p w14:paraId="6861E8D0" w14:textId="77777777" w:rsidR="00A40CB9" w:rsidRPr="006501A1" w:rsidRDefault="00A40CB9" w:rsidP="00A40CB9">
      <w:pPr>
        <w:pStyle w:val="ListBullet"/>
      </w:pPr>
      <w:r>
        <w:t xml:space="preserve">The </w:t>
      </w:r>
      <w:hyperlink r:id="rId27" w:history="1">
        <w:r w:rsidRPr="001A7580">
          <w:rPr>
            <w:rStyle w:val="Hyperlink"/>
          </w:rPr>
          <w:t>Scheduling handbook: Guidance for amending the Poisons Standard</w:t>
        </w:r>
      </w:hyperlink>
      <w:r>
        <w:t>.</w:t>
      </w:r>
    </w:p>
    <w:p w14:paraId="0F2D757E" w14:textId="6C420EE5" w:rsidR="00A40CB9" w:rsidRPr="00C721A5" w:rsidRDefault="00BA402D" w:rsidP="00A40CB9">
      <w:pPr>
        <w:pStyle w:val="Heading4"/>
        <w:rPr>
          <w:rFonts w:ascii="Cambria" w:eastAsia="Times New Roman" w:hAnsi="Cambria"/>
          <w:i/>
          <w:color w:val="001523"/>
          <w:sz w:val="22"/>
        </w:rPr>
      </w:pPr>
      <w:bookmarkStart w:id="20" w:name="_Toc85029581"/>
      <w:r>
        <w:rPr>
          <w:rFonts w:ascii="Cambria" w:eastAsia="Times New Roman" w:hAnsi="Cambria"/>
          <w:i/>
          <w:color w:val="001523"/>
          <w:sz w:val="22"/>
        </w:rPr>
        <w:t>Summary of ACC</w:t>
      </w:r>
      <w:r w:rsidR="00A40CB9" w:rsidRPr="00C721A5">
        <w:rPr>
          <w:rFonts w:ascii="Cambria" w:eastAsia="Times New Roman" w:hAnsi="Cambria"/>
          <w:i/>
          <w:color w:val="001523"/>
          <w:sz w:val="22"/>
        </w:rPr>
        <w:t>S advice to the delegate</w:t>
      </w:r>
      <w:bookmarkEnd w:id="20"/>
    </w:p>
    <w:p w14:paraId="5E0114E6" w14:textId="1CBB6617" w:rsidR="00A40CB9" w:rsidRDefault="00A40CB9" w:rsidP="00A40CB9">
      <w:r>
        <w:t>The Committee advised that</w:t>
      </w:r>
      <w:r w:rsidR="003E2CAF">
        <w:t xml:space="preserve"> a</w:t>
      </w:r>
      <w:r>
        <w:t xml:space="preserve"> </w:t>
      </w:r>
      <w:r w:rsidR="003E2CAF">
        <w:t>new entry</w:t>
      </w:r>
      <w:r>
        <w:t xml:space="preserve"> for </w:t>
      </w:r>
      <w:r w:rsidR="003E2CAF" w:rsidRPr="0078725C">
        <w:t>6-methoxy-N2-methyl-2,3-pyridinediamine</w:t>
      </w:r>
      <w:r>
        <w:t xml:space="preserve"> be created in Schedule </w:t>
      </w:r>
      <w:r w:rsidR="003E2CAF">
        <w:t>6</w:t>
      </w:r>
      <w:r>
        <w:t xml:space="preserve"> of the Poisons Standard as follows: </w:t>
      </w:r>
    </w:p>
    <w:p w14:paraId="29E61DD7" w14:textId="77777777" w:rsidR="003E2CAF" w:rsidRPr="003E2CAF" w:rsidRDefault="003E2CAF" w:rsidP="003E2CAF">
      <w:pPr>
        <w:ind w:left="709"/>
        <w:rPr>
          <w:b/>
        </w:rPr>
      </w:pPr>
      <w:r w:rsidRPr="003E2CAF">
        <w:rPr>
          <w:b/>
        </w:rPr>
        <w:t>Schedule 6 – New Entry</w:t>
      </w:r>
    </w:p>
    <w:p w14:paraId="7C139BFD" w14:textId="30CC9C98" w:rsidR="003E2CAF" w:rsidRDefault="003E2CAF" w:rsidP="003E2CAF">
      <w:pPr>
        <w:ind w:left="709"/>
        <w:rPr>
          <w:color w:val="00B050"/>
        </w:rPr>
      </w:pPr>
      <w:r w:rsidRPr="003E2CAF">
        <w:rPr>
          <w:color w:val="00B050"/>
        </w:rPr>
        <w:t xml:space="preserve">6-METHOXY-N2-METHYL-2,3-PYRIDINEDIAMINE </w:t>
      </w:r>
      <w:r w:rsidRPr="003E2CAF">
        <w:rPr>
          <w:b/>
          <w:color w:val="00B050"/>
        </w:rPr>
        <w:t>except</w:t>
      </w:r>
      <w:r w:rsidRPr="003E2CAF">
        <w:rPr>
          <w:color w:val="00B050"/>
        </w:rPr>
        <w:t xml:space="preserve"> when used in oxidative or non-oxidative hair dyes at a concentration of 1.0% or less when the immediate container and primary pack are labelled:</w:t>
      </w:r>
    </w:p>
    <w:p w14:paraId="038577F7" w14:textId="77777777" w:rsidR="00055A19" w:rsidRPr="00F85BA3" w:rsidRDefault="00055A19" w:rsidP="00055A19">
      <w:pPr>
        <w:ind w:left="1276"/>
        <w:rPr>
          <w:color w:val="00B050"/>
        </w:rPr>
      </w:pPr>
      <w:r w:rsidRPr="00F85BA3">
        <w:rPr>
          <w:color w:val="00B050"/>
        </w:rPr>
        <w:t>KEEP OUT OF REACH OF CHILDREN, and</w:t>
      </w:r>
    </w:p>
    <w:p w14:paraId="3257DE5A" w14:textId="77777777" w:rsidR="00055A19" w:rsidRPr="00F85BA3" w:rsidRDefault="00055A19" w:rsidP="00055A19">
      <w:pPr>
        <w:ind w:left="1276"/>
        <w:rPr>
          <w:color w:val="00B050"/>
        </w:rPr>
      </w:pPr>
      <w:r w:rsidRPr="00F85BA3">
        <w:rPr>
          <w:color w:val="00B050"/>
        </w:rPr>
        <w:t>WARNING – This product contains ingredients that may cause skin sensitisation to certain individuals. A preliminary test according to the accompanying directions should be made before use.</w:t>
      </w:r>
      <w:r>
        <w:rPr>
          <w:color w:val="00B050"/>
        </w:rPr>
        <w:t xml:space="preserve"> </w:t>
      </w:r>
      <w:r w:rsidRPr="00A474EB">
        <w:rPr>
          <w:color w:val="00B050"/>
          <w:szCs w:val="22"/>
        </w:rPr>
        <w:t>This product must not be used for dyeing eyelashes or eyebrows; to do so may be injurious to the eye.</w:t>
      </w:r>
    </w:p>
    <w:p w14:paraId="34A0450B" w14:textId="19356E30" w:rsidR="00055A19" w:rsidRDefault="00055A19" w:rsidP="00A732E1">
      <w:pPr>
        <w:ind w:left="1276"/>
        <w:rPr>
          <w:color w:val="00B050"/>
        </w:rPr>
      </w:pPr>
      <w:r w:rsidRPr="00F85BA3">
        <w:rPr>
          <w:color w:val="00B050"/>
        </w:rPr>
        <w:t>written in letters not less than 1.5mm in height.</w:t>
      </w:r>
    </w:p>
    <w:p w14:paraId="175445C7" w14:textId="77777777" w:rsidR="003E2CAF" w:rsidRPr="00360473" w:rsidRDefault="003E2CAF" w:rsidP="003E2CAF">
      <w:pPr>
        <w:ind w:left="709"/>
        <w:rPr>
          <w:b/>
        </w:rPr>
      </w:pPr>
      <w:r>
        <w:rPr>
          <w:b/>
        </w:rPr>
        <w:lastRenderedPageBreak/>
        <w:t>Index – New Entry</w:t>
      </w:r>
    </w:p>
    <w:p w14:paraId="1705A95B" w14:textId="77777777" w:rsidR="003E2CAF" w:rsidRPr="003E2CAF" w:rsidRDefault="003E2CAF" w:rsidP="003E2CAF">
      <w:pPr>
        <w:ind w:left="709"/>
        <w:rPr>
          <w:b/>
          <w:color w:val="00B050"/>
        </w:rPr>
      </w:pPr>
      <w:r w:rsidRPr="003E2CAF">
        <w:rPr>
          <w:b/>
          <w:color w:val="00B050"/>
        </w:rPr>
        <w:t xml:space="preserve">6-METHOXY-N2-METHYL-2,3-PYRIDINEDIAMINE </w:t>
      </w:r>
    </w:p>
    <w:p w14:paraId="4F3EB52A" w14:textId="77777777" w:rsidR="003E2CAF" w:rsidRPr="006D418E" w:rsidRDefault="003E2CAF" w:rsidP="003E2CAF">
      <w:pPr>
        <w:ind w:left="709"/>
        <w:rPr>
          <w:color w:val="00B050"/>
        </w:rPr>
      </w:pPr>
      <w:r>
        <w:rPr>
          <w:color w:val="00B050"/>
        </w:rPr>
        <w:t>Schedule 6</w:t>
      </w:r>
    </w:p>
    <w:p w14:paraId="3D3A7A2F" w14:textId="082EA338" w:rsidR="00A40CB9" w:rsidRDefault="00A40CB9" w:rsidP="00A40CB9">
      <w:r>
        <w:t xml:space="preserve">The Committee also recommended an implementation date of </w:t>
      </w:r>
      <w:r w:rsidRPr="00D47415">
        <w:rPr>
          <w:b/>
        </w:rPr>
        <w:t xml:space="preserve">1 </w:t>
      </w:r>
      <w:r w:rsidR="00055A19">
        <w:rPr>
          <w:b/>
        </w:rPr>
        <w:t xml:space="preserve">June </w:t>
      </w:r>
      <w:r>
        <w:rPr>
          <w:b/>
        </w:rPr>
        <w:t>2022</w:t>
      </w:r>
      <w:r w:rsidRPr="000460D2">
        <w:t>.</w:t>
      </w:r>
    </w:p>
    <w:p w14:paraId="076E3B6A" w14:textId="198FF057" w:rsidR="00A40CB9" w:rsidRDefault="00A40CB9" w:rsidP="00A40CB9">
      <w:r>
        <w:t xml:space="preserve">Members agreed that the relevant matters under Section 52E(1) of the </w:t>
      </w:r>
      <w:r w:rsidRPr="00AC262B">
        <w:rPr>
          <w:i/>
        </w:rPr>
        <w:t>Therapeutic Goods Act 1989</w:t>
      </w:r>
      <w:r>
        <w:t xml:space="preserve"> included: </w:t>
      </w:r>
      <w:r w:rsidR="00800210">
        <w:t xml:space="preserve">(a) risks and benefits of the use of a substance; (b) the purposes for which a substance is to be used and the extent of use of a substance; </w:t>
      </w:r>
      <w:r w:rsidR="00800210" w:rsidRPr="00253950">
        <w:t>(c) the toxicity of a substance; (d) the dosage, formulation, labelling, packaging and presentation of a substance; and (f) any other matters that the Secretary considers nec</w:t>
      </w:r>
      <w:r w:rsidR="00800210">
        <w:t>essary to protect public health</w:t>
      </w:r>
      <w:r>
        <w:t xml:space="preserve">. </w:t>
      </w:r>
    </w:p>
    <w:p w14:paraId="2AE9F8EC" w14:textId="028C1408" w:rsidR="00A40CB9" w:rsidRDefault="00A40CB9" w:rsidP="00A40CB9">
      <w:r>
        <w:t>The reasons for the advice included:</w:t>
      </w:r>
    </w:p>
    <w:p w14:paraId="57A3F0E9" w14:textId="77777777" w:rsidR="00055A19" w:rsidRDefault="00055A19" w:rsidP="00055A19">
      <w:pPr>
        <w:pStyle w:val="Numberbullet2"/>
        <w:numPr>
          <w:ilvl w:val="0"/>
          <w:numId w:val="9"/>
        </w:numPr>
        <w:ind w:left="360"/>
      </w:pPr>
      <w:r w:rsidRPr="00CC6D0D">
        <w:t>the risks and benefits of the use of a substance</w:t>
      </w:r>
    </w:p>
    <w:p w14:paraId="475E014C" w14:textId="77777777" w:rsidR="00055A19" w:rsidRDefault="00055A19" w:rsidP="00055A19">
      <w:pPr>
        <w:pStyle w:val="ListParagraph"/>
        <w:numPr>
          <w:ilvl w:val="0"/>
          <w:numId w:val="19"/>
        </w:numPr>
        <w:spacing w:before="180"/>
      </w:pPr>
      <w:r>
        <w:t xml:space="preserve">The substance is used in hair dye products, however, there has been one reported case of skin sensitisation </w:t>
      </w:r>
      <w:proofErr w:type="gramStart"/>
      <w:r>
        <w:t>as a result of</w:t>
      </w:r>
      <w:proofErr w:type="gramEnd"/>
      <w:r>
        <w:t xml:space="preserve"> using a hair dye product containing the substance.</w:t>
      </w:r>
    </w:p>
    <w:p w14:paraId="7C64949A" w14:textId="77777777" w:rsidR="00055A19" w:rsidRDefault="00055A19" w:rsidP="00055A19">
      <w:pPr>
        <w:pStyle w:val="ListParagraph"/>
        <w:spacing w:before="180"/>
      </w:pPr>
    </w:p>
    <w:p w14:paraId="39A5C98A" w14:textId="77777777" w:rsidR="00055A19" w:rsidRDefault="00055A19" w:rsidP="00055A19">
      <w:pPr>
        <w:pStyle w:val="ListParagraph"/>
        <w:numPr>
          <w:ilvl w:val="0"/>
          <w:numId w:val="19"/>
        </w:numPr>
        <w:spacing w:before="180"/>
      </w:pPr>
      <w:r>
        <w:t>It is acutely toxic orally and is a moderate skin sensitiser.</w:t>
      </w:r>
    </w:p>
    <w:p w14:paraId="283174B2" w14:textId="77777777" w:rsidR="00055A19" w:rsidRDefault="00055A19" w:rsidP="00055A19">
      <w:pPr>
        <w:pStyle w:val="Numberbullet2"/>
        <w:numPr>
          <w:ilvl w:val="0"/>
          <w:numId w:val="15"/>
        </w:numPr>
        <w:ind w:left="360"/>
      </w:pPr>
      <w:r w:rsidRPr="006E31AD">
        <w:t>the purposes for which a substance is to be used and the extent of use of a substance</w:t>
      </w:r>
    </w:p>
    <w:p w14:paraId="0C56A809" w14:textId="77777777" w:rsidR="00055A19" w:rsidRDefault="00055A19" w:rsidP="00055A19">
      <w:pPr>
        <w:pStyle w:val="ListParagraph"/>
        <w:numPr>
          <w:ilvl w:val="0"/>
          <w:numId w:val="20"/>
        </w:numPr>
        <w:spacing w:before="180"/>
      </w:pPr>
      <w:r>
        <w:t xml:space="preserve">The substance has been reported as an ingredient in hair dyes, but the extent of its use in this regard is not clear. </w:t>
      </w:r>
      <w:r w:rsidRPr="005C54DB">
        <w:rPr>
          <w:rFonts w:eastAsia="Times New Roman"/>
        </w:rPr>
        <w:t>There appear to be no other materials or products available in Aus</w:t>
      </w:r>
      <w:r>
        <w:rPr>
          <w:rFonts w:eastAsia="Times New Roman"/>
        </w:rPr>
        <w:t>tralia containing the substance outside hair dye products.</w:t>
      </w:r>
    </w:p>
    <w:p w14:paraId="73790CCD" w14:textId="77777777" w:rsidR="00055A19" w:rsidRDefault="00055A19" w:rsidP="00055A19">
      <w:pPr>
        <w:pStyle w:val="Numberbullet2"/>
        <w:numPr>
          <w:ilvl w:val="0"/>
          <w:numId w:val="15"/>
        </w:numPr>
        <w:ind w:left="360"/>
      </w:pPr>
      <w:r w:rsidRPr="006E31AD">
        <w:t>the toxicity of a substance</w:t>
      </w:r>
    </w:p>
    <w:p w14:paraId="05ED02C5" w14:textId="77777777" w:rsidR="00055A19" w:rsidRDefault="00055A19" w:rsidP="00055A19">
      <w:pPr>
        <w:pStyle w:val="ListParagraph"/>
        <w:numPr>
          <w:ilvl w:val="0"/>
          <w:numId w:val="21"/>
        </w:numPr>
        <w:spacing w:before="180"/>
      </w:pPr>
      <w:r>
        <w:t xml:space="preserve">The substance is acutely toxic by the oral </w:t>
      </w:r>
      <w:proofErr w:type="gramStart"/>
      <w:r>
        <w:t>route, and</w:t>
      </w:r>
      <w:proofErr w:type="gramEnd"/>
      <w:r>
        <w:t xml:space="preserve"> is a moderate skin sensitiser.</w:t>
      </w:r>
    </w:p>
    <w:p w14:paraId="7090016D" w14:textId="77777777" w:rsidR="00055A19" w:rsidRPr="00B70FD1" w:rsidRDefault="00055A19" w:rsidP="00055A19">
      <w:pPr>
        <w:pStyle w:val="Numberbullet2"/>
        <w:numPr>
          <w:ilvl w:val="0"/>
          <w:numId w:val="15"/>
        </w:numPr>
        <w:ind w:left="360"/>
      </w:pPr>
      <w:r w:rsidRPr="00B70FD1">
        <w:t xml:space="preserve">the dosage, formulation, labelling, </w:t>
      </w:r>
      <w:proofErr w:type="gramStart"/>
      <w:r w:rsidRPr="00B70FD1">
        <w:t>packaging</w:t>
      </w:r>
      <w:proofErr w:type="gramEnd"/>
      <w:r w:rsidRPr="00B70FD1">
        <w:t xml:space="preserve"> and presentation of a substance</w:t>
      </w:r>
    </w:p>
    <w:p w14:paraId="5F93A5D6" w14:textId="77777777" w:rsidR="00055A19" w:rsidRDefault="00055A19" w:rsidP="00055A19">
      <w:pPr>
        <w:pStyle w:val="ListParagraph"/>
        <w:numPr>
          <w:ilvl w:val="0"/>
          <w:numId w:val="21"/>
        </w:numPr>
        <w:spacing w:before="180"/>
      </w:pPr>
      <w:r>
        <w:t>Use of the substance is restricted in hair dyes in both the EU and the Association of South East Asian Nations (ASEAN) as follows:</w:t>
      </w:r>
    </w:p>
    <w:p w14:paraId="3E4DEAAB" w14:textId="77777777" w:rsidR="00055A19" w:rsidRDefault="00055A19" w:rsidP="00055A19">
      <w:pPr>
        <w:pStyle w:val="ListBullet3"/>
        <w:numPr>
          <w:ilvl w:val="2"/>
          <w:numId w:val="1"/>
        </w:numPr>
      </w:pPr>
      <w:r>
        <w:t xml:space="preserve">After mixing under oxidative conditions, the maximum concentration applied must not exceed 1.0% as the dihydrochloride </w:t>
      </w:r>
      <w:proofErr w:type="gramStart"/>
      <w:r>
        <w:t>salt;</w:t>
      </w:r>
      <w:proofErr w:type="gramEnd"/>
    </w:p>
    <w:p w14:paraId="4E30797D" w14:textId="77777777" w:rsidR="00055A19" w:rsidRDefault="00055A19" w:rsidP="00055A19">
      <w:pPr>
        <w:pStyle w:val="ListBullet3"/>
        <w:numPr>
          <w:ilvl w:val="2"/>
          <w:numId w:val="1"/>
        </w:numPr>
      </w:pPr>
      <w:r>
        <w:t>Maximum concentration in finished non-oxidative products is 1.0% as the dihydrochloride salt.</w:t>
      </w:r>
    </w:p>
    <w:p w14:paraId="34B1824F" w14:textId="77777777" w:rsidR="00055A19" w:rsidRDefault="00055A19" w:rsidP="00055A19">
      <w:pPr>
        <w:pStyle w:val="ListBullet3"/>
        <w:numPr>
          <w:ilvl w:val="0"/>
          <w:numId w:val="21"/>
        </w:numPr>
        <w:spacing w:before="180"/>
      </w:pPr>
      <w:r>
        <w:t>The 1.0% concentration restriction is acceptable and aligns with cosmetic regulations in the EU.</w:t>
      </w:r>
    </w:p>
    <w:p w14:paraId="18E0D8A2" w14:textId="77777777" w:rsidR="00055A19" w:rsidRDefault="00055A19" w:rsidP="00055A19">
      <w:pPr>
        <w:pStyle w:val="ListBullet3"/>
        <w:numPr>
          <w:ilvl w:val="0"/>
          <w:numId w:val="21"/>
        </w:numPr>
        <w:spacing w:before="180"/>
      </w:pPr>
      <w:r>
        <w:t>Because it is used in hair dyes, products containing the substance will often already contain some labelled warnings of the potential hazards of the product.</w:t>
      </w:r>
    </w:p>
    <w:p w14:paraId="04E380B8" w14:textId="77777777" w:rsidR="00055A19" w:rsidRPr="00A80BEB" w:rsidRDefault="00055A19" w:rsidP="00055A19">
      <w:pPr>
        <w:pStyle w:val="Numberbullet2"/>
        <w:numPr>
          <w:ilvl w:val="0"/>
          <w:numId w:val="15"/>
        </w:numPr>
        <w:ind w:left="360"/>
      </w:pPr>
      <w:r w:rsidRPr="00A80BEB">
        <w:t>the potential for abuse of a substance</w:t>
      </w:r>
    </w:p>
    <w:p w14:paraId="26CDB95C" w14:textId="77777777" w:rsidR="00055A19" w:rsidRPr="002614A5" w:rsidRDefault="00055A19" w:rsidP="00055A19">
      <w:pPr>
        <w:pStyle w:val="ListBullet2"/>
        <w:numPr>
          <w:ilvl w:val="1"/>
          <w:numId w:val="1"/>
        </w:numPr>
        <w:ind w:left="850" w:hanging="425"/>
      </w:pPr>
      <w:r w:rsidRPr="002614A5">
        <w:t>N</w:t>
      </w:r>
      <w:r>
        <w:t>il</w:t>
      </w:r>
    </w:p>
    <w:p w14:paraId="3D4CBFD6" w14:textId="77777777" w:rsidR="00055A19" w:rsidRPr="005E0F6E" w:rsidRDefault="00055A19" w:rsidP="00055A19">
      <w:pPr>
        <w:pStyle w:val="Numberbullet2"/>
        <w:numPr>
          <w:ilvl w:val="0"/>
          <w:numId w:val="15"/>
        </w:numPr>
        <w:ind w:left="360"/>
      </w:pPr>
      <w:r w:rsidRPr="005E0F6E">
        <w:t>any other matter that the Secretary considers necessary to protect public health</w:t>
      </w:r>
    </w:p>
    <w:p w14:paraId="52E93505" w14:textId="44683E2C" w:rsidR="00055A19" w:rsidRPr="0023227D" w:rsidRDefault="00055A19" w:rsidP="00C937E1">
      <w:pPr>
        <w:pStyle w:val="ListBullet2"/>
      </w:pPr>
      <w:r>
        <w:t>The substance is currently unscheduled, so it was recommended that an extended transition period is given for manufacturers to implement the changes.</w:t>
      </w:r>
    </w:p>
    <w:p w14:paraId="6CFF3E0A" w14:textId="77777777" w:rsidR="00A40CB9" w:rsidRPr="00C721A5" w:rsidRDefault="00A40CB9" w:rsidP="00A40CB9">
      <w:pPr>
        <w:pStyle w:val="Heading4"/>
        <w:rPr>
          <w:rFonts w:ascii="Cambria" w:eastAsia="Times New Roman" w:hAnsi="Cambria"/>
          <w:i/>
          <w:color w:val="001523"/>
          <w:sz w:val="22"/>
        </w:rPr>
      </w:pPr>
      <w:bookmarkStart w:id="21" w:name="_Toc85029582"/>
      <w:r w:rsidRPr="00C721A5">
        <w:rPr>
          <w:rFonts w:ascii="Cambria" w:eastAsia="Times New Roman" w:hAnsi="Cambria"/>
          <w:i/>
          <w:color w:val="001523"/>
          <w:sz w:val="22"/>
        </w:rPr>
        <w:lastRenderedPageBreak/>
        <w:t>Reasons for the interim decision (including findings on material questions of fact)</w:t>
      </w:r>
      <w:bookmarkEnd w:id="21"/>
    </w:p>
    <w:p w14:paraId="16FBEA57" w14:textId="61F6F546" w:rsidR="00A40CB9" w:rsidRDefault="00DC5FA3" w:rsidP="00A40CB9">
      <w:r>
        <w:t>I have made an interim decision</w:t>
      </w:r>
      <w:r w:rsidR="00A40CB9">
        <w:t xml:space="preserve"> to create </w:t>
      </w:r>
      <w:r w:rsidR="00EA05CC">
        <w:t xml:space="preserve">a </w:t>
      </w:r>
      <w:r w:rsidR="00A40CB9">
        <w:t xml:space="preserve">new Schedule </w:t>
      </w:r>
      <w:r w:rsidR="00800210">
        <w:t>6 entry</w:t>
      </w:r>
      <w:r w:rsidR="00A40CB9">
        <w:t xml:space="preserve"> for </w:t>
      </w:r>
      <w:r w:rsidR="00800210" w:rsidRPr="0078725C">
        <w:t>6-methoxy-N2-methyl-2,3-pyridinediamine</w:t>
      </w:r>
      <w:r>
        <w:t xml:space="preserve">, </w:t>
      </w:r>
      <w:r w:rsidR="00A40CB9">
        <w:t xml:space="preserve">as recommended by the Committee. </w:t>
      </w:r>
      <w:r>
        <w:t xml:space="preserve">The proposed entry incudes exceptions for hair dyes with low concentrations of the substance, if labelled with appropriate warning statements to prevent skin sensitisation. </w:t>
      </w:r>
      <w:r w:rsidR="00A40CB9">
        <w:t>The detailed reasons for my decision follow.</w:t>
      </w:r>
    </w:p>
    <w:p w14:paraId="3F3F3755" w14:textId="7CEC92CE" w:rsidR="00055A19" w:rsidRDefault="00055A19" w:rsidP="00055A19">
      <w:pPr>
        <w:pStyle w:val="ListBullet"/>
        <w:numPr>
          <w:ilvl w:val="0"/>
          <w:numId w:val="0"/>
        </w:numPr>
      </w:pPr>
      <w:r>
        <w:t>I have</w:t>
      </w:r>
      <w:r w:rsidRPr="00AA5731">
        <w:t xml:space="preserve"> considered the </w:t>
      </w:r>
      <w:r w:rsidR="00045D85">
        <w:t>initial proposal to create</w:t>
      </w:r>
      <w:r w:rsidRPr="00AA5731">
        <w:t xml:space="preserve"> a new Schedule 7 entry for 6-methoxy-N2-methyl-2,3-pyridinediamine</w:t>
      </w:r>
      <w:r w:rsidR="004E21BD">
        <w:t xml:space="preserve">. The </w:t>
      </w:r>
      <w:r w:rsidR="004612E2">
        <w:t xml:space="preserve">substance </w:t>
      </w:r>
      <w:r w:rsidR="004612E2" w:rsidRPr="00AA5731">
        <w:t>is</w:t>
      </w:r>
      <w:r w:rsidR="004E21BD">
        <w:t xml:space="preserve"> currently</w:t>
      </w:r>
      <w:r w:rsidRPr="00AA5731">
        <w:t xml:space="preserve"> unscheduled</w:t>
      </w:r>
      <w:r>
        <w:t xml:space="preserve"> with no limitations on use</w:t>
      </w:r>
      <w:r w:rsidR="004E21BD">
        <w:t xml:space="preserve"> or with labelling</w:t>
      </w:r>
      <w:r w:rsidRPr="00AA5731">
        <w:t xml:space="preserve">. </w:t>
      </w:r>
      <w:r>
        <w:t>T</w:t>
      </w:r>
      <w:r w:rsidRPr="00AA5731">
        <w:t xml:space="preserve">he substance </w:t>
      </w:r>
      <w:r w:rsidR="004E21BD">
        <w:t>is</w:t>
      </w:r>
      <w:r w:rsidRPr="00AA5731">
        <w:t xml:space="preserve"> </w:t>
      </w:r>
      <w:r>
        <w:t xml:space="preserve">reported </w:t>
      </w:r>
      <w:r w:rsidR="004E21BD">
        <w:t xml:space="preserve">to be </w:t>
      </w:r>
      <w:r w:rsidRPr="00AA5731">
        <w:t>use</w:t>
      </w:r>
      <w:r w:rsidR="004E21BD">
        <w:t>d</w:t>
      </w:r>
      <w:r w:rsidRPr="00AA5731">
        <w:t xml:space="preserve"> in hair dyes</w:t>
      </w:r>
      <w:r>
        <w:t xml:space="preserve"> in Australia, however exposure is considered hazardous by </w:t>
      </w:r>
      <w:proofErr w:type="gramStart"/>
      <w:r>
        <w:t>a number of</w:t>
      </w:r>
      <w:proofErr w:type="gramEnd"/>
      <w:r>
        <w:t xml:space="preserve"> pathways. In particular, I note that the </w:t>
      </w:r>
      <w:hyperlink r:id="rId28" w:history="1">
        <w:r w:rsidRPr="00E846F1">
          <w:rPr>
            <w:rStyle w:val="Hyperlink"/>
          </w:rPr>
          <w:t>European Chemicals Agency</w:t>
        </w:r>
      </w:hyperlink>
      <w:r w:rsidR="00E846F1">
        <w:rPr>
          <w:rStyle w:val="FootnoteReference"/>
        </w:rPr>
        <w:footnoteReference w:id="1"/>
      </w:r>
      <w:r>
        <w:t xml:space="preserve"> deems the substance to be harmful if swallowed </w:t>
      </w:r>
      <w:r w:rsidR="004E21BD">
        <w:t xml:space="preserve">and has the  </w:t>
      </w:r>
      <w:r>
        <w:t>potential to cause serious eye damage and allergic skin reactions.</w:t>
      </w:r>
    </w:p>
    <w:p w14:paraId="773A844D" w14:textId="279E4205" w:rsidR="00055A19" w:rsidRPr="00AA5731" w:rsidRDefault="00055A19" w:rsidP="00055A19">
      <w:pPr>
        <w:pStyle w:val="ListBullet"/>
        <w:numPr>
          <w:ilvl w:val="0"/>
          <w:numId w:val="0"/>
        </w:numPr>
      </w:pPr>
      <w:r>
        <w:t xml:space="preserve">I have noted </w:t>
      </w:r>
      <w:r w:rsidR="006D0125">
        <w:t>a</w:t>
      </w:r>
      <w:r w:rsidRPr="00AA5731">
        <w:t xml:space="preserve"> documented case of a severe </w:t>
      </w:r>
      <w:r>
        <w:t>adverse</w:t>
      </w:r>
      <w:r w:rsidRPr="00AA5731">
        <w:t xml:space="preserve"> reaction</w:t>
      </w:r>
      <w:r>
        <w:t xml:space="preserve"> to the substance</w:t>
      </w:r>
      <w:r w:rsidRPr="00AA5731">
        <w:t>.</w:t>
      </w:r>
      <w:r>
        <w:t xml:space="preserve"> A</w:t>
      </w:r>
      <w:r w:rsidRPr="00AA5731">
        <w:t xml:space="preserve"> </w:t>
      </w:r>
      <w:proofErr w:type="gramStart"/>
      <w:r w:rsidRPr="00AA5731">
        <w:t>65 year old</w:t>
      </w:r>
      <w:proofErr w:type="gramEnd"/>
      <w:r w:rsidRPr="00AA5731">
        <w:t xml:space="preserve"> Australian woman</w:t>
      </w:r>
      <w:r>
        <w:t xml:space="preserve"> required hospitalisation for severe oedema and exudation stemming from contact dermatitis, </w:t>
      </w:r>
      <w:r w:rsidR="004E21BD">
        <w:t xml:space="preserve">following </w:t>
      </w:r>
      <w:r>
        <w:t>repeated and prolonged exposure to the substance as an ingredient of oxidative hair dyes. This report is indicative of the potential hazards presented by exposure to the substance in typical use.</w:t>
      </w:r>
    </w:p>
    <w:p w14:paraId="1AF288AB" w14:textId="552A8667" w:rsidR="00055A19" w:rsidRPr="00AA5731" w:rsidRDefault="00055A19" w:rsidP="00055A19">
      <w:pPr>
        <w:pStyle w:val="ListBullet"/>
        <w:numPr>
          <w:ilvl w:val="0"/>
          <w:numId w:val="0"/>
        </w:numPr>
      </w:pPr>
      <w:r>
        <w:t xml:space="preserve">I agree with the Committee’s advice that </w:t>
      </w:r>
      <w:r w:rsidRPr="00AA5731">
        <w:t xml:space="preserve">the toxicity data </w:t>
      </w:r>
      <w:r>
        <w:t>associated with</w:t>
      </w:r>
      <w:r w:rsidRPr="00AA5731">
        <w:t xml:space="preserve"> the substance may align better with the Schedule 6 scheduling factors, rather than the proposed Schedule 7</w:t>
      </w:r>
      <w:r w:rsidR="006D0125">
        <w:t xml:space="preserve"> scheduling factors</w:t>
      </w:r>
      <w:r w:rsidRPr="00AA5731">
        <w:t xml:space="preserve">. </w:t>
      </w:r>
      <w:r>
        <w:t xml:space="preserve">The toxicity data </w:t>
      </w:r>
      <w:r w:rsidR="00A379B8">
        <w:t xml:space="preserve">included in the human health tier II assessment and </w:t>
      </w:r>
      <w:r>
        <w:t>considered in the decision include</w:t>
      </w:r>
      <w:r w:rsidRPr="00AA5731">
        <w:t>:</w:t>
      </w:r>
    </w:p>
    <w:p w14:paraId="6571C3FD" w14:textId="77777777" w:rsidR="00055A19" w:rsidRDefault="00055A19" w:rsidP="00055A19">
      <w:pPr>
        <w:pStyle w:val="ListBullet2"/>
        <w:numPr>
          <w:ilvl w:val="1"/>
          <w:numId w:val="1"/>
        </w:numPr>
        <w:ind w:left="850" w:hanging="425"/>
      </w:pPr>
      <w:r>
        <w:t>T</w:t>
      </w:r>
      <w:r w:rsidRPr="00AA5731">
        <w:t xml:space="preserve">he substance is moderately acutely toxic by the oral route (LD50 of </w:t>
      </w:r>
      <w:r>
        <w:t xml:space="preserve">650-813 mg/kg </w:t>
      </w:r>
      <w:proofErr w:type="spellStart"/>
      <w:r>
        <w:t>bw</w:t>
      </w:r>
      <w:proofErr w:type="spellEnd"/>
      <w:r>
        <w:t xml:space="preserve"> in rats</w:t>
      </w:r>
      <w:proofErr w:type="gramStart"/>
      <w:r>
        <w:t>);</w:t>
      </w:r>
      <w:proofErr w:type="gramEnd"/>
    </w:p>
    <w:p w14:paraId="58789FC5" w14:textId="77777777" w:rsidR="00055A19" w:rsidRDefault="00055A19" w:rsidP="00055A19">
      <w:pPr>
        <w:pStyle w:val="ListBullet2"/>
        <w:numPr>
          <w:ilvl w:val="1"/>
          <w:numId w:val="1"/>
        </w:numPr>
        <w:ind w:left="850" w:hanging="425"/>
      </w:pPr>
      <w:r>
        <w:t>A</w:t>
      </w:r>
      <w:r w:rsidRPr="00AA5731">
        <w:t xml:space="preserve"> moderate skin sensitiser</w:t>
      </w:r>
      <w:r>
        <w:t xml:space="preserve">, based on a local lymph node assay on </w:t>
      </w:r>
      <w:proofErr w:type="gramStart"/>
      <w:r>
        <w:t>mice;</w:t>
      </w:r>
      <w:proofErr w:type="gramEnd"/>
    </w:p>
    <w:p w14:paraId="269620C2" w14:textId="77777777" w:rsidR="00055A19" w:rsidRDefault="00055A19" w:rsidP="00055A19">
      <w:pPr>
        <w:pStyle w:val="ListBullet2"/>
        <w:numPr>
          <w:ilvl w:val="1"/>
          <w:numId w:val="1"/>
        </w:numPr>
        <w:ind w:left="850" w:hanging="425"/>
      </w:pPr>
      <w:r>
        <w:t xml:space="preserve">Considered to be a slight skin irritant, based on slight erythema in one test subject on the acute dermal irritation study in </w:t>
      </w:r>
      <w:proofErr w:type="gramStart"/>
      <w:r>
        <w:t>rabbits;</w:t>
      </w:r>
      <w:proofErr w:type="gramEnd"/>
    </w:p>
    <w:p w14:paraId="6873844C" w14:textId="522E5C99" w:rsidR="00055A19" w:rsidRDefault="00055A19" w:rsidP="00055A19">
      <w:pPr>
        <w:pStyle w:val="ListBullet2"/>
        <w:numPr>
          <w:ilvl w:val="1"/>
          <w:numId w:val="1"/>
        </w:numPr>
        <w:ind w:left="850" w:hanging="425"/>
      </w:pPr>
      <w:r>
        <w:t>Not considered irritating to the eyes</w:t>
      </w:r>
      <w:r w:rsidR="00C83D01">
        <w:t xml:space="preserve"> at 5% </w:t>
      </w:r>
      <w:proofErr w:type="gramStart"/>
      <w:r w:rsidR="00C83D01">
        <w:t>dilution</w:t>
      </w:r>
      <w:r>
        <w:t>;</w:t>
      </w:r>
      <w:proofErr w:type="gramEnd"/>
    </w:p>
    <w:p w14:paraId="32A73EF0" w14:textId="77777777" w:rsidR="00055A19" w:rsidRDefault="00055A19" w:rsidP="00055A19">
      <w:pPr>
        <w:pStyle w:val="ListBullet2"/>
        <w:numPr>
          <w:ilvl w:val="1"/>
          <w:numId w:val="1"/>
        </w:numPr>
        <w:ind w:left="850" w:hanging="425"/>
      </w:pPr>
      <w:r>
        <w:t>Not considered to be genotoxic or to cause specific developmental toxicity.</w:t>
      </w:r>
    </w:p>
    <w:p w14:paraId="5526432B" w14:textId="77777777" w:rsidR="00055A19" w:rsidRDefault="00055A19" w:rsidP="00055A19">
      <w:pPr>
        <w:pStyle w:val="ListBullet"/>
        <w:numPr>
          <w:ilvl w:val="0"/>
          <w:numId w:val="0"/>
        </w:numPr>
      </w:pPr>
      <w:r>
        <w:t xml:space="preserve">I also agree with the Committee that the new </w:t>
      </w:r>
      <w:r w:rsidRPr="00AA5731">
        <w:t xml:space="preserve">Schedule 6 entry should include the 1.0% cut-off as </w:t>
      </w:r>
      <w:r>
        <w:t xml:space="preserve">is </w:t>
      </w:r>
      <w:r w:rsidRPr="00AA5731">
        <w:t xml:space="preserve">considered safe by several international standards, including </w:t>
      </w:r>
      <w:r>
        <w:t>those of the Association of Southeast Asian Nations and</w:t>
      </w:r>
      <w:r w:rsidRPr="00AA5731">
        <w:t xml:space="preserve"> the EU Cosmetic Regulations.</w:t>
      </w:r>
    </w:p>
    <w:p w14:paraId="37EBBB7D" w14:textId="363EF7E4" w:rsidR="00055A19" w:rsidRDefault="00055A19" w:rsidP="00055A19">
      <w:pPr>
        <w:pStyle w:val="ListBullet"/>
        <w:numPr>
          <w:ilvl w:val="0"/>
          <w:numId w:val="0"/>
        </w:numPr>
      </w:pPr>
      <w:r>
        <w:t>I have considered t</w:t>
      </w:r>
      <w:r w:rsidRPr="00AA5731">
        <w:t>he wording for labelling of products containing the substance</w:t>
      </w:r>
      <w:r>
        <w:t>, including the possibility of</w:t>
      </w:r>
      <w:r w:rsidRPr="00AA5731">
        <w:t xml:space="preserve"> alignment with labelling </w:t>
      </w:r>
      <w:r>
        <w:t xml:space="preserve">requirements </w:t>
      </w:r>
      <w:r w:rsidRPr="00AA5731">
        <w:t xml:space="preserve">in the EU. While the proposal suggested the phrase, “contains ingredients which may cause skin sensitisation to certain individuals”, the EU </w:t>
      </w:r>
      <w:r>
        <w:t xml:space="preserve">labelling </w:t>
      </w:r>
      <w:r w:rsidRPr="00AA5731">
        <w:t xml:space="preserve">regulations </w:t>
      </w:r>
      <w:r>
        <w:t>for the substance include</w:t>
      </w:r>
      <w:r w:rsidRPr="00AA5731">
        <w:t xml:space="preserve"> “can cause allergic reaction”. I</w:t>
      </w:r>
      <w:r>
        <w:t xml:space="preserve"> have noted the Committee’s recommendation that the warning labels maintain consistency with labelling requirements for substances which can cause serious eye damage</w:t>
      </w:r>
      <w:r w:rsidR="00EA05CC">
        <w:t>.</w:t>
      </w:r>
      <w:r>
        <w:t xml:space="preserve"> </w:t>
      </w:r>
      <w:r w:rsidR="00EA05CC">
        <w:t>I</w:t>
      </w:r>
      <w:r>
        <w:t xml:space="preserve"> have decided</w:t>
      </w:r>
      <w:r w:rsidRPr="00AA5731">
        <w:t xml:space="preserve"> to model the wording for warning labels </w:t>
      </w:r>
      <w:r w:rsidR="00613AC4">
        <w:t>fr</w:t>
      </w:r>
      <w:r w:rsidR="002F002C">
        <w:t>om</w:t>
      </w:r>
      <w:r w:rsidR="00613AC4">
        <w:t xml:space="preserve"> </w:t>
      </w:r>
      <w:r w:rsidRPr="00AA5731">
        <w:t>similar substances that ha</w:t>
      </w:r>
      <w:r>
        <w:t>ve</w:t>
      </w:r>
      <w:r w:rsidRPr="00AA5731">
        <w:t xml:space="preserve"> previously been considered</w:t>
      </w:r>
      <w:r>
        <w:t xml:space="preserve"> and included in the Poisons Standard</w:t>
      </w:r>
      <w:r w:rsidRPr="00AA5731">
        <w:t>.</w:t>
      </w:r>
    </w:p>
    <w:p w14:paraId="69846F58" w14:textId="68F0F0CC" w:rsidR="00055A19" w:rsidRDefault="00055A19" w:rsidP="00055A19">
      <w:pPr>
        <w:pStyle w:val="ListBullet"/>
        <w:numPr>
          <w:ilvl w:val="0"/>
          <w:numId w:val="0"/>
        </w:numPr>
      </w:pPr>
      <w:r>
        <w:t xml:space="preserve">I have considered the two written submissions which were received regarding this substance, noting that both submissions were largely </w:t>
      </w:r>
      <w:r w:rsidR="00045D85">
        <w:t>supportive</w:t>
      </w:r>
      <w:r>
        <w:t xml:space="preserve"> of </w:t>
      </w:r>
      <w:r w:rsidR="00045D85">
        <w:t>scheduling</w:t>
      </w:r>
      <w:r>
        <w:t xml:space="preserve">. I have considered the concerns raised in one of the submissions regarding the proposed labelling requirements, which </w:t>
      </w:r>
      <w:r>
        <w:lastRenderedPageBreak/>
        <w:t xml:space="preserve">encouraged alignment with the EU regulations, however for the reasons given above I have decided not to </w:t>
      </w:r>
      <w:r w:rsidR="00045D85">
        <w:t>take this approach</w:t>
      </w:r>
      <w:r>
        <w:t>.</w:t>
      </w:r>
    </w:p>
    <w:p w14:paraId="5959C3E0" w14:textId="05EB186C" w:rsidR="00A40CB9" w:rsidRDefault="00A40CB9" w:rsidP="00A40CB9">
      <w:r w:rsidRPr="006B74E6">
        <w:rPr>
          <w:bCs/>
        </w:rPr>
        <w:t>I agree with the Committee's finding</w:t>
      </w:r>
      <w:r>
        <w:rPr>
          <w:bCs/>
        </w:rPr>
        <w:t>s</w:t>
      </w:r>
      <w:r w:rsidRPr="006B74E6">
        <w:rPr>
          <w:bCs/>
        </w:rPr>
        <w:t xml:space="preserve"> that the relevant provisions of section 52E of the </w:t>
      </w:r>
      <w:r w:rsidRPr="006B74E6">
        <w:rPr>
          <w:bCs/>
          <w:i/>
          <w:iCs/>
        </w:rPr>
        <w:t>Therapeutic Goods Act 1989</w:t>
      </w:r>
      <w:r w:rsidRPr="006B74E6">
        <w:rPr>
          <w:bCs/>
        </w:rPr>
        <w:t> are</w:t>
      </w:r>
      <w:r>
        <w:rPr>
          <w:bCs/>
        </w:rPr>
        <w:t>:</w:t>
      </w:r>
      <w:r w:rsidRPr="00C70F72">
        <w:t xml:space="preserve"> </w:t>
      </w:r>
      <w:r w:rsidR="00800210">
        <w:t xml:space="preserve">(a) risks and benefits of the use of a substance; (b) the purposes for which a substance is to be used and the extent of use of a substance; </w:t>
      </w:r>
      <w:r w:rsidR="00800210" w:rsidRPr="00253950">
        <w:t>(c) the toxicity of a substance; (d) the dosage, formulation, labelling, packaging and presentation of a substance; and (f) any other matters that the Secretary considers nec</w:t>
      </w:r>
      <w:r w:rsidR="00800210">
        <w:t>essary to protect public health.</w:t>
      </w:r>
    </w:p>
    <w:p w14:paraId="27148954" w14:textId="38F3C0E3" w:rsidR="00045D85" w:rsidRDefault="00045D85" w:rsidP="00A40CB9">
      <w:r>
        <w:t xml:space="preserve">I have considered the public submissions calling for a longer transition period to allow for any re-formulation and labelling changes and agree with the committee advice that an implementation date of 1 June 2022 is appropriate.  </w:t>
      </w:r>
    </w:p>
    <w:p w14:paraId="63BC5206" w14:textId="77777777" w:rsidR="00A40CB9" w:rsidRPr="00C721A5" w:rsidRDefault="00A40CB9" w:rsidP="00A40CB9">
      <w:pPr>
        <w:pStyle w:val="Heading4"/>
        <w:rPr>
          <w:rFonts w:ascii="Cambria" w:eastAsia="Times New Roman" w:hAnsi="Cambria"/>
          <w:i/>
          <w:color w:val="001523"/>
          <w:sz w:val="22"/>
        </w:rPr>
      </w:pPr>
      <w:bookmarkStart w:id="22" w:name="_Toc85029583"/>
      <w:r w:rsidRPr="00C721A5">
        <w:rPr>
          <w:rFonts w:ascii="Cambria" w:eastAsia="Times New Roman" w:hAnsi="Cambria"/>
          <w:i/>
          <w:color w:val="001523"/>
          <w:sz w:val="22"/>
        </w:rPr>
        <w:t>Proposed implementation date</w:t>
      </w:r>
      <w:bookmarkEnd w:id="22"/>
    </w:p>
    <w:p w14:paraId="4AA38E5D" w14:textId="0038623B" w:rsidR="00A40CB9" w:rsidRDefault="00A40CB9" w:rsidP="00A40CB9">
      <w:pPr>
        <w:rPr>
          <w:rFonts w:eastAsia="Times New Roman"/>
          <w:b/>
          <w:bCs/>
          <w:color w:val="001523"/>
          <w:szCs w:val="26"/>
        </w:rPr>
      </w:pPr>
      <w:r>
        <w:rPr>
          <w:rFonts w:eastAsia="Times New Roman"/>
          <w:b/>
          <w:bCs/>
          <w:color w:val="001523"/>
          <w:szCs w:val="26"/>
        </w:rPr>
        <w:t xml:space="preserve">1 </w:t>
      </w:r>
      <w:r w:rsidR="00055A19">
        <w:rPr>
          <w:rFonts w:eastAsia="Times New Roman"/>
          <w:b/>
          <w:bCs/>
          <w:color w:val="001523"/>
          <w:szCs w:val="26"/>
        </w:rPr>
        <w:t xml:space="preserve">June </w:t>
      </w:r>
      <w:r>
        <w:rPr>
          <w:rFonts w:eastAsia="Times New Roman"/>
          <w:b/>
          <w:bCs/>
          <w:color w:val="001523"/>
          <w:szCs w:val="26"/>
        </w:rPr>
        <w:t>2022</w:t>
      </w:r>
    </w:p>
    <w:p w14:paraId="2F6C60A7" w14:textId="0D14D916" w:rsidR="001D6386" w:rsidRDefault="001D6386" w:rsidP="001D6386">
      <w:pPr>
        <w:pStyle w:val="Heading3"/>
      </w:pPr>
      <w:bookmarkStart w:id="23" w:name="_Toc85029584"/>
      <w:r>
        <w:t xml:space="preserve">Interim decision in </w:t>
      </w:r>
      <w:r w:rsidRPr="001E0113">
        <w:t>relation</w:t>
      </w:r>
      <w:r>
        <w:t xml:space="preserve"> to </w:t>
      </w:r>
      <w:r w:rsidR="00A61442">
        <w:t>l</w:t>
      </w:r>
      <w:r w:rsidR="00A61442" w:rsidRPr="0078725C">
        <w:t>ead acetates</w:t>
      </w:r>
      <w:bookmarkEnd w:id="23"/>
    </w:p>
    <w:p w14:paraId="7FF0F7D4" w14:textId="77777777" w:rsidR="00453E6A" w:rsidRPr="00C721A5" w:rsidRDefault="00453E6A" w:rsidP="00453E6A">
      <w:pPr>
        <w:pStyle w:val="Heading4"/>
      </w:pPr>
      <w:bookmarkStart w:id="24" w:name="_Toc85029585"/>
      <w:bookmarkEnd w:id="5"/>
      <w:bookmarkEnd w:id="6"/>
      <w:r w:rsidRPr="00C721A5">
        <w:rPr>
          <w:rFonts w:ascii="Cambria" w:eastAsia="Times New Roman" w:hAnsi="Cambria"/>
          <w:i/>
          <w:color w:val="001523"/>
          <w:sz w:val="22"/>
        </w:rPr>
        <w:t>Proposal</w:t>
      </w:r>
      <w:bookmarkEnd w:id="24"/>
    </w:p>
    <w:p w14:paraId="5A607726" w14:textId="7E01C7A8" w:rsidR="00453E6A" w:rsidRDefault="00453E6A" w:rsidP="00453E6A">
      <w:r>
        <w:t xml:space="preserve">A Delegate of the Secretary of the Commonwealth Department of Health (the Delegate) proposed to create a new Schedule 10 entry for lead acetates in preparations for use as hair cosmetics. The proposed entry would prohibit the sale, </w:t>
      </w:r>
      <w:proofErr w:type="gramStart"/>
      <w:r>
        <w:t>supply</w:t>
      </w:r>
      <w:proofErr w:type="gramEnd"/>
      <w:r>
        <w:t xml:space="preserve"> and use of preparations that are currently captured by the Schedule 5 entry for lead compounds. </w:t>
      </w:r>
    </w:p>
    <w:p w14:paraId="41C7E5D0" w14:textId="77777777" w:rsidR="00453E6A" w:rsidRPr="00C721A5" w:rsidRDefault="00453E6A" w:rsidP="00453E6A">
      <w:pPr>
        <w:pStyle w:val="Heading4"/>
        <w:rPr>
          <w:rFonts w:ascii="Cambria" w:eastAsia="Times New Roman" w:hAnsi="Cambria"/>
          <w:i/>
          <w:color w:val="001523"/>
          <w:sz w:val="22"/>
        </w:rPr>
      </w:pPr>
      <w:bookmarkStart w:id="25" w:name="_Toc85029586"/>
      <w:r w:rsidRPr="00C721A5">
        <w:rPr>
          <w:rFonts w:ascii="Cambria" w:eastAsia="Times New Roman" w:hAnsi="Cambria"/>
          <w:i/>
          <w:color w:val="001523"/>
          <w:sz w:val="22"/>
        </w:rPr>
        <w:t>Interim decision</w:t>
      </w:r>
      <w:bookmarkEnd w:id="25"/>
    </w:p>
    <w:p w14:paraId="2CC843D1" w14:textId="7B3CB489" w:rsidR="00453E6A" w:rsidRDefault="00453E6A" w:rsidP="00453E6A">
      <w:r w:rsidRPr="00A05D10">
        <w:t>Pursuant to regulation 42ZCZN of the Regulations, a Delegate of the Secretary has, in relation to the proposed amendment, made an interim decision to amend the</w:t>
      </w:r>
      <w:r>
        <w:t xml:space="preserve"> scheduling for lead compounds in the </w:t>
      </w:r>
      <w:r w:rsidRPr="00A05D10">
        <w:t>current Poisons St</w:t>
      </w:r>
      <w:r>
        <w:t>andard as follows</w:t>
      </w:r>
      <w:r w:rsidRPr="00A05D10">
        <w:t>:</w:t>
      </w:r>
      <w:r>
        <w:t xml:space="preserve"> </w:t>
      </w:r>
    </w:p>
    <w:p w14:paraId="5E0C2051" w14:textId="77777777" w:rsidR="00A55896" w:rsidRPr="00A55896" w:rsidRDefault="00A55896" w:rsidP="00453E6A">
      <w:pPr>
        <w:ind w:left="709"/>
        <w:rPr>
          <w:b/>
        </w:rPr>
      </w:pPr>
      <w:r w:rsidRPr="00A55896">
        <w:rPr>
          <w:b/>
        </w:rPr>
        <w:t xml:space="preserve">Schedule 10 </w:t>
      </w:r>
    </w:p>
    <w:p w14:paraId="388BCA32" w14:textId="4EA2FE8C" w:rsidR="00A55896" w:rsidRDefault="00A55896" w:rsidP="00453E6A">
      <w:pPr>
        <w:ind w:left="709"/>
        <w:rPr>
          <w:b/>
        </w:rPr>
      </w:pPr>
      <w:r>
        <w:t xml:space="preserve">LEAD COMPOUNDS in paints, tinters, </w:t>
      </w:r>
      <w:proofErr w:type="gramStart"/>
      <w:r>
        <w:t>inks</w:t>
      </w:r>
      <w:proofErr w:type="gramEnd"/>
      <w:r>
        <w:t xml:space="preserve"> or ink additives </w:t>
      </w:r>
      <w:r w:rsidRPr="00A55896">
        <w:rPr>
          <w:b/>
        </w:rPr>
        <w:t>except</w:t>
      </w:r>
      <w:r>
        <w:t xml:space="preserve"> in preparations containing 0.1 per cent or less of lead calculated on the non-volatile content of the paint, tinter, ink or ink additive.</w:t>
      </w:r>
    </w:p>
    <w:p w14:paraId="19DE67F1" w14:textId="0436774F" w:rsidR="00453E6A" w:rsidRDefault="00D10190" w:rsidP="00453E6A">
      <w:pPr>
        <w:ind w:left="709"/>
        <w:rPr>
          <w:b/>
        </w:rPr>
      </w:pPr>
      <w:r>
        <w:rPr>
          <w:b/>
        </w:rPr>
        <w:t>Schedule 6 – Amend Entry</w:t>
      </w:r>
    </w:p>
    <w:p w14:paraId="6631C186" w14:textId="35D10542" w:rsidR="00D10190" w:rsidRPr="00D10190" w:rsidRDefault="00D10190" w:rsidP="00D10190">
      <w:pPr>
        <w:ind w:left="709"/>
        <w:rPr>
          <w:b/>
          <w:bCs/>
        </w:rPr>
      </w:pPr>
      <w:r w:rsidRPr="000A2097">
        <w:t xml:space="preserve">LEAD COMPOUNDS </w:t>
      </w:r>
      <w:r w:rsidRPr="001E6C79">
        <w:rPr>
          <w:b/>
          <w:bCs/>
        </w:rPr>
        <w:t>except</w:t>
      </w:r>
      <w:r w:rsidR="00392E85" w:rsidRPr="00392E85">
        <w:rPr>
          <w:bCs/>
        </w:rPr>
        <w:t>:</w:t>
      </w:r>
    </w:p>
    <w:p w14:paraId="58041ED5" w14:textId="30437E95" w:rsidR="00D10190" w:rsidRDefault="00D10190" w:rsidP="00AE15C1">
      <w:pPr>
        <w:pStyle w:val="Numberbullet2"/>
        <w:numPr>
          <w:ilvl w:val="0"/>
          <w:numId w:val="9"/>
        </w:numPr>
        <w:tabs>
          <w:tab w:val="left" w:pos="1276"/>
        </w:tabs>
        <w:ind w:left="1418" w:hanging="358"/>
        <w:rPr>
          <w:i w:val="0"/>
        </w:rPr>
      </w:pPr>
      <w:r>
        <w:rPr>
          <w:i w:val="0"/>
        </w:rPr>
        <w:t xml:space="preserve"> </w:t>
      </w:r>
      <w:r w:rsidRPr="00D57819">
        <w:rPr>
          <w:i w:val="0"/>
        </w:rPr>
        <w:t xml:space="preserve">when included in Schedule 4 </w:t>
      </w:r>
      <w:r w:rsidRPr="009921D3">
        <w:rPr>
          <w:i w:val="0"/>
          <w:strike/>
          <w:color w:val="FF0000"/>
        </w:rPr>
        <w:t xml:space="preserve">or </w:t>
      </w:r>
      <w:proofErr w:type="gramStart"/>
      <w:r w:rsidRPr="009921D3">
        <w:rPr>
          <w:i w:val="0"/>
          <w:strike/>
          <w:color w:val="FF0000"/>
        </w:rPr>
        <w:t>5</w:t>
      </w:r>
      <w:r w:rsidRPr="00D57819">
        <w:rPr>
          <w:i w:val="0"/>
        </w:rPr>
        <w:t>;</w:t>
      </w:r>
      <w:proofErr w:type="gramEnd"/>
    </w:p>
    <w:p w14:paraId="7FACA051" w14:textId="77777777" w:rsidR="00D10190" w:rsidRDefault="00D10190" w:rsidP="00AE15C1">
      <w:pPr>
        <w:pStyle w:val="Numberbullet2"/>
        <w:numPr>
          <w:ilvl w:val="0"/>
          <w:numId w:val="9"/>
        </w:numPr>
        <w:tabs>
          <w:tab w:val="left" w:pos="1276"/>
        </w:tabs>
        <w:ind w:left="1418" w:hanging="358"/>
        <w:rPr>
          <w:i w:val="0"/>
        </w:rPr>
      </w:pPr>
      <w:r w:rsidRPr="00D10190">
        <w:rPr>
          <w:i w:val="0"/>
        </w:rPr>
        <w:t xml:space="preserve"> in paints, tinters, inks or ink </w:t>
      </w:r>
      <w:proofErr w:type="gramStart"/>
      <w:r w:rsidRPr="00D10190">
        <w:rPr>
          <w:i w:val="0"/>
        </w:rPr>
        <w:t>additives;</w:t>
      </w:r>
      <w:proofErr w:type="gramEnd"/>
    </w:p>
    <w:p w14:paraId="044E763B" w14:textId="098A6A0F" w:rsidR="00D10190" w:rsidRDefault="00D10190" w:rsidP="00AE15C1">
      <w:pPr>
        <w:pStyle w:val="Numberbullet2"/>
        <w:numPr>
          <w:ilvl w:val="0"/>
          <w:numId w:val="9"/>
        </w:numPr>
        <w:tabs>
          <w:tab w:val="left" w:pos="1276"/>
        </w:tabs>
        <w:ind w:left="1418" w:hanging="358"/>
        <w:rPr>
          <w:i w:val="0"/>
        </w:rPr>
      </w:pPr>
      <w:r w:rsidRPr="00D10190">
        <w:rPr>
          <w:rFonts w:ascii="Arial" w:hAnsi="Arial"/>
          <w:sz w:val="20"/>
          <w:lang w:eastAsia="en-AU"/>
        </w:rPr>
        <w:t xml:space="preserve"> </w:t>
      </w:r>
      <w:r w:rsidRPr="00D10190">
        <w:rPr>
          <w:i w:val="0"/>
        </w:rPr>
        <w:t xml:space="preserve">in preparations for cosmetic use containing 100 mg/kg or less of </w:t>
      </w:r>
      <w:proofErr w:type="gramStart"/>
      <w:r w:rsidRPr="00D10190">
        <w:rPr>
          <w:i w:val="0"/>
        </w:rPr>
        <w:t>lead;</w:t>
      </w:r>
      <w:proofErr w:type="gramEnd"/>
      <w:r w:rsidRPr="00D10190">
        <w:rPr>
          <w:i w:val="0"/>
        </w:rPr>
        <w:t xml:space="preserve"> </w:t>
      </w:r>
    </w:p>
    <w:p w14:paraId="44EB28D6" w14:textId="77777777" w:rsidR="00D10190" w:rsidRDefault="00D10190" w:rsidP="00AE15C1">
      <w:pPr>
        <w:pStyle w:val="Numberbullet2"/>
        <w:numPr>
          <w:ilvl w:val="0"/>
          <w:numId w:val="9"/>
        </w:numPr>
        <w:tabs>
          <w:tab w:val="left" w:pos="1276"/>
        </w:tabs>
        <w:ind w:left="1418" w:hanging="358"/>
        <w:rPr>
          <w:i w:val="0"/>
        </w:rPr>
      </w:pPr>
      <w:r>
        <w:rPr>
          <w:i w:val="0"/>
        </w:rPr>
        <w:t xml:space="preserve"> in pencil cores, </w:t>
      </w:r>
      <w:r w:rsidRPr="00D10190">
        <w:rPr>
          <w:i w:val="0"/>
        </w:rPr>
        <w:t>finger colours, showcard colours, pastels, crayons, poster paints/colours or coloured chalks containing 100 mg/kg or less of lead; or</w:t>
      </w:r>
    </w:p>
    <w:p w14:paraId="19F92CF0" w14:textId="2B0567E2" w:rsidR="00D10190" w:rsidRPr="00D10190" w:rsidRDefault="00D10190" w:rsidP="00AE15C1">
      <w:pPr>
        <w:pStyle w:val="Numberbullet2"/>
        <w:numPr>
          <w:ilvl w:val="0"/>
          <w:numId w:val="9"/>
        </w:numPr>
        <w:tabs>
          <w:tab w:val="left" w:pos="1276"/>
        </w:tabs>
        <w:ind w:left="1418" w:hanging="358"/>
        <w:rPr>
          <w:i w:val="0"/>
        </w:rPr>
      </w:pPr>
      <w:r w:rsidRPr="00D10190">
        <w:rPr>
          <w:i w:val="0"/>
        </w:rPr>
        <w:t xml:space="preserve"> in ceramic glazes when labelled with the warning statement:</w:t>
      </w:r>
    </w:p>
    <w:p w14:paraId="073DBA00" w14:textId="77777777" w:rsidR="00D10190" w:rsidRPr="000A2097" w:rsidRDefault="00D10190" w:rsidP="00D10190">
      <w:pPr>
        <w:ind w:left="1418"/>
      </w:pPr>
      <w:r w:rsidRPr="000A2097">
        <w:t>CAUTION – Harmful if swallowed. Do not use on surfaces which contact food or drink.</w:t>
      </w:r>
    </w:p>
    <w:p w14:paraId="54C319A3" w14:textId="21C25AF2" w:rsidR="00D10190" w:rsidRPr="003E2CAF" w:rsidRDefault="00D10190" w:rsidP="00D10190">
      <w:pPr>
        <w:ind w:left="1701" w:hanging="283"/>
      </w:pPr>
      <w:r w:rsidRPr="000A2097">
        <w:t>written in letters not less than 1.5 mm in height.</w:t>
      </w:r>
    </w:p>
    <w:p w14:paraId="295DBB15" w14:textId="7C8FCDFC" w:rsidR="00CB135C" w:rsidRDefault="00CB135C" w:rsidP="00453E6A">
      <w:pPr>
        <w:ind w:left="709"/>
        <w:rPr>
          <w:b/>
        </w:rPr>
      </w:pPr>
      <w:r>
        <w:rPr>
          <w:b/>
        </w:rPr>
        <w:lastRenderedPageBreak/>
        <w:t>Schedule 5 – Delete Entry</w:t>
      </w:r>
    </w:p>
    <w:p w14:paraId="33DE248C" w14:textId="27BC9FBC" w:rsidR="00CB135C" w:rsidRDefault="00CB135C" w:rsidP="00CB135C">
      <w:pPr>
        <w:ind w:firstLine="709"/>
        <w:rPr>
          <w:strike/>
          <w:color w:val="FF0000"/>
        </w:rPr>
      </w:pPr>
      <w:r w:rsidRPr="00562D8A">
        <w:rPr>
          <w:strike/>
          <w:color w:val="FF0000"/>
        </w:rPr>
        <w:t>LEAD COMPOUNDS in preparations for use as hair cosmetics.</w:t>
      </w:r>
    </w:p>
    <w:p w14:paraId="0A48A71F" w14:textId="3F0562FF" w:rsidR="00E37087" w:rsidRPr="00E37087" w:rsidRDefault="00E37087" w:rsidP="00CB135C">
      <w:pPr>
        <w:ind w:firstLine="709"/>
        <w:rPr>
          <w:b/>
        </w:rPr>
      </w:pPr>
      <w:r w:rsidRPr="00E37087">
        <w:rPr>
          <w:b/>
        </w:rPr>
        <w:t>Appendix E, Part 2</w:t>
      </w:r>
    </w:p>
    <w:tbl>
      <w:tblPr>
        <w:tblStyle w:val="TableTGAblue"/>
        <w:tblW w:w="0" w:type="auto"/>
        <w:tblLook w:val="04A0" w:firstRow="1" w:lastRow="0" w:firstColumn="1" w:lastColumn="0" w:noHBand="0" w:noVBand="1"/>
      </w:tblPr>
      <w:tblGrid>
        <w:gridCol w:w="5486"/>
        <w:gridCol w:w="3008"/>
      </w:tblGrid>
      <w:tr w:rsidR="00E37087" w14:paraId="5A48C19D" w14:textId="77777777" w:rsidTr="00726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hideMark/>
          </w:tcPr>
          <w:p w14:paraId="14924A34" w14:textId="77777777" w:rsidR="00E37087" w:rsidRPr="009E40EE" w:rsidRDefault="00E37087" w:rsidP="00726C73">
            <w:r w:rsidRPr="009E40EE">
              <w:t>POISON</w:t>
            </w:r>
          </w:p>
        </w:tc>
        <w:tc>
          <w:tcPr>
            <w:tcW w:w="3008" w:type="dxa"/>
            <w:hideMark/>
          </w:tcPr>
          <w:p w14:paraId="4B3563F6" w14:textId="77777777" w:rsidR="00E37087" w:rsidRPr="009E40EE" w:rsidRDefault="00E37087" w:rsidP="00726C73">
            <w:pPr>
              <w:cnfStyle w:val="100000000000" w:firstRow="1" w:lastRow="0" w:firstColumn="0" w:lastColumn="0" w:oddVBand="0" w:evenVBand="0" w:oddHBand="0" w:evenHBand="0" w:firstRowFirstColumn="0" w:firstRowLastColumn="0" w:lastRowFirstColumn="0" w:lastRowLastColumn="0"/>
            </w:pPr>
            <w:r w:rsidRPr="009E40EE">
              <w:t>STANDARD STATEMENTS</w:t>
            </w:r>
          </w:p>
        </w:tc>
      </w:tr>
      <w:tr w:rsidR="00E37087" w14:paraId="49962F27" w14:textId="77777777" w:rsidTr="00726C73">
        <w:tc>
          <w:tcPr>
            <w:cnfStyle w:val="001000000000" w:firstRow="0" w:lastRow="0" w:firstColumn="1" w:lastColumn="0" w:oddVBand="0" w:evenVBand="0" w:oddHBand="0" w:evenHBand="0" w:firstRowFirstColumn="0" w:firstRowLastColumn="0" w:lastRowFirstColumn="0" w:lastRowLastColumn="0"/>
            <w:tcW w:w="5486" w:type="dxa"/>
            <w:hideMark/>
          </w:tcPr>
          <w:p w14:paraId="3438776E" w14:textId="77777777" w:rsidR="00E37087" w:rsidRPr="00251574" w:rsidRDefault="00E37087" w:rsidP="00726C73">
            <w:pPr>
              <w:pStyle w:val="ListBullet"/>
              <w:numPr>
                <w:ilvl w:val="0"/>
                <w:numId w:val="0"/>
              </w:numPr>
              <w:ind w:left="360" w:hanging="360"/>
              <w:rPr>
                <w:rFonts w:asciiTheme="minorHAnsi" w:hAnsiTheme="minorHAnsi"/>
                <w:szCs w:val="22"/>
              </w:rPr>
            </w:pPr>
            <w:r w:rsidRPr="00251574">
              <w:rPr>
                <w:rFonts w:asciiTheme="minorHAnsi" w:hAnsiTheme="minorHAnsi"/>
                <w:szCs w:val="22"/>
              </w:rPr>
              <w:t>LEAD COMPOUNDS</w:t>
            </w:r>
          </w:p>
        </w:tc>
        <w:tc>
          <w:tcPr>
            <w:tcW w:w="3008" w:type="dxa"/>
            <w:hideMark/>
          </w:tcPr>
          <w:p w14:paraId="754A972A" w14:textId="77777777" w:rsidR="00E37087" w:rsidRPr="00251574" w:rsidRDefault="00E37087" w:rsidP="00726C7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hint="eastAsia"/>
                <w:szCs w:val="22"/>
              </w:rPr>
              <w:t> </w:t>
            </w:r>
          </w:p>
        </w:tc>
      </w:tr>
      <w:tr w:rsidR="00E37087" w14:paraId="3C44ED51" w14:textId="77777777" w:rsidTr="00726C73">
        <w:tc>
          <w:tcPr>
            <w:cnfStyle w:val="001000000000" w:firstRow="0" w:lastRow="0" w:firstColumn="1" w:lastColumn="0" w:oddVBand="0" w:evenVBand="0" w:oddHBand="0" w:evenHBand="0" w:firstRowFirstColumn="0" w:firstRowLastColumn="0" w:lastRowFirstColumn="0" w:lastRowLastColumn="0"/>
            <w:tcW w:w="5486" w:type="dxa"/>
          </w:tcPr>
          <w:p w14:paraId="219BBF9D" w14:textId="77777777" w:rsidR="00E37087" w:rsidRPr="00D43617" w:rsidRDefault="00E37087" w:rsidP="00AE15C1">
            <w:pPr>
              <w:pStyle w:val="ListBullet"/>
              <w:numPr>
                <w:ilvl w:val="0"/>
                <w:numId w:val="11"/>
              </w:numPr>
            </w:pPr>
            <w:r w:rsidRPr="00251574">
              <w:rPr>
                <w:szCs w:val="20"/>
              </w:rPr>
              <w:t xml:space="preserve">in hair cosmetics </w:t>
            </w:r>
          </w:p>
        </w:tc>
        <w:tc>
          <w:tcPr>
            <w:tcW w:w="3008" w:type="dxa"/>
          </w:tcPr>
          <w:p w14:paraId="6F12B8B5" w14:textId="77777777" w:rsidR="00E37087" w:rsidRPr="00251574" w:rsidRDefault="00E37087" w:rsidP="00726C7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p>
        </w:tc>
      </w:tr>
      <w:tr w:rsidR="00E37087" w14:paraId="5A1E687B" w14:textId="77777777" w:rsidTr="00726C73">
        <w:tc>
          <w:tcPr>
            <w:cnfStyle w:val="001000000000" w:firstRow="0" w:lastRow="0" w:firstColumn="1" w:lastColumn="0" w:oddVBand="0" w:evenVBand="0" w:oddHBand="0" w:evenHBand="0" w:firstRowFirstColumn="0" w:firstRowLastColumn="0" w:lastRowFirstColumn="0" w:lastRowLastColumn="0"/>
            <w:tcW w:w="5486" w:type="dxa"/>
          </w:tcPr>
          <w:p w14:paraId="3B51161E" w14:textId="77777777" w:rsidR="00E37087" w:rsidRPr="00D43617" w:rsidRDefault="00E37087" w:rsidP="00AE15C1">
            <w:pPr>
              <w:pStyle w:val="ListBullet"/>
              <w:numPr>
                <w:ilvl w:val="0"/>
                <w:numId w:val="11"/>
              </w:numPr>
            </w:pPr>
            <w:r w:rsidRPr="00251574">
              <w:rPr>
                <w:szCs w:val="20"/>
              </w:rPr>
              <w:t>in other preparations</w:t>
            </w:r>
          </w:p>
        </w:tc>
        <w:tc>
          <w:tcPr>
            <w:tcW w:w="3008" w:type="dxa"/>
          </w:tcPr>
          <w:p w14:paraId="30CA40A3" w14:textId="77777777" w:rsidR="00E37087" w:rsidRPr="00251574" w:rsidRDefault="00E37087" w:rsidP="00726C7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r>
              <w:rPr>
                <w:rFonts w:asciiTheme="minorHAnsi" w:hAnsiTheme="minorHAnsi"/>
                <w:szCs w:val="22"/>
              </w:rPr>
              <w:t xml:space="preserve"> </w:t>
            </w:r>
            <w:r w:rsidRPr="00251574">
              <w:rPr>
                <w:rFonts w:asciiTheme="minorHAnsi" w:hAnsiTheme="minorHAnsi"/>
                <w:szCs w:val="22"/>
              </w:rPr>
              <w:t>S1</w:t>
            </w:r>
          </w:p>
        </w:tc>
      </w:tr>
      <w:tr w:rsidR="00E37087" w:rsidRPr="00C57F1C" w14:paraId="2932FC26" w14:textId="77777777" w:rsidTr="00726C73">
        <w:tc>
          <w:tcPr>
            <w:cnfStyle w:val="001000000000" w:firstRow="0" w:lastRow="0" w:firstColumn="1" w:lastColumn="0" w:oddVBand="0" w:evenVBand="0" w:oddHBand="0" w:evenHBand="0" w:firstRowFirstColumn="0" w:firstRowLastColumn="0" w:lastRowFirstColumn="0" w:lastRowLastColumn="0"/>
            <w:tcW w:w="8494" w:type="dxa"/>
            <w:gridSpan w:val="2"/>
          </w:tcPr>
          <w:p w14:paraId="5B9B2A85" w14:textId="77777777" w:rsidR="00E37087" w:rsidRDefault="00E37087" w:rsidP="00726C73">
            <w:pPr>
              <w:rPr>
                <w:sz w:val="20"/>
              </w:rPr>
            </w:pPr>
            <w:r>
              <w:rPr>
                <w:b/>
                <w:sz w:val="20"/>
              </w:rPr>
              <w:t xml:space="preserve">A </w:t>
            </w:r>
            <w:r>
              <w:rPr>
                <w:sz w:val="20"/>
              </w:rPr>
              <w:t xml:space="preserve">– </w:t>
            </w:r>
            <w:r w:rsidRPr="00C57F1C">
              <w:rPr>
                <w:sz w:val="20"/>
              </w:rPr>
              <w:t>For advice, contact a Poisons Information Centre (e.g. phone Australia 13 11 26; New Zealand 0800 764 766) or a doctor (at once).</w:t>
            </w:r>
          </w:p>
          <w:p w14:paraId="6ABB2979" w14:textId="77777777" w:rsidR="00E37087" w:rsidRPr="00C57F1C" w:rsidRDefault="00E37087" w:rsidP="00726C73">
            <w:pPr>
              <w:rPr>
                <w:sz w:val="20"/>
              </w:rPr>
            </w:pPr>
            <w:r>
              <w:rPr>
                <w:b/>
                <w:sz w:val="20"/>
              </w:rPr>
              <w:t xml:space="preserve">S1 </w:t>
            </w:r>
            <w:r>
              <w:rPr>
                <w:sz w:val="20"/>
              </w:rPr>
              <w:t xml:space="preserve">– </w:t>
            </w:r>
            <w:r w:rsidRPr="00D43617">
              <w:rPr>
                <w:sz w:val="20"/>
              </w:rPr>
              <w:t>If skin or hair contact occurs, remove contaminated clothing and flush skin and hair with running water.</w:t>
            </w:r>
          </w:p>
        </w:tc>
      </w:tr>
    </w:tbl>
    <w:p w14:paraId="23FFF494" w14:textId="77777777" w:rsidR="00E37087" w:rsidRPr="006D5C84" w:rsidRDefault="00E37087" w:rsidP="00E37087">
      <w:pPr>
        <w:ind w:left="426"/>
        <w:rPr>
          <w:b/>
        </w:rPr>
      </w:pPr>
      <w:r>
        <w:rPr>
          <w:b/>
        </w:rPr>
        <w:t>Appendix</w:t>
      </w:r>
      <w:r w:rsidRPr="006D5C84">
        <w:rPr>
          <w:b/>
        </w:rPr>
        <w:t xml:space="preserve"> F, Part 3</w:t>
      </w:r>
    </w:p>
    <w:tbl>
      <w:tblPr>
        <w:tblStyle w:val="TableTGAblue"/>
        <w:tblW w:w="0" w:type="auto"/>
        <w:tblLook w:val="04A0" w:firstRow="1" w:lastRow="0" w:firstColumn="1" w:lastColumn="0" w:noHBand="0" w:noVBand="1"/>
      </w:tblPr>
      <w:tblGrid>
        <w:gridCol w:w="2400"/>
        <w:gridCol w:w="142"/>
        <w:gridCol w:w="3260"/>
        <w:gridCol w:w="2920"/>
      </w:tblGrid>
      <w:tr w:rsidR="00E37087" w:rsidRPr="00C57F1C" w14:paraId="2F0146B7" w14:textId="77777777" w:rsidTr="00726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hideMark/>
          </w:tcPr>
          <w:p w14:paraId="2D56A324" w14:textId="77777777" w:rsidR="00E37087" w:rsidRPr="009E40EE" w:rsidRDefault="00E37087" w:rsidP="00726C73">
            <w:r w:rsidRPr="009E40EE">
              <w:t>POISON</w:t>
            </w:r>
          </w:p>
        </w:tc>
        <w:tc>
          <w:tcPr>
            <w:tcW w:w="3402" w:type="dxa"/>
            <w:gridSpan w:val="2"/>
            <w:hideMark/>
          </w:tcPr>
          <w:p w14:paraId="6FBD5997" w14:textId="77777777" w:rsidR="00E37087" w:rsidRPr="009E40EE" w:rsidRDefault="00E37087" w:rsidP="00726C73">
            <w:pPr>
              <w:jc w:val="center"/>
              <w:cnfStyle w:val="100000000000" w:firstRow="1" w:lastRow="0" w:firstColumn="0" w:lastColumn="0" w:oddVBand="0" w:evenVBand="0" w:oddHBand="0" w:evenHBand="0" w:firstRowFirstColumn="0" w:firstRowLastColumn="0" w:lastRowFirstColumn="0" w:lastRowLastColumn="0"/>
            </w:pPr>
            <w:r w:rsidRPr="009E40EE">
              <w:t>WARNING STATEMENTS</w:t>
            </w:r>
          </w:p>
        </w:tc>
        <w:tc>
          <w:tcPr>
            <w:tcW w:w="2920" w:type="dxa"/>
            <w:hideMark/>
          </w:tcPr>
          <w:p w14:paraId="4E22FAED" w14:textId="77777777" w:rsidR="00E37087" w:rsidRPr="009E40EE" w:rsidRDefault="00E37087" w:rsidP="00726C73">
            <w:pPr>
              <w:jc w:val="center"/>
              <w:cnfStyle w:val="100000000000" w:firstRow="1" w:lastRow="0" w:firstColumn="0" w:lastColumn="0" w:oddVBand="0" w:evenVBand="0" w:oddHBand="0" w:evenHBand="0" w:firstRowFirstColumn="0" w:firstRowLastColumn="0" w:lastRowFirstColumn="0" w:lastRowLastColumn="0"/>
            </w:pPr>
            <w:r w:rsidRPr="009E40EE">
              <w:t>SAFETY DIRECTION</w:t>
            </w:r>
          </w:p>
        </w:tc>
      </w:tr>
      <w:tr w:rsidR="00E37087" w:rsidRPr="00C57F1C" w14:paraId="4F95C1CF" w14:textId="77777777" w:rsidTr="00AF2993">
        <w:tc>
          <w:tcPr>
            <w:cnfStyle w:val="001000000000" w:firstRow="0" w:lastRow="0" w:firstColumn="1" w:lastColumn="0" w:oddVBand="0" w:evenVBand="0" w:oddHBand="0" w:evenHBand="0" w:firstRowFirstColumn="0" w:firstRowLastColumn="0" w:lastRowFirstColumn="0" w:lastRowLastColumn="0"/>
            <w:tcW w:w="2542" w:type="dxa"/>
            <w:gridSpan w:val="2"/>
          </w:tcPr>
          <w:p w14:paraId="5F02B48B" w14:textId="77777777" w:rsidR="00E37087" w:rsidRPr="00AF2993" w:rsidRDefault="00E37087" w:rsidP="00726C73">
            <w:pPr>
              <w:spacing w:before="100" w:beforeAutospacing="1" w:after="100" w:afterAutospacing="1" w:line="240" w:lineRule="auto"/>
              <w:rPr>
                <w:rFonts w:asciiTheme="minorHAnsi" w:hAnsiTheme="minorHAnsi"/>
                <w:szCs w:val="22"/>
              </w:rPr>
            </w:pPr>
            <w:r w:rsidRPr="00AF2993">
              <w:rPr>
                <w:szCs w:val="22"/>
                <w:shd w:val="clear" w:color="auto" w:fill="FFFFFF"/>
              </w:rPr>
              <w:t>Glazing preparations containing LEAD COMPOUNDS.</w:t>
            </w:r>
          </w:p>
        </w:tc>
        <w:tc>
          <w:tcPr>
            <w:tcW w:w="3260" w:type="dxa"/>
          </w:tcPr>
          <w:p w14:paraId="05D51F14"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AF2993">
              <w:rPr>
                <w:rFonts w:asciiTheme="minorHAnsi" w:hAnsiTheme="minorHAnsi"/>
                <w:b/>
                <w:szCs w:val="22"/>
              </w:rPr>
              <w:t xml:space="preserve">50 </w:t>
            </w:r>
            <w:r w:rsidRPr="00AF2993">
              <w:rPr>
                <w:rFonts w:asciiTheme="minorHAnsi" w:hAnsiTheme="minorHAnsi"/>
                <w:szCs w:val="22"/>
              </w:rPr>
              <w:t>-</w:t>
            </w:r>
            <w:r w:rsidRPr="00AF2993">
              <w:rPr>
                <w:rFonts w:asciiTheme="minorHAnsi" w:hAnsiTheme="minorHAnsi"/>
                <w:b/>
                <w:szCs w:val="22"/>
              </w:rPr>
              <w:t xml:space="preserve"> </w:t>
            </w:r>
            <w:r w:rsidRPr="00AF2993">
              <w:rPr>
                <w:szCs w:val="22"/>
                <w:shd w:val="clear" w:color="auto" w:fill="FFFFFF"/>
              </w:rPr>
              <w:t>Unless adequately fired, utensils glazed with this preparation must not be used as containers for food or beverages; to do so may cause lead poisoning.</w:t>
            </w:r>
          </w:p>
        </w:tc>
        <w:tc>
          <w:tcPr>
            <w:tcW w:w="2920" w:type="dxa"/>
          </w:tcPr>
          <w:p w14:paraId="5C15E8ED"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E37087" w:rsidRPr="00C57F1C" w14:paraId="26FD4CE7" w14:textId="77777777" w:rsidTr="00AF2993">
        <w:tc>
          <w:tcPr>
            <w:cnfStyle w:val="001000000000" w:firstRow="0" w:lastRow="0" w:firstColumn="1" w:lastColumn="0" w:oddVBand="0" w:evenVBand="0" w:oddHBand="0" w:evenHBand="0" w:firstRowFirstColumn="0" w:firstRowLastColumn="0" w:lastRowFirstColumn="0" w:lastRowLastColumn="0"/>
            <w:tcW w:w="2542" w:type="dxa"/>
            <w:gridSpan w:val="2"/>
            <w:hideMark/>
          </w:tcPr>
          <w:p w14:paraId="3F3909C0" w14:textId="77777777" w:rsidR="00E37087" w:rsidRPr="00AF2993" w:rsidRDefault="00E37087" w:rsidP="00726C73">
            <w:pPr>
              <w:spacing w:before="100" w:beforeAutospacing="1" w:after="100" w:afterAutospacing="1" w:line="240" w:lineRule="auto"/>
              <w:rPr>
                <w:rFonts w:asciiTheme="minorHAnsi" w:eastAsia="Times New Roman" w:hAnsiTheme="minorHAnsi"/>
                <w:szCs w:val="22"/>
                <w:lang w:eastAsia="en-AU"/>
              </w:rPr>
            </w:pPr>
            <w:r w:rsidRPr="00AF2993">
              <w:rPr>
                <w:rFonts w:asciiTheme="minorHAnsi" w:hAnsiTheme="minorHAnsi"/>
                <w:szCs w:val="22"/>
              </w:rPr>
              <w:t>LEAD COMPOUNDS</w:t>
            </w:r>
          </w:p>
        </w:tc>
        <w:tc>
          <w:tcPr>
            <w:tcW w:w="3260" w:type="dxa"/>
            <w:hideMark/>
          </w:tcPr>
          <w:p w14:paraId="0A37E5A4"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AF2993">
              <w:rPr>
                <w:rFonts w:asciiTheme="minorHAnsi" w:hAnsiTheme="minorHAnsi" w:hint="eastAsia"/>
                <w:szCs w:val="22"/>
              </w:rPr>
              <w:t> </w:t>
            </w:r>
          </w:p>
        </w:tc>
        <w:tc>
          <w:tcPr>
            <w:tcW w:w="2920" w:type="dxa"/>
            <w:hideMark/>
          </w:tcPr>
          <w:p w14:paraId="1D7184B8"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AF2993">
              <w:rPr>
                <w:rFonts w:asciiTheme="minorHAnsi" w:hAnsiTheme="minorHAnsi" w:hint="eastAsia"/>
                <w:szCs w:val="22"/>
              </w:rPr>
              <w:t> </w:t>
            </w:r>
          </w:p>
        </w:tc>
      </w:tr>
      <w:tr w:rsidR="00E37087" w:rsidRPr="00C57F1C" w14:paraId="66988D27" w14:textId="77777777" w:rsidTr="00AF2993">
        <w:trPr>
          <w:trHeight w:val="404"/>
        </w:trPr>
        <w:tc>
          <w:tcPr>
            <w:cnfStyle w:val="001000000000" w:firstRow="0" w:lastRow="0" w:firstColumn="1" w:lastColumn="0" w:oddVBand="0" w:evenVBand="0" w:oddHBand="0" w:evenHBand="0" w:firstRowFirstColumn="0" w:firstRowLastColumn="0" w:lastRowFirstColumn="0" w:lastRowLastColumn="0"/>
            <w:tcW w:w="2542" w:type="dxa"/>
            <w:gridSpan w:val="2"/>
          </w:tcPr>
          <w:p w14:paraId="5E7C0D63" w14:textId="77777777" w:rsidR="00E37087" w:rsidRPr="00AF2993" w:rsidRDefault="00E37087" w:rsidP="00AE15C1">
            <w:pPr>
              <w:pStyle w:val="ListBulleta"/>
              <w:numPr>
                <w:ilvl w:val="0"/>
                <w:numId w:val="12"/>
              </w:numPr>
              <w:rPr>
                <w:szCs w:val="22"/>
              </w:rPr>
            </w:pPr>
            <w:r w:rsidRPr="00AF2993">
              <w:rPr>
                <w:szCs w:val="22"/>
              </w:rPr>
              <w:t>in hair cosmetics.</w:t>
            </w:r>
          </w:p>
        </w:tc>
        <w:tc>
          <w:tcPr>
            <w:tcW w:w="3260" w:type="dxa"/>
          </w:tcPr>
          <w:p w14:paraId="581A7624"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b/>
                <w:szCs w:val="22"/>
              </w:rPr>
              <w:t>25</w:t>
            </w:r>
            <w:r w:rsidRPr="00AF2993">
              <w:rPr>
                <w:rFonts w:asciiTheme="minorHAnsi" w:hAnsiTheme="minorHAnsi"/>
                <w:szCs w:val="22"/>
              </w:rPr>
              <w:t xml:space="preserve"> - Do not use on broken skin. Wash hands thoroughly after use.</w:t>
            </w:r>
          </w:p>
        </w:tc>
        <w:tc>
          <w:tcPr>
            <w:tcW w:w="2920" w:type="dxa"/>
          </w:tcPr>
          <w:p w14:paraId="0A33217E"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AF2993">
              <w:rPr>
                <w:rFonts w:asciiTheme="minorHAnsi" w:hAnsiTheme="minorHAnsi" w:hint="eastAsia"/>
                <w:szCs w:val="22"/>
              </w:rPr>
              <w:t> </w:t>
            </w:r>
          </w:p>
        </w:tc>
      </w:tr>
      <w:tr w:rsidR="00E37087" w:rsidRPr="00C57F1C" w14:paraId="6B023FDB" w14:textId="77777777" w:rsidTr="00AF2993">
        <w:trPr>
          <w:trHeight w:val="1159"/>
        </w:trPr>
        <w:tc>
          <w:tcPr>
            <w:cnfStyle w:val="001000000000" w:firstRow="0" w:lastRow="0" w:firstColumn="1" w:lastColumn="0" w:oddVBand="0" w:evenVBand="0" w:oddHBand="0" w:evenHBand="0" w:firstRowFirstColumn="0" w:firstRowLastColumn="0" w:lastRowFirstColumn="0" w:lastRowLastColumn="0"/>
            <w:tcW w:w="2542" w:type="dxa"/>
            <w:gridSpan w:val="2"/>
          </w:tcPr>
          <w:p w14:paraId="056BFBB8" w14:textId="77777777" w:rsidR="00E37087" w:rsidRPr="00AF2993" w:rsidRDefault="00E37087" w:rsidP="00726C73">
            <w:pPr>
              <w:pStyle w:val="ListBulleta"/>
              <w:rPr>
                <w:szCs w:val="22"/>
              </w:rPr>
            </w:pPr>
            <w:r w:rsidRPr="00AF2993">
              <w:rPr>
                <w:szCs w:val="22"/>
              </w:rPr>
              <w:t>when in Schedule 6.</w:t>
            </w:r>
          </w:p>
        </w:tc>
        <w:tc>
          <w:tcPr>
            <w:tcW w:w="3260" w:type="dxa"/>
          </w:tcPr>
          <w:p w14:paraId="1AA48090"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hint="eastAsia"/>
                <w:szCs w:val="22"/>
              </w:rPr>
              <w:t> </w:t>
            </w:r>
          </w:p>
        </w:tc>
        <w:tc>
          <w:tcPr>
            <w:tcW w:w="2920" w:type="dxa"/>
          </w:tcPr>
          <w:p w14:paraId="33E4C910" w14:textId="77777777" w:rsidR="00E37087" w:rsidRPr="00AF2993" w:rsidRDefault="00E37087" w:rsidP="00726C73">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AF2993">
              <w:rPr>
                <w:rFonts w:asciiTheme="minorHAnsi" w:hAnsiTheme="minorHAnsi"/>
                <w:b/>
                <w:szCs w:val="22"/>
              </w:rPr>
              <w:t xml:space="preserve">1 </w:t>
            </w:r>
            <w:r w:rsidRPr="00AF2993">
              <w:rPr>
                <w:rFonts w:asciiTheme="minorHAnsi" w:hAnsiTheme="minorHAnsi"/>
                <w:szCs w:val="22"/>
              </w:rPr>
              <w:t>- Avoid contact with eyes.</w:t>
            </w:r>
            <w:r w:rsidRPr="00AF2993">
              <w:rPr>
                <w:rFonts w:asciiTheme="minorHAnsi" w:hAnsiTheme="minorHAnsi"/>
                <w:b/>
                <w:szCs w:val="22"/>
              </w:rPr>
              <w:br/>
              <w:t xml:space="preserve">4 </w:t>
            </w:r>
            <w:r w:rsidRPr="00AF2993">
              <w:rPr>
                <w:rFonts w:asciiTheme="minorHAnsi" w:hAnsiTheme="minorHAnsi"/>
                <w:szCs w:val="22"/>
              </w:rPr>
              <w:t>- Avoid contact with skin.</w:t>
            </w:r>
            <w:r w:rsidRPr="00AF2993">
              <w:rPr>
                <w:rFonts w:asciiTheme="minorHAnsi" w:hAnsiTheme="minorHAnsi"/>
                <w:b/>
                <w:szCs w:val="22"/>
              </w:rPr>
              <w:br/>
              <w:t xml:space="preserve">8 </w:t>
            </w:r>
            <w:r w:rsidRPr="00AF2993">
              <w:rPr>
                <w:rFonts w:asciiTheme="minorHAnsi" w:hAnsiTheme="minorHAnsi"/>
                <w:szCs w:val="22"/>
              </w:rPr>
              <w:t>- Avoid breathing dust (or) vapour (or) spray mist.</w:t>
            </w:r>
          </w:p>
        </w:tc>
      </w:tr>
    </w:tbl>
    <w:p w14:paraId="19D7D7E9" w14:textId="1B241512" w:rsidR="00453E6A" w:rsidRPr="00360473" w:rsidRDefault="00453E6A" w:rsidP="00453E6A">
      <w:pPr>
        <w:ind w:left="709"/>
        <w:rPr>
          <w:b/>
        </w:rPr>
      </w:pPr>
      <w:r>
        <w:rPr>
          <w:b/>
        </w:rPr>
        <w:t xml:space="preserve">Index – </w:t>
      </w:r>
      <w:r w:rsidR="00CB135C">
        <w:rPr>
          <w:b/>
        </w:rPr>
        <w:t>Amend Entry</w:t>
      </w:r>
    </w:p>
    <w:p w14:paraId="4FF65294" w14:textId="77777777" w:rsidR="00CB135C" w:rsidRPr="005E471B" w:rsidRDefault="00CB135C" w:rsidP="00CB135C">
      <w:pPr>
        <w:ind w:left="709"/>
        <w:rPr>
          <w:b/>
        </w:rPr>
      </w:pPr>
      <w:r w:rsidRPr="005E471B">
        <w:rPr>
          <w:b/>
        </w:rPr>
        <w:t>LEAD COMPOUNDS</w:t>
      </w:r>
      <w:r>
        <w:rPr>
          <w:b/>
        </w:rPr>
        <w:br/>
      </w:r>
      <w:r w:rsidRPr="005E471B">
        <w:t>cross reference: GLAZING PREPARATIONS, PRINTING INKS or INK ADDITIVES, SELENIUM</w:t>
      </w:r>
    </w:p>
    <w:p w14:paraId="37CADC3F" w14:textId="11645244" w:rsidR="00CB135C" w:rsidRPr="005E471B" w:rsidRDefault="00CB135C" w:rsidP="00CB135C">
      <w:pPr>
        <w:ind w:left="709"/>
      </w:pPr>
      <w:r w:rsidRPr="005E471B">
        <w:t>Schedule 10</w:t>
      </w:r>
      <w:r>
        <w:br/>
      </w:r>
      <w:r w:rsidRPr="005E471B">
        <w:t>Schedule 6</w:t>
      </w:r>
      <w:r>
        <w:br/>
      </w:r>
      <w:r w:rsidRPr="005E471B">
        <w:rPr>
          <w:strike/>
          <w:color w:val="FF0000"/>
        </w:rPr>
        <w:t>Schedule 5</w:t>
      </w:r>
      <w:r>
        <w:br/>
      </w:r>
      <w:r w:rsidRPr="005E471B">
        <w:t>Appendix E, Part 2</w:t>
      </w:r>
      <w:r>
        <w:br/>
      </w:r>
      <w:r w:rsidRPr="005E471B">
        <w:t>Appendix F, Part 3</w:t>
      </w:r>
      <w:r>
        <w:br/>
      </w:r>
      <w:r w:rsidRPr="005E471B">
        <w:t>Appendix F, Part 3</w:t>
      </w:r>
      <w:r w:rsidR="00C83D01">
        <w:t xml:space="preserve"> </w:t>
      </w:r>
      <w:r w:rsidR="00C83D01" w:rsidRPr="00825A9B">
        <w:rPr>
          <w:color w:val="00B050"/>
        </w:rPr>
        <w:t>(glazing preparations)</w:t>
      </w:r>
    </w:p>
    <w:p w14:paraId="1E9963F4" w14:textId="77777777" w:rsidR="00453E6A" w:rsidRPr="00C721A5" w:rsidRDefault="00453E6A" w:rsidP="00453E6A">
      <w:pPr>
        <w:pStyle w:val="Heading4"/>
        <w:rPr>
          <w:rFonts w:ascii="Cambria" w:eastAsia="Times New Roman" w:hAnsi="Cambria"/>
          <w:i/>
          <w:color w:val="001523"/>
          <w:sz w:val="22"/>
        </w:rPr>
      </w:pPr>
      <w:bookmarkStart w:id="26" w:name="_Toc85029587"/>
      <w:r w:rsidRPr="00C721A5">
        <w:rPr>
          <w:rFonts w:ascii="Cambria" w:eastAsia="Times New Roman" w:hAnsi="Cambria"/>
          <w:i/>
          <w:color w:val="001523"/>
          <w:sz w:val="22"/>
        </w:rPr>
        <w:lastRenderedPageBreak/>
        <w:t>Materials considered</w:t>
      </w:r>
      <w:bookmarkEnd w:id="26"/>
    </w:p>
    <w:p w14:paraId="7D9C5616" w14:textId="77777777" w:rsidR="00453E6A" w:rsidRDefault="00453E6A" w:rsidP="00453E6A">
      <w:r>
        <w:t>In making this interim decision, the Delegate considered the following material:</w:t>
      </w:r>
    </w:p>
    <w:p w14:paraId="719F9103" w14:textId="69245865" w:rsidR="00453E6A" w:rsidRPr="006501A1" w:rsidRDefault="00453E6A" w:rsidP="00453E6A">
      <w:pPr>
        <w:pStyle w:val="ListBullet"/>
      </w:pPr>
      <w:r>
        <w:t xml:space="preserve">A </w:t>
      </w:r>
      <w:hyperlink r:id="rId29" w:history="1">
        <w:r w:rsidRPr="00676703">
          <w:rPr>
            <w:rStyle w:val="Hyperlink"/>
          </w:rPr>
          <w:t>human health tier II</w:t>
        </w:r>
        <w:r w:rsidR="00E37087">
          <w:rPr>
            <w:rStyle w:val="Hyperlink"/>
          </w:rPr>
          <w:t>I</w:t>
        </w:r>
        <w:r w:rsidRPr="00676703">
          <w:rPr>
            <w:rStyle w:val="Hyperlink"/>
          </w:rPr>
          <w:t xml:space="preserve"> assessment</w:t>
        </w:r>
      </w:hyperlink>
      <w:r>
        <w:t xml:space="preserve"> for </w:t>
      </w:r>
      <w:r w:rsidR="00E37087">
        <w:t>lead acetates</w:t>
      </w:r>
      <w:r w:rsidR="00C83D01">
        <w:t>, published by</w:t>
      </w:r>
      <w:r w:rsidR="00D41721">
        <w:t xml:space="preserve"> AICIS (</w:t>
      </w:r>
      <w:r w:rsidR="00C83D01">
        <w:t>28 June 2020</w:t>
      </w:r>
      <w:r w:rsidR="00D41721">
        <w:t>)</w:t>
      </w:r>
      <w:r w:rsidRPr="006501A1">
        <w:t>;</w:t>
      </w:r>
    </w:p>
    <w:p w14:paraId="118B0638" w14:textId="1141846F" w:rsidR="00453E6A" w:rsidRPr="006367ED" w:rsidRDefault="00453E6A" w:rsidP="00453E6A">
      <w:pPr>
        <w:pStyle w:val="ListBullet"/>
      </w:pPr>
      <w:r w:rsidRPr="006367ED">
        <w:t xml:space="preserve">The </w:t>
      </w:r>
      <w:r w:rsidR="00E37087">
        <w:t>three</w:t>
      </w:r>
      <w:r w:rsidRPr="006367ED">
        <w:t xml:space="preserve"> </w:t>
      </w:r>
      <w:hyperlink r:id="rId30" w:history="1">
        <w:r w:rsidRPr="006367ED">
          <w:rPr>
            <w:rStyle w:val="Hyperlink"/>
          </w:rPr>
          <w:t>public submissions</w:t>
        </w:r>
      </w:hyperlink>
      <w:r w:rsidRPr="006367ED">
        <w:rPr>
          <w:rStyle w:val="Hyperlink"/>
          <w:color w:val="auto"/>
        </w:rPr>
        <w:t>,</w:t>
      </w:r>
      <w:r w:rsidRPr="006367ED">
        <w:t xml:space="preserve"> </w:t>
      </w:r>
      <w:r w:rsidR="00BE63FF">
        <w:t>two</w:t>
      </w:r>
      <w:r w:rsidRPr="006367ED">
        <w:t xml:space="preserve"> including a written component, received in response to the </w:t>
      </w:r>
      <w:hyperlink r:id="rId31" w:history="1">
        <w:r w:rsidRPr="006367ED">
          <w:rPr>
            <w:rStyle w:val="Hyperlink"/>
          </w:rPr>
          <w:t>pre-meeting consultation</w:t>
        </w:r>
      </w:hyperlink>
      <w:r w:rsidRPr="006367ED">
        <w:t xml:space="preserve"> under regulation 42ZCZK of the Regulations;</w:t>
      </w:r>
    </w:p>
    <w:p w14:paraId="1D7A5C00" w14:textId="77777777" w:rsidR="00453E6A" w:rsidRDefault="00453E6A" w:rsidP="00453E6A">
      <w:pPr>
        <w:pStyle w:val="ListBullet"/>
      </w:pPr>
      <w:r>
        <w:t xml:space="preserve">The advice </w:t>
      </w:r>
      <w:r w:rsidRPr="00A825A4">
        <w:t>received from the Meeting of the Advisory Committee o</w:t>
      </w:r>
      <w:r>
        <w:t>n Chemicals Scheduling (ACCS #31</w:t>
      </w:r>
      <w:proofErr w:type="gramStart"/>
      <w:r w:rsidRPr="00A825A4">
        <w:t>);</w:t>
      </w:r>
      <w:proofErr w:type="gramEnd"/>
    </w:p>
    <w:p w14:paraId="7A2834AD" w14:textId="77777777" w:rsidR="00453E6A" w:rsidRDefault="00453E6A" w:rsidP="00453E6A">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and (f) any other matters that the Secretary considers nec</w:t>
      </w:r>
      <w:r>
        <w:t>essary to protect public health;</w:t>
      </w:r>
    </w:p>
    <w:p w14:paraId="7379D864" w14:textId="77777777" w:rsidR="00453E6A" w:rsidRDefault="00453E6A" w:rsidP="00453E6A">
      <w:pPr>
        <w:pStyle w:val="ListBullet"/>
      </w:pPr>
      <w:r w:rsidRPr="002C1418">
        <w:t xml:space="preserve">The Australian Health Ministers’ Advisory Council’s </w:t>
      </w:r>
      <w:hyperlink r:id="rId32" w:history="1">
        <w:r w:rsidRPr="001A7580">
          <w:rPr>
            <w:rStyle w:val="Hyperlink"/>
          </w:rPr>
          <w:t>Scheduling Policy Framework</w:t>
        </w:r>
      </w:hyperlink>
      <w:r>
        <w:t xml:space="preserve"> (SPF 2018</w:t>
      </w:r>
      <w:r w:rsidRPr="002C20AE">
        <w:t>);</w:t>
      </w:r>
      <w:r>
        <w:t xml:space="preserve"> and</w:t>
      </w:r>
    </w:p>
    <w:p w14:paraId="246F64CC" w14:textId="77777777" w:rsidR="00453E6A" w:rsidRPr="006501A1" w:rsidRDefault="00453E6A" w:rsidP="00453E6A">
      <w:pPr>
        <w:pStyle w:val="ListBullet"/>
      </w:pPr>
      <w:r>
        <w:t xml:space="preserve">The </w:t>
      </w:r>
      <w:hyperlink r:id="rId33" w:history="1">
        <w:r w:rsidRPr="001A7580">
          <w:rPr>
            <w:rStyle w:val="Hyperlink"/>
          </w:rPr>
          <w:t>Scheduling handbook: Guidance for amending the Poisons Standard</w:t>
        </w:r>
      </w:hyperlink>
      <w:r>
        <w:t>.</w:t>
      </w:r>
    </w:p>
    <w:p w14:paraId="607AB24F" w14:textId="4178445C" w:rsidR="00453E6A" w:rsidRPr="00C721A5" w:rsidRDefault="00BA402D" w:rsidP="00453E6A">
      <w:pPr>
        <w:pStyle w:val="Heading4"/>
        <w:rPr>
          <w:rFonts w:ascii="Cambria" w:eastAsia="Times New Roman" w:hAnsi="Cambria"/>
          <w:i/>
          <w:color w:val="001523"/>
          <w:sz w:val="22"/>
        </w:rPr>
      </w:pPr>
      <w:bookmarkStart w:id="27" w:name="_Toc85029588"/>
      <w:r>
        <w:rPr>
          <w:rFonts w:ascii="Cambria" w:eastAsia="Times New Roman" w:hAnsi="Cambria"/>
          <w:i/>
          <w:color w:val="001523"/>
          <w:sz w:val="22"/>
        </w:rPr>
        <w:t>Summary of ACC</w:t>
      </w:r>
      <w:r w:rsidR="00453E6A" w:rsidRPr="00C721A5">
        <w:rPr>
          <w:rFonts w:ascii="Cambria" w:eastAsia="Times New Roman" w:hAnsi="Cambria"/>
          <w:i/>
          <w:color w:val="001523"/>
          <w:sz w:val="22"/>
        </w:rPr>
        <w:t>S advice to the delegate</w:t>
      </w:r>
      <w:bookmarkEnd w:id="27"/>
    </w:p>
    <w:p w14:paraId="5E17767C" w14:textId="2974426B" w:rsidR="00453E6A" w:rsidRDefault="00392E85" w:rsidP="00453E6A">
      <w:r>
        <w:t xml:space="preserve">The Committee </w:t>
      </w:r>
      <w:r w:rsidR="008C162B">
        <w:t xml:space="preserve">did not recommend a Schedule 10 entry for lead acetates in hair cosmetics and </w:t>
      </w:r>
      <w:r>
        <w:t xml:space="preserve">advised that </w:t>
      </w:r>
      <w:r w:rsidRPr="0078725C">
        <w:t xml:space="preserve">the scheduling of lead </w:t>
      </w:r>
      <w:r w:rsidR="008C162B">
        <w:t xml:space="preserve">compounds in hair cosmetics </w:t>
      </w:r>
      <w:r w:rsidRPr="0078725C">
        <w:t>be amended in the Poisons Standard as follows:</w:t>
      </w:r>
      <w:r>
        <w:t xml:space="preserve"> </w:t>
      </w:r>
    </w:p>
    <w:p w14:paraId="2010ABF5" w14:textId="77777777" w:rsidR="00392E85" w:rsidRDefault="00392E85" w:rsidP="00392E85">
      <w:pPr>
        <w:ind w:left="709"/>
        <w:rPr>
          <w:b/>
        </w:rPr>
      </w:pPr>
      <w:r>
        <w:rPr>
          <w:b/>
        </w:rPr>
        <w:t>Schedule 6 – Amend Entry</w:t>
      </w:r>
    </w:p>
    <w:p w14:paraId="59F2777C" w14:textId="3D0D596E" w:rsidR="00392E85" w:rsidRPr="008F3956" w:rsidRDefault="00392E85" w:rsidP="008F3956">
      <w:pPr>
        <w:ind w:left="709"/>
        <w:rPr>
          <w:bCs/>
        </w:rPr>
      </w:pPr>
      <w:r w:rsidRPr="000A2097">
        <w:t xml:space="preserve">LEAD COMPOUNDS </w:t>
      </w:r>
      <w:r w:rsidRPr="001E6C79">
        <w:rPr>
          <w:b/>
          <w:bCs/>
        </w:rPr>
        <w:t>except</w:t>
      </w:r>
      <w:r w:rsidR="008F3956" w:rsidRPr="008F3956">
        <w:rPr>
          <w:bCs/>
        </w:rPr>
        <w:t>:</w:t>
      </w:r>
    </w:p>
    <w:p w14:paraId="6728EB8B" w14:textId="6213F0EB" w:rsidR="00392E85" w:rsidRPr="008F3956" w:rsidRDefault="008F3956" w:rsidP="00AE15C1">
      <w:pPr>
        <w:numPr>
          <w:ilvl w:val="0"/>
          <w:numId w:val="13"/>
        </w:numPr>
        <w:tabs>
          <w:tab w:val="left" w:pos="1276"/>
        </w:tabs>
        <w:rPr>
          <w:szCs w:val="22"/>
        </w:rPr>
      </w:pPr>
      <w:r w:rsidRPr="008F3956">
        <w:rPr>
          <w:szCs w:val="22"/>
        </w:rPr>
        <w:t xml:space="preserve"> when included in Schedule 4 </w:t>
      </w:r>
      <w:r w:rsidRPr="008F3956">
        <w:rPr>
          <w:strike/>
          <w:color w:val="FF0000"/>
          <w:szCs w:val="22"/>
        </w:rPr>
        <w:t xml:space="preserve">or </w:t>
      </w:r>
      <w:proofErr w:type="gramStart"/>
      <w:r w:rsidRPr="008F3956">
        <w:rPr>
          <w:strike/>
          <w:color w:val="FF0000"/>
          <w:szCs w:val="22"/>
        </w:rPr>
        <w:t>5</w:t>
      </w:r>
      <w:r w:rsidRPr="008F3956">
        <w:rPr>
          <w:szCs w:val="22"/>
        </w:rPr>
        <w:t>;</w:t>
      </w:r>
      <w:proofErr w:type="gramEnd"/>
    </w:p>
    <w:p w14:paraId="27E13294" w14:textId="77777777" w:rsidR="00392E85" w:rsidRDefault="00392E85" w:rsidP="00AE15C1">
      <w:pPr>
        <w:pStyle w:val="Numberbullet2"/>
        <w:numPr>
          <w:ilvl w:val="0"/>
          <w:numId w:val="9"/>
        </w:numPr>
        <w:tabs>
          <w:tab w:val="left" w:pos="1276"/>
        </w:tabs>
        <w:ind w:left="1418" w:hanging="358"/>
        <w:rPr>
          <w:i w:val="0"/>
        </w:rPr>
      </w:pPr>
      <w:r w:rsidRPr="00D10190">
        <w:rPr>
          <w:i w:val="0"/>
        </w:rPr>
        <w:t xml:space="preserve"> in paints, tinters, inks or ink </w:t>
      </w:r>
      <w:proofErr w:type="gramStart"/>
      <w:r w:rsidRPr="00D10190">
        <w:rPr>
          <w:i w:val="0"/>
        </w:rPr>
        <w:t>additives;</w:t>
      </w:r>
      <w:proofErr w:type="gramEnd"/>
    </w:p>
    <w:p w14:paraId="055E0DA5" w14:textId="77777777" w:rsidR="00392E85" w:rsidRDefault="00392E85" w:rsidP="00AE15C1">
      <w:pPr>
        <w:pStyle w:val="Numberbullet2"/>
        <w:numPr>
          <w:ilvl w:val="0"/>
          <w:numId w:val="9"/>
        </w:numPr>
        <w:tabs>
          <w:tab w:val="left" w:pos="1276"/>
        </w:tabs>
        <w:ind w:left="1418" w:hanging="358"/>
        <w:rPr>
          <w:i w:val="0"/>
        </w:rPr>
      </w:pPr>
      <w:r w:rsidRPr="00D10190">
        <w:rPr>
          <w:rFonts w:ascii="Arial" w:hAnsi="Arial"/>
          <w:sz w:val="20"/>
          <w:lang w:eastAsia="en-AU"/>
        </w:rPr>
        <w:t xml:space="preserve"> </w:t>
      </w:r>
      <w:r w:rsidRPr="00D10190">
        <w:rPr>
          <w:i w:val="0"/>
        </w:rPr>
        <w:t xml:space="preserve">in preparations for cosmetic use containing 100 mg/kg or less of </w:t>
      </w:r>
      <w:proofErr w:type="gramStart"/>
      <w:r w:rsidRPr="00D10190">
        <w:rPr>
          <w:i w:val="0"/>
        </w:rPr>
        <w:t>lead;</w:t>
      </w:r>
      <w:proofErr w:type="gramEnd"/>
      <w:r w:rsidRPr="00D10190">
        <w:rPr>
          <w:i w:val="0"/>
        </w:rPr>
        <w:t xml:space="preserve"> </w:t>
      </w:r>
    </w:p>
    <w:p w14:paraId="043E1710" w14:textId="77777777" w:rsidR="00392E85" w:rsidRDefault="00392E85" w:rsidP="00AE15C1">
      <w:pPr>
        <w:pStyle w:val="Numberbullet2"/>
        <w:numPr>
          <w:ilvl w:val="0"/>
          <w:numId w:val="9"/>
        </w:numPr>
        <w:tabs>
          <w:tab w:val="left" w:pos="1276"/>
        </w:tabs>
        <w:ind w:left="1418" w:hanging="358"/>
        <w:rPr>
          <w:i w:val="0"/>
        </w:rPr>
      </w:pPr>
      <w:r>
        <w:rPr>
          <w:i w:val="0"/>
        </w:rPr>
        <w:t xml:space="preserve"> in pencil cores, </w:t>
      </w:r>
      <w:r w:rsidRPr="00D10190">
        <w:rPr>
          <w:i w:val="0"/>
        </w:rPr>
        <w:t>finger colours, showcard colours, pastels, crayons, poster paints/colours or coloured chalks containing 100 mg/kg or less of lead; or</w:t>
      </w:r>
    </w:p>
    <w:p w14:paraId="5D07630E" w14:textId="77777777" w:rsidR="00392E85" w:rsidRPr="00D10190" w:rsidRDefault="00392E85" w:rsidP="00AE15C1">
      <w:pPr>
        <w:pStyle w:val="Numberbullet2"/>
        <w:numPr>
          <w:ilvl w:val="0"/>
          <w:numId w:val="9"/>
        </w:numPr>
        <w:tabs>
          <w:tab w:val="left" w:pos="1276"/>
        </w:tabs>
        <w:ind w:left="1418" w:hanging="358"/>
        <w:rPr>
          <w:i w:val="0"/>
        </w:rPr>
      </w:pPr>
      <w:r w:rsidRPr="00D10190">
        <w:rPr>
          <w:i w:val="0"/>
        </w:rPr>
        <w:t xml:space="preserve"> in ceramic glazes when labelled with the warning statement:</w:t>
      </w:r>
    </w:p>
    <w:p w14:paraId="7F6FEA4C" w14:textId="77777777" w:rsidR="00392E85" w:rsidRPr="000A2097" w:rsidRDefault="00392E85" w:rsidP="00392E85">
      <w:pPr>
        <w:ind w:left="1418"/>
      </w:pPr>
      <w:r w:rsidRPr="000A2097">
        <w:t>CAUTION – Harmful if swallowed. Do not use on surfaces which contact food or drink.</w:t>
      </w:r>
    </w:p>
    <w:p w14:paraId="037C5A20" w14:textId="77777777" w:rsidR="00392E85" w:rsidRPr="003E2CAF" w:rsidRDefault="00392E85" w:rsidP="00392E85">
      <w:pPr>
        <w:ind w:left="1701" w:hanging="283"/>
      </w:pPr>
      <w:r w:rsidRPr="000A2097">
        <w:t>written in letters not less than 1.5 mm in height.</w:t>
      </w:r>
    </w:p>
    <w:p w14:paraId="549A427C" w14:textId="77777777" w:rsidR="00392E85" w:rsidRDefault="00392E85" w:rsidP="00392E85">
      <w:pPr>
        <w:ind w:left="709"/>
        <w:rPr>
          <w:b/>
        </w:rPr>
      </w:pPr>
      <w:r>
        <w:rPr>
          <w:b/>
        </w:rPr>
        <w:t>Schedule 5 – Delete Entry</w:t>
      </w:r>
    </w:p>
    <w:p w14:paraId="3CF5661D" w14:textId="707BE8F7" w:rsidR="00392E85" w:rsidRDefault="00392E85" w:rsidP="00392E85">
      <w:pPr>
        <w:ind w:firstLine="709"/>
        <w:rPr>
          <w:strike/>
          <w:color w:val="FF0000"/>
        </w:rPr>
      </w:pPr>
      <w:r w:rsidRPr="00562D8A">
        <w:rPr>
          <w:strike/>
          <w:color w:val="FF0000"/>
        </w:rPr>
        <w:t>LEAD COMPOUNDS in preparations for use as hair cosmetics.</w:t>
      </w:r>
    </w:p>
    <w:p w14:paraId="5C39C4F1" w14:textId="77777777" w:rsidR="008F3956" w:rsidRDefault="008F3956" w:rsidP="008F3956">
      <w:pPr>
        <w:ind w:firstLine="709"/>
        <w:rPr>
          <w:b/>
        </w:rPr>
      </w:pPr>
      <w:r>
        <w:rPr>
          <w:b/>
        </w:rPr>
        <w:t>Index – Amend Entry</w:t>
      </w:r>
    </w:p>
    <w:p w14:paraId="2F4536C8" w14:textId="77777777" w:rsidR="008F3956" w:rsidRPr="005E471B" w:rsidRDefault="008F3956" w:rsidP="008F3956">
      <w:pPr>
        <w:ind w:left="709"/>
        <w:rPr>
          <w:b/>
        </w:rPr>
      </w:pPr>
      <w:r w:rsidRPr="005E471B">
        <w:rPr>
          <w:b/>
        </w:rPr>
        <w:t>LEAD COMPOUNDS</w:t>
      </w:r>
      <w:r>
        <w:rPr>
          <w:b/>
        </w:rPr>
        <w:br/>
      </w:r>
      <w:r w:rsidRPr="005E471B">
        <w:t>cross reference: GLAZING PREPARATIONS, PRINTING INKS or INK ADDITIVES, SELENIUM</w:t>
      </w:r>
    </w:p>
    <w:p w14:paraId="0D535959" w14:textId="1D21842E" w:rsidR="008F3956" w:rsidRPr="005E471B" w:rsidRDefault="008F3956" w:rsidP="008F3956">
      <w:pPr>
        <w:ind w:left="709"/>
      </w:pPr>
      <w:r w:rsidRPr="005E471B">
        <w:lastRenderedPageBreak/>
        <w:t>Schedule 10</w:t>
      </w:r>
      <w:r>
        <w:br/>
      </w:r>
      <w:r w:rsidRPr="005E471B">
        <w:t>Schedule 6</w:t>
      </w:r>
      <w:r>
        <w:br/>
      </w:r>
      <w:r w:rsidRPr="005E471B">
        <w:rPr>
          <w:strike/>
          <w:color w:val="FF0000"/>
        </w:rPr>
        <w:t>Schedule 5</w:t>
      </w:r>
      <w:r>
        <w:br/>
      </w:r>
      <w:r w:rsidRPr="005E471B">
        <w:t>Appendix E, Part 2</w:t>
      </w:r>
      <w:r>
        <w:br/>
      </w:r>
      <w:r w:rsidRPr="005E471B">
        <w:t>Appendix F, Part 3</w:t>
      </w:r>
      <w:r>
        <w:br/>
      </w:r>
      <w:r w:rsidRPr="005E471B">
        <w:t>Appendix F, Part 3</w:t>
      </w:r>
      <w:r w:rsidR="00F50421">
        <w:t xml:space="preserve"> </w:t>
      </w:r>
    </w:p>
    <w:p w14:paraId="5CA53D52" w14:textId="3C1BCDEF" w:rsidR="008F3956" w:rsidRPr="008F3956" w:rsidRDefault="008F3956" w:rsidP="008F3956">
      <w:pPr>
        <w:rPr>
          <w:b/>
        </w:rPr>
      </w:pPr>
      <w:r>
        <w:t xml:space="preserve">The Committee also recommended an implementation date of </w:t>
      </w:r>
      <w:r w:rsidRPr="00D47415">
        <w:rPr>
          <w:b/>
        </w:rPr>
        <w:t xml:space="preserve">1 </w:t>
      </w:r>
      <w:r>
        <w:rPr>
          <w:b/>
        </w:rPr>
        <w:t>June 2022</w:t>
      </w:r>
      <w:r>
        <w:t>.</w:t>
      </w:r>
    </w:p>
    <w:p w14:paraId="03A2250C" w14:textId="77777777" w:rsidR="00453E6A" w:rsidRDefault="00453E6A" w:rsidP="00453E6A">
      <w:r>
        <w:t xml:space="preserve">Members agreed that the relevant matters under Section 52E(1) of the </w:t>
      </w:r>
      <w:r w:rsidRPr="00AC262B">
        <w:rPr>
          <w:i/>
        </w:rPr>
        <w:t>Therapeutic Goods Act 1989</w:t>
      </w:r>
      <w:r>
        <w:t xml:space="preserve"> included: (a) risks and benefits of the use of a substance; (b) the purposes for which a substance is to be used and the extent of use of a substance; </w:t>
      </w:r>
      <w:r w:rsidRPr="00253950">
        <w:t>(c) the toxicity of a substance; (d) the dosage, formulation, labelling, packaging and presentation of a substance; and (f) any other matters that the Secretary considers nec</w:t>
      </w:r>
      <w:r>
        <w:t xml:space="preserve">essary to protect public health. </w:t>
      </w:r>
    </w:p>
    <w:p w14:paraId="7E73F7CD" w14:textId="108E88E7" w:rsidR="00453E6A" w:rsidRDefault="00453E6A" w:rsidP="00453E6A">
      <w:r>
        <w:t>The reasons for the advice included:</w:t>
      </w:r>
    </w:p>
    <w:p w14:paraId="36EA839A" w14:textId="77777777" w:rsidR="00C937E1" w:rsidRPr="00C937E1" w:rsidRDefault="00C937E1" w:rsidP="00C937E1">
      <w:pPr>
        <w:pStyle w:val="Numberbullet2"/>
        <w:numPr>
          <w:ilvl w:val="0"/>
          <w:numId w:val="27"/>
        </w:numPr>
        <w:ind w:left="426"/>
      </w:pPr>
      <w:r w:rsidRPr="00A80BEB">
        <w:t>the risks and benefits of the use of a substance</w:t>
      </w:r>
    </w:p>
    <w:p w14:paraId="5DC7763F" w14:textId="77777777" w:rsidR="00C937E1" w:rsidRDefault="00C937E1" w:rsidP="00C937E1">
      <w:pPr>
        <w:pStyle w:val="ListBullet2"/>
        <w:numPr>
          <w:ilvl w:val="0"/>
          <w:numId w:val="24"/>
        </w:numPr>
      </w:pPr>
      <w:r w:rsidRPr="00857F0E">
        <w:t>Risk of accidental ingestion/absorpti</w:t>
      </w:r>
      <w:r>
        <w:t>on through use of hair products.</w:t>
      </w:r>
    </w:p>
    <w:p w14:paraId="48103DC8" w14:textId="77777777" w:rsidR="00C937E1" w:rsidRPr="00A80BEB" w:rsidRDefault="00C937E1" w:rsidP="00C937E1">
      <w:pPr>
        <w:pStyle w:val="Numberbullet2"/>
        <w:numPr>
          <w:ilvl w:val="0"/>
          <w:numId w:val="27"/>
        </w:numPr>
        <w:ind w:left="426"/>
      </w:pPr>
      <w:r w:rsidRPr="00A80BEB">
        <w:t>the purposes for which a substance is to be used and the extent of use of a substance</w:t>
      </w:r>
    </w:p>
    <w:p w14:paraId="321EF4E7" w14:textId="77777777" w:rsidR="00C937E1" w:rsidRDefault="00C937E1" w:rsidP="00C937E1">
      <w:pPr>
        <w:pStyle w:val="ListBullet2"/>
        <w:numPr>
          <w:ilvl w:val="0"/>
          <w:numId w:val="24"/>
        </w:numPr>
      </w:pPr>
      <w:r>
        <w:t>Used in hair dyes.</w:t>
      </w:r>
    </w:p>
    <w:p w14:paraId="68A61430" w14:textId="77777777" w:rsidR="00C937E1" w:rsidRPr="00A80BEB" w:rsidRDefault="00C937E1" w:rsidP="00C937E1">
      <w:pPr>
        <w:pStyle w:val="Numberbullet2"/>
        <w:numPr>
          <w:ilvl w:val="0"/>
          <w:numId w:val="27"/>
        </w:numPr>
        <w:ind w:left="426"/>
      </w:pPr>
      <w:r w:rsidRPr="00A80BEB">
        <w:t>the toxicity of a substance</w:t>
      </w:r>
    </w:p>
    <w:p w14:paraId="46616036" w14:textId="77777777" w:rsidR="00C937E1" w:rsidRDefault="00C937E1" w:rsidP="00C937E1">
      <w:pPr>
        <w:pStyle w:val="ListBullet2"/>
        <w:numPr>
          <w:ilvl w:val="0"/>
          <w:numId w:val="24"/>
        </w:numPr>
      </w:pPr>
      <w:r w:rsidRPr="00B47C6A">
        <w:t>Lead is a cumulative toxicant</w:t>
      </w:r>
      <w:r>
        <w:t>.</w:t>
      </w:r>
    </w:p>
    <w:p w14:paraId="20B4CB3D" w14:textId="77777777" w:rsidR="00C937E1" w:rsidRDefault="00C937E1" w:rsidP="00C937E1">
      <w:pPr>
        <w:pStyle w:val="ListBullet2"/>
        <w:numPr>
          <w:ilvl w:val="0"/>
          <w:numId w:val="24"/>
        </w:numPr>
      </w:pPr>
      <w:r>
        <w:t>Can cause irreversible neurotoxicity.</w:t>
      </w:r>
    </w:p>
    <w:p w14:paraId="52E5B1E9" w14:textId="77777777" w:rsidR="00C937E1" w:rsidRPr="00A80BEB" w:rsidRDefault="00C937E1" w:rsidP="00C937E1">
      <w:pPr>
        <w:pStyle w:val="Numberbullet2"/>
        <w:numPr>
          <w:ilvl w:val="0"/>
          <w:numId w:val="27"/>
        </w:numPr>
        <w:ind w:left="426"/>
      </w:pPr>
      <w:r w:rsidRPr="00A80BEB">
        <w:t xml:space="preserve">the dosage, formulation, labelling, </w:t>
      </w:r>
      <w:proofErr w:type="gramStart"/>
      <w:r w:rsidRPr="00A80BEB">
        <w:t>packaging</w:t>
      </w:r>
      <w:proofErr w:type="gramEnd"/>
      <w:r w:rsidRPr="00A80BEB">
        <w:t xml:space="preserve"> and presentation of a substance</w:t>
      </w:r>
    </w:p>
    <w:p w14:paraId="50E70DD0" w14:textId="77777777" w:rsidR="00C937E1" w:rsidRDefault="00C937E1" w:rsidP="00C937E1">
      <w:pPr>
        <w:pStyle w:val="ListBullet2"/>
        <w:numPr>
          <w:ilvl w:val="0"/>
          <w:numId w:val="25"/>
        </w:numPr>
        <w:rPr>
          <w:i/>
        </w:rPr>
      </w:pPr>
      <w:r w:rsidRPr="004D447D">
        <w:t>Lead acetate</w:t>
      </w:r>
      <w:r>
        <w:t xml:space="preserve"> concentration of</w:t>
      </w:r>
      <w:r w:rsidRPr="004D447D">
        <w:t xml:space="preserve"> 0.5% in the product</w:t>
      </w:r>
      <w:r>
        <w:t xml:space="preserve"> available on the Australian market.</w:t>
      </w:r>
    </w:p>
    <w:p w14:paraId="4B09BA0E" w14:textId="77777777" w:rsidR="00C937E1" w:rsidRPr="00A80BEB" w:rsidRDefault="00C937E1" w:rsidP="00C937E1">
      <w:pPr>
        <w:pStyle w:val="Numberbullet2"/>
        <w:numPr>
          <w:ilvl w:val="0"/>
          <w:numId w:val="27"/>
        </w:numPr>
        <w:ind w:left="426"/>
      </w:pPr>
      <w:r w:rsidRPr="00A80BEB">
        <w:t>the potential for abuse of a substance</w:t>
      </w:r>
    </w:p>
    <w:p w14:paraId="4F338E97" w14:textId="77777777" w:rsidR="00C937E1" w:rsidRPr="00B47C6A" w:rsidRDefault="00C937E1" w:rsidP="00825A9B">
      <w:pPr>
        <w:pStyle w:val="ListBullet2"/>
      </w:pPr>
      <w:r w:rsidRPr="00B47C6A">
        <w:t>Nil</w:t>
      </w:r>
    </w:p>
    <w:p w14:paraId="07F21917" w14:textId="77777777" w:rsidR="00C937E1" w:rsidRPr="00A80BEB" w:rsidRDefault="00C937E1" w:rsidP="00C937E1">
      <w:pPr>
        <w:pStyle w:val="Numberbullet2"/>
        <w:numPr>
          <w:ilvl w:val="0"/>
          <w:numId w:val="27"/>
        </w:numPr>
        <w:ind w:left="426"/>
      </w:pPr>
      <w:r w:rsidRPr="00A80BEB">
        <w:t>any other matters that the Secretary considers necessary to protect public health</w:t>
      </w:r>
    </w:p>
    <w:p w14:paraId="6DB93FD9" w14:textId="77777777" w:rsidR="00C937E1" w:rsidRPr="00A41021" w:rsidRDefault="00C937E1" w:rsidP="00C937E1">
      <w:pPr>
        <w:pStyle w:val="ListBullet2"/>
        <w:numPr>
          <w:ilvl w:val="0"/>
          <w:numId w:val="23"/>
        </w:numPr>
      </w:pPr>
      <w:r>
        <w:t>The intent of the Committee is to reduce general lead exposure in the community.</w:t>
      </w:r>
    </w:p>
    <w:p w14:paraId="4726CF46" w14:textId="613805FB" w:rsidR="00C937E1" w:rsidRPr="0023227D" w:rsidRDefault="00C937E1" w:rsidP="00453E6A">
      <w:pPr>
        <w:pStyle w:val="ListBullet2"/>
        <w:numPr>
          <w:ilvl w:val="0"/>
          <w:numId w:val="23"/>
        </w:numPr>
      </w:pPr>
      <w:r>
        <w:t>The suggested June implementation date may help industry transition into supplying lead-free hair dye products.</w:t>
      </w:r>
    </w:p>
    <w:p w14:paraId="41F66763" w14:textId="77777777" w:rsidR="00453E6A" w:rsidRPr="00C721A5" w:rsidRDefault="00453E6A" w:rsidP="00453E6A">
      <w:pPr>
        <w:pStyle w:val="Heading4"/>
        <w:rPr>
          <w:rFonts w:ascii="Cambria" w:eastAsia="Times New Roman" w:hAnsi="Cambria"/>
          <w:i/>
          <w:color w:val="001523"/>
          <w:sz w:val="22"/>
        </w:rPr>
      </w:pPr>
      <w:bookmarkStart w:id="28" w:name="_Toc85029589"/>
      <w:r w:rsidRPr="00C721A5">
        <w:rPr>
          <w:rFonts w:ascii="Cambria" w:eastAsia="Times New Roman" w:hAnsi="Cambria"/>
          <w:i/>
          <w:color w:val="001523"/>
          <w:sz w:val="22"/>
        </w:rPr>
        <w:t>Reasons for the interim decision (including findings on material questions of fact)</w:t>
      </w:r>
      <w:bookmarkEnd w:id="28"/>
    </w:p>
    <w:p w14:paraId="15B2AA90" w14:textId="4228DA0A" w:rsidR="00904C37" w:rsidRDefault="00904C37" w:rsidP="00453E6A">
      <w:r>
        <w:t>I have made an interim decision to delete the Schedule 5 entry for lead compounds</w:t>
      </w:r>
      <w:r w:rsidR="008C162B">
        <w:t xml:space="preserve"> in hair cosmetics</w:t>
      </w:r>
      <w:r>
        <w:t xml:space="preserve">. </w:t>
      </w:r>
      <w:r w:rsidR="00AB467B">
        <w:t>As a result</w:t>
      </w:r>
      <w:r w:rsidR="00D660B4">
        <w:t>,</w:t>
      </w:r>
      <w:r w:rsidR="00AB467B">
        <w:t xml:space="preserve"> the amended s</w:t>
      </w:r>
      <w:r w:rsidR="00441DBC">
        <w:t xml:space="preserve">cheduling would capture </w:t>
      </w:r>
      <w:r>
        <w:t>hair cosmetics that contain lead acetates</w:t>
      </w:r>
      <w:r w:rsidR="00AE15C1">
        <w:t xml:space="preserve"> </w:t>
      </w:r>
      <w:r w:rsidR="00D36867">
        <w:t>under the</w:t>
      </w:r>
      <w:r w:rsidR="00441DBC">
        <w:t xml:space="preserve"> </w:t>
      </w:r>
      <w:r>
        <w:t>S</w:t>
      </w:r>
      <w:r w:rsidR="00AE15C1">
        <w:t>chedule 6</w:t>
      </w:r>
      <w:r w:rsidR="00D36867">
        <w:t xml:space="preserve"> entry for lead compounds</w:t>
      </w:r>
      <w:r w:rsidR="00AE15C1">
        <w:t>,</w:t>
      </w:r>
      <w:r w:rsidR="00D36867">
        <w:t xml:space="preserve"> with a cut-off concentration of 100 parts per million</w:t>
      </w:r>
      <w:r w:rsidR="00D660B4">
        <w:t xml:space="preserve"> (equivalent to 100 mg/kg)</w:t>
      </w:r>
      <w:r w:rsidR="00D36867">
        <w:t>.</w:t>
      </w:r>
      <w:r w:rsidR="00AE15C1" w:rsidRPr="00AE15C1">
        <w:t xml:space="preserve"> </w:t>
      </w:r>
      <w:r w:rsidR="00AE15C1">
        <w:t>The detailed reasons for my decision follow.</w:t>
      </w:r>
    </w:p>
    <w:p w14:paraId="1DB62283" w14:textId="66110A93" w:rsidR="00453E6A" w:rsidRDefault="00453E6A" w:rsidP="00453E6A">
      <w:r w:rsidRPr="006B74E6">
        <w:rPr>
          <w:bCs/>
        </w:rPr>
        <w:t>I agree with the Committee's finding</w:t>
      </w:r>
      <w:r>
        <w:rPr>
          <w:bCs/>
        </w:rPr>
        <w:t>s</w:t>
      </w:r>
      <w:r w:rsidRPr="006B74E6">
        <w:rPr>
          <w:bCs/>
        </w:rPr>
        <w:t xml:space="preserve"> that the relevant provisions of section 52E of the </w:t>
      </w:r>
      <w:r w:rsidRPr="006B74E6">
        <w:rPr>
          <w:bCs/>
          <w:i/>
          <w:iCs/>
        </w:rPr>
        <w:t>Therapeutic Goods Act 1989</w:t>
      </w:r>
      <w:r w:rsidRPr="006B74E6">
        <w:rPr>
          <w:bCs/>
        </w:rPr>
        <w:t> are</w:t>
      </w:r>
      <w:r>
        <w:rPr>
          <w:bCs/>
        </w:rPr>
        <w:t>:</w:t>
      </w:r>
      <w:r w:rsidRPr="00C70F72">
        <w:t xml:space="preserve"> </w:t>
      </w:r>
      <w:r>
        <w:t xml:space="preserve">(a) risks and benefits of the use of a substance; (b) the purposes for which a substance is to be used and the extent of use of a substance; </w:t>
      </w:r>
      <w:r w:rsidRPr="00253950">
        <w:t>(c) the toxicity of a substance; (d) the dosage, formulation, labelling, packaging and presentation of a substance; and (f) any other matters that the Secretary considers nec</w:t>
      </w:r>
      <w:r>
        <w:t>essary to protect public health.</w:t>
      </w:r>
    </w:p>
    <w:p w14:paraId="59129885" w14:textId="344178AA" w:rsidR="0006705E" w:rsidRDefault="00B45C41" w:rsidP="00F00452">
      <w:r>
        <w:lastRenderedPageBreak/>
        <w:t>I note that lead is a cumulative toxicant</w:t>
      </w:r>
      <w:r w:rsidR="00B551EC">
        <w:t xml:space="preserve"> that</w:t>
      </w:r>
      <w:r w:rsidR="00846F69">
        <w:t xml:space="preserve"> affect</w:t>
      </w:r>
      <w:r w:rsidR="00B551EC">
        <w:t>s</w:t>
      </w:r>
      <w:r w:rsidR="00846F69">
        <w:t xml:space="preserve"> multiple body systems</w:t>
      </w:r>
      <w:r w:rsidR="00B551EC">
        <w:t xml:space="preserve"> and can cause </w:t>
      </w:r>
      <w:r>
        <w:t>neurotoxicity</w:t>
      </w:r>
      <w:r w:rsidR="00846F69">
        <w:t xml:space="preserve">. </w:t>
      </w:r>
      <w:r w:rsidR="00595E35">
        <w:t xml:space="preserve">Even at relatively low </w:t>
      </w:r>
      <w:r w:rsidR="00846F69">
        <w:t>levels of</w:t>
      </w:r>
      <w:r w:rsidR="00595E35">
        <w:t xml:space="preserve"> exposure</w:t>
      </w:r>
      <w:r w:rsidR="00846F69">
        <w:t xml:space="preserve">, </w:t>
      </w:r>
      <w:r w:rsidR="00595E35">
        <w:t>the substance</w:t>
      </w:r>
      <w:r w:rsidR="00846F69">
        <w:t xml:space="preserve"> can </w:t>
      </w:r>
      <w:r w:rsidR="00595E35">
        <w:t xml:space="preserve">seriously and irreversibly </w:t>
      </w:r>
      <w:r w:rsidR="00846F69">
        <w:t>affect a child’s brain development</w:t>
      </w:r>
      <w:r w:rsidR="00595E35">
        <w:t>, leading to a variety of behavioural and learning disorders. As such, there are significant national and international efforts to limit lead exposure, particularly in</w:t>
      </w:r>
      <w:r w:rsidR="00083611">
        <w:t xml:space="preserve"> children and pregnant</w:t>
      </w:r>
      <w:r w:rsidR="00595E35">
        <w:t xml:space="preserve"> women. The current proposal relates to lead acetates that are used in </w:t>
      </w:r>
      <w:r w:rsidR="00B551EC">
        <w:t>progressive</w:t>
      </w:r>
      <w:r w:rsidR="00595E35">
        <w:t xml:space="preserve"> hair dye </w:t>
      </w:r>
      <w:r w:rsidR="00595E35" w:rsidRPr="00FD082A">
        <w:t>products</w:t>
      </w:r>
      <w:r w:rsidR="00B551EC" w:rsidRPr="00FD082A">
        <w:t xml:space="preserve"> at a concentration of 0.</w:t>
      </w:r>
      <w:r w:rsidR="00024F59">
        <w:t>6</w:t>
      </w:r>
      <w:r w:rsidR="00B551EC" w:rsidRPr="00FD082A">
        <w:t>%</w:t>
      </w:r>
      <w:r w:rsidR="002E13A2">
        <w:t xml:space="preserve"> (extrapolated from FDA concentration cut-offs</w:t>
      </w:r>
      <w:r w:rsidR="00024F59">
        <w:rPr>
          <w:rStyle w:val="FootnoteReference"/>
        </w:rPr>
        <w:footnoteReference w:id="2"/>
      </w:r>
      <w:r w:rsidR="00024F59">
        <w:t>)</w:t>
      </w:r>
      <w:r w:rsidR="00595E35" w:rsidRPr="00FD082A">
        <w:t>.</w:t>
      </w:r>
      <w:r w:rsidR="00B551EC" w:rsidRPr="00FD082A">
        <w:t xml:space="preserve"> </w:t>
      </w:r>
      <w:r w:rsidR="00FD082A" w:rsidRPr="00FD082A">
        <w:t>Un</w:t>
      </w:r>
      <w:r w:rsidR="00FD082A">
        <w:t xml:space="preserve">der current scheduling, these would be captured in Schedule 5 of the Poisons Standard. </w:t>
      </w:r>
      <w:r w:rsidR="00AB467B">
        <w:t>However, g</w:t>
      </w:r>
      <w:r w:rsidR="00FD082A">
        <w:t>iven the potential for neurotoxicity in children, I am of the view that</w:t>
      </w:r>
      <w:r w:rsidR="0039211F">
        <w:t xml:space="preserve"> further controls are warranted.</w:t>
      </w:r>
    </w:p>
    <w:p w14:paraId="4531A293" w14:textId="4EBEF317" w:rsidR="008B58F9" w:rsidRDefault="00D041FC" w:rsidP="00F00452">
      <w:r>
        <w:t>The public health risk of lead acetate hair dye products</w:t>
      </w:r>
      <w:r w:rsidR="00127AB9">
        <w:t xml:space="preserve"> </w:t>
      </w:r>
      <w:r>
        <w:t>depend</w:t>
      </w:r>
      <w:r w:rsidR="0082721F">
        <w:t>s</w:t>
      </w:r>
      <w:r>
        <w:t xml:space="preserve"> on the use patterns and exposure pathways</w:t>
      </w:r>
      <w:r w:rsidR="008C162B">
        <w:t>, particularly</w:t>
      </w:r>
      <w:r>
        <w:t xml:space="preserve"> to children</w:t>
      </w:r>
      <w:r w:rsidR="008C162B">
        <w:t xml:space="preserve"> and pregnan</w:t>
      </w:r>
      <w:r w:rsidR="004B2A0A">
        <w:t>t</w:t>
      </w:r>
      <w:r w:rsidR="008C162B">
        <w:t xml:space="preserve"> women</w:t>
      </w:r>
      <w:r>
        <w:t>. I</w:t>
      </w:r>
      <w:r w:rsidR="00E406CF">
        <w:t xml:space="preserve"> note that</w:t>
      </w:r>
      <w:r w:rsidR="00155A7D">
        <w:t xml:space="preserve"> the proposal specifically focusses on</w:t>
      </w:r>
      <w:r w:rsidR="00E406CF">
        <w:t xml:space="preserve"> </w:t>
      </w:r>
      <w:r w:rsidR="00AB467B">
        <w:t>‘</w:t>
      </w:r>
      <w:r w:rsidR="00E406CF">
        <w:t>progressive</w:t>
      </w:r>
      <w:r w:rsidR="00AB467B">
        <w:t>’</w:t>
      </w:r>
      <w:r w:rsidR="00E406CF">
        <w:t xml:space="preserve"> </w:t>
      </w:r>
      <w:r w:rsidR="00D660B4">
        <w:t xml:space="preserve">hair dye </w:t>
      </w:r>
      <w:r w:rsidR="00E406CF">
        <w:t>formulations</w:t>
      </w:r>
      <w:r w:rsidR="0006705E">
        <w:t xml:space="preserve">. </w:t>
      </w:r>
      <w:r w:rsidR="00D660B4">
        <w:t xml:space="preserve">These </w:t>
      </w:r>
      <w:r w:rsidR="00AB467B">
        <w:t>formulations refer to the application of the hair products o</w:t>
      </w:r>
      <w:r w:rsidR="0006705E">
        <w:t>n several instances, often daily for several weeks, and are used predominantly by men to gradually darken greying hair</w:t>
      </w:r>
      <w:r w:rsidR="00155A7D">
        <w:t xml:space="preserve">. </w:t>
      </w:r>
      <w:r w:rsidR="0006705E">
        <w:t>They</w:t>
      </w:r>
      <w:r w:rsidR="00E406CF">
        <w:t xml:space="preserve"> are </w:t>
      </w:r>
      <w:r w:rsidR="0006705E">
        <w:t xml:space="preserve">also </w:t>
      </w:r>
      <w:r w:rsidR="00E406CF">
        <w:t xml:space="preserve">clear in colour and are not washed out of hair after application. </w:t>
      </w:r>
      <w:r w:rsidR="00EE02C5">
        <w:t>P</w:t>
      </w:r>
      <w:r w:rsidR="00E406CF">
        <w:t xml:space="preserve">rogressive hair dyes </w:t>
      </w:r>
      <w:r>
        <w:t xml:space="preserve">therefore </w:t>
      </w:r>
      <w:r w:rsidR="00E406CF">
        <w:t xml:space="preserve">differ from traditional products, which tend to be conspicuously coloured and are rinsed out of hair </w:t>
      </w:r>
      <w:r w:rsidR="00C00467">
        <w:t>after a set amount of time</w:t>
      </w:r>
      <w:r w:rsidR="00E406CF">
        <w:t xml:space="preserve">. </w:t>
      </w:r>
      <w:r w:rsidR="0082721F">
        <w:t>I note that</w:t>
      </w:r>
      <w:r w:rsidR="00111A38">
        <w:t xml:space="preserve"> </w:t>
      </w:r>
      <w:r w:rsidR="00FE273C">
        <w:t xml:space="preserve">a </w:t>
      </w:r>
      <w:r w:rsidR="00111A38">
        <w:t>recent human health tier III assessment</w:t>
      </w:r>
      <w:r w:rsidR="0082721F">
        <w:t xml:space="preserve"> modelled the</w:t>
      </w:r>
      <w:r w:rsidR="00FE273C">
        <w:t>se</w:t>
      </w:r>
      <w:r w:rsidR="00C00467">
        <w:t xml:space="preserve"> differing</w:t>
      </w:r>
      <w:r w:rsidR="0082721F">
        <w:t xml:space="preserve"> patterns of </w:t>
      </w:r>
      <w:r w:rsidR="00FE273C">
        <w:t xml:space="preserve">hair dye </w:t>
      </w:r>
      <w:r w:rsidR="0082721F">
        <w:t xml:space="preserve">use </w:t>
      </w:r>
      <w:r w:rsidR="00FE273C">
        <w:t xml:space="preserve">– </w:t>
      </w:r>
      <w:r w:rsidR="00111A38">
        <w:t>report</w:t>
      </w:r>
      <w:r w:rsidR="00FE273C">
        <w:t>ing</w:t>
      </w:r>
      <w:r w:rsidR="00111A38">
        <w:t xml:space="preserve"> </w:t>
      </w:r>
      <w:r w:rsidR="005823FF">
        <w:t xml:space="preserve">that incidental ingestion </w:t>
      </w:r>
      <w:r w:rsidR="00816053">
        <w:t>could</w:t>
      </w:r>
      <w:r w:rsidR="00111A38">
        <w:t xml:space="preserve"> </w:t>
      </w:r>
      <w:r w:rsidR="00AF2993">
        <w:t xml:space="preserve">increase blood lead levels by up to </w:t>
      </w:r>
      <w:r w:rsidR="005823FF">
        <w:t xml:space="preserve">28 </w:t>
      </w:r>
      <w:r w:rsidR="005823FF" w:rsidRPr="00111A38">
        <w:t>µg/dL</w:t>
      </w:r>
      <w:r w:rsidR="005823FF">
        <w:t xml:space="preserve"> </w:t>
      </w:r>
      <w:r w:rsidR="00AF2993">
        <w:t>in</w:t>
      </w:r>
      <w:r w:rsidR="005823FF">
        <w:t xml:space="preserve"> users</w:t>
      </w:r>
      <w:r w:rsidR="00111A38">
        <w:t xml:space="preserve"> and 10 </w:t>
      </w:r>
      <w:r w:rsidR="00111A38" w:rsidRPr="00111A38">
        <w:t>µg/dL</w:t>
      </w:r>
      <w:r w:rsidR="00111A38">
        <w:t xml:space="preserve"> </w:t>
      </w:r>
      <w:r w:rsidR="00AF2993">
        <w:t>in</w:t>
      </w:r>
      <w:r w:rsidR="00111A38">
        <w:t xml:space="preserve"> children</w:t>
      </w:r>
      <w:r w:rsidR="00816053">
        <w:t xml:space="preserve"> living in the same household</w:t>
      </w:r>
      <w:r w:rsidR="00024F59">
        <w:rPr>
          <w:rStyle w:val="FootnoteReference"/>
        </w:rPr>
        <w:footnoteReference w:id="3"/>
      </w:r>
      <w:r w:rsidR="001E10CB">
        <w:t>.</w:t>
      </w:r>
      <w:r w:rsidR="00253F16">
        <w:t xml:space="preserve"> </w:t>
      </w:r>
      <w:r w:rsidR="0082721F">
        <w:t>This</w:t>
      </w:r>
      <w:r w:rsidR="00253F16">
        <w:t xml:space="preserve"> would </w:t>
      </w:r>
      <w:r w:rsidR="00FE273C">
        <w:t>result in</w:t>
      </w:r>
      <w:r w:rsidR="00253F16">
        <w:t xml:space="preserve"> blood lead levels </w:t>
      </w:r>
      <w:r w:rsidR="008B58F9">
        <w:t xml:space="preserve">known to </w:t>
      </w:r>
      <w:r w:rsidR="00253F16">
        <w:t>cause brain and organ damage</w:t>
      </w:r>
      <w:r w:rsidR="008B58F9">
        <w:t xml:space="preserve"> (10 </w:t>
      </w:r>
      <w:r w:rsidR="008B58F9" w:rsidRPr="00111A38">
        <w:t>µg/dL</w:t>
      </w:r>
      <w:r w:rsidR="008B58F9">
        <w:t>)</w:t>
      </w:r>
      <w:r w:rsidR="00253F16">
        <w:t>, and</w:t>
      </w:r>
      <w:r w:rsidR="0082721F">
        <w:t xml:space="preserve"> that</w:t>
      </w:r>
      <w:r w:rsidR="00253F16">
        <w:t xml:space="preserve"> far </w:t>
      </w:r>
      <w:r>
        <w:t>exceed</w:t>
      </w:r>
      <w:r w:rsidR="00253F16">
        <w:t xml:space="preserve"> levels considered ‘at risk’</w:t>
      </w:r>
      <w:r w:rsidR="008B58F9">
        <w:t xml:space="preserve"> (5 </w:t>
      </w:r>
      <w:r w:rsidR="008B58F9" w:rsidRPr="00111A38">
        <w:t>µg/dL</w:t>
      </w:r>
      <w:r w:rsidR="008B58F9">
        <w:t>)</w:t>
      </w:r>
      <w:r w:rsidR="005110D3">
        <w:rPr>
          <w:rStyle w:val="FootnoteReference"/>
        </w:rPr>
        <w:footnoteReference w:id="4"/>
      </w:r>
      <w:r w:rsidR="00253F16">
        <w:t xml:space="preserve">. </w:t>
      </w:r>
      <w:r w:rsidR="008B58F9">
        <w:t>The potential for such high levels of lead exposure is of significant concern.</w:t>
      </w:r>
    </w:p>
    <w:p w14:paraId="18BD633C" w14:textId="69715681" w:rsidR="00187598" w:rsidRDefault="00AB467B" w:rsidP="00F00452">
      <w:r>
        <w:t>Nonetheless</w:t>
      </w:r>
      <w:r w:rsidR="00C00467">
        <w:t xml:space="preserve">, </w:t>
      </w:r>
      <w:r w:rsidR="009160E7">
        <w:t xml:space="preserve">in considering new restrictions on lead acetate hair dyes, I </w:t>
      </w:r>
      <w:r w:rsidR="008E1044">
        <w:t xml:space="preserve">note that the Committee </w:t>
      </w:r>
      <w:r w:rsidR="00A17061">
        <w:t>advised</w:t>
      </w:r>
      <w:r w:rsidR="008E1044">
        <w:t xml:space="preserve"> caution in interpreting modelling data presented in the tier III risk assessment. </w:t>
      </w:r>
      <w:r w:rsidR="0082721F">
        <w:t xml:space="preserve">Members </w:t>
      </w:r>
      <w:r w:rsidR="008C162B">
        <w:t xml:space="preserve">noted </w:t>
      </w:r>
      <w:r w:rsidR="0082721F">
        <w:t xml:space="preserve">that there were minimal pathways for lead exposure in adults, including pregnant women; even when exposed to highly contaminated environments, blood lead levels are only likely to increase by about 3 </w:t>
      </w:r>
      <w:r w:rsidR="0082721F" w:rsidRPr="00111A38">
        <w:t>µg/dL</w:t>
      </w:r>
      <w:r w:rsidR="005110D3">
        <w:rPr>
          <w:rStyle w:val="FootnoteReference"/>
        </w:rPr>
        <w:footnoteReference w:id="5"/>
      </w:r>
      <w:r w:rsidR="0082721F">
        <w:t>. Moreover, adults do not tend to leave hair dye products on exposed surfaces that could lead to oral exposure by children</w:t>
      </w:r>
      <w:r w:rsidR="0082721F" w:rsidRPr="0039211F">
        <w:t xml:space="preserve">. </w:t>
      </w:r>
      <w:r w:rsidR="0082721F">
        <w:t>As such,</w:t>
      </w:r>
      <w:r w:rsidR="0082721F" w:rsidRPr="0039211F">
        <w:t xml:space="preserve"> I acknowledge that there is some uncertainty regarding the potential for toxic lead exposure</w:t>
      </w:r>
      <w:r w:rsidR="000548B2">
        <w:t xml:space="preserve"> from progressive hair dyes</w:t>
      </w:r>
      <w:r w:rsidR="0082721F" w:rsidRPr="0039211F">
        <w:t xml:space="preserve">, though I am of the view that it is necessary to phase lead out of products </w:t>
      </w:r>
      <w:r>
        <w:t xml:space="preserve">used by the general public </w:t>
      </w:r>
      <w:r w:rsidR="0082721F" w:rsidRPr="0039211F">
        <w:t>wherever possible.</w:t>
      </w:r>
    </w:p>
    <w:p w14:paraId="0C4B2F93" w14:textId="3BE8EB87" w:rsidR="00714F94" w:rsidRDefault="008E1044" w:rsidP="00714F94">
      <w:r>
        <w:t>I note that the</w:t>
      </w:r>
      <w:r w:rsidR="00714F94">
        <w:t xml:space="preserve"> initial proposal </w:t>
      </w:r>
      <w:r w:rsidR="000548B2">
        <w:t xml:space="preserve">sought to remove </w:t>
      </w:r>
      <w:r w:rsidR="009160E7">
        <w:t>lead-containing</w:t>
      </w:r>
      <w:r w:rsidR="000548B2">
        <w:t xml:space="preserve"> </w:t>
      </w:r>
      <w:r>
        <w:t>hair dyes</w:t>
      </w:r>
      <w:r w:rsidR="000548B2">
        <w:t xml:space="preserve"> from the market by creating a</w:t>
      </w:r>
      <w:r w:rsidR="00714F94">
        <w:t xml:space="preserve"> Schedule 10 entry for lead acetates.</w:t>
      </w:r>
      <w:r w:rsidR="009160E7">
        <w:t xml:space="preserve"> While I agree with the intent </w:t>
      </w:r>
      <w:r w:rsidR="00D86E35">
        <w:t>to limit lead exposure</w:t>
      </w:r>
      <w:r w:rsidR="009160E7">
        <w:t>, I</w:t>
      </w:r>
      <w:r>
        <w:t xml:space="preserve"> </w:t>
      </w:r>
      <w:r w:rsidR="00FE273C">
        <w:t>consider</w:t>
      </w:r>
      <w:r>
        <w:t xml:space="preserve"> that the</w:t>
      </w:r>
      <w:r w:rsidR="00D86E35">
        <w:t xml:space="preserve"> risk/benefit profile of</w:t>
      </w:r>
      <w:r w:rsidR="008E7D4A">
        <w:t xml:space="preserve"> lead acetates, when used in low concentrations in progressive hair dye products, is</w:t>
      </w:r>
      <w:r w:rsidR="00D86E35">
        <w:t xml:space="preserve"> not consistent</w:t>
      </w:r>
      <w:r w:rsidR="00024F59">
        <w:t xml:space="preserve"> with</w:t>
      </w:r>
      <w:r w:rsidR="00D86E35">
        <w:t xml:space="preserve"> inclusion in Schedule 10</w:t>
      </w:r>
      <w:r w:rsidR="00FE273C">
        <w:t xml:space="preserve">. </w:t>
      </w:r>
      <w:r w:rsidR="00D93727">
        <w:t>I agree with the</w:t>
      </w:r>
      <w:r>
        <w:t xml:space="preserve"> Committee’s</w:t>
      </w:r>
      <w:r w:rsidR="00D93727">
        <w:t xml:space="preserve"> assessment</w:t>
      </w:r>
      <w:r>
        <w:t xml:space="preserve"> of </w:t>
      </w:r>
      <w:r w:rsidR="00D86E35">
        <w:t>lead acetates</w:t>
      </w:r>
      <w:r w:rsidR="008E7D4A">
        <w:t xml:space="preserve"> </w:t>
      </w:r>
      <w:r w:rsidR="00D86E35">
        <w:t>against the Schedule 10 scheduling factors</w:t>
      </w:r>
      <w:r w:rsidR="00714F94">
        <w:t>:</w:t>
      </w:r>
    </w:p>
    <w:p w14:paraId="3B6CCDBB" w14:textId="77777777" w:rsidR="00714F94" w:rsidRDefault="00714F94" w:rsidP="00714F94">
      <w:pPr>
        <w:pStyle w:val="ListBullet2"/>
      </w:pPr>
      <w:r>
        <w:t>The substance does not pose such a high public health risk that prohibition is warranted.</w:t>
      </w:r>
    </w:p>
    <w:p w14:paraId="581D42AB" w14:textId="77777777" w:rsidR="00714F94" w:rsidRDefault="00714F94" w:rsidP="00714F94">
      <w:pPr>
        <w:pStyle w:val="ListBullet2"/>
      </w:pPr>
      <w:r>
        <w:t>The public health risks do not substantially outweigh the benefits to the extent that no other schedule is appropriate.</w:t>
      </w:r>
    </w:p>
    <w:p w14:paraId="75937BC0" w14:textId="576E2119" w:rsidR="00714F94" w:rsidRDefault="00FE273C" w:rsidP="00714F94">
      <w:r>
        <w:lastRenderedPageBreak/>
        <w:t>On balance</w:t>
      </w:r>
      <w:r w:rsidR="00714F94" w:rsidRPr="00D3499E">
        <w:t xml:space="preserve">, I </w:t>
      </w:r>
      <w:r w:rsidR="002C141E">
        <w:t>consider</w:t>
      </w:r>
      <w:r w:rsidR="00714F94" w:rsidRPr="00D3499E">
        <w:t xml:space="preserve"> that creating a new Schedule 10 entry</w:t>
      </w:r>
      <w:r w:rsidR="005110D3">
        <w:t xml:space="preserve"> for lead acetates</w:t>
      </w:r>
      <w:r w:rsidR="00714F94" w:rsidRPr="00D3499E">
        <w:t xml:space="preserve"> is </w:t>
      </w:r>
      <w:r w:rsidR="002C141E">
        <w:t xml:space="preserve">not </w:t>
      </w:r>
      <w:r w:rsidR="00714F94" w:rsidRPr="00D3499E">
        <w:t>appropriate. However, it is also clear that the current scheduling</w:t>
      </w:r>
      <w:r w:rsidR="00D660B4">
        <w:t xml:space="preserve"> is insufficient, i.e. t</w:t>
      </w:r>
      <w:r w:rsidR="008E7D4A">
        <w:t>he current labelling requirements for h</w:t>
      </w:r>
      <w:r w:rsidR="00714F94" w:rsidRPr="00D3499E">
        <w:t>air cosmetics containing lead acetates</w:t>
      </w:r>
      <w:r w:rsidR="008E7D4A">
        <w:t xml:space="preserve"> may not</w:t>
      </w:r>
      <w:r w:rsidR="00083611">
        <w:t xml:space="preserve"> </w:t>
      </w:r>
      <w:r w:rsidR="00D3499E">
        <w:t xml:space="preserve">adequately warn consumers of the </w:t>
      </w:r>
      <w:r w:rsidR="00083611">
        <w:t>dangers</w:t>
      </w:r>
      <w:r w:rsidR="00054ECD">
        <w:t xml:space="preserve"> of exposure</w:t>
      </w:r>
      <w:r w:rsidR="00714F94" w:rsidRPr="00D3499E">
        <w:t xml:space="preserve">. </w:t>
      </w:r>
      <w:r w:rsidR="00054ECD">
        <w:t>The</w:t>
      </w:r>
      <w:r w:rsidR="00083611">
        <w:t xml:space="preserve"> need for tighter restrictions is supported by </w:t>
      </w:r>
      <w:r w:rsidR="00714F94" w:rsidRPr="00D3499E">
        <w:t xml:space="preserve">the Committee’s </w:t>
      </w:r>
      <w:r w:rsidR="00D93727">
        <w:t>view that</w:t>
      </w:r>
      <w:r w:rsidR="00714F94" w:rsidRPr="00D3499E">
        <w:t xml:space="preserve"> lead acetates </w:t>
      </w:r>
      <w:r w:rsidR="00D93727">
        <w:t xml:space="preserve">meet </w:t>
      </w:r>
      <w:r w:rsidR="00714F94" w:rsidRPr="00D3499E">
        <w:t>the Schedule 6 scheduling factors</w:t>
      </w:r>
      <w:r w:rsidR="00D3499E">
        <w:t>:</w:t>
      </w:r>
    </w:p>
    <w:p w14:paraId="71BB900F" w14:textId="77777777" w:rsidR="00D3499E" w:rsidRDefault="00D3499E" w:rsidP="00D3499E">
      <w:pPr>
        <w:pStyle w:val="ListBullet2"/>
        <w:numPr>
          <w:ilvl w:val="1"/>
          <w:numId w:val="1"/>
        </w:numPr>
        <w:ind w:left="850" w:hanging="425"/>
      </w:pPr>
      <w:r>
        <w:t>The substance has a moderate toxicity which may cause severe injury if taken internally.</w:t>
      </w:r>
    </w:p>
    <w:p w14:paraId="4392725B" w14:textId="77777777" w:rsidR="00D3499E" w:rsidRDefault="00D3499E" w:rsidP="00D3499E">
      <w:pPr>
        <w:pStyle w:val="ListBullet2"/>
        <w:numPr>
          <w:ilvl w:val="1"/>
          <w:numId w:val="1"/>
        </w:numPr>
        <w:ind w:left="850" w:hanging="425"/>
      </w:pPr>
      <w:r>
        <w:t>The substance presents a moderate hazard from repeated use in hair dyes, and a moderate risk of producing irreversible (neuro-) toxicity.</w:t>
      </w:r>
    </w:p>
    <w:p w14:paraId="6439DDE8" w14:textId="77777777" w:rsidR="00D3499E" w:rsidRDefault="00D3499E" w:rsidP="00D3499E">
      <w:pPr>
        <w:pStyle w:val="ListBullet2"/>
        <w:numPr>
          <w:ilvl w:val="1"/>
          <w:numId w:val="1"/>
        </w:numPr>
        <w:ind w:left="850" w:hanging="425"/>
      </w:pPr>
      <w:r>
        <w:t>Harm to users can be reduced to some extent through strong label warnings.</w:t>
      </w:r>
    </w:p>
    <w:p w14:paraId="2F69324D" w14:textId="0A980981" w:rsidR="00D3499E" w:rsidRDefault="00D3499E" w:rsidP="00714F94">
      <w:pPr>
        <w:pStyle w:val="ListBullet2"/>
        <w:numPr>
          <w:ilvl w:val="1"/>
          <w:numId w:val="1"/>
        </w:numPr>
        <w:ind w:left="850" w:hanging="425"/>
      </w:pPr>
      <w:r>
        <w:t>The substance has a moderate potential for causing harm, especially to children or pregnant women.</w:t>
      </w:r>
    </w:p>
    <w:p w14:paraId="36A6D8C4" w14:textId="27DC31C6" w:rsidR="00D3499E" w:rsidRDefault="00D3499E" w:rsidP="00D3499E">
      <w:r>
        <w:t>Based on these findings, I</w:t>
      </w:r>
      <w:r w:rsidR="002C141E">
        <w:t xml:space="preserve"> have</w:t>
      </w:r>
      <w:r>
        <w:t xml:space="preserve"> </w:t>
      </w:r>
      <w:r w:rsidR="002C141E">
        <w:t>assessed</w:t>
      </w:r>
      <w:r>
        <w:t xml:space="preserve"> that it is appropriate to capture</w:t>
      </w:r>
      <w:r w:rsidR="00DC25C5">
        <w:t xml:space="preserve"> hair dye products containing</w:t>
      </w:r>
      <w:r>
        <w:t xml:space="preserve"> lead </w:t>
      </w:r>
      <w:r w:rsidR="008E7D4A">
        <w:t>acetates</w:t>
      </w:r>
      <w:r>
        <w:t xml:space="preserve"> in Schedule 6</w:t>
      </w:r>
      <w:r w:rsidR="00DC25C5">
        <w:t xml:space="preserve"> of the Poisons Standard</w:t>
      </w:r>
      <w:r>
        <w:t>. In considering a cut-off concentration</w:t>
      </w:r>
      <w:r w:rsidR="008E7D4A">
        <w:t xml:space="preserve">, </w:t>
      </w:r>
      <w:r>
        <w:t>I note that lead is limited to 100 parts per million</w:t>
      </w:r>
      <w:r w:rsidR="00267F67">
        <w:t xml:space="preserve"> (ppm)</w:t>
      </w:r>
      <w:r>
        <w:t xml:space="preserve"> in other cosmetics such as lipsticks, </w:t>
      </w:r>
      <w:proofErr w:type="gramStart"/>
      <w:r>
        <w:t>and also</w:t>
      </w:r>
      <w:proofErr w:type="gramEnd"/>
      <w:r>
        <w:t xml:space="preserve"> in art supplies. Given that hair dyes have</w:t>
      </w:r>
      <w:r w:rsidR="00267F67">
        <w:t xml:space="preserve"> similar (if not fewer) oral </w:t>
      </w:r>
      <w:r>
        <w:t>exposure pathways</w:t>
      </w:r>
      <w:r w:rsidR="00267F67">
        <w:t xml:space="preserve"> when compared to these products</w:t>
      </w:r>
      <w:r>
        <w:t xml:space="preserve">, I </w:t>
      </w:r>
      <w:r w:rsidR="00267F67">
        <w:t>believe that a Schedule 6 cut-off concentration of 100 ppm</w:t>
      </w:r>
      <w:r w:rsidR="00780C1E">
        <w:t xml:space="preserve"> (100 mg/kg)</w:t>
      </w:r>
      <w:r w:rsidR="00267F67">
        <w:t xml:space="preserve"> is adequately stringent.</w:t>
      </w:r>
    </w:p>
    <w:p w14:paraId="6DDAFA8B" w14:textId="1F609611" w:rsidR="00D17274" w:rsidRDefault="00054ECD" w:rsidP="00E32C29">
      <w:r>
        <w:t>In making my decision, I have considered the</w:t>
      </w:r>
      <w:r w:rsidR="00BE63FF">
        <w:t xml:space="preserve"> two written public submissions </w:t>
      </w:r>
      <w:r>
        <w:t>that were</w:t>
      </w:r>
      <w:r w:rsidR="00BE63FF">
        <w:t xml:space="preserve"> received during the pre-meeting consultation</w:t>
      </w:r>
      <w:r w:rsidR="00DA5BED">
        <w:t>,</w:t>
      </w:r>
      <w:r>
        <w:t xml:space="preserve"> which were</w:t>
      </w:r>
      <w:r w:rsidR="00DA5BED">
        <w:t xml:space="preserve"> both opposed to the proposed scheduling</w:t>
      </w:r>
      <w:r w:rsidR="00E32C29">
        <w:t xml:space="preserve">. </w:t>
      </w:r>
      <w:r w:rsidR="00BE63FF">
        <w:t xml:space="preserve">Accord Australasia noted that lead acetate </w:t>
      </w:r>
      <w:r w:rsidR="00D17274">
        <w:t>was reinstated in the United States in 2019, in apparent contradiction with the initial</w:t>
      </w:r>
      <w:r w:rsidR="00D17274" w:rsidRPr="008A573C">
        <w:t xml:space="preserve"> scheduling proposal. </w:t>
      </w:r>
      <w:r w:rsidR="008A573C" w:rsidRPr="008A573C">
        <w:t xml:space="preserve">However, </w:t>
      </w:r>
      <w:r w:rsidR="00D17274" w:rsidRPr="008A573C">
        <w:t xml:space="preserve">I note that the final decision </w:t>
      </w:r>
      <w:r w:rsidR="00D93727">
        <w:t xml:space="preserve">in the United States </w:t>
      </w:r>
      <w:r w:rsidR="00D17274" w:rsidRPr="008A573C">
        <w:t>is on hold</w:t>
      </w:r>
      <w:r>
        <w:t xml:space="preserve"> </w:t>
      </w:r>
      <w:proofErr w:type="gramStart"/>
      <w:r w:rsidR="00D93727">
        <w:t>as</w:t>
      </w:r>
      <w:r w:rsidR="00D17274" w:rsidRPr="008A573C">
        <w:t xml:space="preserve"> a result of</w:t>
      </w:r>
      <w:proofErr w:type="gramEnd"/>
      <w:r w:rsidR="00D17274" w:rsidRPr="008A573C">
        <w:t xml:space="preserve"> the </w:t>
      </w:r>
      <w:r w:rsidR="00D17274" w:rsidRPr="00D5578E">
        <w:t>FDA’s</w:t>
      </w:r>
      <w:r w:rsidR="00D17274" w:rsidRPr="008A573C">
        <w:t xml:space="preserve"> consultation and decision process rather than an endorsement of product safety</w:t>
      </w:r>
      <w:r w:rsidR="008A573C" w:rsidRPr="008A573C">
        <w:t>.</w:t>
      </w:r>
      <w:r w:rsidR="00E32C29">
        <w:t xml:space="preserve"> I also note that </w:t>
      </w:r>
      <w:r w:rsidR="00D17274">
        <w:t>Combe Asia-Pacific expressed several concerns regarding the data modelling used in the human health tier III assessment for lead acetates</w:t>
      </w:r>
      <w:r w:rsidR="008E7D4A">
        <w:t>. They also</w:t>
      </w:r>
      <w:r w:rsidR="00DA5BED">
        <w:t xml:space="preserve"> discussed the need for a non-zero cut-off for lead concentrations and noted that the proposed scheduling would lead to a mismatch between the regulation of hair dyes and other cosmetics containing lead.</w:t>
      </w:r>
      <w:r w:rsidR="00E32C29">
        <w:t xml:space="preserve"> As such,</w:t>
      </w:r>
      <w:r w:rsidR="002A0307">
        <w:t xml:space="preserve"> stakeholders advised that</w:t>
      </w:r>
      <w:r w:rsidR="00E32C29">
        <w:t xml:space="preserve"> the proposed Schedule 10 entry may be excessive.</w:t>
      </w:r>
    </w:p>
    <w:p w14:paraId="26A44F22" w14:textId="7E60CB6D" w:rsidR="00DA5BED" w:rsidRDefault="00DA5BED" w:rsidP="00D3499E">
      <w:r>
        <w:t>In my view</w:t>
      </w:r>
      <w:r w:rsidR="002A0307">
        <w:t>,</w:t>
      </w:r>
      <w:r w:rsidR="00AF6171">
        <w:t xml:space="preserve"> concerns regarding data modelling are</w:t>
      </w:r>
      <w:r w:rsidR="000176E4">
        <w:t xml:space="preserve"> proportionally addresse</w:t>
      </w:r>
      <w:r w:rsidR="00AF6171">
        <w:t xml:space="preserve">d by listing lead acetates in Schedule 6 rather than Schedule 10. Introducing a </w:t>
      </w:r>
      <w:proofErr w:type="gramStart"/>
      <w:r w:rsidR="00AF6171">
        <w:t>100 ppm</w:t>
      </w:r>
      <w:proofErr w:type="gramEnd"/>
      <w:r w:rsidR="00AF6171">
        <w:t xml:space="preserve"> cut-off concentration would</w:t>
      </w:r>
      <w:r w:rsidR="00E32C29">
        <w:t xml:space="preserve"> also</w:t>
      </w:r>
      <w:r w:rsidR="000176E4">
        <w:t xml:space="preserve"> bring the regulation of progressive hair dyes in line with other cosmetics</w:t>
      </w:r>
      <w:r w:rsidR="00E32C29">
        <w:t xml:space="preserve">, and is </w:t>
      </w:r>
      <w:r w:rsidR="008A573C">
        <w:t>consistent with the</w:t>
      </w:r>
      <w:r w:rsidR="000176E4">
        <w:t xml:space="preserve"> Committee’s </w:t>
      </w:r>
      <w:r w:rsidR="00E32C29">
        <w:t xml:space="preserve">analysis of the public health risks. Though relatively modest, these changes </w:t>
      </w:r>
      <w:r w:rsidR="000176E4">
        <w:t xml:space="preserve">may </w:t>
      </w:r>
      <w:r w:rsidR="00D93727">
        <w:t xml:space="preserve">encourage </w:t>
      </w:r>
      <w:r w:rsidR="002A0307">
        <w:t xml:space="preserve">industry to formulate lead-free progressive hair dye products without creating excessive barriers. </w:t>
      </w:r>
    </w:p>
    <w:p w14:paraId="3D39993E" w14:textId="77777777" w:rsidR="00C94803" w:rsidRDefault="00322ED3" w:rsidP="00D3499E">
      <w:r>
        <w:t>In considering the wording of a</w:t>
      </w:r>
      <w:r w:rsidR="00E32C29">
        <w:t xml:space="preserve"> Schedule 6</w:t>
      </w:r>
      <w:r>
        <w:t xml:space="preserve"> entry, I note that salts of lead</w:t>
      </w:r>
      <w:r w:rsidR="00564726">
        <w:t xml:space="preserve"> </w:t>
      </w:r>
      <w:r>
        <w:t xml:space="preserve">are difficult to regulate. Lead is the readily measurable (and toxic) component of the substance, while </w:t>
      </w:r>
      <w:r w:rsidR="00564726">
        <w:t>the salt component (i.e. acetate)</w:t>
      </w:r>
      <w:r>
        <w:t xml:space="preserve"> </w:t>
      </w:r>
      <w:r w:rsidR="00564726">
        <w:t>is</w:t>
      </w:r>
      <w:r>
        <w:t xml:space="preserve"> more difficult to verify</w:t>
      </w:r>
      <w:r w:rsidR="00E32C29">
        <w:t xml:space="preserve"> through chemical testing</w:t>
      </w:r>
      <w:r>
        <w:t xml:space="preserve">. As such, the </w:t>
      </w:r>
      <w:r w:rsidR="00CC2098">
        <w:t>enforcement</w:t>
      </w:r>
      <w:r>
        <w:t xml:space="preserve"> of concentration</w:t>
      </w:r>
      <w:r w:rsidR="002A0307">
        <w:t xml:space="preserve"> limits may prove </w:t>
      </w:r>
      <w:r>
        <w:t xml:space="preserve">unnecessarily difficult </w:t>
      </w:r>
      <w:r w:rsidR="002A0307">
        <w:t xml:space="preserve">if </w:t>
      </w:r>
      <w:r w:rsidR="00CC2098">
        <w:t>lead acetates</w:t>
      </w:r>
      <w:r w:rsidR="002A0307">
        <w:t xml:space="preserve"> are</w:t>
      </w:r>
      <w:r w:rsidR="00D914D8">
        <w:t xml:space="preserve"> defined as a salt</w:t>
      </w:r>
      <w:r>
        <w:t xml:space="preserve">. </w:t>
      </w:r>
      <w:r w:rsidR="007C11AF">
        <w:t>To assist</w:t>
      </w:r>
      <w:r w:rsidR="00C118B2">
        <w:t xml:space="preserve"> with </w:t>
      </w:r>
      <w:r w:rsidR="00CC2098">
        <w:t>the implementation</w:t>
      </w:r>
      <w:r w:rsidR="007C11AF">
        <w:t xml:space="preserve"> of </w:t>
      </w:r>
      <w:r w:rsidR="00C118B2">
        <w:t>the proposed scheduling amendments</w:t>
      </w:r>
      <w:r w:rsidR="007C11AF">
        <w:t xml:space="preserve">, </w:t>
      </w:r>
      <w:r w:rsidR="002A0307">
        <w:t>I have</w:t>
      </w:r>
      <w:r>
        <w:t xml:space="preserve"> decided to capture lead acetates</w:t>
      </w:r>
      <w:r w:rsidR="0001513B">
        <w:t xml:space="preserve"> in the Poisons Standard</w:t>
      </w:r>
      <w:r>
        <w:t xml:space="preserve"> based on the</w:t>
      </w:r>
      <w:r w:rsidR="001424E2">
        <w:t>ir</w:t>
      </w:r>
      <w:r>
        <w:t xml:space="preserve"> elemental lead content. </w:t>
      </w:r>
    </w:p>
    <w:p w14:paraId="28DFD018" w14:textId="6CE16F37" w:rsidR="00322ED3" w:rsidRDefault="00D914D8" w:rsidP="00D3499E">
      <w:r>
        <w:t>I note that</w:t>
      </w:r>
      <w:r w:rsidR="00564726">
        <w:t xml:space="preserve"> </w:t>
      </w:r>
      <w:r w:rsidR="007C11AF">
        <w:t>other</w:t>
      </w:r>
      <w:r w:rsidR="00C118B2">
        <w:t xml:space="preserve"> lead-containing</w:t>
      </w:r>
      <w:r w:rsidR="007C11AF">
        <w:t xml:space="preserve"> cosmetics</w:t>
      </w:r>
      <w:r w:rsidR="00C94803">
        <w:t xml:space="preserve"> are </w:t>
      </w:r>
      <w:r w:rsidR="00CC2098">
        <w:t>already</w:t>
      </w:r>
      <w:r w:rsidR="007C11AF">
        <w:t xml:space="preserve"> </w:t>
      </w:r>
      <w:r w:rsidR="00C94803">
        <w:t xml:space="preserve">captured in Schedule 6, with a cut-off concentration of 100 ppm, and are </w:t>
      </w:r>
      <w:r w:rsidR="007C11AF">
        <w:t xml:space="preserve">defined </w:t>
      </w:r>
      <w:r w:rsidR="00CC2098">
        <w:t>in terms of</w:t>
      </w:r>
      <w:r w:rsidR="001424E2">
        <w:t xml:space="preserve"> elemental lead</w:t>
      </w:r>
      <w:r w:rsidR="00C118B2">
        <w:t xml:space="preserve">. </w:t>
      </w:r>
      <w:r w:rsidR="00CC2098">
        <w:t xml:space="preserve">As such, the desired </w:t>
      </w:r>
      <w:r w:rsidR="00C94803">
        <w:t>regulation of lead acetates can be</w:t>
      </w:r>
      <w:r w:rsidR="00CC2098">
        <w:t xml:space="preserve"> achieved by </w:t>
      </w:r>
      <w:r>
        <w:t xml:space="preserve">deleting the Schedule 5 entry </w:t>
      </w:r>
      <w:r w:rsidR="00C94803">
        <w:t>for lead-containing hair cosmetics</w:t>
      </w:r>
      <w:r w:rsidR="00CC2098">
        <w:t xml:space="preserve"> – and capturing </w:t>
      </w:r>
      <w:r w:rsidR="00C94803">
        <w:t>relevant hair dye</w:t>
      </w:r>
      <w:r w:rsidR="00CC2098">
        <w:t xml:space="preserve"> products </w:t>
      </w:r>
      <w:r w:rsidR="00C94803">
        <w:t>under the existing Schedule 6 entry for lead</w:t>
      </w:r>
      <w:r w:rsidR="00D14475">
        <w:t>-containing cosmetic products</w:t>
      </w:r>
      <w:r w:rsidR="00C94803">
        <w:t>.</w:t>
      </w:r>
      <w:r w:rsidR="001424E2">
        <w:t xml:space="preserve"> </w:t>
      </w:r>
    </w:p>
    <w:p w14:paraId="69967D7E" w14:textId="61A7C3BE" w:rsidR="00026808" w:rsidRDefault="000176E4" w:rsidP="00F00452">
      <w:r>
        <w:lastRenderedPageBreak/>
        <w:t>I have therefore made an interim decision to delete the Schedule 5 entry for lead compounds. This</w:t>
      </w:r>
      <w:r w:rsidR="00D660B4">
        <w:t xml:space="preserve"> amendment will result in</w:t>
      </w:r>
      <w:r w:rsidR="00E348F7">
        <w:t xml:space="preserve"> the requirement for</w:t>
      </w:r>
      <w:r w:rsidR="00632453">
        <w:t xml:space="preserve"> lead-containing progressive</w:t>
      </w:r>
      <w:r>
        <w:t xml:space="preserve"> hair dye </w:t>
      </w:r>
      <w:proofErr w:type="gramStart"/>
      <w:r>
        <w:t xml:space="preserve">products </w:t>
      </w:r>
      <w:r w:rsidR="00D660B4">
        <w:t xml:space="preserve"> to</w:t>
      </w:r>
      <w:proofErr w:type="gramEnd"/>
      <w:r w:rsidR="00D660B4">
        <w:t xml:space="preserve"> be</w:t>
      </w:r>
      <w:r>
        <w:t xml:space="preserve"> Schedule 6</w:t>
      </w:r>
      <w:r w:rsidR="00D660B4">
        <w:t xml:space="preserve"> compliant</w:t>
      </w:r>
      <w:r w:rsidR="00632453">
        <w:t>, unless present at concentrations below 100 ppm</w:t>
      </w:r>
      <w:r w:rsidR="00780C1E">
        <w:t xml:space="preserve"> (100 mg/kg)</w:t>
      </w:r>
      <w:r w:rsidR="00632453">
        <w:t xml:space="preserve">. </w:t>
      </w:r>
      <w:r>
        <w:t>I</w:t>
      </w:r>
      <w:r w:rsidR="00026808">
        <w:t xml:space="preserve"> am of the view that these changes </w:t>
      </w:r>
      <w:r w:rsidR="00632453">
        <w:t>will meaningfully contribute to ongoing efforts to phase out lead from Australian products.</w:t>
      </w:r>
    </w:p>
    <w:p w14:paraId="3DC5FA9F" w14:textId="7C86C268" w:rsidR="00726C73" w:rsidRDefault="00AF6171" w:rsidP="00026808">
      <w:r>
        <w:t>To</w:t>
      </w:r>
      <w:r w:rsidR="00026808">
        <w:t xml:space="preserve"> allow the industry time to reformulate their products, I have decided on a later implementation date of 1 June 2022.</w:t>
      </w:r>
    </w:p>
    <w:p w14:paraId="6F56AE9D" w14:textId="77777777" w:rsidR="00453E6A" w:rsidRPr="00C721A5" w:rsidRDefault="00453E6A" w:rsidP="00453E6A">
      <w:pPr>
        <w:pStyle w:val="Heading4"/>
        <w:rPr>
          <w:rFonts w:ascii="Cambria" w:eastAsia="Times New Roman" w:hAnsi="Cambria"/>
          <w:i/>
          <w:color w:val="001523"/>
          <w:sz w:val="22"/>
        </w:rPr>
      </w:pPr>
      <w:bookmarkStart w:id="29" w:name="_Toc85029590"/>
      <w:r w:rsidRPr="00C721A5">
        <w:rPr>
          <w:rFonts w:ascii="Cambria" w:eastAsia="Times New Roman" w:hAnsi="Cambria"/>
          <w:i/>
          <w:color w:val="001523"/>
          <w:sz w:val="22"/>
        </w:rPr>
        <w:t>Proposed implementation date</w:t>
      </w:r>
      <w:bookmarkEnd w:id="29"/>
    </w:p>
    <w:p w14:paraId="6C1F2933" w14:textId="5C8BAEC8" w:rsidR="001D6386" w:rsidRPr="00E441CB" w:rsidRDefault="00453E6A" w:rsidP="00EE02C5">
      <w:r>
        <w:rPr>
          <w:rFonts w:eastAsia="Times New Roman"/>
          <w:b/>
          <w:bCs/>
          <w:color w:val="001523"/>
          <w:szCs w:val="26"/>
        </w:rPr>
        <w:t xml:space="preserve">1 </w:t>
      </w:r>
      <w:r w:rsidR="00AA00C7">
        <w:rPr>
          <w:rFonts w:eastAsia="Times New Roman"/>
          <w:b/>
          <w:bCs/>
          <w:color w:val="001523"/>
          <w:szCs w:val="26"/>
        </w:rPr>
        <w:t>June</w:t>
      </w:r>
      <w:r>
        <w:rPr>
          <w:rFonts w:eastAsia="Times New Roman"/>
          <w:b/>
          <w:bCs/>
          <w:color w:val="001523"/>
          <w:szCs w:val="26"/>
        </w:rPr>
        <w:t xml:space="preserve"> 2022</w:t>
      </w:r>
    </w:p>
    <w:sectPr w:rsidR="001D6386" w:rsidRPr="00E441CB" w:rsidSect="00CD1C8D">
      <w:headerReference w:type="first" r:id="rId34"/>
      <w:footerReference w:type="first" r:id="rId35"/>
      <w:type w:val="continuous"/>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3067" w14:textId="77777777" w:rsidR="002E6038" w:rsidRDefault="002E6038" w:rsidP="00C40A36">
      <w:pPr>
        <w:spacing w:after="0"/>
      </w:pPr>
      <w:r>
        <w:separator/>
      </w:r>
    </w:p>
    <w:p w14:paraId="45BD9930" w14:textId="77777777" w:rsidR="002E6038" w:rsidRDefault="002E6038"/>
  </w:endnote>
  <w:endnote w:type="continuationSeparator" w:id="0">
    <w:p w14:paraId="4E15B27D" w14:textId="77777777" w:rsidR="002E6038" w:rsidRDefault="002E6038" w:rsidP="00C40A36">
      <w:pPr>
        <w:spacing w:after="0"/>
      </w:pPr>
      <w:r>
        <w:continuationSeparator/>
      </w:r>
    </w:p>
    <w:p w14:paraId="316D531B" w14:textId="77777777" w:rsidR="002E6038" w:rsidRDefault="002E6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A0342" w14:textId="77777777" w:rsidR="006B13EB" w:rsidRDefault="006B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4612E2" w:rsidRPr="00257138" w14:paraId="4AF11DA5" w14:textId="77777777" w:rsidTr="00453E6A">
      <w:trPr>
        <w:trHeight w:val="189"/>
      </w:trPr>
      <w:tc>
        <w:tcPr>
          <w:tcW w:w="7338" w:type="dxa"/>
        </w:tcPr>
        <w:p w14:paraId="5F9340DC" w14:textId="4C7BD1D1" w:rsidR="004612E2" w:rsidRPr="00257138" w:rsidRDefault="004612E2" w:rsidP="006B13EB">
          <w:pPr>
            <w:pStyle w:val="Footer"/>
            <w:spacing w:after="120"/>
          </w:pPr>
          <w:r>
            <w:t>Delegate’s interim decisions and reasons for decisions (ACCS#31, June 2021)</w:t>
          </w:r>
        </w:p>
      </w:tc>
      <w:tc>
        <w:tcPr>
          <w:tcW w:w="1382" w:type="dxa"/>
        </w:tcPr>
        <w:sdt>
          <w:sdtPr>
            <w:id w:val="602996628"/>
            <w:docPartObj>
              <w:docPartGallery w:val="Page Numbers (Top of Page)"/>
              <w:docPartUnique/>
            </w:docPartObj>
          </w:sdtPr>
          <w:sdtEndPr/>
          <w:sdtContent>
            <w:p w14:paraId="2F2C20BF" w14:textId="79E94E12" w:rsidR="004612E2" w:rsidRPr="00257138" w:rsidRDefault="004612E2" w:rsidP="00987184">
              <w:pPr>
                <w:pStyle w:val="Footer"/>
                <w:jc w:val="right"/>
              </w:pPr>
              <w:r w:rsidRPr="00257138">
                <w:t xml:space="preserve">Page </w:t>
              </w:r>
              <w:r>
                <w:fldChar w:fldCharType="begin"/>
              </w:r>
              <w:r>
                <w:instrText xml:space="preserve"> PAGE </w:instrText>
              </w:r>
              <w:r>
                <w:fldChar w:fldCharType="separate"/>
              </w:r>
              <w:r>
                <w:rPr>
                  <w:noProof/>
                </w:rPr>
                <w:t>8</w:t>
              </w:r>
              <w:r>
                <w:rPr>
                  <w:noProof/>
                </w:rPr>
                <w:fldChar w:fldCharType="end"/>
              </w:r>
              <w:r w:rsidRPr="00257138">
                <w:t xml:space="preserve"> of </w:t>
              </w:r>
              <w:r w:rsidR="001411F4">
                <w:fldChar w:fldCharType="begin"/>
              </w:r>
              <w:r w:rsidR="001411F4">
                <w:instrText xml:space="preserve"> NUMPAGES  </w:instrText>
              </w:r>
              <w:r w:rsidR="001411F4">
                <w:fldChar w:fldCharType="separate"/>
              </w:r>
              <w:r>
                <w:rPr>
                  <w:noProof/>
                </w:rPr>
                <w:t>12</w:t>
              </w:r>
              <w:r w:rsidR="001411F4">
                <w:rPr>
                  <w:noProof/>
                </w:rPr>
                <w:fldChar w:fldCharType="end"/>
              </w:r>
            </w:p>
          </w:sdtContent>
        </w:sdt>
      </w:tc>
    </w:tr>
  </w:tbl>
  <w:p w14:paraId="6E7E3FB0" w14:textId="77777777" w:rsidR="004612E2" w:rsidRPr="00826007" w:rsidRDefault="004612E2" w:rsidP="00A3654F">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4612E2" w:rsidRDefault="004612E2" w:rsidP="00FF7B50">
    <w:pPr>
      <w:pStyle w:val="Footer"/>
      <w:ind w:left="-1757" w:right="-22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4612E2" w:rsidRPr="00F8404D" w:rsidRDefault="004612E2"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14A83" w14:textId="77777777" w:rsidR="002E6038" w:rsidRDefault="002E6038" w:rsidP="00FE1941">
      <w:pPr>
        <w:spacing w:after="0"/>
      </w:pPr>
      <w:r>
        <w:separator/>
      </w:r>
    </w:p>
  </w:footnote>
  <w:footnote w:type="continuationSeparator" w:id="0">
    <w:p w14:paraId="4FE3EC1A" w14:textId="77777777" w:rsidR="002E6038" w:rsidRDefault="002E6038" w:rsidP="00C40A36">
      <w:pPr>
        <w:spacing w:after="0"/>
      </w:pPr>
      <w:r>
        <w:continuationSeparator/>
      </w:r>
    </w:p>
    <w:p w14:paraId="75E57463" w14:textId="77777777" w:rsidR="002E6038" w:rsidRDefault="002E6038"/>
  </w:footnote>
  <w:footnote w:id="1">
    <w:p w14:paraId="108D16B1" w14:textId="068D87A6" w:rsidR="004612E2" w:rsidRDefault="004612E2">
      <w:pPr>
        <w:pStyle w:val="FootnoteText"/>
      </w:pPr>
      <w:r>
        <w:rPr>
          <w:rStyle w:val="FootnoteReference"/>
        </w:rPr>
        <w:footnoteRef/>
      </w:r>
      <w:r>
        <w:t xml:space="preserve"> </w:t>
      </w:r>
      <w:r w:rsidRPr="00E846F1">
        <w:t>https://echa.europa.eu/de/substance-information/-/substanceinfo/100.073.272</w:t>
      </w:r>
    </w:p>
  </w:footnote>
  <w:footnote w:id="2">
    <w:p w14:paraId="240DD515" w14:textId="5983046A" w:rsidR="004612E2" w:rsidRDefault="004612E2">
      <w:pPr>
        <w:pStyle w:val="FootnoteText"/>
      </w:pPr>
      <w:r>
        <w:rPr>
          <w:rStyle w:val="FootnoteReference"/>
        </w:rPr>
        <w:footnoteRef/>
      </w:r>
      <w:r>
        <w:t xml:space="preserve"> </w:t>
      </w:r>
      <w:hyperlink r:id="rId1" w:history="1">
        <w:r w:rsidRPr="00F76F09">
          <w:rPr>
            <w:rStyle w:val="Hyperlink"/>
          </w:rPr>
          <w:t>https://www.regulations.gov/document/FDA-2017-C-1951-0223</w:t>
        </w:r>
      </w:hyperlink>
      <w:r>
        <w:t xml:space="preserve"> </w:t>
      </w:r>
    </w:p>
  </w:footnote>
  <w:footnote w:id="3">
    <w:p w14:paraId="2F2B2F78" w14:textId="3EBA4906" w:rsidR="004612E2" w:rsidRDefault="004612E2">
      <w:pPr>
        <w:pStyle w:val="FootnoteText"/>
      </w:pPr>
      <w:r>
        <w:rPr>
          <w:rStyle w:val="FootnoteReference"/>
        </w:rPr>
        <w:footnoteRef/>
      </w:r>
      <w:r>
        <w:t xml:space="preserve"> </w:t>
      </w:r>
      <w:hyperlink r:id="rId2" w:history="1">
        <w:r w:rsidRPr="00F76F09">
          <w:rPr>
            <w:rStyle w:val="Hyperlink"/>
          </w:rPr>
          <w:t>https://www.industrialchemicals.gov.au/sites/default/files/Lead%20acetates_%20Human%20health</w:t>
        </w:r>
        <w:r w:rsidRPr="00F76F09">
          <w:rPr>
            <w:rStyle w:val="Hyperlink"/>
          </w:rPr>
          <w:br/>
          <w:t>%20tier%20III%20assessment.pdf</w:t>
        </w:r>
      </w:hyperlink>
      <w:r>
        <w:t xml:space="preserve"> </w:t>
      </w:r>
    </w:p>
  </w:footnote>
  <w:footnote w:id="4">
    <w:p w14:paraId="79BC8561" w14:textId="7A73AB3F" w:rsidR="004612E2" w:rsidRDefault="004612E2">
      <w:pPr>
        <w:pStyle w:val="FootnoteText"/>
      </w:pPr>
      <w:r>
        <w:rPr>
          <w:rStyle w:val="FootnoteReference"/>
        </w:rPr>
        <w:footnoteRef/>
      </w:r>
      <w:r>
        <w:t xml:space="preserve"> </w:t>
      </w:r>
      <w:hyperlink r:id="rId3" w:history="1">
        <w:r w:rsidRPr="002C7F19">
          <w:rPr>
            <w:rStyle w:val="Hyperlink"/>
          </w:rPr>
          <w:t>https://www.nhmrc.gov.au/sites/default/files/documents/reports/statement-lead-human-health-eh58.pdf</w:t>
        </w:r>
      </w:hyperlink>
      <w:r>
        <w:t xml:space="preserve"> </w:t>
      </w:r>
    </w:p>
  </w:footnote>
  <w:footnote w:id="5">
    <w:p w14:paraId="43EBEF20" w14:textId="76899B84" w:rsidR="004612E2" w:rsidRDefault="004612E2">
      <w:pPr>
        <w:pStyle w:val="FootnoteText"/>
      </w:pPr>
      <w:r>
        <w:rPr>
          <w:rStyle w:val="FootnoteReference"/>
        </w:rPr>
        <w:footnoteRef/>
      </w:r>
      <w:r>
        <w:t xml:space="preserve"> </w:t>
      </w:r>
      <w:hyperlink r:id="rId4" w:history="1">
        <w:r w:rsidRPr="002C7F19">
          <w:rPr>
            <w:rStyle w:val="Hyperlink"/>
          </w:rPr>
          <w:t>https://doi.org/10.1136/jech.40.1.18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D870" w14:textId="77777777" w:rsidR="006B13EB" w:rsidRDefault="006B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4612E2" w:rsidRPr="00920FF4" w:rsidRDefault="004612E2" w:rsidP="00920FF4">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4612E2" w:rsidRPr="00E32326" w:rsidRDefault="004612E2"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612E2" w:rsidRPr="00FF7B50" w14:paraId="2738DE9F" w14:textId="77777777" w:rsidTr="00453E6A">
      <w:trPr>
        <w:trHeight w:hRule="exact" w:val="8845"/>
      </w:trPr>
      <w:tc>
        <w:tcPr>
          <w:tcW w:w="11964" w:type="dxa"/>
        </w:tcPr>
        <w:p w14:paraId="31F1E05B" w14:textId="77777777" w:rsidR="004612E2" w:rsidRPr="00FF7B50" w:rsidRDefault="001411F4" w:rsidP="00AE0320">
          <w:pPr>
            <w:pStyle w:val="Header"/>
            <w:ind w:left="-57"/>
            <w:jc w:val="left"/>
            <w:rPr>
              <w:noProof/>
              <w:lang w:eastAsia="en-AU"/>
            </w:rPr>
          </w:pPr>
          <w:sdt>
            <w:sdtPr>
              <w:rPr>
                <w:noProof/>
                <w:lang w:eastAsia="en-AU"/>
              </w:rPr>
              <w:id w:val="3702145"/>
              <w:showingPlcHdr/>
              <w:picture/>
            </w:sdtPr>
            <w:sdtEndPr/>
            <w:sdtContent>
              <w:r w:rsidR="004612E2" w:rsidRPr="00FF7B50">
                <w:rPr>
                  <w:noProof/>
                  <w:lang w:eastAsia="en-AU"/>
                </w:rPr>
                <w:drawing>
                  <wp:inline distT="0" distB="0" distL="0" distR="0" wp14:anchorId="547AAA64" wp14:editId="00E79BEB">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BC15240" w14:textId="77777777" w:rsidR="004612E2" w:rsidRPr="00E32326" w:rsidRDefault="004612E2"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4612E2" w:rsidRPr="009401F6" w:rsidRDefault="004612E2" w:rsidP="0047772E"/>
  <w:p w14:paraId="28504B54" w14:textId="77777777" w:rsidR="004612E2" w:rsidRPr="002B0C2E" w:rsidRDefault="004612E2"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3A01351"/>
    <w:multiLevelType w:val="hybridMultilevel"/>
    <w:tmpl w:val="A340573A"/>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318CE"/>
    <w:multiLevelType w:val="hybridMultilevel"/>
    <w:tmpl w:val="17965C3C"/>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30E0C21"/>
    <w:multiLevelType w:val="hybridMultilevel"/>
    <w:tmpl w:val="F42E4252"/>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1133EBB"/>
    <w:multiLevelType w:val="hybridMultilevel"/>
    <w:tmpl w:val="5ED69552"/>
    <w:lvl w:ilvl="0" w:tplc="47168314">
      <w:start w:val="1"/>
      <w:numFmt w:val="lowerLetter"/>
      <w:lvlText w:val="%1)"/>
      <w:lvlJc w:val="left"/>
      <w:pPr>
        <w:ind w:left="1420" w:hanging="360"/>
      </w:pPr>
      <w:rPr>
        <w:rFonts w:ascii="Cambria" w:hAnsi="Cambria" w:cs="Calibri" w:hint="default"/>
        <w:b w:val="0"/>
        <w:i w:val="0"/>
        <w:sz w:val="22"/>
        <w:szCs w:val="22"/>
      </w:rPr>
    </w:lvl>
    <w:lvl w:ilvl="1" w:tplc="0C090019">
      <w:start w:val="1"/>
      <w:numFmt w:val="lowerLetter"/>
      <w:lvlText w:val="%2."/>
      <w:lvlJc w:val="left"/>
      <w:pPr>
        <w:ind w:left="2140" w:hanging="360"/>
      </w:pPr>
    </w:lvl>
    <w:lvl w:ilvl="2" w:tplc="0C09001B">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9" w15:restartNumberingAfterBreak="0">
    <w:nsid w:val="4E351D8D"/>
    <w:multiLevelType w:val="hybridMultilevel"/>
    <w:tmpl w:val="D0AE63A4"/>
    <w:lvl w:ilvl="0" w:tplc="0A2CBBC2">
      <w:start w:val="1"/>
      <w:numFmt w:val="lowerLetter"/>
      <w:pStyle w:val="Numberbullet2"/>
      <w:lvlText w:val="%1)"/>
      <w:lvlJc w:val="left"/>
      <w:pPr>
        <w:ind w:left="1505" w:hanging="360"/>
      </w:pPr>
      <w:rPr>
        <w:rFonts w:hint="default"/>
        <w:i/>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0" w15:restartNumberingAfterBreak="0">
    <w:nsid w:val="58CC5B1D"/>
    <w:multiLevelType w:val="hybridMultilevel"/>
    <w:tmpl w:val="4390823A"/>
    <w:lvl w:ilvl="0" w:tplc="DB06FF38">
      <w:start w:val="1"/>
      <w:numFmt w:val="lowerLetter"/>
      <w:lvlText w:val="%1)"/>
      <w:lvlJc w:val="left"/>
      <w:pPr>
        <w:ind w:left="1420" w:hanging="360"/>
      </w:pPr>
      <w:rPr>
        <w:rFonts w:ascii="Cambria" w:hAnsi="Cambria" w:cs="Calibri"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E04ECF"/>
    <w:multiLevelType w:val="hybridMultilevel"/>
    <w:tmpl w:val="231A0DDA"/>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2F3DD6"/>
    <w:multiLevelType w:val="hybridMultilevel"/>
    <w:tmpl w:val="B58E86E0"/>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EC5FF7"/>
    <w:multiLevelType w:val="hybridMultilevel"/>
    <w:tmpl w:val="F18880C2"/>
    <w:lvl w:ilvl="0" w:tplc="A04AD47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4"/>
  </w:num>
  <w:num w:numId="4">
    <w:abstractNumId w:val="1"/>
  </w:num>
  <w:num w:numId="5">
    <w:abstractNumId w:val="7"/>
  </w:num>
  <w:num w:numId="6">
    <w:abstractNumId w:val="14"/>
  </w:num>
  <w:num w:numId="7">
    <w:abstractNumId w:val="0"/>
  </w:num>
  <w:num w:numId="8">
    <w:abstractNumId w:val="9"/>
  </w:num>
  <w:num w:numId="9">
    <w:abstractNumId w:val="8"/>
    <w:lvlOverride w:ilvl="0">
      <w:startOverride w:val="1"/>
    </w:lvlOverride>
  </w:num>
  <w:num w:numId="10">
    <w:abstractNumId w:val="6"/>
  </w:num>
  <w:num w:numId="11">
    <w:abstractNumId w:val="4"/>
    <w:lvlOverride w:ilvl="1">
      <w:lvl w:ilvl="1">
        <w:start w:val="1"/>
        <w:numFmt w:val="bullet"/>
        <w:pStyle w:val="ListBullet2"/>
        <w:lvlText w:val="–"/>
        <w:lvlJc w:val="left"/>
        <w:pPr>
          <w:ind w:left="720" w:hanging="360"/>
        </w:pPr>
        <w:rPr>
          <w:rFonts w:ascii="Arial" w:hAnsi="Arial" w:hint="default"/>
          <w:color w:val="auto"/>
        </w:rPr>
      </w:lvl>
    </w:lvlOverride>
  </w:num>
  <w:num w:numId="12">
    <w:abstractNumId w:val="6"/>
    <w:lvlOverride w:ilvl="0">
      <w:startOverride w:val="1"/>
    </w:lvlOverride>
  </w:num>
  <w:num w:numId="13">
    <w:abstractNumId w:val="8"/>
    <w:lvlOverride w:ilvl="0">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 w:numId="17">
    <w:abstractNumId w:val="9"/>
  </w:num>
  <w:num w:numId="18">
    <w:abstractNumId w:val="9"/>
  </w:num>
  <w:num w:numId="19">
    <w:abstractNumId w:val="5"/>
  </w:num>
  <w:num w:numId="20">
    <w:abstractNumId w:val="11"/>
  </w:num>
  <w:num w:numId="21">
    <w:abstractNumId w:val="12"/>
  </w:num>
  <w:num w:numId="2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 w:numId="25">
    <w:abstractNumId w:val="2"/>
  </w:num>
  <w:num w:numId="26">
    <w:abstractNumId w:val="9"/>
  </w:num>
  <w:num w:numId="27">
    <w:abstractNumId w:val="10"/>
  </w:num>
  <w:num w:numId="28">
    <w:abstractNumId w:val="9"/>
  </w:num>
  <w:num w:numId="29">
    <w:abstractNumId w:val="9"/>
  </w:num>
  <w:num w:numId="30">
    <w:abstractNumId w:val="9"/>
  </w:num>
  <w:num w:numId="31">
    <w:abstractNumId w:val="9"/>
  </w:num>
  <w:num w:numId="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116D5"/>
    <w:rsid w:val="0001276A"/>
    <w:rsid w:val="0001513B"/>
    <w:rsid w:val="000176E4"/>
    <w:rsid w:val="000246AE"/>
    <w:rsid w:val="00024F59"/>
    <w:rsid w:val="00025C67"/>
    <w:rsid w:val="00026808"/>
    <w:rsid w:val="00032FF2"/>
    <w:rsid w:val="0003306D"/>
    <w:rsid w:val="00045D85"/>
    <w:rsid w:val="00045EAB"/>
    <w:rsid w:val="000548B2"/>
    <w:rsid w:val="00054ECD"/>
    <w:rsid w:val="00055129"/>
    <w:rsid w:val="000554B4"/>
    <w:rsid w:val="0005559E"/>
    <w:rsid w:val="00055A19"/>
    <w:rsid w:val="00061E51"/>
    <w:rsid w:val="00063028"/>
    <w:rsid w:val="0006705E"/>
    <w:rsid w:val="00077775"/>
    <w:rsid w:val="00083611"/>
    <w:rsid w:val="00090471"/>
    <w:rsid w:val="000904AB"/>
    <w:rsid w:val="000958DF"/>
    <w:rsid w:val="0009604B"/>
    <w:rsid w:val="000A0965"/>
    <w:rsid w:val="000A30BC"/>
    <w:rsid w:val="000B0A5D"/>
    <w:rsid w:val="000B3532"/>
    <w:rsid w:val="000B3A75"/>
    <w:rsid w:val="000B7084"/>
    <w:rsid w:val="000C1C08"/>
    <w:rsid w:val="000C5A31"/>
    <w:rsid w:val="000D391B"/>
    <w:rsid w:val="000D3AD6"/>
    <w:rsid w:val="000D3D6D"/>
    <w:rsid w:val="000D4D32"/>
    <w:rsid w:val="000D4FC7"/>
    <w:rsid w:val="000F4581"/>
    <w:rsid w:val="000F4869"/>
    <w:rsid w:val="000F5B42"/>
    <w:rsid w:val="000F6E6F"/>
    <w:rsid w:val="001003F2"/>
    <w:rsid w:val="0010601F"/>
    <w:rsid w:val="00107378"/>
    <w:rsid w:val="00110EA5"/>
    <w:rsid w:val="001119DF"/>
    <w:rsid w:val="00111A38"/>
    <w:rsid w:val="00115240"/>
    <w:rsid w:val="00125091"/>
    <w:rsid w:val="00125318"/>
    <w:rsid w:val="00127AB9"/>
    <w:rsid w:val="001305A2"/>
    <w:rsid w:val="00132294"/>
    <w:rsid w:val="00133238"/>
    <w:rsid w:val="00140FE3"/>
    <w:rsid w:val="001411F4"/>
    <w:rsid w:val="0014197B"/>
    <w:rsid w:val="001424E2"/>
    <w:rsid w:val="001447CD"/>
    <w:rsid w:val="00145C0B"/>
    <w:rsid w:val="001516B1"/>
    <w:rsid w:val="001525B4"/>
    <w:rsid w:val="00155A7D"/>
    <w:rsid w:val="00156316"/>
    <w:rsid w:val="00160006"/>
    <w:rsid w:val="00161877"/>
    <w:rsid w:val="00165389"/>
    <w:rsid w:val="00170CED"/>
    <w:rsid w:val="0017693F"/>
    <w:rsid w:val="0018110E"/>
    <w:rsid w:val="00181684"/>
    <w:rsid w:val="00183097"/>
    <w:rsid w:val="001843C6"/>
    <w:rsid w:val="001850E0"/>
    <w:rsid w:val="0018693C"/>
    <w:rsid w:val="00187598"/>
    <w:rsid w:val="0019255A"/>
    <w:rsid w:val="001A525F"/>
    <w:rsid w:val="001A69AB"/>
    <w:rsid w:val="001B09F9"/>
    <w:rsid w:val="001B6448"/>
    <w:rsid w:val="001C015C"/>
    <w:rsid w:val="001D480A"/>
    <w:rsid w:val="001D6386"/>
    <w:rsid w:val="001E0113"/>
    <w:rsid w:val="001E07CF"/>
    <w:rsid w:val="001E10CB"/>
    <w:rsid w:val="001E59F1"/>
    <w:rsid w:val="001F462E"/>
    <w:rsid w:val="001F49EB"/>
    <w:rsid w:val="001F6CBA"/>
    <w:rsid w:val="001F78B9"/>
    <w:rsid w:val="00201D4E"/>
    <w:rsid w:val="00204F19"/>
    <w:rsid w:val="00207515"/>
    <w:rsid w:val="00211C7B"/>
    <w:rsid w:val="00220B8A"/>
    <w:rsid w:val="002232C2"/>
    <w:rsid w:val="002257F3"/>
    <w:rsid w:val="002302EC"/>
    <w:rsid w:val="002303B0"/>
    <w:rsid w:val="002314E8"/>
    <w:rsid w:val="0023227D"/>
    <w:rsid w:val="00233456"/>
    <w:rsid w:val="0023397F"/>
    <w:rsid w:val="002339A5"/>
    <w:rsid w:val="002368DB"/>
    <w:rsid w:val="002444C0"/>
    <w:rsid w:val="002452E7"/>
    <w:rsid w:val="00245F98"/>
    <w:rsid w:val="00246194"/>
    <w:rsid w:val="00247A61"/>
    <w:rsid w:val="002538AE"/>
    <w:rsid w:val="00253950"/>
    <w:rsid w:val="00253F16"/>
    <w:rsid w:val="002541E7"/>
    <w:rsid w:val="00257138"/>
    <w:rsid w:val="00257848"/>
    <w:rsid w:val="00267F67"/>
    <w:rsid w:val="0027084A"/>
    <w:rsid w:val="00271109"/>
    <w:rsid w:val="00277EF5"/>
    <w:rsid w:val="0028114E"/>
    <w:rsid w:val="00286434"/>
    <w:rsid w:val="00286C59"/>
    <w:rsid w:val="002942D1"/>
    <w:rsid w:val="002A0307"/>
    <w:rsid w:val="002A0556"/>
    <w:rsid w:val="002A32F1"/>
    <w:rsid w:val="002B0C2E"/>
    <w:rsid w:val="002B1638"/>
    <w:rsid w:val="002B706C"/>
    <w:rsid w:val="002C141E"/>
    <w:rsid w:val="002C1D7D"/>
    <w:rsid w:val="002C2511"/>
    <w:rsid w:val="002D1EDF"/>
    <w:rsid w:val="002D5232"/>
    <w:rsid w:val="002E13A2"/>
    <w:rsid w:val="002E4C9A"/>
    <w:rsid w:val="002E6038"/>
    <w:rsid w:val="002F002C"/>
    <w:rsid w:val="002F11F8"/>
    <w:rsid w:val="002F3F56"/>
    <w:rsid w:val="002F44B5"/>
    <w:rsid w:val="0030275B"/>
    <w:rsid w:val="00311AC0"/>
    <w:rsid w:val="003204DD"/>
    <w:rsid w:val="00322ED3"/>
    <w:rsid w:val="00331DBB"/>
    <w:rsid w:val="00332680"/>
    <w:rsid w:val="00334291"/>
    <w:rsid w:val="00347888"/>
    <w:rsid w:val="003521E8"/>
    <w:rsid w:val="00354AB1"/>
    <w:rsid w:val="00365DDD"/>
    <w:rsid w:val="003664BF"/>
    <w:rsid w:val="00371400"/>
    <w:rsid w:val="003728F3"/>
    <w:rsid w:val="00377BA1"/>
    <w:rsid w:val="00390900"/>
    <w:rsid w:val="0039211F"/>
    <w:rsid w:val="00392E85"/>
    <w:rsid w:val="0039344C"/>
    <w:rsid w:val="003A13F0"/>
    <w:rsid w:val="003A35BD"/>
    <w:rsid w:val="003A70BA"/>
    <w:rsid w:val="003B00C5"/>
    <w:rsid w:val="003B443E"/>
    <w:rsid w:val="003B7E39"/>
    <w:rsid w:val="003C30DC"/>
    <w:rsid w:val="003C58DC"/>
    <w:rsid w:val="003C5C8E"/>
    <w:rsid w:val="003C7461"/>
    <w:rsid w:val="003D0CD9"/>
    <w:rsid w:val="003D13EB"/>
    <w:rsid w:val="003E2CAF"/>
    <w:rsid w:val="003E3208"/>
    <w:rsid w:val="003E3D34"/>
    <w:rsid w:val="003E7EAA"/>
    <w:rsid w:val="003F0B04"/>
    <w:rsid w:val="003F6F7D"/>
    <w:rsid w:val="0040134E"/>
    <w:rsid w:val="00401EC6"/>
    <w:rsid w:val="00410839"/>
    <w:rsid w:val="0041452B"/>
    <w:rsid w:val="004169A8"/>
    <w:rsid w:val="004368DE"/>
    <w:rsid w:val="00440A2D"/>
    <w:rsid w:val="004414E4"/>
    <w:rsid w:val="00441DBC"/>
    <w:rsid w:val="00453E6A"/>
    <w:rsid w:val="00455A6F"/>
    <w:rsid w:val="004564A7"/>
    <w:rsid w:val="004612E2"/>
    <w:rsid w:val="004617BF"/>
    <w:rsid w:val="004634F1"/>
    <w:rsid w:val="00465E90"/>
    <w:rsid w:val="0047772E"/>
    <w:rsid w:val="00477BB1"/>
    <w:rsid w:val="004923FF"/>
    <w:rsid w:val="00494E60"/>
    <w:rsid w:val="00496BAC"/>
    <w:rsid w:val="004A7E67"/>
    <w:rsid w:val="004B2A0A"/>
    <w:rsid w:val="004B3CBE"/>
    <w:rsid w:val="004B4CB5"/>
    <w:rsid w:val="004B5A6B"/>
    <w:rsid w:val="004B7B76"/>
    <w:rsid w:val="004C0070"/>
    <w:rsid w:val="004C2E29"/>
    <w:rsid w:val="004D3B35"/>
    <w:rsid w:val="004D51A6"/>
    <w:rsid w:val="004E21BD"/>
    <w:rsid w:val="004F0F38"/>
    <w:rsid w:val="004F1A46"/>
    <w:rsid w:val="004F4D12"/>
    <w:rsid w:val="00501921"/>
    <w:rsid w:val="00505C0D"/>
    <w:rsid w:val="005110D3"/>
    <w:rsid w:val="00511904"/>
    <w:rsid w:val="005120F3"/>
    <w:rsid w:val="00515128"/>
    <w:rsid w:val="00522A0C"/>
    <w:rsid w:val="005234E9"/>
    <w:rsid w:val="00530354"/>
    <w:rsid w:val="00531B11"/>
    <w:rsid w:val="005434C6"/>
    <w:rsid w:val="00543B39"/>
    <w:rsid w:val="0054583D"/>
    <w:rsid w:val="005477E7"/>
    <w:rsid w:val="00550096"/>
    <w:rsid w:val="0055532D"/>
    <w:rsid w:val="00557FF9"/>
    <w:rsid w:val="00564726"/>
    <w:rsid w:val="00571DE0"/>
    <w:rsid w:val="00576378"/>
    <w:rsid w:val="00577279"/>
    <w:rsid w:val="00577E38"/>
    <w:rsid w:val="005823FF"/>
    <w:rsid w:val="00585322"/>
    <w:rsid w:val="00593AD1"/>
    <w:rsid w:val="00594D03"/>
    <w:rsid w:val="00595E35"/>
    <w:rsid w:val="00597516"/>
    <w:rsid w:val="00597877"/>
    <w:rsid w:val="005A1131"/>
    <w:rsid w:val="005A61CE"/>
    <w:rsid w:val="005C5570"/>
    <w:rsid w:val="005C79A4"/>
    <w:rsid w:val="005D4EA1"/>
    <w:rsid w:val="005D5442"/>
    <w:rsid w:val="005E6592"/>
    <w:rsid w:val="00611B57"/>
    <w:rsid w:val="00613AC4"/>
    <w:rsid w:val="00617EAC"/>
    <w:rsid w:val="006239CD"/>
    <w:rsid w:val="00632453"/>
    <w:rsid w:val="006367ED"/>
    <w:rsid w:val="00640190"/>
    <w:rsid w:val="006405A9"/>
    <w:rsid w:val="00640FC3"/>
    <w:rsid w:val="00642020"/>
    <w:rsid w:val="006501A1"/>
    <w:rsid w:val="00651C87"/>
    <w:rsid w:val="0065337B"/>
    <w:rsid w:val="00653FBF"/>
    <w:rsid w:val="0065419D"/>
    <w:rsid w:val="006604D8"/>
    <w:rsid w:val="00664A5B"/>
    <w:rsid w:val="00665F8C"/>
    <w:rsid w:val="00667942"/>
    <w:rsid w:val="00667B4F"/>
    <w:rsid w:val="00676703"/>
    <w:rsid w:val="00680C08"/>
    <w:rsid w:val="00683517"/>
    <w:rsid w:val="0068741A"/>
    <w:rsid w:val="00691723"/>
    <w:rsid w:val="006931B1"/>
    <w:rsid w:val="00693CDB"/>
    <w:rsid w:val="0069529F"/>
    <w:rsid w:val="006A15C0"/>
    <w:rsid w:val="006A2004"/>
    <w:rsid w:val="006B13EB"/>
    <w:rsid w:val="006B188D"/>
    <w:rsid w:val="006C1F3B"/>
    <w:rsid w:val="006C3E2A"/>
    <w:rsid w:val="006C626D"/>
    <w:rsid w:val="006C642F"/>
    <w:rsid w:val="006C6EDB"/>
    <w:rsid w:val="006D0125"/>
    <w:rsid w:val="006D039E"/>
    <w:rsid w:val="006D03E5"/>
    <w:rsid w:val="006D0C3B"/>
    <w:rsid w:val="006D418E"/>
    <w:rsid w:val="006D5D3E"/>
    <w:rsid w:val="006D7F68"/>
    <w:rsid w:val="006E08B3"/>
    <w:rsid w:val="006E5AB4"/>
    <w:rsid w:val="006F572E"/>
    <w:rsid w:val="007046D6"/>
    <w:rsid w:val="00705DB0"/>
    <w:rsid w:val="00706AFE"/>
    <w:rsid w:val="00714F94"/>
    <w:rsid w:val="00724808"/>
    <w:rsid w:val="00725A8B"/>
    <w:rsid w:val="00726C73"/>
    <w:rsid w:val="0074066C"/>
    <w:rsid w:val="00742004"/>
    <w:rsid w:val="0074253D"/>
    <w:rsid w:val="007439E2"/>
    <w:rsid w:val="0074429B"/>
    <w:rsid w:val="007477F8"/>
    <w:rsid w:val="007615BC"/>
    <w:rsid w:val="00762F05"/>
    <w:rsid w:val="00763336"/>
    <w:rsid w:val="00764EB9"/>
    <w:rsid w:val="007652FF"/>
    <w:rsid w:val="00766F39"/>
    <w:rsid w:val="00771329"/>
    <w:rsid w:val="00773EF7"/>
    <w:rsid w:val="00774E1D"/>
    <w:rsid w:val="0077675A"/>
    <w:rsid w:val="00780355"/>
    <w:rsid w:val="00780C1E"/>
    <w:rsid w:val="00785721"/>
    <w:rsid w:val="00793810"/>
    <w:rsid w:val="00793A59"/>
    <w:rsid w:val="007A2162"/>
    <w:rsid w:val="007B302B"/>
    <w:rsid w:val="007B43ED"/>
    <w:rsid w:val="007B4BF9"/>
    <w:rsid w:val="007C0F3D"/>
    <w:rsid w:val="007C11AF"/>
    <w:rsid w:val="007C1AF7"/>
    <w:rsid w:val="007C7A6D"/>
    <w:rsid w:val="007C7B5B"/>
    <w:rsid w:val="007E45FB"/>
    <w:rsid w:val="007E7BF8"/>
    <w:rsid w:val="007F2FF0"/>
    <w:rsid w:val="00800210"/>
    <w:rsid w:val="00810598"/>
    <w:rsid w:val="00810A09"/>
    <w:rsid w:val="00811166"/>
    <w:rsid w:val="00814492"/>
    <w:rsid w:val="00816053"/>
    <w:rsid w:val="00821776"/>
    <w:rsid w:val="00825A9B"/>
    <w:rsid w:val="00826007"/>
    <w:rsid w:val="0082721F"/>
    <w:rsid w:val="008321F5"/>
    <w:rsid w:val="00832369"/>
    <w:rsid w:val="00834660"/>
    <w:rsid w:val="00834C8E"/>
    <w:rsid w:val="00836BC2"/>
    <w:rsid w:val="0084156C"/>
    <w:rsid w:val="0084580B"/>
    <w:rsid w:val="00845BCA"/>
    <w:rsid w:val="00846F69"/>
    <w:rsid w:val="008473A1"/>
    <w:rsid w:val="00853C8F"/>
    <w:rsid w:val="0085641B"/>
    <w:rsid w:val="00856B1E"/>
    <w:rsid w:val="00857136"/>
    <w:rsid w:val="00870B12"/>
    <w:rsid w:val="008752CE"/>
    <w:rsid w:val="008821AA"/>
    <w:rsid w:val="0088351B"/>
    <w:rsid w:val="00883955"/>
    <w:rsid w:val="008855B8"/>
    <w:rsid w:val="008932F3"/>
    <w:rsid w:val="00896018"/>
    <w:rsid w:val="008A07FF"/>
    <w:rsid w:val="008A2B9D"/>
    <w:rsid w:val="008A573C"/>
    <w:rsid w:val="008A5E0B"/>
    <w:rsid w:val="008A5E18"/>
    <w:rsid w:val="008A6D59"/>
    <w:rsid w:val="008B2D31"/>
    <w:rsid w:val="008B4B03"/>
    <w:rsid w:val="008B58F9"/>
    <w:rsid w:val="008B596F"/>
    <w:rsid w:val="008C159F"/>
    <w:rsid w:val="008C1623"/>
    <w:rsid w:val="008C162B"/>
    <w:rsid w:val="008C51A9"/>
    <w:rsid w:val="008C56D9"/>
    <w:rsid w:val="008D1F36"/>
    <w:rsid w:val="008D2B09"/>
    <w:rsid w:val="008D4740"/>
    <w:rsid w:val="008E1044"/>
    <w:rsid w:val="008E7B83"/>
    <w:rsid w:val="008E7D4A"/>
    <w:rsid w:val="008F1CCC"/>
    <w:rsid w:val="008F2967"/>
    <w:rsid w:val="008F3956"/>
    <w:rsid w:val="008F407A"/>
    <w:rsid w:val="00901486"/>
    <w:rsid w:val="0090354E"/>
    <w:rsid w:val="00904C37"/>
    <w:rsid w:val="00907ACE"/>
    <w:rsid w:val="009160E7"/>
    <w:rsid w:val="009169FC"/>
    <w:rsid w:val="00920330"/>
    <w:rsid w:val="0092083B"/>
    <w:rsid w:val="00920FF4"/>
    <w:rsid w:val="009219D7"/>
    <w:rsid w:val="00922D53"/>
    <w:rsid w:val="00923B70"/>
    <w:rsid w:val="00925DC5"/>
    <w:rsid w:val="0092600B"/>
    <w:rsid w:val="00930237"/>
    <w:rsid w:val="00934397"/>
    <w:rsid w:val="009401F6"/>
    <w:rsid w:val="00940F44"/>
    <w:rsid w:val="00941988"/>
    <w:rsid w:val="00945E67"/>
    <w:rsid w:val="00952382"/>
    <w:rsid w:val="00952562"/>
    <w:rsid w:val="00963C08"/>
    <w:rsid w:val="00966C72"/>
    <w:rsid w:val="00987184"/>
    <w:rsid w:val="00997420"/>
    <w:rsid w:val="009A09AA"/>
    <w:rsid w:val="009A2190"/>
    <w:rsid w:val="009A474D"/>
    <w:rsid w:val="009A4CED"/>
    <w:rsid w:val="009B15F1"/>
    <w:rsid w:val="009B1D12"/>
    <w:rsid w:val="009B416B"/>
    <w:rsid w:val="009C4BD5"/>
    <w:rsid w:val="009D2E04"/>
    <w:rsid w:val="009D5523"/>
    <w:rsid w:val="009D7B77"/>
    <w:rsid w:val="009E0BB0"/>
    <w:rsid w:val="009E3FBB"/>
    <w:rsid w:val="009E71F4"/>
    <w:rsid w:val="009F018D"/>
    <w:rsid w:val="009F7D61"/>
    <w:rsid w:val="00A052B5"/>
    <w:rsid w:val="00A06CF7"/>
    <w:rsid w:val="00A1235B"/>
    <w:rsid w:val="00A12C84"/>
    <w:rsid w:val="00A14DF7"/>
    <w:rsid w:val="00A17061"/>
    <w:rsid w:val="00A23F3C"/>
    <w:rsid w:val="00A3246D"/>
    <w:rsid w:val="00A3654F"/>
    <w:rsid w:val="00A36EFB"/>
    <w:rsid w:val="00A36FA7"/>
    <w:rsid w:val="00A379B8"/>
    <w:rsid w:val="00A40CB9"/>
    <w:rsid w:val="00A475B7"/>
    <w:rsid w:val="00A47648"/>
    <w:rsid w:val="00A4782D"/>
    <w:rsid w:val="00A47AF7"/>
    <w:rsid w:val="00A47C3E"/>
    <w:rsid w:val="00A50226"/>
    <w:rsid w:val="00A539AC"/>
    <w:rsid w:val="00A55896"/>
    <w:rsid w:val="00A56488"/>
    <w:rsid w:val="00A60447"/>
    <w:rsid w:val="00A60BAD"/>
    <w:rsid w:val="00A61442"/>
    <w:rsid w:val="00A64387"/>
    <w:rsid w:val="00A732E1"/>
    <w:rsid w:val="00A736F3"/>
    <w:rsid w:val="00A73A8D"/>
    <w:rsid w:val="00A84503"/>
    <w:rsid w:val="00A85B04"/>
    <w:rsid w:val="00A87334"/>
    <w:rsid w:val="00A96C7F"/>
    <w:rsid w:val="00AA00C7"/>
    <w:rsid w:val="00AA0CE0"/>
    <w:rsid w:val="00AB467B"/>
    <w:rsid w:val="00AB6F47"/>
    <w:rsid w:val="00AC2B40"/>
    <w:rsid w:val="00AC2BB2"/>
    <w:rsid w:val="00AC2C3C"/>
    <w:rsid w:val="00AC3BD9"/>
    <w:rsid w:val="00AC62E7"/>
    <w:rsid w:val="00AC7EB0"/>
    <w:rsid w:val="00AD0C99"/>
    <w:rsid w:val="00AE0320"/>
    <w:rsid w:val="00AE15C1"/>
    <w:rsid w:val="00AE65EB"/>
    <w:rsid w:val="00AF1D94"/>
    <w:rsid w:val="00AF2993"/>
    <w:rsid w:val="00AF60C5"/>
    <w:rsid w:val="00AF6171"/>
    <w:rsid w:val="00B009C6"/>
    <w:rsid w:val="00B01548"/>
    <w:rsid w:val="00B11C3B"/>
    <w:rsid w:val="00B17F66"/>
    <w:rsid w:val="00B21D29"/>
    <w:rsid w:val="00B21FC5"/>
    <w:rsid w:val="00B21FEE"/>
    <w:rsid w:val="00B22D6F"/>
    <w:rsid w:val="00B25034"/>
    <w:rsid w:val="00B33863"/>
    <w:rsid w:val="00B37042"/>
    <w:rsid w:val="00B37D17"/>
    <w:rsid w:val="00B40C62"/>
    <w:rsid w:val="00B4175E"/>
    <w:rsid w:val="00B45C41"/>
    <w:rsid w:val="00B510E1"/>
    <w:rsid w:val="00B54C25"/>
    <w:rsid w:val="00B551EC"/>
    <w:rsid w:val="00B600DA"/>
    <w:rsid w:val="00B64F68"/>
    <w:rsid w:val="00B76B91"/>
    <w:rsid w:val="00B92C72"/>
    <w:rsid w:val="00BA3A84"/>
    <w:rsid w:val="00BA402D"/>
    <w:rsid w:val="00BA6FF1"/>
    <w:rsid w:val="00BB0909"/>
    <w:rsid w:val="00BB6529"/>
    <w:rsid w:val="00BC1CAB"/>
    <w:rsid w:val="00BC406B"/>
    <w:rsid w:val="00BC61AE"/>
    <w:rsid w:val="00BC622A"/>
    <w:rsid w:val="00BD6F8A"/>
    <w:rsid w:val="00BE0A78"/>
    <w:rsid w:val="00BE63FF"/>
    <w:rsid w:val="00BE79F0"/>
    <w:rsid w:val="00BF046D"/>
    <w:rsid w:val="00BF5D04"/>
    <w:rsid w:val="00C00467"/>
    <w:rsid w:val="00C118B2"/>
    <w:rsid w:val="00C13563"/>
    <w:rsid w:val="00C20DC3"/>
    <w:rsid w:val="00C212DF"/>
    <w:rsid w:val="00C339C6"/>
    <w:rsid w:val="00C404A6"/>
    <w:rsid w:val="00C40A36"/>
    <w:rsid w:val="00C44419"/>
    <w:rsid w:val="00C45E7B"/>
    <w:rsid w:val="00C471B1"/>
    <w:rsid w:val="00C52BEE"/>
    <w:rsid w:val="00C6316B"/>
    <w:rsid w:val="00C634A9"/>
    <w:rsid w:val="00C721A5"/>
    <w:rsid w:val="00C73D6C"/>
    <w:rsid w:val="00C772FF"/>
    <w:rsid w:val="00C77BC8"/>
    <w:rsid w:val="00C801AF"/>
    <w:rsid w:val="00C80256"/>
    <w:rsid w:val="00C83D01"/>
    <w:rsid w:val="00C8758C"/>
    <w:rsid w:val="00C937E1"/>
    <w:rsid w:val="00C94803"/>
    <w:rsid w:val="00C96D4E"/>
    <w:rsid w:val="00CA07E2"/>
    <w:rsid w:val="00CA4FC5"/>
    <w:rsid w:val="00CA77CC"/>
    <w:rsid w:val="00CB135C"/>
    <w:rsid w:val="00CB2A6E"/>
    <w:rsid w:val="00CB6BC0"/>
    <w:rsid w:val="00CC1560"/>
    <w:rsid w:val="00CC1B7C"/>
    <w:rsid w:val="00CC2098"/>
    <w:rsid w:val="00CC727F"/>
    <w:rsid w:val="00CC73CF"/>
    <w:rsid w:val="00CD1C8D"/>
    <w:rsid w:val="00CD2699"/>
    <w:rsid w:val="00CD7871"/>
    <w:rsid w:val="00CE5BB0"/>
    <w:rsid w:val="00CF15C3"/>
    <w:rsid w:val="00CF2B6F"/>
    <w:rsid w:val="00CF3409"/>
    <w:rsid w:val="00D017ED"/>
    <w:rsid w:val="00D03BE8"/>
    <w:rsid w:val="00D041FC"/>
    <w:rsid w:val="00D10190"/>
    <w:rsid w:val="00D14475"/>
    <w:rsid w:val="00D153B1"/>
    <w:rsid w:val="00D17274"/>
    <w:rsid w:val="00D224FE"/>
    <w:rsid w:val="00D229BA"/>
    <w:rsid w:val="00D26B84"/>
    <w:rsid w:val="00D3499E"/>
    <w:rsid w:val="00D36867"/>
    <w:rsid w:val="00D41721"/>
    <w:rsid w:val="00D433BD"/>
    <w:rsid w:val="00D5578E"/>
    <w:rsid w:val="00D5616E"/>
    <w:rsid w:val="00D60ACA"/>
    <w:rsid w:val="00D634FE"/>
    <w:rsid w:val="00D6493E"/>
    <w:rsid w:val="00D660B4"/>
    <w:rsid w:val="00D85AC0"/>
    <w:rsid w:val="00D86E35"/>
    <w:rsid w:val="00D914D8"/>
    <w:rsid w:val="00D93727"/>
    <w:rsid w:val="00DA1124"/>
    <w:rsid w:val="00DA1DEF"/>
    <w:rsid w:val="00DA3043"/>
    <w:rsid w:val="00DA5BED"/>
    <w:rsid w:val="00DC25C5"/>
    <w:rsid w:val="00DC5FA3"/>
    <w:rsid w:val="00DD4C9F"/>
    <w:rsid w:val="00DD75A3"/>
    <w:rsid w:val="00DD7A91"/>
    <w:rsid w:val="00DE02AE"/>
    <w:rsid w:val="00DE2A7E"/>
    <w:rsid w:val="00DE6A0C"/>
    <w:rsid w:val="00DE6C04"/>
    <w:rsid w:val="00DE75AC"/>
    <w:rsid w:val="00DF1D7F"/>
    <w:rsid w:val="00DF767F"/>
    <w:rsid w:val="00E02FB4"/>
    <w:rsid w:val="00E1340C"/>
    <w:rsid w:val="00E1688D"/>
    <w:rsid w:val="00E17AE8"/>
    <w:rsid w:val="00E20571"/>
    <w:rsid w:val="00E21651"/>
    <w:rsid w:val="00E235F7"/>
    <w:rsid w:val="00E239D4"/>
    <w:rsid w:val="00E30666"/>
    <w:rsid w:val="00E32326"/>
    <w:rsid w:val="00E32C29"/>
    <w:rsid w:val="00E348F7"/>
    <w:rsid w:val="00E37087"/>
    <w:rsid w:val="00E406CF"/>
    <w:rsid w:val="00E40B22"/>
    <w:rsid w:val="00E441CB"/>
    <w:rsid w:val="00E4588F"/>
    <w:rsid w:val="00E46DA3"/>
    <w:rsid w:val="00E51164"/>
    <w:rsid w:val="00E57165"/>
    <w:rsid w:val="00E75FAF"/>
    <w:rsid w:val="00E8120B"/>
    <w:rsid w:val="00E846F1"/>
    <w:rsid w:val="00E93E74"/>
    <w:rsid w:val="00EA05CC"/>
    <w:rsid w:val="00EA16DE"/>
    <w:rsid w:val="00EA406B"/>
    <w:rsid w:val="00EA453A"/>
    <w:rsid w:val="00EB0798"/>
    <w:rsid w:val="00EB182C"/>
    <w:rsid w:val="00EB19F8"/>
    <w:rsid w:val="00EB40AD"/>
    <w:rsid w:val="00EB586E"/>
    <w:rsid w:val="00EB5FC8"/>
    <w:rsid w:val="00EC1271"/>
    <w:rsid w:val="00EC3331"/>
    <w:rsid w:val="00ED0C8B"/>
    <w:rsid w:val="00ED4BA5"/>
    <w:rsid w:val="00ED5A41"/>
    <w:rsid w:val="00EE02C5"/>
    <w:rsid w:val="00EE1482"/>
    <w:rsid w:val="00EE255A"/>
    <w:rsid w:val="00EF0EAB"/>
    <w:rsid w:val="00EF47F3"/>
    <w:rsid w:val="00EF578B"/>
    <w:rsid w:val="00F00452"/>
    <w:rsid w:val="00F033EC"/>
    <w:rsid w:val="00F04F68"/>
    <w:rsid w:val="00F05542"/>
    <w:rsid w:val="00F0627D"/>
    <w:rsid w:val="00F109B0"/>
    <w:rsid w:val="00F11A17"/>
    <w:rsid w:val="00F12670"/>
    <w:rsid w:val="00F14B27"/>
    <w:rsid w:val="00F202AB"/>
    <w:rsid w:val="00F3148D"/>
    <w:rsid w:val="00F3255D"/>
    <w:rsid w:val="00F350D4"/>
    <w:rsid w:val="00F35298"/>
    <w:rsid w:val="00F3529E"/>
    <w:rsid w:val="00F36C32"/>
    <w:rsid w:val="00F40F73"/>
    <w:rsid w:val="00F4305F"/>
    <w:rsid w:val="00F44B0D"/>
    <w:rsid w:val="00F4663D"/>
    <w:rsid w:val="00F467A6"/>
    <w:rsid w:val="00F47E37"/>
    <w:rsid w:val="00F50421"/>
    <w:rsid w:val="00F623FD"/>
    <w:rsid w:val="00F63C0D"/>
    <w:rsid w:val="00F640B6"/>
    <w:rsid w:val="00F67B16"/>
    <w:rsid w:val="00F739D1"/>
    <w:rsid w:val="00F80E13"/>
    <w:rsid w:val="00F80E40"/>
    <w:rsid w:val="00F8365F"/>
    <w:rsid w:val="00F8404D"/>
    <w:rsid w:val="00F87B87"/>
    <w:rsid w:val="00FA4D6D"/>
    <w:rsid w:val="00FA5B82"/>
    <w:rsid w:val="00FA639E"/>
    <w:rsid w:val="00FB59CE"/>
    <w:rsid w:val="00FC03C8"/>
    <w:rsid w:val="00FC25E4"/>
    <w:rsid w:val="00FC260C"/>
    <w:rsid w:val="00FC4EF7"/>
    <w:rsid w:val="00FC78D8"/>
    <w:rsid w:val="00FD0554"/>
    <w:rsid w:val="00FD082A"/>
    <w:rsid w:val="00FE1941"/>
    <w:rsid w:val="00FE1DEE"/>
    <w:rsid w:val="00FE273C"/>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888F992E-C2C8-471A-B841-5A188DB1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7"/>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7"/>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B22D6F"/>
    <w:pPr>
      <w:numPr>
        <w:ilvl w:val="0"/>
        <w:numId w:val="8"/>
      </w:numPr>
    </w:pPr>
    <w:rPr>
      <w:i/>
    </w:r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paragraph" w:customStyle="1" w:styleId="ListBulleta">
    <w:name w:val="List Bullet a)"/>
    <w:basedOn w:val="ListBullet"/>
    <w:uiPriority w:val="1"/>
    <w:qFormat/>
    <w:rsid w:val="00E37087"/>
    <w:pPr>
      <w:numPr>
        <w:numId w:val="10"/>
      </w:numPr>
    </w:pPr>
  </w:style>
  <w:style w:type="character" w:styleId="UnresolvedMention">
    <w:name w:val="Unresolved Mention"/>
    <w:basedOn w:val="DefaultParagraphFont"/>
    <w:uiPriority w:val="99"/>
    <w:semiHidden/>
    <w:unhideWhenUsed/>
    <w:rsid w:val="0051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onsultations.health.gov.au/tga/june_2021_accs/" TargetMode="External"/><Relationship Id="rId26" Type="http://schemas.openxmlformats.org/officeDocument/2006/relationships/hyperlink" Target="https://www.tga.gov.au/publication/ahmac-scheduling-policy-framework-medicines-and-chemicals" TargetMode="External"/><Relationship Id="rId3" Type="http://schemas.openxmlformats.org/officeDocument/2006/relationships/styles" Target="styles.xml"/><Relationship Id="rId21" Type="http://schemas.openxmlformats.org/officeDocument/2006/relationships/hyperlink" Target="https://www.tga.gov.au/publication/scheduling-handbook-guidance-amending-poisons-standard"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ndustrialchemicals.gov.au/sites/default/files/Phenol%2C%202-amino-5-methyl-_Human%20health%20tier%20II%20assessment.pdf" TargetMode="External"/><Relationship Id="rId25" Type="http://schemas.openxmlformats.org/officeDocument/2006/relationships/hyperlink" Target="https://www.tga.gov.au/sites/default/files/consultation-proposed-amendments-poisons-standard-accs-31-june-2021.pdf" TargetMode="External"/><Relationship Id="rId33" Type="http://schemas.openxmlformats.org/officeDocument/2006/relationships/hyperlink" Target="https://www.tga.gov.au/publication/scheduling-handbook-guidance-amending-poisons-standard" TargetMode="External"/><Relationship Id="rId2" Type="http://schemas.openxmlformats.org/officeDocument/2006/relationships/numbering" Target="numbering.xml"/><Relationship Id="rId16" Type="http://schemas.openxmlformats.org/officeDocument/2006/relationships/hyperlink" Target="https://www.tga.gov.au/scheduling-decision-interim/notice-interim-decisions-proposed-amendments-poisons-standard-joint-acms-accs-28-june-2021" TargetMode="External"/><Relationship Id="rId20"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industrialchemicals.gov.au/sites/default/files/Lead%20acetates_%20Human%20health%20tier%20III%20assess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health.gov.au/tga/june_2021_accs/" TargetMode="External"/><Relationship Id="rId32" Type="http://schemas.openxmlformats.org/officeDocument/2006/relationships/hyperlink" Target="https://www.tga.gov.au/publication/ahmac-scheduling-policy-framework-medicines-and-chemical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health.gov.au/tga/june_2021_ACCS_interim" TargetMode="External"/><Relationship Id="rId23" Type="http://schemas.openxmlformats.org/officeDocument/2006/relationships/hyperlink" Target="https://echa.europa.eu/de/substance-information/-/substanceinfo/100.073.272" TargetMode="External"/><Relationship Id="rId28" Type="http://schemas.openxmlformats.org/officeDocument/2006/relationships/hyperlink" Target="https://echa.europa.eu/de/substance-information/-/substanceinfo/100.073.27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ga.gov.au/sites/default/files/consultation-proposed-amendments-poisons-standard-accs-31-june-2021.pdf" TargetMode="External"/><Relationship Id="rId31" Type="http://schemas.openxmlformats.org/officeDocument/2006/relationships/hyperlink" Target="https://www.tga.gov.au/sites/default/files/consultation-proposed-amendments-poisons-standard-accs-31-june-202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industrialchemicals.gov.au/sites/default/files/2%2C3-Pyridinediamine%2C%206-methoxy-N2-methyl-%2C%20dihydrochloride_Human%20health%20tier%20II%20assessment.pdf" TargetMode="External"/><Relationship Id="rId27" Type="http://schemas.openxmlformats.org/officeDocument/2006/relationships/hyperlink" Target="https://www.tga.gov.au/publication/scheduling-handbook-guidance-amending-poisons-standard" TargetMode="External"/><Relationship Id="rId30" Type="http://schemas.openxmlformats.org/officeDocument/2006/relationships/hyperlink" Target="https://consultations.health.gov.au/tga/june_2021_accs/"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nhmrc.gov.au/sites/default/files/documents/reports/statement-lead-human-health-eh58.pdf" TargetMode="External"/><Relationship Id="rId2" Type="http://schemas.openxmlformats.org/officeDocument/2006/relationships/hyperlink" Target="https://www.industrialchemicals.gov.au/sites/default/files/Lead%20acetates_%20Human%20health%20tier%20III%20assessment.pdf" TargetMode="External"/><Relationship Id="rId1" Type="http://schemas.openxmlformats.org/officeDocument/2006/relationships/hyperlink" Target="https://www.regulations.gov/document/FDA-2017-C-1951-0223" TargetMode="External"/><Relationship Id="rId4" Type="http://schemas.openxmlformats.org/officeDocument/2006/relationships/hyperlink" Target="https://doi.org/10.1136/jech.40.1.1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21A68-494F-4C63-9C14-E01B8CE9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13</TotalTime>
  <Pages>18</Pages>
  <Words>6177</Words>
  <Characters>35209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vt:lpstr>
    </vt:vector>
  </TitlesOfParts>
  <Company>Department of Health, TGA</Company>
  <LinksUpToDate>false</LinksUpToDate>
  <CharactersWithSpaces>41304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cp:keywords/>
  <dc:description/>
  <cp:lastPrinted>2010-12-20T22:59:00Z</cp:lastPrinted>
  <dcterms:created xsi:type="dcterms:W3CDTF">2021-10-13T03:25:00Z</dcterms:created>
  <dcterms:modified xsi:type="dcterms:W3CDTF">2021-10-13T04:01:00Z</dcterms:modified>
</cp:coreProperties>
</file>