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4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1DE2E77A" w14:textId="77777777" w:rsidTr="00DC0176">
        <w:tc>
          <w:tcPr>
            <w:tcW w:w="8720" w:type="dxa"/>
          </w:tcPr>
          <w:p w14:paraId="483E6CDB" w14:textId="77777777" w:rsidR="0025660C" w:rsidRPr="00077548" w:rsidRDefault="009B574B" w:rsidP="00DC0176">
            <w:pPr>
              <w:pStyle w:val="Title"/>
            </w:pPr>
            <w:r>
              <w:t xml:space="preserve">Notice of </w:t>
            </w:r>
            <w:r w:rsidR="000B4F44">
              <w:t xml:space="preserve">an </w:t>
            </w:r>
            <w:r>
              <w:t>interim</w:t>
            </w:r>
            <w:r w:rsidR="00597B50" w:rsidRPr="00597B50">
              <w:t xml:space="preserve"> decision to amend the current Poisons Standard</w:t>
            </w:r>
          </w:p>
        </w:tc>
      </w:tr>
      <w:tr w:rsidR="0025660C" w14:paraId="6332F3D9" w14:textId="77777777" w:rsidTr="00DC0176">
        <w:trPr>
          <w:trHeight w:val="810"/>
        </w:trPr>
        <w:tc>
          <w:tcPr>
            <w:tcW w:w="8720" w:type="dxa"/>
          </w:tcPr>
          <w:p w14:paraId="24D6E599" w14:textId="67BED526" w:rsidR="0025660C" w:rsidRPr="00077548" w:rsidRDefault="0052115F" w:rsidP="00DC0176">
            <w:pPr>
              <w:pStyle w:val="Subtitle"/>
              <w:tabs>
                <w:tab w:val="left" w:pos="5310"/>
              </w:tabs>
              <w:ind w:left="0"/>
            </w:pPr>
            <w:r>
              <w:t>23</w:t>
            </w:r>
            <w:r w:rsidR="00205F7B">
              <w:t xml:space="preserve"> September 2020</w:t>
            </w:r>
          </w:p>
        </w:tc>
      </w:tr>
    </w:tbl>
    <w:p w14:paraId="27054FB3" w14:textId="77777777" w:rsidR="0025660C" w:rsidRDefault="0025660C" w:rsidP="0025660C">
      <w:pPr>
        <w:sectPr w:rsidR="0025660C" w:rsidSect="00E57B71">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361" w:left="1418" w:header="851" w:footer="768" w:gutter="0"/>
          <w:cols w:space="708"/>
          <w:titlePg/>
          <w:docGrid w:linePitch="360"/>
        </w:sectPr>
      </w:pPr>
      <w:r>
        <w:br w:type="page"/>
      </w:r>
    </w:p>
    <w:p w14:paraId="11CF4173" w14:textId="77777777" w:rsidR="007907BF" w:rsidRPr="005D4EA1" w:rsidRDefault="007907BF" w:rsidP="007907BF">
      <w:pPr>
        <w:pStyle w:val="LegalSubheading"/>
        <w:pageBreakBefore/>
      </w:pPr>
      <w:r w:rsidRPr="00691723">
        <w:lastRenderedPageBreak/>
        <w:t>Copyright</w:t>
      </w:r>
    </w:p>
    <w:p w14:paraId="570E8DD3" w14:textId="4C377C7E" w:rsidR="007907BF" w:rsidRDefault="007907BF" w:rsidP="007907BF">
      <w:pPr>
        <w:pStyle w:val="LegalCopy"/>
      </w:pPr>
      <w:r w:rsidRPr="009401F6">
        <w:t>© Commonwealth of Australia 20</w:t>
      </w:r>
      <w:r>
        <w:t>20</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Pr="009401F6">
        <w:t>&gt;</w:t>
      </w:r>
      <w:r w:rsidR="00DC0176">
        <w:t>.</w:t>
      </w:r>
    </w:p>
    <w:bookmarkStart w:id="0" w:name="_Toc323740419" w:displacedByCustomXml="next"/>
    <w:bookmarkStart w:id="1" w:name="_Toc328388475" w:displacedByCustomXml="next"/>
    <w:bookmarkStart w:id="2" w:name="_Toc323740418"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6F609CEC" w14:textId="77777777" w:rsidR="00704CFF" w:rsidRDefault="0025660C" w:rsidP="00EF472C">
          <w:pPr>
            <w:pStyle w:val="TOC2"/>
            <w:pageBreakBefore/>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6870F69A" w14:textId="4F7824E2" w:rsidR="00704CFF" w:rsidRDefault="00872D41">
          <w:pPr>
            <w:pStyle w:val="TOC2"/>
            <w:tabs>
              <w:tab w:val="left" w:pos="851"/>
            </w:tabs>
            <w:rPr>
              <w:rFonts w:asciiTheme="minorHAnsi" w:eastAsiaTheme="minorEastAsia" w:hAnsiTheme="minorHAnsi" w:cstheme="minorBidi"/>
              <w:noProof/>
              <w:szCs w:val="22"/>
              <w:lang w:eastAsia="en-AU"/>
            </w:rPr>
          </w:pPr>
          <w:hyperlink w:anchor="_Toc49858552" w:history="1">
            <w:r w:rsidR="00704CFF" w:rsidRPr="001724FD">
              <w:rPr>
                <w:rStyle w:val="Hyperlink"/>
                <w:noProof/>
              </w:rPr>
              <w:t>1</w:t>
            </w:r>
            <w:r w:rsidR="00704CFF">
              <w:rPr>
                <w:rFonts w:asciiTheme="minorHAnsi" w:eastAsiaTheme="minorEastAsia" w:hAnsiTheme="minorHAnsi" w:cstheme="minorBidi"/>
                <w:noProof/>
                <w:szCs w:val="22"/>
                <w:lang w:eastAsia="en-AU"/>
              </w:rPr>
              <w:tab/>
            </w:r>
            <w:r w:rsidR="00704CFF" w:rsidRPr="001724FD">
              <w:rPr>
                <w:rStyle w:val="Hyperlink"/>
                <w:noProof/>
              </w:rPr>
              <w:t xml:space="preserve">Notice of an interim decision made under regulation 42ZCZN of the </w:t>
            </w:r>
            <w:r w:rsidR="00704CFF" w:rsidRPr="001724FD">
              <w:rPr>
                <w:rStyle w:val="Hyperlink"/>
                <w:i/>
                <w:noProof/>
              </w:rPr>
              <w:t>Therapeutic Goods Regulations 1990</w:t>
            </w:r>
            <w:r w:rsidR="00704CFF">
              <w:rPr>
                <w:noProof/>
                <w:webHidden/>
              </w:rPr>
              <w:tab/>
            </w:r>
            <w:r w:rsidR="00704CFF">
              <w:rPr>
                <w:noProof/>
                <w:webHidden/>
              </w:rPr>
              <w:fldChar w:fldCharType="begin"/>
            </w:r>
            <w:r w:rsidR="00704CFF">
              <w:rPr>
                <w:noProof/>
                <w:webHidden/>
              </w:rPr>
              <w:instrText xml:space="preserve"> PAGEREF _Toc49858552 \h </w:instrText>
            </w:r>
            <w:r w:rsidR="00704CFF">
              <w:rPr>
                <w:noProof/>
                <w:webHidden/>
              </w:rPr>
            </w:r>
            <w:r w:rsidR="00704CFF">
              <w:rPr>
                <w:noProof/>
                <w:webHidden/>
              </w:rPr>
              <w:fldChar w:fldCharType="separate"/>
            </w:r>
            <w:r w:rsidR="00704CFF">
              <w:rPr>
                <w:noProof/>
                <w:webHidden/>
              </w:rPr>
              <w:t>4</w:t>
            </w:r>
            <w:r w:rsidR="00704CFF">
              <w:rPr>
                <w:noProof/>
                <w:webHidden/>
              </w:rPr>
              <w:fldChar w:fldCharType="end"/>
            </w:r>
          </w:hyperlink>
        </w:p>
        <w:p w14:paraId="50B16F4D" w14:textId="351C3322" w:rsidR="00704CFF" w:rsidRDefault="00872D41">
          <w:pPr>
            <w:pStyle w:val="TOC2"/>
            <w:tabs>
              <w:tab w:val="left" w:pos="851"/>
            </w:tabs>
            <w:rPr>
              <w:rFonts w:asciiTheme="minorHAnsi" w:eastAsiaTheme="minorEastAsia" w:hAnsiTheme="minorHAnsi" w:cstheme="minorBidi"/>
              <w:noProof/>
              <w:szCs w:val="22"/>
              <w:lang w:eastAsia="en-AU"/>
            </w:rPr>
          </w:pPr>
          <w:hyperlink w:anchor="_Toc49858553" w:history="1">
            <w:r w:rsidR="00704CFF" w:rsidRPr="001724FD">
              <w:rPr>
                <w:rStyle w:val="Hyperlink"/>
                <w:noProof/>
              </w:rPr>
              <w:t>2</w:t>
            </w:r>
            <w:r w:rsidR="00704CFF">
              <w:rPr>
                <w:rFonts w:asciiTheme="minorHAnsi" w:eastAsiaTheme="minorEastAsia" w:hAnsiTheme="minorHAnsi" w:cstheme="minorBidi"/>
                <w:noProof/>
                <w:szCs w:val="22"/>
                <w:lang w:eastAsia="en-AU"/>
              </w:rPr>
              <w:tab/>
            </w:r>
            <w:r w:rsidR="00704CFF" w:rsidRPr="001724FD">
              <w:rPr>
                <w:rStyle w:val="Hyperlink"/>
                <w:noProof/>
              </w:rPr>
              <w:t>Interim decision on proposed amendments referred to the Advisory Committee on Medicines and Chemicals Scheduling in joint session (Joint ACMS-ACCS #25, June 2020)</w:t>
            </w:r>
            <w:r w:rsidR="00704CFF">
              <w:rPr>
                <w:noProof/>
                <w:webHidden/>
              </w:rPr>
              <w:tab/>
            </w:r>
            <w:r w:rsidR="00704CFF">
              <w:rPr>
                <w:noProof/>
                <w:webHidden/>
              </w:rPr>
              <w:fldChar w:fldCharType="begin"/>
            </w:r>
            <w:r w:rsidR="00704CFF">
              <w:rPr>
                <w:noProof/>
                <w:webHidden/>
              </w:rPr>
              <w:instrText xml:space="preserve"> PAGEREF _Toc49858553 \h </w:instrText>
            </w:r>
            <w:r w:rsidR="00704CFF">
              <w:rPr>
                <w:noProof/>
                <w:webHidden/>
              </w:rPr>
            </w:r>
            <w:r w:rsidR="00704CFF">
              <w:rPr>
                <w:noProof/>
                <w:webHidden/>
              </w:rPr>
              <w:fldChar w:fldCharType="separate"/>
            </w:r>
            <w:r w:rsidR="00704CFF">
              <w:rPr>
                <w:noProof/>
                <w:webHidden/>
              </w:rPr>
              <w:t>4</w:t>
            </w:r>
            <w:r w:rsidR="00704CFF">
              <w:rPr>
                <w:noProof/>
                <w:webHidden/>
              </w:rPr>
              <w:fldChar w:fldCharType="end"/>
            </w:r>
          </w:hyperlink>
        </w:p>
        <w:p w14:paraId="40AC4DD6" w14:textId="585E53AA" w:rsidR="0025660C" w:rsidRDefault="00872D41" w:rsidP="00EF472C">
          <w:pPr>
            <w:pStyle w:val="TOC3"/>
            <w:tabs>
              <w:tab w:val="left" w:pos="1701"/>
            </w:tabs>
          </w:pPr>
          <w:hyperlink w:anchor="_Toc49858554" w:history="1">
            <w:r w:rsidR="00704CFF" w:rsidRPr="001724FD">
              <w:rPr>
                <w:rStyle w:val="Hyperlink"/>
                <w:noProof/>
              </w:rPr>
              <w:t>2.1</w:t>
            </w:r>
            <w:r w:rsidR="00704CFF">
              <w:rPr>
                <w:rFonts w:asciiTheme="minorHAnsi" w:eastAsiaTheme="minorEastAsia" w:hAnsiTheme="minorHAnsi" w:cstheme="minorBidi"/>
                <w:noProof/>
                <w:sz w:val="22"/>
                <w:szCs w:val="22"/>
                <w:lang w:eastAsia="en-AU"/>
              </w:rPr>
              <w:tab/>
            </w:r>
            <w:r w:rsidR="00704CFF" w:rsidRPr="001724FD">
              <w:rPr>
                <w:rStyle w:val="Hyperlink"/>
                <w:noProof/>
              </w:rPr>
              <w:t>Interim decision in relation to nicotine</w:t>
            </w:r>
            <w:r w:rsidR="00704CFF">
              <w:rPr>
                <w:noProof/>
                <w:webHidden/>
              </w:rPr>
              <w:tab/>
            </w:r>
            <w:r w:rsidR="00704CFF">
              <w:rPr>
                <w:noProof/>
                <w:webHidden/>
              </w:rPr>
              <w:fldChar w:fldCharType="begin"/>
            </w:r>
            <w:r w:rsidR="00704CFF">
              <w:rPr>
                <w:noProof/>
                <w:webHidden/>
              </w:rPr>
              <w:instrText xml:space="preserve"> PAGEREF _Toc49858554 \h </w:instrText>
            </w:r>
            <w:r w:rsidR="00704CFF">
              <w:rPr>
                <w:noProof/>
                <w:webHidden/>
              </w:rPr>
            </w:r>
            <w:r w:rsidR="00704CFF">
              <w:rPr>
                <w:noProof/>
                <w:webHidden/>
              </w:rPr>
              <w:fldChar w:fldCharType="separate"/>
            </w:r>
            <w:r w:rsidR="00704CFF">
              <w:rPr>
                <w:noProof/>
                <w:webHidden/>
              </w:rPr>
              <w:t>4</w:t>
            </w:r>
            <w:r w:rsidR="00704CFF">
              <w:rPr>
                <w:noProof/>
                <w:webHidden/>
              </w:rPr>
              <w:fldChar w:fldCharType="end"/>
            </w:r>
          </w:hyperlink>
          <w:r w:rsidR="008D3724">
            <w:rPr>
              <w:sz w:val="32"/>
            </w:rPr>
            <w:fldChar w:fldCharType="end"/>
          </w:r>
        </w:p>
      </w:sdtContent>
    </w:sdt>
    <w:p w14:paraId="2D32ED20" w14:textId="47F7EB49" w:rsidR="0025660C" w:rsidRPr="009B574B" w:rsidRDefault="00597B50" w:rsidP="00BC2009">
      <w:pPr>
        <w:pStyle w:val="Heading2"/>
        <w:pageBreakBefore/>
        <w:ind w:left="431" w:hanging="431"/>
        <w:rPr>
          <w:i/>
        </w:rPr>
      </w:pPr>
      <w:bookmarkStart w:id="3" w:name="_Toc49858552"/>
      <w:bookmarkEnd w:id="2"/>
      <w:bookmarkEnd w:id="1"/>
      <w:bookmarkEnd w:id="0"/>
      <w:r w:rsidRPr="00597B50">
        <w:lastRenderedPageBreak/>
        <w:t>Not</w:t>
      </w:r>
      <w:r w:rsidR="00751D79">
        <w:t>ice of</w:t>
      </w:r>
      <w:r w:rsidR="007657F7">
        <w:t xml:space="preserve"> an</w:t>
      </w:r>
      <w:r w:rsidR="00751D79">
        <w:t xml:space="preserve"> interim decision</w:t>
      </w:r>
      <w:r w:rsidR="009B574B">
        <w:t xml:space="preserve"> made under </w:t>
      </w:r>
      <w:r w:rsidR="00673C5B">
        <w:t>r</w:t>
      </w:r>
      <w:r w:rsidR="009B574B">
        <w:t xml:space="preserve">egulation 42ZCZN of the </w:t>
      </w:r>
      <w:r w:rsidR="009B574B" w:rsidRPr="009B574B">
        <w:rPr>
          <w:i/>
        </w:rPr>
        <w:t>Therapeutic Goods Regulations 1990</w:t>
      </w:r>
      <w:bookmarkEnd w:id="3"/>
    </w:p>
    <w:tbl>
      <w:tblPr>
        <w:tblW w:w="8789" w:type="dxa"/>
        <w:tblLayout w:type="fixed"/>
        <w:tblCellMar>
          <w:left w:w="0" w:type="dxa"/>
          <w:right w:w="0" w:type="dxa"/>
        </w:tblCellMar>
        <w:tblLook w:val="04A0" w:firstRow="1" w:lastRow="0" w:firstColumn="1" w:lastColumn="0" w:noHBand="0" w:noVBand="1"/>
      </w:tblPr>
      <w:tblGrid>
        <w:gridCol w:w="8789"/>
      </w:tblGrid>
      <w:tr w:rsidR="00B96143" w:rsidRPr="00215D48" w14:paraId="2FB271EC" w14:textId="77777777" w:rsidTr="005743F2">
        <w:tc>
          <w:tcPr>
            <w:tcW w:w="8789" w:type="dxa"/>
            <w:shd w:val="clear" w:color="auto" w:fill="EAEAEA"/>
            <w:tcMar>
              <w:top w:w="170" w:type="dxa"/>
              <w:left w:w="170" w:type="dxa"/>
              <w:bottom w:w="170" w:type="dxa"/>
              <w:right w:w="170" w:type="dxa"/>
            </w:tcMar>
            <w:vAlign w:val="center"/>
          </w:tcPr>
          <w:p w14:paraId="2D54F7C8" w14:textId="27FAF0FF" w:rsidR="00B96143" w:rsidRPr="00215D48" w:rsidRDefault="00B96143" w:rsidP="00B96143">
            <w:r>
              <w:t xml:space="preserve">This invitation is limited to the delegate of the Secretary’s interim decision on nicotine and it is not concerned with the </w:t>
            </w:r>
            <w:hyperlink r:id="rId15" w:history="1">
              <w:r w:rsidRPr="004F293F">
                <w:rPr>
                  <w:rStyle w:val="Hyperlink"/>
                </w:rPr>
                <w:t>prohibition on importing e-cigarettes containing vaporiser nicotine</w:t>
              </w:r>
            </w:hyperlink>
            <w:r>
              <w:t>.</w:t>
            </w:r>
          </w:p>
        </w:tc>
      </w:tr>
    </w:tbl>
    <w:p w14:paraId="15BFAB0F" w14:textId="61E4D5E9" w:rsidR="009B574B" w:rsidRDefault="009B574B" w:rsidP="00B96143">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75122E65" w14:textId="77777777" w:rsidR="009B574B" w:rsidRPr="009B574B" w:rsidRDefault="000B4F44" w:rsidP="009B574B">
      <w:pPr>
        <w:pStyle w:val="ListBullet"/>
      </w:pPr>
      <w:r>
        <w:t>a</w:t>
      </w:r>
      <w:r w:rsidR="00751D79">
        <w:t>n</w:t>
      </w:r>
      <w:r w:rsidR="009B574B" w:rsidRPr="009B574B">
        <w:t xml:space="preserve"> interim decisio</w:t>
      </w:r>
      <w:r w:rsidR="00751D79">
        <w:t>n</w:t>
      </w:r>
      <w:r w:rsidR="009B574B" w:rsidRPr="009B574B">
        <w:t xml:space="preserve"> ma</w:t>
      </w:r>
      <w:r w:rsidR="009B574B" w:rsidRPr="00A86D4E">
        <w:t>de by a delegate of the Secretary under r</w:t>
      </w:r>
      <w:r w:rsidR="00A86D4E" w:rsidRPr="00A86D4E">
        <w:t xml:space="preserve">egulation 42ZCZN in relation to </w:t>
      </w:r>
      <w:r w:rsidR="00751D79">
        <w:t xml:space="preserve">a </w:t>
      </w:r>
      <w:r w:rsidR="009B574B" w:rsidRPr="00A86D4E">
        <w:t>p</w:t>
      </w:r>
      <w:r w:rsidR="00751D79">
        <w:t>roposed amendment</w:t>
      </w:r>
      <w:r w:rsidR="009B574B" w:rsidRPr="00A86D4E">
        <w:t xml:space="preserve"> to the cur</w:t>
      </w:r>
      <w:r w:rsidR="00751D79">
        <w:t>rent Poisons Standard</w:t>
      </w:r>
      <w:r>
        <w:t>,</w:t>
      </w:r>
      <w:r w:rsidR="00751D79">
        <w:t xml:space="preserve"> which was</w:t>
      </w:r>
      <w:r w:rsidR="009B574B" w:rsidRPr="00A86D4E">
        <w:t xml:space="preserve"> referred to an expert advisory committee under</w:t>
      </w:r>
      <w:r w:rsidR="00560F50">
        <w:t xml:space="preserve"> </w:t>
      </w:r>
      <w:r w:rsidR="00673C5B">
        <w:t>D</w:t>
      </w:r>
      <w:r w:rsidR="009B574B" w:rsidRPr="00A86D4E">
        <w:t xml:space="preserve">ivision 3D.2 of the Regulations in </w:t>
      </w:r>
      <w:r w:rsidR="00A86D4E" w:rsidRPr="00A86D4E">
        <w:t>June 2020</w:t>
      </w:r>
      <w:r w:rsidR="009B574B" w:rsidRPr="00A86D4E">
        <w:t>;</w:t>
      </w:r>
      <w:r>
        <w:t xml:space="preserve"> and</w:t>
      </w:r>
    </w:p>
    <w:p w14:paraId="558AD1A0" w14:textId="77777777" w:rsidR="009B574B" w:rsidRPr="009B574B" w:rsidRDefault="009B574B" w:rsidP="009B574B">
      <w:pPr>
        <w:pStyle w:val="ListBullet"/>
      </w:pPr>
      <w:r w:rsidRPr="009B574B">
        <w:t xml:space="preserve">the proposed date of effect of the proposed </w:t>
      </w:r>
      <w:r w:rsidR="00751D79">
        <w:t>amendment</w:t>
      </w:r>
      <w:r w:rsidRPr="00A86D4E">
        <w:t xml:space="preserve"> (in</w:t>
      </w:r>
      <w:r w:rsidRPr="009B574B">
        <w:t xml:space="preserve"> circumstances where the interim decision proposes an amendment to the current Poisons Standard).</w:t>
      </w:r>
    </w:p>
    <w:p w14:paraId="4998C78F" w14:textId="6F7DEF7E" w:rsidR="009B574B" w:rsidRDefault="009B574B" w:rsidP="00B96143">
      <w:r>
        <w:t>In accordance with regulation 42ZCZP, i</w:t>
      </w:r>
      <w:r w:rsidRPr="004B78E1">
        <w:t xml:space="preserve">nterested persons </w:t>
      </w:r>
      <w:r>
        <w:t xml:space="preserve">(including </w:t>
      </w:r>
      <w:r w:rsidRPr="00A86D4E">
        <w:t>the applicant requesting the amendment) are invited to make submissions to the Secretary in relation to th</w:t>
      </w:r>
      <w:r w:rsidR="000B4F44">
        <w:t xml:space="preserve">is </w:t>
      </w:r>
      <w:r w:rsidRPr="00A86D4E">
        <w:t>interim</w:t>
      </w:r>
      <w:r>
        <w:t xml:space="preserve"> decis</w:t>
      </w:r>
      <w:r w:rsidRPr="00A86D4E">
        <w:t>ion on</w:t>
      </w:r>
      <w:r>
        <w:t xml:space="preserve"> or before </w:t>
      </w:r>
      <w:r w:rsidR="00872D41">
        <w:rPr>
          <w:b/>
        </w:rPr>
        <w:t>12</w:t>
      </w:r>
      <w:bookmarkStart w:id="4" w:name="_GoBack"/>
      <w:bookmarkEnd w:id="4"/>
      <w:r w:rsidR="00751D79">
        <w:rPr>
          <w:b/>
        </w:rPr>
        <w:t xml:space="preserve"> </w:t>
      </w:r>
      <w:r w:rsidR="008A6D62">
        <w:rPr>
          <w:b/>
        </w:rPr>
        <w:t xml:space="preserve">November </w:t>
      </w:r>
      <w:r w:rsidR="00A86D4E" w:rsidRPr="00B7518E">
        <w:rPr>
          <w:b/>
        </w:rPr>
        <w:t>2020.</w:t>
      </w:r>
    </w:p>
    <w:p w14:paraId="052C8A07" w14:textId="6FF1FDC0" w:rsidR="00ED5D05" w:rsidRDefault="009B574B" w:rsidP="00B96143">
      <w:r>
        <w:t>Please note that in accordance with subregulation 42ZCZQ(4) of the Regulations, the Secretary must publish all relevant submissions received, unless the Secretary considers the information to be confidential information.</w:t>
      </w:r>
    </w:p>
    <w:tbl>
      <w:tblPr>
        <w:tblW w:w="8789" w:type="dxa"/>
        <w:tblLayout w:type="fixed"/>
        <w:tblCellMar>
          <w:left w:w="0" w:type="dxa"/>
          <w:right w:w="0" w:type="dxa"/>
        </w:tblCellMar>
        <w:tblLook w:val="04A0" w:firstRow="1" w:lastRow="0" w:firstColumn="1" w:lastColumn="0" w:noHBand="0" w:noVBand="1"/>
      </w:tblPr>
      <w:tblGrid>
        <w:gridCol w:w="8789"/>
      </w:tblGrid>
      <w:tr w:rsidR="00B96143" w:rsidRPr="00215D48" w14:paraId="7D1A9B61" w14:textId="77777777" w:rsidTr="005743F2">
        <w:tc>
          <w:tcPr>
            <w:tcW w:w="8789" w:type="dxa"/>
            <w:shd w:val="clear" w:color="auto" w:fill="EAEAEA"/>
            <w:tcMar>
              <w:top w:w="170" w:type="dxa"/>
              <w:left w:w="170" w:type="dxa"/>
              <w:bottom w:w="170" w:type="dxa"/>
              <w:right w:w="170" w:type="dxa"/>
            </w:tcMar>
            <w:vAlign w:val="center"/>
          </w:tcPr>
          <w:p w14:paraId="49791B5A" w14:textId="77777777" w:rsidR="003240FE" w:rsidRPr="00F46CB7" w:rsidRDefault="003240FE" w:rsidP="003240FE">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0380BE8B" w14:textId="39226BF0" w:rsidR="00B96143" w:rsidRPr="00215D48" w:rsidRDefault="003240FE" w:rsidP="003240FE">
            <w:r w:rsidRPr="00150EDF">
              <w:rPr>
                <w:rFonts w:eastAsia="Times New Roman"/>
                <w:color w:val="000000"/>
                <w:lang w:val="en" w:eastAsia="en-AU"/>
              </w:rPr>
              <w:t xml:space="preserve">Submissions now should be provided through our </w:t>
            </w:r>
            <w:hyperlink r:id="rId16" w:tgtFrame="_blank" w:history="1">
              <w:r w:rsidRPr="00150EDF">
                <w:rPr>
                  <w:rFonts w:eastAsia="Times New Roman"/>
                  <w:color w:val="006EAB"/>
                  <w:u w:val="single"/>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tc>
      </w:tr>
    </w:tbl>
    <w:p w14:paraId="562348C2" w14:textId="228861AC" w:rsidR="0052115F" w:rsidRDefault="0052115F" w:rsidP="0052115F">
      <w:pPr>
        <w:rPr>
          <w:rFonts w:asciiTheme="minorHAnsi" w:hAnsiTheme="minorHAnsi"/>
        </w:rPr>
      </w:pPr>
      <w:r>
        <w:rPr>
          <w:rFonts w:asciiTheme="minorHAnsi" w:hAnsiTheme="minorHAnsi"/>
        </w:rPr>
        <w:t>Please note that in accordance with subregulation 42ZCZQ(4) of the Regulations, the Secretary must publish all relevant submissions received, unless the Secretary considers the information to be confidential information.</w:t>
      </w:r>
    </w:p>
    <w:p w14:paraId="22AB25DA" w14:textId="77777777" w:rsidR="0052115F" w:rsidRPr="00C6438F" w:rsidRDefault="0052115F" w:rsidP="0052115F">
      <w:pPr>
        <w:keepNext/>
        <w:spacing w:before="24" w:after="72" w:line="240" w:lineRule="auto"/>
        <w:outlineLvl w:val="2"/>
        <w:rPr>
          <w:rFonts w:ascii="Verdana" w:eastAsia="Times New Roman" w:hAnsi="Verdana" w:cs="Helvetica"/>
          <w:b/>
          <w:bCs/>
          <w:color w:val="00264C"/>
          <w:lang w:val="en" w:eastAsia="en-AU"/>
        </w:rPr>
      </w:pPr>
      <w:bookmarkStart w:id="5" w:name="_Toc50384334"/>
      <w:r w:rsidRPr="00C6438F">
        <w:rPr>
          <w:rFonts w:ascii="Verdana" w:eastAsia="Times New Roman" w:hAnsi="Verdana" w:cs="Helvetica"/>
          <w:b/>
          <w:bCs/>
          <w:color w:val="00264C"/>
          <w:lang w:val="en" w:eastAsia="en-AU"/>
        </w:rPr>
        <w:t>How to respond</w:t>
      </w:r>
      <w:bookmarkEnd w:id="5"/>
    </w:p>
    <w:p w14:paraId="1AD7DAD7" w14:textId="77777777" w:rsidR="0052115F" w:rsidRPr="00C6438F" w:rsidRDefault="0052115F" w:rsidP="0052115F">
      <w:pPr>
        <w:spacing w:after="120" w:line="240" w:lineRule="auto"/>
        <w:rPr>
          <w:rFonts w:eastAsia="Times New Roman"/>
          <w:color w:val="000000"/>
          <w:lang w:val="en" w:eastAsia="en-AU"/>
        </w:rPr>
      </w:pPr>
      <w:r w:rsidRPr="00C6438F">
        <w:rPr>
          <w:rFonts w:eastAsia="Times New Roman"/>
          <w:color w:val="000000"/>
          <w:lang w:val="en" w:eastAsia="en-AU"/>
        </w:rPr>
        <w:t>We have changed the way to make submissions.</w:t>
      </w:r>
    </w:p>
    <w:p w14:paraId="65F317E2" w14:textId="02A0BDCF" w:rsidR="0052115F" w:rsidRPr="00C6438F" w:rsidRDefault="0052115F" w:rsidP="0052115F">
      <w:pPr>
        <w:spacing w:after="120" w:line="240" w:lineRule="auto"/>
        <w:rPr>
          <w:rFonts w:eastAsia="Times New Roman"/>
          <w:color w:val="000000"/>
          <w:lang w:val="en" w:eastAsia="en-AU"/>
        </w:rPr>
      </w:pPr>
      <w:r w:rsidRPr="00C6438F">
        <w:rPr>
          <w:rFonts w:eastAsia="Times New Roman"/>
          <w:color w:val="000000"/>
          <w:lang w:val="en" w:eastAsia="en-AU"/>
        </w:rPr>
        <w:t xml:space="preserve">Go to our </w:t>
      </w:r>
      <w:hyperlink r:id="rId17" w:tgtFrame="_blank" w:history="1">
        <w:r w:rsidRPr="00C6438F">
          <w:rPr>
            <w:rFonts w:eastAsia="Times New Roman"/>
            <w:color w:val="006EAB"/>
            <w:u w:val="single"/>
            <w:lang w:val="en" w:eastAsia="en-AU"/>
          </w:rPr>
          <w:t xml:space="preserve">consultation </w:t>
        </w:r>
        <w:r>
          <w:rPr>
            <w:rFonts w:eastAsia="Times New Roman"/>
            <w:color w:val="006EAB"/>
            <w:u w:val="single"/>
            <w:lang w:val="en" w:eastAsia="en-AU"/>
          </w:rPr>
          <w:t>page</w:t>
        </w:r>
      </w:hyperlink>
      <w:r w:rsidRPr="00C6438F">
        <w:rPr>
          <w:rFonts w:eastAsia="Times New Roman"/>
          <w:color w:val="000000"/>
          <w:lang w:val="en" w:eastAsia="en-AU"/>
        </w:rPr>
        <w:t xml:space="preserve"> to make a submission about the</w:t>
      </w:r>
      <w:r>
        <w:rPr>
          <w:rFonts w:eastAsia="Times New Roman"/>
          <w:color w:val="000000"/>
          <w:lang w:val="en" w:eastAsia="en-AU"/>
        </w:rPr>
        <w:t>se</w:t>
      </w:r>
      <w:r w:rsidRPr="00C6438F">
        <w:rPr>
          <w:rFonts w:eastAsia="Times New Roman"/>
          <w:color w:val="000000"/>
          <w:lang w:val="en" w:eastAsia="en-AU"/>
        </w:rPr>
        <w:t xml:space="preserve"> proposals to amend the Poisons Standard.</w:t>
      </w:r>
    </w:p>
    <w:p w14:paraId="38C63695" w14:textId="22584BD5" w:rsidR="0052115F" w:rsidRPr="0052115F" w:rsidRDefault="0052115F" w:rsidP="0052115F">
      <w:pPr>
        <w:spacing w:after="120" w:line="240" w:lineRule="auto"/>
        <w:rPr>
          <w:rFonts w:eastAsia="Times New Roman"/>
          <w:color w:val="000000"/>
          <w:lang w:val="en" w:eastAsia="en-AU"/>
        </w:rPr>
      </w:pPr>
      <w:r w:rsidRPr="00C6438F">
        <w:rPr>
          <w:rFonts w:eastAsia="Times New Roman"/>
          <w:color w:val="000000"/>
          <w:lang w:val="en" w:eastAsia="en-AU"/>
        </w:rPr>
        <w:t xml:space="preserve">If you have difficulty accessing the consultation hub or uploading your submission, contact </w:t>
      </w:r>
      <w:hyperlink r:id="rId18" w:tooltip="email link" w:history="1">
        <w:r w:rsidRPr="00C6438F">
          <w:rPr>
            <w:rFonts w:eastAsia="Times New Roman"/>
            <w:color w:val="006EAB"/>
            <w:u w:val="single"/>
            <w:lang w:val="en" w:eastAsia="en-AU"/>
          </w:rPr>
          <w:t>medicines.scheduling@health.gov.au</w:t>
        </w:r>
      </w:hyperlink>
      <w:r w:rsidRPr="00C6438F">
        <w:rPr>
          <w:rFonts w:eastAsia="Times New Roman"/>
          <w:color w:val="000000"/>
          <w:lang w:val="en" w:eastAsia="en-AU"/>
        </w:rPr>
        <w:t xml:space="preserve"> and include '</w:t>
      </w:r>
      <w:r>
        <w:rPr>
          <w:rFonts w:eastAsia="Times New Roman"/>
          <w:color w:val="000000"/>
          <w:lang w:val="en" w:eastAsia="en-AU"/>
        </w:rPr>
        <w:t>Public submission – interim decision on Nicotine</w:t>
      </w:r>
      <w:r w:rsidRPr="00C6438F">
        <w:rPr>
          <w:rFonts w:eastAsia="Times New Roman"/>
          <w:color w:val="000000"/>
          <w:lang w:val="en" w:eastAsia="en-AU"/>
        </w:rPr>
        <w:t>' in the subject line of the email.</w:t>
      </w:r>
    </w:p>
    <w:p w14:paraId="18B7D030" w14:textId="77777777" w:rsidR="0015522E" w:rsidRPr="00F41DCE" w:rsidRDefault="007657F7" w:rsidP="00953F2E">
      <w:pPr>
        <w:pStyle w:val="Heading2"/>
      </w:pPr>
      <w:bookmarkStart w:id="6" w:name="_Toc47103709"/>
      <w:bookmarkStart w:id="7" w:name="_Toc49858553"/>
      <w:r>
        <w:lastRenderedPageBreak/>
        <w:t xml:space="preserve">Interim decision </w:t>
      </w:r>
      <w:r w:rsidR="0015522E" w:rsidRPr="00FA029A">
        <w:t xml:space="preserve">on proposed amendments referred to the </w:t>
      </w:r>
      <w:r w:rsidR="0015522E" w:rsidRPr="00F41DCE">
        <w:t>Advisory Committee on Medicines and Chemicals Scheduling in jo</w:t>
      </w:r>
      <w:r w:rsidR="0015522E">
        <w:t>int session (J</w:t>
      </w:r>
      <w:r w:rsidR="0015522E" w:rsidRPr="008A0B3E">
        <w:t>oint ACMS-ACCS #</w:t>
      </w:r>
      <w:r w:rsidR="008A0B3E" w:rsidRPr="008A0B3E">
        <w:t>25</w:t>
      </w:r>
      <w:r w:rsidR="0015522E" w:rsidRPr="008A0B3E">
        <w:t>,</w:t>
      </w:r>
      <w:r w:rsidR="0015522E">
        <w:t xml:space="preserve"> </w:t>
      </w:r>
      <w:r w:rsidR="008A0B3E">
        <w:t>June 2020</w:t>
      </w:r>
      <w:r w:rsidR="0015522E" w:rsidRPr="00F41DCE">
        <w:t>)</w:t>
      </w:r>
      <w:bookmarkEnd w:id="6"/>
      <w:bookmarkEnd w:id="7"/>
    </w:p>
    <w:p w14:paraId="5EBA8A44" w14:textId="77777777" w:rsidR="004F50C4" w:rsidRDefault="004F50C4" w:rsidP="003E50C8">
      <w:pPr>
        <w:pStyle w:val="Heading3"/>
      </w:pPr>
      <w:bookmarkStart w:id="8" w:name="_Toc49858554"/>
      <w:r>
        <w:t>I</w:t>
      </w:r>
      <w:r w:rsidR="003E50C8">
        <w:t>nterim decision in relation to nicotine</w:t>
      </w:r>
      <w:bookmarkEnd w:id="8"/>
    </w:p>
    <w:p w14:paraId="355741D3" w14:textId="66E1FD43" w:rsidR="004F50C4" w:rsidRPr="003240FE" w:rsidRDefault="003240FE" w:rsidP="00724E11">
      <w:pPr>
        <w:pStyle w:val="Heading4"/>
      </w:pPr>
      <w:r w:rsidRPr="003240FE">
        <w:t>Interim decision</w:t>
      </w:r>
    </w:p>
    <w:p w14:paraId="6F84FD70" w14:textId="212E7EF6" w:rsidR="004F50C4" w:rsidRDefault="004F50C4" w:rsidP="004F50C4">
      <w:r w:rsidRPr="00C55FF4">
        <w:t xml:space="preserve">Pursuant to regulation 42ZCZN of the Regulations, a </w:t>
      </w:r>
      <w:r w:rsidR="000B4F44">
        <w:t>d</w:t>
      </w:r>
      <w:r w:rsidRPr="00C55FF4">
        <w:t xml:space="preserve">elegate of the Secretary has, in relation to the </w:t>
      </w:r>
      <w:hyperlink r:id="rId19" w:history="1">
        <w:r w:rsidRPr="00DD17DA">
          <w:rPr>
            <w:rStyle w:val="Hyperlink"/>
          </w:rPr>
          <w:t>proposed amendment</w:t>
        </w:r>
      </w:hyperlink>
      <w:r w:rsidR="000B4F44">
        <w:rPr>
          <w:rStyle w:val="Hyperlink"/>
        </w:rPr>
        <w:t>s</w:t>
      </w:r>
      <w:r w:rsidRPr="00C55FF4">
        <w:t xml:space="preserve">, made an interim </w:t>
      </w:r>
      <w:r w:rsidRPr="00DD17DA">
        <w:t>decision to amend the current Poisons Sta</w:t>
      </w:r>
      <w:r w:rsidR="008A0B3E" w:rsidRPr="00DD17DA">
        <w:t>ndard in relation to nicotine</w:t>
      </w:r>
      <w:r w:rsidRPr="00DD17DA">
        <w:t xml:space="preserve"> as follows:</w:t>
      </w:r>
    </w:p>
    <w:p w14:paraId="66BFD09C" w14:textId="1EA8E47C" w:rsidR="00DE2445" w:rsidRPr="008E5D40" w:rsidRDefault="00DE2445" w:rsidP="00DE2445">
      <w:pPr>
        <w:ind w:left="426"/>
        <w:rPr>
          <w:b/>
        </w:rPr>
      </w:pPr>
      <w:r w:rsidRPr="008E5D40">
        <w:rPr>
          <w:b/>
        </w:rPr>
        <w:t>Schedule 7</w:t>
      </w:r>
      <w:r w:rsidR="003240FE">
        <w:rPr>
          <w:b/>
        </w:rPr>
        <w:t xml:space="preserve"> – Amend Entry</w:t>
      </w:r>
    </w:p>
    <w:p w14:paraId="67B2D081" w14:textId="77777777" w:rsidR="00DE2445" w:rsidRDefault="00DE2445" w:rsidP="00DE2445">
      <w:pPr>
        <w:ind w:left="426"/>
      </w:pPr>
      <w:r>
        <w:t>NICOTINE</w:t>
      </w:r>
      <w:r w:rsidRPr="00A346FC">
        <w:t xml:space="preserve"> </w:t>
      </w:r>
      <w:r w:rsidRPr="008E5D40">
        <w:rPr>
          <w:b/>
        </w:rPr>
        <w:t>except</w:t>
      </w:r>
      <w:r>
        <w:t>:</w:t>
      </w:r>
    </w:p>
    <w:p w14:paraId="51F5CAEA" w14:textId="77777777" w:rsidR="00DE2445" w:rsidRPr="00DE2445" w:rsidRDefault="00DE2445" w:rsidP="00DE2445">
      <w:pPr>
        <w:pStyle w:val="ListBulleta"/>
        <w:rPr>
          <w:strike/>
          <w:color w:val="FF0000"/>
        </w:rPr>
      </w:pPr>
      <w:r w:rsidRPr="00DE2445">
        <w:rPr>
          <w:strike/>
          <w:color w:val="FF0000"/>
        </w:rPr>
        <w:t>when included in Schedule 6;</w:t>
      </w:r>
    </w:p>
    <w:p w14:paraId="5D765BFB" w14:textId="47625163" w:rsidR="00DE2445" w:rsidRDefault="00DE2445" w:rsidP="00DE2445">
      <w:pPr>
        <w:pStyle w:val="ListBulleta"/>
        <w:numPr>
          <w:ilvl w:val="0"/>
          <w:numId w:val="26"/>
        </w:numPr>
        <w:rPr>
          <w:color w:val="FF0000"/>
        </w:rPr>
      </w:pPr>
      <w:r w:rsidRPr="00DE2445">
        <w:rPr>
          <w:color w:val="FF0000"/>
        </w:rPr>
        <w:t>when included in Schedule 4; or</w:t>
      </w:r>
    </w:p>
    <w:p w14:paraId="047E972D" w14:textId="77777777" w:rsidR="00DE2445" w:rsidRDefault="00DE2445" w:rsidP="00DE2445">
      <w:pPr>
        <w:pStyle w:val="ListBulleta"/>
        <w:numPr>
          <w:ilvl w:val="0"/>
          <w:numId w:val="26"/>
        </w:numPr>
      </w:pPr>
      <w:r w:rsidRPr="00DE2445">
        <w:t xml:space="preserve">in preparations for </w:t>
      </w:r>
      <w:r w:rsidRPr="00DE2445">
        <w:rPr>
          <w:color w:val="FF0000"/>
        </w:rPr>
        <w:t xml:space="preserve">oromucosal or transdermal administration for </w:t>
      </w:r>
      <w:r w:rsidRPr="00DE2445">
        <w:t xml:space="preserve">human therapeutic use </w:t>
      </w:r>
      <w:r w:rsidRPr="00DE2445">
        <w:rPr>
          <w:color w:val="FF0000"/>
        </w:rPr>
        <w:t>as an aid in withdrawal from tobacco smoking</w:t>
      </w:r>
      <w:r w:rsidRPr="00DE2445">
        <w:t>; or</w:t>
      </w:r>
    </w:p>
    <w:p w14:paraId="24E9A62B" w14:textId="2628C0F1" w:rsidR="00DE2445" w:rsidRPr="00A346FC" w:rsidRDefault="00DE2445" w:rsidP="00DE2445">
      <w:pPr>
        <w:pStyle w:val="ListBulleta"/>
        <w:numPr>
          <w:ilvl w:val="0"/>
          <w:numId w:val="26"/>
        </w:numPr>
      </w:pPr>
      <w:r>
        <w:t>in tobacco prepared and packed for smoking.</w:t>
      </w:r>
    </w:p>
    <w:p w14:paraId="32988CCC" w14:textId="780C6393" w:rsidR="00DE2445" w:rsidRPr="008E5D40" w:rsidRDefault="00DE2445" w:rsidP="00DE2445">
      <w:pPr>
        <w:ind w:left="426"/>
        <w:rPr>
          <w:b/>
        </w:rPr>
      </w:pPr>
      <w:r w:rsidRPr="008E5D40">
        <w:rPr>
          <w:b/>
        </w:rPr>
        <w:t>Schedule 6</w:t>
      </w:r>
      <w:r w:rsidR="00E32B33">
        <w:rPr>
          <w:b/>
        </w:rPr>
        <w:t xml:space="preserve"> – Amend Entry</w:t>
      </w:r>
    </w:p>
    <w:p w14:paraId="215E4B66" w14:textId="77777777" w:rsidR="00DE2445" w:rsidRPr="00F31C65" w:rsidRDefault="00DE2445" w:rsidP="00DE2445">
      <w:pPr>
        <w:ind w:left="426"/>
        <w:rPr>
          <w:strike/>
          <w:color w:val="FF0000"/>
        </w:rPr>
      </w:pPr>
      <w:r w:rsidRPr="00F31C65">
        <w:rPr>
          <w:strike/>
          <w:color w:val="FF0000"/>
        </w:rPr>
        <w:t>NICOTINE in preparations containing 3 per cent or less of nicotine when labelled and packed for the treatment of animals.</w:t>
      </w:r>
    </w:p>
    <w:p w14:paraId="397F4100" w14:textId="2F1A6469" w:rsidR="00DE2445" w:rsidRPr="008E5D40" w:rsidRDefault="00DE2445" w:rsidP="00F85A2D">
      <w:pPr>
        <w:keepNext/>
        <w:keepLines/>
        <w:ind w:left="426"/>
        <w:rPr>
          <w:b/>
        </w:rPr>
      </w:pPr>
      <w:r w:rsidRPr="008E5D40">
        <w:rPr>
          <w:b/>
        </w:rPr>
        <w:t>Schedule 4</w:t>
      </w:r>
      <w:r w:rsidR="00E32B33">
        <w:rPr>
          <w:b/>
        </w:rPr>
        <w:t xml:space="preserve"> – Amend Entry</w:t>
      </w:r>
    </w:p>
    <w:p w14:paraId="61ED78A3" w14:textId="77777777" w:rsidR="00DE2445" w:rsidRDefault="00DE2445" w:rsidP="00F85A2D">
      <w:pPr>
        <w:keepNext/>
        <w:keepLines/>
        <w:ind w:left="426"/>
      </w:pPr>
      <w:r w:rsidRPr="00A346FC">
        <w:t xml:space="preserve">NICOTINE in preparations for human </w:t>
      </w:r>
      <w:r w:rsidRPr="00F31C65">
        <w:rPr>
          <w:strike/>
          <w:color w:val="FF0000"/>
        </w:rPr>
        <w:t xml:space="preserve">therapeutic </w:t>
      </w:r>
      <w:r w:rsidRPr="00A346FC">
        <w:t xml:space="preserve">use </w:t>
      </w:r>
      <w:r w:rsidRPr="008E5D40">
        <w:rPr>
          <w:b/>
        </w:rPr>
        <w:t>except</w:t>
      </w:r>
      <w:r w:rsidRPr="006B4506">
        <w:rPr>
          <w:color w:val="FF0000"/>
        </w:rPr>
        <w:t>:</w:t>
      </w:r>
    </w:p>
    <w:p w14:paraId="730783E7" w14:textId="77777777" w:rsidR="00DE2445" w:rsidRPr="00DE2445" w:rsidRDefault="00DE2445" w:rsidP="00F85A2D">
      <w:pPr>
        <w:pStyle w:val="ListBulleta"/>
        <w:keepNext/>
        <w:keepLines/>
        <w:numPr>
          <w:ilvl w:val="0"/>
          <w:numId w:val="27"/>
        </w:numPr>
        <w:rPr>
          <w:strike/>
          <w:color w:val="FF0000"/>
        </w:rPr>
      </w:pPr>
      <w:r w:rsidRPr="00DE2445">
        <w:rPr>
          <w:color w:val="FF0000"/>
        </w:rPr>
        <w:t xml:space="preserve">in preparations for oromucosal or transdermal administration </w:t>
      </w:r>
      <w:r w:rsidRPr="00A346FC">
        <w:t xml:space="preserve">for </w:t>
      </w:r>
      <w:r w:rsidRPr="00DE2445">
        <w:rPr>
          <w:color w:val="FF0000"/>
        </w:rPr>
        <w:t xml:space="preserve">human therapeutic </w:t>
      </w:r>
      <w:r w:rsidRPr="00A346FC">
        <w:t xml:space="preserve">use as an aid in withdrawal from tobacco smoking </w:t>
      </w:r>
      <w:r w:rsidRPr="00DE2445">
        <w:rPr>
          <w:strike/>
          <w:color w:val="FF0000"/>
        </w:rPr>
        <w:t>in preparations for oromucosal or transdermal use.</w:t>
      </w:r>
      <w:r w:rsidRPr="00DE2445">
        <w:rPr>
          <w:color w:val="FF0000"/>
        </w:rPr>
        <w:t>; or</w:t>
      </w:r>
    </w:p>
    <w:p w14:paraId="3E3C38D9" w14:textId="312ED7CE" w:rsidR="007A19FE" w:rsidRPr="00DE2445" w:rsidRDefault="00DE2445" w:rsidP="00F85A2D">
      <w:pPr>
        <w:pStyle w:val="ListBulleta"/>
        <w:keepNext/>
        <w:keepLines/>
        <w:numPr>
          <w:ilvl w:val="0"/>
          <w:numId w:val="27"/>
        </w:numPr>
        <w:rPr>
          <w:strike/>
        </w:rPr>
      </w:pPr>
      <w:r w:rsidRPr="00DE2445">
        <w:rPr>
          <w:color w:val="FF0000"/>
        </w:rPr>
        <w:t>in tobacco prepared and packed for smoking.</w:t>
      </w:r>
    </w:p>
    <w:p w14:paraId="275DB1BA" w14:textId="11DA0481" w:rsidR="007A19FE" w:rsidRPr="00600BB8" w:rsidRDefault="003240FE" w:rsidP="007A19FE">
      <w:pPr>
        <w:spacing w:before="180"/>
        <w:ind w:left="720"/>
        <w:rPr>
          <w:b/>
        </w:rPr>
      </w:pPr>
      <w:r>
        <w:rPr>
          <w:b/>
        </w:rPr>
        <w:t>Appendix D, Item 5 – New Entry</w:t>
      </w:r>
    </w:p>
    <w:p w14:paraId="5077FEB1" w14:textId="77777777" w:rsidR="00195525" w:rsidRDefault="007A19FE" w:rsidP="00195525">
      <w:pPr>
        <w:ind w:left="720"/>
        <w:rPr>
          <w:color w:val="FF0000"/>
        </w:rPr>
      </w:pPr>
      <w:r w:rsidRPr="00600BB8">
        <w:rPr>
          <w:color w:val="FF0000"/>
        </w:rPr>
        <w:t>Nicotine</w:t>
      </w:r>
    </w:p>
    <w:p w14:paraId="2672A924" w14:textId="77777777" w:rsidR="00195525" w:rsidRDefault="00195525" w:rsidP="00195525">
      <w:pPr>
        <w:ind w:left="720"/>
      </w:pPr>
      <w:r w:rsidRPr="00195525">
        <w:t>(</w:t>
      </w:r>
      <w:r>
        <w:t xml:space="preserve">Secretariat note: </w:t>
      </w:r>
      <w:r w:rsidR="000F628C">
        <w:t>the Appendix D listing</w:t>
      </w:r>
      <w:r w:rsidRPr="00195525">
        <w:t xml:space="preserve"> </w:t>
      </w:r>
      <w:r w:rsidR="000B4F44">
        <w:t xml:space="preserve">applies </w:t>
      </w:r>
      <w:r w:rsidR="000F628C">
        <w:t xml:space="preserve">only </w:t>
      </w:r>
      <w:r w:rsidR="000B4F44">
        <w:t xml:space="preserve">in relation </w:t>
      </w:r>
      <w:r w:rsidR="000F628C">
        <w:t xml:space="preserve">to </w:t>
      </w:r>
      <w:r w:rsidR="00397A82">
        <w:t xml:space="preserve">preparations included in </w:t>
      </w:r>
      <w:r w:rsidR="000F628C">
        <w:t xml:space="preserve">the </w:t>
      </w:r>
      <w:r w:rsidRPr="00195525">
        <w:t>Schedule 4 nicotine entry</w:t>
      </w:r>
      <w:r>
        <w:t>)</w:t>
      </w:r>
    </w:p>
    <w:p w14:paraId="17CF7F94" w14:textId="290B9BEB" w:rsidR="00B2312F" w:rsidRPr="003240FE" w:rsidRDefault="005A1F9F" w:rsidP="00724E11">
      <w:pPr>
        <w:pStyle w:val="Heading4"/>
      </w:pPr>
      <w:r w:rsidRPr="003240FE">
        <w:t>The Delegate additionally seeks comments on child resistant closures for liquid nicotine products</w:t>
      </w:r>
    </w:p>
    <w:p w14:paraId="0E5E1EC5" w14:textId="3F54171A" w:rsidR="00B2312F" w:rsidRDefault="00B2312F" w:rsidP="00B2312F">
      <w:r>
        <w:t xml:space="preserve">I note the advice of the Joint ACMS-ACCS #25, which raised a need to address the risk of accidental exposure </w:t>
      </w:r>
      <w:r w:rsidR="006D6DAA">
        <w:t>to</w:t>
      </w:r>
      <w:r w:rsidR="00560F50">
        <w:t xml:space="preserve"> </w:t>
      </w:r>
      <w:r>
        <w:t xml:space="preserve">or ingestion </w:t>
      </w:r>
      <w:r w:rsidR="006D6DAA">
        <w:t xml:space="preserve">of </w:t>
      </w:r>
      <w:r w:rsidRPr="004021C9">
        <w:t>liquid nicotine</w:t>
      </w:r>
      <w:r w:rsidR="000B4F44">
        <w:t>,</w:t>
      </w:r>
      <w:r w:rsidRPr="004021C9">
        <w:t xml:space="preserve"> which are primarily used</w:t>
      </w:r>
      <w:r>
        <w:t xml:space="preserve"> with e-cigarettes.  Of particular concern was </w:t>
      </w:r>
      <w:r w:rsidRPr="00F65377">
        <w:t>the death of a toddler in Victoria</w:t>
      </w:r>
      <w:r>
        <w:t xml:space="preserve"> following the ingestion of </w:t>
      </w:r>
      <w:r w:rsidRPr="00F65377">
        <w:t xml:space="preserve">liquid nicotine in </w:t>
      </w:r>
      <w:hyperlink r:id="rId20" w:history="1">
        <w:r w:rsidRPr="00F65377">
          <w:rPr>
            <w:rStyle w:val="Hyperlink"/>
          </w:rPr>
          <w:t>May 2018</w:t>
        </w:r>
      </w:hyperlink>
      <w:r w:rsidRPr="00F65377">
        <w:t>.</w:t>
      </w:r>
      <w:r>
        <w:t xml:space="preserve"> I have considered the</w:t>
      </w:r>
      <w:r w:rsidR="000B4F44">
        <w:t xml:space="preserve"> legislative instrument,</w:t>
      </w:r>
      <w:r w:rsidR="00560F50">
        <w:t xml:space="preserve"> </w:t>
      </w:r>
      <w:hyperlink r:id="rId21" w:history="1">
        <w:r w:rsidR="00560F50" w:rsidRPr="00560F50">
          <w:rPr>
            <w:rStyle w:val="Hyperlink"/>
            <w:i/>
          </w:rPr>
          <w:t>Therapeutic Goods Order No.</w:t>
        </w:r>
        <w:r w:rsidR="003240FE">
          <w:rPr>
            <w:rStyle w:val="Hyperlink"/>
            <w:i/>
          </w:rPr>
          <w:t> </w:t>
        </w:r>
        <w:r w:rsidR="00560F50" w:rsidRPr="00560F50">
          <w:rPr>
            <w:rStyle w:val="Hyperlink"/>
            <w:i/>
          </w:rPr>
          <w:t>95 - Child-resistant packaging requirements for medicines 2017</w:t>
        </w:r>
      </w:hyperlink>
      <w:r>
        <w:t xml:space="preserve"> (</w:t>
      </w:r>
      <w:r w:rsidRPr="00560F50">
        <w:rPr>
          <w:b/>
        </w:rPr>
        <w:t>TGO 95</w:t>
      </w:r>
      <w:r>
        <w:t xml:space="preserve">), which </w:t>
      </w:r>
      <w:r w:rsidRPr="00852BE5">
        <w:t>set</w:t>
      </w:r>
      <w:r>
        <w:t>s out</w:t>
      </w:r>
      <w:r w:rsidRPr="00852BE5">
        <w:t xml:space="preserve"> particular requirements </w:t>
      </w:r>
      <w:r w:rsidR="000B4F44">
        <w:t>in relation to</w:t>
      </w:r>
      <w:r w:rsidR="000B4F44" w:rsidRPr="00852BE5">
        <w:t xml:space="preserve"> </w:t>
      </w:r>
      <w:r w:rsidRPr="00852BE5">
        <w:t xml:space="preserve">the packaging of medicines that present a significant risk of toxicity to children if accidentally ingested. These requirements describe packaging that is </w:t>
      </w:r>
      <w:r w:rsidRPr="00852BE5">
        <w:lastRenderedPageBreak/>
        <w:t>designed to be resistant to opening by children, thereby reducing the incidence of accidental poisoning.</w:t>
      </w:r>
      <w:r>
        <w:t xml:space="preserve"> The</w:t>
      </w:r>
      <w:r w:rsidRPr="00852BE5">
        <w:t xml:space="preserve"> requirements apply </w:t>
      </w:r>
      <w:r w:rsidR="000B4F44">
        <w:t xml:space="preserve">in relation </w:t>
      </w:r>
      <w:r w:rsidRPr="00852BE5">
        <w:t>to</w:t>
      </w:r>
      <w:r>
        <w:t xml:space="preserve"> medicines registered on the </w:t>
      </w:r>
      <w:r w:rsidRPr="00852BE5">
        <w:t>Australian Register of Therapeutic Goods (</w:t>
      </w:r>
      <w:r w:rsidRPr="00560F50">
        <w:rPr>
          <w:b/>
        </w:rPr>
        <w:t>ARTG</w:t>
      </w:r>
      <w:r w:rsidRPr="00852BE5">
        <w:t>)</w:t>
      </w:r>
      <w:r>
        <w:t xml:space="preserve">, and include </w:t>
      </w:r>
      <w:r w:rsidRPr="00852BE5">
        <w:t>prescription, over-the-counter (</w:t>
      </w:r>
      <w:r w:rsidRPr="00560F50">
        <w:rPr>
          <w:b/>
        </w:rPr>
        <w:t>OTC</w:t>
      </w:r>
      <w:r w:rsidRPr="00852BE5">
        <w:t>) and listed medicines.</w:t>
      </w:r>
      <w:r>
        <w:t xml:space="preserve"> In accordance with TGO 95, </w:t>
      </w:r>
      <w:r w:rsidRPr="00A3038D">
        <w:t>nicotin</w:t>
      </w:r>
      <w:r>
        <w:t xml:space="preserve">e is a substance for which child resistant closure is required </w:t>
      </w:r>
      <w:r w:rsidRPr="00A3038D">
        <w:t xml:space="preserve">regardless of whether the </w:t>
      </w:r>
      <w:r>
        <w:t xml:space="preserve">nicotine-containing </w:t>
      </w:r>
      <w:r w:rsidRPr="00A3038D">
        <w:t>medicine is available only on prescription o</w:t>
      </w:r>
      <w:r>
        <w:t xml:space="preserve">r can be self-selected as an </w:t>
      </w:r>
      <w:r w:rsidR="00A51339">
        <w:t>OTC</w:t>
      </w:r>
      <w:r w:rsidRPr="00A3038D">
        <w:t xml:space="preserve"> or listed medicine.</w:t>
      </w:r>
      <w:r>
        <w:t xml:space="preserve"> TGO 95 does not capture unapproved products and I recognise </w:t>
      </w:r>
      <w:r w:rsidR="006D6DAA">
        <w:t xml:space="preserve">that </w:t>
      </w:r>
      <w:r>
        <w:t>there is an argument for having consistency in the requirements for a child resistant container for</w:t>
      </w:r>
      <w:r w:rsidRPr="00CB2058">
        <w:t xml:space="preserve"> </w:t>
      </w:r>
      <w:r>
        <w:t xml:space="preserve">any liquid nicotine product </w:t>
      </w:r>
      <w:r w:rsidR="00A51339">
        <w:t>whether or not it is</w:t>
      </w:r>
      <w:r w:rsidR="003240FE">
        <w:t xml:space="preserve"> approved or unapproved.</w:t>
      </w:r>
    </w:p>
    <w:p w14:paraId="4BCF226A" w14:textId="2DD939D5" w:rsidR="00B2312F" w:rsidRDefault="00B2312F" w:rsidP="00B2312F">
      <w:r>
        <w:t xml:space="preserve">I have had regard </w:t>
      </w:r>
      <w:r w:rsidR="006D6DAA">
        <w:t xml:space="preserve">to </w:t>
      </w:r>
      <w:r>
        <w:t xml:space="preserve">the response from international jurisdictions to the public health concerns associated with accidental nicotine exposure to children. In my review, I have identified at least five international jurisdictions </w:t>
      </w:r>
      <w:r w:rsidR="00A51339">
        <w:t xml:space="preserve">that </w:t>
      </w:r>
      <w:r>
        <w:t>have sought measures to include child resistant requirements for liquid nicotine products. These jurisdictions include Canada, European Union, Finland, United Kingdom and United States. I invite comment in the public submissions on f</w:t>
      </w:r>
      <w:r w:rsidRPr="00B873A0">
        <w:t>urther ame</w:t>
      </w:r>
      <w:r>
        <w:t xml:space="preserve">ndments to the </w:t>
      </w:r>
      <w:r w:rsidR="00A51339">
        <w:t xml:space="preserve">current </w:t>
      </w:r>
      <w:r>
        <w:t xml:space="preserve">Poisons Standard </w:t>
      </w:r>
      <w:r w:rsidR="006279E7">
        <w:t>(</w:t>
      </w:r>
      <w:r w:rsidRPr="00B873A0">
        <w:t>or alternative measures</w:t>
      </w:r>
      <w:r w:rsidR="006279E7">
        <w:t>)</w:t>
      </w:r>
      <w:r w:rsidRPr="00B873A0">
        <w:t xml:space="preserve"> </w:t>
      </w:r>
      <w:r>
        <w:t>in response to child resistant closure</w:t>
      </w:r>
      <w:r w:rsidR="003240FE">
        <w:t>s for liquid nicotine products.</w:t>
      </w:r>
    </w:p>
    <w:p w14:paraId="646814D9" w14:textId="7BADFFC1" w:rsidR="004F50C4" w:rsidRPr="003240FE" w:rsidRDefault="003240FE" w:rsidP="00724E11">
      <w:pPr>
        <w:pStyle w:val="Heading4"/>
      </w:pPr>
      <w:r w:rsidRPr="003240FE">
        <w:t>Materials considered</w:t>
      </w:r>
    </w:p>
    <w:p w14:paraId="07F4A898" w14:textId="77777777" w:rsidR="004F50C4" w:rsidRDefault="004F50C4" w:rsidP="004F50C4">
      <w:r>
        <w:t xml:space="preserve">In making this interim decision, the </w:t>
      </w:r>
      <w:r w:rsidR="00A51339">
        <w:t>d</w:t>
      </w:r>
      <w:r>
        <w:t>elegate considered the following material:</w:t>
      </w:r>
    </w:p>
    <w:p w14:paraId="4FF487F0" w14:textId="77777777" w:rsidR="004F50C4" w:rsidRDefault="00A51339" w:rsidP="004F50C4">
      <w:pPr>
        <w:pStyle w:val="ListBullet"/>
      </w:pPr>
      <w:r>
        <w:t>t</w:t>
      </w:r>
      <w:r w:rsidR="004F50C4">
        <w:t xml:space="preserve">he </w:t>
      </w:r>
      <w:hyperlink r:id="rId22" w:history="1">
        <w:r w:rsidR="006279A4" w:rsidRPr="006279A4">
          <w:rPr>
            <w:rStyle w:val="Hyperlink"/>
          </w:rPr>
          <w:t>proposal</w:t>
        </w:r>
      </w:hyperlink>
      <w:r w:rsidR="004F50C4">
        <w:t xml:space="preserve"> to amend the current Po</w:t>
      </w:r>
      <w:r w:rsidR="006279A4">
        <w:t>isons Standard with respect to nicotine</w:t>
      </w:r>
      <w:r w:rsidR="004F50C4">
        <w:t>;</w:t>
      </w:r>
    </w:p>
    <w:p w14:paraId="730FEF48" w14:textId="02BA400B" w:rsidR="004F50C4" w:rsidRDefault="00A51339" w:rsidP="004F50C4">
      <w:pPr>
        <w:pStyle w:val="ListBullet"/>
      </w:pPr>
      <w:r>
        <w:t>t</w:t>
      </w:r>
      <w:r w:rsidR="004F50C4">
        <w:t xml:space="preserve">he </w:t>
      </w:r>
      <w:hyperlink r:id="rId23" w:history="1">
        <w:r w:rsidR="008A0B3E" w:rsidRPr="00617FC6">
          <w:rPr>
            <w:rStyle w:val="Hyperlink"/>
          </w:rPr>
          <w:t>13</w:t>
        </w:r>
        <w:r w:rsidR="004F50C4" w:rsidRPr="00617FC6">
          <w:rPr>
            <w:rStyle w:val="Hyperlink"/>
          </w:rPr>
          <w:t xml:space="preserve"> public submissions</w:t>
        </w:r>
      </w:hyperlink>
      <w:r w:rsidR="004F50C4" w:rsidRPr="008A0B3E">
        <w:t xml:space="preserve"> received</w:t>
      </w:r>
      <w:r w:rsidR="004F50C4">
        <w:t xml:space="preserve"> in response to the </w:t>
      </w:r>
      <w:hyperlink r:id="rId24" w:history="1">
        <w:r w:rsidR="006279A4" w:rsidRPr="006279A4">
          <w:rPr>
            <w:rStyle w:val="Hyperlink"/>
          </w:rPr>
          <w:t>pre-meeting consultation</w:t>
        </w:r>
      </w:hyperlink>
      <w:r w:rsidR="006279A4">
        <w:t xml:space="preserve"> </w:t>
      </w:r>
      <w:r w:rsidR="004F50C4">
        <w:t>under regula</w:t>
      </w:r>
      <w:r w:rsidR="003240FE">
        <w:t>tion 42ZCZK of the Regulations;</w:t>
      </w:r>
    </w:p>
    <w:p w14:paraId="455B88FA" w14:textId="77777777" w:rsidR="004F50C4" w:rsidRDefault="00A51339" w:rsidP="00487D10">
      <w:pPr>
        <w:pStyle w:val="ListBullet"/>
      </w:pPr>
      <w:r>
        <w:t>t</w:t>
      </w:r>
      <w:r w:rsidR="004F50C4">
        <w:t>he advice received from th</w:t>
      </w:r>
      <w:r w:rsidR="004F50C4" w:rsidRPr="00C51001">
        <w:t xml:space="preserve">e </w:t>
      </w:r>
      <w:r w:rsidR="00487D10" w:rsidRPr="00487D10">
        <w:t>Advisory Committee on Medicines and Chemicals Scheduling in joi</w:t>
      </w:r>
      <w:r w:rsidR="00487D10">
        <w:t>nt session (Joint ACMS-A</w:t>
      </w:r>
      <w:r w:rsidR="00487D10" w:rsidRPr="008A0B3E">
        <w:t>CCS #</w:t>
      </w:r>
      <w:r w:rsidR="008A0B3E" w:rsidRPr="008A0B3E">
        <w:t>25</w:t>
      </w:r>
      <w:r w:rsidR="00487D10" w:rsidRPr="008A0B3E">
        <w:t>)</w:t>
      </w:r>
      <w:r w:rsidR="004F50C4" w:rsidRPr="008A0B3E">
        <w:t>;</w:t>
      </w:r>
    </w:p>
    <w:p w14:paraId="63A2C758" w14:textId="77777777" w:rsidR="006279E7" w:rsidRDefault="00A51339" w:rsidP="004F50C4">
      <w:pPr>
        <w:pStyle w:val="ListBullet"/>
      </w:pPr>
      <w:r>
        <w:t xml:space="preserve">provisions </w:t>
      </w:r>
      <w:r w:rsidR="006279E7">
        <w:t xml:space="preserve">of </w:t>
      </w:r>
      <w:r w:rsidR="00C967C3">
        <w:t xml:space="preserve">the </w:t>
      </w:r>
      <w:r w:rsidR="00404470">
        <w:rPr>
          <w:i/>
        </w:rPr>
        <w:t>T</w:t>
      </w:r>
      <w:r w:rsidR="00C967C3">
        <w:rPr>
          <w:i/>
        </w:rPr>
        <w:t xml:space="preserve">herapeutic Goods Act 1989 </w:t>
      </w:r>
      <w:r w:rsidR="00404470">
        <w:t xml:space="preserve">(the </w:t>
      </w:r>
      <w:r w:rsidR="00404470" w:rsidRPr="00AD2AE5">
        <w:rPr>
          <w:b/>
        </w:rPr>
        <w:t>Act</w:t>
      </w:r>
      <w:r w:rsidR="00404470">
        <w:t>) relating to the scheduling of substances</w:t>
      </w:r>
      <w:r w:rsidR="006279E7">
        <w:t xml:space="preserve"> (Part 6-3) </w:t>
      </w:r>
      <w:r w:rsidR="00404470">
        <w:t>in particular those matters identified in s</w:t>
      </w:r>
      <w:r w:rsidR="00404470" w:rsidRPr="001169AC">
        <w:t xml:space="preserve">ubsection 52E(1) of </w:t>
      </w:r>
      <w:r w:rsidR="00404470">
        <w:t>the Act</w:t>
      </w:r>
      <w:r w:rsidR="006279E7">
        <w:t>;</w:t>
      </w:r>
    </w:p>
    <w:p w14:paraId="76C663B7" w14:textId="77777777" w:rsidR="004F50C4" w:rsidRDefault="00404470" w:rsidP="004F50C4">
      <w:pPr>
        <w:pStyle w:val="ListBullet"/>
      </w:pPr>
      <w:r>
        <w:t xml:space="preserve">provisions in </w:t>
      </w:r>
      <w:r w:rsidR="00C967C3">
        <w:t xml:space="preserve">the Regulations </w:t>
      </w:r>
      <w:r w:rsidR="00A51339">
        <w:t>relating to the procedure for amending the current Poisons Standard</w:t>
      </w:r>
      <w:r>
        <w:t xml:space="preserve"> (Division 3D of Part 6)</w:t>
      </w:r>
      <w:r w:rsidR="004F50C4">
        <w:t>;</w:t>
      </w:r>
    </w:p>
    <w:p w14:paraId="33EC6123" w14:textId="77777777" w:rsidR="004F50C4" w:rsidRDefault="00A51339" w:rsidP="004F50C4">
      <w:pPr>
        <w:pStyle w:val="ListBullet"/>
      </w:pPr>
      <w:r>
        <w:t>t</w:t>
      </w:r>
      <w:r w:rsidR="004F50C4" w:rsidRPr="002C1418">
        <w:t xml:space="preserve">he Australian Health Ministers’ Advisory Council’s </w:t>
      </w:r>
      <w:hyperlink r:id="rId25" w:history="1">
        <w:r w:rsidR="004F50C4" w:rsidRPr="001A7580">
          <w:rPr>
            <w:rStyle w:val="Hyperlink"/>
          </w:rPr>
          <w:t>Scheduling Policy Framework</w:t>
        </w:r>
      </w:hyperlink>
      <w:r w:rsidR="004F50C4">
        <w:t xml:space="preserve"> (SPF 2018); </w:t>
      </w:r>
    </w:p>
    <w:p w14:paraId="0E5746B9" w14:textId="77777777" w:rsidR="00511A1C" w:rsidRDefault="00A51339" w:rsidP="003E3140">
      <w:pPr>
        <w:pStyle w:val="ListBullet"/>
      </w:pPr>
      <w:r>
        <w:t>t</w:t>
      </w:r>
      <w:r w:rsidR="004F50C4">
        <w:t xml:space="preserve">he </w:t>
      </w:r>
      <w:hyperlink r:id="rId26" w:history="1">
        <w:r w:rsidR="004F50C4" w:rsidRPr="001A7580">
          <w:rPr>
            <w:rStyle w:val="Hyperlink"/>
          </w:rPr>
          <w:t>Scheduling handbook: Guidance for amending the Poisons Standard</w:t>
        </w:r>
      </w:hyperlink>
      <w:r w:rsidR="00673C5B">
        <w:rPr>
          <w:rStyle w:val="Hyperlink"/>
        </w:rPr>
        <w:t xml:space="preserve"> (version 1.1 July 2019)</w:t>
      </w:r>
      <w:r w:rsidR="00511A1C">
        <w:t>;</w:t>
      </w:r>
    </w:p>
    <w:p w14:paraId="4540D3DD" w14:textId="77777777" w:rsidR="00511A1C" w:rsidRDefault="00511A1C" w:rsidP="003E3140">
      <w:pPr>
        <w:pStyle w:val="ListBullet"/>
      </w:pPr>
      <w:r>
        <w:t xml:space="preserve">the 2018 </w:t>
      </w:r>
      <w:r w:rsidRPr="00D44B04">
        <w:t>report on the</w:t>
      </w:r>
      <w:r>
        <w:t xml:space="preserve"> </w:t>
      </w:r>
      <w:hyperlink r:id="rId27" w:history="1">
        <w:r w:rsidRPr="00D44B04">
          <w:rPr>
            <w:rStyle w:val="Hyperlink"/>
          </w:rPr>
          <w:t>Public Health Consequences of E-Cigarettes from the United States National Academies of Sciences, Engineering and Medicine</w:t>
        </w:r>
      </w:hyperlink>
      <w:r>
        <w:t>;</w:t>
      </w:r>
      <w:r w:rsidR="00673C5B">
        <w:t xml:space="preserve"> and</w:t>
      </w:r>
    </w:p>
    <w:p w14:paraId="630CA903" w14:textId="77777777" w:rsidR="004F50C4" w:rsidRDefault="00511A1C" w:rsidP="003E3140">
      <w:pPr>
        <w:pStyle w:val="ListBullet"/>
      </w:pPr>
      <w:r>
        <w:t>the Royal Australian College of General Practitioners publication,</w:t>
      </w:r>
      <w:r w:rsidRPr="003311B4">
        <w:t xml:space="preserve"> </w:t>
      </w:r>
      <w:hyperlink r:id="rId28" w:history="1">
        <w:r w:rsidRPr="00315AF7">
          <w:rPr>
            <w:rStyle w:val="Hyperlink"/>
          </w:rPr>
          <w:t>Supporting smoking cessation - A guide for health professionals</w:t>
        </w:r>
      </w:hyperlink>
      <w:r w:rsidR="00673C5B">
        <w:rPr>
          <w:rStyle w:val="Hyperlink"/>
        </w:rPr>
        <w:t xml:space="preserve"> (second edition, December 2019)</w:t>
      </w:r>
      <w:r w:rsidR="004F50C4">
        <w:t>.</w:t>
      </w:r>
    </w:p>
    <w:p w14:paraId="77BCCF39" w14:textId="76C4CB19" w:rsidR="004F50C4" w:rsidRPr="00724E11" w:rsidRDefault="004F50C4" w:rsidP="00724E11">
      <w:pPr>
        <w:pStyle w:val="Heading4"/>
        <w:rPr>
          <w:rStyle w:val="Heading6Char"/>
          <w:rFonts w:eastAsia="Cambria"/>
          <w:b/>
          <w:bCs/>
          <w:i/>
          <w:szCs w:val="22"/>
        </w:rPr>
      </w:pPr>
      <w:r w:rsidRPr="00724E11">
        <w:rPr>
          <w:rStyle w:val="Heading6Char"/>
          <w:rFonts w:eastAsia="Cambria"/>
          <w:b/>
          <w:bCs/>
          <w:i/>
          <w:szCs w:val="22"/>
        </w:rPr>
        <w:t xml:space="preserve">Summary of </w:t>
      </w:r>
      <w:r w:rsidR="00164808" w:rsidRPr="00724E11">
        <w:rPr>
          <w:rStyle w:val="Heading6Char"/>
          <w:rFonts w:eastAsia="Cambria"/>
          <w:b/>
          <w:bCs/>
          <w:i/>
          <w:szCs w:val="22"/>
        </w:rPr>
        <w:t>Joint ACMS-</w:t>
      </w:r>
      <w:r w:rsidR="003240FE" w:rsidRPr="00724E11">
        <w:rPr>
          <w:rStyle w:val="Heading6Char"/>
          <w:rFonts w:eastAsia="Cambria"/>
          <w:b/>
          <w:bCs/>
          <w:i/>
          <w:szCs w:val="22"/>
        </w:rPr>
        <w:t>ACCS advice to the Delegate</w:t>
      </w:r>
    </w:p>
    <w:p w14:paraId="2166B692" w14:textId="1F996964" w:rsidR="003E3140" w:rsidRDefault="003E3140" w:rsidP="003240FE">
      <w:r w:rsidRPr="003E3140">
        <w:t>The Committee recommended moving nicotine for human use to Schedule 4, while retaining the current exemptions for tobacco and certain smoking cessation products. The Committee also recommended deleting the Schedule 6 entry and creating an Appendix D listing for nicotine in the current Poisons Standard</w:t>
      </w:r>
      <w:r w:rsidR="003240FE">
        <w:t>.</w:t>
      </w:r>
    </w:p>
    <w:p w14:paraId="7C76B210" w14:textId="77777777" w:rsidR="003E3140" w:rsidRDefault="009A706C" w:rsidP="003240FE">
      <w:r>
        <w:t>The Committee</w:t>
      </w:r>
      <w:r w:rsidR="003E3140">
        <w:t xml:space="preserve"> recommended an implementation date of </w:t>
      </w:r>
      <w:r w:rsidR="003E3140">
        <w:rPr>
          <w:b/>
          <w:bCs/>
        </w:rPr>
        <w:t>1 June 2021</w:t>
      </w:r>
      <w:r w:rsidR="003E3140">
        <w:t>.</w:t>
      </w:r>
    </w:p>
    <w:p w14:paraId="709A0466" w14:textId="39569AE3" w:rsidR="004F50C4" w:rsidRDefault="004F50C4" w:rsidP="003240FE">
      <w:r>
        <w:t xml:space="preserve">Members agreed that the matters under </w:t>
      </w:r>
      <w:r w:rsidR="00404470">
        <w:t>sub</w:t>
      </w:r>
      <w:r>
        <w:t xml:space="preserve">ection 52E(1) of the </w:t>
      </w:r>
      <w:r w:rsidR="00BD7919">
        <w:t>Act relev</w:t>
      </w:r>
      <w:r w:rsidR="0012165C">
        <w:t xml:space="preserve">ant to the delegate’s consideration </w:t>
      </w:r>
      <w:r>
        <w:t xml:space="preserve">include: </w:t>
      </w:r>
      <w:r w:rsidRPr="001169AC">
        <w:t xml:space="preserve">(a) the risks and benefits of the use of a substance; (b) the purposes for which a substance is to be used and the extent of use of a substance; (c) the toxicity of a </w:t>
      </w:r>
      <w:r w:rsidRPr="001169AC">
        <w:lastRenderedPageBreak/>
        <w:t>substance; (d) the dosage, formulation, labelling, packaging and presentation of a su</w:t>
      </w:r>
      <w:r>
        <w:t xml:space="preserve">bstance; </w:t>
      </w:r>
      <w:r w:rsidRPr="001169AC">
        <w:t>(e) the potential for abuse of a substance; and (f) any other matters considered nece</w:t>
      </w:r>
      <w:r w:rsidR="00724E11">
        <w:t>ssary to protect public health.</w:t>
      </w:r>
    </w:p>
    <w:p w14:paraId="5FA7AF2B" w14:textId="77777777" w:rsidR="004F50C4" w:rsidRDefault="00404470" w:rsidP="004F50C4">
      <w:r>
        <w:t>In relation to each of these matters, the Committee provided the following advice</w:t>
      </w:r>
      <w:r w:rsidR="004F50C4">
        <w:t>:</w:t>
      </w:r>
    </w:p>
    <w:p w14:paraId="3EF7F709" w14:textId="77777777" w:rsidR="004F50C4" w:rsidRPr="00724E11" w:rsidRDefault="004F50C4" w:rsidP="00724E11">
      <w:pPr>
        <w:pStyle w:val="Heading5"/>
      </w:pPr>
      <w:r w:rsidRPr="00724E11">
        <w:t>a - the risks and benefits of the use of a substance:</w:t>
      </w:r>
    </w:p>
    <w:p w14:paraId="49CCFC1F" w14:textId="77777777" w:rsidR="009D0F76" w:rsidRPr="00704555" w:rsidRDefault="009D0F76" w:rsidP="009D0F76">
      <w:pPr>
        <w:pStyle w:val="ListBullet"/>
      </w:pPr>
      <w:r>
        <w:t xml:space="preserve">The Committee considered the </w:t>
      </w:r>
      <w:r w:rsidRPr="00995AD2">
        <w:t>available evidence, which</w:t>
      </w:r>
      <w:r>
        <w:t xml:space="preserve"> </w:t>
      </w:r>
      <w:r w:rsidRPr="00995AD2">
        <w:t xml:space="preserve">does not support that </w:t>
      </w:r>
      <w:r>
        <w:t xml:space="preserve">e-cigarettes </w:t>
      </w:r>
      <w:r w:rsidRPr="00995AD2">
        <w:t xml:space="preserve">are a safer alternative to </w:t>
      </w:r>
      <w:r>
        <w:t xml:space="preserve">smoking cessation aids currently available and that there is </w:t>
      </w:r>
      <w:r w:rsidRPr="00594C4F">
        <w:t>currently insufficient evidence to conclude whether e-cigarettes can benefit smokers in quitting</w:t>
      </w:r>
      <w:r w:rsidR="0012165C">
        <w:t>;</w:t>
      </w:r>
    </w:p>
    <w:p w14:paraId="57F101A9" w14:textId="77777777" w:rsidR="004F50C4" w:rsidRDefault="008E1C35" w:rsidP="004F50C4">
      <w:pPr>
        <w:pStyle w:val="ListBullet"/>
      </w:pPr>
      <w:r w:rsidRPr="00995AD2">
        <w:t>The Committee</w:t>
      </w:r>
      <w:r>
        <w:t xml:space="preserve"> identified the following risks</w:t>
      </w:r>
      <w:r w:rsidR="009D0F76">
        <w:t>:</w:t>
      </w:r>
    </w:p>
    <w:p w14:paraId="53D98669" w14:textId="77777777" w:rsidR="009B02F1" w:rsidRDefault="009B02F1" w:rsidP="00AD2AE5">
      <w:pPr>
        <w:pStyle w:val="ListBullet2"/>
      </w:pPr>
      <w:r>
        <w:t>Nicotine addiction for new or continuing users of novel nicotine delivery systems</w:t>
      </w:r>
      <w:r w:rsidR="008E1C35">
        <w:t>;</w:t>
      </w:r>
    </w:p>
    <w:p w14:paraId="5B065810" w14:textId="72024823" w:rsidR="009B02F1" w:rsidRDefault="009B02F1" w:rsidP="00AD2AE5">
      <w:pPr>
        <w:pStyle w:val="ListBullet2"/>
      </w:pPr>
      <w:r>
        <w:t>The introduction of novel nicotine delivery system</w:t>
      </w:r>
      <w:r w:rsidRPr="00385217">
        <w:t xml:space="preserve"> </w:t>
      </w:r>
      <w:r>
        <w:t>may</w:t>
      </w:r>
      <w:r w:rsidRPr="00385217">
        <w:t xml:space="preserve"> have a negative impact on tobacco contr</w:t>
      </w:r>
      <w:r>
        <w:t>o</w:t>
      </w:r>
      <w:r w:rsidR="001472AB">
        <w:t>l and may re-normalise smoking;</w:t>
      </w:r>
    </w:p>
    <w:p w14:paraId="1D6D4990" w14:textId="77777777" w:rsidR="009B02F1" w:rsidRDefault="009B02F1" w:rsidP="00AD2AE5">
      <w:pPr>
        <w:pStyle w:val="ListBullet2"/>
      </w:pPr>
      <w:r w:rsidRPr="00385217">
        <w:t xml:space="preserve">Exposure to nicotine in adolescents may have long-term consequences for </w:t>
      </w:r>
      <w:hyperlink r:id="rId29" w:history="1">
        <w:r w:rsidR="00B2275F" w:rsidRPr="00394253">
          <w:rPr>
            <w:rStyle w:val="Hyperlink"/>
          </w:rPr>
          <w:t>brain development</w:t>
        </w:r>
      </w:hyperlink>
      <w:r w:rsidRPr="00385217">
        <w:t>, potentially leading to</w:t>
      </w:r>
      <w:r>
        <w:t xml:space="preserve"> learning and anxiety disorders;</w:t>
      </w:r>
    </w:p>
    <w:p w14:paraId="04ABD46F" w14:textId="35427EB6" w:rsidR="009B02F1" w:rsidRDefault="009B02F1" w:rsidP="00AD2AE5">
      <w:pPr>
        <w:pStyle w:val="ListBullet2"/>
      </w:pPr>
      <w:r>
        <w:t>Unknown toxicity of l</w:t>
      </w:r>
      <w:r w:rsidRPr="00385217">
        <w:t>ong-term</w:t>
      </w:r>
      <w:r>
        <w:t xml:space="preserve"> alveolar</w:t>
      </w:r>
      <w:r w:rsidRPr="00385217">
        <w:t xml:space="preserve"> exposure to</w:t>
      </w:r>
      <w:r>
        <w:t xml:space="preserve"> heated and inhaled</w:t>
      </w:r>
      <w:r w:rsidRPr="00385217">
        <w:t xml:space="preserve"> excipients</w:t>
      </w:r>
      <w:r w:rsidR="001472AB">
        <w:t>; and</w:t>
      </w:r>
    </w:p>
    <w:p w14:paraId="4F0165DD" w14:textId="2B9F6D7B" w:rsidR="009B02F1" w:rsidRDefault="009B02F1" w:rsidP="00AD2AE5">
      <w:pPr>
        <w:pStyle w:val="ListBullet2"/>
      </w:pPr>
      <w:r>
        <w:t xml:space="preserve">Risk of accidental exposure to children, particularly </w:t>
      </w:r>
      <w:r w:rsidR="00404470">
        <w:t xml:space="preserve">in relation to </w:t>
      </w:r>
      <w:r w:rsidR="001472AB">
        <w:t>liquid nicotine.</w:t>
      </w:r>
    </w:p>
    <w:p w14:paraId="03ADAA54" w14:textId="77777777" w:rsidR="009D0F76" w:rsidRPr="009D0F76" w:rsidRDefault="004F50C4" w:rsidP="001472AB">
      <w:pPr>
        <w:pStyle w:val="Heading5"/>
      </w:pPr>
      <w:r>
        <w:t>b -</w:t>
      </w:r>
      <w:r w:rsidRPr="001169AC">
        <w:t xml:space="preserve"> the purposes for which a substance is to be used and </w:t>
      </w:r>
      <w:r>
        <w:t>the extent of use of a substance:</w:t>
      </w:r>
    </w:p>
    <w:p w14:paraId="386C003A" w14:textId="2ED493FC" w:rsidR="009D0F76" w:rsidRPr="009D0F76" w:rsidRDefault="009D0F76" w:rsidP="009D0F76">
      <w:pPr>
        <w:pStyle w:val="ListBullet"/>
        <w:rPr>
          <w:lang w:eastAsia="en-AU"/>
        </w:rPr>
      </w:pPr>
      <w:r w:rsidRPr="009D0F76">
        <w:rPr>
          <w:lang w:eastAsia="en-AU"/>
        </w:rPr>
        <w:t>The Committee noted the following purpose</w:t>
      </w:r>
      <w:r w:rsidR="008E1C35">
        <w:rPr>
          <w:lang w:eastAsia="en-AU"/>
        </w:rPr>
        <w:t>s</w:t>
      </w:r>
      <w:r w:rsidRPr="009D0F76">
        <w:rPr>
          <w:lang w:eastAsia="en-AU"/>
        </w:rPr>
        <w:t xml:space="preserve"> fo</w:t>
      </w:r>
      <w:r w:rsidR="001472AB">
        <w:rPr>
          <w:lang w:eastAsia="en-AU"/>
        </w:rPr>
        <w:t>r which nicotine is to be used:</w:t>
      </w:r>
    </w:p>
    <w:p w14:paraId="22519540" w14:textId="77777777" w:rsidR="009B02F1" w:rsidRDefault="009B02F1" w:rsidP="009D0F76">
      <w:pPr>
        <w:pStyle w:val="ListBullet2"/>
      </w:pPr>
      <w:r w:rsidRPr="00B1430B">
        <w:t>Ni</w:t>
      </w:r>
      <w:r>
        <w:t>cotine Replacement Therapy (</w:t>
      </w:r>
      <w:r w:rsidRPr="00AD2AE5">
        <w:rPr>
          <w:b/>
        </w:rPr>
        <w:t>NRT</w:t>
      </w:r>
      <w:r>
        <w:t>)</w:t>
      </w:r>
      <w:r w:rsidRPr="00B1430B">
        <w:t xml:space="preserve"> for the purposes of smoking cessation</w:t>
      </w:r>
      <w:r>
        <w:t xml:space="preserve"> </w:t>
      </w:r>
      <w:r w:rsidRPr="00566489">
        <w:t>e.g. transdermal patches and oromucosal absorption formulations</w:t>
      </w:r>
      <w:r w:rsidR="0012165C">
        <w:t>,</w:t>
      </w:r>
      <w:r w:rsidRPr="00566489">
        <w:t xml:space="preserve"> such as chewing gum or lozenges</w:t>
      </w:r>
      <w:r w:rsidR="0012165C">
        <w:t xml:space="preserve"> (the existing approved use)</w:t>
      </w:r>
      <w:r>
        <w:t>;</w:t>
      </w:r>
      <w:r w:rsidRPr="00B1430B">
        <w:t xml:space="preserve"> </w:t>
      </w:r>
      <w:r w:rsidR="00936552">
        <w:t>and</w:t>
      </w:r>
    </w:p>
    <w:p w14:paraId="2ED78C79" w14:textId="77777777" w:rsidR="009B02F1" w:rsidRPr="00B1430B" w:rsidRDefault="009B02F1" w:rsidP="009D0F76">
      <w:pPr>
        <w:pStyle w:val="ListBullet2"/>
      </w:pPr>
      <w:r w:rsidRPr="00566489">
        <w:t>Nicotine in tobacc</w:t>
      </w:r>
      <w:r>
        <w:t>o prepared and packed for smoking in</w:t>
      </w:r>
      <w:r w:rsidRPr="00566489">
        <w:t xml:space="preserve"> conventional cigarettes</w:t>
      </w:r>
      <w:r w:rsidR="0012165C">
        <w:t xml:space="preserve"> (the existing use permitted with restrictions other than scheduling)</w:t>
      </w:r>
      <w:r>
        <w:t>;</w:t>
      </w:r>
    </w:p>
    <w:p w14:paraId="1E34B7BB" w14:textId="77777777" w:rsidR="009B02F1" w:rsidRDefault="009B02F1" w:rsidP="00AD2AE5">
      <w:pPr>
        <w:pStyle w:val="ListBullet"/>
      </w:pPr>
      <w:r>
        <w:t xml:space="preserve">The Committee considered the extent to which nicotine is being used </w:t>
      </w:r>
      <w:r w:rsidRPr="00566489">
        <w:t>in e-cigarettes, e-juice, heat-not-burn to</w:t>
      </w:r>
      <w:r>
        <w:t>bacco products, chewing tobacco and</w:t>
      </w:r>
      <w:r w:rsidRPr="00566489">
        <w:t xml:space="preserve"> snuf</w:t>
      </w:r>
      <w:r>
        <w:t>f. It was noted that such nicotine delivery systems or preparations have not been approved by the TGA, nor by any equivalent foreign medicines regulator, as a smoking cessation aid.</w:t>
      </w:r>
    </w:p>
    <w:p w14:paraId="67793621" w14:textId="77777777" w:rsidR="009D0F76" w:rsidRPr="001472AB" w:rsidRDefault="004F50C4" w:rsidP="001472AB">
      <w:pPr>
        <w:pStyle w:val="Heading5"/>
      </w:pPr>
      <w:r w:rsidRPr="001472AB">
        <w:t>c - the toxicity of a substance:</w:t>
      </w:r>
    </w:p>
    <w:p w14:paraId="301E8ED8" w14:textId="48A86B70" w:rsidR="009D0F76" w:rsidRPr="009D0F76" w:rsidRDefault="009D0F76" w:rsidP="009D0F76">
      <w:pPr>
        <w:pStyle w:val="ListBullet"/>
        <w:rPr>
          <w:lang w:eastAsia="en-AU"/>
        </w:rPr>
      </w:pPr>
      <w:r w:rsidRPr="009D0F76">
        <w:rPr>
          <w:lang w:eastAsia="en-AU"/>
        </w:rPr>
        <w:t xml:space="preserve">The Committee identified the following </w:t>
      </w:r>
      <w:r w:rsidR="00936552">
        <w:rPr>
          <w:lang w:eastAsia="en-AU"/>
        </w:rPr>
        <w:t>in relation</w:t>
      </w:r>
      <w:r w:rsidR="008E1C35">
        <w:rPr>
          <w:lang w:eastAsia="en-AU"/>
        </w:rPr>
        <w:t xml:space="preserve"> to </w:t>
      </w:r>
      <w:r w:rsidR="001472AB">
        <w:rPr>
          <w:lang w:eastAsia="en-AU"/>
        </w:rPr>
        <w:t>the toxicity of nicotine:</w:t>
      </w:r>
    </w:p>
    <w:p w14:paraId="1F5ABBCE" w14:textId="77777777" w:rsidR="009B02F1" w:rsidRPr="009E465A" w:rsidRDefault="009B02F1" w:rsidP="009D0F76">
      <w:pPr>
        <w:pStyle w:val="ListBullet2"/>
        <w:rPr>
          <w:i/>
        </w:rPr>
      </w:pPr>
      <w:r w:rsidRPr="004043B5">
        <w:t xml:space="preserve">Severe hazard from repeated use </w:t>
      </w:r>
      <w:r w:rsidR="00936552">
        <w:t xml:space="preserve">may lead </w:t>
      </w:r>
      <w:r w:rsidRPr="004043B5">
        <w:t>to potential addiction and a significant risk of producing irreversible toxicity, which may involve serious, acute or chronic health risks or deat</w:t>
      </w:r>
      <w:r>
        <w:t>h</w:t>
      </w:r>
      <w:r w:rsidR="00936552">
        <w:t>; and</w:t>
      </w:r>
    </w:p>
    <w:p w14:paraId="76E37E50" w14:textId="77777777" w:rsidR="009B02F1" w:rsidRPr="00B45461" w:rsidRDefault="009B02F1" w:rsidP="009D0F76">
      <w:pPr>
        <w:pStyle w:val="ListBullet2"/>
        <w:rPr>
          <w:i/>
        </w:rPr>
      </w:pPr>
      <w:r>
        <w:t xml:space="preserve">Long-term toxicity of unapproved </w:t>
      </w:r>
      <w:r w:rsidRPr="004043B5">
        <w:t xml:space="preserve">products </w:t>
      </w:r>
      <w:r>
        <w:t xml:space="preserve">is </w:t>
      </w:r>
      <w:r w:rsidRPr="004043B5">
        <w:t>unknown</w:t>
      </w:r>
      <w:r w:rsidR="00936552">
        <w:t>;</w:t>
      </w:r>
    </w:p>
    <w:p w14:paraId="1071B0E9" w14:textId="77777777" w:rsidR="009B02F1" w:rsidRPr="003D2FFB" w:rsidRDefault="00936552" w:rsidP="00AD2AE5">
      <w:pPr>
        <w:pStyle w:val="ListBullet"/>
        <w:rPr>
          <w:i/>
        </w:rPr>
      </w:pPr>
      <w:r>
        <w:t xml:space="preserve">In addition, the </w:t>
      </w:r>
      <w:r w:rsidR="009B02F1">
        <w:t xml:space="preserve">Committee noted the death of a toddler in Victoria who </w:t>
      </w:r>
      <w:r w:rsidR="009B02F1" w:rsidRPr="00BB1332">
        <w:t xml:space="preserve">accidentally consumed </w:t>
      </w:r>
      <w:r w:rsidR="009B02F1">
        <w:t>liquid nicotine</w:t>
      </w:r>
      <w:r w:rsidR="009B02F1" w:rsidRPr="00BB1332">
        <w:t xml:space="preserve"> his mother had been mixing with</w:t>
      </w:r>
      <w:r w:rsidR="009B02F1">
        <w:t xml:space="preserve"> vape juice for an e-cigarette </w:t>
      </w:r>
      <w:r w:rsidR="009B02F1" w:rsidRPr="00BB1332">
        <w:t>in</w:t>
      </w:r>
      <w:r w:rsidR="00F65377">
        <w:t xml:space="preserve"> </w:t>
      </w:r>
      <w:hyperlink r:id="rId30" w:history="1">
        <w:r w:rsidR="00F65377" w:rsidRPr="00F65377">
          <w:rPr>
            <w:rStyle w:val="Hyperlink"/>
          </w:rPr>
          <w:t>May 2018</w:t>
        </w:r>
      </w:hyperlink>
      <w:r w:rsidR="00F65377">
        <w:t>.</w:t>
      </w:r>
    </w:p>
    <w:p w14:paraId="749C9935" w14:textId="689E7BA4" w:rsidR="004168AC" w:rsidRPr="001472AB" w:rsidRDefault="001472AB" w:rsidP="001472AB">
      <w:pPr>
        <w:pStyle w:val="Heading5"/>
      </w:pPr>
      <w:r w:rsidRPr="001472AB">
        <w:lastRenderedPageBreak/>
        <w:t xml:space="preserve">d </w:t>
      </w:r>
      <w:r w:rsidR="004F50C4" w:rsidRPr="001472AB">
        <w:t>- the dosage, formulation, labelling, packaging and presentation of a substance:</w:t>
      </w:r>
    </w:p>
    <w:p w14:paraId="36AE79CB" w14:textId="12912FB6" w:rsidR="004168AC" w:rsidRPr="004168AC" w:rsidRDefault="004168AC" w:rsidP="001472AB">
      <w:pPr>
        <w:pStyle w:val="ListBullet"/>
        <w:keepNext/>
        <w:keepLines/>
        <w:rPr>
          <w:szCs w:val="22"/>
          <w:lang w:eastAsia="en-AU"/>
        </w:rPr>
      </w:pPr>
      <w:r w:rsidRPr="004168AC">
        <w:rPr>
          <w:szCs w:val="22"/>
          <w:lang w:eastAsia="en-AU"/>
        </w:rPr>
        <w:t>The Committee noted the following for the ‘dosage, formulation, labelling, packaging and presentation</w:t>
      </w:r>
      <w:r w:rsidR="00936552">
        <w:rPr>
          <w:szCs w:val="22"/>
          <w:lang w:eastAsia="en-AU"/>
        </w:rPr>
        <w:t>’</w:t>
      </w:r>
      <w:r w:rsidRPr="004168AC">
        <w:rPr>
          <w:szCs w:val="22"/>
          <w:lang w:eastAsia="en-AU"/>
        </w:rPr>
        <w:t xml:space="preserve"> of nicotine in unap</w:t>
      </w:r>
      <w:r w:rsidR="001472AB">
        <w:rPr>
          <w:szCs w:val="22"/>
          <w:lang w:eastAsia="en-AU"/>
        </w:rPr>
        <w:t>proved products for human use:</w:t>
      </w:r>
    </w:p>
    <w:p w14:paraId="5E833E2E" w14:textId="49A737D1" w:rsidR="009B02F1" w:rsidRDefault="009B02F1" w:rsidP="004168AC">
      <w:pPr>
        <w:pStyle w:val="ListBullet2"/>
      </w:pPr>
      <w:r w:rsidRPr="00566489">
        <w:t>The dosage of nicotine varies between preparations and devices, and varies depending on the technique of the user</w:t>
      </w:r>
      <w:r w:rsidR="00936552">
        <w:t>; and</w:t>
      </w:r>
    </w:p>
    <w:p w14:paraId="6BF557F4" w14:textId="5E53F9FD" w:rsidR="009B02F1" w:rsidRPr="003D2FFB" w:rsidRDefault="009B02F1" w:rsidP="004168AC">
      <w:pPr>
        <w:pStyle w:val="ListBullet2"/>
      </w:pPr>
      <w:r w:rsidRPr="00FA7B25">
        <w:t xml:space="preserve">Child-resistant packaging </w:t>
      </w:r>
      <w:r>
        <w:t>might</w:t>
      </w:r>
      <w:r w:rsidRPr="00FA7B25">
        <w:t xml:space="preserve"> reduce the risk of unintentional exposure to </w:t>
      </w:r>
      <w:r>
        <w:t xml:space="preserve">nicotine </w:t>
      </w:r>
      <w:r w:rsidRPr="00FA7B25">
        <w:t>in children.</w:t>
      </w:r>
      <w:r>
        <w:t xml:space="preserve"> While nicotine is listed in </w:t>
      </w:r>
      <w:r w:rsidR="00936552">
        <w:t>TGO 95</w:t>
      </w:r>
      <w:r>
        <w:t xml:space="preserve">, the scope of the order does not cover compounded medicines. Further amendments to the </w:t>
      </w:r>
      <w:r w:rsidR="00A27E6C">
        <w:t xml:space="preserve">current </w:t>
      </w:r>
      <w:r>
        <w:t xml:space="preserve">Poisons Standard or </w:t>
      </w:r>
      <w:r w:rsidR="00A27E6C">
        <w:t xml:space="preserve">TGO 95 </w:t>
      </w:r>
      <w:r>
        <w:t>would need to be taken to require child-resistant packaging for compounde</w:t>
      </w:r>
      <w:r w:rsidR="001472AB">
        <w:t>d nicotine-containing products.</w:t>
      </w:r>
    </w:p>
    <w:p w14:paraId="3E3C2566" w14:textId="77777777" w:rsidR="004168AC" w:rsidRPr="001472AB" w:rsidRDefault="004F50C4" w:rsidP="001472AB">
      <w:pPr>
        <w:pStyle w:val="Heading5"/>
      </w:pPr>
      <w:r w:rsidRPr="001472AB">
        <w:t>e - the potential for abuse of a substance:</w:t>
      </w:r>
    </w:p>
    <w:p w14:paraId="24739A57" w14:textId="0ED69D1D" w:rsidR="004168AC" w:rsidRDefault="004168AC" w:rsidP="004168AC">
      <w:pPr>
        <w:pStyle w:val="ListBullet"/>
        <w:rPr>
          <w:lang w:eastAsia="en-AU"/>
        </w:rPr>
      </w:pPr>
      <w:r w:rsidRPr="004168AC">
        <w:rPr>
          <w:lang w:eastAsia="en-AU"/>
        </w:rPr>
        <w:t xml:space="preserve">The Committee advised that e-cigarettes </w:t>
      </w:r>
      <w:r w:rsidRPr="006128A7">
        <w:rPr>
          <w:lang w:eastAsia="en-AU"/>
        </w:rPr>
        <w:t>containing nicotine when</w:t>
      </w:r>
      <w:r w:rsidRPr="004168AC">
        <w:rPr>
          <w:lang w:eastAsia="en-AU"/>
        </w:rPr>
        <w:t xml:space="preserve"> used as intended </w:t>
      </w:r>
      <w:r w:rsidR="00A27E6C">
        <w:rPr>
          <w:lang w:eastAsia="en-AU"/>
        </w:rPr>
        <w:t xml:space="preserve">carry </w:t>
      </w:r>
      <w:r w:rsidRPr="004168AC">
        <w:rPr>
          <w:lang w:eastAsia="en-AU"/>
        </w:rPr>
        <w:t>a</w:t>
      </w:r>
      <w:r w:rsidR="001472AB">
        <w:rPr>
          <w:lang w:eastAsia="en-AU"/>
        </w:rPr>
        <w:t xml:space="preserve"> high risk of dependence.</w:t>
      </w:r>
    </w:p>
    <w:p w14:paraId="01F4BEBF" w14:textId="77777777" w:rsidR="004168AC" w:rsidRPr="001472AB" w:rsidRDefault="004F50C4" w:rsidP="001472AB">
      <w:pPr>
        <w:pStyle w:val="Heading5"/>
      </w:pPr>
      <w:r w:rsidRPr="001472AB">
        <w:t>f - any other matters considered necessary to protect public health:</w:t>
      </w:r>
    </w:p>
    <w:p w14:paraId="25464F46" w14:textId="1148E91A" w:rsidR="004168AC" w:rsidRDefault="004168AC" w:rsidP="004168AC">
      <w:pPr>
        <w:pStyle w:val="ListBullet"/>
        <w:rPr>
          <w:lang w:eastAsia="en-AU"/>
        </w:rPr>
      </w:pPr>
      <w:r w:rsidRPr="004168AC">
        <w:rPr>
          <w:lang w:eastAsia="en-AU"/>
        </w:rPr>
        <w:t>The Committee id</w:t>
      </w:r>
      <w:r w:rsidR="001472AB">
        <w:rPr>
          <w:lang w:eastAsia="en-AU"/>
        </w:rPr>
        <w:t>entified the following matters:</w:t>
      </w:r>
    </w:p>
    <w:p w14:paraId="155BF884" w14:textId="4B0E16C0" w:rsidR="009B02F1" w:rsidRDefault="009B02F1" w:rsidP="004168AC">
      <w:pPr>
        <w:pStyle w:val="ListBullet2"/>
      </w:pPr>
      <w:r w:rsidRPr="005452E1">
        <w:t>Australia as a Party to the World Health Organization Framework Convention on Tobacco Control, must adopt and implement effective measures for preventing and reducing tobacco consumption, nicotine addiction and exposure to tobacco smoke</w:t>
      </w:r>
      <w:r w:rsidR="00A27E6C">
        <w:t>;</w:t>
      </w:r>
    </w:p>
    <w:p w14:paraId="0459A065" w14:textId="0E1C97E5" w:rsidR="009B02F1" w:rsidRDefault="009B02F1" w:rsidP="004168AC">
      <w:pPr>
        <w:pStyle w:val="ListBullet2"/>
      </w:pPr>
      <w:r w:rsidRPr="005452E1">
        <w:t xml:space="preserve">The </w:t>
      </w:r>
      <w:r>
        <w:t xml:space="preserve">proposed amendments to the Schedule 4 entry and Appendix D entry would remove a perceived </w:t>
      </w:r>
      <w:r w:rsidRPr="005452E1">
        <w:t xml:space="preserve">inconsistency </w:t>
      </w:r>
      <w:r>
        <w:t>between Commonwealth and State and Territory laws regulating nicotine-containing e-cigarettes and help clarify</w:t>
      </w:r>
      <w:r w:rsidRPr="005452E1">
        <w:t xml:space="preserve"> </w:t>
      </w:r>
      <w:r w:rsidRPr="00F82A4D">
        <w:t xml:space="preserve">the circumstances under which Australian Border Force </w:t>
      </w:r>
      <w:r>
        <w:t xml:space="preserve">may </w:t>
      </w:r>
      <w:r w:rsidRPr="00F82A4D">
        <w:t xml:space="preserve">seize e-cigarettes </w:t>
      </w:r>
      <w:r w:rsidRPr="006128A7">
        <w:t>containing nicotine</w:t>
      </w:r>
      <w:r w:rsidR="00A27E6C">
        <w:t>,</w:t>
      </w:r>
      <w:r>
        <w:t xml:space="preserve"> which </w:t>
      </w:r>
      <w:r w:rsidR="00A27E6C">
        <w:t xml:space="preserve">are imported </w:t>
      </w:r>
      <w:r>
        <w:t>in</w:t>
      </w:r>
      <w:r w:rsidR="00A27E6C">
        <w:t>to</w:t>
      </w:r>
      <w:r>
        <w:t xml:space="preserve"> Australia. In effect, it will remove the present uncertainty for some stakeholders over the regulatory treatment of nicotine. A product for human use containing nicotine (other than those specifically excluded from the Poisons Standard) will be included in Schedule 4 regardless of the intended purpose of its use, that is therapeutic or non-therapeutic (recreational), by the user. Currently, where the supplier’s labelling, advertising or other documentation does not clearly state if it is for therapeutic use, there is a reliance on the personal intention of the user to determine the appropriate entry in the </w:t>
      </w:r>
      <w:r w:rsidR="00D00008">
        <w:t xml:space="preserve">current </w:t>
      </w:r>
      <w:r>
        <w:t>Poisons Standard and the applicable State and Territory laws. This creates uncertainty, such that these products may evade compliance and enforcement regimes</w:t>
      </w:r>
      <w:r w:rsidR="00D00008">
        <w:t>;</w:t>
      </w:r>
    </w:p>
    <w:p w14:paraId="7D6AFE42" w14:textId="2F5431A5" w:rsidR="009B02F1" w:rsidRDefault="009B02F1" w:rsidP="004168AC">
      <w:pPr>
        <w:pStyle w:val="ListBullet2"/>
      </w:pPr>
      <w:r>
        <w:t>The proposed amendments would make it clearer that there is no established beneficial human use for nicotine outside therapeutic use and remove any discretionary notion regarding non-therapeutic use</w:t>
      </w:r>
      <w:r w:rsidR="00D00008">
        <w:t>;</w:t>
      </w:r>
    </w:p>
    <w:p w14:paraId="0CA91354" w14:textId="7D4A2EED" w:rsidR="009B02F1" w:rsidRDefault="009B02F1" w:rsidP="004168AC">
      <w:pPr>
        <w:pStyle w:val="ListBullet2"/>
      </w:pPr>
      <w:r>
        <w:t>It</w:t>
      </w:r>
      <w:r w:rsidRPr="00A7468E">
        <w:t xml:space="preserve"> </w:t>
      </w:r>
      <w:r>
        <w:t>would also</w:t>
      </w:r>
      <w:r w:rsidRPr="00A7468E">
        <w:t xml:space="preserve"> help prevent the introduction of non</w:t>
      </w:r>
      <w:r>
        <w:t>-smokers to nicotine via vaping and ensure that nicotine-based e-cigarettes can only be imported, including under the personal importation scheme in the therapeutic goods framework, on the basis of a prescription from a medical practitioner</w:t>
      </w:r>
      <w:r w:rsidR="00D00008">
        <w:t>;</w:t>
      </w:r>
    </w:p>
    <w:p w14:paraId="4D573FFA" w14:textId="145E0C99" w:rsidR="009B02F1" w:rsidRDefault="009B02F1" w:rsidP="004168AC">
      <w:pPr>
        <w:pStyle w:val="ListBullet2"/>
      </w:pPr>
      <w:r w:rsidRPr="00EC2A85">
        <w:rPr>
          <w:lang w:eastAsia="en-AU"/>
        </w:rPr>
        <w:t xml:space="preserve">The Committee advised that the current pathway for approval to supply products for smoking cessation is available for </w:t>
      </w:r>
      <w:r>
        <w:rPr>
          <w:lang w:eastAsia="en-AU"/>
        </w:rPr>
        <w:t>e-cigarettes containing nicotine</w:t>
      </w:r>
      <w:r w:rsidRPr="00EC2A85">
        <w:rPr>
          <w:lang w:eastAsia="en-AU"/>
        </w:rPr>
        <w:t>. An application for registration on the ARTG could be made, which would involve assessment of the safety, efficacy and quality by the TGA, consistent with the requirements for existing nicotine replacement products</w:t>
      </w:r>
      <w:r w:rsidR="00D00008">
        <w:rPr>
          <w:lang w:eastAsia="en-AU"/>
        </w:rPr>
        <w:t>;</w:t>
      </w:r>
    </w:p>
    <w:p w14:paraId="273E3815" w14:textId="5B339093" w:rsidR="009B02F1" w:rsidRDefault="009B02F1" w:rsidP="004168AC">
      <w:pPr>
        <w:pStyle w:val="ListBullet2"/>
      </w:pPr>
      <w:r>
        <w:t>T</w:t>
      </w:r>
      <w:r w:rsidRPr="00385217">
        <w:t xml:space="preserve">he </w:t>
      </w:r>
      <w:r>
        <w:t>delegate’s</w:t>
      </w:r>
      <w:r w:rsidRPr="00385217">
        <w:t xml:space="preserve"> </w:t>
      </w:r>
      <w:hyperlink r:id="rId31" w:history="1">
        <w:r w:rsidRPr="00385217">
          <w:rPr>
            <w:rStyle w:val="Hyperlink"/>
          </w:rPr>
          <w:t>March 2017</w:t>
        </w:r>
      </w:hyperlink>
      <w:r w:rsidRPr="00385217">
        <w:t xml:space="preserve"> </w:t>
      </w:r>
      <w:r>
        <w:t xml:space="preserve">final </w:t>
      </w:r>
      <w:r w:rsidRPr="00385217">
        <w:t>decision</w:t>
      </w:r>
      <w:r>
        <w:t xml:space="preserve"> on nicotine in e-cigarettes is of relevance</w:t>
      </w:r>
      <w:r w:rsidR="00D00008">
        <w:t>;</w:t>
      </w:r>
    </w:p>
    <w:p w14:paraId="18FA4470" w14:textId="78602C54" w:rsidR="009B02F1" w:rsidRPr="00C95DA7" w:rsidRDefault="009B02F1" w:rsidP="004168AC">
      <w:pPr>
        <w:pStyle w:val="ListBullet2"/>
      </w:pPr>
      <w:r w:rsidRPr="00A06C55">
        <w:lastRenderedPageBreak/>
        <w:t xml:space="preserve">The Schedule 4 entry </w:t>
      </w:r>
      <w:r>
        <w:t>would</w:t>
      </w:r>
      <w:r w:rsidRPr="00A06C55">
        <w:t xml:space="preserve"> capture other novel nicotine-containing products</w:t>
      </w:r>
      <w:r>
        <w:t xml:space="preserve"> and preparations for human use</w:t>
      </w:r>
      <w:r w:rsidRPr="00A06C55">
        <w:t xml:space="preserve">, with the exception of those uses currently exempted, on the basis </w:t>
      </w:r>
      <w:r>
        <w:t>that</w:t>
      </w:r>
      <w:r w:rsidRPr="00A06C55">
        <w:t xml:space="preserve"> medical intervention is required for </w:t>
      </w:r>
      <w:r>
        <w:t>these</w:t>
      </w:r>
      <w:r w:rsidRPr="00A06C55">
        <w:t xml:space="preserve"> products. The requirement for a prescription provides an opportunity for a medical practitioner to fully assess a patient's need for a product containing-nicotine and provide information to reduce the risks associated with nicotine use. The Committee discussion focussed on access controls on e-cigarettes containing nicotine due to</w:t>
      </w:r>
      <w:r>
        <w:t xml:space="preserve"> the current public health risk</w:t>
      </w:r>
      <w:r w:rsidRPr="00A06C55">
        <w:t>. However</w:t>
      </w:r>
      <w:r>
        <w:t>,</w:t>
      </w:r>
      <w:r w:rsidRPr="00A06C55">
        <w:t xml:space="preserve"> the substance-related harms would similarly apply to other nove</w:t>
      </w:r>
      <w:r>
        <w:t>l ni</w:t>
      </w:r>
      <w:r w:rsidR="001472AB">
        <w:t>cotine-containing preparations.</w:t>
      </w:r>
    </w:p>
    <w:p w14:paraId="5420491D" w14:textId="77777777" w:rsidR="004F50C4" w:rsidRPr="003240FE" w:rsidRDefault="004F50C4" w:rsidP="00724E11">
      <w:pPr>
        <w:pStyle w:val="Heading4"/>
      </w:pPr>
      <w:r w:rsidRPr="003240FE">
        <w:t>Reasons for the interim decision (including findings on material questions of fact)</w:t>
      </w:r>
    </w:p>
    <w:p w14:paraId="75A1C1DC" w14:textId="4C685E39" w:rsidR="00484E75" w:rsidRDefault="00B566FD" w:rsidP="003240FE">
      <w:r>
        <w:t>I have made a</w:t>
      </w:r>
      <w:r w:rsidR="005524C5">
        <w:t>n interim</w:t>
      </w:r>
      <w:r>
        <w:t xml:space="preserve"> decision to r</w:t>
      </w:r>
      <w:r w:rsidRPr="003079EB">
        <w:t xml:space="preserve">e-schedule nicotine for human use (other than nicotine when in tobacco prepared and packed for smoking, or for therapeutic oromucosal or transdermal </w:t>
      </w:r>
      <w:r w:rsidR="00D00008">
        <w:t>administration</w:t>
      </w:r>
      <w:r w:rsidR="00D00008" w:rsidRPr="003079EB">
        <w:t xml:space="preserve"> </w:t>
      </w:r>
      <w:r w:rsidRPr="003079EB">
        <w:t>as a smoking</w:t>
      </w:r>
      <w:r w:rsidR="007C6CE1">
        <w:t xml:space="preserve"> </w:t>
      </w:r>
      <w:r w:rsidR="00D00008">
        <w:t>cesssation</w:t>
      </w:r>
      <w:r w:rsidRPr="003079EB">
        <w:t xml:space="preserve"> aid) from Schedule 7 to Schedule 4. The proposed Schedule 4 entry will capture all human use apart from those uses currently exempted.</w:t>
      </w:r>
      <w:r w:rsidR="00AE44B8">
        <w:t xml:space="preserve"> The Schedule 4 entry w</w:t>
      </w:r>
      <w:r w:rsidR="009A706C">
        <w:t>ill</w:t>
      </w:r>
      <w:r w:rsidR="00AE44B8">
        <w:t xml:space="preserve"> capture nicotine when prepared for use in </w:t>
      </w:r>
      <w:r w:rsidR="00AE44B8" w:rsidRPr="002C0D6F">
        <w:t>e-cigarettes, e-juice, heat-not-burn tobacc</w:t>
      </w:r>
      <w:r w:rsidR="00AE44B8">
        <w:t xml:space="preserve">o products, chewing tobacco, </w:t>
      </w:r>
      <w:r w:rsidR="00AE44B8" w:rsidRPr="002C0D6F">
        <w:t>snuff</w:t>
      </w:r>
      <w:r w:rsidR="00AE44B8">
        <w:t xml:space="preserve"> and </w:t>
      </w:r>
      <w:r w:rsidR="005E69A1">
        <w:t>other novel nicotine</w:t>
      </w:r>
      <w:r w:rsidR="00AE44B8">
        <w:t xml:space="preserve"> products, even if no therapeutic claim</w:t>
      </w:r>
      <w:r w:rsidR="00D00008">
        <w:t>s are</w:t>
      </w:r>
      <w:r w:rsidR="00AE44B8">
        <w:t xml:space="preserve"> made.</w:t>
      </w:r>
      <w:r w:rsidR="00CE7F3B">
        <w:t xml:space="preserve"> </w:t>
      </w:r>
      <w:r>
        <w:t>I have also made a decision to i</w:t>
      </w:r>
      <w:r w:rsidRPr="003079EB">
        <w:t xml:space="preserve">nclude nicotine, when </w:t>
      </w:r>
      <w:r w:rsidR="00D00008">
        <w:t xml:space="preserve">included </w:t>
      </w:r>
      <w:r w:rsidRPr="003079EB">
        <w:t xml:space="preserve">in Schedule 4 medicines, in </w:t>
      </w:r>
      <w:r w:rsidR="00D00008">
        <w:t xml:space="preserve">item 5 of </w:t>
      </w:r>
      <w:r w:rsidRPr="003079EB">
        <w:t>Appendix D to ensure that possession of Schedule 4 products containing nicotine must be in accordance with a legal prescription.</w:t>
      </w:r>
      <w:r>
        <w:t xml:space="preserve"> I have made a decision to d</w:t>
      </w:r>
      <w:r w:rsidRPr="003079EB">
        <w:t>elete the Schedule 6 entry</w:t>
      </w:r>
      <w:r w:rsidR="005E69A1">
        <w:t xml:space="preserve"> as there are </w:t>
      </w:r>
      <w:r w:rsidRPr="003079EB">
        <w:t>no longer any registered agricultural and veterinary products containing nicotine.</w:t>
      </w:r>
      <w:r>
        <w:t xml:space="preserve"> </w:t>
      </w:r>
      <w:r w:rsidR="00842FB3">
        <w:t xml:space="preserve">The proposed change would mean that any </w:t>
      </w:r>
      <w:r w:rsidR="00842FB3" w:rsidRPr="00842FB3">
        <w:t xml:space="preserve">new </w:t>
      </w:r>
      <w:r w:rsidR="00842FB3">
        <w:t>a</w:t>
      </w:r>
      <w:r w:rsidR="00842FB3" w:rsidRPr="00842FB3">
        <w:t>gricultural and veterinary product will</w:t>
      </w:r>
      <w:r w:rsidR="00842FB3">
        <w:t xml:space="preserve"> be captured as a Schedule 7 dangerous poison</w:t>
      </w:r>
      <w:r w:rsidR="00842FB3" w:rsidRPr="00842FB3">
        <w:t xml:space="preserve">. </w:t>
      </w:r>
      <w:r w:rsidR="007408C6">
        <w:t xml:space="preserve">It should be noted that my </w:t>
      </w:r>
      <w:r w:rsidR="00364671">
        <w:t xml:space="preserve">interim </w:t>
      </w:r>
      <w:r w:rsidR="007408C6">
        <w:t xml:space="preserve">decision </w:t>
      </w:r>
      <w:r w:rsidR="007408C6" w:rsidRPr="007408C6">
        <w:t>do</w:t>
      </w:r>
      <w:r w:rsidR="007408C6">
        <w:t>es not alter</w:t>
      </w:r>
      <w:r w:rsidR="007408C6" w:rsidRPr="007408C6">
        <w:t xml:space="preserve"> the current exemption from scheduling for tobacco prepared and packed for smoking</w:t>
      </w:r>
      <w:r w:rsidR="007408C6">
        <w:t xml:space="preserve">. </w:t>
      </w:r>
      <w:r>
        <w:t>The detailed reasons</w:t>
      </w:r>
      <w:r w:rsidR="003240FE">
        <w:t xml:space="preserve"> for my final decisions follow.</w:t>
      </w:r>
    </w:p>
    <w:p w14:paraId="59971D71" w14:textId="066BA711" w:rsidR="000174FD" w:rsidRDefault="00B8103C" w:rsidP="001472AB">
      <w:r>
        <w:t>The</w:t>
      </w:r>
      <w:r w:rsidR="000B4531">
        <w:t xml:space="preserve"> proposed</w:t>
      </w:r>
      <w:r>
        <w:t xml:space="preserve"> amendment to the Schedule 4 entry will </w:t>
      </w:r>
      <w:r w:rsidRPr="00B8103C">
        <w:t>clarify that nicotine for human use, other than tobacco for smoking, is only exempt from Schedule 4 when it is included in oromucosal and transdermal preparations for smoking cessation</w:t>
      </w:r>
      <w:r>
        <w:t xml:space="preserve">. </w:t>
      </w:r>
      <w:r w:rsidR="00B2374A">
        <w:t xml:space="preserve">I find that </w:t>
      </w:r>
      <w:r>
        <w:t>nicotine</w:t>
      </w:r>
      <w:r w:rsidR="004C1537">
        <w:t xml:space="preserve"> in </w:t>
      </w:r>
      <w:r w:rsidR="004C1537" w:rsidRPr="006D7837">
        <w:t>preparations for human</w:t>
      </w:r>
      <w:r w:rsidR="004C1537">
        <w:t xml:space="preserve"> use such as e-cigarettes or other novel preparations</w:t>
      </w:r>
      <w:r>
        <w:t xml:space="preserve"> and delivery systems</w:t>
      </w:r>
      <w:r w:rsidR="005B4C4D">
        <w:t xml:space="preserve"> are</w:t>
      </w:r>
      <w:r w:rsidR="00B2374A">
        <w:t xml:space="preserve"> consistent with</w:t>
      </w:r>
      <w:r w:rsidR="004C1537">
        <w:t xml:space="preserve"> the </w:t>
      </w:r>
      <w:r w:rsidR="0012165C">
        <w:t xml:space="preserve">scheduling factors relevant to </w:t>
      </w:r>
      <w:r w:rsidR="004C1537">
        <w:t xml:space="preserve">Schedule 4 </w:t>
      </w:r>
      <w:r w:rsidR="0012165C">
        <w:t xml:space="preserve">substances as outlined </w:t>
      </w:r>
      <w:r w:rsidR="004C1537">
        <w:t xml:space="preserve">in the </w:t>
      </w:r>
      <w:hyperlink r:id="rId32" w:history="1">
        <w:r w:rsidR="004C1537" w:rsidRPr="00D319D3">
          <w:rPr>
            <w:rStyle w:val="Hyperlink"/>
          </w:rPr>
          <w:t>Scheduling Policy Framework</w:t>
        </w:r>
        <w:r w:rsidR="00C16639" w:rsidRPr="00D319D3">
          <w:rPr>
            <w:rStyle w:val="Hyperlink"/>
          </w:rPr>
          <w:t xml:space="preserve"> (SPF)</w:t>
        </w:r>
      </w:hyperlink>
      <w:r w:rsidR="000174FD">
        <w:t xml:space="preserve">. </w:t>
      </w:r>
      <w:r w:rsidR="005E69A1">
        <w:t xml:space="preserve">While there is currently a focus on </w:t>
      </w:r>
      <w:r w:rsidR="000174FD" w:rsidRPr="00BD4B87">
        <w:t>access controls</w:t>
      </w:r>
      <w:r w:rsidR="005E69A1">
        <w:t xml:space="preserve"> for</w:t>
      </w:r>
      <w:r w:rsidR="005E69A1" w:rsidRPr="00BD4B87">
        <w:t xml:space="preserve"> </w:t>
      </w:r>
      <w:r w:rsidR="000174FD" w:rsidRPr="00BD4B87">
        <w:t xml:space="preserve">e-cigarettes containing nicotine due to </w:t>
      </w:r>
      <w:r w:rsidR="000B4531">
        <w:t xml:space="preserve">the </w:t>
      </w:r>
      <w:r w:rsidR="005E69A1">
        <w:t xml:space="preserve">present </w:t>
      </w:r>
      <w:r w:rsidR="000B4531">
        <w:t>public health risk</w:t>
      </w:r>
      <w:r w:rsidR="00E557E3">
        <w:t xml:space="preserve"> </w:t>
      </w:r>
      <w:r w:rsidR="000174FD" w:rsidRPr="00BD4B87">
        <w:t xml:space="preserve">the substance-related harms </w:t>
      </w:r>
      <w:r w:rsidR="00570402">
        <w:t xml:space="preserve">and requirement for medical intervention </w:t>
      </w:r>
      <w:r w:rsidR="005B4C4D">
        <w:t xml:space="preserve">apply to other novel nicotine </w:t>
      </w:r>
      <w:r w:rsidR="005B4C4D" w:rsidRPr="00BD4B87">
        <w:t>preparations</w:t>
      </w:r>
      <w:r w:rsidR="005B4C4D">
        <w:t xml:space="preserve"> and delivery systems</w:t>
      </w:r>
      <w:r w:rsidR="00570402">
        <w:t>.</w:t>
      </w:r>
    </w:p>
    <w:p w14:paraId="15515018" w14:textId="3021DC97" w:rsidR="00775988" w:rsidRDefault="005D52A5" w:rsidP="001472AB">
      <w:r>
        <w:t>The e</w:t>
      </w:r>
      <w:r w:rsidR="004C1537">
        <w:t>xperience</w:t>
      </w:r>
      <w:r w:rsidR="004C1537" w:rsidRPr="00553C77">
        <w:t xml:space="preserve"> </w:t>
      </w:r>
      <w:r w:rsidR="004C1537">
        <w:t>on the use of nicotine in e-cigarettes</w:t>
      </w:r>
      <w:r w:rsidR="004C1537" w:rsidRPr="00553C77">
        <w:t xml:space="preserve"> </w:t>
      </w:r>
      <w:r w:rsidR="004C1537" w:rsidRPr="00DA5BA1">
        <w:t xml:space="preserve">for smoking cessation </w:t>
      </w:r>
      <w:r w:rsidR="004C1537" w:rsidRPr="00553C77">
        <w:t xml:space="preserve">under normal </w:t>
      </w:r>
      <w:r w:rsidR="004C1537">
        <w:t>c</w:t>
      </w:r>
      <w:r w:rsidR="00812083">
        <w:t xml:space="preserve">linical conditions is limited. </w:t>
      </w:r>
      <w:r w:rsidR="00A05FF3">
        <w:t xml:space="preserve">In my assessment of the </w:t>
      </w:r>
      <w:r w:rsidR="00355C00">
        <w:t>evidence,</w:t>
      </w:r>
      <w:r w:rsidR="00A05FF3">
        <w:t xml:space="preserve"> I find that</w:t>
      </w:r>
      <w:r w:rsidR="004C1537">
        <w:t xml:space="preserve"> t</w:t>
      </w:r>
      <w:r w:rsidR="004C1537" w:rsidRPr="00553C77">
        <w:t xml:space="preserve">he use of </w:t>
      </w:r>
      <w:r w:rsidR="004C1537">
        <w:t xml:space="preserve">nicotine containing e-cigarettes </w:t>
      </w:r>
      <w:r w:rsidR="006B509D">
        <w:t>for non-</w:t>
      </w:r>
      <w:r w:rsidR="00D968F5">
        <w:t>therapeutic</w:t>
      </w:r>
      <w:r w:rsidR="006B509D">
        <w:t xml:space="preserve"> use </w:t>
      </w:r>
      <w:r w:rsidR="004C1537">
        <w:t>has contributed to, and</w:t>
      </w:r>
      <w:r w:rsidR="004C1537" w:rsidRPr="00553C77">
        <w:t xml:space="preserve"> is likely t</w:t>
      </w:r>
      <w:r w:rsidR="004C1537">
        <w:t>o contribute to, communal harm</w:t>
      </w:r>
      <w:r w:rsidR="000E47CA">
        <w:t>.</w:t>
      </w:r>
      <w:r w:rsidR="00BD44E5">
        <w:t xml:space="preserve"> </w:t>
      </w:r>
      <w:r w:rsidR="00C16639">
        <w:t xml:space="preserve">The SPF </w:t>
      </w:r>
      <w:r w:rsidR="00D00008">
        <w:t>provides</w:t>
      </w:r>
      <w:r w:rsidR="00C16639">
        <w:t xml:space="preserve"> that substances </w:t>
      </w:r>
      <w:r w:rsidR="00C16639" w:rsidRPr="00C16639">
        <w:t>are scheduled according to the risk of harm and the level of access control required to protect consumers.</w:t>
      </w:r>
      <w:r w:rsidR="006C1BAF">
        <w:t xml:space="preserve"> In my view, restrictions on the availability of </w:t>
      </w:r>
      <w:r w:rsidR="00BD44E5">
        <w:t>e-cigarettes</w:t>
      </w:r>
      <w:r w:rsidR="0053247C">
        <w:t xml:space="preserve"> </w:t>
      </w:r>
      <w:r w:rsidR="00A44896">
        <w:t xml:space="preserve">are necessary to mitigate the potential </w:t>
      </w:r>
      <w:r w:rsidR="000E47CA" w:rsidRPr="00FE1DA2">
        <w:t>uptake</w:t>
      </w:r>
      <w:r w:rsidR="000E47CA">
        <w:t xml:space="preserve"> of</w:t>
      </w:r>
      <w:r w:rsidR="000E47CA" w:rsidRPr="00FE1DA2">
        <w:t xml:space="preserve"> smoking</w:t>
      </w:r>
      <w:r w:rsidR="000E47CA">
        <w:t xml:space="preserve"> in young adults </w:t>
      </w:r>
      <w:r w:rsidR="000E47CA" w:rsidRPr="00DA23EA">
        <w:t>who would otherwise be at low risk of initiating nicotine addiction</w:t>
      </w:r>
      <w:r w:rsidR="00E557E3">
        <w:t xml:space="preserve">. </w:t>
      </w:r>
      <w:r w:rsidR="00D44B04">
        <w:t xml:space="preserve">I have had regard </w:t>
      </w:r>
      <w:r w:rsidR="00D00008">
        <w:t xml:space="preserve">to </w:t>
      </w:r>
      <w:r w:rsidR="00D44B04">
        <w:t>the</w:t>
      </w:r>
      <w:r w:rsidR="00E557E3" w:rsidRPr="00E557E3">
        <w:t xml:space="preserve"> </w:t>
      </w:r>
      <w:r w:rsidR="00E557E3" w:rsidRPr="00D44B04">
        <w:t>2018</w:t>
      </w:r>
      <w:r w:rsidR="00D44B04" w:rsidRPr="00D44B04">
        <w:t xml:space="preserve"> report on the</w:t>
      </w:r>
      <w:r w:rsidR="00D44B04">
        <w:t xml:space="preserve"> </w:t>
      </w:r>
      <w:hyperlink r:id="rId33" w:history="1">
        <w:r w:rsidR="00D44B04" w:rsidRPr="00D44B04">
          <w:rPr>
            <w:rStyle w:val="Hyperlink"/>
          </w:rPr>
          <w:t>Public Health Consequences of E-Cigarettes from the United States National Academies of Sciences, Engineering and Medicine</w:t>
        </w:r>
      </w:hyperlink>
      <w:r w:rsidR="00D44B04">
        <w:t>, which found substantial evidence that e-cigarette use results in young people taking up smoking of conventional cigarettes.</w:t>
      </w:r>
      <w:r w:rsidR="00A44896">
        <w:t xml:space="preserve"> At the time of making </w:t>
      </w:r>
      <w:r w:rsidR="00364671">
        <w:t xml:space="preserve">this interim </w:t>
      </w:r>
      <w:r w:rsidR="00A44896">
        <w:t>decision</w:t>
      </w:r>
      <w:r w:rsidR="00D00008">
        <w:t>,</w:t>
      </w:r>
      <w:r w:rsidR="00775988" w:rsidRPr="00775988">
        <w:t xml:space="preserve"> </w:t>
      </w:r>
      <w:r w:rsidR="00852BE5">
        <w:t>I</w:t>
      </w:r>
      <w:r w:rsidR="00A44896">
        <w:t xml:space="preserve"> </w:t>
      </w:r>
      <w:r w:rsidR="00364671">
        <w:t xml:space="preserve">have </w:t>
      </w:r>
      <w:r w:rsidR="00A44896">
        <w:t>consi</w:t>
      </w:r>
      <w:r w:rsidR="00852BE5">
        <w:t xml:space="preserve">dered </w:t>
      </w:r>
      <w:r w:rsidR="004C27BF">
        <w:t>evidence which establishes that</w:t>
      </w:r>
      <w:r w:rsidR="00A44896">
        <w:t xml:space="preserve"> e</w:t>
      </w:r>
      <w:r w:rsidR="00A44896" w:rsidRPr="00BE0AB0">
        <w:t xml:space="preserve">xposure to nicotine in adolescents may have long-term consequences for </w:t>
      </w:r>
      <w:hyperlink r:id="rId34" w:history="1">
        <w:r w:rsidR="00A44896" w:rsidRPr="00A44896">
          <w:rPr>
            <w:rStyle w:val="Hyperlink"/>
          </w:rPr>
          <w:t>brain development</w:t>
        </w:r>
      </w:hyperlink>
      <w:r w:rsidR="00A44896" w:rsidRPr="00BE0AB0">
        <w:t>, potentially leading to learning and anxiety disorders</w:t>
      </w:r>
      <w:r w:rsidR="00A44896">
        <w:t>.</w:t>
      </w:r>
      <w:r w:rsidR="00FC06F0">
        <w:t xml:space="preserve"> </w:t>
      </w:r>
      <w:r w:rsidR="00D319D3">
        <w:t xml:space="preserve">I note that </w:t>
      </w:r>
      <w:r w:rsidR="00C70349">
        <w:t>the harms associated with e</w:t>
      </w:r>
      <w:r w:rsidR="00C70349" w:rsidRPr="00C70349">
        <w:t xml:space="preserve">-cigarette use among youth and young adults </w:t>
      </w:r>
      <w:r w:rsidR="00D319D3">
        <w:t>were</w:t>
      </w:r>
      <w:r w:rsidR="00C70349">
        <w:t xml:space="preserve"> also</w:t>
      </w:r>
      <w:r w:rsidR="00D319D3">
        <w:t xml:space="preserve"> raised in the final </w:t>
      </w:r>
      <w:r w:rsidR="00D319D3" w:rsidRPr="00385217">
        <w:t>decision</w:t>
      </w:r>
      <w:r w:rsidR="00D319D3">
        <w:t xml:space="preserve"> on nicotine in e-cigarettes published in </w:t>
      </w:r>
      <w:hyperlink r:id="rId35" w:history="1">
        <w:r w:rsidR="00D319D3" w:rsidRPr="00385217">
          <w:rPr>
            <w:rStyle w:val="Hyperlink"/>
          </w:rPr>
          <w:t>March 2017</w:t>
        </w:r>
      </w:hyperlink>
      <w:r w:rsidR="00D319D3">
        <w:t xml:space="preserve">. </w:t>
      </w:r>
      <w:r w:rsidR="00FC06F0">
        <w:t>In my opinion, the</w:t>
      </w:r>
      <w:r w:rsidR="006A1382">
        <w:t xml:space="preserve"> requirement for a prescription</w:t>
      </w:r>
      <w:r w:rsidR="00FC06F0" w:rsidRPr="00FC06F0">
        <w:t xml:space="preserve"> would help prevent the introduction of non-smokers to nicotine via vaping</w:t>
      </w:r>
      <w:r w:rsidR="00FC06F0">
        <w:t xml:space="preserve"> </w:t>
      </w:r>
      <w:r w:rsidR="00FC06F0" w:rsidRPr="00FC06F0">
        <w:t>and ensure that nicotine-based e-cigarettes can only be imported, including under the personal importation scheme in the therapeutic goods framework, on the basis of a prescription from a medical practitioner.</w:t>
      </w:r>
    </w:p>
    <w:p w14:paraId="6B7A6C9A" w14:textId="1B33A070" w:rsidR="0053247C" w:rsidRDefault="00D00008">
      <w:r>
        <w:t xml:space="preserve">In my view, the inclusion of nicotine in Schedule 4 </w:t>
      </w:r>
      <w:r w:rsidR="00364671">
        <w:t>would</w:t>
      </w:r>
      <w:r>
        <w:t xml:space="preserve"> </w:t>
      </w:r>
      <w:r w:rsidR="00364671">
        <w:t>require</w:t>
      </w:r>
      <w:r>
        <w:t xml:space="preserve"> </w:t>
      </w:r>
      <w:r w:rsidR="0053247C">
        <w:t xml:space="preserve">a medical practitioner </w:t>
      </w:r>
      <w:r w:rsidR="00364671">
        <w:t xml:space="preserve">to </w:t>
      </w:r>
      <w:r w:rsidR="0053247C">
        <w:t>make an informed decision, taking into account the risks of nicotine, on</w:t>
      </w:r>
      <w:r w:rsidR="0053247C" w:rsidRPr="000446D6">
        <w:t xml:space="preserve"> whether it is in the patient's </w:t>
      </w:r>
      <w:r w:rsidR="0053247C" w:rsidRPr="000446D6">
        <w:lastRenderedPageBreak/>
        <w:t xml:space="preserve">best interest to prescribe </w:t>
      </w:r>
      <w:r w:rsidR="0053247C">
        <w:t xml:space="preserve">e-cigarettes </w:t>
      </w:r>
      <w:r w:rsidR="0053247C" w:rsidRPr="000446D6">
        <w:t>as a smoking cessation aid</w:t>
      </w:r>
      <w:r w:rsidR="008D51D7">
        <w:t xml:space="preserve"> or </w:t>
      </w:r>
      <w:r w:rsidR="00B7797F">
        <w:t xml:space="preserve">higher risk </w:t>
      </w:r>
      <w:r w:rsidR="008D51D7">
        <w:t xml:space="preserve">novel nicotine delivery </w:t>
      </w:r>
      <w:r>
        <w:t>preparations</w:t>
      </w:r>
      <w:r w:rsidR="0053247C">
        <w:t xml:space="preserve">. </w:t>
      </w:r>
      <w:r w:rsidR="0053247C" w:rsidRPr="00BD4B87">
        <w:t>The requirement for a prescription provides an opportunity for a medical practitioner to fully assess a patient's need for e-cigarettes or other novel products containing nicotine an</w:t>
      </w:r>
      <w:r w:rsidR="0053247C">
        <w:t>d allow for the provision of advic</w:t>
      </w:r>
      <w:r w:rsidR="0053247C" w:rsidRPr="001C7BDC">
        <w:t xml:space="preserve">e </w:t>
      </w:r>
      <w:r w:rsidR="0053247C">
        <w:t>to patients on</w:t>
      </w:r>
      <w:r w:rsidR="0053247C" w:rsidRPr="001C7BDC">
        <w:t xml:space="preserve"> all </w:t>
      </w:r>
      <w:r w:rsidR="0053247C">
        <w:t xml:space="preserve">of the </w:t>
      </w:r>
      <w:r w:rsidR="0053247C" w:rsidRPr="001C7BDC">
        <w:t>potential risks and benefits</w:t>
      </w:r>
      <w:r w:rsidR="0053247C">
        <w:t xml:space="preserve"> and how</w:t>
      </w:r>
      <w:r w:rsidR="0053247C" w:rsidRPr="00BD4B87">
        <w:t xml:space="preserve"> to reduce the risks associated with nicotine use. </w:t>
      </w:r>
      <w:r w:rsidR="008D51D7">
        <w:t xml:space="preserve">Medical intervention may involve a </w:t>
      </w:r>
      <w:r w:rsidR="00765754">
        <w:t xml:space="preserve">discussion </w:t>
      </w:r>
      <w:r w:rsidR="008D51D7">
        <w:t xml:space="preserve">on </w:t>
      </w:r>
      <w:r w:rsidR="0053247C" w:rsidRPr="0053247C">
        <w:t xml:space="preserve">what nicotine replacement </w:t>
      </w:r>
      <w:r w:rsidR="00AF77AC" w:rsidRPr="0053247C">
        <w:t>product</w:t>
      </w:r>
      <w:r w:rsidR="0053247C" w:rsidRPr="0053247C">
        <w:t xml:space="preserve"> </w:t>
      </w:r>
      <w:r w:rsidR="00AF2D51">
        <w:t>is</w:t>
      </w:r>
      <w:r w:rsidR="00AF2D51" w:rsidRPr="0053247C">
        <w:t xml:space="preserve"> </w:t>
      </w:r>
      <w:r w:rsidR="0053247C" w:rsidRPr="0053247C">
        <w:t>most suitable for people living with young children and how to use liquid nicotine safely</w:t>
      </w:r>
      <w:r w:rsidR="0053247C">
        <w:t>.</w:t>
      </w:r>
    </w:p>
    <w:p w14:paraId="52A53F83" w14:textId="2A9211F3" w:rsidR="0009248B" w:rsidRDefault="00BD4B87" w:rsidP="001472AB">
      <w:r>
        <w:t xml:space="preserve">I have considered a number of </w:t>
      </w:r>
      <w:r w:rsidR="0009248B" w:rsidRPr="0009248B">
        <w:t xml:space="preserve">public health concerns </w:t>
      </w:r>
      <w:r>
        <w:t>associated with the</w:t>
      </w:r>
      <w:r w:rsidR="0009248B" w:rsidRPr="0009248B">
        <w:t xml:space="preserve"> use of e-cigarettes containing nicotine, even under strict medical supervision</w:t>
      </w:r>
      <w:r w:rsidR="0009248B">
        <w:t>.</w:t>
      </w:r>
      <w:r w:rsidR="001472AB">
        <w:t xml:space="preserve"> These include:</w:t>
      </w:r>
    </w:p>
    <w:p w14:paraId="28827043" w14:textId="1907BF36" w:rsidR="0009248B" w:rsidRPr="001472AB" w:rsidRDefault="00D00008" w:rsidP="001472AB">
      <w:pPr>
        <w:pStyle w:val="ListBullet"/>
      </w:pPr>
      <w:r>
        <w:t>the p</w:t>
      </w:r>
      <w:r w:rsidR="0009248B">
        <w:t>otent</w:t>
      </w:r>
      <w:r w:rsidR="0009248B" w:rsidRPr="001472AB">
        <w:t>ial for the delivery of a much higher dose of nicotine than registered medicines, in some cases even higher than that obtained from sm</w:t>
      </w:r>
      <w:r w:rsidR="001472AB">
        <w:t>oked cigarettes;</w:t>
      </w:r>
    </w:p>
    <w:p w14:paraId="2F1994DB" w14:textId="1F30DF43" w:rsidR="0009248B" w:rsidRPr="001472AB" w:rsidRDefault="007C6CE1" w:rsidP="001472AB">
      <w:pPr>
        <w:pStyle w:val="ListBullet"/>
      </w:pPr>
      <w:r w:rsidRPr="001472AB">
        <w:t>the r</w:t>
      </w:r>
      <w:r w:rsidR="0009248B" w:rsidRPr="001472AB">
        <w:t xml:space="preserve">isk of maintenance or initiation of nicotine addiction; </w:t>
      </w:r>
      <w:r w:rsidRPr="001472AB">
        <w:t>and</w:t>
      </w:r>
    </w:p>
    <w:p w14:paraId="03705939" w14:textId="0206424C" w:rsidR="0009248B" w:rsidRDefault="007C6CE1" w:rsidP="001472AB">
      <w:pPr>
        <w:pStyle w:val="ListBullet"/>
      </w:pPr>
      <w:r w:rsidRPr="001472AB">
        <w:t>the u</w:t>
      </w:r>
      <w:r w:rsidR="0009248B" w:rsidRPr="001472AB">
        <w:t>nknown long-t</w:t>
      </w:r>
      <w:r w:rsidR="0009248B" w:rsidRPr="00EA3569">
        <w:t>erm advers</w:t>
      </w:r>
      <w:r w:rsidR="0009248B">
        <w:t>e effects</w:t>
      </w:r>
      <w:r w:rsidR="004C27BF">
        <w:t>.</w:t>
      </w:r>
    </w:p>
    <w:p w14:paraId="081B9403" w14:textId="17D2FBE3" w:rsidR="00B76E43" w:rsidRDefault="009A706C" w:rsidP="001472AB">
      <w:r>
        <w:t xml:space="preserve">I </w:t>
      </w:r>
      <w:r w:rsidR="00511A1C">
        <w:t>consider the publication of the Royal Australian College of General Practitioners</w:t>
      </w:r>
      <w:r w:rsidR="00511A1C" w:rsidRPr="003311B4">
        <w:t xml:space="preserve"> </w:t>
      </w:r>
      <w:hyperlink r:id="rId36" w:history="1">
        <w:r w:rsidR="005D52A5" w:rsidRPr="00315AF7">
          <w:rPr>
            <w:rStyle w:val="Hyperlink"/>
          </w:rPr>
          <w:t>Supporting smoking cessation - A guide for health professionals</w:t>
        </w:r>
      </w:hyperlink>
      <w:r w:rsidR="005D52A5">
        <w:t xml:space="preserve"> </w:t>
      </w:r>
      <w:r w:rsidR="0012165C">
        <w:rPr>
          <w:rStyle w:val="Hyperlink"/>
        </w:rPr>
        <w:t>(second edition, December 2019)</w:t>
      </w:r>
      <w:r w:rsidR="0012165C">
        <w:t xml:space="preserve"> </w:t>
      </w:r>
      <w:r w:rsidR="007C6CE1">
        <w:t>(</w:t>
      </w:r>
      <w:r w:rsidR="007C6CE1" w:rsidRPr="006E12AD">
        <w:rPr>
          <w:b/>
        </w:rPr>
        <w:t>RACGP guidelines</w:t>
      </w:r>
      <w:r w:rsidR="007C6CE1">
        <w:t xml:space="preserve">) </w:t>
      </w:r>
      <w:r w:rsidR="00511A1C">
        <w:t xml:space="preserve">to be </w:t>
      </w:r>
      <w:r>
        <w:t>relevant to my deliberations. The</w:t>
      </w:r>
      <w:r w:rsidR="007C6CE1">
        <w:t xml:space="preserve"> RACGP</w:t>
      </w:r>
      <w:r>
        <w:t xml:space="preserve"> guidelines stipulate</w:t>
      </w:r>
      <w:r w:rsidR="005D52A5" w:rsidRPr="003311B4">
        <w:t xml:space="preserve"> that nicotine-containing e-cigarettes are not first-line treatments for smoking cessation and the strongest evidence base for efficacy and safety is for currently approved pharmacological therapies combined with behavioural support.</w:t>
      </w:r>
      <w:r w:rsidR="005D52A5">
        <w:t xml:space="preserve"> </w:t>
      </w:r>
      <w:r w:rsidR="007C6CE1">
        <w:t>Further, t</w:t>
      </w:r>
      <w:r w:rsidR="00A929C0" w:rsidRPr="00A929C0">
        <w:t xml:space="preserve">he RACGP guidelines </w:t>
      </w:r>
      <w:r w:rsidR="007C6CE1">
        <w:t>provide</w:t>
      </w:r>
      <w:r w:rsidR="007C6CE1" w:rsidRPr="00A929C0">
        <w:t xml:space="preserve"> </w:t>
      </w:r>
      <w:r w:rsidR="00A929C0" w:rsidRPr="00A929C0">
        <w:t>that nicotine containing e-cigarettes may be a reasonable intervention for individuals who have failed to achieve smoking cessation with approved pharmacotherapies, but remain motivated to quit smoking and have raised e-cigarette usage with</w:t>
      </w:r>
      <w:r w:rsidR="001472AB">
        <w:t xml:space="preserve"> their healthcare practitioner.</w:t>
      </w:r>
    </w:p>
    <w:p w14:paraId="2509E253" w14:textId="77777777" w:rsidR="004A153B" w:rsidRDefault="001D00EF" w:rsidP="001472AB">
      <w:r>
        <w:t xml:space="preserve">I note </w:t>
      </w:r>
      <w:r w:rsidR="000B4531">
        <w:t>the available evidence</w:t>
      </w:r>
      <w:r w:rsidR="00355C00" w:rsidRPr="00355C00">
        <w:t xml:space="preserve"> does not support that e-cigarettes are a safer alternative to smoking cessation aids currently available and that there is currently insufficient evidence to conclude whether e-cigarettes can benefit smokers in quitting</w:t>
      </w:r>
      <w:r w:rsidR="00355C00">
        <w:t xml:space="preserve">. </w:t>
      </w:r>
      <w:r w:rsidR="004A153B">
        <w:t>It should also be noted the inclusion of a poison in a Schedule indicates the degree of control required if it is marketed. It does not indicate that the poison is available; nor that is has been approved or is efficacious for any use that may be specified in a Schedule; nor</w:t>
      </w:r>
      <w:r w:rsidR="00D14335">
        <w:t xml:space="preserve"> </w:t>
      </w:r>
      <w:r w:rsidR="004A153B">
        <w:t>does it negate any obligation for registration of a therapeutic good containing that poison.</w:t>
      </w:r>
    </w:p>
    <w:p w14:paraId="073C5C94" w14:textId="14520BF0" w:rsidR="001D00EF" w:rsidRDefault="001D00EF" w:rsidP="001472AB">
      <w:r>
        <w:t>I have</w:t>
      </w:r>
      <w:r w:rsidR="00653AC9">
        <w:t xml:space="preserve"> had regard for the </w:t>
      </w:r>
      <w:r>
        <w:t xml:space="preserve">seven </w:t>
      </w:r>
      <w:r w:rsidR="00AD1D87">
        <w:t xml:space="preserve">pre-meeting </w:t>
      </w:r>
      <w:r>
        <w:t>public submissions in opposition. I</w:t>
      </w:r>
      <w:r w:rsidR="00653AC9">
        <w:t>t should be noted</w:t>
      </w:r>
      <w:r>
        <w:t xml:space="preserve"> that a number of the submissions raised arguments for </w:t>
      </w:r>
      <w:r w:rsidRPr="00AA54A3">
        <w:t xml:space="preserve">the total </w:t>
      </w:r>
      <w:r>
        <w:t>exemption from scheduling of unapproved</w:t>
      </w:r>
      <w:r w:rsidRPr="00AA54A3">
        <w:t xml:space="preserve"> nicotine products</w:t>
      </w:r>
      <w:r>
        <w:t>, rather than specifically addressing the current proposal.</w:t>
      </w:r>
      <w:r w:rsidR="00550F3F">
        <w:t xml:space="preserve"> </w:t>
      </w:r>
      <w:r w:rsidR="00550F3F" w:rsidRPr="00CB2058">
        <w:t xml:space="preserve">In my view, arguments in relation to </w:t>
      </w:r>
      <w:r w:rsidR="00852BE5">
        <w:t xml:space="preserve">that </w:t>
      </w:r>
      <w:r w:rsidR="00550F3F" w:rsidRPr="00CB2058">
        <w:t xml:space="preserve">exemption </w:t>
      </w:r>
      <w:r w:rsidR="006C0E49" w:rsidRPr="00FC06F0">
        <w:t xml:space="preserve">have been previously considered and </w:t>
      </w:r>
      <w:r w:rsidR="00852BE5">
        <w:t xml:space="preserve">I note </w:t>
      </w:r>
      <w:r w:rsidR="007C6CE1">
        <w:t xml:space="preserve">those arguments </w:t>
      </w:r>
      <w:r w:rsidR="006C0E49">
        <w:t>were</w:t>
      </w:r>
      <w:r w:rsidR="00033375">
        <w:t xml:space="preserve"> subsequently </w:t>
      </w:r>
      <w:r w:rsidR="00852BE5">
        <w:t>refuted</w:t>
      </w:r>
      <w:r w:rsidR="007C6CE1">
        <w:t xml:space="preserve"> in the interests of public safety</w:t>
      </w:r>
      <w:r w:rsidR="001472AB">
        <w:t>.</w:t>
      </w:r>
    </w:p>
    <w:p w14:paraId="31B845C0" w14:textId="39847DAB" w:rsidR="0053247C" w:rsidRDefault="00653AC9" w:rsidP="001472AB">
      <w:r>
        <w:t>I note the support of the present scheduling proposal from</w:t>
      </w:r>
      <w:r w:rsidR="00033375">
        <w:t xml:space="preserve"> </w:t>
      </w:r>
      <w:r>
        <w:t xml:space="preserve">the </w:t>
      </w:r>
      <w:r w:rsidR="008D51D7">
        <w:t xml:space="preserve">Cancer Council Australia, </w:t>
      </w:r>
      <w:r w:rsidRPr="00EA6C8F">
        <w:t>Pharmacy Guild</w:t>
      </w:r>
      <w:r w:rsidR="00033375">
        <w:t xml:space="preserve">, </w:t>
      </w:r>
      <w:r w:rsidR="00033375" w:rsidRPr="00033375">
        <w:t>Public Health Association of Australia</w:t>
      </w:r>
      <w:r w:rsidR="00033375">
        <w:t>, Royal Australian and</w:t>
      </w:r>
      <w:r w:rsidR="00033375" w:rsidRPr="00033375">
        <w:t xml:space="preserve"> New Zealand College of Psychiatrists</w:t>
      </w:r>
      <w:r>
        <w:t xml:space="preserve"> and the </w:t>
      </w:r>
      <w:r w:rsidR="008D51D7">
        <w:t>Australian Medical Association received in response t</w:t>
      </w:r>
      <w:r w:rsidR="001472AB">
        <w:t>o the pre-meeting consultation.</w:t>
      </w:r>
    </w:p>
    <w:p w14:paraId="0558A222" w14:textId="04DA84FC" w:rsidR="004C1537" w:rsidRDefault="00DB6735" w:rsidP="001472AB">
      <w:r>
        <w:t>For the reasons referred to above,</w:t>
      </w:r>
      <w:r w:rsidR="005D52A5">
        <w:t xml:space="preserve"> on balance, it is my view that the </w:t>
      </w:r>
      <w:r w:rsidR="0012165C">
        <w:t>s</w:t>
      </w:r>
      <w:r w:rsidR="005D52A5">
        <w:t xml:space="preserve">cheduling </w:t>
      </w:r>
      <w:r w:rsidR="0012165C">
        <w:t>f</w:t>
      </w:r>
      <w:r w:rsidR="005D52A5">
        <w:t xml:space="preserve">actors </w:t>
      </w:r>
      <w:r w:rsidR="00885AA4">
        <w:t xml:space="preserve">enumerated in the SPF in relation to Schedule 4 </w:t>
      </w:r>
      <w:r w:rsidR="0012165C">
        <w:t xml:space="preserve">substances </w:t>
      </w:r>
      <w:r w:rsidR="005D52A5">
        <w:t>are satisfied and a Schedule 4 classification</w:t>
      </w:r>
      <w:r w:rsidR="00A05FF3">
        <w:t xml:space="preserve"> for</w:t>
      </w:r>
      <w:r w:rsidR="005D52A5">
        <w:t xml:space="preserve"> </w:t>
      </w:r>
      <w:r w:rsidR="00A05FF3" w:rsidRPr="003079EB">
        <w:t xml:space="preserve">nicotine for human use (other than nicotine when in tobacco prepared and packed for smoking, or for therapeutic oromucosal or transdermal </w:t>
      </w:r>
      <w:r w:rsidR="00885AA4">
        <w:t>administration</w:t>
      </w:r>
      <w:r w:rsidR="00885AA4" w:rsidRPr="003079EB">
        <w:t xml:space="preserve"> </w:t>
      </w:r>
      <w:r w:rsidR="00A05FF3" w:rsidRPr="003079EB">
        <w:t xml:space="preserve">as a smoking </w:t>
      </w:r>
      <w:r w:rsidR="00885AA4">
        <w:t xml:space="preserve">cessation </w:t>
      </w:r>
      <w:r w:rsidR="00A05FF3" w:rsidRPr="003079EB">
        <w:t>aid)</w:t>
      </w:r>
      <w:r w:rsidR="00A05FF3">
        <w:t xml:space="preserve"> </w:t>
      </w:r>
      <w:r w:rsidR="005D52A5">
        <w:t>i</w:t>
      </w:r>
      <w:r w:rsidR="001472AB">
        <w:t>s appropriate.</w:t>
      </w:r>
    </w:p>
    <w:p w14:paraId="34509B7D" w14:textId="40E13769" w:rsidR="00FC06F0" w:rsidRDefault="00A05FF3" w:rsidP="001472AB">
      <w:r>
        <w:t xml:space="preserve">My </w:t>
      </w:r>
      <w:r w:rsidR="00364671">
        <w:t xml:space="preserve">interim </w:t>
      </w:r>
      <w:r>
        <w:t>decision to</w:t>
      </w:r>
      <w:r w:rsidR="00AE44B8">
        <w:t xml:space="preserve"> i</w:t>
      </w:r>
      <w:r w:rsidR="00AE44B8" w:rsidRPr="003079EB">
        <w:t>nclude nicotine, when in Schedule 4 m</w:t>
      </w:r>
      <w:r w:rsidR="00AE44B8">
        <w:t xml:space="preserve">edicines, in </w:t>
      </w:r>
      <w:r w:rsidR="00885AA4">
        <w:t xml:space="preserve">item 5 of </w:t>
      </w:r>
      <w:r w:rsidR="00AE44B8">
        <w:t>Appendix D</w:t>
      </w:r>
      <w:r w:rsidR="00DA391F">
        <w:t xml:space="preserve"> of the </w:t>
      </w:r>
      <w:r w:rsidR="00885AA4">
        <w:t xml:space="preserve">current </w:t>
      </w:r>
      <w:r w:rsidR="00DA391F">
        <w:t>Poison Standard</w:t>
      </w:r>
      <w:r>
        <w:t xml:space="preserve"> will ensure that possession of Schedule 4 </w:t>
      </w:r>
      <w:r w:rsidR="00885AA4">
        <w:t xml:space="preserve">preparations </w:t>
      </w:r>
      <w:r>
        <w:t>containing nicotine must be in accor</w:t>
      </w:r>
      <w:r w:rsidR="006C14A8">
        <w:t xml:space="preserve">dance with a legal prescription. </w:t>
      </w:r>
      <w:r w:rsidR="001D00EF">
        <w:t>I</w:t>
      </w:r>
      <w:r w:rsidR="0094404B">
        <w:t>t should be</w:t>
      </w:r>
      <w:r w:rsidR="001D00EF">
        <w:t xml:space="preserve"> note</w:t>
      </w:r>
      <w:r w:rsidR="0094404B">
        <w:t>d</w:t>
      </w:r>
      <w:r w:rsidR="001D00EF">
        <w:t xml:space="preserve"> that </w:t>
      </w:r>
      <w:r w:rsidR="0094404B">
        <w:t xml:space="preserve">the </w:t>
      </w:r>
      <w:r w:rsidR="00EC2331">
        <w:t>reference to ‘human therapeutic use’</w:t>
      </w:r>
      <w:r w:rsidR="0094404B">
        <w:t xml:space="preserve"> in the current Schedule 4 entry</w:t>
      </w:r>
      <w:r w:rsidR="006D7853">
        <w:t xml:space="preserve"> for nicotine</w:t>
      </w:r>
      <w:r w:rsidR="00033375">
        <w:t xml:space="preserve"> is a source of </w:t>
      </w:r>
      <w:r w:rsidR="00033375" w:rsidRPr="00033375">
        <w:t xml:space="preserve">uncertainty for some stakeholders </w:t>
      </w:r>
      <w:r w:rsidR="006A1382">
        <w:t>in relation to</w:t>
      </w:r>
      <w:r w:rsidR="00033375" w:rsidRPr="00033375">
        <w:t xml:space="preserve"> the regulatory treatment of nicotine.</w:t>
      </w:r>
      <w:r w:rsidR="00033375">
        <w:t xml:space="preserve"> </w:t>
      </w:r>
      <w:r w:rsidR="00FC06F0">
        <w:t xml:space="preserve">It is my </w:t>
      </w:r>
      <w:r w:rsidR="00FC06F0">
        <w:lastRenderedPageBreak/>
        <w:t>understanding that, c</w:t>
      </w:r>
      <w:r w:rsidR="00033375" w:rsidRPr="00033375">
        <w:t xml:space="preserve">urrently, where the supplier’s labelling, advertising or other documentation does not clearly state </w:t>
      </w:r>
      <w:r w:rsidR="00885AA4">
        <w:t>whether the product</w:t>
      </w:r>
      <w:r w:rsidR="00033375" w:rsidRPr="00033375">
        <w:t xml:space="preserve"> is for therapeutic use, there is a reliance on the personal intention of the user to determine the appropriate entry in the </w:t>
      </w:r>
      <w:r w:rsidR="00885AA4">
        <w:t xml:space="preserve">current </w:t>
      </w:r>
      <w:r w:rsidR="00033375" w:rsidRPr="00033375">
        <w:t xml:space="preserve">Poisons Standard and the applicable State and Territory laws. </w:t>
      </w:r>
      <w:r w:rsidR="00FC06F0">
        <w:t xml:space="preserve">I note that </w:t>
      </w:r>
      <w:r w:rsidR="00B873A0" w:rsidRPr="00B873A0">
        <w:t>the</w:t>
      </w:r>
      <w:r w:rsidR="00B873A0">
        <w:t xml:space="preserve"> reliance on</w:t>
      </w:r>
      <w:r w:rsidR="00B873A0" w:rsidRPr="00B873A0">
        <w:t xml:space="preserve"> personal intention of the user</w:t>
      </w:r>
      <w:r w:rsidR="00033375" w:rsidRPr="00033375">
        <w:t xml:space="preserve"> creates uncertainty, such that these products may evade compliance and enforcement regimes.</w:t>
      </w:r>
    </w:p>
    <w:p w14:paraId="1369D98A" w14:textId="16172047" w:rsidR="00A05E5C" w:rsidRDefault="00885AA4" w:rsidP="001472AB">
      <w:r>
        <w:t xml:space="preserve">Paragraph 52E(1)(f) of the Act relevantly provides that the Secretary must take into account </w:t>
      </w:r>
      <w:r w:rsidR="00610978">
        <w:t>‘</w:t>
      </w:r>
      <w:r w:rsidR="00610978" w:rsidRPr="00610978">
        <w:rPr>
          <w:i/>
        </w:rPr>
        <w:t>any other matters that the Secretary considers necessary to protect public health</w:t>
      </w:r>
      <w:r w:rsidR="00610978">
        <w:t>’.</w:t>
      </w:r>
      <w:r w:rsidR="00653AC9">
        <w:t xml:space="preserve"> </w:t>
      </w:r>
      <w:r w:rsidR="00935456">
        <w:t>On that basis, I am concerned that</w:t>
      </w:r>
      <w:r w:rsidR="00FF44E0">
        <w:t>, under the current scheduling for nicotine,</w:t>
      </w:r>
      <w:r w:rsidR="00935456">
        <w:t xml:space="preserve"> </w:t>
      </w:r>
      <w:r w:rsidR="006D7853">
        <w:t xml:space="preserve">unapproved </w:t>
      </w:r>
      <w:r w:rsidR="00935456" w:rsidRPr="00EC2331">
        <w:t>nicotine products</w:t>
      </w:r>
      <w:r w:rsidR="00FF44E0">
        <w:t xml:space="preserve"> are able to be</w:t>
      </w:r>
      <w:r w:rsidR="006D7853">
        <w:t xml:space="preserve"> imported into</w:t>
      </w:r>
      <w:r w:rsidR="00935456">
        <w:t xml:space="preserve"> Australia</w:t>
      </w:r>
      <w:r w:rsidR="007408C6">
        <w:t xml:space="preserve"> </w:t>
      </w:r>
      <w:r w:rsidR="006D7853">
        <w:t xml:space="preserve">and may be </w:t>
      </w:r>
      <w:r w:rsidR="00FF44E0">
        <w:t xml:space="preserve">associated with adverse health outcomes when </w:t>
      </w:r>
      <w:r w:rsidR="006D7853">
        <w:t>used without medical supervision</w:t>
      </w:r>
      <w:r w:rsidR="00C25609">
        <w:t>.</w:t>
      </w:r>
      <w:r w:rsidR="006D7853">
        <w:t xml:space="preserve"> </w:t>
      </w:r>
      <w:r w:rsidR="006C14A8">
        <w:t>I find that</w:t>
      </w:r>
      <w:r w:rsidR="00C25609">
        <w:t xml:space="preserve"> the </w:t>
      </w:r>
      <w:r w:rsidR="006C14A8">
        <w:t xml:space="preserve">use </w:t>
      </w:r>
      <w:r w:rsidR="00C25609">
        <w:t>of unapproved nicotine products</w:t>
      </w:r>
      <w:r w:rsidR="00FF44E0">
        <w:t xml:space="preserve"> without medical supervision</w:t>
      </w:r>
      <w:r w:rsidR="00C25609">
        <w:t xml:space="preserve">, </w:t>
      </w:r>
      <w:r>
        <w:t xml:space="preserve">whether for the purpose </w:t>
      </w:r>
      <w:r w:rsidR="00C25609">
        <w:t xml:space="preserve">of smoking cessation or </w:t>
      </w:r>
      <w:r w:rsidR="001A1559">
        <w:t xml:space="preserve">non-therapeutic </w:t>
      </w:r>
      <w:r w:rsidR="00C25609">
        <w:t xml:space="preserve">use, </w:t>
      </w:r>
      <w:r>
        <w:t>is a matter necessitating consideration under paragraph 52E(1)(f) in order to protect public health</w:t>
      </w:r>
      <w:r w:rsidR="006D7853">
        <w:t xml:space="preserve">. </w:t>
      </w:r>
      <w:r w:rsidR="00CB2058">
        <w:t>I</w:t>
      </w:r>
      <w:r w:rsidR="00662FFC">
        <w:t xml:space="preserve">n accordance with the principles of scheduling provided in the introduction of the </w:t>
      </w:r>
      <w:r>
        <w:t xml:space="preserve">current </w:t>
      </w:r>
      <w:r w:rsidR="00662FFC">
        <w:t>Poisons Standard</w:t>
      </w:r>
      <w:r w:rsidR="00CB2058">
        <w:t>, the additional controls on possession and supply in Appendix D for any given substance</w:t>
      </w:r>
      <w:r w:rsidR="00854568">
        <w:t xml:space="preserve"> apply</w:t>
      </w:r>
      <w:r w:rsidR="00CB2058">
        <w:t xml:space="preserve"> </w:t>
      </w:r>
      <w:r w:rsidR="00CB2058" w:rsidRPr="00CB2058">
        <w:t>only when</w:t>
      </w:r>
      <w:r w:rsidR="00CB2058">
        <w:t xml:space="preserve"> that substance is</w:t>
      </w:r>
      <w:r w:rsidR="00CB2058" w:rsidRPr="00CB2058">
        <w:t xml:space="preserve"> included in Schedule 4 or Schedule 8.</w:t>
      </w:r>
      <w:r w:rsidR="00CB2058">
        <w:t xml:space="preserve"> On that basis, it should be noted that </w:t>
      </w:r>
      <w:r w:rsidR="00662FFC">
        <w:t>the requirement for a prescription</w:t>
      </w:r>
      <w:r w:rsidR="0003578B">
        <w:t xml:space="preserve"> </w:t>
      </w:r>
      <w:r w:rsidR="00CB2058">
        <w:t>is applicable</w:t>
      </w:r>
      <w:r w:rsidR="00662FFC">
        <w:t xml:space="preserve"> to the </w:t>
      </w:r>
      <w:r w:rsidR="0003578B">
        <w:t xml:space="preserve">current </w:t>
      </w:r>
      <w:r w:rsidR="00662FFC">
        <w:t xml:space="preserve">Schedule 4 nicotine entry. </w:t>
      </w:r>
      <w:r w:rsidR="00B873A0">
        <w:t>The proposed</w:t>
      </w:r>
      <w:r w:rsidR="0003578B">
        <w:t xml:space="preserve"> Appendix D controls for nicotine do not</w:t>
      </w:r>
      <w:r w:rsidR="0003578B" w:rsidRPr="0003578B">
        <w:t xml:space="preserve"> </w:t>
      </w:r>
      <w:r w:rsidR="0003578B">
        <w:t xml:space="preserve">apply </w:t>
      </w:r>
      <w:r>
        <w:t xml:space="preserve">to </w:t>
      </w:r>
      <w:r w:rsidR="0003578B" w:rsidRPr="0003578B">
        <w:t>the current exemption from scheduling for tobacco prepared and packed for smoking</w:t>
      </w:r>
      <w:r w:rsidR="0003578B">
        <w:t>.</w:t>
      </w:r>
    </w:p>
    <w:p w14:paraId="5ECB2F6A" w14:textId="042D362D" w:rsidR="00DA391F" w:rsidRDefault="006D7853" w:rsidP="001472AB">
      <w:r>
        <w:t xml:space="preserve">In making my </w:t>
      </w:r>
      <w:r w:rsidR="00364671">
        <w:t xml:space="preserve">interim </w:t>
      </w:r>
      <w:r>
        <w:t>decision</w:t>
      </w:r>
      <w:r w:rsidR="00885AA4">
        <w:t>,</w:t>
      </w:r>
      <w:r>
        <w:t xml:space="preserve"> I have had regard </w:t>
      </w:r>
      <w:r w:rsidR="00AF2D51">
        <w:t xml:space="preserve">to </w:t>
      </w:r>
      <w:r>
        <w:t>the</w:t>
      </w:r>
      <w:r w:rsidR="00AE44B8">
        <w:t xml:space="preserve"> </w:t>
      </w:r>
      <w:r w:rsidR="008361CD" w:rsidRPr="008361CD">
        <w:t xml:space="preserve">Australian Government’s proposed prohibition on the importation of e-cigarettes </w:t>
      </w:r>
      <w:r w:rsidR="008361CD" w:rsidRPr="009A17B5">
        <w:t xml:space="preserve">containing </w:t>
      </w:r>
      <w:r w:rsidR="000E5657" w:rsidRPr="009A17B5">
        <w:t xml:space="preserve">liquid </w:t>
      </w:r>
      <w:r w:rsidR="008361CD" w:rsidRPr="009A17B5">
        <w:t>nicotine</w:t>
      </w:r>
      <w:r w:rsidRPr="009A17B5">
        <w:t>.</w:t>
      </w:r>
      <w:r>
        <w:t xml:space="preserve"> </w:t>
      </w:r>
      <w:r w:rsidR="005D5002">
        <w:t xml:space="preserve">The </w:t>
      </w:r>
      <w:r w:rsidR="00364671">
        <w:t xml:space="preserve">proposed </w:t>
      </w:r>
      <w:r w:rsidR="005D5002">
        <w:t xml:space="preserve">prohibition </w:t>
      </w:r>
      <w:r w:rsidR="00364671">
        <w:t>would</w:t>
      </w:r>
      <w:r w:rsidR="005D5002" w:rsidRPr="008361CD">
        <w:t xml:space="preserve"> ban the importation of e-cigarettes and refill liquids containing nicotine, except when prescribed</w:t>
      </w:r>
      <w:r w:rsidR="000608DD">
        <w:t xml:space="preserve"> and responds to </w:t>
      </w:r>
      <w:r w:rsidR="000608DD" w:rsidRPr="000608DD">
        <w:t xml:space="preserve">increasing evidence that the use of e-cigarettes containing nicotine by non-smoking youths predicts future take up of smoking. </w:t>
      </w:r>
      <w:r>
        <w:t xml:space="preserve">Based on my </w:t>
      </w:r>
      <w:r w:rsidR="00DA391F">
        <w:t xml:space="preserve">understanding </w:t>
      </w:r>
      <w:r>
        <w:t>of the legislation,</w:t>
      </w:r>
      <w:r w:rsidR="00DA391F">
        <w:t xml:space="preserve"> t</w:t>
      </w:r>
      <w:r w:rsidR="00DA391F" w:rsidRPr="00DA391F">
        <w:t xml:space="preserve">he sale of e-cigarettes </w:t>
      </w:r>
      <w:r w:rsidR="00DA391F" w:rsidRPr="009A17B5">
        <w:t xml:space="preserve">containing </w:t>
      </w:r>
      <w:r w:rsidR="009A17B5" w:rsidRPr="009A17B5">
        <w:t xml:space="preserve">liquid </w:t>
      </w:r>
      <w:r w:rsidR="00DA391F" w:rsidRPr="009A17B5">
        <w:t>nicotine is</w:t>
      </w:r>
      <w:r w:rsidR="00DA391F" w:rsidRPr="00DA391F">
        <w:t xml:space="preserve"> already prohibited by law by each State and Territory, becaus</w:t>
      </w:r>
      <w:r w:rsidR="00DA391F">
        <w:t>e of public health concerns. I agree with the Joint ACMS-A</w:t>
      </w:r>
      <w:r w:rsidR="00DA391F" w:rsidRPr="008A0B3E">
        <w:t>CCS #25</w:t>
      </w:r>
      <w:r w:rsidR="00DA391F">
        <w:t xml:space="preserve"> advice</w:t>
      </w:r>
      <w:r w:rsidR="00DA391F" w:rsidRPr="00DA391F">
        <w:t xml:space="preserve"> that there is currently inconsistency across the States and Territories insofar as it relates to possession laws for the importation of e-cigarettes cont</w:t>
      </w:r>
      <w:r w:rsidR="00DA391F">
        <w:t xml:space="preserve">aining nicotine. It is my view that </w:t>
      </w:r>
      <w:r w:rsidR="006F551A">
        <w:t xml:space="preserve">a </w:t>
      </w:r>
      <w:r w:rsidR="00DA391F" w:rsidRPr="00DA391F">
        <w:t>nationally consistent approach to</w:t>
      </w:r>
      <w:r w:rsidR="00061E87">
        <w:t xml:space="preserve"> possession and importation </w:t>
      </w:r>
      <w:r w:rsidR="00DA391F">
        <w:t>is necessary to promote public health by</w:t>
      </w:r>
      <w:r w:rsidR="00CE7F3B">
        <w:t xml:space="preserve"> ensuring</w:t>
      </w:r>
      <w:r w:rsidR="00CE7F3B" w:rsidRPr="00CE7F3B">
        <w:t xml:space="preserve"> that</w:t>
      </w:r>
      <w:r w:rsidR="00CE7F3B">
        <w:t xml:space="preserve"> the</w:t>
      </w:r>
      <w:r w:rsidR="00CE7F3B" w:rsidRPr="00CE7F3B">
        <w:t xml:space="preserve"> possession of Schedule 4 </w:t>
      </w:r>
      <w:r w:rsidR="00364671">
        <w:t>preparations</w:t>
      </w:r>
      <w:r w:rsidR="00364671" w:rsidRPr="00CE7F3B">
        <w:t xml:space="preserve"> </w:t>
      </w:r>
      <w:r w:rsidR="00CE7F3B" w:rsidRPr="00CE7F3B">
        <w:t>containing nicotine</w:t>
      </w:r>
      <w:r w:rsidR="00061E87">
        <w:t xml:space="preserve">, </w:t>
      </w:r>
      <w:r w:rsidR="00061E87" w:rsidRPr="00061E87">
        <w:t>apart from those uses currently exempted</w:t>
      </w:r>
      <w:r w:rsidR="00061E87">
        <w:t>,</w:t>
      </w:r>
      <w:r w:rsidR="00CE7F3B" w:rsidRPr="00CE7F3B">
        <w:t xml:space="preserve"> </w:t>
      </w:r>
      <w:r w:rsidR="00061E87">
        <w:t>must be</w:t>
      </w:r>
      <w:r w:rsidR="00CE7F3B" w:rsidRPr="00CE7F3B">
        <w:t xml:space="preserve"> </w:t>
      </w:r>
      <w:r w:rsidR="001472AB">
        <w:t>under the care of a prescriber.</w:t>
      </w:r>
    </w:p>
    <w:p w14:paraId="33E6DCC3" w14:textId="65DE743E" w:rsidR="00927BDD" w:rsidRDefault="00927BDD" w:rsidP="001472AB">
      <w:r>
        <w:t xml:space="preserve">I have </w:t>
      </w:r>
      <w:r w:rsidR="00364671">
        <w:t xml:space="preserve">proposed </w:t>
      </w:r>
      <w:r>
        <w:t xml:space="preserve">editorial amendments for clarity in the </w:t>
      </w:r>
      <w:r w:rsidR="00364671">
        <w:t xml:space="preserve">entries for nicotine in </w:t>
      </w:r>
      <w:r>
        <w:t xml:space="preserve">Schedule 4 and Schedule 7 relating to the </w:t>
      </w:r>
      <w:r w:rsidR="00AF77AC">
        <w:t>exemption</w:t>
      </w:r>
      <w:r>
        <w:t xml:space="preserve"> for </w:t>
      </w:r>
      <w:r w:rsidR="00364671">
        <w:t xml:space="preserve">preparations for </w:t>
      </w:r>
      <w:r w:rsidRPr="003079EB">
        <w:t xml:space="preserve">therapeutic oromucosal or transdermal </w:t>
      </w:r>
      <w:r w:rsidR="00364671">
        <w:t xml:space="preserve">administration </w:t>
      </w:r>
      <w:r w:rsidRPr="003079EB">
        <w:t>as a</w:t>
      </w:r>
      <w:r>
        <w:t>n</w:t>
      </w:r>
      <w:r w:rsidRPr="003079EB">
        <w:t xml:space="preserve"> </w:t>
      </w:r>
      <w:r w:rsidRPr="00927BDD">
        <w:t xml:space="preserve">aid in </w:t>
      </w:r>
      <w:r>
        <w:t>withdrawal from tobacco smoking</w:t>
      </w:r>
    </w:p>
    <w:p w14:paraId="3AAFE3DB" w14:textId="591B7814" w:rsidR="004F50C4" w:rsidRDefault="004E4EC6" w:rsidP="001472AB">
      <w:r>
        <w:t xml:space="preserve">My </w:t>
      </w:r>
      <w:r w:rsidR="00364671">
        <w:t xml:space="preserve">interim </w:t>
      </w:r>
      <w:r>
        <w:t>decision to delete</w:t>
      </w:r>
      <w:r w:rsidR="001C260D">
        <w:t xml:space="preserve"> the </w:t>
      </w:r>
      <w:r>
        <w:t>Schedule 6 entry for nicotine was made on the basis of</w:t>
      </w:r>
      <w:r w:rsidRPr="004451E4">
        <w:t xml:space="preserve"> the former use of nicotine preparations as a veterinary dermal pesticide has been superseded by safer </w:t>
      </w:r>
      <w:r>
        <w:t xml:space="preserve">and more effective products and that </w:t>
      </w:r>
      <w:r w:rsidRPr="004451E4">
        <w:t xml:space="preserve">there are no longer any registered </w:t>
      </w:r>
      <w:r w:rsidRPr="008429C1">
        <w:t xml:space="preserve">agricultural and veterinary </w:t>
      </w:r>
      <w:r>
        <w:t xml:space="preserve">products containing nicotine. I note that a new proposal to amend the </w:t>
      </w:r>
      <w:r w:rsidR="00364671">
        <w:t xml:space="preserve">current </w:t>
      </w:r>
      <w:r>
        <w:t xml:space="preserve">Poisons Standard could be submitted, if a nicotine containing </w:t>
      </w:r>
      <w:r w:rsidR="00364671">
        <w:t xml:space="preserve">preparation </w:t>
      </w:r>
      <w:r>
        <w:t>intended for animal use, becomes available in the future.</w:t>
      </w:r>
    </w:p>
    <w:p w14:paraId="08C5192F" w14:textId="7925811A" w:rsidR="00A44896" w:rsidRDefault="004E51D0" w:rsidP="001472AB">
      <w:r>
        <w:t xml:space="preserve">I agree with the Committee’s finding that the relevant </w:t>
      </w:r>
      <w:r w:rsidR="00364671">
        <w:t>matters in</w:t>
      </w:r>
      <w:r>
        <w:t xml:space="preserve"> </w:t>
      </w:r>
      <w:r w:rsidR="00364671">
        <w:t>sub</w:t>
      </w:r>
      <w:r>
        <w:t>section 52E</w:t>
      </w:r>
      <w:r w:rsidR="00364671">
        <w:t>(1)</w:t>
      </w:r>
      <w:r>
        <w:t xml:space="preserve"> of the </w:t>
      </w:r>
      <w:r w:rsidRPr="00B71EEE">
        <w:rPr>
          <w:i/>
        </w:rPr>
        <w:t>Therapeutic Goods Act 1989</w:t>
      </w:r>
      <w:r>
        <w:t xml:space="preserve"> are (a) the risks and benefits of the use of a substance; (b) the purpose for which a substance is to be used and the and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C63E4A3" w14:textId="381F698E" w:rsidR="004F50C4" w:rsidRPr="003240FE" w:rsidRDefault="004F50C4" w:rsidP="00724E11">
      <w:pPr>
        <w:pStyle w:val="Heading4"/>
      </w:pPr>
      <w:r w:rsidRPr="003240FE">
        <w:lastRenderedPageBreak/>
        <w:t>Proposed implementation date</w:t>
      </w:r>
    </w:p>
    <w:p w14:paraId="6F46FC68" w14:textId="45D91943" w:rsidR="007E208F" w:rsidRDefault="007E208F" w:rsidP="001472AB">
      <w:r>
        <w:t>I ha</w:t>
      </w:r>
      <w:r w:rsidR="007A578D">
        <w:t>ve had regard for the concerns</w:t>
      </w:r>
      <w:r>
        <w:t xml:space="preserve"> that</w:t>
      </w:r>
      <w:r w:rsidR="007A578D">
        <w:t xml:space="preserve"> there is </w:t>
      </w:r>
      <w:r>
        <w:t>currently a l</w:t>
      </w:r>
      <w:r w:rsidRPr="007E208F">
        <w:t xml:space="preserve">ack of comprehensive prescribing guidelines for e-cigarettes for medical practitioners given that the evidence base relating to smoking </w:t>
      </w:r>
      <w:r w:rsidR="001472AB">
        <w:t>cessation remains contested.</w:t>
      </w:r>
    </w:p>
    <w:p w14:paraId="114E0EA8" w14:textId="333FD62C" w:rsidR="005D52A5" w:rsidRDefault="005D52A5" w:rsidP="001472AB">
      <w:r>
        <w:t xml:space="preserve">In order to establish a process for patients obtaining prescriptions through their medical practitioner, if clinically appropriate, </w:t>
      </w:r>
      <w:r w:rsidR="00150CB5">
        <w:t xml:space="preserve">I have </w:t>
      </w:r>
      <w:r w:rsidR="00364671">
        <w:t>proposed</w:t>
      </w:r>
      <w:r w:rsidR="00150CB5">
        <w:t xml:space="preserve"> a</w:t>
      </w:r>
      <w:r w:rsidR="00364671">
        <w:t>n</w:t>
      </w:r>
      <w:r w:rsidR="00150CB5">
        <w:t xml:space="preserve"> </w:t>
      </w:r>
      <w:r>
        <w:t xml:space="preserve">implementation date of </w:t>
      </w:r>
      <w:r w:rsidRPr="005D52A5">
        <w:rPr>
          <w:b/>
        </w:rPr>
        <w:t>1</w:t>
      </w:r>
      <w:r w:rsidR="00364671">
        <w:rPr>
          <w:b/>
        </w:rPr>
        <w:t> </w:t>
      </w:r>
      <w:r w:rsidR="001472AB">
        <w:rPr>
          <w:b/>
        </w:rPr>
        <w:t>June </w:t>
      </w:r>
      <w:r w:rsidRPr="005D52A5">
        <w:rPr>
          <w:b/>
        </w:rPr>
        <w:t>2021</w:t>
      </w:r>
      <w:r>
        <w:t xml:space="preserve"> </w:t>
      </w:r>
      <w:r w:rsidR="00150CB5">
        <w:t>to allow for</w:t>
      </w:r>
      <w:r>
        <w:t xml:space="preserve"> professional standards and clinical guidelines to be</w:t>
      </w:r>
      <w:r w:rsidR="007A578D">
        <w:t xml:space="preserve"> developed to guide decision making by medical practitioners. </w:t>
      </w:r>
      <w:r w:rsidR="008B055F">
        <w:t xml:space="preserve">Should such materials be available </w:t>
      </w:r>
      <w:r w:rsidR="00755053">
        <w:t xml:space="preserve">sooner </w:t>
      </w:r>
      <w:r w:rsidR="008B055F">
        <w:t xml:space="preserve">then </w:t>
      </w:r>
      <w:r w:rsidR="00755053">
        <w:t>I would cons</w:t>
      </w:r>
      <w:r w:rsidR="008B055F">
        <w:t>ide</w:t>
      </w:r>
      <w:r w:rsidR="00755053">
        <w:t>r</w:t>
      </w:r>
      <w:r w:rsidR="008B055F">
        <w:t xml:space="preserve"> an earlier implementation date.</w:t>
      </w:r>
    </w:p>
    <w:sectPr w:rsidR="005D52A5" w:rsidSect="003A48A2">
      <w:headerReference w:type="default" r:id="rId37"/>
      <w:footerReference w:type="default" r:id="rId38"/>
      <w:headerReference w:type="first" r:id="rId39"/>
      <w:footerReference w:type="first" r:id="rId40"/>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02968" w14:textId="77777777" w:rsidR="00404780" w:rsidRDefault="00404780" w:rsidP="00C40A36">
      <w:pPr>
        <w:spacing w:after="0"/>
      </w:pPr>
      <w:r>
        <w:separator/>
      </w:r>
    </w:p>
  </w:endnote>
  <w:endnote w:type="continuationSeparator" w:id="0">
    <w:p w14:paraId="6195E4E1" w14:textId="77777777" w:rsidR="00404780" w:rsidRDefault="0040478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Cambria-Bold">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4CA47" w14:textId="77777777" w:rsidR="005D43F7" w:rsidRDefault="005D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364671" w:rsidRPr="00257138" w14:paraId="299EC1AC" w14:textId="77777777" w:rsidTr="009B00CC">
      <w:trPr>
        <w:trHeight w:val="423"/>
      </w:trPr>
      <w:tc>
        <w:tcPr>
          <w:tcW w:w="7338" w:type="dxa"/>
          <w:tcBorders>
            <w:top w:val="single" w:sz="4" w:space="0" w:color="auto"/>
          </w:tcBorders>
        </w:tcPr>
        <w:p w14:paraId="7AC92C12" w14:textId="77777777" w:rsidR="00364671" w:rsidRDefault="00364671" w:rsidP="003F3095">
          <w:pPr>
            <w:pStyle w:val="Footer"/>
          </w:pPr>
          <w:r>
            <w:t>Record of the 29th meeting of the Advisory Committee on Medicines Scheduling</w:t>
          </w:r>
        </w:p>
        <w:p w14:paraId="12ACBB7B" w14:textId="77777777" w:rsidR="00364671" w:rsidRPr="00257138" w:rsidRDefault="00364671"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07A12ACA" w14:textId="77777777" w:rsidR="00364671" w:rsidRDefault="00364671" w:rsidP="00782870">
              <w:pPr>
                <w:pStyle w:val="Footer"/>
                <w:jc w:val="right"/>
              </w:pPr>
            </w:p>
            <w:p w14:paraId="4CF33756" w14:textId="77777777" w:rsidR="00364671" w:rsidRPr="00257138" w:rsidRDefault="00364671"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872D41">
                <w:fldChar w:fldCharType="begin"/>
              </w:r>
              <w:r w:rsidR="00872D41">
                <w:instrText xml:space="preserve"> NUMPAGES  </w:instrText>
              </w:r>
              <w:r w:rsidR="00872D41">
                <w:fldChar w:fldCharType="separate"/>
              </w:r>
              <w:r>
                <w:rPr>
                  <w:noProof/>
                </w:rPr>
                <w:t>32</w:t>
              </w:r>
              <w:r w:rsidR="00872D41">
                <w:rPr>
                  <w:noProof/>
                </w:rPr>
                <w:fldChar w:fldCharType="end"/>
              </w:r>
            </w:p>
          </w:sdtContent>
        </w:sdt>
      </w:tc>
    </w:tr>
    <w:tr w:rsidR="00364671" w:rsidRPr="00257138" w14:paraId="018E55F8" w14:textId="77777777" w:rsidTr="009B00CC">
      <w:trPr>
        <w:trHeight w:val="263"/>
      </w:trPr>
      <w:tc>
        <w:tcPr>
          <w:tcW w:w="7338" w:type="dxa"/>
        </w:tcPr>
        <w:p w14:paraId="4A78BEBF" w14:textId="77777777" w:rsidR="00364671" w:rsidRPr="00257138" w:rsidRDefault="00364671" w:rsidP="00782870">
          <w:pPr>
            <w:pStyle w:val="Footer"/>
          </w:pPr>
        </w:p>
      </w:tc>
      <w:tc>
        <w:tcPr>
          <w:tcW w:w="1382" w:type="dxa"/>
        </w:tcPr>
        <w:p w14:paraId="153A885F" w14:textId="77777777" w:rsidR="00364671" w:rsidRPr="00257138" w:rsidRDefault="00364671" w:rsidP="00782870">
          <w:pPr>
            <w:pStyle w:val="Footer"/>
            <w:jc w:val="right"/>
          </w:pPr>
        </w:p>
      </w:tc>
    </w:tr>
  </w:tbl>
  <w:p w14:paraId="4C84BA13" w14:textId="77777777" w:rsidR="00364671" w:rsidRPr="00826007" w:rsidRDefault="00364671"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8874" w14:textId="77777777" w:rsidR="005D43F7" w:rsidRDefault="005D4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364671" w:rsidRPr="00257138" w14:paraId="4B628718" w14:textId="77777777" w:rsidTr="009468C6">
      <w:trPr>
        <w:trHeight w:val="423"/>
      </w:trPr>
      <w:tc>
        <w:tcPr>
          <w:tcW w:w="7338" w:type="dxa"/>
        </w:tcPr>
        <w:p w14:paraId="5685FB3D" w14:textId="77777777" w:rsidR="00364671" w:rsidRDefault="00364671" w:rsidP="00681F76">
          <w:pPr>
            <w:pStyle w:val="Footer"/>
          </w:pPr>
          <w:r>
            <w:t>Delegate’s interim decision and reasons for decision (Joint ACMS-ACCS #25, June 2020)</w:t>
          </w:r>
        </w:p>
        <w:p w14:paraId="6D0431A4" w14:textId="2A9C233C" w:rsidR="00364671" w:rsidRPr="00257138" w:rsidRDefault="0052115F" w:rsidP="005D43F7">
          <w:pPr>
            <w:pStyle w:val="Footer"/>
          </w:pPr>
          <w:r>
            <w:t>2</w:t>
          </w:r>
          <w:r w:rsidR="00364671">
            <w:t>3 September 2020</w:t>
          </w:r>
        </w:p>
      </w:tc>
      <w:tc>
        <w:tcPr>
          <w:tcW w:w="1382" w:type="dxa"/>
        </w:tcPr>
        <w:sdt>
          <w:sdtPr>
            <w:id w:val="6788836"/>
            <w:docPartObj>
              <w:docPartGallery w:val="Page Numbers (Top of Page)"/>
              <w:docPartUnique/>
            </w:docPartObj>
          </w:sdtPr>
          <w:sdtEndPr/>
          <w:sdtContent>
            <w:p w14:paraId="54F162A7" w14:textId="0ADA9491" w:rsidR="00364671" w:rsidRPr="00257138" w:rsidRDefault="00364671" w:rsidP="009468C6">
              <w:pPr>
                <w:pStyle w:val="Footer"/>
                <w:jc w:val="right"/>
              </w:pPr>
              <w:r w:rsidRPr="00257138">
                <w:t xml:space="preserve">Page </w:t>
              </w:r>
              <w:r>
                <w:fldChar w:fldCharType="begin"/>
              </w:r>
              <w:r>
                <w:instrText xml:space="preserve"> PAGE </w:instrText>
              </w:r>
              <w:r>
                <w:fldChar w:fldCharType="separate"/>
              </w:r>
              <w:r w:rsidR="00872D41">
                <w:rPr>
                  <w:noProof/>
                </w:rPr>
                <w:t>4</w:t>
              </w:r>
              <w:r>
                <w:fldChar w:fldCharType="end"/>
              </w:r>
              <w:r w:rsidRPr="00257138">
                <w:t xml:space="preserve"> of </w:t>
              </w:r>
              <w:r w:rsidR="00872D41">
                <w:fldChar w:fldCharType="begin"/>
              </w:r>
              <w:r w:rsidR="00872D41">
                <w:instrText xml:space="preserve"> NUMPAGES  </w:instrText>
              </w:r>
              <w:r w:rsidR="00872D41">
                <w:fldChar w:fldCharType="separate"/>
              </w:r>
              <w:r w:rsidR="00872D41">
                <w:rPr>
                  <w:noProof/>
                </w:rPr>
                <w:t>12</w:t>
              </w:r>
              <w:r w:rsidR="00872D41">
                <w:rPr>
                  <w:noProof/>
                </w:rPr>
                <w:fldChar w:fldCharType="end"/>
              </w:r>
            </w:p>
          </w:sdtContent>
        </w:sdt>
      </w:tc>
    </w:tr>
  </w:tbl>
  <w:p w14:paraId="1DE5892D" w14:textId="77777777" w:rsidR="00364671" w:rsidRPr="00826007" w:rsidRDefault="00364671" w:rsidP="002001F1">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364671" w:rsidRPr="00257138" w14:paraId="73062B98" w14:textId="77777777" w:rsidTr="00DC0176">
      <w:trPr>
        <w:trHeight w:val="423"/>
      </w:trPr>
      <w:tc>
        <w:tcPr>
          <w:tcW w:w="7338" w:type="dxa"/>
        </w:tcPr>
        <w:p w14:paraId="43CC9E6C" w14:textId="77777777" w:rsidR="00364671" w:rsidRDefault="00364671" w:rsidP="00E81BC9">
          <w:pPr>
            <w:pStyle w:val="Footer"/>
          </w:pPr>
          <w:r>
            <w:t>Delegate’s interim decision and reasons for decision (Joint ACMS-ACCS #25, June 2020)</w:t>
          </w:r>
        </w:p>
        <w:p w14:paraId="1BE65D65" w14:textId="71BC728E" w:rsidR="00364671" w:rsidRPr="00257138" w:rsidRDefault="0052115F" w:rsidP="00DC0176">
          <w:pPr>
            <w:pStyle w:val="Footer"/>
          </w:pPr>
          <w:r>
            <w:t>2</w:t>
          </w:r>
          <w:r w:rsidR="00364671">
            <w:t>3 September 2020</w:t>
          </w:r>
        </w:p>
      </w:tc>
      <w:tc>
        <w:tcPr>
          <w:tcW w:w="1734" w:type="dxa"/>
        </w:tcPr>
        <w:sdt>
          <w:sdtPr>
            <w:id w:val="5342774"/>
            <w:docPartObj>
              <w:docPartGallery w:val="Page Numbers (Top of Page)"/>
              <w:docPartUnique/>
            </w:docPartObj>
          </w:sdtPr>
          <w:sdtEndPr/>
          <w:sdtContent>
            <w:p w14:paraId="6F999C18" w14:textId="03A8DE29" w:rsidR="00364671" w:rsidRPr="00257138" w:rsidRDefault="00364671" w:rsidP="003A48A2">
              <w:pPr>
                <w:pStyle w:val="Footer"/>
                <w:jc w:val="right"/>
              </w:pPr>
              <w:r w:rsidRPr="00257138">
                <w:t xml:space="preserve">Page </w:t>
              </w:r>
              <w:r>
                <w:fldChar w:fldCharType="begin"/>
              </w:r>
              <w:r>
                <w:instrText xml:space="preserve"> PAGE </w:instrText>
              </w:r>
              <w:r>
                <w:fldChar w:fldCharType="separate"/>
              </w:r>
              <w:r w:rsidR="00872D41">
                <w:rPr>
                  <w:noProof/>
                </w:rPr>
                <w:t>2</w:t>
              </w:r>
              <w:r>
                <w:rPr>
                  <w:noProof/>
                </w:rPr>
                <w:fldChar w:fldCharType="end"/>
              </w:r>
              <w:r w:rsidRPr="00257138">
                <w:t xml:space="preserve"> of </w:t>
              </w:r>
              <w:r w:rsidR="00872D41">
                <w:fldChar w:fldCharType="begin"/>
              </w:r>
              <w:r w:rsidR="00872D41">
                <w:instrText xml:space="preserve"> NUMPAGES  </w:instrText>
              </w:r>
              <w:r w:rsidR="00872D41">
                <w:fldChar w:fldCharType="separate"/>
              </w:r>
              <w:r w:rsidR="00872D41">
                <w:rPr>
                  <w:noProof/>
                </w:rPr>
                <w:t>12</w:t>
              </w:r>
              <w:r w:rsidR="00872D41">
                <w:rPr>
                  <w:noProof/>
                </w:rPr>
                <w:fldChar w:fldCharType="end"/>
              </w:r>
            </w:p>
          </w:sdtContent>
        </w:sdt>
      </w:tc>
    </w:tr>
  </w:tbl>
  <w:p w14:paraId="4EC34F31" w14:textId="77777777" w:rsidR="00364671" w:rsidRDefault="0036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1ACF7" w14:textId="77777777" w:rsidR="00404780" w:rsidRDefault="00404780" w:rsidP="00C40A36">
      <w:pPr>
        <w:spacing w:after="0"/>
      </w:pPr>
      <w:r>
        <w:separator/>
      </w:r>
    </w:p>
  </w:footnote>
  <w:footnote w:type="continuationSeparator" w:id="0">
    <w:p w14:paraId="581A3338" w14:textId="77777777" w:rsidR="00404780" w:rsidRDefault="0040478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4DB4" w14:textId="77777777" w:rsidR="005D43F7" w:rsidRDefault="005D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364671" w:rsidRPr="00DA24C7" w14:paraId="5AB73180" w14:textId="77777777" w:rsidTr="00F923D6">
      <w:trPr>
        <w:trHeight w:val="709"/>
      </w:trPr>
      <w:tc>
        <w:tcPr>
          <w:tcW w:w="4035" w:type="dxa"/>
        </w:tcPr>
        <w:p w14:paraId="4CB0E13C" w14:textId="77777777" w:rsidR="00364671" w:rsidRPr="00DA24C7" w:rsidRDefault="00364671"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8BD8C2B" w14:textId="77777777" w:rsidR="00364671" w:rsidRPr="000F5176" w:rsidRDefault="00364671" w:rsidP="000F5176">
          <w:pPr>
            <w:pStyle w:val="HeaderNoLine"/>
            <w:rPr>
              <w:rStyle w:val="HeaderChar"/>
            </w:rPr>
          </w:pPr>
          <w:r w:rsidRPr="000F5176">
            <w:t>Therapeutic Goods Administration</w:t>
          </w:r>
        </w:p>
      </w:tc>
    </w:tr>
  </w:tbl>
  <w:p w14:paraId="40F2DA36" w14:textId="77777777" w:rsidR="00364671" w:rsidRDefault="00364671" w:rsidP="00F923D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3189" w14:textId="77777777" w:rsidR="00364671" w:rsidRDefault="00364671" w:rsidP="006E08B3">
    <w:pPr>
      <w:rPr>
        <w:noProof/>
      </w:rPr>
    </w:pPr>
    <w:r w:rsidRPr="00E57B71">
      <w:rPr>
        <w:noProof/>
        <w:lang w:eastAsia="en-AU"/>
      </w:rPr>
      <w:drawing>
        <wp:anchor distT="0" distB="0" distL="114300" distR="114300" simplePos="0" relativeHeight="251660288" behindDoc="0" locked="0" layoutInCell="1" allowOverlap="1" wp14:anchorId="72E3E6BD" wp14:editId="2C17E4C3">
          <wp:simplePos x="0" y="0"/>
          <wp:positionH relativeFrom="column">
            <wp:posOffset>-195580</wp:posOffset>
          </wp:positionH>
          <wp:positionV relativeFrom="paragraph">
            <wp:posOffset>-58420</wp:posOffset>
          </wp:positionV>
          <wp:extent cx="3524250" cy="1209675"/>
          <wp:effectExtent l="19050" t="0" r="0" b="0"/>
          <wp:wrapTopAndBottom/>
          <wp:docPr id="25" name="Picture 25"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364671" w:rsidRPr="00DE02AE" w14:paraId="27037107" w14:textId="77777777" w:rsidTr="00782870">
      <w:trPr>
        <w:trHeight w:hRule="exact" w:val="8845"/>
      </w:trPr>
      <w:tc>
        <w:tcPr>
          <w:tcW w:w="11964" w:type="dxa"/>
        </w:tcPr>
        <w:p w14:paraId="2FD20480" w14:textId="77777777" w:rsidR="00364671" w:rsidRPr="00DE02AE" w:rsidRDefault="00364671" w:rsidP="00782870">
          <w:pPr>
            <w:pStyle w:val="Date"/>
            <w:ind w:left="-28"/>
          </w:pPr>
          <w:r w:rsidRPr="002B29B2">
            <w:rPr>
              <w:noProof/>
              <w:lang w:eastAsia="en-AU"/>
            </w:rPr>
            <w:drawing>
              <wp:anchor distT="0" distB="0" distL="114300" distR="114300" simplePos="0" relativeHeight="251662336" behindDoc="0" locked="0" layoutInCell="0" allowOverlap="1" wp14:anchorId="2BAFC94F" wp14:editId="11CAA595">
                <wp:simplePos x="0" y="0"/>
                <wp:positionH relativeFrom="page">
                  <wp:posOffset>-22437</wp:posOffset>
                </wp:positionH>
                <wp:positionV relativeFrom="page">
                  <wp:posOffset>-16087</wp:posOffset>
                </wp:positionV>
                <wp:extent cx="7581900" cy="2447925"/>
                <wp:effectExtent l="19050" t="0" r="0" b="0"/>
                <wp:wrapNone/>
                <wp:docPr id="28" name="Picture 2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sdt>
            <w:sdtPr>
              <w:id w:val="21514581"/>
              <w:showingPlcHdr/>
              <w:picture/>
            </w:sdtPr>
            <w:sdtEndPr/>
            <w:sdtContent>
              <w:r>
                <w:rPr>
                  <w:noProof/>
                  <w:lang w:eastAsia="en-AU"/>
                </w:rPr>
                <w:drawing>
                  <wp:inline distT="0" distB="0" distL="0" distR="0" wp14:anchorId="263EFC5A" wp14:editId="5963DD83">
                    <wp:extent cx="7610475" cy="5638800"/>
                    <wp:effectExtent l="19050" t="0" r="9525"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A13DACE" w14:textId="77777777" w:rsidR="00364671" w:rsidRDefault="00364671" w:rsidP="006D03E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FCF2F" w14:textId="0EE62084" w:rsidR="00364671" w:rsidRPr="00DC0176" w:rsidRDefault="00DC0176" w:rsidP="00DC0176">
    <w:pPr>
      <w:pBdr>
        <w:bottom w:val="single" w:sz="4" w:space="1" w:color="auto"/>
      </w:pBdr>
      <w:jc w:val="right"/>
      <w:rPr>
        <w:sz w:val="17"/>
        <w:szCs w:val="17"/>
      </w:rPr>
    </w:pPr>
    <w:r w:rsidRPr="00DC0176">
      <w:rPr>
        <w:sz w:val="17"/>
        <w:szCs w:val="17"/>
      </w:rP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98C3" w14:textId="2308A00B" w:rsidR="00364671" w:rsidRPr="00DC0176" w:rsidRDefault="00DC0176" w:rsidP="00DC0176">
    <w:pPr>
      <w:pBdr>
        <w:bottom w:val="single" w:sz="4" w:space="1" w:color="auto"/>
      </w:pBdr>
      <w:jc w:val="right"/>
      <w:rPr>
        <w:sz w:val="17"/>
        <w:szCs w:val="17"/>
      </w:rPr>
    </w:pPr>
    <w:r w:rsidRPr="00DC0176">
      <w:rPr>
        <w:sz w:val="17"/>
        <w:szCs w:val="17"/>
      </w:rPr>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DB238F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EE0470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F9AABE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13269E0"/>
    <w:multiLevelType w:val="multilevel"/>
    <w:tmpl w:val="5A501F44"/>
    <w:lvl w:ilvl="0">
      <w:start w:val="1"/>
      <w:numFmt w:val="decimal"/>
      <w:lvlText w:val="%1."/>
      <w:lvlJc w:val="left"/>
      <w:pPr>
        <w:ind w:left="425" w:hanging="425"/>
      </w:pPr>
      <w:rPr>
        <w:rFonts w:ascii="Cambria" w:hAnsi="Cambria" w:hint="default"/>
      </w:rPr>
    </w:lvl>
    <w:lvl w:ilvl="1">
      <w:start w:val="1"/>
      <w:numFmt w:val="lowerLetter"/>
      <w:lvlText w:val="%2)"/>
      <w:lvlJc w:val="left"/>
      <w:pPr>
        <w:ind w:left="2127" w:hanging="426"/>
      </w:pPr>
      <w:rPr>
        <w:rFonts w:hint="default"/>
        <w:color w:val="FF0000"/>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2688844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492BDC"/>
    <w:multiLevelType w:val="hybridMultilevel"/>
    <w:tmpl w:val="B3B4A68C"/>
    <w:lvl w:ilvl="0" w:tplc="85601B6E">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2430"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38D46DFA"/>
    <w:lvl w:ilvl="0">
      <w:start w:val="1"/>
      <w:numFmt w:val="decimal"/>
      <w:pStyle w:val="Heading2"/>
      <w:lvlText w:val="%1"/>
      <w:lvlJc w:val="left"/>
      <w:pPr>
        <w:ind w:left="432" w:hanging="432"/>
      </w:pPr>
      <w:rPr>
        <w:i w:val="0"/>
      </w:r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B1A487B"/>
    <w:multiLevelType w:val="hybridMultilevel"/>
    <w:tmpl w:val="B3B4A68C"/>
    <w:lvl w:ilvl="0" w:tplc="85601B6E">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2430"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10" w15:restartNumberingAfterBreak="0">
    <w:nsid w:val="2C4A4859"/>
    <w:multiLevelType w:val="hybridMultilevel"/>
    <w:tmpl w:val="484A8D0E"/>
    <w:lvl w:ilvl="0" w:tplc="09FA2FD2">
      <w:start w:val="1"/>
      <w:numFmt w:val="lowerLetter"/>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E924211"/>
    <w:multiLevelType w:val="hybridMultilevel"/>
    <w:tmpl w:val="445844C6"/>
    <w:lvl w:ilvl="0" w:tplc="B3A662EC">
      <w:start w:val="1"/>
      <w:numFmt w:val="lowerLetter"/>
      <w:pStyle w:val="ListBulleta"/>
      <w:lvlText w:val="%1)"/>
      <w:lvlJc w:val="left"/>
      <w:pPr>
        <w:ind w:left="1146" w:hanging="360"/>
      </w:pPr>
      <w:rPr>
        <w:strike w:val="0"/>
        <w:color w:val="FF0000"/>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2F5049A2"/>
    <w:multiLevelType w:val="multilevel"/>
    <w:tmpl w:val="08FACB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3659458D"/>
    <w:multiLevelType w:val="hybridMultilevel"/>
    <w:tmpl w:val="6C5EBC02"/>
    <w:lvl w:ilvl="0" w:tplc="09C2C2C0">
      <w:start w:val="1"/>
      <w:numFmt w:val="lowerLetter"/>
      <w:lvlText w:val="%1)"/>
      <w:lvlJc w:val="left"/>
      <w:pPr>
        <w:ind w:left="1491" w:hanging="360"/>
      </w:pPr>
      <w:rPr>
        <w:color w:val="FF0000"/>
      </w:rPr>
    </w:lvl>
    <w:lvl w:ilvl="1" w:tplc="0C090019" w:tentative="1">
      <w:start w:val="1"/>
      <w:numFmt w:val="lowerLetter"/>
      <w:lvlText w:val="%2."/>
      <w:lvlJc w:val="left"/>
      <w:pPr>
        <w:ind w:left="2211" w:hanging="360"/>
      </w:pPr>
    </w:lvl>
    <w:lvl w:ilvl="2" w:tplc="0C09001B" w:tentative="1">
      <w:start w:val="1"/>
      <w:numFmt w:val="lowerRoman"/>
      <w:lvlText w:val="%3."/>
      <w:lvlJc w:val="right"/>
      <w:pPr>
        <w:ind w:left="2931" w:hanging="180"/>
      </w:pPr>
    </w:lvl>
    <w:lvl w:ilvl="3" w:tplc="0C09000F" w:tentative="1">
      <w:start w:val="1"/>
      <w:numFmt w:val="decimal"/>
      <w:lvlText w:val="%4."/>
      <w:lvlJc w:val="left"/>
      <w:pPr>
        <w:ind w:left="3651" w:hanging="360"/>
      </w:pPr>
    </w:lvl>
    <w:lvl w:ilvl="4" w:tplc="0C090019" w:tentative="1">
      <w:start w:val="1"/>
      <w:numFmt w:val="lowerLetter"/>
      <w:lvlText w:val="%5."/>
      <w:lvlJc w:val="left"/>
      <w:pPr>
        <w:ind w:left="4371" w:hanging="360"/>
      </w:pPr>
    </w:lvl>
    <w:lvl w:ilvl="5" w:tplc="0C09001B" w:tentative="1">
      <w:start w:val="1"/>
      <w:numFmt w:val="lowerRoman"/>
      <w:lvlText w:val="%6."/>
      <w:lvlJc w:val="right"/>
      <w:pPr>
        <w:ind w:left="5091" w:hanging="180"/>
      </w:pPr>
    </w:lvl>
    <w:lvl w:ilvl="6" w:tplc="0C09000F" w:tentative="1">
      <w:start w:val="1"/>
      <w:numFmt w:val="decimal"/>
      <w:lvlText w:val="%7."/>
      <w:lvlJc w:val="left"/>
      <w:pPr>
        <w:ind w:left="5811" w:hanging="360"/>
      </w:pPr>
    </w:lvl>
    <w:lvl w:ilvl="7" w:tplc="0C090019" w:tentative="1">
      <w:start w:val="1"/>
      <w:numFmt w:val="lowerLetter"/>
      <w:lvlText w:val="%8."/>
      <w:lvlJc w:val="left"/>
      <w:pPr>
        <w:ind w:left="6531" w:hanging="360"/>
      </w:pPr>
    </w:lvl>
    <w:lvl w:ilvl="8" w:tplc="0C09001B" w:tentative="1">
      <w:start w:val="1"/>
      <w:numFmt w:val="lowerRoman"/>
      <w:lvlText w:val="%9."/>
      <w:lvlJc w:val="right"/>
      <w:pPr>
        <w:ind w:left="7251" w:hanging="180"/>
      </w:pPr>
    </w:lvl>
  </w:abstractNum>
  <w:abstractNum w:abstractNumId="14" w15:restartNumberingAfterBreak="0">
    <w:nsid w:val="38611B7E"/>
    <w:multiLevelType w:val="hybridMultilevel"/>
    <w:tmpl w:val="1544179E"/>
    <w:lvl w:ilvl="0" w:tplc="5C885C30">
      <w:start w:val="1"/>
      <w:numFmt w:val="lowerLetter"/>
      <w:lvlText w:val="%1)"/>
      <w:lvlJc w:val="left"/>
      <w:pPr>
        <w:ind w:left="1779"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822" w:hanging="360"/>
      </w:pPr>
      <w:rPr>
        <w:rFonts w:hint="default"/>
      </w:rPr>
    </w:lvl>
    <w:lvl w:ilvl="2" w:tplc="1EDC6928">
      <w:start w:val="1"/>
      <w:numFmt w:val="upperLetter"/>
      <w:lvlText w:val="(%3)"/>
      <w:lvlJc w:val="left"/>
      <w:pPr>
        <w:ind w:left="2542" w:hanging="180"/>
      </w:pPr>
      <w:rPr>
        <w:rFonts w:hint="default"/>
      </w:r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abstractNum w:abstractNumId="15"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1E5540"/>
    <w:multiLevelType w:val="hybridMultilevel"/>
    <w:tmpl w:val="1278DC96"/>
    <w:lvl w:ilvl="0" w:tplc="EA787B86">
      <w:start w:val="1"/>
      <w:numFmt w:val="lowerLetter"/>
      <w:lvlText w:val="%1)"/>
      <w:lvlJc w:val="left"/>
      <w:pPr>
        <w:ind w:left="786" w:hanging="360"/>
      </w:pPr>
      <w:rPr>
        <w:rFonts w:hint="default"/>
        <w:strike w:val="0"/>
        <w:color w:val="FF000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63C84A50"/>
    <w:multiLevelType w:val="hybridMultilevel"/>
    <w:tmpl w:val="1544179E"/>
    <w:lvl w:ilvl="0" w:tplc="5C885C30">
      <w:start w:val="1"/>
      <w:numFmt w:val="lowerLetter"/>
      <w:lvlText w:val="%1)"/>
      <w:lvlJc w:val="left"/>
      <w:pPr>
        <w:ind w:left="1779"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822" w:hanging="360"/>
      </w:pPr>
      <w:rPr>
        <w:rFonts w:hint="default"/>
      </w:rPr>
    </w:lvl>
    <w:lvl w:ilvl="2" w:tplc="1EDC6928">
      <w:start w:val="1"/>
      <w:numFmt w:val="upperLetter"/>
      <w:lvlText w:val="(%3)"/>
      <w:lvlJc w:val="left"/>
      <w:pPr>
        <w:ind w:left="2542" w:hanging="180"/>
      </w:pPr>
      <w:rPr>
        <w:rFonts w:hint="default"/>
      </w:rPr>
    </w:lvl>
    <w:lvl w:ilvl="3" w:tplc="0C09000F" w:tentative="1">
      <w:start w:val="1"/>
      <w:numFmt w:val="decimal"/>
      <w:lvlText w:val="%4."/>
      <w:lvlJc w:val="left"/>
      <w:pPr>
        <w:ind w:left="3262" w:hanging="360"/>
      </w:pPr>
    </w:lvl>
    <w:lvl w:ilvl="4" w:tplc="0C090019" w:tentative="1">
      <w:start w:val="1"/>
      <w:numFmt w:val="lowerLetter"/>
      <w:lvlText w:val="%5."/>
      <w:lvlJc w:val="left"/>
      <w:pPr>
        <w:ind w:left="3982" w:hanging="360"/>
      </w:pPr>
    </w:lvl>
    <w:lvl w:ilvl="5" w:tplc="0C09001B" w:tentative="1">
      <w:start w:val="1"/>
      <w:numFmt w:val="lowerRoman"/>
      <w:lvlText w:val="%6."/>
      <w:lvlJc w:val="right"/>
      <w:pPr>
        <w:ind w:left="4702" w:hanging="180"/>
      </w:pPr>
    </w:lvl>
    <w:lvl w:ilvl="6" w:tplc="0C09000F" w:tentative="1">
      <w:start w:val="1"/>
      <w:numFmt w:val="decimal"/>
      <w:lvlText w:val="%7."/>
      <w:lvlJc w:val="left"/>
      <w:pPr>
        <w:ind w:left="5422" w:hanging="360"/>
      </w:pPr>
    </w:lvl>
    <w:lvl w:ilvl="7" w:tplc="0C090019" w:tentative="1">
      <w:start w:val="1"/>
      <w:numFmt w:val="lowerLetter"/>
      <w:lvlText w:val="%8."/>
      <w:lvlJc w:val="left"/>
      <w:pPr>
        <w:ind w:left="6142" w:hanging="360"/>
      </w:pPr>
    </w:lvl>
    <w:lvl w:ilvl="8" w:tplc="0C09001B" w:tentative="1">
      <w:start w:val="1"/>
      <w:numFmt w:val="lowerRoman"/>
      <w:lvlText w:val="%9."/>
      <w:lvlJc w:val="right"/>
      <w:pPr>
        <w:ind w:left="6862" w:hanging="180"/>
      </w:pPr>
    </w:lvl>
  </w:abstractNum>
  <w:num w:numId="1">
    <w:abstractNumId w:val="5"/>
  </w:num>
  <w:num w:numId="2">
    <w:abstractNumId w:val="3"/>
  </w:num>
  <w:num w:numId="3">
    <w:abstractNumId w:val="5"/>
  </w:num>
  <w:num w:numId="4">
    <w:abstractNumId w:val="3"/>
  </w:num>
  <w:num w:numId="5">
    <w:abstractNumId w:val="8"/>
  </w:num>
  <w:num w:numId="6">
    <w:abstractNumId w:val="11"/>
  </w:num>
  <w:num w:numId="7">
    <w:abstractNumId w:val="7"/>
  </w:num>
  <w:num w:numId="8">
    <w:abstractNumId w:val="15"/>
  </w:num>
  <w:num w:numId="9">
    <w:abstractNumId w:val="14"/>
  </w:num>
  <w:num w:numId="10">
    <w:abstractNumId w:val="14"/>
    <w:lvlOverride w:ilvl="0">
      <w:startOverride w:val="1"/>
    </w:lvlOverride>
  </w:num>
  <w:num w:numId="11">
    <w:abstractNumId w:val="9"/>
  </w:num>
  <w:num w:numId="12">
    <w:abstractNumId w:val="17"/>
  </w:num>
  <w:num w:numId="13">
    <w:abstractNumId w:val="6"/>
  </w:num>
  <w:num w:numId="14">
    <w:abstractNumId w:val="3"/>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pStyle w:val="Numberbullet2"/>
        <w:lvlText w:val="%2)"/>
        <w:lvlJc w:val="left"/>
        <w:pPr>
          <w:ind w:left="1571" w:hanging="426"/>
        </w:pPr>
        <w:rPr>
          <w:rFonts w:hint="default"/>
          <w:color w:val="auto"/>
        </w:rPr>
      </w:lvl>
    </w:lvlOverride>
    <w:lvlOverride w:ilvl="2">
      <w:lvl w:ilvl="2">
        <w:start w:val="1"/>
        <w:numFmt w:val="lowerRoman"/>
        <w:pStyle w:val="Numberbullet3"/>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15">
    <w:abstractNumId w:val="13"/>
  </w:num>
  <w:num w:numId="16">
    <w:abstractNumId w:val="12"/>
  </w:num>
  <w:num w:numId="17">
    <w:abstractNumId w:val="2"/>
  </w:num>
  <w:num w:numId="18">
    <w:abstractNumId w:val="1"/>
  </w:num>
  <w:num w:numId="19">
    <w:abstractNumId w:val="4"/>
  </w:num>
  <w:num w:numId="20">
    <w:abstractNumId w:val="10"/>
  </w:num>
  <w:num w:numId="21">
    <w:abstractNumId w:val="11"/>
    <w:lvlOverride w:ilvl="0">
      <w:startOverride w:val="1"/>
    </w:lvlOverride>
  </w:num>
  <w:num w:numId="22">
    <w:abstractNumId w:val="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1"/>
    <w:lvlOverride w:ilvl="0">
      <w:startOverride w:val="1"/>
    </w:lvlOverride>
  </w:num>
  <w:num w:numId="27">
    <w:abstractNumId w:val="11"/>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hideSpellingErrors/>
  <w:hideGrammatical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1B6C"/>
    <w:rsid w:val="00001B7D"/>
    <w:rsid w:val="00002031"/>
    <w:rsid w:val="00003EE4"/>
    <w:rsid w:val="000042DA"/>
    <w:rsid w:val="00004734"/>
    <w:rsid w:val="00006AE7"/>
    <w:rsid w:val="00006B22"/>
    <w:rsid w:val="00010A8A"/>
    <w:rsid w:val="0001276A"/>
    <w:rsid w:val="00012D9E"/>
    <w:rsid w:val="00015679"/>
    <w:rsid w:val="000174FD"/>
    <w:rsid w:val="00023C6E"/>
    <w:rsid w:val="000246AE"/>
    <w:rsid w:val="00025266"/>
    <w:rsid w:val="00025C67"/>
    <w:rsid w:val="00033375"/>
    <w:rsid w:val="000335FC"/>
    <w:rsid w:val="00033F14"/>
    <w:rsid w:val="0003578B"/>
    <w:rsid w:val="00037704"/>
    <w:rsid w:val="00041297"/>
    <w:rsid w:val="00042573"/>
    <w:rsid w:val="00042C53"/>
    <w:rsid w:val="00045DE7"/>
    <w:rsid w:val="000465B5"/>
    <w:rsid w:val="0005081A"/>
    <w:rsid w:val="00052189"/>
    <w:rsid w:val="00052322"/>
    <w:rsid w:val="00053C6C"/>
    <w:rsid w:val="0005559E"/>
    <w:rsid w:val="00056156"/>
    <w:rsid w:val="0005779F"/>
    <w:rsid w:val="00057FFC"/>
    <w:rsid w:val="000608DD"/>
    <w:rsid w:val="00061765"/>
    <w:rsid w:val="00061E87"/>
    <w:rsid w:val="0006427F"/>
    <w:rsid w:val="00065585"/>
    <w:rsid w:val="00065598"/>
    <w:rsid w:val="00065D1A"/>
    <w:rsid w:val="00072D02"/>
    <w:rsid w:val="00074EBD"/>
    <w:rsid w:val="000755F8"/>
    <w:rsid w:val="00077548"/>
    <w:rsid w:val="00077775"/>
    <w:rsid w:val="0008417D"/>
    <w:rsid w:val="00085DD5"/>
    <w:rsid w:val="000860B4"/>
    <w:rsid w:val="000869F6"/>
    <w:rsid w:val="00090471"/>
    <w:rsid w:val="0009248B"/>
    <w:rsid w:val="00092884"/>
    <w:rsid w:val="000A298D"/>
    <w:rsid w:val="000A56BE"/>
    <w:rsid w:val="000B0759"/>
    <w:rsid w:val="000B3532"/>
    <w:rsid w:val="000B3A75"/>
    <w:rsid w:val="000B4531"/>
    <w:rsid w:val="000B4F44"/>
    <w:rsid w:val="000B56DE"/>
    <w:rsid w:val="000B7084"/>
    <w:rsid w:val="000C31F2"/>
    <w:rsid w:val="000C5F0B"/>
    <w:rsid w:val="000C6B99"/>
    <w:rsid w:val="000D0ABB"/>
    <w:rsid w:val="000D0ECB"/>
    <w:rsid w:val="000D2B49"/>
    <w:rsid w:val="000D391B"/>
    <w:rsid w:val="000D3D6D"/>
    <w:rsid w:val="000D45F7"/>
    <w:rsid w:val="000D4FC7"/>
    <w:rsid w:val="000D7D1A"/>
    <w:rsid w:val="000E2479"/>
    <w:rsid w:val="000E3166"/>
    <w:rsid w:val="000E47CA"/>
    <w:rsid w:val="000E5657"/>
    <w:rsid w:val="000F00F4"/>
    <w:rsid w:val="000F04C4"/>
    <w:rsid w:val="000F3A5D"/>
    <w:rsid w:val="000F4869"/>
    <w:rsid w:val="000F5176"/>
    <w:rsid w:val="000F5B42"/>
    <w:rsid w:val="000F628C"/>
    <w:rsid w:val="000F6E6F"/>
    <w:rsid w:val="001003F2"/>
    <w:rsid w:val="00101762"/>
    <w:rsid w:val="0010601F"/>
    <w:rsid w:val="00106BF9"/>
    <w:rsid w:val="00110AE1"/>
    <w:rsid w:val="00110EA5"/>
    <w:rsid w:val="00112440"/>
    <w:rsid w:val="00115240"/>
    <w:rsid w:val="001157F7"/>
    <w:rsid w:val="00116550"/>
    <w:rsid w:val="00116990"/>
    <w:rsid w:val="001169AC"/>
    <w:rsid w:val="00117127"/>
    <w:rsid w:val="0012165C"/>
    <w:rsid w:val="00123BB2"/>
    <w:rsid w:val="00125091"/>
    <w:rsid w:val="00125148"/>
    <w:rsid w:val="00125318"/>
    <w:rsid w:val="0012669D"/>
    <w:rsid w:val="001268BE"/>
    <w:rsid w:val="001305A2"/>
    <w:rsid w:val="00130EB7"/>
    <w:rsid w:val="001327EC"/>
    <w:rsid w:val="00133238"/>
    <w:rsid w:val="00140FE3"/>
    <w:rsid w:val="0014197B"/>
    <w:rsid w:val="00143B58"/>
    <w:rsid w:val="001445AC"/>
    <w:rsid w:val="001447CD"/>
    <w:rsid w:val="00145DC9"/>
    <w:rsid w:val="001472AB"/>
    <w:rsid w:val="00150A66"/>
    <w:rsid w:val="00150CB5"/>
    <w:rsid w:val="001516B1"/>
    <w:rsid w:val="001525B4"/>
    <w:rsid w:val="0015522E"/>
    <w:rsid w:val="00155651"/>
    <w:rsid w:val="00156316"/>
    <w:rsid w:val="00156847"/>
    <w:rsid w:val="00157601"/>
    <w:rsid w:val="001578C5"/>
    <w:rsid w:val="00161226"/>
    <w:rsid w:val="001631CE"/>
    <w:rsid w:val="00164808"/>
    <w:rsid w:val="00165389"/>
    <w:rsid w:val="001653CE"/>
    <w:rsid w:val="00173C6A"/>
    <w:rsid w:val="0017693F"/>
    <w:rsid w:val="00176CB0"/>
    <w:rsid w:val="0018056A"/>
    <w:rsid w:val="0018110E"/>
    <w:rsid w:val="00181684"/>
    <w:rsid w:val="00182A4A"/>
    <w:rsid w:val="001843C6"/>
    <w:rsid w:val="001850E0"/>
    <w:rsid w:val="00185CE9"/>
    <w:rsid w:val="00186517"/>
    <w:rsid w:val="00193183"/>
    <w:rsid w:val="00193F30"/>
    <w:rsid w:val="00195525"/>
    <w:rsid w:val="0019579F"/>
    <w:rsid w:val="001A1559"/>
    <w:rsid w:val="001A3925"/>
    <w:rsid w:val="001A3BCE"/>
    <w:rsid w:val="001A525F"/>
    <w:rsid w:val="001A5FFE"/>
    <w:rsid w:val="001B09F9"/>
    <w:rsid w:val="001B0F8B"/>
    <w:rsid w:val="001B5CE3"/>
    <w:rsid w:val="001B6448"/>
    <w:rsid w:val="001B771E"/>
    <w:rsid w:val="001C0D8C"/>
    <w:rsid w:val="001C260D"/>
    <w:rsid w:val="001C2A9E"/>
    <w:rsid w:val="001C2D91"/>
    <w:rsid w:val="001C5266"/>
    <w:rsid w:val="001C7BDC"/>
    <w:rsid w:val="001C7F0A"/>
    <w:rsid w:val="001D00EF"/>
    <w:rsid w:val="001D52A2"/>
    <w:rsid w:val="001D6AC4"/>
    <w:rsid w:val="001E07CF"/>
    <w:rsid w:val="001E1653"/>
    <w:rsid w:val="001E1AE5"/>
    <w:rsid w:val="001E234C"/>
    <w:rsid w:val="001E4706"/>
    <w:rsid w:val="001E51C6"/>
    <w:rsid w:val="001E5555"/>
    <w:rsid w:val="001E59F1"/>
    <w:rsid w:val="001F04D7"/>
    <w:rsid w:val="001F32EC"/>
    <w:rsid w:val="001F49EB"/>
    <w:rsid w:val="001F6CBA"/>
    <w:rsid w:val="002001F1"/>
    <w:rsid w:val="0020028B"/>
    <w:rsid w:val="00200A9C"/>
    <w:rsid w:val="00201D4E"/>
    <w:rsid w:val="00202086"/>
    <w:rsid w:val="00204DF0"/>
    <w:rsid w:val="00205F7B"/>
    <w:rsid w:val="0020793B"/>
    <w:rsid w:val="002101CA"/>
    <w:rsid w:val="002147E0"/>
    <w:rsid w:val="00215E8D"/>
    <w:rsid w:val="00220B8A"/>
    <w:rsid w:val="002226DD"/>
    <w:rsid w:val="002257F3"/>
    <w:rsid w:val="00227FB9"/>
    <w:rsid w:val="0023267B"/>
    <w:rsid w:val="00233456"/>
    <w:rsid w:val="002339A5"/>
    <w:rsid w:val="00236140"/>
    <w:rsid w:val="00240781"/>
    <w:rsid w:val="0024102F"/>
    <w:rsid w:val="00242707"/>
    <w:rsid w:val="002445F4"/>
    <w:rsid w:val="002458D4"/>
    <w:rsid w:val="00245CF3"/>
    <w:rsid w:val="00246103"/>
    <w:rsid w:val="00247223"/>
    <w:rsid w:val="0025120A"/>
    <w:rsid w:val="0025660C"/>
    <w:rsid w:val="00257138"/>
    <w:rsid w:val="00257848"/>
    <w:rsid w:val="00267925"/>
    <w:rsid w:val="0027084A"/>
    <w:rsid w:val="00275590"/>
    <w:rsid w:val="00286434"/>
    <w:rsid w:val="00286C59"/>
    <w:rsid w:val="002929C2"/>
    <w:rsid w:val="00292BB3"/>
    <w:rsid w:val="002942D1"/>
    <w:rsid w:val="002A0556"/>
    <w:rsid w:val="002A3961"/>
    <w:rsid w:val="002A5857"/>
    <w:rsid w:val="002A5F56"/>
    <w:rsid w:val="002A6D49"/>
    <w:rsid w:val="002A6E38"/>
    <w:rsid w:val="002B0E0E"/>
    <w:rsid w:val="002B1638"/>
    <w:rsid w:val="002B3304"/>
    <w:rsid w:val="002C07AF"/>
    <w:rsid w:val="002C1418"/>
    <w:rsid w:val="002C383A"/>
    <w:rsid w:val="002C43C3"/>
    <w:rsid w:val="002C48BF"/>
    <w:rsid w:val="002C61B3"/>
    <w:rsid w:val="002C6D34"/>
    <w:rsid w:val="002D0B05"/>
    <w:rsid w:val="002D62FB"/>
    <w:rsid w:val="002E33CD"/>
    <w:rsid w:val="002E430E"/>
    <w:rsid w:val="002E4C9A"/>
    <w:rsid w:val="002E5C31"/>
    <w:rsid w:val="002E69BE"/>
    <w:rsid w:val="002F0C88"/>
    <w:rsid w:val="002F11F8"/>
    <w:rsid w:val="002F3F56"/>
    <w:rsid w:val="002F41ED"/>
    <w:rsid w:val="002F44B5"/>
    <w:rsid w:val="002F4E77"/>
    <w:rsid w:val="002F53E0"/>
    <w:rsid w:val="00302504"/>
    <w:rsid w:val="00303CBB"/>
    <w:rsid w:val="0030508C"/>
    <w:rsid w:val="003055BD"/>
    <w:rsid w:val="00305A17"/>
    <w:rsid w:val="0031023F"/>
    <w:rsid w:val="00311AC0"/>
    <w:rsid w:val="00314331"/>
    <w:rsid w:val="0031518C"/>
    <w:rsid w:val="00316EFC"/>
    <w:rsid w:val="00316F8D"/>
    <w:rsid w:val="003208A0"/>
    <w:rsid w:val="003240FE"/>
    <w:rsid w:val="003251D0"/>
    <w:rsid w:val="003261C8"/>
    <w:rsid w:val="00326976"/>
    <w:rsid w:val="00331DBB"/>
    <w:rsid w:val="00334439"/>
    <w:rsid w:val="00334CE8"/>
    <w:rsid w:val="00335BEC"/>
    <w:rsid w:val="003367E4"/>
    <w:rsid w:val="003417E2"/>
    <w:rsid w:val="00342685"/>
    <w:rsid w:val="00343736"/>
    <w:rsid w:val="003521E8"/>
    <w:rsid w:val="00352A2E"/>
    <w:rsid w:val="00352A81"/>
    <w:rsid w:val="00353AC2"/>
    <w:rsid w:val="003555D7"/>
    <w:rsid w:val="00355C00"/>
    <w:rsid w:val="00356F04"/>
    <w:rsid w:val="00360648"/>
    <w:rsid w:val="00360DFD"/>
    <w:rsid w:val="00361CD0"/>
    <w:rsid w:val="00362473"/>
    <w:rsid w:val="00362F16"/>
    <w:rsid w:val="00364671"/>
    <w:rsid w:val="0036523D"/>
    <w:rsid w:val="003662D5"/>
    <w:rsid w:val="003664BF"/>
    <w:rsid w:val="00367282"/>
    <w:rsid w:val="0036794C"/>
    <w:rsid w:val="0037036E"/>
    <w:rsid w:val="00371961"/>
    <w:rsid w:val="0037215C"/>
    <w:rsid w:val="003728F3"/>
    <w:rsid w:val="00372B01"/>
    <w:rsid w:val="00373D31"/>
    <w:rsid w:val="00377834"/>
    <w:rsid w:val="003810E7"/>
    <w:rsid w:val="0038110B"/>
    <w:rsid w:val="003834A6"/>
    <w:rsid w:val="00386152"/>
    <w:rsid w:val="00390900"/>
    <w:rsid w:val="00394253"/>
    <w:rsid w:val="003964E2"/>
    <w:rsid w:val="00397A82"/>
    <w:rsid w:val="003A0110"/>
    <w:rsid w:val="003A0B29"/>
    <w:rsid w:val="003A0B68"/>
    <w:rsid w:val="003A19BA"/>
    <w:rsid w:val="003A48A2"/>
    <w:rsid w:val="003B1FAD"/>
    <w:rsid w:val="003B3601"/>
    <w:rsid w:val="003B629A"/>
    <w:rsid w:val="003B6E20"/>
    <w:rsid w:val="003B7E39"/>
    <w:rsid w:val="003C04B2"/>
    <w:rsid w:val="003C1BBB"/>
    <w:rsid w:val="003C58DC"/>
    <w:rsid w:val="003C62FC"/>
    <w:rsid w:val="003C7673"/>
    <w:rsid w:val="003D1DEC"/>
    <w:rsid w:val="003D26B4"/>
    <w:rsid w:val="003D497F"/>
    <w:rsid w:val="003D5D86"/>
    <w:rsid w:val="003D6A7B"/>
    <w:rsid w:val="003E0E6A"/>
    <w:rsid w:val="003E1945"/>
    <w:rsid w:val="003E2889"/>
    <w:rsid w:val="003E3140"/>
    <w:rsid w:val="003E3208"/>
    <w:rsid w:val="003E33D4"/>
    <w:rsid w:val="003E3CA3"/>
    <w:rsid w:val="003E50C8"/>
    <w:rsid w:val="003E7390"/>
    <w:rsid w:val="003F0B04"/>
    <w:rsid w:val="003F3092"/>
    <w:rsid w:val="003F3095"/>
    <w:rsid w:val="003F48DD"/>
    <w:rsid w:val="003F4A3F"/>
    <w:rsid w:val="00400244"/>
    <w:rsid w:val="0040134E"/>
    <w:rsid w:val="004021C9"/>
    <w:rsid w:val="00402EF6"/>
    <w:rsid w:val="00403ACE"/>
    <w:rsid w:val="00403D3E"/>
    <w:rsid w:val="00404470"/>
    <w:rsid w:val="00404780"/>
    <w:rsid w:val="00404AD5"/>
    <w:rsid w:val="0040598C"/>
    <w:rsid w:val="0040726C"/>
    <w:rsid w:val="004072A5"/>
    <w:rsid w:val="00411710"/>
    <w:rsid w:val="0041244F"/>
    <w:rsid w:val="00412E40"/>
    <w:rsid w:val="00414BA2"/>
    <w:rsid w:val="004168AC"/>
    <w:rsid w:val="00416EC6"/>
    <w:rsid w:val="00421B7E"/>
    <w:rsid w:val="00423F10"/>
    <w:rsid w:val="004247DA"/>
    <w:rsid w:val="004302D7"/>
    <w:rsid w:val="0043074F"/>
    <w:rsid w:val="00430AAA"/>
    <w:rsid w:val="00432CDD"/>
    <w:rsid w:val="004330F5"/>
    <w:rsid w:val="00433211"/>
    <w:rsid w:val="00435B13"/>
    <w:rsid w:val="00436C41"/>
    <w:rsid w:val="004407B2"/>
    <w:rsid w:val="00440A2D"/>
    <w:rsid w:val="004422DF"/>
    <w:rsid w:val="004432FB"/>
    <w:rsid w:val="004446E3"/>
    <w:rsid w:val="004454B4"/>
    <w:rsid w:val="0044589C"/>
    <w:rsid w:val="00445EFF"/>
    <w:rsid w:val="0044722D"/>
    <w:rsid w:val="0044785B"/>
    <w:rsid w:val="0045227F"/>
    <w:rsid w:val="00455ECA"/>
    <w:rsid w:val="004564A7"/>
    <w:rsid w:val="00457FE3"/>
    <w:rsid w:val="00461791"/>
    <w:rsid w:val="004617BF"/>
    <w:rsid w:val="004618AB"/>
    <w:rsid w:val="00461999"/>
    <w:rsid w:val="00464DFB"/>
    <w:rsid w:val="0046516E"/>
    <w:rsid w:val="004658BC"/>
    <w:rsid w:val="00470EC2"/>
    <w:rsid w:val="00472080"/>
    <w:rsid w:val="00477C53"/>
    <w:rsid w:val="00480621"/>
    <w:rsid w:val="00484BAB"/>
    <w:rsid w:val="00484E75"/>
    <w:rsid w:val="00485BFD"/>
    <w:rsid w:val="00487716"/>
    <w:rsid w:val="00487D10"/>
    <w:rsid w:val="004923FF"/>
    <w:rsid w:val="004933EC"/>
    <w:rsid w:val="00494E60"/>
    <w:rsid w:val="004970FD"/>
    <w:rsid w:val="004A153B"/>
    <w:rsid w:val="004A2400"/>
    <w:rsid w:val="004A3D98"/>
    <w:rsid w:val="004A6F05"/>
    <w:rsid w:val="004A712E"/>
    <w:rsid w:val="004B21D7"/>
    <w:rsid w:val="004B2BD3"/>
    <w:rsid w:val="004B38CD"/>
    <w:rsid w:val="004B3FE8"/>
    <w:rsid w:val="004B545E"/>
    <w:rsid w:val="004B6701"/>
    <w:rsid w:val="004B7B76"/>
    <w:rsid w:val="004C0070"/>
    <w:rsid w:val="004C02C3"/>
    <w:rsid w:val="004C1537"/>
    <w:rsid w:val="004C241F"/>
    <w:rsid w:val="004C27BF"/>
    <w:rsid w:val="004C3BFD"/>
    <w:rsid w:val="004C4791"/>
    <w:rsid w:val="004C4B1C"/>
    <w:rsid w:val="004C60B4"/>
    <w:rsid w:val="004D51A6"/>
    <w:rsid w:val="004D6739"/>
    <w:rsid w:val="004D722C"/>
    <w:rsid w:val="004E4EC6"/>
    <w:rsid w:val="004E51D0"/>
    <w:rsid w:val="004E5523"/>
    <w:rsid w:val="004F0F38"/>
    <w:rsid w:val="004F293F"/>
    <w:rsid w:val="004F4580"/>
    <w:rsid w:val="004F50C4"/>
    <w:rsid w:val="005009C0"/>
    <w:rsid w:val="00501179"/>
    <w:rsid w:val="00501921"/>
    <w:rsid w:val="00501CBA"/>
    <w:rsid w:val="00501F03"/>
    <w:rsid w:val="005042C1"/>
    <w:rsid w:val="00511A1C"/>
    <w:rsid w:val="005164BD"/>
    <w:rsid w:val="005168C9"/>
    <w:rsid w:val="00516E40"/>
    <w:rsid w:val="00520F6C"/>
    <w:rsid w:val="0052115F"/>
    <w:rsid w:val="00521BEF"/>
    <w:rsid w:val="005220E5"/>
    <w:rsid w:val="005221E1"/>
    <w:rsid w:val="005274DA"/>
    <w:rsid w:val="005302F5"/>
    <w:rsid w:val="00530354"/>
    <w:rsid w:val="0053247C"/>
    <w:rsid w:val="00533970"/>
    <w:rsid w:val="00534871"/>
    <w:rsid w:val="00534967"/>
    <w:rsid w:val="0053538C"/>
    <w:rsid w:val="0053781A"/>
    <w:rsid w:val="00541352"/>
    <w:rsid w:val="0054163A"/>
    <w:rsid w:val="005434C6"/>
    <w:rsid w:val="00543B39"/>
    <w:rsid w:val="00543BA4"/>
    <w:rsid w:val="00550096"/>
    <w:rsid w:val="00550F3F"/>
    <w:rsid w:val="00551F1D"/>
    <w:rsid w:val="005524C5"/>
    <w:rsid w:val="00552DB2"/>
    <w:rsid w:val="00553191"/>
    <w:rsid w:val="005540F9"/>
    <w:rsid w:val="005576C9"/>
    <w:rsid w:val="00557FF9"/>
    <w:rsid w:val="005605D9"/>
    <w:rsid w:val="00560BAF"/>
    <w:rsid w:val="00560F50"/>
    <w:rsid w:val="0056199E"/>
    <w:rsid w:val="00561B1B"/>
    <w:rsid w:val="00570402"/>
    <w:rsid w:val="005729B0"/>
    <w:rsid w:val="00573B15"/>
    <w:rsid w:val="00575A6D"/>
    <w:rsid w:val="00576378"/>
    <w:rsid w:val="00577E38"/>
    <w:rsid w:val="005824DB"/>
    <w:rsid w:val="00584EAD"/>
    <w:rsid w:val="00585069"/>
    <w:rsid w:val="00585322"/>
    <w:rsid w:val="0058593B"/>
    <w:rsid w:val="0058774D"/>
    <w:rsid w:val="00591975"/>
    <w:rsid w:val="00593AD1"/>
    <w:rsid w:val="005955CF"/>
    <w:rsid w:val="00597B50"/>
    <w:rsid w:val="005A1131"/>
    <w:rsid w:val="005A1F9F"/>
    <w:rsid w:val="005A30C7"/>
    <w:rsid w:val="005A3F2F"/>
    <w:rsid w:val="005A5916"/>
    <w:rsid w:val="005A5A5E"/>
    <w:rsid w:val="005A6611"/>
    <w:rsid w:val="005B1DEF"/>
    <w:rsid w:val="005B4C4D"/>
    <w:rsid w:val="005B78C6"/>
    <w:rsid w:val="005C03F2"/>
    <w:rsid w:val="005C0499"/>
    <w:rsid w:val="005C1D90"/>
    <w:rsid w:val="005C22EA"/>
    <w:rsid w:val="005C264C"/>
    <w:rsid w:val="005C2732"/>
    <w:rsid w:val="005C2FB2"/>
    <w:rsid w:val="005C3414"/>
    <w:rsid w:val="005C5570"/>
    <w:rsid w:val="005C6864"/>
    <w:rsid w:val="005C6D87"/>
    <w:rsid w:val="005C79A4"/>
    <w:rsid w:val="005D060C"/>
    <w:rsid w:val="005D16DC"/>
    <w:rsid w:val="005D43F7"/>
    <w:rsid w:val="005D4E06"/>
    <w:rsid w:val="005D5002"/>
    <w:rsid w:val="005D52A5"/>
    <w:rsid w:val="005D5442"/>
    <w:rsid w:val="005D633D"/>
    <w:rsid w:val="005E1A89"/>
    <w:rsid w:val="005E2FA0"/>
    <w:rsid w:val="005E3393"/>
    <w:rsid w:val="005E5885"/>
    <w:rsid w:val="005E6395"/>
    <w:rsid w:val="005E69A1"/>
    <w:rsid w:val="005F3EA0"/>
    <w:rsid w:val="005F4139"/>
    <w:rsid w:val="00600EF3"/>
    <w:rsid w:val="00601298"/>
    <w:rsid w:val="00601594"/>
    <w:rsid w:val="00601FD3"/>
    <w:rsid w:val="0060581D"/>
    <w:rsid w:val="00607D91"/>
    <w:rsid w:val="00610978"/>
    <w:rsid w:val="006128A7"/>
    <w:rsid w:val="00612B30"/>
    <w:rsid w:val="006131AB"/>
    <w:rsid w:val="00613211"/>
    <w:rsid w:val="006132E8"/>
    <w:rsid w:val="00615866"/>
    <w:rsid w:val="00617FC6"/>
    <w:rsid w:val="006210F2"/>
    <w:rsid w:val="0062266E"/>
    <w:rsid w:val="00623676"/>
    <w:rsid w:val="006238C7"/>
    <w:rsid w:val="006272C4"/>
    <w:rsid w:val="006279A4"/>
    <w:rsid w:val="006279E7"/>
    <w:rsid w:val="00632D4C"/>
    <w:rsid w:val="006352D8"/>
    <w:rsid w:val="00635408"/>
    <w:rsid w:val="006400CB"/>
    <w:rsid w:val="00640FC3"/>
    <w:rsid w:val="00642020"/>
    <w:rsid w:val="00650434"/>
    <w:rsid w:val="00651316"/>
    <w:rsid w:val="00652CEE"/>
    <w:rsid w:val="0065337B"/>
    <w:rsid w:val="00653AC9"/>
    <w:rsid w:val="0065419D"/>
    <w:rsid w:val="00655DD7"/>
    <w:rsid w:val="006604D8"/>
    <w:rsid w:val="00662FFC"/>
    <w:rsid w:val="00664A5B"/>
    <w:rsid w:val="006664CB"/>
    <w:rsid w:val="006667D0"/>
    <w:rsid w:val="00667942"/>
    <w:rsid w:val="006733CD"/>
    <w:rsid w:val="00673C5B"/>
    <w:rsid w:val="00674BA2"/>
    <w:rsid w:val="00677050"/>
    <w:rsid w:val="006804A8"/>
    <w:rsid w:val="00680C08"/>
    <w:rsid w:val="00681F76"/>
    <w:rsid w:val="0068543D"/>
    <w:rsid w:val="00686C19"/>
    <w:rsid w:val="0068741A"/>
    <w:rsid w:val="006913AC"/>
    <w:rsid w:val="00691DBE"/>
    <w:rsid w:val="006931B1"/>
    <w:rsid w:val="006A1382"/>
    <w:rsid w:val="006A15C0"/>
    <w:rsid w:val="006A1DC0"/>
    <w:rsid w:val="006A1F12"/>
    <w:rsid w:val="006A4026"/>
    <w:rsid w:val="006A59B6"/>
    <w:rsid w:val="006A64F4"/>
    <w:rsid w:val="006A7FD9"/>
    <w:rsid w:val="006B04AD"/>
    <w:rsid w:val="006B1BCF"/>
    <w:rsid w:val="006B3B74"/>
    <w:rsid w:val="006B3CF2"/>
    <w:rsid w:val="006B3DE4"/>
    <w:rsid w:val="006B509D"/>
    <w:rsid w:val="006C0A51"/>
    <w:rsid w:val="006C0E49"/>
    <w:rsid w:val="006C14A8"/>
    <w:rsid w:val="006C1A83"/>
    <w:rsid w:val="006C1AD9"/>
    <w:rsid w:val="006C1BAF"/>
    <w:rsid w:val="006C1F3B"/>
    <w:rsid w:val="006C219E"/>
    <w:rsid w:val="006C3E2A"/>
    <w:rsid w:val="006C450D"/>
    <w:rsid w:val="006C57B7"/>
    <w:rsid w:val="006C642F"/>
    <w:rsid w:val="006D03E5"/>
    <w:rsid w:val="006D08C1"/>
    <w:rsid w:val="006D5D3E"/>
    <w:rsid w:val="006D6A23"/>
    <w:rsid w:val="006D6DAA"/>
    <w:rsid w:val="006D7853"/>
    <w:rsid w:val="006E08B3"/>
    <w:rsid w:val="006E12AD"/>
    <w:rsid w:val="006E202F"/>
    <w:rsid w:val="006E5071"/>
    <w:rsid w:val="006E5882"/>
    <w:rsid w:val="006E5916"/>
    <w:rsid w:val="006F01FE"/>
    <w:rsid w:val="006F1A67"/>
    <w:rsid w:val="006F551A"/>
    <w:rsid w:val="006F572E"/>
    <w:rsid w:val="006F65A9"/>
    <w:rsid w:val="00703F74"/>
    <w:rsid w:val="007046D6"/>
    <w:rsid w:val="00704CFF"/>
    <w:rsid w:val="00705DB0"/>
    <w:rsid w:val="00706AFE"/>
    <w:rsid w:val="007105C8"/>
    <w:rsid w:val="00711BAE"/>
    <w:rsid w:val="007127A7"/>
    <w:rsid w:val="0071326E"/>
    <w:rsid w:val="007166DF"/>
    <w:rsid w:val="00717545"/>
    <w:rsid w:val="00717B5D"/>
    <w:rsid w:val="00720E48"/>
    <w:rsid w:val="007212E5"/>
    <w:rsid w:val="007249F8"/>
    <w:rsid w:val="00724E11"/>
    <w:rsid w:val="0073205A"/>
    <w:rsid w:val="00732B06"/>
    <w:rsid w:val="0073345D"/>
    <w:rsid w:val="00736B85"/>
    <w:rsid w:val="00736EFA"/>
    <w:rsid w:val="00737627"/>
    <w:rsid w:val="007407E3"/>
    <w:rsid w:val="007408C6"/>
    <w:rsid w:val="00741EFB"/>
    <w:rsid w:val="0074253D"/>
    <w:rsid w:val="0074429B"/>
    <w:rsid w:val="007477F8"/>
    <w:rsid w:val="00750368"/>
    <w:rsid w:val="00751D79"/>
    <w:rsid w:val="00754360"/>
    <w:rsid w:val="00755053"/>
    <w:rsid w:val="007560C5"/>
    <w:rsid w:val="007615BC"/>
    <w:rsid w:val="00761AA7"/>
    <w:rsid w:val="00762F05"/>
    <w:rsid w:val="007637F0"/>
    <w:rsid w:val="00763BB7"/>
    <w:rsid w:val="007652FF"/>
    <w:rsid w:val="00765754"/>
    <w:rsid w:val="007657F7"/>
    <w:rsid w:val="00765C7B"/>
    <w:rsid w:val="00766729"/>
    <w:rsid w:val="00766888"/>
    <w:rsid w:val="00771329"/>
    <w:rsid w:val="00771371"/>
    <w:rsid w:val="00773EF7"/>
    <w:rsid w:val="007748DC"/>
    <w:rsid w:val="00774E1D"/>
    <w:rsid w:val="00775988"/>
    <w:rsid w:val="0077675A"/>
    <w:rsid w:val="00780355"/>
    <w:rsid w:val="00782870"/>
    <w:rsid w:val="00783116"/>
    <w:rsid w:val="00784124"/>
    <w:rsid w:val="00785721"/>
    <w:rsid w:val="00786CBC"/>
    <w:rsid w:val="007907BF"/>
    <w:rsid w:val="00793A59"/>
    <w:rsid w:val="00794519"/>
    <w:rsid w:val="007954D4"/>
    <w:rsid w:val="00797C67"/>
    <w:rsid w:val="007A19FE"/>
    <w:rsid w:val="007A2162"/>
    <w:rsid w:val="007A2B0B"/>
    <w:rsid w:val="007A43B8"/>
    <w:rsid w:val="007A53B3"/>
    <w:rsid w:val="007A578D"/>
    <w:rsid w:val="007A58C5"/>
    <w:rsid w:val="007A6282"/>
    <w:rsid w:val="007B0412"/>
    <w:rsid w:val="007B0A15"/>
    <w:rsid w:val="007B1ED1"/>
    <w:rsid w:val="007B6E50"/>
    <w:rsid w:val="007B7F38"/>
    <w:rsid w:val="007C0F3D"/>
    <w:rsid w:val="007C1AF7"/>
    <w:rsid w:val="007C274B"/>
    <w:rsid w:val="007C581E"/>
    <w:rsid w:val="007C6CE1"/>
    <w:rsid w:val="007D2CFA"/>
    <w:rsid w:val="007D31C7"/>
    <w:rsid w:val="007D404B"/>
    <w:rsid w:val="007D4385"/>
    <w:rsid w:val="007D7B54"/>
    <w:rsid w:val="007E208F"/>
    <w:rsid w:val="007E29E1"/>
    <w:rsid w:val="007E3E3E"/>
    <w:rsid w:val="007E4DCE"/>
    <w:rsid w:val="007E563A"/>
    <w:rsid w:val="007E662C"/>
    <w:rsid w:val="007F0619"/>
    <w:rsid w:val="007F36D4"/>
    <w:rsid w:val="007F527F"/>
    <w:rsid w:val="008030CD"/>
    <w:rsid w:val="00804357"/>
    <w:rsid w:val="0080449A"/>
    <w:rsid w:val="00811949"/>
    <w:rsid w:val="00812029"/>
    <w:rsid w:val="00812083"/>
    <w:rsid w:val="008122AC"/>
    <w:rsid w:val="00813E46"/>
    <w:rsid w:val="008150C4"/>
    <w:rsid w:val="00816079"/>
    <w:rsid w:val="00817471"/>
    <w:rsid w:val="00817D97"/>
    <w:rsid w:val="0082026A"/>
    <w:rsid w:val="00821776"/>
    <w:rsid w:val="00826007"/>
    <w:rsid w:val="0082653E"/>
    <w:rsid w:val="008266E2"/>
    <w:rsid w:val="00827C01"/>
    <w:rsid w:val="0083209C"/>
    <w:rsid w:val="008321F5"/>
    <w:rsid w:val="00832369"/>
    <w:rsid w:val="00832486"/>
    <w:rsid w:val="00832ABD"/>
    <w:rsid w:val="0083329F"/>
    <w:rsid w:val="00834660"/>
    <w:rsid w:val="008357ED"/>
    <w:rsid w:val="008361CD"/>
    <w:rsid w:val="00836BC2"/>
    <w:rsid w:val="008371AC"/>
    <w:rsid w:val="0084109D"/>
    <w:rsid w:val="008423DC"/>
    <w:rsid w:val="00842FB3"/>
    <w:rsid w:val="00846E23"/>
    <w:rsid w:val="00852BE5"/>
    <w:rsid w:val="00854568"/>
    <w:rsid w:val="0085641B"/>
    <w:rsid w:val="00857136"/>
    <w:rsid w:val="008617CA"/>
    <w:rsid w:val="008702B3"/>
    <w:rsid w:val="008707DF"/>
    <w:rsid w:val="008714AE"/>
    <w:rsid w:val="00871E49"/>
    <w:rsid w:val="00872807"/>
    <w:rsid w:val="00872D41"/>
    <w:rsid w:val="00876EAC"/>
    <w:rsid w:val="00880B52"/>
    <w:rsid w:val="00881EA0"/>
    <w:rsid w:val="00882519"/>
    <w:rsid w:val="00883033"/>
    <w:rsid w:val="0088496A"/>
    <w:rsid w:val="00885AA4"/>
    <w:rsid w:val="0088678E"/>
    <w:rsid w:val="0089392A"/>
    <w:rsid w:val="00893C5D"/>
    <w:rsid w:val="00896018"/>
    <w:rsid w:val="00896E1F"/>
    <w:rsid w:val="00897733"/>
    <w:rsid w:val="008A00FE"/>
    <w:rsid w:val="008A0B3E"/>
    <w:rsid w:val="008A2ACB"/>
    <w:rsid w:val="008A2B9D"/>
    <w:rsid w:val="008A2D18"/>
    <w:rsid w:val="008A5E0B"/>
    <w:rsid w:val="008A69D0"/>
    <w:rsid w:val="008A6A7F"/>
    <w:rsid w:val="008A6B96"/>
    <w:rsid w:val="008A6D59"/>
    <w:rsid w:val="008A6D62"/>
    <w:rsid w:val="008B0015"/>
    <w:rsid w:val="008B055F"/>
    <w:rsid w:val="008B2B27"/>
    <w:rsid w:val="008B4B03"/>
    <w:rsid w:val="008B596F"/>
    <w:rsid w:val="008B7C43"/>
    <w:rsid w:val="008C0C69"/>
    <w:rsid w:val="008C159F"/>
    <w:rsid w:val="008C1623"/>
    <w:rsid w:val="008C2B58"/>
    <w:rsid w:val="008C2ED5"/>
    <w:rsid w:val="008C51A9"/>
    <w:rsid w:val="008C5225"/>
    <w:rsid w:val="008C7E46"/>
    <w:rsid w:val="008D0620"/>
    <w:rsid w:val="008D1287"/>
    <w:rsid w:val="008D3724"/>
    <w:rsid w:val="008D3FCE"/>
    <w:rsid w:val="008D51D7"/>
    <w:rsid w:val="008D67F7"/>
    <w:rsid w:val="008D7BD4"/>
    <w:rsid w:val="008E0CF4"/>
    <w:rsid w:val="008E1C35"/>
    <w:rsid w:val="008E6463"/>
    <w:rsid w:val="008F1CCC"/>
    <w:rsid w:val="008F2967"/>
    <w:rsid w:val="008F2AD4"/>
    <w:rsid w:val="008F4A62"/>
    <w:rsid w:val="008F57B4"/>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27BDD"/>
    <w:rsid w:val="00930237"/>
    <w:rsid w:val="009310B4"/>
    <w:rsid w:val="00935456"/>
    <w:rsid w:val="00936552"/>
    <w:rsid w:val="0093749E"/>
    <w:rsid w:val="009404F7"/>
    <w:rsid w:val="00942751"/>
    <w:rsid w:val="00943A3F"/>
    <w:rsid w:val="0094404B"/>
    <w:rsid w:val="00944B14"/>
    <w:rsid w:val="00945041"/>
    <w:rsid w:val="009468C6"/>
    <w:rsid w:val="00950875"/>
    <w:rsid w:val="00950C62"/>
    <w:rsid w:val="00951677"/>
    <w:rsid w:val="00952097"/>
    <w:rsid w:val="00952C3D"/>
    <w:rsid w:val="00953EA8"/>
    <w:rsid w:val="00953F2E"/>
    <w:rsid w:val="00955A46"/>
    <w:rsid w:val="00955B28"/>
    <w:rsid w:val="009628B7"/>
    <w:rsid w:val="00963C08"/>
    <w:rsid w:val="00963C0D"/>
    <w:rsid w:val="00966970"/>
    <w:rsid w:val="00967C5A"/>
    <w:rsid w:val="00970367"/>
    <w:rsid w:val="009741DD"/>
    <w:rsid w:val="009752DD"/>
    <w:rsid w:val="00975379"/>
    <w:rsid w:val="00981AC6"/>
    <w:rsid w:val="00981D0A"/>
    <w:rsid w:val="009835B6"/>
    <w:rsid w:val="00984CAD"/>
    <w:rsid w:val="00987D65"/>
    <w:rsid w:val="009927F3"/>
    <w:rsid w:val="00993AB0"/>
    <w:rsid w:val="009A17B5"/>
    <w:rsid w:val="009A190E"/>
    <w:rsid w:val="009A3EAB"/>
    <w:rsid w:val="009A4825"/>
    <w:rsid w:val="009A4CED"/>
    <w:rsid w:val="009A706C"/>
    <w:rsid w:val="009B00CC"/>
    <w:rsid w:val="009B02F1"/>
    <w:rsid w:val="009B1D12"/>
    <w:rsid w:val="009B20A0"/>
    <w:rsid w:val="009B2B3C"/>
    <w:rsid w:val="009B3475"/>
    <w:rsid w:val="009B416B"/>
    <w:rsid w:val="009B574B"/>
    <w:rsid w:val="009B6348"/>
    <w:rsid w:val="009C4196"/>
    <w:rsid w:val="009C4BD5"/>
    <w:rsid w:val="009C5F04"/>
    <w:rsid w:val="009C5FDD"/>
    <w:rsid w:val="009C683C"/>
    <w:rsid w:val="009D0801"/>
    <w:rsid w:val="009D0A6D"/>
    <w:rsid w:val="009D0DC8"/>
    <w:rsid w:val="009D0F76"/>
    <w:rsid w:val="009D2144"/>
    <w:rsid w:val="009D2E04"/>
    <w:rsid w:val="009D7B77"/>
    <w:rsid w:val="009D7EE1"/>
    <w:rsid w:val="009E0BB0"/>
    <w:rsid w:val="009E2464"/>
    <w:rsid w:val="009E37F8"/>
    <w:rsid w:val="009E3FBB"/>
    <w:rsid w:val="009E6CA2"/>
    <w:rsid w:val="009F018D"/>
    <w:rsid w:val="009F01FD"/>
    <w:rsid w:val="009F207B"/>
    <w:rsid w:val="009F20E4"/>
    <w:rsid w:val="00A0156E"/>
    <w:rsid w:val="00A05E5C"/>
    <w:rsid w:val="00A05FF3"/>
    <w:rsid w:val="00A10C68"/>
    <w:rsid w:val="00A1235B"/>
    <w:rsid w:val="00A14DF7"/>
    <w:rsid w:val="00A17D07"/>
    <w:rsid w:val="00A22E19"/>
    <w:rsid w:val="00A27B10"/>
    <w:rsid w:val="00A27E6C"/>
    <w:rsid w:val="00A3038D"/>
    <w:rsid w:val="00A31294"/>
    <w:rsid w:val="00A3246D"/>
    <w:rsid w:val="00A32C51"/>
    <w:rsid w:val="00A342E4"/>
    <w:rsid w:val="00A345B4"/>
    <w:rsid w:val="00A36E8D"/>
    <w:rsid w:val="00A36FA7"/>
    <w:rsid w:val="00A40944"/>
    <w:rsid w:val="00A41E88"/>
    <w:rsid w:val="00A44896"/>
    <w:rsid w:val="00A46A96"/>
    <w:rsid w:val="00A47209"/>
    <w:rsid w:val="00A475B7"/>
    <w:rsid w:val="00A47AF7"/>
    <w:rsid w:val="00A47C3E"/>
    <w:rsid w:val="00A50226"/>
    <w:rsid w:val="00A50992"/>
    <w:rsid w:val="00A51339"/>
    <w:rsid w:val="00A553F5"/>
    <w:rsid w:val="00A60BAD"/>
    <w:rsid w:val="00A669FA"/>
    <w:rsid w:val="00A73339"/>
    <w:rsid w:val="00A737A1"/>
    <w:rsid w:val="00A73A8D"/>
    <w:rsid w:val="00A77C79"/>
    <w:rsid w:val="00A8051A"/>
    <w:rsid w:val="00A806AE"/>
    <w:rsid w:val="00A8283D"/>
    <w:rsid w:val="00A8571D"/>
    <w:rsid w:val="00A85A23"/>
    <w:rsid w:val="00A86D4E"/>
    <w:rsid w:val="00A86D9B"/>
    <w:rsid w:val="00A87334"/>
    <w:rsid w:val="00A929C0"/>
    <w:rsid w:val="00A92E6D"/>
    <w:rsid w:val="00A934D5"/>
    <w:rsid w:val="00A957C4"/>
    <w:rsid w:val="00AA34FC"/>
    <w:rsid w:val="00AB0BF2"/>
    <w:rsid w:val="00AB201E"/>
    <w:rsid w:val="00AB3F92"/>
    <w:rsid w:val="00AB42C4"/>
    <w:rsid w:val="00AB581C"/>
    <w:rsid w:val="00AB5C96"/>
    <w:rsid w:val="00AC262B"/>
    <w:rsid w:val="00AC2B40"/>
    <w:rsid w:val="00AC2BB2"/>
    <w:rsid w:val="00AC2C3C"/>
    <w:rsid w:val="00AC3BD9"/>
    <w:rsid w:val="00AC44FA"/>
    <w:rsid w:val="00AC54D1"/>
    <w:rsid w:val="00AC6EBE"/>
    <w:rsid w:val="00AD04A9"/>
    <w:rsid w:val="00AD1D87"/>
    <w:rsid w:val="00AD2AE5"/>
    <w:rsid w:val="00AD4722"/>
    <w:rsid w:val="00AD58C6"/>
    <w:rsid w:val="00AD7E78"/>
    <w:rsid w:val="00AE2270"/>
    <w:rsid w:val="00AE2D8E"/>
    <w:rsid w:val="00AE4205"/>
    <w:rsid w:val="00AE44B8"/>
    <w:rsid w:val="00AE6155"/>
    <w:rsid w:val="00AE65EB"/>
    <w:rsid w:val="00AE670F"/>
    <w:rsid w:val="00AF1B84"/>
    <w:rsid w:val="00AF1D94"/>
    <w:rsid w:val="00AF27F0"/>
    <w:rsid w:val="00AF2D51"/>
    <w:rsid w:val="00AF316D"/>
    <w:rsid w:val="00AF3A8C"/>
    <w:rsid w:val="00AF60C5"/>
    <w:rsid w:val="00AF77AC"/>
    <w:rsid w:val="00B009C6"/>
    <w:rsid w:val="00B01548"/>
    <w:rsid w:val="00B07DCE"/>
    <w:rsid w:val="00B138BE"/>
    <w:rsid w:val="00B15AE2"/>
    <w:rsid w:val="00B15C1C"/>
    <w:rsid w:val="00B17A0B"/>
    <w:rsid w:val="00B17CB3"/>
    <w:rsid w:val="00B21D29"/>
    <w:rsid w:val="00B21FC5"/>
    <w:rsid w:val="00B2275F"/>
    <w:rsid w:val="00B2312F"/>
    <w:rsid w:val="00B232CB"/>
    <w:rsid w:val="00B2374A"/>
    <w:rsid w:val="00B25034"/>
    <w:rsid w:val="00B27B29"/>
    <w:rsid w:val="00B27EA3"/>
    <w:rsid w:val="00B325C7"/>
    <w:rsid w:val="00B3309B"/>
    <w:rsid w:val="00B33863"/>
    <w:rsid w:val="00B345C6"/>
    <w:rsid w:val="00B34F51"/>
    <w:rsid w:val="00B37D17"/>
    <w:rsid w:val="00B4175E"/>
    <w:rsid w:val="00B42B39"/>
    <w:rsid w:val="00B4454F"/>
    <w:rsid w:val="00B50EE7"/>
    <w:rsid w:val="00B510E1"/>
    <w:rsid w:val="00B54C25"/>
    <w:rsid w:val="00B55E71"/>
    <w:rsid w:val="00B566FD"/>
    <w:rsid w:val="00B568CF"/>
    <w:rsid w:val="00B56A19"/>
    <w:rsid w:val="00B57049"/>
    <w:rsid w:val="00B572B2"/>
    <w:rsid w:val="00B60801"/>
    <w:rsid w:val="00B617EA"/>
    <w:rsid w:val="00B6409A"/>
    <w:rsid w:val="00B6677B"/>
    <w:rsid w:val="00B71B18"/>
    <w:rsid w:val="00B7359B"/>
    <w:rsid w:val="00B7518E"/>
    <w:rsid w:val="00B7672F"/>
    <w:rsid w:val="00B76B91"/>
    <w:rsid w:val="00B76E43"/>
    <w:rsid w:val="00B7797F"/>
    <w:rsid w:val="00B8103C"/>
    <w:rsid w:val="00B83FC7"/>
    <w:rsid w:val="00B8473E"/>
    <w:rsid w:val="00B85603"/>
    <w:rsid w:val="00B86F81"/>
    <w:rsid w:val="00B873A0"/>
    <w:rsid w:val="00B929EB"/>
    <w:rsid w:val="00B940E3"/>
    <w:rsid w:val="00B94276"/>
    <w:rsid w:val="00B94618"/>
    <w:rsid w:val="00B96143"/>
    <w:rsid w:val="00B978A9"/>
    <w:rsid w:val="00BB0BD8"/>
    <w:rsid w:val="00BB538A"/>
    <w:rsid w:val="00BB6DFC"/>
    <w:rsid w:val="00BB7F06"/>
    <w:rsid w:val="00BB7F56"/>
    <w:rsid w:val="00BC1CAB"/>
    <w:rsid w:val="00BC2009"/>
    <w:rsid w:val="00BC50DB"/>
    <w:rsid w:val="00BC526C"/>
    <w:rsid w:val="00BC5AC3"/>
    <w:rsid w:val="00BC5AE6"/>
    <w:rsid w:val="00BC622A"/>
    <w:rsid w:val="00BD44E5"/>
    <w:rsid w:val="00BD48EC"/>
    <w:rsid w:val="00BD4B87"/>
    <w:rsid w:val="00BD7919"/>
    <w:rsid w:val="00BE0A78"/>
    <w:rsid w:val="00BE0AB0"/>
    <w:rsid w:val="00BE0FF0"/>
    <w:rsid w:val="00BE125D"/>
    <w:rsid w:val="00BE27AF"/>
    <w:rsid w:val="00BE79F0"/>
    <w:rsid w:val="00BF046D"/>
    <w:rsid w:val="00BF17B6"/>
    <w:rsid w:val="00BF46E4"/>
    <w:rsid w:val="00BF4DB5"/>
    <w:rsid w:val="00BF5D04"/>
    <w:rsid w:val="00BF6D2F"/>
    <w:rsid w:val="00C007D3"/>
    <w:rsid w:val="00C019E6"/>
    <w:rsid w:val="00C02412"/>
    <w:rsid w:val="00C0357E"/>
    <w:rsid w:val="00C04EDA"/>
    <w:rsid w:val="00C06339"/>
    <w:rsid w:val="00C12E67"/>
    <w:rsid w:val="00C1305B"/>
    <w:rsid w:val="00C13563"/>
    <w:rsid w:val="00C16639"/>
    <w:rsid w:val="00C16CCE"/>
    <w:rsid w:val="00C17E00"/>
    <w:rsid w:val="00C24035"/>
    <w:rsid w:val="00C25609"/>
    <w:rsid w:val="00C25FC2"/>
    <w:rsid w:val="00C27919"/>
    <w:rsid w:val="00C31D44"/>
    <w:rsid w:val="00C3261E"/>
    <w:rsid w:val="00C32A88"/>
    <w:rsid w:val="00C33FDE"/>
    <w:rsid w:val="00C3534F"/>
    <w:rsid w:val="00C3536F"/>
    <w:rsid w:val="00C35A1F"/>
    <w:rsid w:val="00C364D5"/>
    <w:rsid w:val="00C36810"/>
    <w:rsid w:val="00C404A6"/>
    <w:rsid w:val="00C40A36"/>
    <w:rsid w:val="00C434EA"/>
    <w:rsid w:val="00C44419"/>
    <w:rsid w:val="00C45E7B"/>
    <w:rsid w:val="00C46FD3"/>
    <w:rsid w:val="00C471B1"/>
    <w:rsid w:val="00C50143"/>
    <w:rsid w:val="00C51001"/>
    <w:rsid w:val="00C54222"/>
    <w:rsid w:val="00C55437"/>
    <w:rsid w:val="00C55C1A"/>
    <w:rsid w:val="00C55FF4"/>
    <w:rsid w:val="00C6204C"/>
    <w:rsid w:val="00C6316B"/>
    <w:rsid w:val="00C6333C"/>
    <w:rsid w:val="00C634A9"/>
    <w:rsid w:val="00C6376F"/>
    <w:rsid w:val="00C651B1"/>
    <w:rsid w:val="00C669EE"/>
    <w:rsid w:val="00C70349"/>
    <w:rsid w:val="00C73315"/>
    <w:rsid w:val="00C73726"/>
    <w:rsid w:val="00C741A3"/>
    <w:rsid w:val="00C74DD6"/>
    <w:rsid w:val="00C76E42"/>
    <w:rsid w:val="00C772FF"/>
    <w:rsid w:val="00C778C1"/>
    <w:rsid w:val="00C801AF"/>
    <w:rsid w:val="00C80256"/>
    <w:rsid w:val="00C81696"/>
    <w:rsid w:val="00C87CA5"/>
    <w:rsid w:val="00C92759"/>
    <w:rsid w:val="00C93228"/>
    <w:rsid w:val="00C94239"/>
    <w:rsid w:val="00C95529"/>
    <w:rsid w:val="00C95D76"/>
    <w:rsid w:val="00C967C3"/>
    <w:rsid w:val="00CA068B"/>
    <w:rsid w:val="00CA0F79"/>
    <w:rsid w:val="00CA322D"/>
    <w:rsid w:val="00CA3A38"/>
    <w:rsid w:val="00CA62E0"/>
    <w:rsid w:val="00CA7F35"/>
    <w:rsid w:val="00CB2058"/>
    <w:rsid w:val="00CB27FE"/>
    <w:rsid w:val="00CB6BC0"/>
    <w:rsid w:val="00CC1B7C"/>
    <w:rsid w:val="00CC314F"/>
    <w:rsid w:val="00CC50DE"/>
    <w:rsid w:val="00CC6C0B"/>
    <w:rsid w:val="00CC727F"/>
    <w:rsid w:val="00CD6EB8"/>
    <w:rsid w:val="00CE2577"/>
    <w:rsid w:val="00CE5BB0"/>
    <w:rsid w:val="00CE5E4B"/>
    <w:rsid w:val="00CE7F3B"/>
    <w:rsid w:val="00CF15C3"/>
    <w:rsid w:val="00CF2B6F"/>
    <w:rsid w:val="00CF3BC4"/>
    <w:rsid w:val="00CF6340"/>
    <w:rsid w:val="00D00008"/>
    <w:rsid w:val="00D017ED"/>
    <w:rsid w:val="00D02AD9"/>
    <w:rsid w:val="00D04728"/>
    <w:rsid w:val="00D05B6F"/>
    <w:rsid w:val="00D06B55"/>
    <w:rsid w:val="00D07496"/>
    <w:rsid w:val="00D07BFC"/>
    <w:rsid w:val="00D13260"/>
    <w:rsid w:val="00D135F8"/>
    <w:rsid w:val="00D14335"/>
    <w:rsid w:val="00D153B1"/>
    <w:rsid w:val="00D1617A"/>
    <w:rsid w:val="00D224FE"/>
    <w:rsid w:val="00D229BA"/>
    <w:rsid w:val="00D24C02"/>
    <w:rsid w:val="00D319D3"/>
    <w:rsid w:val="00D3345F"/>
    <w:rsid w:val="00D44B04"/>
    <w:rsid w:val="00D46E89"/>
    <w:rsid w:val="00D47415"/>
    <w:rsid w:val="00D51CD8"/>
    <w:rsid w:val="00D539D6"/>
    <w:rsid w:val="00D55A5F"/>
    <w:rsid w:val="00D61619"/>
    <w:rsid w:val="00D624D6"/>
    <w:rsid w:val="00D63084"/>
    <w:rsid w:val="00D63F91"/>
    <w:rsid w:val="00D6493E"/>
    <w:rsid w:val="00D72783"/>
    <w:rsid w:val="00D73C01"/>
    <w:rsid w:val="00D73EC9"/>
    <w:rsid w:val="00D74637"/>
    <w:rsid w:val="00D763E2"/>
    <w:rsid w:val="00D76425"/>
    <w:rsid w:val="00D80DD3"/>
    <w:rsid w:val="00D82F24"/>
    <w:rsid w:val="00D834EE"/>
    <w:rsid w:val="00D84A25"/>
    <w:rsid w:val="00D855AE"/>
    <w:rsid w:val="00D86C12"/>
    <w:rsid w:val="00D87F31"/>
    <w:rsid w:val="00D953C3"/>
    <w:rsid w:val="00D956C8"/>
    <w:rsid w:val="00D968F5"/>
    <w:rsid w:val="00D97D00"/>
    <w:rsid w:val="00DA1086"/>
    <w:rsid w:val="00DA1124"/>
    <w:rsid w:val="00DA24C7"/>
    <w:rsid w:val="00DA2635"/>
    <w:rsid w:val="00DA2BE7"/>
    <w:rsid w:val="00DA391F"/>
    <w:rsid w:val="00DA3BFE"/>
    <w:rsid w:val="00DA46DB"/>
    <w:rsid w:val="00DA5B9B"/>
    <w:rsid w:val="00DA62AE"/>
    <w:rsid w:val="00DA7A0C"/>
    <w:rsid w:val="00DB33CF"/>
    <w:rsid w:val="00DB34F5"/>
    <w:rsid w:val="00DB63DF"/>
    <w:rsid w:val="00DB6735"/>
    <w:rsid w:val="00DC0176"/>
    <w:rsid w:val="00DC38FE"/>
    <w:rsid w:val="00DC4AC4"/>
    <w:rsid w:val="00DC55B7"/>
    <w:rsid w:val="00DC7746"/>
    <w:rsid w:val="00DC79D6"/>
    <w:rsid w:val="00DC7EE4"/>
    <w:rsid w:val="00DD17DA"/>
    <w:rsid w:val="00DD431B"/>
    <w:rsid w:val="00DD69A0"/>
    <w:rsid w:val="00DD75A3"/>
    <w:rsid w:val="00DE02AE"/>
    <w:rsid w:val="00DE2445"/>
    <w:rsid w:val="00DE47C0"/>
    <w:rsid w:val="00DE6A0C"/>
    <w:rsid w:val="00DE6C04"/>
    <w:rsid w:val="00DF1D7F"/>
    <w:rsid w:val="00DF2F50"/>
    <w:rsid w:val="00E02FB4"/>
    <w:rsid w:val="00E05B04"/>
    <w:rsid w:val="00E06A1B"/>
    <w:rsid w:val="00E1165A"/>
    <w:rsid w:val="00E1340C"/>
    <w:rsid w:val="00E14957"/>
    <w:rsid w:val="00E17A6F"/>
    <w:rsid w:val="00E2020C"/>
    <w:rsid w:val="00E20571"/>
    <w:rsid w:val="00E207D9"/>
    <w:rsid w:val="00E21651"/>
    <w:rsid w:val="00E235F7"/>
    <w:rsid w:val="00E239D4"/>
    <w:rsid w:val="00E313A8"/>
    <w:rsid w:val="00E32B33"/>
    <w:rsid w:val="00E40B22"/>
    <w:rsid w:val="00E40BD2"/>
    <w:rsid w:val="00E41AD2"/>
    <w:rsid w:val="00E42068"/>
    <w:rsid w:val="00E4307C"/>
    <w:rsid w:val="00E431AB"/>
    <w:rsid w:val="00E4588F"/>
    <w:rsid w:val="00E46B94"/>
    <w:rsid w:val="00E46DA3"/>
    <w:rsid w:val="00E476C8"/>
    <w:rsid w:val="00E557E3"/>
    <w:rsid w:val="00E57B71"/>
    <w:rsid w:val="00E636E2"/>
    <w:rsid w:val="00E72FC4"/>
    <w:rsid w:val="00E770A2"/>
    <w:rsid w:val="00E80553"/>
    <w:rsid w:val="00E81BC9"/>
    <w:rsid w:val="00E85439"/>
    <w:rsid w:val="00E85D5D"/>
    <w:rsid w:val="00E860E0"/>
    <w:rsid w:val="00E86A1F"/>
    <w:rsid w:val="00E8778C"/>
    <w:rsid w:val="00E9008E"/>
    <w:rsid w:val="00E904DD"/>
    <w:rsid w:val="00E9579B"/>
    <w:rsid w:val="00E97275"/>
    <w:rsid w:val="00EA0A0F"/>
    <w:rsid w:val="00EA16DE"/>
    <w:rsid w:val="00EA406B"/>
    <w:rsid w:val="00EA52A8"/>
    <w:rsid w:val="00EA5776"/>
    <w:rsid w:val="00EB0798"/>
    <w:rsid w:val="00EB28AE"/>
    <w:rsid w:val="00EB2F97"/>
    <w:rsid w:val="00EB34F1"/>
    <w:rsid w:val="00EB40AD"/>
    <w:rsid w:val="00EB4571"/>
    <w:rsid w:val="00EB586E"/>
    <w:rsid w:val="00EB5FC8"/>
    <w:rsid w:val="00EB74A7"/>
    <w:rsid w:val="00EC2331"/>
    <w:rsid w:val="00EC384E"/>
    <w:rsid w:val="00EC4910"/>
    <w:rsid w:val="00EC580A"/>
    <w:rsid w:val="00ED1A17"/>
    <w:rsid w:val="00ED5A41"/>
    <w:rsid w:val="00ED5D05"/>
    <w:rsid w:val="00ED6B23"/>
    <w:rsid w:val="00EE00CA"/>
    <w:rsid w:val="00EE2CC3"/>
    <w:rsid w:val="00EE3577"/>
    <w:rsid w:val="00EE6435"/>
    <w:rsid w:val="00EF146C"/>
    <w:rsid w:val="00EF1963"/>
    <w:rsid w:val="00EF3C6A"/>
    <w:rsid w:val="00EF472C"/>
    <w:rsid w:val="00EF5130"/>
    <w:rsid w:val="00EF578B"/>
    <w:rsid w:val="00EF7B95"/>
    <w:rsid w:val="00F006DF"/>
    <w:rsid w:val="00F033EC"/>
    <w:rsid w:val="00F0438D"/>
    <w:rsid w:val="00F049A1"/>
    <w:rsid w:val="00F04F68"/>
    <w:rsid w:val="00F06472"/>
    <w:rsid w:val="00F10A73"/>
    <w:rsid w:val="00F10BD8"/>
    <w:rsid w:val="00F12670"/>
    <w:rsid w:val="00F14B27"/>
    <w:rsid w:val="00F20118"/>
    <w:rsid w:val="00F22199"/>
    <w:rsid w:val="00F23105"/>
    <w:rsid w:val="00F25577"/>
    <w:rsid w:val="00F2700C"/>
    <w:rsid w:val="00F3148D"/>
    <w:rsid w:val="00F32D36"/>
    <w:rsid w:val="00F3509E"/>
    <w:rsid w:val="00F35298"/>
    <w:rsid w:val="00F3529E"/>
    <w:rsid w:val="00F41DCE"/>
    <w:rsid w:val="00F443FD"/>
    <w:rsid w:val="00F46F9A"/>
    <w:rsid w:val="00F47D14"/>
    <w:rsid w:val="00F47E37"/>
    <w:rsid w:val="00F509B1"/>
    <w:rsid w:val="00F50ADC"/>
    <w:rsid w:val="00F50B5E"/>
    <w:rsid w:val="00F53E24"/>
    <w:rsid w:val="00F56581"/>
    <w:rsid w:val="00F56D63"/>
    <w:rsid w:val="00F640B6"/>
    <w:rsid w:val="00F647EA"/>
    <w:rsid w:val="00F65377"/>
    <w:rsid w:val="00F65B15"/>
    <w:rsid w:val="00F70540"/>
    <w:rsid w:val="00F707E4"/>
    <w:rsid w:val="00F73DFC"/>
    <w:rsid w:val="00F76802"/>
    <w:rsid w:val="00F76CF0"/>
    <w:rsid w:val="00F80E40"/>
    <w:rsid w:val="00F85A2D"/>
    <w:rsid w:val="00F91585"/>
    <w:rsid w:val="00F923D6"/>
    <w:rsid w:val="00F937A3"/>
    <w:rsid w:val="00F942E9"/>
    <w:rsid w:val="00F95CA6"/>
    <w:rsid w:val="00F9705F"/>
    <w:rsid w:val="00FA029A"/>
    <w:rsid w:val="00FA144A"/>
    <w:rsid w:val="00FA2018"/>
    <w:rsid w:val="00FA3338"/>
    <w:rsid w:val="00FA5B82"/>
    <w:rsid w:val="00FA639E"/>
    <w:rsid w:val="00FA7DF1"/>
    <w:rsid w:val="00FB1B89"/>
    <w:rsid w:val="00FB3817"/>
    <w:rsid w:val="00FB5E59"/>
    <w:rsid w:val="00FC03C8"/>
    <w:rsid w:val="00FC06F0"/>
    <w:rsid w:val="00FC25E4"/>
    <w:rsid w:val="00FC42B9"/>
    <w:rsid w:val="00FC4EF7"/>
    <w:rsid w:val="00FD56A0"/>
    <w:rsid w:val="00FD5947"/>
    <w:rsid w:val="00FD62E3"/>
    <w:rsid w:val="00FE1DEE"/>
    <w:rsid w:val="00FE3D10"/>
    <w:rsid w:val="00FE5C5D"/>
    <w:rsid w:val="00FE64B2"/>
    <w:rsid w:val="00FE705F"/>
    <w:rsid w:val="00FF01FE"/>
    <w:rsid w:val="00FF1448"/>
    <w:rsid w:val="00FF2126"/>
    <w:rsid w:val="00FF25D3"/>
    <w:rsid w:val="00FF4170"/>
    <w:rsid w:val="00FF44E0"/>
    <w:rsid w:val="00FF59F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E94D375"/>
  <w15:docId w15:val="{1B4CB1A4-462E-4B60-8791-D1C2565B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724E11"/>
    <w:pPr>
      <w:ind w:left="0" w:firstLine="0"/>
      <w:outlineLvl w:val="3"/>
    </w:pPr>
    <w:rPr>
      <w:rFonts w:eastAsia="Cambria"/>
      <w:b/>
    </w:rPr>
  </w:style>
  <w:style w:type="paragraph" w:styleId="Heading5">
    <w:name w:val="heading 5"/>
    <w:basedOn w:val="Heading7"/>
    <w:next w:val="Normal"/>
    <w:link w:val="Heading5Char"/>
    <w:uiPriority w:val="9"/>
    <w:rsid w:val="00724E11"/>
    <w:pPr>
      <w:numPr>
        <w:ilvl w:val="0"/>
        <w:numId w:val="0"/>
      </w:numPr>
      <w:ind w:left="1296" w:hanging="1296"/>
      <w:outlineLvl w:val="4"/>
    </w:p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724E11"/>
    <w:rPr>
      <w:b/>
      <w:bCs/>
      <w:i/>
      <w:sz w:val="22"/>
      <w:szCs w:val="22"/>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724E11"/>
    <w:rPr>
      <w:rFonts w:eastAsia="Times New Roman"/>
      <w:bCs/>
      <w:i/>
      <w:sz w:val="22"/>
      <w:szCs w:val="22"/>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B96143"/>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pPr>
  </w:style>
  <w:style w:type="paragraph" w:customStyle="1" w:styleId="Numberbullet3">
    <w:name w:val="Number bullet 3"/>
    <w:basedOn w:val="ListBullet3"/>
    <w:uiPriority w:val="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138BE"/>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rmal-hanging">
    <w:name w:val="Normal - hanging"/>
    <w:basedOn w:val="Normal"/>
    <w:next w:val="Normal"/>
    <w:qFormat/>
    <w:rsid w:val="00015679"/>
    <w:pPr>
      <w:spacing w:before="0" w:after="0"/>
      <w:ind w:left="397" w:hanging="397"/>
    </w:pPr>
    <w:rPr>
      <w:rFonts w:ascii="Times New Roman" w:hAnsi="Times New Roman"/>
    </w:rPr>
  </w:style>
  <w:style w:type="character" w:customStyle="1" w:styleId="eop">
    <w:name w:val="eop"/>
    <w:basedOn w:val="DefaultParagraphFont"/>
    <w:rsid w:val="00D04728"/>
  </w:style>
  <w:style w:type="character" w:customStyle="1" w:styleId="help-block">
    <w:name w:val="help-block"/>
    <w:basedOn w:val="DefaultParagraphFont"/>
    <w:rsid w:val="0052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12414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edicines.scheduling@health.gov.au" TargetMode="External"/><Relationship Id="rId26" Type="http://schemas.openxmlformats.org/officeDocument/2006/relationships/hyperlink" Target="https://www.tga.gov.au/publication/scheduling-handbook-guidance-amending-poisons-standard"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legislation.gov.au/Search/Therapeutic%20Goods%20Order%20No.%2095%20-%20Child-resistant%20packaging%20requirements%20for%20medicines%202017" TargetMode="External"/><Relationship Id="rId34" Type="http://schemas.openxmlformats.org/officeDocument/2006/relationships/hyperlink" Target="https://www.ncbi.nlm.nih.gov/pmc/articles/PMC456057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nsultations.health.gov.au/tga/copy-of-copy-of-copy-of-consultation-proposed-amen"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yperlink" Target="https://pubmed.ncbi.nlm.nih.gov/29894118/"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onsultations.health.gov.au/tga/copy-of-copy-of-copy-of-consultation-proposed-amen" TargetMode="External"/><Relationship Id="rId20" Type="http://schemas.openxmlformats.org/officeDocument/2006/relationships/hyperlink" Target="https://www.coronerscourt.vic.gov.au/liquid-nicotine-awareness-needed" TargetMode="External"/><Relationship Id="rId29" Type="http://schemas.openxmlformats.org/officeDocument/2006/relationships/hyperlink" Target="https://www.ncbi.nlm.nih.gov/pmc/articles/PMC45605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consultation-invitation/consultation-proposed-amendments-poisons-standard-acms-and-joint-acmsaccs-meetings-june-2020" TargetMode="External"/><Relationship Id="rId32" Type="http://schemas.openxmlformats.org/officeDocument/2006/relationships/hyperlink" Target="https://www.tga.gov.au/publication/ahmac-scheduling-policy-framework-medicines-and-chemicals"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tga.gov.au/behind-news/prohibition-importing-e-cigarettes-containing-vaporiser-nicotine" TargetMode="External"/><Relationship Id="rId23" Type="http://schemas.openxmlformats.org/officeDocument/2006/relationships/hyperlink" Target="https://www.tga.gov.au/scheduling-submission/public-submissions-scheduling-matters-referred-acms-31-and-joint-acms-accs-25-meetings-held-june-2020" TargetMode="External"/><Relationship Id="rId28" Type="http://schemas.openxmlformats.org/officeDocument/2006/relationships/hyperlink" Target="https://www.racgp.org.au/clinical-resources/clinical-guidelines/key-racgp-guidelines/view-all-racgp-guidelines/supporting-smoking-cessation" TargetMode="External"/><Relationship Id="rId36" Type="http://schemas.openxmlformats.org/officeDocument/2006/relationships/hyperlink" Target="https://www.racgp.org.au/clinical-resources/clinical-guidelines/key-racgp-guidelines/view-all-racgp-guidelines/supporting-smoking-cessation" TargetMode="External"/><Relationship Id="rId10" Type="http://schemas.openxmlformats.org/officeDocument/2006/relationships/footer" Target="footer1.xml"/><Relationship Id="rId19" Type="http://schemas.openxmlformats.org/officeDocument/2006/relationships/hyperlink" Target="https://www.tga.gov.au/consultation-invitation/consultation-proposed-amendments-poisons-standard-acms-and-joint-acmsaccs-meetings-june-2020" TargetMode="External"/><Relationship Id="rId31" Type="http://schemas.openxmlformats.org/officeDocument/2006/relationships/hyperlink" Target="https://www.tga.gov.au/book-page/21-nicotine-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consultation-invitation/consultation-proposed-amendments-poisons-standard-acms-and-joint-acmsaccs-meetings-june-2020" TargetMode="External"/><Relationship Id="rId27" Type="http://schemas.openxmlformats.org/officeDocument/2006/relationships/hyperlink" Target="https://pubmed.ncbi.nlm.nih.gov/29894118/" TargetMode="External"/><Relationship Id="rId30" Type="http://schemas.openxmlformats.org/officeDocument/2006/relationships/hyperlink" Target="https://www.coronerscourt.vic.gov.au/liquid-nicotine-awareness-needed" TargetMode="External"/><Relationship Id="rId35" Type="http://schemas.openxmlformats.org/officeDocument/2006/relationships/hyperlink" Target="https://www.tga.gov.au/book-page/21-nicotine-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F6F2C-502A-456D-BFD0-FB161EBB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86</TotalTime>
  <Pages>12</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Michael</dc:creator>
  <cp:keywords/>
  <dc:description>template v1.4</dc:description>
  <cp:lastPrinted>2020-08-20T00:23:00Z</cp:lastPrinted>
  <dcterms:created xsi:type="dcterms:W3CDTF">2020-08-28T02:55:00Z</dcterms:created>
  <dcterms:modified xsi:type="dcterms:W3CDTF">2020-10-30T06:45:00Z</dcterms:modified>
</cp:coreProperties>
</file>