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6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280EA7">
        <w:tc>
          <w:tcPr>
            <w:tcW w:w="8720" w:type="dxa"/>
          </w:tcPr>
          <w:p w14:paraId="158C7559" w14:textId="543DC5D8" w:rsidR="0025660C" w:rsidRPr="00077548" w:rsidRDefault="009B574B" w:rsidP="00280EA7">
            <w:pPr>
              <w:pStyle w:val="Title"/>
            </w:pPr>
            <w:r>
              <w:t xml:space="preserve">Notice of </w:t>
            </w:r>
            <w:r w:rsidR="00575D17">
              <w:t>final</w:t>
            </w:r>
            <w:r w:rsidR="00597B50" w:rsidRPr="00597B50">
              <w:t xml:space="preserve"> decisions to amend (or not amend) the current Poisons Standard</w:t>
            </w:r>
          </w:p>
        </w:tc>
      </w:tr>
      <w:tr w:rsidR="0025660C" w14:paraId="3393FE2A" w14:textId="77777777" w:rsidTr="00280EA7">
        <w:trPr>
          <w:trHeight w:val="810"/>
        </w:trPr>
        <w:tc>
          <w:tcPr>
            <w:tcW w:w="8720" w:type="dxa"/>
          </w:tcPr>
          <w:p w14:paraId="38D3E20E" w14:textId="6CA079E7" w:rsidR="0025660C" w:rsidRPr="00077548" w:rsidRDefault="0025660C" w:rsidP="000041AF">
            <w:pPr>
              <w:pStyle w:val="Subtitle"/>
              <w:tabs>
                <w:tab w:val="left" w:pos="5310"/>
              </w:tabs>
              <w:ind w:left="0"/>
            </w:pPr>
          </w:p>
        </w:tc>
      </w:tr>
    </w:tbl>
    <w:p w14:paraId="7C2BB020" w14:textId="77777777" w:rsidR="00575D17" w:rsidRDefault="00575D17" w:rsidP="00575D17">
      <w:pPr>
        <w:sectPr w:rsidR="00575D17"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bookmarkStart w:id="0" w:name="_Toc46323639"/>
      <w:bookmarkStart w:id="1" w:name="_Toc77686112"/>
      <w:r>
        <w:br w:type="page"/>
      </w:r>
    </w:p>
    <w:p w14:paraId="3310A6A0" w14:textId="77777777" w:rsidR="00575D17" w:rsidRPr="005D4EA1" w:rsidRDefault="00575D17" w:rsidP="00575D17">
      <w:pPr>
        <w:pStyle w:val="LegalSubheading"/>
        <w:pageBreakBefore/>
      </w:pPr>
      <w:r w:rsidRPr="00691723">
        <w:lastRenderedPageBreak/>
        <w:t>Copyright</w:t>
      </w:r>
    </w:p>
    <w:p w14:paraId="20D51813" w14:textId="536DAD68" w:rsidR="008F6620" w:rsidRDefault="00575D17" w:rsidP="00575D17">
      <w:pPr>
        <w:pStyle w:val="LegalCopy"/>
      </w:pPr>
      <w:r w:rsidRPr="009401F6">
        <w:t>© Commonwealth of Australia 20</w:t>
      </w:r>
      <w:r>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r>
        <w:t>.</w:t>
      </w:r>
    </w:p>
    <w:p w14:paraId="31A24D0B" w14:textId="77777777" w:rsidR="008F6620" w:rsidRDefault="008F6620">
      <w:pPr>
        <w:spacing w:before="0" w:after="0" w:line="240" w:lineRule="auto"/>
        <w:rPr>
          <w:sz w:val="17"/>
        </w:rPr>
      </w:pPr>
      <w:r>
        <w:br w:type="page"/>
      </w:r>
    </w:p>
    <w:p w14:paraId="1445C39A" w14:textId="77777777" w:rsidR="00575D17" w:rsidRDefault="00575D17" w:rsidP="00575D17">
      <w:pPr>
        <w:pStyle w:val="LegalCopy"/>
      </w:pPr>
    </w:p>
    <w:bookmarkStart w:id="2" w:name="_Toc323740419" w:displacedByCustomXml="next"/>
    <w:bookmarkStart w:id="3" w:name="_Toc328388475" w:displacedByCustomXml="next"/>
    <w:bookmarkStart w:id="4" w:name="_Toc323740418" w:displacedByCustomXml="next"/>
    <w:sdt>
      <w:sdtPr>
        <w:rPr>
          <w:rFonts w:ascii="Arial" w:hAnsi="Arial"/>
          <w:b/>
          <w:sz w:val="20"/>
        </w:rPr>
        <w:id w:val="21514559"/>
        <w:docPartObj>
          <w:docPartGallery w:val="Table of Contents"/>
          <w:docPartUnique/>
        </w:docPartObj>
      </w:sdtPr>
      <w:sdtEndPr>
        <w:rPr>
          <w:rFonts w:ascii="Cambria" w:hAnsi="Cambria"/>
          <w:b w:val="0"/>
        </w:rPr>
      </w:sdtEndPr>
      <w:sdtContent>
        <w:p w14:paraId="0FB8B0F8" w14:textId="77777777" w:rsidR="008F6620" w:rsidRDefault="00575D17">
          <w:pPr>
            <w:pStyle w:val="TOC2"/>
            <w:tabs>
              <w:tab w:val="left" w:pos="851"/>
            </w:tabs>
            <w:rPr>
              <w:rFonts w:asciiTheme="majorHAnsi" w:hAnsiTheme="majorHAnsi" w:cstheme="majorHAnsi"/>
              <w:sz w:val="28"/>
              <w:szCs w:val="28"/>
            </w:rPr>
          </w:pPr>
          <w:r w:rsidRPr="005D16DC">
            <w:rPr>
              <w:rFonts w:asciiTheme="majorHAnsi" w:hAnsiTheme="majorHAnsi" w:cstheme="majorHAnsi"/>
              <w:sz w:val="28"/>
              <w:szCs w:val="28"/>
            </w:rPr>
            <w:t>Contents</w:t>
          </w:r>
        </w:p>
        <w:p w14:paraId="6B978E23" w14:textId="0391E988" w:rsidR="008F6620" w:rsidRDefault="00575D17">
          <w:pPr>
            <w:pStyle w:val="TOC2"/>
            <w:tabs>
              <w:tab w:val="left" w:pos="851"/>
            </w:tabs>
            <w:rPr>
              <w:rFonts w:asciiTheme="minorHAnsi" w:eastAsiaTheme="minorEastAsia" w:hAnsiTheme="minorHAnsi" w:cstheme="minorBidi"/>
              <w:noProof/>
              <w:szCs w:val="22"/>
              <w:lang w:eastAsia="en-AU"/>
            </w:rPr>
          </w:pPr>
          <w:r>
            <w:rPr>
              <w:sz w:val="32"/>
            </w:rPr>
            <w:fldChar w:fldCharType="begin"/>
          </w:r>
          <w:r>
            <w:rPr>
              <w:sz w:val="32"/>
            </w:rPr>
            <w:instrText xml:space="preserve"> TOC \o "1-3" \h \z \u </w:instrText>
          </w:r>
          <w:r>
            <w:rPr>
              <w:sz w:val="32"/>
            </w:rPr>
            <w:fldChar w:fldCharType="separate"/>
          </w:r>
          <w:hyperlink w:anchor="_Toc81573615" w:history="1">
            <w:r w:rsidR="008F6620" w:rsidRPr="00B82D0C">
              <w:rPr>
                <w:rStyle w:val="Hyperlink"/>
                <w:noProof/>
              </w:rPr>
              <w:t>1</w:t>
            </w:r>
            <w:r w:rsidR="008F6620">
              <w:rPr>
                <w:rFonts w:asciiTheme="minorHAnsi" w:eastAsiaTheme="minorEastAsia" w:hAnsiTheme="minorHAnsi" w:cstheme="minorBidi"/>
                <w:noProof/>
                <w:szCs w:val="22"/>
                <w:lang w:eastAsia="en-AU"/>
              </w:rPr>
              <w:tab/>
            </w:r>
            <w:r w:rsidR="008F6620" w:rsidRPr="00B82D0C">
              <w:rPr>
                <w:rStyle w:val="Hyperlink"/>
                <w:noProof/>
              </w:rPr>
              <w:t>Notice of final decisions to amend (or not amend) the current Poisons Standard</w:t>
            </w:r>
            <w:r w:rsidR="008F6620">
              <w:rPr>
                <w:noProof/>
                <w:webHidden/>
              </w:rPr>
              <w:tab/>
            </w:r>
            <w:r w:rsidR="008F6620">
              <w:rPr>
                <w:noProof/>
                <w:webHidden/>
              </w:rPr>
              <w:fldChar w:fldCharType="begin"/>
            </w:r>
            <w:r w:rsidR="008F6620">
              <w:rPr>
                <w:noProof/>
                <w:webHidden/>
              </w:rPr>
              <w:instrText xml:space="preserve"> PAGEREF _Toc81573615 \h </w:instrText>
            </w:r>
            <w:r w:rsidR="008F6620">
              <w:rPr>
                <w:noProof/>
                <w:webHidden/>
              </w:rPr>
            </w:r>
            <w:r w:rsidR="008F6620">
              <w:rPr>
                <w:noProof/>
                <w:webHidden/>
              </w:rPr>
              <w:fldChar w:fldCharType="separate"/>
            </w:r>
            <w:r w:rsidR="008F6620">
              <w:rPr>
                <w:noProof/>
                <w:webHidden/>
              </w:rPr>
              <w:t>3</w:t>
            </w:r>
            <w:r w:rsidR="008F6620">
              <w:rPr>
                <w:noProof/>
                <w:webHidden/>
              </w:rPr>
              <w:fldChar w:fldCharType="end"/>
            </w:r>
          </w:hyperlink>
        </w:p>
        <w:p w14:paraId="3034C2C9" w14:textId="0186CC7E" w:rsidR="008F6620" w:rsidRDefault="00D672EF">
          <w:pPr>
            <w:pStyle w:val="TOC2"/>
            <w:tabs>
              <w:tab w:val="left" w:pos="851"/>
            </w:tabs>
            <w:rPr>
              <w:rFonts w:asciiTheme="minorHAnsi" w:eastAsiaTheme="minorEastAsia" w:hAnsiTheme="minorHAnsi" w:cstheme="minorBidi"/>
              <w:noProof/>
              <w:szCs w:val="22"/>
              <w:lang w:eastAsia="en-AU"/>
            </w:rPr>
          </w:pPr>
          <w:hyperlink w:anchor="_Toc81573616" w:history="1">
            <w:r w:rsidR="008F6620" w:rsidRPr="00B82D0C">
              <w:rPr>
                <w:rStyle w:val="Hyperlink"/>
                <w:noProof/>
              </w:rPr>
              <w:t>2</w:t>
            </w:r>
            <w:r w:rsidR="008F6620">
              <w:rPr>
                <w:rFonts w:asciiTheme="minorHAnsi" w:eastAsiaTheme="minorEastAsia" w:hAnsiTheme="minorHAnsi" w:cstheme="minorBidi"/>
                <w:noProof/>
                <w:szCs w:val="22"/>
                <w:lang w:eastAsia="en-AU"/>
              </w:rPr>
              <w:tab/>
            </w:r>
            <w:r w:rsidR="008F6620" w:rsidRPr="00B82D0C">
              <w:rPr>
                <w:rStyle w:val="Hyperlink"/>
                <w:noProof/>
              </w:rPr>
              <w:t>Final decisions on proposed amendments referred to the Advisory Committee on Medicines Scheduling (ACMS #33, March 2021)</w:t>
            </w:r>
            <w:r w:rsidR="008F6620">
              <w:rPr>
                <w:noProof/>
                <w:webHidden/>
              </w:rPr>
              <w:tab/>
            </w:r>
            <w:r w:rsidR="008F6620">
              <w:rPr>
                <w:noProof/>
                <w:webHidden/>
              </w:rPr>
              <w:fldChar w:fldCharType="begin"/>
            </w:r>
            <w:r w:rsidR="008F6620">
              <w:rPr>
                <w:noProof/>
                <w:webHidden/>
              </w:rPr>
              <w:instrText xml:space="preserve"> PAGEREF _Toc81573616 \h </w:instrText>
            </w:r>
            <w:r w:rsidR="008F6620">
              <w:rPr>
                <w:noProof/>
                <w:webHidden/>
              </w:rPr>
            </w:r>
            <w:r w:rsidR="008F6620">
              <w:rPr>
                <w:noProof/>
                <w:webHidden/>
              </w:rPr>
              <w:fldChar w:fldCharType="separate"/>
            </w:r>
            <w:r w:rsidR="008F6620">
              <w:rPr>
                <w:noProof/>
                <w:webHidden/>
              </w:rPr>
              <w:t>4</w:t>
            </w:r>
            <w:r w:rsidR="008F6620">
              <w:rPr>
                <w:noProof/>
                <w:webHidden/>
              </w:rPr>
              <w:fldChar w:fldCharType="end"/>
            </w:r>
          </w:hyperlink>
        </w:p>
        <w:p w14:paraId="73216C69" w14:textId="55984DD9" w:rsidR="008F6620" w:rsidRDefault="00D672EF">
          <w:pPr>
            <w:pStyle w:val="TOC3"/>
            <w:tabs>
              <w:tab w:val="left" w:pos="1701"/>
            </w:tabs>
            <w:rPr>
              <w:rFonts w:asciiTheme="minorHAnsi" w:eastAsiaTheme="minorEastAsia" w:hAnsiTheme="minorHAnsi" w:cstheme="minorBidi"/>
              <w:noProof/>
              <w:sz w:val="22"/>
              <w:szCs w:val="22"/>
              <w:lang w:eastAsia="en-AU"/>
            </w:rPr>
          </w:pPr>
          <w:hyperlink w:anchor="_Toc81573617" w:history="1">
            <w:r w:rsidR="008F6620" w:rsidRPr="00B82D0C">
              <w:rPr>
                <w:rStyle w:val="Hyperlink"/>
                <w:noProof/>
              </w:rPr>
              <w:t>2.1</w:t>
            </w:r>
            <w:r w:rsidR="008F6620">
              <w:rPr>
                <w:rFonts w:asciiTheme="minorHAnsi" w:eastAsiaTheme="minorEastAsia" w:hAnsiTheme="minorHAnsi" w:cstheme="minorBidi"/>
                <w:noProof/>
                <w:sz w:val="22"/>
                <w:szCs w:val="22"/>
                <w:lang w:eastAsia="en-AU"/>
              </w:rPr>
              <w:tab/>
            </w:r>
            <w:r w:rsidR="008F6620" w:rsidRPr="00B82D0C">
              <w:rPr>
                <w:rStyle w:val="Hyperlink"/>
                <w:noProof/>
              </w:rPr>
              <w:t>Final decision in relation to metoclopramide</w:t>
            </w:r>
            <w:r w:rsidR="008F6620">
              <w:rPr>
                <w:noProof/>
                <w:webHidden/>
              </w:rPr>
              <w:tab/>
            </w:r>
            <w:r w:rsidR="008F6620">
              <w:rPr>
                <w:noProof/>
                <w:webHidden/>
              </w:rPr>
              <w:fldChar w:fldCharType="begin"/>
            </w:r>
            <w:r w:rsidR="008F6620">
              <w:rPr>
                <w:noProof/>
                <w:webHidden/>
              </w:rPr>
              <w:instrText xml:space="preserve"> PAGEREF _Toc81573617 \h </w:instrText>
            </w:r>
            <w:r w:rsidR="008F6620">
              <w:rPr>
                <w:noProof/>
                <w:webHidden/>
              </w:rPr>
            </w:r>
            <w:r w:rsidR="008F6620">
              <w:rPr>
                <w:noProof/>
                <w:webHidden/>
              </w:rPr>
              <w:fldChar w:fldCharType="separate"/>
            </w:r>
            <w:r w:rsidR="008F6620">
              <w:rPr>
                <w:noProof/>
                <w:webHidden/>
              </w:rPr>
              <w:t>4</w:t>
            </w:r>
            <w:r w:rsidR="008F6620">
              <w:rPr>
                <w:noProof/>
                <w:webHidden/>
              </w:rPr>
              <w:fldChar w:fldCharType="end"/>
            </w:r>
          </w:hyperlink>
        </w:p>
        <w:p w14:paraId="6448FEB7" w14:textId="4981161F" w:rsidR="008F6620" w:rsidRDefault="00D672EF">
          <w:pPr>
            <w:pStyle w:val="TOC3"/>
            <w:tabs>
              <w:tab w:val="left" w:pos="1701"/>
            </w:tabs>
            <w:rPr>
              <w:rFonts w:asciiTheme="minorHAnsi" w:eastAsiaTheme="minorEastAsia" w:hAnsiTheme="minorHAnsi" w:cstheme="minorBidi"/>
              <w:noProof/>
              <w:sz w:val="22"/>
              <w:szCs w:val="22"/>
              <w:lang w:eastAsia="en-AU"/>
            </w:rPr>
          </w:pPr>
          <w:hyperlink w:anchor="_Toc81573618" w:history="1">
            <w:r w:rsidR="008F6620" w:rsidRPr="00B82D0C">
              <w:rPr>
                <w:rStyle w:val="Hyperlink"/>
                <w:noProof/>
              </w:rPr>
              <w:t>2.2</w:t>
            </w:r>
            <w:r w:rsidR="008F6620">
              <w:rPr>
                <w:rFonts w:asciiTheme="minorHAnsi" w:eastAsiaTheme="minorEastAsia" w:hAnsiTheme="minorHAnsi" w:cstheme="minorBidi"/>
                <w:noProof/>
                <w:sz w:val="22"/>
                <w:szCs w:val="22"/>
                <w:lang w:eastAsia="en-AU"/>
              </w:rPr>
              <w:tab/>
            </w:r>
            <w:r w:rsidR="008F6620" w:rsidRPr="00B82D0C">
              <w:rPr>
                <w:rStyle w:val="Hyperlink"/>
                <w:noProof/>
              </w:rPr>
              <w:t>Final decision in relation to chloramphenicol</w:t>
            </w:r>
            <w:r w:rsidR="008F6620">
              <w:rPr>
                <w:noProof/>
                <w:webHidden/>
              </w:rPr>
              <w:tab/>
            </w:r>
            <w:r w:rsidR="008F6620">
              <w:rPr>
                <w:noProof/>
                <w:webHidden/>
              </w:rPr>
              <w:fldChar w:fldCharType="begin"/>
            </w:r>
            <w:r w:rsidR="008F6620">
              <w:rPr>
                <w:noProof/>
                <w:webHidden/>
              </w:rPr>
              <w:instrText xml:space="preserve"> PAGEREF _Toc81573618 \h </w:instrText>
            </w:r>
            <w:r w:rsidR="008F6620">
              <w:rPr>
                <w:noProof/>
                <w:webHidden/>
              </w:rPr>
            </w:r>
            <w:r w:rsidR="008F6620">
              <w:rPr>
                <w:noProof/>
                <w:webHidden/>
              </w:rPr>
              <w:fldChar w:fldCharType="separate"/>
            </w:r>
            <w:r w:rsidR="008F6620">
              <w:rPr>
                <w:noProof/>
                <w:webHidden/>
              </w:rPr>
              <w:t>5</w:t>
            </w:r>
            <w:r w:rsidR="008F6620">
              <w:rPr>
                <w:noProof/>
                <w:webHidden/>
              </w:rPr>
              <w:fldChar w:fldCharType="end"/>
            </w:r>
          </w:hyperlink>
        </w:p>
        <w:p w14:paraId="5F609502" w14:textId="14B78D6D" w:rsidR="008F6620" w:rsidRDefault="00D672EF">
          <w:pPr>
            <w:pStyle w:val="TOC3"/>
            <w:tabs>
              <w:tab w:val="left" w:pos="1701"/>
            </w:tabs>
            <w:rPr>
              <w:rFonts w:asciiTheme="minorHAnsi" w:eastAsiaTheme="minorEastAsia" w:hAnsiTheme="minorHAnsi" w:cstheme="minorBidi"/>
              <w:noProof/>
              <w:sz w:val="22"/>
              <w:szCs w:val="22"/>
              <w:lang w:eastAsia="en-AU"/>
            </w:rPr>
          </w:pPr>
          <w:hyperlink w:anchor="_Toc81573619" w:history="1">
            <w:r w:rsidR="008F6620" w:rsidRPr="00B82D0C">
              <w:rPr>
                <w:rStyle w:val="Hyperlink"/>
                <w:noProof/>
              </w:rPr>
              <w:t>2.3</w:t>
            </w:r>
            <w:r w:rsidR="008F6620">
              <w:rPr>
                <w:rFonts w:asciiTheme="minorHAnsi" w:eastAsiaTheme="minorEastAsia" w:hAnsiTheme="minorHAnsi" w:cstheme="minorBidi"/>
                <w:noProof/>
                <w:sz w:val="22"/>
                <w:szCs w:val="22"/>
                <w:lang w:eastAsia="en-AU"/>
              </w:rPr>
              <w:tab/>
            </w:r>
            <w:r w:rsidR="008F6620" w:rsidRPr="00B82D0C">
              <w:rPr>
                <w:rStyle w:val="Hyperlink"/>
                <w:noProof/>
              </w:rPr>
              <w:t>Final decision in relation to prochlorperazine</w:t>
            </w:r>
            <w:r w:rsidR="008F6620">
              <w:rPr>
                <w:noProof/>
                <w:webHidden/>
              </w:rPr>
              <w:tab/>
            </w:r>
            <w:r w:rsidR="008F6620">
              <w:rPr>
                <w:noProof/>
                <w:webHidden/>
              </w:rPr>
              <w:fldChar w:fldCharType="begin"/>
            </w:r>
            <w:r w:rsidR="008F6620">
              <w:rPr>
                <w:noProof/>
                <w:webHidden/>
              </w:rPr>
              <w:instrText xml:space="preserve"> PAGEREF _Toc81573619 \h </w:instrText>
            </w:r>
            <w:r w:rsidR="008F6620">
              <w:rPr>
                <w:noProof/>
                <w:webHidden/>
              </w:rPr>
            </w:r>
            <w:r w:rsidR="008F6620">
              <w:rPr>
                <w:noProof/>
                <w:webHidden/>
              </w:rPr>
              <w:fldChar w:fldCharType="separate"/>
            </w:r>
            <w:r w:rsidR="008F6620">
              <w:rPr>
                <w:noProof/>
                <w:webHidden/>
              </w:rPr>
              <w:t>6</w:t>
            </w:r>
            <w:r w:rsidR="008F6620">
              <w:rPr>
                <w:noProof/>
                <w:webHidden/>
              </w:rPr>
              <w:fldChar w:fldCharType="end"/>
            </w:r>
          </w:hyperlink>
        </w:p>
        <w:p w14:paraId="17416876" w14:textId="76E0837F" w:rsidR="008F6620" w:rsidRDefault="00D672EF">
          <w:pPr>
            <w:pStyle w:val="TOC3"/>
            <w:tabs>
              <w:tab w:val="left" w:pos="1701"/>
            </w:tabs>
            <w:rPr>
              <w:rFonts w:asciiTheme="minorHAnsi" w:eastAsiaTheme="minorEastAsia" w:hAnsiTheme="minorHAnsi" w:cstheme="minorBidi"/>
              <w:noProof/>
              <w:sz w:val="22"/>
              <w:szCs w:val="22"/>
              <w:lang w:eastAsia="en-AU"/>
            </w:rPr>
          </w:pPr>
          <w:hyperlink w:anchor="_Toc81573620" w:history="1">
            <w:r w:rsidR="008F6620" w:rsidRPr="00B82D0C">
              <w:rPr>
                <w:rStyle w:val="Hyperlink"/>
                <w:noProof/>
              </w:rPr>
              <w:t>2.4</w:t>
            </w:r>
            <w:r w:rsidR="008F6620">
              <w:rPr>
                <w:rFonts w:asciiTheme="minorHAnsi" w:eastAsiaTheme="minorEastAsia" w:hAnsiTheme="minorHAnsi" w:cstheme="minorBidi"/>
                <w:noProof/>
                <w:sz w:val="22"/>
                <w:szCs w:val="22"/>
                <w:lang w:eastAsia="en-AU"/>
              </w:rPr>
              <w:tab/>
            </w:r>
            <w:r w:rsidR="008F6620" w:rsidRPr="00B82D0C">
              <w:rPr>
                <w:rStyle w:val="Hyperlink"/>
                <w:noProof/>
              </w:rPr>
              <w:t xml:space="preserve">Final decision in relation to processed </w:t>
            </w:r>
            <w:r w:rsidR="008F6620" w:rsidRPr="00B82D0C">
              <w:rPr>
                <w:rStyle w:val="Hyperlink"/>
                <w:i/>
                <w:noProof/>
              </w:rPr>
              <w:t>Aconitum carmichaelii</w:t>
            </w:r>
            <w:r w:rsidR="008F6620">
              <w:rPr>
                <w:noProof/>
                <w:webHidden/>
              </w:rPr>
              <w:tab/>
            </w:r>
            <w:r w:rsidR="008F6620">
              <w:rPr>
                <w:noProof/>
                <w:webHidden/>
              </w:rPr>
              <w:fldChar w:fldCharType="begin"/>
            </w:r>
            <w:r w:rsidR="008F6620">
              <w:rPr>
                <w:noProof/>
                <w:webHidden/>
              </w:rPr>
              <w:instrText xml:space="preserve"> PAGEREF _Toc81573620 \h </w:instrText>
            </w:r>
            <w:r w:rsidR="008F6620">
              <w:rPr>
                <w:noProof/>
                <w:webHidden/>
              </w:rPr>
            </w:r>
            <w:r w:rsidR="008F6620">
              <w:rPr>
                <w:noProof/>
                <w:webHidden/>
              </w:rPr>
              <w:fldChar w:fldCharType="separate"/>
            </w:r>
            <w:r w:rsidR="008F6620">
              <w:rPr>
                <w:noProof/>
                <w:webHidden/>
              </w:rPr>
              <w:t>6</w:t>
            </w:r>
            <w:r w:rsidR="008F6620">
              <w:rPr>
                <w:noProof/>
                <w:webHidden/>
              </w:rPr>
              <w:fldChar w:fldCharType="end"/>
            </w:r>
          </w:hyperlink>
        </w:p>
        <w:p w14:paraId="43513E93" w14:textId="5542299D" w:rsidR="008F6620" w:rsidRDefault="00D672EF">
          <w:pPr>
            <w:pStyle w:val="TOC2"/>
            <w:tabs>
              <w:tab w:val="left" w:pos="851"/>
            </w:tabs>
            <w:rPr>
              <w:rFonts w:asciiTheme="minorHAnsi" w:eastAsiaTheme="minorEastAsia" w:hAnsiTheme="minorHAnsi" w:cstheme="minorBidi"/>
              <w:noProof/>
              <w:szCs w:val="22"/>
              <w:lang w:eastAsia="en-AU"/>
            </w:rPr>
          </w:pPr>
          <w:hyperlink w:anchor="_Toc81573621" w:history="1">
            <w:r w:rsidR="008F6620" w:rsidRPr="00B82D0C">
              <w:rPr>
                <w:rStyle w:val="Hyperlink"/>
                <w:noProof/>
              </w:rPr>
              <w:t>3</w:t>
            </w:r>
            <w:r w:rsidR="008F6620">
              <w:rPr>
                <w:rFonts w:asciiTheme="minorHAnsi" w:eastAsiaTheme="minorEastAsia" w:hAnsiTheme="minorHAnsi" w:cstheme="minorBidi"/>
                <w:noProof/>
                <w:szCs w:val="22"/>
                <w:lang w:eastAsia="en-AU"/>
              </w:rPr>
              <w:tab/>
            </w:r>
            <w:r w:rsidR="008F6620" w:rsidRPr="00B82D0C">
              <w:rPr>
                <w:rStyle w:val="Hyperlink"/>
                <w:noProof/>
              </w:rPr>
              <w:t>Final decisions on proposed amendments referred to the Advisory Committee on Medicines and Chemicals Scheduling in joint session (Joint ACMS-ACCS #27, March 2021)</w:t>
            </w:r>
            <w:r w:rsidR="008F6620">
              <w:rPr>
                <w:noProof/>
                <w:webHidden/>
              </w:rPr>
              <w:tab/>
            </w:r>
            <w:r w:rsidR="008F6620">
              <w:rPr>
                <w:noProof/>
                <w:webHidden/>
              </w:rPr>
              <w:fldChar w:fldCharType="begin"/>
            </w:r>
            <w:r w:rsidR="008F6620">
              <w:rPr>
                <w:noProof/>
                <w:webHidden/>
              </w:rPr>
              <w:instrText xml:space="preserve"> PAGEREF _Toc81573621 \h </w:instrText>
            </w:r>
            <w:r w:rsidR="008F6620">
              <w:rPr>
                <w:noProof/>
                <w:webHidden/>
              </w:rPr>
            </w:r>
            <w:r w:rsidR="008F6620">
              <w:rPr>
                <w:noProof/>
                <w:webHidden/>
              </w:rPr>
              <w:fldChar w:fldCharType="separate"/>
            </w:r>
            <w:r w:rsidR="008F6620">
              <w:rPr>
                <w:noProof/>
                <w:webHidden/>
              </w:rPr>
              <w:t>8</w:t>
            </w:r>
            <w:r w:rsidR="008F6620">
              <w:rPr>
                <w:noProof/>
                <w:webHidden/>
              </w:rPr>
              <w:fldChar w:fldCharType="end"/>
            </w:r>
          </w:hyperlink>
        </w:p>
        <w:p w14:paraId="1EDA60BA" w14:textId="73419F75" w:rsidR="008F6620" w:rsidRDefault="00D672EF">
          <w:pPr>
            <w:pStyle w:val="TOC3"/>
            <w:tabs>
              <w:tab w:val="left" w:pos="1701"/>
            </w:tabs>
            <w:rPr>
              <w:rFonts w:asciiTheme="minorHAnsi" w:eastAsiaTheme="minorEastAsia" w:hAnsiTheme="minorHAnsi" w:cstheme="minorBidi"/>
              <w:noProof/>
              <w:sz w:val="22"/>
              <w:szCs w:val="22"/>
              <w:lang w:eastAsia="en-AU"/>
            </w:rPr>
          </w:pPr>
          <w:hyperlink w:anchor="_Toc81573622" w:history="1">
            <w:r w:rsidR="008F6620" w:rsidRPr="00B82D0C">
              <w:rPr>
                <w:rStyle w:val="Hyperlink"/>
                <w:noProof/>
              </w:rPr>
              <w:t>3.1</w:t>
            </w:r>
            <w:r w:rsidR="008F6620">
              <w:rPr>
                <w:rFonts w:asciiTheme="minorHAnsi" w:eastAsiaTheme="minorEastAsia" w:hAnsiTheme="minorHAnsi" w:cstheme="minorBidi"/>
                <w:noProof/>
                <w:sz w:val="22"/>
                <w:szCs w:val="22"/>
                <w:lang w:eastAsia="en-AU"/>
              </w:rPr>
              <w:tab/>
            </w:r>
            <w:r w:rsidR="008F6620" w:rsidRPr="00B82D0C">
              <w:rPr>
                <w:rStyle w:val="Hyperlink"/>
                <w:noProof/>
              </w:rPr>
              <w:t>Final decision in relation to kambo</w:t>
            </w:r>
            <w:r w:rsidR="008F6620">
              <w:rPr>
                <w:noProof/>
                <w:webHidden/>
              </w:rPr>
              <w:tab/>
            </w:r>
            <w:r w:rsidR="008F6620">
              <w:rPr>
                <w:noProof/>
                <w:webHidden/>
              </w:rPr>
              <w:fldChar w:fldCharType="begin"/>
            </w:r>
            <w:r w:rsidR="008F6620">
              <w:rPr>
                <w:noProof/>
                <w:webHidden/>
              </w:rPr>
              <w:instrText xml:space="preserve"> PAGEREF _Toc81573622 \h </w:instrText>
            </w:r>
            <w:r w:rsidR="008F6620">
              <w:rPr>
                <w:noProof/>
                <w:webHidden/>
              </w:rPr>
            </w:r>
            <w:r w:rsidR="008F6620">
              <w:rPr>
                <w:noProof/>
                <w:webHidden/>
              </w:rPr>
              <w:fldChar w:fldCharType="separate"/>
            </w:r>
            <w:r w:rsidR="008F6620">
              <w:rPr>
                <w:noProof/>
                <w:webHidden/>
              </w:rPr>
              <w:t>8</w:t>
            </w:r>
            <w:r w:rsidR="008F6620">
              <w:rPr>
                <w:noProof/>
                <w:webHidden/>
              </w:rPr>
              <w:fldChar w:fldCharType="end"/>
            </w:r>
          </w:hyperlink>
        </w:p>
        <w:p w14:paraId="3ABD7273" w14:textId="32EC75C3" w:rsidR="008F6620" w:rsidRDefault="00D672EF">
          <w:pPr>
            <w:pStyle w:val="TOC3"/>
            <w:tabs>
              <w:tab w:val="left" w:pos="1701"/>
            </w:tabs>
            <w:rPr>
              <w:rFonts w:asciiTheme="minorHAnsi" w:eastAsiaTheme="minorEastAsia" w:hAnsiTheme="minorHAnsi" w:cstheme="minorBidi"/>
              <w:noProof/>
              <w:sz w:val="22"/>
              <w:szCs w:val="22"/>
              <w:lang w:eastAsia="en-AU"/>
            </w:rPr>
          </w:pPr>
          <w:hyperlink w:anchor="_Toc81573623" w:history="1">
            <w:r w:rsidR="008F6620" w:rsidRPr="00B82D0C">
              <w:rPr>
                <w:rStyle w:val="Hyperlink"/>
                <w:noProof/>
              </w:rPr>
              <w:t>3.2</w:t>
            </w:r>
            <w:r w:rsidR="008F6620">
              <w:rPr>
                <w:rFonts w:asciiTheme="minorHAnsi" w:eastAsiaTheme="minorEastAsia" w:hAnsiTheme="minorHAnsi" w:cstheme="minorBidi"/>
                <w:noProof/>
                <w:sz w:val="22"/>
                <w:szCs w:val="22"/>
                <w:lang w:eastAsia="en-AU"/>
              </w:rPr>
              <w:tab/>
            </w:r>
            <w:r w:rsidR="008F6620" w:rsidRPr="00B82D0C">
              <w:rPr>
                <w:rStyle w:val="Hyperlink"/>
                <w:noProof/>
              </w:rPr>
              <w:t>Final decision in relation to lidocaine</w:t>
            </w:r>
            <w:r w:rsidR="008F6620">
              <w:rPr>
                <w:noProof/>
                <w:webHidden/>
              </w:rPr>
              <w:tab/>
            </w:r>
            <w:r w:rsidR="008F6620">
              <w:rPr>
                <w:noProof/>
                <w:webHidden/>
              </w:rPr>
              <w:fldChar w:fldCharType="begin"/>
            </w:r>
            <w:r w:rsidR="008F6620">
              <w:rPr>
                <w:noProof/>
                <w:webHidden/>
              </w:rPr>
              <w:instrText xml:space="preserve"> PAGEREF _Toc81573623 \h </w:instrText>
            </w:r>
            <w:r w:rsidR="008F6620">
              <w:rPr>
                <w:noProof/>
                <w:webHidden/>
              </w:rPr>
            </w:r>
            <w:r w:rsidR="008F6620">
              <w:rPr>
                <w:noProof/>
                <w:webHidden/>
              </w:rPr>
              <w:fldChar w:fldCharType="separate"/>
            </w:r>
            <w:r w:rsidR="008F6620">
              <w:rPr>
                <w:noProof/>
                <w:webHidden/>
              </w:rPr>
              <w:t>9</w:t>
            </w:r>
            <w:r w:rsidR="008F6620">
              <w:rPr>
                <w:noProof/>
                <w:webHidden/>
              </w:rPr>
              <w:fldChar w:fldCharType="end"/>
            </w:r>
          </w:hyperlink>
        </w:p>
        <w:p w14:paraId="10DC6612" w14:textId="584FFA2E" w:rsidR="008F6620" w:rsidRDefault="00D672EF">
          <w:pPr>
            <w:pStyle w:val="TOC3"/>
            <w:tabs>
              <w:tab w:val="left" w:pos="1701"/>
            </w:tabs>
            <w:rPr>
              <w:rFonts w:asciiTheme="minorHAnsi" w:eastAsiaTheme="minorEastAsia" w:hAnsiTheme="minorHAnsi" w:cstheme="minorBidi"/>
              <w:noProof/>
              <w:sz w:val="22"/>
              <w:szCs w:val="22"/>
              <w:lang w:eastAsia="en-AU"/>
            </w:rPr>
          </w:pPr>
          <w:hyperlink w:anchor="_Toc81573624" w:history="1">
            <w:r w:rsidR="008F6620" w:rsidRPr="00B82D0C">
              <w:rPr>
                <w:rStyle w:val="Hyperlink"/>
                <w:noProof/>
              </w:rPr>
              <w:t>3.3</w:t>
            </w:r>
            <w:r w:rsidR="008F6620">
              <w:rPr>
                <w:rFonts w:asciiTheme="minorHAnsi" w:eastAsiaTheme="minorEastAsia" w:hAnsiTheme="minorHAnsi" w:cstheme="minorBidi"/>
                <w:noProof/>
                <w:sz w:val="22"/>
                <w:szCs w:val="22"/>
                <w:lang w:eastAsia="en-AU"/>
              </w:rPr>
              <w:tab/>
            </w:r>
            <w:r w:rsidR="008F6620" w:rsidRPr="00B82D0C">
              <w:rPr>
                <w:rStyle w:val="Hyperlink"/>
                <w:noProof/>
              </w:rPr>
              <w:t>Final decision in relation to hemp seed oil</w:t>
            </w:r>
            <w:r w:rsidR="008F6620">
              <w:rPr>
                <w:noProof/>
                <w:webHidden/>
              </w:rPr>
              <w:tab/>
            </w:r>
            <w:r w:rsidR="008F6620">
              <w:rPr>
                <w:noProof/>
                <w:webHidden/>
              </w:rPr>
              <w:fldChar w:fldCharType="begin"/>
            </w:r>
            <w:r w:rsidR="008F6620">
              <w:rPr>
                <w:noProof/>
                <w:webHidden/>
              </w:rPr>
              <w:instrText xml:space="preserve"> PAGEREF _Toc81573624 \h </w:instrText>
            </w:r>
            <w:r w:rsidR="008F6620">
              <w:rPr>
                <w:noProof/>
                <w:webHidden/>
              </w:rPr>
            </w:r>
            <w:r w:rsidR="008F6620">
              <w:rPr>
                <w:noProof/>
                <w:webHidden/>
              </w:rPr>
              <w:fldChar w:fldCharType="separate"/>
            </w:r>
            <w:r w:rsidR="008F6620">
              <w:rPr>
                <w:noProof/>
                <w:webHidden/>
              </w:rPr>
              <w:t>11</w:t>
            </w:r>
            <w:r w:rsidR="008F6620">
              <w:rPr>
                <w:noProof/>
                <w:webHidden/>
              </w:rPr>
              <w:fldChar w:fldCharType="end"/>
            </w:r>
          </w:hyperlink>
        </w:p>
        <w:p w14:paraId="72446E2B" w14:textId="77135657" w:rsidR="008F6620" w:rsidRDefault="00D672EF">
          <w:pPr>
            <w:pStyle w:val="TOC2"/>
            <w:tabs>
              <w:tab w:val="left" w:pos="851"/>
            </w:tabs>
            <w:rPr>
              <w:rFonts w:asciiTheme="minorHAnsi" w:eastAsiaTheme="minorEastAsia" w:hAnsiTheme="minorHAnsi" w:cstheme="minorBidi"/>
              <w:noProof/>
              <w:szCs w:val="22"/>
              <w:lang w:eastAsia="en-AU"/>
            </w:rPr>
          </w:pPr>
          <w:hyperlink w:anchor="_Toc81573625" w:history="1">
            <w:r w:rsidR="008F6620" w:rsidRPr="00B82D0C">
              <w:rPr>
                <w:rStyle w:val="Hyperlink"/>
                <w:noProof/>
              </w:rPr>
              <w:t>4</w:t>
            </w:r>
            <w:r w:rsidR="008F6620">
              <w:rPr>
                <w:rFonts w:asciiTheme="minorHAnsi" w:eastAsiaTheme="minorEastAsia" w:hAnsiTheme="minorHAnsi" w:cstheme="minorBidi"/>
                <w:noProof/>
                <w:szCs w:val="22"/>
                <w:lang w:eastAsia="en-AU"/>
              </w:rPr>
              <w:tab/>
            </w:r>
            <w:r w:rsidR="008F6620" w:rsidRPr="00B82D0C">
              <w:rPr>
                <w:rStyle w:val="Hyperlink"/>
                <w:noProof/>
              </w:rPr>
              <w:t>Final decisions on proposed amendments referred to the Advisory Committee on Chemicals Scheduling (ACCS #30, March 2021)</w:t>
            </w:r>
            <w:r w:rsidR="008F6620">
              <w:rPr>
                <w:noProof/>
                <w:webHidden/>
              </w:rPr>
              <w:tab/>
            </w:r>
            <w:r w:rsidR="008F6620">
              <w:rPr>
                <w:noProof/>
                <w:webHidden/>
              </w:rPr>
              <w:fldChar w:fldCharType="begin"/>
            </w:r>
            <w:r w:rsidR="008F6620">
              <w:rPr>
                <w:noProof/>
                <w:webHidden/>
              </w:rPr>
              <w:instrText xml:space="preserve"> PAGEREF _Toc81573625 \h </w:instrText>
            </w:r>
            <w:r w:rsidR="008F6620">
              <w:rPr>
                <w:noProof/>
                <w:webHidden/>
              </w:rPr>
            </w:r>
            <w:r w:rsidR="008F6620">
              <w:rPr>
                <w:noProof/>
                <w:webHidden/>
              </w:rPr>
              <w:fldChar w:fldCharType="separate"/>
            </w:r>
            <w:r w:rsidR="008F6620">
              <w:rPr>
                <w:noProof/>
                <w:webHidden/>
              </w:rPr>
              <w:t>16</w:t>
            </w:r>
            <w:r w:rsidR="008F6620">
              <w:rPr>
                <w:noProof/>
                <w:webHidden/>
              </w:rPr>
              <w:fldChar w:fldCharType="end"/>
            </w:r>
          </w:hyperlink>
        </w:p>
        <w:p w14:paraId="46435936" w14:textId="0BBE8BA4" w:rsidR="008F6620" w:rsidRDefault="00D672EF">
          <w:pPr>
            <w:pStyle w:val="TOC3"/>
            <w:tabs>
              <w:tab w:val="left" w:pos="1701"/>
            </w:tabs>
            <w:rPr>
              <w:rFonts w:asciiTheme="minorHAnsi" w:eastAsiaTheme="minorEastAsia" w:hAnsiTheme="minorHAnsi" w:cstheme="minorBidi"/>
              <w:noProof/>
              <w:sz w:val="22"/>
              <w:szCs w:val="22"/>
              <w:lang w:eastAsia="en-AU"/>
            </w:rPr>
          </w:pPr>
          <w:hyperlink w:anchor="_Toc81573626" w:history="1">
            <w:r w:rsidR="008F6620" w:rsidRPr="00B82D0C">
              <w:rPr>
                <w:rStyle w:val="Hyperlink"/>
                <w:noProof/>
              </w:rPr>
              <w:t>4.1</w:t>
            </w:r>
            <w:r w:rsidR="008F6620">
              <w:rPr>
                <w:rFonts w:asciiTheme="minorHAnsi" w:eastAsiaTheme="minorEastAsia" w:hAnsiTheme="minorHAnsi" w:cstheme="minorBidi"/>
                <w:noProof/>
                <w:sz w:val="22"/>
                <w:szCs w:val="22"/>
                <w:lang w:eastAsia="en-AU"/>
              </w:rPr>
              <w:tab/>
            </w:r>
            <w:r w:rsidR="008F6620" w:rsidRPr="00B82D0C">
              <w:rPr>
                <w:rStyle w:val="Hyperlink"/>
                <w:noProof/>
              </w:rPr>
              <w:t>Final decision in relation to lead (in paint)</w:t>
            </w:r>
            <w:r w:rsidR="008F6620">
              <w:rPr>
                <w:noProof/>
                <w:webHidden/>
              </w:rPr>
              <w:tab/>
            </w:r>
            <w:r w:rsidR="008F6620">
              <w:rPr>
                <w:noProof/>
                <w:webHidden/>
              </w:rPr>
              <w:fldChar w:fldCharType="begin"/>
            </w:r>
            <w:r w:rsidR="008F6620">
              <w:rPr>
                <w:noProof/>
                <w:webHidden/>
              </w:rPr>
              <w:instrText xml:space="preserve"> PAGEREF _Toc81573626 \h </w:instrText>
            </w:r>
            <w:r w:rsidR="008F6620">
              <w:rPr>
                <w:noProof/>
                <w:webHidden/>
              </w:rPr>
            </w:r>
            <w:r w:rsidR="008F6620">
              <w:rPr>
                <w:noProof/>
                <w:webHidden/>
              </w:rPr>
              <w:fldChar w:fldCharType="separate"/>
            </w:r>
            <w:r w:rsidR="008F6620">
              <w:rPr>
                <w:noProof/>
                <w:webHidden/>
              </w:rPr>
              <w:t>16</w:t>
            </w:r>
            <w:r w:rsidR="008F6620">
              <w:rPr>
                <w:noProof/>
                <w:webHidden/>
              </w:rPr>
              <w:fldChar w:fldCharType="end"/>
            </w:r>
          </w:hyperlink>
        </w:p>
        <w:p w14:paraId="20C2548C" w14:textId="1B52B391" w:rsidR="008F6620" w:rsidRDefault="00D672EF">
          <w:pPr>
            <w:pStyle w:val="TOC3"/>
            <w:tabs>
              <w:tab w:val="left" w:pos="1701"/>
            </w:tabs>
            <w:rPr>
              <w:rFonts w:asciiTheme="minorHAnsi" w:eastAsiaTheme="minorEastAsia" w:hAnsiTheme="minorHAnsi" w:cstheme="minorBidi"/>
              <w:noProof/>
              <w:sz w:val="22"/>
              <w:szCs w:val="22"/>
              <w:lang w:eastAsia="en-AU"/>
            </w:rPr>
          </w:pPr>
          <w:hyperlink w:anchor="_Toc81573627" w:history="1">
            <w:r w:rsidR="008F6620" w:rsidRPr="00B82D0C">
              <w:rPr>
                <w:rStyle w:val="Hyperlink"/>
                <w:noProof/>
              </w:rPr>
              <w:t>4.2</w:t>
            </w:r>
            <w:r w:rsidR="008F6620">
              <w:rPr>
                <w:rFonts w:asciiTheme="minorHAnsi" w:eastAsiaTheme="minorEastAsia" w:hAnsiTheme="minorHAnsi" w:cstheme="minorBidi"/>
                <w:noProof/>
                <w:sz w:val="22"/>
                <w:szCs w:val="22"/>
                <w:lang w:eastAsia="en-AU"/>
              </w:rPr>
              <w:tab/>
            </w:r>
            <w:r w:rsidR="008F6620" w:rsidRPr="00B82D0C">
              <w:rPr>
                <w:rStyle w:val="Hyperlink"/>
                <w:noProof/>
              </w:rPr>
              <w:t>Final decision in relation to cyflumetofen</w:t>
            </w:r>
            <w:r w:rsidR="008F6620">
              <w:rPr>
                <w:noProof/>
                <w:webHidden/>
              </w:rPr>
              <w:tab/>
            </w:r>
            <w:r w:rsidR="008F6620">
              <w:rPr>
                <w:noProof/>
                <w:webHidden/>
              </w:rPr>
              <w:fldChar w:fldCharType="begin"/>
            </w:r>
            <w:r w:rsidR="008F6620">
              <w:rPr>
                <w:noProof/>
                <w:webHidden/>
              </w:rPr>
              <w:instrText xml:space="preserve"> PAGEREF _Toc81573627 \h </w:instrText>
            </w:r>
            <w:r w:rsidR="008F6620">
              <w:rPr>
                <w:noProof/>
                <w:webHidden/>
              </w:rPr>
            </w:r>
            <w:r w:rsidR="008F6620">
              <w:rPr>
                <w:noProof/>
                <w:webHidden/>
              </w:rPr>
              <w:fldChar w:fldCharType="separate"/>
            </w:r>
            <w:r w:rsidR="008F6620">
              <w:rPr>
                <w:noProof/>
                <w:webHidden/>
              </w:rPr>
              <w:t>19</w:t>
            </w:r>
            <w:r w:rsidR="008F6620">
              <w:rPr>
                <w:noProof/>
                <w:webHidden/>
              </w:rPr>
              <w:fldChar w:fldCharType="end"/>
            </w:r>
          </w:hyperlink>
        </w:p>
        <w:p w14:paraId="5A322FDC" w14:textId="0BFF9117" w:rsidR="008F6620" w:rsidRDefault="00D672EF">
          <w:pPr>
            <w:pStyle w:val="TOC3"/>
            <w:tabs>
              <w:tab w:val="left" w:pos="1701"/>
            </w:tabs>
            <w:rPr>
              <w:rFonts w:asciiTheme="minorHAnsi" w:eastAsiaTheme="minorEastAsia" w:hAnsiTheme="minorHAnsi" w:cstheme="minorBidi"/>
              <w:noProof/>
              <w:sz w:val="22"/>
              <w:szCs w:val="22"/>
              <w:lang w:eastAsia="en-AU"/>
            </w:rPr>
          </w:pPr>
          <w:hyperlink w:anchor="_Toc81573628" w:history="1">
            <w:r w:rsidR="008F6620" w:rsidRPr="00B82D0C">
              <w:rPr>
                <w:rStyle w:val="Hyperlink"/>
                <w:noProof/>
              </w:rPr>
              <w:t>4.3</w:t>
            </w:r>
            <w:r w:rsidR="008F6620">
              <w:rPr>
                <w:rFonts w:asciiTheme="minorHAnsi" w:eastAsiaTheme="minorEastAsia" w:hAnsiTheme="minorHAnsi" w:cstheme="minorBidi"/>
                <w:noProof/>
                <w:sz w:val="22"/>
                <w:szCs w:val="22"/>
                <w:lang w:eastAsia="en-AU"/>
              </w:rPr>
              <w:tab/>
            </w:r>
            <w:r w:rsidR="008F6620" w:rsidRPr="00B82D0C">
              <w:rPr>
                <w:rStyle w:val="Hyperlink"/>
                <w:noProof/>
              </w:rPr>
              <w:t>Final decision in relation to isocycloseram</w:t>
            </w:r>
            <w:r w:rsidR="008F6620">
              <w:rPr>
                <w:noProof/>
                <w:webHidden/>
              </w:rPr>
              <w:tab/>
            </w:r>
            <w:r w:rsidR="008F6620">
              <w:rPr>
                <w:noProof/>
                <w:webHidden/>
              </w:rPr>
              <w:fldChar w:fldCharType="begin"/>
            </w:r>
            <w:r w:rsidR="008F6620">
              <w:rPr>
                <w:noProof/>
                <w:webHidden/>
              </w:rPr>
              <w:instrText xml:space="preserve"> PAGEREF _Toc81573628 \h </w:instrText>
            </w:r>
            <w:r w:rsidR="008F6620">
              <w:rPr>
                <w:noProof/>
                <w:webHidden/>
              </w:rPr>
            </w:r>
            <w:r w:rsidR="008F6620">
              <w:rPr>
                <w:noProof/>
                <w:webHidden/>
              </w:rPr>
              <w:fldChar w:fldCharType="separate"/>
            </w:r>
            <w:r w:rsidR="008F6620">
              <w:rPr>
                <w:noProof/>
                <w:webHidden/>
              </w:rPr>
              <w:t>20</w:t>
            </w:r>
            <w:r w:rsidR="008F6620">
              <w:rPr>
                <w:noProof/>
                <w:webHidden/>
              </w:rPr>
              <w:fldChar w:fldCharType="end"/>
            </w:r>
          </w:hyperlink>
        </w:p>
        <w:p w14:paraId="61A2B7DB" w14:textId="190C7C3A" w:rsidR="00575D17" w:rsidRDefault="00D672EF" w:rsidP="008F6620">
          <w:pPr>
            <w:pStyle w:val="TOC3"/>
            <w:tabs>
              <w:tab w:val="left" w:pos="1701"/>
            </w:tabs>
          </w:pPr>
          <w:hyperlink w:anchor="_Toc81573629" w:history="1">
            <w:r w:rsidR="008F6620" w:rsidRPr="00B82D0C">
              <w:rPr>
                <w:rStyle w:val="Hyperlink"/>
                <w:noProof/>
              </w:rPr>
              <w:t>4.4</w:t>
            </w:r>
            <w:r w:rsidR="008F6620">
              <w:rPr>
                <w:rFonts w:asciiTheme="minorHAnsi" w:eastAsiaTheme="minorEastAsia" w:hAnsiTheme="minorHAnsi" w:cstheme="minorBidi"/>
                <w:noProof/>
                <w:sz w:val="22"/>
                <w:szCs w:val="22"/>
                <w:lang w:eastAsia="en-AU"/>
              </w:rPr>
              <w:tab/>
            </w:r>
            <w:r w:rsidR="008F6620" w:rsidRPr="00B82D0C">
              <w:rPr>
                <w:rStyle w:val="Hyperlink"/>
                <w:noProof/>
              </w:rPr>
              <w:t>Final decision in relation to 1,4-benzenediamine, 2-(methoxymethyl)-</w:t>
            </w:r>
            <w:r w:rsidR="008F6620">
              <w:rPr>
                <w:noProof/>
                <w:webHidden/>
              </w:rPr>
              <w:tab/>
            </w:r>
            <w:r w:rsidR="008F6620">
              <w:rPr>
                <w:noProof/>
                <w:webHidden/>
              </w:rPr>
              <w:fldChar w:fldCharType="begin"/>
            </w:r>
            <w:r w:rsidR="008F6620">
              <w:rPr>
                <w:noProof/>
                <w:webHidden/>
              </w:rPr>
              <w:instrText xml:space="preserve"> PAGEREF _Toc81573629 \h </w:instrText>
            </w:r>
            <w:r w:rsidR="008F6620">
              <w:rPr>
                <w:noProof/>
                <w:webHidden/>
              </w:rPr>
            </w:r>
            <w:r w:rsidR="008F6620">
              <w:rPr>
                <w:noProof/>
                <w:webHidden/>
              </w:rPr>
              <w:fldChar w:fldCharType="separate"/>
            </w:r>
            <w:r w:rsidR="008F6620">
              <w:rPr>
                <w:noProof/>
                <w:webHidden/>
              </w:rPr>
              <w:t>21</w:t>
            </w:r>
            <w:r w:rsidR="008F6620">
              <w:rPr>
                <w:noProof/>
                <w:webHidden/>
              </w:rPr>
              <w:fldChar w:fldCharType="end"/>
            </w:r>
          </w:hyperlink>
          <w:r w:rsidR="00575D17">
            <w:rPr>
              <w:sz w:val="32"/>
            </w:rPr>
            <w:fldChar w:fldCharType="end"/>
          </w:r>
        </w:p>
      </w:sdtContent>
    </w:sdt>
    <w:p w14:paraId="3A74275F" w14:textId="77777777" w:rsidR="00575D17" w:rsidRPr="00BC2009" w:rsidRDefault="00575D17" w:rsidP="00575D17">
      <w:pPr>
        <w:pStyle w:val="Heading2"/>
        <w:pageBreakBefore/>
        <w:ind w:left="431" w:hanging="431"/>
      </w:pPr>
      <w:bookmarkStart w:id="5" w:name="_Toc56757032"/>
      <w:bookmarkStart w:id="6" w:name="_Toc81573615"/>
      <w:bookmarkEnd w:id="4"/>
      <w:bookmarkEnd w:id="3"/>
      <w:bookmarkEnd w:id="2"/>
      <w:r w:rsidRPr="00597B50">
        <w:lastRenderedPageBreak/>
        <w:t>Notice of final decisions to amend (or not amend) the current Poisons Standard</w:t>
      </w:r>
      <w:bookmarkEnd w:id="5"/>
      <w:bookmarkEnd w:id="6"/>
      <w:r w:rsidRPr="00597B50">
        <w:t xml:space="preserve"> </w:t>
      </w:r>
    </w:p>
    <w:p w14:paraId="1517470C" w14:textId="77777777" w:rsidR="00575D17" w:rsidRDefault="00575D17" w:rsidP="00575D17">
      <w:r>
        <w:t xml:space="preserve">This web publication constitutes a notice for the purposes of </w:t>
      </w:r>
      <w:r w:rsidRPr="005D321C">
        <w:t xml:space="preserve">regulation 42ZCZS and regulation 42ZCZX of the </w:t>
      </w:r>
      <w:r w:rsidRPr="005D321C">
        <w:rPr>
          <w:i/>
        </w:rPr>
        <w:t xml:space="preserve">Therapeutic Goods Regulations 1990 </w:t>
      </w:r>
      <w:r w:rsidRPr="005D321C">
        <w:t xml:space="preserve">(the </w:t>
      </w:r>
      <w:r w:rsidRPr="005D321C">
        <w:rPr>
          <w:b/>
        </w:rPr>
        <w:t>Regulations</w:t>
      </w:r>
      <w:r w:rsidRPr="005D321C">
        <w:t>). In accordance with regulations</w:t>
      </w:r>
      <w:r>
        <w:t xml:space="preserve"> </w:t>
      </w:r>
      <w:r w:rsidRPr="006F0764">
        <w:t>42ZCZS and 42ZCZX</w:t>
      </w:r>
      <w:r w:rsidRPr="00597B50">
        <w:t>,</w:t>
      </w:r>
      <w:r>
        <w:t xml:space="preserve"> this notice publishes the:</w:t>
      </w:r>
    </w:p>
    <w:p w14:paraId="390D618A" w14:textId="77777777" w:rsidR="00575D17" w:rsidRPr="005D321C" w:rsidRDefault="00575D17" w:rsidP="00575D17">
      <w:pPr>
        <w:pStyle w:val="ListBullet"/>
        <w:numPr>
          <w:ilvl w:val="0"/>
          <w:numId w:val="1"/>
        </w:numPr>
      </w:pPr>
      <w:r w:rsidRPr="005D321C">
        <w:t xml:space="preserve">decisions made by a delegate of the Secretary pursuant to regulations 42ZCZR and </w:t>
      </w:r>
      <w:proofErr w:type="gramStart"/>
      <w:r w:rsidRPr="005D321C">
        <w:t>42ZCZU</w:t>
      </w:r>
      <w:r>
        <w:t>;</w:t>
      </w:r>
      <w:proofErr w:type="gramEnd"/>
    </w:p>
    <w:p w14:paraId="5163BE3A" w14:textId="77777777" w:rsidR="00575D17" w:rsidRPr="005D321C" w:rsidRDefault="00575D17" w:rsidP="00575D17">
      <w:pPr>
        <w:pStyle w:val="ListBullet"/>
        <w:numPr>
          <w:ilvl w:val="0"/>
          <w:numId w:val="1"/>
        </w:numPr>
      </w:pPr>
      <w:r w:rsidRPr="005D321C">
        <w:t xml:space="preserve">reasons for those final decisions; and </w:t>
      </w:r>
    </w:p>
    <w:p w14:paraId="7A85A1C4" w14:textId="77777777" w:rsidR="00575D17" w:rsidRPr="005D321C" w:rsidRDefault="00575D17" w:rsidP="00575D17">
      <w:pPr>
        <w:pStyle w:val="ListBullet"/>
        <w:numPr>
          <w:ilvl w:val="0"/>
          <w:numId w:val="1"/>
        </w:numPr>
      </w:pPr>
      <w:r w:rsidRPr="005D321C">
        <w:t>date of effect of those decisions.</w:t>
      </w:r>
    </w:p>
    <w:p w14:paraId="6942A79A" w14:textId="493B0AC2" w:rsidR="00ED5D05" w:rsidRDefault="00575D17" w:rsidP="002B1C4A">
      <w:pPr>
        <w:pStyle w:val="Heading2"/>
        <w:pageBreakBefore/>
        <w:ind w:left="431" w:hanging="431"/>
      </w:pPr>
      <w:bookmarkStart w:id="7" w:name="_Toc81573616"/>
      <w:r>
        <w:lastRenderedPageBreak/>
        <w:t>Final</w:t>
      </w:r>
      <w:r w:rsidR="00ED5D05">
        <w:t xml:space="preserve"> decision</w:t>
      </w:r>
      <w:r w:rsidR="00ED5D05" w:rsidRPr="005A54DF">
        <w:t>s</w:t>
      </w:r>
      <w:r w:rsidR="00ED5D05">
        <w:t xml:space="preserve"> </w:t>
      </w:r>
      <w:bookmarkEnd w:id="0"/>
      <w:r w:rsidR="00C55FF4">
        <w:t xml:space="preserve">on proposed amendments referred to the Advisory </w:t>
      </w:r>
      <w:r w:rsidR="00C55FF4" w:rsidRPr="005A54DF">
        <w:t>Committee on Medicines Scheduling (ACMS #</w:t>
      </w:r>
      <w:r w:rsidR="004629C6">
        <w:t>33</w:t>
      </w:r>
      <w:r w:rsidR="00C55FF4" w:rsidRPr="005A54DF">
        <w:t xml:space="preserve">, </w:t>
      </w:r>
      <w:r w:rsidR="004629C6">
        <w:t>March</w:t>
      </w:r>
      <w:r w:rsidR="00C55FF4" w:rsidRPr="005A54DF">
        <w:t xml:space="preserve"> </w:t>
      </w:r>
      <w:r w:rsidR="004629C6">
        <w:t>2021</w:t>
      </w:r>
      <w:r w:rsidR="00C55FF4" w:rsidRPr="005A54DF">
        <w:t>)</w:t>
      </w:r>
      <w:bookmarkEnd w:id="1"/>
      <w:bookmarkEnd w:id="7"/>
    </w:p>
    <w:p w14:paraId="127414D8" w14:textId="2BBAB365" w:rsidR="00432FC5" w:rsidRDefault="00575D17" w:rsidP="007642A2">
      <w:pPr>
        <w:pStyle w:val="Heading3"/>
      </w:pPr>
      <w:bookmarkStart w:id="8" w:name="_Toc46325255"/>
      <w:bookmarkStart w:id="9" w:name="_Toc46325611"/>
      <w:bookmarkStart w:id="10" w:name="_Toc46327427"/>
      <w:bookmarkStart w:id="11" w:name="_Toc46412213"/>
      <w:bookmarkStart w:id="12" w:name="_Final_decision_in"/>
      <w:bookmarkStart w:id="13" w:name="_Toc46325256"/>
      <w:bookmarkStart w:id="14" w:name="_Toc46325612"/>
      <w:bookmarkStart w:id="15" w:name="_Toc46327428"/>
      <w:bookmarkStart w:id="16" w:name="_Toc46412214"/>
      <w:bookmarkStart w:id="17" w:name="_Toc46325257"/>
      <w:bookmarkStart w:id="18" w:name="_Toc46325613"/>
      <w:bookmarkStart w:id="19" w:name="_Toc46327429"/>
      <w:bookmarkStart w:id="20" w:name="_Toc46412215"/>
      <w:bookmarkStart w:id="21" w:name="_Toc46325258"/>
      <w:bookmarkStart w:id="22" w:name="_Toc46325614"/>
      <w:bookmarkStart w:id="23" w:name="_Toc46327430"/>
      <w:bookmarkStart w:id="24" w:name="_Toc46412216"/>
      <w:bookmarkStart w:id="25" w:name="_Toc46325259"/>
      <w:bookmarkStart w:id="26" w:name="_Toc46325615"/>
      <w:bookmarkStart w:id="27" w:name="_Toc46327431"/>
      <w:bookmarkStart w:id="28" w:name="_Toc46412217"/>
      <w:bookmarkStart w:id="29" w:name="_Final_decision_in_1"/>
      <w:bookmarkStart w:id="30" w:name="_Toc77686113"/>
      <w:bookmarkStart w:id="31" w:name="_Toc8157361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Final</w:t>
      </w:r>
      <w:r w:rsidR="00432FC5">
        <w:t xml:space="preserve"> decision in relation to </w:t>
      </w:r>
      <w:r w:rsidR="000E0A44">
        <w:t>metoclopramide</w:t>
      </w:r>
      <w:bookmarkEnd w:id="30"/>
      <w:bookmarkEnd w:id="31"/>
    </w:p>
    <w:p w14:paraId="00643B59" w14:textId="4FA06587" w:rsidR="000710CB" w:rsidRDefault="000710CB" w:rsidP="007642A2">
      <w:pPr>
        <w:pStyle w:val="Heading4"/>
      </w:pPr>
      <w:r w:rsidRPr="007642A2">
        <w:t>Proposal</w:t>
      </w:r>
    </w:p>
    <w:p w14:paraId="5763C129" w14:textId="4FC5E9F2" w:rsidR="000710CB" w:rsidRPr="000710CB" w:rsidRDefault="000710CB" w:rsidP="007642A2">
      <w:r>
        <w:t xml:space="preserve">The applicant proposed an amendment to include </w:t>
      </w:r>
      <w:r w:rsidRPr="000710CB">
        <w:t xml:space="preserve">metoclopramide in Appendix H of the Poisons Standard to allow direct-to-consumer advertising of </w:t>
      </w:r>
      <w:r>
        <w:t>pharmacist</w:t>
      </w:r>
      <w:r w:rsidR="002C68CE">
        <w:t>-</w:t>
      </w:r>
      <w:r>
        <w:t>only medicines</w:t>
      </w:r>
      <w:r w:rsidRPr="000710CB">
        <w:t xml:space="preserve"> containing the substance.</w:t>
      </w:r>
    </w:p>
    <w:p w14:paraId="0A505F77" w14:textId="68004A3D" w:rsidR="00432FC5" w:rsidRPr="008036B7" w:rsidRDefault="000366D2" w:rsidP="002534B2">
      <w:pPr>
        <w:pStyle w:val="Heading4"/>
      </w:pPr>
      <w:r>
        <w:t>Final</w:t>
      </w:r>
      <w:r w:rsidR="002534B2">
        <w:t xml:space="preserve"> decision</w:t>
      </w:r>
    </w:p>
    <w:p w14:paraId="486B0629" w14:textId="52C34345" w:rsidR="00432FC5" w:rsidRDefault="00432FC5" w:rsidP="007642A2">
      <w:r w:rsidRPr="00C55FF4">
        <w:t>Pursuant to regulation 42ZCZ</w:t>
      </w:r>
      <w:r w:rsidR="00AF32CF">
        <w:t>R</w:t>
      </w:r>
      <w:r w:rsidRPr="00C55FF4">
        <w:t xml:space="preserve"> of the Regulations, a Delegate of the Secretary has, in relation to the proposed amendment, made a</w:t>
      </w:r>
      <w:r w:rsidR="000366D2">
        <w:t xml:space="preserve"> final</w:t>
      </w:r>
      <w:r w:rsidRPr="00C55FF4">
        <w:t xml:space="preserve"> </w:t>
      </w:r>
      <w:r w:rsidRPr="00E604FC">
        <w:t>decision not to amend the current Poisons St</w:t>
      </w:r>
      <w:r>
        <w:t xml:space="preserve">andard in relation to </w:t>
      </w:r>
      <w:r w:rsidR="000E0A44">
        <w:t>metoclopramide</w:t>
      </w:r>
      <w:r w:rsidRPr="00E604FC">
        <w:t>.</w:t>
      </w:r>
    </w:p>
    <w:p w14:paraId="4CD839FF" w14:textId="79049BF0" w:rsidR="00432FC5" w:rsidRDefault="00432FC5" w:rsidP="002534B2">
      <w:pPr>
        <w:pStyle w:val="Heading4"/>
      </w:pPr>
      <w:r>
        <w:t>Materials considered</w:t>
      </w:r>
    </w:p>
    <w:p w14:paraId="1E35C315" w14:textId="1C93C1CD" w:rsidR="00432FC5" w:rsidRDefault="00432FC5" w:rsidP="007642A2">
      <w:r>
        <w:t xml:space="preserve">In making this </w:t>
      </w:r>
      <w:r w:rsidR="000366D2">
        <w:t>final</w:t>
      </w:r>
      <w:r>
        <w:t xml:space="preserve"> decision, the Delegate considered the following material:</w:t>
      </w:r>
    </w:p>
    <w:p w14:paraId="0F89AF22" w14:textId="698D6D53" w:rsidR="00432FC5" w:rsidRDefault="00432FC5" w:rsidP="002534B2">
      <w:pPr>
        <w:pStyle w:val="ListBullet"/>
      </w:pPr>
      <w:r w:rsidRPr="000E0D69">
        <w:t xml:space="preserve">The </w:t>
      </w:r>
      <w:hyperlink r:id="rId12" w:history="1">
        <w:r w:rsidRPr="003C4336">
          <w:rPr>
            <w:rStyle w:val="Hyperlink"/>
          </w:rPr>
          <w:t>application</w:t>
        </w:r>
      </w:hyperlink>
      <w:r w:rsidRPr="000E0D69">
        <w:t xml:space="preserve"> to amend the</w:t>
      </w:r>
      <w:r>
        <w:t xml:space="preserve"> current Poisons Standard with respect to </w:t>
      </w:r>
      <w:r w:rsidR="004629C6">
        <w:t>metoclopramide</w:t>
      </w:r>
      <w:r>
        <w:t>;</w:t>
      </w:r>
    </w:p>
    <w:p w14:paraId="30106F2A" w14:textId="2C0AF68D" w:rsidR="00432FC5" w:rsidRDefault="00432FC5" w:rsidP="00432FC5">
      <w:pPr>
        <w:pStyle w:val="ListBullet"/>
      </w:pPr>
      <w:r>
        <w:t xml:space="preserve">The </w:t>
      </w:r>
      <w:r w:rsidR="00160CB7">
        <w:t>31</w:t>
      </w:r>
      <w:r w:rsidR="00160CB7" w:rsidRPr="000E0D69">
        <w:t xml:space="preserve"> </w:t>
      </w:r>
      <w:hyperlink r:id="rId13" w:history="1">
        <w:r w:rsidRPr="00944CC6">
          <w:rPr>
            <w:rStyle w:val="Hyperlink"/>
          </w:rPr>
          <w:t>public submissions</w:t>
        </w:r>
      </w:hyperlink>
      <w:r w:rsidR="002B6147" w:rsidRPr="000710CB">
        <w:rPr>
          <w:rStyle w:val="Hyperlink"/>
          <w:color w:val="auto"/>
          <w:u w:val="none"/>
        </w:rPr>
        <w:t>,</w:t>
      </w:r>
      <w:r w:rsidR="004629C6" w:rsidRPr="000710CB">
        <w:t xml:space="preserve"> including </w:t>
      </w:r>
      <w:r w:rsidR="004629C6">
        <w:t>five</w:t>
      </w:r>
      <w:r w:rsidR="002B6147" w:rsidRPr="00C85183">
        <w:t xml:space="preserve"> written submissions,</w:t>
      </w:r>
      <w:r w:rsidRPr="00C85183">
        <w:t xml:space="preserve"> </w:t>
      </w:r>
      <w:r>
        <w:t xml:space="preserve">received in response to the </w:t>
      </w:r>
      <w:hyperlink r:id="rId14" w:history="1">
        <w:r w:rsidRPr="00A825A4">
          <w:rPr>
            <w:rStyle w:val="Hyperlink"/>
          </w:rPr>
          <w:t>pre-meeting consultation</w:t>
        </w:r>
      </w:hyperlink>
      <w:r w:rsidRPr="00A825A4">
        <w:t xml:space="preserve"> und</w:t>
      </w:r>
      <w:r>
        <w:t>er regulation 42ZCZK of the Regulations</w:t>
      </w:r>
      <w:r w:rsidR="00075612">
        <w:t>;</w:t>
      </w:r>
    </w:p>
    <w:p w14:paraId="01856080" w14:textId="6B7E90AA" w:rsidR="00432FC5" w:rsidRDefault="00432FC5" w:rsidP="007642A2">
      <w:pPr>
        <w:pStyle w:val="ListBullet"/>
      </w:pPr>
      <w:r>
        <w:t xml:space="preserve">The advice </w:t>
      </w:r>
      <w:r w:rsidRPr="00A825A4">
        <w:t xml:space="preserve">received from the </w:t>
      </w:r>
      <w:r w:rsidRPr="007642A2">
        <w:t>Meeting</w:t>
      </w:r>
      <w:r w:rsidRPr="00A825A4">
        <w:t xml:space="preserve"> of the Advisory Committee o</w:t>
      </w:r>
      <w:r w:rsidR="004629C6">
        <w:t>n Medicines Scheduling (ACMS #33</w:t>
      </w:r>
      <w:proofErr w:type="gramStart"/>
      <w:r w:rsidRPr="00A825A4">
        <w:t>);</w:t>
      </w:r>
      <w:proofErr w:type="gramEnd"/>
    </w:p>
    <w:p w14:paraId="7180B6A0" w14:textId="7576EAD3" w:rsidR="000366D2" w:rsidRDefault="000366D2" w:rsidP="000366D2">
      <w:pPr>
        <w:pStyle w:val="ListBullet"/>
      </w:pPr>
      <w:r>
        <w:t xml:space="preserve">The </w:t>
      </w:r>
      <w:r w:rsidR="00DB3732">
        <w:t>two</w:t>
      </w:r>
      <w:r>
        <w:t xml:space="preserve"> </w:t>
      </w:r>
      <w:hyperlink r:id="rId15" w:history="1">
        <w:r w:rsidRPr="00937E6E">
          <w:rPr>
            <w:rStyle w:val="Hyperlink"/>
          </w:rPr>
          <w:t>public submissions</w:t>
        </w:r>
      </w:hyperlink>
      <w:r>
        <w:t xml:space="preserve">, </w:t>
      </w:r>
      <w:r w:rsidR="00203E67" w:rsidRPr="00203E67">
        <w:t>including one written submission,</w:t>
      </w:r>
      <w:r w:rsidR="00203E67">
        <w:t xml:space="preserve"> </w:t>
      </w:r>
      <w:r>
        <w:t xml:space="preserve">received in response to the </w:t>
      </w:r>
      <w:r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74D3B17D" w14:textId="23FE65F2" w:rsidR="00432FC5" w:rsidRDefault="00432FC5" w:rsidP="007642A2">
      <w:pPr>
        <w:pStyle w:val="ListBullet"/>
      </w:pPr>
      <w:r w:rsidRPr="001169AC">
        <w:t xml:space="preserve">Subsection 52E(1) of </w:t>
      </w:r>
      <w:r w:rsidRPr="001169AC">
        <w:rPr>
          <w:i/>
        </w:rPr>
        <w:t>the Therapeutic Goods Act 1989</w:t>
      </w:r>
      <w:r w:rsidRPr="001169AC">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w:t>
      </w:r>
      <w:r>
        <w:t xml:space="preserve">and </w:t>
      </w:r>
      <w:r w:rsidRPr="001169AC">
        <w:t xml:space="preserve">(e) </w:t>
      </w:r>
      <w:r w:rsidRPr="007642A2">
        <w:t>the</w:t>
      </w:r>
      <w:r w:rsidRPr="001169AC">
        <w:t xml:space="preserve"> potential for abuse of a substance;</w:t>
      </w:r>
    </w:p>
    <w:p w14:paraId="784D01F1" w14:textId="169B8A00" w:rsidR="00432FC5" w:rsidRDefault="00432FC5" w:rsidP="00432FC5">
      <w:pPr>
        <w:pStyle w:val="ListBullet"/>
      </w:pPr>
      <w:r w:rsidRPr="002C1418">
        <w:t xml:space="preserve">The Australian Health Ministers’ Advisory Council’s </w:t>
      </w:r>
      <w:hyperlink r:id="rId16" w:history="1">
        <w:r w:rsidRPr="001A7580">
          <w:rPr>
            <w:rStyle w:val="Hyperlink"/>
          </w:rPr>
          <w:t>Scheduling Policy Framework</w:t>
        </w:r>
      </w:hyperlink>
      <w:r>
        <w:t xml:space="preserve"> (SPF</w:t>
      </w:r>
      <w:r w:rsidR="007642A2">
        <w:t> </w:t>
      </w:r>
      <w:r>
        <w:t>2018</w:t>
      </w:r>
      <w:r w:rsidRPr="002C20AE">
        <w:t>);</w:t>
      </w:r>
    </w:p>
    <w:p w14:paraId="3D5077C2" w14:textId="310D8F4B" w:rsidR="00432FC5" w:rsidRDefault="00432FC5" w:rsidP="004629C6">
      <w:pPr>
        <w:pStyle w:val="ListBullet"/>
      </w:pPr>
      <w:r>
        <w:t xml:space="preserve">The </w:t>
      </w:r>
      <w:hyperlink r:id="rId17" w:history="1">
        <w:r w:rsidRPr="001A7580">
          <w:rPr>
            <w:rStyle w:val="Hyperlink"/>
          </w:rPr>
          <w:t>Scheduling handbook: Guidance for amending the Poisons Standard</w:t>
        </w:r>
      </w:hyperlink>
      <w:r w:rsidR="00491EBA">
        <w:t>; and</w:t>
      </w:r>
    </w:p>
    <w:p w14:paraId="712B828A" w14:textId="76470C6C" w:rsidR="009B385B" w:rsidRDefault="00D672EF" w:rsidP="004629C6">
      <w:pPr>
        <w:pStyle w:val="ListBullet"/>
      </w:pPr>
      <w:hyperlink r:id="rId18" w:history="1">
        <w:r w:rsidR="009B385B">
          <w:rPr>
            <w:rStyle w:val="Hyperlink"/>
          </w:rPr>
          <w:t>Appendix 1 - Guidelines for advertisements for medicines containing Schedule 3 substances (tga.gov.au)</w:t>
        </w:r>
      </w:hyperlink>
      <w:r w:rsidR="00491EBA" w:rsidRPr="00491EBA">
        <w:rPr>
          <w:rStyle w:val="Hyperlink"/>
          <w:color w:val="auto"/>
          <w:u w:val="none"/>
        </w:rPr>
        <w:t>.</w:t>
      </w:r>
    </w:p>
    <w:p w14:paraId="50FDF1F1" w14:textId="0192023F" w:rsidR="00432FC5" w:rsidRDefault="00432FC5" w:rsidP="007642A2">
      <w:pPr>
        <w:pStyle w:val="Heading4"/>
      </w:pPr>
      <w:r>
        <w:t xml:space="preserve">Reasons for the </w:t>
      </w:r>
      <w:r w:rsidR="002C68CE">
        <w:t>final</w:t>
      </w:r>
      <w:r w:rsidRPr="00436C41">
        <w:t xml:space="preserve"> decision (including </w:t>
      </w:r>
      <w:r w:rsidRPr="007642A2">
        <w:t>findings</w:t>
      </w:r>
      <w:r w:rsidRPr="00436C41">
        <w:t xml:space="preserve"> on material questions of fact)</w:t>
      </w:r>
    </w:p>
    <w:p w14:paraId="7AF93328" w14:textId="0ED07282" w:rsidR="000366D2" w:rsidRDefault="000366D2" w:rsidP="000366D2">
      <w:bookmarkStart w:id="32" w:name="_Toc77686114"/>
      <w:r w:rsidRPr="00253509">
        <w:t>I have made a final decision to confirm</w:t>
      </w:r>
      <w:r>
        <w:t xml:space="preserve"> my </w:t>
      </w:r>
      <w:hyperlink r:id="rId19" w:history="1">
        <w:r w:rsidRPr="008F73DD">
          <w:rPr>
            <w:rStyle w:val="Hyperlink"/>
          </w:rPr>
          <w:t>interim decision</w:t>
        </w:r>
      </w:hyperlink>
      <w:r>
        <w:t xml:space="preserve"> not to amend</w:t>
      </w:r>
      <w:r w:rsidRPr="00253509">
        <w:t xml:space="preserve"> the current Poisons Standard with re</w:t>
      </w:r>
      <w:r>
        <w:t>spect to metoclopramide</w:t>
      </w:r>
      <w:r w:rsidRPr="00253509">
        <w:t xml:space="preserve">. </w:t>
      </w:r>
      <w:r w:rsidRPr="008F73DD">
        <w:t>My reasons for making the final decision are those s</w:t>
      </w:r>
      <w:r>
        <w:t>et out in the interim decision.</w:t>
      </w:r>
      <w:r w:rsidRPr="008F73DD">
        <w:t xml:space="preserve"> </w:t>
      </w:r>
      <w:r w:rsidRPr="00253509">
        <w:t xml:space="preserve">In making my final decision, I have </w:t>
      </w:r>
      <w:proofErr w:type="gramStart"/>
      <w:r w:rsidRPr="00253509">
        <w:t>taken into account</w:t>
      </w:r>
      <w:proofErr w:type="gramEnd"/>
      <w:r w:rsidRPr="00253509">
        <w:t xml:space="preserve">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20 July 2021</w:t>
      </w:r>
      <w:r w:rsidRPr="0014113C">
        <w:t xml:space="preserve"> under regulation 42ZCZP of the Regulations.</w:t>
      </w:r>
      <w:r w:rsidR="00606E6A" w:rsidRPr="00606E6A">
        <w:t xml:space="preserve"> </w:t>
      </w:r>
      <w:r w:rsidR="00606E6A" w:rsidRPr="00CE40B9">
        <w:t xml:space="preserve">I note that </w:t>
      </w:r>
      <w:r w:rsidR="00606E6A">
        <w:t>the</w:t>
      </w:r>
      <w:r w:rsidR="00606E6A" w:rsidRPr="00CE40B9">
        <w:t xml:space="preserve"> written public submission</w:t>
      </w:r>
      <w:r w:rsidR="00365D0F">
        <w:t>s</w:t>
      </w:r>
      <w:r w:rsidR="00606E6A" w:rsidRPr="00CE40B9">
        <w:t xml:space="preserve"> </w:t>
      </w:r>
      <w:r w:rsidR="00606E6A">
        <w:t xml:space="preserve">received during the second round of consultation </w:t>
      </w:r>
      <w:r w:rsidR="00365D0F">
        <w:t xml:space="preserve">were </w:t>
      </w:r>
      <w:r w:rsidR="00606E6A">
        <w:t>not opposed to</w:t>
      </w:r>
      <w:r w:rsidR="00606E6A" w:rsidRPr="00CE40B9">
        <w:t xml:space="preserve"> the interim decision.</w:t>
      </w:r>
      <w:r w:rsidR="00606E6A">
        <w:t xml:space="preserve"> </w:t>
      </w:r>
    </w:p>
    <w:p w14:paraId="70AB47DB" w14:textId="68218357" w:rsidR="00D32D05" w:rsidRDefault="002C68CE" w:rsidP="00024A62">
      <w:pPr>
        <w:pStyle w:val="Heading3"/>
      </w:pPr>
      <w:bookmarkStart w:id="33" w:name="_Toc81573618"/>
      <w:r>
        <w:lastRenderedPageBreak/>
        <w:t>Final</w:t>
      </w:r>
      <w:r w:rsidR="00D32D05">
        <w:t xml:space="preserve"> decision in relation to </w:t>
      </w:r>
      <w:r w:rsidR="00D32D05" w:rsidRPr="00024A62">
        <w:t>chloramphenicol</w:t>
      </w:r>
      <w:bookmarkEnd w:id="32"/>
      <w:bookmarkEnd w:id="33"/>
    </w:p>
    <w:p w14:paraId="4BC99D4C" w14:textId="77777777" w:rsidR="00CD02D1" w:rsidRDefault="00CD02D1" w:rsidP="00024A62">
      <w:pPr>
        <w:pStyle w:val="Heading4"/>
      </w:pPr>
      <w:bookmarkStart w:id="34" w:name="_Toc68181074"/>
      <w:r w:rsidRPr="00024A62">
        <w:t>Proposal</w:t>
      </w:r>
    </w:p>
    <w:p w14:paraId="10A4506B" w14:textId="7CEF378F" w:rsidR="00CD02D1" w:rsidRPr="000710CB" w:rsidRDefault="00CD02D1" w:rsidP="00024A62">
      <w:r>
        <w:t>The applicant proposed an amendment to include chloramphenicol</w:t>
      </w:r>
      <w:r w:rsidRPr="000710CB">
        <w:t xml:space="preserve"> in Appendix H of the Poisons Standard to allow direct-to-consumer advertising of </w:t>
      </w:r>
      <w:r>
        <w:t>pharmacist</w:t>
      </w:r>
      <w:r w:rsidR="002C68CE">
        <w:t>-</w:t>
      </w:r>
      <w:r>
        <w:t>only medicines</w:t>
      </w:r>
      <w:r w:rsidRPr="000710CB">
        <w:t xml:space="preserve"> containing the substance.</w:t>
      </w:r>
    </w:p>
    <w:p w14:paraId="179BF17A" w14:textId="0DFC1098" w:rsidR="00C57408" w:rsidRDefault="002C68CE" w:rsidP="00C57408">
      <w:pPr>
        <w:pStyle w:val="Heading4"/>
      </w:pPr>
      <w:r>
        <w:t>Final</w:t>
      </w:r>
      <w:r w:rsidR="00C57408">
        <w:t xml:space="preserve"> </w:t>
      </w:r>
      <w:r w:rsidR="00024A62">
        <w:t>d</w:t>
      </w:r>
      <w:r w:rsidR="00C57408">
        <w:t>ecision</w:t>
      </w:r>
    </w:p>
    <w:p w14:paraId="548B95AF" w14:textId="6B82297E" w:rsidR="00C57408" w:rsidRDefault="00C57408" w:rsidP="00024A62">
      <w:r w:rsidRPr="00C55FF4">
        <w:t>Pursuant to regulation 42ZCZ</w:t>
      </w:r>
      <w:r w:rsidR="00D5191C">
        <w:t>R</w:t>
      </w:r>
      <w:r w:rsidRPr="00C55FF4">
        <w:t xml:space="preserve"> of the Regulations, a Delegate of the Secretary has, in relation to the proposed amendment, made a</w:t>
      </w:r>
      <w:r w:rsidR="002C68CE">
        <w:t xml:space="preserve"> final</w:t>
      </w:r>
      <w:r w:rsidRPr="00C55FF4">
        <w:t xml:space="preserve"> decision </w:t>
      </w:r>
      <w:r w:rsidR="00FC17B1">
        <w:t xml:space="preserve">not </w:t>
      </w:r>
      <w:r w:rsidR="008C1A37">
        <w:t xml:space="preserve">to </w:t>
      </w:r>
      <w:r w:rsidRPr="006F245B">
        <w:t>amend the current Poisons Standard in relation to chloramphenicol.</w:t>
      </w:r>
    </w:p>
    <w:p w14:paraId="09FA358A" w14:textId="77777777" w:rsidR="00C57408" w:rsidRDefault="00C57408" w:rsidP="00C57408">
      <w:pPr>
        <w:pStyle w:val="Heading4"/>
      </w:pPr>
      <w:r>
        <w:t>Materials considered</w:t>
      </w:r>
    </w:p>
    <w:p w14:paraId="5EE4B63D" w14:textId="1DEA8BC8" w:rsidR="00C57408" w:rsidRDefault="00C57408" w:rsidP="00024A62">
      <w:r>
        <w:t xml:space="preserve">In making this </w:t>
      </w:r>
      <w:r w:rsidR="002C68CE">
        <w:t>final</w:t>
      </w:r>
      <w:r>
        <w:t xml:space="preserve"> decision, the Delegate considered the following material:</w:t>
      </w:r>
    </w:p>
    <w:p w14:paraId="07302A77" w14:textId="77777777" w:rsidR="00C57408" w:rsidRDefault="00C57408" w:rsidP="00024A62">
      <w:pPr>
        <w:pStyle w:val="ListBullet"/>
      </w:pPr>
      <w:r>
        <w:t xml:space="preserve">The </w:t>
      </w:r>
      <w:hyperlink r:id="rId20" w:history="1">
        <w:r w:rsidRPr="006F245B">
          <w:rPr>
            <w:rStyle w:val="Hyperlink"/>
          </w:rPr>
          <w:t>application</w:t>
        </w:r>
      </w:hyperlink>
      <w:r w:rsidRPr="006F245B">
        <w:t xml:space="preserve"> to</w:t>
      </w:r>
      <w:r>
        <w:t xml:space="preserve"> amend the current Poisons Standard with respect to </w:t>
      </w:r>
      <w:r w:rsidRPr="00024A62">
        <w:t>chloramphenicol</w:t>
      </w:r>
      <w:r>
        <w:t>;</w:t>
      </w:r>
    </w:p>
    <w:p w14:paraId="5DD9C4B6" w14:textId="17E270A5" w:rsidR="00C57408" w:rsidRDefault="00C57408" w:rsidP="00C57408">
      <w:pPr>
        <w:pStyle w:val="ListBullet"/>
        <w:numPr>
          <w:ilvl w:val="0"/>
          <w:numId w:val="1"/>
        </w:numPr>
      </w:pPr>
      <w:r>
        <w:t>The</w:t>
      </w:r>
      <w:r w:rsidR="00160CB7">
        <w:t xml:space="preserve"> 62</w:t>
      </w:r>
      <w:r>
        <w:t xml:space="preserve"> </w:t>
      </w:r>
      <w:hyperlink r:id="rId21" w:history="1">
        <w:r w:rsidRPr="006F7355">
          <w:rPr>
            <w:rStyle w:val="Hyperlink"/>
          </w:rPr>
          <w:t>public submissions</w:t>
        </w:r>
      </w:hyperlink>
      <w:r w:rsidRPr="006F245B">
        <w:t xml:space="preserve"> received in response to the pre-meeting consultation under regul</w:t>
      </w:r>
      <w:r w:rsidR="00024A62">
        <w:t>ation 42ZCZK of the Regulations;</w:t>
      </w:r>
    </w:p>
    <w:p w14:paraId="065C5DC7" w14:textId="7AC13165" w:rsidR="00C57408" w:rsidRDefault="00C57408" w:rsidP="00024A62">
      <w:pPr>
        <w:pStyle w:val="ListBullet"/>
      </w:pPr>
      <w:r>
        <w:t>The advice received from th</w:t>
      </w:r>
      <w:r w:rsidRPr="00C51001">
        <w:t xml:space="preserve">e </w:t>
      </w:r>
      <w:r w:rsidRPr="00024A62">
        <w:t>Meeting</w:t>
      </w:r>
      <w:r w:rsidRPr="00C51001">
        <w:t xml:space="preserve"> of the Advisory Committee on Medicines Scheduling (ACMS #</w:t>
      </w:r>
      <w:r w:rsidRPr="00876BE1">
        <w:t>33</w:t>
      </w:r>
      <w:proofErr w:type="gramStart"/>
      <w:r w:rsidRPr="00876BE1">
        <w:t>);</w:t>
      </w:r>
      <w:proofErr w:type="gramEnd"/>
      <w:r w:rsidR="009E0AD9">
        <w:t xml:space="preserve"> </w:t>
      </w:r>
    </w:p>
    <w:p w14:paraId="7E68E046" w14:textId="5BD4E501" w:rsidR="002C68CE" w:rsidRDefault="002C68CE" w:rsidP="002C68CE">
      <w:pPr>
        <w:pStyle w:val="ListBullet"/>
      </w:pPr>
      <w:r>
        <w:t xml:space="preserve">The </w:t>
      </w:r>
      <w:r w:rsidR="00203E67">
        <w:t>two</w:t>
      </w:r>
      <w:r>
        <w:t xml:space="preserve"> </w:t>
      </w:r>
      <w:hyperlink r:id="rId22" w:history="1">
        <w:r w:rsidRPr="00937E6E">
          <w:rPr>
            <w:rStyle w:val="Hyperlink"/>
          </w:rPr>
          <w:t>public submissions</w:t>
        </w:r>
      </w:hyperlink>
      <w:r>
        <w:t xml:space="preserve">, </w:t>
      </w:r>
      <w:r w:rsidRPr="00C85183">
        <w:t xml:space="preserve">including </w:t>
      </w:r>
      <w:r w:rsidR="00203E67">
        <w:t>one</w:t>
      </w:r>
      <w:r>
        <w:t xml:space="preserve"> </w:t>
      </w:r>
      <w:r w:rsidRPr="00C85183">
        <w:t>written submission,</w:t>
      </w:r>
      <w:r>
        <w:t xml:space="preserve"> received in response to the </w:t>
      </w:r>
      <w:r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20863EBC" w14:textId="77777777" w:rsidR="00C57408" w:rsidRDefault="00C57408" w:rsidP="00024A62">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w:t>
      </w:r>
      <w:r>
        <w:t>) the toxicity of a substance;</w:t>
      </w:r>
      <w:r w:rsidRPr="001169AC">
        <w:t xml:space="preserve"> and (f) any other matters considered nece</w:t>
      </w:r>
      <w:r>
        <w:t>ssary to protect public health;</w:t>
      </w:r>
    </w:p>
    <w:p w14:paraId="592188EA" w14:textId="05DDF844" w:rsidR="00C57408" w:rsidRDefault="00C57408" w:rsidP="00024A62">
      <w:pPr>
        <w:pStyle w:val="ListBullet"/>
      </w:pPr>
      <w:r w:rsidRPr="002C1418">
        <w:t xml:space="preserve">The Australian Health Ministers’ </w:t>
      </w:r>
      <w:r w:rsidRPr="00024A62">
        <w:t>Advisory</w:t>
      </w:r>
      <w:r w:rsidRPr="002C1418">
        <w:t xml:space="preserve"> Council’s </w:t>
      </w:r>
      <w:hyperlink r:id="rId23" w:history="1">
        <w:r w:rsidRPr="001A7580">
          <w:rPr>
            <w:rStyle w:val="Hyperlink"/>
          </w:rPr>
          <w:t>Scheduling Policy Framework</w:t>
        </w:r>
      </w:hyperlink>
      <w:r w:rsidR="00024A62">
        <w:t xml:space="preserve"> (SPF 2018);</w:t>
      </w:r>
    </w:p>
    <w:p w14:paraId="768E51F2" w14:textId="79371F10" w:rsidR="00C57408" w:rsidRDefault="00C57408" w:rsidP="00C57408">
      <w:pPr>
        <w:pStyle w:val="ListBullet"/>
        <w:numPr>
          <w:ilvl w:val="0"/>
          <w:numId w:val="1"/>
        </w:numPr>
      </w:pPr>
      <w:r>
        <w:t xml:space="preserve">The </w:t>
      </w:r>
      <w:hyperlink r:id="rId24" w:history="1">
        <w:r w:rsidRPr="001A7580">
          <w:rPr>
            <w:rStyle w:val="Hyperlink"/>
          </w:rPr>
          <w:t>Scheduling handbook: Guidance for amending the Poisons Standard</w:t>
        </w:r>
      </w:hyperlink>
      <w:r w:rsidR="00024A62">
        <w:t xml:space="preserve">; </w:t>
      </w:r>
      <w:r w:rsidR="00024A62" w:rsidRPr="00A47A2B">
        <w:t>and</w:t>
      </w:r>
    </w:p>
    <w:p w14:paraId="6948EE4C" w14:textId="351D10E2" w:rsidR="009B385B" w:rsidRDefault="00D672EF" w:rsidP="006F7355">
      <w:pPr>
        <w:pStyle w:val="ListBullet"/>
      </w:pPr>
      <w:hyperlink r:id="rId25" w:history="1">
        <w:r w:rsidR="009B385B">
          <w:rPr>
            <w:rStyle w:val="Hyperlink"/>
          </w:rPr>
          <w:t>Appendix 1 - Guidelines for advertisements for medicines containing Schedule 3 substances (tga.gov.au)</w:t>
        </w:r>
      </w:hyperlink>
    </w:p>
    <w:p w14:paraId="494DA471" w14:textId="05B70704" w:rsidR="00C57408" w:rsidRDefault="00C57408" w:rsidP="00C57408">
      <w:pPr>
        <w:pStyle w:val="Heading4"/>
      </w:pPr>
      <w:r>
        <w:t xml:space="preserve">Reasons for the </w:t>
      </w:r>
      <w:r w:rsidR="002C68CE">
        <w:t>final</w:t>
      </w:r>
      <w:r>
        <w:t xml:space="preserve"> decision (including findings on material questions of fact)</w:t>
      </w:r>
    </w:p>
    <w:p w14:paraId="0C81ECA1" w14:textId="6DC5A8A9" w:rsidR="002C68CE" w:rsidRDefault="002C68CE" w:rsidP="002C68CE">
      <w:bookmarkStart w:id="35" w:name="_Toc71540520"/>
      <w:bookmarkStart w:id="36" w:name="_Toc77686115"/>
      <w:r w:rsidRPr="00253509">
        <w:t>I have made a final decision to confirm</w:t>
      </w:r>
      <w:r>
        <w:t xml:space="preserve"> my </w:t>
      </w:r>
      <w:hyperlink r:id="rId26" w:history="1">
        <w:r w:rsidRPr="008F73DD">
          <w:rPr>
            <w:rStyle w:val="Hyperlink"/>
          </w:rPr>
          <w:t>interim decision</w:t>
        </w:r>
      </w:hyperlink>
      <w:r>
        <w:t xml:space="preserve"> not to amend</w:t>
      </w:r>
      <w:r w:rsidRPr="00253509">
        <w:t xml:space="preserve"> the current Poisons Standard with re</w:t>
      </w:r>
      <w:r>
        <w:t>spect to chloramphenicol</w:t>
      </w:r>
      <w:r w:rsidRPr="00253509">
        <w:t xml:space="preserve">. </w:t>
      </w:r>
      <w:r w:rsidRPr="008F73DD">
        <w:t>My reasons for making the final decision are those s</w:t>
      </w:r>
      <w:r>
        <w:t>et out in the interim decision.</w:t>
      </w:r>
      <w:r w:rsidRPr="008F73DD">
        <w:t xml:space="preserve"> </w:t>
      </w:r>
      <w:r w:rsidRPr="00253509">
        <w:t xml:space="preserve">In making my final decision, I have </w:t>
      </w:r>
      <w:proofErr w:type="gramStart"/>
      <w:r w:rsidRPr="00253509">
        <w:t>taken into account</w:t>
      </w:r>
      <w:proofErr w:type="gramEnd"/>
      <w:r w:rsidRPr="00253509">
        <w:t xml:space="preserve">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20 July 2021</w:t>
      </w:r>
      <w:r w:rsidRPr="0014113C">
        <w:t xml:space="preserve"> under regulation 42ZCZP of the Regulations.</w:t>
      </w:r>
      <w:r>
        <w:t xml:space="preserve"> </w:t>
      </w:r>
      <w:r w:rsidR="00203E67" w:rsidRPr="00203E67">
        <w:t>I note that the written public submission</w:t>
      </w:r>
      <w:r w:rsidR="00365D0F">
        <w:t>s</w:t>
      </w:r>
      <w:r w:rsidR="00203E67" w:rsidRPr="00203E67">
        <w:t xml:space="preserve"> received during the second round of consultation </w:t>
      </w:r>
      <w:r w:rsidR="00365D0F" w:rsidRPr="00203E67">
        <w:t>w</w:t>
      </w:r>
      <w:r w:rsidR="00365D0F">
        <w:t xml:space="preserve">ere </w:t>
      </w:r>
      <w:r w:rsidR="00203E67">
        <w:t xml:space="preserve">fully supportive of the </w:t>
      </w:r>
      <w:r w:rsidR="00203E67" w:rsidRPr="00203E67">
        <w:t>interim decision.</w:t>
      </w:r>
    </w:p>
    <w:p w14:paraId="1441846C" w14:textId="0CD6318E" w:rsidR="00C57408" w:rsidRDefault="00450ADF" w:rsidP="001A43FA">
      <w:pPr>
        <w:pStyle w:val="Heading3"/>
      </w:pPr>
      <w:bookmarkStart w:id="37" w:name="_Toc81573619"/>
      <w:r>
        <w:lastRenderedPageBreak/>
        <w:t>Final</w:t>
      </w:r>
      <w:r w:rsidR="00C57408">
        <w:t xml:space="preserve"> decision in relation to prochlorperazine</w:t>
      </w:r>
      <w:bookmarkEnd w:id="35"/>
      <w:bookmarkEnd w:id="36"/>
      <w:bookmarkEnd w:id="37"/>
    </w:p>
    <w:p w14:paraId="012019F8" w14:textId="77777777" w:rsidR="00CD02D1" w:rsidRDefault="00CD02D1" w:rsidP="00CD02D1">
      <w:pPr>
        <w:pStyle w:val="Heading4"/>
      </w:pPr>
      <w:r>
        <w:t>Proposal</w:t>
      </w:r>
    </w:p>
    <w:p w14:paraId="2243531E" w14:textId="1479734A" w:rsidR="00CD02D1" w:rsidRDefault="00CD02D1" w:rsidP="006F7355">
      <w:r>
        <w:t>The applicant proposed an amendment to include prochlorperazine</w:t>
      </w:r>
      <w:r w:rsidRPr="000710CB">
        <w:t xml:space="preserve"> in Appendix H of the Poisons Standard to allow direct-to-consumer advertising of </w:t>
      </w:r>
      <w:r>
        <w:t>pharmacist</w:t>
      </w:r>
      <w:r w:rsidR="002C68CE">
        <w:t>-</w:t>
      </w:r>
      <w:r>
        <w:t>only medicines</w:t>
      </w:r>
      <w:r w:rsidRPr="000710CB">
        <w:t xml:space="preserve"> containing the substance.</w:t>
      </w:r>
    </w:p>
    <w:p w14:paraId="3081EA45" w14:textId="0165DA0C" w:rsidR="00C57408" w:rsidRDefault="009E0AD9" w:rsidP="001A43FA">
      <w:pPr>
        <w:pStyle w:val="Heading4"/>
      </w:pPr>
      <w:r>
        <w:t>Final</w:t>
      </w:r>
      <w:r w:rsidR="001A43FA">
        <w:t xml:space="preserve"> </w:t>
      </w:r>
      <w:r w:rsidR="001A43FA" w:rsidRPr="001A43FA">
        <w:t>d</w:t>
      </w:r>
      <w:r w:rsidR="00C57408" w:rsidRPr="001A43FA">
        <w:t>ecision</w:t>
      </w:r>
    </w:p>
    <w:p w14:paraId="0305140A" w14:textId="08093859" w:rsidR="00C57408" w:rsidRDefault="00C57408" w:rsidP="00C57408">
      <w:r w:rsidRPr="00C55FF4">
        <w:t>Pursuant to regulation 42ZCZ</w:t>
      </w:r>
      <w:r w:rsidR="00AF32CF">
        <w:t>R</w:t>
      </w:r>
      <w:r w:rsidRPr="00C55FF4">
        <w:t xml:space="preserve"> of the Regulations, a Delegate of the Secretary has, in relation to the proposed amendment, made </w:t>
      </w:r>
      <w:r w:rsidR="009E0AD9">
        <w:t>a final</w:t>
      </w:r>
      <w:r w:rsidRPr="00C55FF4">
        <w:t xml:space="preserve"> decision </w:t>
      </w:r>
      <w:r w:rsidRPr="00661C26">
        <w:t>not to amend the current Poisons Standard in relation to prochlorperazine.</w:t>
      </w:r>
    </w:p>
    <w:p w14:paraId="74DE753C" w14:textId="77777777" w:rsidR="00C57408" w:rsidRDefault="00C57408" w:rsidP="00C57408">
      <w:pPr>
        <w:pStyle w:val="Heading4"/>
      </w:pPr>
      <w:r>
        <w:t>Materials considered</w:t>
      </w:r>
    </w:p>
    <w:p w14:paraId="15446215" w14:textId="1DCF986F" w:rsidR="00C57408" w:rsidRDefault="00C57408" w:rsidP="00C57408">
      <w:r>
        <w:t xml:space="preserve">In making this </w:t>
      </w:r>
      <w:r w:rsidR="009E0AD9">
        <w:t>final</w:t>
      </w:r>
      <w:r>
        <w:t xml:space="preserve"> decision, the Delegate considered the following material:</w:t>
      </w:r>
    </w:p>
    <w:p w14:paraId="7B737D97" w14:textId="77777777" w:rsidR="00C57408" w:rsidRDefault="00C57408" w:rsidP="001A43FA">
      <w:pPr>
        <w:pStyle w:val="ListBullet"/>
      </w:pPr>
      <w:r>
        <w:t xml:space="preserve">The </w:t>
      </w:r>
      <w:r w:rsidRPr="00661C26">
        <w:t>application to</w:t>
      </w:r>
      <w:r>
        <w:t xml:space="preserve"> amend the </w:t>
      </w:r>
      <w:r w:rsidRPr="001A43FA">
        <w:t>current</w:t>
      </w:r>
      <w:r>
        <w:t xml:space="preserve"> Poisons Standard with respect to </w:t>
      </w:r>
      <w:proofErr w:type="gramStart"/>
      <w:r w:rsidRPr="00661C26">
        <w:t>prochlorperazine</w:t>
      </w:r>
      <w:r>
        <w:t>;</w:t>
      </w:r>
      <w:proofErr w:type="gramEnd"/>
    </w:p>
    <w:p w14:paraId="18A61261" w14:textId="48FE52C5" w:rsidR="00C57408" w:rsidRDefault="00160CB7" w:rsidP="00C57408">
      <w:pPr>
        <w:pStyle w:val="ListBullet"/>
        <w:numPr>
          <w:ilvl w:val="0"/>
          <w:numId w:val="1"/>
        </w:numPr>
      </w:pPr>
      <w:r>
        <w:t xml:space="preserve">The </w:t>
      </w:r>
      <w:hyperlink r:id="rId27" w:history="1">
        <w:r w:rsidRPr="00A56D55">
          <w:rPr>
            <w:rStyle w:val="Hyperlink"/>
            <w:color w:val="auto"/>
            <w:u w:val="none"/>
          </w:rPr>
          <w:t>60</w:t>
        </w:r>
        <w:r w:rsidR="006F7355">
          <w:rPr>
            <w:rStyle w:val="Hyperlink"/>
            <w:color w:val="auto"/>
            <w:u w:val="none"/>
          </w:rPr>
          <w:t xml:space="preserve"> </w:t>
        </w:r>
        <w:r w:rsidR="00C57408" w:rsidRPr="006F7355">
          <w:rPr>
            <w:rStyle w:val="Hyperlink"/>
          </w:rPr>
          <w:t>public submissions</w:t>
        </w:r>
      </w:hyperlink>
      <w:r w:rsidR="00C57408" w:rsidRPr="00661C26">
        <w:t xml:space="preserve"> received</w:t>
      </w:r>
      <w:r w:rsidR="00C57408">
        <w:t xml:space="preserve"> in response to the </w:t>
      </w:r>
      <w:r w:rsidR="00C57408" w:rsidRPr="0072652C">
        <w:t>pre-meeting consultation</w:t>
      </w:r>
      <w:r w:rsidR="00C57408">
        <w:t xml:space="preserve"> under regula</w:t>
      </w:r>
      <w:r w:rsidR="001A43FA">
        <w:t>tion 42ZCZK of the Regulations;</w:t>
      </w:r>
    </w:p>
    <w:p w14:paraId="361BC4EB" w14:textId="5C9657E0" w:rsidR="00C57408" w:rsidRDefault="00C57408" w:rsidP="00C57408">
      <w:pPr>
        <w:pStyle w:val="ListBullet"/>
        <w:numPr>
          <w:ilvl w:val="0"/>
          <w:numId w:val="1"/>
        </w:numPr>
      </w:pPr>
      <w:r>
        <w:t>The advice received from th</w:t>
      </w:r>
      <w:r w:rsidRPr="00C51001">
        <w:t>e Meeting of the Advisory Committee on Medicines Scheduling (ACMS #</w:t>
      </w:r>
      <w:r w:rsidRPr="00661C26">
        <w:t>33</w:t>
      </w:r>
      <w:proofErr w:type="gramStart"/>
      <w:r w:rsidRPr="00661C26">
        <w:t>);</w:t>
      </w:r>
      <w:proofErr w:type="gramEnd"/>
    </w:p>
    <w:p w14:paraId="2C1CE76C" w14:textId="77777777" w:rsidR="008763E5" w:rsidRDefault="008763E5" w:rsidP="008763E5">
      <w:pPr>
        <w:pStyle w:val="ListBullet"/>
      </w:pPr>
      <w:r>
        <w:t xml:space="preserve">The two </w:t>
      </w:r>
      <w:hyperlink r:id="rId28" w:history="1">
        <w:r w:rsidRPr="00937E6E">
          <w:rPr>
            <w:rStyle w:val="Hyperlink"/>
          </w:rPr>
          <w:t>public submissions</w:t>
        </w:r>
      </w:hyperlink>
      <w:r>
        <w:t xml:space="preserve">, </w:t>
      </w:r>
      <w:r w:rsidRPr="00C85183">
        <w:t xml:space="preserve">including </w:t>
      </w:r>
      <w:r>
        <w:t xml:space="preserve">one </w:t>
      </w:r>
      <w:r w:rsidRPr="00C85183">
        <w:t>written submission,</w:t>
      </w:r>
      <w:r>
        <w:t xml:space="preserve"> received in response to the </w:t>
      </w:r>
      <w:r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625E2F41" w14:textId="69B8927F" w:rsidR="00C57408" w:rsidRDefault="00C57408" w:rsidP="00C57408">
      <w:pPr>
        <w:pStyle w:val="ListBullet"/>
        <w:numPr>
          <w:ilvl w:val="0"/>
          <w:numId w:val="1"/>
        </w:numPr>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w:t>
      </w:r>
      <w:r>
        <w:t>) the toxicity of a substance; and</w:t>
      </w:r>
      <w:r w:rsidRPr="001169AC">
        <w:t xml:space="preserve"> (e) the pote</w:t>
      </w:r>
      <w:r w:rsidR="001A43FA">
        <w:t>ntial for abuse of a substance;</w:t>
      </w:r>
    </w:p>
    <w:p w14:paraId="5247C02E" w14:textId="7C3D264D" w:rsidR="00C57408" w:rsidRPr="00C92EB1" w:rsidRDefault="00C57408" w:rsidP="00C57408">
      <w:pPr>
        <w:pStyle w:val="ListBullet"/>
        <w:numPr>
          <w:ilvl w:val="0"/>
          <w:numId w:val="1"/>
        </w:numPr>
      </w:pPr>
      <w:r w:rsidRPr="002C1418">
        <w:t xml:space="preserve">The Australian Health Ministers’ Advisory Council’s </w:t>
      </w:r>
      <w:hyperlink r:id="rId29" w:history="1">
        <w:r w:rsidRPr="001A7580">
          <w:rPr>
            <w:rStyle w:val="Hyperlink"/>
          </w:rPr>
          <w:t>Scheduling Policy Framework</w:t>
        </w:r>
      </w:hyperlink>
      <w:r>
        <w:t xml:space="preserve"> (SPF 2018</w:t>
      </w:r>
      <w:r w:rsidR="001A43FA">
        <w:t>);</w:t>
      </w:r>
    </w:p>
    <w:p w14:paraId="25A4904F" w14:textId="0A65A7F8" w:rsidR="00C57408" w:rsidRDefault="00C57408" w:rsidP="00C57408">
      <w:pPr>
        <w:pStyle w:val="ListBullet"/>
        <w:numPr>
          <w:ilvl w:val="0"/>
          <w:numId w:val="1"/>
        </w:numPr>
      </w:pPr>
      <w:r w:rsidRPr="00C92EB1">
        <w:t xml:space="preserve">The </w:t>
      </w:r>
      <w:hyperlink r:id="rId30" w:history="1">
        <w:r w:rsidRPr="00C92EB1">
          <w:rPr>
            <w:rStyle w:val="Hyperlink"/>
          </w:rPr>
          <w:t>Scheduling handbook: Guidance for amending the Poisons Standard</w:t>
        </w:r>
      </w:hyperlink>
      <w:r w:rsidR="001A43FA">
        <w:t>; and</w:t>
      </w:r>
    </w:p>
    <w:p w14:paraId="463BC45C" w14:textId="6B783EBC" w:rsidR="009B385B" w:rsidRDefault="00D672EF" w:rsidP="00A56D55">
      <w:pPr>
        <w:pStyle w:val="ListBullet"/>
      </w:pPr>
      <w:hyperlink r:id="rId31" w:history="1">
        <w:r w:rsidR="009B385B">
          <w:rPr>
            <w:rStyle w:val="Hyperlink"/>
          </w:rPr>
          <w:t>Appendix 1 - Guidelines for advertisements for medicines containing Schedule 3 substances (tga.gov.au)</w:t>
        </w:r>
      </w:hyperlink>
      <w:r w:rsidR="001A43FA" w:rsidRPr="001A43FA">
        <w:rPr>
          <w:rStyle w:val="Hyperlink"/>
          <w:u w:val="none"/>
        </w:rPr>
        <w:t>.</w:t>
      </w:r>
    </w:p>
    <w:p w14:paraId="6F408585" w14:textId="3839F401" w:rsidR="00C57408" w:rsidRDefault="00C57408" w:rsidP="00C57408">
      <w:pPr>
        <w:pStyle w:val="Heading4"/>
      </w:pPr>
      <w:r>
        <w:t xml:space="preserve">Reasons for the </w:t>
      </w:r>
      <w:r w:rsidR="009E0AD9">
        <w:t>final</w:t>
      </w:r>
      <w:r>
        <w:t xml:space="preserve"> decision (including findings on material questions of fact)</w:t>
      </w:r>
    </w:p>
    <w:p w14:paraId="68ADEFB2" w14:textId="52E44784" w:rsidR="009E0AD9" w:rsidRDefault="009E0AD9" w:rsidP="009E0AD9">
      <w:bookmarkStart w:id="38" w:name="_Toc77686116"/>
      <w:r w:rsidRPr="00253509">
        <w:t>I have made a final decision to confirm</w:t>
      </w:r>
      <w:r>
        <w:t xml:space="preserve"> my </w:t>
      </w:r>
      <w:hyperlink r:id="rId32" w:history="1">
        <w:r w:rsidRPr="008F73DD">
          <w:rPr>
            <w:rStyle w:val="Hyperlink"/>
          </w:rPr>
          <w:t>interim decision</w:t>
        </w:r>
      </w:hyperlink>
      <w:r>
        <w:t xml:space="preserve"> not to amend</w:t>
      </w:r>
      <w:r w:rsidRPr="00253509">
        <w:t xml:space="preserve"> the current Poisons Standard with re</w:t>
      </w:r>
      <w:r>
        <w:t>spect to prochlorperazine</w:t>
      </w:r>
      <w:r w:rsidRPr="00253509">
        <w:t xml:space="preserve">. </w:t>
      </w:r>
      <w:r w:rsidRPr="008F73DD">
        <w:t>My reasons for making the final decision are those s</w:t>
      </w:r>
      <w:r>
        <w:t>et out in the interim decision.</w:t>
      </w:r>
      <w:r w:rsidRPr="008F73DD">
        <w:t xml:space="preserve"> </w:t>
      </w:r>
      <w:r w:rsidRPr="00253509">
        <w:t xml:space="preserve">In making my final decision, I have </w:t>
      </w:r>
      <w:proofErr w:type="gramStart"/>
      <w:r w:rsidRPr="00253509">
        <w:t>taken into account</w:t>
      </w:r>
      <w:proofErr w:type="gramEnd"/>
      <w:r w:rsidRPr="00253509">
        <w:t xml:space="preserve">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20 July 2021</w:t>
      </w:r>
      <w:r w:rsidRPr="0014113C">
        <w:t xml:space="preserve"> under regulation 42ZCZP of the Regulations.</w:t>
      </w:r>
      <w:r w:rsidR="008763E5" w:rsidRPr="008763E5">
        <w:t xml:space="preserve"> </w:t>
      </w:r>
      <w:r w:rsidR="008763E5" w:rsidRPr="00203E67">
        <w:t>I note that the written public submission</w:t>
      </w:r>
      <w:r w:rsidR="00365D0F">
        <w:t>s</w:t>
      </w:r>
      <w:r w:rsidR="008763E5" w:rsidRPr="00203E67">
        <w:t xml:space="preserve"> received during the second round of consultation </w:t>
      </w:r>
      <w:r w:rsidR="00365D0F" w:rsidRPr="00203E67">
        <w:t>w</w:t>
      </w:r>
      <w:r w:rsidR="00365D0F">
        <w:t xml:space="preserve">ere </w:t>
      </w:r>
      <w:r w:rsidR="008763E5">
        <w:t xml:space="preserve">fully supportive of the </w:t>
      </w:r>
      <w:r w:rsidR="008763E5" w:rsidRPr="00203E67">
        <w:t>interim decision.</w:t>
      </w:r>
    </w:p>
    <w:p w14:paraId="4394205D" w14:textId="46FFBFF0" w:rsidR="00CD489E" w:rsidRDefault="00450ADF" w:rsidP="00CD5C9B">
      <w:pPr>
        <w:pStyle w:val="Heading3"/>
      </w:pPr>
      <w:bookmarkStart w:id="39" w:name="_Toc81573620"/>
      <w:r>
        <w:t>Final</w:t>
      </w:r>
      <w:r w:rsidR="0013482E">
        <w:t xml:space="preserve"> decision in relation to p</w:t>
      </w:r>
      <w:r w:rsidR="00CD489E">
        <w:t xml:space="preserve">rocessed </w:t>
      </w:r>
      <w:r w:rsidR="00CD489E" w:rsidRPr="00CD489E">
        <w:rPr>
          <w:i/>
        </w:rPr>
        <w:t xml:space="preserve">Aconitum </w:t>
      </w:r>
      <w:proofErr w:type="spellStart"/>
      <w:r w:rsidR="00CD489E" w:rsidRPr="00CD489E">
        <w:rPr>
          <w:i/>
        </w:rPr>
        <w:t>carmichaelii</w:t>
      </w:r>
      <w:bookmarkEnd w:id="34"/>
      <w:bookmarkEnd w:id="38"/>
      <w:bookmarkEnd w:id="39"/>
      <w:proofErr w:type="spellEnd"/>
    </w:p>
    <w:p w14:paraId="4D52AFCF" w14:textId="77777777" w:rsidR="00CD489E" w:rsidRDefault="00CD489E" w:rsidP="00CD489E">
      <w:pPr>
        <w:pStyle w:val="Heading4"/>
      </w:pPr>
      <w:r>
        <w:t>Proposal</w:t>
      </w:r>
    </w:p>
    <w:p w14:paraId="782F6FB6" w14:textId="3996DDDA" w:rsidR="00CD489E" w:rsidRPr="00AB2FB8" w:rsidRDefault="00CD489E" w:rsidP="00CD5C9B">
      <w:r>
        <w:t>The applicant proposed an amendment</w:t>
      </w:r>
      <w:r w:rsidR="00AB2FB8">
        <w:t xml:space="preserve"> to the scheduling of processed </w:t>
      </w:r>
      <w:r w:rsidR="00AB2FB8">
        <w:rPr>
          <w:i/>
        </w:rPr>
        <w:t xml:space="preserve">Aconitum </w:t>
      </w:r>
      <w:proofErr w:type="spellStart"/>
      <w:r w:rsidR="00AB2FB8">
        <w:rPr>
          <w:i/>
        </w:rPr>
        <w:t>carmichaelii</w:t>
      </w:r>
      <w:proofErr w:type="spellEnd"/>
      <w:r w:rsidR="00AB2FB8">
        <w:t xml:space="preserve"> </w:t>
      </w:r>
      <w:r w:rsidR="004E548A">
        <w:t>(</w:t>
      </w:r>
      <w:r w:rsidR="004E548A">
        <w:rPr>
          <w:i/>
        </w:rPr>
        <w:t xml:space="preserve">A. </w:t>
      </w:r>
      <w:proofErr w:type="spellStart"/>
      <w:r w:rsidR="004E548A">
        <w:rPr>
          <w:i/>
        </w:rPr>
        <w:t>carmichaelii</w:t>
      </w:r>
      <w:proofErr w:type="spellEnd"/>
      <w:r w:rsidR="004E548A">
        <w:rPr>
          <w:i/>
        </w:rPr>
        <w:t xml:space="preserve">) </w:t>
      </w:r>
      <w:r w:rsidR="00AB2FB8">
        <w:t xml:space="preserve">with the intent that it is </w:t>
      </w:r>
      <w:proofErr w:type="gramStart"/>
      <w:r w:rsidR="00AB2FB8">
        <w:t>down-scheduled</w:t>
      </w:r>
      <w:proofErr w:type="gramEnd"/>
      <w:r w:rsidR="00AB2FB8">
        <w:t xml:space="preserve"> </w:t>
      </w:r>
      <w:r w:rsidR="00AB2FB8" w:rsidRPr="00B4544E">
        <w:t>to general sales level</w:t>
      </w:r>
      <w:r w:rsidR="00AB2FB8">
        <w:t xml:space="preserve"> in certain </w:t>
      </w:r>
      <w:r w:rsidR="00AB2FB8">
        <w:lastRenderedPageBreak/>
        <w:t>preparations used in Traditional Chinese Medicine (TCM).</w:t>
      </w:r>
      <w:r w:rsidR="00AB2FB8" w:rsidRPr="00B4544E">
        <w:t xml:space="preserve"> </w:t>
      </w:r>
      <w:r w:rsidR="00AB2FB8">
        <w:rPr>
          <w:i/>
        </w:rPr>
        <w:t xml:space="preserve">A. </w:t>
      </w:r>
      <w:proofErr w:type="spellStart"/>
      <w:r w:rsidR="00AB2FB8">
        <w:rPr>
          <w:i/>
        </w:rPr>
        <w:t>carmichaelii</w:t>
      </w:r>
      <w:proofErr w:type="spellEnd"/>
      <w:r w:rsidR="00AB2FB8">
        <w:rPr>
          <w:i/>
        </w:rPr>
        <w:t xml:space="preserve"> </w:t>
      </w:r>
      <w:r w:rsidR="00AB2FB8">
        <w:t>is currently listed in Schedule</w:t>
      </w:r>
      <w:r w:rsidR="00450ADF">
        <w:t>s</w:t>
      </w:r>
      <w:r w:rsidR="00AB2FB8">
        <w:t xml:space="preserve"> 2 and</w:t>
      </w:r>
      <w:r w:rsidR="00D153A4">
        <w:t xml:space="preserve"> </w:t>
      </w:r>
      <w:r w:rsidR="00AB2FB8">
        <w:t>4 of the Poisons Standard</w:t>
      </w:r>
      <w:r w:rsidR="005F48A2">
        <w:t>, with exceptions at low levels of alkaloids</w:t>
      </w:r>
      <w:r w:rsidR="00AB2FB8">
        <w:t>.</w:t>
      </w:r>
    </w:p>
    <w:p w14:paraId="4EDD9F50" w14:textId="3A5A410F" w:rsidR="00CD489E" w:rsidRPr="008036B7" w:rsidRDefault="009E0AD9" w:rsidP="00CD489E">
      <w:pPr>
        <w:pStyle w:val="Heading4"/>
      </w:pPr>
      <w:r>
        <w:t>Final</w:t>
      </w:r>
      <w:r w:rsidR="00CD489E">
        <w:t xml:space="preserve"> decision</w:t>
      </w:r>
    </w:p>
    <w:p w14:paraId="2735A631" w14:textId="380782CD" w:rsidR="00CD489E" w:rsidRDefault="00CD489E" w:rsidP="00CD489E">
      <w:r w:rsidRPr="00C55FF4">
        <w:t>Pursuant to regulation 42ZCZ</w:t>
      </w:r>
      <w:r w:rsidR="00AF32CF">
        <w:t>R</w:t>
      </w:r>
      <w:r w:rsidRPr="00C55FF4">
        <w:t xml:space="preserve"> of the Regulations, a Delegate of the Secretary has, in relation to the proposed amendment, made a</w:t>
      </w:r>
      <w:r w:rsidR="009E0AD9">
        <w:t xml:space="preserve"> final </w:t>
      </w:r>
      <w:r w:rsidRPr="00E604FC">
        <w:t>decision not to amend the current Poisons St</w:t>
      </w:r>
      <w:r>
        <w:t xml:space="preserve">andard in relation to </w:t>
      </w:r>
      <w:r w:rsidR="005F48A2">
        <w:t>processed</w:t>
      </w:r>
      <w:r w:rsidR="005F48A2" w:rsidRPr="005F48A2">
        <w:rPr>
          <w:i/>
        </w:rPr>
        <w:t xml:space="preserve"> </w:t>
      </w:r>
      <w:r w:rsidR="005F48A2">
        <w:rPr>
          <w:i/>
        </w:rPr>
        <w:t xml:space="preserve">A. </w:t>
      </w:r>
      <w:proofErr w:type="spellStart"/>
      <w:r w:rsidR="005F48A2">
        <w:rPr>
          <w:i/>
        </w:rPr>
        <w:t>carmichaelii</w:t>
      </w:r>
      <w:proofErr w:type="spellEnd"/>
      <w:r w:rsidRPr="00E604FC">
        <w:t>.</w:t>
      </w:r>
    </w:p>
    <w:p w14:paraId="50356F61" w14:textId="77777777" w:rsidR="00CD489E" w:rsidRDefault="00CD489E" w:rsidP="00CD489E">
      <w:pPr>
        <w:pStyle w:val="Heading4"/>
      </w:pPr>
      <w:r>
        <w:t>Materials considered</w:t>
      </w:r>
    </w:p>
    <w:p w14:paraId="2CFEC451" w14:textId="3912A1CE" w:rsidR="00CD489E" w:rsidRDefault="00CD489E" w:rsidP="00CD5C9B">
      <w:r>
        <w:t xml:space="preserve">In making this </w:t>
      </w:r>
      <w:r w:rsidR="009E0AD9">
        <w:t>final</w:t>
      </w:r>
      <w:r>
        <w:t xml:space="preserve"> decision, the Delegate considered the following material:</w:t>
      </w:r>
    </w:p>
    <w:p w14:paraId="44BE165E" w14:textId="4A7C9F22" w:rsidR="00CD489E" w:rsidRDefault="00CD489E" w:rsidP="00CD5C9B">
      <w:pPr>
        <w:pStyle w:val="ListBullet"/>
      </w:pPr>
      <w:r w:rsidRPr="000E0D69">
        <w:t xml:space="preserve">The </w:t>
      </w:r>
      <w:r w:rsidRPr="000710CB">
        <w:t>application</w:t>
      </w:r>
      <w:r w:rsidRPr="000E0D69">
        <w:t xml:space="preserve"> to </w:t>
      </w:r>
      <w:r w:rsidRPr="00CD5C9B">
        <w:t>amend</w:t>
      </w:r>
      <w:r w:rsidRPr="000E0D69">
        <w:t xml:space="preserve"> the</w:t>
      </w:r>
      <w:r>
        <w:t xml:space="preserve"> current Poisons Standard with respect to </w:t>
      </w:r>
      <w:r w:rsidR="00C70CFA">
        <w:t>processed</w:t>
      </w:r>
      <w:r w:rsidR="00C70CFA" w:rsidRPr="005F48A2">
        <w:rPr>
          <w:i/>
        </w:rPr>
        <w:t xml:space="preserve"> </w:t>
      </w:r>
      <w:r w:rsidR="00C70CFA">
        <w:rPr>
          <w:i/>
        </w:rPr>
        <w:t xml:space="preserve">A. </w:t>
      </w:r>
      <w:proofErr w:type="spellStart"/>
      <w:proofErr w:type="gramStart"/>
      <w:r w:rsidR="00C70CFA">
        <w:rPr>
          <w:i/>
        </w:rPr>
        <w:t>carmichaelii</w:t>
      </w:r>
      <w:proofErr w:type="spellEnd"/>
      <w:r>
        <w:t>;</w:t>
      </w:r>
      <w:proofErr w:type="gramEnd"/>
    </w:p>
    <w:p w14:paraId="4B6CDDCD" w14:textId="013CB492" w:rsidR="00CD489E" w:rsidRDefault="005F48A2" w:rsidP="00CD5C9B">
      <w:pPr>
        <w:pStyle w:val="ListBullet"/>
      </w:pPr>
      <w:r>
        <w:t>The 331</w:t>
      </w:r>
      <w:r w:rsidR="00CD489E" w:rsidRPr="000E0D69">
        <w:t xml:space="preserve"> </w:t>
      </w:r>
      <w:hyperlink r:id="rId33" w:history="1">
        <w:r w:rsidR="00CD489E" w:rsidRPr="006F7355">
          <w:rPr>
            <w:rStyle w:val="Hyperlink"/>
          </w:rPr>
          <w:t>public submissions</w:t>
        </w:r>
      </w:hyperlink>
      <w:r w:rsidR="00CD489E" w:rsidRPr="000710CB">
        <w:rPr>
          <w:rStyle w:val="Hyperlink"/>
          <w:color w:val="auto"/>
          <w:u w:val="none"/>
        </w:rPr>
        <w:t>,</w:t>
      </w:r>
      <w:r w:rsidR="00CD489E" w:rsidRPr="000710CB">
        <w:t xml:space="preserve"> including </w:t>
      </w:r>
      <w:r>
        <w:t>52</w:t>
      </w:r>
      <w:r w:rsidR="00CD489E" w:rsidRPr="00C85183">
        <w:t xml:space="preserve"> written submissions, </w:t>
      </w:r>
      <w:r w:rsidR="00CD489E">
        <w:t xml:space="preserve">received in response to the </w:t>
      </w:r>
      <w:hyperlink r:id="rId34" w:history="1">
        <w:r w:rsidR="00CD489E" w:rsidRPr="00A825A4">
          <w:rPr>
            <w:rStyle w:val="Hyperlink"/>
          </w:rPr>
          <w:t>pre-meeting consultation</w:t>
        </w:r>
      </w:hyperlink>
      <w:r w:rsidR="00CD489E" w:rsidRPr="00A825A4">
        <w:t xml:space="preserve"> und</w:t>
      </w:r>
      <w:r w:rsidR="00CD489E">
        <w:t xml:space="preserve">er regulation </w:t>
      </w:r>
      <w:r w:rsidR="00CD489E" w:rsidRPr="00CD5C9B">
        <w:t>42ZCZK</w:t>
      </w:r>
      <w:r w:rsidR="00CD489E">
        <w:t xml:space="preserve"> of the Regulations;</w:t>
      </w:r>
    </w:p>
    <w:p w14:paraId="2A85F085" w14:textId="27E82547" w:rsidR="00CD489E" w:rsidRDefault="00CD489E" w:rsidP="00CD489E">
      <w:pPr>
        <w:pStyle w:val="ListBullet"/>
      </w:pPr>
      <w:r>
        <w:t xml:space="preserve">The advice </w:t>
      </w:r>
      <w:r w:rsidRPr="00A825A4">
        <w:t>received from the Meeting of the Advisory Committee o</w:t>
      </w:r>
      <w:r>
        <w:t>n Medicines Scheduling (ACMS #33</w:t>
      </w:r>
      <w:proofErr w:type="gramStart"/>
      <w:r w:rsidRPr="00A825A4">
        <w:t>);</w:t>
      </w:r>
      <w:proofErr w:type="gramEnd"/>
    </w:p>
    <w:p w14:paraId="0FEADDC7" w14:textId="7AB4981A" w:rsidR="000F3860" w:rsidRDefault="000F3860" w:rsidP="000F3860">
      <w:pPr>
        <w:pStyle w:val="ListBullet"/>
      </w:pPr>
      <w:r>
        <w:t xml:space="preserve">The </w:t>
      </w:r>
      <w:r w:rsidR="006447A3">
        <w:t>six</w:t>
      </w:r>
      <w:r>
        <w:t xml:space="preserve"> </w:t>
      </w:r>
      <w:hyperlink r:id="rId35" w:history="1">
        <w:r w:rsidRPr="00937E6E">
          <w:rPr>
            <w:rStyle w:val="Hyperlink"/>
          </w:rPr>
          <w:t>public submissions</w:t>
        </w:r>
      </w:hyperlink>
      <w:r>
        <w:t xml:space="preserve">, </w:t>
      </w:r>
      <w:r w:rsidRPr="00C85183">
        <w:t xml:space="preserve">including </w:t>
      </w:r>
      <w:r w:rsidR="006447A3">
        <w:t>four</w:t>
      </w:r>
      <w:r>
        <w:t xml:space="preserve"> </w:t>
      </w:r>
      <w:r w:rsidRPr="00C85183">
        <w:t>written submissions,</w:t>
      </w:r>
      <w:r>
        <w:t xml:space="preserve"> received in response to the </w:t>
      </w:r>
      <w:r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6F68D922" w14:textId="7837FE08" w:rsidR="00CD489E" w:rsidRDefault="00CD489E" w:rsidP="00CD5C9B">
      <w:pPr>
        <w:pStyle w:val="ListBullet"/>
      </w:pPr>
      <w:r>
        <w:t xml:space="preserve">Subsection 52E(1) of the </w:t>
      </w:r>
      <w:r w:rsidRPr="00CD489E">
        <w:rPr>
          <w:i/>
        </w:rPr>
        <w:t xml:space="preserve">Therapeutic Goods Act 1989, </w:t>
      </w:r>
      <w:r w:rsidRPr="001169AC">
        <w:t xml:space="preserve">in particular </w:t>
      </w:r>
      <w:r w:rsidR="00795B3E">
        <w:t>(a) the risks and benefits of the use of a substance; (b) the purpose for which a sub</w:t>
      </w:r>
      <w:r w:rsidR="00C70CFA">
        <w:t>stance is to be used and the</w:t>
      </w:r>
      <w:r w:rsidR="00795B3E">
        <w:t xml:space="preserve"> extent of use of a substance; (c) the toxicity of a substance; (d) the dosage, formulation, labelling, packaging and presentation of a substance; and (f) any other matters that the Secretary considers nece</w:t>
      </w:r>
      <w:r w:rsidR="00CD5C9B">
        <w:t>ssary to protect public health;</w:t>
      </w:r>
    </w:p>
    <w:p w14:paraId="245EDDBF" w14:textId="77777777" w:rsidR="00CD489E" w:rsidRDefault="00CD489E" w:rsidP="00CD5C9B">
      <w:pPr>
        <w:pStyle w:val="ListBullet"/>
      </w:pPr>
      <w:r w:rsidRPr="002C1418">
        <w:t xml:space="preserve">The Australian </w:t>
      </w:r>
      <w:r w:rsidRPr="00CD5C9B">
        <w:t>Health</w:t>
      </w:r>
      <w:r w:rsidRPr="002C1418">
        <w:t xml:space="preserve"> Ministers’ Advisory Council’s </w:t>
      </w:r>
      <w:hyperlink r:id="rId36" w:history="1">
        <w:r w:rsidRPr="001A7580">
          <w:rPr>
            <w:rStyle w:val="Hyperlink"/>
          </w:rPr>
          <w:t>Scheduling Policy Framework</w:t>
        </w:r>
      </w:hyperlink>
      <w:r>
        <w:t xml:space="preserve"> (SPF 2018</w:t>
      </w:r>
      <w:r w:rsidRPr="002C20AE">
        <w:t>);</w:t>
      </w:r>
      <w:r>
        <w:t xml:space="preserve"> and</w:t>
      </w:r>
    </w:p>
    <w:p w14:paraId="1094DC6B" w14:textId="72896B79" w:rsidR="00F104DE" w:rsidRPr="009E0AD9" w:rsidRDefault="00CD489E" w:rsidP="009E0AD9">
      <w:pPr>
        <w:pStyle w:val="ListBullet"/>
      </w:pPr>
      <w:r>
        <w:t xml:space="preserve">The </w:t>
      </w:r>
      <w:hyperlink r:id="rId37" w:history="1">
        <w:r w:rsidRPr="001A7580">
          <w:rPr>
            <w:rStyle w:val="Hyperlink"/>
          </w:rPr>
          <w:t>Scheduling handbook: Guidance for amending the Poisons Standard</w:t>
        </w:r>
      </w:hyperlink>
      <w:r>
        <w:t>.</w:t>
      </w:r>
    </w:p>
    <w:p w14:paraId="7AC73A85" w14:textId="161DB49B" w:rsidR="00CD489E" w:rsidRDefault="00CD489E" w:rsidP="00CD489E">
      <w:pPr>
        <w:pStyle w:val="Heading4"/>
      </w:pPr>
      <w:r>
        <w:t xml:space="preserve">Reasons for the </w:t>
      </w:r>
      <w:r w:rsidR="009E0AD9">
        <w:t>final</w:t>
      </w:r>
      <w:r w:rsidRPr="00436C41">
        <w:t xml:space="preserve"> decision (including findings on material questions of fact)</w:t>
      </w:r>
    </w:p>
    <w:p w14:paraId="2D64A382" w14:textId="2A076F76" w:rsidR="009E0AD9" w:rsidRDefault="009E0AD9" w:rsidP="009E0AD9">
      <w:r w:rsidRPr="00253509">
        <w:t>I have made a final decision to confirm</w:t>
      </w:r>
      <w:r>
        <w:t xml:space="preserve"> my </w:t>
      </w:r>
      <w:hyperlink r:id="rId38" w:history="1">
        <w:r w:rsidRPr="008F73DD">
          <w:rPr>
            <w:rStyle w:val="Hyperlink"/>
          </w:rPr>
          <w:t>interim decision</w:t>
        </w:r>
      </w:hyperlink>
      <w:r>
        <w:t xml:space="preserve"> not to amend</w:t>
      </w:r>
      <w:r w:rsidRPr="00253509">
        <w:t xml:space="preserve"> the current Poisons Standard with re</w:t>
      </w:r>
      <w:r>
        <w:t xml:space="preserve">spect to </w:t>
      </w:r>
      <w:r>
        <w:rPr>
          <w:i/>
        </w:rPr>
        <w:t xml:space="preserve">A. </w:t>
      </w:r>
      <w:proofErr w:type="spellStart"/>
      <w:r>
        <w:rPr>
          <w:i/>
        </w:rPr>
        <w:t>carmichaelii</w:t>
      </w:r>
      <w:proofErr w:type="spellEnd"/>
      <w:r w:rsidRPr="00253509">
        <w:t xml:space="preserve">. </w:t>
      </w:r>
      <w:r w:rsidRPr="008F73DD">
        <w:t>My reasons for making the final decision are those s</w:t>
      </w:r>
      <w:r>
        <w:t>et out in the interim decision.</w:t>
      </w:r>
      <w:r w:rsidRPr="008F73DD">
        <w:t xml:space="preserve"> </w:t>
      </w:r>
      <w:r w:rsidRPr="00253509">
        <w:t xml:space="preserve">In making my final decision, I have </w:t>
      </w:r>
      <w:proofErr w:type="gramStart"/>
      <w:r w:rsidRPr="00253509">
        <w:t>taken into account</w:t>
      </w:r>
      <w:proofErr w:type="gramEnd"/>
      <w:r w:rsidRPr="00253509">
        <w:t xml:space="preserve">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20 July 2021</w:t>
      </w:r>
      <w:r w:rsidRPr="0014113C">
        <w:t xml:space="preserve"> under regulation 42ZCZP of the Regulations.</w:t>
      </w:r>
      <w:r>
        <w:t xml:space="preserve"> </w:t>
      </w:r>
    </w:p>
    <w:p w14:paraId="6F43183E" w14:textId="6A23CD0E" w:rsidR="007B450A" w:rsidRDefault="009612F6" w:rsidP="009E0AD9">
      <w:r>
        <w:t>I note that all four written public submissions were opposed to the interim decision</w:t>
      </w:r>
      <w:r w:rsidR="0080461D">
        <w:t>, including a</w:t>
      </w:r>
      <w:r w:rsidR="00211BB4">
        <w:t>n</w:t>
      </w:r>
      <w:r w:rsidR="0080461D">
        <w:t xml:space="preserve"> </w:t>
      </w:r>
      <w:r w:rsidR="00211BB4">
        <w:t xml:space="preserve">extensive </w:t>
      </w:r>
      <w:r w:rsidR="0080461D">
        <w:t>response from the</w:t>
      </w:r>
      <w:r w:rsidR="0093170F">
        <w:t xml:space="preserve"> Federation of Chinese</w:t>
      </w:r>
      <w:r w:rsidR="0080461D">
        <w:t xml:space="preserve"> Medicine and Acupuncture Societies of Australia</w:t>
      </w:r>
      <w:r w:rsidR="0093170F">
        <w:t xml:space="preserve"> (FCMA)</w:t>
      </w:r>
      <w:r w:rsidR="0080461D">
        <w:t>. Th</w:t>
      </w:r>
      <w:r w:rsidR="0093170F">
        <w:t>e FCMA argued that</w:t>
      </w:r>
      <w:r w:rsidR="0080461D">
        <w:t xml:space="preserve"> </w:t>
      </w:r>
      <w:r w:rsidR="00AD73DD">
        <w:t xml:space="preserve">accredited </w:t>
      </w:r>
      <w:r w:rsidR="0080461D">
        <w:t>TC</w:t>
      </w:r>
      <w:r w:rsidR="0093170F">
        <w:t>M</w:t>
      </w:r>
      <w:r w:rsidR="0080461D">
        <w:t xml:space="preserve"> practitioners are better far better trained to supply the herb than </w:t>
      </w:r>
      <w:r w:rsidR="0093170F">
        <w:t>legal prescribers/dispensers under Schedules 2 and 4.</w:t>
      </w:r>
      <w:r w:rsidR="00434AE3">
        <w:t xml:space="preserve"> The</w:t>
      </w:r>
      <w:r w:rsidR="00AD73DD">
        <w:t xml:space="preserve">y </w:t>
      </w:r>
      <w:r w:rsidR="00434AE3">
        <w:t xml:space="preserve">also </w:t>
      </w:r>
      <w:r w:rsidR="00365D0F">
        <w:t xml:space="preserve">contended </w:t>
      </w:r>
      <w:r w:rsidR="00434AE3">
        <w:t>that the exemption for these medicines would only allow its use by accredited TCM practitioners rather than the general public. I have carefully considered these concerns and acknowledge that TCM practitioners and dispensers are well</w:t>
      </w:r>
      <w:r w:rsidR="00211BB4">
        <w:t>-</w:t>
      </w:r>
      <w:r w:rsidR="00434AE3">
        <w:t xml:space="preserve">trained health professionals with knowledge and understanding of substances such as </w:t>
      </w:r>
      <w:r w:rsidR="00434AE3">
        <w:rPr>
          <w:i/>
          <w:iCs/>
        </w:rPr>
        <w:t xml:space="preserve">A </w:t>
      </w:r>
      <w:proofErr w:type="spellStart"/>
      <w:r w:rsidR="00434AE3">
        <w:rPr>
          <w:i/>
          <w:iCs/>
        </w:rPr>
        <w:t>carmichaelii</w:t>
      </w:r>
      <w:proofErr w:type="spellEnd"/>
      <w:r w:rsidR="00434AE3">
        <w:t xml:space="preserve">. However, </w:t>
      </w:r>
      <w:r w:rsidR="0093170F">
        <w:t xml:space="preserve">there is </w:t>
      </w:r>
      <w:r w:rsidR="00365D0F">
        <w:t xml:space="preserve">currently </w:t>
      </w:r>
      <w:r w:rsidR="0093170F">
        <w:t>no pathway to</w:t>
      </w:r>
      <w:r w:rsidR="00434AE3">
        <w:t xml:space="preserve"> enforce </w:t>
      </w:r>
      <w:r w:rsidR="0093170F">
        <w:t>the guidelines proposed by the applicant</w:t>
      </w:r>
      <w:r w:rsidR="00365D0F">
        <w:t xml:space="preserve"> or limit access to substances that</w:t>
      </w:r>
      <w:r w:rsidR="00883CA2">
        <w:t xml:space="preserve"> are</w:t>
      </w:r>
      <w:r w:rsidR="00365D0F">
        <w:t xml:space="preserve"> exempt from scheduling to only TCM practitioners</w:t>
      </w:r>
      <w:r w:rsidR="0093170F">
        <w:t>.</w:t>
      </w:r>
      <w:r w:rsidR="00434AE3">
        <w:t xml:space="preserve"> </w:t>
      </w:r>
      <w:r w:rsidR="0093170F">
        <w:t>As such,</w:t>
      </w:r>
      <w:r w:rsidR="00211BB4">
        <w:t xml:space="preserve"> </w:t>
      </w:r>
      <w:r w:rsidR="0093170F">
        <w:t>rescheduling is not</w:t>
      </w:r>
      <w:r w:rsidR="00627A76">
        <w:t xml:space="preserve"> appropriate</w:t>
      </w:r>
      <w:r w:rsidR="0093170F">
        <w:t xml:space="preserve"> </w:t>
      </w:r>
      <w:proofErr w:type="gramStart"/>
      <w:r w:rsidR="0093170F">
        <w:t>at this time</w:t>
      </w:r>
      <w:proofErr w:type="gramEnd"/>
      <w:r w:rsidR="0093170F">
        <w:t>.</w:t>
      </w:r>
    </w:p>
    <w:p w14:paraId="4B07B0E3" w14:textId="1E84CBEB" w:rsidR="00CC19FE" w:rsidRPr="00893167" w:rsidRDefault="00450ADF" w:rsidP="00B4661B">
      <w:pPr>
        <w:pStyle w:val="Heading2"/>
      </w:pPr>
      <w:bookmarkStart w:id="40" w:name="_Toc69984532"/>
      <w:bookmarkStart w:id="41" w:name="_Toc77327982"/>
      <w:bookmarkStart w:id="42" w:name="_Toc77686117"/>
      <w:bookmarkStart w:id="43" w:name="_Toc81573621"/>
      <w:r>
        <w:lastRenderedPageBreak/>
        <w:t>Final</w:t>
      </w:r>
      <w:r w:rsidR="00CC19FE" w:rsidRPr="00D72019">
        <w:t xml:space="preserve"> decisions on proposed amendments referred to the Advisory Committee on </w:t>
      </w:r>
      <w:r w:rsidR="00CC19FE" w:rsidRPr="00B4661B">
        <w:t>Medicines</w:t>
      </w:r>
      <w:r w:rsidR="00CC19FE" w:rsidRPr="00D72019">
        <w:t xml:space="preserve"> and Chemicals Scheduling in joint session (Joint ACMS-ACCS #</w:t>
      </w:r>
      <w:r w:rsidR="00CC19FE">
        <w:t>27</w:t>
      </w:r>
      <w:r w:rsidR="00CC19FE" w:rsidRPr="00D72019">
        <w:t xml:space="preserve">, </w:t>
      </w:r>
      <w:r w:rsidR="00CC19FE">
        <w:t>March 2021)</w:t>
      </w:r>
      <w:bookmarkEnd w:id="40"/>
      <w:bookmarkEnd w:id="41"/>
      <w:bookmarkEnd w:id="42"/>
      <w:bookmarkEnd w:id="43"/>
    </w:p>
    <w:p w14:paraId="0119D401" w14:textId="2CBBB7B5" w:rsidR="00CC19FE" w:rsidRDefault="00450ADF" w:rsidP="00B4661B">
      <w:pPr>
        <w:pStyle w:val="Heading3"/>
      </w:pPr>
      <w:bookmarkStart w:id="44" w:name="_Toc69984533"/>
      <w:bookmarkStart w:id="45" w:name="_Toc77327983"/>
      <w:bookmarkStart w:id="46" w:name="_Toc77686118"/>
      <w:bookmarkStart w:id="47" w:name="_Toc81573622"/>
      <w:r>
        <w:t>Final</w:t>
      </w:r>
      <w:r w:rsidR="00CC19FE">
        <w:t xml:space="preserve"> decision in </w:t>
      </w:r>
      <w:r w:rsidR="00CC19FE" w:rsidRPr="00B4661B">
        <w:t>relation</w:t>
      </w:r>
      <w:r w:rsidR="00CC19FE">
        <w:t xml:space="preserve"> to </w:t>
      </w:r>
      <w:proofErr w:type="spellStart"/>
      <w:r w:rsidR="00CC19FE">
        <w:t>kambo</w:t>
      </w:r>
      <w:bookmarkEnd w:id="44"/>
      <w:bookmarkEnd w:id="45"/>
      <w:bookmarkEnd w:id="46"/>
      <w:bookmarkEnd w:id="47"/>
      <w:proofErr w:type="spellEnd"/>
    </w:p>
    <w:p w14:paraId="56E6CE2E" w14:textId="77777777" w:rsidR="00CC19FE" w:rsidRDefault="00CC19FE" w:rsidP="00B4661B">
      <w:pPr>
        <w:pStyle w:val="Heading4"/>
      </w:pPr>
      <w:r w:rsidRPr="00B4661B">
        <w:t>Proposal</w:t>
      </w:r>
    </w:p>
    <w:p w14:paraId="6F808DCE" w14:textId="461BBD50" w:rsidR="00CC19FE" w:rsidRPr="001F1E8A" w:rsidRDefault="00CC19FE" w:rsidP="00CC19FE">
      <w:r>
        <w:t xml:space="preserve">A Delegate of the Secretary of the Commonwealth Department of Health (the Delegate) proposed an amendment to include </w:t>
      </w:r>
      <w:proofErr w:type="spellStart"/>
      <w:r>
        <w:t>kambo</w:t>
      </w:r>
      <w:proofErr w:type="spellEnd"/>
      <w:r>
        <w:t xml:space="preserve"> in Schedule 9 of the Poisons Standard </w:t>
      </w:r>
      <w:r w:rsidRPr="00C17CF4">
        <w:rPr>
          <w:rFonts w:eastAsia="Times New Roman"/>
          <w:color w:val="000000"/>
          <w:szCs w:val="24"/>
          <w:lang w:val="x-none"/>
        </w:rPr>
        <w:t>in response to concerns regarding its impact on public health.</w:t>
      </w:r>
    </w:p>
    <w:p w14:paraId="31CD0E00" w14:textId="5B6F31AF" w:rsidR="00CC19FE" w:rsidRPr="008036B7" w:rsidRDefault="00B53AFD" w:rsidP="00CC19FE">
      <w:pPr>
        <w:pStyle w:val="Heading4"/>
      </w:pPr>
      <w:r>
        <w:t>Final</w:t>
      </w:r>
      <w:r w:rsidR="00CC19FE">
        <w:t xml:space="preserve"> decision</w:t>
      </w:r>
    </w:p>
    <w:p w14:paraId="229EDAB6" w14:textId="775E3768" w:rsidR="00CC19FE" w:rsidRDefault="00CC19FE" w:rsidP="00355417">
      <w:r w:rsidRPr="00A05D10">
        <w:t>Pursuant to regulation 42ZCZ</w:t>
      </w:r>
      <w:r w:rsidR="00AF32CF">
        <w:t>R</w:t>
      </w:r>
      <w:r w:rsidRPr="00A05D10">
        <w:t xml:space="preserve"> of the Regulations, a Delegate of the Secretary has, in relation to the proposed amendment, made a </w:t>
      </w:r>
      <w:r w:rsidR="00B53AFD">
        <w:t>final</w:t>
      </w:r>
      <w:r w:rsidRPr="00A05D10">
        <w:t xml:space="preserve"> decision to amend the </w:t>
      </w:r>
      <w:r>
        <w:t xml:space="preserve">scheduling of </w:t>
      </w:r>
      <w:proofErr w:type="spellStart"/>
      <w:r>
        <w:t>kambo</w:t>
      </w:r>
      <w:proofErr w:type="spellEnd"/>
      <w:r>
        <w:t xml:space="preserve"> in the </w:t>
      </w:r>
      <w:r w:rsidRPr="00A05D10">
        <w:t>current Poisons St</w:t>
      </w:r>
      <w:r>
        <w:t>andard as follows</w:t>
      </w:r>
      <w:r w:rsidRPr="00A05D10">
        <w:t>:</w:t>
      </w:r>
    </w:p>
    <w:p w14:paraId="4339413F" w14:textId="77777777" w:rsidR="00CC19FE" w:rsidRPr="00925C03" w:rsidRDefault="00CC19FE" w:rsidP="00925C03">
      <w:pPr>
        <w:ind w:left="426"/>
        <w:rPr>
          <w:b/>
          <w:i/>
        </w:rPr>
      </w:pPr>
      <w:r w:rsidRPr="00925C03">
        <w:rPr>
          <w:b/>
        </w:rPr>
        <w:t>Schedule 10 – New Entry</w:t>
      </w:r>
    </w:p>
    <w:p w14:paraId="0688F285" w14:textId="77777777" w:rsidR="00CC19FE" w:rsidRPr="00292B5E" w:rsidRDefault="00CC19FE" w:rsidP="00925C03">
      <w:pPr>
        <w:ind w:left="426"/>
        <w:rPr>
          <w:b/>
          <w:i/>
          <w:color w:val="00B050"/>
        </w:rPr>
      </w:pPr>
      <w:r w:rsidRPr="00292B5E">
        <w:rPr>
          <w:color w:val="00B050"/>
        </w:rPr>
        <w:t>KAMBO</w:t>
      </w:r>
    </w:p>
    <w:p w14:paraId="4ECC899E" w14:textId="77777777" w:rsidR="00CC19FE" w:rsidRPr="004F49D1" w:rsidRDefault="00CC19FE" w:rsidP="00925C03">
      <w:pPr>
        <w:ind w:left="426"/>
        <w:rPr>
          <w:b/>
          <w:i/>
        </w:rPr>
      </w:pPr>
      <w:r w:rsidRPr="004F49D1">
        <w:rPr>
          <w:b/>
        </w:rPr>
        <w:t>Index – New Entry</w:t>
      </w:r>
    </w:p>
    <w:p w14:paraId="17C8602C" w14:textId="77777777" w:rsidR="00CC19FE" w:rsidRPr="00292B5E" w:rsidRDefault="00CC19FE" w:rsidP="00925C03">
      <w:pPr>
        <w:ind w:left="426"/>
        <w:rPr>
          <w:b/>
          <w:i/>
          <w:color w:val="00B050"/>
        </w:rPr>
      </w:pPr>
      <w:r w:rsidRPr="00292B5E">
        <w:rPr>
          <w:b/>
          <w:color w:val="00B050"/>
        </w:rPr>
        <w:t>KAMBO</w:t>
      </w:r>
      <w:r w:rsidRPr="00292B5E">
        <w:rPr>
          <w:b/>
          <w:color w:val="00B050"/>
        </w:rPr>
        <w:br/>
      </w:r>
      <w:r w:rsidRPr="00292B5E">
        <w:rPr>
          <w:rFonts w:asciiTheme="minorHAnsi" w:hAnsiTheme="minorHAnsi" w:cstheme="minorHAnsi"/>
          <w:color w:val="00B050"/>
          <w:szCs w:val="22"/>
        </w:rPr>
        <w:t xml:space="preserve">cross reference: Secretion of the South American Giant </w:t>
      </w:r>
      <w:proofErr w:type="spellStart"/>
      <w:r w:rsidRPr="00292B5E">
        <w:rPr>
          <w:rFonts w:asciiTheme="minorHAnsi" w:hAnsiTheme="minorHAnsi" w:cstheme="minorHAnsi"/>
          <w:color w:val="00B050"/>
          <w:szCs w:val="22"/>
        </w:rPr>
        <w:t>Leaf</w:t>
      </w:r>
      <w:proofErr w:type="spellEnd"/>
      <w:r w:rsidRPr="00292B5E">
        <w:rPr>
          <w:rFonts w:asciiTheme="minorHAnsi" w:hAnsiTheme="minorHAnsi" w:cstheme="minorHAnsi"/>
          <w:color w:val="00B050"/>
          <w:szCs w:val="22"/>
        </w:rPr>
        <w:t xml:space="preserve"> Frog or Giant Monkey Frog (</w:t>
      </w:r>
      <w:proofErr w:type="spellStart"/>
      <w:r w:rsidRPr="00292B5E">
        <w:rPr>
          <w:rFonts w:asciiTheme="minorHAnsi" w:hAnsiTheme="minorHAnsi" w:cstheme="minorHAnsi"/>
          <w:i/>
          <w:color w:val="00B050"/>
          <w:szCs w:val="22"/>
        </w:rPr>
        <w:t>Phyllomedusa</w:t>
      </w:r>
      <w:proofErr w:type="spellEnd"/>
      <w:r w:rsidRPr="00292B5E">
        <w:rPr>
          <w:rFonts w:asciiTheme="minorHAnsi" w:hAnsiTheme="minorHAnsi" w:cstheme="minorHAnsi"/>
          <w:i/>
          <w:color w:val="00B050"/>
          <w:szCs w:val="22"/>
        </w:rPr>
        <w:t xml:space="preserve"> </w:t>
      </w:r>
      <w:proofErr w:type="spellStart"/>
      <w:r w:rsidRPr="00292B5E">
        <w:rPr>
          <w:rFonts w:asciiTheme="minorHAnsi" w:hAnsiTheme="minorHAnsi" w:cstheme="minorHAnsi"/>
          <w:i/>
          <w:color w:val="00B050"/>
          <w:szCs w:val="22"/>
        </w:rPr>
        <w:t>bicolor</w:t>
      </w:r>
      <w:proofErr w:type="spellEnd"/>
      <w:r w:rsidRPr="00292B5E">
        <w:rPr>
          <w:rFonts w:asciiTheme="minorHAnsi" w:hAnsiTheme="minorHAnsi" w:cstheme="minorHAnsi"/>
          <w:color w:val="00B050"/>
          <w:szCs w:val="22"/>
        </w:rPr>
        <w:t>)</w:t>
      </w:r>
    </w:p>
    <w:p w14:paraId="7D1E2F6E" w14:textId="77777777" w:rsidR="00CC19FE" w:rsidRPr="00292B5E" w:rsidRDefault="00CC19FE" w:rsidP="00925C03">
      <w:pPr>
        <w:ind w:left="426"/>
        <w:rPr>
          <w:color w:val="00B050"/>
          <w:highlight w:val="yellow"/>
        </w:rPr>
      </w:pPr>
      <w:r w:rsidRPr="00292B5E">
        <w:rPr>
          <w:color w:val="00B050"/>
        </w:rPr>
        <w:t>Schedule 10</w:t>
      </w:r>
    </w:p>
    <w:p w14:paraId="0A0E78B0" w14:textId="77777777" w:rsidR="00CC19FE" w:rsidRDefault="00CC19FE" w:rsidP="00CC19FE">
      <w:pPr>
        <w:pStyle w:val="Heading4"/>
      </w:pPr>
      <w:r>
        <w:t>Materials considered</w:t>
      </w:r>
    </w:p>
    <w:p w14:paraId="6838B6CD" w14:textId="679F9E58" w:rsidR="00CC19FE" w:rsidRDefault="00CC19FE" w:rsidP="00CC19FE">
      <w:r>
        <w:t xml:space="preserve">In making this </w:t>
      </w:r>
      <w:r w:rsidR="00B53AFD">
        <w:t>final</w:t>
      </w:r>
      <w:r>
        <w:t xml:space="preserve"> decision, the Delegate considered the following material:</w:t>
      </w:r>
    </w:p>
    <w:p w14:paraId="62C9BF85" w14:textId="2FDBED5F" w:rsidR="00CC19FE" w:rsidRDefault="00CC19FE" w:rsidP="00355417">
      <w:pPr>
        <w:pStyle w:val="ListBullet"/>
      </w:pPr>
      <w:r>
        <w:t xml:space="preserve">An external expert evaluation on the </w:t>
      </w:r>
      <w:r w:rsidRPr="00355417">
        <w:t>properties</w:t>
      </w:r>
      <w:r>
        <w:t xml:space="preserve"> of </w:t>
      </w:r>
      <w:proofErr w:type="spellStart"/>
      <w:proofErr w:type="gramStart"/>
      <w:r>
        <w:t>kambo</w:t>
      </w:r>
      <w:proofErr w:type="spellEnd"/>
      <w:r>
        <w:t>;</w:t>
      </w:r>
      <w:proofErr w:type="gramEnd"/>
    </w:p>
    <w:p w14:paraId="70C5447B" w14:textId="77777777" w:rsidR="00CC19FE" w:rsidRDefault="00CC19FE" w:rsidP="00355417">
      <w:pPr>
        <w:pStyle w:val="ListBullet"/>
      </w:pPr>
      <w:r>
        <w:t>The 83</w:t>
      </w:r>
      <w:r w:rsidRPr="000E0D69">
        <w:t xml:space="preserve"> </w:t>
      </w:r>
      <w:hyperlink r:id="rId39" w:history="1">
        <w:r w:rsidRPr="00905BFB">
          <w:rPr>
            <w:rStyle w:val="Hyperlink"/>
          </w:rPr>
          <w:t>public submissions</w:t>
        </w:r>
      </w:hyperlink>
      <w:r w:rsidRPr="000710CB">
        <w:rPr>
          <w:rStyle w:val="Hyperlink"/>
          <w:color w:val="auto"/>
          <w:u w:val="none"/>
        </w:rPr>
        <w:t>,</w:t>
      </w:r>
      <w:r w:rsidRPr="000710CB">
        <w:t xml:space="preserve"> including </w:t>
      </w:r>
      <w:r>
        <w:t>23</w:t>
      </w:r>
      <w:r w:rsidRPr="00C85183">
        <w:t xml:space="preserve"> written submissions, </w:t>
      </w:r>
      <w:r>
        <w:t xml:space="preserve">received in response to the </w:t>
      </w:r>
      <w:hyperlink r:id="rId40" w:history="1">
        <w:r w:rsidRPr="00A825A4">
          <w:rPr>
            <w:rStyle w:val="Hyperlink"/>
          </w:rPr>
          <w:t>pre-meeting consultation</w:t>
        </w:r>
      </w:hyperlink>
      <w:r w:rsidRPr="00A825A4">
        <w:t xml:space="preserve"> und</w:t>
      </w:r>
      <w:r>
        <w:t xml:space="preserve">er regulation 42ZCZK of the </w:t>
      </w:r>
      <w:r w:rsidRPr="00355417">
        <w:t>Regulations</w:t>
      </w:r>
      <w:r>
        <w:t>;</w:t>
      </w:r>
    </w:p>
    <w:p w14:paraId="5AE1037D" w14:textId="017DA7EA" w:rsidR="00CC19FE" w:rsidRDefault="00CC19FE" w:rsidP="00CC19FE">
      <w:pPr>
        <w:pStyle w:val="ListBullet"/>
        <w:numPr>
          <w:ilvl w:val="0"/>
          <w:numId w:val="1"/>
        </w:numPr>
      </w:pPr>
      <w:r>
        <w:t>The advice received from the m</w:t>
      </w:r>
      <w:r w:rsidRPr="00A825A4">
        <w:t xml:space="preserve">eeting of the </w:t>
      </w:r>
      <w:r>
        <w:t>A</w:t>
      </w:r>
      <w:r w:rsidRPr="00344CA2">
        <w:t>dvisory Committee on Medicines and Chemicals Scheduling in jo</w:t>
      </w:r>
      <w:r>
        <w:t>int session (Joint ACMS-ACCS #27</w:t>
      </w:r>
      <w:proofErr w:type="gramStart"/>
      <w:r w:rsidRPr="00344CA2">
        <w:t>);</w:t>
      </w:r>
      <w:proofErr w:type="gramEnd"/>
    </w:p>
    <w:p w14:paraId="4C9F5C00" w14:textId="034A7166" w:rsidR="00B53AFD" w:rsidRDefault="00B53AFD" w:rsidP="00B53AFD">
      <w:pPr>
        <w:pStyle w:val="ListBullet"/>
      </w:pPr>
      <w:r>
        <w:t xml:space="preserve">The </w:t>
      </w:r>
      <w:r w:rsidR="00441DF1">
        <w:t>written</w:t>
      </w:r>
      <w:r>
        <w:t xml:space="preserve"> </w:t>
      </w:r>
      <w:hyperlink r:id="rId41" w:history="1">
        <w:r w:rsidRPr="00937E6E">
          <w:rPr>
            <w:rStyle w:val="Hyperlink"/>
          </w:rPr>
          <w:t>public submission</w:t>
        </w:r>
      </w:hyperlink>
      <w:r>
        <w:t xml:space="preserve"> received in response to the </w:t>
      </w:r>
      <w:r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054FC654" w14:textId="77777777" w:rsidR="00CC19FE" w:rsidRDefault="00CC19FE" w:rsidP="00CC19FE">
      <w:pPr>
        <w:pStyle w:val="ListBullet"/>
        <w:numPr>
          <w:ilvl w:val="0"/>
          <w:numId w:val="1"/>
        </w:numPr>
      </w:pPr>
      <w:r>
        <w:t xml:space="preserve">Subsection 52E(1) of the </w:t>
      </w:r>
      <w:r w:rsidRPr="00FC4D25">
        <w:rPr>
          <w:i/>
        </w:rPr>
        <w:t xml:space="preserve">Therapeutic Goods Act 1989, </w:t>
      </w:r>
      <w:r w:rsidRPr="001169AC">
        <w:t xml:space="preserve">in particular </w:t>
      </w:r>
      <w:r>
        <w:t>(a) the risks and benefits of the use of a substance; (b) the purpose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607837EA" w14:textId="22F9504B" w:rsidR="00CC19FE" w:rsidRDefault="00CC19FE" w:rsidP="00355417">
      <w:pPr>
        <w:pStyle w:val="ListBullet"/>
      </w:pPr>
      <w:r w:rsidRPr="002C1418">
        <w:t xml:space="preserve">The Australian Health Ministers’ Advisory Council’s </w:t>
      </w:r>
      <w:hyperlink r:id="rId42" w:history="1">
        <w:r w:rsidRPr="001A7580">
          <w:rPr>
            <w:rStyle w:val="Hyperlink"/>
          </w:rPr>
          <w:t>Scheduling Policy Framework</w:t>
        </w:r>
      </w:hyperlink>
      <w:r>
        <w:t xml:space="preserve"> (SPF 2018</w:t>
      </w:r>
      <w:r w:rsidRPr="002C20AE">
        <w:t>);</w:t>
      </w:r>
    </w:p>
    <w:p w14:paraId="7F05FD12" w14:textId="77777777" w:rsidR="00CC19FE" w:rsidRDefault="00CC19FE" w:rsidP="00CC19FE">
      <w:pPr>
        <w:pStyle w:val="ListBullet"/>
        <w:numPr>
          <w:ilvl w:val="0"/>
          <w:numId w:val="1"/>
        </w:numPr>
      </w:pPr>
      <w:r>
        <w:t xml:space="preserve">The </w:t>
      </w:r>
      <w:hyperlink r:id="rId43" w:history="1">
        <w:r w:rsidRPr="001A7580">
          <w:rPr>
            <w:rStyle w:val="Hyperlink"/>
          </w:rPr>
          <w:t>Scheduling handbook: Guidance for amending the Poisons Standard</w:t>
        </w:r>
      </w:hyperlink>
      <w:r>
        <w:t>;</w:t>
      </w:r>
    </w:p>
    <w:p w14:paraId="23CA9F6A" w14:textId="117858F7" w:rsidR="00CC19FE" w:rsidRDefault="00CC19FE" w:rsidP="00CC19FE">
      <w:pPr>
        <w:pStyle w:val="ListBullet"/>
        <w:numPr>
          <w:ilvl w:val="0"/>
          <w:numId w:val="1"/>
        </w:numPr>
      </w:pPr>
      <w:r>
        <w:lastRenderedPageBreak/>
        <w:t xml:space="preserve">A review by J </w:t>
      </w:r>
      <w:proofErr w:type="spellStart"/>
      <w:r>
        <w:t>Hesselink</w:t>
      </w:r>
      <w:proofErr w:type="spellEnd"/>
      <w:r>
        <w:t xml:space="preserve">, </w:t>
      </w:r>
      <w:hyperlink r:id="rId44" w:history="1">
        <w:proofErr w:type="spellStart"/>
        <w:r w:rsidRPr="001B0E47">
          <w:rPr>
            <w:rStyle w:val="Hyperlink"/>
          </w:rPr>
          <w:t>Kambo</w:t>
        </w:r>
        <w:proofErr w:type="spellEnd"/>
        <w:r w:rsidRPr="001B0E47">
          <w:rPr>
            <w:rStyle w:val="Hyperlink"/>
          </w:rPr>
          <w:t xml:space="preserve"> and its Multitude of Biological Effects: Adverse Events or Pharmacological Effects</w:t>
        </w:r>
        <w:r>
          <w:rPr>
            <w:rStyle w:val="Hyperlink"/>
          </w:rPr>
          <w:t>? (2018)</w:t>
        </w:r>
      </w:hyperlink>
      <w:r w:rsidR="00355417">
        <w:t>;</w:t>
      </w:r>
    </w:p>
    <w:p w14:paraId="2F52735C" w14:textId="77777777" w:rsidR="00CC19FE" w:rsidRDefault="00CC19FE" w:rsidP="00CC19FE">
      <w:pPr>
        <w:pStyle w:val="ListBullet"/>
        <w:numPr>
          <w:ilvl w:val="0"/>
          <w:numId w:val="1"/>
        </w:numPr>
      </w:pPr>
      <w:r>
        <w:t xml:space="preserve">A case report by </w:t>
      </w:r>
      <w:proofErr w:type="spellStart"/>
      <w:r w:rsidRPr="001B0E47">
        <w:t>Pogorzelska</w:t>
      </w:r>
      <w:proofErr w:type="spellEnd"/>
      <w:r w:rsidRPr="001B0E47">
        <w:t xml:space="preserve"> and </w:t>
      </w:r>
      <w:proofErr w:type="spellStart"/>
      <w:r w:rsidRPr="001B0E47">
        <w:t>Łapiński</w:t>
      </w:r>
      <w:proofErr w:type="spellEnd"/>
      <w:r w:rsidRPr="001B0E47">
        <w:t>,</w:t>
      </w:r>
      <w:r>
        <w:t xml:space="preserve"> </w:t>
      </w:r>
      <w:hyperlink r:id="rId45" w:history="1">
        <w:r w:rsidRPr="005274E4">
          <w:rPr>
            <w:rStyle w:val="Hyperlink"/>
            <w:rFonts w:asciiTheme="minorHAnsi" w:hAnsiTheme="minorHAnsi"/>
            <w:bCs/>
            <w:szCs w:val="22"/>
          </w:rPr>
          <w:t xml:space="preserve">Toxic hepatitis caused by the excretions of the </w:t>
        </w:r>
        <w:proofErr w:type="spellStart"/>
        <w:r w:rsidRPr="005274E4">
          <w:rPr>
            <w:rStyle w:val="Hyperlink"/>
            <w:rFonts w:asciiTheme="minorHAnsi" w:hAnsiTheme="minorHAnsi"/>
            <w:bCs/>
            <w:szCs w:val="22"/>
          </w:rPr>
          <w:t>Phyllomedusa</w:t>
        </w:r>
        <w:proofErr w:type="spellEnd"/>
        <w:r w:rsidRPr="005274E4">
          <w:rPr>
            <w:rStyle w:val="Hyperlink"/>
            <w:rFonts w:asciiTheme="minorHAnsi" w:hAnsiTheme="minorHAnsi"/>
            <w:bCs/>
            <w:szCs w:val="22"/>
          </w:rPr>
          <w:t xml:space="preserve"> </w:t>
        </w:r>
        <w:proofErr w:type="spellStart"/>
        <w:r w:rsidRPr="005274E4">
          <w:rPr>
            <w:rStyle w:val="Hyperlink"/>
            <w:rFonts w:asciiTheme="minorHAnsi" w:hAnsiTheme="minorHAnsi"/>
            <w:bCs/>
            <w:szCs w:val="22"/>
          </w:rPr>
          <w:t>bicolor</w:t>
        </w:r>
        <w:proofErr w:type="spellEnd"/>
        <w:r w:rsidRPr="005274E4">
          <w:rPr>
            <w:rStyle w:val="Hyperlink"/>
            <w:rFonts w:asciiTheme="minorHAnsi" w:hAnsiTheme="minorHAnsi"/>
            <w:bCs/>
            <w:szCs w:val="22"/>
          </w:rPr>
          <w:t xml:space="preserve"> frog – a case report (2017)</w:t>
        </w:r>
      </w:hyperlink>
      <w:r>
        <w:t>;</w:t>
      </w:r>
    </w:p>
    <w:p w14:paraId="09205FB3" w14:textId="77777777" w:rsidR="00CC19FE" w:rsidRDefault="00CC19FE" w:rsidP="00355417">
      <w:pPr>
        <w:pStyle w:val="ListBullet"/>
      </w:pPr>
      <w:r>
        <w:t xml:space="preserve">A case report by Gonzaga et al., </w:t>
      </w:r>
      <w:hyperlink r:id="rId46" w:history="1">
        <w:proofErr w:type="spellStart"/>
        <w:r w:rsidRPr="001B0E47">
          <w:rPr>
            <w:rStyle w:val="Hyperlink"/>
          </w:rPr>
          <w:t>Kambo</w:t>
        </w:r>
        <w:proofErr w:type="spellEnd"/>
        <w:r w:rsidRPr="001B0E47">
          <w:rPr>
            <w:rStyle w:val="Hyperlink"/>
          </w:rPr>
          <w:t xml:space="preserve"> Frog Poison as a Cause of </w:t>
        </w:r>
        <w:proofErr w:type="spellStart"/>
        <w:r w:rsidRPr="001B0E47">
          <w:rPr>
            <w:rStyle w:val="Hyperlink"/>
          </w:rPr>
          <w:t>Esophageal</w:t>
        </w:r>
        <w:proofErr w:type="spellEnd"/>
        <w:r w:rsidRPr="001B0E47">
          <w:rPr>
            <w:rStyle w:val="Hyperlink"/>
          </w:rPr>
          <w:t xml:space="preserve"> Rupture (2020)</w:t>
        </w:r>
      </w:hyperlink>
      <w:r>
        <w:t>;</w:t>
      </w:r>
    </w:p>
    <w:p w14:paraId="3A04103F" w14:textId="77777777" w:rsidR="00CC19FE" w:rsidRDefault="00CC19FE" w:rsidP="00CC19FE">
      <w:pPr>
        <w:pStyle w:val="ListBullet"/>
        <w:numPr>
          <w:ilvl w:val="0"/>
          <w:numId w:val="1"/>
        </w:numPr>
      </w:pPr>
      <w:r>
        <w:t xml:space="preserve">A case report by Roy et al., </w:t>
      </w:r>
      <w:hyperlink r:id="rId47" w:history="1">
        <w:r w:rsidRPr="00776747">
          <w:rPr>
            <w:rStyle w:val="Hyperlink"/>
          </w:rPr>
          <w:t xml:space="preserve">Can Overuse of </w:t>
        </w:r>
        <w:proofErr w:type="spellStart"/>
        <w:r w:rsidRPr="00776747">
          <w:rPr>
            <w:rStyle w:val="Hyperlink"/>
          </w:rPr>
          <w:t>Kambô</w:t>
        </w:r>
        <w:proofErr w:type="spellEnd"/>
        <w:r w:rsidRPr="00776747">
          <w:rPr>
            <w:rStyle w:val="Hyperlink"/>
          </w:rPr>
          <w:t xml:space="preserve"> Cause Psychosis? (2018)</w:t>
        </w:r>
      </w:hyperlink>
      <w:r>
        <w:t>;</w:t>
      </w:r>
    </w:p>
    <w:p w14:paraId="48F01FE5" w14:textId="77777777" w:rsidR="00CC19FE" w:rsidRDefault="00CC19FE" w:rsidP="00CC19FE">
      <w:pPr>
        <w:pStyle w:val="ListBullet"/>
        <w:numPr>
          <w:ilvl w:val="0"/>
          <w:numId w:val="1"/>
        </w:numPr>
      </w:pPr>
      <w:r>
        <w:t xml:space="preserve">A case report by Aquila et al., </w:t>
      </w:r>
      <w:hyperlink r:id="rId48" w:history="1">
        <w:r w:rsidRPr="00776747">
          <w:rPr>
            <w:rStyle w:val="Hyperlink"/>
          </w:rPr>
          <w:t xml:space="preserve">The Biological Effects of </w:t>
        </w:r>
        <w:proofErr w:type="spellStart"/>
        <w:r w:rsidRPr="00776747">
          <w:rPr>
            <w:rStyle w:val="Hyperlink"/>
          </w:rPr>
          <w:t>Kambo</w:t>
        </w:r>
        <w:proofErr w:type="spellEnd"/>
        <w:r w:rsidRPr="00776747">
          <w:rPr>
            <w:rStyle w:val="Hyperlink"/>
          </w:rPr>
          <w:t>: Is There a Relationship Between its Administration and Sudden Death</w:t>
        </w:r>
        <w:r>
          <w:rPr>
            <w:rStyle w:val="Hyperlink"/>
          </w:rPr>
          <w:t>? (2017)</w:t>
        </w:r>
      </w:hyperlink>
      <w:r>
        <w:t>; and</w:t>
      </w:r>
    </w:p>
    <w:p w14:paraId="3F047A52" w14:textId="77777777" w:rsidR="00CC19FE" w:rsidRPr="005274E4" w:rsidRDefault="00CC19FE" w:rsidP="00CC19FE">
      <w:pPr>
        <w:pStyle w:val="ListBullet"/>
        <w:numPr>
          <w:ilvl w:val="0"/>
          <w:numId w:val="1"/>
        </w:numPr>
      </w:pPr>
      <w:r>
        <w:t xml:space="preserve">A review by J </w:t>
      </w:r>
      <w:proofErr w:type="spellStart"/>
      <w:r>
        <w:t>Hesselink</w:t>
      </w:r>
      <w:proofErr w:type="spellEnd"/>
      <w:r>
        <w:t xml:space="preserve">, </w:t>
      </w:r>
      <w:hyperlink r:id="rId49" w:history="1">
        <w:r w:rsidRPr="00776747">
          <w:rPr>
            <w:rStyle w:val="Hyperlink"/>
          </w:rPr>
          <w:t>Transformation and Migration of Healing Rituals from Indigenous Cultures to the West: Amphibian Secretions, the ‘Frog Medicine and Toad Medicine’ (2019)</w:t>
        </w:r>
      </w:hyperlink>
      <w:r>
        <w:t>.</w:t>
      </w:r>
    </w:p>
    <w:p w14:paraId="030F6D43" w14:textId="498C363A" w:rsidR="00CC19FE" w:rsidRDefault="00CC19FE" w:rsidP="00CC19FE">
      <w:pPr>
        <w:pStyle w:val="Heading4"/>
      </w:pPr>
      <w:r>
        <w:t xml:space="preserve">Reasons for the </w:t>
      </w:r>
      <w:r w:rsidR="00B53AFD">
        <w:t>final</w:t>
      </w:r>
      <w:r w:rsidRPr="00436C41">
        <w:t xml:space="preserve"> decision (including findings on material questions of fact)</w:t>
      </w:r>
    </w:p>
    <w:p w14:paraId="53F467C3" w14:textId="3436D28A" w:rsidR="00B53AFD" w:rsidRDefault="00B53AFD" w:rsidP="00B53AFD">
      <w:r w:rsidRPr="00253509">
        <w:t>I have made a final decision to confirm</w:t>
      </w:r>
      <w:r>
        <w:t xml:space="preserve"> my </w:t>
      </w:r>
      <w:hyperlink r:id="rId50" w:history="1">
        <w:r w:rsidRPr="008F73DD">
          <w:rPr>
            <w:rStyle w:val="Hyperlink"/>
          </w:rPr>
          <w:t>interim decision</w:t>
        </w:r>
      </w:hyperlink>
      <w:r>
        <w:t xml:space="preserve"> to amend</w:t>
      </w:r>
      <w:r w:rsidRPr="00253509">
        <w:t xml:space="preserve"> the current Poisons Standard with </w:t>
      </w:r>
      <w:r w:rsidRPr="00B53AFD">
        <w:t xml:space="preserve">respect to </w:t>
      </w:r>
      <w:proofErr w:type="spellStart"/>
      <w:r w:rsidRPr="00B53AFD">
        <w:t>kambo</w:t>
      </w:r>
      <w:proofErr w:type="spellEnd"/>
      <w:r w:rsidRPr="00B53AFD">
        <w:t>. My reasons for making the final decision are those set out in the interim decision. In</w:t>
      </w:r>
      <w:r w:rsidRPr="00253509">
        <w:t xml:space="preserve"> making my final decision, I have </w:t>
      </w:r>
      <w:proofErr w:type="gramStart"/>
      <w:r w:rsidRPr="00253509">
        <w:t>taken into account</w:t>
      </w:r>
      <w:proofErr w:type="gramEnd"/>
      <w:r w:rsidRPr="00253509">
        <w:t xml:space="preserve">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20 July 2021</w:t>
      </w:r>
      <w:r w:rsidRPr="0014113C">
        <w:t xml:space="preserve"> under regulation 42ZCZP of the Regulations.</w:t>
      </w:r>
      <w:r>
        <w:t xml:space="preserve"> </w:t>
      </w:r>
      <w:r w:rsidR="00441DF1" w:rsidRPr="00441DF1">
        <w:t>I note that the written public submission received during the second round of consultation was</w:t>
      </w:r>
      <w:r w:rsidR="00441DF1">
        <w:t xml:space="preserve"> fully</w:t>
      </w:r>
      <w:r w:rsidR="00441DF1" w:rsidRPr="00441DF1">
        <w:t xml:space="preserve"> supportive of the interim decision.</w:t>
      </w:r>
    </w:p>
    <w:p w14:paraId="4A4A167E" w14:textId="0498750D" w:rsidR="00CC19FE" w:rsidRPr="009B0447" w:rsidRDefault="00B53AFD" w:rsidP="006148C1">
      <w:pPr>
        <w:pStyle w:val="Heading4"/>
      </w:pPr>
      <w:r>
        <w:t>I</w:t>
      </w:r>
      <w:r w:rsidR="00CC19FE" w:rsidRPr="006148C1">
        <w:t>mplementation</w:t>
      </w:r>
      <w:r w:rsidR="00CC19FE">
        <w:t xml:space="preserve"> date</w:t>
      </w:r>
    </w:p>
    <w:p w14:paraId="174DCC92" w14:textId="77777777" w:rsidR="00CC19FE" w:rsidRPr="00617A1C" w:rsidRDefault="00CC19FE" w:rsidP="00CC19FE">
      <w:pPr>
        <w:spacing w:after="240"/>
        <w:rPr>
          <w:b/>
        </w:rPr>
      </w:pPr>
      <w:r>
        <w:rPr>
          <w:b/>
        </w:rPr>
        <w:t>1 October</w:t>
      </w:r>
      <w:r w:rsidRPr="00550FD5">
        <w:rPr>
          <w:b/>
        </w:rPr>
        <w:t xml:space="preserve"> 2021</w:t>
      </w:r>
    </w:p>
    <w:p w14:paraId="1EADCCFD" w14:textId="366934A5" w:rsidR="00CC19FE" w:rsidRDefault="00E437DF" w:rsidP="006148C1">
      <w:pPr>
        <w:pStyle w:val="Heading3"/>
      </w:pPr>
      <w:bookmarkStart w:id="48" w:name="_Toc69984534"/>
      <w:bookmarkStart w:id="49" w:name="_Toc77327984"/>
      <w:bookmarkStart w:id="50" w:name="_Toc77686119"/>
      <w:bookmarkStart w:id="51" w:name="_Toc81573623"/>
      <w:r>
        <w:t>Final</w:t>
      </w:r>
      <w:r w:rsidR="00CC19FE">
        <w:t xml:space="preserve"> </w:t>
      </w:r>
      <w:r w:rsidR="00CC19FE" w:rsidRPr="006148C1">
        <w:t>decision</w:t>
      </w:r>
      <w:r w:rsidR="00CC19FE">
        <w:t xml:space="preserve"> in relation to lidocaine</w:t>
      </w:r>
      <w:bookmarkEnd w:id="48"/>
      <w:bookmarkEnd w:id="49"/>
      <w:bookmarkEnd w:id="50"/>
      <w:bookmarkEnd w:id="51"/>
    </w:p>
    <w:p w14:paraId="0C9DD87C" w14:textId="77777777" w:rsidR="00CC19FE" w:rsidRDefault="00CC19FE" w:rsidP="00CC19FE">
      <w:pPr>
        <w:pStyle w:val="Heading4"/>
      </w:pPr>
      <w:r>
        <w:t>Proposal</w:t>
      </w:r>
    </w:p>
    <w:p w14:paraId="1E86C6F8" w14:textId="77777777" w:rsidR="00CC19FE" w:rsidRPr="00AB2FB8" w:rsidRDefault="00CC19FE" w:rsidP="006148C1">
      <w:r>
        <w:t xml:space="preserve">The applicant proposed an amendment to expand the current Schedule 5 entry for lidocaine to include </w:t>
      </w:r>
      <w:r w:rsidRPr="002F2253">
        <w:t>specifically targeted injectable solution</w:t>
      </w:r>
      <w:r>
        <w:t>s,</w:t>
      </w:r>
      <w:r w:rsidRPr="002F2253">
        <w:t xml:space="preserve"> at up to 2% concentration, for</w:t>
      </w:r>
      <w:r>
        <w:t xml:space="preserve"> the</w:t>
      </w:r>
      <w:r w:rsidRPr="002F2253">
        <w:t xml:space="preserve"> pain relief of lambs or calves undergoing animal husbandry procedures.</w:t>
      </w:r>
    </w:p>
    <w:p w14:paraId="338BDB3B" w14:textId="4FC5607B" w:rsidR="00CC19FE" w:rsidRPr="008036B7" w:rsidRDefault="00E437DF" w:rsidP="00CC19FE">
      <w:pPr>
        <w:pStyle w:val="Heading4"/>
      </w:pPr>
      <w:r>
        <w:t>Final</w:t>
      </w:r>
      <w:r w:rsidR="00CC19FE">
        <w:t xml:space="preserve"> decision</w:t>
      </w:r>
    </w:p>
    <w:p w14:paraId="176636AF" w14:textId="007E055F" w:rsidR="00CC19FE" w:rsidRPr="00052FB0" w:rsidRDefault="00CC19FE" w:rsidP="006148C1">
      <w:pPr>
        <w:rPr>
          <w:rFonts w:asciiTheme="minorHAnsi" w:hAnsiTheme="minorHAnsi"/>
        </w:rPr>
      </w:pPr>
      <w:r w:rsidRPr="00A05D10">
        <w:t>Pursuant to regulation 42ZCZ</w:t>
      </w:r>
      <w:r w:rsidR="00AF32CF">
        <w:t>R</w:t>
      </w:r>
      <w:r w:rsidRPr="00A05D10">
        <w:t xml:space="preserve"> of the Regulations, a Delegate of the Secretary has, in relation to the proposed amendment, made a</w:t>
      </w:r>
      <w:r w:rsidR="00E437DF">
        <w:t xml:space="preserve"> final</w:t>
      </w:r>
      <w:r w:rsidRPr="00A05D10">
        <w:t xml:space="preserve"> decision to amend the </w:t>
      </w:r>
      <w:r>
        <w:t xml:space="preserve">scheduling of lidocaine in the </w:t>
      </w:r>
      <w:r w:rsidRPr="00052FB0">
        <w:rPr>
          <w:rFonts w:asciiTheme="minorHAnsi" w:hAnsiTheme="minorHAnsi"/>
        </w:rPr>
        <w:t>current Poisons Standard as follows:</w:t>
      </w:r>
    </w:p>
    <w:p w14:paraId="474C9FA8" w14:textId="77777777" w:rsidR="00CC19FE" w:rsidRPr="00052FB0" w:rsidRDefault="00CC19FE" w:rsidP="00925C03">
      <w:pPr>
        <w:ind w:left="426"/>
        <w:rPr>
          <w:rFonts w:asciiTheme="minorHAnsi" w:hAnsiTheme="minorHAnsi"/>
          <w:b/>
          <w:i/>
        </w:rPr>
      </w:pPr>
      <w:r w:rsidRPr="00052FB0">
        <w:rPr>
          <w:rFonts w:asciiTheme="minorHAnsi" w:hAnsiTheme="minorHAnsi"/>
          <w:b/>
        </w:rPr>
        <w:t>Schedule 5 – Amend Entry</w:t>
      </w:r>
    </w:p>
    <w:p w14:paraId="6195BFD4" w14:textId="0AA024A1" w:rsidR="00CC19FE" w:rsidRPr="00052FB0" w:rsidRDefault="00CC19FE" w:rsidP="00925C03">
      <w:pPr>
        <w:ind w:left="426"/>
        <w:rPr>
          <w:rFonts w:asciiTheme="minorHAnsi" w:hAnsiTheme="minorHAnsi"/>
          <w:b/>
          <w:i/>
        </w:rPr>
      </w:pPr>
      <w:r w:rsidRPr="00052FB0">
        <w:rPr>
          <w:rFonts w:asciiTheme="minorHAnsi" w:hAnsiTheme="minorHAnsi"/>
        </w:rPr>
        <w:t>LIDOCAINE</w:t>
      </w:r>
      <w:r w:rsidR="00052FB0" w:rsidRPr="00052FB0">
        <w:rPr>
          <w:rFonts w:asciiTheme="minorHAnsi" w:hAnsiTheme="minorHAnsi"/>
          <w:color w:val="00B050"/>
        </w:rPr>
        <w:t>:</w:t>
      </w:r>
    </w:p>
    <w:p w14:paraId="48ED1303" w14:textId="21C25EC8" w:rsidR="00CC19FE" w:rsidRPr="00052FB0" w:rsidRDefault="00925C03" w:rsidP="00925C03">
      <w:pPr>
        <w:ind w:left="851" w:hanging="425"/>
        <w:rPr>
          <w:rFonts w:asciiTheme="minorHAnsi" w:hAnsiTheme="minorHAnsi"/>
        </w:rPr>
      </w:pPr>
      <w:r w:rsidRPr="00052FB0">
        <w:rPr>
          <w:rFonts w:asciiTheme="minorHAnsi" w:hAnsiTheme="minorHAnsi"/>
          <w:color w:val="00B050"/>
        </w:rPr>
        <w:t>a)</w:t>
      </w:r>
      <w:r w:rsidRPr="00052FB0">
        <w:rPr>
          <w:rFonts w:asciiTheme="minorHAnsi" w:hAnsiTheme="minorHAnsi"/>
          <w:color w:val="00B050"/>
        </w:rPr>
        <w:tab/>
      </w:r>
      <w:r w:rsidR="00CC19FE" w:rsidRPr="00052FB0">
        <w:rPr>
          <w:rFonts w:asciiTheme="minorHAnsi" w:hAnsiTheme="minorHAnsi"/>
        </w:rPr>
        <w:t>in aqueous gel preparations containing 4.5 per cent or less of lidocaine, for the dermal spray-on administration to the wounds of animals</w:t>
      </w:r>
      <w:r w:rsidR="00CC19FE" w:rsidRPr="00052FB0">
        <w:rPr>
          <w:rFonts w:asciiTheme="minorHAnsi" w:hAnsiTheme="minorHAnsi"/>
          <w:color w:val="00B050"/>
        </w:rPr>
        <w:t>; or</w:t>
      </w:r>
    </w:p>
    <w:p w14:paraId="49FF429D" w14:textId="18EB47A1" w:rsidR="00CC19FE" w:rsidRPr="00052FB0" w:rsidRDefault="00925C03" w:rsidP="00925C03">
      <w:pPr>
        <w:ind w:left="851" w:hanging="425"/>
        <w:rPr>
          <w:rFonts w:asciiTheme="minorHAnsi" w:hAnsiTheme="minorHAnsi"/>
        </w:rPr>
      </w:pPr>
      <w:r w:rsidRPr="00052FB0">
        <w:rPr>
          <w:rFonts w:asciiTheme="minorHAnsi" w:hAnsiTheme="minorHAnsi"/>
          <w:color w:val="00B050"/>
        </w:rPr>
        <w:t>b)</w:t>
      </w:r>
      <w:r w:rsidRPr="00052FB0">
        <w:rPr>
          <w:rFonts w:asciiTheme="minorHAnsi" w:hAnsiTheme="minorHAnsi"/>
          <w:color w:val="00B050"/>
        </w:rPr>
        <w:tab/>
      </w:r>
      <w:r w:rsidR="00CC19FE" w:rsidRPr="00052FB0">
        <w:rPr>
          <w:rFonts w:asciiTheme="minorHAnsi" w:hAnsiTheme="minorHAnsi"/>
          <w:color w:val="00B050"/>
        </w:rPr>
        <w:t xml:space="preserve">in injectable preparations containing 2 per cent or less of lidocaine when packaged in a </w:t>
      </w:r>
      <w:r w:rsidR="00241233">
        <w:rPr>
          <w:rFonts w:asciiTheme="minorHAnsi" w:hAnsiTheme="minorHAnsi"/>
          <w:color w:val="00B050"/>
        </w:rPr>
        <w:t>container</w:t>
      </w:r>
      <w:r w:rsidR="00CC19FE" w:rsidRPr="00052FB0">
        <w:rPr>
          <w:rFonts w:asciiTheme="minorHAnsi" w:hAnsiTheme="minorHAnsi"/>
          <w:color w:val="00B050"/>
        </w:rPr>
        <w:t xml:space="preserve"> with a tamper resistant cartridge which can only be dispensed through a rubber ring applicator for tail docking and castration of </w:t>
      </w:r>
      <w:proofErr w:type="gramStart"/>
      <w:r w:rsidR="00CC19FE" w:rsidRPr="00052FB0">
        <w:rPr>
          <w:rFonts w:asciiTheme="minorHAnsi" w:hAnsiTheme="minorHAnsi"/>
          <w:color w:val="00B050"/>
        </w:rPr>
        <w:t>lambs;</w:t>
      </w:r>
      <w:proofErr w:type="gramEnd"/>
      <w:r w:rsidR="00CC19FE" w:rsidRPr="00052FB0">
        <w:rPr>
          <w:rFonts w:asciiTheme="minorHAnsi" w:hAnsiTheme="minorHAnsi"/>
          <w:color w:val="00B050"/>
        </w:rPr>
        <w:t xml:space="preserve"> or castration of calves</w:t>
      </w:r>
      <w:r w:rsidR="00CC19FE" w:rsidRPr="00052FB0">
        <w:rPr>
          <w:rFonts w:asciiTheme="minorHAnsi" w:hAnsiTheme="minorHAnsi"/>
        </w:rPr>
        <w:t>.</w:t>
      </w:r>
    </w:p>
    <w:p w14:paraId="338B6BAE" w14:textId="3F8A848A" w:rsidR="00052FB0" w:rsidRPr="00052FB0" w:rsidRDefault="00052FB0" w:rsidP="00052FB0">
      <w:pPr>
        <w:ind w:left="426"/>
        <w:rPr>
          <w:rFonts w:asciiTheme="minorHAnsi" w:hAnsiTheme="minorHAnsi"/>
          <w:b/>
        </w:rPr>
      </w:pPr>
      <w:r w:rsidRPr="00052FB0">
        <w:rPr>
          <w:rFonts w:asciiTheme="minorHAnsi" w:hAnsiTheme="minorHAnsi"/>
          <w:b/>
        </w:rPr>
        <w:t>Schedule 4</w:t>
      </w:r>
    </w:p>
    <w:p w14:paraId="31E5DF75" w14:textId="209E5D22" w:rsidR="00052FB0" w:rsidRDefault="00052FB0" w:rsidP="00052FB0">
      <w:pPr>
        <w:shd w:val="clear" w:color="auto" w:fill="FFFFFF"/>
        <w:spacing w:before="240" w:after="240"/>
        <w:ind w:firstLine="426"/>
        <w:rPr>
          <w:rFonts w:asciiTheme="minorHAnsi" w:eastAsia="Times New Roman" w:hAnsiTheme="minorHAnsi"/>
          <w:color w:val="000000"/>
          <w:szCs w:val="22"/>
          <w:lang w:eastAsia="en-AU"/>
        </w:rPr>
      </w:pPr>
      <w:r w:rsidRPr="00052FB0">
        <w:rPr>
          <w:rFonts w:asciiTheme="minorHAnsi" w:eastAsia="Times New Roman" w:hAnsiTheme="minorHAnsi"/>
          <w:color w:val="000000"/>
          <w:szCs w:val="22"/>
          <w:lang w:eastAsia="en-AU"/>
        </w:rPr>
        <w:t>LIDOCAINE </w:t>
      </w:r>
      <w:r w:rsidRPr="00052FB0">
        <w:rPr>
          <w:rFonts w:asciiTheme="minorHAnsi" w:eastAsia="Times New Roman" w:hAnsiTheme="minorHAnsi"/>
          <w:b/>
          <w:bCs/>
          <w:color w:val="000000"/>
          <w:szCs w:val="22"/>
          <w:lang w:eastAsia="en-AU"/>
        </w:rPr>
        <w:t>except</w:t>
      </w:r>
      <w:r w:rsidRPr="00052FB0">
        <w:rPr>
          <w:rFonts w:asciiTheme="minorHAnsi" w:eastAsia="Times New Roman" w:hAnsiTheme="minorHAnsi"/>
          <w:color w:val="000000"/>
          <w:szCs w:val="22"/>
          <w:lang w:eastAsia="en-AU"/>
        </w:rPr>
        <w:t>:</w:t>
      </w:r>
    </w:p>
    <w:p w14:paraId="4E4AD101" w14:textId="70CA22E6" w:rsidR="00052FB0" w:rsidRDefault="00052FB0" w:rsidP="00052FB0">
      <w:pPr>
        <w:ind w:left="851" w:hanging="425"/>
        <w:rPr>
          <w:rFonts w:asciiTheme="minorHAnsi" w:hAnsiTheme="minorHAnsi"/>
        </w:rPr>
      </w:pPr>
      <w:r w:rsidRPr="00052FB0">
        <w:rPr>
          <w:rFonts w:asciiTheme="minorHAnsi" w:hAnsiTheme="minorHAnsi"/>
        </w:rPr>
        <w:lastRenderedPageBreak/>
        <w:t>a)</w:t>
      </w:r>
      <w:r w:rsidRPr="00052FB0">
        <w:rPr>
          <w:rFonts w:asciiTheme="minorHAnsi" w:hAnsiTheme="minorHAnsi"/>
        </w:rPr>
        <w:tab/>
        <w:t xml:space="preserve">when included in Schedules 2 or </w:t>
      </w:r>
      <w:proofErr w:type="gramStart"/>
      <w:r w:rsidRPr="00052FB0">
        <w:rPr>
          <w:rFonts w:asciiTheme="minorHAnsi" w:hAnsiTheme="minorHAnsi"/>
        </w:rPr>
        <w:t>5;</w:t>
      </w:r>
      <w:proofErr w:type="gramEnd"/>
      <w:r>
        <w:rPr>
          <w:rFonts w:asciiTheme="minorHAnsi" w:hAnsiTheme="minorHAnsi"/>
        </w:rPr>
        <w:t xml:space="preserve"> </w:t>
      </w:r>
    </w:p>
    <w:p w14:paraId="0F70F5D5" w14:textId="05F706BD" w:rsidR="00052FB0" w:rsidRDefault="00052FB0" w:rsidP="00052FB0">
      <w:pPr>
        <w:ind w:left="851" w:hanging="425"/>
        <w:rPr>
          <w:rFonts w:asciiTheme="minorHAnsi" w:hAnsiTheme="minorHAnsi"/>
        </w:rPr>
      </w:pPr>
      <w:r w:rsidRPr="00052FB0">
        <w:rPr>
          <w:rFonts w:asciiTheme="minorHAnsi" w:hAnsiTheme="minorHAnsi"/>
        </w:rPr>
        <w:t>b)</w:t>
      </w:r>
      <w:r w:rsidRPr="00052FB0">
        <w:rPr>
          <w:rFonts w:asciiTheme="minorHAnsi" w:hAnsiTheme="minorHAnsi"/>
        </w:rPr>
        <w:tab/>
      </w:r>
      <w:r w:rsidRPr="00052FB0">
        <w:rPr>
          <w:rFonts w:asciiTheme="minorHAnsi" w:eastAsia="Times New Roman" w:hAnsiTheme="minorHAnsi"/>
          <w:color w:val="000000"/>
          <w:szCs w:val="22"/>
          <w:lang w:eastAsia="en-AU"/>
        </w:rPr>
        <w:t>in dermal preparations containing 2 per cent or less of total local anaesthetic substances per dosage unit; or</w:t>
      </w:r>
    </w:p>
    <w:p w14:paraId="400B6C3D" w14:textId="502C816D" w:rsidR="00052FB0" w:rsidRPr="00052FB0" w:rsidRDefault="00052FB0" w:rsidP="00052FB0">
      <w:pPr>
        <w:ind w:left="851" w:hanging="425"/>
        <w:rPr>
          <w:rFonts w:asciiTheme="minorHAnsi" w:hAnsiTheme="minorHAnsi"/>
        </w:rPr>
      </w:pPr>
      <w:r>
        <w:rPr>
          <w:rFonts w:asciiTheme="minorHAnsi" w:hAnsiTheme="minorHAnsi"/>
        </w:rPr>
        <w:t>c)</w:t>
      </w:r>
      <w:r>
        <w:rPr>
          <w:rFonts w:asciiTheme="minorHAnsi" w:hAnsiTheme="minorHAnsi"/>
        </w:rPr>
        <w:tab/>
      </w:r>
      <w:r w:rsidRPr="00052FB0">
        <w:rPr>
          <w:rFonts w:asciiTheme="minorHAnsi" w:eastAsia="Times New Roman" w:hAnsiTheme="minorHAnsi"/>
          <w:color w:val="000000"/>
          <w:szCs w:val="22"/>
          <w:lang w:eastAsia="en-AU"/>
        </w:rPr>
        <w:t>in lozenges containing 30 mg or less of total anaesthetic substances per dosage unit.</w:t>
      </w:r>
    </w:p>
    <w:p w14:paraId="26A10742" w14:textId="566E01A5" w:rsidR="00052FB0" w:rsidRPr="00052FB0" w:rsidRDefault="00052FB0" w:rsidP="00925C03">
      <w:pPr>
        <w:ind w:left="851" w:hanging="425"/>
        <w:rPr>
          <w:rFonts w:asciiTheme="minorHAnsi" w:hAnsiTheme="minorHAnsi"/>
          <w:b/>
          <w:bCs/>
        </w:rPr>
      </w:pPr>
      <w:r w:rsidRPr="00052FB0">
        <w:rPr>
          <w:rFonts w:asciiTheme="minorHAnsi" w:hAnsiTheme="minorHAnsi"/>
          <w:b/>
          <w:bCs/>
        </w:rPr>
        <w:t>Schedule 2</w:t>
      </w:r>
    </w:p>
    <w:p w14:paraId="29B17D09" w14:textId="35D6A6A1" w:rsidR="00052FB0" w:rsidRDefault="00052FB0" w:rsidP="00052FB0">
      <w:pPr>
        <w:shd w:val="clear" w:color="auto" w:fill="FFFFFF"/>
        <w:spacing w:before="240" w:after="240"/>
        <w:ind w:firstLine="426"/>
        <w:rPr>
          <w:rFonts w:asciiTheme="minorHAnsi" w:eastAsia="Times New Roman" w:hAnsiTheme="minorHAnsi"/>
          <w:color w:val="000000"/>
          <w:szCs w:val="22"/>
          <w:lang w:eastAsia="en-AU"/>
        </w:rPr>
      </w:pPr>
      <w:r w:rsidRPr="00052FB0">
        <w:rPr>
          <w:rFonts w:asciiTheme="minorHAnsi" w:eastAsia="Times New Roman" w:hAnsiTheme="minorHAnsi"/>
          <w:color w:val="000000"/>
          <w:szCs w:val="22"/>
          <w:lang w:eastAsia="en-AU"/>
        </w:rPr>
        <w:t>LIDOCAINE in preparations for topical use other than eye drops:</w:t>
      </w:r>
    </w:p>
    <w:p w14:paraId="43125223" w14:textId="7DCE33F1" w:rsidR="00052FB0" w:rsidRPr="00F07B06" w:rsidRDefault="00052FB0" w:rsidP="00F07B06">
      <w:pPr>
        <w:pStyle w:val="ListParagraph"/>
        <w:numPr>
          <w:ilvl w:val="0"/>
          <w:numId w:val="46"/>
        </w:numPr>
        <w:rPr>
          <w:rFonts w:asciiTheme="minorHAnsi" w:eastAsia="Times New Roman" w:hAnsiTheme="minorHAnsi"/>
          <w:b/>
          <w:bCs/>
          <w:color w:val="000000"/>
          <w:szCs w:val="22"/>
          <w:lang w:eastAsia="en-AU"/>
        </w:rPr>
      </w:pPr>
      <w:bookmarkStart w:id="52" w:name="_Hlk79068272"/>
      <w:r w:rsidRPr="00F07B06">
        <w:rPr>
          <w:rFonts w:asciiTheme="minorHAnsi" w:eastAsia="Times New Roman" w:hAnsiTheme="minorHAnsi"/>
          <w:color w:val="000000"/>
          <w:szCs w:val="22"/>
          <w:lang w:eastAsia="en-AU"/>
        </w:rPr>
        <w:t>containing 10 per cent or less of total local anaesthetic substances, </w:t>
      </w:r>
      <w:r w:rsidRPr="00F07B06">
        <w:rPr>
          <w:rFonts w:asciiTheme="minorHAnsi" w:eastAsia="Times New Roman" w:hAnsiTheme="minorHAnsi"/>
          <w:b/>
          <w:bCs/>
          <w:color w:val="000000"/>
          <w:szCs w:val="22"/>
          <w:lang w:eastAsia="en-AU"/>
        </w:rPr>
        <w:t>except:</w:t>
      </w:r>
    </w:p>
    <w:bookmarkEnd w:id="52"/>
    <w:p w14:paraId="13784F75" w14:textId="05FF2BC9" w:rsidR="00052FB0" w:rsidRPr="00F07B06" w:rsidRDefault="00052FB0" w:rsidP="00F07B06">
      <w:pPr>
        <w:pStyle w:val="ListBulleti"/>
      </w:pPr>
      <w:r w:rsidRPr="00F07B06">
        <w:rPr>
          <w:rFonts w:asciiTheme="minorHAnsi" w:eastAsia="Times New Roman" w:hAnsiTheme="minorHAnsi"/>
          <w:color w:val="000000"/>
          <w:szCs w:val="22"/>
          <w:lang w:eastAsia="en-AU"/>
        </w:rPr>
        <w:t>in dermal preparations containing 2 per cent or less of total local anaesthetic substances; or</w:t>
      </w:r>
    </w:p>
    <w:p w14:paraId="01614497" w14:textId="67C8586E" w:rsidR="00F07B06" w:rsidRPr="00F07B06" w:rsidRDefault="00052FB0" w:rsidP="00F07B06">
      <w:pPr>
        <w:pStyle w:val="ListBulleti"/>
      </w:pPr>
      <w:r w:rsidRPr="00F07B06">
        <w:rPr>
          <w:rFonts w:asciiTheme="minorHAnsi" w:eastAsia="Times New Roman" w:hAnsiTheme="minorHAnsi"/>
          <w:color w:val="000000"/>
          <w:szCs w:val="22"/>
          <w:lang w:eastAsia="en-AU"/>
        </w:rPr>
        <w:t xml:space="preserve">in aqueous sprays for </w:t>
      </w:r>
      <w:proofErr w:type="spellStart"/>
      <w:r w:rsidRPr="00F07B06">
        <w:rPr>
          <w:rFonts w:asciiTheme="minorHAnsi" w:eastAsia="Times New Roman" w:hAnsiTheme="minorHAnsi"/>
          <w:color w:val="000000"/>
          <w:szCs w:val="22"/>
          <w:lang w:eastAsia="en-AU"/>
        </w:rPr>
        <w:t>oromucosal</w:t>
      </w:r>
      <w:proofErr w:type="spellEnd"/>
      <w:r w:rsidRPr="00F07B06">
        <w:rPr>
          <w:rFonts w:asciiTheme="minorHAnsi" w:eastAsia="Times New Roman" w:hAnsiTheme="minorHAnsi"/>
          <w:color w:val="000000"/>
          <w:szCs w:val="22"/>
          <w:lang w:eastAsia="en-AU"/>
        </w:rPr>
        <w:t xml:space="preserve"> use containing 0.6 per cent or less of total local </w:t>
      </w:r>
      <w:proofErr w:type="spellStart"/>
      <w:r w:rsidRPr="00F07B06">
        <w:rPr>
          <w:rFonts w:asciiTheme="minorHAnsi" w:eastAsia="Times New Roman" w:hAnsiTheme="minorHAnsi"/>
          <w:color w:val="000000"/>
          <w:szCs w:val="22"/>
          <w:lang w:eastAsia="en-AU"/>
        </w:rPr>
        <w:t>anaeasthetic</w:t>
      </w:r>
      <w:proofErr w:type="spellEnd"/>
      <w:r w:rsidRPr="00F07B06">
        <w:rPr>
          <w:rFonts w:asciiTheme="minorHAnsi" w:eastAsia="Times New Roman" w:hAnsiTheme="minorHAnsi"/>
          <w:color w:val="000000"/>
          <w:szCs w:val="22"/>
          <w:lang w:eastAsia="en-AU"/>
        </w:rPr>
        <w:t xml:space="preserve"> substances; or</w:t>
      </w:r>
    </w:p>
    <w:p w14:paraId="554208FB" w14:textId="6B073BD7" w:rsidR="00052FB0" w:rsidRPr="00F07B06" w:rsidRDefault="00052FB0" w:rsidP="00F07B06">
      <w:pPr>
        <w:pStyle w:val="ListParagraph"/>
        <w:numPr>
          <w:ilvl w:val="0"/>
          <w:numId w:val="46"/>
        </w:numPr>
      </w:pPr>
      <w:r w:rsidRPr="00F07B06">
        <w:rPr>
          <w:rFonts w:asciiTheme="minorHAnsi" w:eastAsia="Times New Roman" w:hAnsiTheme="minorHAnsi"/>
          <w:color w:val="000000"/>
          <w:szCs w:val="22"/>
          <w:lang w:eastAsia="en-AU"/>
        </w:rPr>
        <w:t>in divided preparations containing 200 mg or less of total local anaesthetic substances, </w:t>
      </w:r>
      <w:r w:rsidRPr="00F07B06">
        <w:rPr>
          <w:rFonts w:asciiTheme="minorHAnsi" w:eastAsia="Times New Roman" w:hAnsiTheme="minorHAnsi"/>
          <w:b/>
          <w:bCs/>
          <w:color w:val="000000"/>
          <w:szCs w:val="22"/>
          <w:lang w:eastAsia="en-AU"/>
        </w:rPr>
        <w:t>except</w:t>
      </w:r>
      <w:r w:rsidRPr="00F07B06">
        <w:rPr>
          <w:rFonts w:asciiTheme="minorHAnsi" w:eastAsia="Times New Roman" w:hAnsiTheme="minorHAnsi"/>
          <w:color w:val="000000"/>
          <w:szCs w:val="22"/>
          <w:lang w:eastAsia="en-AU"/>
        </w:rPr>
        <w:t> in lozenges containing 30 mg or less of total local anaesthetic substances per dosage unit.</w:t>
      </w:r>
    </w:p>
    <w:p w14:paraId="175B5CE0" w14:textId="3CC9D945" w:rsidR="00052FB0" w:rsidRPr="00052FB0" w:rsidRDefault="00052FB0" w:rsidP="00925C03">
      <w:pPr>
        <w:ind w:left="851" w:hanging="425"/>
        <w:rPr>
          <w:rFonts w:asciiTheme="minorHAnsi" w:hAnsiTheme="minorHAnsi"/>
          <w:b/>
          <w:bCs/>
        </w:rPr>
      </w:pPr>
      <w:r w:rsidRPr="00052FB0">
        <w:rPr>
          <w:rFonts w:asciiTheme="minorHAnsi" w:hAnsiTheme="minorHAnsi"/>
          <w:b/>
          <w:bCs/>
        </w:rPr>
        <w:t xml:space="preserve">Index </w:t>
      </w:r>
    </w:p>
    <w:p w14:paraId="6DAE54F5" w14:textId="0CE6D0A5" w:rsidR="00052FB0" w:rsidRPr="00052FB0" w:rsidRDefault="00052FB0" w:rsidP="00052FB0">
      <w:pPr>
        <w:ind w:left="426"/>
        <w:rPr>
          <w:rFonts w:asciiTheme="minorHAnsi" w:hAnsiTheme="minorHAnsi"/>
          <w:color w:val="000000"/>
          <w:szCs w:val="22"/>
        </w:rPr>
      </w:pPr>
      <w:r w:rsidRPr="00052FB0">
        <w:rPr>
          <w:rFonts w:asciiTheme="minorHAnsi" w:hAnsiTheme="minorHAnsi"/>
          <w:color w:val="000000"/>
          <w:szCs w:val="22"/>
          <w:shd w:val="clear" w:color="auto" w:fill="FFFFFF"/>
        </w:rPr>
        <w:t>Schedule 5</w:t>
      </w:r>
      <w:r w:rsidRPr="00052FB0">
        <w:rPr>
          <w:rFonts w:asciiTheme="minorHAnsi" w:hAnsiTheme="minorHAnsi"/>
          <w:color w:val="000000"/>
          <w:szCs w:val="22"/>
        </w:rPr>
        <w:t xml:space="preserve"> </w:t>
      </w:r>
      <w:r w:rsidRPr="00052FB0">
        <w:rPr>
          <w:rFonts w:asciiTheme="minorHAnsi" w:hAnsiTheme="minorHAnsi"/>
          <w:color w:val="000000"/>
          <w:szCs w:val="22"/>
        </w:rPr>
        <w:br/>
      </w:r>
      <w:r w:rsidRPr="00052FB0">
        <w:rPr>
          <w:rFonts w:asciiTheme="minorHAnsi" w:hAnsiTheme="minorHAnsi"/>
          <w:color w:val="000000"/>
          <w:szCs w:val="22"/>
          <w:shd w:val="clear" w:color="auto" w:fill="FFFFFF"/>
        </w:rPr>
        <w:t>Schedule 4</w:t>
      </w:r>
      <w:r w:rsidRPr="00052FB0">
        <w:rPr>
          <w:rFonts w:asciiTheme="minorHAnsi" w:hAnsiTheme="minorHAnsi"/>
          <w:color w:val="000000"/>
          <w:szCs w:val="22"/>
        </w:rPr>
        <w:br/>
      </w:r>
      <w:r w:rsidRPr="00052FB0">
        <w:rPr>
          <w:rFonts w:asciiTheme="minorHAnsi" w:hAnsiTheme="minorHAnsi"/>
          <w:color w:val="000000"/>
          <w:szCs w:val="22"/>
          <w:shd w:val="clear" w:color="auto" w:fill="FFFFFF"/>
        </w:rPr>
        <w:t>Schedule 2</w:t>
      </w:r>
    </w:p>
    <w:p w14:paraId="60AB69C9" w14:textId="77777777" w:rsidR="00CC19FE" w:rsidRDefault="00CC19FE" w:rsidP="00CC19FE">
      <w:pPr>
        <w:pStyle w:val="Heading4"/>
      </w:pPr>
      <w:r>
        <w:t>Materials considered</w:t>
      </w:r>
    </w:p>
    <w:p w14:paraId="2B061B50" w14:textId="33298073" w:rsidR="00CC19FE" w:rsidRDefault="00CC19FE" w:rsidP="006148C1">
      <w:r>
        <w:t xml:space="preserve">In making this </w:t>
      </w:r>
      <w:r w:rsidR="00E437DF">
        <w:t>final</w:t>
      </w:r>
      <w:r>
        <w:t xml:space="preserve"> decision, the Delegate considered the following material:</w:t>
      </w:r>
    </w:p>
    <w:p w14:paraId="245296FE" w14:textId="77777777" w:rsidR="00CC19FE" w:rsidRDefault="00CC19FE" w:rsidP="006148C1">
      <w:pPr>
        <w:pStyle w:val="ListBullet"/>
      </w:pPr>
      <w:r w:rsidRPr="000E0D69">
        <w:t xml:space="preserve">The </w:t>
      </w:r>
      <w:hyperlink r:id="rId51" w:history="1">
        <w:r w:rsidRPr="00D70DC2">
          <w:rPr>
            <w:rStyle w:val="Hyperlink"/>
          </w:rPr>
          <w:t>application</w:t>
        </w:r>
      </w:hyperlink>
      <w:r w:rsidRPr="000E0D69">
        <w:t xml:space="preserve"> to amend the</w:t>
      </w:r>
      <w:r>
        <w:t xml:space="preserve"> current Poisons Standard with </w:t>
      </w:r>
      <w:r w:rsidRPr="006148C1">
        <w:t>respect</w:t>
      </w:r>
      <w:r>
        <w:t xml:space="preserve"> to lidocaine;</w:t>
      </w:r>
    </w:p>
    <w:p w14:paraId="0F775A54" w14:textId="77777777" w:rsidR="00CC19FE" w:rsidRDefault="00CC19FE" w:rsidP="006148C1">
      <w:pPr>
        <w:pStyle w:val="ListBullet"/>
      </w:pPr>
      <w:r>
        <w:t>The 91</w:t>
      </w:r>
      <w:r w:rsidRPr="000E0D69">
        <w:t xml:space="preserve"> </w:t>
      </w:r>
      <w:hyperlink r:id="rId52" w:history="1">
        <w:r w:rsidRPr="00905BFB">
          <w:rPr>
            <w:rStyle w:val="Hyperlink"/>
          </w:rPr>
          <w:t>public submissions</w:t>
        </w:r>
      </w:hyperlink>
      <w:r w:rsidRPr="000710CB">
        <w:rPr>
          <w:rStyle w:val="Hyperlink"/>
          <w:color w:val="auto"/>
          <w:u w:val="none"/>
        </w:rPr>
        <w:t>,</w:t>
      </w:r>
      <w:r w:rsidRPr="000710CB">
        <w:t xml:space="preserve"> including </w:t>
      </w:r>
      <w:r>
        <w:t>29</w:t>
      </w:r>
      <w:r w:rsidRPr="00C85183">
        <w:t xml:space="preserve"> written submissions, </w:t>
      </w:r>
      <w:r>
        <w:t xml:space="preserve">received in response to the </w:t>
      </w:r>
      <w:hyperlink r:id="rId53" w:history="1">
        <w:r w:rsidRPr="00A825A4">
          <w:rPr>
            <w:rStyle w:val="Hyperlink"/>
          </w:rPr>
          <w:t>pre-meeting consultation</w:t>
        </w:r>
      </w:hyperlink>
      <w:r w:rsidRPr="00A825A4">
        <w:t xml:space="preserve"> und</w:t>
      </w:r>
      <w:r>
        <w:t xml:space="preserve">er regulation 42ZCZK of the </w:t>
      </w:r>
      <w:r w:rsidRPr="006148C1">
        <w:t>Regulations</w:t>
      </w:r>
      <w:r>
        <w:t>;</w:t>
      </w:r>
    </w:p>
    <w:p w14:paraId="70D10A00" w14:textId="74D30211" w:rsidR="00CC19FE" w:rsidRDefault="00CC19FE" w:rsidP="006148C1">
      <w:pPr>
        <w:pStyle w:val="ListBullet"/>
      </w:pPr>
      <w:r>
        <w:t>The advice received from the m</w:t>
      </w:r>
      <w:r w:rsidRPr="00A825A4">
        <w:t xml:space="preserve">eeting of the </w:t>
      </w:r>
      <w:r>
        <w:t>A</w:t>
      </w:r>
      <w:r w:rsidRPr="00344CA2">
        <w:t>dvisory Committee on Medicines and Chemicals Scheduling in jo</w:t>
      </w:r>
      <w:r>
        <w:t>int session (Joint ACMS-ACCS #27</w:t>
      </w:r>
      <w:proofErr w:type="gramStart"/>
      <w:r w:rsidRPr="00344CA2">
        <w:t>);</w:t>
      </w:r>
      <w:proofErr w:type="gramEnd"/>
    </w:p>
    <w:p w14:paraId="5E032CAD" w14:textId="2D21D0F9" w:rsidR="00F07B06" w:rsidRDefault="00F07B06" w:rsidP="00F07B06">
      <w:pPr>
        <w:pStyle w:val="ListBullet"/>
      </w:pPr>
      <w:r>
        <w:t xml:space="preserve">The </w:t>
      </w:r>
      <w:r w:rsidR="000058F8">
        <w:t>22</w:t>
      </w:r>
      <w:r>
        <w:t xml:space="preserve"> </w:t>
      </w:r>
      <w:hyperlink r:id="rId54" w:history="1">
        <w:r w:rsidRPr="00937E6E">
          <w:rPr>
            <w:rStyle w:val="Hyperlink"/>
          </w:rPr>
          <w:t>public submissions</w:t>
        </w:r>
      </w:hyperlink>
      <w:r>
        <w:t xml:space="preserve">, </w:t>
      </w:r>
      <w:r w:rsidRPr="00C85183">
        <w:t xml:space="preserve">including </w:t>
      </w:r>
      <w:r w:rsidR="000058F8">
        <w:t>1</w:t>
      </w:r>
      <w:r w:rsidR="00404480">
        <w:t>4</w:t>
      </w:r>
      <w:r>
        <w:t xml:space="preserve"> </w:t>
      </w:r>
      <w:r w:rsidRPr="00C85183">
        <w:t>written submissions,</w:t>
      </w:r>
      <w:r>
        <w:t xml:space="preserve"> received in response to the </w:t>
      </w:r>
      <w:r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1E7998C4" w14:textId="77777777" w:rsidR="00CC19FE" w:rsidRDefault="00CC19FE" w:rsidP="006148C1">
      <w:pPr>
        <w:pStyle w:val="ListBullet"/>
      </w:pPr>
      <w:r>
        <w:t xml:space="preserve">Subsection 52E(1) of the </w:t>
      </w:r>
      <w:r w:rsidRPr="00FC4D25">
        <w:rPr>
          <w:i/>
        </w:rPr>
        <w:t xml:space="preserve">Therapeutic Goods Act 1989, </w:t>
      </w:r>
      <w:r w:rsidRPr="001169AC">
        <w:t xml:space="preserve">in particular </w:t>
      </w:r>
      <w:r>
        <w:t xml:space="preserve">(a) the risks and benefits of the use of a substance; (b) the purpose for which a substance is to be used and the extent of use of a substance; (c) the toxicity of a substance; (d) the dosage, formulation, </w:t>
      </w:r>
      <w:r w:rsidRPr="006148C1">
        <w:t>labelling</w:t>
      </w:r>
      <w:r>
        <w:t>, packaging and presentation of a substance; and (e) the potential for abuse of a substance;</w:t>
      </w:r>
    </w:p>
    <w:p w14:paraId="39E646EF" w14:textId="004C8895" w:rsidR="00CC19FE" w:rsidRDefault="00CC19FE" w:rsidP="00CC19FE">
      <w:pPr>
        <w:pStyle w:val="ListBullet"/>
        <w:numPr>
          <w:ilvl w:val="0"/>
          <w:numId w:val="1"/>
        </w:numPr>
      </w:pPr>
      <w:r w:rsidRPr="002C1418">
        <w:t xml:space="preserve">The Australian Health Ministers’ Advisory Council’s </w:t>
      </w:r>
      <w:hyperlink r:id="rId55" w:history="1">
        <w:r w:rsidRPr="001A7580">
          <w:rPr>
            <w:rStyle w:val="Hyperlink"/>
          </w:rPr>
          <w:t>Scheduling Policy Framework</w:t>
        </w:r>
      </w:hyperlink>
      <w:r w:rsidR="00925C03">
        <w:t xml:space="preserve"> (SPF </w:t>
      </w:r>
      <w:r>
        <w:t>2018</w:t>
      </w:r>
      <w:r w:rsidRPr="002C20AE">
        <w:t>);</w:t>
      </w:r>
      <w:r>
        <w:t xml:space="preserve"> and</w:t>
      </w:r>
    </w:p>
    <w:p w14:paraId="523C0D59" w14:textId="77777777" w:rsidR="00CC19FE" w:rsidRDefault="00CC19FE" w:rsidP="00CC19FE">
      <w:pPr>
        <w:pStyle w:val="ListBullet"/>
        <w:numPr>
          <w:ilvl w:val="0"/>
          <w:numId w:val="1"/>
        </w:numPr>
      </w:pPr>
      <w:r>
        <w:t xml:space="preserve">The </w:t>
      </w:r>
      <w:hyperlink r:id="rId56" w:history="1">
        <w:r w:rsidRPr="001A7580">
          <w:rPr>
            <w:rStyle w:val="Hyperlink"/>
          </w:rPr>
          <w:t>Scheduling handbook: Guidance for amending the Poisons Standard</w:t>
        </w:r>
      </w:hyperlink>
      <w:r>
        <w:t>.</w:t>
      </w:r>
    </w:p>
    <w:p w14:paraId="6DF3ACA6" w14:textId="77777777" w:rsidR="005F07FF" w:rsidRDefault="005F07FF" w:rsidP="00CC19FE">
      <w:pPr>
        <w:pStyle w:val="Heading4"/>
      </w:pPr>
    </w:p>
    <w:p w14:paraId="255C99CE" w14:textId="77777777" w:rsidR="005F07FF" w:rsidRDefault="005F07FF" w:rsidP="00CC19FE">
      <w:pPr>
        <w:pStyle w:val="Heading4"/>
      </w:pPr>
    </w:p>
    <w:p w14:paraId="0EAF5E81" w14:textId="38335BFC" w:rsidR="00CC19FE" w:rsidRDefault="00CC19FE" w:rsidP="00CC19FE">
      <w:pPr>
        <w:pStyle w:val="Heading4"/>
      </w:pPr>
      <w:r>
        <w:t xml:space="preserve">Reasons for the </w:t>
      </w:r>
      <w:r w:rsidR="00F07B06">
        <w:t>final</w:t>
      </w:r>
      <w:r w:rsidRPr="00436C41">
        <w:t xml:space="preserve"> decision (including findings on material questions of fact)</w:t>
      </w:r>
    </w:p>
    <w:p w14:paraId="2F56B079" w14:textId="3DEDEDE5" w:rsidR="00627A76" w:rsidRDefault="00F07B06" w:rsidP="00F07B06">
      <w:r w:rsidRPr="00253509">
        <w:t>I have made a final decision to confirm</w:t>
      </w:r>
      <w:r>
        <w:t xml:space="preserve"> my </w:t>
      </w:r>
      <w:hyperlink r:id="rId57" w:history="1">
        <w:r w:rsidRPr="008F73DD">
          <w:rPr>
            <w:rStyle w:val="Hyperlink"/>
          </w:rPr>
          <w:t>interim decision</w:t>
        </w:r>
      </w:hyperlink>
      <w:r>
        <w:t xml:space="preserve"> to amend</w:t>
      </w:r>
      <w:r w:rsidRPr="00253509">
        <w:t xml:space="preserve"> the current Poisons Standard with </w:t>
      </w:r>
      <w:r w:rsidRPr="00B53AFD">
        <w:t xml:space="preserve">respect to </w:t>
      </w:r>
      <w:r w:rsidR="009A066C">
        <w:t>lidocaine</w:t>
      </w:r>
      <w:r w:rsidR="005F07FF">
        <w:t xml:space="preserve">, including a minor wording change </w:t>
      </w:r>
      <w:r w:rsidR="00545F89">
        <w:t>described</w:t>
      </w:r>
      <w:r w:rsidR="005F07FF">
        <w:t xml:space="preserve"> below</w:t>
      </w:r>
      <w:r w:rsidRPr="00B53AFD">
        <w:t>. My reasons for making the final decision are those set out in the interim decision. In</w:t>
      </w:r>
      <w:r w:rsidRPr="00253509">
        <w:t xml:space="preserve"> making my final decision, I have </w:t>
      </w:r>
      <w:proofErr w:type="gramStart"/>
      <w:r w:rsidRPr="00253509">
        <w:t>taken into account</w:t>
      </w:r>
      <w:proofErr w:type="gramEnd"/>
      <w:r w:rsidRPr="00253509">
        <w:t xml:space="preserve">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20 July 2021</w:t>
      </w:r>
      <w:r w:rsidRPr="0014113C">
        <w:t xml:space="preserve"> under regulation 42ZCZP of the Regulations.</w:t>
      </w:r>
      <w:r>
        <w:t xml:space="preserve"> </w:t>
      </w:r>
    </w:p>
    <w:p w14:paraId="4F8368B8" w14:textId="42FF0B53" w:rsidR="005F07FF" w:rsidRDefault="005F07FF" w:rsidP="00F07B06">
      <w:r>
        <w:t>In making my decision, I note that 13 of 14 submissions were fully supportive of the interim decision. One of these submissions</w:t>
      </w:r>
      <w:r w:rsidR="00D2236D">
        <w:t xml:space="preserve"> </w:t>
      </w:r>
      <w:r>
        <w:t>requested that the new Schedule 6 entry uses the term “container” instead of “bottle”.</w:t>
      </w:r>
      <w:r w:rsidR="004C6BC7">
        <w:t xml:space="preserve"> I </w:t>
      </w:r>
      <w:r w:rsidR="00D2236D">
        <w:t>consider</w:t>
      </w:r>
      <w:r w:rsidR="004C6BC7">
        <w:t xml:space="preserve"> that this wording is more consistent with other Poisons Standard </w:t>
      </w:r>
      <w:proofErr w:type="gramStart"/>
      <w:r w:rsidR="004C6BC7">
        <w:t>entries, and</w:t>
      </w:r>
      <w:proofErr w:type="gramEnd"/>
      <w:r w:rsidR="004C6BC7">
        <w:t xml:space="preserve"> may allow further innovations in product design. I also note that the new wording has no bearing on the safety features </w:t>
      </w:r>
      <w:r w:rsidR="00D2236D">
        <w:t xml:space="preserve">that are integral to the </w:t>
      </w:r>
      <w:r w:rsidR="004C6BC7">
        <w:t>Schedule 6 entry. Due to the potential benefits and low risk, I have decided to implement th</w:t>
      </w:r>
      <w:r w:rsidR="00D2236D">
        <w:t xml:space="preserve">is minor editorial change as part of my final decision. </w:t>
      </w:r>
    </w:p>
    <w:p w14:paraId="49BD2E05" w14:textId="30A72E71" w:rsidR="005F07FF" w:rsidRPr="00F07B06" w:rsidRDefault="00F07B06" w:rsidP="00F07B06">
      <w:r w:rsidRPr="00627A76">
        <w:t xml:space="preserve">I </w:t>
      </w:r>
      <w:r w:rsidR="00D2236D">
        <w:t xml:space="preserve">have also considered the opposing submission, </w:t>
      </w:r>
      <w:r w:rsidR="00627A76" w:rsidRPr="00627A76">
        <w:t>from the Australian Veterinary Association</w:t>
      </w:r>
      <w:r w:rsidR="00627A76">
        <w:t xml:space="preserve">, </w:t>
      </w:r>
      <w:r w:rsidR="00D2236D">
        <w:t xml:space="preserve">which </w:t>
      </w:r>
      <w:r w:rsidR="00627A76">
        <w:t xml:space="preserve">argued that the packaging of the drug is not tamper proof and </w:t>
      </w:r>
      <w:r w:rsidR="00520448">
        <w:t>does not prevent misuse</w:t>
      </w:r>
      <w:r w:rsidR="00627A76">
        <w:t xml:space="preserve">. The submission also raised that veterinarians are well placed to prescribe </w:t>
      </w:r>
      <w:r w:rsidR="00DE12FE">
        <w:t>lidocaine</w:t>
      </w:r>
      <w:r w:rsidR="00520448">
        <w:t xml:space="preserve">, and that rescheduling to Schedule 5 disallows assessment of risks and therapeutic need by a medical professional. </w:t>
      </w:r>
      <w:r w:rsidR="007E3E9A">
        <w:t xml:space="preserve">I note that many of these points were raised in the pre-meeting consultation and discussed in the interim decision. I reiterate that, though it is better classified as ‘tamper resistant’ rather than ‘tamper proof’, the product design sufficiently mitigates the risks of diversion. It is also used for procedures that are typically performed by farmers or contractors, and do not require consultation with a </w:t>
      </w:r>
      <w:r w:rsidR="00DE12FE">
        <w:t xml:space="preserve">veterinarian. As such, </w:t>
      </w:r>
      <w:r w:rsidR="000058F8">
        <w:t xml:space="preserve">the rescheduling of </w:t>
      </w:r>
      <w:r w:rsidR="00DE12FE">
        <w:t>lidocaine is appropriate.</w:t>
      </w:r>
    </w:p>
    <w:p w14:paraId="3F72C1FB" w14:textId="1BDC1CCB" w:rsidR="00CC19FE" w:rsidRPr="009B0447" w:rsidRDefault="00F07B06" w:rsidP="00CC19FE">
      <w:pPr>
        <w:pStyle w:val="Heading4"/>
      </w:pPr>
      <w:r>
        <w:t>I</w:t>
      </w:r>
      <w:r w:rsidR="00CC19FE">
        <w:t>mplementation date</w:t>
      </w:r>
    </w:p>
    <w:p w14:paraId="3088844A" w14:textId="77777777" w:rsidR="00CC19FE" w:rsidRPr="00B02B9C" w:rsidRDefault="00CC19FE" w:rsidP="00CC19FE">
      <w:pPr>
        <w:spacing w:after="240"/>
        <w:rPr>
          <w:b/>
        </w:rPr>
      </w:pPr>
      <w:r w:rsidRPr="00B02B9C">
        <w:rPr>
          <w:b/>
        </w:rPr>
        <w:t>1 October 2021</w:t>
      </w:r>
    </w:p>
    <w:p w14:paraId="14D250C5" w14:textId="38C36424" w:rsidR="00CC19FE" w:rsidRDefault="00450ADF" w:rsidP="00CC19FE">
      <w:pPr>
        <w:pStyle w:val="Heading3"/>
      </w:pPr>
      <w:bookmarkStart w:id="53" w:name="_Toc76139835"/>
      <w:bookmarkStart w:id="54" w:name="_Toc76139836"/>
      <w:bookmarkStart w:id="55" w:name="_Toc76139837"/>
      <w:bookmarkStart w:id="56" w:name="_Toc76139838"/>
      <w:bookmarkStart w:id="57" w:name="_Toc76139839"/>
      <w:bookmarkStart w:id="58" w:name="_Toc76139840"/>
      <w:bookmarkStart w:id="59" w:name="_Toc76139841"/>
      <w:bookmarkStart w:id="60" w:name="_Toc76139842"/>
      <w:bookmarkStart w:id="61" w:name="_Toc76139843"/>
      <w:bookmarkStart w:id="62" w:name="_Toc76139844"/>
      <w:bookmarkStart w:id="63" w:name="_Toc76139845"/>
      <w:bookmarkStart w:id="64" w:name="_Toc76139846"/>
      <w:bookmarkStart w:id="65" w:name="_Toc76139847"/>
      <w:bookmarkStart w:id="66" w:name="_Toc76139848"/>
      <w:bookmarkStart w:id="67" w:name="_Toc76139849"/>
      <w:bookmarkStart w:id="68" w:name="_Toc76139850"/>
      <w:bookmarkStart w:id="69" w:name="_Toc76139851"/>
      <w:bookmarkStart w:id="70" w:name="_Toc76139852"/>
      <w:bookmarkStart w:id="71" w:name="_Toc76139853"/>
      <w:bookmarkStart w:id="72" w:name="_Toc76139854"/>
      <w:bookmarkStart w:id="73" w:name="_Toc76139855"/>
      <w:bookmarkStart w:id="74" w:name="_Toc76139856"/>
      <w:bookmarkStart w:id="75" w:name="_Toc76139857"/>
      <w:bookmarkStart w:id="76" w:name="_Toc76139858"/>
      <w:bookmarkStart w:id="77" w:name="_Toc76139859"/>
      <w:bookmarkStart w:id="78" w:name="_Toc76139860"/>
      <w:bookmarkStart w:id="79" w:name="_Toc76139861"/>
      <w:bookmarkStart w:id="80" w:name="_Toc76139862"/>
      <w:bookmarkStart w:id="81" w:name="_Toc76139863"/>
      <w:bookmarkStart w:id="82" w:name="_Toc76139864"/>
      <w:bookmarkStart w:id="83" w:name="_Toc76139865"/>
      <w:bookmarkStart w:id="84" w:name="_Toc76139866"/>
      <w:bookmarkStart w:id="85" w:name="_Toc76139867"/>
      <w:bookmarkStart w:id="86" w:name="_Toc76139868"/>
      <w:bookmarkStart w:id="87" w:name="_Toc76139869"/>
      <w:bookmarkStart w:id="88" w:name="_Toc76139870"/>
      <w:bookmarkStart w:id="89" w:name="_Toc76139871"/>
      <w:bookmarkStart w:id="90" w:name="_Toc76139872"/>
      <w:bookmarkStart w:id="91" w:name="_Toc76139873"/>
      <w:bookmarkStart w:id="92" w:name="_Toc76139874"/>
      <w:bookmarkStart w:id="93" w:name="_Toc76139875"/>
      <w:bookmarkStart w:id="94" w:name="_Toc69984536"/>
      <w:bookmarkStart w:id="95" w:name="_Toc70072249"/>
      <w:bookmarkStart w:id="96" w:name="_Toc77327986"/>
      <w:bookmarkStart w:id="97" w:name="_Toc77686120"/>
      <w:bookmarkStart w:id="98" w:name="_Toc8157362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t>Final</w:t>
      </w:r>
      <w:r w:rsidR="00CC19FE">
        <w:t xml:space="preserve"> decision in relation to hemp seed oil</w:t>
      </w:r>
      <w:bookmarkEnd w:id="94"/>
      <w:bookmarkEnd w:id="95"/>
      <w:bookmarkEnd w:id="96"/>
      <w:bookmarkEnd w:id="97"/>
      <w:bookmarkEnd w:id="98"/>
    </w:p>
    <w:p w14:paraId="63715627" w14:textId="77777777" w:rsidR="00CC19FE" w:rsidRDefault="00CC19FE" w:rsidP="00CC19FE">
      <w:pPr>
        <w:pStyle w:val="Heading4"/>
      </w:pPr>
      <w:r>
        <w:t>Proposal</w:t>
      </w:r>
    </w:p>
    <w:p w14:paraId="0E03060A" w14:textId="77777777" w:rsidR="00CC19FE" w:rsidRPr="00AB2FB8" w:rsidRDefault="00CC19FE" w:rsidP="00CD33CD">
      <w:r>
        <w:t>The applicant proposed an amendment to</w:t>
      </w:r>
      <w:r w:rsidRPr="005B557B">
        <w:t xml:space="preserve"> the existing Schedule 9 entries for </w:t>
      </w:r>
      <w:r>
        <w:t>cannabis</w:t>
      </w:r>
      <w:r w:rsidRPr="005B557B">
        <w:t xml:space="preserve"> and </w:t>
      </w:r>
      <w:r>
        <w:t>tetrahydrocannabinols</w:t>
      </w:r>
      <w:r w:rsidRPr="005B557B">
        <w:t xml:space="preserve"> to exclude hemp seed oil for oral consumption from scheduling when compliant with the Food Standards Code.</w:t>
      </w:r>
    </w:p>
    <w:p w14:paraId="250B6861" w14:textId="47E36F0D" w:rsidR="00CC19FE" w:rsidRPr="008036B7" w:rsidRDefault="00F07B06" w:rsidP="00CC19FE">
      <w:pPr>
        <w:pStyle w:val="Heading4"/>
      </w:pPr>
      <w:r>
        <w:t>Final</w:t>
      </w:r>
      <w:r w:rsidR="00CC19FE">
        <w:t xml:space="preserve"> decision</w:t>
      </w:r>
    </w:p>
    <w:p w14:paraId="41B0144D" w14:textId="1A048800" w:rsidR="00CC19FE" w:rsidRDefault="00CC19FE" w:rsidP="00CD33CD">
      <w:r w:rsidRPr="00A05D10">
        <w:t>Pursuant to regulation 42ZCZ</w:t>
      </w:r>
      <w:r w:rsidR="00AF32CF">
        <w:t>R</w:t>
      </w:r>
      <w:r w:rsidRPr="00A05D10">
        <w:t xml:space="preserve"> of the Regulations, a Delegate of the Secretary has, in relation to the proposed amendment, made a</w:t>
      </w:r>
      <w:r w:rsidR="00F07B06">
        <w:t xml:space="preserve"> final</w:t>
      </w:r>
      <w:r w:rsidRPr="00A05D10">
        <w:t xml:space="preserve"> decision </w:t>
      </w:r>
      <w:r w:rsidRPr="00B3584C">
        <w:t xml:space="preserve">to amend </w:t>
      </w:r>
      <w:r>
        <w:t xml:space="preserve">the scheduling of hemp seed oil in </w:t>
      </w:r>
      <w:r w:rsidRPr="00B3584C">
        <w:t xml:space="preserve">the current Poisons Standard </w:t>
      </w:r>
      <w:r>
        <w:t>as follows</w:t>
      </w:r>
      <w:r w:rsidRPr="00A05D10">
        <w:t>:</w:t>
      </w:r>
    </w:p>
    <w:p w14:paraId="1B079741" w14:textId="77777777" w:rsidR="00CC19FE" w:rsidRPr="006330A0" w:rsidRDefault="00CC19FE" w:rsidP="00CC19FE">
      <w:pPr>
        <w:rPr>
          <w:b/>
        </w:rPr>
      </w:pPr>
      <w:r w:rsidRPr="006330A0">
        <w:rPr>
          <w:b/>
        </w:rPr>
        <w:t>CANNABIS</w:t>
      </w:r>
    </w:p>
    <w:p w14:paraId="0D4264D2" w14:textId="164B90B7" w:rsidR="00CC19FE" w:rsidRDefault="00CD33CD" w:rsidP="00925C03">
      <w:pPr>
        <w:keepNext/>
        <w:ind w:left="426"/>
        <w:rPr>
          <w:b/>
          <w:bCs/>
        </w:rPr>
      </w:pPr>
      <w:r>
        <w:rPr>
          <w:b/>
          <w:bCs/>
        </w:rPr>
        <w:t>Schedule 9 – Amend Entry</w:t>
      </w:r>
    </w:p>
    <w:p w14:paraId="4722755A" w14:textId="77777777" w:rsidR="00CC19FE" w:rsidRDefault="00CC19FE" w:rsidP="00925C03">
      <w:pPr>
        <w:ind w:left="426"/>
      </w:pPr>
      <w:r>
        <w:t xml:space="preserve">CANNABIS (including seeds, extracts, resins, and the plant and any part of the plant when packed or prepared), </w:t>
      </w:r>
      <w:r>
        <w:rPr>
          <w:b/>
          <w:bCs/>
        </w:rPr>
        <w:t>except</w:t>
      </w:r>
      <w:r>
        <w:t>:</w:t>
      </w:r>
    </w:p>
    <w:p w14:paraId="0FFCC5DB" w14:textId="6E806563" w:rsidR="00CC19FE" w:rsidRDefault="00925C03" w:rsidP="00925C03">
      <w:pPr>
        <w:ind w:left="851" w:hanging="436"/>
      </w:pPr>
      <w:r>
        <w:t>a)</w:t>
      </w:r>
      <w:r>
        <w:tab/>
      </w:r>
      <w:r w:rsidR="00CC19FE">
        <w:t>when separately specified in these Schedules; or</w:t>
      </w:r>
    </w:p>
    <w:p w14:paraId="6F3F12F6" w14:textId="1A853165" w:rsidR="00CC19FE" w:rsidRDefault="00CC19FE" w:rsidP="00925C03">
      <w:pPr>
        <w:ind w:left="851" w:hanging="436"/>
      </w:pPr>
      <w:r>
        <w:lastRenderedPageBreak/>
        <w:t>b)</w:t>
      </w:r>
      <w:r w:rsidR="00925C03">
        <w:tab/>
      </w:r>
      <w:r>
        <w:t>processed hemp fibre containing 0.1 per cent or less of tetrahydrocannabinols and hemp fibre products manufactured from such fibre; or</w:t>
      </w:r>
    </w:p>
    <w:p w14:paraId="61C74E3E" w14:textId="367D7ACC" w:rsidR="00CC19FE" w:rsidRPr="00A25920" w:rsidRDefault="00CC19FE" w:rsidP="00925C03">
      <w:pPr>
        <w:ind w:left="851" w:hanging="436"/>
        <w:rPr>
          <w:strike/>
          <w:color w:val="FF0000"/>
        </w:rPr>
      </w:pPr>
      <w:r>
        <w:t>c)</w:t>
      </w:r>
      <w:r w:rsidR="00925C03">
        <w:tab/>
      </w:r>
      <w:r w:rsidRPr="00A271B7">
        <w:rPr>
          <w:strike/>
          <w:color w:val="FF0000"/>
        </w:rPr>
        <w:t>when in</w:t>
      </w:r>
      <w:r w:rsidRPr="00CD33CD">
        <w:t xml:space="preserve"> </w:t>
      </w:r>
      <w:r>
        <w:t xml:space="preserve">hemp seed oil </w:t>
      </w:r>
      <w:r w:rsidRPr="00A271B7">
        <w:rPr>
          <w:strike/>
          <w:color w:val="FF0000"/>
        </w:rPr>
        <w:t>for purposes other than internal human use</w:t>
      </w:r>
      <w:r>
        <w:t xml:space="preserve"> containing </w:t>
      </w:r>
      <w:r w:rsidRPr="00A25920">
        <w:rPr>
          <w:strike/>
          <w:color w:val="FF0000"/>
        </w:rPr>
        <w:t>50</w:t>
      </w:r>
      <w:r>
        <w:t xml:space="preserve"> </w:t>
      </w:r>
      <w:r w:rsidRPr="002E5BE7">
        <w:rPr>
          <w:color w:val="00B050"/>
        </w:rPr>
        <w:t>75</w:t>
      </w:r>
      <w:r w:rsidRPr="00CD33CD">
        <w:t xml:space="preserve"> </w:t>
      </w:r>
      <w:r>
        <w:t xml:space="preserve">mg/kg or less of </w:t>
      </w:r>
      <w:r w:rsidRPr="002E5BE7">
        <w:rPr>
          <w:color w:val="00B050"/>
        </w:rPr>
        <w:t>cannabidiol</w:t>
      </w:r>
      <w:r>
        <w:rPr>
          <w:color w:val="FF0000"/>
        </w:rPr>
        <w:t xml:space="preserve"> </w:t>
      </w:r>
      <w:r w:rsidRPr="00A25920">
        <w:rPr>
          <w:strike/>
          <w:color w:val="FF0000"/>
        </w:rPr>
        <w:t>cannabinoids, including</w:t>
      </w:r>
      <w:r w:rsidRPr="00FF2C82">
        <w:t xml:space="preserve"> </w:t>
      </w:r>
      <w:r>
        <w:t xml:space="preserve">and </w:t>
      </w:r>
      <w:r w:rsidRPr="00A25920">
        <w:rPr>
          <w:strike/>
          <w:color w:val="FF0000"/>
        </w:rPr>
        <w:t>20</w:t>
      </w:r>
      <w:r>
        <w:t xml:space="preserve"> </w:t>
      </w:r>
      <w:r w:rsidRPr="002E5BE7">
        <w:rPr>
          <w:color w:val="00B050"/>
        </w:rPr>
        <w:t>10</w:t>
      </w:r>
      <w:r>
        <w:t xml:space="preserve"> mg/kg or less of tetrahydrocannabinols</w:t>
      </w:r>
      <w:r w:rsidRPr="002E5BE7">
        <w:rPr>
          <w:color w:val="00B050"/>
        </w:rPr>
        <w:t>.</w:t>
      </w:r>
      <w:r w:rsidRPr="00A25920">
        <w:rPr>
          <w:strike/>
          <w:color w:val="FF0000"/>
        </w:rPr>
        <w:t>, when labelled with either of th</w:t>
      </w:r>
      <w:r w:rsidR="00CD33CD">
        <w:rPr>
          <w:strike/>
          <w:color w:val="FF0000"/>
        </w:rPr>
        <w:t>e following warning statements:</w:t>
      </w:r>
    </w:p>
    <w:p w14:paraId="36118980" w14:textId="77777777" w:rsidR="00CC19FE" w:rsidRPr="00A25920" w:rsidRDefault="00CC19FE" w:rsidP="00925C03">
      <w:pPr>
        <w:pStyle w:val="Numberbullet3"/>
        <w:numPr>
          <w:ilvl w:val="0"/>
          <w:numId w:val="15"/>
        </w:numPr>
        <w:ind w:left="1276" w:hanging="425"/>
        <w:rPr>
          <w:strike/>
          <w:color w:val="FF0000"/>
        </w:rPr>
      </w:pPr>
      <w:r w:rsidRPr="00A25920">
        <w:rPr>
          <w:strike/>
          <w:color w:val="FF0000"/>
        </w:rPr>
        <w:t>Not for internal use; or</w:t>
      </w:r>
    </w:p>
    <w:p w14:paraId="59D4B955" w14:textId="77777777" w:rsidR="00CC19FE" w:rsidRDefault="00CC19FE" w:rsidP="00925C03">
      <w:pPr>
        <w:pStyle w:val="Numberbullet3"/>
        <w:numPr>
          <w:ilvl w:val="0"/>
          <w:numId w:val="15"/>
        </w:numPr>
        <w:ind w:left="1276" w:hanging="425"/>
        <w:rPr>
          <w:strike/>
          <w:color w:val="FF0000"/>
        </w:rPr>
      </w:pPr>
      <w:r w:rsidRPr="00A25920">
        <w:rPr>
          <w:strike/>
          <w:color w:val="FF0000"/>
        </w:rPr>
        <w:t>Not to be taken.</w:t>
      </w:r>
    </w:p>
    <w:p w14:paraId="50D6D6CE" w14:textId="77777777" w:rsidR="00CC19FE" w:rsidRDefault="00CC19FE" w:rsidP="00542DE6">
      <w:pPr>
        <w:keepNext/>
        <w:ind w:left="426"/>
        <w:rPr>
          <w:b/>
          <w:bCs/>
        </w:rPr>
      </w:pPr>
      <w:r>
        <w:rPr>
          <w:b/>
          <w:bCs/>
        </w:rPr>
        <w:t>Schedule 8 – Amend Entry</w:t>
      </w:r>
    </w:p>
    <w:p w14:paraId="5CFB9060" w14:textId="77777777" w:rsidR="00CC19FE" w:rsidRDefault="00CC19FE" w:rsidP="00925C03">
      <w:pPr>
        <w:ind w:left="426"/>
      </w:pPr>
      <w:r>
        <w:t># CANNABIS (including seeds, extracts, resins and the plant, and any part of the plant) when prepared or packed for human therapeutic use, when:</w:t>
      </w:r>
    </w:p>
    <w:p w14:paraId="39DE9029" w14:textId="7893C09C" w:rsidR="00CC19FE" w:rsidRDefault="00542DE6" w:rsidP="00542DE6">
      <w:pPr>
        <w:ind w:left="851" w:hanging="425"/>
      </w:pPr>
      <w:r>
        <w:t>a)</w:t>
      </w:r>
      <w:r>
        <w:tab/>
      </w:r>
      <w:r w:rsidR="00CC19FE">
        <w:t xml:space="preserve">cultivated or produced, or in products </w:t>
      </w:r>
      <w:proofErr w:type="gramStart"/>
      <w:r w:rsidR="00CC19FE">
        <w:rPr>
          <w:lang w:val="en-GB"/>
        </w:rPr>
        <w:t>manufactured</w:t>
      </w:r>
      <w:r w:rsidR="00CC19FE">
        <w:rPr>
          <w:vertAlign w:val="superscript"/>
          <w:lang w:val="en-GB"/>
        </w:rPr>
        <w:footnoteReference w:customMarkFollows="1" w:id="1"/>
        <w:t>[</w:t>
      </w:r>
      <w:proofErr w:type="gramEnd"/>
      <w:r w:rsidR="00CC19FE">
        <w:rPr>
          <w:vertAlign w:val="superscript"/>
          <w:lang w:val="en-GB"/>
        </w:rPr>
        <w:t>1]</w:t>
      </w:r>
      <w:r w:rsidR="00CC19FE">
        <w:rPr>
          <w:lang w:val="en-GB"/>
        </w:rPr>
        <w:t xml:space="preserve">, in accordance with the </w:t>
      </w:r>
      <w:r w:rsidR="00CC19FE">
        <w:rPr>
          <w:i/>
          <w:iCs/>
          <w:lang w:val="en-GB"/>
        </w:rPr>
        <w:t>Narcotic Drugs Act 1967</w:t>
      </w:r>
      <w:r w:rsidR="00CC19FE">
        <w:rPr>
          <w:lang w:val="en-GB"/>
        </w:rPr>
        <w:t>; and/or</w:t>
      </w:r>
    </w:p>
    <w:p w14:paraId="2A4D5434" w14:textId="3C4FACF0" w:rsidR="00CC19FE" w:rsidRDefault="00542DE6" w:rsidP="00542DE6">
      <w:pPr>
        <w:ind w:left="851" w:hanging="425"/>
      </w:pPr>
      <w:r>
        <w:rPr>
          <w:lang w:val="en-GB"/>
        </w:rPr>
        <w:t>b)</w:t>
      </w:r>
      <w:r>
        <w:rPr>
          <w:lang w:val="en-GB"/>
        </w:rPr>
        <w:tab/>
      </w:r>
      <w:r w:rsidR="00CC19FE">
        <w:rPr>
          <w:lang w:val="en-GB"/>
        </w:rPr>
        <w:t xml:space="preserve">for use in products manufactured in accordance with the </w:t>
      </w:r>
      <w:r w:rsidR="00CC19FE">
        <w:rPr>
          <w:i/>
          <w:iCs/>
          <w:lang w:val="en-GB"/>
        </w:rPr>
        <w:t>Narcotic Drugs Act 1967</w:t>
      </w:r>
      <w:r w:rsidR="00CC19FE">
        <w:rPr>
          <w:lang w:val="en-GB"/>
        </w:rPr>
        <w:t>; and/or</w:t>
      </w:r>
    </w:p>
    <w:p w14:paraId="73A42A86" w14:textId="477E010B" w:rsidR="00CC19FE" w:rsidRDefault="00CC19FE" w:rsidP="00542DE6">
      <w:pPr>
        <w:ind w:left="851" w:hanging="425"/>
      </w:pPr>
      <w:r>
        <w:rPr>
          <w:lang w:val="en-GB"/>
        </w:rPr>
        <w:t>c)</w:t>
      </w:r>
      <w:r w:rsidR="00542DE6">
        <w:rPr>
          <w:lang w:val="en-GB"/>
        </w:rPr>
        <w:tab/>
      </w:r>
      <w:r>
        <w:rPr>
          <w:lang w:val="en-GB"/>
        </w:rPr>
        <w:t xml:space="preserve">imported as therapeutic goods, or for use in therapeutic goods, for supply, in accordance with the </w:t>
      </w:r>
      <w:r>
        <w:rPr>
          <w:i/>
          <w:iCs/>
          <w:lang w:val="en-GB"/>
        </w:rPr>
        <w:t>Therapeutic Goods Act 1989</w:t>
      </w:r>
      <w:r>
        <w:rPr>
          <w:lang w:val="en-GB"/>
        </w:rPr>
        <w:t>; and/or</w:t>
      </w:r>
    </w:p>
    <w:p w14:paraId="7C005C80" w14:textId="6731CAE8" w:rsidR="00CC19FE" w:rsidRDefault="00542DE6" w:rsidP="00542DE6">
      <w:pPr>
        <w:ind w:left="851" w:hanging="425"/>
      </w:pPr>
      <w:r>
        <w:rPr>
          <w:lang w:val="en-GB"/>
        </w:rPr>
        <w:t>d)</w:t>
      </w:r>
      <w:r>
        <w:rPr>
          <w:lang w:val="en-GB"/>
        </w:rPr>
        <w:tab/>
      </w:r>
      <w:r w:rsidR="00CC19FE">
        <w:rPr>
          <w:lang w:val="en-GB"/>
        </w:rPr>
        <w:t xml:space="preserve">in therapeutic goods supplied in accordance with the </w:t>
      </w:r>
      <w:r w:rsidR="00CC19FE">
        <w:rPr>
          <w:i/>
          <w:iCs/>
          <w:lang w:val="en-GB"/>
        </w:rPr>
        <w:t>Therapeutic Goods Act 1989</w:t>
      </w:r>
      <w:r w:rsidR="00CC19FE">
        <w:t>,</w:t>
      </w:r>
    </w:p>
    <w:p w14:paraId="34E9843A" w14:textId="77777777" w:rsidR="00CC19FE" w:rsidRDefault="00CC19FE" w:rsidP="00542DE6">
      <w:pPr>
        <w:ind w:left="426" w:firstLine="11"/>
      </w:pPr>
      <w:r>
        <w:rPr>
          <w:b/>
          <w:bCs/>
        </w:rPr>
        <w:t>except</w:t>
      </w:r>
      <w:r w:rsidRPr="00A25920">
        <w:rPr>
          <w:color w:val="FF0000"/>
        </w:rPr>
        <w:t xml:space="preserve"> </w:t>
      </w:r>
      <w:r w:rsidRPr="00A25920">
        <w:rPr>
          <w:strike/>
          <w:color w:val="FF0000"/>
        </w:rPr>
        <w:t>when</w:t>
      </w:r>
      <w:r w:rsidRPr="002E5BE7">
        <w:rPr>
          <w:color w:val="00B050"/>
        </w:rPr>
        <w:t>:</w:t>
      </w:r>
    </w:p>
    <w:p w14:paraId="7D8263EF" w14:textId="77777777" w:rsidR="00CC19FE" w:rsidRDefault="00CC19FE" w:rsidP="00542DE6">
      <w:pPr>
        <w:pStyle w:val="Numberbullet3"/>
        <w:numPr>
          <w:ilvl w:val="0"/>
          <w:numId w:val="18"/>
        </w:numPr>
        <w:ind w:left="1134" w:hanging="425"/>
      </w:pPr>
      <w:r w:rsidRPr="007517D9">
        <w:rPr>
          <w:color w:val="00B050"/>
        </w:rPr>
        <w:t>when</w:t>
      </w:r>
      <w:r w:rsidRPr="007517D9">
        <w:t xml:space="preserve"> it is in a product to which item 4, 8, 10, 11 or 12 of Schedule 5A to the </w:t>
      </w:r>
      <w:r w:rsidRPr="00005B07">
        <w:rPr>
          <w:i/>
        </w:rPr>
        <w:t>Therapeutic Goods Regulations 1990</w:t>
      </w:r>
      <w:r w:rsidRPr="007517D9">
        <w:t xml:space="preserve"> applies; or</w:t>
      </w:r>
    </w:p>
    <w:p w14:paraId="0E40B0E1" w14:textId="77777777" w:rsidR="00CC19FE" w:rsidRPr="007517D9" w:rsidRDefault="00CC19FE" w:rsidP="00542DE6">
      <w:pPr>
        <w:pStyle w:val="Numberbullet3"/>
        <w:numPr>
          <w:ilvl w:val="0"/>
          <w:numId w:val="18"/>
        </w:numPr>
        <w:ind w:left="1134" w:hanging="425"/>
      </w:pPr>
      <w:r w:rsidRPr="007517D9">
        <w:rPr>
          <w:color w:val="00B050"/>
          <w:lang w:val="en-GB"/>
        </w:rPr>
        <w:t>when</w:t>
      </w:r>
      <w:r w:rsidRPr="00542DE6">
        <w:rPr>
          <w:lang w:val="en-GB"/>
        </w:rPr>
        <w:t xml:space="preserve"> </w:t>
      </w:r>
      <w:r w:rsidRPr="007517D9">
        <w:rPr>
          <w:lang w:val="en-GB"/>
        </w:rPr>
        <w:t>separately specified in the NABIXIMOLS entry in this Schedule; or</w:t>
      </w:r>
    </w:p>
    <w:p w14:paraId="62CE4E53" w14:textId="77777777" w:rsidR="00CC19FE" w:rsidRPr="007517D9" w:rsidRDefault="00CC19FE" w:rsidP="00542DE6">
      <w:pPr>
        <w:pStyle w:val="Numberbullet3"/>
        <w:numPr>
          <w:ilvl w:val="0"/>
          <w:numId w:val="18"/>
        </w:numPr>
        <w:ind w:left="1134" w:hanging="425"/>
      </w:pPr>
      <w:r w:rsidRPr="007517D9">
        <w:rPr>
          <w:color w:val="00B050"/>
          <w:lang w:val="en-GB"/>
        </w:rPr>
        <w:t>when</w:t>
      </w:r>
      <w:r w:rsidRPr="00542DE6">
        <w:rPr>
          <w:lang w:val="en-GB"/>
        </w:rPr>
        <w:t xml:space="preserve"> </w:t>
      </w:r>
      <w:r w:rsidRPr="007517D9">
        <w:rPr>
          <w:lang w:val="en-GB"/>
        </w:rPr>
        <w:t>captured by the CANNABIDIOL entry in Schedule 4 or Schedule 3</w:t>
      </w:r>
      <w:r w:rsidRPr="007517D9">
        <w:rPr>
          <w:color w:val="00B050"/>
          <w:lang w:val="en-GB"/>
        </w:rPr>
        <w:t>; or</w:t>
      </w:r>
    </w:p>
    <w:p w14:paraId="1F9FB4E6" w14:textId="00F35A05" w:rsidR="00CC19FE" w:rsidRPr="006330A0" w:rsidRDefault="00CC19FE" w:rsidP="00542DE6">
      <w:pPr>
        <w:pStyle w:val="Numberbullet2"/>
        <w:numPr>
          <w:ilvl w:val="0"/>
          <w:numId w:val="18"/>
        </w:numPr>
        <w:spacing w:before="0" w:after="120" w:line="240" w:lineRule="auto"/>
        <w:ind w:left="1134" w:hanging="425"/>
        <w:rPr>
          <w:color w:val="00B050"/>
        </w:rPr>
      </w:pPr>
      <w:r w:rsidRPr="002E5BE7">
        <w:rPr>
          <w:color w:val="00B050"/>
        </w:rPr>
        <w:t>hemp seed oil containing 75 mg/kg or less</w:t>
      </w:r>
      <w:r w:rsidR="007315AE">
        <w:rPr>
          <w:color w:val="00B050"/>
        </w:rPr>
        <w:t xml:space="preserve"> of</w:t>
      </w:r>
      <w:r w:rsidRPr="002E5BE7">
        <w:rPr>
          <w:color w:val="00B050"/>
        </w:rPr>
        <w:t xml:space="preserve"> cannabidiol and 10 mg/kg or less </w:t>
      </w:r>
      <w:r w:rsidR="007315AE">
        <w:rPr>
          <w:color w:val="00B050"/>
        </w:rPr>
        <w:t xml:space="preserve">of </w:t>
      </w:r>
      <w:r w:rsidRPr="002E5BE7">
        <w:rPr>
          <w:color w:val="00B050"/>
        </w:rPr>
        <w:t>tetrahydrocannabinols.</w:t>
      </w:r>
    </w:p>
    <w:p w14:paraId="4CEBA0DD" w14:textId="77777777" w:rsidR="00CC19FE" w:rsidRDefault="00CC19FE" w:rsidP="00542DE6">
      <w:pPr>
        <w:ind w:left="426"/>
        <w:rPr>
          <w:b/>
        </w:rPr>
      </w:pPr>
      <w:r w:rsidRPr="0083763F">
        <w:rPr>
          <w:b/>
        </w:rPr>
        <w:t>Appendix D, Item 1</w:t>
      </w:r>
      <w:r>
        <w:rPr>
          <w:b/>
        </w:rPr>
        <w:t xml:space="preserve"> </w:t>
      </w:r>
      <w:r w:rsidRPr="00B96109">
        <w:t>(Poisons available only from or on the prescription or order of an authorised medical practitioner)</w:t>
      </w:r>
    </w:p>
    <w:p w14:paraId="068718CD" w14:textId="77777777" w:rsidR="00CC19FE" w:rsidRDefault="00CC19FE" w:rsidP="00542DE6">
      <w:pPr>
        <w:ind w:left="426"/>
      </w:pPr>
      <w:r w:rsidRPr="0083763F">
        <w:t>CANNABIS for human use.</w:t>
      </w:r>
    </w:p>
    <w:p w14:paraId="07CF3423" w14:textId="424E4816" w:rsidR="00CC19FE" w:rsidRDefault="00CC19FE" w:rsidP="00542DE6">
      <w:pPr>
        <w:pStyle w:val="ListBulleta"/>
        <w:numPr>
          <w:ilvl w:val="0"/>
          <w:numId w:val="0"/>
        </w:numPr>
        <w:ind w:left="426"/>
        <w:rPr>
          <w:b/>
        </w:rPr>
      </w:pPr>
      <w:r w:rsidRPr="00DD2180">
        <w:rPr>
          <w:b/>
        </w:rPr>
        <w:t xml:space="preserve">Appendix </w:t>
      </w:r>
      <w:r w:rsidR="00CD33CD">
        <w:rPr>
          <w:b/>
        </w:rPr>
        <w:t>K</w:t>
      </w:r>
    </w:p>
    <w:p w14:paraId="330FD704" w14:textId="77777777" w:rsidR="00CC19FE" w:rsidRDefault="00CC19FE" w:rsidP="00542DE6">
      <w:pPr>
        <w:pStyle w:val="ListBulleta"/>
        <w:numPr>
          <w:ilvl w:val="0"/>
          <w:numId w:val="0"/>
        </w:numPr>
        <w:ind w:left="426"/>
      </w:pPr>
      <w:r w:rsidRPr="0083763F">
        <w:t xml:space="preserve">CANNABIS </w:t>
      </w:r>
      <w:r w:rsidRPr="0083763F">
        <w:rPr>
          <w:b/>
        </w:rPr>
        <w:t>except</w:t>
      </w:r>
      <w:r w:rsidRPr="0083763F">
        <w:t xml:space="preserve"> cannabidiol when included in Schedule 4 or Schedule 3</w:t>
      </w:r>
    </w:p>
    <w:p w14:paraId="01B8860E" w14:textId="37A0C5CB" w:rsidR="00CC19FE" w:rsidRPr="00787C11" w:rsidRDefault="00CD33CD" w:rsidP="00542DE6">
      <w:pPr>
        <w:ind w:left="426"/>
        <w:rPr>
          <w:b/>
        </w:rPr>
      </w:pPr>
      <w:r>
        <w:rPr>
          <w:b/>
        </w:rPr>
        <w:t>Index</w:t>
      </w:r>
    </w:p>
    <w:p w14:paraId="1EFB7325" w14:textId="77777777" w:rsidR="00CC19FE" w:rsidRPr="006330A0" w:rsidRDefault="00CC19FE" w:rsidP="00542DE6">
      <w:pPr>
        <w:ind w:left="426"/>
      </w:pPr>
      <w:r w:rsidRPr="006330A0">
        <w:rPr>
          <w:b/>
        </w:rPr>
        <w:t>CANNABIS</w:t>
      </w:r>
      <w:r w:rsidRPr="00976DDA">
        <w:rPr>
          <w:rFonts w:asciiTheme="minorHAnsi" w:eastAsia="Times New Roman" w:hAnsiTheme="minorHAnsi"/>
          <w:b/>
          <w:bCs/>
          <w:szCs w:val="22"/>
          <w:lang w:eastAsia="en-AU"/>
        </w:rPr>
        <w:br/>
      </w:r>
      <w:r w:rsidRPr="00976DDA">
        <w:rPr>
          <w:rFonts w:asciiTheme="minorHAnsi" w:eastAsia="Times New Roman" w:hAnsiTheme="minorHAnsi"/>
          <w:szCs w:val="22"/>
          <w:lang w:eastAsia="en-AU"/>
        </w:rPr>
        <w:t xml:space="preserve">cross reference: CANNABIS SATIVA, HEMP, HEMP SEED OIL, </w:t>
      </w:r>
      <w:r w:rsidRPr="006330A0">
        <w:t>TETRAHYDROCANNABINOLS</w:t>
      </w:r>
    </w:p>
    <w:p w14:paraId="2F7D24CB" w14:textId="77777777" w:rsidR="00CC19FE" w:rsidRPr="006330A0" w:rsidRDefault="00CC19FE" w:rsidP="00542DE6">
      <w:pPr>
        <w:ind w:left="426"/>
        <w:rPr>
          <w:rFonts w:asciiTheme="minorHAnsi" w:eastAsia="Times New Roman" w:hAnsiTheme="minorHAnsi"/>
          <w:szCs w:val="22"/>
          <w:lang w:val="en-US" w:eastAsia="en-AU"/>
        </w:rPr>
      </w:pPr>
      <w:r w:rsidRPr="006330A0">
        <w:t>Schedule 9</w:t>
      </w:r>
      <w:r w:rsidRPr="00976DDA">
        <w:rPr>
          <w:rFonts w:asciiTheme="minorHAnsi" w:eastAsia="Times New Roman" w:hAnsiTheme="minorHAnsi"/>
          <w:szCs w:val="22"/>
          <w:lang w:eastAsia="en-AU"/>
        </w:rPr>
        <w:br/>
        <w:t>Schedule 8</w:t>
      </w:r>
      <w:r w:rsidRPr="00976DDA">
        <w:rPr>
          <w:rFonts w:asciiTheme="minorHAnsi" w:eastAsia="Times New Roman" w:hAnsiTheme="minorHAnsi"/>
          <w:szCs w:val="22"/>
          <w:lang w:eastAsia="en-AU"/>
        </w:rPr>
        <w:br/>
        <w:t>Appendix D, Item 1</w:t>
      </w:r>
      <w:r w:rsidRPr="00976DDA">
        <w:rPr>
          <w:rFonts w:asciiTheme="minorHAnsi" w:eastAsia="Times New Roman" w:hAnsiTheme="minorHAnsi"/>
          <w:szCs w:val="22"/>
          <w:lang w:eastAsia="en-AU"/>
        </w:rPr>
        <w:br/>
        <w:t>Appendix K</w:t>
      </w:r>
    </w:p>
    <w:p w14:paraId="6EF93BC3" w14:textId="77777777" w:rsidR="00CC19FE" w:rsidRDefault="00CC19FE" w:rsidP="00CC19FE">
      <w:pPr>
        <w:rPr>
          <w:b/>
        </w:rPr>
      </w:pPr>
      <w:r>
        <w:rPr>
          <w:b/>
        </w:rPr>
        <w:lastRenderedPageBreak/>
        <w:t>TETRAHYDROCANNABINOLS</w:t>
      </w:r>
    </w:p>
    <w:p w14:paraId="6A7694A2" w14:textId="77777777" w:rsidR="00CC19FE" w:rsidRPr="006330A0" w:rsidRDefault="00CC19FE" w:rsidP="00542DE6">
      <w:pPr>
        <w:ind w:left="426"/>
        <w:rPr>
          <w:b/>
        </w:rPr>
      </w:pPr>
      <w:r w:rsidRPr="00FB6B2B">
        <w:rPr>
          <w:b/>
        </w:rPr>
        <w:t>Schedule 9</w:t>
      </w:r>
      <w:r w:rsidRPr="006330A0">
        <w:rPr>
          <w:b/>
        </w:rPr>
        <w:t xml:space="preserve"> – Amend Entry</w:t>
      </w:r>
    </w:p>
    <w:p w14:paraId="62310129" w14:textId="77777777" w:rsidR="00CC19FE" w:rsidRDefault="00CC19FE" w:rsidP="00542DE6">
      <w:pPr>
        <w:ind w:left="426"/>
      </w:pPr>
      <w:r>
        <w:t xml:space="preserve">TETRAHYDROCANNABINOLS and their alkyl homologues, </w:t>
      </w:r>
      <w:r>
        <w:rPr>
          <w:b/>
          <w:bCs/>
        </w:rPr>
        <w:t>except</w:t>
      </w:r>
      <w:r>
        <w:t>:</w:t>
      </w:r>
    </w:p>
    <w:p w14:paraId="0D067AD5" w14:textId="09656855" w:rsidR="00CC19FE" w:rsidRDefault="00542DE6" w:rsidP="00542DE6">
      <w:pPr>
        <w:ind w:left="851" w:hanging="425"/>
      </w:pPr>
      <w:r>
        <w:t>a)</w:t>
      </w:r>
      <w:r>
        <w:tab/>
      </w:r>
      <w:r w:rsidR="00CC19FE">
        <w:t>when included in Schedule 4 or Schedule 8; or</w:t>
      </w:r>
    </w:p>
    <w:p w14:paraId="4CA2F74C" w14:textId="1610B8AC" w:rsidR="00CC19FE" w:rsidRDefault="00542DE6" w:rsidP="00542DE6">
      <w:pPr>
        <w:pStyle w:val="Numberbullet2"/>
        <w:numPr>
          <w:ilvl w:val="0"/>
          <w:numId w:val="0"/>
        </w:numPr>
        <w:ind w:left="851" w:hanging="425"/>
      </w:pPr>
      <w:r>
        <w:rPr>
          <w:lang w:val="en-GB"/>
        </w:rPr>
        <w:t>b)</w:t>
      </w:r>
      <w:r>
        <w:rPr>
          <w:lang w:val="en-GB"/>
        </w:rPr>
        <w:tab/>
      </w:r>
      <w:r w:rsidR="00CC19FE">
        <w:t>processed hemp fibre containing 0.1 per cent or less of tetrahydrocannabinols, and hemp fibre products manufactured from such fibre; or</w:t>
      </w:r>
    </w:p>
    <w:p w14:paraId="22F6081C" w14:textId="4E79FC04" w:rsidR="00CC19FE" w:rsidRPr="00A25920" w:rsidRDefault="00542DE6" w:rsidP="00542DE6">
      <w:pPr>
        <w:pStyle w:val="Numberbullet2"/>
        <w:numPr>
          <w:ilvl w:val="0"/>
          <w:numId w:val="0"/>
        </w:numPr>
        <w:ind w:left="851" w:hanging="425"/>
        <w:rPr>
          <w:color w:val="FF0000"/>
        </w:rPr>
      </w:pPr>
      <w:r>
        <w:rPr>
          <w:lang w:val="en-GB"/>
        </w:rPr>
        <w:t>c)</w:t>
      </w:r>
      <w:r>
        <w:rPr>
          <w:lang w:val="en-GB"/>
        </w:rPr>
        <w:tab/>
      </w:r>
      <w:r w:rsidR="00CC19FE" w:rsidRPr="002E5BE7">
        <w:rPr>
          <w:color w:val="00B050"/>
        </w:rPr>
        <w:t xml:space="preserve">in hemp seed oil at a concentration of 10 mg/kg or less. </w:t>
      </w:r>
      <w:r w:rsidR="00CC19FE">
        <w:rPr>
          <w:strike/>
          <w:color w:val="FF0000"/>
        </w:rPr>
        <w:t xml:space="preserve">in hemp seed oil for purposes </w:t>
      </w:r>
      <w:r w:rsidR="00CC19FE" w:rsidRPr="00A25920">
        <w:rPr>
          <w:strike/>
          <w:color w:val="FF0000"/>
        </w:rPr>
        <w:t>other than internal human use containing 50 mg/kg or less of total cannabinoids, including 20 mg/kg or less of tetrahydrocannabinols, when labelled with either of the following warning statements:</w:t>
      </w:r>
    </w:p>
    <w:p w14:paraId="53A1EA6B" w14:textId="77777777" w:rsidR="00CC19FE" w:rsidRPr="00A25920" w:rsidRDefault="00CC19FE" w:rsidP="00542DE6">
      <w:pPr>
        <w:pStyle w:val="Numberbullet3"/>
        <w:numPr>
          <w:ilvl w:val="0"/>
          <w:numId w:val="17"/>
        </w:numPr>
        <w:ind w:left="1276" w:hanging="425"/>
        <w:rPr>
          <w:strike/>
          <w:color w:val="FF0000"/>
        </w:rPr>
      </w:pPr>
      <w:r w:rsidRPr="00A25920">
        <w:rPr>
          <w:strike/>
          <w:color w:val="FF0000"/>
        </w:rPr>
        <w:t>Not for internal use; or</w:t>
      </w:r>
    </w:p>
    <w:p w14:paraId="05AAF952" w14:textId="77777777" w:rsidR="00CC19FE" w:rsidRPr="007517D9" w:rsidRDefault="00CC19FE" w:rsidP="00542DE6">
      <w:pPr>
        <w:pStyle w:val="Numberbullet3"/>
        <w:numPr>
          <w:ilvl w:val="0"/>
          <w:numId w:val="17"/>
        </w:numPr>
        <w:ind w:left="1276" w:hanging="425"/>
        <w:rPr>
          <w:strike/>
          <w:color w:val="FF0000"/>
        </w:rPr>
      </w:pPr>
      <w:r w:rsidRPr="00A25920">
        <w:rPr>
          <w:strike/>
          <w:color w:val="FF0000"/>
        </w:rPr>
        <w:t>Not to be taken.</w:t>
      </w:r>
    </w:p>
    <w:p w14:paraId="0B2B683A" w14:textId="77777777" w:rsidR="00CC19FE" w:rsidRDefault="00CC19FE" w:rsidP="00542DE6">
      <w:pPr>
        <w:keepNext/>
        <w:ind w:left="426"/>
        <w:rPr>
          <w:b/>
          <w:bCs/>
        </w:rPr>
      </w:pPr>
      <w:r>
        <w:rPr>
          <w:b/>
          <w:bCs/>
        </w:rPr>
        <w:t>Schedule 8 – Amend Entry</w:t>
      </w:r>
    </w:p>
    <w:p w14:paraId="1B4A3DB5" w14:textId="77777777" w:rsidR="00CC19FE" w:rsidRDefault="00CC19FE" w:rsidP="00542DE6">
      <w:pPr>
        <w:ind w:left="426"/>
      </w:pPr>
      <w:r>
        <w:t># TETRAHYDROCANNABINOLS when extracted from cannabis for human therapeutic use, when:</w:t>
      </w:r>
    </w:p>
    <w:p w14:paraId="0A2E0AEB" w14:textId="3C7B76FB" w:rsidR="00CC19FE" w:rsidRDefault="00CC19FE" w:rsidP="00542DE6">
      <w:pPr>
        <w:ind w:left="851" w:hanging="425"/>
      </w:pPr>
      <w:r>
        <w:rPr>
          <w:lang w:val="en-GB"/>
        </w:rPr>
        <w:t>a)</w:t>
      </w:r>
      <w:r w:rsidR="00542DE6">
        <w:rPr>
          <w:lang w:val="en-GB"/>
        </w:rPr>
        <w:tab/>
      </w:r>
      <w:r>
        <w:t xml:space="preserve">included in products manufactured in accordance with the </w:t>
      </w:r>
      <w:r>
        <w:rPr>
          <w:i/>
          <w:iCs/>
        </w:rPr>
        <w:t>Narcotic Drugs Act 1967</w:t>
      </w:r>
      <w:r>
        <w:t>; and/or</w:t>
      </w:r>
    </w:p>
    <w:p w14:paraId="23659BC2" w14:textId="0814C0C2" w:rsidR="00CC19FE" w:rsidRDefault="00CC19FE" w:rsidP="00542DE6">
      <w:pPr>
        <w:ind w:left="851" w:hanging="425"/>
      </w:pPr>
      <w:r>
        <w:t>b)</w:t>
      </w:r>
      <w:r w:rsidR="00542DE6">
        <w:tab/>
      </w:r>
      <w:r>
        <w:t xml:space="preserve">imported as therapeutic goods, or for use in therapeutic goods, for supply, in accordance with the </w:t>
      </w:r>
      <w:r>
        <w:rPr>
          <w:i/>
          <w:iCs/>
        </w:rPr>
        <w:t>Therapeutic Goods Act 1989</w:t>
      </w:r>
      <w:r>
        <w:t>; and/or</w:t>
      </w:r>
    </w:p>
    <w:p w14:paraId="0C1538C6" w14:textId="14A93274" w:rsidR="00CC19FE" w:rsidRDefault="00542DE6" w:rsidP="00542DE6">
      <w:pPr>
        <w:ind w:left="851" w:hanging="425"/>
      </w:pPr>
      <w:r>
        <w:t>c)</w:t>
      </w:r>
      <w:r>
        <w:tab/>
      </w:r>
      <w:r w:rsidR="00CC19FE">
        <w:t xml:space="preserve">in therapeutic goods supplied in accordance with the </w:t>
      </w:r>
      <w:r w:rsidR="00CC19FE">
        <w:rPr>
          <w:i/>
          <w:iCs/>
        </w:rPr>
        <w:t>Therapeutic Goods Act 1989,</w:t>
      </w:r>
    </w:p>
    <w:p w14:paraId="252FA87F" w14:textId="77777777" w:rsidR="00CC19FE" w:rsidRDefault="00CC19FE" w:rsidP="00CC19FE">
      <w:pPr>
        <w:ind w:left="131" w:firstLine="720"/>
      </w:pPr>
      <w:r>
        <w:rPr>
          <w:b/>
          <w:bCs/>
        </w:rPr>
        <w:t>except</w:t>
      </w:r>
      <w:r>
        <w:t xml:space="preserve"> when:</w:t>
      </w:r>
    </w:p>
    <w:p w14:paraId="305FDC31" w14:textId="77777777" w:rsidR="00CC19FE" w:rsidRDefault="00CC19FE" w:rsidP="00542DE6">
      <w:pPr>
        <w:pStyle w:val="Numberbullet3"/>
        <w:numPr>
          <w:ilvl w:val="0"/>
          <w:numId w:val="19"/>
        </w:numPr>
        <w:ind w:left="1276" w:hanging="425"/>
        <w:rPr>
          <w:lang w:val="en-GB"/>
        </w:rPr>
      </w:pPr>
      <w:r w:rsidRPr="001F662A">
        <w:rPr>
          <w:lang w:val="en-GB"/>
        </w:rPr>
        <w:t xml:space="preserve">it is in a product to which item 4, 8, 10, 11 or 12 of Schedule 5A to the </w:t>
      </w:r>
      <w:r w:rsidRPr="001F662A">
        <w:rPr>
          <w:i/>
          <w:iCs/>
          <w:lang w:val="en-GB"/>
        </w:rPr>
        <w:t>Therapeutic Goods Regulations 1990</w:t>
      </w:r>
      <w:r w:rsidRPr="001F662A">
        <w:rPr>
          <w:lang w:val="en-GB"/>
        </w:rPr>
        <w:t xml:space="preserve"> applies; or</w:t>
      </w:r>
    </w:p>
    <w:p w14:paraId="688F0549" w14:textId="77777777" w:rsidR="00CC19FE" w:rsidRPr="001F662A" w:rsidRDefault="00CC19FE" w:rsidP="00542DE6">
      <w:pPr>
        <w:pStyle w:val="Numberbullet3"/>
        <w:numPr>
          <w:ilvl w:val="0"/>
          <w:numId w:val="19"/>
        </w:numPr>
        <w:ind w:left="1276" w:hanging="425"/>
        <w:rPr>
          <w:lang w:val="en-GB"/>
        </w:rPr>
      </w:pPr>
      <w:r w:rsidRPr="001F662A">
        <w:rPr>
          <w:lang w:val="en-GB"/>
        </w:rPr>
        <w:t>separately specified in the NABIXIMOLS entry in this Schedule; or</w:t>
      </w:r>
    </w:p>
    <w:p w14:paraId="51CAB848" w14:textId="77777777" w:rsidR="00CC19FE" w:rsidRPr="001F662A" w:rsidRDefault="00CC19FE" w:rsidP="00542DE6">
      <w:pPr>
        <w:pStyle w:val="Numberbullet3"/>
        <w:numPr>
          <w:ilvl w:val="0"/>
          <w:numId w:val="19"/>
        </w:numPr>
        <w:ind w:left="1276" w:hanging="425"/>
      </w:pPr>
      <w:r w:rsidRPr="001F662A">
        <w:rPr>
          <w:lang w:val="en-GB"/>
        </w:rPr>
        <w:t>captured by the CANNABIDIOL entry in Schedule 4 or Schedule 3</w:t>
      </w:r>
      <w:r w:rsidRPr="001F662A">
        <w:rPr>
          <w:color w:val="00B050"/>
          <w:lang w:val="en-GB"/>
        </w:rPr>
        <w:t xml:space="preserve">; </w:t>
      </w:r>
      <w:r w:rsidRPr="001F662A">
        <w:rPr>
          <w:color w:val="00B050"/>
        </w:rPr>
        <w:t>or</w:t>
      </w:r>
    </w:p>
    <w:p w14:paraId="690C782C" w14:textId="77777777" w:rsidR="00CC19FE" w:rsidRPr="001F662A" w:rsidRDefault="00CC19FE" w:rsidP="00542DE6">
      <w:pPr>
        <w:pStyle w:val="Numberbullet3"/>
        <w:numPr>
          <w:ilvl w:val="0"/>
          <w:numId w:val="19"/>
        </w:numPr>
        <w:ind w:left="1276" w:hanging="425"/>
        <w:rPr>
          <w:color w:val="00B050"/>
        </w:rPr>
      </w:pPr>
      <w:r w:rsidRPr="001F662A">
        <w:rPr>
          <w:color w:val="00B050"/>
        </w:rPr>
        <w:t>in hemp seed oil at a concentration of 10 mg/kg or less.</w:t>
      </w:r>
    </w:p>
    <w:p w14:paraId="1E6B1DE8" w14:textId="77777777" w:rsidR="00CC19FE" w:rsidRPr="001256FB" w:rsidRDefault="00CC19FE" w:rsidP="00542DE6">
      <w:pPr>
        <w:keepNext/>
        <w:ind w:left="426"/>
        <w:rPr>
          <w:b/>
          <w:bCs/>
        </w:rPr>
      </w:pPr>
      <w:r w:rsidRPr="001256FB">
        <w:rPr>
          <w:b/>
          <w:bCs/>
        </w:rPr>
        <w:t xml:space="preserve">Appendix D, Item 1 </w:t>
      </w:r>
      <w:r w:rsidRPr="006330A0">
        <w:rPr>
          <w:bCs/>
        </w:rPr>
        <w:t>(Poisons available only from or on the prescription or order of an authorised medical practitioner)</w:t>
      </w:r>
    </w:p>
    <w:p w14:paraId="0E6712AB" w14:textId="77777777" w:rsidR="00CC19FE" w:rsidRPr="006330A0" w:rsidRDefault="00CC19FE" w:rsidP="00542DE6">
      <w:pPr>
        <w:keepNext/>
        <w:ind w:left="426"/>
        <w:rPr>
          <w:bCs/>
        </w:rPr>
      </w:pPr>
      <w:r w:rsidRPr="006330A0">
        <w:rPr>
          <w:bCs/>
        </w:rPr>
        <w:t>TETRAHYDROCANNABINOLS for human use.</w:t>
      </w:r>
    </w:p>
    <w:p w14:paraId="2343E53E" w14:textId="169D56BB" w:rsidR="00CC19FE" w:rsidRDefault="00CC19FE" w:rsidP="00542DE6">
      <w:pPr>
        <w:pStyle w:val="ListBulleta"/>
        <w:numPr>
          <w:ilvl w:val="0"/>
          <w:numId w:val="0"/>
        </w:numPr>
        <w:ind w:left="426"/>
        <w:rPr>
          <w:b/>
        </w:rPr>
      </w:pPr>
      <w:r w:rsidRPr="00DD2180">
        <w:rPr>
          <w:b/>
        </w:rPr>
        <w:t xml:space="preserve">Appendix </w:t>
      </w:r>
      <w:r w:rsidR="00CD33CD">
        <w:rPr>
          <w:b/>
        </w:rPr>
        <w:t>K</w:t>
      </w:r>
    </w:p>
    <w:p w14:paraId="7EBE3B0F" w14:textId="73B4D8F5" w:rsidR="00CC19FE" w:rsidRDefault="00CC19FE" w:rsidP="00542DE6">
      <w:pPr>
        <w:pStyle w:val="ListBulleta"/>
        <w:numPr>
          <w:ilvl w:val="0"/>
          <w:numId w:val="0"/>
        </w:numPr>
        <w:ind w:left="426"/>
      </w:pPr>
      <w:r w:rsidRPr="0083763F">
        <w:t xml:space="preserve">TETRAHYDROCANNABINOLS </w:t>
      </w:r>
      <w:r w:rsidRPr="0083763F">
        <w:rPr>
          <w:b/>
        </w:rPr>
        <w:t>except</w:t>
      </w:r>
      <w:r w:rsidRPr="0083763F">
        <w:t xml:space="preserve"> cannabidiol when inc</w:t>
      </w:r>
      <w:r w:rsidR="00542DE6">
        <w:t>luded in Schedule 4 or Schedule </w:t>
      </w:r>
      <w:r w:rsidRPr="0083763F">
        <w:t>3</w:t>
      </w:r>
    </w:p>
    <w:p w14:paraId="62ECAFD9" w14:textId="77777777" w:rsidR="00CC19FE" w:rsidRPr="006330A0" w:rsidRDefault="00CC19FE" w:rsidP="00542DE6">
      <w:pPr>
        <w:ind w:left="426"/>
        <w:rPr>
          <w:b/>
        </w:rPr>
      </w:pPr>
      <w:r w:rsidRPr="006330A0">
        <w:rPr>
          <w:b/>
        </w:rPr>
        <w:t>Index</w:t>
      </w:r>
    </w:p>
    <w:p w14:paraId="2D230C59" w14:textId="77777777" w:rsidR="00CC19FE" w:rsidRDefault="00CC19FE" w:rsidP="00542DE6">
      <w:pPr>
        <w:ind w:left="426"/>
        <w:rPr>
          <w:rFonts w:asciiTheme="minorHAnsi" w:eastAsia="Times New Roman" w:hAnsiTheme="minorHAnsi"/>
          <w:szCs w:val="22"/>
          <w:lang w:val="en-US" w:eastAsia="en-AU"/>
        </w:rPr>
      </w:pPr>
      <w:r w:rsidRPr="006330A0">
        <w:rPr>
          <w:b/>
        </w:rPr>
        <w:t>TE</w:t>
      </w:r>
      <w:r w:rsidRPr="006330A0">
        <w:rPr>
          <w:rFonts w:asciiTheme="minorHAnsi" w:eastAsia="Times New Roman" w:hAnsiTheme="minorHAnsi"/>
          <w:b/>
          <w:bCs/>
          <w:szCs w:val="22"/>
          <w:lang w:eastAsia="en-AU"/>
        </w:rPr>
        <w:t>TRAHYDROCANNABINOLS</w:t>
      </w:r>
      <w:r w:rsidRPr="00976DDA">
        <w:rPr>
          <w:rFonts w:asciiTheme="minorHAnsi" w:eastAsia="Times New Roman" w:hAnsiTheme="minorHAnsi"/>
          <w:bCs/>
          <w:szCs w:val="22"/>
          <w:lang w:eastAsia="en-AU"/>
        </w:rPr>
        <w:br/>
      </w:r>
      <w:r w:rsidRPr="00976DDA">
        <w:rPr>
          <w:rFonts w:asciiTheme="minorHAnsi" w:eastAsia="Times New Roman" w:hAnsiTheme="minorHAnsi"/>
          <w:szCs w:val="22"/>
          <w:lang w:eastAsia="en-AU"/>
        </w:rPr>
        <w:t>cross reference: CANNABIS, HEMP SEED OIL, NABIXIMOLS</w:t>
      </w:r>
    </w:p>
    <w:p w14:paraId="349D771E" w14:textId="77777777" w:rsidR="00CC19FE" w:rsidRPr="006330A0" w:rsidRDefault="00CC19FE" w:rsidP="00542DE6">
      <w:pPr>
        <w:ind w:left="426"/>
        <w:rPr>
          <w:rFonts w:asciiTheme="minorHAnsi" w:eastAsia="Times New Roman" w:hAnsiTheme="minorHAnsi"/>
          <w:szCs w:val="22"/>
          <w:lang w:val="en-US" w:eastAsia="en-AU"/>
        </w:rPr>
      </w:pPr>
      <w:r w:rsidRPr="00976DDA">
        <w:rPr>
          <w:rFonts w:asciiTheme="minorHAnsi" w:eastAsia="Times New Roman" w:hAnsiTheme="minorHAnsi"/>
          <w:szCs w:val="22"/>
          <w:lang w:eastAsia="en-AU"/>
        </w:rPr>
        <w:t>Schedule 9</w:t>
      </w:r>
      <w:r w:rsidRPr="00976DDA">
        <w:rPr>
          <w:rFonts w:asciiTheme="minorHAnsi" w:eastAsia="Times New Roman" w:hAnsiTheme="minorHAnsi"/>
          <w:szCs w:val="22"/>
          <w:lang w:eastAsia="en-AU"/>
        </w:rPr>
        <w:br/>
        <w:t>Schedule 8</w:t>
      </w:r>
      <w:r w:rsidRPr="00976DDA">
        <w:rPr>
          <w:rFonts w:asciiTheme="minorHAnsi" w:eastAsia="Times New Roman" w:hAnsiTheme="minorHAnsi"/>
          <w:szCs w:val="22"/>
          <w:lang w:eastAsia="en-AU"/>
        </w:rPr>
        <w:br/>
      </w:r>
      <w:r w:rsidRPr="00976DDA">
        <w:rPr>
          <w:rFonts w:asciiTheme="minorHAnsi" w:eastAsia="Times New Roman" w:hAnsiTheme="minorHAnsi"/>
          <w:szCs w:val="22"/>
          <w:lang w:eastAsia="en-AU"/>
        </w:rPr>
        <w:lastRenderedPageBreak/>
        <w:t>Appendix D, Item 1</w:t>
      </w:r>
      <w:r w:rsidRPr="00976DDA">
        <w:rPr>
          <w:rFonts w:asciiTheme="minorHAnsi" w:eastAsia="Times New Roman" w:hAnsiTheme="minorHAnsi"/>
          <w:szCs w:val="22"/>
          <w:lang w:eastAsia="en-AU"/>
        </w:rPr>
        <w:br/>
        <w:t>Appendix K</w:t>
      </w:r>
    </w:p>
    <w:p w14:paraId="17EF8A00" w14:textId="77777777" w:rsidR="00CC19FE" w:rsidRDefault="00CC19FE" w:rsidP="00CC19FE">
      <w:pPr>
        <w:keepNext/>
        <w:rPr>
          <w:b/>
          <w:bCs/>
        </w:rPr>
      </w:pPr>
      <w:r>
        <w:rPr>
          <w:b/>
          <w:bCs/>
        </w:rPr>
        <w:t>CANNABIDIOL</w:t>
      </w:r>
    </w:p>
    <w:p w14:paraId="5B8DDC25" w14:textId="0805D978" w:rsidR="00CC19FE" w:rsidRDefault="00CD33CD" w:rsidP="00542DE6">
      <w:pPr>
        <w:keepNext/>
        <w:ind w:left="426"/>
        <w:rPr>
          <w:b/>
          <w:bCs/>
        </w:rPr>
      </w:pPr>
      <w:r>
        <w:rPr>
          <w:b/>
          <w:bCs/>
        </w:rPr>
        <w:t>Schedule 4 – Amend entry</w:t>
      </w:r>
    </w:p>
    <w:p w14:paraId="6C434F7B" w14:textId="77777777" w:rsidR="00CC19FE" w:rsidRDefault="00CC19FE" w:rsidP="00542DE6">
      <w:pPr>
        <w:pStyle w:val="Normal-hanging"/>
        <w:ind w:left="426" w:firstLine="0"/>
      </w:pPr>
      <w:r w:rsidRPr="00991B68">
        <w:rPr>
          <w:rFonts w:asciiTheme="minorHAnsi" w:hAnsiTheme="minorHAnsi"/>
        </w:rPr>
        <w:t>CANNABIDIOL in preparations for therapeutic use or analytical and scientific research where</w:t>
      </w:r>
      <w:r>
        <w:t>:</w:t>
      </w:r>
    </w:p>
    <w:p w14:paraId="6D4D0BEE" w14:textId="781964C3" w:rsidR="00CC19FE" w:rsidRDefault="00542DE6" w:rsidP="00542DE6">
      <w:pPr>
        <w:ind w:left="851" w:hanging="425"/>
      </w:pPr>
      <w:r>
        <w:t>a)</w:t>
      </w:r>
      <w:r>
        <w:tab/>
      </w:r>
      <w:r w:rsidR="00CC19FE">
        <w:t>cannabidiol comprises 98 per cent or more of the total cannabinoid content of the preparation; and</w:t>
      </w:r>
    </w:p>
    <w:p w14:paraId="3FCF992E" w14:textId="20C98F12" w:rsidR="00CC19FE" w:rsidRDefault="00542DE6" w:rsidP="00542DE6">
      <w:pPr>
        <w:ind w:left="851" w:hanging="425"/>
      </w:pPr>
      <w:r>
        <w:t>b)</w:t>
      </w:r>
      <w:r>
        <w:tab/>
      </w:r>
      <w:r w:rsidR="00CC19FE">
        <w:t xml:space="preserve">any cannabinoids, other than cannabidiol, must be only those naturally found in cannabis and comprise 2 per cent or less of the total cannabinoid content of the </w:t>
      </w:r>
      <w:proofErr w:type="gramStart"/>
      <w:r w:rsidR="00CC19FE">
        <w:t>preparation;</w:t>
      </w:r>
      <w:proofErr w:type="gramEnd"/>
    </w:p>
    <w:p w14:paraId="1A344CF5" w14:textId="7B0B213D" w:rsidR="00CC19FE" w:rsidRDefault="00CC19FE" w:rsidP="00542DE6">
      <w:pPr>
        <w:pStyle w:val="Numberbullet2"/>
        <w:numPr>
          <w:ilvl w:val="0"/>
          <w:numId w:val="0"/>
        </w:numPr>
        <w:ind w:left="426"/>
        <w:rPr>
          <w:color w:val="00B050"/>
        </w:rPr>
      </w:pPr>
      <w:r>
        <w:rPr>
          <w:b/>
          <w:bCs/>
        </w:rPr>
        <w:t xml:space="preserve">except </w:t>
      </w:r>
      <w:r>
        <w:t>when</w:t>
      </w:r>
      <w:r w:rsidRPr="001F662A">
        <w:rPr>
          <w:color w:val="00B050"/>
        </w:rPr>
        <w:t>:</w:t>
      </w:r>
    </w:p>
    <w:p w14:paraId="63792546" w14:textId="77777777" w:rsidR="00CC19FE" w:rsidRDefault="00CC19FE" w:rsidP="00542DE6">
      <w:pPr>
        <w:pStyle w:val="Numberbullet3"/>
        <w:numPr>
          <w:ilvl w:val="0"/>
          <w:numId w:val="20"/>
        </w:numPr>
        <w:ind w:left="1276" w:hanging="425"/>
        <w:rPr>
          <w:lang w:val="en-GB"/>
        </w:rPr>
      </w:pPr>
      <w:r>
        <w:t>included in Schedule 3</w:t>
      </w:r>
      <w:r w:rsidRPr="007A77F0">
        <w:rPr>
          <w:color w:val="00B050"/>
        </w:rPr>
        <w:t>; or</w:t>
      </w:r>
    </w:p>
    <w:p w14:paraId="3997D934" w14:textId="7A7E7344" w:rsidR="00CC19FE" w:rsidRPr="007A77F0" w:rsidRDefault="00CC19FE" w:rsidP="00542DE6">
      <w:pPr>
        <w:pStyle w:val="Numberbullet3"/>
        <w:numPr>
          <w:ilvl w:val="0"/>
          <w:numId w:val="20"/>
        </w:numPr>
        <w:ind w:left="1276" w:hanging="425"/>
        <w:rPr>
          <w:lang w:val="en-GB"/>
        </w:rPr>
      </w:pPr>
      <w:r w:rsidRPr="007A77F0">
        <w:rPr>
          <w:color w:val="00B050"/>
        </w:rPr>
        <w:t>in hemp seed oil at a concentration of 75 mg/kg or less</w:t>
      </w:r>
      <w:r w:rsidRPr="00A25920">
        <w:t>.</w:t>
      </w:r>
    </w:p>
    <w:p w14:paraId="11747384" w14:textId="77777777" w:rsidR="00CC19FE" w:rsidRDefault="00CC19FE" w:rsidP="00542DE6">
      <w:pPr>
        <w:ind w:left="426"/>
        <w:rPr>
          <w:b/>
        </w:rPr>
      </w:pPr>
      <w:r>
        <w:rPr>
          <w:b/>
        </w:rPr>
        <w:t>Schedule 3</w:t>
      </w:r>
    </w:p>
    <w:p w14:paraId="3B803757" w14:textId="77777777" w:rsidR="00CC19FE" w:rsidRDefault="00CC19FE" w:rsidP="00542DE6">
      <w:pPr>
        <w:ind w:left="426"/>
      </w:pPr>
      <w:r>
        <w:t xml:space="preserve">CANNABIDIOL in oral, </w:t>
      </w:r>
      <w:proofErr w:type="spellStart"/>
      <w:r>
        <w:t>oromucosal</w:t>
      </w:r>
      <w:proofErr w:type="spellEnd"/>
      <w:r>
        <w:t xml:space="preserve"> and sublingual preparations included in the Australian Register of Therapeutic Goods when:</w:t>
      </w:r>
    </w:p>
    <w:p w14:paraId="40D7DAC6" w14:textId="34E1E5F1" w:rsidR="00CC19FE" w:rsidRDefault="00CC19FE" w:rsidP="006B7A1F">
      <w:pPr>
        <w:ind w:left="851" w:hanging="425"/>
        <w:rPr>
          <w:lang w:val="en-GB"/>
        </w:rPr>
      </w:pPr>
      <w:r w:rsidRPr="005E24AC">
        <w:rPr>
          <w:lang w:val="en-GB"/>
        </w:rPr>
        <w:t>a)</w:t>
      </w:r>
      <w:r w:rsidR="006B7A1F">
        <w:rPr>
          <w:lang w:val="en-GB"/>
        </w:rPr>
        <w:tab/>
      </w:r>
      <w:r w:rsidRPr="005E24AC">
        <w:rPr>
          <w:lang w:val="en-GB"/>
        </w:rPr>
        <w:t>the cannabidiol is either plant derived or, when synthetic, only contai</w:t>
      </w:r>
      <w:r>
        <w:rPr>
          <w:lang w:val="en-GB"/>
        </w:rPr>
        <w:t>ns the (-)-CBD enantiomer; and</w:t>
      </w:r>
    </w:p>
    <w:p w14:paraId="33F0B36D" w14:textId="5214393C" w:rsidR="00CC19FE" w:rsidRDefault="006B7A1F" w:rsidP="006B7A1F">
      <w:pPr>
        <w:ind w:left="851" w:hanging="425"/>
      </w:pPr>
      <w:r>
        <w:rPr>
          <w:lang w:val="en-GB"/>
        </w:rPr>
        <w:t>b)</w:t>
      </w:r>
      <w:r>
        <w:rPr>
          <w:lang w:val="en-GB"/>
        </w:rPr>
        <w:tab/>
      </w:r>
      <w:r w:rsidR="00CC19FE">
        <w:t>the cannabidiol comprises 98 per cent or more of the total cannabinoid content of the preparation; and</w:t>
      </w:r>
    </w:p>
    <w:p w14:paraId="342019BD" w14:textId="0892D3B2" w:rsidR="00CC19FE" w:rsidRDefault="006B7A1F" w:rsidP="006B7A1F">
      <w:pPr>
        <w:ind w:left="851" w:hanging="425"/>
      </w:pPr>
      <w:r>
        <w:t>c)</w:t>
      </w:r>
      <w:r>
        <w:tab/>
      </w:r>
      <w:r w:rsidR="00CC19FE">
        <w:t>any cannabinoids, other than cannabidiol, must be only those naturally found in cannabis and comprise 2 per cent or less of the total cannabinoid content of the preparation and of which tetrahydrocannabinol (THC) can only comprise 1 per cent of the total cannabinoid content; and</w:t>
      </w:r>
    </w:p>
    <w:p w14:paraId="4E8849E4" w14:textId="4AED6496" w:rsidR="00CC19FE" w:rsidRDefault="006B7A1F" w:rsidP="006B7A1F">
      <w:pPr>
        <w:ind w:left="851" w:hanging="425"/>
      </w:pPr>
      <w:r>
        <w:t>d)</w:t>
      </w:r>
      <w:r>
        <w:tab/>
      </w:r>
      <w:r w:rsidR="00CC19FE">
        <w:t>the maximum recommended daily dose is 150</w:t>
      </w:r>
      <w:r>
        <w:t xml:space="preserve"> mg or less of </w:t>
      </w:r>
      <w:proofErr w:type="gramStart"/>
      <w:r>
        <w:t>cannabidiol;</w:t>
      </w:r>
      <w:proofErr w:type="gramEnd"/>
      <w:r>
        <w:t xml:space="preserve"> and</w:t>
      </w:r>
    </w:p>
    <w:p w14:paraId="5D878EB0" w14:textId="4D52C687" w:rsidR="00CC19FE" w:rsidRDefault="006B7A1F" w:rsidP="006B7A1F">
      <w:pPr>
        <w:ind w:left="851" w:hanging="425"/>
      </w:pPr>
      <w:r>
        <w:t>e)</w:t>
      </w:r>
      <w:r>
        <w:tab/>
      </w:r>
      <w:r w:rsidR="00CC19FE">
        <w:t>packed in blister or strip packaging or in a container fitted with a child-resistant closure; and</w:t>
      </w:r>
    </w:p>
    <w:p w14:paraId="3479CE21" w14:textId="2FCB296E" w:rsidR="00CC19FE" w:rsidRDefault="006B7A1F" w:rsidP="006B7A1F">
      <w:pPr>
        <w:ind w:left="851" w:hanging="425"/>
      </w:pPr>
      <w:r>
        <w:t>f)</w:t>
      </w:r>
      <w:r>
        <w:tab/>
      </w:r>
      <w:r w:rsidR="00CC19FE">
        <w:t>in packs containing not more than 30 days’ supply; and</w:t>
      </w:r>
    </w:p>
    <w:p w14:paraId="3FE599CF" w14:textId="4A34061A" w:rsidR="00CC19FE" w:rsidRDefault="006B7A1F" w:rsidP="006B7A1F">
      <w:pPr>
        <w:ind w:left="851" w:hanging="425"/>
      </w:pPr>
      <w:r>
        <w:t>g)</w:t>
      </w:r>
      <w:r>
        <w:tab/>
      </w:r>
      <w:r w:rsidR="00CC19FE">
        <w:t>for persons aged 18 years and over.</w:t>
      </w:r>
    </w:p>
    <w:p w14:paraId="664A8186" w14:textId="77777777" w:rsidR="00CC19FE" w:rsidRPr="005C0A77" w:rsidRDefault="00CC19FE" w:rsidP="006B7A1F">
      <w:pPr>
        <w:ind w:left="426"/>
        <w:rPr>
          <w:b/>
        </w:rPr>
      </w:pPr>
      <w:r>
        <w:rPr>
          <w:b/>
        </w:rPr>
        <w:t>Appendix F, Part 3</w:t>
      </w:r>
    </w:p>
    <w:tbl>
      <w:tblPr>
        <w:tblStyle w:val="TableTGAblue"/>
        <w:tblW w:w="8788" w:type="dxa"/>
        <w:tblInd w:w="416" w:type="dxa"/>
        <w:tblLook w:val="04A0" w:firstRow="1" w:lastRow="0" w:firstColumn="1" w:lastColumn="0" w:noHBand="0" w:noVBand="1"/>
      </w:tblPr>
      <w:tblGrid>
        <w:gridCol w:w="4394"/>
        <w:gridCol w:w="2551"/>
        <w:gridCol w:w="1843"/>
      </w:tblGrid>
      <w:tr w:rsidR="00CC19FE" w:rsidRPr="00DB2469" w14:paraId="37247F48" w14:textId="77777777" w:rsidTr="006B7A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Pr>
          <w:p w14:paraId="5357DE06" w14:textId="71BE3BC1" w:rsidR="00CC19FE" w:rsidRPr="00DB2469" w:rsidRDefault="00CC19FE" w:rsidP="006B7A1F">
            <w:r w:rsidRPr="00DB2469">
              <w:t>P</w:t>
            </w:r>
            <w:r w:rsidR="006B7A1F">
              <w:t>oison</w:t>
            </w:r>
          </w:p>
        </w:tc>
        <w:tc>
          <w:tcPr>
            <w:tcW w:w="2551" w:type="dxa"/>
          </w:tcPr>
          <w:p w14:paraId="6CED7F0B" w14:textId="6CA7B376" w:rsidR="00CC19FE" w:rsidRPr="00DB2469" w:rsidRDefault="00CC19FE" w:rsidP="006B7A1F">
            <w:pPr>
              <w:cnfStyle w:val="100000000000" w:firstRow="1" w:lastRow="0" w:firstColumn="0" w:lastColumn="0" w:oddVBand="0" w:evenVBand="0" w:oddHBand="0" w:evenHBand="0" w:firstRowFirstColumn="0" w:firstRowLastColumn="0" w:lastRowFirstColumn="0" w:lastRowLastColumn="0"/>
              <w:rPr>
                <w:b w:val="0"/>
              </w:rPr>
            </w:pPr>
            <w:r w:rsidRPr="00DB2469">
              <w:t>W</w:t>
            </w:r>
            <w:r w:rsidR="006B7A1F">
              <w:t>arning Statements</w:t>
            </w:r>
          </w:p>
        </w:tc>
        <w:tc>
          <w:tcPr>
            <w:tcW w:w="1843" w:type="dxa"/>
          </w:tcPr>
          <w:p w14:paraId="6E2FB44A" w14:textId="3A20C2EC" w:rsidR="00CC19FE" w:rsidRPr="00DB2469" w:rsidRDefault="00CC19FE" w:rsidP="006B7A1F">
            <w:pPr>
              <w:cnfStyle w:val="100000000000" w:firstRow="1" w:lastRow="0" w:firstColumn="0" w:lastColumn="0" w:oddVBand="0" w:evenVBand="0" w:oddHBand="0" w:evenHBand="0" w:firstRowFirstColumn="0" w:firstRowLastColumn="0" w:lastRowFirstColumn="0" w:lastRowLastColumn="0"/>
              <w:rPr>
                <w:b w:val="0"/>
              </w:rPr>
            </w:pPr>
            <w:r w:rsidRPr="00DB2469">
              <w:t>S</w:t>
            </w:r>
            <w:r w:rsidR="006B7A1F">
              <w:t>afety Direction</w:t>
            </w:r>
          </w:p>
        </w:tc>
      </w:tr>
      <w:tr w:rsidR="006B7A1F" w:rsidRPr="006B7A1F" w14:paraId="46DE129A" w14:textId="77777777" w:rsidTr="006B7A1F">
        <w:tc>
          <w:tcPr>
            <w:cnfStyle w:val="001000000000" w:firstRow="0" w:lastRow="0" w:firstColumn="1" w:lastColumn="0" w:oddVBand="0" w:evenVBand="0" w:oddHBand="0" w:evenHBand="0" w:firstRowFirstColumn="0" w:firstRowLastColumn="0" w:lastRowFirstColumn="0" w:lastRowLastColumn="0"/>
            <w:tcW w:w="4394" w:type="dxa"/>
          </w:tcPr>
          <w:p w14:paraId="0E33C580" w14:textId="77777777" w:rsidR="00CC19FE" w:rsidRPr="0083763F" w:rsidRDefault="00CC19FE" w:rsidP="0046191E">
            <w:pPr>
              <w:rPr>
                <w:color w:val="auto"/>
              </w:rPr>
            </w:pPr>
            <w:r w:rsidRPr="0083763F">
              <w:rPr>
                <w:rFonts w:asciiTheme="minorHAnsi" w:hAnsiTheme="minorHAnsi"/>
                <w:color w:val="auto"/>
                <w:szCs w:val="22"/>
              </w:rPr>
              <w:t>CANNABIDIOL</w:t>
            </w:r>
            <w:r w:rsidRPr="0083763F">
              <w:rPr>
                <w:color w:val="auto"/>
              </w:rPr>
              <w:t xml:space="preserve"> when included in Schedule 3.</w:t>
            </w:r>
          </w:p>
        </w:tc>
        <w:tc>
          <w:tcPr>
            <w:tcW w:w="2551" w:type="dxa"/>
          </w:tcPr>
          <w:p w14:paraId="732C78E4" w14:textId="77777777" w:rsidR="00CC19FE" w:rsidRPr="0083763F" w:rsidRDefault="00CC19FE" w:rsidP="0046191E">
            <w:pPr>
              <w:jc w:val="right"/>
              <w:cnfStyle w:val="000000000000" w:firstRow="0" w:lastRow="0" w:firstColumn="0" w:lastColumn="0" w:oddVBand="0" w:evenVBand="0" w:oddHBand="0" w:evenHBand="0" w:firstRowFirstColumn="0" w:firstRowLastColumn="0" w:lastRowFirstColumn="0" w:lastRowLastColumn="0"/>
              <w:rPr>
                <w:color w:val="auto"/>
              </w:rPr>
            </w:pPr>
            <w:r w:rsidRPr="0083763F">
              <w:rPr>
                <w:color w:val="auto"/>
              </w:rPr>
              <w:t>67, 111</w:t>
            </w:r>
          </w:p>
        </w:tc>
        <w:tc>
          <w:tcPr>
            <w:tcW w:w="1843" w:type="dxa"/>
          </w:tcPr>
          <w:p w14:paraId="0C26C847" w14:textId="77777777" w:rsidR="00CC19FE" w:rsidRPr="006B7A1F" w:rsidRDefault="00CC19FE" w:rsidP="0046191E">
            <w:pPr>
              <w:jc w:val="right"/>
              <w:cnfStyle w:val="000000000000" w:firstRow="0" w:lastRow="0" w:firstColumn="0" w:lastColumn="0" w:oddVBand="0" w:evenVBand="0" w:oddHBand="0" w:evenHBand="0" w:firstRowFirstColumn="0" w:firstRowLastColumn="0" w:lastRowFirstColumn="0" w:lastRowLastColumn="0"/>
              <w:rPr>
                <w:color w:val="auto"/>
              </w:rPr>
            </w:pPr>
          </w:p>
        </w:tc>
      </w:tr>
      <w:tr w:rsidR="00CC19FE" w:rsidRPr="00DB2469" w14:paraId="1CB8F444" w14:textId="77777777" w:rsidTr="006B7A1F">
        <w:tc>
          <w:tcPr>
            <w:cnfStyle w:val="001000000000" w:firstRow="0" w:lastRow="0" w:firstColumn="1" w:lastColumn="0" w:oddVBand="0" w:evenVBand="0" w:oddHBand="0" w:evenHBand="0" w:firstRowFirstColumn="0" w:firstRowLastColumn="0" w:lastRowFirstColumn="0" w:lastRowLastColumn="0"/>
            <w:tcW w:w="8788" w:type="dxa"/>
            <w:gridSpan w:val="3"/>
          </w:tcPr>
          <w:p w14:paraId="507C6A5F" w14:textId="77777777" w:rsidR="00CC19FE" w:rsidRPr="0083763F" w:rsidRDefault="00CC19FE" w:rsidP="0046191E">
            <w:pPr>
              <w:rPr>
                <w:color w:val="auto"/>
              </w:rPr>
            </w:pPr>
            <w:r w:rsidRPr="0083763F">
              <w:rPr>
                <w:color w:val="auto"/>
              </w:rPr>
              <w:t>67: Do not use if pregnant or likely to become pregnant.</w:t>
            </w:r>
          </w:p>
          <w:p w14:paraId="5009A2D7" w14:textId="77777777" w:rsidR="00CC19FE" w:rsidRPr="0083763F" w:rsidRDefault="00CC19FE" w:rsidP="0046191E">
            <w:pPr>
              <w:rPr>
                <w:color w:val="auto"/>
              </w:rPr>
            </w:pPr>
            <w:r w:rsidRPr="0083763F">
              <w:rPr>
                <w:color w:val="auto"/>
              </w:rPr>
              <w:t>111: Do not use if breastfeeding or planning to breastfeed</w:t>
            </w:r>
          </w:p>
        </w:tc>
      </w:tr>
    </w:tbl>
    <w:p w14:paraId="7E7F863A" w14:textId="1304C84F" w:rsidR="00CC19FE" w:rsidRPr="00E445C8" w:rsidRDefault="00CC19FE" w:rsidP="006B7A1F">
      <w:pPr>
        <w:ind w:left="426"/>
        <w:rPr>
          <w:b/>
        </w:rPr>
      </w:pPr>
      <w:r w:rsidRPr="00E445C8">
        <w:rPr>
          <w:b/>
        </w:rPr>
        <w:t>Index</w:t>
      </w:r>
    </w:p>
    <w:p w14:paraId="7D4D61BE" w14:textId="77777777" w:rsidR="00CC19FE" w:rsidRPr="00976DDA" w:rsidRDefault="00CC19FE" w:rsidP="006B7A1F">
      <w:pPr>
        <w:ind w:left="426"/>
        <w:rPr>
          <w:b/>
        </w:rPr>
      </w:pPr>
      <w:r>
        <w:rPr>
          <w:b/>
        </w:rPr>
        <w:lastRenderedPageBreak/>
        <w:t>CANNABIDIOL</w:t>
      </w:r>
      <w:r>
        <w:rPr>
          <w:b/>
        </w:rPr>
        <w:br/>
      </w:r>
      <w:r w:rsidRPr="00976DDA">
        <w:t>cross reference: NABIXIMOLS, CANNABIS, TETRAHYDROCANNABINOLS</w:t>
      </w:r>
    </w:p>
    <w:p w14:paraId="1CABADD6" w14:textId="77777777" w:rsidR="00CC19FE" w:rsidRDefault="00CC19FE" w:rsidP="006B7A1F">
      <w:pPr>
        <w:ind w:left="426"/>
      </w:pPr>
      <w:r>
        <w:t>Schedule 4</w:t>
      </w:r>
      <w:r>
        <w:br/>
      </w:r>
      <w:r w:rsidRPr="00976DDA">
        <w:t>Schedule 3</w:t>
      </w:r>
      <w:r>
        <w:br/>
      </w:r>
      <w:r w:rsidRPr="00976DDA">
        <w:t>Appendix F, Part 3</w:t>
      </w:r>
    </w:p>
    <w:p w14:paraId="0138AF4E" w14:textId="77777777" w:rsidR="00CC19FE" w:rsidRDefault="00CC19FE" w:rsidP="00CC19FE">
      <w:pPr>
        <w:keepNext/>
        <w:rPr>
          <w:b/>
          <w:bCs/>
        </w:rPr>
      </w:pPr>
      <w:r w:rsidRPr="00787C11">
        <w:rPr>
          <w:b/>
          <w:bCs/>
        </w:rPr>
        <w:t>HEMP SEED OIL</w:t>
      </w:r>
    </w:p>
    <w:p w14:paraId="76A9FE87" w14:textId="77777777" w:rsidR="00CC19FE" w:rsidRDefault="00CC19FE" w:rsidP="006B7A1F">
      <w:pPr>
        <w:keepNext/>
        <w:ind w:left="426"/>
        <w:rPr>
          <w:b/>
          <w:bCs/>
        </w:rPr>
      </w:pPr>
      <w:r w:rsidRPr="00787C11">
        <w:rPr>
          <w:b/>
          <w:bCs/>
        </w:rPr>
        <w:t xml:space="preserve">Index – New </w:t>
      </w:r>
      <w:r w:rsidRPr="00D966FE">
        <w:rPr>
          <w:b/>
          <w:bCs/>
        </w:rPr>
        <w:t>Entry</w:t>
      </w:r>
    </w:p>
    <w:p w14:paraId="72966DEA" w14:textId="77777777" w:rsidR="00CC19FE" w:rsidRPr="00787C11" w:rsidRDefault="00CC19FE" w:rsidP="006B7A1F">
      <w:pPr>
        <w:keepNext/>
        <w:ind w:left="426"/>
        <w:rPr>
          <w:b/>
          <w:bCs/>
        </w:rPr>
      </w:pPr>
      <w:r>
        <w:rPr>
          <w:b/>
          <w:color w:val="00B050"/>
        </w:rPr>
        <w:t>HEMP SEED OIL</w:t>
      </w:r>
      <w:r>
        <w:rPr>
          <w:b/>
          <w:color w:val="00B050"/>
        </w:rPr>
        <w:br/>
      </w:r>
      <w:r w:rsidRPr="00D966FE">
        <w:rPr>
          <w:color w:val="00B050"/>
        </w:rPr>
        <w:t>cross reference: CANNABIDIOL, CANNABIS, TETRAHYDROCANNABINOLS</w:t>
      </w:r>
    </w:p>
    <w:p w14:paraId="10038C8B" w14:textId="77777777" w:rsidR="00CC19FE" w:rsidRDefault="00CC19FE" w:rsidP="00CC19FE">
      <w:pPr>
        <w:pStyle w:val="Heading4"/>
      </w:pPr>
      <w:r>
        <w:t>Materials considered</w:t>
      </w:r>
    </w:p>
    <w:p w14:paraId="73335E93" w14:textId="267F4C2E" w:rsidR="00CC19FE" w:rsidRDefault="00CC19FE" w:rsidP="006B7A1F">
      <w:r>
        <w:t xml:space="preserve">In making this </w:t>
      </w:r>
      <w:r w:rsidR="009A066C">
        <w:t>final</w:t>
      </w:r>
      <w:r>
        <w:t xml:space="preserve"> decision, the Delegate considered the following material:</w:t>
      </w:r>
    </w:p>
    <w:p w14:paraId="14C02271" w14:textId="77777777" w:rsidR="00CC19FE" w:rsidRDefault="00CC19FE" w:rsidP="006B7A1F">
      <w:pPr>
        <w:pStyle w:val="ListBullet"/>
      </w:pPr>
      <w:r w:rsidRPr="000E0D69">
        <w:t xml:space="preserve">The </w:t>
      </w:r>
      <w:hyperlink r:id="rId58" w:history="1">
        <w:r w:rsidRPr="00930F98">
          <w:rPr>
            <w:rStyle w:val="Hyperlink"/>
          </w:rPr>
          <w:t>application</w:t>
        </w:r>
      </w:hyperlink>
      <w:r w:rsidRPr="000E0D69">
        <w:t xml:space="preserve"> to amend the</w:t>
      </w:r>
      <w:r>
        <w:t xml:space="preserve"> current Poisons Standard </w:t>
      </w:r>
      <w:r w:rsidRPr="006B7A1F">
        <w:t>with</w:t>
      </w:r>
      <w:r>
        <w:t xml:space="preserve"> respect to </w:t>
      </w:r>
      <w:r w:rsidRPr="005B557B">
        <w:t xml:space="preserve">hemp seed </w:t>
      </w:r>
      <w:r w:rsidRPr="006B7A1F">
        <w:t>oil</w:t>
      </w:r>
      <w:r>
        <w:t>;</w:t>
      </w:r>
    </w:p>
    <w:p w14:paraId="29F61867" w14:textId="77777777" w:rsidR="00CC19FE" w:rsidRDefault="00CC19FE" w:rsidP="00CC19FE">
      <w:pPr>
        <w:pStyle w:val="ListBullet"/>
        <w:numPr>
          <w:ilvl w:val="0"/>
          <w:numId w:val="1"/>
        </w:numPr>
      </w:pPr>
      <w:r>
        <w:t>The 101</w:t>
      </w:r>
      <w:r w:rsidRPr="000E0D69">
        <w:t xml:space="preserve"> </w:t>
      </w:r>
      <w:hyperlink r:id="rId59" w:history="1">
        <w:r w:rsidRPr="00905BFB">
          <w:rPr>
            <w:rStyle w:val="Hyperlink"/>
          </w:rPr>
          <w:t>public submissions</w:t>
        </w:r>
      </w:hyperlink>
      <w:r w:rsidRPr="000710CB">
        <w:rPr>
          <w:rStyle w:val="Hyperlink"/>
          <w:color w:val="auto"/>
          <w:u w:val="none"/>
        </w:rPr>
        <w:t>,</w:t>
      </w:r>
      <w:r w:rsidRPr="000710CB">
        <w:t xml:space="preserve"> including </w:t>
      </w:r>
      <w:r>
        <w:t>9</w:t>
      </w:r>
      <w:r w:rsidRPr="00C85183">
        <w:t xml:space="preserve"> written submissions, </w:t>
      </w:r>
      <w:r>
        <w:t xml:space="preserve">received in response to the </w:t>
      </w:r>
      <w:hyperlink r:id="rId60" w:history="1">
        <w:r w:rsidRPr="00A825A4">
          <w:rPr>
            <w:rStyle w:val="Hyperlink"/>
          </w:rPr>
          <w:t>pre-meeting consultation</w:t>
        </w:r>
      </w:hyperlink>
      <w:r w:rsidRPr="00A825A4">
        <w:t xml:space="preserve"> und</w:t>
      </w:r>
      <w:r>
        <w:t>er regulation 42ZCZK of the Regulations;</w:t>
      </w:r>
    </w:p>
    <w:p w14:paraId="6112E89B" w14:textId="5AF5AF48" w:rsidR="00CC19FE" w:rsidRDefault="00CC19FE" w:rsidP="00CC19FE">
      <w:pPr>
        <w:pStyle w:val="ListBullet"/>
        <w:numPr>
          <w:ilvl w:val="0"/>
          <w:numId w:val="1"/>
        </w:numPr>
      </w:pPr>
      <w:r>
        <w:t>The advice received from the m</w:t>
      </w:r>
      <w:r w:rsidRPr="00A825A4">
        <w:t xml:space="preserve">eeting of the </w:t>
      </w:r>
      <w:r>
        <w:t>A</w:t>
      </w:r>
      <w:r w:rsidRPr="00344CA2">
        <w:t>dvisory Committee on Medicines and Chemicals Scheduling in jo</w:t>
      </w:r>
      <w:r>
        <w:t>int session (Joint ACMS-ACCS #27</w:t>
      </w:r>
      <w:proofErr w:type="gramStart"/>
      <w:r w:rsidRPr="00344CA2">
        <w:t>);</w:t>
      </w:r>
      <w:proofErr w:type="gramEnd"/>
    </w:p>
    <w:p w14:paraId="1E523FB0" w14:textId="1799AF60" w:rsidR="009A066C" w:rsidRDefault="009A066C" w:rsidP="009A066C">
      <w:pPr>
        <w:pStyle w:val="ListBullet"/>
      </w:pPr>
      <w:r>
        <w:t xml:space="preserve">The </w:t>
      </w:r>
      <w:r w:rsidR="001B2C20">
        <w:t>four</w:t>
      </w:r>
      <w:r>
        <w:t xml:space="preserve"> </w:t>
      </w:r>
      <w:hyperlink r:id="rId61" w:history="1">
        <w:r w:rsidRPr="00937E6E">
          <w:rPr>
            <w:rStyle w:val="Hyperlink"/>
          </w:rPr>
          <w:t>public submissions</w:t>
        </w:r>
      </w:hyperlink>
      <w:r>
        <w:t xml:space="preserve">, </w:t>
      </w:r>
      <w:r w:rsidRPr="00C85183">
        <w:t xml:space="preserve">including </w:t>
      </w:r>
      <w:r w:rsidR="001B2C20">
        <w:t>two</w:t>
      </w:r>
      <w:r>
        <w:t xml:space="preserve"> </w:t>
      </w:r>
      <w:r w:rsidRPr="00C85183">
        <w:t>written submissions,</w:t>
      </w:r>
      <w:r>
        <w:t xml:space="preserve"> received in response to the </w:t>
      </w:r>
      <w:r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2D725D33" w14:textId="77777777" w:rsidR="00CC19FE" w:rsidRDefault="00CC19FE" w:rsidP="006B7A1F">
      <w:pPr>
        <w:pStyle w:val="ListBullet"/>
      </w:pPr>
      <w:r>
        <w:t xml:space="preserve">Subsection 52E(1) of the </w:t>
      </w:r>
      <w:r w:rsidRPr="00FC4D25">
        <w:rPr>
          <w:i/>
        </w:rPr>
        <w:t xml:space="preserve">Therapeutic Goods Act 1989, </w:t>
      </w:r>
      <w:r w:rsidRPr="001169AC">
        <w:t xml:space="preserve">in particular </w:t>
      </w:r>
      <w:r>
        <w:t xml:space="preserve">(a) the risks and benefits of the use of a substance; (b) the purpose for which a substance is to be used and the extent of use of a substance; (c) the toxicity of a substance; (d) the dosage, </w:t>
      </w:r>
      <w:r w:rsidRPr="006B7A1F">
        <w:t>formulation</w:t>
      </w:r>
      <w:r>
        <w:t>, labelling, packaging and presentation of a substance; and (f) any other matters that the Secretary considers necessary to protect public health;</w:t>
      </w:r>
    </w:p>
    <w:p w14:paraId="176E2DAB" w14:textId="726821BC" w:rsidR="00CC19FE" w:rsidRDefault="00CC19FE" w:rsidP="006B7A1F">
      <w:pPr>
        <w:pStyle w:val="ListBullet"/>
      </w:pPr>
      <w:r w:rsidRPr="002C1418">
        <w:t xml:space="preserve">The Australian Health Ministers’ Advisory </w:t>
      </w:r>
      <w:r w:rsidRPr="006B7A1F">
        <w:t>Council’s</w:t>
      </w:r>
      <w:r w:rsidRPr="002C1418">
        <w:t xml:space="preserve"> </w:t>
      </w:r>
      <w:hyperlink r:id="rId62" w:history="1">
        <w:r w:rsidRPr="001A7580">
          <w:rPr>
            <w:rStyle w:val="Hyperlink"/>
          </w:rPr>
          <w:t>Scheduling Policy Framework</w:t>
        </w:r>
      </w:hyperlink>
      <w:r w:rsidR="006B7A1F">
        <w:t xml:space="preserve"> (SPF </w:t>
      </w:r>
      <w:r>
        <w:t>2018</w:t>
      </w:r>
      <w:r w:rsidRPr="002C20AE">
        <w:t>);</w:t>
      </w:r>
      <w:r>
        <w:t xml:space="preserve"> and</w:t>
      </w:r>
    </w:p>
    <w:p w14:paraId="78DABF2D" w14:textId="77777777" w:rsidR="00CC19FE" w:rsidRDefault="00CC19FE" w:rsidP="00CC19FE">
      <w:pPr>
        <w:pStyle w:val="ListBullet"/>
        <w:numPr>
          <w:ilvl w:val="0"/>
          <w:numId w:val="1"/>
        </w:numPr>
      </w:pPr>
      <w:r>
        <w:t xml:space="preserve">The </w:t>
      </w:r>
      <w:hyperlink r:id="rId63" w:history="1">
        <w:r w:rsidRPr="001A7580">
          <w:rPr>
            <w:rStyle w:val="Hyperlink"/>
          </w:rPr>
          <w:t>Scheduling handbook: Guidance for amending the Poisons Standard</w:t>
        </w:r>
      </w:hyperlink>
      <w:r>
        <w:t>.</w:t>
      </w:r>
    </w:p>
    <w:p w14:paraId="1D0C53BB" w14:textId="25CF1613" w:rsidR="00CC19FE" w:rsidRDefault="00CC19FE" w:rsidP="00CC19FE">
      <w:pPr>
        <w:pStyle w:val="Heading4"/>
      </w:pPr>
      <w:r>
        <w:t xml:space="preserve">Reasons for the </w:t>
      </w:r>
      <w:r w:rsidR="009A066C">
        <w:t>final</w:t>
      </w:r>
      <w:r w:rsidRPr="00436C41">
        <w:t xml:space="preserve"> decision (including findings on material questions of fact)</w:t>
      </w:r>
    </w:p>
    <w:p w14:paraId="75BFA690" w14:textId="77D1CA6B" w:rsidR="00CC19FE" w:rsidRDefault="009A066C" w:rsidP="005A6756">
      <w:r w:rsidRPr="00253509">
        <w:t>I have made a final decision to confirm</w:t>
      </w:r>
      <w:r>
        <w:t xml:space="preserve"> my </w:t>
      </w:r>
      <w:hyperlink r:id="rId64" w:history="1">
        <w:r w:rsidRPr="008F73DD">
          <w:rPr>
            <w:rStyle w:val="Hyperlink"/>
          </w:rPr>
          <w:t>interim decision</w:t>
        </w:r>
      </w:hyperlink>
      <w:r>
        <w:t xml:space="preserve"> to amend</w:t>
      </w:r>
      <w:r w:rsidRPr="00253509">
        <w:t xml:space="preserve"> the current Poisons Standard with </w:t>
      </w:r>
      <w:r w:rsidRPr="00B53AFD">
        <w:t xml:space="preserve">respect to </w:t>
      </w:r>
      <w:r>
        <w:t>hemp seed oil</w:t>
      </w:r>
      <w:r w:rsidRPr="00B53AFD">
        <w:t>. My reasons for making the final decision are those set out in the interim decision. In</w:t>
      </w:r>
      <w:r w:rsidRPr="00253509">
        <w:t xml:space="preserve"> making my final decision, I have </w:t>
      </w:r>
      <w:proofErr w:type="gramStart"/>
      <w:r w:rsidRPr="00253509">
        <w:t>taken into account</w:t>
      </w:r>
      <w:proofErr w:type="gramEnd"/>
      <w:r w:rsidRPr="00253509">
        <w:t xml:space="preserve">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20 July 2021</w:t>
      </w:r>
      <w:r w:rsidRPr="0014113C">
        <w:t xml:space="preserve"> under regulation 42ZCZP of the </w:t>
      </w:r>
      <w:r w:rsidRPr="00C45F2E">
        <w:t xml:space="preserve">Regulations. I note that </w:t>
      </w:r>
      <w:r w:rsidR="00CB535C">
        <w:t>three of the four</w:t>
      </w:r>
      <w:r w:rsidR="00C45F2E" w:rsidRPr="00C45F2E">
        <w:t xml:space="preserve"> public submission</w:t>
      </w:r>
      <w:r w:rsidR="0017544E">
        <w:t>s</w:t>
      </w:r>
      <w:r w:rsidR="00C45F2E" w:rsidRPr="00C45F2E">
        <w:t xml:space="preserve"> </w:t>
      </w:r>
      <w:r w:rsidR="00C45F2E" w:rsidRPr="00441DF1">
        <w:t xml:space="preserve">received during the second round of consultation </w:t>
      </w:r>
      <w:r w:rsidR="00CB535C">
        <w:t xml:space="preserve">were </w:t>
      </w:r>
      <w:r w:rsidR="0017544E">
        <w:t>not opposed to</w:t>
      </w:r>
      <w:r w:rsidR="00570F4A">
        <w:t xml:space="preserve"> </w:t>
      </w:r>
      <w:r w:rsidR="00C45F2E" w:rsidRPr="00C45F2E">
        <w:t>the interim decision</w:t>
      </w:r>
      <w:r w:rsidRPr="00C45F2E">
        <w:t>.</w:t>
      </w:r>
    </w:p>
    <w:p w14:paraId="5465CB23" w14:textId="287DBF93" w:rsidR="00CC19FE" w:rsidRPr="009B0447" w:rsidRDefault="009A066C" w:rsidP="00CC19FE">
      <w:pPr>
        <w:pStyle w:val="Heading4"/>
      </w:pPr>
      <w:r>
        <w:t>I</w:t>
      </w:r>
      <w:r w:rsidR="00CC19FE">
        <w:t>mplementation date</w:t>
      </w:r>
    </w:p>
    <w:p w14:paraId="602EF2FA" w14:textId="2F0E35D5" w:rsidR="00CC19FE" w:rsidRDefault="00CC19FE" w:rsidP="00CC19FE">
      <w:pPr>
        <w:spacing w:after="240"/>
        <w:rPr>
          <w:b/>
        </w:rPr>
      </w:pPr>
      <w:r>
        <w:rPr>
          <w:b/>
        </w:rPr>
        <w:t>1 October</w:t>
      </w:r>
      <w:r w:rsidRPr="00550FD5">
        <w:rPr>
          <w:b/>
        </w:rPr>
        <w:t xml:space="preserve"> 2021</w:t>
      </w:r>
    </w:p>
    <w:p w14:paraId="4F33FC67" w14:textId="77777777" w:rsidR="00601106" w:rsidRDefault="00601106" w:rsidP="00CC19FE">
      <w:pPr>
        <w:spacing w:after="240"/>
        <w:rPr>
          <w:b/>
        </w:rPr>
      </w:pPr>
    </w:p>
    <w:p w14:paraId="0C8B9F39" w14:textId="6509EB86" w:rsidR="00CC19FE" w:rsidRPr="00A177FD" w:rsidRDefault="000B36C5" w:rsidP="00ED01EE">
      <w:pPr>
        <w:pStyle w:val="Heading2"/>
      </w:pPr>
      <w:bookmarkStart w:id="99" w:name="_Toc81236028"/>
      <w:bookmarkStart w:id="100" w:name="_Toc81236029"/>
      <w:bookmarkStart w:id="101" w:name="_Toc81236030"/>
      <w:bookmarkStart w:id="102" w:name="_Toc81236031"/>
      <w:bookmarkStart w:id="103" w:name="_Toc81236032"/>
      <w:bookmarkStart w:id="104" w:name="_Toc81236033"/>
      <w:bookmarkStart w:id="105" w:name="_Toc81236034"/>
      <w:bookmarkStart w:id="106" w:name="_Toc81236035"/>
      <w:bookmarkStart w:id="107" w:name="_Toc81236036"/>
      <w:bookmarkStart w:id="108" w:name="_Toc81236037"/>
      <w:bookmarkStart w:id="109" w:name="_Toc81236044"/>
      <w:bookmarkStart w:id="110" w:name="_Toc81236045"/>
      <w:bookmarkStart w:id="111" w:name="_Toc81236046"/>
      <w:bookmarkStart w:id="112" w:name="_Toc81236047"/>
      <w:bookmarkStart w:id="113" w:name="_Toc81236048"/>
      <w:bookmarkStart w:id="114" w:name="_Toc81236057"/>
      <w:bookmarkStart w:id="115" w:name="_Toc81236058"/>
      <w:bookmarkStart w:id="116" w:name="_Toc81236059"/>
      <w:bookmarkStart w:id="117" w:name="_Toc81236060"/>
      <w:bookmarkStart w:id="118" w:name="_Toc81236061"/>
      <w:bookmarkStart w:id="119" w:name="_Toc81236062"/>
      <w:bookmarkStart w:id="120" w:name="_Toc81236063"/>
      <w:bookmarkStart w:id="121" w:name="_Toc81236064"/>
      <w:bookmarkStart w:id="122" w:name="_Toc81236066"/>
      <w:bookmarkStart w:id="123" w:name="_Toc81236067"/>
      <w:bookmarkStart w:id="124" w:name="_Toc81236068"/>
      <w:bookmarkStart w:id="125" w:name="_Toc81236069"/>
      <w:bookmarkStart w:id="126" w:name="_Toc81236070"/>
      <w:bookmarkStart w:id="127" w:name="_Toc81236071"/>
      <w:bookmarkStart w:id="128" w:name="_Toc81236072"/>
      <w:bookmarkStart w:id="129" w:name="_Toc81236073"/>
      <w:bookmarkStart w:id="130" w:name="_Toc81236074"/>
      <w:bookmarkStart w:id="131" w:name="_Toc81236075"/>
      <w:bookmarkStart w:id="132" w:name="_Toc81236076"/>
      <w:bookmarkStart w:id="133" w:name="_Toc81236077"/>
      <w:bookmarkStart w:id="134" w:name="_Toc74846516"/>
      <w:bookmarkStart w:id="135" w:name="_Toc77686121"/>
      <w:bookmarkStart w:id="136" w:name="_Toc81573625"/>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lastRenderedPageBreak/>
        <w:t>Final</w:t>
      </w:r>
      <w:r w:rsidR="00CC19FE" w:rsidRPr="00FA029A">
        <w:t xml:space="preserve"> decisi</w:t>
      </w:r>
      <w:r w:rsidR="00CC19FE" w:rsidRPr="00AC209E">
        <w:t>ons</w:t>
      </w:r>
      <w:r w:rsidR="00CC19FE" w:rsidRPr="00FA029A">
        <w:t xml:space="preserve"> on proposed amendments referred to the </w:t>
      </w:r>
      <w:r w:rsidR="00CC19FE" w:rsidRPr="00F41DCE">
        <w:t>Advisory Commi</w:t>
      </w:r>
      <w:r w:rsidR="00CC19FE" w:rsidRPr="00C24C50">
        <w:t>ttee on Chemicals Scheduling (ACCS #</w:t>
      </w:r>
      <w:r w:rsidR="00CC19FE">
        <w:t>30</w:t>
      </w:r>
      <w:r w:rsidR="00CC19FE" w:rsidRPr="00C24C50">
        <w:t xml:space="preserve">, </w:t>
      </w:r>
      <w:r w:rsidR="00CC19FE">
        <w:t>March</w:t>
      </w:r>
      <w:r w:rsidR="00CC19FE" w:rsidRPr="00C24C50">
        <w:t xml:space="preserve"> 20</w:t>
      </w:r>
      <w:r w:rsidR="00CC19FE">
        <w:t>21</w:t>
      </w:r>
      <w:r w:rsidR="00CC19FE" w:rsidRPr="00C24C50">
        <w:t>)</w:t>
      </w:r>
      <w:bookmarkEnd w:id="134"/>
      <w:bookmarkEnd w:id="135"/>
      <w:bookmarkEnd w:id="136"/>
    </w:p>
    <w:p w14:paraId="6367FA96" w14:textId="100A8018" w:rsidR="00CC19FE" w:rsidRDefault="000B36C5" w:rsidP="00CC19FE">
      <w:pPr>
        <w:pStyle w:val="Heading3"/>
      </w:pPr>
      <w:bookmarkStart w:id="137" w:name="_Toc74846517"/>
      <w:bookmarkStart w:id="138" w:name="_Toc77686122"/>
      <w:bookmarkStart w:id="139" w:name="_Toc81573626"/>
      <w:r>
        <w:t>Final</w:t>
      </w:r>
      <w:r w:rsidR="00CC19FE">
        <w:t xml:space="preserve"> decision in relation to lead (in paint)</w:t>
      </w:r>
      <w:bookmarkEnd w:id="137"/>
      <w:bookmarkEnd w:id="138"/>
      <w:bookmarkEnd w:id="139"/>
    </w:p>
    <w:p w14:paraId="27054521" w14:textId="77777777" w:rsidR="00CC19FE" w:rsidRDefault="00CC19FE" w:rsidP="00CC19FE">
      <w:pPr>
        <w:pStyle w:val="Heading4"/>
      </w:pPr>
      <w:r>
        <w:t>Proposal</w:t>
      </w:r>
    </w:p>
    <w:p w14:paraId="1039C767" w14:textId="5354C8B9" w:rsidR="00CC19FE" w:rsidRPr="00AB2FB8" w:rsidRDefault="00CC19FE" w:rsidP="005A6756">
      <w:r>
        <w:t>Three applicants</w:t>
      </w:r>
      <w:r w:rsidR="00541731">
        <w:t xml:space="preserve"> proposed an amendment to the</w:t>
      </w:r>
      <w:r>
        <w:t xml:space="preserve"> Schedule 10 entry for </w:t>
      </w:r>
      <w:r w:rsidR="000B36C5">
        <w:t>l</w:t>
      </w:r>
      <w:r>
        <w:t xml:space="preserve">ead compounds to reduce the permissible level </w:t>
      </w:r>
      <w:r w:rsidR="005A6756">
        <w:t>in paints from 0.1% to 0.009%.</w:t>
      </w:r>
    </w:p>
    <w:p w14:paraId="13A367AD" w14:textId="7B41E73B" w:rsidR="00CC19FE" w:rsidRPr="00330A1E" w:rsidRDefault="000B36C5" w:rsidP="00CC19FE">
      <w:pPr>
        <w:pStyle w:val="Heading4"/>
      </w:pPr>
      <w:r>
        <w:t>Final</w:t>
      </w:r>
      <w:r w:rsidR="00CC19FE" w:rsidRPr="00330A1E">
        <w:t xml:space="preserve"> decision</w:t>
      </w:r>
    </w:p>
    <w:p w14:paraId="7ECD2698" w14:textId="12BA412A" w:rsidR="00CC19FE" w:rsidRDefault="00CC19FE" w:rsidP="005A6756">
      <w:r w:rsidRPr="00A05D10">
        <w:t>Pursuant to regulation 42ZCZ</w:t>
      </w:r>
      <w:r w:rsidR="00AF32CF">
        <w:t>R</w:t>
      </w:r>
      <w:r w:rsidRPr="00A05D10">
        <w:t xml:space="preserve"> of the Regulations, a Delegate of the Secretary has,</w:t>
      </w:r>
      <w:r>
        <w:t xml:space="preserve"> </w:t>
      </w:r>
      <w:r w:rsidRPr="00A05D10">
        <w:t>in relation to the proposed amendment, made a</w:t>
      </w:r>
      <w:r w:rsidR="00025BEA">
        <w:t xml:space="preserve"> final</w:t>
      </w:r>
      <w:r w:rsidRPr="00A05D10">
        <w:t xml:space="preserve"> decision to amend the current Poisons St</w:t>
      </w:r>
      <w:r>
        <w:t>andard in relation to lead</w:t>
      </w:r>
      <w:r w:rsidRPr="00A05D10">
        <w:t xml:space="preserve"> as follows:</w:t>
      </w:r>
    </w:p>
    <w:p w14:paraId="1F4E91C0" w14:textId="77777777" w:rsidR="00CC19FE" w:rsidRPr="00D0237E" w:rsidRDefault="00CC19FE" w:rsidP="00CC19FE">
      <w:pPr>
        <w:ind w:left="426"/>
        <w:rPr>
          <w:b/>
          <w:color w:val="000000"/>
          <w:shd w:val="clear" w:color="auto" w:fill="FFFFFF"/>
        </w:rPr>
      </w:pPr>
      <w:r w:rsidRPr="00D0237E">
        <w:rPr>
          <w:b/>
          <w:color w:val="000000"/>
          <w:shd w:val="clear" w:color="auto" w:fill="FFFFFF"/>
        </w:rPr>
        <w:t>PART 2, SECTION SEVEN/Appendix I</w:t>
      </w:r>
      <w:r>
        <w:rPr>
          <w:b/>
          <w:color w:val="000000"/>
          <w:shd w:val="clear" w:color="auto" w:fill="FFFFFF"/>
        </w:rPr>
        <w:t xml:space="preserve"> – Amend Section</w:t>
      </w:r>
    </w:p>
    <w:p w14:paraId="243A4865" w14:textId="77777777" w:rsidR="00CC19FE" w:rsidRDefault="00CC19FE" w:rsidP="00CC19FE">
      <w:pPr>
        <w:ind w:left="426"/>
        <w:rPr>
          <w:color w:val="000000"/>
          <w:shd w:val="clear" w:color="auto" w:fill="FFFFFF"/>
        </w:rPr>
      </w:pPr>
      <w:r>
        <w:rPr>
          <w:color w:val="000000"/>
          <w:shd w:val="clear" w:color="auto" w:fill="FFFFFF"/>
        </w:rPr>
        <w:t>(2) A person must not manufacture, sell, supply or use</w:t>
      </w:r>
      <w:r w:rsidRPr="00310708">
        <w:rPr>
          <w:color w:val="00B050"/>
          <w:shd w:val="clear" w:color="auto" w:fill="FFFFFF"/>
        </w:rPr>
        <w:t>:</w:t>
      </w:r>
    </w:p>
    <w:p w14:paraId="6AF815C4" w14:textId="31CAB6BF" w:rsidR="00CC19FE" w:rsidRPr="00E7082E" w:rsidRDefault="00CC19FE" w:rsidP="00461A43">
      <w:pPr>
        <w:ind w:left="851" w:hanging="425"/>
        <w:rPr>
          <w:color w:val="00B050"/>
          <w:shd w:val="clear" w:color="auto" w:fill="FFFFFF"/>
        </w:rPr>
      </w:pPr>
      <w:r w:rsidRPr="00E7082E">
        <w:rPr>
          <w:color w:val="00B050"/>
          <w:shd w:val="clear" w:color="auto" w:fill="FFFFFF"/>
        </w:rPr>
        <w:t>a)</w:t>
      </w:r>
      <w:r w:rsidRPr="00E7082E">
        <w:rPr>
          <w:color w:val="00B050"/>
          <w:shd w:val="clear" w:color="auto" w:fill="FFFFFF"/>
        </w:rPr>
        <w:tab/>
        <w:t>an anti-fouling or anti-corrosive paint containing more than 0.1%</w:t>
      </w:r>
      <w:r>
        <w:rPr>
          <w:color w:val="00B050"/>
          <w:shd w:val="clear" w:color="auto" w:fill="FFFFFF"/>
        </w:rPr>
        <w:t xml:space="preserve"> Lead </w:t>
      </w:r>
      <w:r w:rsidRPr="00E7082E">
        <w:rPr>
          <w:color w:val="00B050"/>
          <w:shd w:val="clear" w:color="auto" w:fill="FFFFFF"/>
        </w:rPr>
        <w:t xml:space="preserve">(the proportion of Lead for the purposes of this </w:t>
      </w:r>
      <w:r>
        <w:rPr>
          <w:color w:val="00B050"/>
          <w:shd w:val="clear" w:color="auto" w:fill="FFFFFF"/>
        </w:rPr>
        <w:t xml:space="preserve">section </w:t>
      </w:r>
      <w:r w:rsidRPr="00E7082E">
        <w:rPr>
          <w:color w:val="00B050"/>
          <w:shd w:val="clear" w:color="auto" w:fill="FFFFFF"/>
        </w:rPr>
        <w:t>is calculated as a percentage of the element present in the non-volatile content of the paint);</w:t>
      </w:r>
      <w:r w:rsidR="0069109F">
        <w:rPr>
          <w:color w:val="00B050"/>
          <w:shd w:val="clear" w:color="auto" w:fill="FFFFFF"/>
        </w:rPr>
        <w:t xml:space="preserve"> or</w:t>
      </w:r>
    </w:p>
    <w:p w14:paraId="4A68008E" w14:textId="32715B8B" w:rsidR="00CC19FE" w:rsidRPr="009E40EE" w:rsidRDefault="00CC19FE" w:rsidP="00461A43">
      <w:pPr>
        <w:ind w:left="851" w:hanging="425"/>
        <w:rPr>
          <w:color w:val="000000"/>
          <w:shd w:val="clear" w:color="auto" w:fill="FFFFFF"/>
        </w:rPr>
      </w:pPr>
      <w:r w:rsidRPr="00E7082E">
        <w:rPr>
          <w:color w:val="00B050"/>
          <w:shd w:val="clear" w:color="auto" w:fill="FFFFFF"/>
        </w:rPr>
        <w:t>b)</w:t>
      </w:r>
      <w:r>
        <w:rPr>
          <w:color w:val="000000"/>
          <w:shd w:val="clear" w:color="auto" w:fill="FFFFFF"/>
        </w:rPr>
        <w:tab/>
        <w:t xml:space="preserve">a paint </w:t>
      </w:r>
      <w:r w:rsidRPr="00E7082E">
        <w:rPr>
          <w:color w:val="00B050"/>
          <w:shd w:val="clear" w:color="auto" w:fill="FFFFFF"/>
        </w:rPr>
        <w:t>(other than an anti-fouling or anti-corrosive paint)</w:t>
      </w:r>
      <w:r>
        <w:rPr>
          <w:color w:val="000000"/>
          <w:shd w:val="clear" w:color="auto" w:fill="FFFFFF"/>
        </w:rPr>
        <w:t xml:space="preserve"> or tinter containing more than </w:t>
      </w:r>
      <w:r w:rsidRPr="00DB7711">
        <w:rPr>
          <w:strike/>
          <w:color w:val="FF0000"/>
          <w:shd w:val="clear" w:color="auto" w:fill="FFFFFF"/>
        </w:rPr>
        <w:t>0.1</w:t>
      </w:r>
      <w:r w:rsidRPr="00DB7711">
        <w:rPr>
          <w:color w:val="FF0000"/>
          <w:shd w:val="clear" w:color="auto" w:fill="FFFFFF"/>
        </w:rPr>
        <w:t xml:space="preserve"> </w:t>
      </w:r>
      <w:r w:rsidRPr="00E7082E">
        <w:rPr>
          <w:color w:val="00B050"/>
          <w:shd w:val="clear" w:color="auto" w:fill="FFFFFF"/>
        </w:rPr>
        <w:t>0.009</w:t>
      </w:r>
      <w:r>
        <w:rPr>
          <w:color w:val="000000"/>
          <w:shd w:val="clear" w:color="auto" w:fill="FFFFFF"/>
        </w:rPr>
        <w:t xml:space="preserve">% Lead (the proportion of Lead for the purposes of </w:t>
      </w:r>
      <w:r w:rsidRPr="00570F4A">
        <w:rPr>
          <w:shd w:val="clear" w:color="auto" w:fill="FFFFFF"/>
        </w:rPr>
        <w:t>this section</w:t>
      </w:r>
      <w:r w:rsidRPr="0069109F">
        <w:rPr>
          <w:shd w:val="clear" w:color="auto" w:fill="FFFFFF"/>
        </w:rPr>
        <w:t xml:space="preserve"> </w:t>
      </w:r>
      <w:r>
        <w:rPr>
          <w:color w:val="000000"/>
          <w:shd w:val="clear" w:color="auto" w:fill="FFFFFF"/>
        </w:rPr>
        <w:t>is calculated as a percentage of the element present in the non-volatile content of the paint).</w:t>
      </w:r>
    </w:p>
    <w:p w14:paraId="12EA2746" w14:textId="77777777" w:rsidR="00CC19FE" w:rsidRPr="004B1A6E" w:rsidRDefault="00CC19FE" w:rsidP="00CC19FE">
      <w:pPr>
        <w:ind w:left="426"/>
        <w:rPr>
          <w:b/>
          <w:color w:val="000000"/>
          <w:shd w:val="clear" w:color="auto" w:fill="FFFFFF"/>
        </w:rPr>
      </w:pPr>
      <w:r w:rsidRPr="004B1A6E">
        <w:rPr>
          <w:b/>
          <w:color w:val="000000"/>
          <w:shd w:val="clear" w:color="auto" w:fill="FFFFFF"/>
        </w:rPr>
        <w:t>Schedule 10</w:t>
      </w:r>
      <w:r>
        <w:rPr>
          <w:b/>
          <w:color w:val="000000"/>
          <w:shd w:val="clear" w:color="auto" w:fill="FFFFFF"/>
        </w:rPr>
        <w:t xml:space="preserve"> – Amend Entry</w:t>
      </w:r>
    </w:p>
    <w:p w14:paraId="3BF15A2F" w14:textId="77777777" w:rsidR="00CC19FE" w:rsidRDefault="00CC19FE" w:rsidP="00CC19FE">
      <w:pPr>
        <w:ind w:left="426"/>
        <w:rPr>
          <w:color w:val="000000"/>
          <w:shd w:val="clear" w:color="auto" w:fill="FFFFFF"/>
        </w:rPr>
      </w:pPr>
      <w:r>
        <w:rPr>
          <w:color w:val="000000"/>
          <w:shd w:val="clear" w:color="auto" w:fill="FFFFFF"/>
        </w:rPr>
        <w:t>LEAD COMPOUNDS</w:t>
      </w:r>
      <w:r w:rsidRPr="00310708">
        <w:rPr>
          <w:color w:val="00B050"/>
          <w:shd w:val="clear" w:color="auto" w:fill="FFFFFF"/>
        </w:rPr>
        <w:t>:</w:t>
      </w:r>
    </w:p>
    <w:p w14:paraId="351D87EE" w14:textId="1D8481CB" w:rsidR="00CC19FE" w:rsidRPr="00D400D0" w:rsidRDefault="00CC19FE" w:rsidP="00461A43">
      <w:pPr>
        <w:ind w:left="851" w:hanging="425"/>
        <w:rPr>
          <w:color w:val="00B050"/>
          <w:shd w:val="clear" w:color="auto" w:fill="FFFFFF"/>
        </w:rPr>
      </w:pPr>
      <w:r w:rsidRPr="00310708">
        <w:rPr>
          <w:color w:val="00B050"/>
          <w:shd w:val="clear" w:color="auto" w:fill="FFFFFF"/>
        </w:rPr>
        <w:t>a)</w:t>
      </w:r>
      <w:r w:rsidRPr="00310708">
        <w:rPr>
          <w:color w:val="00B050"/>
          <w:shd w:val="clear" w:color="auto" w:fill="FFFFFF"/>
        </w:rPr>
        <w:tab/>
        <w:t xml:space="preserve">in anti-fouling or anti-corrosive paints </w:t>
      </w:r>
      <w:r w:rsidRPr="00310708">
        <w:rPr>
          <w:b/>
          <w:color w:val="00B050"/>
          <w:shd w:val="clear" w:color="auto" w:fill="FFFFFF"/>
        </w:rPr>
        <w:t>except</w:t>
      </w:r>
      <w:r w:rsidRPr="00310708">
        <w:rPr>
          <w:color w:val="00B050"/>
          <w:shd w:val="clear" w:color="auto" w:fill="FFFFFF"/>
        </w:rPr>
        <w:t xml:space="preserve"> in preparations containing 0.1 per cent or less of </w:t>
      </w:r>
      <w:r>
        <w:rPr>
          <w:color w:val="00B050"/>
          <w:shd w:val="clear" w:color="auto" w:fill="FFFFFF"/>
        </w:rPr>
        <w:t>l</w:t>
      </w:r>
      <w:r w:rsidRPr="00310708">
        <w:rPr>
          <w:color w:val="00B050"/>
          <w:shd w:val="clear" w:color="auto" w:fill="FFFFFF"/>
        </w:rPr>
        <w:t>ead calculated on the non-volatile content of the paint</w:t>
      </w:r>
      <w:r w:rsidRPr="00D400D0">
        <w:rPr>
          <w:color w:val="00B050"/>
          <w:shd w:val="clear" w:color="auto" w:fill="FFFFFF"/>
        </w:rPr>
        <w:t>;</w:t>
      </w:r>
      <w:r w:rsidR="0069109F">
        <w:rPr>
          <w:color w:val="00B050"/>
          <w:shd w:val="clear" w:color="auto" w:fill="FFFFFF"/>
        </w:rPr>
        <w:t xml:space="preserve"> or</w:t>
      </w:r>
    </w:p>
    <w:p w14:paraId="48F47A8B" w14:textId="26EAF816" w:rsidR="00CC19FE" w:rsidRDefault="00CC19FE" w:rsidP="00461A43">
      <w:pPr>
        <w:ind w:left="851" w:hanging="425"/>
        <w:rPr>
          <w:color w:val="000000"/>
          <w:shd w:val="clear" w:color="auto" w:fill="FFFFFF"/>
        </w:rPr>
      </w:pPr>
      <w:r w:rsidRPr="00310708">
        <w:rPr>
          <w:color w:val="00B050"/>
          <w:shd w:val="clear" w:color="auto" w:fill="FFFFFF"/>
        </w:rPr>
        <w:t>b)</w:t>
      </w:r>
      <w:r>
        <w:rPr>
          <w:color w:val="000000"/>
          <w:shd w:val="clear" w:color="auto" w:fill="FFFFFF"/>
        </w:rPr>
        <w:tab/>
        <w:t xml:space="preserve">in paints </w:t>
      </w:r>
      <w:r w:rsidRPr="00310708">
        <w:rPr>
          <w:color w:val="00B050"/>
          <w:shd w:val="clear" w:color="auto" w:fill="FFFFFF"/>
        </w:rPr>
        <w:t>(other than anti-fouling or anti-corrosive paints)</w:t>
      </w:r>
      <w:r>
        <w:rPr>
          <w:color w:val="000000"/>
          <w:shd w:val="clear" w:color="auto" w:fill="FFFFFF"/>
        </w:rPr>
        <w:t xml:space="preserve">, tinters, </w:t>
      </w:r>
      <w:proofErr w:type="gramStart"/>
      <w:r>
        <w:rPr>
          <w:color w:val="000000"/>
          <w:shd w:val="clear" w:color="auto" w:fill="FFFFFF"/>
        </w:rPr>
        <w:t>inks</w:t>
      </w:r>
      <w:proofErr w:type="gramEnd"/>
      <w:r>
        <w:rPr>
          <w:color w:val="000000"/>
          <w:shd w:val="clear" w:color="auto" w:fill="FFFFFF"/>
        </w:rPr>
        <w:t xml:space="preserve"> o</w:t>
      </w:r>
      <w:r w:rsidR="005A6756">
        <w:rPr>
          <w:color w:val="000000"/>
          <w:shd w:val="clear" w:color="auto" w:fill="FFFFFF"/>
        </w:rPr>
        <w:t xml:space="preserve">r ink additives </w:t>
      </w:r>
      <w:r>
        <w:rPr>
          <w:b/>
          <w:bCs/>
          <w:color w:val="000000"/>
          <w:shd w:val="clear" w:color="auto" w:fill="FFFFFF"/>
        </w:rPr>
        <w:t>except</w:t>
      </w:r>
      <w:r w:rsidR="005A6756">
        <w:rPr>
          <w:b/>
          <w:bCs/>
          <w:color w:val="000000"/>
          <w:shd w:val="clear" w:color="auto" w:fill="FFFFFF"/>
        </w:rPr>
        <w:t xml:space="preserve"> </w:t>
      </w:r>
      <w:r>
        <w:rPr>
          <w:color w:val="000000"/>
          <w:shd w:val="clear" w:color="auto" w:fill="FFFFFF"/>
        </w:rPr>
        <w:t xml:space="preserve">in preparations containing </w:t>
      </w:r>
      <w:r w:rsidRPr="00DB7711">
        <w:rPr>
          <w:strike/>
          <w:color w:val="FF0000"/>
          <w:shd w:val="clear" w:color="auto" w:fill="FFFFFF"/>
        </w:rPr>
        <w:t>0.1</w:t>
      </w:r>
      <w:r w:rsidRPr="00DB7711">
        <w:rPr>
          <w:color w:val="FF0000"/>
          <w:shd w:val="clear" w:color="auto" w:fill="FFFFFF"/>
        </w:rPr>
        <w:t xml:space="preserve"> </w:t>
      </w:r>
      <w:r w:rsidRPr="00310708">
        <w:rPr>
          <w:color w:val="00B050"/>
          <w:shd w:val="clear" w:color="auto" w:fill="FFFFFF"/>
        </w:rPr>
        <w:t xml:space="preserve">0.009 </w:t>
      </w:r>
      <w:r>
        <w:rPr>
          <w:color w:val="000000"/>
          <w:shd w:val="clear" w:color="auto" w:fill="FFFFFF"/>
        </w:rPr>
        <w:t>per cent or less of lead calculated on the non-volatile content of the paint, tinter, ink or ink additive.</w:t>
      </w:r>
    </w:p>
    <w:p w14:paraId="660E1277" w14:textId="77777777" w:rsidR="00CC19FE" w:rsidRPr="009E40EE" w:rsidRDefault="00CC19FE" w:rsidP="00CC19FE">
      <w:pPr>
        <w:ind w:left="426"/>
        <w:rPr>
          <w:b/>
          <w:color w:val="000000"/>
          <w:shd w:val="clear" w:color="auto" w:fill="FFFFFF"/>
        </w:rPr>
      </w:pPr>
      <w:r>
        <w:rPr>
          <w:b/>
          <w:color w:val="000000"/>
          <w:shd w:val="clear" w:color="auto" w:fill="FFFFFF"/>
        </w:rPr>
        <w:t>Schedule 6</w:t>
      </w:r>
    </w:p>
    <w:p w14:paraId="44E7559E" w14:textId="77777777" w:rsidR="00CC19FE" w:rsidRPr="009E40EE" w:rsidRDefault="00CC19FE" w:rsidP="00CC19FE">
      <w:pPr>
        <w:ind w:left="426"/>
        <w:rPr>
          <w:rFonts w:asciiTheme="minorHAnsi" w:hAnsiTheme="minorHAnsi" w:cstheme="minorHAnsi"/>
        </w:rPr>
      </w:pPr>
      <w:r w:rsidRPr="00EA1706">
        <w:rPr>
          <w:rFonts w:asciiTheme="minorHAnsi" w:hAnsiTheme="minorHAnsi" w:cstheme="minorHAnsi"/>
        </w:rPr>
        <w:t xml:space="preserve">LEAD COMPOUNDS </w:t>
      </w:r>
      <w:r w:rsidRPr="009E40EE">
        <w:rPr>
          <w:rFonts w:asciiTheme="minorHAnsi" w:hAnsiTheme="minorHAnsi" w:cstheme="minorHAnsi"/>
          <w:b/>
        </w:rPr>
        <w:t>except</w:t>
      </w:r>
      <w:r w:rsidRPr="00EA1706">
        <w:rPr>
          <w:rFonts w:asciiTheme="minorHAnsi" w:hAnsiTheme="minorHAnsi" w:cstheme="minorHAnsi"/>
        </w:rPr>
        <w:t>:</w:t>
      </w:r>
    </w:p>
    <w:p w14:paraId="79CC67EF" w14:textId="77777777" w:rsidR="00CC19FE" w:rsidRDefault="00CC19FE" w:rsidP="00461A43">
      <w:pPr>
        <w:pStyle w:val="ListParagraph"/>
        <w:numPr>
          <w:ilvl w:val="0"/>
          <w:numId w:val="32"/>
        </w:numPr>
        <w:ind w:left="851" w:hanging="425"/>
        <w:contextualSpacing w:val="0"/>
        <w:rPr>
          <w:shd w:val="clear" w:color="auto" w:fill="FFFFFF"/>
        </w:rPr>
      </w:pPr>
      <w:r w:rsidRPr="009E40EE">
        <w:rPr>
          <w:shd w:val="clear" w:color="auto" w:fill="FFFFFF"/>
        </w:rPr>
        <w:t xml:space="preserve">when included in Schedule 4 or </w:t>
      </w:r>
      <w:proofErr w:type="gramStart"/>
      <w:r w:rsidRPr="009E40EE">
        <w:rPr>
          <w:shd w:val="clear" w:color="auto" w:fill="FFFFFF"/>
        </w:rPr>
        <w:t>5;</w:t>
      </w:r>
      <w:proofErr w:type="gramEnd"/>
    </w:p>
    <w:p w14:paraId="31BC3E5A" w14:textId="77777777" w:rsidR="00CC19FE" w:rsidRPr="009E40EE" w:rsidRDefault="00CC19FE" w:rsidP="00461A43">
      <w:pPr>
        <w:pStyle w:val="ListParagraph"/>
        <w:numPr>
          <w:ilvl w:val="0"/>
          <w:numId w:val="32"/>
        </w:numPr>
        <w:ind w:left="851" w:hanging="425"/>
        <w:contextualSpacing w:val="0"/>
        <w:rPr>
          <w:shd w:val="clear" w:color="auto" w:fill="FFFFFF"/>
        </w:rPr>
      </w:pPr>
      <w:r w:rsidRPr="009E40EE">
        <w:rPr>
          <w:rFonts w:asciiTheme="minorHAnsi" w:hAnsiTheme="minorHAnsi" w:cstheme="minorHAnsi"/>
        </w:rPr>
        <w:t xml:space="preserve">in paints, tinters, inks or ink </w:t>
      </w:r>
      <w:proofErr w:type="gramStart"/>
      <w:r w:rsidRPr="009E40EE">
        <w:rPr>
          <w:rFonts w:asciiTheme="minorHAnsi" w:hAnsiTheme="minorHAnsi" w:cstheme="minorHAnsi"/>
        </w:rPr>
        <w:t>additives;</w:t>
      </w:r>
      <w:proofErr w:type="gramEnd"/>
    </w:p>
    <w:p w14:paraId="1DB0C65C" w14:textId="77777777" w:rsidR="00CC19FE" w:rsidRPr="009E40EE" w:rsidRDefault="00CC19FE" w:rsidP="00461A43">
      <w:pPr>
        <w:pStyle w:val="ListParagraph"/>
        <w:numPr>
          <w:ilvl w:val="0"/>
          <w:numId w:val="32"/>
        </w:numPr>
        <w:ind w:left="851" w:hanging="425"/>
        <w:contextualSpacing w:val="0"/>
        <w:rPr>
          <w:shd w:val="clear" w:color="auto" w:fill="FFFFFF"/>
        </w:rPr>
      </w:pPr>
      <w:r w:rsidRPr="009E40EE">
        <w:rPr>
          <w:rFonts w:asciiTheme="minorHAnsi" w:hAnsiTheme="minorHAnsi" w:cstheme="minorHAnsi"/>
        </w:rPr>
        <w:t xml:space="preserve">in preparations for cosmetic use containing 100 mg/kg or less of </w:t>
      </w:r>
      <w:proofErr w:type="gramStart"/>
      <w:r w:rsidRPr="009E40EE">
        <w:rPr>
          <w:rFonts w:asciiTheme="minorHAnsi" w:hAnsiTheme="minorHAnsi" w:cstheme="minorHAnsi"/>
        </w:rPr>
        <w:t>lead;</w:t>
      </w:r>
      <w:proofErr w:type="gramEnd"/>
    </w:p>
    <w:p w14:paraId="21B66BB9" w14:textId="77777777" w:rsidR="00CC19FE" w:rsidRPr="009E40EE" w:rsidRDefault="00CC19FE" w:rsidP="00461A43">
      <w:pPr>
        <w:pStyle w:val="ListParagraph"/>
        <w:numPr>
          <w:ilvl w:val="0"/>
          <w:numId w:val="32"/>
        </w:numPr>
        <w:ind w:left="851" w:hanging="425"/>
        <w:contextualSpacing w:val="0"/>
        <w:rPr>
          <w:shd w:val="clear" w:color="auto" w:fill="FFFFFF"/>
        </w:rPr>
      </w:pPr>
      <w:r w:rsidRPr="009E40EE">
        <w:rPr>
          <w:rFonts w:asciiTheme="minorHAnsi" w:hAnsiTheme="minorHAnsi" w:cstheme="minorHAnsi"/>
        </w:rPr>
        <w:t>in pencil cores, finger colours, showcard colours, pastels, crayons, poster paints/colours or coloured chalks containing 100 mg/kg or less of lead; or</w:t>
      </w:r>
    </w:p>
    <w:p w14:paraId="6E4F69CD" w14:textId="77777777" w:rsidR="00CC19FE" w:rsidRPr="009E40EE" w:rsidRDefault="00CC19FE" w:rsidP="00461A43">
      <w:pPr>
        <w:pStyle w:val="ListParagraph"/>
        <w:keepNext/>
        <w:numPr>
          <w:ilvl w:val="0"/>
          <w:numId w:val="32"/>
        </w:numPr>
        <w:ind w:left="850" w:hanging="425"/>
        <w:contextualSpacing w:val="0"/>
        <w:rPr>
          <w:shd w:val="clear" w:color="auto" w:fill="FFFFFF"/>
        </w:rPr>
      </w:pPr>
      <w:r w:rsidRPr="009E40EE">
        <w:rPr>
          <w:rFonts w:asciiTheme="minorHAnsi" w:hAnsiTheme="minorHAnsi" w:cstheme="minorHAnsi"/>
        </w:rPr>
        <w:t>in ceramic glazes when labelled with the warning statement:</w:t>
      </w:r>
    </w:p>
    <w:p w14:paraId="779AD641" w14:textId="1893C0FF" w:rsidR="00CC19FE" w:rsidRPr="00EA1706" w:rsidRDefault="00CC19FE" w:rsidP="00461A43">
      <w:pPr>
        <w:ind w:left="1276"/>
        <w:rPr>
          <w:rFonts w:asciiTheme="minorHAnsi" w:hAnsiTheme="minorHAnsi" w:cstheme="minorHAnsi"/>
        </w:rPr>
      </w:pPr>
      <w:r w:rsidRPr="00EA1706">
        <w:rPr>
          <w:rFonts w:asciiTheme="minorHAnsi" w:hAnsiTheme="minorHAnsi" w:cstheme="minorHAnsi"/>
        </w:rPr>
        <w:t>CAUTION – Harmful if swallowed. Do not use on surfaces which contact food or drink.</w:t>
      </w:r>
    </w:p>
    <w:p w14:paraId="0A1A7454" w14:textId="56370A39" w:rsidR="00CC19FE" w:rsidRDefault="00CC19FE" w:rsidP="00461A43">
      <w:pPr>
        <w:ind w:left="1276"/>
        <w:rPr>
          <w:rFonts w:asciiTheme="minorHAnsi" w:hAnsiTheme="minorHAnsi" w:cstheme="minorHAnsi"/>
        </w:rPr>
      </w:pPr>
      <w:r w:rsidRPr="00EA1706">
        <w:rPr>
          <w:rFonts w:asciiTheme="minorHAnsi" w:hAnsiTheme="minorHAnsi" w:cstheme="minorHAnsi"/>
        </w:rPr>
        <w:lastRenderedPageBreak/>
        <w:t>written in letters not less than 1.5 mm in height.</w:t>
      </w:r>
    </w:p>
    <w:p w14:paraId="33ED5F9B" w14:textId="77777777" w:rsidR="00CC19FE" w:rsidRPr="00EA1706" w:rsidRDefault="00CC19FE" w:rsidP="00CC19FE">
      <w:pPr>
        <w:ind w:left="426"/>
        <w:rPr>
          <w:rFonts w:asciiTheme="minorHAnsi" w:hAnsiTheme="minorHAnsi" w:cstheme="minorHAnsi"/>
          <w:b/>
        </w:rPr>
      </w:pPr>
      <w:r w:rsidRPr="00EA1706">
        <w:rPr>
          <w:rFonts w:asciiTheme="minorHAnsi" w:hAnsiTheme="minorHAnsi" w:cstheme="minorHAnsi"/>
          <w:b/>
        </w:rPr>
        <w:t>Schedule 5</w:t>
      </w:r>
    </w:p>
    <w:p w14:paraId="347993C7" w14:textId="77777777" w:rsidR="00CC19FE" w:rsidRDefault="00CC19FE" w:rsidP="00CC19FE">
      <w:pPr>
        <w:ind w:left="426"/>
        <w:rPr>
          <w:rFonts w:asciiTheme="minorHAnsi" w:hAnsiTheme="minorHAnsi" w:cstheme="minorHAnsi"/>
        </w:rPr>
      </w:pPr>
      <w:r w:rsidRPr="00EA1706">
        <w:rPr>
          <w:rFonts w:asciiTheme="minorHAnsi" w:hAnsiTheme="minorHAnsi" w:cstheme="minorHAnsi"/>
        </w:rPr>
        <w:t>LEAD COMPOUNDS in preparations for use as hair cosmetics.</w:t>
      </w:r>
    </w:p>
    <w:p w14:paraId="3727044C" w14:textId="77777777" w:rsidR="00CC19FE" w:rsidRPr="00EA1706" w:rsidRDefault="00CC19FE" w:rsidP="00CC19FE">
      <w:pPr>
        <w:ind w:left="426"/>
        <w:rPr>
          <w:rFonts w:asciiTheme="minorHAnsi" w:hAnsiTheme="minorHAnsi" w:cstheme="minorHAnsi"/>
          <w:b/>
        </w:rPr>
      </w:pPr>
      <w:r w:rsidRPr="00EA1706">
        <w:rPr>
          <w:rFonts w:asciiTheme="minorHAnsi" w:hAnsiTheme="minorHAnsi" w:cstheme="minorHAnsi"/>
          <w:b/>
        </w:rPr>
        <w:t>Schedule 4</w:t>
      </w:r>
    </w:p>
    <w:p w14:paraId="6EDCAAA1" w14:textId="77777777" w:rsidR="00CC19FE" w:rsidRDefault="00CC19FE" w:rsidP="00CC19FE">
      <w:pPr>
        <w:ind w:left="426"/>
        <w:rPr>
          <w:rFonts w:asciiTheme="minorHAnsi" w:hAnsiTheme="minorHAnsi" w:cstheme="minorHAnsi"/>
        </w:rPr>
      </w:pPr>
      <w:r>
        <w:rPr>
          <w:szCs w:val="22"/>
        </w:rPr>
        <w:t>LEAD for human therapeutic use.</w:t>
      </w:r>
    </w:p>
    <w:p w14:paraId="228AC638" w14:textId="77777777" w:rsidR="00CC19FE" w:rsidRPr="006D5C84" w:rsidRDefault="00CC19FE" w:rsidP="00CC19FE">
      <w:pPr>
        <w:ind w:left="426"/>
        <w:rPr>
          <w:b/>
        </w:rPr>
      </w:pPr>
      <w:r w:rsidRPr="006D5C84">
        <w:rPr>
          <w:b/>
        </w:rPr>
        <w:t>Appendix E, Part 2</w:t>
      </w:r>
    </w:p>
    <w:tbl>
      <w:tblPr>
        <w:tblStyle w:val="TableTGAblue"/>
        <w:tblW w:w="0" w:type="auto"/>
        <w:tblInd w:w="416" w:type="dxa"/>
        <w:tblLook w:val="04A0" w:firstRow="1" w:lastRow="0" w:firstColumn="1" w:lastColumn="0" w:noHBand="0" w:noVBand="1"/>
      </w:tblPr>
      <w:tblGrid>
        <w:gridCol w:w="2835"/>
        <w:gridCol w:w="5243"/>
      </w:tblGrid>
      <w:tr w:rsidR="00CC19FE" w14:paraId="30E04DE6" w14:textId="77777777" w:rsidTr="000B3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hideMark/>
          </w:tcPr>
          <w:p w14:paraId="40E32331" w14:textId="72581E6F" w:rsidR="00CC19FE" w:rsidRPr="009E40EE" w:rsidRDefault="00461A43" w:rsidP="0046191E">
            <w:r>
              <w:t>P</w:t>
            </w:r>
            <w:r w:rsidR="00DB7711">
              <w:t>OISON</w:t>
            </w:r>
          </w:p>
        </w:tc>
        <w:tc>
          <w:tcPr>
            <w:tcW w:w="5243" w:type="dxa"/>
            <w:hideMark/>
          </w:tcPr>
          <w:p w14:paraId="64C9E843" w14:textId="1F654FE2" w:rsidR="00CC19FE" w:rsidRPr="009E40EE" w:rsidRDefault="00DB7711" w:rsidP="00461A43">
            <w:pPr>
              <w:cnfStyle w:val="100000000000" w:firstRow="1" w:lastRow="0" w:firstColumn="0" w:lastColumn="0" w:oddVBand="0" w:evenVBand="0" w:oddHBand="0" w:evenHBand="0" w:firstRowFirstColumn="0" w:firstRowLastColumn="0" w:lastRowFirstColumn="0" w:lastRowLastColumn="0"/>
            </w:pPr>
            <w:r>
              <w:t>STANDARD STATEMENTS</w:t>
            </w:r>
          </w:p>
        </w:tc>
      </w:tr>
      <w:tr w:rsidR="00DB7711" w14:paraId="072B2798" w14:textId="77777777" w:rsidTr="000B36C5">
        <w:tc>
          <w:tcPr>
            <w:cnfStyle w:val="001000000000" w:firstRow="0" w:lastRow="0" w:firstColumn="1" w:lastColumn="0" w:oddVBand="0" w:evenVBand="0" w:oddHBand="0" w:evenHBand="0" w:firstRowFirstColumn="0" w:firstRowLastColumn="0" w:lastRowFirstColumn="0" w:lastRowLastColumn="0"/>
            <w:tcW w:w="2835" w:type="dxa"/>
          </w:tcPr>
          <w:p w14:paraId="0F4FF405" w14:textId="185A02BE" w:rsidR="00DB7711" w:rsidRPr="00251574" w:rsidRDefault="00DB7711" w:rsidP="00DB7711">
            <w:pPr>
              <w:pStyle w:val="ListBullet"/>
              <w:numPr>
                <w:ilvl w:val="0"/>
                <w:numId w:val="0"/>
              </w:numPr>
              <w:ind w:left="360" w:hanging="360"/>
            </w:pPr>
            <w:r>
              <w:t>LEAD COMPOUNDS</w:t>
            </w:r>
          </w:p>
        </w:tc>
        <w:tc>
          <w:tcPr>
            <w:tcW w:w="5243" w:type="dxa"/>
          </w:tcPr>
          <w:p w14:paraId="095118A5" w14:textId="77777777" w:rsidR="00DB7711" w:rsidRPr="00251574" w:rsidRDefault="00DB7711" w:rsidP="0046191E">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CC19FE" w14:paraId="0BFC7E3F" w14:textId="77777777" w:rsidTr="000B36C5">
        <w:tc>
          <w:tcPr>
            <w:cnfStyle w:val="001000000000" w:firstRow="0" w:lastRow="0" w:firstColumn="1" w:lastColumn="0" w:oddVBand="0" w:evenVBand="0" w:oddHBand="0" w:evenHBand="0" w:firstRowFirstColumn="0" w:firstRowLastColumn="0" w:lastRowFirstColumn="0" w:lastRowLastColumn="0"/>
            <w:tcW w:w="2835" w:type="dxa"/>
          </w:tcPr>
          <w:p w14:paraId="4C99764D" w14:textId="77777777" w:rsidR="00CC19FE" w:rsidRPr="00D43617" w:rsidRDefault="00CC19FE" w:rsidP="00461A43">
            <w:pPr>
              <w:pStyle w:val="ListBullet"/>
            </w:pPr>
            <w:r w:rsidRPr="00251574">
              <w:t xml:space="preserve">in </w:t>
            </w:r>
            <w:r w:rsidRPr="00461A43">
              <w:t>hair</w:t>
            </w:r>
            <w:r w:rsidRPr="00251574">
              <w:t xml:space="preserve"> cosmetics </w:t>
            </w:r>
          </w:p>
        </w:tc>
        <w:tc>
          <w:tcPr>
            <w:tcW w:w="5243" w:type="dxa"/>
          </w:tcPr>
          <w:p w14:paraId="365C3F7D" w14:textId="5880E731" w:rsidR="00CC19FE" w:rsidRPr="00251574" w:rsidRDefault="00CC19FE" w:rsidP="0046191E">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5BEA">
              <w:rPr>
                <w:rFonts w:asciiTheme="minorHAnsi" w:hAnsiTheme="minorHAnsi"/>
                <w:b/>
                <w:bCs/>
                <w:szCs w:val="22"/>
              </w:rPr>
              <w:t>A</w:t>
            </w:r>
            <w:r w:rsidR="00025BEA" w:rsidRPr="00025BEA">
              <w:rPr>
                <w:rFonts w:asciiTheme="minorHAnsi" w:hAnsiTheme="minorHAnsi"/>
                <w:b/>
                <w:bCs/>
                <w:szCs w:val="22"/>
              </w:rPr>
              <w:t xml:space="preserve"> </w:t>
            </w:r>
            <w:r w:rsidR="00025BEA" w:rsidRPr="00025BEA">
              <w:rPr>
                <w:rFonts w:asciiTheme="minorHAnsi" w:hAnsiTheme="minorHAnsi"/>
                <w:szCs w:val="22"/>
              </w:rPr>
              <w:t>– For advice, contact a Poisons Information Centre (e.g. phone Australia 13 11 26; New Zealand 0800 764 766) or a doctor (at once).</w:t>
            </w:r>
          </w:p>
        </w:tc>
      </w:tr>
      <w:tr w:rsidR="00CC19FE" w14:paraId="74A6A525" w14:textId="77777777" w:rsidTr="000B36C5">
        <w:tc>
          <w:tcPr>
            <w:cnfStyle w:val="001000000000" w:firstRow="0" w:lastRow="0" w:firstColumn="1" w:lastColumn="0" w:oddVBand="0" w:evenVBand="0" w:oddHBand="0" w:evenHBand="0" w:firstRowFirstColumn="0" w:firstRowLastColumn="0" w:lastRowFirstColumn="0" w:lastRowLastColumn="0"/>
            <w:tcW w:w="2835" w:type="dxa"/>
          </w:tcPr>
          <w:p w14:paraId="7083F693" w14:textId="77777777" w:rsidR="00CC19FE" w:rsidRPr="00D43617" w:rsidRDefault="00CC19FE" w:rsidP="00CC19FE">
            <w:pPr>
              <w:pStyle w:val="ListBullet"/>
              <w:numPr>
                <w:ilvl w:val="0"/>
                <w:numId w:val="30"/>
              </w:numPr>
            </w:pPr>
            <w:r w:rsidRPr="00251574">
              <w:rPr>
                <w:szCs w:val="20"/>
              </w:rPr>
              <w:t>in other preparations</w:t>
            </w:r>
          </w:p>
        </w:tc>
        <w:tc>
          <w:tcPr>
            <w:tcW w:w="5243" w:type="dxa"/>
          </w:tcPr>
          <w:p w14:paraId="0DA4E55A" w14:textId="77777777" w:rsidR="00CC19FE" w:rsidRDefault="00025BEA" w:rsidP="0046191E">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5BEA">
              <w:rPr>
                <w:rFonts w:asciiTheme="minorHAnsi" w:hAnsiTheme="minorHAnsi"/>
                <w:b/>
                <w:bCs/>
                <w:szCs w:val="22"/>
              </w:rPr>
              <w:t xml:space="preserve">A </w:t>
            </w:r>
            <w:r w:rsidRPr="00025BEA">
              <w:rPr>
                <w:rFonts w:asciiTheme="minorHAnsi" w:hAnsiTheme="minorHAnsi"/>
                <w:szCs w:val="22"/>
              </w:rPr>
              <w:t>– For advice, contact a Poisons Information Centre (e.g. phone Australia 13 11 26; New Zealand 0800 764 766) or a doctor (at once).</w:t>
            </w:r>
          </w:p>
          <w:p w14:paraId="11974E61" w14:textId="4DB0A1CF" w:rsidR="00025BEA" w:rsidRPr="00025BEA" w:rsidRDefault="00025BEA" w:rsidP="0046191E">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b/>
                <w:bCs/>
                <w:szCs w:val="22"/>
              </w:rPr>
              <w:t xml:space="preserve">S1 </w:t>
            </w:r>
            <w:r>
              <w:rPr>
                <w:rFonts w:asciiTheme="minorHAnsi" w:hAnsiTheme="minorHAnsi"/>
                <w:szCs w:val="22"/>
              </w:rPr>
              <w:t xml:space="preserve">– </w:t>
            </w:r>
            <w:r w:rsidRPr="00025BEA">
              <w:rPr>
                <w:rFonts w:asciiTheme="minorHAnsi" w:hAnsiTheme="minorHAnsi"/>
                <w:szCs w:val="22"/>
              </w:rPr>
              <w:t>If skin or hair contact occurs, remove contaminated clothing and flush skin and hair with running water.</w:t>
            </w:r>
          </w:p>
        </w:tc>
      </w:tr>
    </w:tbl>
    <w:p w14:paraId="1A48ABE0" w14:textId="77777777" w:rsidR="00CC19FE" w:rsidRPr="006D5C84" w:rsidRDefault="00CC19FE" w:rsidP="00CC19FE">
      <w:pPr>
        <w:ind w:left="426"/>
        <w:rPr>
          <w:b/>
        </w:rPr>
      </w:pPr>
      <w:r>
        <w:rPr>
          <w:b/>
        </w:rPr>
        <w:t>Appendix</w:t>
      </w:r>
      <w:r w:rsidRPr="006D5C84">
        <w:rPr>
          <w:b/>
        </w:rPr>
        <w:t xml:space="preserve"> F, Part 3</w:t>
      </w:r>
    </w:p>
    <w:tbl>
      <w:tblPr>
        <w:tblStyle w:val="TableTGAblue"/>
        <w:tblW w:w="0" w:type="auto"/>
        <w:tblInd w:w="416" w:type="dxa"/>
        <w:tblLook w:val="04A0" w:firstRow="1" w:lastRow="0" w:firstColumn="1" w:lastColumn="0" w:noHBand="0" w:noVBand="1"/>
      </w:tblPr>
      <w:tblGrid>
        <w:gridCol w:w="2268"/>
        <w:gridCol w:w="3402"/>
        <w:gridCol w:w="2758"/>
      </w:tblGrid>
      <w:tr w:rsidR="00CC19FE" w:rsidRPr="00C57F1C" w14:paraId="6DC793FB" w14:textId="77777777" w:rsidTr="000B3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14:paraId="70F6777B" w14:textId="77C3EBAB" w:rsidR="00CC19FE" w:rsidRPr="009E40EE" w:rsidRDefault="00025BEA" w:rsidP="00461A43">
            <w:r>
              <w:t>POISON</w:t>
            </w:r>
          </w:p>
        </w:tc>
        <w:tc>
          <w:tcPr>
            <w:tcW w:w="3402" w:type="dxa"/>
            <w:hideMark/>
          </w:tcPr>
          <w:p w14:paraId="3A5291FC" w14:textId="5D9EA2B9" w:rsidR="00CC19FE" w:rsidRPr="009E40EE" w:rsidRDefault="00025BEA" w:rsidP="00461A43">
            <w:pPr>
              <w:cnfStyle w:val="100000000000" w:firstRow="1" w:lastRow="0" w:firstColumn="0" w:lastColumn="0" w:oddVBand="0" w:evenVBand="0" w:oddHBand="0" w:evenHBand="0" w:firstRowFirstColumn="0" w:firstRowLastColumn="0" w:lastRowFirstColumn="0" w:lastRowLastColumn="0"/>
            </w:pPr>
            <w:r>
              <w:t>WARNING STATEMENTS</w:t>
            </w:r>
          </w:p>
        </w:tc>
        <w:tc>
          <w:tcPr>
            <w:tcW w:w="2758" w:type="dxa"/>
            <w:hideMark/>
          </w:tcPr>
          <w:p w14:paraId="0CB74465" w14:textId="3C8414D8" w:rsidR="00CC19FE" w:rsidRPr="009E40EE" w:rsidRDefault="00025BEA" w:rsidP="00461A43">
            <w:pPr>
              <w:cnfStyle w:val="100000000000" w:firstRow="1" w:lastRow="0" w:firstColumn="0" w:lastColumn="0" w:oddVBand="0" w:evenVBand="0" w:oddHBand="0" w:evenHBand="0" w:firstRowFirstColumn="0" w:firstRowLastColumn="0" w:lastRowFirstColumn="0" w:lastRowLastColumn="0"/>
            </w:pPr>
            <w:r>
              <w:t>SAFETY DIRECTION</w:t>
            </w:r>
          </w:p>
        </w:tc>
      </w:tr>
      <w:tr w:rsidR="00CC19FE" w:rsidRPr="00C57F1C" w14:paraId="3E480808" w14:textId="77777777" w:rsidTr="000B36C5">
        <w:tc>
          <w:tcPr>
            <w:cnfStyle w:val="001000000000" w:firstRow="0" w:lastRow="0" w:firstColumn="1" w:lastColumn="0" w:oddVBand="0" w:evenVBand="0" w:oddHBand="0" w:evenHBand="0" w:firstRowFirstColumn="0" w:firstRowLastColumn="0" w:lastRowFirstColumn="0" w:lastRowLastColumn="0"/>
            <w:tcW w:w="2268" w:type="dxa"/>
          </w:tcPr>
          <w:p w14:paraId="1C84F45B" w14:textId="77777777" w:rsidR="00CC19FE" w:rsidRPr="00251574" w:rsidRDefault="00CC19FE" w:rsidP="00461A43">
            <w:pPr>
              <w:rPr>
                <w:rFonts w:asciiTheme="minorHAnsi" w:hAnsiTheme="minorHAnsi"/>
              </w:rPr>
            </w:pPr>
            <w:r>
              <w:rPr>
                <w:shd w:val="clear" w:color="auto" w:fill="FFFFFF"/>
              </w:rPr>
              <w:t>Glazing preparations containing LEAD COMPOUNDS.</w:t>
            </w:r>
          </w:p>
        </w:tc>
        <w:tc>
          <w:tcPr>
            <w:tcW w:w="3402" w:type="dxa"/>
          </w:tcPr>
          <w:p w14:paraId="339EF763" w14:textId="77777777" w:rsidR="00CC19FE" w:rsidRPr="00F272E4" w:rsidRDefault="00CC19FE" w:rsidP="00461A43">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 xml:space="preserve">50 </w:t>
            </w:r>
            <w:r w:rsidRPr="00F272E4">
              <w:rPr>
                <w:rFonts w:asciiTheme="minorHAnsi" w:hAnsiTheme="minorHAnsi"/>
              </w:rPr>
              <w:t>-</w:t>
            </w:r>
            <w:r>
              <w:rPr>
                <w:rFonts w:asciiTheme="minorHAnsi" w:hAnsiTheme="minorHAnsi"/>
                <w:b/>
              </w:rPr>
              <w:t xml:space="preserve"> </w:t>
            </w:r>
            <w:r>
              <w:rPr>
                <w:shd w:val="clear" w:color="auto" w:fill="FFFFFF"/>
              </w:rPr>
              <w:t>Unless adequately fired, utensils glazed with this preparation must not be used as containers for food or beverages; to do so may cause lead poisoning.</w:t>
            </w:r>
          </w:p>
        </w:tc>
        <w:tc>
          <w:tcPr>
            <w:tcW w:w="2758" w:type="dxa"/>
          </w:tcPr>
          <w:p w14:paraId="748570DF" w14:textId="77777777" w:rsidR="00CC19FE" w:rsidRPr="00251574" w:rsidRDefault="00CC19FE" w:rsidP="0046191E">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025BEA" w:rsidRPr="00C57F1C" w14:paraId="4894D54F" w14:textId="77777777" w:rsidTr="000B36C5">
        <w:tc>
          <w:tcPr>
            <w:cnfStyle w:val="001000000000" w:firstRow="0" w:lastRow="0" w:firstColumn="1" w:lastColumn="0" w:oddVBand="0" w:evenVBand="0" w:oddHBand="0" w:evenHBand="0" w:firstRowFirstColumn="0" w:firstRowLastColumn="0" w:lastRowFirstColumn="0" w:lastRowLastColumn="0"/>
            <w:tcW w:w="2268" w:type="dxa"/>
          </w:tcPr>
          <w:p w14:paraId="21136DF3" w14:textId="12B706AC" w:rsidR="00025BEA" w:rsidRPr="00097380" w:rsidRDefault="00025BEA" w:rsidP="00025BEA">
            <w:pPr>
              <w:pStyle w:val="Numberbullet2aitalicised"/>
              <w:numPr>
                <w:ilvl w:val="0"/>
                <w:numId w:val="0"/>
              </w:numPr>
              <w:rPr>
                <w:i w:val="0"/>
              </w:rPr>
            </w:pPr>
            <w:r>
              <w:rPr>
                <w:i w:val="0"/>
              </w:rPr>
              <w:t>LEAD COMPOUNDS</w:t>
            </w:r>
          </w:p>
        </w:tc>
        <w:tc>
          <w:tcPr>
            <w:tcW w:w="3402" w:type="dxa"/>
          </w:tcPr>
          <w:p w14:paraId="016DCA04" w14:textId="77777777" w:rsidR="00025BEA" w:rsidRPr="00251574" w:rsidRDefault="00025BEA" w:rsidP="00097380">
            <w:pPr>
              <w:cnfStyle w:val="000000000000" w:firstRow="0" w:lastRow="0" w:firstColumn="0" w:lastColumn="0" w:oddVBand="0" w:evenVBand="0" w:oddHBand="0" w:evenHBand="0" w:firstRowFirstColumn="0" w:firstRowLastColumn="0" w:lastRowFirstColumn="0" w:lastRowLastColumn="0"/>
              <w:rPr>
                <w:b/>
              </w:rPr>
            </w:pPr>
          </w:p>
        </w:tc>
        <w:tc>
          <w:tcPr>
            <w:tcW w:w="2758" w:type="dxa"/>
          </w:tcPr>
          <w:p w14:paraId="6BEB9A8C" w14:textId="77777777" w:rsidR="00025BEA" w:rsidRPr="00D43617" w:rsidRDefault="00025BEA" w:rsidP="0046191E">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p>
        </w:tc>
      </w:tr>
      <w:tr w:rsidR="00CC19FE" w:rsidRPr="00C57F1C" w14:paraId="0E6FB082" w14:textId="77777777" w:rsidTr="000B36C5">
        <w:tc>
          <w:tcPr>
            <w:cnfStyle w:val="001000000000" w:firstRow="0" w:lastRow="0" w:firstColumn="1" w:lastColumn="0" w:oddVBand="0" w:evenVBand="0" w:oddHBand="0" w:evenHBand="0" w:firstRowFirstColumn="0" w:firstRowLastColumn="0" w:lastRowFirstColumn="0" w:lastRowLastColumn="0"/>
            <w:tcW w:w="2268" w:type="dxa"/>
          </w:tcPr>
          <w:p w14:paraId="6D664E06" w14:textId="0936C3FC" w:rsidR="00CC19FE" w:rsidRPr="00097380" w:rsidRDefault="00CC19FE" w:rsidP="00097380">
            <w:pPr>
              <w:pStyle w:val="Numberbullet2aitalicised"/>
              <w:numPr>
                <w:ilvl w:val="0"/>
                <w:numId w:val="41"/>
              </w:numPr>
              <w:ind w:left="460" w:hanging="426"/>
              <w:rPr>
                <w:i w:val="0"/>
              </w:rPr>
            </w:pPr>
            <w:r w:rsidRPr="00097380">
              <w:rPr>
                <w:i w:val="0"/>
              </w:rPr>
              <w:t>in hair cosmetics.</w:t>
            </w:r>
          </w:p>
        </w:tc>
        <w:tc>
          <w:tcPr>
            <w:tcW w:w="3402" w:type="dxa"/>
          </w:tcPr>
          <w:p w14:paraId="08CC1C64" w14:textId="77777777" w:rsidR="00CC19FE" w:rsidRPr="00D43617" w:rsidRDefault="00CC19FE" w:rsidP="00097380">
            <w:pPr>
              <w:cnfStyle w:val="000000000000" w:firstRow="0" w:lastRow="0" w:firstColumn="0" w:lastColumn="0" w:oddVBand="0" w:evenVBand="0" w:oddHBand="0" w:evenHBand="0" w:firstRowFirstColumn="0" w:firstRowLastColumn="0" w:lastRowFirstColumn="0" w:lastRowLastColumn="0"/>
            </w:pPr>
            <w:r w:rsidRPr="00251574">
              <w:rPr>
                <w:b/>
              </w:rPr>
              <w:t>25</w:t>
            </w:r>
            <w:r>
              <w:t xml:space="preserve"> - </w:t>
            </w:r>
            <w:r w:rsidRPr="00D43617">
              <w:t>Do not use on broken skin. W</w:t>
            </w:r>
            <w:r>
              <w:t>ash hands thoroughly after use.</w:t>
            </w:r>
          </w:p>
        </w:tc>
        <w:tc>
          <w:tcPr>
            <w:tcW w:w="2758" w:type="dxa"/>
          </w:tcPr>
          <w:p w14:paraId="1969E480" w14:textId="6D462051" w:rsidR="00CC19FE" w:rsidRPr="00D43617" w:rsidRDefault="00CC19FE" w:rsidP="0046191E">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p>
        </w:tc>
      </w:tr>
      <w:tr w:rsidR="00CC19FE" w:rsidRPr="00C57F1C" w14:paraId="24220BDD" w14:textId="77777777" w:rsidTr="000B36C5">
        <w:tc>
          <w:tcPr>
            <w:cnfStyle w:val="001000000000" w:firstRow="0" w:lastRow="0" w:firstColumn="1" w:lastColumn="0" w:oddVBand="0" w:evenVBand="0" w:oddHBand="0" w:evenHBand="0" w:firstRowFirstColumn="0" w:firstRowLastColumn="0" w:lastRowFirstColumn="0" w:lastRowLastColumn="0"/>
            <w:tcW w:w="2268" w:type="dxa"/>
          </w:tcPr>
          <w:p w14:paraId="6DD332EE" w14:textId="77777777" w:rsidR="00CC19FE" w:rsidRPr="00097380" w:rsidRDefault="00CC19FE" w:rsidP="00097380">
            <w:pPr>
              <w:pStyle w:val="Numberbullet2aitalicised"/>
              <w:rPr>
                <w:i w:val="0"/>
              </w:rPr>
            </w:pPr>
            <w:r w:rsidRPr="00097380">
              <w:rPr>
                <w:i w:val="0"/>
              </w:rPr>
              <w:t>when in Schedule 6.</w:t>
            </w:r>
          </w:p>
        </w:tc>
        <w:tc>
          <w:tcPr>
            <w:tcW w:w="3402" w:type="dxa"/>
          </w:tcPr>
          <w:p w14:paraId="5A55CE25" w14:textId="6383EE7B" w:rsidR="00CC19FE" w:rsidRPr="00D43617" w:rsidRDefault="00CC19FE" w:rsidP="0046191E">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2758" w:type="dxa"/>
          </w:tcPr>
          <w:p w14:paraId="28D23AAF" w14:textId="77777777" w:rsidR="00CC19FE" w:rsidRPr="00251574" w:rsidRDefault="00CC19FE" w:rsidP="00097380">
            <w:pPr>
              <w:cnfStyle w:val="000000000000" w:firstRow="0" w:lastRow="0" w:firstColumn="0" w:lastColumn="0" w:oddVBand="0" w:evenVBand="0" w:oddHBand="0" w:evenHBand="0" w:firstRowFirstColumn="0" w:firstRowLastColumn="0" w:lastRowFirstColumn="0" w:lastRowLastColumn="0"/>
            </w:pPr>
            <w:r w:rsidRPr="00251574">
              <w:rPr>
                <w:b/>
              </w:rPr>
              <w:t>1</w:t>
            </w:r>
            <w:r>
              <w:rPr>
                <w:b/>
              </w:rPr>
              <w:t xml:space="preserve"> </w:t>
            </w:r>
            <w:r>
              <w:t xml:space="preserve">- </w:t>
            </w:r>
            <w:r w:rsidRPr="00D43617">
              <w:t>Avoid contact with eyes.</w:t>
            </w:r>
            <w:r>
              <w:rPr>
                <w:b/>
              </w:rPr>
              <w:br/>
            </w:r>
            <w:r w:rsidRPr="00251574">
              <w:rPr>
                <w:b/>
              </w:rPr>
              <w:t>4</w:t>
            </w:r>
            <w:r>
              <w:rPr>
                <w:b/>
              </w:rPr>
              <w:t xml:space="preserve"> </w:t>
            </w:r>
            <w:r w:rsidRPr="00251574">
              <w:t>- Avoid contact with skin.</w:t>
            </w:r>
            <w:r>
              <w:rPr>
                <w:b/>
              </w:rPr>
              <w:br/>
            </w:r>
            <w:r w:rsidRPr="00251574">
              <w:rPr>
                <w:b/>
              </w:rPr>
              <w:t>8</w:t>
            </w:r>
            <w:r>
              <w:rPr>
                <w:b/>
              </w:rPr>
              <w:t xml:space="preserve"> </w:t>
            </w:r>
            <w:r>
              <w:t xml:space="preserve">- </w:t>
            </w:r>
            <w:r w:rsidRPr="00D43617">
              <w:t>Avoid breathing dust (or) vapour (or) spray mist.</w:t>
            </w:r>
          </w:p>
        </w:tc>
      </w:tr>
    </w:tbl>
    <w:p w14:paraId="492DF148" w14:textId="4452FDBA" w:rsidR="00CC19FE" w:rsidRDefault="00CC19FE" w:rsidP="00CC19FE">
      <w:pPr>
        <w:ind w:left="426"/>
        <w:rPr>
          <w:rFonts w:asciiTheme="minorHAnsi" w:hAnsiTheme="minorHAnsi" w:cstheme="minorHAnsi"/>
          <w:b/>
        </w:rPr>
      </w:pPr>
      <w:r w:rsidRPr="00251574">
        <w:rPr>
          <w:rFonts w:asciiTheme="minorHAnsi" w:hAnsiTheme="minorHAnsi" w:cstheme="minorHAnsi"/>
          <w:b/>
        </w:rPr>
        <w:t>Appendix B, Part 3</w:t>
      </w:r>
    </w:p>
    <w:tbl>
      <w:tblPr>
        <w:tblStyle w:val="TableTGAblue"/>
        <w:tblW w:w="8373" w:type="dxa"/>
        <w:tblInd w:w="416" w:type="dxa"/>
        <w:tblLook w:val="04A0" w:firstRow="1" w:lastRow="0" w:firstColumn="1" w:lastColumn="0" w:noHBand="0" w:noVBand="1"/>
      </w:tblPr>
      <w:tblGrid>
        <w:gridCol w:w="1984"/>
        <w:gridCol w:w="1877"/>
        <w:gridCol w:w="2410"/>
        <w:gridCol w:w="2102"/>
      </w:tblGrid>
      <w:tr w:rsidR="00CC19FE" w:rsidRPr="00EC46AF" w14:paraId="6A6F5339" w14:textId="77777777" w:rsidTr="00097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hideMark/>
          </w:tcPr>
          <w:p w14:paraId="028E2263" w14:textId="6A8C51A0" w:rsidR="00CC19FE" w:rsidRPr="009E40EE" w:rsidRDefault="00CC19FE" w:rsidP="00097380">
            <w:pPr>
              <w:rPr>
                <w:lang w:eastAsia="en-AU"/>
              </w:rPr>
            </w:pPr>
            <w:r w:rsidRPr="009E40EE">
              <w:rPr>
                <w:lang w:eastAsia="en-AU"/>
              </w:rPr>
              <w:lastRenderedPageBreak/>
              <w:t>S</w:t>
            </w:r>
            <w:r w:rsidR="000B36C5">
              <w:rPr>
                <w:lang w:eastAsia="en-AU"/>
              </w:rPr>
              <w:t>UBSTANCE</w:t>
            </w:r>
          </w:p>
        </w:tc>
        <w:tc>
          <w:tcPr>
            <w:tcW w:w="1877" w:type="dxa"/>
            <w:hideMark/>
          </w:tcPr>
          <w:p w14:paraId="21C9F187" w14:textId="1DD85B57" w:rsidR="00CC19FE" w:rsidRPr="009E40EE" w:rsidRDefault="00CC19FE" w:rsidP="00097380">
            <w:pPr>
              <w:cnfStyle w:val="100000000000" w:firstRow="1" w:lastRow="0" w:firstColumn="0" w:lastColumn="0" w:oddVBand="0" w:evenVBand="0" w:oddHBand="0" w:evenHBand="0" w:firstRowFirstColumn="0" w:firstRowLastColumn="0" w:lastRowFirstColumn="0" w:lastRowLastColumn="0"/>
              <w:rPr>
                <w:lang w:eastAsia="en-AU"/>
              </w:rPr>
            </w:pPr>
            <w:r w:rsidRPr="009E40EE">
              <w:rPr>
                <w:lang w:eastAsia="en-AU"/>
              </w:rPr>
              <w:t>D</w:t>
            </w:r>
            <w:r w:rsidR="000B36C5">
              <w:rPr>
                <w:lang w:eastAsia="en-AU"/>
              </w:rPr>
              <w:t>ATE OF ENTRY</w:t>
            </w:r>
          </w:p>
        </w:tc>
        <w:tc>
          <w:tcPr>
            <w:tcW w:w="2410" w:type="dxa"/>
            <w:hideMark/>
          </w:tcPr>
          <w:p w14:paraId="5B439F69" w14:textId="0904D7A9" w:rsidR="00CC19FE" w:rsidRPr="009E40EE" w:rsidRDefault="00CC19FE" w:rsidP="00097380">
            <w:pPr>
              <w:cnfStyle w:val="100000000000" w:firstRow="1" w:lastRow="0" w:firstColumn="0" w:lastColumn="0" w:oddVBand="0" w:evenVBand="0" w:oddHBand="0" w:evenHBand="0" w:firstRowFirstColumn="0" w:firstRowLastColumn="0" w:lastRowFirstColumn="0" w:lastRowLastColumn="0"/>
              <w:rPr>
                <w:lang w:eastAsia="en-AU"/>
              </w:rPr>
            </w:pPr>
            <w:r w:rsidRPr="009E40EE">
              <w:rPr>
                <w:lang w:eastAsia="en-AU"/>
              </w:rPr>
              <w:t>R</w:t>
            </w:r>
            <w:r w:rsidR="000B36C5">
              <w:rPr>
                <w:lang w:eastAsia="en-AU"/>
              </w:rPr>
              <w:t>EASON FOR LISTING</w:t>
            </w:r>
          </w:p>
        </w:tc>
        <w:tc>
          <w:tcPr>
            <w:tcW w:w="2102" w:type="dxa"/>
            <w:hideMark/>
          </w:tcPr>
          <w:p w14:paraId="4C47680B" w14:textId="2DC59A31" w:rsidR="00CC19FE" w:rsidRPr="009E40EE" w:rsidRDefault="00CC19FE" w:rsidP="00097380">
            <w:pPr>
              <w:cnfStyle w:val="100000000000" w:firstRow="1" w:lastRow="0" w:firstColumn="0" w:lastColumn="0" w:oddVBand="0" w:evenVBand="0" w:oddHBand="0" w:evenHBand="0" w:firstRowFirstColumn="0" w:firstRowLastColumn="0" w:lastRowFirstColumn="0" w:lastRowLastColumn="0"/>
              <w:rPr>
                <w:lang w:eastAsia="en-AU"/>
              </w:rPr>
            </w:pPr>
            <w:r w:rsidRPr="009E40EE">
              <w:rPr>
                <w:lang w:eastAsia="en-AU"/>
              </w:rPr>
              <w:t>A</w:t>
            </w:r>
            <w:r w:rsidR="000B36C5">
              <w:rPr>
                <w:lang w:eastAsia="en-AU"/>
              </w:rPr>
              <w:t>REA OF USE</w:t>
            </w:r>
          </w:p>
        </w:tc>
      </w:tr>
      <w:tr w:rsidR="00CC19FE" w:rsidRPr="00EC46AF" w14:paraId="454E57E7" w14:textId="77777777" w:rsidTr="00097380">
        <w:tc>
          <w:tcPr>
            <w:cnfStyle w:val="001000000000" w:firstRow="0" w:lastRow="0" w:firstColumn="1" w:lastColumn="0" w:oddVBand="0" w:evenVBand="0" w:oddHBand="0" w:evenHBand="0" w:firstRowFirstColumn="0" w:firstRowLastColumn="0" w:lastRowFirstColumn="0" w:lastRowLastColumn="0"/>
            <w:tcW w:w="1984" w:type="dxa"/>
            <w:hideMark/>
          </w:tcPr>
          <w:p w14:paraId="4BD89AC2" w14:textId="77777777" w:rsidR="00CC19FE" w:rsidRPr="00251574" w:rsidRDefault="00CC19FE" w:rsidP="00097380">
            <w:pPr>
              <w:rPr>
                <w:rFonts w:asciiTheme="minorHAnsi" w:eastAsia="Times New Roman" w:hAnsiTheme="minorHAnsi"/>
                <w:szCs w:val="22"/>
                <w:lang w:eastAsia="en-AU"/>
              </w:rPr>
            </w:pPr>
            <w:r w:rsidRPr="00251574">
              <w:rPr>
                <w:rFonts w:asciiTheme="minorHAnsi" w:hAnsiTheme="minorHAnsi"/>
                <w:szCs w:val="22"/>
              </w:rPr>
              <w:t>LEAD METALLIC</w:t>
            </w:r>
          </w:p>
        </w:tc>
        <w:tc>
          <w:tcPr>
            <w:tcW w:w="1877" w:type="dxa"/>
            <w:hideMark/>
          </w:tcPr>
          <w:p w14:paraId="4FB5D147" w14:textId="77777777" w:rsidR="00CC19FE" w:rsidRPr="00251574" w:rsidRDefault="00CC19FE" w:rsidP="0009738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51574">
              <w:rPr>
                <w:rFonts w:asciiTheme="minorHAnsi" w:hAnsiTheme="minorHAnsi"/>
                <w:szCs w:val="22"/>
              </w:rPr>
              <w:t>-</w:t>
            </w:r>
          </w:p>
        </w:tc>
        <w:tc>
          <w:tcPr>
            <w:tcW w:w="2410" w:type="dxa"/>
            <w:hideMark/>
          </w:tcPr>
          <w:p w14:paraId="0D2A719B" w14:textId="77777777" w:rsidR="00CC19FE" w:rsidRPr="00251574" w:rsidRDefault="00CC19FE" w:rsidP="0009738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51574">
              <w:rPr>
                <w:rFonts w:asciiTheme="minorHAnsi" w:hAnsiTheme="minorHAnsi"/>
                <w:szCs w:val="22"/>
              </w:rPr>
              <w:t xml:space="preserve">a </w:t>
            </w:r>
            <w:r>
              <w:rPr>
                <w:rFonts w:asciiTheme="minorHAnsi" w:hAnsiTheme="minorHAnsi"/>
                <w:szCs w:val="22"/>
              </w:rPr>
              <w:t>– Low Toxicity</w:t>
            </w:r>
          </w:p>
        </w:tc>
        <w:tc>
          <w:tcPr>
            <w:tcW w:w="2102" w:type="dxa"/>
            <w:hideMark/>
          </w:tcPr>
          <w:p w14:paraId="3054EE7F" w14:textId="77777777" w:rsidR="00CC19FE" w:rsidRPr="00251574" w:rsidRDefault="00CC19FE" w:rsidP="0009738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51574">
              <w:rPr>
                <w:rFonts w:asciiTheme="minorHAnsi" w:hAnsiTheme="minorHAnsi"/>
                <w:szCs w:val="22"/>
              </w:rPr>
              <w:t>7.1</w:t>
            </w:r>
            <w:r>
              <w:rPr>
                <w:rFonts w:asciiTheme="minorHAnsi" w:hAnsiTheme="minorHAnsi"/>
                <w:szCs w:val="22"/>
              </w:rPr>
              <w:t xml:space="preserve"> – Any use</w:t>
            </w:r>
          </w:p>
        </w:tc>
      </w:tr>
    </w:tbl>
    <w:p w14:paraId="698F039F" w14:textId="77777777" w:rsidR="00CC19FE" w:rsidRPr="00025BEA" w:rsidRDefault="00CC19FE" w:rsidP="00CC19FE">
      <w:pPr>
        <w:ind w:left="426"/>
        <w:rPr>
          <w:rFonts w:asciiTheme="minorHAnsi" w:hAnsiTheme="minorHAnsi"/>
          <w:b/>
          <w:szCs w:val="22"/>
        </w:rPr>
      </w:pPr>
      <w:r w:rsidRPr="00025BEA">
        <w:rPr>
          <w:rFonts w:asciiTheme="minorHAnsi" w:hAnsiTheme="minorHAnsi"/>
          <w:b/>
          <w:szCs w:val="22"/>
        </w:rPr>
        <w:t>Index</w:t>
      </w:r>
    </w:p>
    <w:p w14:paraId="2E8AC846" w14:textId="77777777" w:rsidR="00CC19FE" w:rsidRPr="00025BEA" w:rsidRDefault="00CC19FE" w:rsidP="00CC19FE">
      <w:pPr>
        <w:ind w:left="426"/>
        <w:rPr>
          <w:rFonts w:asciiTheme="minorHAnsi" w:hAnsiTheme="minorHAnsi" w:cstheme="minorHAnsi"/>
          <w:b/>
          <w:szCs w:val="22"/>
        </w:rPr>
      </w:pPr>
      <w:r w:rsidRPr="00025BEA">
        <w:rPr>
          <w:rFonts w:asciiTheme="minorHAnsi" w:hAnsiTheme="minorHAnsi" w:cstheme="minorHAnsi"/>
          <w:b/>
          <w:szCs w:val="22"/>
        </w:rPr>
        <w:t>LEAD</w:t>
      </w:r>
      <w:r w:rsidRPr="00025BEA">
        <w:rPr>
          <w:rFonts w:asciiTheme="minorHAnsi" w:hAnsiTheme="minorHAnsi" w:cstheme="minorHAnsi"/>
          <w:b/>
          <w:szCs w:val="22"/>
        </w:rPr>
        <w:br/>
      </w:r>
      <w:r w:rsidRPr="00025BEA">
        <w:rPr>
          <w:rFonts w:asciiTheme="minorHAnsi" w:hAnsiTheme="minorHAnsi" w:cstheme="minorHAnsi"/>
          <w:szCs w:val="22"/>
        </w:rPr>
        <w:t>cross reference: GLAZING PREPARATIONS, PRINTING INKS or INK ADDITIVES, SELENIUM</w:t>
      </w:r>
    </w:p>
    <w:p w14:paraId="1D31F348" w14:textId="77777777" w:rsidR="00CC19FE" w:rsidRPr="00025BEA" w:rsidRDefault="00CC19FE" w:rsidP="00CC19FE">
      <w:pPr>
        <w:ind w:left="426"/>
        <w:rPr>
          <w:rFonts w:asciiTheme="minorHAnsi" w:hAnsiTheme="minorHAnsi" w:cstheme="minorHAnsi"/>
          <w:szCs w:val="22"/>
        </w:rPr>
      </w:pPr>
      <w:r w:rsidRPr="00025BEA">
        <w:rPr>
          <w:rFonts w:asciiTheme="minorHAnsi" w:hAnsiTheme="minorHAnsi" w:cstheme="minorHAnsi"/>
          <w:szCs w:val="22"/>
        </w:rPr>
        <w:t>Schedule 4</w:t>
      </w:r>
    </w:p>
    <w:p w14:paraId="204EE06F" w14:textId="77777777" w:rsidR="00CC19FE" w:rsidRPr="00025BEA" w:rsidRDefault="00CC19FE" w:rsidP="00CC19FE">
      <w:pPr>
        <w:ind w:left="426"/>
        <w:rPr>
          <w:rFonts w:asciiTheme="minorHAnsi" w:hAnsiTheme="minorHAnsi" w:cstheme="minorHAnsi"/>
          <w:b/>
          <w:szCs w:val="22"/>
        </w:rPr>
      </w:pPr>
      <w:r w:rsidRPr="00025BEA">
        <w:rPr>
          <w:rFonts w:asciiTheme="minorHAnsi" w:hAnsiTheme="minorHAnsi" w:cstheme="minorHAnsi"/>
          <w:b/>
          <w:szCs w:val="22"/>
        </w:rPr>
        <w:t>LEAD COMPOUNDS</w:t>
      </w:r>
      <w:r w:rsidRPr="00025BEA">
        <w:rPr>
          <w:rFonts w:asciiTheme="minorHAnsi" w:hAnsiTheme="minorHAnsi" w:cstheme="minorHAnsi"/>
          <w:b/>
          <w:szCs w:val="22"/>
        </w:rPr>
        <w:br/>
      </w:r>
      <w:r w:rsidRPr="00025BEA">
        <w:rPr>
          <w:rFonts w:asciiTheme="minorHAnsi" w:hAnsiTheme="minorHAnsi" w:cstheme="minorHAnsi"/>
          <w:szCs w:val="22"/>
        </w:rPr>
        <w:t>cross reference: GLAZING PREPARATIONS, PRINTING INKS or INK ADDITIVES, SELENIUM</w:t>
      </w:r>
    </w:p>
    <w:p w14:paraId="0D04BC8C" w14:textId="77777777" w:rsidR="00CC19FE" w:rsidRPr="00025BEA" w:rsidRDefault="00CC19FE" w:rsidP="00CC19FE">
      <w:pPr>
        <w:ind w:left="426"/>
        <w:rPr>
          <w:rFonts w:asciiTheme="minorHAnsi" w:hAnsiTheme="minorHAnsi" w:cstheme="minorHAnsi"/>
          <w:szCs w:val="22"/>
        </w:rPr>
      </w:pPr>
      <w:r w:rsidRPr="00025BEA">
        <w:rPr>
          <w:rFonts w:asciiTheme="minorHAnsi" w:hAnsiTheme="minorHAnsi" w:cstheme="minorHAnsi"/>
          <w:szCs w:val="22"/>
        </w:rPr>
        <w:t>Schedule 10</w:t>
      </w:r>
      <w:r w:rsidRPr="00025BEA">
        <w:rPr>
          <w:rFonts w:asciiTheme="minorHAnsi" w:hAnsiTheme="minorHAnsi" w:cstheme="minorHAnsi"/>
          <w:szCs w:val="22"/>
        </w:rPr>
        <w:br/>
        <w:t>Schedule 6</w:t>
      </w:r>
      <w:r w:rsidRPr="00025BEA">
        <w:rPr>
          <w:rFonts w:asciiTheme="minorHAnsi" w:hAnsiTheme="minorHAnsi" w:cstheme="minorHAnsi"/>
          <w:szCs w:val="22"/>
        </w:rPr>
        <w:br/>
        <w:t>Schedule 5</w:t>
      </w:r>
      <w:r w:rsidRPr="00025BEA">
        <w:rPr>
          <w:rFonts w:asciiTheme="minorHAnsi" w:hAnsiTheme="minorHAnsi" w:cstheme="minorHAnsi"/>
          <w:szCs w:val="22"/>
        </w:rPr>
        <w:br/>
        <w:t>Appendix E, Part 2</w:t>
      </w:r>
      <w:r w:rsidRPr="00025BEA">
        <w:rPr>
          <w:rFonts w:asciiTheme="minorHAnsi" w:hAnsiTheme="minorHAnsi" w:cstheme="minorHAnsi"/>
          <w:szCs w:val="22"/>
        </w:rPr>
        <w:br/>
        <w:t>Appendix F, Part 3</w:t>
      </w:r>
      <w:r w:rsidRPr="00025BEA">
        <w:rPr>
          <w:rFonts w:asciiTheme="minorHAnsi" w:hAnsiTheme="minorHAnsi" w:cstheme="minorHAnsi"/>
          <w:szCs w:val="22"/>
        </w:rPr>
        <w:br/>
        <w:t>Appendix F, Part 3</w:t>
      </w:r>
    </w:p>
    <w:p w14:paraId="09C1FF82" w14:textId="77777777" w:rsidR="00CC19FE" w:rsidRPr="00025BEA" w:rsidRDefault="00CC19FE" w:rsidP="00CC19FE">
      <w:pPr>
        <w:ind w:left="426"/>
        <w:rPr>
          <w:rFonts w:asciiTheme="minorHAnsi" w:hAnsiTheme="minorHAnsi" w:cstheme="minorHAnsi"/>
          <w:b/>
          <w:szCs w:val="22"/>
        </w:rPr>
      </w:pPr>
      <w:r w:rsidRPr="00025BEA">
        <w:rPr>
          <w:rFonts w:asciiTheme="minorHAnsi" w:hAnsiTheme="minorHAnsi" w:cstheme="minorHAnsi"/>
          <w:b/>
          <w:szCs w:val="22"/>
        </w:rPr>
        <w:t>LEAD METALLIC</w:t>
      </w:r>
    </w:p>
    <w:p w14:paraId="7273DDFD" w14:textId="77777777" w:rsidR="00CC19FE" w:rsidRPr="00025BEA" w:rsidRDefault="00CC19FE" w:rsidP="00CC19FE">
      <w:pPr>
        <w:ind w:left="426"/>
        <w:rPr>
          <w:rFonts w:asciiTheme="minorHAnsi" w:hAnsiTheme="minorHAnsi" w:cstheme="minorHAnsi"/>
          <w:szCs w:val="22"/>
        </w:rPr>
      </w:pPr>
      <w:r w:rsidRPr="00025BEA">
        <w:rPr>
          <w:rFonts w:asciiTheme="minorHAnsi" w:hAnsiTheme="minorHAnsi" w:cstheme="minorHAnsi"/>
          <w:szCs w:val="22"/>
        </w:rPr>
        <w:t>Appendix B, Part 3</w:t>
      </w:r>
    </w:p>
    <w:p w14:paraId="621822DA" w14:textId="0CDE15B6" w:rsidR="00CC19FE" w:rsidRDefault="00CC19FE" w:rsidP="00CC19FE">
      <w:pPr>
        <w:pStyle w:val="Heading4"/>
      </w:pPr>
      <w:r>
        <w:t>Materials considered</w:t>
      </w:r>
    </w:p>
    <w:p w14:paraId="52FDED6B" w14:textId="2F783832" w:rsidR="00CC19FE" w:rsidRDefault="00CC19FE" w:rsidP="00CC19FE">
      <w:r>
        <w:t xml:space="preserve">In making this </w:t>
      </w:r>
      <w:r w:rsidR="000B36C5">
        <w:t>final</w:t>
      </w:r>
      <w:r>
        <w:t xml:space="preserve"> decision, the Delegate considered the following material:</w:t>
      </w:r>
    </w:p>
    <w:p w14:paraId="728A151C" w14:textId="77777777" w:rsidR="00CC19FE" w:rsidRDefault="00CC19FE" w:rsidP="00097380">
      <w:pPr>
        <w:pStyle w:val="ListBullet"/>
      </w:pPr>
      <w:r w:rsidRPr="000E0D69">
        <w:t>The</w:t>
      </w:r>
      <w:r>
        <w:t xml:space="preserve"> </w:t>
      </w:r>
      <w:r w:rsidRPr="00097380">
        <w:t>applicants’</w:t>
      </w:r>
      <w:r w:rsidRPr="000E0D69">
        <w:t xml:space="preserve"> </w:t>
      </w:r>
      <w:hyperlink r:id="rId65" w:history="1">
        <w:r w:rsidRPr="007F51B5">
          <w:rPr>
            <w:rStyle w:val="Hyperlink"/>
          </w:rPr>
          <w:t>proposal</w:t>
        </w:r>
      </w:hyperlink>
      <w:r>
        <w:rPr>
          <w:rStyle w:val="Hyperlink"/>
        </w:rPr>
        <w:t>s</w:t>
      </w:r>
      <w:r>
        <w:t xml:space="preserve"> </w:t>
      </w:r>
      <w:r w:rsidRPr="000E0D69">
        <w:t>to amend the</w:t>
      </w:r>
      <w:r>
        <w:t xml:space="preserve"> current Poisons Standard with respect to lead;</w:t>
      </w:r>
    </w:p>
    <w:p w14:paraId="3658BAF3" w14:textId="77777777" w:rsidR="00CC19FE" w:rsidRDefault="00CC19FE" w:rsidP="00CC19FE">
      <w:pPr>
        <w:pStyle w:val="ListBullet"/>
        <w:numPr>
          <w:ilvl w:val="0"/>
          <w:numId w:val="1"/>
        </w:numPr>
      </w:pPr>
      <w:r>
        <w:t>The 72</w:t>
      </w:r>
      <w:r w:rsidRPr="000E0D69">
        <w:t xml:space="preserve"> </w:t>
      </w:r>
      <w:hyperlink r:id="rId66" w:history="1">
        <w:r w:rsidRPr="00905BFB">
          <w:rPr>
            <w:rStyle w:val="Hyperlink"/>
          </w:rPr>
          <w:t>public submissions</w:t>
        </w:r>
      </w:hyperlink>
      <w:r w:rsidRPr="000710CB">
        <w:rPr>
          <w:rStyle w:val="Hyperlink"/>
          <w:color w:val="auto"/>
          <w:u w:val="none"/>
        </w:rPr>
        <w:t>,</w:t>
      </w:r>
      <w:r w:rsidRPr="000710CB">
        <w:t xml:space="preserve"> including </w:t>
      </w:r>
      <w:r>
        <w:t>three</w:t>
      </w:r>
      <w:r w:rsidRPr="00C85183">
        <w:t xml:space="preserve"> written submissions, </w:t>
      </w:r>
      <w:r>
        <w:t xml:space="preserve">received in response to the </w:t>
      </w:r>
      <w:hyperlink r:id="rId67" w:history="1">
        <w:r w:rsidRPr="00A825A4">
          <w:rPr>
            <w:rStyle w:val="Hyperlink"/>
          </w:rPr>
          <w:t>pre-meeting consultation</w:t>
        </w:r>
      </w:hyperlink>
      <w:r w:rsidRPr="00A825A4">
        <w:t xml:space="preserve"> und</w:t>
      </w:r>
      <w:r>
        <w:t>er regulation 42ZCZK of the Regulations;</w:t>
      </w:r>
    </w:p>
    <w:p w14:paraId="0508C5C9" w14:textId="61725A75" w:rsidR="00CC19FE" w:rsidRDefault="00CC19FE" w:rsidP="00CC19FE">
      <w:pPr>
        <w:pStyle w:val="ListBullet"/>
        <w:numPr>
          <w:ilvl w:val="0"/>
          <w:numId w:val="1"/>
        </w:numPr>
      </w:pPr>
      <w:r>
        <w:t xml:space="preserve">The advice </w:t>
      </w:r>
      <w:r w:rsidRPr="00A825A4">
        <w:t>received from the Meeting of the Advisory Committee o</w:t>
      </w:r>
      <w:r>
        <w:t>n Chemicals Scheduling (ACCS #30</w:t>
      </w:r>
      <w:proofErr w:type="gramStart"/>
      <w:r w:rsidRPr="00A825A4">
        <w:t>);</w:t>
      </w:r>
      <w:proofErr w:type="gramEnd"/>
    </w:p>
    <w:p w14:paraId="7B051BC2" w14:textId="72DE71FB" w:rsidR="000B36C5" w:rsidRDefault="000B36C5" w:rsidP="000B36C5">
      <w:pPr>
        <w:pStyle w:val="ListBullet"/>
      </w:pPr>
      <w:r>
        <w:t xml:space="preserve">The </w:t>
      </w:r>
      <w:r w:rsidR="003900C4">
        <w:t>four</w:t>
      </w:r>
      <w:r>
        <w:t xml:space="preserve"> </w:t>
      </w:r>
      <w:hyperlink r:id="rId68" w:history="1">
        <w:r w:rsidRPr="00937E6E">
          <w:rPr>
            <w:rStyle w:val="Hyperlink"/>
          </w:rPr>
          <w:t>public submissions</w:t>
        </w:r>
      </w:hyperlink>
      <w:r>
        <w:t xml:space="preserve">, </w:t>
      </w:r>
      <w:r w:rsidRPr="00C85183">
        <w:t xml:space="preserve">including </w:t>
      </w:r>
      <w:r w:rsidR="003900C4">
        <w:t>three</w:t>
      </w:r>
      <w:r>
        <w:t xml:space="preserve"> </w:t>
      </w:r>
      <w:r w:rsidRPr="00C85183">
        <w:t>written submissions,</w:t>
      </w:r>
      <w:r>
        <w:t xml:space="preserve"> received in response to the </w:t>
      </w:r>
      <w:r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3C986AC4" w14:textId="77777777" w:rsidR="00CC19FE" w:rsidRDefault="00CC19FE" w:rsidP="00CC19FE">
      <w:pPr>
        <w:pStyle w:val="ListBullet"/>
        <w:numPr>
          <w:ilvl w:val="0"/>
          <w:numId w:val="1"/>
        </w:numPr>
      </w:pPr>
      <w:r>
        <w:t xml:space="preserve">Subsection 52E(1) of the </w:t>
      </w:r>
      <w:r w:rsidRPr="00FC4D25">
        <w:rPr>
          <w:i/>
        </w:rPr>
        <w:t xml:space="preserve">Therapeutic Goods Act 1989, </w:t>
      </w:r>
      <w:r w:rsidRPr="001169AC">
        <w:t xml:space="preserve">in particular </w:t>
      </w:r>
      <w:r>
        <w:t>(a) the risks and benefits of the use of a substance; (b) the purpose for which a substance is to be used and the extent of use of a substance; (c) the toxicity of a substance; and (f) any other matters that the Secretary considers necessary to protect public health;</w:t>
      </w:r>
    </w:p>
    <w:p w14:paraId="3E44A444" w14:textId="4CDCB4DF" w:rsidR="00CC19FE" w:rsidRDefault="00CC19FE" w:rsidP="00CC19FE">
      <w:pPr>
        <w:pStyle w:val="ListBullet"/>
        <w:numPr>
          <w:ilvl w:val="0"/>
          <w:numId w:val="1"/>
        </w:numPr>
      </w:pPr>
      <w:r w:rsidRPr="002C1418">
        <w:t xml:space="preserve">The Australian Health Ministers’ Advisory Council’s </w:t>
      </w:r>
      <w:hyperlink r:id="rId69" w:history="1">
        <w:r w:rsidRPr="001A7580">
          <w:rPr>
            <w:rStyle w:val="Hyperlink"/>
          </w:rPr>
          <w:t>Scheduling Policy Framework</w:t>
        </w:r>
      </w:hyperlink>
      <w:r w:rsidR="00097380">
        <w:t xml:space="preserve"> (SPF </w:t>
      </w:r>
      <w:r>
        <w:t>2018</w:t>
      </w:r>
      <w:r w:rsidRPr="002C20AE">
        <w:t>);</w:t>
      </w:r>
      <w:r>
        <w:t xml:space="preserve"> </w:t>
      </w:r>
    </w:p>
    <w:p w14:paraId="6A5E8DFB" w14:textId="26C74FFC" w:rsidR="00CC19FE" w:rsidRDefault="00CC19FE" w:rsidP="00CC19FE">
      <w:pPr>
        <w:pStyle w:val="ListBullet"/>
        <w:numPr>
          <w:ilvl w:val="0"/>
          <w:numId w:val="1"/>
        </w:numPr>
      </w:pPr>
      <w:r>
        <w:t xml:space="preserve">The </w:t>
      </w:r>
      <w:hyperlink r:id="rId70" w:history="1">
        <w:r w:rsidRPr="001A7580">
          <w:rPr>
            <w:rStyle w:val="Hyperlink"/>
          </w:rPr>
          <w:t>Scheduling handbook: Guidance for amending the Poisons Standard</w:t>
        </w:r>
      </w:hyperlink>
      <w:r w:rsidR="00097380">
        <w:t>; and</w:t>
      </w:r>
    </w:p>
    <w:p w14:paraId="4879C8C0" w14:textId="77777777" w:rsidR="00CC19FE" w:rsidRPr="00F31947" w:rsidRDefault="00D672EF" w:rsidP="00CC19FE">
      <w:pPr>
        <w:pStyle w:val="ListBullet"/>
        <w:numPr>
          <w:ilvl w:val="0"/>
          <w:numId w:val="1"/>
        </w:numPr>
        <w:rPr>
          <w:lang w:val="en" w:eastAsia="en-AU"/>
        </w:rPr>
      </w:pPr>
      <w:hyperlink r:id="rId71" w:history="1">
        <w:r w:rsidR="00CC19FE" w:rsidRPr="00F31947">
          <w:rPr>
            <w:rStyle w:val="Hyperlink"/>
            <w:i/>
            <w:lang w:val="en" w:eastAsia="en-AU"/>
          </w:rPr>
          <w:t xml:space="preserve">Global elimination of lead paint: why and how countries should </w:t>
        </w:r>
        <w:proofErr w:type="gramStart"/>
        <w:r w:rsidR="00CC19FE" w:rsidRPr="00F31947">
          <w:rPr>
            <w:rStyle w:val="Hyperlink"/>
            <w:i/>
            <w:lang w:val="en" w:eastAsia="en-AU"/>
          </w:rPr>
          <w:t>take action</w:t>
        </w:r>
        <w:proofErr w:type="gramEnd"/>
        <w:r w:rsidR="00CC19FE" w:rsidRPr="00F31947">
          <w:rPr>
            <w:rStyle w:val="Hyperlink"/>
            <w:i/>
            <w:lang w:val="en" w:eastAsia="en-AU"/>
          </w:rPr>
          <w:t xml:space="preserve"> - Technical brief</w:t>
        </w:r>
      </w:hyperlink>
      <w:r w:rsidR="00CC19FE" w:rsidRPr="00F31947">
        <w:rPr>
          <w:i/>
          <w:lang w:val="en" w:eastAsia="en-AU"/>
        </w:rPr>
        <w:t>,</w:t>
      </w:r>
      <w:r w:rsidR="00CC19FE">
        <w:rPr>
          <w:lang w:val="en" w:eastAsia="en-AU"/>
        </w:rPr>
        <w:t xml:space="preserve"> World Health Organization 14 August 2020.</w:t>
      </w:r>
    </w:p>
    <w:p w14:paraId="19D85F26" w14:textId="1D952EFF" w:rsidR="00CC19FE" w:rsidRDefault="00CC19FE" w:rsidP="00CC19FE">
      <w:pPr>
        <w:pStyle w:val="Heading4"/>
      </w:pPr>
      <w:r>
        <w:t xml:space="preserve">Reasons for the </w:t>
      </w:r>
      <w:r w:rsidR="00025BEA">
        <w:t>final</w:t>
      </w:r>
      <w:r w:rsidRPr="00436C41">
        <w:t xml:space="preserve"> decision (including findings on material questions of fact)</w:t>
      </w:r>
    </w:p>
    <w:p w14:paraId="395C043A" w14:textId="2007F832" w:rsidR="003900C4" w:rsidRDefault="000B36C5" w:rsidP="0098203A">
      <w:r w:rsidRPr="00253509">
        <w:t>I have made a final decision to confirm</w:t>
      </w:r>
      <w:r>
        <w:t xml:space="preserve"> my </w:t>
      </w:r>
      <w:hyperlink r:id="rId72" w:history="1">
        <w:r w:rsidRPr="008F73DD">
          <w:rPr>
            <w:rStyle w:val="Hyperlink"/>
          </w:rPr>
          <w:t>interim decision</w:t>
        </w:r>
      </w:hyperlink>
      <w:r>
        <w:t xml:space="preserve"> to amend</w:t>
      </w:r>
      <w:r w:rsidRPr="00253509">
        <w:t xml:space="preserve"> the current Poisons Standard with </w:t>
      </w:r>
      <w:r w:rsidRPr="00B53AFD">
        <w:t xml:space="preserve">respect to </w:t>
      </w:r>
      <w:r>
        <w:t>lead</w:t>
      </w:r>
      <w:r w:rsidRPr="00B53AFD">
        <w:t>. My reasons for making the final decision are those set out in the interim decision. In</w:t>
      </w:r>
      <w:r w:rsidRPr="00253509">
        <w:t xml:space="preserve"> making my final decision, I have </w:t>
      </w:r>
      <w:proofErr w:type="gramStart"/>
      <w:r w:rsidRPr="00253509">
        <w:t>taken into account</w:t>
      </w:r>
      <w:proofErr w:type="gramEnd"/>
      <w:r w:rsidRPr="00253509">
        <w:t xml:space="preserve">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lastRenderedPageBreak/>
        <w:t>published on 20 July 2021</w:t>
      </w:r>
      <w:r w:rsidRPr="0014113C">
        <w:t xml:space="preserve"> under regulation 42ZCZP of the Regulations.</w:t>
      </w:r>
      <w:r>
        <w:t xml:space="preserve"> </w:t>
      </w:r>
      <w:r w:rsidR="0098203A">
        <w:t xml:space="preserve">I note that </w:t>
      </w:r>
      <w:r w:rsidR="00570F4A">
        <w:t xml:space="preserve">none of the </w:t>
      </w:r>
      <w:r w:rsidR="00CB535C">
        <w:t xml:space="preserve">four public </w:t>
      </w:r>
      <w:r w:rsidR="0098203A">
        <w:t xml:space="preserve">submissions were </w:t>
      </w:r>
      <w:r w:rsidR="00570F4A">
        <w:t xml:space="preserve">opposed to </w:t>
      </w:r>
      <w:r w:rsidR="0098203A">
        <w:t>the decision to reduce the permissible level of lead in paints (other than anti-fouling or anti-corrosive paints) to 0.009 percent.</w:t>
      </w:r>
    </w:p>
    <w:p w14:paraId="5CF86787" w14:textId="58282FFD" w:rsidR="00B8568F" w:rsidRDefault="00EA2774" w:rsidP="00025BEA">
      <w:r>
        <w:t>The written submissions</w:t>
      </w:r>
      <w:r w:rsidR="003C729B">
        <w:t>, though supportive of the</w:t>
      </w:r>
      <w:r w:rsidR="00A0265B">
        <w:t xml:space="preserve"> interim</w:t>
      </w:r>
      <w:r w:rsidR="003C729B">
        <w:t xml:space="preserve"> decision, expressed concern regarding</w:t>
      </w:r>
      <w:r w:rsidR="009A2855">
        <w:t xml:space="preserve"> </w:t>
      </w:r>
      <w:r w:rsidR="00A0265B">
        <w:t xml:space="preserve">the </w:t>
      </w:r>
      <w:r w:rsidR="009A2855">
        <w:t>proposed implementation date for</w:t>
      </w:r>
      <w:r w:rsidR="003C729B">
        <w:t xml:space="preserve"> amendments to the scheduling of</w:t>
      </w:r>
      <w:r w:rsidR="009A2855">
        <w:t xml:space="preserve"> anti-fouling and anticorr</w:t>
      </w:r>
      <w:r w:rsidR="00A0265B">
        <w:t>osion</w:t>
      </w:r>
      <w:r w:rsidR="009A2855">
        <w:t xml:space="preserve"> paints. </w:t>
      </w:r>
      <w:r w:rsidR="006520A5">
        <w:t>The Lead Education and Abatement Design Group</w:t>
      </w:r>
      <w:r w:rsidR="009A2855">
        <w:t xml:space="preserve"> raised</w:t>
      </w:r>
      <w:r w:rsidR="00A0265B">
        <w:t xml:space="preserve"> the issue</w:t>
      </w:r>
      <w:r w:rsidR="009A2855">
        <w:t xml:space="preserve"> that it does not take two years to </w:t>
      </w:r>
      <w:r w:rsidR="0098203A">
        <w:t xml:space="preserve">order purer zinc or </w:t>
      </w:r>
      <w:r w:rsidR="00562F9E">
        <w:t xml:space="preserve">copper sources for use in these paints. They also noted that </w:t>
      </w:r>
      <w:r w:rsidR="00626CC3">
        <w:t xml:space="preserve">the extended date could </w:t>
      </w:r>
      <w:r w:rsidR="00A0265B">
        <w:t>result in</w:t>
      </w:r>
      <w:r w:rsidR="00626CC3">
        <w:t xml:space="preserve"> Australia</w:t>
      </w:r>
      <w:r w:rsidR="00A0265B">
        <w:t xml:space="preserve"> being</w:t>
      </w:r>
      <w:r w:rsidR="0060439C">
        <w:t xml:space="preserve"> behind comparable countries in eliminating lead from paint.</w:t>
      </w:r>
      <w:r w:rsidR="006520A5">
        <w:t xml:space="preserve"> </w:t>
      </w:r>
      <w:r w:rsidR="003C729B">
        <w:t xml:space="preserve">After considering these points, I </w:t>
      </w:r>
      <w:r w:rsidR="00202E28">
        <w:t>reiterate that</w:t>
      </w:r>
      <w:r w:rsidR="00B8568F">
        <w:t xml:space="preserve"> </w:t>
      </w:r>
      <w:r w:rsidR="003C729B">
        <w:t>there are significantly reduced exposure pathways</w:t>
      </w:r>
      <w:r w:rsidR="00093862">
        <w:t xml:space="preserve"> from anti-fouling and anticorro</w:t>
      </w:r>
      <w:r w:rsidR="00A0265B">
        <w:t>sion paints</w:t>
      </w:r>
      <w:r w:rsidR="003C729B">
        <w:t xml:space="preserve"> compar</w:t>
      </w:r>
      <w:r w:rsidR="00A0265B">
        <w:t>ed</w:t>
      </w:r>
      <w:r w:rsidR="003C729B">
        <w:t xml:space="preserve"> to other paints</w:t>
      </w:r>
      <w:r w:rsidR="001042A6">
        <w:t xml:space="preserve">, and </w:t>
      </w:r>
      <w:r w:rsidR="001A0E82">
        <w:t xml:space="preserve">that </w:t>
      </w:r>
      <w:r w:rsidR="00A0265B">
        <w:t xml:space="preserve">the </w:t>
      </w:r>
      <w:r w:rsidR="003C729B">
        <w:t>impact on industry,</w:t>
      </w:r>
      <w:r w:rsidR="00A0265B">
        <w:t xml:space="preserve"> necessitates </w:t>
      </w:r>
      <w:r w:rsidR="00093862">
        <w:t>a longer transition period in comparison to other paints</w:t>
      </w:r>
      <w:r w:rsidR="003C729B">
        <w:t>.</w:t>
      </w:r>
      <w:r w:rsidR="00A0265B">
        <w:t xml:space="preserve"> </w:t>
      </w:r>
      <w:r w:rsidR="001042A6">
        <w:t>For these reasons</w:t>
      </w:r>
      <w:r w:rsidR="00A0265B">
        <w:t>, the exemption of anticorrosion and anti-fouling paints from this current amendment, will be removed on 1 October 2023.</w:t>
      </w:r>
    </w:p>
    <w:p w14:paraId="624933C3" w14:textId="18C5F3AD" w:rsidR="00D85099" w:rsidRDefault="003C729B" w:rsidP="00025BEA">
      <w:r>
        <w:t xml:space="preserve">I also note that Chemistry Australia and the Australian Paint Manufacturers Federation (APMF) did not support the proposed amendments to anti-fouling </w:t>
      </w:r>
      <w:r w:rsidR="00380824">
        <w:t xml:space="preserve">paints. </w:t>
      </w:r>
      <w:r w:rsidR="001A0E82">
        <w:t>T</w:t>
      </w:r>
      <w:r w:rsidR="00380824">
        <w:t xml:space="preserve">hey </w:t>
      </w:r>
      <w:r w:rsidR="00545F89">
        <w:t>expressed the view</w:t>
      </w:r>
      <w:r w:rsidR="00380824">
        <w:t xml:space="preserve"> </w:t>
      </w:r>
      <w:r w:rsidR="00545F89">
        <w:t xml:space="preserve">that </w:t>
      </w:r>
      <w:r w:rsidR="00380824">
        <w:t>the decision undermine</w:t>
      </w:r>
      <w:r w:rsidR="00545F89">
        <w:t>s</w:t>
      </w:r>
      <w:r w:rsidR="00380824">
        <w:t xml:space="preserve"> the APVMA’s </w:t>
      </w:r>
      <w:r w:rsidR="00EA2774">
        <w:t xml:space="preserve">safety assessment of </w:t>
      </w:r>
      <w:r w:rsidR="0040088A">
        <w:t>anti-fouling paints</w:t>
      </w:r>
      <w:r w:rsidR="00380824">
        <w:t xml:space="preserve"> and suggested that the</w:t>
      </w:r>
      <w:r w:rsidR="00FA0B9F">
        <w:t xml:space="preserve"> proposed</w:t>
      </w:r>
      <w:r w:rsidR="00380824">
        <w:t xml:space="preserve"> changes would be akin to a ban of copper-based </w:t>
      </w:r>
      <w:r w:rsidR="0040088A">
        <w:t>products</w:t>
      </w:r>
      <w:r w:rsidR="00380824">
        <w:t>. The APMF further raised that</w:t>
      </w:r>
      <w:r w:rsidR="009A4933">
        <w:t xml:space="preserve"> the amendments </w:t>
      </w:r>
      <w:r w:rsidR="00EA2774">
        <w:t xml:space="preserve">to anti-corrosive paints </w:t>
      </w:r>
      <w:r w:rsidR="00380824">
        <w:t>would raise costs and impact several industries where the risk of exposure is minimal. Both submissions requested a further round of public consultation.</w:t>
      </w:r>
      <w:r w:rsidR="00D85099">
        <w:t xml:space="preserve"> </w:t>
      </w:r>
    </w:p>
    <w:p w14:paraId="7B63B812" w14:textId="5989D355" w:rsidR="00D85099" w:rsidRDefault="009F792C" w:rsidP="00025BEA">
      <w:r>
        <w:t xml:space="preserve">In response to these concerns, I would reiterate that lead is a substance with known cumulative </w:t>
      </w:r>
      <w:r w:rsidR="00093862">
        <w:t>toxicity to</w:t>
      </w:r>
      <w:r>
        <w:t xml:space="preserve"> humans. There is no</w:t>
      </w:r>
      <w:r w:rsidR="00020863">
        <w:t xml:space="preserve"> regulatory threshold for human exposure, below which is considered safe. Instead, international standards highlight the need to reduce exposure to lead from various sources to as low a</w:t>
      </w:r>
      <w:r w:rsidR="005A23AD">
        <w:t>s</w:t>
      </w:r>
      <w:r w:rsidR="00020863">
        <w:t xml:space="preserve"> possible</w:t>
      </w:r>
      <w:r w:rsidR="001042A6">
        <w:t xml:space="preserve"> or eliminated altogether, e.g. </w:t>
      </w:r>
      <w:r w:rsidR="00BB4137">
        <w:t>WHO, 2011</w:t>
      </w:r>
      <w:r w:rsidR="00BB4137">
        <w:rPr>
          <w:rStyle w:val="FootnoteReference"/>
        </w:rPr>
        <w:footnoteReference w:id="2"/>
      </w:r>
      <w:r w:rsidR="00BB4137">
        <w:t>;</w:t>
      </w:r>
      <w:r w:rsidR="005A23AD">
        <w:t xml:space="preserve"> OECD, 1999</w:t>
      </w:r>
      <w:r w:rsidR="005A23AD">
        <w:rPr>
          <w:rStyle w:val="FootnoteReference"/>
        </w:rPr>
        <w:footnoteReference w:id="3"/>
      </w:r>
      <w:r w:rsidR="00020863">
        <w:t xml:space="preserve">. In a similar manner, the United Nations Environment Program has endorsed lower limits for the presence of lead in paint. This limit has already been adopted by several countries for some or all types of paints and coatings. </w:t>
      </w:r>
    </w:p>
    <w:p w14:paraId="068F184A" w14:textId="05423F7A" w:rsidR="00093862" w:rsidRDefault="00093862" w:rsidP="00025BEA">
      <w:r>
        <w:t>Consistent with the advice received from Advisory Committee on Chemicals Scheduling, I have decided to</w:t>
      </w:r>
      <w:r w:rsidR="00282E67">
        <w:t xml:space="preserve"> amend the Poisons Standard to reduce the permissible level of lead in paints to 0.009 percent with an implementation date of 1 October 2021, except for anticorrosion and anti-fouling paints. For anticorrosion and anti-fouling paints, this exemption will</w:t>
      </w:r>
      <w:r>
        <w:t xml:space="preserve"> </w:t>
      </w:r>
      <w:r w:rsidR="00282E67">
        <w:t>be removed on 1 October 2023</w:t>
      </w:r>
      <w:r w:rsidR="00A76160">
        <w:t>. This will allow</w:t>
      </w:r>
      <w:r w:rsidR="00282E67">
        <w:t xml:space="preserve"> an additional 2 years for th</w:t>
      </w:r>
      <w:r w:rsidR="00A76160">
        <w:t>is</w:t>
      </w:r>
      <w:r w:rsidR="00282E67">
        <w:t xml:space="preserve"> industry to</w:t>
      </w:r>
      <w:r w:rsidR="00A76160">
        <w:t xml:space="preserve"> meet the new permissible level and ensure </w:t>
      </w:r>
      <w:r w:rsidR="00D5229B">
        <w:t>that</w:t>
      </w:r>
      <w:r w:rsidR="00A76160">
        <w:t xml:space="preserve"> users </w:t>
      </w:r>
      <w:r w:rsidR="00D5229B">
        <w:t xml:space="preserve">of anticorrosion and anti-fouling paints </w:t>
      </w:r>
      <w:r w:rsidR="00A76160">
        <w:t xml:space="preserve">and people in general </w:t>
      </w:r>
      <w:proofErr w:type="gramStart"/>
      <w:r w:rsidR="00A76160">
        <w:t>coming into contact with</w:t>
      </w:r>
      <w:proofErr w:type="gramEnd"/>
      <w:r w:rsidR="00A76160">
        <w:t xml:space="preserve"> their products</w:t>
      </w:r>
      <w:r w:rsidR="00D5229B">
        <w:t xml:space="preserve">, are protected from exposure </w:t>
      </w:r>
      <w:r w:rsidR="005A23AD">
        <w:t>to</w:t>
      </w:r>
      <w:r w:rsidR="00D5229B">
        <w:t xml:space="preserve"> lead</w:t>
      </w:r>
      <w:r w:rsidR="00A76160">
        <w:t xml:space="preserve">.  </w:t>
      </w:r>
    </w:p>
    <w:p w14:paraId="2DA6F48E" w14:textId="608D6AA6" w:rsidR="00CC19FE" w:rsidRPr="009B0447" w:rsidRDefault="00025BEA" w:rsidP="00CC19FE">
      <w:pPr>
        <w:pStyle w:val="Heading4"/>
      </w:pPr>
      <w:r>
        <w:t>I</w:t>
      </w:r>
      <w:r w:rsidR="00CC19FE">
        <w:t>mplementation date</w:t>
      </w:r>
    </w:p>
    <w:p w14:paraId="7900A4C1" w14:textId="77777777" w:rsidR="00CC19FE" w:rsidRPr="006D5752" w:rsidRDefault="00CC19FE" w:rsidP="00CC19FE">
      <w:pPr>
        <w:spacing w:after="240"/>
      </w:pPr>
      <w:r>
        <w:rPr>
          <w:b/>
        </w:rPr>
        <w:t>1 October</w:t>
      </w:r>
      <w:r w:rsidRPr="00550FD5">
        <w:rPr>
          <w:b/>
        </w:rPr>
        <w:t xml:space="preserve"> 202</w:t>
      </w:r>
      <w:r>
        <w:rPr>
          <w:b/>
        </w:rPr>
        <w:t>1</w:t>
      </w:r>
    </w:p>
    <w:p w14:paraId="28BD70A8" w14:textId="2B5059C5" w:rsidR="00CC19FE" w:rsidRDefault="00541731" w:rsidP="00CC19FE">
      <w:pPr>
        <w:pStyle w:val="Heading3"/>
      </w:pPr>
      <w:bookmarkStart w:id="140" w:name="_Toc74846518"/>
      <w:bookmarkStart w:id="141" w:name="_Toc77686123"/>
      <w:bookmarkStart w:id="142" w:name="_Toc81573627"/>
      <w:r>
        <w:t>Final</w:t>
      </w:r>
      <w:r w:rsidR="00CC19FE">
        <w:t xml:space="preserve"> decision in relation to </w:t>
      </w:r>
      <w:proofErr w:type="spellStart"/>
      <w:r w:rsidR="00CC19FE">
        <w:t>cyflumetofen</w:t>
      </w:r>
      <w:bookmarkEnd w:id="140"/>
      <w:bookmarkEnd w:id="141"/>
      <w:bookmarkEnd w:id="142"/>
      <w:proofErr w:type="spellEnd"/>
    </w:p>
    <w:p w14:paraId="0697B048" w14:textId="77777777" w:rsidR="00CC19FE" w:rsidRDefault="00CC19FE" w:rsidP="00CC19FE">
      <w:pPr>
        <w:pStyle w:val="Heading4"/>
      </w:pPr>
      <w:bookmarkStart w:id="143" w:name="_Toc47103709"/>
      <w:r>
        <w:t>Proposal</w:t>
      </w:r>
    </w:p>
    <w:p w14:paraId="04526611" w14:textId="36AEE3DC" w:rsidR="00CC19FE" w:rsidRPr="00AB2FB8" w:rsidRDefault="00CC19FE" w:rsidP="001D03D1">
      <w:r>
        <w:t xml:space="preserve">The applicant proposed a new entry for </w:t>
      </w:r>
      <w:proofErr w:type="spellStart"/>
      <w:r>
        <w:t>cyflumetofen</w:t>
      </w:r>
      <w:proofErr w:type="spellEnd"/>
      <w:r>
        <w:t xml:space="preserve"> in Sche</w:t>
      </w:r>
      <w:r w:rsidR="001D03D1">
        <w:t>dule 6 of the Poisons Standard.</w:t>
      </w:r>
    </w:p>
    <w:p w14:paraId="68225E95" w14:textId="4324788E" w:rsidR="00CC19FE" w:rsidRPr="008036B7" w:rsidRDefault="00541731" w:rsidP="00CC19FE">
      <w:pPr>
        <w:pStyle w:val="Heading4"/>
      </w:pPr>
      <w:r>
        <w:lastRenderedPageBreak/>
        <w:t>Final</w:t>
      </w:r>
      <w:r w:rsidR="00CC19FE">
        <w:t xml:space="preserve"> decision</w:t>
      </w:r>
    </w:p>
    <w:p w14:paraId="0993741E" w14:textId="776D936F" w:rsidR="00CC19FE" w:rsidRDefault="00CC19FE" w:rsidP="001D03D1">
      <w:r w:rsidRPr="00A05D10">
        <w:t>Pursuant to regulation 42ZCZ</w:t>
      </w:r>
      <w:r w:rsidR="00AF32CF">
        <w:t>R</w:t>
      </w:r>
      <w:r w:rsidRPr="00A05D10">
        <w:t xml:space="preserve"> of the Regulations, a Delegate of the Secretary has, in relation to the proposed amendment, made </w:t>
      </w:r>
      <w:r w:rsidR="00541731">
        <w:t>a final</w:t>
      </w:r>
      <w:r w:rsidRPr="00A05D10">
        <w:t xml:space="preserve"> decision to amend the current Poisons St</w:t>
      </w:r>
      <w:r>
        <w:t xml:space="preserve">andard in relation to </w:t>
      </w:r>
      <w:proofErr w:type="spellStart"/>
      <w:r>
        <w:t>cyflumetofen</w:t>
      </w:r>
      <w:proofErr w:type="spellEnd"/>
      <w:r>
        <w:t xml:space="preserve"> as follows</w:t>
      </w:r>
      <w:r w:rsidRPr="00A05D10">
        <w:t>:</w:t>
      </w:r>
    </w:p>
    <w:p w14:paraId="78DA4B48" w14:textId="77777777" w:rsidR="00CC19FE" w:rsidRPr="004F49D1" w:rsidRDefault="00CC19FE" w:rsidP="00CC19FE">
      <w:pPr>
        <w:ind w:left="426"/>
        <w:rPr>
          <w:b/>
          <w:i/>
        </w:rPr>
      </w:pPr>
      <w:r>
        <w:rPr>
          <w:b/>
        </w:rPr>
        <w:t>Schedule 5</w:t>
      </w:r>
      <w:r w:rsidRPr="004F49D1">
        <w:rPr>
          <w:b/>
        </w:rPr>
        <w:t xml:space="preserve"> – New Entry</w:t>
      </w:r>
    </w:p>
    <w:p w14:paraId="698705AF" w14:textId="77777777" w:rsidR="00CC19FE" w:rsidRPr="00E7082E" w:rsidRDefault="00CC19FE" w:rsidP="00CC19FE">
      <w:pPr>
        <w:ind w:left="426"/>
        <w:rPr>
          <w:b/>
          <w:i/>
          <w:color w:val="00B050"/>
        </w:rPr>
      </w:pPr>
      <w:r w:rsidRPr="00E7082E">
        <w:rPr>
          <w:color w:val="00B050"/>
        </w:rPr>
        <w:t>CYFLUMETOFEN</w:t>
      </w:r>
    </w:p>
    <w:p w14:paraId="7BF20694" w14:textId="77777777" w:rsidR="00CC19FE" w:rsidRPr="004F49D1" w:rsidRDefault="00CC19FE" w:rsidP="00CC19FE">
      <w:pPr>
        <w:ind w:left="426"/>
        <w:rPr>
          <w:b/>
          <w:i/>
        </w:rPr>
      </w:pPr>
      <w:r w:rsidRPr="004F49D1">
        <w:rPr>
          <w:b/>
        </w:rPr>
        <w:t>Index – New Entry</w:t>
      </w:r>
    </w:p>
    <w:p w14:paraId="0EF34D36" w14:textId="77777777" w:rsidR="00CC19FE" w:rsidRPr="00E7082E" w:rsidRDefault="00CC19FE" w:rsidP="00CC19FE">
      <w:pPr>
        <w:ind w:left="426"/>
        <w:rPr>
          <w:b/>
          <w:i/>
          <w:color w:val="00B050"/>
        </w:rPr>
      </w:pPr>
      <w:r w:rsidRPr="00E7082E">
        <w:rPr>
          <w:b/>
          <w:color w:val="00B050"/>
        </w:rPr>
        <w:t>CYFLUMETOFEN</w:t>
      </w:r>
    </w:p>
    <w:p w14:paraId="26E5C465" w14:textId="77777777" w:rsidR="00CC19FE" w:rsidRPr="00E7082E" w:rsidRDefault="00CC19FE" w:rsidP="00CC19FE">
      <w:pPr>
        <w:ind w:left="426"/>
        <w:rPr>
          <w:color w:val="00B050"/>
          <w:highlight w:val="yellow"/>
        </w:rPr>
      </w:pPr>
      <w:r w:rsidRPr="00E7082E">
        <w:rPr>
          <w:color w:val="00B050"/>
        </w:rPr>
        <w:t>Schedule 5</w:t>
      </w:r>
    </w:p>
    <w:p w14:paraId="57AC1DDF" w14:textId="77777777" w:rsidR="00CC19FE" w:rsidRDefault="00CC19FE" w:rsidP="00CC19FE">
      <w:pPr>
        <w:pStyle w:val="Heading4"/>
      </w:pPr>
      <w:r>
        <w:t>Materials considered</w:t>
      </w:r>
    </w:p>
    <w:p w14:paraId="0102E349" w14:textId="736F72A7" w:rsidR="00CC19FE" w:rsidRDefault="00CC19FE" w:rsidP="001D03D1">
      <w:r>
        <w:t xml:space="preserve">In making this </w:t>
      </w:r>
      <w:r w:rsidR="00541731">
        <w:t>final</w:t>
      </w:r>
      <w:r>
        <w:t xml:space="preserve"> decision, the Delegate considered the following material:</w:t>
      </w:r>
    </w:p>
    <w:p w14:paraId="66D610E1" w14:textId="77777777" w:rsidR="00CC19FE" w:rsidRDefault="00CC19FE" w:rsidP="001D03D1">
      <w:pPr>
        <w:pStyle w:val="ListBullet"/>
      </w:pPr>
      <w:r w:rsidRPr="000E0D69">
        <w:t xml:space="preserve">The </w:t>
      </w:r>
      <w:hyperlink r:id="rId73" w:history="1">
        <w:r w:rsidRPr="007F51B5">
          <w:rPr>
            <w:rStyle w:val="Hyperlink"/>
          </w:rPr>
          <w:t>application</w:t>
        </w:r>
      </w:hyperlink>
      <w:r w:rsidRPr="000E0D69">
        <w:t xml:space="preserve"> to amend the</w:t>
      </w:r>
      <w:r>
        <w:t xml:space="preserve"> current Poisons </w:t>
      </w:r>
      <w:r w:rsidRPr="001D03D1">
        <w:t>Standard</w:t>
      </w:r>
      <w:r>
        <w:t xml:space="preserve"> with respect to </w:t>
      </w:r>
      <w:proofErr w:type="spellStart"/>
      <w:r w:rsidRPr="00C84BB4">
        <w:t>cyflumetofen</w:t>
      </w:r>
      <w:proofErr w:type="spellEnd"/>
      <w:r>
        <w:t>;</w:t>
      </w:r>
    </w:p>
    <w:p w14:paraId="3D526BC5" w14:textId="77777777" w:rsidR="00CC19FE" w:rsidRDefault="00CC19FE" w:rsidP="001D03D1">
      <w:pPr>
        <w:pStyle w:val="ListBullet"/>
      </w:pPr>
      <w:r>
        <w:t>The 54</w:t>
      </w:r>
      <w:r w:rsidRPr="000E0D69">
        <w:t xml:space="preserve"> </w:t>
      </w:r>
      <w:hyperlink r:id="rId74" w:history="1">
        <w:r w:rsidRPr="00905BFB">
          <w:rPr>
            <w:rStyle w:val="Hyperlink"/>
          </w:rPr>
          <w:t>public submissions</w:t>
        </w:r>
      </w:hyperlink>
      <w:r w:rsidRPr="000710CB">
        <w:rPr>
          <w:rStyle w:val="Hyperlink"/>
          <w:color w:val="auto"/>
          <w:u w:val="none"/>
        </w:rPr>
        <w:t>,</w:t>
      </w:r>
      <w:r w:rsidRPr="000710CB">
        <w:t xml:space="preserve"> including </w:t>
      </w:r>
      <w:r>
        <w:t>no</w:t>
      </w:r>
      <w:r w:rsidRPr="00C85183">
        <w:t xml:space="preserve"> written submissions, </w:t>
      </w:r>
      <w:r>
        <w:t xml:space="preserve">received in response to the </w:t>
      </w:r>
      <w:hyperlink r:id="rId75" w:history="1">
        <w:r w:rsidRPr="00A825A4">
          <w:rPr>
            <w:rStyle w:val="Hyperlink"/>
          </w:rPr>
          <w:t>pre-meeting consultation</w:t>
        </w:r>
      </w:hyperlink>
      <w:r w:rsidRPr="00A825A4">
        <w:t xml:space="preserve"> und</w:t>
      </w:r>
      <w:r>
        <w:t xml:space="preserve">er regulation 42ZCZK of the </w:t>
      </w:r>
      <w:r w:rsidRPr="001D03D1">
        <w:t>Regulations</w:t>
      </w:r>
      <w:r>
        <w:t>;</w:t>
      </w:r>
    </w:p>
    <w:p w14:paraId="1DFD3651" w14:textId="5C305329" w:rsidR="00CC19FE" w:rsidRDefault="00CC19FE" w:rsidP="00CC19FE">
      <w:pPr>
        <w:pStyle w:val="ListBullet"/>
        <w:numPr>
          <w:ilvl w:val="0"/>
          <w:numId w:val="1"/>
        </w:numPr>
      </w:pPr>
      <w:r>
        <w:t xml:space="preserve">The advice </w:t>
      </w:r>
      <w:r w:rsidRPr="00A825A4">
        <w:t>received from the Meeting of the Advisory Committee o</w:t>
      </w:r>
      <w:r>
        <w:t>n Chemicals Scheduling (ACCS #30</w:t>
      </w:r>
      <w:proofErr w:type="gramStart"/>
      <w:r w:rsidRPr="00A825A4">
        <w:t>);</w:t>
      </w:r>
      <w:proofErr w:type="gramEnd"/>
    </w:p>
    <w:p w14:paraId="16197B6C" w14:textId="1D5B8252" w:rsidR="00CC19FE" w:rsidRDefault="00CC19FE" w:rsidP="001D03D1">
      <w:pPr>
        <w:pStyle w:val="ListBullet"/>
      </w:pPr>
      <w:r>
        <w:t xml:space="preserve">Subsection 52E(1) of </w:t>
      </w:r>
      <w:r w:rsidRPr="001D03D1">
        <w:t>the</w:t>
      </w:r>
      <w:r>
        <w:t xml:space="preserve"> </w:t>
      </w:r>
      <w:r w:rsidRPr="00FC4D25">
        <w:rPr>
          <w:i/>
        </w:rPr>
        <w:t xml:space="preserve">Therapeutic Goods Act 1989, </w:t>
      </w:r>
      <w:r w:rsidRPr="001169AC">
        <w:t xml:space="preserve">in particular </w:t>
      </w:r>
      <w:r>
        <w:t>(a) the risks and benefits of the use of a substance; (b) the purpose for which a substance is to be used and the extent of use of a substance; (c) the toxicity of a substance; and (d) the dosage, formulation, labelling, packaging a</w:t>
      </w:r>
      <w:r w:rsidR="001D03D1">
        <w:t>nd presentation of a substance;</w:t>
      </w:r>
    </w:p>
    <w:p w14:paraId="6AA0A856" w14:textId="147E6A84" w:rsidR="00CC19FE" w:rsidRDefault="00CC19FE" w:rsidP="00CC19FE">
      <w:pPr>
        <w:pStyle w:val="ListBullet"/>
        <w:numPr>
          <w:ilvl w:val="0"/>
          <w:numId w:val="1"/>
        </w:numPr>
      </w:pPr>
      <w:r w:rsidRPr="002C1418">
        <w:t xml:space="preserve">The Australian Health Ministers’ Advisory Council’s </w:t>
      </w:r>
      <w:hyperlink r:id="rId76" w:history="1">
        <w:r w:rsidRPr="001A7580">
          <w:rPr>
            <w:rStyle w:val="Hyperlink"/>
          </w:rPr>
          <w:t>Scheduling Policy Framework</w:t>
        </w:r>
      </w:hyperlink>
      <w:r w:rsidR="001D03D1">
        <w:t xml:space="preserve"> (SPF </w:t>
      </w:r>
      <w:r>
        <w:t>2018</w:t>
      </w:r>
      <w:r w:rsidRPr="002C20AE">
        <w:t>);</w:t>
      </w:r>
      <w:r>
        <w:t xml:space="preserve"> and</w:t>
      </w:r>
    </w:p>
    <w:p w14:paraId="3066DDBC" w14:textId="77777777" w:rsidR="00CC19FE" w:rsidRDefault="00CC19FE" w:rsidP="00CC19FE">
      <w:pPr>
        <w:pStyle w:val="ListBullet"/>
        <w:numPr>
          <w:ilvl w:val="0"/>
          <w:numId w:val="1"/>
        </w:numPr>
      </w:pPr>
      <w:r>
        <w:t xml:space="preserve">The </w:t>
      </w:r>
      <w:hyperlink r:id="rId77" w:history="1">
        <w:r w:rsidRPr="001A7580">
          <w:rPr>
            <w:rStyle w:val="Hyperlink"/>
          </w:rPr>
          <w:t>Scheduling handbook: Guidance for amending the Poisons Standard</w:t>
        </w:r>
      </w:hyperlink>
      <w:r>
        <w:t>.</w:t>
      </w:r>
    </w:p>
    <w:p w14:paraId="5374954F" w14:textId="3E9ACF80" w:rsidR="00CC19FE" w:rsidRDefault="00CC19FE" w:rsidP="00CC19FE">
      <w:pPr>
        <w:pStyle w:val="Heading4"/>
      </w:pPr>
      <w:r>
        <w:t xml:space="preserve">Reasons for the </w:t>
      </w:r>
      <w:r w:rsidR="00541731">
        <w:t>final</w:t>
      </w:r>
      <w:r w:rsidRPr="00436C41">
        <w:t xml:space="preserve"> decision (including findings on material questions of fact)</w:t>
      </w:r>
    </w:p>
    <w:p w14:paraId="0A902C52" w14:textId="4C81C606" w:rsidR="00CC19FE" w:rsidRDefault="00541731" w:rsidP="00541731">
      <w:r w:rsidRPr="00253509">
        <w:t>I have made a final decision to confirm</w:t>
      </w:r>
      <w:r>
        <w:t xml:space="preserve"> my </w:t>
      </w:r>
      <w:hyperlink r:id="rId78" w:history="1">
        <w:r w:rsidRPr="008F73DD">
          <w:rPr>
            <w:rStyle w:val="Hyperlink"/>
          </w:rPr>
          <w:t>interim decision</w:t>
        </w:r>
      </w:hyperlink>
      <w:r>
        <w:t xml:space="preserve"> to amend</w:t>
      </w:r>
      <w:r w:rsidRPr="00253509">
        <w:t xml:space="preserve"> the current Poisons Standard with </w:t>
      </w:r>
      <w:r w:rsidRPr="00B53AFD">
        <w:t xml:space="preserve">respect to </w:t>
      </w:r>
      <w:proofErr w:type="spellStart"/>
      <w:r>
        <w:t>cyflumetofen</w:t>
      </w:r>
      <w:proofErr w:type="spellEnd"/>
      <w:r w:rsidRPr="00B53AFD">
        <w:t>. My reasons for making the final decision are those set out in the interim decision. In</w:t>
      </w:r>
      <w:r w:rsidRPr="00253509">
        <w:t xml:space="preserve"> making my final decision, I have </w:t>
      </w:r>
      <w:proofErr w:type="gramStart"/>
      <w:r w:rsidRPr="00253509">
        <w:t>taken into account</w:t>
      </w:r>
      <w:proofErr w:type="gramEnd"/>
      <w:r w:rsidRPr="00253509">
        <w:t xml:space="preserve"> the material detailed in th</w:t>
      </w:r>
      <w:r>
        <w:t>e interim decision and the responses</w:t>
      </w:r>
      <w:r w:rsidR="00353120">
        <w:t>, if provided,</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20 July 2021</w:t>
      </w:r>
      <w:r w:rsidRPr="0014113C">
        <w:t xml:space="preserve"> under regulation 42ZCZP of the Reg</w:t>
      </w:r>
      <w:r w:rsidRPr="00D5388A">
        <w:t xml:space="preserve">ulations. I note that no public submissions were received </w:t>
      </w:r>
      <w:r w:rsidR="003900C4" w:rsidRPr="00441DF1">
        <w:t>during the second round of consultation</w:t>
      </w:r>
      <w:r w:rsidRPr="00D5388A">
        <w:t>. </w:t>
      </w:r>
    </w:p>
    <w:p w14:paraId="5800F0DF" w14:textId="7A387B6E" w:rsidR="00CC19FE" w:rsidRPr="009B0447" w:rsidRDefault="00541731" w:rsidP="00CC19FE">
      <w:pPr>
        <w:pStyle w:val="Heading4"/>
      </w:pPr>
      <w:r>
        <w:t>I</w:t>
      </w:r>
      <w:r w:rsidR="00CC19FE">
        <w:t>mplementation date</w:t>
      </w:r>
    </w:p>
    <w:p w14:paraId="308AF638" w14:textId="77777777" w:rsidR="00541731" w:rsidRDefault="00CC19FE" w:rsidP="00541731">
      <w:pPr>
        <w:spacing w:after="240"/>
        <w:rPr>
          <w:b/>
        </w:rPr>
      </w:pPr>
      <w:r>
        <w:rPr>
          <w:b/>
        </w:rPr>
        <w:t>1 October</w:t>
      </w:r>
      <w:r w:rsidRPr="00550FD5">
        <w:rPr>
          <w:b/>
        </w:rPr>
        <w:t xml:space="preserve"> 2021</w:t>
      </w:r>
      <w:bookmarkStart w:id="144" w:name="_Toc74846519"/>
      <w:bookmarkStart w:id="145" w:name="_Toc77686124"/>
    </w:p>
    <w:p w14:paraId="358D2383" w14:textId="0EB90887" w:rsidR="00CC19FE" w:rsidRDefault="00541731" w:rsidP="00541731">
      <w:pPr>
        <w:pStyle w:val="Heading3"/>
      </w:pPr>
      <w:bookmarkStart w:id="146" w:name="_Toc81573628"/>
      <w:r>
        <w:t>Final</w:t>
      </w:r>
      <w:r w:rsidR="00CC19FE">
        <w:t xml:space="preserve"> decision in relation to </w:t>
      </w:r>
      <w:proofErr w:type="spellStart"/>
      <w:r w:rsidR="00CC19FE">
        <w:t>isocycloseram</w:t>
      </w:r>
      <w:bookmarkEnd w:id="144"/>
      <w:bookmarkEnd w:id="145"/>
      <w:bookmarkEnd w:id="146"/>
      <w:proofErr w:type="spellEnd"/>
    </w:p>
    <w:p w14:paraId="02982339" w14:textId="77777777" w:rsidR="00CC19FE" w:rsidRDefault="00CC19FE" w:rsidP="004B7350">
      <w:pPr>
        <w:pStyle w:val="Heading4"/>
      </w:pPr>
      <w:r>
        <w:t>Proposal</w:t>
      </w:r>
    </w:p>
    <w:p w14:paraId="218BF1E3" w14:textId="5ED38769" w:rsidR="00CC19FE" w:rsidRPr="00AB2FB8" w:rsidRDefault="00CC19FE" w:rsidP="00984D68">
      <w:r>
        <w:t xml:space="preserve">The applicant proposed a new entry for </w:t>
      </w:r>
      <w:proofErr w:type="spellStart"/>
      <w:r>
        <w:t>isocycloseram</w:t>
      </w:r>
      <w:proofErr w:type="spellEnd"/>
      <w:r>
        <w:t xml:space="preserve"> in Sche</w:t>
      </w:r>
      <w:r w:rsidR="00984D68">
        <w:t>dule 6 of the Poisons Standard.</w:t>
      </w:r>
    </w:p>
    <w:p w14:paraId="10CB6371" w14:textId="755E5C48" w:rsidR="00CC19FE" w:rsidRPr="008036B7" w:rsidRDefault="00450ADF" w:rsidP="00CC19FE">
      <w:pPr>
        <w:pStyle w:val="Heading4"/>
      </w:pPr>
      <w:r>
        <w:lastRenderedPageBreak/>
        <w:t>Final</w:t>
      </w:r>
      <w:r w:rsidR="00CC19FE">
        <w:t xml:space="preserve"> decision</w:t>
      </w:r>
    </w:p>
    <w:p w14:paraId="65B2A597" w14:textId="2ED17C36" w:rsidR="00CC19FE" w:rsidRDefault="00CC19FE" w:rsidP="00CC19FE">
      <w:r w:rsidRPr="00A05D10">
        <w:t>Pursuant to regulation 42ZCZ</w:t>
      </w:r>
      <w:r w:rsidR="00AF32CF">
        <w:t>R</w:t>
      </w:r>
      <w:r w:rsidRPr="00A05D10">
        <w:t xml:space="preserve"> of the Regulations, a Delegate of the Secretary has, in relation to the proposed amendment, made a</w:t>
      </w:r>
      <w:r w:rsidR="00450ADF">
        <w:t xml:space="preserve"> final</w:t>
      </w:r>
      <w:r w:rsidRPr="00A05D10">
        <w:t xml:space="preserve"> decision to amend the current Poisons St</w:t>
      </w:r>
      <w:r>
        <w:t xml:space="preserve">andard in relation to </w:t>
      </w:r>
      <w:proofErr w:type="spellStart"/>
      <w:r>
        <w:t>isocycloseram</w:t>
      </w:r>
      <w:proofErr w:type="spellEnd"/>
      <w:r>
        <w:t xml:space="preserve"> as follows</w:t>
      </w:r>
      <w:r w:rsidRPr="00A05D10">
        <w:t>:</w:t>
      </w:r>
    </w:p>
    <w:p w14:paraId="11876CE6" w14:textId="77777777" w:rsidR="00CC19FE" w:rsidRPr="004F49D1" w:rsidRDefault="00CC19FE" w:rsidP="00CC19FE">
      <w:pPr>
        <w:ind w:left="426"/>
        <w:rPr>
          <w:b/>
          <w:i/>
        </w:rPr>
      </w:pPr>
      <w:r>
        <w:rPr>
          <w:b/>
        </w:rPr>
        <w:t>Schedule 6</w:t>
      </w:r>
      <w:r w:rsidRPr="004F49D1">
        <w:rPr>
          <w:b/>
        </w:rPr>
        <w:t xml:space="preserve"> – New Entry</w:t>
      </w:r>
    </w:p>
    <w:p w14:paraId="13695B45" w14:textId="77777777" w:rsidR="00CC19FE" w:rsidRPr="0007183B" w:rsidRDefault="00CC19FE" w:rsidP="00CC19FE">
      <w:pPr>
        <w:ind w:left="426"/>
        <w:rPr>
          <w:color w:val="00B050"/>
        </w:rPr>
      </w:pPr>
      <w:r w:rsidRPr="0007183B">
        <w:rPr>
          <w:color w:val="00B050"/>
        </w:rPr>
        <w:t>ISOCYCLOSERAM</w:t>
      </w:r>
    </w:p>
    <w:p w14:paraId="4BDF23E2" w14:textId="77777777" w:rsidR="00CC19FE" w:rsidRPr="004F49D1" w:rsidRDefault="00CC19FE" w:rsidP="00CC19FE">
      <w:pPr>
        <w:ind w:left="426"/>
        <w:rPr>
          <w:b/>
          <w:i/>
        </w:rPr>
      </w:pPr>
      <w:r w:rsidRPr="004F49D1">
        <w:rPr>
          <w:b/>
        </w:rPr>
        <w:t>Index – New Entry</w:t>
      </w:r>
    </w:p>
    <w:p w14:paraId="4A706952" w14:textId="77777777" w:rsidR="00CC19FE" w:rsidRPr="0007183B" w:rsidRDefault="00CC19FE" w:rsidP="00CC19FE">
      <w:pPr>
        <w:ind w:left="426"/>
        <w:rPr>
          <w:b/>
          <w:color w:val="00B050"/>
        </w:rPr>
      </w:pPr>
      <w:r w:rsidRPr="0007183B">
        <w:rPr>
          <w:b/>
          <w:color w:val="00B050"/>
        </w:rPr>
        <w:t>ISOCYCLOSERAM</w:t>
      </w:r>
    </w:p>
    <w:p w14:paraId="55854EEC" w14:textId="77777777" w:rsidR="00CC19FE" w:rsidRPr="0007183B" w:rsidRDefault="00CC19FE" w:rsidP="00CC19FE">
      <w:pPr>
        <w:ind w:left="426"/>
        <w:rPr>
          <w:color w:val="00B050"/>
          <w:highlight w:val="yellow"/>
        </w:rPr>
      </w:pPr>
      <w:r w:rsidRPr="0007183B">
        <w:rPr>
          <w:color w:val="00B050"/>
        </w:rPr>
        <w:t>Schedule 6</w:t>
      </w:r>
    </w:p>
    <w:p w14:paraId="76318F4B" w14:textId="77777777" w:rsidR="00CC19FE" w:rsidRDefault="00CC19FE" w:rsidP="00CC19FE">
      <w:pPr>
        <w:pStyle w:val="Heading4"/>
      </w:pPr>
      <w:r>
        <w:t>Materials considered</w:t>
      </w:r>
    </w:p>
    <w:p w14:paraId="66532F19" w14:textId="2150FC2A" w:rsidR="00CC19FE" w:rsidRDefault="00CC19FE" w:rsidP="00CC19FE">
      <w:r>
        <w:t xml:space="preserve">In making this </w:t>
      </w:r>
      <w:r w:rsidR="00450ADF">
        <w:t>final</w:t>
      </w:r>
      <w:r>
        <w:t xml:space="preserve"> decision, the Delegate considered the following material:</w:t>
      </w:r>
    </w:p>
    <w:p w14:paraId="2042BFDB" w14:textId="77777777" w:rsidR="00CC19FE" w:rsidRDefault="00CC19FE" w:rsidP="00984D68">
      <w:pPr>
        <w:pStyle w:val="ListBullet"/>
      </w:pPr>
      <w:r w:rsidRPr="000E0D69">
        <w:t xml:space="preserve">The </w:t>
      </w:r>
      <w:hyperlink r:id="rId79" w:history="1">
        <w:r w:rsidRPr="007F51B5">
          <w:rPr>
            <w:rStyle w:val="Hyperlink"/>
          </w:rPr>
          <w:t>application</w:t>
        </w:r>
      </w:hyperlink>
      <w:r w:rsidRPr="000E0D69">
        <w:t xml:space="preserve"> to amend the</w:t>
      </w:r>
      <w:r>
        <w:t xml:space="preserve"> </w:t>
      </w:r>
      <w:r w:rsidRPr="00984D68">
        <w:t>current</w:t>
      </w:r>
      <w:r>
        <w:t xml:space="preserve"> Poisons Standard with respect to </w:t>
      </w:r>
      <w:proofErr w:type="spellStart"/>
      <w:r>
        <w:t>isocycloseram</w:t>
      </w:r>
      <w:proofErr w:type="spellEnd"/>
      <w:r>
        <w:t>;</w:t>
      </w:r>
    </w:p>
    <w:p w14:paraId="3BC6EC02" w14:textId="77777777" w:rsidR="00CC19FE" w:rsidRDefault="00CC19FE" w:rsidP="00CC19FE">
      <w:pPr>
        <w:pStyle w:val="ListBullet"/>
        <w:numPr>
          <w:ilvl w:val="0"/>
          <w:numId w:val="1"/>
        </w:numPr>
      </w:pPr>
      <w:r>
        <w:t xml:space="preserve">The 53 </w:t>
      </w:r>
      <w:hyperlink r:id="rId80" w:history="1">
        <w:r w:rsidRPr="0007183B">
          <w:rPr>
            <w:rStyle w:val="Hyperlink"/>
          </w:rPr>
          <w:t>public submissions</w:t>
        </w:r>
      </w:hyperlink>
      <w:r w:rsidRPr="000710CB">
        <w:t xml:space="preserve"> </w:t>
      </w:r>
      <w:r>
        <w:t xml:space="preserve">(no written submissions) received in response to the </w:t>
      </w:r>
      <w:hyperlink r:id="rId81" w:history="1">
        <w:r w:rsidRPr="00A825A4">
          <w:rPr>
            <w:rStyle w:val="Hyperlink"/>
          </w:rPr>
          <w:t>pre-meeting consultation</w:t>
        </w:r>
      </w:hyperlink>
      <w:r w:rsidRPr="00A825A4">
        <w:t xml:space="preserve"> und</w:t>
      </w:r>
      <w:r>
        <w:t>er regulation 42ZCZK of the Regulations;</w:t>
      </w:r>
    </w:p>
    <w:p w14:paraId="5958CC16" w14:textId="6E0EE5F1" w:rsidR="00CC19FE" w:rsidRDefault="00CC19FE" w:rsidP="00CC19FE">
      <w:pPr>
        <w:pStyle w:val="ListBullet"/>
        <w:numPr>
          <w:ilvl w:val="0"/>
          <w:numId w:val="1"/>
        </w:numPr>
      </w:pPr>
      <w:r>
        <w:t xml:space="preserve">The advice </w:t>
      </w:r>
      <w:r w:rsidRPr="00A825A4">
        <w:t>received from the Meeting of the Advisory Committee o</w:t>
      </w:r>
      <w:r>
        <w:t>n Chemicals Scheduling (ACCS #30</w:t>
      </w:r>
      <w:proofErr w:type="gramStart"/>
      <w:r w:rsidRPr="00A825A4">
        <w:t>);</w:t>
      </w:r>
      <w:proofErr w:type="gramEnd"/>
    </w:p>
    <w:p w14:paraId="3E9A4D25" w14:textId="5A61C084" w:rsidR="00CC19FE" w:rsidRDefault="00CC19FE" w:rsidP="00984D68">
      <w:pPr>
        <w:pStyle w:val="ListBullet"/>
      </w:pPr>
      <w:r>
        <w:t xml:space="preserve">Subsection 52E(1) of the </w:t>
      </w:r>
      <w:r w:rsidRPr="00FC4D25">
        <w:rPr>
          <w:i/>
        </w:rPr>
        <w:t xml:space="preserve">Therapeutic Goods Act 1989, </w:t>
      </w:r>
      <w:r w:rsidRPr="001169AC">
        <w:t xml:space="preserve">in particular </w:t>
      </w:r>
      <w:r>
        <w:t xml:space="preserve">(a) the risks and benefits of the use of a substance; (b) the purpose for which a </w:t>
      </w:r>
      <w:r w:rsidRPr="00984D68">
        <w:t>substance</w:t>
      </w:r>
      <w:r>
        <w:t xml:space="preserve"> is to be used and the extent of use of a substance; (c) the toxicity of a substance; and (d) the dosage, formulation, labelling, packaging a</w:t>
      </w:r>
      <w:r w:rsidR="00984D68">
        <w:t>nd presentation of a substance;</w:t>
      </w:r>
    </w:p>
    <w:p w14:paraId="408E6686" w14:textId="6511C789" w:rsidR="00CC19FE" w:rsidRDefault="00CC19FE" w:rsidP="00CC19FE">
      <w:pPr>
        <w:pStyle w:val="ListBullet"/>
        <w:numPr>
          <w:ilvl w:val="0"/>
          <w:numId w:val="1"/>
        </w:numPr>
      </w:pPr>
      <w:r w:rsidRPr="002C1418">
        <w:t xml:space="preserve">The Australian Health Ministers’ Advisory Council’s </w:t>
      </w:r>
      <w:hyperlink r:id="rId82" w:history="1">
        <w:r w:rsidRPr="001A7580">
          <w:rPr>
            <w:rStyle w:val="Hyperlink"/>
          </w:rPr>
          <w:t>Scheduling Policy Framework</w:t>
        </w:r>
      </w:hyperlink>
      <w:r w:rsidR="00984D68">
        <w:t xml:space="preserve"> (SPF </w:t>
      </w:r>
      <w:r>
        <w:t>2018</w:t>
      </w:r>
      <w:r w:rsidRPr="002C20AE">
        <w:t>);</w:t>
      </w:r>
      <w:r>
        <w:t xml:space="preserve"> and</w:t>
      </w:r>
    </w:p>
    <w:p w14:paraId="31FFF39A" w14:textId="77777777" w:rsidR="00CC19FE" w:rsidRDefault="00CC19FE" w:rsidP="00CC19FE">
      <w:pPr>
        <w:pStyle w:val="ListBullet"/>
        <w:numPr>
          <w:ilvl w:val="0"/>
          <w:numId w:val="1"/>
        </w:numPr>
      </w:pPr>
      <w:r>
        <w:t xml:space="preserve">The </w:t>
      </w:r>
      <w:hyperlink r:id="rId83" w:history="1">
        <w:r w:rsidRPr="001A7580">
          <w:rPr>
            <w:rStyle w:val="Hyperlink"/>
          </w:rPr>
          <w:t>Scheduling handbook: Guidance for amending the Poisons Standard</w:t>
        </w:r>
      </w:hyperlink>
      <w:r>
        <w:t>.</w:t>
      </w:r>
    </w:p>
    <w:p w14:paraId="4682F42B" w14:textId="56B4944D" w:rsidR="00CC19FE" w:rsidRDefault="00CC19FE" w:rsidP="00CC19FE">
      <w:pPr>
        <w:pStyle w:val="Heading4"/>
      </w:pPr>
      <w:r>
        <w:t xml:space="preserve">Reasons for the </w:t>
      </w:r>
      <w:r w:rsidR="00541731">
        <w:t>final</w:t>
      </w:r>
      <w:r w:rsidRPr="00436C41">
        <w:t xml:space="preserve"> decision (including findings on material questions of fact)</w:t>
      </w:r>
    </w:p>
    <w:p w14:paraId="09D9E136" w14:textId="536C6DAC" w:rsidR="00541731" w:rsidRDefault="00541731" w:rsidP="00541731">
      <w:r w:rsidRPr="00253509">
        <w:t>I have made a final decision to confirm</w:t>
      </w:r>
      <w:r>
        <w:t xml:space="preserve"> my </w:t>
      </w:r>
      <w:hyperlink r:id="rId84" w:history="1">
        <w:r w:rsidRPr="008F73DD">
          <w:rPr>
            <w:rStyle w:val="Hyperlink"/>
          </w:rPr>
          <w:t>interim decision</w:t>
        </w:r>
      </w:hyperlink>
      <w:r>
        <w:t xml:space="preserve"> to amend</w:t>
      </w:r>
      <w:r w:rsidRPr="00253509">
        <w:t xml:space="preserve"> the current Poisons Standard with </w:t>
      </w:r>
      <w:r w:rsidRPr="00B53AFD">
        <w:t xml:space="preserve">respect to </w:t>
      </w:r>
      <w:proofErr w:type="spellStart"/>
      <w:r>
        <w:t>isocycloseram</w:t>
      </w:r>
      <w:proofErr w:type="spellEnd"/>
      <w:r w:rsidRPr="00B53AFD">
        <w:t>. My reasons for making the final decision are those set out in the interim decision. In</w:t>
      </w:r>
      <w:r w:rsidRPr="00253509">
        <w:t xml:space="preserve"> making my final decision, I have </w:t>
      </w:r>
      <w:proofErr w:type="gramStart"/>
      <w:r w:rsidRPr="00253509">
        <w:t>taken into account</w:t>
      </w:r>
      <w:proofErr w:type="gramEnd"/>
      <w:r w:rsidRPr="00253509">
        <w:t xml:space="preserve"> the material detailed in th</w:t>
      </w:r>
      <w:r>
        <w:t>e interim decision and the responses</w:t>
      </w:r>
      <w:r w:rsidR="00353120">
        <w:t>, if provided,</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20 July 2021</w:t>
      </w:r>
      <w:r w:rsidRPr="0014113C">
        <w:t xml:space="preserve"> under regulation 42ZCZP of the Reg</w:t>
      </w:r>
      <w:r w:rsidRPr="00D5388A">
        <w:t xml:space="preserve">ulations. I note that no public submissions were received </w:t>
      </w:r>
      <w:r w:rsidR="003900C4" w:rsidRPr="00441DF1">
        <w:t>during the second round of consultation</w:t>
      </w:r>
      <w:r w:rsidRPr="00D5388A">
        <w:t>. </w:t>
      </w:r>
    </w:p>
    <w:p w14:paraId="0A64F313" w14:textId="6F2FAEAA" w:rsidR="00CC19FE" w:rsidRPr="009B0447" w:rsidRDefault="00541731" w:rsidP="00CC19FE">
      <w:pPr>
        <w:pStyle w:val="Heading4"/>
      </w:pPr>
      <w:r>
        <w:t>I</w:t>
      </w:r>
      <w:r w:rsidR="00CC19FE">
        <w:t>mplementation date</w:t>
      </w:r>
    </w:p>
    <w:p w14:paraId="5DCDE8F5" w14:textId="77777777" w:rsidR="00CC19FE" w:rsidRDefault="00CC19FE" w:rsidP="00CC19FE">
      <w:pPr>
        <w:spacing w:after="240"/>
        <w:rPr>
          <w:b/>
        </w:rPr>
      </w:pPr>
      <w:r>
        <w:rPr>
          <w:b/>
        </w:rPr>
        <w:t>1 October</w:t>
      </w:r>
      <w:r w:rsidRPr="00550FD5">
        <w:rPr>
          <w:b/>
        </w:rPr>
        <w:t xml:space="preserve"> 2021</w:t>
      </w:r>
    </w:p>
    <w:p w14:paraId="3F6EDCAA" w14:textId="66F6E58D" w:rsidR="00CC19FE" w:rsidRDefault="00450ADF" w:rsidP="00CC19FE">
      <w:pPr>
        <w:pStyle w:val="Heading3"/>
      </w:pPr>
      <w:bookmarkStart w:id="147" w:name="_Toc74846520"/>
      <w:bookmarkStart w:id="148" w:name="_Toc77686125"/>
      <w:bookmarkStart w:id="149" w:name="_Toc81573629"/>
      <w:r>
        <w:t>Final</w:t>
      </w:r>
      <w:r w:rsidR="00CC19FE">
        <w:t xml:space="preserve"> decision in relation to 1,4-b</w:t>
      </w:r>
      <w:r w:rsidR="00CC19FE" w:rsidRPr="006B7E17">
        <w:t>enzenediamine, 2-(methoxymethyl)-</w:t>
      </w:r>
      <w:bookmarkEnd w:id="147"/>
      <w:bookmarkEnd w:id="148"/>
      <w:bookmarkEnd w:id="149"/>
    </w:p>
    <w:p w14:paraId="1B14418C" w14:textId="77777777" w:rsidR="00CC19FE" w:rsidRDefault="00CC19FE" w:rsidP="00CC19FE">
      <w:pPr>
        <w:pStyle w:val="Heading4"/>
      </w:pPr>
      <w:r>
        <w:t>Proposal</w:t>
      </w:r>
    </w:p>
    <w:p w14:paraId="73235EE3" w14:textId="48B7E564" w:rsidR="00CC19FE" w:rsidRDefault="00541731" w:rsidP="00C54193">
      <w:r>
        <w:t>The applicant proposed</w:t>
      </w:r>
      <w:r w:rsidR="00CC19FE">
        <w:t xml:space="preserve"> to create </w:t>
      </w:r>
      <w:r w:rsidRPr="00541731">
        <w:t xml:space="preserve">entries for 1,4-benzenediamine, 2-(methoxymethyl)- in Schedule 6 (with labelling conditions and a cut-off limit) and Schedule 10 of the Poisons </w:t>
      </w:r>
      <w:r w:rsidRPr="00541731">
        <w:lastRenderedPageBreak/>
        <w:t>Standard.</w:t>
      </w:r>
      <w:r>
        <w:t xml:space="preserve"> </w:t>
      </w:r>
      <w:r w:rsidR="00CC19FE">
        <w:t>The substance is currently captured by group entries for phenylenediamines in Schedule</w:t>
      </w:r>
      <w:r w:rsidR="00450ADF">
        <w:t>s</w:t>
      </w:r>
      <w:r w:rsidR="00CC19FE">
        <w:t xml:space="preserve"> 6 and 10.</w:t>
      </w:r>
    </w:p>
    <w:p w14:paraId="2EFC3229" w14:textId="53629E43" w:rsidR="00CC19FE" w:rsidRPr="008036B7" w:rsidRDefault="00450ADF" w:rsidP="00CC19FE">
      <w:pPr>
        <w:pStyle w:val="Heading4"/>
      </w:pPr>
      <w:r>
        <w:t>Final</w:t>
      </w:r>
      <w:r w:rsidR="00CC19FE">
        <w:t xml:space="preserve"> decision</w:t>
      </w:r>
    </w:p>
    <w:p w14:paraId="1C1D26F0" w14:textId="615D0D75" w:rsidR="00CC19FE" w:rsidRDefault="00CC19FE" w:rsidP="00C54193">
      <w:r w:rsidRPr="00C55FF4">
        <w:t>Pursuant to regulation 42ZCZ</w:t>
      </w:r>
      <w:r w:rsidR="00E64DA6">
        <w:t>R</w:t>
      </w:r>
      <w:r w:rsidRPr="00C55FF4">
        <w:t xml:space="preserve"> of the Regulations, a Delegate of the Secretary has, in relation to the proposed amendment, made a</w:t>
      </w:r>
      <w:r w:rsidR="00450ADF">
        <w:t xml:space="preserve"> final</w:t>
      </w:r>
      <w:r w:rsidRPr="00C55FF4">
        <w:t xml:space="preserve"> </w:t>
      </w:r>
      <w:r w:rsidRPr="00E604FC">
        <w:t>decision not to amend the current Poisons St</w:t>
      </w:r>
      <w:r>
        <w:t>andard in relation to 1,4-b</w:t>
      </w:r>
      <w:r w:rsidRPr="006B7E17">
        <w:t>enzenediamine, 2-(methoxymethyl)-</w:t>
      </w:r>
      <w:r w:rsidRPr="00E604FC">
        <w:t>.</w:t>
      </w:r>
    </w:p>
    <w:p w14:paraId="256B8913" w14:textId="77777777" w:rsidR="00CC19FE" w:rsidRDefault="00CC19FE" w:rsidP="00CC19FE">
      <w:pPr>
        <w:pStyle w:val="Heading4"/>
      </w:pPr>
      <w:r>
        <w:t>Materials considered</w:t>
      </w:r>
    </w:p>
    <w:p w14:paraId="2976671C" w14:textId="779E72EF" w:rsidR="00CC19FE" w:rsidRDefault="00CC19FE" w:rsidP="00C54193">
      <w:r>
        <w:t xml:space="preserve">In making this </w:t>
      </w:r>
      <w:r w:rsidR="00450ADF">
        <w:t xml:space="preserve">final </w:t>
      </w:r>
      <w:r>
        <w:t>decision, the Delegate considered the following material:</w:t>
      </w:r>
    </w:p>
    <w:p w14:paraId="3E5E6268" w14:textId="77777777" w:rsidR="00CC19FE" w:rsidRDefault="00CC19FE" w:rsidP="00C54193">
      <w:pPr>
        <w:pStyle w:val="ListBullet"/>
      </w:pPr>
      <w:r w:rsidRPr="000E0D69">
        <w:t xml:space="preserve">The </w:t>
      </w:r>
      <w:hyperlink r:id="rId85" w:history="1">
        <w:r w:rsidRPr="007F51B5">
          <w:rPr>
            <w:rStyle w:val="Hyperlink"/>
          </w:rPr>
          <w:t>application</w:t>
        </w:r>
      </w:hyperlink>
      <w:r w:rsidRPr="000E0D69">
        <w:t xml:space="preserve"> to amend the</w:t>
      </w:r>
      <w:r>
        <w:t xml:space="preserve"> current Poisons Standard with respect to </w:t>
      </w:r>
      <w:r w:rsidRPr="00FA19F8">
        <w:t>1,4-benzenediamine, 2-(methoxymethyl)-</w:t>
      </w:r>
      <w:r>
        <w:t>;</w:t>
      </w:r>
    </w:p>
    <w:p w14:paraId="45F20354" w14:textId="77777777" w:rsidR="00CC19FE" w:rsidRDefault="00CC19FE" w:rsidP="00C54193">
      <w:pPr>
        <w:pStyle w:val="ListBullet"/>
      </w:pPr>
      <w:r>
        <w:t xml:space="preserve">The </w:t>
      </w:r>
      <w:hyperlink r:id="rId86" w:history="1">
        <w:r w:rsidRPr="00F8225E">
          <w:rPr>
            <w:rStyle w:val="Hyperlink"/>
          </w:rPr>
          <w:t>public report on the substance</w:t>
        </w:r>
      </w:hyperlink>
      <w:r>
        <w:t xml:space="preserve">, compiled by NICNAS in </w:t>
      </w:r>
      <w:r w:rsidRPr="00C54193">
        <w:t>August</w:t>
      </w:r>
      <w:r>
        <w:t xml:space="preserve"> 2018;</w:t>
      </w:r>
    </w:p>
    <w:p w14:paraId="7076754B" w14:textId="77777777" w:rsidR="00CC19FE" w:rsidRDefault="00CC19FE" w:rsidP="00CC19FE">
      <w:pPr>
        <w:pStyle w:val="ListBullet"/>
        <w:numPr>
          <w:ilvl w:val="0"/>
          <w:numId w:val="1"/>
        </w:numPr>
      </w:pPr>
      <w:r>
        <w:t>The 58</w:t>
      </w:r>
      <w:r w:rsidRPr="000E0D69">
        <w:t xml:space="preserve"> </w:t>
      </w:r>
      <w:hyperlink r:id="rId87" w:history="1">
        <w:r w:rsidRPr="00905BFB">
          <w:rPr>
            <w:rStyle w:val="Hyperlink"/>
          </w:rPr>
          <w:t>public submissions</w:t>
        </w:r>
      </w:hyperlink>
      <w:r w:rsidRPr="000710CB">
        <w:rPr>
          <w:rStyle w:val="Hyperlink"/>
          <w:color w:val="auto"/>
          <w:u w:val="none"/>
        </w:rPr>
        <w:t>,</w:t>
      </w:r>
      <w:r w:rsidRPr="000710CB">
        <w:t xml:space="preserve"> including </w:t>
      </w:r>
      <w:r>
        <w:t>one written submission</w:t>
      </w:r>
      <w:r w:rsidRPr="00C85183">
        <w:t xml:space="preserve">, </w:t>
      </w:r>
      <w:r>
        <w:t xml:space="preserve">received in response to the </w:t>
      </w:r>
      <w:hyperlink r:id="rId88" w:history="1">
        <w:r w:rsidRPr="00A825A4">
          <w:rPr>
            <w:rStyle w:val="Hyperlink"/>
          </w:rPr>
          <w:t>pre-meeting consultation</w:t>
        </w:r>
      </w:hyperlink>
      <w:r w:rsidRPr="00A825A4">
        <w:t xml:space="preserve"> und</w:t>
      </w:r>
      <w:r>
        <w:t>er regulation 42ZCZK of the Regulations;</w:t>
      </w:r>
    </w:p>
    <w:p w14:paraId="0B7EBEE7" w14:textId="7E260349" w:rsidR="00CC19FE" w:rsidRDefault="00CC19FE" w:rsidP="00CC19FE">
      <w:pPr>
        <w:pStyle w:val="ListBullet"/>
        <w:numPr>
          <w:ilvl w:val="0"/>
          <w:numId w:val="1"/>
        </w:numPr>
      </w:pPr>
      <w:r>
        <w:t xml:space="preserve">The advice </w:t>
      </w:r>
      <w:r w:rsidRPr="00A825A4">
        <w:t>received from the Meeting of the Advisory Committee o</w:t>
      </w:r>
      <w:r>
        <w:t>n Chemicals Scheduling (ACCS #30</w:t>
      </w:r>
      <w:proofErr w:type="gramStart"/>
      <w:r w:rsidRPr="00A825A4">
        <w:t>);</w:t>
      </w:r>
      <w:proofErr w:type="gramEnd"/>
    </w:p>
    <w:p w14:paraId="135915A9" w14:textId="5557956D" w:rsidR="00450ADF" w:rsidRDefault="00450ADF" w:rsidP="00450ADF">
      <w:pPr>
        <w:pStyle w:val="ListBullet"/>
      </w:pPr>
      <w:r>
        <w:t xml:space="preserve">The </w:t>
      </w:r>
      <w:r w:rsidR="00CE40B9">
        <w:t>two</w:t>
      </w:r>
      <w:r>
        <w:t xml:space="preserve"> </w:t>
      </w:r>
      <w:hyperlink r:id="rId89" w:history="1">
        <w:r w:rsidRPr="00937E6E">
          <w:rPr>
            <w:rStyle w:val="Hyperlink"/>
          </w:rPr>
          <w:t>public submissions</w:t>
        </w:r>
      </w:hyperlink>
      <w:r>
        <w:t xml:space="preserve">, </w:t>
      </w:r>
      <w:r w:rsidRPr="00C85183">
        <w:t xml:space="preserve">including </w:t>
      </w:r>
      <w:r w:rsidR="00CE40B9">
        <w:t>one</w:t>
      </w:r>
      <w:r>
        <w:t xml:space="preserve"> </w:t>
      </w:r>
      <w:r w:rsidRPr="00C85183">
        <w:t>written submission,</w:t>
      </w:r>
      <w:r>
        <w:t xml:space="preserve"> received in response to the </w:t>
      </w:r>
      <w:r w:rsidRPr="005A0661">
        <w:t>interim decision consultation</w:t>
      </w:r>
      <w:r w:rsidRPr="00A547D7">
        <w:rPr>
          <w:rFonts w:asciiTheme="minorHAnsi" w:hAnsiTheme="minorHAnsi"/>
          <w:szCs w:val="22"/>
        </w:rPr>
        <w:t xml:space="preserve"> </w:t>
      </w:r>
      <w:r w:rsidRPr="00F96EC2">
        <w:rPr>
          <w:rFonts w:asciiTheme="minorHAnsi" w:hAnsiTheme="minorHAnsi"/>
          <w:szCs w:val="22"/>
        </w:rPr>
        <w:t>under regulation 42ZCZP of the Regulations</w:t>
      </w:r>
      <w:r>
        <w:rPr>
          <w:rFonts w:asciiTheme="minorHAnsi" w:hAnsiTheme="minorHAnsi"/>
          <w:szCs w:val="22"/>
        </w:rPr>
        <w:t>;</w:t>
      </w:r>
    </w:p>
    <w:p w14:paraId="186E52C0" w14:textId="557DA41B" w:rsidR="00CC19FE" w:rsidRDefault="00CC19FE" w:rsidP="00C54193">
      <w:pPr>
        <w:pStyle w:val="ListBullet"/>
      </w:pPr>
      <w:r>
        <w:t xml:space="preserve">Subsection 52E(1) of the </w:t>
      </w:r>
      <w:r w:rsidRPr="00FC4D25">
        <w:rPr>
          <w:i/>
        </w:rPr>
        <w:t xml:space="preserve">Therapeutic Goods Act 1989, </w:t>
      </w:r>
      <w:r w:rsidRPr="001169AC">
        <w:t xml:space="preserve">in particular </w:t>
      </w:r>
      <w:r>
        <w:t xml:space="preserve">(a) the risks and benefits of the use of a substance; (b) the purpose for which a substance is </w:t>
      </w:r>
      <w:r w:rsidRPr="00C54193">
        <w:t>to</w:t>
      </w:r>
      <w:r>
        <w:t xml:space="preserve"> be used and the extent of use of a substance; (c) the toxicity of a substance; and (d) the dosage, formulation, labelling, packaging a</w:t>
      </w:r>
      <w:r w:rsidR="00C54193">
        <w:t>nd presentation of a substance;</w:t>
      </w:r>
    </w:p>
    <w:p w14:paraId="5B695761" w14:textId="45B501CF" w:rsidR="00CC19FE" w:rsidRDefault="00CC19FE" w:rsidP="00CC19FE">
      <w:pPr>
        <w:pStyle w:val="ListBullet"/>
        <w:numPr>
          <w:ilvl w:val="0"/>
          <w:numId w:val="1"/>
        </w:numPr>
      </w:pPr>
      <w:r w:rsidRPr="002C1418">
        <w:t xml:space="preserve">The Australian Health Ministers’ Advisory Council’s </w:t>
      </w:r>
      <w:hyperlink r:id="rId90" w:history="1">
        <w:r w:rsidRPr="001A7580">
          <w:rPr>
            <w:rStyle w:val="Hyperlink"/>
          </w:rPr>
          <w:t>Scheduling Policy Framework</w:t>
        </w:r>
      </w:hyperlink>
      <w:r w:rsidR="00C54193">
        <w:t xml:space="preserve"> (SPF </w:t>
      </w:r>
      <w:r>
        <w:t>2018</w:t>
      </w:r>
      <w:r w:rsidRPr="002C20AE">
        <w:t>);</w:t>
      </w:r>
      <w:r>
        <w:t xml:space="preserve"> and</w:t>
      </w:r>
    </w:p>
    <w:p w14:paraId="734A16F3" w14:textId="77777777" w:rsidR="00CC19FE" w:rsidRDefault="00CC19FE" w:rsidP="00CC19FE">
      <w:pPr>
        <w:pStyle w:val="ListBullet"/>
        <w:numPr>
          <w:ilvl w:val="0"/>
          <w:numId w:val="1"/>
        </w:numPr>
      </w:pPr>
      <w:r>
        <w:t xml:space="preserve">The </w:t>
      </w:r>
      <w:hyperlink r:id="rId91" w:history="1">
        <w:r w:rsidRPr="001A7580">
          <w:rPr>
            <w:rStyle w:val="Hyperlink"/>
          </w:rPr>
          <w:t>Scheduling handbook: Guidance for amending the Poisons Standard</w:t>
        </w:r>
      </w:hyperlink>
      <w:r>
        <w:t>.</w:t>
      </w:r>
    </w:p>
    <w:p w14:paraId="5C7ED8CB" w14:textId="650F6CD8" w:rsidR="00CC19FE" w:rsidRDefault="00CC19FE" w:rsidP="00CC19FE">
      <w:pPr>
        <w:pStyle w:val="Heading4"/>
      </w:pPr>
      <w:r>
        <w:t xml:space="preserve">Reasons for the </w:t>
      </w:r>
      <w:r w:rsidR="00450ADF">
        <w:t>final</w:t>
      </w:r>
      <w:r w:rsidRPr="00436C41">
        <w:t xml:space="preserve"> decision (including findings on material questions of fact)</w:t>
      </w:r>
    </w:p>
    <w:bookmarkEnd w:id="143"/>
    <w:p w14:paraId="59B66792" w14:textId="4C8EB9EC" w:rsidR="00450ADF" w:rsidRDefault="00450ADF" w:rsidP="00450ADF">
      <w:r w:rsidRPr="00253509">
        <w:t>I have made a final decision to confirm</w:t>
      </w:r>
      <w:r>
        <w:t xml:space="preserve"> my </w:t>
      </w:r>
      <w:hyperlink r:id="rId92" w:history="1">
        <w:r w:rsidRPr="008F73DD">
          <w:rPr>
            <w:rStyle w:val="Hyperlink"/>
          </w:rPr>
          <w:t>interim decision</w:t>
        </w:r>
      </w:hyperlink>
      <w:r>
        <w:t xml:space="preserve"> not to amend</w:t>
      </w:r>
      <w:r w:rsidRPr="00253509">
        <w:t xml:space="preserve"> the current Poisons Standard with re</w:t>
      </w:r>
      <w:r>
        <w:t xml:space="preserve">spect to </w:t>
      </w:r>
      <w:r w:rsidRPr="00541731">
        <w:t>1,4-benzenediamine, 2-(methoxymethyl)-</w:t>
      </w:r>
      <w:r w:rsidRPr="00253509">
        <w:t xml:space="preserve">. </w:t>
      </w:r>
      <w:r w:rsidRPr="008F73DD">
        <w:t>My reasons for making the final decision are those s</w:t>
      </w:r>
      <w:r>
        <w:t>et out in the interim decision.</w:t>
      </w:r>
      <w:r w:rsidRPr="008F73DD">
        <w:t xml:space="preserve"> </w:t>
      </w:r>
      <w:r w:rsidRPr="00253509">
        <w:t xml:space="preserve">In making my final decision, I have </w:t>
      </w:r>
      <w:proofErr w:type="gramStart"/>
      <w:r w:rsidRPr="00253509">
        <w:t>taken into account</w:t>
      </w:r>
      <w:proofErr w:type="gramEnd"/>
      <w:r w:rsidRPr="00253509">
        <w:t xml:space="preserve"> the material detailed in th</w:t>
      </w:r>
      <w:r>
        <w:t>e interim decision and the responses</w:t>
      </w:r>
      <w:r w:rsidRPr="0014113C">
        <w:t xml:space="preserve"> received</w:t>
      </w:r>
      <w:r>
        <w:t xml:space="preserve"> after</w:t>
      </w:r>
      <w:r w:rsidRPr="0014113C">
        <w:t xml:space="preserve"> the </w:t>
      </w:r>
      <w:r>
        <w:t xml:space="preserve">second </w:t>
      </w:r>
      <w:r w:rsidRPr="0014113C">
        <w:t>call</w:t>
      </w:r>
      <w:r>
        <w:t xml:space="preserve"> for public submissions,</w:t>
      </w:r>
      <w:r w:rsidRPr="0014113C">
        <w:t xml:space="preserve"> </w:t>
      </w:r>
      <w:r>
        <w:t>published on 20 July 2021</w:t>
      </w:r>
      <w:r w:rsidRPr="0014113C">
        <w:t xml:space="preserve"> under regulation 42ZCZP of the Regulations.</w:t>
      </w:r>
      <w:r>
        <w:t xml:space="preserve"> </w:t>
      </w:r>
      <w:r w:rsidRPr="00CE40B9">
        <w:t>I note that public submission</w:t>
      </w:r>
      <w:r w:rsidR="00E04249">
        <w:t>s</w:t>
      </w:r>
      <w:r w:rsidRPr="00CE40B9">
        <w:t xml:space="preserve"> </w:t>
      </w:r>
      <w:r w:rsidR="00CE40B9">
        <w:t>received during the second round of consultation</w:t>
      </w:r>
      <w:r w:rsidR="00441DF1">
        <w:t xml:space="preserve"> </w:t>
      </w:r>
      <w:r w:rsidR="00E04249">
        <w:t xml:space="preserve">were </w:t>
      </w:r>
      <w:r w:rsidR="00570F4A">
        <w:t>not opposed to</w:t>
      </w:r>
      <w:r w:rsidR="00CE40B9" w:rsidRPr="00CE40B9">
        <w:t xml:space="preserve"> the interim decision</w:t>
      </w:r>
      <w:r w:rsidRPr="00CE40B9">
        <w:t>.</w:t>
      </w:r>
      <w:r w:rsidRPr="000E2B9F">
        <w:t> </w:t>
      </w:r>
    </w:p>
    <w:p w14:paraId="6EF38071" w14:textId="2891AA46" w:rsidR="00CC19FE" w:rsidRPr="00455A2B" w:rsidRDefault="00CC19FE" w:rsidP="00B64F85"/>
    <w:sectPr w:rsidR="00CC19FE" w:rsidRPr="00455A2B" w:rsidSect="003A48A2">
      <w:headerReference w:type="default" r:id="rId93"/>
      <w:footerReference w:type="default" r:id="rId94"/>
      <w:headerReference w:type="first" r:id="rId95"/>
      <w:footerReference w:type="first" r:id="rId96"/>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94AE5" w14:textId="77777777" w:rsidR="00623934" w:rsidRDefault="00623934" w:rsidP="00C40A36">
      <w:pPr>
        <w:spacing w:after="0"/>
      </w:pPr>
      <w:r>
        <w:separator/>
      </w:r>
    </w:p>
  </w:endnote>
  <w:endnote w:type="continuationSeparator" w:id="0">
    <w:p w14:paraId="6C88D36A" w14:textId="77777777" w:rsidR="00623934" w:rsidRDefault="0062393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623934" w:rsidRPr="00257138" w14:paraId="56DEB294" w14:textId="77777777" w:rsidTr="009B00CC">
      <w:trPr>
        <w:trHeight w:val="423"/>
      </w:trPr>
      <w:tc>
        <w:tcPr>
          <w:tcW w:w="7338" w:type="dxa"/>
          <w:tcBorders>
            <w:top w:val="single" w:sz="4" w:space="0" w:color="auto"/>
          </w:tcBorders>
        </w:tcPr>
        <w:p w14:paraId="54D28953" w14:textId="77777777" w:rsidR="00623934" w:rsidRDefault="00623934" w:rsidP="003F3095">
          <w:pPr>
            <w:pStyle w:val="Footer"/>
          </w:pPr>
          <w:r>
            <w:t>Record of the 29th meeting of the Advisory Committee on Medicines Scheduling</w:t>
          </w:r>
        </w:p>
        <w:p w14:paraId="2BEB0D7F" w14:textId="77777777" w:rsidR="00623934" w:rsidRPr="00257138" w:rsidRDefault="00623934"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73717A87" w14:textId="77777777" w:rsidR="00623934" w:rsidRDefault="00623934" w:rsidP="00782870">
              <w:pPr>
                <w:pStyle w:val="Footer"/>
                <w:jc w:val="right"/>
              </w:pPr>
            </w:p>
            <w:p w14:paraId="6376927D" w14:textId="77777777" w:rsidR="00623934" w:rsidRPr="00257138" w:rsidRDefault="00623934" w:rsidP="0078287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D672EF">
                <w:fldChar w:fldCharType="begin"/>
              </w:r>
              <w:r w:rsidR="00D672EF">
                <w:instrText xml:space="preserve"> NUMPAGES  </w:instrText>
              </w:r>
              <w:r w:rsidR="00D672EF">
                <w:fldChar w:fldCharType="separate"/>
              </w:r>
              <w:r>
                <w:rPr>
                  <w:noProof/>
                </w:rPr>
                <w:t>42</w:t>
              </w:r>
              <w:r w:rsidR="00D672EF">
                <w:rPr>
                  <w:noProof/>
                </w:rPr>
                <w:fldChar w:fldCharType="end"/>
              </w:r>
            </w:p>
          </w:sdtContent>
        </w:sdt>
      </w:tc>
    </w:tr>
    <w:tr w:rsidR="00623934" w:rsidRPr="00257138" w14:paraId="09992C2B" w14:textId="77777777" w:rsidTr="009B00CC">
      <w:trPr>
        <w:trHeight w:val="263"/>
      </w:trPr>
      <w:tc>
        <w:tcPr>
          <w:tcW w:w="7338" w:type="dxa"/>
        </w:tcPr>
        <w:p w14:paraId="3875CA8E" w14:textId="77777777" w:rsidR="00623934" w:rsidRPr="00257138" w:rsidRDefault="00623934" w:rsidP="00782870">
          <w:pPr>
            <w:pStyle w:val="Footer"/>
          </w:pPr>
        </w:p>
      </w:tc>
      <w:tc>
        <w:tcPr>
          <w:tcW w:w="1382" w:type="dxa"/>
        </w:tcPr>
        <w:p w14:paraId="19E88DEB" w14:textId="77777777" w:rsidR="00623934" w:rsidRPr="00257138" w:rsidRDefault="00623934" w:rsidP="00782870">
          <w:pPr>
            <w:pStyle w:val="Footer"/>
            <w:jc w:val="right"/>
          </w:pPr>
        </w:p>
      </w:tc>
    </w:tr>
  </w:tbl>
  <w:p w14:paraId="54401F26" w14:textId="77777777" w:rsidR="00623934" w:rsidRPr="00826007" w:rsidRDefault="00623934"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623934" w:rsidRPr="00257138" w14:paraId="1B2D16F8" w14:textId="77777777" w:rsidTr="004629C6">
      <w:trPr>
        <w:trHeight w:val="189"/>
      </w:trPr>
      <w:tc>
        <w:tcPr>
          <w:tcW w:w="7338" w:type="dxa"/>
        </w:tcPr>
        <w:p w14:paraId="21091420" w14:textId="430562DE" w:rsidR="00623934" w:rsidRPr="00257138" w:rsidRDefault="00623934" w:rsidP="00C02C97">
          <w:pPr>
            <w:pStyle w:val="Footer"/>
          </w:pPr>
          <w:r>
            <w:t>Delegate’s final decisions and reasons for decisions (ACMS #33, ACCS #30 and Joint ACMS-ACCS #27, March 2021)</w:t>
          </w:r>
        </w:p>
      </w:tc>
      <w:tc>
        <w:tcPr>
          <w:tcW w:w="1382" w:type="dxa"/>
        </w:tcPr>
        <w:sdt>
          <w:sdtPr>
            <w:id w:val="602996628"/>
            <w:docPartObj>
              <w:docPartGallery w:val="Page Numbers (Top of Page)"/>
              <w:docPartUnique/>
            </w:docPartObj>
          </w:sdtPr>
          <w:sdtEndPr/>
          <w:sdtContent>
            <w:p w14:paraId="7455D083" w14:textId="2068D2CF" w:rsidR="00623934" w:rsidRPr="00257138" w:rsidRDefault="00623934" w:rsidP="004629C6">
              <w:pPr>
                <w:pStyle w:val="Footer"/>
                <w:jc w:val="right"/>
              </w:pPr>
              <w:r w:rsidRPr="00257138">
                <w:t xml:space="preserve">Page </w:t>
              </w:r>
              <w:r>
                <w:fldChar w:fldCharType="begin"/>
              </w:r>
              <w:r>
                <w:instrText xml:space="preserve"> PAGE </w:instrText>
              </w:r>
              <w:r>
                <w:fldChar w:fldCharType="separate"/>
              </w:r>
              <w:r>
                <w:rPr>
                  <w:noProof/>
                </w:rPr>
                <w:t>49</w:t>
              </w:r>
              <w:r>
                <w:rPr>
                  <w:noProof/>
                </w:rPr>
                <w:fldChar w:fldCharType="end"/>
              </w:r>
              <w:r w:rsidRPr="00257138">
                <w:t xml:space="preserve"> of </w:t>
              </w:r>
              <w:r w:rsidR="00D672EF">
                <w:fldChar w:fldCharType="begin"/>
              </w:r>
              <w:r w:rsidR="00D672EF">
                <w:instrText xml:space="preserve"> NUMPAGES  </w:instrText>
              </w:r>
              <w:r w:rsidR="00D672EF">
                <w:fldChar w:fldCharType="separate"/>
              </w:r>
              <w:r>
                <w:rPr>
                  <w:noProof/>
                </w:rPr>
                <w:t>49</w:t>
              </w:r>
              <w:r w:rsidR="00D672EF">
                <w:rPr>
                  <w:noProof/>
                </w:rPr>
                <w:fldChar w:fldCharType="end"/>
              </w:r>
            </w:p>
          </w:sdtContent>
        </w:sdt>
      </w:tc>
    </w:tr>
  </w:tbl>
  <w:p w14:paraId="623AA1CE" w14:textId="77777777" w:rsidR="00623934" w:rsidRPr="00826007" w:rsidRDefault="00623934"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623934" w:rsidRPr="00257138" w14:paraId="76052F65" w14:textId="77777777" w:rsidTr="003A48A2">
      <w:trPr>
        <w:trHeight w:val="423"/>
      </w:trPr>
      <w:tc>
        <w:tcPr>
          <w:tcW w:w="7338" w:type="dxa"/>
        </w:tcPr>
        <w:p w14:paraId="6A331473" w14:textId="12CB916F" w:rsidR="00623934" w:rsidRPr="00257138" w:rsidRDefault="00623934" w:rsidP="00C02C97">
          <w:pPr>
            <w:pStyle w:val="Footer"/>
          </w:pPr>
          <w:r>
            <w:t>Delegate’s final decisions and reasons for decisions (ACMS #33, ACCS #30 and Joint ACMS-ACCS #27, March 2021)</w:t>
          </w:r>
        </w:p>
      </w:tc>
      <w:tc>
        <w:tcPr>
          <w:tcW w:w="1382" w:type="dxa"/>
        </w:tcPr>
        <w:sdt>
          <w:sdtPr>
            <w:id w:val="5342774"/>
            <w:docPartObj>
              <w:docPartGallery w:val="Page Numbers (Top of Page)"/>
              <w:docPartUnique/>
            </w:docPartObj>
          </w:sdtPr>
          <w:sdtEndPr/>
          <w:sdtContent>
            <w:p w14:paraId="44A48167" w14:textId="2B5D6E75" w:rsidR="00623934" w:rsidRPr="00257138" w:rsidRDefault="00623934" w:rsidP="003A48A2">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D672EF">
                <w:fldChar w:fldCharType="begin"/>
              </w:r>
              <w:r w:rsidR="00D672EF">
                <w:instrText xml:space="preserve"> NUMPAGES  </w:instrText>
              </w:r>
              <w:r w:rsidR="00D672EF">
                <w:fldChar w:fldCharType="separate"/>
              </w:r>
              <w:r>
                <w:rPr>
                  <w:noProof/>
                </w:rPr>
                <w:t>10</w:t>
              </w:r>
              <w:r w:rsidR="00D672EF">
                <w:rPr>
                  <w:noProof/>
                </w:rPr>
                <w:fldChar w:fldCharType="end"/>
              </w:r>
            </w:p>
          </w:sdtContent>
        </w:sdt>
      </w:tc>
    </w:tr>
  </w:tbl>
  <w:p w14:paraId="2BFF15C4" w14:textId="77777777" w:rsidR="00623934" w:rsidRDefault="00623934" w:rsidP="00BD015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8E71A" w14:textId="77777777" w:rsidR="00623934" w:rsidRDefault="00623934" w:rsidP="00C40A36">
      <w:pPr>
        <w:spacing w:after="0"/>
      </w:pPr>
      <w:r>
        <w:separator/>
      </w:r>
    </w:p>
  </w:footnote>
  <w:footnote w:type="continuationSeparator" w:id="0">
    <w:p w14:paraId="1B093785" w14:textId="77777777" w:rsidR="00623934" w:rsidRDefault="00623934" w:rsidP="00C40A36">
      <w:pPr>
        <w:spacing w:after="0"/>
      </w:pPr>
      <w:r>
        <w:continuationSeparator/>
      </w:r>
    </w:p>
  </w:footnote>
  <w:footnote w:id="1">
    <w:p w14:paraId="1F2D8D27" w14:textId="77777777" w:rsidR="00623934" w:rsidRDefault="00623934" w:rsidP="00B4661B">
      <w:pPr>
        <w:pStyle w:val="FootnoteText"/>
        <w:rPr>
          <w:lang w:val="en-US"/>
        </w:rPr>
      </w:pPr>
      <w:r>
        <w:rPr>
          <w:rStyle w:val="FootnoteReference"/>
          <w:szCs w:val="16"/>
        </w:rPr>
        <w:t>[1]</w:t>
      </w:r>
      <w:r>
        <w:t xml:space="preserve"> </w:t>
      </w:r>
      <w:r>
        <w:rPr>
          <w:lang w:val="en-US"/>
        </w:rPr>
        <w:t xml:space="preserve">“Cultivation”, “production” and “manufacture” have the same meaning as in the </w:t>
      </w:r>
      <w:r>
        <w:rPr>
          <w:i/>
          <w:iCs/>
          <w:lang w:val="en-US"/>
        </w:rPr>
        <w:t>Narcotic Drugs Act 1967</w:t>
      </w:r>
    </w:p>
  </w:footnote>
  <w:footnote w:id="2">
    <w:p w14:paraId="7B2996E1" w14:textId="659207EE" w:rsidR="00623934" w:rsidRDefault="00623934">
      <w:pPr>
        <w:pStyle w:val="FootnoteText"/>
      </w:pPr>
      <w:r>
        <w:rPr>
          <w:rStyle w:val="FootnoteReference"/>
        </w:rPr>
        <w:footnoteRef/>
      </w:r>
      <w:r>
        <w:t xml:space="preserve"> WHO, 2011. Evaluations of the Joint FAO/WHO Expert Committee on Food Additives (JECFA). Lead. </w:t>
      </w:r>
      <w:hyperlink r:id="rId1" w:history="1">
        <w:r w:rsidRPr="000D0B36">
          <w:rPr>
            <w:rStyle w:val="Hyperlink"/>
          </w:rPr>
          <w:t>https://apps.who.int/food-additives-contaminants-jecfa-database/chemical.aspx?chemID=3511</w:t>
        </w:r>
      </w:hyperlink>
      <w:r>
        <w:t xml:space="preserve"> </w:t>
      </w:r>
    </w:p>
  </w:footnote>
  <w:footnote w:id="3">
    <w:p w14:paraId="15DC9F84" w14:textId="3AAFCDC6" w:rsidR="00623934" w:rsidRDefault="00623934">
      <w:pPr>
        <w:pStyle w:val="FootnoteText"/>
      </w:pPr>
      <w:r>
        <w:rPr>
          <w:rStyle w:val="FootnoteReference"/>
        </w:rPr>
        <w:footnoteRef/>
      </w:r>
      <w:r>
        <w:t xml:space="preserve"> OECD, 1999. Phasing lead out of gasoline: An examination of policy approaches in different countries. </w:t>
      </w:r>
      <w:hyperlink r:id="rId2" w:history="1">
        <w:r w:rsidRPr="000D0B36">
          <w:rPr>
            <w:rStyle w:val="Hyperlink"/>
          </w:rPr>
          <w:t>https://www.oecd.org/env/ehs/risk-management/1937036.pdf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623934" w:rsidRPr="00DA24C7" w14:paraId="561F75B8" w14:textId="77777777" w:rsidTr="00F923D6">
      <w:trPr>
        <w:trHeight w:val="709"/>
      </w:trPr>
      <w:tc>
        <w:tcPr>
          <w:tcW w:w="4035" w:type="dxa"/>
        </w:tcPr>
        <w:p w14:paraId="739BCF37" w14:textId="77777777" w:rsidR="00623934" w:rsidRPr="00DA24C7" w:rsidRDefault="00623934"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B696A4A" w14:textId="77777777" w:rsidR="00623934" w:rsidRPr="000F5176" w:rsidRDefault="00623934" w:rsidP="000F5176">
          <w:pPr>
            <w:pStyle w:val="HeaderNoLine"/>
            <w:rPr>
              <w:rStyle w:val="HeaderChar"/>
            </w:rPr>
          </w:pPr>
          <w:r w:rsidRPr="000F5176">
            <w:t>Therapeutic Goods Administration</w:t>
          </w:r>
        </w:p>
      </w:tc>
    </w:tr>
  </w:tbl>
  <w:p w14:paraId="0FF3EFB6" w14:textId="77777777" w:rsidR="00623934" w:rsidRDefault="00623934" w:rsidP="00F9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623934" w:rsidRPr="00DE02AE" w14:paraId="332443D1" w14:textId="77777777" w:rsidTr="00782870">
      <w:trPr>
        <w:trHeight w:hRule="exact" w:val="8845"/>
      </w:trPr>
      <w:tc>
        <w:tcPr>
          <w:tcW w:w="11964" w:type="dxa"/>
        </w:tcPr>
        <w:p w14:paraId="501E3D58" w14:textId="77777777" w:rsidR="00623934" w:rsidRPr="00DE02AE" w:rsidRDefault="00D672EF" w:rsidP="00782870">
          <w:pPr>
            <w:pStyle w:val="Date"/>
            <w:ind w:left="-28"/>
          </w:pPr>
          <w:sdt>
            <w:sdtPr>
              <w:id w:val="21514581"/>
              <w:showingPlcHdr/>
              <w:picture/>
            </w:sdtPr>
            <w:sdtEndPr/>
            <w:sdtContent>
              <w:r w:rsidR="00623934">
                <w:rPr>
                  <w:noProof/>
                  <w:lang w:eastAsia="en-AU"/>
                </w:rPr>
                <w:drawing>
                  <wp:inline distT="0" distB="0" distL="0" distR="0" wp14:anchorId="1EDC0FAC" wp14:editId="7B520B87">
                    <wp:extent cx="7610475" cy="5638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114A8384" w14:textId="77777777" w:rsidR="00623934" w:rsidRDefault="00623934" w:rsidP="00280EA7">
    <w:pPr>
      <w:rPr>
        <w:noProof/>
      </w:rPr>
    </w:pPr>
    <w:r w:rsidRPr="002B29B2">
      <w:rPr>
        <w:noProof/>
        <w:lang w:eastAsia="en-AU"/>
      </w:rPr>
      <w:drawing>
        <wp:anchor distT="0" distB="0" distL="114300" distR="114300" simplePos="0" relativeHeight="251660288" behindDoc="0" locked="0" layoutInCell="0" allowOverlap="1" wp14:anchorId="15913647" wp14:editId="7EDBFB8F">
          <wp:simplePos x="0" y="0"/>
          <wp:positionH relativeFrom="page">
            <wp:posOffset>-4445</wp:posOffset>
          </wp:positionH>
          <wp:positionV relativeFrom="page">
            <wp:posOffset>4672330</wp:posOffset>
          </wp:positionV>
          <wp:extent cx="7581900" cy="2447925"/>
          <wp:effectExtent l="0" t="0" r="0" b="9525"/>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r w:rsidRPr="00E57B71">
      <w:rPr>
        <w:noProof/>
        <w:lang w:eastAsia="en-AU"/>
      </w:rPr>
      <w:drawing>
        <wp:anchor distT="0" distB="0" distL="114300" distR="114300" simplePos="0" relativeHeight="251659264" behindDoc="0" locked="0" layoutInCell="1" allowOverlap="1" wp14:anchorId="584E9EE0" wp14:editId="5B31D004">
          <wp:simplePos x="0" y="0"/>
          <wp:positionH relativeFrom="column">
            <wp:posOffset>-195580</wp:posOffset>
          </wp:positionH>
          <wp:positionV relativeFrom="paragraph">
            <wp:posOffset>-58420</wp:posOffset>
          </wp:positionV>
          <wp:extent cx="3524250" cy="1209675"/>
          <wp:effectExtent l="19050" t="0" r="0" b="0"/>
          <wp:wrapTopAndBottom/>
          <wp:docPr id="6" name="Picture 6"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3"/>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623934" w:rsidRPr="00DA24C7" w14:paraId="7C724D59" w14:textId="77777777" w:rsidTr="00C6376F">
      <w:trPr>
        <w:trHeight w:val="558"/>
      </w:trPr>
      <w:tc>
        <w:tcPr>
          <w:tcW w:w="4035" w:type="dxa"/>
          <w:vAlign w:val="center"/>
        </w:tcPr>
        <w:p w14:paraId="047292FC" w14:textId="4DEA56E9" w:rsidR="00623934" w:rsidRPr="00EB74A7" w:rsidRDefault="00623934" w:rsidP="00C6376F">
          <w:pPr>
            <w:rPr>
              <w:rStyle w:val="HeaderChar"/>
              <w:rFonts w:ascii="Arial" w:hAnsi="Arial" w:cs="Arial"/>
              <w:b/>
              <w:sz w:val="28"/>
              <w:szCs w:val="28"/>
            </w:rPr>
          </w:pPr>
        </w:p>
      </w:tc>
      <w:tc>
        <w:tcPr>
          <w:tcW w:w="4685" w:type="dxa"/>
          <w:vAlign w:val="center"/>
        </w:tcPr>
        <w:p w14:paraId="3A7D855E" w14:textId="77777777" w:rsidR="00623934" w:rsidRPr="000F5176" w:rsidRDefault="00623934" w:rsidP="00C6376F">
          <w:pPr>
            <w:pStyle w:val="HeaderNoLine"/>
            <w:rPr>
              <w:rStyle w:val="HeaderChar"/>
            </w:rPr>
          </w:pPr>
          <w:r w:rsidRPr="000F5176">
            <w:t>Therapeutic Goods Administration</w:t>
          </w:r>
        </w:p>
      </w:tc>
    </w:tr>
  </w:tbl>
  <w:p w14:paraId="3EB99D2B" w14:textId="77777777" w:rsidR="00623934" w:rsidRDefault="00623934" w:rsidP="00F3450E">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623934" w:rsidRPr="00DA24C7" w14:paraId="28E03D4B" w14:textId="77777777" w:rsidTr="00C6376F">
      <w:trPr>
        <w:trHeight w:val="558"/>
      </w:trPr>
      <w:tc>
        <w:tcPr>
          <w:tcW w:w="4035" w:type="dxa"/>
        </w:tcPr>
        <w:p w14:paraId="02A4F856" w14:textId="0223D944" w:rsidR="00623934" w:rsidRPr="00EB74A7" w:rsidRDefault="00623934" w:rsidP="00C6376F">
          <w:pPr>
            <w:pStyle w:val="HeaderNoLine"/>
            <w:jc w:val="left"/>
            <w:rPr>
              <w:rStyle w:val="HeaderChar"/>
              <w:rFonts w:ascii="Arial" w:hAnsi="Arial" w:cs="Arial"/>
              <w:b/>
              <w:sz w:val="28"/>
              <w:szCs w:val="28"/>
            </w:rPr>
          </w:pPr>
        </w:p>
      </w:tc>
      <w:tc>
        <w:tcPr>
          <w:tcW w:w="4685" w:type="dxa"/>
          <w:vAlign w:val="center"/>
        </w:tcPr>
        <w:p w14:paraId="0DD7BFA8" w14:textId="77777777" w:rsidR="00623934" w:rsidRPr="000F5176" w:rsidRDefault="00623934" w:rsidP="00C6376F">
          <w:pPr>
            <w:pStyle w:val="HeaderNoLine"/>
            <w:rPr>
              <w:rStyle w:val="HeaderChar"/>
            </w:rPr>
          </w:pPr>
          <w:r w:rsidRPr="000F5176">
            <w:t>Therapeutic Goods Administration</w:t>
          </w:r>
        </w:p>
      </w:tc>
    </w:tr>
  </w:tbl>
  <w:p w14:paraId="5ECE58D0" w14:textId="77777777" w:rsidR="00623934" w:rsidRDefault="00623934" w:rsidP="00280E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7A493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D171F5"/>
    <w:multiLevelType w:val="hybridMultilevel"/>
    <w:tmpl w:val="50F64276"/>
    <w:lvl w:ilvl="0" w:tplc="1B889E46">
      <w:start w:val="1"/>
      <w:numFmt w:val="lowerRoman"/>
      <w:lvlText w:val="%1)"/>
      <w:lvlJc w:val="left"/>
      <w:pPr>
        <w:ind w:left="1851" w:hanging="360"/>
      </w:pPr>
      <w:rPr>
        <w:rFonts w:hint="default"/>
      </w:rPr>
    </w:lvl>
    <w:lvl w:ilvl="1" w:tplc="1EDC6928">
      <w:start w:val="1"/>
      <w:numFmt w:val="upperLetter"/>
      <w:lvlText w:val="(%2)"/>
      <w:lvlJc w:val="left"/>
      <w:pPr>
        <w:ind w:left="2931" w:hanging="720"/>
      </w:pPr>
      <w:rPr>
        <w:rFonts w:hint="default"/>
      </w:rPr>
    </w:lvl>
    <w:lvl w:ilvl="2" w:tplc="DBBEA6FC">
      <w:start w:val="1"/>
      <w:numFmt w:val="lowerLetter"/>
      <w:lvlText w:val="%3)"/>
      <w:lvlJc w:val="left"/>
      <w:pPr>
        <w:ind w:left="3981" w:hanging="870"/>
      </w:pPr>
      <w:rPr>
        <w:rFonts w:hint="default"/>
      </w:rPr>
    </w:lvl>
    <w:lvl w:ilvl="3" w:tplc="0C09000F" w:tentative="1">
      <w:start w:val="1"/>
      <w:numFmt w:val="decimal"/>
      <w:lvlText w:val="%4."/>
      <w:lvlJc w:val="left"/>
      <w:pPr>
        <w:ind w:left="4011" w:hanging="360"/>
      </w:pPr>
    </w:lvl>
    <w:lvl w:ilvl="4" w:tplc="0C090019" w:tentative="1">
      <w:start w:val="1"/>
      <w:numFmt w:val="lowerLetter"/>
      <w:lvlText w:val="%5."/>
      <w:lvlJc w:val="left"/>
      <w:pPr>
        <w:ind w:left="4731" w:hanging="360"/>
      </w:pPr>
    </w:lvl>
    <w:lvl w:ilvl="5" w:tplc="0C09001B" w:tentative="1">
      <w:start w:val="1"/>
      <w:numFmt w:val="lowerRoman"/>
      <w:lvlText w:val="%6."/>
      <w:lvlJc w:val="right"/>
      <w:pPr>
        <w:ind w:left="5451" w:hanging="180"/>
      </w:pPr>
    </w:lvl>
    <w:lvl w:ilvl="6" w:tplc="0C09000F" w:tentative="1">
      <w:start w:val="1"/>
      <w:numFmt w:val="decimal"/>
      <w:lvlText w:val="%7."/>
      <w:lvlJc w:val="left"/>
      <w:pPr>
        <w:ind w:left="6171" w:hanging="360"/>
      </w:pPr>
    </w:lvl>
    <w:lvl w:ilvl="7" w:tplc="0C090019" w:tentative="1">
      <w:start w:val="1"/>
      <w:numFmt w:val="lowerLetter"/>
      <w:lvlText w:val="%8."/>
      <w:lvlJc w:val="left"/>
      <w:pPr>
        <w:ind w:left="6891" w:hanging="360"/>
      </w:pPr>
    </w:lvl>
    <w:lvl w:ilvl="8" w:tplc="0C09001B" w:tentative="1">
      <w:start w:val="1"/>
      <w:numFmt w:val="lowerRoman"/>
      <w:lvlText w:val="%9."/>
      <w:lvlJc w:val="right"/>
      <w:pPr>
        <w:ind w:left="7611" w:hanging="180"/>
      </w:pPr>
    </w:lvl>
  </w:abstractNum>
  <w:abstractNum w:abstractNumId="2" w15:restartNumberingAfterBreak="0">
    <w:nsid w:val="07D63B54"/>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3" w15:restartNumberingAfterBreak="0">
    <w:nsid w:val="07E476E5"/>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4" w15:restartNumberingAfterBreak="0">
    <w:nsid w:val="0A7B452C"/>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5" w15:restartNumberingAfterBreak="0">
    <w:nsid w:val="0AE058C7"/>
    <w:multiLevelType w:val="hybridMultilevel"/>
    <w:tmpl w:val="7F182EA2"/>
    <w:lvl w:ilvl="0" w:tplc="688A034C">
      <w:start w:val="1"/>
      <w:numFmt w:val="lowerRoman"/>
      <w:lvlText w:val="%1)"/>
      <w:lvlJc w:val="left"/>
      <w:pPr>
        <w:ind w:left="1644" w:hanging="360"/>
      </w:pPr>
      <w:rPr>
        <w:rFonts w:hint="default"/>
        <w:color w:val="00B050"/>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68F13E9"/>
    <w:multiLevelType w:val="multilevel"/>
    <w:tmpl w:val="A1C8EC38"/>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1CEF3ACD"/>
    <w:multiLevelType w:val="multilevel"/>
    <w:tmpl w:val="38D46DFA"/>
    <w:lvl w:ilvl="0">
      <w:start w:val="1"/>
      <w:numFmt w:val="decimal"/>
      <w:pStyle w:val="Heading2"/>
      <w:lvlText w:val="%1"/>
      <w:lvlJc w:val="left"/>
      <w:pPr>
        <w:ind w:left="432" w:hanging="432"/>
      </w:pPr>
      <w:rPr>
        <w:i w:val="0"/>
      </w:r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390088B"/>
    <w:multiLevelType w:val="hybridMultilevel"/>
    <w:tmpl w:val="27622EB2"/>
    <w:lvl w:ilvl="0" w:tplc="BD56278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33102752"/>
    <w:multiLevelType w:val="hybridMultilevel"/>
    <w:tmpl w:val="DB7A71F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D916C0"/>
    <w:multiLevelType w:val="hybridMultilevel"/>
    <w:tmpl w:val="D04A2650"/>
    <w:lvl w:ilvl="0" w:tplc="FF867032">
      <w:start w:val="1"/>
      <w:numFmt w:val="lowerLetter"/>
      <w:lvlText w:val="%1)"/>
      <w:lvlJc w:val="left"/>
      <w:pPr>
        <w:ind w:left="861" w:hanging="435"/>
      </w:pPr>
      <w:rPr>
        <w:rFonts w:eastAsia="Cambria" w:hint="default"/>
        <w:b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390A6A8C"/>
    <w:multiLevelType w:val="hybridMultilevel"/>
    <w:tmpl w:val="4A0617C6"/>
    <w:lvl w:ilvl="0" w:tplc="5ACCB550">
      <w:start w:val="1"/>
      <w:numFmt w:val="lowerLetter"/>
      <w:pStyle w:val="Numberbullet2aitalicised"/>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133EBB"/>
    <w:multiLevelType w:val="hybridMultilevel"/>
    <w:tmpl w:val="DB7A71F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222151"/>
    <w:multiLevelType w:val="hybridMultilevel"/>
    <w:tmpl w:val="27622EB2"/>
    <w:lvl w:ilvl="0" w:tplc="BD56278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CD32E5"/>
    <w:multiLevelType w:val="hybridMultilevel"/>
    <w:tmpl w:val="D6B2EC5C"/>
    <w:lvl w:ilvl="0" w:tplc="32AC3618">
      <w:start w:val="1"/>
      <w:numFmt w:val="lowerLetter"/>
      <w:pStyle w:val="Numberbullet2ared"/>
      <w:lvlText w:val="%1)"/>
      <w:lvlJc w:val="left"/>
      <w:pPr>
        <w:ind w:left="1287" w:hanging="360"/>
      </w:pPr>
      <w:rPr>
        <w:rFonts w:ascii="Cambria" w:hAnsi="Cambria" w:hint="default"/>
        <w:b w:val="0"/>
        <w:i w:val="0"/>
        <w:color w:val="FF0000"/>
        <w:sz w:val="22"/>
        <w:u w:color="FF000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4CAA5B47"/>
    <w:multiLevelType w:val="hybridMultilevel"/>
    <w:tmpl w:val="9BAEDD6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8A4B69"/>
    <w:multiLevelType w:val="hybridMultilevel"/>
    <w:tmpl w:val="05D89C80"/>
    <w:lvl w:ilvl="0" w:tplc="49B29FC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4E0344"/>
    <w:multiLevelType w:val="hybridMultilevel"/>
    <w:tmpl w:val="73D6611C"/>
    <w:lvl w:ilvl="0" w:tplc="23EEBC90">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15:restartNumberingAfterBreak="0">
    <w:nsid w:val="51E865F1"/>
    <w:multiLevelType w:val="hybridMultilevel"/>
    <w:tmpl w:val="1F28A0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A46AB5"/>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3" w15:restartNumberingAfterBreak="0">
    <w:nsid w:val="5E400FE4"/>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4" w15:restartNumberingAfterBreak="0">
    <w:nsid w:val="5F06288B"/>
    <w:multiLevelType w:val="hybridMultilevel"/>
    <w:tmpl w:val="9BAEDD6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10E3095"/>
    <w:multiLevelType w:val="hybridMultilevel"/>
    <w:tmpl w:val="50F64276"/>
    <w:lvl w:ilvl="0" w:tplc="1B889E46">
      <w:start w:val="1"/>
      <w:numFmt w:val="lowerRoman"/>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6" w15:restartNumberingAfterBreak="0">
    <w:nsid w:val="65414B5D"/>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7" w15:restartNumberingAfterBreak="0">
    <w:nsid w:val="7B9264E5"/>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8" w15:restartNumberingAfterBreak="0">
    <w:nsid w:val="7C1E4EFB"/>
    <w:multiLevelType w:val="hybridMultilevel"/>
    <w:tmpl w:val="DB7A71F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6"/>
  </w:num>
  <w:num w:numId="3">
    <w:abstractNumId w:val="7"/>
  </w:num>
  <w:num w:numId="4">
    <w:abstractNumId w:val="6"/>
  </w:num>
  <w:num w:numId="5">
    <w:abstractNumId w:val="9"/>
  </w:num>
  <w:num w:numId="6">
    <w:abstractNumId w:val="11"/>
  </w:num>
  <w:num w:numId="7">
    <w:abstractNumId w:val="8"/>
  </w:num>
  <w:num w:numId="8">
    <w:abstractNumId w:val="14"/>
  </w:num>
  <w:num w:numId="9">
    <w:abstractNumId w:val="17"/>
  </w:num>
  <w:num w:numId="10">
    <w:abstractNumId w:val="16"/>
  </w:num>
  <w:num w:numId="11">
    <w:abstractNumId w:val="19"/>
  </w:num>
  <w:num w:numId="12">
    <w:abstractNumId w:val="10"/>
  </w:num>
  <w:num w:numId="13">
    <w:abstractNumId w:val="15"/>
  </w:num>
  <w:num w:numId="14">
    <w:abstractNumId w:val="2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7"/>
  </w:num>
  <w:num w:numId="18">
    <w:abstractNumId w:val="3"/>
  </w:num>
  <w:num w:numId="19">
    <w:abstractNumId w:val="1"/>
  </w:num>
  <w:num w:numId="20">
    <w:abstractNumId w:val="5"/>
  </w:num>
  <w:num w:numId="21">
    <w:abstractNumId w:val="23"/>
  </w:num>
  <w:num w:numId="22">
    <w:abstractNumId w:val="4"/>
  </w:num>
  <w:num w:numId="23">
    <w:abstractNumId w:val="22"/>
  </w:num>
  <w:num w:numId="24">
    <w:abstractNumId w:val="2"/>
  </w:num>
  <w:num w:numId="25">
    <w:abstractNumId w:val="26"/>
  </w:num>
  <w:num w:numId="2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8"/>
  </w:num>
  <w:num w:numId="29">
    <w:abstractNumId w:val="24"/>
  </w:num>
  <w:num w:numId="30">
    <w:abstractNumId w:val="7"/>
    <w:lvlOverride w:ilvl="1">
      <w:lvl w:ilvl="1">
        <w:start w:val="1"/>
        <w:numFmt w:val="bullet"/>
        <w:pStyle w:val="ListBullet2"/>
        <w:lvlText w:val="–"/>
        <w:lvlJc w:val="left"/>
        <w:pPr>
          <w:ind w:left="720" w:hanging="360"/>
        </w:pPr>
        <w:rPr>
          <w:rFonts w:ascii="Arial" w:hAnsi="Arial" w:hint="default"/>
          <w:color w:val="auto"/>
        </w:rPr>
      </w:lvl>
    </w:lvlOverride>
  </w:num>
  <w:num w:numId="31">
    <w:abstractNumId w:val="11"/>
    <w:lvlOverride w:ilvl="0">
      <w:startOverride w:val="1"/>
    </w:lvlOverride>
  </w:num>
  <w:num w:numId="32">
    <w:abstractNumId w:val="20"/>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14"/>
    <w:lvlOverride w:ilvl="0">
      <w:startOverride w:val="1"/>
    </w:lvlOverride>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14"/>
    <w:lvlOverride w:ilvl="0">
      <w:startOverride w:val="1"/>
    </w:lvlOverride>
  </w:num>
  <w:num w:numId="45">
    <w:abstractNumId w:val="14"/>
    <w:lvlOverride w:ilvl="0">
      <w:startOverride w:val="1"/>
    </w:lvlOverride>
  </w:num>
  <w:num w:numId="46">
    <w:abstractNumId w:val="13"/>
  </w:num>
  <w:num w:numId="47">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0D33"/>
    <w:rsid w:val="00000F6F"/>
    <w:rsid w:val="00001B6C"/>
    <w:rsid w:val="00001B7D"/>
    <w:rsid w:val="00002031"/>
    <w:rsid w:val="00003EE4"/>
    <w:rsid w:val="000041AF"/>
    <w:rsid w:val="000042DA"/>
    <w:rsid w:val="00004734"/>
    <w:rsid w:val="000058F8"/>
    <w:rsid w:val="00006AE7"/>
    <w:rsid w:val="00006B22"/>
    <w:rsid w:val="00010A61"/>
    <w:rsid w:val="0001276A"/>
    <w:rsid w:val="00012BC8"/>
    <w:rsid w:val="00012D9E"/>
    <w:rsid w:val="00012F28"/>
    <w:rsid w:val="00020863"/>
    <w:rsid w:val="00023C6E"/>
    <w:rsid w:val="000246AE"/>
    <w:rsid w:val="00024A62"/>
    <w:rsid w:val="00025266"/>
    <w:rsid w:val="00025BEA"/>
    <w:rsid w:val="00025C67"/>
    <w:rsid w:val="000321A9"/>
    <w:rsid w:val="000335FC"/>
    <w:rsid w:val="00033F14"/>
    <w:rsid w:val="000356D8"/>
    <w:rsid w:val="000366D2"/>
    <w:rsid w:val="000371A3"/>
    <w:rsid w:val="00040CED"/>
    <w:rsid w:val="00041297"/>
    <w:rsid w:val="00042573"/>
    <w:rsid w:val="00042C53"/>
    <w:rsid w:val="00044ED6"/>
    <w:rsid w:val="000465B5"/>
    <w:rsid w:val="00046DBE"/>
    <w:rsid w:val="00047B2B"/>
    <w:rsid w:val="0005081A"/>
    <w:rsid w:val="00052322"/>
    <w:rsid w:val="00052B28"/>
    <w:rsid w:val="00052FB0"/>
    <w:rsid w:val="00053C6C"/>
    <w:rsid w:val="00054B5D"/>
    <w:rsid w:val="0005559E"/>
    <w:rsid w:val="00056156"/>
    <w:rsid w:val="00057FFC"/>
    <w:rsid w:val="00061765"/>
    <w:rsid w:val="0006427F"/>
    <w:rsid w:val="00064D59"/>
    <w:rsid w:val="00065585"/>
    <w:rsid w:val="00065D1A"/>
    <w:rsid w:val="000710CB"/>
    <w:rsid w:val="0007120C"/>
    <w:rsid w:val="000716A2"/>
    <w:rsid w:val="00072D02"/>
    <w:rsid w:val="00072DA0"/>
    <w:rsid w:val="00074560"/>
    <w:rsid w:val="00074EBD"/>
    <w:rsid w:val="000755F8"/>
    <w:rsid w:val="00075612"/>
    <w:rsid w:val="00077548"/>
    <w:rsid w:val="00077775"/>
    <w:rsid w:val="00082E40"/>
    <w:rsid w:val="0008417D"/>
    <w:rsid w:val="00085737"/>
    <w:rsid w:val="00085DD5"/>
    <w:rsid w:val="00085E12"/>
    <w:rsid w:val="000860B4"/>
    <w:rsid w:val="00086103"/>
    <w:rsid w:val="000869F6"/>
    <w:rsid w:val="00090471"/>
    <w:rsid w:val="00093862"/>
    <w:rsid w:val="00097380"/>
    <w:rsid w:val="000A56BE"/>
    <w:rsid w:val="000A62F8"/>
    <w:rsid w:val="000B0759"/>
    <w:rsid w:val="000B285A"/>
    <w:rsid w:val="000B3532"/>
    <w:rsid w:val="000B36C5"/>
    <w:rsid w:val="000B3A75"/>
    <w:rsid w:val="000B56DE"/>
    <w:rsid w:val="000B5C48"/>
    <w:rsid w:val="000B7084"/>
    <w:rsid w:val="000C31F2"/>
    <w:rsid w:val="000C3DDC"/>
    <w:rsid w:val="000C5DDA"/>
    <w:rsid w:val="000C5F0B"/>
    <w:rsid w:val="000C6B99"/>
    <w:rsid w:val="000D0ABB"/>
    <w:rsid w:val="000D0ECB"/>
    <w:rsid w:val="000D29E4"/>
    <w:rsid w:val="000D2B49"/>
    <w:rsid w:val="000D391B"/>
    <w:rsid w:val="000D3D6D"/>
    <w:rsid w:val="000D45F7"/>
    <w:rsid w:val="000D4FC7"/>
    <w:rsid w:val="000E0A44"/>
    <w:rsid w:val="000E5E5E"/>
    <w:rsid w:val="000E6AC1"/>
    <w:rsid w:val="000F04C4"/>
    <w:rsid w:val="000F0C7A"/>
    <w:rsid w:val="000F1313"/>
    <w:rsid w:val="000F3860"/>
    <w:rsid w:val="000F3A5D"/>
    <w:rsid w:val="000F4869"/>
    <w:rsid w:val="000F5176"/>
    <w:rsid w:val="000F5B42"/>
    <w:rsid w:val="000F6E6F"/>
    <w:rsid w:val="001003F2"/>
    <w:rsid w:val="00101762"/>
    <w:rsid w:val="00101E34"/>
    <w:rsid w:val="001042A6"/>
    <w:rsid w:val="0010601F"/>
    <w:rsid w:val="00106BF9"/>
    <w:rsid w:val="00110AE1"/>
    <w:rsid w:val="00110EA5"/>
    <w:rsid w:val="001121D6"/>
    <w:rsid w:val="00112440"/>
    <w:rsid w:val="00115240"/>
    <w:rsid w:val="001157F7"/>
    <w:rsid w:val="00116990"/>
    <w:rsid w:val="001169AC"/>
    <w:rsid w:val="00117127"/>
    <w:rsid w:val="001231D7"/>
    <w:rsid w:val="00123BB2"/>
    <w:rsid w:val="00125091"/>
    <w:rsid w:val="00125148"/>
    <w:rsid w:val="00125318"/>
    <w:rsid w:val="0012669D"/>
    <w:rsid w:val="001268BE"/>
    <w:rsid w:val="001305A2"/>
    <w:rsid w:val="00130EB7"/>
    <w:rsid w:val="001327EC"/>
    <w:rsid w:val="00133238"/>
    <w:rsid w:val="0013482E"/>
    <w:rsid w:val="00140FE3"/>
    <w:rsid w:val="0014197B"/>
    <w:rsid w:val="00143B58"/>
    <w:rsid w:val="001447CD"/>
    <w:rsid w:val="00150A66"/>
    <w:rsid w:val="001516B1"/>
    <w:rsid w:val="001525B4"/>
    <w:rsid w:val="00152C23"/>
    <w:rsid w:val="001540FE"/>
    <w:rsid w:val="00154919"/>
    <w:rsid w:val="0015522E"/>
    <w:rsid w:val="00155651"/>
    <w:rsid w:val="00156316"/>
    <w:rsid w:val="00156847"/>
    <w:rsid w:val="00157601"/>
    <w:rsid w:val="001578C5"/>
    <w:rsid w:val="00160CB7"/>
    <w:rsid w:val="00161226"/>
    <w:rsid w:val="00162221"/>
    <w:rsid w:val="00164808"/>
    <w:rsid w:val="00164904"/>
    <w:rsid w:val="00165389"/>
    <w:rsid w:val="001653CE"/>
    <w:rsid w:val="00173960"/>
    <w:rsid w:val="00173C6A"/>
    <w:rsid w:val="001741BE"/>
    <w:rsid w:val="0017544E"/>
    <w:rsid w:val="0017693F"/>
    <w:rsid w:val="00176CB0"/>
    <w:rsid w:val="0018056A"/>
    <w:rsid w:val="0018110E"/>
    <w:rsid w:val="00181684"/>
    <w:rsid w:val="00182A4A"/>
    <w:rsid w:val="001843C6"/>
    <w:rsid w:val="001850E0"/>
    <w:rsid w:val="00185CE9"/>
    <w:rsid w:val="00186517"/>
    <w:rsid w:val="00186AFA"/>
    <w:rsid w:val="00190E9C"/>
    <w:rsid w:val="00193183"/>
    <w:rsid w:val="00195C70"/>
    <w:rsid w:val="0019637B"/>
    <w:rsid w:val="001A0E82"/>
    <w:rsid w:val="001A10B2"/>
    <w:rsid w:val="001A14FC"/>
    <w:rsid w:val="001A183F"/>
    <w:rsid w:val="001A30EC"/>
    <w:rsid w:val="001A3925"/>
    <w:rsid w:val="001A43FA"/>
    <w:rsid w:val="001A525F"/>
    <w:rsid w:val="001A5FFE"/>
    <w:rsid w:val="001A6F0B"/>
    <w:rsid w:val="001B09F9"/>
    <w:rsid w:val="001B0F8B"/>
    <w:rsid w:val="001B2C20"/>
    <w:rsid w:val="001B5CE3"/>
    <w:rsid w:val="001B5F15"/>
    <w:rsid w:val="001B6087"/>
    <w:rsid w:val="001B6448"/>
    <w:rsid w:val="001C00FB"/>
    <w:rsid w:val="001C0A78"/>
    <w:rsid w:val="001C0D8C"/>
    <w:rsid w:val="001C2A9E"/>
    <w:rsid w:val="001C2D91"/>
    <w:rsid w:val="001C5266"/>
    <w:rsid w:val="001C59DD"/>
    <w:rsid w:val="001C5B25"/>
    <w:rsid w:val="001C6414"/>
    <w:rsid w:val="001C6482"/>
    <w:rsid w:val="001C71D5"/>
    <w:rsid w:val="001C7F0A"/>
    <w:rsid w:val="001D03D1"/>
    <w:rsid w:val="001D403C"/>
    <w:rsid w:val="001E07CF"/>
    <w:rsid w:val="001E0DE1"/>
    <w:rsid w:val="001E18C4"/>
    <w:rsid w:val="001E4706"/>
    <w:rsid w:val="001E51C6"/>
    <w:rsid w:val="001E5555"/>
    <w:rsid w:val="001E59F1"/>
    <w:rsid w:val="001E5F05"/>
    <w:rsid w:val="001F04D7"/>
    <w:rsid w:val="001F20CC"/>
    <w:rsid w:val="001F32EC"/>
    <w:rsid w:val="001F49EB"/>
    <w:rsid w:val="001F5194"/>
    <w:rsid w:val="001F6CBA"/>
    <w:rsid w:val="002001F1"/>
    <w:rsid w:val="0020028B"/>
    <w:rsid w:val="00200A9C"/>
    <w:rsid w:val="00201D4E"/>
    <w:rsid w:val="00202086"/>
    <w:rsid w:val="00202E28"/>
    <w:rsid w:val="00203E67"/>
    <w:rsid w:val="00204DF0"/>
    <w:rsid w:val="0020604B"/>
    <w:rsid w:val="0020793B"/>
    <w:rsid w:val="002101CA"/>
    <w:rsid w:val="00210892"/>
    <w:rsid w:val="00211BB4"/>
    <w:rsid w:val="002147E0"/>
    <w:rsid w:val="00220B8A"/>
    <w:rsid w:val="002226DD"/>
    <w:rsid w:val="002257F3"/>
    <w:rsid w:val="002267E6"/>
    <w:rsid w:val="0023267B"/>
    <w:rsid w:val="00233456"/>
    <w:rsid w:val="002339A5"/>
    <w:rsid w:val="00236140"/>
    <w:rsid w:val="00236630"/>
    <w:rsid w:val="00240781"/>
    <w:rsid w:val="00241233"/>
    <w:rsid w:val="00242036"/>
    <w:rsid w:val="00242707"/>
    <w:rsid w:val="002445F4"/>
    <w:rsid w:val="00244694"/>
    <w:rsid w:val="002458D4"/>
    <w:rsid w:val="00245BC4"/>
    <w:rsid w:val="00245CF3"/>
    <w:rsid w:val="00247223"/>
    <w:rsid w:val="0025120A"/>
    <w:rsid w:val="00252D13"/>
    <w:rsid w:val="002534B2"/>
    <w:rsid w:val="0025660C"/>
    <w:rsid w:val="00257138"/>
    <w:rsid w:val="00257848"/>
    <w:rsid w:val="00267925"/>
    <w:rsid w:val="0027084A"/>
    <w:rsid w:val="00271D7A"/>
    <w:rsid w:val="002734EA"/>
    <w:rsid w:val="00275590"/>
    <w:rsid w:val="002766BB"/>
    <w:rsid w:val="0027750F"/>
    <w:rsid w:val="00280EA7"/>
    <w:rsid w:val="00282E67"/>
    <w:rsid w:val="00283791"/>
    <w:rsid w:val="00286434"/>
    <w:rsid w:val="00286C59"/>
    <w:rsid w:val="002876C8"/>
    <w:rsid w:val="002929C2"/>
    <w:rsid w:val="00292BB3"/>
    <w:rsid w:val="002942D1"/>
    <w:rsid w:val="00295499"/>
    <w:rsid w:val="00295D3E"/>
    <w:rsid w:val="002A0556"/>
    <w:rsid w:val="002A3961"/>
    <w:rsid w:val="002A5857"/>
    <w:rsid w:val="002A5F56"/>
    <w:rsid w:val="002A6E38"/>
    <w:rsid w:val="002B0E0E"/>
    <w:rsid w:val="002B1638"/>
    <w:rsid w:val="002B1C4A"/>
    <w:rsid w:val="002B3304"/>
    <w:rsid w:val="002B6147"/>
    <w:rsid w:val="002C07AF"/>
    <w:rsid w:val="002C1418"/>
    <w:rsid w:val="002C2A3D"/>
    <w:rsid w:val="002C383A"/>
    <w:rsid w:val="002C43C3"/>
    <w:rsid w:val="002C48BF"/>
    <w:rsid w:val="002C61B3"/>
    <w:rsid w:val="002C68CE"/>
    <w:rsid w:val="002C6D34"/>
    <w:rsid w:val="002D00EC"/>
    <w:rsid w:val="002D0B05"/>
    <w:rsid w:val="002D3878"/>
    <w:rsid w:val="002D5ACA"/>
    <w:rsid w:val="002E034D"/>
    <w:rsid w:val="002E3439"/>
    <w:rsid w:val="002E430E"/>
    <w:rsid w:val="002E4C9A"/>
    <w:rsid w:val="002E5C31"/>
    <w:rsid w:val="002E69BE"/>
    <w:rsid w:val="002E74E0"/>
    <w:rsid w:val="002F11F8"/>
    <w:rsid w:val="002F3F56"/>
    <w:rsid w:val="002F44B5"/>
    <w:rsid w:val="002F53E0"/>
    <w:rsid w:val="00302504"/>
    <w:rsid w:val="00303CBB"/>
    <w:rsid w:val="0030508C"/>
    <w:rsid w:val="003055BD"/>
    <w:rsid w:val="00305DDB"/>
    <w:rsid w:val="00307469"/>
    <w:rsid w:val="00311AC0"/>
    <w:rsid w:val="00311B04"/>
    <w:rsid w:val="00313723"/>
    <w:rsid w:val="00314331"/>
    <w:rsid w:val="003144AC"/>
    <w:rsid w:val="00316F8D"/>
    <w:rsid w:val="003208A0"/>
    <w:rsid w:val="003240DF"/>
    <w:rsid w:val="00324203"/>
    <w:rsid w:val="003251D0"/>
    <w:rsid w:val="003261C8"/>
    <w:rsid w:val="003312D1"/>
    <w:rsid w:val="00331CE3"/>
    <w:rsid w:val="00331DBB"/>
    <w:rsid w:val="00332265"/>
    <w:rsid w:val="00334439"/>
    <w:rsid w:val="00334D72"/>
    <w:rsid w:val="00335BEC"/>
    <w:rsid w:val="003367E4"/>
    <w:rsid w:val="003417E6"/>
    <w:rsid w:val="003421A5"/>
    <w:rsid w:val="00343736"/>
    <w:rsid w:val="003438B7"/>
    <w:rsid w:val="003521E8"/>
    <w:rsid w:val="00352A2E"/>
    <w:rsid w:val="00353120"/>
    <w:rsid w:val="00353AC2"/>
    <w:rsid w:val="00354510"/>
    <w:rsid w:val="00355417"/>
    <w:rsid w:val="003555D7"/>
    <w:rsid w:val="00356F04"/>
    <w:rsid w:val="00360648"/>
    <w:rsid w:val="00360716"/>
    <w:rsid w:val="00360DFD"/>
    <w:rsid w:val="00362473"/>
    <w:rsid w:val="00362F16"/>
    <w:rsid w:val="00364C9B"/>
    <w:rsid w:val="00365D0F"/>
    <w:rsid w:val="003662D5"/>
    <w:rsid w:val="003664BF"/>
    <w:rsid w:val="0036794C"/>
    <w:rsid w:val="0037036E"/>
    <w:rsid w:val="0037215C"/>
    <w:rsid w:val="003728F3"/>
    <w:rsid w:val="00373D31"/>
    <w:rsid w:val="00380824"/>
    <w:rsid w:val="0038110B"/>
    <w:rsid w:val="00382CC4"/>
    <w:rsid w:val="00386152"/>
    <w:rsid w:val="00387008"/>
    <w:rsid w:val="003900C4"/>
    <w:rsid w:val="00390900"/>
    <w:rsid w:val="003940F0"/>
    <w:rsid w:val="003964E2"/>
    <w:rsid w:val="003A0110"/>
    <w:rsid w:val="003A0B29"/>
    <w:rsid w:val="003A0B68"/>
    <w:rsid w:val="003A19BA"/>
    <w:rsid w:val="003A3B17"/>
    <w:rsid w:val="003A3F03"/>
    <w:rsid w:val="003A48A2"/>
    <w:rsid w:val="003A53D0"/>
    <w:rsid w:val="003B1FAD"/>
    <w:rsid w:val="003B3601"/>
    <w:rsid w:val="003B629A"/>
    <w:rsid w:val="003B6E20"/>
    <w:rsid w:val="003B7E39"/>
    <w:rsid w:val="003C04B2"/>
    <w:rsid w:val="003C1BBB"/>
    <w:rsid w:val="003C2195"/>
    <w:rsid w:val="003C4336"/>
    <w:rsid w:val="003C58DC"/>
    <w:rsid w:val="003C62FC"/>
    <w:rsid w:val="003C729B"/>
    <w:rsid w:val="003C7673"/>
    <w:rsid w:val="003C7D1E"/>
    <w:rsid w:val="003D1DEC"/>
    <w:rsid w:val="003D2511"/>
    <w:rsid w:val="003D26B4"/>
    <w:rsid w:val="003D497F"/>
    <w:rsid w:val="003D515B"/>
    <w:rsid w:val="003D5D86"/>
    <w:rsid w:val="003E0E6A"/>
    <w:rsid w:val="003E1945"/>
    <w:rsid w:val="003E2889"/>
    <w:rsid w:val="003E3208"/>
    <w:rsid w:val="003E33D4"/>
    <w:rsid w:val="003E3CA3"/>
    <w:rsid w:val="003E5569"/>
    <w:rsid w:val="003E7390"/>
    <w:rsid w:val="003F0B04"/>
    <w:rsid w:val="003F3092"/>
    <w:rsid w:val="003F3095"/>
    <w:rsid w:val="003F48DD"/>
    <w:rsid w:val="003F6378"/>
    <w:rsid w:val="0040088A"/>
    <w:rsid w:val="0040134E"/>
    <w:rsid w:val="00402EF6"/>
    <w:rsid w:val="00403ACE"/>
    <w:rsid w:val="00403D3E"/>
    <w:rsid w:val="00404480"/>
    <w:rsid w:val="00404AD5"/>
    <w:rsid w:val="0040598C"/>
    <w:rsid w:val="0040726C"/>
    <w:rsid w:val="004072A5"/>
    <w:rsid w:val="00411710"/>
    <w:rsid w:val="0041244F"/>
    <w:rsid w:val="00412E40"/>
    <w:rsid w:val="00414AB1"/>
    <w:rsid w:val="00414BA2"/>
    <w:rsid w:val="00416B66"/>
    <w:rsid w:val="00421B7E"/>
    <w:rsid w:val="00423F10"/>
    <w:rsid w:val="004246BE"/>
    <w:rsid w:val="004247DA"/>
    <w:rsid w:val="004302D7"/>
    <w:rsid w:val="0043074F"/>
    <w:rsid w:val="00430AAA"/>
    <w:rsid w:val="00430EF8"/>
    <w:rsid w:val="00432CDD"/>
    <w:rsid w:val="00432FC5"/>
    <w:rsid w:val="00433211"/>
    <w:rsid w:val="00434AE3"/>
    <w:rsid w:val="00435B13"/>
    <w:rsid w:val="00436AE7"/>
    <w:rsid w:val="00436C41"/>
    <w:rsid w:val="00440069"/>
    <w:rsid w:val="004407B2"/>
    <w:rsid w:val="00440A2D"/>
    <w:rsid w:val="00441DF1"/>
    <w:rsid w:val="004422DF"/>
    <w:rsid w:val="004432FB"/>
    <w:rsid w:val="004446E3"/>
    <w:rsid w:val="00444BA1"/>
    <w:rsid w:val="004454B4"/>
    <w:rsid w:val="0044589C"/>
    <w:rsid w:val="0044722D"/>
    <w:rsid w:val="004473CA"/>
    <w:rsid w:val="0044785B"/>
    <w:rsid w:val="004509DB"/>
    <w:rsid w:val="00450ADF"/>
    <w:rsid w:val="00450B40"/>
    <w:rsid w:val="004529C4"/>
    <w:rsid w:val="00455A2B"/>
    <w:rsid w:val="00455ECA"/>
    <w:rsid w:val="00456359"/>
    <w:rsid w:val="004564A7"/>
    <w:rsid w:val="00457FE3"/>
    <w:rsid w:val="004617BF"/>
    <w:rsid w:val="004618AB"/>
    <w:rsid w:val="0046191E"/>
    <w:rsid w:val="00461999"/>
    <w:rsid w:val="00461A43"/>
    <w:rsid w:val="0046227A"/>
    <w:rsid w:val="004629C6"/>
    <w:rsid w:val="00464DFB"/>
    <w:rsid w:val="0046516E"/>
    <w:rsid w:val="004658BC"/>
    <w:rsid w:val="00470EC2"/>
    <w:rsid w:val="00472080"/>
    <w:rsid w:val="004763B1"/>
    <w:rsid w:val="0048046F"/>
    <w:rsid w:val="00484BAB"/>
    <w:rsid w:val="00485BFD"/>
    <w:rsid w:val="00486420"/>
    <w:rsid w:val="00487716"/>
    <w:rsid w:val="00487D10"/>
    <w:rsid w:val="00487E2B"/>
    <w:rsid w:val="00491EBA"/>
    <w:rsid w:val="004923FF"/>
    <w:rsid w:val="004945C9"/>
    <w:rsid w:val="00494E5D"/>
    <w:rsid w:val="00494E60"/>
    <w:rsid w:val="004970FD"/>
    <w:rsid w:val="004A2400"/>
    <w:rsid w:val="004A6F05"/>
    <w:rsid w:val="004B166E"/>
    <w:rsid w:val="004B21D7"/>
    <w:rsid w:val="004B2BD3"/>
    <w:rsid w:val="004B37DD"/>
    <w:rsid w:val="004B545E"/>
    <w:rsid w:val="004B6701"/>
    <w:rsid w:val="004B6CDA"/>
    <w:rsid w:val="004B7350"/>
    <w:rsid w:val="004B7B76"/>
    <w:rsid w:val="004C0070"/>
    <w:rsid w:val="004C0FF6"/>
    <w:rsid w:val="004C241F"/>
    <w:rsid w:val="004C3BFD"/>
    <w:rsid w:val="004C3FFB"/>
    <w:rsid w:val="004C4791"/>
    <w:rsid w:val="004C60B4"/>
    <w:rsid w:val="004C6BC7"/>
    <w:rsid w:val="004D26D7"/>
    <w:rsid w:val="004D51A6"/>
    <w:rsid w:val="004D6739"/>
    <w:rsid w:val="004D722C"/>
    <w:rsid w:val="004E548A"/>
    <w:rsid w:val="004E5523"/>
    <w:rsid w:val="004F0F38"/>
    <w:rsid w:val="004F4580"/>
    <w:rsid w:val="004F50C4"/>
    <w:rsid w:val="004F6AA6"/>
    <w:rsid w:val="0050016D"/>
    <w:rsid w:val="005009C0"/>
    <w:rsid w:val="00501179"/>
    <w:rsid w:val="00501921"/>
    <w:rsid w:val="00501CBA"/>
    <w:rsid w:val="005042C1"/>
    <w:rsid w:val="00512BCB"/>
    <w:rsid w:val="005164BD"/>
    <w:rsid w:val="005168C9"/>
    <w:rsid w:val="00516E40"/>
    <w:rsid w:val="00520448"/>
    <w:rsid w:val="00520F6C"/>
    <w:rsid w:val="00521BEF"/>
    <w:rsid w:val="005220E5"/>
    <w:rsid w:val="005221E1"/>
    <w:rsid w:val="005239A9"/>
    <w:rsid w:val="005266E5"/>
    <w:rsid w:val="005274DA"/>
    <w:rsid w:val="005302F5"/>
    <w:rsid w:val="00530354"/>
    <w:rsid w:val="00530365"/>
    <w:rsid w:val="00531420"/>
    <w:rsid w:val="00533970"/>
    <w:rsid w:val="005341DA"/>
    <w:rsid w:val="00534871"/>
    <w:rsid w:val="0053538C"/>
    <w:rsid w:val="0053781A"/>
    <w:rsid w:val="005406F6"/>
    <w:rsid w:val="00541352"/>
    <w:rsid w:val="0054163A"/>
    <w:rsid w:val="00541731"/>
    <w:rsid w:val="00542DE6"/>
    <w:rsid w:val="005434C6"/>
    <w:rsid w:val="00543B39"/>
    <w:rsid w:val="00543C7F"/>
    <w:rsid w:val="00545F89"/>
    <w:rsid w:val="00550096"/>
    <w:rsid w:val="00551F1D"/>
    <w:rsid w:val="00552DB2"/>
    <w:rsid w:val="00552F2F"/>
    <w:rsid w:val="005540F9"/>
    <w:rsid w:val="00556B94"/>
    <w:rsid w:val="005576C9"/>
    <w:rsid w:val="00557FF9"/>
    <w:rsid w:val="0056062C"/>
    <w:rsid w:val="00560BAF"/>
    <w:rsid w:val="00560E8E"/>
    <w:rsid w:val="00561B1B"/>
    <w:rsid w:val="0056267A"/>
    <w:rsid w:val="00562F9E"/>
    <w:rsid w:val="005649EF"/>
    <w:rsid w:val="00570F4A"/>
    <w:rsid w:val="005729B0"/>
    <w:rsid w:val="00573016"/>
    <w:rsid w:val="00575A6D"/>
    <w:rsid w:val="00575D17"/>
    <w:rsid w:val="00576378"/>
    <w:rsid w:val="00577E38"/>
    <w:rsid w:val="005824DB"/>
    <w:rsid w:val="00585069"/>
    <w:rsid w:val="00585322"/>
    <w:rsid w:val="0058774D"/>
    <w:rsid w:val="005908AC"/>
    <w:rsid w:val="00591975"/>
    <w:rsid w:val="00592D9C"/>
    <w:rsid w:val="005930D8"/>
    <w:rsid w:val="00593A0C"/>
    <w:rsid w:val="00593AD1"/>
    <w:rsid w:val="0059463D"/>
    <w:rsid w:val="005955CF"/>
    <w:rsid w:val="00597B50"/>
    <w:rsid w:val="005A1131"/>
    <w:rsid w:val="005A23AD"/>
    <w:rsid w:val="005A3F2F"/>
    <w:rsid w:val="005A533C"/>
    <w:rsid w:val="005A54DF"/>
    <w:rsid w:val="005A58F6"/>
    <w:rsid w:val="005A5916"/>
    <w:rsid w:val="005A5A5E"/>
    <w:rsid w:val="005A6611"/>
    <w:rsid w:val="005A6756"/>
    <w:rsid w:val="005A6C9D"/>
    <w:rsid w:val="005B0EB3"/>
    <w:rsid w:val="005B1CBC"/>
    <w:rsid w:val="005B1DEF"/>
    <w:rsid w:val="005B1FFF"/>
    <w:rsid w:val="005B78C6"/>
    <w:rsid w:val="005C03F2"/>
    <w:rsid w:val="005C0499"/>
    <w:rsid w:val="005C08A9"/>
    <w:rsid w:val="005C1D90"/>
    <w:rsid w:val="005C22EA"/>
    <w:rsid w:val="005C2732"/>
    <w:rsid w:val="005C2FB2"/>
    <w:rsid w:val="005C3414"/>
    <w:rsid w:val="005C46EB"/>
    <w:rsid w:val="005C49ED"/>
    <w:rsid w:val="005C5570"/>
    <w:rsid w:val="005C6864"/>
    <w:rsid w:val="005C6D87"/>
    <w:rsid w:val="005C79A4"/>
    <w:rsid w:val="005C7F95"/>
    <w:rsid w:val="005D060C"/>
    <w:rsid w:val="005D0885"/>
    <w:rsid w:val="005D16DC"/>
    <w:rsid w:val="005D31CA"/>
    <w:rsid w:val="005D4E06"/>
    <w:rsid w:val="005D5442"/>
    <w:rsid w:val="005E1A89"/>
    <w:rsid w:val="005E3393"/>
    <w:rsid w:val="005E4764"/>
    <w:rsid w:val="005E5885"/>
    <w:rsid w:val="005E6395"/>
    <w:rsid w:val="005F07FF"/>
    <w:rsid w:val="005F159D"/>
    <w:rsid w:val="005F3EA0"/>
    <w:rsid w:val="005F48A2"/>
    <w:rsid w:val="00600923"/>
    <w:rsid w:val="00601106"/>
    <w:rsid w:val="00601594"/>
    <w:rsid w:val="00601FD3"/>
    <w:rsid w:val="0060439C"/>
    <w:rsid w:val="0060581D"/>
    <w:rsid w:val="006067A7"/>
    <w:rsid w:val="00606E6A"/>
    <w:rsid w:val="00606FC6"/>
    <w:rsid w:val="00610523"/>
    <w:rsid w:val="00612B30"/>
    <w:rsid w:val="006131AB"/>
    <w:rsid w:val="00613211"/>
    <w:rsid w:val="006132E8"/>
    <w:rsid w:val="006148C1"/>
    <w:rsid w:val="00617A0E"/>
    <w:rsid w:val="00617E8E"/>
    <w:rsid w:val="006210F2"/>
    <w:rsid w:val="0062266E"/>
    <w:rsid w:val="00623676"/>
    <w:rsid w:val="006238C7"/>
    <w:rsid w:val="00623934"/>
    <w:rsid w:val="00623F82"/>
    <w:rsid w:val="00626CC3"/>
    <w:rsid w:val="00627A76"/>
    <w:rsid w:val="00630E67"/>
    <w:rsid w:val="006326B8"/>
    <w:rsid w:val="00632D4C"/>
    <w:rsid w:val="00634D0F"/>
    <w:rsid w:val="006352D8"/>
    <w:rsid w:val="00635930"/>
    <w:rsid w:val="006400CB"/>
    <w:rsid w:val="00640FC3"/>
    <w:rsid w:val="00641EF5"/>
    <w:rsid w:val="00641F05"/>
    <w:rsid w:val="00642020"/>
    <w:rsid w:val="006447A3"/>
    <w:rsid w:val="00644F2E"/>
    <w:rsid w:val="00650434"/>
    <w:rsid w:val="00651316"/>
    <w:rsid w:val="006520A5"/>
    <w:rsid w:val="00652676"/>
    <w:rsid w:val="00652CEE"/>
    <w:rsid w:val="0065337B"/>
    <w:rsid w:val="0065419D"/>
    <w:rsid w:val="00655898"/>
    <w:rsid w:val="006573C5"/>
    <w:rsid w:val="006604D8"/>
    <w:rsid w:val="00664A5B"/>
    <w:rsid w:val="006664CB"/>
    <w:rsid w:val="00667942"/>
    <w:rsid w:val="006708FD"/>
    <w:rsid w:val="006733CD"/>
    <w:rsid w:val="00674BA2"/>
    <w:rsid w:val="00677050"/>
    <w:rsid w:val="006804A8"/>
    <w:rsid w:val="00680C08"/>
    <w:rsid w:val="00680C0C"/>
    <w:rsid w:val="00683C7E"/>
    <w:rsid w:val="00684234"/>
    <w:rsid w:val="0068543D"/>
    <w:rsid w:val="00686C19"/>
    <w:rsid w:val="0068741A"/>
    <w:rsid w:val="0069109F"/>
    <w:rsid w:val="00691DBE"/>
    <w:rsid w:val="006922E3"/>
    <w:rsid w:val="0069240D"/>
    <w:rsid w:val="006931B1"/>
    <w:rsid w:val="006938D9"/>
    <w:rsid w:val="00696E33"/>
    <w:rsid w:val="006A15C0"/>
    <w:rsid w:val="006A1742"/>
    <w:rsid w:val="006A1DC0"/>
    <w:rsid w:val="006A59B6"/>
    <w:rsid w:val="006A64F4"/>
    <w:rsid w:val="006A7FD9"/>
    <w:rsid w:val="006B1BCF"/>
    <w:rsid w:val="006B3B74"/>
    <w:rsid w:val="006B3BAC"/>
    <w:rsid w:val="006B3CF2"/>
    <w:rsid w:val="006B3D5F"/>
    <w:rsid w:val="006B43D7"/>
    <w:rsid w:val="006B69D7"/>
    <w:rsid w:val="006B7A1F"/>
    <w:rsid w:val="006C0A51"/>
    <w:rsid w:val="006C1A83"/>
    <w:rsid w:val="006C1AD9"/>
    <w:rsid w:val="006C1F3B"/>
    <w:rsid w:val="006C3E2A"/>
    <w:rsid w:val="006C450D"/>
    <w:rsid w:val="006C57B7"/>
    <w:rsid w:val="006C642F"/>
    <w:rsid w:val="006C74C0"/>
    <w:rsid w:val="006D03E5"/>
    <w:rsid w:val="006D08C1"/>
    <w:rsid w:val="006D4E6B"/>
    <w:rsid w:val="006D5D3E"/>
    <w:rsid w:val="006D6A23"/>
    <w:rsid w:val="006E08B3"/>
    <w:rsid w:val="006E0D76"/>
    <w:rsid w:val="006E1093"/>
    <w:rsid w:val="006E23C7"/>
    <w:rsid w:val="006E5071"/>
    <w:rsid w:val="006E54E6"/>
    <w:rsid w:val="006E5916"/>
    <w:rsid w:val="006F01FE"/>
    <w:rsid w:val="006F05C4"/>
    <w:rsid w:val="006F1A67"/>
    <w:rsid w:val="006F1C5C"/>
    <w:rsid w:val="006F23EE"/>
    <w:rsid w:val="006F572E"/>
    <w:rsid w:val="006F65A9"/>
    <w:rsid w:val="006F692C"/>
    <w:rsid w:val="006F7355"/>
    <w:rsid w:val="00700685"/>
    <w:rsid w:val="007016F0"/>
    <w:rsid w:val="007046D6"/>
    <w:rsid w:val="00704AC7"/>
    <w:rsid w:val="00705DB0"/>
    <w:rsid w:val="00706AFE"/>
    <w:rsid w:val="007105C8"/>
    <w:rsid w:val="00711BAE"/>
    <w:rsid w:val="007127A7"/>
    <w:rsid w:val="0071733D"/>
    <w:rsid w:val="00717545"/>
    <w:rsid w:val="00717B5D"/>
    <w:rsid w:val="007249F8"/>
    <w:rsid w:val="00730C16"/>
    <w:rsid w:val="007315AE"/>
    <w:rsid w:val="0073205A"/>
    <w:rsid w:val="0073224D"/>
    <w:rsid w:val="00732B06"/>
    <w:rsid w:val="0073345D"/>
    <w:rsid w:val="00736B85"/>
    <w:rsid w:val="00736EFA"/>
    <w:rsid w:val="00737627"/>
    <w:rsid w:val="00741159"/>
    <w:rsid w:val="0074253D"/>
    <w:rsid w:val="007426B9"/>
    <w:rsid w:val="00743FAA"/>
    <w:rsid w:val="0074429B"/>
    <w:rsid w:val="007465EC"/>
    <w:rsid w:val="007477F8"/>
    <w:rsid w:val="00750368"/>
    <w:rsid w:val="00750BEF"/>
    <w:rsid w:val="007560C5"/>
    <w:rsid w:val="00760645"/>
    <w:rsid w:val="007615BC"/>
    <w:rsid w:val="00761AA7"/>
    <w:rsid w:val="00762F05"/>
    <w:rsid w:val="007630F4"/>
    <w:rsid w:val="007637F0"/>
    <w:rsid w:val="00763BB7"/>
    <w:rsid w:val="007642A2"/>
    <w:rsid w:val="00764C0F"/>
    <w:rsid w:val="00764D60"/>
    <w:rsid w:val="007652FF"/>
    <w:rsid w:val="00765C7B"/>
    <w:rsid w:val="00766729"/>
    <w:rsid w:val="00766888"/>
    <w:rsid w:val="00771329"/>
    <w:rsid w:val="00773EF7"/>
    <w:rsid w:val="007748DC"/>
    <w:rsid w:val="00774E1D"/>
    <w:rsid w:val="0077675A"/>
    <w:rsid w:val="00777844"/>
    <w:rsid w:val="00780355"/>
    <w:rsid w:val="00782870"/>
    <w:rsid w:val="00783116"/>
    <w:rsid w:val="00784124"/>
    <w:rsid w:val="00785721"/>
    <w:rsid w:val="007907BF"/>
    <w:rsid w:val="00792A60"/>
    <w:rsid w:val="00793A59"/>
    <w:rsid w:val="00794519"/>
    <w:rsid w:val="007954D4"/>
    <w:rsid w:val="00795B3E"/>
    <w:rsid w:val="00797807"/>
    <w:rsid w:val="00797C67"/>
    <w:rsid w:val="007A1A7A"/>
    <w:rsid w:val="007A1A9D"/>
    <w:rsid w:val="007A2162"/>
    <w:rsid w:val="007A2B0B"/>
    <w:rsid w:val="007A58C5"/>
    <w:rsid w:val="007A7F4C"/>
    <w:rsid w:val="007B0035"/>
    <w:rsid w:val="007B0412"/>
    <w:rsid w:val="007B0A15"/>
    <w:rsid w:val="007B1ED1"/>
    <w:rsid w:val="007B450A"/>
    <w:rsid w:val="007B6332"/>
    <w:rsid w:val="007B7F38"/>
    <w:rsid w:val="007C0F3D"/>
    <w:rsid w:val="007C1AED"/>
    <w:rsid w:val="007C1AF7"/>
    <w:rsid w:val="007C57F5"/>
    <w:rsid w:val="007C5B97"/>
    <w:rsid w:val="007C6718"/>
    <w:rsid w:val="007C7456"/>
    <w:rsid w:val="007D2CFA"/>
    <w:rsid w:val="007D31C7"/>
    <w:rsid w:val="007D3DD9"/>
    <w:rsid w:val="007D404B"/>
    <w:rsid w:val="007D4385"/>
    <w:rsid w:val="007D5C10"/>
    <w:rsid w:val="007D7B54"/>
    <w:rsid w:val="007E2128"/>
    <w:rsid w:val="007E29E1"/>
    <w:rsid w:val="007E3E3E"/>
    <w:rsid w:val="007E3E9A"/>
    <w:rsid w:val="007E4DCE"/>
    <w:rsid w:val="007E662C"/>
    <w:rsid w:val="007F089D"/>
    <w:rsid w:val="007F14C4"/>
    <w:rsid w:val="007F527F"/>
    <w:rsid w:val="007F6D00"/>
    <w:rsid w:val="00801954"/>
    <w:rsid w:val="008030CD"/>
    <w:rsid w:val="008039AA"/>
    <w:rsid w:val="00804357"/>
    <w:rsid w:val="0080449A"/>
    <w:rsid w:val="0080461D"/>
    <w:rsid w:val="00806296"/>
    <w:rsid w:val="00811949"/>
    <w:rsid w:val="00812029"/>
    <w:rsid w:val="008122AC"/>
    <w:rsid w:val="008124D7"/>
    <w:rsid w:val="00812B04"/>
    <w:rsid w:val="00813E46"/>
    <w:rsid w:val="008157AC"/>
    <w:rsid w:val="00817471"/>
    <w:rsid w:val="00821776"/>
    <w:rsid w:val="00826007"/>
    <w:rsid w:val="0082653E"/>
    <w:rsid w:val="008266E2"/>
    <w:rsid w:val="0082687E"/>
    <w:rsid w:val="008306FE"/>
    <w:rsid w:val="00830E50"/>
    <w:rsid w:val="0083209C"/>
    <w:rsid w:val="008321F5"/>
    <w:rsid w:val="00832369"/>
    <w:rsid w:val="00832486"/>
    <w:rsid w:val="00832DFA"/>
    <w:rsid w:val="0083329F"/>
    <w:rsid w:val="00834660"/>
    <w:rsid w:val="008357ED"/>
    <w:rsid w:val="00836BC2"/>
    <w:rsid w:val="0084104E"/>
    <w:rsid w:val="0084109D"/>
    <w:rsid w:val="00841285"/>
    <w:rsid w:val="008423DC"/>
    <w:rsid w:val="008440CE"/>
    <w:rsid w:val="00844723"/>
    <w:rsid w:val="00846611"/>
    <w:rsid w:val="00846E23"/>
    <w:rsid w:val="00847239"/>
    <w:rsid w:val="008540B3"/>
    <w:rsid w:val="0085641B"/>
    <w:rsid w:val="00857136"/>
    <w:rsid w:val="008575AD"/>
    <w:rsid w:val="008617CA"/>
    <w:rsid w:val="00862C77"/>
    <w:rsid w:val="008702B3"/>
    <w:rsid w:val="008707DF"/>
    <w:rsid w:val="008714AE"/>
    <w:rsid w:val="00871E49"/>
    <w:rsid w:val="00872807"/>
    <w:rsid w:val="0087364E"/>
    <w:rsid w:val="00873915"/>
    <w:rsid w:val="008763E5"/>
    <w:rsid w:val="00876EAC"/>
    <w:rsid w:val="008801BD"/>
    <w:rsid w:val="00881EA0"/>
    <w:rsid w:val="00883CA2"/>
    <w:rsid w:val="0088496A"/>
    <w:rsid w:val="0088678E"/>
    <w:rsid w:val="008929CD"/>
    <w:rsid w:val="00893167"/>
    <w:rsid w:val="0089392A"/>
    <w:rsid w:val="00893C5D"/>
    <w:rsid w:val="00893D2C"/>
    <w:rsid w:val="00896018"/>
    <w:rsid w:val="00896E1F"/>
    <w:rsid w:val="008970B8"/>
    <w:rsid w:val="00897CA6"/>
    <w:rsid w:val="008A00FE"/>
    <w:rsid w:val="008A12EC"/>
    <w:rsid w:val="008A2B9D"/>
    <w:rsid w:val="008A2D18"/>
    <w:rsid w:val="008A5E0B"/>
    <w:rsid w:val="008A69D0"/>
    <w:rsid w:val="008A6A7F"/>
    <w:rsid w:val="008A6B96"/>
    <w:rsid w:val="008A6D59"/>
    <w:rsid w:val="008B0015"/>
    <w:rsid w:val="008B1EFB"/>
    <w:rsid w:val="008B2B27"/>
    <w:rsid w:val="008B4B03"/>
    <w:rsid w:val="008B5803"/>
    <w:rsid w:val="008B596F"/>
    <w:rsid w:val="008B641E"/>
    <w:rsid w:val="008B7C43"/>
    <w:rsid w:val="008C0C69"/>
    <w:rsid w:val="008C159F"/>
    <w:rsid w:val="008C1623"/>
    <w:rsid w:val="008C1A37"/>
    <w:rsid w:val="008C2944"/>
    <w:rsid w:val="008C2B58"/>
    <w:rsid w:val="008C51A9"/>
    <w:rsid w:val="008C5225"/>
    <w:rsid w:val="008C5DAD"/>
    <w:rsid w:val="008C7154"/>
    <w:rsid w:val="008C7E46"/>
    <w:rsid w:val="008D0620"/>
    <w:rsid w:val="008D1287"/>
    <w:rsid w:val="008D2920"/>
    <w:rsid w:val="008D3724"/>
    <w:rsid w:val="008D3FCE"/>
    <w:rsid w:val="008D5396"/>
    <w:rsid w:val="008D5E3B"/>
    <w:rsid w:val="008D67F7"/>
    <w:rsid w:val="008D7871"/>
    <w:rsid w:val="008D7BD4"/>
    <w:rsid w:val="008E2279"/>
    <w:rsid w:val="008E38DB"/>
    <w:rsid w:val="008E6463"/>
    <w:rsid w:val="008F1CCC"/>
    <w:rsid w:val="008F2967"/>
    <w:rsid w:val="008F2AD4"/>
    <w:rsid w:val="008F4A62"/>
    <w:rsid w:val="008F4C75"/>
    <w:rsid w:val="008F57B4"/>
    <w:rsid w:val="008F6620"/>
    <w:rsid w:val="00900B60"/>
    <w:rsid w:val="00904265"/>
    <w:rsid w:val="00904668"/>
    <w:rsid w:val="00905BFB"/>
    <w:rsid w:val="00906BB0"/>
    <w:rsid w:val="0091165D"/>
    <w:rsid w:val="00913DE6"/>
    <w:rsid w:val="00915525"/>
    <w:rsid w:val="00915DF5"/>
    <w:rsid w:val="00917AB4"/>
    <w:rsid w:val="00920330"/>
    <w:rsid w:val="009207ED"/>
    <w:rsid w:val="00920FF4"/>
    <w:rsid w:val="00921218"/>
    <w:rsid w:val="009218C8"/>
    <w:rsid w:val="009219D7"/>
    <w:rsid w:val="009219E3"/>
    <w:rsid w:val="00922D53"/>
    <w:rsid w:val="0092307D"/>
    <w:rsid w:val="00923B70"/>
    <w:rsid w:val="0092465F"/>
    <w:rsid w:val="00924FB8"/>
    <w:rsid w:val="00925333"/>
    <w:rsid w:val="00925C03"/>
    <w:rsid w:val="0092600B"/>
    <w:rsid w:val="00926BE5"/>
    <w:rsid w:val="00926F1C"/>
    <w:rsid w:val="00930237"/>
    <w:rsid w:val="009310B4"/>
    <w:rsid w:val="0093170F"/>
    <w:rsid w:val="0093749E"/>
    <w:rsid w:val="00941C4E"/>
    <w:rsid w:val="00942751"/>
    <w:rsid w:val="00943A3F"/>
    <w:rsid w:val="00943D4E"/>
    <w:rsid w:val="00944B14"/>
    <w:rsid w:val="00944CC6"/>
    <w:rsid w:val="00944EF6"/>
    <w:rsid w:val="00945041"/>
    <w:rsid w:val="0094532D"/>
    <w:rsid w:val="009468C6"/>
    <w:rsid w:val="00947C89"/>
    <w:rsid w:val="009500CA"/>
    <w:rsid w:val="00951677"/>
    <w:rsid w:val="00951CA1"/>
    <w:rsid w:val="00952C3D"/>
    <w:rsid w:val="00953789"/>
    <w:rsid w:val="009537CA"/>
    <w:rsid w:val="00953EA8"/>
    <w:rsid w:val="00955A46"/>
    <w:rsid w:val="0095611E"/>
    <w:rsid w:val="009612F6"/>
    <w:rsid w:val="009628B7"/>
    <w:rsid w:val="00963C08"/>
    <w:rsid w:val="00963C0D"/>
    <w:rsid w:val="00966970"/>
    <w:rsid w:val="00967129"/>
    <w:rsid w:val="00967C5A"/>
    <w:rsid w:val="00970367"/>
    <w:rsid w:val="0097159D"/>
    <w:rsid w:val="009722F1"/>
    <w:rsid w:val="00972C4D"/>
    <w:rsid w:val="009741DD"/>
    <w:rsid w:val="009748B4"/>
    <w:rsid w:val="009752DD"/>
    <w:rsid w:val="00975379"/>
    <w:rsid w:val="0097735E"/>
    <w:rsid w:val="00981AC6"/>
    <w:rsid w:val="00981D0A"/>
    <w:rsid w:val="0098203A"/>
    <w:rsid w:val="00982D50"/>
    <w:rsid w:val="009835B6"/>
    <w:rsid w:val="00984CAD"/>
    <w:rsid w:val="00984D68"/>
    <w:rsid w:val="00987864"/>
    <w:rsid w:val="00987D65"/>
    <w:rsid w:val="0099110A"/>
    <w:rsid w:val="009927F3"/>
    <w:rsid w:val="00993AB0"/>
    <w:rsid w:val="0099479F"/>
    <w:rsid w:val="00995103"/>
    <w:rsid w:val="00996651"/>
    <w:rsid w:val="00996C3D"/>
    <w:rsid w:val="00997E59"/>
    <w:rsid w:val="009A066C"/>
    <w:rsid w:val="009A09C5"/>
    <w:rsid w:val="009A190E"/>
    <w:rsid w:val="009A2855"/>
    <w:rsid w:val="009A29F4"/>
    <w:rsid w:val="009A4825"/>
    <w:rsid w:val="009A4933"/>
    <w:rsid w:val="009A4CED"/>
    <w:rsid w:val="009B00CC"/>
    <w:rsid w:val="009B027D"/>
    <w:rsid w:val="009B1D12"/>
    <w:rsid w:val="009B20A0"/>
    <w:rsid w:val="009B21C3"/>
    <w:rsid w:val="009B2338"/>
    <w:rsid w:val="009B2B3C"/>
    <w:rsid w:val="009B3475"/>
    <w:rsid w:val="009B385B"/>
    <w:rsid w:val="009B416B"/>
    <w:rsid w:val="009B574B"/>
    <w:rsid w:val="009B6348"/>
    <w:rsid w:val="009B69B2"/>
    <w:rsid w:val="009B76C4"/>
    <w:rsid w:val="009C0068"/>
    <w:rsid w:val="009C4BD5"/>
    <w:rsid w:val="009C5F04"/>
    <w:rsid w:val="009C683C"/>
    <w:rsid w:val="009D0801"/>
    <w:rsid w:val="009D0A6D"/>
    <w:rsid w:val="009D0DC8"/>
    <w:rsid w:val="009D2144"/>
    <w:rsid w:val="009D2E04"/>
    <w:rsid w:val="009D4267"/>
    <w:rsid w:val="009D7B77"/>
    <w:rsid w:val="009E0AD9"/>
    <w:rsid w:val="009E0BB0"/>
    <w:rsid w:val="009E37F8"/>
    <w:rsid w:val="009E3FBB"/>
    <w:rsid w:val="009E5527"/>
    <w:rsid w:val="009E6CA2"/>
    <w:rsid w:val="009F018D"/>
    <w:rsid w:val="009F01FD"/>
    <w:rsid w:val="009F0640"/>
    <w:rsid w:val="009F207B"/>
    <w:rsid w:val="009F20E4"/>
    <w:rsid w:val="009F603D"/>
    <w:rsid w:val="009F7490"/>
    <w:rsid w:val="009F792C"/>
    <w:rsid w:val="009F7D4D"/>
    <w:rsid w:val="00A0156E"/>
    <w:rsid w:val="00A0265B"/>
    <w:rsid w:val="00A04B6F"/>
    <w:rsid w:val="00A100E2"/>
    <w:rsid w:val="00A10C68"/>
    <w:rsid w:val="00A1235B"/>
    <w:rsid w:val="00A14DF7"/>
    <w:rsid w:val="00A177FD"/>
    <w:rsid w:val="00A22E19"/>
    <w:rsid w:val="00A22F71"/>
    <w:rsid w:val="00A23E9A"/>
    <w:rsid w:val="00A27B10"/>
    <w:rsid w:val="00A27C47"/>
    <w:rsid w:val="00A300C2"/>
    <w:rsid w:val="00A307F6"/>
    <w:rsid w:val="00A31294"/>
    <w:rsid w:val="00A3246D"/>
    <w:rsid w:val="00A32C51"/>
    <w:rsid w:val="00A33A22"/>
    <w:rsid w:val="00A342E4"/>
    <w:rsid w:val="00A3446F"/>
    <w:rsid w:val="00A35BA2"/>
    <w:rsid w:val="00A36E8D"/>
    <w:rsid w:val="00A36FA7"/>
    <w:rsid w:val="00A40944"/>
    <w:rsid w:val="00A41E88"/>
    <w:rsid w:val="00A43783"/>
    <w:rsid w:val="00A44CC1"/>
    <w:rsid w:val="00A46A96"/>
    <w:rsid w:val="00A47209"/>
    <w:rsid w:val="00A475B7"/>
    <w:rsid w:val="00A47AF7"/>
    <w:rsid w:val="00A47C3E"/>
    <w:rsid w:val="00A47E5B"/>
    <w:rsid w:val="00A50226"/>
    <w:rsid w:val="00A50992"/>
    <w:rsid w:val="00A50D3A"/>
    <w:rsid w:val="00A56D55"/>
    <w:rsid w:val="00A60BAD"/>
    <w:rsid w:val="00A64E79"/>
    <w:rsid w:val="00A73339"/>
    <w:rsid w:val="00A737A1"/>
    <w:rsid w:val="00A73A8D"/>
    <w:rsid w:val="00A76160"/>
    <w:rsid w:val="00A77C79"/>
    <w:rsid w:val="00A77DA7"/>
    <w:rsid w:val="00A8051A"/>
    <w:rsid w:val="00A806AE"/>
    <w:rsid w:val="00A81D3E"/>
    <w:rsid w:val="00A8571D"/>
    <w:rsid w:val="00A87334"/>
    <w:rsid w:val="00A921A1"/>
    <w:rsid w:val="00A92E6D"/>
    <w:rsid w:val="00A931FC"/>
    <w:rsid w:val="00A934D5"/>
    <w:rsid w:val="00A957C4"/>
    <w:rsid w:val="00AA20B8"/>
    <w:rsid w:val="00AA34FC"/>
    <w:rsid w:val="00AA6350"/>
    <w:rsid w:val="00AB201E"/>
    <w:rsid w:val="00AB2FB8"/>
    <w:rsid w:val="00AB3F92"/>
    <w:rsid w:val="00AB42C4"/>
    <w:rsid w:val="00AB4EB3"/>
    <w:rsid w:val="00AB581C"/>
    <w:rsid w:val="00AB5C96"/>
    <w:rsid w:val="00AB76F6"/>
    <w:rsid w:val="00AC209E"/>
    <w:rsid w:val="00AC262B"/>
    <w:rsid w:val="00AC2B40"/>
    <w:rsid w:val="00AC2BB2"/>
    <w:rsid w:val="00AC2C3C"/>
    <w:rsid w:val="00AC3A5A"/>
    <w:rsid w:val="00AC3B18"/>
    <w:rsid w:val="00AC3BD9"/>
    <w:rsid w:val="00AC423A"/>
    <w:rsid w:val="00AC44FA"/>
    <w:rsid w:val="00AC54D1"/>
    <w:rsid w:val="00AC6134"/>
    <w:rsid w:val="00AC6EBE"/>
    <w:rsid w:val="00AD1CF5"/>
    <w:rsid w:val="00AD4722"/>
    <w:rsid w:val="00AD58C6"/>
    <w:rsid w:val="00AD631F"/>
    <w:rsid w:val="00AD73DD"/>
    <w:rsid w:val="00AD7E78"/>
    <w:rsid w:val="00AE1266"/>
    <w:rsid w:val="00AE2270"/>
    <w:rsid w:val="00AE3C05"/>
    <w:rsid w:val="00AE4205"/>
    <w:rsid w:val="00AE6155"/>
    <w:rsid w:val="00AE65EB"/>
    <w:rsid w:val="00AE670F"/>
    <w:rsid w:val="00AE6DC8"/>
    <w:rsid w:val="00AF0DE3"/>
    <w:rsid w:val="00AF0E95"/>
    <w:rsid w:val="00AF1B84"/>
    <w:rsid w:val="00AF1D94"/>
    <w:rsid w:val="00AF27F0"/>
    <w:rsid w:val="00AF316D"/>
    <w:rsid w:val="00AF32CF"/>
    <w:rsid w:val="00AF3A2A"/>
    <w:rsid w:val="00AF3A8C"/>
    <w:rsid w:val="00AF456E"/>
    <w:rsid w:val="00AF60C5"/>
    <w:rsid w:val="00B009C6"/>
    <w:rsid w:val="00B01548"/>
    <w:rsid w:val="00B138BE"/>
    <w:rsid w:val="00B141E2"/>
    <w:rsid w:val="00B15AE2"/>
    <w:rsid w:val="00B15C1C"/>
    <w:rsid w:val="00B16451"/>
    <w:rsid w:val="00B17A0B"/>
    <w:rsid w:val="00B17CB3"/>
    <w:rsid w:val="00B21D29"/>
    <w:rsid w:val="00B21FC5"/>
    <w:rsid w:val="00B22A4C"/>
    <w:rsid w:val="00B22B35"/>
    <w:rsid w:val="00B25034"/>
    <w:rsid w:val="00B27B29"/>
    <w:rsid w:val="00B27EA3"/>
    <w:rsid w:val="00B3001A"/>
    <w:rsid w:val="00B325C7"/>
    <w:rsid w:val="00B33863"/>
    <w:rsid w:val="00B34BB5"/>
    <w:rsid w:val="00B34F51"/>
    <w:rsid w:val="00B36764"/>
    <w:rsid w:val="00B37BC9"/>
    <w:rsid w:val="00B37D17"/>
    <w:rsid w:val="00B4083B"/>
    <w:rsid w:val="00B40A9E"/>
    <w:rsid w:val="00B4175E"/>
    <w:rsid w:val="00B4454F"/>
    <w:rsid w:val="00B4661B"/>
    <w:rsid w:val="00B50EE7"/>
    <w:rsid w:val="00B510E1"/>
    <w:rsid w:val="00B525A0"/>
    <w:rsid w:val="00B52903"/>
    <w:rsid w:val="00B53AFD"/>
    <w:rsid w:val="00B54C25"/>
    <w:rsid w:val="00B55E71"/>
    <w:rsid w:val="00B57049"/>
    <w:rsid w:val="00B572B2"/>
    <w:rsid w:val="00B60801"/>
    <w:rsid w:val="00B612EB"/>
    <w:rsid w:val="00B617EA"/>
    <w:rsid w:val="00B6228A"/>
    <w:rsid w:val="00B6409A"/>
    <w:rsid w:val="00B64E10"/>
    <w:rsid w:val="00B64F85"/>
    <w:rsid w:val="00B6677B"/>
    <w:rsid w:val="00B71B18"/>
    <w:rsid w:val="00B7359B"/>
    <w:rsid w:val="00B75478"/>
    <w:rsid w:val="00B7672F"/>
    <w:rsid w:val="00B76B91"/>
    <w:rsid w:val="00B7728A"/>
    <w:rsid w:val="00B80C7A"/>
    <w:rsid w:val="00B83FC7"/>
    <w:rsid w:val="00B8473E"/>
    <w:rsid w:val="00B8568F"/>
    <w:rsid w:val="00B86AD2"/>
    <w:rsid w:val="00B86F81"/>
    <w:rsid w:val="00B871E1"/>
    <w:rsid w:val="00B92541"/>
    <w:rsid w:val="00B929EB"/>
    <w:rsid w:val="00B94276"/>
    <w:rsid w:val="00B94618"/>
    <w:rsid w:val="00B978A9"/>
    <w:rsid w:val="00BA1039"/>
    <w:rsid w:val="00BA2C1B"/>
    <w:rsid w:val="00BA39E5"/>
    <w:rsid w:val="00BA3B69"/>
    <w:rsid w:val="00BA7FF4"/>
    <w:rsid w:val="00BB0BD8"/>
    <w:rsid w:val="00BB180D"/>
    <w:rsid w:val="00BB4137"/>
    <w:rsid w:val="00BB538A"/>
    <w:rsid w:val="00BB6DFC"/>
    <w:rsid w:val="00BB7F56"/>
    <w:rsid w:val="00BC1CAB"/>
    <w:rsid w:val="00BC2009"/>
    <w:rsid w:val="00BC4A92"/>
    <w:rsid w:val="00BC50DB"/>
    <w:rsid w:val="00BC526C"/>
    <w:rsid w:val="00BC5AC3"/>
    <w:rsid w:val="00BC5AE6"/>
    <w:rsid w:val="00BC622A"/>
    <w:rsid w:val="00BD0155"/>
    <w:rsid w:val="00BD0C18"/>
    <w:rsid w:val="00BD48EC"/>
    <w:rsid w:val="00BD5F50"/>
    <w:rsid w:val="00BE0A78"/>
    <w:rsid w:val="00BE1404"/>
    <w:rsid w:val="00BE3418"/>
    <w:rsid w:val="00BE79F0"/>
    <w:rsid w:val="00BF0032"/>
    <w:rsid w:val="00BF046D"/>
    <w:rsid w:val="00BF3C45"/>
    <w:rsid w:val="00BF46E4"/>
    <w:rsid w:val="00BF5D04"/>
    <w:rsid w:val="00BF6D2F"/>
    <w:rsid w:val="00BF7C3A"/>
    <w:rsid w:val="00C007D3"/>
    <w:rsid w:val="00C019E6"/>
    <w:rsid w:val="00C02C97"/>
    <w:rsid w:val="00C0357E"/>
    <w:rsid w:val="00C04EDA"/>
    <w:rsid w:val="00C11E65"/>
    <w:rsid w:val="00C1243F"/>
    <w:rsid w:val="00C1305B"/>
    <w:rsid w:val="00C13563"/>
    <w:rsid w:val="00C1475C"/>
    <w:rsid w:val="00C14992"/>
    <w:rsid w:val="00C16CCE"/>
    <w:rsid w:val="00C17E00"/>
    <w:rsid w:val="00C2026E"/>
    <w:rsid w:val="00C21766"/>
    <w:rsid w:val="00C21C48"/>
    <w:rsid w:val="00C24035"/>
    <w:rsid w:val="00C24C50"/>
    <w:rsid w:val="00C25FC2"/>
    <w:rsid w:val="00C2660A"/>
    <w:rsid w:val="00C27C24"/>
    <w:rsid w:val="00C31D44"/>
    <w:rsid w:val="00C32A88"/>
    <w:rsid w:val="00C33FDE"/>
    <w:rsid w:val="00C3534F"/>
    <w:rsid w:val="00C3536F"/>
    <w:rsid w:val="00C364D5"/>
    <w:rsid w:val="00C36810"/>
    <w:rsid w:val="00C36D62"/>
    <w:rsid w:val="00C404A6"/>
    <w:rsid w:val="00C40A36"/>
    <w:rsid w:val="00C4199D"/>
    <w:rsid w:val="00C4215B"/>
    <w:rsid w:val="00C434EA"/>
    <w:rsid w:val="00C44419"/>
    <w:rsid w:val="00C4441F"/>
    <w:rsid w:val="00C45E7B"/>
    <w:rsid w:val="00C45F2E"/>
    <w:rsid w:val="00C471B1"/>
    <w:rsid w:val="00C51001"/>
    <w:rsid w:val="00C54193"/>
    <w:rsid w:val="00C54222"/>
    <w:rsid w:val="00C55437"/>
    <w:rsid w:val="00C55C1A"/>
    <w:rsid w:val="00C55FF4"/>
    <w:rsid w:val="00C57408"/>
    <w:rsid w:val="00C6204C"/>
    <w:rsid w:val="00C6316B"/>
    <w:rsid w:val="00C634A9"/>
    <w:rsid w:val="00C6376F"/>
    <w:rsid w:val="00C651B1"/>
    <w:rsid w:val="00C65C06"/>
    <w:rsid w:val="00C669EE"/>
    <w:rsid w:val="00C673BB"/>
    <w:rsid w:val="00C67E2B"/>
    <w:rsid w:val="00C70CFA"/>
    <w:rsid w:val="00C73315"/>
    <w:rsid w:val="00C73726"/>
    <w:rsid w:val="00C741A3"/>
    <w:rsid w:val="00C74DD6"/>
    <w:rsid w:val="00C76E42"/>
    <w:rsid w:val="00C772FF"/>
    <w:rsid w:val="00C77CE7"/>
    <w:rsid w:val="00C801AF"/>
    <w:rsid w:val="00C80256"/>
    <w:rsid w:val="00C81696"/>
    <w:rsid w:val="00C85183"/>
    <w:rsid w:val="00C86E29"/>
    <w:rsid w:val="00C87CA5"/>
    <w:rsid w:val="00C93228"/>
    <w:rsid w:val="00C94239"/>
    <w:rsid w:val="00C95D76"/>
    <w:rsid w:val="00CA068B"/>
    <w:rsid w:val="00CA0F79"/>
    <w:rsid w:val="00CA27B3"/>
    <w:rsid w:val="00CA3A38"/>
    <w:rsid w:val="00CA62E0"/>
    <w:rsid w:val="00CA7F35"/>
    <w:rsid w:val="00CB01E9"/>
    <w:rsid w:val="00CB27FE"/>
    <w:rsid w:val="00CB2C97"/>
    <w:rsid w:val="00CB535C"/>
    <w:rsid w:val="00CB694E"/>
    <w:rsid w:val="00CB6BC0"/>
    <w:rsid w:val="00CC19FE"/>
    <w:rsid w:val="00CC1B7C"/>
    <w:rsid w:val="00CC314F"/>
    <w:rsid w:val="00CC50DE"/>
    <w:rsid w:val="00CC727F"/>
    <w:rsid w:val="00CC7851"/>
    <w:rsid w:val="00CD02D1"/>
    <w:rsid w:val="00CD1899"/>
    <w:rsid w:val="00CD33CD"/>
    <w:rsid w:val="00CD489E"/>
    <w:rsid w:val="00CD53D7"/>
    <w:rsid w:val="00CD5C9B"/>
    <w:rsid w:val="00CD6687"/>
    <w:rsid w:val="00CD6EB8"/>
    <w:rsid w:val="00CD7D02"/>
    <w:rsid w:val="00CE28B7"/>
    <w:rsid w:val="00CE3046"/>
    <w:rsid w:val="00CE40B9"/>
    <w:rsid w:val="00CE5BB0"/>
    <w:rsid w:val="00CE5E4B"/>
    <w:rsid w:val="00CE64FD"/>
    <w:rsid w:val="00CF0204"/>
    <w:rsid w:val="00CF15C3"/>
    <w:rsid w:val="00CF174B"/>
    <w:rsid w:val="00CF2B6F"/>
    <w:rsid w:val="00CF2F53"/>
    <w:rsid w:val="00CF3BC4"/>
    <w:rsid w:val="00CF61D1"/>
    <w:rsid w:val="00CF6340"/>
    <w:rsid w:val="00D009DE"/>
    <w:rsid w:val="00D017ED"/>
    <w:rsid w:val="00D02AD9"/>
    <w:rsid w:val="00D045C1"/>
    <w:rsid w:val="00D07496"/>
    <w:rsid w:val="00D07AE4"/>
    <w:rsid w:val="00D07BFC"/>
    <w:rsid w:val="00D135F8"/>
    <w:rsid w:val="00D153A4"/>
    <w:rsid w:val="00D153B1"/>
    <w:rsid w:val="00D15802"/>
    <w:rsid w:val="00D1617A"/>
    <w:rsid w:val="00D164E5"/>
    <w:rsid w:val="00D21AD5"/>
    <w:rsid w:val="00D2236D"/>
    <w:rsid w:val="00D224FE"/>
    <w:rsid w:val="00D229BA"/>
    <w:rsid w:val="00D24C02"/>
    <w:rsid w:val="00D25587"/>
    <w:rsid w:val="00D276A5"/>
    <w:rsid w:val="00D32D05"/>
    <w:rsid w:val="00D35E98"/>
    <w:rsid w:val="00D42357"/>
    <w:rsid w:val="00D426CB"/>
    <w:rsid w:val="00D46E89"/>
    <w:rsid w:val="00D47415"/>
    <w:rsid w:val="00D5191C"/>
    <w:rsid w:val="00D51CD8"/>
    <w:rsid w:val="00D5229B"/>
    <w:rsid w:val="00D528D7"/>
    <w:rsid w:val="00D5388A"/>
    <w:rsid w:val="00D55A5F"/>
    <w:rsid w:val="00D56024"/>
    <w:rsid w:val="00D565D0"/>
    <w:rsid w:val="00D61619"/>
    <w:rsid w:val="00D624D6"/>
    <w:rsid w:val="00D63084"/>
    <w:rsid w:val="00D63F91"/>
    <w:rsid w:val="00D6493E"/>
    <w:rsid w:val="00D672EF"/>
    <w:rsid w:val="00D67999"/>
    <w:rsid w:val="00D72019"/>
    <w:rsid w:val="00D72783"/>
    <w:rsid w:val="00D73C01"/>
    <w:rsid w:val="00D74637"/>
    <w:rsid w:val="00D763E2"/>
    <w:rsid w:val="00D80DD3"/>
    <w:rsid w:val="00D82F24"/>
    <w:rsid w:val="00D834EE"/>
    <w:rsid w:val="00D84A25"/>
    <w:rsid w:val="00D84F62"/>
    <w:rsid w:val="00D85099"/>
    <w:rsid w:val="00D855AE"/>
    <w:rsid w:val="00D86C12"/>
    <w:rsid w:val="00D87F31"/>
    <w:rsid w:val="00D909E5"/>
    <w:rsid w:val="00D90A8E"/>
    <w:rsid w:val="00D95034"/>
    <w:rsid w:val="00D97D00"/>
    <w:rsid w:val="00DA1086"/>
    <w:rsid w:val="00DA1124"/>
    <w:rsid w:val="00DA24C7"/>
    <w:rsid w:val="00DA2BE7"/>
    <w:rsid w:val="00DA3BFE"/>
    <w:rsid w:val="00DA44BD"/>
    <w:rsid w:val="00DA5B9B"/>
    <w:rsid w:val="00DA7A0C"/>
    <w:rsid w:val="00DB063B"/>
    <w:rsid w:val="00DB33CF"/>
    <w:rsid w:val="00DB34F5"/>
    <w:rsid w:val="00DB3732"/>
    <w:rsid w:val="00DB549E"/>
    <w:rsid w:val="00DB7711"/>
    <w:rsid w:val="00DC38FE"/>
    <w:rsid w:val="00DC3B80"/>
    <w:rsid w:val="00DC55B7"/>
    <w:rsid w:val="00DC7746"/>
    <w:rsid w:val="00DC79D6"/>
    <w:rsid w:val="00DC7EE4"/>
    <w:rsid w:val="00DD1234"/>
    <w:rsid w:val="00DD18F8"/>
    <w:rsid w:val="00DD216E"/>
    <w:rsid w:val="00DD75A3"/>
    <w:rsid w:val="00DE02AE"/>
    <w:rsid w:val="00DE06DB"/>
    <w:rsid w:val="00DE0774"/>
    <w:rsid w:val="00DE12FE"/>
    <w:rsid w:val="00DE6A0C"/>
    <w:rsid w:val="00DE6C04"/>
    <w:rsid w:val="00DF1D7F"/>
    <w:rsid w:val="00DF2F50"/>
    <w:rsid w:val="00DF383F"/>
    <w:rsid w:val="00DF50BD"/>
    <w:rsid w:val="00E02FB4"/>
    <w:rsid w:val="00E04249"/>
    <w:rsid w:val="00E05B04"/>
    <w:rsid w:val="00E06A1B"/>
    <w:rsid w:val="00E1165A"/>
    <w:rsid w:val="00E121FA"/>
    <w:rsid w:val="00E1340C"/>
    <w:rsid w:val="00E17D71"/>
    <w:rsid w:val="00E2020C"/>
    <w:rsid w:val="00E20571"/>
    <w:rsid w:val="00E207D9"/>
    <w:rsid w:val="00E21651"/>
    <w:rsid w:val="00E22A99"/>
    <w:rsid w:val="00E235F7"/>
    <w:rsid w:val="00E239D4"/>
    <w:rsid w:val="00E27C3A"/>
    <w:rsid w:val="00E30D01"/>
    <w:rsid w:val="00E313A8"/>
    <w:rsid w:val="00E331CF"/>
    <w:rsid w:val="00E344AA"/>
    <w:rsid w:val="00E36C92"/>
    <w:rsid w:val="00E40B22"/>
    <w:rsid w:val="00E40BD2"/>
    <w:rsid w:val="00E41AD2"/>
    <w:rsid w:val="00E42068"/>
    <w:rsid w:val="00E4307C"/>
    <w:rsid w:val="00E43314"/>
    <w:rsid w:val="00E437DF"/>
    <w:rsid w:val="00E437E7"/>
    <w:rsid w:val="00E4588F"/>
    <w:rsid w:val="00E46DA3"/>
    <w:rsid w:val="00E476C8"/>
    <w:rsid w:val="00E47A04"/>
    <w:rsid w:val="00E55460"/>
    <w:rsid w:val="00E57B71"/>
    <w:rsid w:val="00E57B7C"/>
    <w:rsid w:val="00E604FC"/>
    <w:rsid w:val="00E64DA6"/>
    <w:rsid w:val="00E72FC4"/>
    <w:rsid w:val="00E770A2"/>
    <w:rsid w:val="00E7734A"/>
    <w:rsid w:val="00E80553"/>
    <w:rsid w:val="00E81BC9"/>
    <w:rsid w:val="00E8466B"/>
    <w:rsid w:val="00E85439"/>
    <w:rsid w:val="00E85D5D"/>
    <w:rsid w:val="00E860E0"/>
    <w:rsid w:val="00E86A1F"/>
    <w:rsid w:val="00E8778C"/>
    <w:rsid w:val="00E9008E"/>
    <w:rsid w:val="00E9579B"/>
    <w:rsid w:val="00E95CCA"/>
    <w:rsid w:val="00E95D96"/>
    <w:rsid w:val="00E97275"/>
    <w:rsid w:val="00EA0A0F"/>
    <w:rsid w:val="00EA16DE"/>
    <w:rsid w:val="00EA2437"/>
    <w:rsid w:val="00EA2774"/>
    <w:rsid w:val="00EA406B"/>
    <w:rsid w:val="00EA5776"/>
    <w:rsid w:val="00EB052E"/>
    <w:rsid w:val="00EB0798"/>
    <w:rsid w:val="00EB1E90"/>
    <w:rsid w:val="00EB28AE"/>
    <w:rsid w:val="00EB2F97"/>
    <w:rsid w:val="00EB34F1"/>
    <w:rsid w:val="00EB40AD"/>
    <w:rsid w:val="00EB4571"/>
    <w:rsid w:val="00EB586E"/>
    <w:rsid w:val="00EB5CC4"/>
    <w:rsid w:val="00EB5FC8"/>
    <w:rsid w:val="00EB74A7"/>
    <w:rsid w:val="00EB758A"/>
    <w:rsid w:val="00EC367C"/>
    <w:rsid w:val="00EC384E"/>
    <w:rsid w:val="00EC4910"/>
    <w:rsid w:val="00EC580A"/>
    <w:rsid w:val="00ED01EE"/>
    <w:rsid w:val="00ED0381"/>
    <w:rsid w:val="00ED58CF"/>
    <w:rsid w:val="00ED5A41"/>
    <w:rsid w:val="00ED5D05"/>
    <w:rsid w:val="00ED6B23"/>
    <w:rsid w:val="00EE00CA"/>
    <w:rsid w:val="00EE148A"/>
    <w:rsid w:val="00EE2CC3"/>
    <w:rsid w:val="00EE3577"/>
    <w:rsid w:val="00EE4E11"/>
    <w:rsid w:val="00EF06E6"/>
    <w:rsid w:val="00EF1963"/>
    <w:rsid w:val="00EF3129"/>
    <w:rsid w:val="00EF3C6A"/>
    <w:rsid w:val="00EF578B"/>
    <w:rsid w:val="00EF79F2"/>
    <w:rsid w:val="00EF7B95"/>
    <w:rsid w:val="00F033EC"/>
    <w:rsid w:val="00F03F58"/>
    <w:rsid w:val="00F0438D"/>
    <w:rsid w:val="00F049A1"/>
    <w:rsid w:val="00F04F68"/>
    <w:rsid w:val="00F07B06"/>
    <w:rsid w:val="00F104DE"/>
    <w:rsid w:val="00F10A73"/>
    <w:rsid w:val="00F10BD8"/>
    <w:rsid w:val="00F11A2D"/>
    <w:rsid w:val="00F12670"/>
    <w:rsid w:val="00F14B27"/>
    <w:rsid w:val="00F170B6"/>
    <w:rsid w:val="00F20118"/>
    <w:rsid w:val="00F223EE"/>
    <w:rsid w:val="00F23105"/>
    <w:rsid w:val="00F24CAE"/>
    <w:rsid w:val="00F25577"/>
    <w:rsid w:val="00F2700C"/>
    <w:rsid w:val="00F30771"/>
    <w:rsid w:val="00F3148D"/>
    <w:rsid w:val="00F32D36"/>
    <w:rsid w:val="00F3450E"/>
    <w:rsid w:val="00F3509E"/>
    <w:rsid w:val="00F35298"/>
    <w:rsid w:val="00F3529E"/>
    <w:rsid w:val="00F419CC"/>
    <w:rsid w:val="00F41DCE"/>
    <w:rsid w:val="00F443FD"/>
    <w:rsid w:val="00F46F9A"/>
    <w:rsid w:val="00F47D14"/>
    <w:rsid w:val="00F47E37"/>
    <w:rsid w:val="00F50ADC"/>
    <w:rsid w:val="00F50B5E"/>
    <w:rsid w:val="00F50F9A"/>
    <w:rsid w:val="00F52D80"/>
    <w:rsid w:val="00F53323"/>
    <w:rsid w:val="00F53E24"/>
    <w:rsid w:val="00F56D63"/>
    <w:rsid w:val="00F640B6"/>
    <w:rsid w:val="00F647C1"/>
    <w:rsid w:val="00F647EA"/>
    <w:rsid w:val="00F65B15"/>
    <w:rsid w:val="00F671B0"/>
    <w:rsid w:val="00F70540"/>
    <w:rsid w:val="00F72FAD"/>
    <w:rsid w:val="00F76802"/>
    <w:rsid w:val="00F80E40"/>
    <w:rsid w:val="00F83D44"/>
    <w:rsid w:val="00F91585"/>
    <w:rsid w:val="00F923D6"/>
    <w:rsid w:val="00F942E9"/>
    <w:rsid w:val="00F94460"/>
    <w:rsid w:val="00F95CA6"/>
    <w:rsid w:val="00F9705F"/>
    <w:rsid w:val="00FA029A"/>
    <w:rsid w:val="00FA0B9F"/>
    <w:rsid w:val="00FA144A"/>
    <w:rsid w:val="00FA2018"/>
    <w:rsid w:val="00FA3338"/>
    <w:rsid w:val="00FA5B82"/>
    <w:rsid w:val="00FA62B4"/>
    <w:rsid w:val="00FA639E"/>
    <w:rsid w:val="00FA7DF1"/>
    <w:rsid w:val="00FB0A32"/>
    <w:rsid w:val="00FB1B89"/>
    <w:rsid w:val="00FB31C8"/>
    <w:rsid w:val="00FB3817"/>
    <w:rsid w:val="00FB73CC"/>
    <w:rsid w:val="00FC03C8"/>
    <w:rsid w:val="00FC0F29"/>
    <w:rsid w:val="00FC17B1"/>
    <w:rsid w:val="00FC214D"/>
    <w:rsid w:val="00FC25E4"/>
    <w:rsid w:val="00FC36B9"/>
    <w:rsid w:val="00FC42B9"/>
    <w:rsid w:val="00FC4EF7"/>
    <w:rsid w:val="00FD0428"/>
    <w:rsid w:val="00FD0474"/>
    <w:rsid w:val="00FD2E18"/>
    <w:rsid w:val="00FD2F2B"/>
    <w:rsid w:val="00FD463E"/>
    <w:rsid w:val="00FD56A0"/>
    <w:rsid w:val="00FD5880"/>
    <w:rsid w:val="00FD5947"/>
    <w:rsid w:val="00FD625A"/>
    <w:rsid w:val="00FD62E3"/>
    <w:rsid w:val="00FD727A"/>
    <w:rsid w:val="00FE1DEE"/>
    <w:rsid w:val="00FE654C"/>
    <w:rsid w:val="00FE705F"/>
    <w:rsid w:val="00FF01FE"/>
    <w:rsid w:val="00FF1448"/>
    <w:rsid w:val="00FF19ED"/>
    <w:rsid w:val="00FF2126"/>
    <w:rsid w:val="00FF25D3"/>
    <w:rsid w:val="00FF4170"/>
    <w:rsid w:val="00FF577D"/>
    <w:rsid w:val="00FF59FF"/>
    <w:rsid w:val="00FF5AA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7F35"/>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Heading5"/>
    <w:next w:val="Normal"/>
    <w:link w:val="Heading4Char"/>
    <w:qFormat/>
    <w:rsid w:val="002534B2"/>
    <w:pPr>
      <w:outlineLvl w:val="3"/>
    </w:p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2534B2"/>
    <w:rPr>
      <w:rFonts w:eastAsia="Times New Roman"/>
      <w:b/>
      <w:bCs/>
      <w:i/>
      <w:color w:val="001523"/>
      <w:sz w:val="22"/>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534B2"/>
    <w:pPr>
      <w:numPr>
        <w:numId w:val="3"/>
      </w:numPr>
    </w:pPr>
  </w:style>
  <w:style w:type="paragraph" w:styleId="ListBullet2">
    <w:name w:val="List Bullet 2"/>
    <w:basedOn w:val="Normal"/>
    <w:uiPriority w:val="2"/>
    <w:qFormat/>
    <w:rsid w:val="00E313A8"/>
    <w:pPr>
      <w:numPr>
        <w:ilvl w:val="1"/>
        <w:numId w:val="3"/>
      </w:numPr>
    </w:pPr>
  </w:style>
  <w:style w:type="paragraph" w:styleId="ListBullet3">
    <w:name w:val="List Bullet 3"/>
    <w:basedOn w:val="Normal"/>
    <w:uiPriority w:val="2"/>
    <w:qFormat/>
    <w:rsid w:val="001A30EC"/>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pPr>
  </w:style>
  <w:style w:type="paragraph" w:customStyle="1" w:styleId="Numberbullet3">
    <w:name w:val="Number bullet 3"/>
    <w:basedOn w:val="ListBullet3"/>
    <w:uiPriority w:val="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4661B"/>
    <w:pPr>
      <w:keepLines/>
      <w:spacing w:before="0" w:after="0" w:line="240" w:lineRule="auto"/>
    </w:pPr>
    <w:rPr>
      <w:sz w:val="16"/>
    </w:rPr>
  </w:style>
  <w:style w:type="character" w:customStyle="1" w:styleId="FootnoteTextChar">
    <w:name w:val="Footnote Text Char"/>
    <w:basedOn w:val="DefaultParagraphFont"/>
    <w:link w:val="FootnoteText"/>
    <w:uiPriority w:val="99"/>
    <w:rsid w:val="00B4661B"/>
    <w:rPr>
      <w:sz w:val="16"/>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character" w:styleId="HTMLCite">
    <w:name w:val="HTML Cite"/>
    <w:basedOn w:val="DefaultParagraphFont"/>
    <w:uiPriority w:val="99"/>
    <w:semiHidden/>
    <w:unhideWhenUsed/>
    <w:rsid w:val="00E604FC"/>
    <w:rPr>
      <w:i/>
      <w:iCs/>
    </w:rPr>
  </w:style>
  <w:style w:type="paragraph" w:customStyle="1" w:styleId="Numberbullet2ared">
    <w:name w:val="Number bullet 2 a) red"/>
    <w:basedOn w:val="Normal"/>
    <w:uiPriority w:val="1"/>
    <w:qFormat/>
    <w:rsid w:val="007C7456"/>
    <w:pPr>
      <w:numPr>
        <w:numId w:val="9"/>
      </w:numPr>
    </w:pPr>
    <w:rPr>
      <w:color w:val="FF0000"/>
      <w:lang w:eastAsia="en-AU"/>
    </w:rPr>
  </w:style>
  <w:style w:type="paragraph" w:customStyle="1" w:styleId="Normal-hanging">
    <w:name w:val="Normal - hanging"/>
    <w:basedOn w:val="Normal"/>
    <w:next w:val="Normal"/>
    <w:qFormat/>
    <w:rsid w:val="007C7456"/>
    <w:pPr>
      <w:spacing w:before="0" w:after="0"/>
      <w:ind w:left="397" w:hanging="397"/>
    </w:pPr>
    <w:rPr>
      <w:rFonts w:ascii="Times New Roman" w:hAnsi="Times New Roman"/>
    </w:rPr>
  </w:style>
  <w:style w:type="paragraph" w:customStyle="1" w:styleId="Numberbullet2aitalicised">
    <w:name w:val="Number bullet 2 a) italicised"/>
    <w:basedOn w:val="Numberbullet2"/>
    <w:uiPriority w:val="1"/>
    <w:qFormat/>
    <w:rsid w:val="007642A2"/>
    <w:pPr>
      <w:numPr>
        <w:ilvl w:val="0"/>
        <w:numId w:val="8"/>
      </w:numPr>
      <w:spacing w:after="120"/>
      <w:ind w:left="426" w:hanging="426"/>
    </w:pPr>
    <w:rPr>
      <w:i/>
    </w:rPr>
  </w:style>
  <w:style w:type="character" w:customStyle="1" w:styleId="UnresolvedMention1">
    <w:name w:val="Unresolved Mention1"/>
    <w:basedOn w:val="DefaultParagraphFont"/>
    <w:uiPriority w:val="99"/>
    <w:semiHidden/>
    <w:unhideWhenUsed/>
    <w:rsid w:val="00CC19FE"/>
    <w:rPr>
      <w:color w:val="605E5C"/>
      <w:shd w:val="clear" w:color="auto" w:fill="E1DFDD"/>
    </w:rPr>
  </w:style>
  <w:style w:type="paragraph" w:customStyle="1" w:styleId="numberbullet20">
    <w:name w:val="numberbullet2"/>
    <w:basedOn w:val="Normal"/>
    <w:rsid w:val="00052FB0"/>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BB4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255601268">
      <w:bodyDiv w:val="1"/>
      <w:marLeft w:val="0"/>
      <w:marRight w:val="0"/>
      <w:marTop w:val="0"/>
      <w:marBottom w:val="0"/>
      <w:divBdr>
        <w:top w:val="none" w:sz="0" w:space="0" w:color="auto"/>
        <w:left w:val="none" w:sz="0" w:space="0" w:color="auto"/>
        <w:bottom w:val="none" w:sz="0" w:space="0" w:color="auto"/>
        <w:right w:val="none" w:sz="0" w:space="0" w:color="auto"/>
      </w:divBdr>
    </w:div>
    <w:div w:id="887188549">
      <w:bodyDiv w:val="1"/>
      <w:marLeft w:val="0"/>
      <w:marRight w:val="0"/>
      <w:marTop w:val="0"/>
      <w:marBottom w:val="0"/>
      <w:divBdr>
        <w:top w:val="none" w:sz="0" w:space="0" w:color="auto"/>
        <w:left w:val="none" w:sz="0" w:space="0" w:color="auto"/>
        <w:bottom w:val="none" w:sz="0" w:space="0" w:color="auto"/>
        <w:right w:val="none" w:sz="0" w:space="0" w:color="auto"/>
      </w:divBdr>
    </w:div>
    <w:div w:id="1068499367">
      <w:bodyDiv w:val="1"/>
      <w:marLeft w:val="0"/>
      <w:marRight w:val="0"/>
      <w:marTop w:val="0"/>
      <w:marBottom w:val="0"/>
      <w:divBdr>
        <w:top w:val="none" w:sz="0" w:space="0" w:color="auto"/>
        <w:left w:val="none" w:sz="0" w:space="0" w:color="auto"/>
        <w:bottom w:val="none" w:sz="0" w:space="0" w:color="auto"/>
        <w:right w:val="none" w:sz="0" w:space="0" w:color="auto"/>
      </w:divBdr>
    </w:div>
    <w:div w:id="1559822642">
      <w:bodyDiv w:val="1"/>
      <w:marLeft w:val="0"/>
      <w:marRight w:val="0"/>
      <w:marTop w:val="0"/>
      <w:marBottom w:val="0"/>
      <w:divBdr>
        <w:top w:val="none" w:sz="0" w:space="0" w:color="auto"/>
        <w:left w:val="none" w:sz="0" w:space="0" w:color="auto"/>
        <w:bottom w:val="none" w:sz="0" w:space="0" w:color="auto"/>
        <w:right w:val="none" w:sz="0" w:space="0" w:color="auto"/>
      </w:divBdr>
    </w:div>
    <w:div w:id="1574504825">
      <w:bodyDiv w:val="1"/>
      <w:marLeft w:val="0"/>
      <w:marRight w:val="0"/>
      <w:marTop w:val="0"/>
      <w:marBottom w:val="0"/>
      <w:divBdr>
        <w:top w:val="none" w:sz="0" w:space="0" w:color="auto"/>
        <w:left w:val="none" w:sz="0" w:space="0" w:color="auto"/>
        <w:bottom w:val="none" w:sz="0" w:space="0" w:color="auto"/>
        <w:right w:val="none" w:sz="0" w:space="0" w:color="auto"/>
      </w:divBdr>
      <w:divsChild>
        <w:div w:id="599458895">
          <w:marLeft w:val="0"/>
          <w:marRight w:val="0"/>
          <w:marTop w:val="0"/>
          <w:marBottom w:val="0"/>
          <w:divBdr>
            <w:top w:val="single" w:sz="6" w:space="15" w:color="ADADAD"/>
            <w:left w:val="single" w:sz="6" w:space="15" w:color="ADADAD"/>
            <w:bottom w:val="single" w:sz="6" w:space="15" w:color="ADADAD"/>
            <w:right w:val="single" w:sz="6" w:space="15" w:color="ADADAD"/>
          </w:divBdr>
        </w:div>
      </w:divsChild>
    </w:div>
    <w:div w:id="184099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ga.gov.au/scheduling-decision-interim/notice-interim-decisions-proposed-amendments-poisons-standard-acmsaccsjoint-acms-accs-meetings-march-2021" TargetMode="External"/><Relationship Id="rId21" Type="http://schemas.openxmlformats.org/officeDocument/2006/relationships/hyperlink" Target="https://consultations.health.gov.au/tga/march_2021/" TargetMode="External"/><Relationship Id="rId34" Type="http://schemas.openxmlformats.org/officeDocument/2006/relationships/hyperlink" Target="https://www.tga.gov.au/consultation-invitation/consultation-proposed-amendments-poisons-standard-acms-accs-and-joint-acmsaccs-meetings-march-2021" TargetMode="External"/><Relationship Id="rId42" Type="http://schemas.openxmlformats.org/officeDocument/2006/relationships/hyperlink" Target="https://www.tga.gov.au/publication/ahmac-scheduling-policy-framework-medicines-and-chemicals" TargetMode="External"/><Relationship Id="rId47" Type="http://schemas.openxmlformats.org/officeDocument/2006/relationships/hyperlink" Target="https://dx.doi.org/10.7759%2Fcureus.2770" TargetMode="External"/><Relationship Id="rId50" Type="http://schemas.openxmlformats.org/officeDocument/2006/relationships/hyperlink" Target="https://www.tga.gov.au/scheduling-decision-interim/notice-interim-decisions-proposed-amendments-poisons-standard-acmsaccsjoint-acms-accs-meetings-march-2021" TargetMode="External"/><Relationship Id="rId55" Type="http://schemas.openxmlformats.org/officeDocument/2006/relationships/hyperlink" Target="https://www.tga.gov.au/publication/ahmac-scheduling-policy-framework-medicines-and-chemicals" TargetMode="External"/><Relationship Id="rId63" Type="http://schemas.openxmlformats.org/officeDocument/2006/relationships/hyperlink" Target="https://www.tga.gov.au/publication/scheduling-handbook-guidance-amending-poisons-standard" TargetMode="External"/><Relationship Id="rId68" Type="http://schemas.openxmlformats.org/officeDocument/2006/relationships/hyperlink" Target="https://consultations.health.gov.au/tga/march_2021_interim" TargetMode="External"/><Relationship Id="rId76" Type="http://schemas.openxmlformats.org/officeDocument/2006/relationships/hyperlink" Target="https://www.tga.gov.au/publication/ahmac-scheduling-policy-framework-medicines-and-chemicals" TargetMode="External"/><Relationship Id="rId84" Type="http://schemas.openxmlformats.org/officeDocument/2006/relationships/hyperlink" Target="https://www.tga.gov.au/scheduling-decision-interim/notice-interim-decisions-proposed-amendments-poisons-standard-acmsaccsjoint-acms-accs-meetings-march-2021" TargetMode="External"/><Relationship Id="rId89" Type="http://schemas.openxmlformats.org/officeDocument/2006/relationships/hyperlink" Target="https://consultations.health.gov.au/tga/march_2021_interim"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who.int/publications/i/item/9789240005143" TargetMode="External"/><Relationship Id="rId92" Type="http://schemas.openxmlformats.org/officeDocument/2006/relationships/hyperlink" Target="https://www.tga.gov.au/scheduling-decision-interim/notice-interim-decisions-proposed-amendments-poisons-standard-acmsaccsjoint-acms-accs-meetings-march-2021" TargetMode="External"/><Relationship Id="rId2" Type="http://schemas.openxmlformats.org/officeDocument/2006/relationships/numbering" Target="numbering.xml"/><Relationship Id="rId16" Type="http://schemas.openxmlformats.org/officeDocument/2006/relationships/hyperlink" Target="https://www.tga.gov.au/publication/ahmac-scheduling-policy-framework-medicines-and-chemicals" TargetMode="External"/><Relationship Id="rId29" Type="http://schemas.openxmlformats.org/officeDocument/2006/relationships/hyperlink" Target="https://www.tga.gov.au/publication/ahmac-scheduling-policy-framework-medicines-and-chemicals" TargetMode="External"/><Relationship Id="rId11" Type="http://schemas.openxmlformats.org/officeDocument/2006/relationships/hyperlink" Target="mailto:tga.copyright@tga.gov.au" TargetMode="External"/><Relationship Id="rId24" Type="http://schemas.openxmlformats.org/officeDocument/2006/relationships/hyperlink" Target="https://www.tga.gov.au/publication/scheduling-handbook-guidance-amending-poisons-standard" TargetMode="External"/><Relationship Id="rId32" Type="http://schemas.openxmlformats.org/officeDocument/2006/relationships/hyperlink" Target="https://www.tga.gov.au/scheduling-decision-interim/notice-interim-decisions-proposed-amendments-poisons-standard-acmsaccsjoint-acms-accs-meetings-march-2021" TargetMode="External"/><Relationship Id="rId37" Type="http://schemas.openxmlformats.org/officeDocument/2006/relationships/hyperlink" Target="https://www.tga.gov.au/publication/scheduling-handbook-guidance-amending-poisons-standard" TargetMode="External"/><Relationship Id="rId40" Type="http://schemas.openxmlformats.org/officeDocument/2006/relationships/hyperlink" Target="https://www.tga.gov.au/consultation-invitation/consultation-proposed-amendments-poisons-standard-acms-accs-and-joint-acmsaccs-meetings-march-2021" TargetMode="External"/><Relationship Id="rId45" Type="http://schemas.openxmlformats.org/officeDocument/2006/relationships/hyperlink" Target="https://dx.doi.org/10.5114%2Fceh.2017.65228" TargetMode="External"/><Relationship Id="rId53" Type="http://schemas.openxmlformats.org/officeDocument/2006/relationships/hyperlink" Target="https://www.tga.gov.au/consultation-invitation/consultation-proposed-amendments-poisons-standard-acms-accs-and-joint-acmsaccs-meetings-march-2021" TargetMode="External"/><Relationship Id="rId58" Type="http://schemas.openxmlformats.org/officeDocument/2006/relationships/hyperlink" Target="https://www.tga.gov.au/consultation-invitation/consultation-proposed-amendments-poisons-standard-acms-accs-and-joint-acmsaccs-meetings-march-2021" TargetMode="External"/><Relationship Id="rId66" Type="http://schemas.openxmlformats.org/officeDocument/2006/relationships/hyperlink" Target="https://consultations.health.gov.au/tga/march_2021/" TargetMode="External"/><Relationship Id="rId74" Type="http://schemas.openxmlformats.org/officeDocument/2006/relationships/hyperlink" Target="https://consultations.health.gov.au/tga/march_2021/" TargetMode="External"/><Relationship Id="rId79" Type="http://schemas.openxmlformats.org/officeDocument/2006/relationships/hyperlink" Target="https://www.tga.gov.au/consultation-invitation/consultation-proposed-amendments-poisons-standard-acms-accs-and-joint-acmsaccs-meetings-march-2021" TargetMode="External"/><Relationship Id="rId87" Type="http://schemas.openxmlformats.org/officeDocument/2006/relationships/hyperlink" Target="https://consultations.health.gov.au/tga/march_2021/" TargetMode="External"/><Relationship Id="rId5" Type="http://schemas.openxmlformats.org/officeDocument/2006/relationships/webSettings" Target="webSettings.xml"/><Relationship Id="rId61" Type="http://schemas.openxmlformats.org/officeDocument/2006/relationships/hyperlink" Target="https://consultations.health.gov.au/tga/march_2021_interim" TargetMode="External"/><Relationship Id="rId82" Type="http://schemas.openxmlformats.org/officeDocument/2006/relationships/hyperlink" Target="https://www.tga.gov.au/publication/ahmac-scheduling-policy-framework-medicines-and-chemicals" TargetMode="External"/><Relationship Id="rId90" Type="http://schemas.openxmlformats.org/officeDocument/2006/relationships/hyperlink" Target="https://www.tga.gov.au/publication/ahmac-scheduling-policy-framework-medicines-and-chemicals" TargetMode="External"/><Relationship Id="rId95" Type="http://schemas.openxmlformats.org/officeDocument/2006/relationships/header" Target="header4.xml"/><Relationship Id="rId19" Type="http://schemas.openxmlformats.org/officeDocument/2006/relationships/hyperlink" Target="https://www.tga.gov.au/scheduling-decision-interim/notice-interim-decisions-proposed-amendments-poisons-standard-acmsaccsjoint-acms-accs-meetings-march-2021" TargetMode="External"/><Relationship Id="rId14" Type="http://schemas.openxmlformats.org/officeDocument/2006/relationships/hyperlink" Target="https://www.tga.gov.au/consultation-invitation/consultation-proposed-amendments-poisons-standard-acms-accs-and-joint-acmsaccs-meetings-march-2021" TargetMode="External"/><Relationship Id="rId22" Type="http://schemas.openxmlformats.org/officeDocument/2006/relationships/hyperlink" Target="https://consultations.health.gov.au/tga/march_2021_interim" TargetMode="External"/><Relationship Id="rId27" Type="http://schemas.openxmlformats.org/officeDocument/2006/relationships/hyperlink" Target="https://consultations.health.gov.au/tga/march_2021/" TargetMode="External"/><Relationship Id="rId30" Type="http://schemas.openxmlformats.org/officeDocument/2006/relationships/hyperlink" Target="https://www.tga.gov.au/publication/scheduling-handbook-guidance-amending-poisons-standard" TargetMode="External"/><Relationship Id="rId35" Type="http://schemas.openxmlformats.org/officeDocument/2006/relationships/hyperlink" Target="https://consultations.health.gov.au/tga/march_2021_interim" TargetMode="External"/><Relationship Id="rId43" Type="http://schemas.openxmlformats.org/officeDocument/2006/relationships/hyperlink" Target="https://www.tga.gov.au/publication/scheduling-handbook-guidance-amending-poisons-standard" TargetMode="External"/><Relationship Id="rId48" Type="http://schemas.openxmlformats.org/officeDocument/2006/relationships/hyperlink" Target="https://doi.org/10.1111/1556-4029.13641" TargetMode="External"/><Relationship Id="rId56" Type="http://schemas.openxmlformats.org/officeDocument/2006/relationships/hyperlink" Target="https://www.tga.gov.au/publication/scheduling-handbook-guidance-amending-poisons-standard" TargetMode="External"/><Relationship Id="rId64" Type="http://schemas.openxmlformats.org/officeDocument/2006/relationships/hyperlink" Target="https://www.tga.gov.au/scheduling-decision-interim/notice-interim-decisions-proposed-amendments-poisons-standard-acmsaccsjoint-acms-accs-meetings-march-2021" TargetMode="External"/><Relationship Id="rId69" Type="http://schemas.openxmlformats.org/officeDocument/2006/relationships/hyperlink" Target="https://www.tga.gov.au/publication/ahmac-scheduling-policy-framework-medicines-and-chemicals" TargetMode="External"/><Relationship Id="rId77" Type="http://schemas.openxmlformats.org/officeDocument/2006/relationships/hyperlink" Target="https://www.tga.gov.au/publication/scheduling-handbook-guidance-amending-poisons-standard" TargetMode="External"/><Relationship Id="rId8" Type="http://schemas.openxmlformats.org/officeDocument/2006/relationships/header" Target="header1.xml"/><Relationship Id="rId51" Type="http://schemas.openxmlformats.org/officeDocument/2006/relationships/hyperlink" Target="https://www.tga.gov.au/consultation-invitation/consultation-proposed-amendments-poisons-standard-acms-accs-and-joint-acmsaccs-meetings-march-2021" TargetMode="External"/><Relationship Id="rId72" Type="http://schemas.openxmlformats.org/officeDocument/2006/relationships/hyperlink" Target="https://www.tga.gov.au/scheduling-decision-interim/notice-interim-decisions-proposed-amendments-poisons-standard-acmsaccsjoint-acms-accs-meetings-march-2021" TargetMode="External"/><Relationship Id="rId80" Type="http://schemas.openxmlformats.org/officeDocument/2006/relationships/hyperlink" Target="https://consultations.health.gov.au/tga/march_2021/" TargetMode="External"/><Relationship Id="rId85" Type="http://schemas.openxmlformats.org/officeDocument/2006/relationships/hyperlink" Target="https://www.tga.gov.au/consultation-invitation/consultation-proposed-amendments-poisons-standard-acms-accs-and-joint-acmsaccs-meetings-march-2021" TargetMode="External"/><Relationship Id="rId93" Type="http://schemas.openxmlformats.org/officeDocument/2006/relationships/header" Target="header3.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tga.gov.au/consultation-invitation/consultation-proposed-amendments-poisons-standard-acms-accs-and-joint-acmsaccs-meetings-march-2021" TargetMode="External"/><Relationship Id="rId17" Type="http://schemas.openxmlformats.org/officeDocument/2006/relationships/hyperlink" Target="https://www.tga.gov.au/publication/scheduling-handbook-guidance-amending-poisons-standard" TargetMode="External"/><Relationship Id="rId25" Type="http://schemas.openxmlformats.org/officeDocument/2006/relationships/hyperlink" Target="https://www.tga.gov.au/sites/default/files/appendix-1-guidelines-for-advertising-medicines-containing-schedule-3-substances.pdf" TargetMode="External"/><Relationship Id="rId33" Type="http://schemas.openxmlformats.org/officeDocument/2006/relationships/hyperlink" Target="https://consultations.health.gov.au/tga/march_2021/" TargetMode="External"/><Relationship Id="rId38" Type="http://schemas.openxmlformats.org/officeDocument/2006/relationships/hyperlink" Target="https://www.tga.gov.au/scheduling-decision-interim/notice-interim-decisions-proposed-amendments-poisons-standard-acmsaccsjoint-acms-accs-meetings-march-2021" TargetMode="External"/><Relationship Id="rId46" Type="http://schemas.openxmlformats.org/officeDocument/2006/relationships/hyperlink" Target="https://doi.org/10.7759/cureus.10677" TargetMode="External"/><Relationship Id="rId59" Type="http://schemas.openxmlformats.org/officeDocument/2006/relationships/hyperlink" Target="https://consultations.health.gov.au/tga/march_2021/" TargetMode="External"/><Relationship Id="rId67" Type="http://schemas.openxmlformats.org/officeDocument/2006/relationships/hyperlink" Target="https://www.tga.gov.au/consultation-invitation/consultation-proposed-amendments-poisons-standard-acms-accs-and-joint-acmsaccs-meetings-march-2021" TargetMode="External"/><Relationship Id="rId20" Type="http://schemas.openxmlformats.org/officeDocument/2006/relationships/hyperlink" Target="https://www.tga.gov.au/consultation-invitation/consultation-proposed-amendments-poisons-standard-acms-accs-and-joint-acmsaccs-meetings-march-2021" TargetMode="External"/><Relationship Id="rId41" Type="http://schemas.openxmlformats.org/officeDocument/2006/relationships/hyperlink" Target="https://consultations.health.gov.au/tga/march_2021_interim" TargetMode="External"/><Relationship Id="rId54" Type="http://schemas.openxmlformats.org/officeDocument/2006/relationships/hyperlink" Target="https://consultations.health.gov.au/tga/march_2021_interim" TargetMode="External"/><Relationship Id="rId62" Type="http://schemas.openxmlformats.org/officeDocument/2006/relationships/hyperlink" Target="https://www.tga.gov.au/publication/ahmac-scheduling-policy-framework-medicines-and-chemicals" TargetMode="External"/><Relationship Id="rId70" Type="http://schemas.openxmlformats.org/officeDocument/2006/relationships/hyperlink" Target="https://www.tga.gov.au/publication/scheduling-handbook-guidance-amending-poisons-standard" TargetMode="External"/><Relationship Id="rId75" Type="http://schemas.openxmlformats.org/officeDocument/2006/relationships/hyperlink" Target="https://www.tga.gov.au/consultation-invitation/consultation-proposed-amendments-poisons-standard-acms-accs-and-joint-acmsaccs-meetings-march-2021" TargetMode="External"/><Relationship Id="rId83" Type="http://schemas.openxmlformats.org/officeDocument/2006/relationships/hyperlink" Target="https://www.tga.gov.au/publication/scheduling-handbook-guidance-amending-poisons-standard" TargetMode="External"/><Relationship Id="rId88" Type="http://schemas.openxmlformats.org/officeDocument/2006/relationships/hyperlink" Target="https://www.tga.gov.au/consultation-invitation/consultation-proposed-amendments-poisons-standard-acms-accs-and-joint-acmsaccs-meetings-march-2021" TargetMode="External"/><Relationship Id="rId91" Type="http://schemas.openxmlformats.org/officeDocument/2006/relationships/hyperlink" Target="https://www.tga.gov.au/publication/scheduling-handbook-guidance-amending-poisons-standard" TargetMode="Externa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nsultations.health.gov.au/tga/march_2021_interim" TargetMode="External"/><Relationship Id="rId23" Type="http://schemas.openxmlformats.org/officeDocument/2006/relationships/hyperlink" Target="https://www.tga.gov.au/publication/ahmac-scheduling-policy-framework-medicines-and-chemicals" TargetMode="External"/><Relationship Id="rId28" Type="http://schemas.openxmlformats.org/officeDocument/2006/relationships/hyperlink" Target="https://consultations.health.gov.au/tga/march_2021_interim" TargetMode="External"/><Relationship Id="rId36" Type="http://schemas.openxmlformats.org/officeDocument/2006/relationships/hyperlink" Target="https://www.tga.gov.au/publication/ahmac-scheduling-policy-framework-medicines-and-chemicals" TargetMode="External"/><Relationship Id="rId49" Type="http://schemas.openxmlformats.org/officeDocument/2006/relationships/hyperlink" Target="https://www.jsmcentral.org/sm-psychiatry/fulltext_smjpmh-v4-1014.pdf" TargetMode="External"/><Relationship Id="rId57" Type="http://schemas.openxmlformats.org/officeDocument/2006/relationships/hyperlink" Target="https://www.tga.gov.au/scheduling-decision-interim/notice-interim-decisions-proposed-amendments-poisons-standard-acmsaccsjoint-acms-accs-meetings-march-2021" TargetMode="External"/><Relationship Id="rId10" Type="http://schemas.openxmlformats.org/officeDocument/2006/relationships/header" Target="header2.xml"/><Relationship Id="rId31" Type="http://schemas.openxmlformats.org/officeDocument/2006/relationships/hyperlink" Target="https://www.tga.gov.au/sites/default/files/appendix-1-guidelines-for-advertising-medicines-containing-schedule-3-substances.pdf" TargetMode="External"/><Relationship Id="rId44" Type="http://schemas.openxmlformats.org/officeDocument/2006/relationships/hyperlink" Target="https://dx.doi.org/10.23937/2572-3987.1510017" TargetMode="External"/><Relationship Id="rId52" Type="http://schemas.openxmlformats.org/officeDocument/2006/relationships/hyperlink" Target="https://consultations.health.gov.au/tga/march_2021/" TargetMode="External"/><Relationship Id="rId60" Type="http://schemas.openxmlformats.org/officeDocument/2006/relationships/hyperlink" Target="https://www.tga.gov.au/consultation-invitation/consultation-proposed-amendments-poisons-standard-acms-accs-and-joint-acmsaccs-meetings-march-2021" TargetMode="External"/><Relationship Id="rId65" Type="http://schemas.openxmlformats.org/officeDocument/2006/relationships/hyperlink" Target="https://www.tga.gov.au/consultation-invitation/consultation-proposed-amendments-poisons-standard-acms-accs-and-joint-acmsaccs-meetings-march-2021" TargetMode="External"/><Relationship Id="rId73" Type="http://schemas.openxmlformats.org/officeDocument/2006/relationships/hyperlink" Target="https://www.tga.gov.au/consultation-invitation/consultation-proposed-amendments-poisons-standard-acms-accs-and-joint-acmsaccs-meetings-march-2021" TargetMode="External"/><Relationship Id="rId78" Type="http://schemas.openxmlformats.org/officeDocument/2006/relationships/hyperlink" Target="https://www.tga.gov.au/scheduling-decision-interim/notice-interim-decisions-proposed-amendments-poisons-standard-acmsaccsjoint-acms-accs-meetings-march-2021" TargetMode="External"/><Relationship Id="rId81" Type="http://schemas.openxmlformats.org/officeDocument/2006/relationships/hyperlink" Target="https://www.tga.gov.au/consultation-invitation/consultation-proposed-amendments-poisons-standard-acms-accs-and-joint-acmsaccs-meetings-march-2021" TargetMode="External"/><Relationship Id="rId86" Type="http://schemas.openxmlformats.org/officeDocument/2006/relationships/hyperlink" Target="https://www.industrialchemicals.gov.au/sites/default/files/STD1637%20Public%20Report%20PDF.pdf"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consultations.health.gov.au/tga/march_2021/" TargetMode="External"/><Relationship Id="rId18" Type="http://schemas.openxmlformats.org/officeDocument/2006/relationships/hyperlink" Target="https://www.tga.gov.au/sites/default/files/appendix-1-guidelines-for-advertising-medicines-containing-schedule-3-substances.pdf" TargetMode="External"/><Relationship Id="rId39" Type="http://schemas.openxmlformats.org/officeDocument/2006/relationships/hyperlink" Target="https://consultations.health.gov.au/tga/march_202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env/ehs/risk-management/1937036.pdf" TargetMode="External"/><Relationship Id="rId1" Type="http://schemas.openxmlformats.org/officeDocument/2006/relationships/hyperlink" Target="https://apps.who.int/food-additives-contaminants-jecfa-database/chemical.aspx?chemID=351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7B3AA-35BE-4F0A-B061-7D60787E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38</TotalTime>
  <Pages>23</Pages>
  <Words>8596</Words>
  <Characters>46767</Characters>
  <Application>Microsoft Office Word</Application>
  <DocSecurity>0</DocSecurity>
  <Lines>974</Lines>
  <Paragraphs>582</Paragraphs>
  <ScaleCrop>false</ScaleCrop>
  <HeadingPairs>
    <vt:vector size="2" baseType="variant">
      <vt:variant>
        <vt:lpstr>Title</vt:lpstr>
      </vt:variant>
      <vt:variant>
        <vt:i4>1</vt:i4>
      </vt:variant>
    </vt:vector>
  </HeadingPairs>
  <TitlesOfParts>
    <vt:vector size="1" baseType="lpstr">
      <vt:lpstr>Notice of interim decisions to amend (or not amend) the current Poisons Standard</vt:lpstr>
    </vt:vector>
  </TitlesOfParts>
  <Company>TGA</Company>
  <LinksUpToDate>false</LinksUpToDate>
  <CharactersWithSpaces>54781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dc:title>
  <dc:subject>scheduling</dc:subject>
  <dc:creator>Therapeutic Goods Administration</dc:creator>
  <dc:description>template v1.4</dc:description>
  <cp:lastPrinted>2020-05-01T05:17:00Z</cp:lastPrinted>
  <dcterms:created xsi:type="dcterms:W3CDTF">2021-12-21T05:03:00Z</dcterms:created>
  <dcterms:modified xsi:type="dcterms:W3CDTF">2021-12-21T05:41:00Z</dcterms:modified>
</cp:coreProperties>
</file>