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4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547E85">
        <w:tc>
          <w:tcPr>
            <w:tcW w:w="8720" w:type="dxa"/>
          </w:tcPr>
          <w:p w14:paraId="158C7559" w14:textId="50EC184C" w:rsidR="0025660C" w:rsidRPr="00077548" w:rsidRDefault="00597B50" w:rsidP="00547E85">
            <w:pPr>
              <w:pStyle w:val="Title"/>
            </w:pPr>
            <w:bookmarkStart w:id="0" w:name="_GoBack"/>
            <w:bookmarkEnd w:id="0"/>
            <w:r w:rsidRPr="00597B50">
              <w:t>Notice of final decisions to amend (or not amend) the current Poisons Standard</w:t>
            </w:r>
          </w:p>
        </w:tc>
      </w:tr>
      <w:tr w:rsidR="0025660C" w14:paraId="3393FE2A" w14:textId="77777777" w:rsidTr="00547E85">
        <w:trPr>
          <w:trHeight w:val="810"/>
        </w:trPr>
        <w:tc>
          <w:tcPr>
            <w:tcW w:w="8720" w:type="dxa"/>
          </w:tcPr>
          <w:p w14:paraId="38D3E20E" w14:textId="43E4657F" w:rsidR="0025660C" w:rsidRPr="00077548" w:rsidRDefault="005D321C" w:rsidP="00547E85">
            <w:pPr>
              <w:pStyle w:val="Subtitle"/>
              <w:tabs>
                <w:tab w:val="left" w:pos="5310"/>
              </w:tabs>
              <w:ind w:left="0"/>
            </w:pPr>
            <w:r>
              <w:t>25 November 2020</w:t>
            </w:r>
          </w:p>
        </w:tc>
      </w:tr>
    </w:tbl>
    <w:p w14:paraId="6D852DDD" w14:textId="77777777" w:rsidR="0025660C" w:rsidRDefault="0025660C" w:rsidP="0025660C">
      <w:pPr>
        <w:sectPr w:rsidR="0025660C" w:rsidSect="00E57B71">
          <w:headerReference w:type="default" r:id="rId8"/>
          <w:footerReference w:type="default" r:id="rId9"/>
          <w:headerReference w:type="first" r:id="rId10"/>
          <w:pgSz w:w="11906" w:h="16838" w:code="9"/>
          <w:pgMar w:top="1134" w:right="1418" w:bottom="1361" w:left="1418" w:header="851" w:footer="768" w:gutter="0"/>
          <w:cols w:space="708"/>
          <w:titlePg/>
          <w:docGrid w:linePitch="360"/>
        </w:sectPr>
      </w:pPr>
      <w:r>
        <w:br w:type="page"/>
      </w:r>
    </w:p>
    <w:p w14:paraId="30F6686F" w14:textId="02FB7BF9" w:rsidR="007907BF" w:rsidRPr="005D4EA1" w:rsidRDefault="007907BF" w:rsidP="007907BF">
      <w:pPr>
        <w:pStyle w:val="LegalSubheading"/>
        <w:pageBreakBefore/>
      </w:pPr>
      <w:r w:rsidRPr="00691723">
        <w:lastRenderedPageBreak/>
        <w:t>Copyright</w:t>
      </w:r>
    </w:p>
    <w:p w14:paraId="781131BA" w14:textId="11373CC3" w:rsidR="007907BF" w:rsidRDefault="007907BF" w:rsidP="007907BF">
      <w:pPr>
        <w:pStyle w:val="LegalCopy"/>
      </w:pPr>
      <w:r w:rsidRPr="009401F6">
        <w:t>© Commonwealth of Australia 20</w:t>
      </w:r>
      <w:r>
        <w:t>20</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9401F6">
          <w:rPr>
            <w:rStyle w:val="Hyperlink"/>
            <w:rFonts w:cs="Arial"/>
          </w:rPr>
          <w:t>tga.copyright@tga.gov.au</w:t>
        </w:r>
      </w:hyperlink>
      <w:r w:rsidRPr="009401F6">
        <w:t>&gt;</w:t>
      </w:r>
      <w:r w:rsidR="00BE52B8">
        <w:t>.</w:t>
      </w:r>
    </w:p>
    <w:p w14:paraId="48F61410" w14:textId="22E93990" w:rsidR="0025660C" w:rsidRPr="00766888" w:rsidRDefault="00597B50" w:rsidP="00ED6B23">
      <w:pPr>
        <w:pStyle w:val="LegalCopy"/>
        <w:tabs>
          <w:tab w:val="clear" w:pos="4513"/>
          <w:tab w:val="clear" w:pos="9026"/>
          <w:tab w:val="left" w:pos="2027"/>
        </w:tabs>
        <w:spacing w:before="12000"/>
      </w:pPr>
      <w:r>
        <w:lastRenderedPageBreak/>
        <w:tab/>
      </w:r>
    </w:p>
    <w:bookmarkStart w:id="1" w:name="_Toc323740418" w:displacedByCustomXml="next"/>
    <w:bookmarkStart w:id="2" w:name="_Toc328388475" w:displacedByCustomXml="next"/>
    <w:bookmarkStart w:id="3" w:name="_Toc323740419" w:displacedByCustomXml="next"/>
    <w:sdt>
      <w:sdtPr>
        <w:rPr>
          <w:rFonts w:ascii="Arial" w:hAnsi="Arial"/>
          <w:b/>
        </w:rPr>
        <w:id w:val="21514559"/>
        <w:docPartObj>
          <w:docPartGallery w:val="Table of Contents"/>
          <w:docPartUnique/>
        </w:docPartObj>
      </w:sdtPr>
      <w:sdtEndPr>
        <w:rPr>
          <w:rFonts w:ascii="Cambria" w:hAnsi="Cambria"/>
          <w:b w:val="0"/>
        </w:rPr>
      </w:sdtEndPr>
      <w:sdtContent>
        <w:p w14:paraId="64106CE4" w14:textId="77777777" w:rsidR="00DA3817" w:rsidRDefault="0025660C" w:rsidP="00DA3817">
          <w:pPr>
            <w:pStyle w:val="TOC2"/>
            <w:tabs>
              <w:tab w:val="left" w:pos="851"/>
            </w:tabs>
            <w:rPr>
              <w:noProof/>
            </w:rPr>
          </w:pPr>
          <w:r w:rsidRPr="005D16DC">
            <w:rPr>
              <w:rFonts w:asciiTheme="majorHAnsi" w:hAnsiTheme="majorHAnsi" w:cstheme="majorHAnsi"/>
              <w:sz w:val="28"/>
              <w:szCs w:val="28"/>
            </w:rPr>
            <w:t>Contents</w:t>
          </w:r>
          <w:r w:rsidR="00DA3817">
            <w:rPr>
              <w:sz w:val="32"/>
            </w:rPr>
            <w:fldChar w:fldCharType="begin"/>
          </w:r>
          <w:r w:rsidR="00DA3817">
            <w:rPr>
              <w:sz w:val="32"/>
            </w:rPr>
            <w:instrText xml:space="preserve"> TOC \o "1-4" \h \z \u </w:instrText>
          </w:r>
          <w:r w:rsidR="00DA3817">
            <w:rPr>
              <w:sz w:val="32"/>
            </w:rPr>
            <w:fldChar w:fldCharType="separate"/>
          </w:r>
        </w:p>
        <w:p w14:paraId="652E5139" w14:textId="2BDE91C0" w:rsidR="00DA3817" w:rsidRDefault="00547E85">
          <w:pPr>
            <w:pStyle w:val="TOC2"/>
            <w:tabs>
              <w:tab w:val="left" w:pos="851"/>
            </w:tabs>
            <w:rPr>
              <w:rFonts w:asciiTheme="minorHAnsi" w:eastAsiaTheme="minorEastAsia" w:hAnsiTheme="minorHAnsi" w:cstheme="minorBidi"/>
              <w:noProof/>
              <w:szCs w:val="22"/>
              <w:lang w:eastAsia="en-AU"/>
            </w:rPr>
          </w:pPr>
          <w:hyperlink w:anchor="_Toc57114174" w:history="1">
            <w:r w:rsidR="00DA3817" w:rsidRPr="00F43394">
              <w:rPr>
                <w:rStyle w:val="Hyperlink"/>
                <w:noProof/>
              </w:rPr>
              <w:t>1</w:t>
            </w:r>
            <w:r w:rsidR="00DA3817">
              <w:rPr>
                <w:rFonts w:asciiTheme="minorHAnsi" w:eastAsiaTheme="minorEastAsia" w:hAnsiTheme="minorHAnsi" w:cstheme="minorBidi"/>
                <w:noProof/>
                <w:szCs w:val="22"/>
                <w:lang w:eastAsia="en-AU"/>
              </w:rPr>
              <w:tab/>
            </w:r>
            <w:r w:rsidR="00DA3817" w:rsidRPr="00F43394">
              <w:rPr>
                <w:rStyle w:val="Hyperlink"/>
                <w:noProof/>
              </w:rPr>
              <w:t>Notice of final decisions to amend (or not amend) the current Poisons Standard</w:t>
            </w:r>
            <w:r w:rsidR="00DA3817">
              <w:rPr>
                <w:noProof/>
                <w:webHidden/>
              </w:rPr>
              <w:tab/>
            </w:r>
            <w:r w:rsidR="00DA3817">
              <w:rPr>
                <w:noProof/>
                <w:webHidden/>
              </w:rPr>
              <w:fldChar w:fldCharType="begin"/>
            </w:r>
            <w:r w:rsidR="00DA3817">
              <w:rPr>
                <w:noProof/>
                <w:webHidden/>
              </w:rPr>
              <w:instrText xml:space="preserve"> PAGEREF _Toc57114174 \h </w:instrText>
            </w:r>
            <w:r w:rsidR="00DA3817">
              <w:rPr>
                <w:noProof/>
                <w:webHidden/>
              </w:rPr>
            </w:r>
            <w:r w:rsidR="00DA3817">
              <w:rPr>
                <w:noProof/>
                <w:webHidden/>
              </w:rPr>
              <w:fldChar w:fldCharType="separate"/>
            </w:r>
            <w:r w:rsidR="00DA3817">
              <w:rPr>
                <w:noProof/>
                <w:webHidden/>
              </w:rPr>
              <w:t>5</w:t>
            </w:r>
            <w:r w:rsidR="00DA3817">
              <w:rPr>
                <w:noProof/>
                <w:webHidden/>
              </w:rPr>
              <w:fldChar w:fldCharType="end"/>
            </w:r>
          </w:hyperlink>
        </w:p>
        <w:p w14:paraId="3CEEF536" w14:textId="0E5D92FD" w:rsidR="00DA3817" w:rsidRDefault="00547E85">
          <w:pPr>
            <w:pStyle w:val="TOC2"/>
            <w:tabs>
              <w:tab w:val="left" w:pos="851"/>
            </w:tabs>
            <w:rPr>
              <w:rFonts w:asciiTheme="minorHAnsi" w:eastAsiaTheme="minorEastAsia" w:hAnsiTheme="minorHAnsi" w:cstheme="minorBidi"/>
              <w:noProof/>
              <w:szCs w:val="22"/>
              <w:lang w:eastAsia="en-AU"/>
            </w:rPr>
          </w:pPr>
          <w:hyperlink w:anchor="_Toc57114175" w:history="1">
            <w:r w:rsidR="00DA3817" w:rsidRPr="00F43394">
              <w:rPr>
                <w:rStyle w:val="Hyperlink"/>
                <w:noProof/>
              </w:rPr>
              <w:t>2</w:t>
            </w:r>
            <w:r w:rsidR="00DA3817">
              <w:rPr>
                <w:rFonts w:asciiTheme="minorHAnsi" w:eastAsiaTheme="minorEastAsia" w:hAnsiTheme="minorHAnsi" w:cstheme="minorBidi"/>
                <w:noProof/>
                <w:szCs w:val="22"/>
                <w:lang w:eastAsia="en-AU"/>
              </w:rPr>
              <w:tab/>
            </w:r>
            <w:r w:rsidR="00DA3817" w:rsidRPr="00F43394">
              <w:rPr>
                <w:rStyle w:val="Hyperlink"/>
                <w:noProof/>
              </w:rPr>
              <w:t>Final decisions in relation to nicotine and cannabidiol (private application and delegate initiated)</w:t>
            </w:r>
            <w:r w:rsidR="00DA3817">
              <w:rPr>
                <w:noProof/>
                <w:webHidden/>
              </w:rPr>
              <w:tab/>
            </w:r>
            <w:r w:rsidR="00DA3817">
              <w:rPr>
                <w:noProof/>
                <w:webHidden/>
              </w:rPr>
              <w:fldChar w:fldCharType="begin"/>
            </w:r>
            <w:r w:rsidR="00DA3817">
              <w:rPr>
                <w:noProof/>
                <w:webHidden/>
              </w:rPr>
              <w:instrText xml:space="preserve"> PAGEREF _Toc57114175 \h </w:instrText>
            </w:r>
            <w:r w:rsidR="00DA3817">
              <w:rPr>
                <w:noProof/>
                <w:webHidden/>
              </w:rPr>
            </w:r>
            <w:r w:rsidR="00DA3817">
              <w:rPr>
                <w:noProof/>
                <w:webHidden/>
              </w:rPr>
              <w:fldChar w:fldCharType="separate"/>
            </w:r>
            <w:r w:rsidR="00DA3817">
              <w:rPr>
                <w:noProof/>
                <w:webHidden/>
              </w:rPr>
              <w:t>6</w:t>
            </w:r>
            <w:r w:rsidR="00DA3817">
              <w:rPr>
                <w:noProof/>
                <w:webHidden/>
              </w:rPr>
              <w:fldChar w:fldCharType="end"/>
            </w:r>
          </w:hyperlink>
        </w:p>
        <w:p w14:paraId="3641FBF9" w14:textId="572C8F70" w:rsidR="00DA3817" w:rsidRDefault="00547E85">
          <w:pPr>
            <w:pStyle w:val="TOC2"/>
            <w:tabs>
              <w:tab w:val="left" w:pos="851"/>
            </w:tabs>
            <w:rPr>
              <w:rFonts w:asciiTheme="minorHAnsi" w:eastAsiaTheme="minorEastAsia" w:hAnsiTheme="minorHAnsi" w:cstheme="minorBidi"/>
              <w:noProof/>
              <w:szCs w:val="22"/>
              <w:lang w:eastAsia="en-AU"/>
            </w:rPr>
          </w:pPr>
          <w:hyperlink w:anchor="_Toc57114176" w:history="1">
            <w:r w:rsidR="00DA3817" w:rsidRPr="00F43394">
              <w:rPr>
                <w:rStyle w:val="Hyperlink"/>
                <w:noProof/>
              </w:rPr>
              <w:t>3</w:t>
            </w:r>
            <w:r w:rsidR="00DA3817">
              <w:rPr>
                <w:rFonts w:asciiTheme="minorHAnsi" w:eastAsiaTheme="minorEastAsia" w:hAnsiTheme="minorHAnsi" w:cstheme="minorBidi"/>
                <w:noProof/>
                <w:szCs w:val="22"/>
                <w:lang w:eastAsia="en-AU"/>
              </w:rPr>
              <w:tab/>
            </w:r>
            <w:r w:rsidR="00DA3817" w:rsidRPr="00F43394">
              <w:rPr>
                <w:rStyle w:val="Hyperlink"/>
                <w:noProof/>
              </w:rPr>
              <w:t>Final decisions on proposed amendments to the current Poisons Standard under regulation 42ZCZR</w:t>
            </w:r>
            <w:r w:rsidR="00DA3817">
              <w:rPr>
                <w:noProof/>
                <w:webHidden/>
              </w:rPr>
              <w:tab/>
            </w:r>
            <w:r w:rsidR="00DA3817">
              <w:rPr>
                <w:noProof/>
                <w:webHidden/>
              </w:rPr>
              <w:fldChar w:fldCharType="begin"/>
            </w:r>
            <w:r w:rsidR="00DA3817">
              <w:rPr>
                <w:noProof/>
                <w:webHidden/>
              </w:rPr>
              <w:instrText xml:space="preserve"> PAGEREF _Toc57114176 \h </w:instrText>
            </w:r>
            <w:r w:rsidR="00DA3817">
              <w:rPr>
                <w:noProof/>
                <w:webHidden/>
              </w:rPr>
            </w:r>
            <w:r w:rsidR="00DA3817">
              <w:rPr>
                <w:noProof/>
                <w:webHidden/>
              </w:rPr>
              <w:fldChar w:fldCharType="separate"/>
            </w:r>
            <w:r w:rsidR="00DA3817">
              <w:rPr>
                <w:noProof/>
                <w:webHidden/>
              </w:rPr>
              <w:t>7</w:t>
            </w:r>
            <w:r w:rsidR="00DA3817">
              <w:rPr>
                <w:noProof/>
                <w:webHidden/>
              </w:rPr>
              <w:fldChar w:fldCharType="end"/>
            </w:r>
          </w:hyperlink>
        </w:p>
        <w:p w14:paraId="1C6C53C1" w14:textId="5A5B298E" w:rsidR="00DA3817" w:rsidRDefault="00547E85">
          <w:pPr>
            <w:pStyle w:val="TOC3"/>
            <w:tabs>
              <w:tab w:val="left" w:pos="1701"/>
            </w:tabs>
            <w:rPr>
              <w:rFonts w:asciiTheme="minorHAnsi" w:eastAsiaTheme="minorEastAsia" w:hAnsiTheme="minorHAnsi" w:cstheme="minorBidi"/>
              <w:noProof/>
              <w:sz w:val="22"/>
              <w:szCs w:val="22"/>
              <w:lang w:eastAsia="en-AU"/>
            </w:rPr>
          </w:pPr>
          <w:hyperlink w:anchor="_Toc57114177" w:history="1">
            <w:r w:rsidR="00DA3817" w:rsidRPr="00F43394">
              <w:rPr>
                <w:rStyle w:val="Hyperlink"/>
                <w:noProof/>
              </w:rPr>
              <w:t>3.1</w:t>
            </w:r>
            <w:r w:rsidR="00DA3817">
              <w:rPr>
                <w:rFonts w:asciiTheme="minorHAnsi" w:eastAsiaTheme="minorEastAsia" w:hAnsiTheme="minorHAnsi" w:cstheme="minorBidi"/>
                <w:noProof/>
                <w:sz w:val="22"/>
                <w:szCs w:val="22"/>
                <w:lang w:eastAsia="en-AU"/>
              </w:rPr>
              <w:tab/>
            </w:r>
            <w:r w:rsidR="00DA3817" w:rsidRPr="00F43394">
              <w:rPr>
                <w:rStyle w:val="Hyperlink"/>
                <w:noProof/>
              </w:rPr>
              <w:t>Final decisions on proposed amendments referred to the Advisory Committee on Medicines Scheduling (ACMS #31, June 2020)</w:t>
            </w:r>
            <w:r w:rsidR="00DA3817">
              <w:rPr>
                <w:noProof/>
                <w:webHidden/>
              </w:rPr>
              <w:tab/>
            </w:r>
            <w:r w:rsidR="00DA3817">
              <w:rPr>
                <w:noProof/>
                <w:webHidden/>
              </w:rPr>
              <w:fldChar w:fldCharType="begin"/>
            </w:r>
            <w:r w:rsidR="00DA3817">
              <w:rPr>
                <w:noProof/>
                <w:webHidden/>
              </w:rPr>
              <w:instrText xml:space="preserve"> PAGEREF _Toc57114177 \h </w:instrText>
            </w:r>
            <w:r w:rsidR="00DA3817">
              <w:rPr>
                <w:noProof/>
                <w:webHidden/>
              </w:rPr>
            </w:r>
            <w:r w:rsidR="00DA3817">
              <w:rPr>
                <w:noProof/>
                <w:webHidden/>
              </w:rPr>
              <w:fldChar w:fldCharType="separate"/>
            </w:r>
            <w:r w:rsidR="00DA3817">
              <w:rPr>
                <w:noProof/>
                <w:webHidden/>
              </w:rPr>
              <w:t>7</w:t>
            </w:r>
            <w:r w:rsidR="00DA3817">
              <w:rPr>
                <w:noProof/>
                <w:webHidden/>
              </w:rPr>
              <w:fldChar w:fldCharType="end"/>
            </w:r>
          </w:hyperlink>
        </w:p>
        <w:p w14:paraId="02D5D3DB" w14:textId="7CB710D5" w:rsidR="00DA3817" w:rsidRDefault="00547E85">
          <w:pPr>
            <w:pStyle w:val="TOC4"/>
            <w:tabs>
              <w:tab w:val="left" w:pos="2126"/>
            </w:tabs>
            <w:rPr>
              <w:rFonts w:asciiTheme="minorHAnsi" w:eastAsiaTheme="minorEastAsia" w:hAnsiTheme="minorHAnsi" w:cstheme="minorBidi"/>
              <w:noProof/>
              <w:szCs w:val="22"/>
              <w:lang w:eastAsia="en-AU"/>
            </w:rPr>
          </w:pPr>
          <w:hyperlink w:anchor="_Toc57114178" w:history="1">
            <w:r w:rsidR="00DA3817" w:rsidRPr="00F43394">
              <w:rPr>
                <w:rStyle w:val="Hyperlink"/>
                <w:noProof/>
              </w:rPr>
              <w:t>3.1.1</w:t>
            </w:r>
            <w:r w:rsidR="00DA3817">
              <w:rPr>
                <w:rFonts w:asciiTheme="minorHAnsi" w:eastAsiaTheme="minorEastAsia" w:hAnsiTheme="minorHAnsi" w:cstheme="minorBidi"/>
                <w:noProof/>
                <w:szCs w:val="22"/>
                <w:lang w:eastAsia="en-AU"/>
              </w:rPr>
              <w:tab/>
            </w:r>
            <w:r w:rsidR="00DA3817" w:rsidRPr="00F43394">
              <w:rPr>
                <w:rStyle w:val="Hyperlink"/>
                <w:noProof/>
              </w:rPr>
              <w:t>Final decision in relation to oxymetazoline</w:t>
            </w:r>
            <w:r w:rsidR="00DA3817">
              <w:rPr>
                <w:noProof/>
                <w:webHidden/>
              </w:rPr>
              <w:tab/>
            </w:r>
            <w:r w:rsidR="00DA3817">
              <w:rPr>
                <w:noProof/>
                <w:webHidden/>
              </w:rPr>
              <w:fldChar w:fldCharType="begin"/>
            </w:r>
            <w:r w:rsidR="00DA3817">
              <w:rPr>
                <w:noProof/>
                <w:webHidden/>
              </w:rPr>
              <w:instrText xml:space="preserve"> PAGEREF _Toc57114178 \h </w:instrText>
            </w:r>
            <w:r w:rsidR="00DA3817">
              <w:rPr>
                <w:noProof/>
                <w:webHidden/>
              </w:rPr>
            </w:r>
            <w:r w:rsidR="00DA3817">
              <w:rPr>
                <w:noProof/>
                <w:webHidden/>
              </w:rPr>
              <w:fldChar w:fldCharType="separate"/>
            </w:r>
            <w:r w:rsidR="00DA3817">
              <w:rPr>
                <w:noProof/>
                <w:webHidden/>
              </w:rPr>
              <w:t>7</w:t>
            </w:r>
            <w:r w:rsidR="00DA3817">
              <w:rPr>
                <w:noProof/>
                <w:webHidden/>
              </w:rPr>
              <w:fldChar w:fldCharType="end"/>
            </w:r>
          </w:hyperlink>
        </w:p>
        <w:p w14:paraId="602D29A3" w14:textId="1707CB0F" w:rsidR="00DA3817" w:rsidRDefault="00547E85">
          <w:pPr>
            <w:pStyle w:val="TOC4"/>
            <w:tabs>
              <w:tab w:val="left" w:pos="2126"/>
            </w:tabs>
            <w:rPr>
              <w:rFonts w:asciiTheme="minorHAnsi" w:eastAsiaTheme="minorEastAsia" w:hAnsiTheme="minorHAnsi" w:cstheme="minorBidi"/>
              <w:noProof/>
              <w:szCs w:val="22"/>
              <w:lang w:eastAsia="en-AU"/>
            </w:rPr>
          </w:pPr>
          <w:hyperlink w:anchor="_Toc57114179" w:history="1">
            <w:r w:rsidR="00DA3817" w:rsidRPr="00F43394">
              <w:rPr>
                <w:rStyle w:val="Hyperlink"/>
                <w:noProof/>
              </w:rPr>
              <w:t>3.1.2</w:t>
            </w:r>
            <w:r w:rsidR="00DA3817">
              <w:rPr>
                <w:rFonts w:asciiTheme="minorHAnsi" w:eastAsiaTheme="minorEastAsia" w:hAnsiTheme="minorHAnsi" w:cstheme="minorBidi"/>
                <w:noProof/>
                <w:szCs w:val="22"/>
                <w:lang w:eastAsia="en-AU"/>
              </w:rPr>
              <w:tab/>
            </w:r>
            <w:r w:rsidR="00DA3817" w:rsidRPr="00F43394">
              <w:rPr>
                <w:rStyle w:val="Hyperlink"/>
                <w:noProof/>
              </w:rPr>
              <w:t>Final decision in relation to eletriptan</w:t>
            </w:r>
            <w:r w:rsidR="00DA3817">
              <w:rPr>
                <w:noProof/>
                <w:webHidden/>
              </w:rPr>
              <w:tab/>
            </w:r>
            <w:r w:rsidR="00DA3817">
              <w:rPr>
                <w:noProof/>
                <w:webHidden/>
              </w:rPr>
              <w:fldChar w:fldCharType="begin"/>
            </w:r>
            <w:r w:rsidR="00DA3817">
              <w:rPr>
                <w:noProof/>
                <w:webHidden/>
              </w:rPr>
              <w:instrText xml:space="preserve"> PAGEREF _Toc57114179 \h </w:instrText>
            </w:r>
            <w:r w:rsidR="00DA3817">
              <w:rPr>
                <w:noProof/>
                <w:webHidden/>
              </w:rPr>
            </w:r>
            <w:r w:rsidR="00DA3817">
              <w:rPr>
                <w:noProof/>
                <w:webHidden/>
              </w:rPr>
              <w:fldChar w:fldCharType="separate"/>
            </w:r>
            <w:r w:rsidR="00DA3817">
              <w:rPr>
                <w:noProof/>
                <w:webHidden/>
              </w:rPr>
              <w:t>8</w:t>
            </w:r>
            <w:r w:rsidR="00DA3817">
              <w:rPr>
                <w:noProof/>
                <w:webHidden/>
              </w:rPr>
              <w:fldChar w:fldCharType="end"/>
            </w:r>
          </w:hyperlink>
        </w:p>
        <w:p w14:paraId="3FA32B15" w14:textId="49E62649" w:rsidR="00DA3817" w:rsidRDefault="00547E85">
          <w:pPr>
            <w:pStyle w:val="TOC4"/>
            <w:tabs>
              <w:tab w:val="left" w:pos="2126"/>
            </w:tabs>
            <w:rPr>
              <w:rFonts w:asciiTheme="minorHAnsi" w:eastAsiaTheme="minorEastAsia" w:hAnsiTheme="minorHAnsi" w:cstheme="minorBidi"/>
              <w:noProof/>
              <w:szCs w:val="22"/>
              <w:lang w:eastAsia="en-AU"/>
            </w:rPr>
          </w:pPr>
          <w:hyperlink w:anchor="_Toc57114180" w:history="1">
            <w:r w:rsidR="00DA3817" w:rsidRPr="00F43394">
              <w:rPr>
                <w:rStyle w:val="Hyperlink"/>
                <w:noProof/>
              </w:rPr>
              <w:t>3.1.3</w:t>
            </w:r>
            <w:r w:rsidR="00DA3817">
              <w:rPr>
                <w:rFonts w:asciiTheme="minorHAnsi" w:eastAsiaTheme="minorEastAsia" w:hAnsiTheme="minorHAnsi" w:cstheme="minorBidi"/>
                <w:noProof/>
                <w:szCs w:val="22"/>
                <w:lang w:eastAsia="en-AU"/>
              </w:rPr>
              <w:tab/>
            </w:r>
            <w:r w:rsidR="00DA3817" w:rsidRPr="00F43394">
              <w:rPr>
                <w:rStyle w:val="Hyperlink"/>
                <w:noProof/>
              </w:rPr>
              <w:t>Final decision in relation to clotrimazole</w:t>
            </w:r>
            <w:r w:rsidR="00DA3817">
              <w:rPr>
                <w:noProof/>
                <w:webHidden/>
              </w:rPr>
              <w:tab/>
            </w:r>
            <w:r w:rsidR="00DA3817">
              <w:rPr>
                <w:noProof/>
                <w:webHidden/>
              </w:rPr>
              <w:fldChar w:fldCharType="begin"/>
            </w:r>
            <w:r w:rsidR="00DA3817">
              <w:rPr>
                <w:noProof/>
                <w:webHidden/>
              </w:rPr>
              <w:instrText xml:space="preserve"> PAGEREF _Toc57114180 \h </w:instrText>
            </w:r>
            <w:r w:rsidR="00DA3817">
              <w:rPr>
                <w:noProof/>
                <w:webHidden/>
              </w:rPr>
            </w:r>
            <w:r w:rsidR="00DA3817">
              <w:rPr>
                <w:noProof/>
                <w:webHidden/>
              </w:rPr>
              <w:fldChar w:fldCharType="separate"/>
            </w:r>
            <w:r w:rsidR="00DA3817">
              <w:rPr>
                <w:noProof/>
                <w:webHidden/>
              </w:rPr>
              <w:t>9</w:t>
            </w:r>
            <w:r w:rsidR="00DA3817">
              <w:rPr>
                <w:noProof/>
                <w:webHidden/>
              </w:rPr>
              <w:fldChar w:fldCharType="end"/>
            </w:r>
          </w:hyperlink>
        </w:p>
        <w:p w14:paraId="71B89F70" w14:textId="38940257" w:rsidR="00DA3817" w:rsidRDefault="00547E85">
          <w:pPr>
            <w:pStyle w:val="TOC4"/>
            <w:tabs>
              <w:tab w:val="left" w:pos="2126"/>
            </w:tabs>
            <w:rPr>
              <w:rFonts w:asciiTheme="minorHAnsi" w:eastAsiaTheme="minorEastAsia" w:hAnsiTheme="minorHAnsi" w:cstheme="minorBidi"/>
              <w:noProof/>
              <w:szCs w:val="22"/>
              <w:lang w:eastAsia="en-AU"/>
            </w:rPr>
          </w:pPr>
          <w:hyperlink w:anchor="_Toc57114181" w:history="1">
            <w:r w:rsidR="00DA3817" w:rsidRPr="00F43394">
              <w:rPr>
                <w:rStyle w:val="Hyperlink"/>
                <w:noProof/>
              </w:rPr>
              <w:t>3.1.4</w:t>
            </w:r>
            <w:r w:rsidR="00DA3817">
              <w:rPr>
                <w:rFonts w:asciiTheme="minorHAnsi" w:eastAsiaTheme="minorEastAsia" w:hAnsiTheme="minorHAnsi" w:cstheme="minorBidi"/>
                <w:noProof/>
                <w:szCs w:val="22"/>
                <w:lang w:eastAsia="en-AU"/>
              </w:rPr>
              <w:tab/>
            </w:r>
            <w:r w:rsidR="00DA3817" w:rsidRPr="00F43394">
              <w:rPr>
                <w:rStyle w:val="Hyperlink"/>
                <w:noProof/>
              </w:rPr>
              <w:t>Final decision in relation to sildenafil</w:t>
            </w:r>
            <w:r w:rsidR="00DA3817">
              <w:rPr>
                <w:noProof/>
                <w:webHidden/>
              </w:rPr>
              <w:tab/>
            </w:r>
            <w:r w:rsidR="00DA3817">
              <w:rPr>
                <w:noProof/>
                <w:webHidden/>
              </w:rPr>
              <w:fldChar w:fldCharType="begin"/>
            </w:r>
            <w:r w:rsidR="00DA3817">
              <w:rPr>
                <w:noProof/>
                <w:webHidden/>
              </w:rPr>
              <w:instrText xml:space="preserve"> PAGEREF _Toc57114181 \h </w:instrText>
            </w:r>
            <w:r w:rsidR="00DA3817">
              <w:rPr>
                <w:noProof/>
                <w:webHidden/>
              </w:rPr>
            </w:r>
            <w:r w:rsidR="00DA3817">
              <w:rPr>
                <w:noProof/>
                <w:webHidden/>
              </w:rPr>
              <w:fldChar w:fldCharType="separate"/>
            </w:r>
            <w:r w:rsidR="00DA3817">
              <w:rPr>
                <w:noProof/>
                <w:webHidden/>
              </w:rPr>
              <w:t>10</w:t>
            </w:r>
            <w:r w:rsidR="00DA3817">
              <w:rPr>
                <w:noProof/>
                <w:webHidden/>
              </w:rPr>
              <w:fldChar w:fldCharType="end"/>
            </w:r>
          </w:hyperlink>
        </w:p>
        <w:p w14:paraId="52C99195" w14:textId="39A0F7D4" w:rsidR="00DA3817" w:rsidRDefault="00547E85">
          <w:pPr>
            <w:pStyle w:val="TOC4"/>
            <w:tabs>
              <w:tab w:val="left" w:pos="2126"/>
            </w:tabs>
            <w:rPr>
              <w:rFonts w:asciiTheme="minorHAnsi" w:eastAsiaTheme="minorEastAsia" w:hAnsiTheme="minorHAnsi" w:cstheme="minorBidi"/>
              <w:noProof/>
              <w:szCs w:val="22"/>
              <w:lang w:eastAsia="en-AU"/>
            </w:rPr>
          </w:pPr>
          <w:hyperlink w:anchor="_Toc57114182" w:history="1">
            <w:r w:rsidR="00DA3817" w:rsidRPr="00F43394">
              <w:rPr>
                <w:rStyle w:val="Hyperlink"/>
                <w:noProof/>
              </w:rPr>
              <w:t>3.1.5</w:t>
            </w:r>
            <w:r w:rsidR="00DA3817">
              <w:rPr>
                <w:rFonts w:asciiTheme="minorHAnsi" w:eastAsiaTheme="minorEastAsia" w:hAnsiTheme="minorHAnsi" w:cstheme="minorBidi"/>
                <w:noProof/>
                <w:szCs w:val="22"/>
                <w:lang w:eastAsia="en-AU"/>
              </w:rPr>
              <w:tab/>
            </w:r>
            <w:r w:rsidR="00DA3817" w:rsidRPr="00F43394">
              <w:rPr>
                <w:rStyle w:val="Hyperlink"/>
                <w:noProof/>
              </w:rPr>
              <w:t>Final decision in relation to ibuprofen</w:t>
            </w:r>
            <w:r w:rsidR="00DA3817">
              <w:rPr>
                <w:noProof/>
                <w:webHidden/>
              </w:rPr>
              <w:tab/>
            </w:r>
            <w:r w:rsidR="00DA3817">
              <w:rPr>
                <w:noProof/>
                <w:webHidden/>
              </w:rPr>
              <w:fldChar w:fldCharType="begin"/>
            </w:r>
            <w:r w:rsidR="00DA3817">
              <w:rPr>
                <w:noProof/>
                <w:webHidden/>
              </w:rPr>
              <w:instrText xml:space="preserve"> PAGEREF _Toc57114182 \h </w:instrText>
            </w:r>
            <w:r w:rsidR="00DA3817">
              <w:rPr>
                <w:noProof/>
                <w:webHidden/>
              </w:rPr>
            </w:r>
            <w:r w:rsidR="00DA3817">
              <w:rPr>
                <w:noProof/>
                <w:webHidden/>
              </w:rPr>
              <w:fldChar w:fldCharType="separate"/>
            </w:r>
            <w:r w:rsidR="00DA3817">
              <w:rPr>
                <w:noProof/>
                <w:webHidden/>
              </w:rPr>
              <w:t>11</w:t>
            </w:r>
            <w:r w:rsidR="00DA3817">
              <w:rPr>
                <w:noProof/>
                <w:webHidden/>
              </w:rPr>
              <w:fldChar w:fldCharType="end"/>
            </w:r>
          </w:hyperlink>
        </w:p>
        <w:p w14:paraId="19E2F1C0" w14:textId="73438E83" w:rsidR="00DA3817" w:rsidRDefault="00547E85">
          <w:pPr>
            <w:pStyle w:val="TOC4"/>
            <w:tabs>
              <w:tab w:val="left" w:pos="2126"/>
            </w:tabs>
            <w:rPr>
              <w:rFonts w:asciiTheme="minorHAnsi" w:eastAsiaTheme="minorEastAsia" w:hAnsiTheme="minorHAnsi" w:cstheme="minorBidi"/>
              <w:noProof/>
              <w:szCs w:val="22"/>
              <w:lang w:eastAsia="en-AU"/>
            </w:rPr>
          </w:pPr>
          <w:hyperlink w:anchor="_Toc57114183" w:history="1">
            <w:r w:rsidR="00DA3817" w:rsidRPr="00F43394">
              <w:rPr>
                <w:rStyle w:val="Hyperlink"/>
                <w:noProof/>
              </w:rPr>
              <w:t>3.1.6</w:t>
            </w:r>
            <w:r w:rsidR="00DA3817">
              <w:rPr>
                <w:rFonts w:asciiTheme="minorHAnsi" w:eastAsiaTheme="minorEastAsia" w:hAnsiTheme="minorHAnsi" w:cstheme="minorBidi"/>
                <w:noProof/>
                <w:szCs w:val="22"/>
                <w:lang w:eastAsia="en-AU"/>
              </w:rPr>
              <w:tab/>
            </w:r>
            <w:r w:rsidR="00DA3817" w:rsidRPr="00F43394">
              <w:rPr>
                <w:rStyle w:val="Hyperlink"/>
                <w:noProof/>
              </w:rPr>
              <w:t>Final decision in relation to cumyl-pegaclone</w:t>
            </w:r>
            <w:r w:rsidR="00DA3817">
              <w:rPr>
                <w:noProof/>
                <w:webHidden/>
              </w:rPr>
              <w:tab/>
            </w:r>
            <w:r w:rsidR="00DA3817">
              <w:rPr>
                <w:noProof/>
                <w:webHidden/>
              </w:rPr>
              <w:fldChar w:fldCharType="begin"/>
            </w:r>
            <w:r w:rsidR="00DA3817">
              <w:rPr>
                <w:noProof/>
                <w:webHidden/>
              </w:rPr>
              <w:instrText xml:space="preserve"> PAGEREF _Toc57114183 \h </w:instrText>
            </w:r>
            <w:r w:rsidR="00DA3817">
              <w:rPr>
                <w:noProof/>
                <w:webHidden/>
              </w:rPr>
            </w:r>
            <w:r w:rsidR="00DA3817">
              <w:rPr>
                <w:noProof/>
                <w:webHidden/>
              </w:rPr>
              <w:fldChar w:fldCharType="separate"/>
            </w:r>
            <w:r w:rsidR="00DA3817">
              <w:rPr>
                <w:noProof/>
                <w:webHidden/>
              </w:rPr>
              <w:t>12</w:t>
            </w:r>
            <w:r w:rsidR="00DA3817">
              <w:rPr>
                <w:noProof/>
                <w:webHidden/>
              </w:rPr>
              <w:fldChar w:fldCharType="end"/>
            </w:r>
          </w:hyperlink>
        </w:p>
        <w:p w14:paraId="32610674" w14:textId="3A671EC4" w:rsidR="00DA3817" w:rsidRDefault="00547E85">
          <w:pPr>
            <w:pStyle w:val="TOC2"/>
            <w:tabs>
              <w:tab w:val="left" w:pos="851"/>
            </w:tabs>
            <w:rPr>
              <w:rFonts w:asciiTheme="minorHAnsi" w:eastAsiaTheme="minorEastAsia" w:hAnsiTheme="minorHAnsi" w:cstheme="minorBidi"/>
              <w:noProof/>
              <w:szCs w:val="22"/>
              <w:lang w:eastAsia="en-AU"/>
            </w:rPr>
          </w:pPr>
          <w:hyperlink w:anchor="_Toc57114184" w:history="1">
            <w:r w:rsidR="00DA3817" w:rsidRPr="00F43394">
              <w:rPr>
                <w:rStyle w:val="Hyperlink"/>
                <w:noProof/>
              </w:rPr>
              <w:t>4</w:t>
            </w:r>
            <w:r w:rsidR="00DA3817">
              <w:rPr>
                <w:rFonts w:asciiTheme="minorHAnsi" w:eastAsiaTheme="minorEastAsia" w:hAnsiTheme="minorHAnsi" w:cstheme="minorBidi"/>
                <w:noProof/>
                <w:szCs w:val="22"/>
                <w:lang w:eastAsia="en-AU"/>
              </w:rPr>
              <w:tab/>
            </w:r>
            <w:r w:rsidR="00DA3817" w:rsidRPr="00F43394">
              <w:rPr>
                <w:rStyle w:val="Hyperlink"/>
                <w:noProof/>
              </w:rPr>
              <w:t>Final decisions on proposed amendments to the current Poisons Standard under regulation 42ZCZU</w:t>
            </w:r>
            <w:r w:rsidR="00DA3817">
              <w:rPr>
                <w:noProof/>
                <w:webHidden/>
              </w:rPr>
              <w:tab/>
            </w:r>
            <w:r w:rsidR="00DA3817">
              <w:rPr>
                <w:noProof/>
                <w:webHidden/>
              </w:rPr>
              <w:fldChar w:fldCharType="begin"/>
            </w:r>
            <w:r w:rsidR="00DA3817">
              <w:rPr>
                <w:noProof/>
                <w:webHidden/>
              </w:rPr>
              <w:instrText xml:space="preserve"> PAGEREF _Toc57114184 \h </w:instrText>
            </w:r>
            <w:r w:rsidR="00DA3817">
              <w:rPr>
                <w:noProof/>
                <w:webHidden/>
              </w:rPr>
            </w:r>
            <w:r w:rsidR="00DA3817">
              <w:rPr>
                <w:noProof/>
                <w:webHidden/>
              </w:rPr>
              <w:fldChar w:fldCharType="separate"/>
            </w:r>
            <w:r w:rsidR="00DA3817">
              <w:rPr>
                <w:noProof/>
                <w:webHidden/>
              </w:rPr>
              <w:t>14</w:t>
            </w:r>
            <w:r w:rsidR="00DA3817">
              <w:rPr>
                <w:noProof/>
                <w:webHidden/>
              </w:rPr>
              <w:fldChar w:fldCharType="end"/>
            </w:r>
          </w:hyperlink>
        </w:p>
        <w:p w14:paraId="4F41505B" w14:textId="65377166" w:rsidR="00DA3817" w:rsidRDefault="00547E85">
          <w:pPr>
            <w:pStyle w:val="TOC3"/>
            <w:tabs>
              <w:tab w:val="left" w:pos="1701"/>
            </w:tabs>
            <w:rPr>
              <w:rFonts w:asciiTheme="minorHAnsi" w:eastAsiaTheme="minorEastAsia" w:hAnsiTheme="minorHAnsi" w:cstheme="minorBidi"/>
              <w:noProof/>
              <w:sz w:val="22"/>
              <w:szCs w:val="22"/>
              <w:lang w:eastAsia="en-AU"/>
            </w:rPr>
          </w:pPr>
          <w:hyperlink w:anchor="_Toc57114185" w:history="1">
            <w:r w:rsidR="00DA3817" w:rsidRPr="00F43394">
              <w:rPr>
                <w:rStyle w:val="Hyperlink"/>
                <w:noProof/>
              </w:rPr>
              <w:t>4.1</w:t>
            </w:r>
            <w:r w:rsidR="00DA3817">
              <w:rPr>
                <w:rFonts w:asciiTheme="minorHAnsi" w:eastAsiaTheme="minorEastAsia" w:hAnsiTheme="minorHAnsi" w:cstheme="minorBidi"/>
                <w:noProof/>
                <w:sz w:val="22"/>
                <w:szCs w:val="22"/>
                <w:lang w:eastAsia="en-AU"/>
              </w:rPr>
              <w:tab/>
            </w:r>
            <w:r w:rsidR="00DA3817" w:rsidRPr="00F43394">
              <w:rPr>
                <w:rStyle w:val="Hyperlink"/>
                <w:noProof/>
              </w:rPr>
              <w:t>Final decision in relation to bupivacaine</w:t>
            </w:r>
            <w:r w:rsidR="00DA3817">
              <w:rPr>
                <w:noProof/>
                <w:webHidden/>
              </w:rPr>
              <w:tab/>
            </w:r>
            <w:r w:rsidR="00DA3817">
              <w:rPr>
                <w:noProof/>
                <w:webHidden/>
              </w:rPr>
              <w:fldChar w:fldCharType="begin"/>
            </w:r>
            <w:r w:rsidR="00DA3817">
              <w:rPr>
                <w:noProof/>
                <w:webHidden/>
              </w:rPr>
              <w:instrText xml:space="preserve"> PAGEREF _Toc57114185 \h </w:instrText>
            </w:r>
            <w:r w:rsidR="00DA3817">
              <w:rPr>
                <w:noProof/>
                <w:webHidden/>
              </w:rPr>
            </w:r>
            <w:r w:rsidR="00DA3817">
              <w:rPr>
                <w:noProof/>
                <w:webHidden/>
              </w:rPr>
              <w:fldChar w:fldCharType="separate"/>
            </w:r>
            <w:r w:rsidR="00DA3817">
              <w:rPr>
                <w:noProof/>
                <w:webHidden/>
              </w:rPr>
              <w:t>14</w:t>
            </w:r>
            <w:r w:rsidR="00DA3817">
              <w:rPr>
                <w:noProof/>
                <w:webHidden/>
              </w:rPr>
              <w:fldChar w:fldCharType="end"/>
            </w:r>
          </w:hyperlink>
        </w:p>
        <w:p w14:paraId="51BC1B60" w14:textId="57153438" w:rsidR="00DA3817" w:rsidRDefault="00547E85">
          <w:pPr>
            <w:pStyle w:val="TOC3"/>
            <w:tabs>
              <w:tab w:val="left" w:pos="1701"/>
            </w:tabs>
            <w:rPr>
              <w:rFonts w:asciiTheme="minorHAnsi" w:eastAsiaTheme="minorEastAsia" w:hAnsiTheme="minorHAnsi" w:cstheme="minorBidi"/>
              <w:noProof/>
              <w:sz w:val="22"/>
              <w:szCs w:val="22"/>
              <w:lang w:eastAsia="en-AU"/>
            </w:rPr>
          </w:pPr>
          <w:hyperlink w:anchor="_Toc57114190" w:history="1">
            <w:r w:rsidR="00DA3817" w:rsidRPr="00F43394">
              <w:rPr>
                <w:rStyle w:val="Hyperlink"/>
                <w:noProof/>
              </w:rPr>
              <w:t>4.2</w:t>
            </w:r>
            <w:r w:rsidR="00DA3817">
              <w:rPr>
                <w:rFonts w:asciiTheme="minorHAnsi" w:eastAsiaTheme="minorEastAsia" w:hAnsiTheme="minorHAnsi" w:cstheme="minorBidi"/>
                <w:noProof/>
                <w:sz w:val="22"/>
                <w:szCs w:val="22"/>
                <w:lang w:eastAsia="en-AU"/>
              </w:rPr>
              <w:tab/>
            </w:r>
            <w:r w:rsidR="00DA3817" w:rsidRPr="00F43394">
              <w:rPr>
                <w:rStyle w:val="Hyperlink"/>
                <w:noProof/>
              </w:rPr>
              <w:t>Final decision in relation to lidocaine (lignocaine)</w:t>
            </w:r>
            <w:r w:rsidR="00DA3817">
              <w:rPr>
                <w:noProof/>
                <w:webHidden/>
              </w:rPr>
              <w:tab/>
            </w:r>
            <w:r w:rsidR="00DA3817">
              <w:rPr>
                <w:noProof/>
                <w:webHidden/>
              </w:rPr>
              <w:fldChar w:fldCharType="begin"/>
            </w:r>
            <w:r w:rsidR="00DA3817">
              <w:rPr>
                <w:noProof/>
                <w:webHidden/>
              </w:rPr>
              <w:instrText xml:space="preserve"> PAGEREF _Toc57114190 \h </w:instrText>
            </w:r>
            <w:r w:rsidR="00DA3817">
              <w:rPr>
                <w:noProof/>
                <w:webHidden/>
              </w:rPr>
            </w:r>
            <w:r w:rsidR="00DA3817">
              <w:rPr>
                <w:noProof/>
                <w:webHidden/>
              </w:rPr>
              <w:fldChar w:fldCharType="separate"/>
            </w:r>
            <w:r w:rsidR="00DA3817">
              <w:rPr>
                <w:noProof/>
                <w:webHidden/>
              </w:rPr>
              <w:t>16</w:t>
            </w:r>
            <w:r w:rsidR="00DA3817">
              <w:rPr>
                <w:noProof/>
                <w:webHidden/>
              </w:rPr>
              <w:fldChar w:fldCharType="end"/>
            </w:r>
          </w:hyperlink>
        </w:p>
        <w:p w14:paraId="442257F6" w14:textId="7BE619AB" w:rsidR="00DA3817" w:rsidRDefault="00547E85">
          <w:pPr>
            <w:pStyle w:val="TOC3"/>
            <w:tabs>
              <w:tab w:val="left" w:pos="1701"/>
            </w:tabs>
            <w:rPr>
              <w:rFonts w:asciiTheme="minorHAnsi" w:eastAsiaTheme="minorEastAsia" w:hAnsiTheme="minorHAnsi" w:cstheme="minorBidi"/>
              <w:noProof/>
              <w:sz w:val="22"/>
              <w:szCs w:val="22"/>
              <w:lang w:eastAsia="en-AU"/>
            </w:rPr>
          </w:pPr>
          <w:hyperlink w:anchor="_Toc57114195" w:history="1">
            <w:r w:rsidR="00DA3817" w:rsidRPr="00F43394">
              <w:rPr>
                <w:rStyle w:val="Hyperlink"/>
                <w:noProof/>
              </w:rPr>
              <w:t>4.3</w:t>
            </w:r>
            <w:r w:rsidR="00DA3817">
              <w:rPr>
                <w:rFonts w:asciiTheme="minorHAnsi" w:eastAsiaTheme="minorEastAsia" w:hAnsiTheme="minorHAnsi" w:cstheme="minorBidi"/>
                <w:noProof/>
                <w:sz w:val="22"/>
                <w:szCs w:val="22"/>
                <w:lang w:eastAsia="en-AU"/>
              </w:rPr>
              <w:tab/>
            </w:r>
            <w:r w:rsidR="00DA3817" w:rsidRPr="00F43394">
              <w:rPr>
                <w:rStyle w:val="Hyperlink"/>
                <w:noProof/>
              </w:rPr>
              <w:t>Final decision in relation to Bovine Ephemeral Fever vaccine</w:t>
            </w:r>
            <w:r w:rsidR="00DA3817">
              <w:rPr>
                <w:noProof/>
                <w:webHidden/>
              </w:rPr>
              <w:tab/>
            </w:r>
            <w:r w:rsidR="00DA3817">
              <w:rPr>
                <w:noProof/>
                <w:webHidden/>
              </w:rPr>
              <w:fldChar w:fldCharType="begin"/>
            </w:r>
            <w:r w:rsidR="00DA3817">
              <w:rPr>
                <w:noProof/>
                <w:webHidden/>
              </w:rPr>
              <w:instrText xml:space="preserve"> PAGEREF _Toc57114195 \h </w:instrText>
            </w:r>
            <w:r w:rsidR="00DA3817">
              <w:rPr>
                <w:noProof/>
                <w:webHidden/>
              </w:rPr>
            </w:r>
            <w:r w:rsidR="00DA3817">
              <w:rPr>
                <w:noProof/>
                <w:webHidden/>
              </w:rPr>
              <w:fldChar w:fldCharType="separate"/>
            </w:r>
            <w:r w:rsidR="00DA3817">
              <w:rPr>
                <w:noProof/>
                <w:webHidden/>
              </w:rPr>
              <w:t>17</w:t>
            </w:r>
            <w:r w:rsidR="00DA3817">
              <w:rPr>
                <w:noProof/>
                <w:webHidden/>
              </w:rPr>
              <w:fldChar w:fldCharType="end"/>
            </w:r>
          </w:hyperlink>
        </w:p>
        <w:p w14:paraId="60672568" w14:textId="6F4C382F" w:rsidR="00DA3817" w:rsidRDefault="00547E85">
          <w:pPr>
            <w:pStyle w:val="TOC3"/>
            <w:tabs>
              <w:tab w:val="left" w:pos="1701"/>
            </w:tabs>
            <w:rPr>
              <w:rFonts w:asciiTheme="minorHAnsi" w:eastAsiaTheme="minorEastAsia" w:hAnsiTheme="minorHAnsi" w:cstheme="minorBidi"/>
              <w:noProof/>
              <w:sz w:val="22"/>
              <w:szCs w:val="22"/>
              <w:lang w:eastAsia="en-AU"/>
            </w:rPr>
          </w:pPr>
          <w:hyperlink w:anchor="_Toc57114200" w:history="1">
            <w:r w:rsidR="00DA3817" w:rsidRPr="00F43394">
              <w:rPr>
                <w:rStyle w:val="Hyperlink"/>
                <w:noProof/>
              </w:rPr>
              <w:t>4.4</w:t>
            </w:r>
            <w:r w:rsidR="00DA3817">
              <w:rPr>
                <w:rFonts w:asciiTheme="minorHAnsi" w:eastAsiaTheme="minorEastAsia" w:hAnsiTheme="minorHAnsi" w:cstheme="minorBidi"/>
                <w:noProof/>
                <w:sz w:val="22"/>
                <w:szCs w:val="22"/>
                <w:lang w:eastAsia="en-AU"/>
              </w:rPr>
              <w:tab/>
            </w:r>
            <w:r w:rsidR="00DA3817" w:rsidRPr="00F43394">
              <w:rPr>
                <w:rStyle w:val="Hyperlink"/>
                <w:noProof/>
              </w:rPr>
              <w:t>Final decision in relation to fluazaindolizine</w:t>
            </w:r>
            <w:r w:rsidR="00DA3817">
              <w:rPr>
                <w:noProof/>
                <w:webHidden/>
              </w:rPr>
              <w:tab/>
            </w:r>
            <w:r w:rsidR="00DA3817">
              <w:rPr>
                <w:noProof/>
                <w:webHidden/>
              </w:rPr>
              <w:fldChar w:fldCharType="begin"/>
            </w:r>
            <w:r w:rsidR="00DA3817">
              <w:rPr>
                <w:noProof/>
                <w:webHidden/>
              </w:rPr>
              <w:instrText xml:space="preserve"> PAGEREF _Toc57114200 \h </w:instrText>
            </w:r>
            <w:r w:rsidR="00DA3817">
              <w:rPr>
                <w:noProof/>
                <w:webHidden/>
              </w:rPr>
            </w:r>
            <w:r w:rsidR="00DA3817">
              <w:rPr>
                <w:noProof/>
                <w:webHidden/>
              </w:rPr>
              <w:fldChar w:fldCharType="separate"/>
            </w:r>
            <w:r w:rsidR="00DA3817">
              <w:rPr>
                <w:noProof/>
                <w:webHidden/>
              </w:rPr>
              <w:t>19</w:t>
            </w:r>
            <w:r w:rsidR="00DA3817">
              <w:rPr>
                <w:noProof/>
                <w:webHidden/>
              </w:rPr>
              <w:fldChar w:fldCharType="end"/>
            </w:r>
          </w:hyperlink>
        </w:p>
        <w:p w14:paraId="38507A16" w14:textId="7C9BE497" w:rsidR="00DA3817" w:rsidRDefault="00547E85">
          <w:pPr>
            <w:pStyle w:val="TOC3"/>
            <w:tabs>
              <w:tab w:val="left" w:pos="1701"/>
            </w:tabs>
            <w:rPr>
              <w:rFonts w:asciiTheme="minorHAnsi" w:eastAsiaTheme="minorEastAsia" w:hAnsiTheme="minorHAnsi" w:cstheme="minorBidi"/>
              <w:noProof/>
              <w:sz w:val="22"/>
              <w:szCs w:val="22"/>
              <w:lang w:eastAsia="en-AU"/>
            </w:rPr>
          </w:pPr>
          <w:hyperlink w:anchor="_Toc57114205" w:history="1">
            <w:r w:rsidR="00DA3817" w:rsidRPr="00F43394">
              <w:rPr>
                <w:rStyle w:val="Hyperlink"/>
                <w:noProof/>
              </w:rPr>
              <w:t>4.5</w:t>
            </w:r>
            <w:r w:rsidR="00DA3817">
              <w:rPr>
                <w:rFonts w:asciiTheme="minorHAnsi" w:eastAsiaTheme="minorEastAsia" w:hAnsiTheme="minorHAnsi" w:cstheme="minorBidi"/>
                <w:noProof/>
                <w:sz w:val="22"/>
                <w:szCs w:val="22"/>
                <w:lang w:eastAsia="en-AU"/>
              </w:rPr>
              <w:tab/>
            </w:r>
            <w:r w:rsidR="00DA3817" w:rsidRPr="00F43394">
              <w:rPr>
                <w:rStyle w:val="Hyperlink"/>
                <w:noProof/>
              </w:rPr>
              <w:t>Final decision in relation to florylpicoxamid</w:t>
            </w:r>
            <w:r w:rsidR="00DA3817">
              <w:rPr>
                <w:noProof/>
                <w:webHidden/>
              </w:rPr>
              <w:tab/>
            </w:r>
            <w:r w:rsidR="00DA3817">
              <w:rPr>
                <w:noProof/>
                <w:webHidden/>
              </w:rPr>
              <w:fldChar w:fldCharType="begin"/>
            </w:r>
            <w:r w:rsidR="00DA3817">
              <w:rPr>
                <w:noProof/>
                <w:webHidden/>
              </w:rPr>
              <w:instrText xml:space="preserve"> PAGEREF _Toc57114205 \h </w:instrText>
            </w:r>
            <w:r w:rsidR="00DA3817">
              <w:rPr>
                <w:noProof/>
                <w:webHidden/>
              </w:rPr>
            </w:r>
            <w:r w:rsidR="00DA3817">
              <w:rPr>
                <w:noProof/>
                <w:webHidden/>
              </w:rPr>
              <w:fldChar w:fldCharType="separate"/>
            </w:r>
            <w:r w:rsidR="00DA3817">
              <w:rPr>
                <w:noProof/>
                <w:webHidden/>
              </w:rPr>
              <w:t>21</w:t>
            </w:r>
            <w:r w:rsidR="00DA3817">
              <w:rPr>
                <w:noProof/>
                <w:webHidden/>
              </w:rPr>
              <w:fldChar w:fldCharType="end"/>
            </w:r>
          </w:hyperlink>
        </w:p>
        <w:p w14:paraId="7DF331EE" w14:textId="3FDB8880" w:rsidR="0025660C" w:rsidRDefault="00DA3817" w:rsidP="00DA3817">
          <w:pPr>
            <w:pStyle w:val="TOC2"/>
            <w:tabs>
              <w:tab w:val="left" w:pos="851"/>
            </w:tabs>
          </w:pPr>
          <w:r>
            <w:rPr>
              <w:sz w:val="32"/>
            </w:rPr>
            <w:fldChar w:fldCharType="end"/>
          </w:r>
        </w:p>
      </w:sdtContent>
    </w:sdt>
    <w:p w14:paraId="3445656D" w14:textId="6CC53DA9" w:rsidR="0025660C" w:rsidRPr="00BC2009" w:rsidRDefault="00597B50" w:rsidP="004C5C9A">
      <w:pPr>
        <w:pStyle w:val="Heading2"/>
        <w:pageBreakBefore/>
        <w:ind w:left="431" w:hanging="431"/>
      </w:pPr>
      <w:bookmarkStart w:id="4" w:name="_Toc57114174"/>
      <w:bookmarkEnd w:id="3"/>
      <w:bookmarkEnd w:id="2"/>
      <w:bookmarkEnd w:id="1"/>
      <w:r w:rsidRPr="00597B50">
        <w:lastRenderedPageBreak/>
        <w:t>Notice of final decisions to amend (or not amend) the current Poisons Standard</w:t>
      </w:r>
      <w:bookmarkEnd w:id="4"/>
    </w:p>
    <w:p w14:paraId="6885013C" w14:textId="74AE4297" w:rsidR="00597B50" w:rsidRDefault="00597B50" w:rsidP="00B55A8D">
      <w:r>
        <w:t xml:space="preserve">This web publication constitutes a notice for the purposes of </w:t>
      </w:r>
      <w:r w:rsidRPr="005D321C">
        <w:t xml:space="preserve">regulation 42ZCZS and regulation 42ZCZX of the </w:t>
      </w:r>
      <w:r w:rsidRPr="005D321C">
        <w:rPr>
          <w:i/>
        </w:rPr>
        <w:t xml:space="preserve">Therapeutic Goods Regulations 1990 </w:t>
      </w:r>
      <w:r w:rsidRPr="005D321C">
        <w:t xml:space="preserve">(the </w:t>
      </w:r>
      <w:r w:rsidRPr="005D321C">
        <w:rPr>
          <w:b/>
        </w:rPr>
        <w:t>Regulations</w:t>
      </w:r>
      <w:r w:rsidRPr="005D321C">
        <w:t>). In accordance with regulations</w:t>
      </w:r>
      <w:r>
        <w:t xml:space="preserve"> </w:t>
      </w:r>
      <w:r w:rsidRPr="006F0764">
        <w:t>42ZCZS and 42</w:t>
      </w:r>
      <w:r w:rsidR="0087525D" w:rsidRPr="006F0764">
        <w:t>Z</w:t>
      </w:r>
      <w:r w:rsidRPr="006F0764">
        <w:t>CZX</w:t>
      </w:r>
      <w:r w:rsidRPr="00597B50">
        <w:t>,</w:t>
      </w:r>
      <w:r>
        <w:t xml:space="preserve"> this notice publishes:</w:t>
      </w:r>
    </w:p>
    <w:p w14:paraId="518D5BAC" w14:textId="149F924E" w:rsidR="00597B50" w:rsidRPr="005D321C" w:rsidRDefault="00597B50" w:rsidP="00EE7A21">
      <w:pPr>
        <w:pStyle w:val="ListBullet"/>
      </w:pPr>
      <w:r>
        <w:t xml:space="preserve">the </w:t>
      </w:r>
      <w:r w:rsidRPr="005D321C">
        <w:t xml:space="preserve">decisions made by a delegate of the Secretary pursuant to regulations 42ZCZR </w:t>
      </w:r>
      <w:r w:rsidR="0087525D" w:rsidRPr="005D321C">
        <w:t xml:space="preserve">and </w:t>
      </w:r>
      <w:r w:rsidRPr="005D321C">
        <w:t>42ZCZU</w:t>
      </w:r>
    </w:p>
    <w:p w14:paraId="3702BF82" w14:textId="0DAC6280" w:rsidR="00597B50" w:rsidRPr="005D321C" w:rsidRDefault="00597B50" w:rsidP="00EE7A21">
      <w:pPr>
        <w:pStyle w:val="ListBullet"/>
      </w:pPr>
      <w:r w:rsidRPr="005D321C">
        <w:t>the reasons</w:t>
      </w:r>
      <w:r w:rsidR="00B55A8D">
        <w:t xml:space="preserve"> for those final decisions; and</w:t>
      </w:r>
    </w:p>
    <w:p w14:paraId="05C5E0CA" w14:textId="0BA5B358" w:rsidR="00597B50" w:rsidRPr="005D321C" w:rsidRDefault="00597B50" w:rsidP="00EE7A21">
      <w:pPr>
        <w:pStyle w:val="ListBullet"/>
      </w:pPr>
      <w:proofErr w:type="gramStart"/>
      <w:r w:rsidRPr="005D321C">
        <w:t>the</w:t>
      </w:r>
      <w:proofErr w:type="gramEnd"/>
      <w:r w:rsidRPr="005D321C">
        <w:t xml:space="preserve"> date of effect of those decisions.</w:t>
      </w:r>
    </w:p>
    <w:p w14:paraId="0240C438" w14:textId="4E4DE304" w:rsidR="0010321C" w:rsidRDefault="0010321C" w:rsidP="004C5C9A">
      <w:pPr>
        <w:pStyle w:val="Heading2"/>
        <w:pageBreakBefore/>
        <w:ind w:left="431" w:hanging="431"/>
      </w:pPr>
      <w:bookmarkStart w:id="5" w:name="_Toc57114175"/>
      <w:bookmarkStart w:id="6" w:name="_Toc46323639"/>
      <w:r>
        <w:lastRenderedPageBreak/>
        <w:t>Final decisions in relation to nicotine and</w:t>
      </w:r>
      <w:r w:rsidRPr="0010321C">
        <w:rPr>
          <w:rFonts w:ascii="Cambria" w:eastAsia="Cambria" w:hAnsi="Cambria"/>
          <w:b w:val="0"/>
          <w:bCs w:val="0"/>
          <w:sz w:val="22"/>
          <w:szCs w:val="20"/>
        </w:rPr>
        <w:t xml:space="preserve"> </w:t>
      </w:r>
      <w:proofErr w:type="spellStart"/>
      <w:r w:rsidRPr="0010321C">
        <w:t>cannabidiol</w:t>
      </w:r>
      <w:proofErr w:type="spellEnd"/>
      <w:r w:rsidRPr="0010321C">
        <w:t xml:space="preserve"> (private application</w:t>
      </w:r>
      <w:r>
        <w:t xml:space="preserve"> and </w:t>
      </w:r>
      <w:r w:rsidRPr="0010321C">
        <w:t>delegate initiated)</w:t>
      </w:r>
      <w:bookmarkEnd w:id="5"/>
    </w:p>
    <w:p w14:paraId="4450592E" w14:textId="0C215F6A" w:rsidR="0010321C" w:rsidRDefault="0010321C" w:rsidP="004C5C9A">
      <w:r>
        <w:t>Note that the final decision</w:t>
      </w:r>
      <w:r w:rsidR="009E3BB5">
        <w:t>s</w:t>
      </w:r>
      <w:r>
        <w:t xml:space="preserve"> on nicotine and </w:t>
      </w:r>
      <w:proofErr w:type="spellStart"/>
      <w:r>
        <w:t>cannabidiol</w:t>
      </w:r>
      <w:proofErr w:type="spellEnd"/>
      <w:r>
        <w:t xml:space="preserve"> (private application and delegate initiated) </w:t>
      </w:r>
      <w:r w:rsidR="009E3BB5">
        <w:t>are</w:t>
      </w:r>
      <w:r>
        <w:t xml:space="preserve"> not published in this notice. Publication is </w:t>
      </w:r>
      <w:r w:rsidR="00802648">
        <w:t>expected in</w:t>
      </w:r>
      <w:r>
        <w:t xml:space="preserve"> </w:t>
      </w:r>
      <w:proofErr w:type="spellStart"/>
      <w:r w:rsidR="00F4267C">
        <w:t xml:space="preserve">mid </w:t>
      </w:r>
      <w:r>
        <w:t>December</w:t>
      </w:r>
      <w:proofErr w:type="spellEnd"/>
      <w:r>
        <w:t xml:space="preserve"> </w:t>
      </w:r>
      <w:r w:rsidR="00F4267C">
        <w:t>and late December 2020, respectively</w:t>
      </w:r>
      <w:r>
        <w:t>.</w:t>
      </w:r>
    </w:p>
    <w:p w14:paraId="6942A79A" w14:textId="74732B00" w:rsidR="00ED5D05" w:rsidRDefault="00ED5D05" w:rsidP="00ED5D05">
      <w:pPr>
        <w:pStyle w:val="Heading2"/>
        <w:pageBreakBefore/>
        <w:ind w:left="431" w:hanging="431"/>
      </w:pPr>
      <w:bookmarkStart w:id="7" w:name="_Toc57114176"/>
      <w:r>
        <w:lastRenderedPageBreak/>
        <w:t>Final decisions on proposed amendments to the current Poisons Standard under regulation 42ZCZR</w:t>
      </w:r>
      <w:bookmarkEnd w:id="6"/>
      <w:bookmarkEnd w:id="7"/>
      <w:r>
        <w:t xml:space="preserve"> </w:t>
      </w:r>
    </w:p>
    <w:p w14:paraId="4214D372" w14:textId="2E089757" w:rsidR="00FA029A" w:rsidRPr="00916415" w:rsidRDefault="00F41DCE" w:rsidP="004C5C9A">
      <w:pPr>
        <w:pStyle w:val="Heading3"/>
      </w:pPr>
      <w:bookmarkStart w:id="8" w:name="_Toc57114177"/>
      <w:r>
        <w:t>Final</w:t>
      </w:r>
      <w:r w:rsidR="00FA029A" w:rsidRPr="00FA029A">
        <w:t xml:space="preserve"> decisions on proposed amendments referred to the Advisory Committee o</w:t>
      </w:r>
      <w:r w:rsidR="00FA029A">
        <w:t>n Medicines Scheduling (ACMS #</w:t>
      </w:r>
      <w:r w:rsidR="00256515" w:rsidRPr="00916415">
        <w:t>31</w:t>
      </w:r>
      <w:r w:rsidR="00FA029A" w:rsidRPr="00916415">
        <w:t xml:space="preserve">, </w:t>
      </w:r>
      <w:r w:rsidR="00256515" w:rsidRPr="00916415">
        <w:t>June</w:t>
      </w:r>
      <w:r w:rsidR="00FA029A" w:rsidRPr="00916415">
        <w:t xml:space="preserve"> 20</w:t>
      </w:r>
      <w:r w:rsidR="00256515" w:rsidRPr="00916415">
        <w:t>20</w:t>
      </w:r>
      <w:r w:rsidR="00FA029A" w:rsidRPr="00916415">
        <w:t>)</w:t>
      </w:r>
      <w:bookmarkEnd w:id="8"/>
    </w:p>
    <w:p w14:paraId="4F24AD70" w14:textId="78964F53" w:rsidR="0025660C" w:rsidRPr="00B852BC" w:rsidRDefault="00B852BC" w:rsidP="00B852BC">
      <w:pPr>
        <w:pStyle w:val="Heading4"/>
      </w:pPr>
      <w:bookmarkStart w:id="9" w:name="_Toc46325255"/>
      <w:bookmarkStart w:id="10" w:name="_Toc46325611"/>
      <w:bookmarkStart w:id="11" w:name="_Toc46327427"/>
      <w:bookmarkStart w:id="12" w:name="_Toc46412213"/>
      <w:bookmarkStart w:id="13" w:name="_Final_decision_in"/>
      <w:bookmarkStart w:id="14" w:name="_Toc46325256"/>
      <w:bookmarkStart w:id="15" w:name="_Toc46325612"/>
      <w:bookmarkStart w:id="16" w:name="_Toc46327428"/>
      <w:bookmarkStart w:id="17" w:name="_Toc46412214"/>
      <w:bookmarkStart w:id="18" w:name="_Toc46325257"/>
      <w:bookmarkStart w:id="19" w:name="_Toc46325613"/>
      <w:bookmarkStart w:id="20" w:name="_Toc46327429"/>
      <w:bookmarkStart w:id="21" w:name="_Toc46412215"/>
      <w:bookmarkStart w:id="22" w:name="_Toc46325258"/>
      <w:bookmarkStart w:id="23" w:name="_Toc46325614"/>
      <w:bookmarkStart w:id="24" w:name="_Toc46327430"/>
      <w:bookmarkStart w:id="25" w:name="_Toc46412216"/>
      <w:bookmarkStart w:id="26" w:name="_Toc46325259"/>
      <w:bookmarkStart w:id="27" w:name="_Toc46325615"/>
      <w:bookmarkStart w:id="28" w:name="_Toc46327431"/>
      <w:bookmarkStart w:id="29" w:name="_Toc46412217"/>
      <w:bookmarkStart w:id="30" w:name="_Final_decision_in_1"/>
      <w:bookmarkStart w:id="31" w:name="_Toc5711417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B852BC">
        <w:t>3.1.1</w:t>
      </w:r>
      <w:r w:rsidRPr="00B852BC">
        <w:tab/>
      </w:r>
      <w:r w:rsidR="00F56D63" w:rsidRPr="00B852BC">
        <w:t xml:space="preserve">Final decision in relation to </w:t>
      </w:r>
      <w:proofErr w:type="spellStart"/>
      <w:r w:rsidR="00256515" w:rsidRPr="00B852BC">
        <w:t>oxymetazoline</w:t>
      </w:r>
      <w:bookmarkEnd w:id="31"/>
      <w:proofErr w:type="spellEnd"/>
    </w:p>
    <w:p w14:paraId="61E0B426" w14:textId="1DCCAF02" w:rsidR="00335BEC" w:rsidRPr="008036B7" w:rsidRDefault="00436C41" w:rsidP="004C5C9A">
      <w:pPr>
        <w:pStyle w:val="Heading5"/>
      </w:pPr>
      <w:r>
        <w:t xml:space="preserve">Final </w:t>
      </w:r>
      <w:r w:rsidR="004C5C9A">
        <w:t>decision</w:t>
      </w:r>
    </w:p>
    <w:p w14:paraId="549A1777" w14:textId="3A1C7E6D" w:rsidR="00335BEC" w:rsidRPr="00335BEC" w:rsidRDefault="00335BEC" w:rsidP="004C5C9A">
      <w:r w:rsidRPr="00C21694">
        <w:t xml:space="preserve">Pursuant to regulation 42ZCZR of the Regulations, a Delegate of the Secretary has made a final decision to confirm the interim decision and </w:t>
      </w:r>
      <w:r w:rsidR="00516E40" w:rsidRPr="00C21694">
        <w:t>not amend the current Poisons Sta</w:t>
      </w:r>
      <w:r w:rsidR="008844F7" w:rsidRPr="00C21694">
        <w:t xml:space="preserve">ndard in relation to </w:t>
      </w:r>
      <w:proofErr w:type="spellStart"/>
      <w:r w:rsidR="008844F7" w:rsidRPr="00C21694">
        <w:t>oxymetazoline</w:t>
      </w:r>
      <w:proofErr w:type="spellEnd"/>
      <w:r w:rsidR="00516E40" w:rsidRPr="00C21694">
        <w:t>.</w:t>
      </w:r>
    </w:p>
    <w:p w14:paraId="5D482910" w14:textId="713DF724" w:rsidR="00436C41" w:rsidRPr="004C5C9A" w:rsidRDefault="004C5C9A" w:rsidP="004C5C9A">
      <w:pPr>
        <w:pStyle w:val="Heading5"/>
      </w:pPr>
      <w:r>
        <w:t>Materials considered</w:t>
      </w:r>
    </w:p>
    <w:p w14:paraId="348AF278" w14:textId="4E3E957E" w:rsidR="006A64F4" w:rsidRDefault="006A64F4" w:rsidP="006A64F4">
      <w:r>
        <w:t>In making this final decision, the Delegate considered the following material:</w:t>
      </w:r>
    </w:p>
    <w:p w14:paraId="5184C1E8" w14:textId="37B57F72" w:rsidR="006A64F4" w:rsidRPr="00F96EC2" w:rsidRDefault="006A64F4" w:rsidP="00EE7A21">
      <w:pPr>
        <w:pStyle w:val="ListBullet"/>
        <w:rPr>
          <w:rFonts w:asciiTheme="minorHAnsi" w:hAnsiTheme="minorHAnsi"/>
          <w:szCs w:val="22"/>
        </w:rPr>
      </w:pPr>
      <w:r w:rsidRPr="00F96EC2">
        <w:rPr>
          <w:rFonts w:asciiTheme="minorHAnsi" w:hAnsiTheme="minorHAnsi"/>
          <w:szCs w:val="22"/>
        </w:rPr>
        <w:t xml:space="preserve">The </w:t>
      </w:r>
      <w:hyperlink r:id="rId12" w:history="1">
        <w:r w:rsidR="008844F7" w:rsidRPr="00F96EC2">
          <w:rPr>
            <w:rFonts w:asciiTheme="minorHAnsi" w:eastAsia="Times New Roman" w:hAnsiTheme="minorHAnsi"/>
            <w:color w:val="0000FF"/>
            <w:szCs w:val="22"/>
            <w:u w:val="single"/>
            <w:lang w:val="en" w:eastAsia="en-AU"/>
          </w:rPr>
          <w:t>application</w:t>
        </w:r>
      </w:hyperlink>
      <w:r w:rsidR="008844F7" w:rsidRPr="00F96EC2">
        <w:rPr>
          <w:rFonts w:asciiTheme="minorHAnsi" w:hAnsiTheme="minorHAnsi"/>
          <w:szCs w:val="22"/>
        </w:rPr>
        <w:t xml:space="preserve"> </w:t>
      </w:r>
      <w:r w:rsidRPr="00F96EC2">
        <w:rPr>
          <w:rFonts w:asciiTheme="minorHAnsi" w:hAnsiTheme="minorHAnsi"/>
          <w:szCs w:val="22"/>
        </w:rPr>
        <w:t xml:space="preserve">to amend the current Poisons Standard with respect to </w:t>
      </w:r>
      <w:proofErr w:type="spellStart"/>
      <w:r w:rsidR="008844F7" w:rsidRPr="00F96EC2">
        <w:rPr>
          <w:rFonts w:asciiTheme="minorHAnsi" w:hAnsiTheme="minorHAnsi"/>
          <w:szCs w:val="22"/>
        </w:rPr>
        <w:t>oxymetazoline</w:t>
      </w:r>
      <w:proofErr w:type="spellEnd"/>
      <w:r w:rsidRPr="00F96EC2">
        <w:rPr>
          <w:rFonts w:asciiTheme="minorHAnsi" w:hAnsiTheme="minorHAnsi"/>
          <w:szCs w:val="22"/>
        </w:rPr>
        <w:t>;</w:t>
      </w:r>
    </w:p>
    <w:p w14:paraId="404146F2" w14:textId="65C15F46" w:rsidR="00D763E2" w:rsidRPr="00F96EC2" w:rsidRDefault="00D763E2" w:rsidP="00EE7A21">
      <w:pPr>
        <w:pStyle w:val="ListBullet"/>
        <w:rPr>
          <w:rFonts w:asciiTheme="minorHAnsi" w:hAnsiTheme="minorHAnsi"/>
          <w:szCs w:val="22"/>
        </w:rPr>
      </w:pPr>
      <w:r w:rsidRPr="00F96EC2">
        <w:rPr>
          <w:rFonts w:asciiTheme="minorHAnsi" w:hAnsiTheme="minorHAnsi"/>
          <w:szCs w:val="22"/>
        </w:rPr>
        <w:t xml:space="preserve">The </w:t>
      </w:r>
      <w:r w:rsidR="008844F7" w:rsidRPr="00F96EC2">
        <w:rPr>
          <w:rFonts w:asciiTheme="minorHAnsi" w:hAnsiTheme="minorHAnsi"/>
          <w:szCs w:val="22"/>
        </w:rPr>
        <w:t>five</w:t>
      </w:r>
      <w:r w:rsidRPr="00F96EC2">
        <w:rPr>
          <w:rFonts w:asciiTheme="minorHAnsi" w:hAnsiTheme="minorHAnsi"/>
          <w:szCs w:val="22"/>
        </w:rPr>
        <w:t xml:space="preserve"> </w:t>
      </w:r>
      <w:hyperlink r:id="rId13" w:history="1">
        <w:r w:rsidR="008844F7" w:rsidRPr="00F96EC2">
          <w:rPr>
            <w:rFonts w:asciiTheme="minorHAnsi" w:eastAsia="Times New Roman" w:hAnsiTheme="minorHAnsi"/>
            <w:color w:val="0000FF"/>
            <w:szCs w:val="22"/>
            <w:u w:val="single"/>
            <w:lang w:val="en" w:eastAsia="en-AU"/>
          </w:rPr>
          <w:t>public submissions</w:t>
        </w:r>
      </w:hyperlink>
      <w:r w:rsidR="008844F7" w:rsidRPr="00F96EC2">
        <w:rPr>
          <w:rFonts w:asciiTheme="minorHAnsi" w:eastAsia="Times New Roman" w:hAnsiTheme="minorHAnsi"/>
          <w:color w:val="002C47" w:themeColor="text1"/>
          <w:szCs w:val="22"/>
          <w:lang w:val="en" w:eastAsia="en-AU"/>
        </w:rPr>
        <w:t xml:space="preserve"> </w:t>
      </w:r>
      <w:r w:rsidRPr="00F96EC2">
        <w:rPr>
          <w:rFonts w:asciiTheme="minorHAnsi" w:hAnsiTheme="minorHAnsi"/>
          <w:szCs w:val="22"/>
        </w:rPr>
        <w:t>received in response to the</w:t>
      </w:r>
      <w:r w:rsidRPr="00F96EC2">
        <w:rPr>
          <w:rFonts w:asciiTheme="minorHAnsi" w:hAnsiTheme="minorHAnsi"/>
          <w:color w:val="0000FF"/>
          <w:szCs w:val="22"/>
        </w:rPr>
        <w:t xml:space="preserve"> </w:t>
      </w:r>
      <w:hyperlink r:id="rId14" w:history="1">
        <w:r w:rsidR="00524647" w:rsidRPr="00F96EC2">
          <w:rPr>
            <w:rFonts w:asciiTheme="minorHAnsi" w:eastAsia="Times New Roman" w:hAnsiTheme="minorHAnsi"/>
            <w:color w:val="0000FF"/>
            <w:szCs w:val="22"/>
            <w:u w:val="single"/>
            <w:lang w:val="en" w:eastAsia="en-AU"/>
          </w:rPr>
          <w:t>pre-meeting consultation</w:t>
        </w:r>
      </w:hyperlink>
      <w:r w:rsidR="00524647" w:rsidRPr="00F96EC2">
        <w:rPr>
          <w:rFonts w:asciiTheme="minorHAnsi" w:eastAsia="Times New Roman" w:hAnsiTheme="minorHAnsi"/>
          <w:color w:val="006EAB"/>
          <w:szCs w:val="22"/>
          <w:u w:val="single"/>
          <w:lang w:val="en" w:eastAsia="en-AU"/>
        </w:rPr>
        <w:t xml:space="preserve"> </w:t>
      </w:r>
      <w:r w:rsidRPr="00F96EC2">
        <w:rPr>
          <w:rFonts w:asciiTheme="minorHAnsi" w:hAnsiTheme="minorHAnsi"/>
          <w:szCs w:val="22"/>
        </w:rPr>
        <w:t>under regulation 42ZCZK of the Regulations</w:t>
      </w:r>
      <w:r w:rsidR="00F96EC2" w:rsidRPr="00F96EC2">
        <w:rPr>
          <w:rFonts w:asciiTheme="minorHAnsi" w:hAnsiTheme="minorHAnsi"/>
          <w:szCs w:val="22"/>
        </w:rPr>
        <w:t>;</w:t>
      </w:r>
    </w:p>
    <w:p w14:paraId="6D0FB2BA" w14:textId="63A5EF0C" w:rsidR="006A64F4" w:rsidRPr="00F96EC2" w:rsidRDefault="002C1418" w:rsidP="00EE7A21">
      <w:pPr>
        <w:pStyle w:val="ListBullet"/>
      </w:pPr>
      <w:r w:rsidRPr="00F96EC2">
        <w:t xml:space="preserve">The advice received from the </w:t>
      </w:r>
      <w:r w:rsidR="006A64F4" w:rsidRPr="00F96EC2">
        <w:t xml:space="preserve">Meeting of the </w:t>
      </w:r>
      <w:r w:rsidR="00E81BC9" w:rsidRPr="00F96EC2">
        <w:t>Advisory Committee o</w:t>
      </w:r>
      <w:r w:rsidR="00524647" w:rsidRPr="00F96EC2">
        <w:t>n Medicines Scheduling (ACMS #31</w:t>
      </w:r>
      <w:r w:rsidR="00E81BC9" w:rsidRPr="00F96EC2">
        <w:t>)</w:t>
      </w:r>
      <w:r w:rsidR="00524647" w:rsidRPr="00F96EC2">
        <w:t>;</w:t>
      </w:r>
    </w:p>
    <w:p w14:paraId="0E48746C" w14:textId="66409C97" w:rsidR="006A64F4" w:rsidRPr="00F96EC2" w:rsidRDefault="006A64F4" w:rsidP="00EE7A21">
      <w:pPr>
        <w:pStyle w:val="ListBullet"/>
        <w:rPr>
          <w:rFonts w:asciiTheme="minorHAnsi" w:hAnsiTheme="minorHAnsi"/>
          <w:szCs w:val="22"/>
        </w:rPr>
      </w:pPr>
      <w:r w:rsidRPr="00F96EC2">
        <w:rPr>
          <w:rFonts w:asciiTheme="minorHAnsi" w:hAnsiTheme="minorHAnsi"/>
          <w:szCs w:val="22"/>
        </w:rPr>
        <w:t>The</w:t>
      </w:r>
      <w:r w:rsidR="0035690C" w:rsidRPr="00F96EC2">
        <w:rPr>
          <w:rFonts w:asciiTheme="minorHAnsi" w:hAnsiTheme="minorHAnsi"/>
          <w:szCs w:val="22"/>
        </w:rPr>
        <w:t xml:space="preserve"> </w:t>
      </w:r>
      <w:r w:rsidR="003C78EC" w:rsidRPr="00F96EC2">
        <w:rPr>
          <w:rFonts w:asciiTheme="minorHAnsi" w:hAnsiTheme="minorHAnsi"/>
          <w:szCs w:val="22"/>
        </w:rPr>
        <w:t>ten</w:t>
      </w:r>
      <w:r w:rsidRPr="00F96EC2">
        <w:rPr>
          <w:rFonts w:asciiTheme="minorHAnsi" w:hAnsiTheme="minorHAnsi"/>
          <w:szCs w:val="22"/>
        </w:rPr>
        <w:t xml:space="preserve"> public submissions</w:t>
      </w:r>
      <w:r w:rsidR="00FF5FB0" w:rsidRPr="00F96EC2">
        <w:rPr>
          <w:rFonts w:asciiTheme="minorHAnsi" w:hAnsiTheme="minorHAnsi"/>
          <w:szCs w:val="22"/>
        </w:rPr>
        <w:t>,</w:t>
      </w:r>
      <w:r w:rsidRPr="00F96EC2">
        <w:rPr>
          <w:rFonts w:asciiTheme="minorHAnsi" w:hAnsiTheme="minorHAnsi"/>
          <w:szCs w:val="22"/>
        </w:rPr>
        <w:t xml:space="preserve"> received in response to the </w:t>
      </w:r>
      <w:hyperlink r:id="rId15" w:history="1">
        <w:r w:rsidR="00524647" w:rsidRPr="00F96EC2">
          <w:rPr>
            <w:rFonts w:asciiTheme="minorHAnsi" w:eastAsia="Times New Roman" w:hAnsiTheme="minorHAnsi"/>
            <w:color w:val="0000FF"/>
            <w:szCs w:val="22"/>
            <w:u w:val="single"/>
            <w:lang w:val="en" w:eastAsia="en-AU"/>
          </w:rPr>
          <w:t>interim decision consultation</w:t>
        </w:r>
      </w:hyperlink>
      <w:r w:rsidR="00524647" w:rsidRPr="00F96EC2">
        <w:rPr>
          <w:rFonts w:asciiTheme="minorHAnsi" w:eastAsia="Times New Roman" w:hAnsiTheme="minorHAnsi"/>
          <w:color w:val="000000"/>
          <w:szCs w:val="22"/>
          <w:lang w:val="en" w:eastAsia="en-AU"/>
        </w:rPr>
        <w:t xml:space="preserve"> </w:t>
      </w:r>
      <w:r w:rsidR="002C1418" w:rsidRPr="00F96EC2">
        <w:rPr>
          <w:rFonts w:asciiTheme="minorHAnsi" w:hAnsiTheme="minorHAnsi"/>
          <w:szCs w:val="22"/>
        </w:rPr>
        <w:t>under regulation 42ZCZP of the Regulations</w:t>
      </w:r>
      <w:r w:rsidRPr="00F96EC2">
        <w:rPr>
          <w:rFonts w:asciiTheme="minorHAnsi" w:hAnsiTheme="minorHAnsi"/>
          <w:szCs w:val="22"/>
        </w:rPr>
        <w:t>;</w:t>
      </w:r>
    </w:p>
    <w:p w14:paraId="0CA7079D" w14:textId="5B6B24AB" w:rsidR="006A64F4" w:rsidRPr="00F96EC2" w:rsidRDefault="001169AC" w:rsidP="00EE7A21">
      <w:pPr>
        <w:pStyle w:val="ListBullet"/>
      </w:pPr>
      <w:r w:rsidRPr="00F96EC2">
        <w:t xml:space="preserve">Subsection 52E(1) of </w:t>
      </w:r>
      <w:r w:rsidRPr="00F96EC2">
        <w:rPr>
          <w:i/>
        </w:rPr>
        <w:t>the Therapeutic Goods Act 1989</w:t>
      </w:r>
      <w:r w:rsidRPr="00F96EC2">
        <w:t>, in particular (a) the risks and benefits of the use of a substance; (b) the purposes for which a substance is to be used and the extent of use of a substance; (c) the toxicity of a substance; (d) the dosage, formulation, labelling, packaging and p</w:t>
      </w:r>
      <w:r w:rsidR="00695A52" w:rsidRPr="00F96EC2">
        <w:t xml:space="preserve">resentation of a substance; </w:t>
      </w:r>
      <w:r w:rsidRPr="00F96EC2">
        <w:t>(e) the potential for abuse of a substance; and (f) any other matters considered nec</w:t>
      </w:r>
      <w:r w:rsidR="00140A41">
        <w:t>essary to protect public health;</w:t>
      </w:r>
    </w:p>
    <w:p w14:paraId="7EDBC43C" w14:textId="71DFA993" w:rsidR="006A64F4" w:rsidRPr="00F96EC2" w:rsidRDefault="002C1418" w:rsidP="00EE7A21">
      <w:pPr>
        <w:pStyle w:val="ListBullet"/>
        <w:rPr>
          <w:rFonts w:asciiTheme="minorHAnsi" w:hAnsiTheme="minorHAnsi"/>
          <w:szCs w:val="22"/>
        </w:rPr>
      </w:pPr>
      <w:r w:rsidRPr="00F96EC2">
        <w:rPr>
          <w:rFonts w:asciiTheme="minorHAnsi" w:hAnsiTheme="minorHAnsi"/>
          <w:szCs w:val="22"/>
        </w:rPr>
        <w:t xml:space="preserve">The Australian Health Ministers’ Advisory Council’s </w:t>
      </w:r>
      <w:hyperlink r:id="rId16" w:history="1">
        <w:r w:rsidR="006A64F4" w:rsidRPr="00F96EC2">
          <w:rPr>
            <w:rStyle w:val="Hyperlink"/>
            <w:rFonts w:asciiTheme="minorHAnsi" w:hAnsiTheme="minorHAnsi"/>
            <w:szCs w:val="22"/>
          </w:rPr>
          <w:t>Scheduling Policy Framework</w:t>
        </w:r>
      </w:hyperlink>
      <w:r w:rsidR="006A64F4" w:rsidRPr="00F96EC2">
        <w:rPr>
          <w:rFonts w:asciiTheme="minorHAnsi" w:hAnsiTheme="minorHAnsi"/>
          <w:szCs w:val="22"/>
        </w:rPr>
        <w:t xml:space="preserve"> (SPF 2018); and</w:t>
      </w:r>
    </w:p>
    <w:p w14:paraId="67F7348D" w14:textId="4FD46A96" w:rsidR="006A64F4" w:rsidRPr="00F96EC2" w:rsidRDefault="002C1418" w:rsidP="00EE7A21">
      <w:pPr>
        <w:pStyle w:val="ListBullet"/>
        <w:rPr>
          <w:rFonts w:asciiTheme="minorHAnsi" w:hAnsiTheme="minorHAnsi"/>
          <w:szCs w:val="22"/>
        </w:rPr>
      </w:pPr>
      <w:r w:rsidRPr="00F96EC2">
        <w:rPr>
          <w:rFonts w:asciiTheme="minorHAnsi" w:hAnsiTheme="minorHAnsi"/>
          <w:szCs w:val="22"/>
        </w:rPr>
        <w:t xml:space="preserve">The </w:t>
      </w:r>
      <w:hyperlink r:id="rId17" w:history="1">
        <w:r w:rsidR="006A64F4" w:rsidRPr="00F96EC2">
          <w:rPr>
            <w:rStyle w:val="Hyperlink"/>
            <w:rFonts w:asciiTheme="minorHAnsi" w:hAnsiTheme="minorHAnsi"/>
            <w:szCs w:val="22"/>
          </w:rPr>
          <w:t>Scheduling handbook: Guidance for amending the Poisons Standard</w:t>
        </w:r>
      </w:hyperlink>
      <w:r w:rsidR="00E40BD2" w:rsidRPr="00F96EC2">
        <w:rPr>
          <w:rFonts w:asciiTheme="minorHAnsi" w:hAnsiTheme="minorHAnsi"/>
          <w:szCs w:val="22"/>
        </w:rPr>
        <w:t>.</w:t>
      </w:r>
    </w:p>
    <w:p w14:paraId="70E59020" w14:textId="6A773F7F" w:rsidR="00436C41" w:rsidRDefault="00436C41" w:rsidP="004C5C9A">
      <w:pPr>
        <w:pStyle w:val="Heading5"/>
      </w:pPr>
      <w:r w:rsidRPr="00436C41">
        <w:t>Reasons for the final decision (including findings on material questions of fact)</w:t>
      </w:r>
    </w:p>
    <w:p w14:paraId="407F08EA" w14:textId="6F9548D8" w:rsidR="003E7390" w:rsidRPr="0014113C" w:rsidRDefault="003E7390" w:rsidP="004C5C9A">
      <w:r w:rsidRPr="0014113C">
        <w:t>I have made a final decision to confirm</w:t>
      </w:r>
      <w:r w:rsidR="00524647" w:rsidRPr="0014113C">
        <w:t xml:space="preserve"> my </w:t>
      </w:r>
      <w:hyperlink r:id="rId18" w:history="1">
        <w:r w:rsidRPr="001B0C27">
          <w:rPr>
            <w:rStyle w:val="Hyperlink"/>
          </w:rPr>
          <w:t>interim decision</w:t>
        </w:r>
      </w:hyperlink>
      <w:r w:rsidR="00524647" w:rsidRPr="0014113C">
        <w:t xml:space="preserve"> to not amend</w:t>
      </w:r>
      <w:r w:rsidRPr="0014113C">
        <w:t xml:space="preserve"> the current Poisons Standard wit</w:t>
      </w:r>
      <w:r w:rsidR="00524647" w:rsidRPr="0014113C">
        <w:t xml:space="preserve">h respect to </w:t>
      </w:r>
      <w:proofErr w:type="spellStart"/>
      <w:r w:rsidR="00524647" w:rsidRPr="0014113C">
        <w:t>oxymetazoline</w:t>
      </w:r>
      <w:proofErr w:type="spellEnd"/>
      <w:r w:rsidRPr="0014113C">
        <w:t xml:space="preserve">. </w:t>
      </w:r>
      <w:r w:rsidR="001B0C27" w:rsidRPr="001B0C27">
        <w:t>My reasons for making the final decision are those set out in the interim decision.</w:t>
      </w:r>
      <w:r w:rsidR="00D05899">
        <w:t xml:space="preserve"> </w:t>
      </w:r>
      <w:r w:rsidRPr="0014113C">
        <w:t>In making my final decision, I have taken into account the material detail</w:t>
      </w:r>
      <w:r w:rsidR="00695A52" w:rsidRPr="0014113C">
        <w:t>ed in th</w:t>
      </w:r>
      <w:r w:rsidR="00552646">
        <w:t xml:space="preserve">e interim decision and the </w:t>
      </w:r>
      <w:r w:rsidRPr="0014113C">
        <w:t>public submissions</w:t>
      </w:r>
      <w:r w:rsidR="00695A52" w:rsidRPr="0014113C">
        <w:t xml:space="preserve"> </w:t>
      </w:r>
      <w:r w:rsidRPr="0014113C">
        <w:t>received before the second closing date in response to the call for fur</w:t>
      </w:r>
      <w:r w:rsidR="00524647" w:rsidRPr="0014113C">
        <w:t>ther submissions published on 13 October 2020</w:t>
      </w:r>
      <w:r w:rsidR="001169AC" w:rsidRPr="0014113C">
        <w:t xml:space="preserve"> under regulation 42</w:t>
      </w:r>
      <w:r w:rsidRPr="0014113C">
        <w:t>ZCZP of the Regulations.</w:t>
      </w:r>
      <w:r w:rsidR="0014113C">
        <w:t xml:space="preserve"> </w:t>
      </w:r>
      <w:r w:rsidR="002F297F">
        <w:t>I note that nine public submissions were in support of the interim decision. I acknowledge the one opposing submission, which makes reference to the global Adverse Event data provided in the application, however as stated in the interim decision, I consider that the risks associated with prolonged use and self-diagnosis indicate the requirement for pharmacist input.</w:t>
      </w:r>
    </w:p>
    <w:p w14:paraId="70A7A07A" w14:textId="4E786900" w:rsidR="00F41DCE" w:rsidRDefault="00B852BC" w:rsidP="00B852BC">
      <w:pPr>
        <w:pStyle w:val="Heading4"/>
      </w:pPr>
      <w:bookmarkStart w:id="32" w:name="_Toc57114179"/>
      <w:r>
        <w:lastRenderedPageBreak/>
        <w:t>3.1.2</w:t>
      </w:r>
      <w:r>
        <w:tab/>
      </w:r>
      <w:r w:rsidR="00F41DCE">
        <w:t xml:space="preserve">Final </w:t>
      </w:r>
      <w:r w:rsidR="00256515">
        <w:t xml:space="preserve">decision in relation to </w:t>
      </w:r>
      <w:proofErr w:type="spellStart"/>
      <w:r w:rsidR="00256515" w:rsidRPr="00552646">
        <w:t>eletriptan</w:t>
      </w:r>
      <w:bookmarkEnd w:id="32"/>
      <w:proofErr w:type="spellEnd"/>
    </w:p>
    <w:p w14:paraId="69C45A36" w14:textId="381C277B" w:rsidR="00F41DCE" w:rsidRPr="008036B7" w:rsidRDefault="004C5C9A" w:rsidP="00F41DCE">
      <w:pPr>
        <w:pStyle w:val="Heading5"/>
      </w:pPr>
      <w:r>
        <w:t>Final decision</w:t>
      </w:r>
    </w:p>
    <w:p w14:paraId="2CC5A70E" w14:textId="101C4F21" w:rsidR="00F41DCE" w:rsidRDefault="00F41DCE" w:rsidP="004C5C9A">
      <w:r>
        <w:t xml:space="preserve">Pursuant to </w:t>
      </w:r>
      <w:r w:rsidRPr="00253509">
        <w:t xml:space="preserve">regulation 42ZCZR of the Regulations, a Delegate of the Secretary has made a final decision to </w:t>
      </w:r>
      <w:r w:rsidR="00253509" w:rsidRPr="00253509">
        <w:t>confirm</w:t>
      </w:r>
      <w:r w:rsidRPr="00253509">
        <w:t xml:space="preserve"> the interim decision and amend the current Poisons Standard in relation to </w:t>
      </w:r>
      <w:proofErr w:type="spellStart"/>
      <w:r w:rsidR="00695A52" w:rsidRPr="00253509">
        <w:t>eletriptan</w:t>
      </w:r>
      <w:proofErr w:type="spellEnd"/>
      <w:r w:rsidRPr="00253509">
        <w:t xml:space="preserve"> as follows:</w:t>
      </w:r>
    </w:p>
    <w:p w14:paraId="10E10E36" w14:textId="77777777" w:rsidR="00253509" w:rsidRPr="00253509" w:rsidRDefault="00253509" w:rsidP="00EF3F78">
      <w:pPr>
        <w:ind w:left="426"/>
        <w:rPr>
          <w:b/>
          <w:szCs w:val="22"/>
          <w:lang w:val="en" w:eastAsia="en-AU"/>
        </w:rPr>
      </w:pPr>
      <w:r w:rsidRPr="00253509">
        <w:rPr>
          <w:b/>
          <w:szCs w:val="22"/>
          <w:lang w:val="en" w:eastAsia="en-AU"/>
        </w:rPr>
        <w:t>Schedule 4 - Amend Entry</w:t>
      </w:r>
    </w:p>
    <w:p w14:paraId="24EAF16E" w14:textId="77777777" w:rsidR="00253509" w:rsidRPr="00253509" w:rsidRDefault="00253509" w:rsidP="00EF3F78">
      <w:pPr>
        <w:ind w:left="426"/>
        <w:rPr>
          <w:szCs w:val="22"/>
          <w:lang w:val="en" w:eastAsia="en-AU"/>
        </w:rPr>
      </w:pPr>
      <w:r w:rsidRPr="00253509">
        <w:rPr>
          <w:szCs w:val="22"/>
          <w:lang w:val="en" w:eastAsia="en-AU"/>
        </w:rPr>
        <w:t xml:space="preserve">ELETRIPTAN </w:t>
      </w:r>
      <w:r w:rsidRPr="00253509">
        <w:rPr>
          <w:color w:val="FF0000"/>
          <w:szCs w:val="22"/>
          <w:lang w:val="en" w:eastAsia="en-AU"/>
        </w:rPr>
        <w:t>except when included in Schedule 3.</w:t>
      </w:r>
    </w:p>
    <w:p w14:paraId="643CCB32" w14:textId="77777777" w:rsidR="00253509" w:rsidRPr="00253509" w:rsidRDefault="00253509" w:rsidP="00EF3F78">
      <w:pPr>
        <w:ind w:left="426"/>
        <w:rPr>
          <w:b/>
          <w:szCs w:val="22"/>
          <w:lang w:val="en" w:eastAsia="en-AU"/>
        </w:rPr>
      </w:pPr>
      <w:r w:rsidRPr="00253509">
        <w:rPr>
          <w:b/>
          <w:szCs w:val="22"/>
          <w:lang w:val="en" w:eastAsia="en-AU"/>
        </w:rPr>
        <w:t>Schedule 3 - New Entry</w:t>
      </w:r>
    </w:p>
    <w:p w14:paraId="0B4C2CE3" w14:textId="77777777" w:rsidR="00253509" w:rsidRPr="00253509" w:rsidRDefault="00253509" w:rsidP="00EF3F78">
      <w:pPr>
        <w:ind w:left="426"/>
        <w:rPr>
          <w:color w:val="FF0000"/>
          <w:szCs w:val="22"/>
          <w:lang w:val="en" w:eastAsia="en-AU"/>
        </w:rPr>
      </w:pPr>
      <w:r w:rsidRPr="00253509">
        <w:rPr>
          <w:color w:val="FF0000"/>
          <w:szCs w:val="22"/>
          <w:lang w:val="en" w:eastAsia="en-AU"/>
        </w:rPr>
        <w:t>ELETRIPTAN for oral use in tablets containing 40 mg or less per tablet and when in a pack containing not more than 2 dosage units for the acute relief of migraine in patients who have a stable, well-established pattern of symptoms.</w:t>
      </w:r>
    </w:p>
    <w:p w14:paraId="0462AD47" w14:textId="77777777" w:rsidR="00253509" w:rsidRPr="00253509" w:rsidRDefault="00253509" w:rsidP="00EF3F78">
      <w:pPr>
        <w:ind w:left="426"/>
        <w:rPr>
          <w:b/>
          <w:szCs w:val="22"/>
          <w:lang w:val="en" w:eastAsia="en-AU"/>
        </w:rPr>
      </w:pPr>
      <w:r w:rsidRPr="00253509">
        <w:rPr>
          <w:b/>
          <w:szCs w:val="22"/>
          <w:lang w:val="en" w:eastAsia="en-AU"/>
        </w:rPr>
        <w:t>Appendix H - New Entry</w:t>
      </w:r>
    </w:p>
    <w:p w14:paraId="589E21BB" w14:textId="77777777" w:rsidR="00253509" w:rsidRPr="00253509" w:rsidRDefault="00253509" w:rsidP="00EF3F78">
      <w:pPr>
        <w:ind w:left="426"/>
        <w:rPr>
          <w:szCs w:val="22"/>
          <w:lang w:val="en" w:eastAsia="en-AU"/>
        </w:rPr>
      </w:pPr>
      <w:r w:rsidRPr="00253509">
        <w:rPr>
          <w:color w:val="FF0000"/>
          <w:szCs w:val="22"/>
          <w:lang w:val="en" w:eastAsia="en-AU"/>
        </w:rPr>
        <w:t>ELETRIPTAN</w:t>
      </w:r>
    </w:p>
    <w:p w14:paraId="4580F1D4" w14:textId="77777777" w:rsidR="00253509" w:rsidRPr="00253509" w:rsidRDefault="00253509" w:rsidP="00EF3F78">
      <w:pPr>
        <w:ind w:left="426"/>
        <w:rPr>
          <w:b/>
          <w:szCs w:val="22"/>
          <w:lang w:val="en" w:eastAsia="en-AU"/>
        </w:rPr>
      </w:pPr>
      <w:r w:rsidRPr="00253509">
        <w:rPr>
          <w:b/>
          <w:szCs w:val="22"/>
          <w:lang w:val="en" w:eastAsia="en-AU"/>
        </w:rPr>
        <w:t>Index - Amend Entry</w:t>
      </w:r>
    </w:p>
    <w:p w14:paraId="7ECA2542" w14:textId="77777777" w:rsidR="00253509" w:rsidRPr="00253509" w:rsidRDefault="00253509" w:rsidP="00EF3F78">
      <w:pPr>
        <w:ind w:left="426"/>
        <w:rPr>
          <w:szCs w:val="22"/>
          <w:lang w:val="en" w:eastAsia="en-AU"/>
        </w:rPr>
      </w:pPr>
      <w:r w:rsidRPr="00253509">
        <w:rPr>
          <w:szCs w:val="22"/>
          <w:lang w:val="en" w:eastAsia="en-AU"/>
        </w:rPr>
        <w:t>ELETRIPTAN</w:t>
      </w:r>
    </w:p>
    <w:p w14:paraId="138C7B35" w14:textId="2FFA36BA" w:rsidR="00253509" w:rsidRPr="00253509" w:rsidRDefault="00253509" w:rsidP="00EF3F78">
      <w:pPr>
        <w:ind w:left="426"/>
        <w:rPr>
          <w:szCs w:val="22"/>
          <w:lang w:val="en" w:eastAsia="en-AU"/>
        </w:rPr>
      </w:pPr>
      <w:r w:rsidRPr="00253509">
        <w:rPr>
          <w:szCs w:val="22"/>
          <w:lang w:val="en" w:eastAsia="en-AU"/>
        </w:rPr>
        <w:t>Schedule 4</w:t>
      </w:r>
      <w:r w:rsidRPr="00253509">
        <w:rPr>
          <w:szCs w:val="22"/>
          <w:lang w:val="en" w:eastAsia="en-AU"/>
        </w:rPr>
        <w:br/>
      </w:r>
      <w:r w:rsidRPr="00253509">
        <w:rPr>
          <w:color w:val="FF0000"/>
          <w:szCs w:val="22"/>
          <w:lang w:val="en" w:eastAsia="en-AU"/>
        </w:rPr>
        <w:t>Schedule 3</w:t>
      </w:r>
      <w:r w:rsidRPr="00253509">
        <w:rPr>
          <w:color w:val="FF0000"/>
          <w:szCs w:val="22"/>
          <w:lang w:val="en" w:eastAsia="en-AU"/>
        </w:rPr>
        <w:br/>
        <w:t>Appendix H</w:t>
      </w:r>
    </w:p>
    <w:p w14:paraId="35A68AF8" w14:textId="1F9019EA" w:rsidR="00F41DCE" w:rsidRDefault="004C5C9A" w:rsidP="00F41DCE">
      <w:pPr>
        <w:pStyle w:val="Heading5"/>
      </w:pPr>
      <w:r>
        <w:t>Materials considered</w:t>
      </w:r>
    </w:p>
    <w:p w14:paraId="512E1F7D" w14:textId="77777777" w:rsidR="00F41DCE" w:rsidRDefault="00F41DCE" w:rsidP="00F41DCE">
      <w:r>
        <w:t>In making this final decision, the Delegate considered the following material:</w:t>
      </w:r>
    </w:p>
    <w:p w14:paraId="717ADE9E" w14:textId="0AC3AB8C" w:rsidR="00F41DCE" w:rsidRPr="00140A41" w:rsidRDefault="00F41DCE" w:rsidP="00EE7A21">
      <w:pPr>
        <w:pStyle w:val="ListBullet"/>
        <w:rPr>
          <w:rFonts w:asciiTheme="minorHAnsi" w:hAnsiTheme="minorHAnsi"/>
        </w:rPr>
      </w:pPr>
      <w:r w:rsidRPr="00140A41">
        <w:rPr>
          <w:rFonts w:asciiTheme="minorHAnsi" w:hAnsiTheme="minorHAnsi"/>
        </w:rPr>
        <w:t>The</w:t>
      </w:r>
      <w:r w:rsidRPr="00140A41">
        <w:rPr>
          <w:rFonts w:asciiTheme="minorHAnsi" w:hAnsiTheme="minorHAnsi"/>
          <w:color w:val="0000FF"/>
        </w:rPr>
        <w:t xml:space="preserve"> </w:t>
      </w:r>
      <w:hyperlink r:id="rId19" w:history="1">
        <w:r w:rsidR="00695A52" w:rsidRPr="00140A41">
          <w:rPr>
            <w:rFonts w:asciiTheme="minorHAnsi" w:eastAsia="Times New Roman" w:hAnsiTheme="minorHAnsi"/>
            <w:color w:val="0000FF"/>
            <w:u w:val="single"/>
            <w:lang w:val="en" w:eastAsia="en-AU"/>
          </w:rPr>
          <w:t>application</w:t>
        </w:r>
      </w:hyperlink>
      <w:r w:rsidR="00B852BC">
        <w:rPr>
          <w:rFonts w:asciiTheme="minorHAnsi" w:hAnsiTheme="minorHAnsi"/>
        </w:rPr>
        <w:t xml:space="preserve"> t</w:t>
      </w:r>
      <w:r w:rsidRPr="00140A41">
        <w:rPr>
          <w:rFonts w:asciiTheme="minorHAnsi" w:hAnsiTheme="minorHAnsi"/>
        </w:rPr>
        <w:t>o amend the current Po</w:t>
      </w:r>
      <w:r w:rsidR="00695A52" w:rsidRPr="00140A41">
        <w:rPr>
          <w:rFonts w:asciiTheme="minorHAnsi" w:hAnsiTheme="minorHAnsi"/>
        </w:rPr>
        <w:t xml:space="preserve">isons Standard with respect to </w:t>
      </w:r>
      <w:proofErr w:type="spellStart"/>
      <w:r w:rsidR="00695A52" w:rsidRPr="00140A41">
        <w:rPr>
          <w:rFonts w:asciiTheme="minorHAnsi" w:hAnsiTheme="minorHAnsi"/>
        </w:rPr>
        <w:t>eletriptan</w:t>
      </w:r>
      <w:proofErr w:type="spellEnd"/>
      <w:r w:rsidRPr="00140A41">
        <w:rPr>
          <w:rFonts w:asciiTheme="minorHAnsi" w:hAnsiTheme="minorHAnsi"/>
        </w:rPr>
        <w:t>;</w:t>
      </w:r>
    </w:p>
    <w:p w14:paraId="11BB35EF" w14:textId="17A850F0" w:rsidR="00F41DCE" w:rsidRPr="00140A41" w:rsidRDefault="00F41DCE" w:rsidP="00EE7A21">
      <w:pPr>
        <w:pStyle w:val="ListBullet"/>
        <w:rPr>
          <w:rFonts w:asciiTheme="minorHAnsi" w:hAnsiTheme="minorHAnsi"/>
        </w:rPr>
      </w:pPr>
      <w:r w:rsidRPr="00140A41">
        <w:rPr>
          <w:rFonts w:asciiTheme="minorHAnsi" w:hAnsiTheme="minorHAnsi"/>
        </w:rPr>
        <w:t xml:space="preserve">The </w:t>
      </w:r>
      <w:r w:rsidR="00695A52" w:rsidRPr="00140A41">
        <w:rPr>
          <w:rFonts w:asciiTheme="minorHAnsi" w:hAnsiTheme="minorHAnsi"/>
        </w:rPr>
        <w:t>two</w:t>
      </w:r>
      <w:r w:rsidRPr="00140A41">
        <w:rPr>
          <w:rFonts w:asciiTheme="minorHAnsi" w:hAnsiTheme="minorHAnsi"/>
        </w:rPr>
        <w:t xml:space="preserve"> </w:t>
      </w:r>
      <w:hyperlink r:id="rId20" w:history="1">
        <w:r w:rsidR="00695A52" w:rsidRPr="00140A41">
          <w:rPr>
            <w:rFonts w:asciiTheme="minorHAnsi" w:eastAsia="Times New Roman" w:hAnsiTheme="minorHAnsi"/>
            <w:color w:val="0000FF"/>
            <w:u w:val="single"/>
            <w:lang w:val="en" w:eastAsia="en-AU"/>
          </w:rPr>
          <w:t>public submissions</w:t>
        </w:r>
      </w:hyperlink>
      <w:r w:rsidR="002A749B" w:rsidRPr="00140A41">
        <w:rPr>
          <w:rFonts w:asciiTheme="minorHAnsi" w:hAnsiTheme="minorHAnsi"/>
        </w:rPr>
        <w:t xml:space="preserve"> </w:t>
      </w:r>
      <w:r w:rsidRPr="00140A41">
        <w:rPr>
          <w:rFonts w:asciiTheme="minorHAnsi" w:hAnsiTheme="minorHAnsi"/>
        </w:rPr>
        <w:t xml:space="preserve">received in response to the </w:t>
      </w:r>
      <w:hyperlink r:id="rId21" w:history="1">
        <w:r w:rsidR="00695A52" w:rsidRPr="00140A41">
          <w:rPr>
            <w:rFonts w:asciiTheme="minorHAnsi" w:eastAsia="Times New Roman" w:hAnsiTheme="minorHAnsi"/>
            <w:color w:val="0000FF"/>
            <w:u w:val="single"/>
            <w:lang w:val="en" w:eastAsia="en-AU"/>
          </w:rPr>
          <w:t>pre-meeting consultation</w:t>
        </w:r>
      </w:hyperlink>
      <w:r w:rsidR="00695A52" w:rsidRPr="00140A41">
        <w:rPr>
          <w:rFonts w:asciiTheme="minorHAnsi" w:eastAsia="Times New Roman" w:hAnsiTheme="minorHAnsi"/>
          <w:color w:val="0000FF"/>
          <w:u w:val="single"/>
          <w:lang w:val="en" w:eastAsia="en-AU"/>
        </w:rPr>
        <w:t xml:space="preserve"> </w:t>
      </w:r>
      <w:r w:rsidRPr="00140A41">
        <w:rPr>
          <w:rFonts w:asciiTheme="minorHAnsi" w:hAnsiTheme="minorHAnsi"/>
        </w:rPr>
        <w:t>under regula</w:t>
      </w:r>
      <w:r w:rsidR="00140A41">
        <w:rPr>
          <w:rFonts w:asciiTheme="minorHAnsi" w:hAnsiTheme="minorHAnsi"/>
        </w:rPr>
        <w:t>tion 42ZCZK of the Regulations;</w:t>
      </w:r>
    </w:p>
    <w:p w14:paraId="5610BFE7" w14:textId="47B900F3" w:rsidR="00F41DCE" w:rsidRPr="00140A41" w:rsidRDefault="00F41DCE" w:rsidP="00EE7A21">
      <w:pPr>
        <w:pStyle w:val="ListBullet"/>
      </w:pPr>
      <w:r w:rsidRPr="00140A41">
        <w:t>The advice received from the Meeting of the Advisory Committee o</w:t>
      </w:r>
      <w:r w:rsidR="00695A52" w:rsidRPr="00140A41">
        <w:t>n Medicines Scheduling (ACMS #31);</w:t>
      </w:r>
    </w:p>
    <w:p w14:paraId="5B9EF5F4" w14:textId="309BEAAB" w:rsidR="00F41DCE" w:rsidRPr="00140A41" w:rsidRDefault="00253509" w:rsidP="00EE7A21">
      <w:pPr>
        <w:pStyle w:val="ListBullet"/>
        <w:rPr>
          <w:rFonts w:asciiTheme="minorHAnsi" w:hAnsiTheme="minorHAnsi"/>
        </w:rPr>
      </w:pPr>
      <w:r w:rsidRPr="00140A41">
        <w:rPr>
          <w:rFonts w:asciiTheme="minorHAnsi" w:hAnsiTheme="minorHAnsi"/>
        </w:rPr>
        <w:t xml:space="preserve">The </w:t>
      </w:r>
      <w:r w:rsidR="003C78EC" w:rsidRPr="00140A41">
        <w:rPr>
          <w:rFonts w:asciiTheme="minorHAnsi" w:hAnsiTheme="minorHAnsi"/>
        </w:rPr>
        <w:t>eight</w:t>
      </w:r>
      <w:r w:rsidR="008551B5" w:rsidRPr="00140A41">
        <w:rPr>
          <w:rFonts w:asciiTheme="minorHAnsi" w:hAnsiTheme="minorHAnsi"/>
        </w:rPr>
        <w:t xml:space="preserve"> public </w:t>
      </w:r>
      <w:r w:rsidR="00F41DCE" w:rsidRPr="00140A41">
        <w:rPr>
          <w:rFonts w:asciiTheme="minorHAnsi" w:hAnsiTheme="minorHAnsi"/>
        </w:rPr>
        <w:t>submission</w:t>
      </w:r>
      <w:r w:rsidR="009852E7" w:rsidRPr="00140A41">
        <w:rPr>
          <w:rFonts w:asciiTheme="minorHAnsi" w:hAnsiTheme="minorHAnsi"/>
        </w:rPr>
        <w:t>s</w:t>
      </w:r>
      <w:r w:rsidR="00F41DCE" w:rsidRPr="00140A41">
        <w:rPr>
          <w:rFonts w:asciiTheme="minorHAnsi" w:hAnsiTheme="minorHAnsi"/>
        </w:rPr>
        <w:t xml:space="preserve"> received</w:t>
      </w:r>
      <w:r w:rsidR="001C5AFC" w:rsidRPr="00140A41">
        <w:rPr>
          <w:rFonts w:asciiTheme="minorHAnsi" w:hAnsiTheme="minorHAnsi"/>
        </w:rPr>
        <w:t>,</w:t>
      </w:r>
      <w:r w:rsidR="00F41DCE" w:rsidRPr="00140A41">
        <w:rPr>
          <w:rFonts w:asciiTheme="minorHAnsi" w:hAnsiTheme="minorHAnsi"/>
        </w:rPr>
        <w:t xml:space="preserve"> in response to the </w:t>
      </w:r>
      <w:hyperlink r:id="rId22" w:history="1">
        <w:r w:rsidR="00695A52" w:rsidRPr="00140A41">
          <w:rPr>
            <w:rFonts w:asciiTheme="minorHAnsi" w:eastAsia="Times New Roman" w:hAnsiTheme="minorHAnsi"/>
            <w:color w:val="0000FF"/>
            <w:u w:val="single"/>
            <w:lang w:val="en" w:eastAsia="en-AU"/>
          </w:rPr>
          <w:t>interim decision consultation</w:t>
        </w:r>
      </w:hyperlink>
      <w:r w:rsidR="00695A52" w:rsidRPr="00140A41">
        <w:rPr>
          <w:rFonts w:asciiTheme="minorHAnsi" w:eastAsia="Times New Roman" w:hAnsiTheme="minorHAnsi"/>
          <w:color w:val="006EAB"/>
          <w:u w:val="single"/>
          <w:lang w:val="en" w:eastAsia="en-AU"/>
        </w:rPr>
        <w:t xml:space="preserve"> </w:t>
      </w:r>
      <w:r w:rsidR="00F41DCE" w:rsidRPr="00140A41">
        <w:rPr>
          <w:rFonts w:asciiTheme="minorHAnsi" w:hAnsiTheme="minorHAnsi"/>
        </w:rPr>
        <w:t>under regulation 42ZCZP of the Regulations;</w:t>
      </w:r>
    </w:p>
    <w:p w14:paraId="7C4E8733" w14:textId="7E6C5C3B" w:rsidR="00F41DCE" w:rsidRPr="00140A41" w:rsidRDefault="00F41DCE" w:rsidP="00EE7A21">
      <w:pPr>
        <w:pStyle w:val="ListBullet"/>
      </w:pPr>
      <w:r w:rsidRPr="00140A41">
        <w:t xml:space="preserve">Subsection 52E(1) of </w:t>
      </w:r>
      <w:r w:rsidRPr="00140A41">
        <w:rPr>
          <w:i/>
        </w:rPr>
        <w:t>the Therapeutic Goods Act 1989</w:t>
      </w:r>
      <w:r w:rsidRPr="00140A41">
        <w:t xml:space="preserve">, in particular (a) the risks and benefits of the use of a substance; (b) the purposes for which a substance is to be used and the extent of use of a substance; (c) the toxicity of a substance; (d) the dosage, formulation, labelling, packaging and </w:t>
      </w:r>
      <w:r w:rsidR="00695A52" w:rsidRPr="00140A41">
        <w:t>presentation of a substance;</w:t>
      </w:r>
      <w:r w:rsidRPr="00140A41">
        <w:t xml:space="preserve"> (e) the potential for abuse of a substance; and (f) any other matters considered nec</w:t>
      </w:r>
      <w:r w:rsidR="005E2B85">
        <w:t>essary to protect public health</w:t>
      </w:r>
      <w:r w:rsidRPr="00140A41">
        <w:t>;</w:t>
      </w:r>
    </w:p>
    <w:p w14:paraId="6BA5AF81" w14:textId="77777777" w:rsidR="00F41DCE" w:rsidRPr="00140A41" w:rsidRDefault="00F41DCE" w:rsidP="00EE7A21">
      <w:pPr>
        <w:pStyle w:val="ListBullet"/>
        <w:rPr>
          <w:rFonts w:asciiTheme="minorHAnsi" w:hAnsiTheme="minorHAnsi"/>
        </w:rPr>
      </w:pPr>
      <w:r w:rsidRPr="00140A41">
        <w:rPr>
          <w:rFonts w:asciiTheme="minorHAnsi" w:hAnsiTheme="minorHAnsi"/>
        </w:rPr>
        <w:t xml:space="preserve">The Australian Health Ministers’ Advisory Council’s </w:t>
      </w:r>
      <w:hyperlink r:id="rId23" w:history="1">
        <w:r w:rsidRPr="00140A41">
          <w:rPr>
            <w:rStyle w:val="Hyperlink"/>
            <w:rFonts w:asciiTheme="minorHAnsi" w:hAnsiTheme="minorHAnsi"/>
          </w:rPr>
          <w:t>Scheduling Policy Framework</w:t>
        </w:r>
      </w:hyperlink>
      <w:r w:rsidRPr="00140A41">
        <w:rPr>
          <w:rFonts w:asciiTheme="minorHAnsi" w:hAnsiTheme="minorHAnsi"/>
        </w:rPr>
        <w:t xml:space="preserve"> (SPF 2018); and</w:t>
      </w:r>
    </w:p>
    <w:p w14:paraId="4E4ACAFE" w14:textId="3970275A" w:rsidR="00F41DCE" w:rsidRPr="00140A41" w:rsidRDefault="00F41DCE" w:rsidP="00EE7A21">
      <w:pPr>
        <w:pStyle w:val="ListBullet"/>
        <w:rPr>
          <w:rFonts w:asciiTheme="minorHAnsi" w:hAnsiTheme="minorHAnsi"/>
        </w:rPr>
      </w:pPr>
      <w:r w:rsidRPr="00140A41">
        <w:rPr>
          <w:rFonts w:asciiTheme="minorHAnsi" w:hAnsiTheme="minorHAnsi"/>
        </w:rPr>
        <w:t xml:space="preserve">The </w:t>
      </w:r>
      <w:hyperlink r:id="rId24" w:history="1">
        <w:r w:rsidRPr="00140A41">
          <w:rPr>
            <w:rStyle w:val="Hyperlink"/>
            <w:rFonts w:asciiTheme="minorHAnsi" w:hAnsiTheme="minorHAnsi"/>
          </w:rPr>
          <w:t>Scheduling handbook: Guidance for amending the Poisons Standard</w:t>
        </w:r>
      </w:hyperlink>
      <w:r w:rsidRPr="00140A41">
        <w:rPr>
          <w:rFonts w:asciiTheme="minorHAnsi" w:hAnsiTheme="minorHAnsi"/>
        </w:rPr>
        <w:t>.</w:t>
      </w:r>
    </w:p>
    <w:p w14:paraId="72F2B183" w14:textId="77777777" w:rsidR="00F41DCE" w:rsidRDefault="00F41DCE" w:rsidP="00B852BC">
      <w:pPr>
        <w:pStyle w:val="Heading5"/>
      </w:pPr>
      <w:r w:rsidRPr="00436C41">
        <w:t>Reasons for the final decision (including findings on material questions of fact)</w:t>
      </w:r>
    </w:p>
    <w:p w14:paraId="6390E726" w14:textId="0C1187F4" w:rsidR="00F41DCE" w:rsidRPr="00253509" w:rsidRDefault="00F41DCE" w:rsidP="00F41DCE">
      <w:r w:rsidRPr="00253509">
        <w:t>I have made a final decision to confirm</w:t>
      </w:r>
      <w:r w:rsidR="00253509">
        <w:t xml:space="preserve"> my </w:t>
      </w:r>
      <w:hyperlink r:id="rId25" w:history="1">
        <w:r w:rsidRPr="008F73DD">
          <w:rPr>
            <w:rStyle w:val="Hyperlink"/>
          </w:rPr>
          <w:t>inte</w:t>
        </w:r>
        <w:r w:rsidR="00253509" w:rsidRPr="008F73DD">
          <w:rPr>
            <w:rStyle w:val="Hyperlink"/>
          </w:rPr>
          <w:t>rim decision</w:t>
        </w:r>
      </w:hyperlink>
      <w:r w:rsidR="00253509">
        <w:t xml:space="preserve"> to amend</w:t>
      </w:r>
      <w:r w:rsidRPr="00253509">
        <w:t xml:space="preserve"> the current Poison</w:t>
      </w:r>
      <w:r w:rsidR="003164D7" w:rsidRPr="00253509">
        <w:t xml:space="preserve">s Standard with respect to </w:t>
      </w:r>
      <w:proofErr w:type="spellStart"/>
      <w:r w:rsidR="003164D7" w:rsidRPr="00253509">
        <w:t>eletriptan</w:t>
      </w:r>
      <w:proofErr w:type="spellEnd"/>
      <w:r w:rsidRPr="00253509">
        <w:t xml:space="preserve">. </w:t>
      </w:r>
      <w:r w:rsidR="008F73DD" w:rsidRPr="008F73DD">
        <w:t>My reasons for making the final decision are those s</w:t>
      </w:r>
      <w:r w:rsidR="008F73DD">
        <w:t xml:space="preserve">et out in </w:t>
      </w:r>
      <w:r w:rsidR="008F73DD">
        <w:lastRenderedPageBreak/>
        <w:t>the interim decision.</w:t>
      </w:r>
      <w:r w:rsidR="008F73DD" w:rsidRPr="008F73DD">
        <w:t xml:space="preserve"> </w:t>
      </w:r>
      <w:r w:rsidRPr="00253509">
        <w:t>In making my final decision, I have taken into account the material detail</w:t>
      </w:r>
      <w:r w:rsidR="003164D7" w:rsidRPr="00253509">
        <w:t>ed in th</w:t>
      </w:r>
      <w:r w:rsidR="00253509">
        <w:t>e interim decision and the public submission</w:t>
      </w:r>
      <w:r w:rsidR="003164D7" w:rsidRPr="00253509">
        <w:t xml:space="preserve"> </w:t>
      </w:r>
      <w:r w:rsidRPr="00253509">
        <w:t>received before the second closing date in response to the call for fur</w:t>
      </w:r>
      <w:r w:rsidR="003164D7" w:rsidRPr="00253509">
        <w:t>ther submissions published on 13 October 2020</w:t>
      </w:r>
      <w:r w:rsidRPr="00253509">
        <w:t xml:space="preserve"> under regulation 42ZCZP of the Regulations.</w:t>
      </w:r>
      <w:r w:rsidR="00253509">
        <w:t xml:space="preserve"> </w:t>
      </w:r>
      <w:r w:rsidR="004403D9">
        <w:rPr>
          <w:color w:val="000000"/>
          <w:lang w:val="en"/>
        </w:rPr>
        <w:t xml:space="preserve">I note </w:t>
      </w:r>
      <w:r w:rsidR="00105B82">
        <w:rPr>
          <w:color w:val="000000"/>
          <w:lang w:val="en"/>
        </w:rPr>
        <w:t xml:space="preserve">that seven of the eight </w:t>
      </w:r>
      <w:r w:rsidR="004403D9">
        <w:rPr>
          <w:color w:val="000000"/>
          <w:lang w:val="en"/>
        </w:rPr>
        <w:t>public submission</w:t>
      </w:r>
      <w:r w:rsidR="00105B82">
        <w:rPr>
          <w:color w:val="000000"/>
          <w:lang w:val="en"/>
        </w:rPr>
        <w:t>s</w:t>
      </w:r>
      <w:r w:rsidR="004403D9">
        <w:rPr>
          <w:color w:val="000000"/>
          <w:lang w:val="en"/>
        </w:rPr>
        <w:t xml:space="preserve"> </w:t>
      </w:r>
      <w:r w:rsidR="00105B82">
        <w:rPr>
          <w:color w:val="000000"/>
          <w:lang w:val="en"/>
        </w:rPr>
        <w:t xml:space="preserve">were </w:t>
      </w:r>
      <w:r w:rsidR="004403D9">
        <w:rPr>
          <w:color w:val="000000"/>
          <w:lang w:val="en"/>
        </w:rPr>
        <w:t>in support of my interim decision.</w:t>
      </w:r>
    </w:p>
    <w:p w14:paraId="62D1F954" w14:textId="039125AB" w:rsidR="00F41DCE" w:rsidRPr="00B852BC" w:rsidRDefault="00B852BC" w:rsidP="00B852BC">
      <w:pPr>
        <w:pStyle w:val="Heading5"/>
      </w:pPr>
      <w:r>
        <w:t>Date of effect of the decision</w:t>
      </w:r>
    </w:p>
    <w:p w14:paraId="2C56F6AA" w14:textId="4DBB0895" w:rsidR="00F41DCE" w:rsidRPr="00DA3817" w:rsidRDefault="002B52C7" w:rsidP="00F41DCE">
      <w:pPr>
        <w:rPr>
          <w:b/>
        </w:rPr>
      </w:pPr>
      <w:r w:rsidRPr="00DA3817">
        <w:rPr>
          <w:b/>
        </w:rPr>
        <w:t>1 February 2021</w:t>
      </w:r>
    </w:p>
    <w:p w14:paraId="55A0DA0E" w14:textId="12284A68" w:rsidR="004403D9" w:rsidRDefault="00B852BC" w:rsidP="00B852BC">
      <w:pPr>
        <w:pStyle w:val="Heading4"/>
      </w:pPr>
      <w:bookmarkStart w:id="33" w:name="_Toc57114180"/>
      <w:r>
        <w:t>3.1.3</w:t>
      </w:r>
      <w:r>
        <w:tab/>
      </w:r>
      <w:r w:rsidR="005E2B85">
        <w:t xml:space="preserve">Final decision in relation to </w:t>
      </w:r>
      <w:proofErr w:type="spellStart"/>
      <w:r w:rsidR="005E2B85">
        <w:t>c</w:t>
      </w:r>
      <w:r w:rsidR="004403D9">
        <w:t>lotrimazole</w:t>
      </w:r>
      <w:bookmarkEnd w:id="33"/>
      <w:proofErr w:type="spellEnd"/>
    </w:p>
    <w:p w14:paraId="16DA1D83" w14:textId="40CC430B" w:rsidR="004403D9" w:rsidRPr="008036B7" w:rsidRDefault="00B852BC" w:rsidP="00B852BC">
      <w:pPr>
        <w:pStyle w:val="Heading5"/>
      </w:pPr>
      <w:r>
        <w:t>Final decision</w:t>
      </w:r>
    </w:p>
    <w:p w14:paraId="48AAD693" w14:textId="01196F18" w:rsidR="004403D9" w:rsidRDefault="004403D9" w:rsidP="00B852BC">
      <w:r>
        <w:t xml:space="preserve">Pursuant to </w:t>
      </w:r>
      <w:r w:rsidRPr="00253509">
        <w:t xml:space="preserve">regulation 42ZCZR of the Regulations, a Delegate of the Secretary has made a final decision to confirm the interim decision and </w:t>
      </w:r>
      <w:r>
        <w:t xml:space="preserve">not </w:t>
      </w:r>
      <w:r w:rsidRPr="00253509">
        <w:t xml:space="preserve">amend the current Poisons Standard in relation to </w:t>
      </w:r>
      <w:proofErr w:type="spellStart"/>
      <w:r w:rsidR="003E6342">
        <w:t>c</w:t>
      </w:r>
      <w:r>
        <w:t>lotrimazole</w:t>
      </w:r>
      <w:proofErr w:type="spellEnd"/>
      <w:r w:rsidRPr="00253509">
        <w:t>:</w:t>
      </w:r>
    </w:p>
    <w:p w14:paraId="765D2095" w14:textId="598E0159" w:rsidR="004403D9" w:rsidRPr="00B852BC" w:rsidRDefault="00B852BC" w:rsidP="00B852BC">
      <w:pPr>
        <w:pStyle w:val="Heading5"/>
      </w:pPr>
      <w:r>
        <w:t>Materials considered</w:t>
      </w:r>
    </w:p>
    <w:p w14:paraId="6DB7EB31" w14:textId="77777777" w:rsidR="004403D9" w:rsidRDefault="004403D9" w:rsidP="00B852BC">
      <w:r>
        <w:t>In making this final decision, the Delegate considered the following material:</w:t>
      </w:r>
    </w:p>
    <w:p w14:paraId="43C69955" w14:textId="43AB3E7F" w:rsidR="004403D9" w:rsidRPr="005E2B85" w:rsidRDefault="004403D9" w:rsidP="00EE7A21">
      <w:pPr>
        <w:pStyle w:val="ListBullet"/>
        <w:rPr>
          <w:rFonts w:asciiTheme="minorHAnsi" w:hAnsiTheme="minorHAnsi"/>
        </w:rPr>
      </w:pPr>
      <w:r w:rsidRPr="005E2B85">
        <w:rPr>
          <w:rFonts w:asciiTheme="minorHAnsi" w:hAnsiTheme="minorHAnsi"/>
        </w:rPr>
        <w:t xml:space="preserve">The </w:t>
      </w:r>
      <w:hyperlink r:id="rId26" w:history="1">
        <w:r w:rsidRPr="005E2B85">
          <w:rPr>
            <w:rFonts w:asciiTheme="minorHAnsi" w:eastAsia="Times New Roman" w:hAnsiTheme="minorHAnsi"/>
            <w:color w:val="0000FF"/>
            <w:u w:val="single"/>
            <w:lang w:val="en" w:eastAsia="en-AU"/>
          </w:rPr>
          <w:t>application</w:t>
        </w:r>
      </w:hyperlink>
      <w:r w:rsidR="00B852BC">
        <w:rPr>
          <w:rFonts w:asciiTheme="minorHAnsi" w:hAnsiTheme="minorHAnsi"/>
        </w:rPr>
        <w:t xml:space="preserve"> t</w:t>
      </w:r>
      <w:r w:rsidRPr="005E2B85">
        <w:rPr>
          <w:rFonts w:asciiTheme="minorHAnsi" w:hAnsiTheme="minorHAnsi"/>
        </w:rPr>
        <w:t xml:space="preserve">o amend the current Poisons Standard with respect to </w:t>
      </w:r>
      <w:proofErr w:type="spellStart"/>
      <w:r w:rsidRPr="005E2B85">
        <w:rPr>
          <w:rFonts w:asciiTheme="minorHAnsi" w:hAnsiTheme="minorHAnsi"/>
        </w:rPr>
        <w:t>clotrimazole</w:t>
      </w:r>
      <w:proofErr w:type="spellEnd"/>
      <w:r w:rsidRPr="005E2B85">
        <w:rPr>
          <w:rFonts w:asciiTheme="minorHAnsi" w:hAnsiTheme="minorHAnsi"/>
        </w:rPr>
        <w:t>;</w:t>
      </w:r>
    </w:p>
    <w:p w14:paraId="34F52653" w14:textId="09F41A9E" w:rsidR="004403D9" w:rsidRPr="005E2B85" w:rsidRDefault="004403D9" w:rsidP="00EE7A21">
      <w:pPr>
        <w:pStyle w:val="ListBullet"/>
        <w:rPr>
          <w:rFonts w:asciiTheme="minorHAnsi" w:hAnsiTheme="minorHAnsi"/>
        </w:rPr>
      </w:pPr>
      <w:r w:rsidRPr="005E2B85">
        <w:rPr>
          <w:rFonts w:asciiTheme="minorHAnsi" w:hAnsiTheme="minorHAnsi"/>
        </w:rPr>
        <w:t xml:space="preserve">The seven </w:t>
      </w:r>
      <w:hyperlink r:id="rId27" w:history="1">
        <w:r w:rsidRPr="005E2B85">
          <w:rPr>
            <w:rFonts w:asciiTheme="minorHAnsi" w:eastAsia="Times New Roman" w:hAnsiTheme="minorHAnsi"/>
            <w:color w:val="0000FF"/>
            <w:u w:val="single"/>
            <w:lang w:val="en" w:eastAsia="en-AU"/>
          </w:rPr>
          <w:t>public submissions</w:t>
        </w:r>
      </w:hyperlink>
      <w:r w:rsidR="00B852BC">
        <w:rPr>
          <w:rFonts w:asciiTheme="minorHAnsi" w:hAnsiTheme="minorHAnsi"/>
        </w:rPr>
        <w:t xml:space="preserve"> r</w:t>
      </w:r>
      <w:r w:rsidRPr="005E2B85">
        <w:rPr>
          <w:rFonts w:asciiTheme="minorHAnsi" w:hAnsiTheme="minorHAnsi"/>
        </w:rPr>
        <w:t xml:space="preserve">eceived in response to the </w:t>
      </w:r>
      <w:hyperlink r:id="rId28" w:history="1">
        <w:r w:rsidRPr="005E2B85">
          <w:rPr>
            <w:rFonts w:asciiTheme="minorHAnsi" w:eastAsia="Times New Roman" w:hAnsiTheme="minorHAnsi"/>
            <w:color w:val="0000FF"/>
            <w:u w:val="single"/>
            <w:lang w:val="en" w:eastAsia="en-AU"/>
          </w:rPr>
          <w:t>pre-meeting consultation</w:t>
        </w:r>
      </w:hyperlink>
      <w:r w:rsidR="00B852BC">
        <w:rPr>
          <w:rFonts w:asciiTheme="minorHAnsi" w:hAnsiTheme="minorHAnsi"/>
        </w:rPr>
        <w:t xml:space="preserve"> u</w:t>
      </w:r>
      <w:r w:rsidRPr="005E2B85">
        <w:rPr>
          <w:rFonts w:asciiTheme="minorHAnsi" w:hAnsiTheme="minorHAnsi"/>
        </w:rPr>
        <w:t>nder regula</w:t>
      </w:r>
      <w:r w:rsidR="003704C4">
        <w:rPr>
          <w:rFonts w:asciiTheme="minorHAnsi" w:hAnsiTheme="minorHAnsi"/>
        </w:rPr>
        <w:t>tion 42ZCZK of the Regulations;</w:t>
      </w:r>
    </w:p>
    <w:p w14:paraId="3BCC0CD4" w14:textId="77777777" w:rsidR="004403D9" w:rsidRPr="005E2B85" w:rsidRDefault="004403D9" w:rsidP="00EE7A21">
      <w:pPr>
        <w:pStyle w:val="ListBullet"/>
      </w:pPr>
      <w:r w:rsidRPr="005E2B85">
        <w:t>The advice received from the Meeting of the Advisory Committee on Medicines Scheduling (ACMS #31);</w:t>
      </w:r>
    </w:p>
    <w:p w14:paraId="1E14F038" w14:textId="51BE61C0" w:rsidR="004403D9" w:rsidRPr="005E2B85" w:rsidRDefault="004403D9" w:rsidP="00EE7A21">
      <w:pPr>
        <w:pStyle w:val="ListBullet"/>
        <w:rPr>
          <w:rFonts w:asciiTheme="minorHAnsi" w:hAnsiTheme="minorHAnsi"/>
        </w:rPr>
      </w:pPr>
      <w:r w:rsidRPr="005E2B85">
        <w:rPr>
          <w:rFonts w:asciiTheme="minorHAnsi" w:hAnsiTheme="minorHAnsi"/>
        </w:rPr>
        <w:t xml:space="preserve">The </w:t>
      </w:r>
      <w:r w:rsidR="003C78EC" w:rsidRPr="005E2B85">
        <w:rPr>
          <w:rFonts w:asciiTheme="minorHAnsi" w:hAnsiTheme="minorHAnsi"/>
        </w:rPr>
        <w:t>eight</w:t>
      </w:r>
      <w:r w:rsidRPr="005E2B85">
        <w:rPr>
          <w:rFonts w:asciiTheme="minorHAnsi" w:hAnsiTheme="minorHAnsi"/>
        </w:rPr>
        <w:t xml:space="preserve"> public submission</w:t>
      </w:r>
      <w:r w:rsidR="00FF5FB0" w:rsidRPr="005E2B85">
        <w:rPr>
          <w:rFonts w:asciiTheme="minorHAnsi" w:hAnsiTheme="minorHAnsi"/>
        </w:rPr>
        <w:t>s</w:t>
      </w:r>
      <w:r w:rsidRPr="005E2B85">
        <w:rPr>
          <w:rFonts w:asciiTheme="minorHAnsi" w:hAnsiTheme="minorHAnsi"/>
        </w:rPr>
        <w:t xml:space="preserve"> received in response to the </w:t>
      </w:r>
      <w:hyperlink r:id="rId29" w:history="1">
        <w:r w:rsidRPr="005E2B85">
          <w:rPr>
            <w:rFonts w:asciiTheme="minorHAnsi" w:eastAsia="Times New Roman" w:hAnsiTheme="minorHAnsi"/>
            <w:color w:val="0000FF"/>
            <w:u w:val="single"/>
            <w:lang w:val="en" w:eastAsia="en-AU"/>
          </w:rPr>
          <w:t>interim decision consultation</w:t>
        </w:r>
      </w:hyperlink>
      <w:r w:rsidRPr="005E2B85">
        <w:rPr>
          <w:rFonts w:asciiTheme="minorHAnsi" w:eastAsia="Times New Roman" w:hAnsiTheme="minorHAnsi"/>
          <w:color w:val="0000FF"/>
          <w:u w:val="single"/>
          <w:lang w:val="en" w:eastAsia="en-AU"/>
        </w:rPr>
        <w:t xml:space="preserve"> </w:t>
      </w:r>
      <w:r w:rsidRPr="005E2B85">
        <w:rPr>
          <w:rFonts w:asciiTheme="minorHAnsi" w:hAnsiTheme="minorHAnsi"/>
        </w:rPr>
        <w:t>under regulation 42ZCZP of the Regulations;</w:t>
      </w:r>
    </w:p>
    <w:p w14:paraId="24504799" w14:textId="75481DBE" w:rsidR="004403D9" w:rsidRPr="005E2B85" w:rsidRDefault="004403D9" w:rsidP="00EE7A21">
      <w:pPr>
        <w:pStyle w:val="ListBullet"/>
      </w:pPr>
      <w:r w:rsidRPr="005E2B85">
        <w:t xml:space="preserve">Subsection 52E(1) of </w:t>
      </w:r>
      <w:r w:rsidRPr="005E2B85">
        <w:rPr>
          <w:i/>
        </w:rPr>
        <w:t>the Therapeutic Goods Act 1989</w:t>
      </w:r>
      <w:r w:rsidRPr="005E2B85">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w:t>
      </w:r>
      <w:r w:rsidR="005E2B85">
        <w:t>essary to protect public health</w:t>
      </w:r>
      <w:r w:rsidRPr="005E2B85">
        <w:t>;</w:t>
      </w:r>
    </w:p>
    <w:p w14:paraId="36D7755A" w14:textId="77777777" w:rsidR="004403D9" w:rsidRPr="005E2B85" w:rsidRDefault="004403D9" w:rsidP="00EE7A21">
      <w:pPr>
        <w:pStyle w:val="ListBullet"/>
        <w:rPr>
          <w:rFonts w:asciiTheme="minorHAnsi" w:hAnsiTheme="minorHAnsi"/>
        </w:rPr>
      </w:pPr>
      <w:r w:rsidRPr="005E2B85">
        <w:rPr>
          <w:rFonts w:asciiTheme="minorHAnsi" w:hAnsiTheme="minorHAnsi"/>
        </w:rPr>
        <w:t xml:space="preserve">The Australian Health Ministers’ Advisory Council’s </w:t>
      </w:r>
      <w:hyperlink r:id="rId30" w:history="1">
        <w:r w:rsidRPr="005E2B85">
          <w:rPr>
            <w:rStyle w:val="Hyperlink"/>
            <w:rFonts w:asciiTheme="minorHAnsi" w:hAnsiTheme="minorHAnsi"/>
          </w:rPr>
          <w:t>Scheduling Policy Framework</w:t>
        </w:r>
      </w:hyperlink>
      <w:r w:rsidRPr="005E2B85">
        <w:rPr>
          <w:rFonts w:asciiTheme="minorHAnsi" w:hAnsiTheme="minorHAnsi"/>
        </w:rPr>
        <w:t xml:space="preserve"> (SPF 2018); and</w:t>
      </w:r>
    </w:p>
    <w:p w14:paraId="02BDBD17" w14:textId="77777777" w:rsidR="004403D9" w:rsidRPr="005E2B85" w:rsidRDefault="004403D9" w:rsidP="00EE7A21">
      <w:pPr>
        <w:pStyle w:val="ListBullet"/>
        <w:rPr>
          <w:rFonts w:asciiTheme="minorHAnsi" w:hAnsiTheme="minorHAnsi"/>
        </w:rPr>
      </w:pPr>
      <w:r w:rsidRPr="005E2B85">
        <w:rPr>
          <w:rFonts w:asciiTheme="minorHAnsi" w:hAnsiTheme="minorHAnsi"/>
        </w:rPr>
        <w:t xml:space="preserve">The </w:t>
      </w:r>
      <w:hyperlink r:id="rId31" w:history="1">
        <w:r w:rsidRPr="005E2B85">
          <w:rPr>
            <w:rStyle w:val="Hyperlink"/>
            <w:rFonts w:asciiTheme="minorHAnsi" w:hAnsiTheme="minorHAnsi"/>
          </w:rPr>
          <w:t>Scheduling handbook: Guidance for amending the Poisons Standard</w:t>
        </w:r>
      </w:hyperlink>
      <w:r w:rsidRPr="005E2B85">
        <w:rPr>
          <w:rFonts w:asciiTheme="minorHAnsi" w:hAnsiTheme="minorHAnsi"/>
        </w:rPr>
        <w:t>.</w:t>
      </w:r>
    </w:p>
    <w:p w14:paraId="440BC218" w14:textId="77777777" w:rsidR="004403D9" w:rsidRDefault="004403D9" w:rsidP="007A3FAC">
      <w:pPr>
        <w:pStyle w:val="Heading5"/>
      </w:pPr>
      <w:r w:rsidRPr="00436C41">
        <w:t>Reasons for the final decision (including findings on material questions of fact)</w:t>
      </w:r>
    </w:p>
    <w:p w14:paraId="5D58D76F" w14:textId="090600BB" w:rsidR="004403D9" w:rsidRPr="0014113C" w:rsidRDefault="004403D9" w:rsidP="007A3FAC">
      <w:r w:rsidRPr="0014113C">
        <w:t>I have made a final decision to confirm</w:t>
      </w:r>
      <w:r w:rsidR="008F73DD">
        <w:t xml:space="preserve"> </w:t>
      </w:r>
      <w:r w:rsidRPr="0014113C">
        <w:t xml:space="preserve">my </w:t>
      </w:r>
      <w:hyperlink r:id="rId32" w:history="1">
        <w:r w:rsidRPr="001B0C27">
          <w:rPr>
            <w:rStyle w:val="Hyperlink"/>
          </w:rPr>
          <w:t>interim decision</w:t>
        </w:r>
      </w:hyperlink>
      <w:r w:rsidRPr="0014113C">
        <w:t xml:space="preserve"> to not amend the current Poisons Standard with respect to </w:t>
      </w:r>
      <w:proofErr w:type="spellStart"/>
      <w:r>
        <w:t>clotrimazole</w:t>
      </w:r>
      <w:proofErr w:type="spellEnd"/>
      <w:r w:rsidRPr="0014113C">
        <w:t xml:space="preserve">. </w:t>
      </w:r>
      <w:r w:rsidR="008F73DD" w:rsidRPr="008F73DD">
        <w:t>My reasons for making the final decision are those set out in the interim decision. </w:t>
      </w:r>
      <w:r w:rsidRPr="0014113C">
        <w:t>In making my final decision, I have taken into account the material detailed in th</w:t>
      </w:r>
      <w:r>
        <w:t xml:space="preserve">e interim decision and the </w:t>
      </w:r>
      <w:r w:rsidRPr="0014113C">
        <w:t>p</w:t>
      </w:r>
      <w:r>
        <w:t>ublic submission</w:t>
      </w:r>
      <w:r w:rsidR="00F05F46">
        <w:t>s</w:t>
      </w:r>
      <w:r w:rsidRPr="0014113C">
        <w:t xml:space="preserve"> received before the second closing date in response to the call for further submissions published on 13 October 2020 under regulation 42ZCZP of the Regulations.</w:t>
      </w:r>
      <w:r>
        <w:t xml:space="preserve"> </w:t>
      </w:r>
      <w:r>
        <w:rPr>
          <w:color w:val="000000"/>
          <w:lang w:val="en"/>
        </w:rPr>
        <w:t>I note the public submission</w:t>
      </w:r>
      <w:r w:rsidR="00F05F46">
        <w:rPr>
          <w:color w:val="000000"/>
          <w:lang w:val="en"/>
        </w:rPr>
        <w:t>s</w:t>
      </w:r>
      <w:r>
        <w:rPr>
          <w:color w:val="000000"/>
          <w:lang w:val="en"/>
        </w:rPr>
        <w:t xml:space="preserve"> </w:t>
      </w:r>
      <w:r w:rsidR="00F05F46">
        <w:rPr>
          <w:color w:val="000000"/>
          <w:lang w:val="en"/>
        </w:rPr>
        <w:t xml:space="preserve">were </w:t>
      </w:r>
      <w:r>
        <w:rPr>
          <w:color w:val="000000"/>
          <w:lang w:val="en"/>
        </w:rPr>
        <w:t>in support of my interim decision.</w:t>
      </w:r>
    </w:p>
    <w:p w14:paraId="0A404BF7" w14:textId="31A3AFB6" w:rsidR="004403D9" w:rsidRDefault="007A3FAC" w:rsidP="007A3FAC">
      <w:pPr>
        <w:pStyle w:val="Heading4"/>
      </w:pPr>
      <w:bookmarkStart w:id="34" w:name="_Toc57114181"/>
      <w:r>
        <w:lastRenderedPageBreak/>
        <w:t>3.1.4</w:t>
      </w:r>
      <w:r>
        <w:tab/>
      </w:r>
      <w:r w:rsidR="005E2B85">
        <w:t>Final decision in relation to s</w:t>
      </w:r>
      <w:r w:rsidR="004403D9">
        <w:t>i</w:t>
      </w:r>
      <w:r w:rsidR="006E4BD7">
        <w:t>l</w:t>
      </w:r>
      <w:r w:rsidR="004403D9">
        <w:t>denafil</w:t>
      </w:r>
      <w:bookmarkEnd w:id="34"/>
    </w:p>
    <w:p w14:paraId="5FAEF741" w14:textId="26E62EE0" w:rsidR="004403D9" w:rsidRPr="008036B7" w:rsidRDefault="007A3FAC" w:rsidP="007A3FAC">
      <w:pPr>
        <w:pStyle w:val="Heading5"/>
      </w:pPr>
      <w:r>
        <w:t>Final decision</w:t>
      </w:r>
    </w:p>
    <w:p w14:paraId="56505F1D" w14:textId="48DE7DDF" w:rsidR="004403D9" w:rsidRDefault="004403D9" w:rsidP="007A3FAC">
      <w:r>
        <w:t xml:space="preserve">Pursuant to </w:t>
      </w:r>
      <w:r w:rsidRPr="00253509">
        <w:t xml:space="preserve">regulation 42ZCZR of the Regulations, a Delegate of the Secretary has made a final decision to confirm the interim decision and </w:t>
      </w:r>
      <w:r>
        <w:t xml:space="preserve">not </w:t>
      </w:r>
      <w:r w:rsidRPr="00253509">
        <w:t xml:space="preserve">amend the current Poisons Standard in relation to </w:t>
      </w:r>
      <w:r>
        <w:t>si</w:t>
      </w:r>
      <w:r w:rsidR="006E4BD7">
        <w:t>l</w:t>
      </w:r>
      <w:r>
        <w:t>denafil</w:t>
      </w:r>
      <w:r w:rsidRPr="00253509">
        <w:t>:</w:t>
      </w:r>
    </w:p>
    <w:p w14:paraId="645DC7F4" w14:textId="33E1EA35" w:rsidR="004403D9" w:rsidRPr="007A3FAC" w:rsidRDefault="007A3FAC" w:rsidP="007A3FAC">
      <w:pPr>
        <w:pStyle w:val="Heading5"/>
      </w:pPr>
      <w:r>
        <w:t>Materials considered</w:t>
      </w:r>
    </w:p>
    <w:p w14:paraId="7CCCD578" w14:textId="77777777" w:rsidR="004403D9" w:rsidRDefault="004403D9" w:rsidP="007A3FAC">
      <w:r>
        <w:t>In making this final decision, the Delegate considered the following material:</w:t>
      </w:r>
    </w:p>
    <w:p w14:paraId="59266A22" w14:textId="48C84C67" w:rsidR="004403D9" w:rsidRPr="003704C4" w:rsidRDefault="004403D9" w:rsidP="00EE7A21">
      <w:pPr>
        <w:pStyle w:val="ListBullet"/>
        <w:rPr>
          <w:rFonts w:asciiTheme="minorHAnsi" w:hAnsiTheme="minorHAnsi"/>
        </w:rPr>
      </w:pPr>
      <w:r w:rsidRPr="003704C4">
        <w:rPr>
          <w:rFonts w:asciiTheme="minorHAnsi" w:hAnsiTheme="minorHAnsi"/>
        </w:rPr>
        <w:t xml:space="preserve">The </w:t>
      </w:r>
      <w:hyperlink r:id="rId33" w:history="1">
        <w:r w:rsidRPr="003704C4">
          <w:rPr>
            <w:rFonts w:asciiTheme="minorHAnsi" w:eastAsia="Times New Roman" w:hAnsiTheme="minorHAnsi"/>
            <w:color w:val="0000FF"/>
            <w:u w:val="single"/>
            <w:lang w:val="en" w:eastAsia="en-AU"/>
          </w:rPr>
          <w:t>application</w:t>
        </w:r>
      </w:hyperlink>
      <w:r w:rsidR="007A3FAC">
        <w:rPr>
          <w:rFonts w:asciiTheme="minorHAnsi" w:hAnsiTheme="minorHAnsi"/>
        </w:rPr>
        <w:t xml:space="preserve"> t</w:t>
      </w:r>
      <w:r w:rsidRPr="003704C4">
        <w:rPr>
          <w:rFonts w:asciiTheme="minorHAnsi" w:hAnsiTheme="minorHAnsi"/>
        </w:rPr>
        <w:t>o amend the current Poisons Standard with respect to si</w:t>
      </w:r>
      <w:r w:rsidR="006E4BD7" w:rsidRPr="003704C4">
        <w:rPr>
          <w:rFonts w:asciiTheme="minorHAnsi" w:hAnsiTheme="minorHAnsi"/>
        </w:rPr>
        <w:t>l</w:t>
      </w:r>
      <w:r w:rsidRPr="003704C4">
        <w:rPr>
          <w:rFonts w:asciiTheme="minorHAnsi" w:hAnsiTheme="minorHAnsi"/>
        </w:rPr>
        <w:t>denafil;</w:t>
      </w:r>
    </w:p>
    <w:p w14:paraId="31C278D6" w14:textId="778F6513" w:rsidR="004403D9" w:rsidRPr="003704C4" w:rsidRDefault="004403D9" w:rsidP="00EE7A21">
      <w:pPr>
        <w:pStyle w:val="ListBullet"/>
        <w:rPr>
          <w:rFonts w:asciiTheme="minorHAnsi" w:hAnsiTheme="minorHAnsi"/>
        </w:rPr>
      </w:pPr>
      <w:r w:rsidRPr="003704C4">
        <w:rPr>
          <w:rFonts w:asciiTheme="minorHAnsi" w:hAnsiTheme="minorHAnsi"/>
        </w:rPr>
        <w:t xml:space="preserve">The five </w:t>
      </w:r>
      <w:hyperlink r:id="rId34" w:history="1">
        <w:r w:rsidRPr="003704C4">
          <w:rPr>
            <w:rFonts w:asciiTheme="minorHAnsi" w:eastAsia="Times New Roman" w:hAnsiTheme="minorHAnsi"/>
            <w:color w:val="0000FF"/>
            <w:u w:val="single"/>
            <w:lang w:val="en" w:eastAsia="en-AU"/>
          </w:rPr>
          <w:t>public submissions</w:t>
        </w:r>
      </w:hyperlink>
      <w:r w:rsidR="007A3FAC">
        <w:rPr>
          <w:rFonts w:asciiTheme="minorHAnsi" w:hAnsiTheme="minorHAnsi"/>
        </w:rPr>
        <w:t xml:space="preserve"> r</w:t>
      </w:r>
      <w:r w:rsidRPr="003704C4">
        <w:rPr>
          <w:rFonts w:asciiTheme="minorHAnsi" w:hAnsiTheme="minorHAnsi"/>
        </w:rPr>
        <w:t xml:space="preserve">eceived in response to the </w:t>
      </w:r>
      <w:hyperlink r:id="rId35" w:history="1">
        <w:r w:rsidRPr="003704C4">
          <w:rPr>
            <w:rFonts w:asciiTheme="minorHAnsi" w:eastAsia="Times New Roman" w:hAnsiTheme="minorHAnsi"/>
            <w:color w:val="0000FF"/>
            <w:u w:val="single"/>
            <w:lang w:val="en" w:eastAsia="en-AU"/>
          </w:rPr>
          <w:t>pre-meeting consultation</w:t>
        </w:r>
      </w:hyperlink>
      <w:r w:rsidR="007A3FAC">
        <w:rPr>
          <w:rFonts w:asciiTheme="minorHAnsi" w:hAnsiTheme="minorHAnsi"/>
        </w:rPr>
        <w:t xml:space="preserve"> u</w:t>
      </w:r>
      <w:r w:rsidRPr="003704C4">
        <w:rPr>
          <w:rFonts w:asciiTheme="minorHAnsi" w:hAnsiTheme="minorHAnsi"/>
        </w:rPr>
        <w:t>nder regula</w:t>
      </w:r>
      <w:r w:rsidR="003704C4">
        <w:rPr>
          <w:rFonts w:asciiTheme="minorHAnsi" w:hAnsiTheme="minorHAnsi"/>
        </w:rPr>
        <w:t>tion 42ZCZK of the Regulations;</w:t>
      </w:r>
    </w:p>
    <w:p w14:paraId="0CA28575" w14:textId="77777777" w:rsidR="004403D9" w:rsidRPr="003704C4" w:rsidRDefault="004403D9" w:rsidP="00EE7A21">
      <w:pPr>
        <w:pStyle w:val="ListBullet"/>
      </w:pPr>
      <w:r w:rsidRPr="003704C4">
        <w:t>The advice received from the Meeting of the Advisory Committee on Medicines Scheduling (ACMS #31);</w:t>
      </w:r>
    </w:p>
    <w:p w14:paraId="51E69991" w14:textId="35C08603" w:rsidR="004403D9" w:rsidRPr="003704C4" w:rsidRDefault="006E4BD7" w:rsidP="00EE7A21">
      <w:pPr>
        <w:pStyle w:val="ListBullet"/>
        <w:rPr>
          <w:rFonts w:asciiTheme="minorHAnsi" w:hAnsiTheme="minorHAnsi"/>
        </w:rPr>
      </w:pPr>
      <w:r w:rsidRPr="003704C4">
        <w:rPr>
          <w:rFonts w:asciiTheme="minorHAnsi" w:hAnsiTheme="minorHAnsi"/>
        </w:rPr>
        <w:t xml:space="preserve">The </w:t>
      </w:r>
      <w:r w:rsidR="00FF5FB0" w:rsidRPr="003704C4">
        <w:rPr>
          <w:rFonts w:asciiTheme="minorHAnsi" w:hAnsiTheme="minorHAnsi"/>
        </w:rPr>
        <w:t>nine</w:t>
      </w:r>
      <w:r w:rsidR="004403D9" w:rsidRPr="003704C4">
        <w:rPr>
          <w:rFonts w:asciiTheme="minorHAnsi" w:hAnsiTheme="minorHAnsi"/>
        </w:rPr>
        <w:t xml:space="preserve"> public submission</w:t>
      </w:r>
      <w:r w:rsidRPr="003704C4">
        <w:rPr>
          <w:rFonts w:asciiTheme="minorHAnsi" w:hAnsiTheme="minorHAnsi"/>
        </w:rPr>
        <w:t>s</w:t>
      </w:r>
      <w:r w:rsidR="00C3636E" w:rsidRPr="003704C4">
        <w:rPr>
          <w:rFonts w:asciiTheme="minorHAnsi" w:hAnsiTheme="minorHAnsi"/>
        </w:rPr>
        <w:t>,</w:t>
      </w:r>
      <w:r w:rsidR="003C78EC" w:rsidRPr="003704C4">
        <w:rPr>
          <w:rFonts w:asciiTheme="minorHAnsi" w:hAnsiTheme="minorHAnsi"/>
        </w:rPr>
        <w:t xml:space="preserve"> </w:t>
      </w:r>
      <w:r w:rsidR="004403D9" w:rsidRPr="003704C4">
        <w:rPr>
          <w:rFonts w:asciiTheme="minorHAnsi" w:hAnsiTheme="minorHAnsi"/>
        </w:rPr>
        <w:t xml:space="preserve">received in response to the </w:t>
      </w:r>
      <w:hyperlink r:id="rId36" w:history="1">
        <w:r w:rsidR="004403D9" w:rsidRPr="003704C4">
          <w:rPr>
            <w:rFonts w:asciiTheme="minorHAnsi" w:eastAsia="Times New Roman" w:hAnsiTheme="minorHAnsi"/>
            <w:color w:val="0000FF"/>
            <w:u w:val="single"/>
            <w:lang w:val="en" w:eastAsia="en-AU"/>
          </w:rPr>
          <w:t>interim decision consultation</w:t>
        </w:r>
      </w:hyperlink>
      <w:r w:rsidR="007A3FAC">
        <w:rPr>
          <w:rFonts w:asciiTheme="minorHAnsi" w:hAnsiTheme="minorHAnsi"/>
        </w:rPr>
        <w:t xml:space="preserve"> u</w:t>
      </w:r>
      <w:r w:rsidR="004403D9" w:rsidRPr="003704C4">
        <w:rPr>
          <w:rFonts w:asciiTheme="minorHAnsi" w:hAnsiTheme="minorHAnsi"/>
        </w:rPr>
        <w:t>nder regulation 42ZCZP of the Regulations;</w:t>
      </w:r>
    </w:p>
    <w:p w14:paraId="169E3522" w14:textId="78920FA8" w:rsidR="004403D9" w:rsidRPr="003704C4" w:rsidRDefault="004403D9" w:rsidP="00EE7A21">
      <w:pPr>
        <w:pStyle w:val="ListBullet"/>
      </w:pPr>
      <w:r w:rsidRPr="003704C4">
        <w:t xml:space="preserve">Subsection 52E(1) of </w:t>
      </w:r>
      <w:r w:rsidRPr="003704C4">
        <w:rPr>
          <w:i/>
        </w:rPr>
        <w:t>the Therapeutic Goods Act 1989</w:t>
      </w:r>
      <w:r w:rsidRPr="003704C4">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w:t>
      </w:r>
      <w:r w:rsidR="003704C4" w:rsidRPr="003704C4">
        <w:t>essary to protect public health</w:t>
      </w:r>
      <w:r w:rsidRPr="003704C4">
        <w:t>;</w:t>
      </w:r>
    </w:p>
    <w:p w14:paraId="4E690A94" w14:textId="77777777" w:rsidR="004403D9" w:rsidRPr="003704C4" w:rsidRDefault="004403D9" w:rsidP="00EE7A21">
      <w:pPr>
        <w:pStyle w:val="ListBullet"/>
        <w:rPr>
          <w:rFonts w:asciiTheme="minorHAnsi" w:hAnsiTheme="minorHAnsi"/>
        </w:rPr>
      </w:pPr>
      <w:r w:rsidRPr="003704C4">
        <w:rPr>
          <w:rFonts w:asciiTheme="minorHAnsi" w:hAnsiTheme="minorHAnsi"/>
        </w:rPr>
        <w:t xml:space="preserve">The Australian Health Ministers’ Advisory Council’s </w:t>
      </w:r>
      <w:hyperlink r:id="rId37" w:history="1">
        <w:r w:rsidRPr="003704C4">
          <w:rPr>
            <w:rStyle w:val="Hyperlink"/>
            <w:rFonts w:asciiTheme="minorHAnsi" w:hAnsiTheme="minorHAnsi"/>
          </w:rPr>
          <w:t>Scheduling Policy Framework</w:t>
        </w:r>
      </w:hyperlink>
      <w:r w:rsidRPr="003704C4">
        <w:rPr>
          <w:rFonts w:asciiTheme="minorHAnsi" w:hAnsiTheme="minorHAnsi"/>
        </w:rPr>
        <w:t xml:space="preserve"> (SPF 2018); and</w:t>
      </w:r>
    </w:p>
    <w:p w14:paraId="2EC7B692" w14:textId="77777777" w:rsidR="004403D9" w:rsidRPr="003704C4" w:rsidRDefault="004403D9" w:rsidP="00EE7A21">
      <w:pPr>
        <w:pStyle w:val="ListBullet"/>
        <w:rPr>
          <w:rFonts w:asciiTheme="minorHAnsi" w:hAnsiTheme="minorHAnsi"/>
        </w:rPr>
      </w:pPr>
      <w:r w:rsidRPr="003704C4">
        <w:rPr>
          <w:rFonts w:asciiTheme="minorHAnsi" w:hAnsiTheme="minorHAnsi"/>
        </w:rPr>
        <w:t xml:space="preserve">The </w:t>
      </w:r>
      <w:hyperlink r:id="rId38" w:history="1">
        <w:r w:rsidRPr="003704C4">
          <w:rPr>
            <w:rStyle w:val="Hyperlink"/>
            <w:rFonts w:asciiTheme="minorHAnsi" w:hAnsiTheme="minorHAnsi"/>
          </w:rPr>
          <w:t>Scheduling handbook: Guidance for amending the Poisons Standard</w:t>
        </w:r>
      </w:hyperlink>
      <w:r w:rsidRPr="003704C4">
        <w:rPr>
          <w:rFonts w:asciiTheme="minorHAnsi" w:hAnsiTheme="minorHAnsi"/>
        </w:rPr>
        <w:t>.</w:t>
      </w:r>
    </w:p>
    <w:p w14:paraId="3EB3BA9C" w14:textId="77777777" w:rsidR="004403D9" w:rsidRDefault="004403D9" w:rsidP="007A3FAC">
      <w:pPr>
        <w:pStyle w:val="Heading5"/>
      </w:pPr>
      <w:r w:rsidRPr="00436C41">
        <w:t>Reasons for the final decision (including findings on material questions of fact)</w:t>
      </w:r>
    </w:p>
    <w:p w14:paraId="30F58678" w14:textId="5ACC92E4" w:rsidR="00B27751" w:rsidRDefault="004403D9" w:rsidP="007A3FAC">
      <w:r w:rsidRPr="0014113C">
        <w:t xml:space="preserve">I have made a final decision to confirm my </w:t>
      </w:r>
      <w:hyperlink r:id="rId39" w:history="1">
        <w:r w:rsidRPr="008F73DD">
          <w:rPr>
            <w:rStyle w:val="Hyperlink"/>
          </w:rPr>
          <w:t>interim decision</w:t>
        </w:r>
      </w:hyperlink>
      <w:r w:rsidRPr="0014113C">
        <w:t xml:space="preserve"> to not amend the current Poisons Standard with respect to </w:t>
      </w:r>
      <w:r w:rsidR="006E4BD7">
        <w:t>sildenafil</w:t>
      </w:r>
      <w:r w:rsidRPr="0014113C">
        <w:t>.</w:t>
      </w:r>
      <w:r w:rsidR="008F73DD" w:rsidRPr="008F73DD">
        <w:rPr>
          <w:rFonts w:ascii="Noto Sans" w:hAnsi="Noto Sans"/>
          <w:color w:val="000000"/>
          <w:szCs w:val="22"/>
        </w:rPr>
        <w:t xml:space="preserve"> </w:t>
      </w:r>
      <w:r w:rsidR="008F73DD" w:rsidRPr="008F73DD">
        <w:t>My reasons for making the final decision are those s</w:t>
      </w:r>
      <w:r w:rsidR="008F73DD">
        <w:t>et out in the interim decision.</w:t>
      </w:r>
    </w:p>
    <w:p w14:paraId="5B8EFF85" w14:textId="24C2F1F1" w:rsidR="00BB4F50" w:rsidRPr="0014113C" w:rsidRDefault="00BB4F50" w:rsidP="00BB4F50">
      <w:r w:rsidRPr="0014113C">
        <w:t>In making my final decision, I have taken into account the material detailed in th</w:t>
      </w:r>
      <w:r>
        <w:t xml:space="preserve">e interim decision and the </w:t>
      </w:r>
      <w:r w:rsidRPr="0014113C">
        <w:t>p</w:t>
      </w:r>
      <w:r>
        <w:t>ublic submissions</w:t>
      </w:r>
      <w:r w:rsidRPr="0014113C">
        <w:t xml:space="preserve"> received before the second closing date in response to the call for further submissions published on 13 October 2020 under regulation 42ZCZP of the Regulations.</w:t>
      </w:r>
    </w:p>
    <w:p w14:paraId="0715C32A" w14:textId="24620CBE" w:rsidR="00C3636E" w:rsidRDefault="004C40A5" w:rsidP="004403D9">
      <w:r>
        <w:t>I note the public submission</w:t>
      </w:r>
      <w:r w:rsidR="00BB4F50">
        <w:t xml:space="preserve"> on the interim decision</w:t>
      </w:r>
      <w:r>
        <w:t xml:space="preserve"> from the Pharmaceutical</w:t>
      </w:r>
      <w:r w:rsidR="00B27751">
        <w:t xml:space="preserve"> Society of Australia</w:t>
      </w:r>
      <w:r w:rsidR="00F05F46">
        <w:t>, which reiterates their earlier submission, supporting the applicant’s</w:t>
      </w:r>
      <w:r w:rsidR="00B27751">
        <w:t xml:space="preserve"> </w:t>
      </w:r>
      <w:r w:rsidR="00F05F46">
        <w:t xml:space="preserve">down-scheduling </w:t>
      </w:r>
      <w:r w:rsidR="00F05F46" w:rsidRPr="00B27751">
        <w:t>propos</w:t>
      </w:r>
      <w:r w:rsidR="00F05F46">
        <w:t>al</w:t>
      </w:r>
      <w:r w:rsidR="00B27751">
        <w:t xml:space="preserve">. </w:t>
      </w:r>
      <w:r w:rsidR="00F05F46">
        <w:t xml:space="preserve">However, no </w:t>
      </w:r>
      <w:r w:rsidR="00B27751">
        <w:t xml:space="preserve">new information </w:t>
      </w:r>
      <w:r w:rsidR="00F05F46">
        <w:t>has been provided to</w:t>
      </w:r>
      <w:r>
        <w:t xml:space="preserve"> mitigate </w:t>
      </w:r>
      <w:r w:rsidR="00BB4F50">
        <w:t xml:space="preserve">my </w:t>
      </w:r>
      <w:r w:rsidR="00B27751">
        <w:t xml:space="preserve">concern that the down-scheduling of sildenafil may lead to </w:t>
      </w:r>
      <w:r w:rsidRPr="004C40A5">
        <w:t xml:space="preserve">risk </w:t>
      </w:r>
      <w:r w:rsidR="00BB4F50">
        <w:t>for consumers</w:t>
      </w:r>
      <w:r w:rsidRPr="004C40A5">
        <w:t xml:space="preserve"> </w:t>
      </w:r>
      <w:r w:rsidR="00BB4F50">
        <w:t xml:space="preserve">accessing sildenafil </w:t>
      </w:r>
      <w:r w:rsidRPr="004C40A5">
        <w:t>without medical intervention and lack of follow up.</w:t>
      </w:r>
      <w:r w:rsidR="00B27751">
        <w:t xml:space="preserve"> </w:t>
      </w:r>
      <w:r w:rsidR="00BB4F50">
        <w:t>I remain of the firm view that the medical practitioner oversight is required and the current scheduling of sildenafil u</w:t>
      </w:r>
      <w:r w:rsidR="007A3FAC">
        <w:t>nder Schedule 4 is appropriate.</w:t>
      </w:r>
    </w:p>
    <w:p w14:paraId="6EACC4C7" w14:textId="46629121" w:rsidR="00EB015C" w:rsidRDefault="007A3FAC" w:rsidP="007A3FAC">
      <w:pPr>
        <w:pStyle w:val="Heading4"/>
      </w:pPr>
      <w:bookmarkStart w:id="35" w:name="_Toc57114182"/>
      <w:r>
        <w:lastRenderedPageBreak/>
        <w:t>3.1.5</w:t>
      </w:r>
      <w:r>
        <w:tab/>
      </w:r>
      <w:r w:rsidR="005E2B85">
        <w:t>Final decision in relation to i</w:t>
      </w:r>
      <w:r w:rsidR="00EB015C">
        <w:t>buprofen</w:t>
      </w:r>
      <w:bookmarkEnd w:id="35"/>
    </w:p>
    <w:p w14:paraId="7506054B" w14:textId="40CFF767" w:rsidR="00EB015C" w:rsidRPr="008036B7" w:rsidRDefault="007A3FAC" w:rsidP="00EB015C">
      <w:pPr>
        <w:pStyle w:val="Heading5"/>
      </w:pPr>
      <w:r>
        <w:t>Final decision</w:t>
      </w:r>
    </w:p>
    <w:p w14:paraId="030609F5" w14:textId="2410C227" w:rsidR="00EB015C" w:rsidRDefault="00EB015C" w:rsidP="006A1095">
      <w:r>
        <w:t xml:space="preserve">Pursuant to </w:t>
      </w:r>
      <w:r w:rsidRPr="00253509">
        <w:t>regulation 42ZCZR of the Regulations,</w:t>
      </w:r>
      <w:r w:rsidR="008D6D2D" w:rsidRPr="008D6D2D">
        <w:t xml:space="preserve"> </w:t>
      </w:r>
      <w:r w:rsidR="008D6D2D" w:rsidRPr="00253509">
        <w:t xml:space="preserve">a Delegate of the Secretary has made a final decision to confirm the interim decision and amend the current Poisons Standard in relation to </w:t>
      </w:r>
      <w:r w:rsidR="008D6D2D">
        <w:t>Ibuprofen</w:t>
      </w:r>
      <w:r w:rsidR="008D6D2D" w:rsidRPr="00253509">
        <w:t xml:space="preserve"> as follows:</w:t>
      </w:r>
    </w:p>
    <w:p w14:paraId="28897C81" w14:textId="77777777" w:rsidR="008D6D2D" w:rsidRPr="008D6D2D" w:rsidRDefault="008D6D2D" w:rsidP="00EF3F78">
      <w:pPr>
        <w:ind w:left="426"/>
        <w:rPr>
          <w:rFonts w:asciiTheme="minorHAnsi" w:hAnsiTheme="minorHAnsi"/>
          <w:b/>
          <w:szCs w:val="22"/>
          <w:lang w:val="en" w:eastAsia="en-AU"/>
        </w:rPr>
      </w:pPr>
      <w:r w:rsidRPr="008D6D2D">
        <w:rPr>
          <w:rFonts w:asciiTheme="minorHAnsi" w:hAnsiTheme="minorHAnsi"/>
          <w:b/>
          <w:szCs w:val="22"/>
          <w:lang w:val="en" w:eastAsia="en-AU"/>
        </w:rPr>
        <w:t>Schedule 2 - Amend Entry</w:t>
      </w:r>
    </w:p>
    <w:p w14:paraId="3D7A35D5" w14:textId="77777777" w:rsidR="008D6D2D" w:rsidRPr="008D6D2D" w:rsidRDefault="008D6D2D" w:rsidP="00EF3F78">
      <w:pPr>
        <w:ind w:left="426"/>
        <w:rPr>
          <w:rFonts w:asciiTheme="minorHAnsi" w:hAnsiTheme="minorHAnsi"/>
          <w:szCs w:val="22"/>
          <w:lang w:val="en" w:eastAsia="en-AU"/>
        </w:rPr>
      </w:pPr>
      <w:r w:rsidRPr="008D6D2D">
        <w:rPr>
          <w:rFonts w:asciiTheme="minorHAnsi" w:hAnsiTheme="minorHAnsi"/>
          <w:szCs w:val="22"/>
          <w:lang w:val="en" w:eastAsia="en-AU"/>
        </w:rPr>
        <w:t>IBUPROFEN in preparations for oral use when labelled with a recommended daily dose of 1200 mg or less of ibuprofen:</w:t>
      </w:r>
    </w:p>
    <w:p w14:paraId="534FF265" w14:textId="77777777" w:rsidR="008D6D2D" w:rsidRDefault="008D6D2D" w:rsidP="00EF3F78">
      <w:pPr>
        <w:pStyle w:val="Numberbullet2"/>
        <w:ind w:left="851"/>
        <w:rPr>
          <w:lang w:val="en" w:eastAsia="en-AU"/>
        </w:rPr>
      </w:pPr>
      <w:r w:rsidRPr="008D6D2D">
        <w:rPr>
          <w:lang w:val="en" w:eastAsia="en-AU"/>
        </w:rPr>
        <w:t>in liquid preparations when sold in the manufacturer's original pack containing 8 g or less of ibuprofen; or</w:t>
      </w:r>
    </w:p>
    <w:p w14:paraId="25713EE5" w14:textId="77777777" w:rsidR="008D6D2D" w:rsidRDefault="008D6D2D" w:rsidP="00EF3F78">
      <w:pPr>
        <w:pStyle w:val="Numberbullet2"/>
        <w:ind w:left="851"/>
        <w:rPr>
          <w:lang w:val="en" w:eastAsia="en-AU"/>
        </w:rPr>
      </w:pPr>
      <w:r w:rsidRPr="008D6D2D">
        <w:rPr>
          <w:lang w:val="en" w:eastAsia="en-AU"/>
        </w:rPr>
        <w:t xml:space="preserve">in divided preparations, each containing 200 mg or less of ibuprofen, in packs of not more than 100 dosage units except when: </w:t>
      </w:r>
    </w:p>
    <w:p w14:paraId="576DC218" w14:textId="77777777" w:rsidR="008D6D2D" w:rsidRDefault="008D6D2D" w:rsidP="00EF3F78">
      <w:pPr>
        <w:pStyle w:val="Numberbullet3"/>
        <w:rPr>
          <w:lang w:val="en" w:eastAsia="en-AU"/>
        </w:rPr>
      </w:pPr>
      <w:r w:rsidRPr="008D6D2D">
        <w:rPr>
          <w:lang w:val="en" w:eastAsia="en-AU"/>
        </w:rPr>
        <w:t>as the only therapeutically active constituent (other than phenylephrine or when combined with an effervescent agent);</w:t>
      </w:r>
    </w:p>
    <w:p w14:paraId="09473A3A" w14:textId="77777777" w:rsidR="008D6D2D" w:rsidRDefault="008D6D2D" w:rsidP="00EF3F78">
      <w:pPr>
        <w:pStyle w:val="Numberbullet3"/>
        <w:rPr>
          <w:lang w:val="en" w:eastAsia="en-AU"/>
        </w:rPr>
      </w:pPr>
      <w:r w:rsidRPr="008D6D2D">
        <w:rPr>
          <w:lang w:val="en" w:eastAsia="en-AU"/>
        </w:rPr>
        <w:t>packed in blister or strip packaging or in a container with a child-resistant closure;</w:t>
      </w:r>
    </w:p>
    <w:p w14:paraId="58867305" w14:textId="77777777" w:rsidR="008D6D2D" w:rsidRDefault="008D6D2D" w:rsidP="00EF3F78">
      <w:pPr>
        <w:pStyle w:val="Numberbullet3"/>
        <w:rPr>
          <w:lang w:val="en" w:eastAsia="en-AU"/>
        </w:rPr>
      </w:pPr>
      <w:r w:rsidRPr="008D6D2D">
        <w:rPr>
          <w:lang w:val="en" w:eastAsia="en-AU"/>
        </w:rPr>
        <w:t>in a primary pack containing not more than 25 dosage units;</w:t>
      </w:r>
    </w:p>
    <w:p w14:paraId="74DE9535" w14:textId="77777777" w:rsidR="008D6D2D" w:rsidRDefault="008D6D2D" w:rsidP="00EF3F78">
      <w:pPr>
        <w:pStyle w:val="Numberbullet3"/>
        <w:rPr>
          <w:lang w:val="en" w:eastAsia="en-AU"/>
        </w:rPr>
      </w:pPr>
      <w:r w:rsidRPr="008D6D2D">
        <w:rPr>
          <w:lang w:val="en" w:eastAsia="en-AU"/>
        </w:rPr>
        <w:t>compliant with the requirements of the Required Advisory Statements for Medicine Labels;</w:t>
      </w:r>
    </w:p>
    <w:p w14:paraId="320577B5" w14:textId="77777777" w:rsidR="008D6D2D" w:rsidRDefault="008D6D2D" w:rsidP="00EF3F78">
      <w:pPr>
        <w:pStyle w:val="Numberbullet3"/>
        <w:rPr>
          <w:lang w:val="en" w:eastAsia="en-AU"/>
        </w:rPr>
      </w:pPr>
      <w:r w:rsidRPr="008D6D2D">
        <w:rPr>
          <w:lang w:val="en" w:eastAsia="en-AU"/>
        </w:rPr>
        <w:t>not labelled for the treatment of children 6 years of age or less; and</w:t>
      </w:r>
    </w:p>
    <w:p w14:paraId="3E6F36C5" w14:textId="753FF777" w:rsidR="008D6D2D" w:rsidRPr="008D6D2D" w:rsidRDefault="008D6D2D" w:rsidP="00EF3F78">
      <w:pPr>
        <w:pStyle w:val="Numberbullet3"/>
        <w:rPr>
          <w:lang w:val="en" w:eastAsia="en-AU"/>
        </w:rPr>
      </w:pPr>
      <w:proofErr w:type="gramStart"/>
      <w:r w:rsidRPr="008D6D2D">
        <w:rPr>
          <w:lang w:val="en" w:eastAsia="en-AU"/>
        </w:rPr>
        <w:t>not</w:t>
      </w:r>
      <w:proofErr w:type="gramEnd"/>
      <w:r w:rsidRPr="008D6D2D">
        <w:rPr>
          <w:lang w:val="en" w:eastAsia="en-AU"/>
        </w:rPr>
        <w:t xml:space="preserve"> labelled for the treatment of children under 12 years of age when combined with phenylephrine.</w:t>
      </w:r>
    </w:p>
    <w:p w14:paraId="4B94F3AA" w14:textId="5F2155A1" w:rsidR="008D6D2D" w:rsidRPr="00F06A5E" w:rsidRDefault="008D6D2D" w:rsidP="00EF3F78">
      <w:pPr>
        <w:pStyle w:val="Numberbullet2red"/>
        <w:ind w:left="851"/>
        <w:rPr>
          <w:color w:val="FF0000"/>
        </w:rPr>
      </w:pPr>
      <w:r w:rsidRPr="00F06A5E">
        <w:rPr>
          <w:color w:val="FF0000"/>
        </w:rPr>
        <w:t xml:space="preserve">in divided immediate release preparations, each containing 400 mg or less of ibuprofen in a primary pack containing not more than </w:t>
      </w:r>
      <w:r w:rsidR="00F06A5E">
        <w:rPr>
          <w:color w:val="FF0000"/>
        </w:rPr>
        <w:t>12 dosage units, when labelled:</w:t>
      </w:r>
    </w:p>
    <w:p w14:paraId="31F50B44" w14:textId="14DD64DA" w:rsidR="008D6D2D" w:rsidRPr="00F06A5E" w:rsidRDefault="008D6D2D" w:rsidP="00EF3F78">
      <w:pPr>
        <w:pStyle w:val="Numberbullet3red"/>
        <w:ind w:left="1276"/>
      </w:pPr>
      <w:proofErr w:type="gramStart"/>
      <w:r w:rsidRPr="00F06A5E">
        <w:t>not</w:t>
      </w:r>
      <w:proofErr w:type="gramEnd"/>
      <w:r w:rsidRPr="00F06A5E">
        <w:t xml:space="preserve"> for the treatment of children under 12 years of age.</w:t>
      </w:r>
    </w:p>
    <w:p w14:paraId="19B8AB49" w14:textId="3ADF8CCE" w:rsidR="00EB015C" w:rsidRPr="00F06A5E" w:rsidRDefault="00F06A5E" w:rsidP="00F06A5E">
      <w:pPr>
        <w:pStyle w:val="Heading5"/>
      </w:pPr>
      <w:r>
        <w:t>Materials considered</w:t>
      </w:r>
    </w:p>
    <w:p w14:paraId="5C8FDA99" w14:textId="77777777" w:rsidR="00EB015C" w:rsidRDefault="00EB015C" w:rsidP="00F06A5E">
      <w:r>
        <w:t>In making this final decision, the Delegate considered the following material:</w:t>
      </w:r>
    </w:p>
    <w:p w14:paraId="15C21094" w14:textId="02000FEF" w:rsidR="00EB015C" w:rsidRPr="003704C4" w:rsidRDefault="00EB015C" w:rsidP="00EE7A21">
      <w:pPr>
        <w:pStyle w:val="ListBullet"/>
        <w:rPr>
          <w:rFonts w:asciiTheme="minorHAnsi" w:hAnsiTheme="minorHAnsi"/>
          <w:szCs w:val="22"/>
        </w:rPr>
      </w:pPr>
      <w:r w:rsidRPr="003704C4">
        <w:rPr>
          <w:rFonts w:asciiTheme="minorHAnsi" w:hAnsiTheme="minorHAnsi"/>
          <w:szCs w:val="22"/>
        </w:rPr>
        <w:t xml:space="preserve">The </w:t>
      </w:r>
      <w:hyperlink r:id="rId40" w:history="1">
        <w:r w:rsidRPr="003704C4">
          <w:rPr>
            <w:rFonts w:asciiTheme="minorHAnsi" w:eastAsia="Times New Roman" w:hAnsiTheme="minorHAnsi"/>
            <w:color w:val="0000FF"/>
            <w:szCs w:val="22"/>
            <w:u w:val="single"/>
            <w:lang w:val="en" w:eastAsia="en-AU"/>
          </w:rPr>
          <w:t>application</w:t>
        </w:r>
      </w:hyperlink>
      <w:r w:rsidR="00F06A5E">
        <w:rPr>
          <w:rFonts w:asciiTheme="minorHAnsi" w:hAnsiTheme="minorHAnsi"/>
          <w:szCs w:val="22"/>
        </w:rPr>
        <w:t xml:space="preserve"> t</w:t>
      </w:r>
      <w:r w:rsidRPr="003704C4">
        <w:rPr>
          <w:rFonts w:asciiTheme="minorHAnsi" w:hAnsiTheme="minorHAnsi"/>
          <w:szCs w:val="22"/>
        </w:rPr>
        <w:t>o amend the current Poisons Sta</w:t>
      </w:r>
      <w:r w:rsidR="005D321C" w:rsidRPr="003704C4">
        <w:rPr>
          <w:rFonts w:asciiTheme="minorHAnsi" w:hAnsiTheme="minorHAnsi"/>
          <w:szCs w:val="22"/>
        </w:rPr>
        <w:t>ndard with respect to ibuprofen</w:t>
      </w:r>
      <w:r w:rsidRPr="003704C4">
        <w:rPr>
          <w:rFonts w:asciiTheme="minorHAnsi" w:hAnsiTheme="minorHAnsi"/>
          <w:szCs w:val="22"/>
        </w:rPr>
        <w:t>;</w:t>
      </w:r>
    </w:p>
    <w:p w14:paraId="5102ADF2" w14:textId="5C5AC794" w:rsidR="00EB015C" w:rsidRPr="003704C4" w:rsidRDefault="00EB015C" w:rsidP="00EE7A21">
      <w:pPr>
        <w:pStyle w:val="ListBullet"/>
        <w:rPr>
          <w:rFonts w:asciiTheme="minorHAnsi" w:hAnsiTheme="minorHAnsi"/>
          <w:szCs w:val="22"/>
        </w:rPr>
      </w:pPr>
      <w:r w:rsidRPr="003704C4">
        <w:rPr>
          <w:rFonts w:asciiTheme="minorHAnsi" w:hAnsiTheme="minorHAnsi"/>
          <w:szCs w:val="22"/>
        </w:rPr>
        <w:t xml:space="preserve">The five </w:t>
      </w:r>
      <w:hyperlink r:id="rId41" w:history="1">
        <w:r w:rsidRPr="003704C4">
          <w:rPr>
            <w:rFonts w:asciiTheme="minorHAnsi" w:eastAsia="Times New Roman" w:hAnsiTheme="minorHAnsi"/>
            <w:color w:val="0000FF"/>
            <w:szCs w:val="22"/>
            <w:u w:val="single"/>
            <w:lang w:val="en" w:eastAsia="en-AU"/>
          </w:rPr>
          <w:t>public submissions</w:t>
        </w:r>
      </w:hyperlink>
      <w:r w:rsidR="00F06A5E">
        <w:rPr>
          <w:rFonts w:asciiTheme="minorHAnsi" w:hAnsiTheme="minorHAnsi"/>
          <w:szCs w:val="22"/>
        </w:rPr>
        <w:t xml:space="preserve"> r</w:t>
      </w:r>
      <w:r w:rsidRPr="003704C4">
        <w:rPr>
          <w:rFonts w:asciiTheme="minorHAnsi" w:hAnsiTheme="minorHAnsi"/>
          <w:szCs w:val="22"/>
        </w:rPr>
        <w:t xml:space="preserve">eceived in response to the </w:t>
      </w:r>
      <w:hyperlink r:id="rId42" w:history="1">
        <w:r w:rsidRPr="003704C4">
          <w:rPr>
            <w:rFonts w:asciiTheme="minorHAnsi" w:eastAsia="Times New Roman" w:hAnsiTheme="minorHAnsi"/>
            <w:color w:val="0000FF"/>
            <w:szCs w:val="22"/>
            <w:u w:val="single"/>
            <w:lang w:val="en" w:eastAsia="en-AU"/>
          </w:rPr>
          <w:t>pre-meeting consultation</w:t>
        </w:r>
      </w:hyperlink>
      <w:r w:rsidR="00F06A5E">
        <w:rPr>
          <w:rFonts w:asciiTheme="minorHAnsi" w:hAnsiTheme="minorHAnsi"/>
          <w:szCs w:val="22"/>
        </w:rPr>
        <w:t xml:space="preserve"> u</w:t>
      </w:r>
      <w:r w:rsidRPr="003704C4">
        <w:rPr>
          <w:rFonts w:asciiTheme="minorHAnsi" w:hAnsiTheme="minorHAnsi"/>
          <w:szCs w:val="22"/>
        </w:rPr>
        <w:t>nder regula</w:t>
      </w:r>
      <w:r w:rsidR="003704C4">
        <w:rPr>
          <w:rFonts w:asciiTheme="minorHAnsi" w:hAnsiTheme="minorHAnsi"/>
          <w:szCs w:val="22"/>
        </w:rPr>
        <w:t>tion 42ZCZK of the Regulations;</w:t>
      </w:r>
    </w:p>
    <w:p w14:paraId="6ED7EEE2" w14:textId="77777777" w:rsidR="00EB015C" w:rsidRPr="003704C4" w:rsidRDefault="00EB015C" w:rsidP="00EE7A21">
      <w:pPr>
        <w:pStyle w:val="ListBullet"/>
      </w:pPr>
      <w:r w:rsidRPr="003704C4">
        <w:t>The advice received from the Meeting of the Advisory Committee on Medicines Scheduling (ACMS #31);</w:t>
      </w:r>
    </w:p>
    <w:p w14:paraId="6CF4495D" w14:textId="7BAE93E8" w:rsidR="00EB015C" w:rsidRPr="003704C4" w:rsidRDefault="004E13E5" w:rsidP="00EE7A21">
      <w:pPr>
        <w:pStyle w:val="ListBullet"/>
        <w:rPr>
          <w:rFonts w:asciiTheme="minorHAnsi" w:hAnsiTheme="minorHAnsi"/>
          <w:szCs w:val="22"/>
        </w:rPr>
      </w:pPr>
      <w:r w:rsidRPr="003704C4">
        <w:rPr>
          <w:rFonts w:asciiTheme="minorHAnsi" w:hAnsiTheme="minorHAnsi"/>
          <w:szCs w:val="22"/>
        </w:rPr>
        <w:t xml:space="preserve">The </w:t>
      </w:r>
      <w:r w:rsidR="002D25EE" w:rsidRPr="003704C4">
        <w:rPr>
          <w:rFonts w:asciiTheme="minorHAnsi" w:hAnsiTheme="minorHAnsi"/>
          <w:szCs w:val="22"/>
        </w:rPr>
        <w:t>eleven</w:t>
      </w:r>
      <w:r w:rsidR="00EB015C" w:rsidRPr="003704C4">
        <w:rPr>
          <w:rFonts w:asciiTheme="minorHAnsi" w:hAnsiTheme="minorHAnsi"/>
          <w:szCs w:val="22"/>
        </w:rPr>
        <w:t xml:space="preserve"> public submissions</w:t>
      </w:r>
      <w:r w:rsidR="00DE6676">
        <w:rPr>
          <w:rFonts w:asciiTheme="minorHAnsi" w:hAnsiTheme="minorHAnsi"/>
          <w:szCs w:val="22"/>
        </w:rPr>
        <w:t xml:space="preserve"> </w:t>
      </w:r>
      <w:r w:rsidR="00EB015C" w:rsidRPr="003704C4">
        <w:rPr>
          <w:rFonts w:asciiTheme="minorHAnsi" w:hAnsiTheme="minorHAnsi"/>
          <w:szCs w:val="22"/>
        </w:rPr>
        <w:t xml:space="preserve">received in response to the </w:t>
      </w:r>
      <w:hyperlink r:id="rId43" w:history="1">
        <w:r w:rsidR="00EB015C" w:rsidRPr="003704C4">
          <w:rPr>
            <w:rFonts w:asciiTheme="minorHAnsi" w:eastAsia="Times New Roman" w:hAnsiTheme="minorHAnsi"/>
            <w:color w:val="0000FF"/>
            <w:szCs w:val="22"/>
            <w:u w:val="single"/>
            <w:lang w:val="en" w:eastAsia="en-AU"/>
          </w:rPr>
          <w:t>interim decision consultation</w:t>
        </w:r>
      </w:hyperlink>
      <w:r w:rsidR="00EB015C" w:rsidRPr="003704C4">
        <w:rPr>
          <w:rFonts w:asciiTheme="minorHAnsi" w:eastAsia="Times New Roman" w:hAnsiTheme="minorHAnsi"/>
          <w:color w:val="006EAB"/>
          <w:szCs w:val="22"/>
          <w:u w:val="single"/>
          <w:lang w:val="en" w:eastAsia="en-AU"/>
        </w:rPr>
        <w:t xml:space="preserve"> </w:t>
      </w:r>
      <w:r w:rsidR="00EB015C" w:rsidRPr="003704C4">
        <w:rPr>
          <w:rFonts w:asciiTheme="minorHAnsi" w:hAnsiTheme="minorHAnsi"/>
          <w:szCs w:val="22"/>
        </w:rPr>
        <w:t>under regulation 42ZCZP of the Regulations;</w:t>
      </w:r>
    </w:p>
    <w:p w14:paraId="72AF58F6" w14:textId="2BE626C4" w:rsidR="00EB015C" w:rsidRPr="003704C4" w:rsidRDefault="00EB015C" w:rsidP="00EE7A21">
      <w:pPr>
        <w:pStyle w:val="ListBullet"/>
      </w:pPr>
      <w:r w:rsidRPr="003704C4">
        <w:t xml:space="preserve">Subsection 52E(1) of </w:t>
      </w:r>
      <w:r w:rsidRPr="003704C4">
        <w:rPr>
          <w:i/>
        </w:rPr>
        <w:t>the Therapeutic Goods Act 1989</w:t>
      </w:r>
      <w:r w:rsidRPr="003704C4">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w:t>
      </w:r>
      <w:r w:rsidR="00B35BBF">
        <w:t>essary to protect public health</w:t>
      </w:r>
      <w:r w:rsidRPr="003704C4">
        <w:t>;</w:t>
      </w:r>
    </w:p>
    <w:p w14:paraId="4BF4D006" w14:textId="77777777" w:rsidR="00EB015C" w:rsidRPr="003704C4" w:rsidRDefault="00EB015C" w:rsidP="00EE7A21">
      <w:pPr>
        <w:pStyle w:val="ListBullet"/>
        <w:rPr>
          <w:rFonts w:asciiTheme="minorHAnsi" w:hAnsiTheme="minorHAnsi"/>
          <w:szCs w:val="22"/>
        </w:rPr>
      </w:pPr>
      <w:r w:rsidRPr="003704C4">
        <w:rPr>
          <w:rFonts w:asciiTheme="minorHAnsi" w:hAnsiTheme="minorHAnsi"/>
          <w:szCs w:val="22"/>
        </w:rPr>
        <w:lastRenderedPageBreak/>
        <w:t xml:space="preserve">The Australian Health Ministers’ Advisory Council’s </w:t>
      </w:r>
      <w:hyperlink r:id="rId44" w:history="1">
        <w:r w:rsidRPr="003704C4">
          <w:rPr>
            <w:rStyle w:val="Hyperlink"/>
            <w:rFonts w:asciiTheme="minorHAnsi" w:hAnsiTheme="minorHAnsi"/>
            <w:szCs w:val="22"/>
          </w:rPr>
          <w:t>Scheduling Policy Framework</w:t>
        </w:r>
      </w:hyperlink>
      <w:r w:rsidRPr="003704C4">
        <w:rPr>
          <w:rFonts w:asciiTheme="minorHAnsi" w:hAnsiTheme="minorHAnsi"/>
          <w:szCs w:val="22"/>
        </w:rPr>
        <w:t xml:space="preserve"> (SPF 2018); and</w:t>
      </w:r>
    </w:p>
    <w:p w14:paraId="09DD5D5C" w14:textId="77777777" w:rsidR="00EB015C" w:rsidRPr="003704C4" w:rsidRDefault="00EB015C" w:rsidP="00EE7A21">
      <w:pPr>
        <w:pStyle w:val="ListBullet"/>
        <w:rPr>
          <w:rFonts w:asciiTheme="minorHAnsi" w:hAnsiTheme="minorHAnsi"/>
          <w:szCs w:val="22"/>
        </w:rPr>
      </w:pPr>
      <w:r w:rsidRPr="003704C4">
        <w:rPr>
          <w:rFonts w:asciiTheme="minorHAnsi" w:hAnsiTheme="minorHAnsi"/>
          <w:szCs w:val="22"/>
        </w:rPr>
        <w:t xml:space="preserve">The </w:t>
      </w:r>
      <w:hyperlink r:id="rId45" w:history="1">
        <w:r w:rsidRPr="003704C4">
          <w:rPr>
            <w:rStyle w:val="Hyperlink"/>
            <w:rFonts w:asciiTheme="minorHAnsi" w:hAnsiTheme="minorHAnsi"/>
            <w:szCs w:val="22"/>
          </w:rPr>
          <w:t>Scheduling handbook: Guidance for amending the Poisons Standard</w:t>
        </w:r>
      </w:hyperlink>
      <w:r w:rsidRPr="003704C4">
        <w:rPr>
          <w:rFonts w:asciiTheme="minorHAnsi" w:hAnsiTheme="minorHAnsi"/>
          <w:szCs w:val="22"/>
        </w:rPr>
        <w:t>.</w:t>
      </w:r>
    </w:p>
    <w:p w14:paraId="0C534A79" w14:textId="77777777" w:rsidR="00EB015C" w:rsidRDefault="00EB015C" w:rsidP="00F06A5E">
      <w:pPr>
        <w:pStyle w:val="Heading5"/>
      </w:pPr>
      <w:r w:rsidRPr="00824BA5">
        <w:t>Reasons for the final decision</w:t>
      </w:r>
      <w:r w:rsidRPr="00436C41">
        <w:t xml:space="preserve"> (including findings on material questions of fact)</w:t>
      </w:r>
    </w:p>
    <w:p w14:paraId="2D88A34C" w14:textId="3D9AA19D" w:rsidR="004E13E5" w:rsidRDefault="008D6D2D" w:rsidP="00F06A5E">
      <w:r w:rsidRPr="00253509">
        <w:t>I have made a final decision to confirm</w:t>
      </w:r>
      <w:r>
        <w:t xml:space="preserve"> my </w:t>
      </w:r>
      <w:hyperlink r:id="rId46" w:history="1">
        <w:r w:rsidRPr="008F73DD">
          <w:rPr>
            <w:rStyle w:val="Hyperlink"/>
          </w:rPr>
          <w:t>interim decision</w:t>
        </w:r>
      </w:hyperlink>
      <w:r>
        <w:t xml:space="preserve"> to amend</w:t>
      </w:r>
      <w:r w:rsidRPr="00253509">
        <w:t xml:space="preserve"> the current Poisons </w:t>
      </w:r>
      <w:r w:rsidRPr="00247308">
        <w:t xml:space="preserve">Standard with respect to ibuprofen. </w:t>
      </w:r>
      <w:r w:rsidR="008F73DD" w:rsidRPr="008F73DD">
        <w:t>My reasons for making the final decision are those set out in the interim decision. </w:t>
      </w:r>
      <w:r w:rsidR="00383334" w:rsidRPr="00383334">
        <w:t>In making my final decision, I have taken into account the material detailed in the interim decision and the public submissions received before the second closing date in response to the call for further submissions published on 13 October 2020 under regula</w:t>
      </w:r>
      <w:r w:rsidR="00F06A5E">
        <w:t>tion 42ZCZP of the Regulations.</w:t>
      </w:r>
    </w:p>
    <w:p w14:paraId="52543C23" w14:textId="5900B2FE" w:rsidR="00A84B19" w:rsidRPr="00247308" w:rsidRDefault="00A84B19" w:rsidP="00A84B19">
      <w:r w:rsidRPr="00247308">
        <w:t>I have considered the public submission</w:t>
      </w:r>
      <w:r>
        <w:t xml:space="preserve"> that opposes the</w:t>
      </w:r>
      <w:r w:rsidRPr="00247308">
        <w:t xml:space="preserve"> </w:t>
      </w:r>
      <w:r>
        <w:t xml:space="preserve">amendment due to the risks of NSAIDs. </w:t>
      </w:r>
      <w:r w:rsidR="00DC765D">
        <w:t xml:space="preserve"> I remain of the</w:t>
      </w:r>
      <w:r>
        <w:t xml:space="preserve"> view that </w:t>
      </w:r>
      <w:r w:rsidRPr="00A84B19">
        <w:t>the net benefits of broadening the availability of immediate release ibuprofen with restrictions placed on age, dosage form and pack size, combined with warning labels, outweighs the potential risks associated with improper use.</w:t>
      </w:r>
    </w:p>
    <w:p w14:paraId="6C57C586" w14:textId="1DB8B8C8" w:rsidR="00383334" w:rsidRDefault="004E13E5" w:rsidP="00247308">
      <w:pPr>
        <w:pStyle w:val="Default"/>
        <w:rPr>
          <w:rFonts w:asciiTheme="minorHAnsi" w:hAnsiTheme="minorHAnsi"/>
          <w:sz w:val="22"/>
          <w:szCs w:val="22"/>
        </w:rPr>
      </w:pPr>
      <w:r w:rsidRPr="00247308">
        <w:rPr>
          <w:rFonts w:asciiTheme="minorHAnsi" w:hAnsiTheme="minorHAnsi"/>
          <w:sz w:val="22"/>
          <w:szCs w:val="22"/>
        </w:rPr>
        <w:t>I have considered the public submission</w:t>
      </w:r>
      <w:r w:rsidR="00383334">
        <w:rPr>
          <w:rFonts w:asciiTheme="minorHAnsi" w:hAnsiTheme="minorHAnsi"/>
          <w:sz w:val="22"/>
          <w:szCs w:val="22"/>
        </w:rPr>
        <w:t>s that oppose</w:t>
      </w:r>
      <w:r w:rsidR="00247308">
        <w:rPr>
          <w:rFonts w:asciiTheme="minorHAnsi" w:hAnsiTheme="minorHAnsi"/>
          <w:sz w:val="22"/>
          <w:szCs w:val="22"/>
        </w:rPr>
        <w:t xml:space="preserve"> the</w:t>
      </w:r>
      <w:r w:rsidR="005C4804" w:rsidRPr="00247308">
        <w:rPr>
          <w:rFonts w:asciiTheme="minorHAnsi" w:hAnsiTheme="minorHAnsi"/>
          <w:sz w:val="22"/>
          <w:szCs w:val="22"/>
        </w:rPr>
        <w:t xml:space="preserve"> </w:t>
      </w:r>
      <w:r w:rsidR="00D66CE2" w:rsidRPr="00247308">
        <w:rPr>
          <w:rFonts w:asciiTheme="minorHAnsi" w:hAnsiTheme="minorHAnsi"/>
          <w:sz w:val="22"/>
          <w:szCs w:val="22"/>
        </w:rPr>
        <w:t xml:space="preserve">confinement to immediate release ibuprofen, stating that </w:t>
      </w:r>
      <w:r w:rsidRPr="00247308">
        <w:rPr>
          <w:rFonts w:asciiTheme="minorHAnsi" w:hAnsiTheme="minorHAnsi"/>
          <w:sz w:val="22"/>
          <w:szCs w:val="22"/>
        </w:rPr>
        <w:t>modified release ibuprofen has</w:t>
      </w:r>
      <w:r w:rsidR="00D66CE2" w:rsidRPr="00247308">
        <w:rPr>
          <w:rFonts w:asciiTheme="minorHAnsi" w:hAnsiTheme="minorHAnsi"/>
          <w:sz w:val="22"/>
          <w:szCs w:val="22"/>
        </w:rPr>
        <w:t xml:space="preserve"> an </w:t>
      </w:r>
      <w:r w:rsidRPr="00247308">
        <w:rPr>
          <w:rFonts w:asciiTheme="minorHAnsi" w:hAnsiTheme="minorHAnsi"/>
          <w:sz w:val="22"/>
          <w:szCs w:val="22"/>
        </w:rPr>
        <w:t xml:space="preserve">equivalent safety profile. </w:t>
      </w:r>
      <w:r w:rsidR="00383334" w:rsidRPr="00383334">
        <w:rPr>
          <w:rFonts w:asciiTheme="minorHAnsi" w:hAnsiTheme="minorHAnsi"/>
          <w:sz w:val="22"/>
          <w:szCs w:val="22"/>
        </w:rPr>
        <w:t>Ibuprofen modified release was launched as Schedule 3 in November 2019</w:t>
      </w:r>
      <w:r w:rsidR="00383334">
        <w:rPr>
          <w:rFonts w:asciiTheme="minorHAnsi" w:hAnsiTheme="minorHAnsi"/>
          <w:sz w:val="22"/>
          <w:szCs w:val="22"/>
        </w:rPr>
        <w:t xml:space="preserve"> and as noted in my interim decision, </w:t>
      </w:r>
      <w:r w:rsidR="00383334" w:rsidRPr="00383334">
        <w:rPr>
          <w:rFonts w:asciiTheme="minorHAnsi" w:hAnsiTheme="minorHAnsi"/>
          <w:sz w:val="22"/>
          <w:szCs w:val="22"/>
          <w:lang w:val="en"/>
        </w:rPr>
        <w:t>has limited clinical experience</w:t>
      </w:r>
      <w:r w:rsidR="00383334">
        <w:rPr>
          <w:rFonts w:asciiTheme="minorHAnsi" w:hAnsiTheme="minorHAnsi"/>
          <w:sz w:val="22"/>
          <w:szCs w:val="22"/>
          <w:lang w:val="en"/>
        </w:rPr>
        <w:t xml:space="preserve"> in Australia. </w:t>
      </w:r>
      <w:r w:rsidR="00383334">
        <w:rPr>
          <w:rFonts w:asciiTheme="minorHAnsi" w:hAnsiTheme="minorHAnsi"/>
          <w:sz w:val="22"/>
          <w:szCs w:val="22"/>
        </w:rPr>
        <w:t>It is my view that this i</w:t>
      </w:r>
      <w:r w:rsidR="00383334" w:rsidRPr="00383334">
        <w:rPr>
          <w:rFonts w:asciiTheme="minorHAnsi" w:hAnsiTheme="minorHAnsi"/>
          <w:sz w:val="22"/>
          <w:szCs w:val="22"/>
        </w:rPr>
        <w:t xml:space="preserve">s a matter for a separate scheduling application. Therefore, I have not relied on the material in </w:t>
      </w:r>
      <w:r w:rsidR="00383334">
        <w:rPr>
          <w:rFonts w:asciiTheme="minorHAnsi" w:hAnsiTheme="minorHAnsi"/>
          <w:sz w:val="22"/>
          <w:szCs w:val="22"/>
        </w:rPr>
        <w:t>the</w:t>
      </w:r>
      <w:r w:rsidR="00383334" w:rsidRPr="00383334">
        <w:rPr>
          <w:rFonts w:asciiTheme="minorHAnsi" w:hAnsiTheme="minorHAnsi"/>
          <w:sz w:val="22"/>
          <w:szCs w:val="22"/>
        </w:rPr>
        <w:t xml:space="preserve"> public submission</w:t>
      </w:r>
      <w:r w:rsidR="00383334">
        <w:rPr>
          <w:rFonts w:asciiTheme="minorHAnsi" w:hAnsiTheme="minorHAnsi"/>
          <w:sz w:val="22"/>
          <w:szCs w:val="22"/>
        </w:rPr>
        <w:t>s</w:t>
      </w:r>
      <w:r w:rsidR="00383334" w:rsidRPr="00383334">
        <w:rPr>
          <w:rFonts w:asciiTheme="minorHAnsi" w:hAnsiTheme="minorHAnsi"/>
          <w:sz w:val="22"/>
          <w:szCs w:val="22"/>
        </w:rPr>
        <w:t xml:space="preserve"> in making my final decision.</w:t>
      </w:r>
    </w:p>
    <w:p w14:paraId="03E7D734" w14:textId="0C85CB86" w:rsidR="008D6D2D" w:rsidRDefault="00F06A5E" w:rsidP="008D6D2D">
      <w:pPr>
        <w:pStyle w:val="Heading5"/>
      </w:pPr>
      <w:r>
        <w:t>Date of effect of the decision</w:t>
      </w:r>
    </w:p>
    <w:p w14:paraId="7037A4E7" w14:textId="3DD46CCE" w:rsidR="008D6D2D" w:rsidRPr="00DA3817" w:rsidRDefault="008D6D2D" w:rsidP="008D6D2D">
      <w:pPr>
        <w:rPr>
          <w:b/>
        </w:rPr>
      </w:pPr>
      <w:r w:rsidRPr="00DA3817">
        <w:rPr>
          <w:b/>
        </w:rPr>
        <w:t>1 February 2021</w:t>
      </w:r>
    </w:p>
    <w:p w14:paraId="0AEB4896" w14:textId="4BF8ABC5" w:rsidR="00256515" w:rsidRDefault="00F06A5E" w:rsidP="00F06A5E">
      <w:pPr>
        <w:pStyle w:val="Heading4"/>
      </w:pPr>
      <w:bookmarkStart w:id="36" w:name="_Toc57114183"/>
      <w:r>
        <w:t>3.1.6</w:t>
      </w:r>
      <w:r>
        <w:tab/>
      </w:r>
      <w:r w:rsidR="008844F7">
        <w:t xml:space="preserve">Final decision in </w:t>
      </w:r>
      <w:r w:rsidR="008844F7" w:rsidRPr="006C6CEF">
        <w:t xml:space="preserve">relation to </w:t>
      </w:r>
      <w:proofErr w:type="spellStart"/>
      <w:r w:rsidR="008844F7" w:rsidRPr="006C6CEF">
        <w:t>cumyl-pegaclone</w:t>
      </w:r>
      <w:bookmarkEnd w:id="36"/>
      <w:proofErr w:type="spellEnd"/>
    </w:p>
    <w:p w14:paraId="2BD3197A" w14:textId="3FCC7A68" w:rsidR="006C6CEF" w:rsidRPr="008036B7" w:rsidRDefault="00F06A5E" w:rsidP="006C6CEF">
      <w:pPr>
        <w:pStyle w:val="Heading5"/>
      </w:pPr>
      <w:r>
        <w:t>Final decision</w:t>
      </w:r>
    </w:p>
    <w:p w14:paraId="5C852A32" w14:textId="553AC468" w:rsidR="006C6CEF" w:rsidRDefault="006C6CEF" w:rsidP="006C6CEF">
      <w:r>
        <w:t xml:space="preserve">Pursuant to </w:t>
      </w:r>
      <w:r w:rsidRPr="00253509">
        <w:t>regulation 42ZCZR of the Regulations,</w:t>
      </w:r>
      <w:r w:rsidRPr="008D6D2D">
        <w:t xml:space="preserve"> </w:t>
      </w:r>
      <w:r w:rsidRPr="00253509">
        <w:t xml:space="preserve">a Delegate of the Secretary has made a final decision to confirm the interim decision and amend the current Poisons Standard in relation to </w:t>
      </w:r>
      <w:proofErr w:type="spellStart"/>
      <w:r>
        <w:t>cumyl-pegaclone</w:t>
      </w:r>
      <w:proofErr w:type="spellEnd"/>
      <w:r w:rsidRPr="00253509">
        <w:t xml:space="preserve"> as follows:</w:t>
      </w:r>
    </w:p>
    <w:p w14:paraId="67058CB1" w14:textId="77777777" w:rsidR="006C6CEF" w:rsidRPr="006C6CEF" w:rsidRDefault="006C6CEF" w:rsidP="00EF3F78">
      <w:pPr>
        <w:ind w:left="426"/>
        <w:rPr>
          <w:b/>
          <w:lang w:val="en" w:eastAsia="en-AU"/>
        </w:rPr>
      </w:pPr>
      <w:r w:rsidRPr="006C6CEF">
        <w:rPr>
          <w:b/>
          <w:lang w:val="en" w:eastAsia="en-AU"/>
        </w:rPr>
        <w:t>Schedule 9 - New Entry</w:t>
      </w:r>
    </w:p>
    <w:p w14:paraId="5AF3413C" w14:textId="77777777" w:rsidR="006C6CEF" w:rsidRPr="006C6CEF" w:rsidRDefault="006C6CEF" w:rsidP="00EF3F78">
      <w:pPr>
        <w:ind w:left="426"/>
        <w:rPr>
          <w:color w:val="FF0000"/>
          <w:lang w:val="en" w:eastAsia="en-AU"/>
        </w:rPr>
      </w:pPr>
      <w:r w:rsidRPr="006C6CEF">
        <w:rPr>
          <w:color w:val="FF0000"/>
          <w:lang w:val="en" w:eastAsia="en-AU"/>
        </w:rPr>
        <w:t>2</w:t>
      </w:r>
      <w:proofErr w:type="gramStart"/>
      <w:r w:rsidRPr="006C6CEF">
        <w:rPr>
          <w:color w:val="FF0000"/>
          <w:lang w:val="en" w:eastAsia="en-AU"/>
        </w:rPr>
        <w:t>,5</w:t>
      </w:r>
      <w:proofErr w:type="gramEnd"/>
      <w:r w:rsidRPr="006C6CEF">
        <w:rPr>
          <w:color w:val="FF0000"/>
          <w:lang w:val="en" w:eastAsia="en-AU"/>
        </w:rPr>
        <w:t>-DIHYDRO-2-(1-METHYL-1-PHENYLETHYL)-5-PENTYL-1H-PYRIDO[4,3-B]INDOL-1-ONE (SGT-151)</w:t>
      </w:r>
    </w:p>
    <w:p w14:paraId="411A79F5" w14:textId="77777777" w:rsidR="006C6CEF" w:rsidRPr="006C6CEF" w:rsidRDefault="006C6CEF" w:rsidP="00EF3F78">
      <w:pPr>
        <w:ind w:left="426"/>
        <w:rPr>
          <w:b/>
          <w:lang w:val="en" w:eastAsia="en-AU"/>
        </w:rPr>
      </w:pPr>
      <w:r w:rsidRPr="006C6CEF">
        <w:rPr>
          <w:b/>
          <w:lang w:val="en" w:eastAsia="en-AU"/>
        </w:rPr>
        <w:t>Index - New Entry</w:t>
      </w:r>
    </w:p>
    <w:p w14:paraId="2FC579B5" w14:textId="77777777" w:rsidR="006C6CEF" w:rsidRPr="006C6CEF" w:rsidRDefault="006C6CEF" w:rsidP="00EF3F78">
      <w:pPr>
        <w:ind w:left="426"/>
        <w:rPr>
          <w:color w:val="FF0000"/>
          <w:lang w:val="en" w:eastAsia="en-AU"/>
        </w:rPr>
      </w:pPr>
      <w:r w:rsidRPr="006C6CEF">
        <w:rPr>
          <w:color w:val="FF0000"/>
          <w:lang w:val="en" w:eastAsia="en-AU"/>
        </w:rPr>
        <w:t>2</w:t>
      </w:r>
      <w:proofErr w:type="gramStart"/>
      <w:r w:rsidRPr="006C6CEF">
        <w:rPr>
          <w:color w:val="FF0000"/>
          <w:lang w:val="en" w:eastAsia="en-AU"/>
        </w:rPr>
        <w:t>,5</w:t>
      </w:r>
      <w:proofErr w:type="gramEnd"/>
      <w:r w:rsidRPr="006C6CEF">
        <w:rPr>
          <w:color w:val="FF0000"/>
          <w:lang w:val="en" w:eastAsia="en-AU"/>
        </w:rPr>
        <w:t>-DIHYDRO-2-(1-METHYL-1-PHENYLETHYL)-5-PENTYL-1H-PYRIDO[4,3-B]INDOL-1-ONE (SGT-151)</w:t>
      </w:r>
      <w:r w:rsidRPr="006C6CEF">
        <w:rPr>
          <w:color w:val="FF0000"/>
          <w:lang w:val="en" w:eastAsia="en-AU"/>
        </w:rPr>
        <w:br/>
        <w:t>cross reference: SGT-151, CUMYL-PEGACLONE.</w:t>
      </w:r>
    </w:p>
    <w:p w14:paraId="45DAD617" w14:textId="77777777" w:rsidR="006C6CEF" w:rsidRPr="006C6CEF" w:rsidRDefault="006C6CEF" w:rsidP="00EF3F78">
      <w:pPr>
        <w:ind w:left="426"/>
        <w:rPr>
          <w:color w:val="FF0000"/>
          <w:lang w:val="en" w:eastAsia="en-AU"/>
        </w:rPr>
      </w:pPr>
      <w:r w:rsidRPr="006C6CEF">
        <w:rPr>
          <w:color w:val="FF0000"/>
          <w:lang w:val="en" w:eastAsia="en-AU"/>
        </w:rPr>
        <w:t>Schedule 9</w:t>
      </w:r>
    </w:p>
    <w:p w14:paraId="085AD610" w14:textId="25B828BF" w:rsidR="006C6CEF" w:rsidRDefault="006C6CEF" w:rsidP="00EE7A21">
      <w:pPr>
        <w:pStyle w:val="Heading5"/>
      </w:pPr>
      <w:r>
        <w:t>Materials consi</w:t>
      </w:r>
      <w:r w:rsidR="00EE7A21">
        <w:t>dered</w:t>
      </w:r>
    </w:p>
    <w:p w14:paraId="1FD2E561" w14:textId="77777777" w:rsidR="006C6CEF" w:rsidRDefault="006C6CEF" w:rsidP="00EE7A21">
      <w:pPr>
        <w:keepNext/>
        <w:keepLines/>
      </w:pPr>
      <w:r>
        <w:t>In making this final decision, the Delegate considered the following material:</w:t>
      </w:r>
    </w:p>
    <w:p w14:paraId="78B66B3D" w14:textId="69E35827" w:rsidR="006C6CEF" w:rsidRPr="003704C4" w:rsidRDefault="006C6CEF" w:rsidP="00EE7A21">
      <w:pPr>
        <w:pStyle w:val="ListBullet"/>
        <w:rPr>
          <w:rFonts w:asciiTheme="minorHAnsi" w:hAnsiTheme="minorHAnsi"/>
        </w:rPr>
      </w:pPr>
      <w:r w:rsidRPr="003704C4">
        <w:rPr>
          <w:rFonts w:asciiTheme="minorHAnsi" w:hAnsiTheme="minorHAnsi"/>
        </w:rPr>
        <w:t xml:space="preserve">The </w:t>
      </w:r>
      <w:hyperlink r:id="rId47" w:history="1">
        <w:r w:rsidRPr="003704C4">
          <w:rPr>
            <w:rFonts w:asciiTheme="minorHAnsi" w:eastAsia="Times New Roman" w:hAnsiTheme="minorHAnsi"/>
            <w:color w:val="0000FF"/>
            <w:u w:val="single"/>
            <w:lang w:val="en" w:eastAsia="en-AU"/>
          </w:rPr>
          <w:t>application</w:t>
        </w:r>
      </w:hyperlink>
      <w:r w:rsidR="00EE7A21">
        <w:rPr>
          <w:rFonts w:asciiTheme="minorHAnsi" w:hAnsiTheme="minorHAnsi"/>
        </w:rPr>
        <w:t xml:space="preserve"> t</w:t>
      </w:r>
      <w:r w:rsidRPr="003704C4">
        <w:rPr>
          <w:rFonts w:asciiTheme="minorHAnsi" w:hAnsiTheme="minorHAnsi"/>
        </w:rPr>
        <w:t>o amend the current Poisons</w:t>
      </w:r>
      <w:r w:rsidR="005D321C" w:rsidRPr="003704C4">
        <w:rPr>
          <w:rFonts w:asciiTheme="minorHAnsi" w:hAnsiTheme="minorHAnsi"/>
        </w:rPr>
        <w:t xml:space="preserve"> Standard with respect to </w:t>
      </w:r>
      <w:proofErr w:type="spellStart"/>
      <w:r w:rsidR="005D321C" w:rsidRPr="003704C4">
        <w:rPr>
          <w:rFonts w:asciiTheme="minorHAnsi" w:hAnsiTheme="minorHAnsi"/>
        </w:rPr>
        <w:t>cumyl-pegaclone</w:t>
      </w:r>
      <w:proofErr w:type="spellEnd"/>
      <w:r w:rsidRPr="003704C4">
        <w:rPr>
          <w:rFonts w:asciiTheme="minorHAnsi" w:hAnsiTheme="minorHAnsi"/>
        </w:rPr>
        <w:t>;</w:t>
      </w:r>
    </w:p>
    <w:p w14:paraId="093CFB6C" w14:textId="5B6B5E76" w:rsidR="006C6CEF" w:rsidRPr="003704C4" w:rsidRDefault="006C6CEF" w:rsidP="00EE7A21">
      <w:pPr>
        <w:pStyle w:val="ListBullet"/>
        <w:rPr>
          <w:rFonts w:asciiTheme="minorHAnsi" w:hAnsiTheme="minorHAnsi"/>
        </w:rPr>
      </w:pPr>
      <w:r w:rsidRPr="003704C4">
        <w:rPr>
          <w:rFonts w:asciiTheme="minorHAnsi" w:hAnsiTheme="minorHAnsi"/>
        </w:rPr>
        <w:lastRenderedPageBreak/>
        <w:t xml:space="preserve">The three </w:t>
      </w:r>
      <w:hyperlink r:id="rId48" w:history="1">
        <w:r w:rsidRPr="003704C4">
          <w:rPr>
            <w:rFonts w:asciiTheme="minorHAnsi" w:eastAsia="Times New Roman" w:hAnsiTheme="minorHAnsi"/>
            <w:color w:val="0000FF"/>
            <w:u w:val="single"/>
            <w:lang w:val="en" w:eastAsia="en-AU"/>
          </w:rPr>
          <w:t>public submissions</w:t>
        </w:r>
      </w:hyperlink>
      <w:r w:rsidR="00EE7A21">
        <w:rPr>
          <w:rFonts w:asciiTheme="minorHAnsi" w:hAnsiTheme="minorHAnsi"/>
        </w:rPr>
        <w:t xml:space="preserve"> r</w:t>
      </w:r>
      <w:r w:rsidRPr="003704C4">
        <w:rPr>
          <w:rFonts w:asciiTheme="minorHAnsi" w:hAnsiTheme="minorHAnsi"/>
        </w:rPr>
        <w:t xml:space="preserve">eceived in response to the </w:t>
      </w:r>
      <w:hyperlink r:id="rId49" w:history="1">
        <w:r w:rsidRPr="003704C4">
          <w:rPr>
            <w:rFonts w:asciiTheme="minorHAnsi" w:eastAsia="Times New Roman" w:hAnsiTheme="minorHAnsi"/>
            <w:color w:val="0000FF"/>
            <w:u w:val="single"/>
            <w:lang w:val="en" w:eastAsia="en-AU"/>
          </w:rPr>
          <w:t>pre-meeting consultation</w:t>
        </w:r>
      </w:hyperlink>
      <w:r w:rsidR="00EE7A21">
        <w:rPr>
          <w:rFonts w:asciiTheme="minorHAnsi" w:hAnsiTheme="minorHAnsi"/>
        </w:rPr>
        <w:t xml:space="preserve"> u</w:t>
      </w:r>
      <w:r w:rsidRPr="003704C4">
        <w:rPr>
          <w:rFonts w:asciiTheme="minorHAnsi" w:hAnsiTheme="minorHAnsi"/>
        </w:rPr>
        <w:t>nder regula</w:t>
      </w:r>
      <w:r w:rsidR="003704C4">
        <w:rPr>
          <w:rFonts w:asciiTheme="minorHAnsi" w:hAnsiTheme="minorHAnsi"/>
        </w:rPr>
        <w:t>tion 42ZCZK of the Regulations;</w:t>
      </w:r>
    </w:p>
    <w:p w14:paraId="0386263F" w14:textId="593A6C33" w:rsidR="006C6CEF" w:rsidRPr="003704C4" w:rsidRDefault="006C6CEF" w:rsidP="00EE7A21">
      <w:pPr>
        <w:pStyle w:val="ListBullet"/>
      </w:pPr>
      <w:r w:rsidRPr="003704C4">
        <w:t>The advice received from the Meeting of the Advisory Committee on Medicines Scheduling (ACMS #31);</w:t>
      </w:r>
    </w:p>
    <w:p w14:paraId="3155D8CA" w14:textId="216D914F" w:rsidR="002D25EE" w:rsidRPr="003704C4" w:rsidRDefault="002D25EE" w:rsidP="00EE7A21">
      <w:pPr>
        <w:pStyle w:val="ListBullet"/>
        <w:rPr>
          <w:rFonts w:asciiTheme="minorHAnsi" w:hAnsiTheme="minorHAnsi"/>
        </w:rPr>
      </w:pPr>
      <w:r w:rsidRPr="003704C4">
        <w:rPr>
          <w:rFonts w:asciiTheme="minorHAnsi" w:hAnsiTheme="minorHAnsi"/>
        </w:rPr>
        <w:t>The six public submissions</w:t>
      </w:r>
      <w:r w:rsidR="00510C9A" w:rsidRPr="003704C4">
        <w:rPr>
          <w:rFonts w:asciiTheme="minorHAnsi" w:hAnsiTheme="minorHAnsi"/>
        </w:rPr>
        <w:t xml:space="preserve">, </w:t>
      </w:r>
      <w:r w:rsidRPr="003704C4">
        <w:rPr>
          <w:rFonts w:asciiTheme="minorHAnsi" w:hAnsiTheme="minorHAnsi"/>
        </w:rPr>
        <w:t xml:space="preserve">received in response to the </w:t>
      </w:r>
      <w:hyperlink r:id="rId50" w:history="1">
        <w:r w:rsidRPr="003704C4">
          <w:rPr>
            <w:rFonts w:asciiTheme="minorHAnsi" w:eastAsia="Times New Roman" w:hAnsiTheme="minorHAnsi"/>
            <w:color w:val="0000FF"/>
            <w:u w:val="single"/>
            <w:lang w:val="en" w:eastAsia="en-AU"/>
          </w:rPr>
          <w:t>interim decision consultation</w:t>
        </w:r>
      </w:hyperlink>
      <w:r w:rsidR="00EE7A21">
        <w:rPr>
          <w:rFonts w:asciiTheme="minorHAnsi" w:hAnsiTheme="minorHAnsi"/>
        </w:rPr>
        <w:t xml:space="preserve"> u</w:t>
      </w:r>
      <w:r w:rsidRPr="003704C4">
        <w:rPr>
          <w:rFonts w:asciiTheme="minorHAnsi" w:hAnsiTheme="minorHAnsi"/>
        </w:rPr>
        <w:t>nder regulation 42ZCZP of the Regulations;</w:t>
      </w:r>
    </w:p>
    <w:p w14:paraId="615328D0" w14:textId="2D3ACCA6" w:rsidR="006C6CEF" w:rsidRPr="003704C4" w:rsidRDefault="006C6CEF" w:rsidP="00EE7A21">
      <w:pPr>
        <w:pStyle w:val="ListBullet"/>
      </w:pPr>
      <w:r w:rsidRPr="003704C4">
        <w:t xml:space="preserve">Subsection 52E(1) of </w:t>
      </w:r>
      <w:r w:rsidRPr="003704C4">
        <w:rPr>
          <w:i/>
        </w:rPr>
        <w:t>the Therapeutic Goods Act 1989</w:t>
      </w:r>
      <w:r w:rsidRPr="003704C4">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w:t>
      </w:r>
      <w:r w:rsidR="003704C4">
        <w:t>essary to protect public health</w:t>
      </w:r>
      <w:r w:rsidRPr="003704C4">
        <w:t>;</w:t>
      </w:r>
    </w:p>
    <w:p w14:paraId="4E519BB6" w14:textId="77777777" w:rsidR="006C6CEF" w:rsidRPr="003704C4" w:rsidRDefault="006C6CEF" w:rsidP="00EE7A21">
      <w:pPr>
        <w:pStyle w:val="ListBullet"/>
        <w:rPr>
          <w:rFonts w:asciiTheme="minorHAnsi" w:hAnsiTheme="minorHAnsi"/>
        </w:rPr>
      </w:pPr>
      <w:r w:rsidRPr="003704C4">
        <w:rPr>
          <w:rFonts w:asciiTheme="minorHAnsi" w:hAnsiTheme="minorHAnsi"/>
        </w:rPr>
        <w:t xml:space="preserve">The Australian Health Ministers’ Advisory Council’s </w:t>
      </w:r>
      <w:hyperlink r:id="rId51" w:history="1">
        <w:r w:rsidRPr="003704C4">
          <w:rPr>
            <w:rStyle w:val="Hyperlink"/>
            <w:rFonts w:asciiTheme="minorHAnsi" w:hAnsiTheme="minorHAnsi"/>
          </w:rPr>
          <w:t>Scheduling Policy Framework</w:t>
        </w:r>
      </w:hyperlink>
      <w:r w:rsidRPr="003704C4">
        <w:rPr>
          <w:rFonts w:asciiTheme="minorHAnsi" w:hAnsiTheme="minorHAnsi"/>
        </w:rPr>
        <w:t xml:space="preserve"> (SPF 2018); and</w:t>
      </w:r>
    </w:p>
    <w:p w14:paraId="2BCF8164" w14:textId="77777777" w:rsidR="006C6CEF" w:rsidRPr="003704C4" w:rsidRDefault="006C6CEF" w:rsidP="00EE7A21">
      <w:pPr>
        <w:pStyle w:val="ListBullet"/>
        <w:rPr>
          <w:rFonts w:asciiTheme="minorHAnsi" w:hAnsiTheme="minorHAnsi"/>
        </w:rPr>
      </w:pPr>
      <w:r w:rsidRPr="003704C4">
        <w:rPr>
          <w:rFonts w:asciiTheme="minorHAnsi" w:hAnsiTheme="minorHAnsi"/>
        </w:rPr>
        <w:t xml:space="preserve">The </w:t>
      </w:r>
      <w:hyperlink r:id="rId52" w:history="1">
        <w:r w:rsidRPr="003704C4">
          <w:rPr>
            <w:rStyle w:val="Hyperlink"/>
            <w:rFonts w:asciiTheme="minorHAnsi" w:hAnsiTheme="minorHAnsi"/>
          </w:rPr>
          <w:t>Scheduling handbook: Guidance for amending the Poisons Standard</w:t>
        </w:r>
      </w:hyperlink>
      <w:r w:rsidRPr="003704C4">
        <w:rPr>
          <w:rFonts w:asciiTheme="minorHAnsi" w:hAnsiTheme="minorHAnsi"/>
        </w:rPr>
        <w:t>.</w:t>
      </w:r>
    </w:p>
    <w:p w14:paraId="52A39EDC" w14:textId="77777777" w:rsidR="006C6CEF" w:rsidRDefault="006C6CEF" w:rsidP="00EE7A21">
      <w:pPr>
        <w:pStyle w:val="Heading5"/>
      </w:pPr>
      <w:r w:rsidRPr="006C6CEF">
        <w:t>Reasons for the final decision</w:t>
      </w:r>
      <w:r w:rsidRPr="00436C41">
        <w:t xml:space="preserve"> (including findings on material questions of fact)</w:t>
      </w:r>
    </w:p>
    <w:p w14:paraId="6A124D57" w14:textId="3602B0C0" w:rsidR="006C6CEF" w:rsidRPr="00253509" w:rsidRDefault="006C6CEF" w:rsidP="00EE7A21">
      <w:r w:rsidRPr="00253509">
        <w:t>I have made a final decision to confirm</w:t>
      </w:r>
      <w:r>
        <w:t xml:space="preserve"> my </w:t>
      </w:r>
      <w:hyperlink r:id="rId53" w:history="1">
        <w:r w:rsidRPr="008F73DD">
          <w:rPr>
            <w:rStyle w:val="Hyperlink"/>
          </w:rPr>
          <w:t>interim decision</w:t>
        </w:r>
      </w:hyperlink>
      <w:r>
        <w:t xml:space="preserve"> to amend</w:t>
      </w:r>
      <w:r w:rsidRPr="00253509">
        <w:t xml:space="preserve"> the current Poisons Standard with respect to</w:t>
      </w:r>
      <w:r>
        <w:t xml:space="preserve"> </w:t>
      </w:r>
      <w:proofErr w:type="spellStart"/>
      <w:r>
        <w:t>cumyl-pegaclone</w:t>
      </w:r>
      <w:proofErr w:type="spellEnd"/>
      <w:r w:rsidRPr="00253509">
        <w:t xml:space="preserve">. </w:t>
      </w:r>
      <w:r w:rsidR="008F73DD" w:rsidRPr="008F73DD">
        <w:t xml:space="preserve">My reasons for making the final decision are those set out in the interim decision. </w:t>
      </w:r>
      <w:r w:rsidR="008F73DD">
        <w:t>In</w:t>
      </w:r>
      <w:r w:rsidRPr="00253509">
        <w:t xml:space="preserve"> making my final decision, I have taken into account the material detailed in th</w:t>
      </w:r>
      <w:r>
        <w:t xml:space="preserve">e interim decision and </w:t>
      </w:r>
      <w:r w:rsidR="001A4235">
        <w:t xml:space="preserve">the </w:t>
      </w:r>
      <w:r>
        <w:t>public submissions received before the</w:t>
      </w:r>
      <w:r w:rsidRPr="00253509">
        <w:t xml:space="preserve"> second closing date in response to the call for further submissions published on 13 October 2020 under regulation 42ZCZP of the Regulations.</w:t>
      </w:r>
    </w:p>
    <w:p w14:paraId="5B2DE044" w14:textId="73E25EA6" w:rsidR="006C6CEF" w:rsidRDefault="00EE7A21" w:rsidP="006C6CEF">
      <w:pPr>
        <w:pStyle w:val="Heading5"/>
      </w:pPr>
      <w:r>
        <w:t>Date of effect of the decision</w:t>
      </w:r>
    </w:p>
    <w:p w14:paraId="0A016C7E" w14:textId="2F831FE9" w:rsidR="006C6CEF" w:rsidRPr="00DA3817" w:rsidRDefault="006C6CEF" w:rsidP="006C6CEF">
      <w:pPr>
        <w:rPr>
          <w:b/>
        </w:rPr>
      </w:pPr>
      <w:r w:rsidRPr="00DA3817">
        <w:rPr>
          <w:b/>
        </w:rPr>
        <w:t>1 February 2021</w:t>
      </w:r>
    </w:p>
    <w:p w14:paraId="60A73191" w14:textId="7D312F96" w:rsidR="00E06A1B" w:rsidRPr="00BC2009" w:rsidRDefault="00E06A1B" w:rsidP="00EE7A21">
      <w:pPr>
        <w:pStyle w:val="Heading2"/>
        <w:pageBreakBefore/>
        <w:ind w:left="431" w:hanging="431"/>
      </w:pPr>
      <w:bookmarkStart w:id="37" w:name="_Final_decision_in_2"/>
      <w:bookmarkStart w:id="38" w:name="_Toc57114184"/>
      <w:bookmarkEnd w:id="37"/>
      <w:r w:rsidRPr="00B41852">
        <w:lastRenderedPageBreak/>
        <w:t xml:space="preserve">Final decisions on proposed amendments to the current Poisons Standard under regulation </w:t>
      </w:r>
      <w:r w:rsidR="005F3EA0" w:rsidRPr="005F3EA0">
        <w:t>42ZCZU</w:t>
      </w:r>
      <w:bookmarkEnd w:id="38"/>
    </w:p>
    <w:p w14:paraId="092580EA" w14:textId="30D85E9E" w:rsidR="00E06A1B" w:rsidRDefault="00E06A1B" w:rsidP="00E06A1B">
      <w:r w:rsidRPr="00B41852">
        <w:t xml:space="preserve">In my capacity as a delegate of the Secretary for the purpose of regulation </w:t>
      </w:r>
      <w:r w:rsidR="005F3EA0" w:rsidRPr="005F3EA0">
        <w:t>42ZCZU</w:t>
      </w:r>
      <w:r w:rsidR="005F3EA0" w:rsidRPr="005F3EA0" w:rsidDel="005F3EA0">
        <w:t xml:space="preserve"> </w:t>
      </w:r>
      <w:r w:rsidRPr="00B41852">
        <w:t xml:space="preserve">of the </w:t>
      </w:r>
      <w:r w:rsidRPr="00B41852">
        <w:rPr>
          <w:i/>
        </w:rPr>
        <w:t>Therapeutic Goods Regulations 1990</w:t>
      </w:r>
      <w:r w:rsidRPr="00B41852">
        <w:t xml:space="preserve"> (</w:t>
      </w:r>
      <w:r w:rsidRPr="00B41852">
        <w:rPr>
          <w:b/>
        </w:rPr>
        <w:t>Regulations</w:t>
      </w:r>
      <w:r w:rsidRPr="00B41852">
        <w:t xml:space="preserve">), I have made final decisions under regulation </w:t>
      </w:r>
      <w:r w:rsidR="005F3EA0" w:rsidRPr="005F3EA0">
        <w:t>42ZCZU</w:t>
      </w:r>
      <w:r w:rsidR="005F3EA0" w:rsidRPr="005F3EA0" w:rsidDel="005F3EA0">
        <w:t xml:space="preserve"> </w:t>
      </w:r>
      <w:r w:rsidRPr="00B41852">
        <w:t>with respec</w:t>
      </w:r>
      <w:r w:rsidR="00EE7A21">
        <w:t>t to the following substances:</w:t>
      </w:r>
    </w:p>
    <w:bookmarkStart w:id="39" w:name="Bupivacaine"/>
    <w:bookmarkEnd w:id="39"/>
    <w:p w14:paraId="7ECF406F" w14:textId="5EBB1DFD" w:rsidR="00E06A1B" w:rsidRDefault="00976756" w:rsidP="00EE7A21">
      <w:pPr>
        <w:pStyle w:val="ListBullet"/>
      </w:pPr>
      <w:r>
        <w:fldChar w:fldCharType="begin"/>
      </w:r>
      <w:r w:rsidR="00B0265A">
        <w:instrText>HYPERLINK  \l "Bupivacaine"</w:instrText>
      </w:r>
      <w:r>
        <w:fldChar w:fldCharType="separate"/>
      </w:r>
      <w:r w:rsidR="00A94EAD">
        <w:rPr>
          <w:rStyle w:val="Hyperlink"/>
        </w:rPr>
        <w:t>Bupivacaine</w:t>
      </w:r>
      <w:r>
        <w:fldChar w:fldCharType="end"/>
      </w:r>
    </w:p>
    <w:p w14:paraId="4B7A6E77" w14:textId="27881AB5" w:rsidR="00B0265A" w:rsidRDefault="00547E85" w:rsidP="00EE7A21">
      <w:pPr>
        <w:pStyle w:val="ListBullet"/>
      </w:pPr>
      <w:hyperlink w:anchor="Lidocaine" w:history="1">
        <w:r w:rsidR="00B0265A" w:rsidRPr="00B0265A">
          <w:rPr>
            <w:rStyle w:val="Hyperlink"/>
          </w:rPr>
          <w:t>Lidocaine</w:t>
        </w:r>
      </w:hyperlink>
    </w:p>
    <w:p w14:paraId="5C99E8E6" w14:textId="47436F94" w:rsidR="00B0265A" w:rsidRDefault="00547E85" w:rsidP="00EE7A21">
      <w:pPr>
        <w:pStyle w:val="ListBullet"/>
      </w:pPr>
      <w:hyperlink w:anchor="BEFvaccine" w:history="1">
        <w:r w:rsidR="00B0265A">
          <w:rPr>
            <w:rStyle w:val="Hyperlink"/>
          </w:rPr>
          <w:t>BEF vaccine</w:t>
        </w:r>
      </w:hyperlink>
    </w:p>
    <w:p w14:paraId="41440D90" w14:textId="34CE87CB" w:rsidR="00976756" w:rsidRDefault="00547E85" w:rsidP="00EE7A21">
      <w:pPr>
        <w:pStyle w:val="ListBullet"/>
      </w:pPr>
      <w:hyperlink w:anchor="Fluazaindolizine" w:history="1">
        <w:proofErr w:type="spellStart"/>
        <w:r w:rsidR="00976756" w:rsidRPr="00976756">
          <w:rPr>
            <w:rStyle w:val="Hyperlink"/>
          </w:rPr>
          <w:t>Fluazaindolizine</w:t>
        </w:r>
        <w:proofErr w:type="spellEnd"/>
      </w:hyperlink>
    </w:p>
    <w:p w14:paraId="17047691" w14:textId="2A4A4A44" w:rsidR="00976756" w:rsidRDefault="00547E85" w:rsidP="00EE7A21">
      <w:pPr>
        <w:pStyle w:val="ListBullet"/>
      </w:pPr>
      <w:hyperlink w:anchor="Florylpicoxamid" w:history="1">
        <w:proofErr w:type="spellStart"/>
        <w:r w:rsidR="00976756" w:rsidRPr="00976756">
          <w:rPr>
            <w:rStyle w:val="Hyperlink"/>
          </w:rPr>
          <w:t>Florylpicoxamid</w:t>
        </w:r>
        <w:proofErr w:type="spellEnd"/>
      </w:hyperlink>
    </w:p>
    <w:p w14:paraId="6FE7E1B3" w14:textId="7A705FBE" w:rsidR="00E06A1B" w:rsidRDefault="00E06A1B" w:rsidP="00EE7A21">
      <w:pPr>
        <w:pStyle w:val="Heading3"/>
      </w:pPr>
      <w:bookmarkStart w:id="40" w:name="_Toc57114185"/>
      <w:r>
        <w:t xml:space="preserve">Final decision in relation to </w:t>
      </w:r>
      <w:r w:rsidR="00A94EAD">
        <w:t>bupivacaine</w:t>
      </w:r>
      <w:bookmarkEnd w:id="40"/>
    </w:p>
    <w:p w14:paraId="2DCA8824" w14:textId="333E9FC9" w:rsidR="00E06A1B" w:rsidRPr="00EE7A21" w:rsidRDefault="00EE7A21" w:rsidP="00EE7A21">
      <w:pPr>
        <w:pStyle w:val="Heading4"/>
      </w:pPr>
      <w:bookmarkStart w:id="41" w:name="_Toc57114186"/>
      <w:r>
        <w:t>Final decision</w:t>
      </w:r>
      <w:bookmarkEnd w:id="41"/>
    </w:p>
    <w:p w14:paraId="4DD58726" w14:textId="153E48D7" w:rsidR="00E06A1B" w:rsidRDefault="00E06A1B" w:rsidP="00E06A1B">
      <w:r w:rsidRPr="00C546F4">
        <w:t xml:space="preserve">Pursuant to regulation </w:t>
      </w:r>
      <w:r w:rsidR="005F3EA0" w:rsidRPr="005F3EA0">
        <w:t>42ZCZU</w:t>
      </w:r>
      <w:r w:rsidR="005F3EA0" w:rsidRPr="005F3EA0" w:rsidDel="005F3EA0">
        <w:t xml:space="preserve"> </w:t>
      </w:r>
      <w:r w:rsidRPr="00C546F4">
        <w:t>of the Regulations, a Delegate of the Secretary has made a final decis</w:t>
      </w:r>
      <w:r w:rsidRPr="002C07F7">
        <w:t>ion to amend the current Poisons Sta</w:t>
      </w:r>
      <w:r w:rsidR="00EF2C3B" w:rsidRPr="002C07F7">
        <w:t xml:space="preserve">ndard in relation to </w:t>
      </w:r>
      <w:r w:rsidR="00A94EAD">
        <w:t>bupivacaine</w:t>
      </w:r>
      <w:r w:rsidRPr="002C07F7">
        <w:t xml:space="preserve"> as follows</w:t>
      </w:r>
      <w:r w:rsidR="00A6126E" w:rsidRPr="002C07F7">
        <w:t>:</w:t>
      </w:r>
    </w:p>
    <w:p w14:paraId="53AAA69E" w14:textId="45B7D1DA" w:rsidR="00A6126E" w:rsidRPr="00C232A9" w:rsidRDefault="00A6126E" w:rsidP="008B7B37">
      <w:pPr>
        <w:tabs>
          <w:tab w:val="left" w:pos="426"/>
        </w:tabs>
        <w:ind w:left="426"/>
        <w:jc w:val="both"/>
        <w:rPr>
          <w:b/>
        </w:rPr>
      </w:pPr>
      <w:r w:rsidRPr="00C232A9">
        <w:rPr>
          <w:b/>
        </w:rPr>
        <w:t>Schedule 5</w:t>
      </w:r>
      <w:r w:rsidR="000C29F7">
        <w:rPr>
          <w:b/>
        </w:rPr>
        <w:t xml:space="preserve"> - </w:t>
      </w:r>
      <w:r w:rsidR="004E4F1C">
        <w:rPr>
          <w:b/>
        </w:rPr>
        <w:t>Amend</w:t>
      </w:r>
      <w:r w:rsidR="000C29F7" w:rsidRPr="00C232A9">
        <w:rPr>
          <w:b/>
        </w:rPr>
        <w:t xml:space="preserve"> Entry</w:t>
      </w:r>
    </w:p>
    <w:p w14:paraId="54C6EEB6" w14:textId="66C55B9F" w:rsidR="00A6126E" w:rsidRPr="00E87DC2" w:rsidRDefault="00A94EAD" w:rsidP="008B7B37">
      <w:pPr>
        <w:tabs>
          <w:tab w:val="left" w:pos="426"/>
        </w:tabs>
        <w:ind w:left="426"/>
        <w:jc w:val="both"/>
        <w:rPr>
          <w:szCs w:val="22"/>
          <w:shd w:val="clear" w:color="auto" w:fill="FFFFFF"/>
        </w:rPr>
      </w:pPr>
      <w:r>
        <w:rPr>
          <w:szCs w:val="22"/>
          <w:shd w:val="clear" w:color="auto" w:fill="FFFFFF"/>
        </w:rPr>
        <w:t>BUPIVACAINE</w:t>
      </w:r>
      <w:r w:rsidR="00A6126E" w:rsidRPr="00E87DC2">
        <w:rPr>
          <w:szCs w:val="22"/>
          <w:shd w:val="clear" w:color="auto" w:fill="FFFFFF"/>
        </w:rPr>
        <w:t xml:space="preserve"> in aqueous gel preparations containin</w:t>
      </w:r>
      <w:r>
        <w:rPr>
          <w:szCs w:val="22"/>
          <w:shd w:val="clear" w:color="auto" w:fill="FFFFFF"/>
        </w:rPr>
        <w:t>g 0.5 per cent or less of bupivacaine</w:t>
      </w:r>
      <w:r w:rsidR="00A6126E" w:rsidRPr="00E87DC2">
        <w:rPr>
          <w:szCs w:val="22"/>
          <w:shd w:val="clear" w:color="auto" w:fill="FFFFFF"/>
        </w:rPr>
        <w:t xml:space="preserve">, for the dermal spray-on administration to </w:t>
      </w:r>
      <w:r w:rsidR="000C29F7" w:rsidRPr="0043533B">
        <w:rPr>
          <w:color w:val="FF0000"/>
          <w:szCs w:val="22"/>
          <w:shd w:val="clear" w:color="auto" w:fill="FFFFFF"/>
        </w:rPr>
        <w:t xml:space="preserve">the wounds of </w:t>
      </w:r>
      <w:proofErr w:type="gramStart"/>
      <w:r w:rsidR="000C29F7" w:rsidRPr="0043533B">
        <w:rPr>
          <w:color w:val="FF0000"/>
          <w:szCs w:val="22"/>
          <w:shd w:val="clear" w:color="auto" w:fill="FFFFFF"/>
        </w:rPr>
        <w:t>animals</w:t>
      </w:r>
      <w:proofErr w:type="gramEnd"/>
      <w:r w:rsidR="004E4F1C">
        <w:rPr>
          <w:color w:val="FF0000"/>
          <w:szCs w:val="22"/>
          <w:shd w:val="clear" w:color="auto" w:fill="FFFFFF"/>
        </w:rPr>
        <w:t xml:space="preserve"> </w:t>
      </w:r>
      <w:r w:rsidR="00A6126E" w:rsidRPr="0043533B">
        <w:rPr>
          <w:strike/>
          <w:szCs w:val="22"/>
          <w:shd w:val="clear" w:color="auto" w:fill="FFFFFF"/>
        </w:rPr>
        <w:t>post-surgical wounds associated with 'mulesing' of sheep; tail docking and castration of lambs; or castration and disbudding/dehorning in calves</w:t>
      </w:r>
      <w:r w:rsidR="00A6126E" w:rsidRPr="00E87DC2">
        <w:rPr>
          <w:szCs w:val="22"/>
          <w:shd w:val="clear" w:color="auto" w:fill="FFFFFF"/>
        </w:rPr>
        <w:t>.</w:t>
      </w:r>
    </w:p>
    <w:p w14:paraId="13AE8DE1" w14:textId="37291AAE" w:rsidR="00E06A1B" w:rsidRDefault="00EE7A21" w:rsidP="00B852BC">
      <w:pPr>
        <w:pStyle w:val="Heading4"/>
      </w:pPr>
      <w:bookmarkStart w:id="42" w:name="_Toc57114187"/>
      <w:r>
        <w:t>Materials considered</w:t>
      </w:r>
      <w:bookmarkEnd w:id="42"/>
    </w:p>
    <w:p w14:paraId="2A85B8BF" w14:textId="77777777" w:rsidR="00E06A1B" w:rsidRDefault="00E06A1B" w:rsidP="00E06A1B">
      <w:r>
        <w:t>In making this final decision, the Delegate considered the following material:</w:t>
      </w:r>
    </w:p>
    <w:p w14:paraId="670D4037" w14:textId="58F0FAFD" w:rsidR="00E06A1B" w:rsidRDefault="00E06A1B" w:rsidP="00EE7A21">
      <w:pPr>
        <w:pStyle w:val="ListBullet"/>
      </w:pPr>
      <w:r>
        <w:t xml:space="preserve">The </w:t>
      </w:r>
      <w:r w:rsidRPr="00C02858">
        <w:t>application</w:t>
      </w:r>
      <w:r>
        <w:t xml:space="preserve"> to amend the current Po</w:t>
      </w:r>
      <w:r w:rsidR="00EF2C3B">
        <w:t xml:space="preserve">isons Standard with respect to </w:t>
      </w:r>
      <w:r w:rsidR="00A94EAD">
        <w:t>bupivacaine</w:t>
      </w:r>
      <w:r>
        <w:t>;</w:t>
      </w:r>
    </w:p>
    <w:p w14:paraId="02656D1A" w14:textId="062D0368" w:rsidR="00E06A1B" w:rsidRDefault="00E06A1B" w:rsidP="00EE7A21">
      <w:pPr>
        <w:pStyle w:val="ListBullet"/>
      </w:pPr>
      <w:r w:rsidRPr="001169AC">
        <w:t xml:space="preserve">Subsection 52E(1) of </w:t>
      </w:r>
      <w:r w:rsidRPr="001169AC">
        <w:rPr>
          <w:i/>
        </w:rPr>
        <w:t>the Therapeutic Goods Act 1989</w:t>
      </w:r>
      <w:r w:rsidRPr="001169AC">
        <w:t>, in particular</w:t>
      </w:r>
      <w:r w:rsidR="004A1BCB">
        <w:t xml:space="preserve"> </w:t>
      </w:r>
      <w:r w:rsidR="004A1BCB" w:rsidRPr="001169AC">
        <w:t>(a) the risks and benefits of the use of a substance; (b) the purposes for which a substance is to be used and the extent of use of a substance; (c) the toxicity of a substance; (d) the dosage, formulation, labelling, packaging and presentation of a substance;</w:t>
      </w:r>
      <w:r w:rsidR="005E0BBB">
        <w:t xml:space="preserve"> and</w:t>
      </w:r>
      <w:r w:rsidR="004A1BCB" w:rsidRPr="001169AC">
        <w:t xml:space="preserve"> (e) the potential for abuse of a substance</w:t>
      </w:r>
      <w:r w:rsidR="00EE7A21">
        <w:t>;</w:t>
      </w:r>
    </w:p>
    <w:p w14:paraId="0817403C" w14:textId="46005492" w:rsidR="00E06A1B" w:rsidRDefault="00E06A1B" w:rsidP="00EE7A21">
      <w:pPr>
        <w:pStyle w:val="ListBullet"/>
      </w:pPr>
      <w:r w:rsidRPr="002C1418">
        <w:t xml:space="preserve">The Australian Health Ministers’ Advisory Council’s </w:t>
      </w:r>
      <w:hyperlink r:id="rId54" w:history="1">
        <w:r w:rsidRPr="001A7580">
          <w:rPr>
            <w:rStyle w:val="Hyperlink"/>
          </w:rPr>
          <w:t>Scheduling Policy Framework</w:t>
        </w:r>
      </w:hyperlink>
      <w:r w:rsidR="00EE7A21">
        <w:t xml:space="preserve"> (SPF 2018);</w:t>
      </w:r>
    </w:p>
    <w:p w14:paraId="71831347" w14:textId="4778EA71" w:rsidR="00E06A1B" w:rsidRDefault="00E06A1B" w:rsidP="00EE7A21">
      <w:pPr>
        <w:pStyle w:val="ListBullet"/>
      </w:pPr>
      <w:r>
        <w:t xml:space="preserve">The </w:t>
      </w:r>
      <w:hyperlink r:id="rId55" w:history="1">
        <w:r w:rsidRPr="001A7580">
          <w:rPr>
            <w:rStyle w:val="Hyperlink"/>
          </w:rPr>
          <w:t>Scheduling handbook: Guidance for amending the Poisons Standard</w:t>
        </w:r>
      </w:hyperlink>
      <w:r w:rsidR="004E4F1C">
        <w:t>;</w:t>
      </w:r>
      <w:r w:rsidR="00EE7A21">
        <w:t xml:space="preserve"> </w:t>
      </w:r>
      <w:r w:rsidR="00EE7A21" w:rsidRPr="00D337B1">
        <w:t>and</w:t>
      </w:r>
    </w:p>
    <w:p w14:paraId="17A7E65C" w14:textId="5838A477" w:rsidR="00C61E62" w:rsidRDefault="00C61E62" w:rsidP="00EE7A21">
      <w:pPr>
        <w:pStyle w:val="ListBullet"/>
      </w:pPr>
      <w:r w:rsidRPr="00A31B48">
        <w:t>Australian Animal Welfare Standards and Guidelines</w:t>
      </w:r>
      <w:r w:rsidR="004E4F1C">
        <w:t>.</w:t>
      </w:r>
    </w:p>
    <w:p w14:paraId="4C87884C" w14:textId="77777777" w:rsidR="00E06A1B" w:rsidRDefault="00E06A1B" w:rsidP="00EE7A21">
      <w:pPr>
        <w:pStyle w:val="Heading4"/>
        <w:ind w:left="0" w:firstLine="0"/>
      </w:pPr>
      <w:bookmarkStart w:id="43" w:name="_Toc57114188"/>
      <w:r w:rsidRPr="00436C41">
        <w:t>Reasons for the final decision (including findings on material questions of fact)</w:t>
      </w:r>
      <w:bookmarkEnd w:id="43"/>
    </w:p>
    <w:p w14:paraId="6FC404E5" w14:textId="1F5F6D6A" w:rsidR="001F2282" w:rsidRPr="00A31B48" w:rsidRDefault="001F2282" w:rsidP="00654734">
      <w:r w:rsidRPr="00A31B48">
        <w:t xml:space="preserve">In determining, that this matter will be a delegate-only decision I have taken into account the information provided in the application from the Applicant (APVMA), and the matters outlined </w:t>
      </w:r>
      <w:r w:rsidRPr="00A31B48">
        <w:lastRenderedPageBreak/>
        <w:t xml:space="preserve">under Section 52E of </w:t>
      </w:r>
      <w:r w:rsidRPr="00A31B48">
        <w:rPr>
          <w:i/>
        </w:rPr>
        <w:t>the Therapeutic Goods Act 1989</w:t>
      </w:r>
      <w:r w:rsidRPr="00A31B48">
        <w:t xml:space="preserve"> and the Scheduling Policy Framework (2018). In particular I note that:</w:t>
      </w:r>
    </w:p>
    <w:p w14:paraId="40457548" w14:textId="0EBF041F" w:rsidR="00A94EAD" w:rsidRDefault="001F2282" w:rsidP="00EE7A21">
      <w:pPr>
        <w:pStyle w:val="ListBullet"/>
      </w:pPr>
      <w:r w:rsidRPr="00A31B48">
        <w:t xml:space="preserve">The proposed amendment to the Poisons Standard entry </w:t>
      </w:r>
      <w:r w:rsidR="00E9174A">
        <w:t xml:space="preserve">for bupivacaine, from its limited indication for the </w:t>
      </w:r>
      <w:r w:rsidR="00B81053">
        <w:t>“‘mulesing’</w:t>
      </w:r>
      <w:r w:rsidR="00E9174A" w:rsidRPr="00E9174A">
        <w:t xml:space="preserve"> of sheep; tail docking and castration of lambs; or castration and disbudding/dehorning in calves”</w:t>
      </w:r>
      <w:r w:rsidR="00BB013C">
        <w:t>,</w:t>
      </w:r>
      <w:r w:rsidR="00E9174A">
        <w:t xml:space="preserve"> to the more expansive indication for the </w:t>
      </w:r>
      <w:r w:rsidR="006504F2">
        <w:t>“</w:t>
      </w:r>
      <w:r w:rsidR="00E9174A" w:rsidRPr="00E9174A">
        <w:t>dermal spray-on administration to the wounds of animals</w:t>
      </w:r>
      <w:r w:rsidR="006504F2">
        <w:t>”</w:t>
      </w:r>
      <w:r w:rsidR="00E9174A">
        <w:t xml:space="preserve">, </w:t>
      </w:r>
      <w:r w:rsidR="00A42129">
        <w:t>increases</w:t>
      </w:r>
      <w:r w:rsidR="00E9174A">
        <w:t xml:space="preserve"> potential benefits to the </w:t>
      </w:r>
      <w:r w:rsidR="001F46F0">
        <w:t>farming and veterinary</w:t>
      </w:r>
      <w:r w:rsidR="00E9174A">
        <w:t xml:space="preserve"> industry from the broader use of the substance</w:t>
      </w:r>
      <w:r w:rsidR="003C6780">
        <w:t xml:space="preserve">. The </w:t>
      </w:r>
      <w:r w:rsidR="00E9174A" w:rsidRPr="00E9174A">
        <w:t>exposure of human</w:t>
      </w:r>
      <w:r w:rsidR="003C6780">
        <w:t xml:space="preserve">s to bupivacaine-containing preparations </w:t>
      </w:r>
      <w:r w:rsidR="00E9174A" w:rsidRPr="00E9174A">
        <w:t>to the active constituent is expected to be no greater than currently approved uses.</w:t>
      </w:r>
      <w:r w:rsidR="00E817B8">
        <w:t xml:space="preserve"> </w:t>
      </w:r>
      <w:r w:rsidR="00E817B8" w:rsidRPr="00E87DC2">
        <w:t xml:space="preserve">The </w:t>
      </w:r>
      <w:r w:rsidR="001F46F0">
        <w:t>regulator</w:t>
      </w:r>
      <w:r w:rsidR="00E9174A">
        <w:t xml:space="preserve"> (</w:t>
      </w:r>
      <w:r w:rsidR="00E817B8" w:rsidRPr="00E87DC2">
        <w:t>APVMA</w:t>
      </w:r>
      <w:r w:rsidR="00E9174A">
        <w:t>)</w:t>
      </w:r>
      <w:r w:rsidR="00E817B8" w:rsidRPr="00E87DC2">
        <w:t xml:space="preserve"> has concluded that the human health risk posed by the product is acceptable according to the criteria stipulated in Section 5A of the </w:t>
      </w:r>
      <w:r w:rsidR="00E817B8" w:rsidRPr="0047192B">
        <w:rPr>
          <w:i/>
        </w:rPr>
        <w:t>Agricultural and Veterinary Chemicals Code Act</w:t>
      </w:r>
      <w:r w:rsidR="00E817B8" w:rsidRPr="00E87DC2">
        <w:t xml:space="preserve"> </w:t>
      </w:r>
      <w:r w:rsidR="00E817B8">
        <w:t>(1994)</w:t>
      </w:r>
      <w:r w:rsidR="00D03C8B">
        <w:t xml:space="preserve"> </w:t>
      </w:r>
      <w:r w:rsidR="00E817B8" w:rsidRPr="001F46F0">
        <w:rPr>
          <w:rFonts w:asciiTheme="minorHAnsi" w:hAnsiTheme="minorHAnsi"/>
        </w:rPr>
        <w:t>(</w:t>
      </w:r>
      <w:proofErr w:type="gramStart"/>
      <w:r w:rsidR="00E817B8" w:rsidRPr="001F46F0">
        <w:rPr>
          <w:rFonts w:asciiTheme="minorHAnsi" w:hAnsiTheme="minorHAnsi"/>
        </w:rPr>
        <w:t>52E(</w:t>
      </w:r>
      <w:proofErr w:type="gramEnd"/>
      <w:r w:rsidR="00E817B8" w:rsidRPr="001F46F0">
        <w:rPr>
          <w:rFonts w:asciiTheme="minorHAnsi" w:hAnsiTheme="minorHAnsi"/>
        </w:rPr>
        <w:t>1)(a))</w:t>
      </w:r>
      <w:r w:rsidR="00A94EAD">
        <w:t>.</w:t>
      </w:r>
    </w:p>
    <w:p w14:paraId="7CE80B9F" w14:textId="2D408B53" w:rsidR="001F2282" w:rsidRPr="00A31B48" w:rsidRDefault="004A1BCB" w:rsidP="009D5732">
      <w:pPr>
        <w:pStyle w:val="ListParagraph"/>
        <w:ind w:left="426"/>
      </w:pPr>
      <w:r w:rsidRPr="004E5EF1">
        <w:rPr>
          <w:rFonts w:asciiTheme="minorHAnsi" w:hAnsiTheme="minorHAnsi"/>
          <w:szCs w:val="22"/>
          <w:lang w:eastAsia="en-AU"/>
        </w:rPr>
        <w:t>The purpose and extent for which the substance is to be used has been adequately outlined by</w:t>
      </w:r>
      <w:r w:rsidR="009D5732">
        <w:rPr>
          <w:rFonts w:asciiTheme="minorHAnsi" w:hAnsiTheme="minorHAnsi"/>
          <w:szCs w:val="22"/>
          <w:lang w:eastAsia="en-AU"/>
        </w:rPr>
        <w:t xml:space="preserve"> </w:t>
      </w:r>
      <w:r w:rsidR="00441040">
        <w:rPr>
          <w:rFonts w:asciiTheme="minorHAnsi" w:hAnsiTheme="minorHAnsi"/>
          <w:szCs w:val="22"/>
          <w:lang w:eastAsia="en-AU"/>
        </w:rPr>
        <w:t xml:space="preserve">the </w:t>
      </w:r>
      <w:r w:rsidRPr="004E5EF1">
        <w:rPr>
          <w:rFonts w:asciiTheme="minorHAnsi" w:hAnsiTheme="minorHAnsi"/>
          <w:szCs w:val="22"/>
          <w:lang w:eastAsia="en-AU"/>
        </w:rPr>
        <w:t xml:space="preserve">Applicant. </w:t>
      </w:r>
      <w:r w:rsidR="001F46F0">
        <w:t>I have taken into account that</w:t>
      </w:r>
      <w:r w:rsidR="00F57405">
        <w:t xml:space="preserve"> </w:t>
      </w:r>
      <w:r w:rsidR="00C85FB1" w:rsidRPr="00A31B48">
        <w:t>surgical procedures</w:t>
      </w:r>
      <w:r w:rsidR="00897820" w:rsidRPr="00A31B48">
        <w:t xml:space="preserve"> and treatment of significant injuries</w:t>
      </w:r>
      <w:r w:rsidR="00C85FB1" w:rsidRPr="00A31B48">
        <w:t xml:space="preserve"> are</w:t>
      </w:r>
      <w:r w:rsidR="00560B02">
        <w:t xml:space="preserve"> adequately</w:t>
      </w:r>
      <w:r w:rsidR="00C85FB1" w:rsidRPr="00A31B48">
        <w:t xml:space="preserve"> </w:t>
      </w:r>
      <w:r w:rsidR="00F57405">
        <w:t>covered</w:t>
      </w:r>
      <w:r w:rsidR="00C85FB1" w:rsidRPr="00A31B48">
        <w:t xml:space="preserve"> in the Australian Animal Welfare Standards and Guidelines</w:t>
      </w:r>
      <w:r w:rsidR="00F27B7F">
        <w:t xml:space="preserve">. </w:t>
      </w:r>
      <w:r w:rsidR="00F27B7F" w:rsidRPr="00E87DC2">
        <w:t>These standards provide</w:t>
      </w:r>
      <w:r w:rsidR="003C6780">
        <w:t xml:space="preserve"> animal</w:t>
      </w:r>
      <w:r w:rsidR="00F27B7F" w:rsidRPr="00E87DC2">
        <w:t xml:space="preserve"> age-related and developmental stage-related standards and guidance on when a non-veterinarian can and cannot perform such procedures</w:t>
      </w:r>
      <w:r w:rsidR="00560B02">
        <w:t xml:space="preserve"> </w:t>
      </w:r>
      <w:r w:rsidR="0047192B">
        <w:t>(</w:t>
      </w:r>
      <w:proofErr w:type="gramStart"/>
      <w:r w:rsidR="00803B10">
        <w:rPr>
          <w:rFonts w:asciiTheme="minorHAnsi" w:hAnsiTheme="minorHAnsi"/>
        </w:rPr>
        <w:t>52E(</w:t>
      </w:r>
      <w:proofErr w:type="gramEnd"/>
      <w:r w:rsidR="00F57405">
        <w:rPr>
          <w:rFonts w:asciiTheme="minorHAnsi" w:hAnsiTheme="minorHAnsi"/>
        </w:rPr>
        <w:t>1)(b</w:t>
      </w:r>
      <w:r w:rsidR="00F57405" w:rsidRPr="00F57405">
        <w:rPr>
          <w:rFonts w:asciiTheme="minorHAnsi" w:hAnsiTheme="minorHAnsi"/>
        </w:rPr>
        <w:t>))</w:t>
      </w:r>
      <w:r w:rsidR="00897820" w:rsidRPr="00A31B48">
        <w:t>.</w:t>
      </w:r>
    </w:p>
    <w:p w14:paraId="2BCB873B" w14:textId="028205FD" w:rsidR="00BA76E1" w:rsidRDefault="00560B02" w:rsidP="00EE7A21">
      <w:pPr>
        <w:pStyle w:val="ListBullet"/>
      </w:pPr>
      <w:r>
        <w:t xml:space="preserve">I have taken into account the broader uses of bupivacaine and note that it is currently used for therapeutic uses in humans. I find that my decision would not affect such use in humans because the </w:t>
      </w:r>
      <w:r w:rsidR="003C6780">
        <w:t xml:space="preserve">amendment will continue to </w:t>
      </w:r>
      <w:r>
        <w:t>limit</w:t>
      </w:r>
      <w:r w:rsidR="003C6780">
        <w:t xml:space="preserve"> </w:t>
      </w:r>
      <w:r>
        <w:t xml:space="preserve">use </w:t>
      </w:r>
      <w:r w:rsidR="003C6780">
        <w:t>to</w:t>
      </w:r>
      <w:r w:rsidR="00D03C8B">
        <w:t xml:space="preserve"> animals</w:t>
      </w:r>
      <w:r w:rsidR="003C6780">
        <w:t xml:space="preserve"> when in aqueous gel preparations for dermal spray-on administration</w:t>
      </w:r>
      <w:r>
        <w:t xml:space="preserve"> </w:t>
      </w:r>
      <w:r w:rsidR="0047192B">
        <w:t>(</w:t>
      </w:r>
      <w:proofErr w:type="gramStart"/>
      <w:r w:rsidR="001706F7" w:rsidRPr="00820431">
        <w:rPr>
          <w:rFonts w:asciiTheme="minorHAnsi" w:hAnsiTheme="minorHAnsi"/>
        </w:rPr>
        <w:t>52E(</w:t>
      </w:r>
      <w:proofErr w:type="gramEnd"/>
      <w:r w:rsidR="001706F7" w:rsidRPr="00820431">
        <w:rPr>
          <w:rFonts w:asciiTheme="minorHAnsi" w:hAnsiTheme="minorHAnsi"/>
        </w:rPr>
        <w:t>1)(b))</w:t>
      </w:r>
      <w:r w:rsidR="00BA76E1">
        <w:t>.</w:t>
      </w:r>
    </w:p>
    <w:p w14:paraId="77BB0110" w14:textId="25D9A2AD" w:rsidR="00A94EAD" w:rsidRPr="001B35BA" w:rsidRDefault="00560B02" w:rsidP="00EE7A21">
      <w:pPr>
        <w:pStyle w:val="ListBullet"/>
      </w:pPr>
      <w:r w:rsidRPr="00560B02">
        <w:t>There has been no substantive change in the information available regarding the toxicity of the substance since it was last considered for Scheduling that would warrant a change to its Schedul</w:t>
      </w:r>
      <w:r>
        <w:t>ing Classification in Schedule 5</w:t>
      </w:r>
      <w:r w:rsidRPr="00560B02">
        <w:t xml:space="preserve"> in the Poisons Standard based on the criteria set out in the SPF (2018) under the s</w:t>
      </w:r>
      <w:r>
        <w:t>cheduling factors for Schedule 5</w:t>
      </w:r>
      <w:r w:rsidRPr="00560B02">
        <w:t xml:space="preserve"> substances</w:t>
      </w:r>
      <w:r w:rsidR="005E0BBB">
        <w:t xml:space="preserve"> </w:t>
      </w:r>
      <w:r w:rsidR="0047192B">
        <w:t>(</w:t>
      </w:r>
      <w:r w:rsidR="00A94EAD" w:rsidRPr="00560B02">
        <w:rPr>
          <w:shd w:val="clear" w:color="auto" w:fill="FFFFFF"/>
        </w:rPr>
        <w:t>52E(1)(c)).</w:t>
      </w:r>
    </w:p>
    <w:p w14:paraId="227AC60D" w14:textId="121DCBD9" w:rsidR="001B35BA" w:rsidRDefault="00D03C8B" w:rsidP="00EE7A21">
      <w:pPr>
        <w:pStyle w:val="ListBullet"/>
      </w:pPr>
      <w:r>
        <w:t>The</w:t>
      </w:r>
      <w:r w:rsidR="00810F4E" w:rsidRPr="00810F4E">
        <w:t xml:space="preserve"> packaging of</w:t>
      </w:r>
      <w:r w:rsidR="00810F4E">
        <w:t xml:space="preserve"> the</w:t>
      </w:r>
      <w:r w:rsidR="00A406BB">
        <w:t xml:space="preserve"> preparation containing the</w:t>
      </w:r>
      <w:r w:rsidR="00810F4E">
        <w:t xml:space="preserve"> substance will </w:t>
      </w:r>
      <w:r w:rsidR="00A406BB">
        <w:t xml:space="preserve">not </w:t>
      </w:r>
      <w:r w:rsidR="00810F4E">
        <w:t>change as a result of its broader use in animals. However, the Applicant has demonstrated that appropriate risk mitigation measures</w:t>
      </w:r>
      <w:r w:rsidR="00A406BB">
        <w:t>, including labelling,</w:t>
      </w:r>
      <w:r w:rsidR="00810F4E">
        <w:t xml:space="preserve"> will be</w:t>
      </w:r>
      <w:r w:rsidR="00A406BB">
        <w:t xml:space="preserve"> put</w:t>
      </w:r>
      <w:r w:rsidR="00810F4E">
        <w:t xml:space="preserve"> in place </w:t>
      </w:r>
      <w:r w:rsidR="00810F4E" w:rsidRPr="00810F4E">
        <w:t>should the proposed product containing the substance be registered for use in Australia</w:t>
      </w:r>
      <w:r w:rsidR="00810F4E">
        <w:t>. As a result, no additional measures are required in the Poisons Standard</w:t>
      </w:r>
      <w:r w:rsidR="00D05A89">
        <w:t xml:space="preserve">. </w:t>
      </w:r>
      <w:r w:rsidR="00D05A89" w:rsidRPr="00D05A89">
        <w:t xml:space="preserve">The proposed amended entry for the substance in the Poisons Standard will not affect </w:t>
      </w:r>
      <w:r w:rsidR="00D05A89">
        <w:t>bupivacaine</w:t>
      </w:r>
      <w:r w:rsidR="00D05A89" w:rsidRPr="00D05A89">
        <w:t>-containing ingredients listed under the ARTG</w:t>
      </w:r>
      <w:r w:rsidR="007A05BF">
        <w:t xml:space="preserve"> </w:t>
      </w:r>
      <w:r w:rsidR="007A05BF" w:rsidRPr="00DE5D6D">
        <w:rPr>
          <w:rFonts w:asciiTheme="minorHAnsi" w:hAnsiTheme="minorHAnsi"/>
        </w:rPr>
        <w:t>(</w:t>
      </w:r>
      <w:proofErr w:type="gramStart"/>
      <w:r w:rsidR="007A05BF" w:rsidRPr="00DE5D6D">
        <w:rPr>
          <w:rFonts w:asciiTheme="minorHAnsi" w:hAnsiTheme="minorHAnsi"/>
        </w:rPr>
        <w:t>52E(</w:t>
      </w:r>
      <w:proofErr w:type="gramEnd"/>
      <w:r w:rsidR="007A05BF" w:rsidRPr="00DE5D6D">
        <w:rPr>
          <w:rFonts w:asciiTheme="minorHAnsi" w:hAnsiTheme="minorHAnsi"/>
        </w:rPr>
        <w:t>1)(d))</w:t>
      </w:r>
      <w:r w:rsidR="007A05BF" w:rsidRPr="00A31B48">
        <w:t>.</w:t>
      </w:r>
    </w:p>
    <w:p w14:paraId="68962EF3" w14:textId="0CDDA08A" w:rsidR="001706F7" w:rsidRDefault="001706F7" w:rsidP="00EE7A21">
      <w:pPr>
        <w:pStyle w:val="ListBullet"/>
      </w:pPr>
      <w:r w:rsidRPr="00E87DC2">
        <w:t>The potential for misuse or abuse of the substance is unchang</w:t>
      </w:r>
      <w:r>
        <w:t xml:space="preserve">ed from previous considerations </w:t>
      </w:r>
      <w:r>
        <w:rPr>
          <w:rFonts w:asciiTheme="minorHAnsi" w:hAnsiTheme="minorHAnsi"/>
        </w:rPr>
        <w:t>(</w:t>
      </w:r>
      <w:proofErr w:type="gramStart"/>
      <w:r>
        <w:rPr>
          <w:rFonts w:asciiTheme="minorHAnsi" w:hAnsiTheme="minorHAnsi"/>
        </w:rPr>
        <w:t>52E(</w:t>
      </w:r>
      <w:proofErr w:type="gramEnd"/>
      <w:r>
        <w:rPr>
          <w:rFonts w:asciiTheme="minorHAnsi" w:hAnsiTheme="minorHAnsi"/>
        </w:rPr>
        <w:t>1)(e</w:t>
      </w:r>
      <w:r w:rsidRPr="00F57405">
        <w:rPr>
          <w:rFonts w:asciiTheme="minorHAnsi" w:hAnsiTheme="minorHAnsi"/>
        </w:rPr>
        <w:t>))</w:t>
      </w:r>
      <w:r w:rsidRPr="00A31B48">
        <w:t>.</w:t>
      </w:r>
    </w:p>
    <w:p w14:paraId="5093A05B" w14:textId="69FBDF13" w:rsidR="001706F7" w:rsidRDefault="00E63111" w:rsidP="009D5732">
      <w:r>
        <w:t>Therefore, based on the information provided in the application, I have decided to amend the current Poisons Standard in the manner set out in the application. The proposed amendment was not referred t</w:t>
      </w:r>
      <w:r w:rsidR="00EE7A21">
        <w:t>o an expert advisory committee.</w:t>
      </w:r>
    </w:p>
    <w:p w14:paraId="56C6220B" w14:textId="71BEC59A" w:rsidR="002C07F7" w:rsidRDefault="00EF3F78" w:rsidP="00B852BC">
      <w:pPr>
        <w:pStyle w:val="Heading4"/>
      </w:pPr>
      <w:bookmarkStart w:id="44" w:name="_Toc57114189"/>
      <w:r>
        <w:t>Date of effect of the decision</w:t>
      </w:r>
      <w:bookmarkEnd w:id="44"/>
    </w:p>
    <w:p w14:paraId="19FD6224" w14:textId="0E877C24" w:rsidR="002C07F7" w:rsidRPr="00DA3817" w:rsidRDefault="002C07F7" w:rsidP="002C07F7">
      <w:pPr>
        <w:rPr>
          <w:b/>
        </w:rPr>
      </w:pPr>
      <w:r w:rsidRPr="00DA3817">
        <w:rPr>
          <w:b/>
        </w:rPr>
        <w:t>1 February 2021</w:t>
      </w:r>
    </w:p>
    <w:p w14:paraId="749AAA71" w14:textId="5277EEC6" w:rsidR="008844F7" w:rsidRDefault="008844F7" w:rsidP="00EF3F78">
      <w:pPr>
        <w:pStyle w:val="Heading3"/>
      </w:pPr>
      <w:bookmarkStart w:id="45" w:name="_Toc57114190"/>
      <w:bookmarkStart w:id="46" w:name="Lidocaine"/>
      <w:r>
        <w:lastRenderedPageBreak/>
        <w:t>Final decision in relation to lidocaine</w:t>
      </w:r>
      <w:r w:rsidR="00820431">
        <w:t xml:space="preserve"> (lignocaine)</w:t>
      </w:r>
      <w:bookmarkEnd w:id="45"/>
    </w:p>
    <w:p w14:paraId="035F93C4" w14:textId="7A56FC03" w:rsidR="00D337B1" w:rsidRDefault="00EF3F78" w:rsidP="00B852BC">
      <w:pPr>
        <w:pStyle w:val="Heading4"/>
      </w:pPr>
      <w:bookmarkStart w:id="47" w:name="_Toc57114191"/>
      <w:bookmarkEnd w:id="46"/>
      <w:r>
        <w:t>Final decision</w:t>
      </w:r>
      <w:bookmarkEnd w:id="47"/>
    </w:p>
    <w:p w14:paraId="04B48A2B" w14:textId="60EEF185" w:rsidR="00D337B1" w:rsidRDefault="00D337B1" w:rsidP="00D337B1">
      <w:r w:rsidRPr="00C546F4">
        <w:t xml:space="preserve">Pursuant to regulation </w:t>
      </w:r>
      <w:r w:rsidRPr="005F3EA0">
        <w:t>42ZCZU</w:t>
      </w:r>
      <w:r w:rsidRPr="005F3EA0" w:rsidDel="005F3EA0">
        <w:t xml:space="preserve"> </w:t>
      </w:r>
      <w:r w:rsidRPr="00C546F4">
        <w:t>of the Regulations, a Delegate of the Secretary has made a final decis</w:t>
      </w:r>
      <w:r w:rsidRPr="002C07F7">
        <w:t>ion to amend the current Poisons Sta</w:t>
      </w:r>
      <w:r>
        <w:t>ndard in relation to lidocaine</w:t>
      </w:r>
      <w:r w:rsidRPr="002C07F7">
        <w:t xml:space="preserve"> as follows:</w:t>
      </w:r>
    </w:p>
    <w:p w14:paraId="1D253D6F" w14:textId="7CD5CA82" w:rsidR="00D337B1" w:rsidRPr="00C232A9" w:rsidRDefault="00D337B1" w:rsidP="00D337B1">
      <w:pPr>
        <w:tabs>
          <w:tab w:val="left" w:pos="426"/>
        </w:tabs>
        <w:ind w:left="426"/>
        <w:jc w:val="both"/>
        <w:rPr>
          <w:b/>
        </w:rPr>
      </w:pPr>
      <w:r w:rsidRPr="00C232A9">
        <w:rPr>
          <w:b/>
        </w:rPr>
        <w:t>Schedule 5</w:t>
      </w:r>
      <w:r w:rsidR="000C29F7">
        <w:rPr>
          <w:b/>
        </w:rPr>
        <w:t xml:space="preserve"> </w:t>
      </w:r>
      <w:r w:rsidR="004E4F1C">
        <w:rPr>
          <w:b/>
        </w:rPr>
        <w:t>– Amend</w:t>
      </w:r>
      <w:r w:rsidR="000C29F7" w:rsidRPr="000C29F7">
        <w:rPr>
          <w:b/>
        </w:rPr>
        <w:t xml:space="preserve"> Entry</w:t>
      </w:r>
    </w:p>
    <w:p w14:paraId="38B28C70" w14:textId="4A0DA468" w:rsidR="00D337B1" w:rsidRPr="00E87DC2" w:rsidRDefault="00D337B1" w:rsidP="00D337B1">
      <w:pPr>
        <w:tabs>
          <w:tab w:val="left" w:pos="426"/>
        </w:tabs>
        <w:ind w:left="426"/>
        <w:jc w:val="both"/>
        <w:rPr>
          <w:szCs w:val="22"/>
          <w:shd w:val="clear" w:color="auto" w:fill="FFFFFF"/>
        </w:rPr>
      </w:pPr>
      <w:r>
        <w:rPr>
          <w:szCs w:val="22"/>
          <w:shd w:val="clear" w:color="auto" w:fill="FFFFFF"/>
        </w:rPr>
        <w:t>LIDOCAINE</w:t>
      </w:r>
      <w:r w:rsidRPr="00E87DC2">
        <w:rPr>
          <w:szCs w:val="22"/>
          <w:shd w:val="clear" w:color="auto" w:fill="FFFFFF"/>
        </w:rPr>
        <w:t xml:space="preserve"> in aqueo</w:t>
      </w:r>
      <w:r>
        <w:rPr>
          <w:szCs w:val="22"/>
          <w:shd w:val="clear" w:color="auto" w:fill="FFFFFF"/>
        </w:rPr>
        <w:t>us gel preparations containing 4</w:t>
      </w:r>
      <w:r w:rsidRPr="00E87DC2">
        <w:rPr>
          <w:szCs w:val="22"/>
          <w:shd w:val="clear" w:color="auto" w:fill="FFFFFF"/>
        </w:rPr>
        <w:t>.5</w:t>
      </w:r>
      <w:r>
        <w:rPr>
          <w:szCs w:val="22"/>
          <w:shd w:val="clear" w:color="auto" w:fill="FFFFFF"/>
        </w:rPr>
        <w:t xml:space="preserve"> per cent or less of lidocaine</w:t>
      </w:r>
      <w:r w:rsidRPr="00E87DC2">
        <w:rPr>
          <w:szCs w:val="22"/>
          <w:shd w:val="clear" w:color="auto" w:fill="FFFFFF"/>
        </w:rPr>
        <w:t>, for the dermal spray-on administration to</w:t>
      </w:r>
      <w:r w:rsidR="000C29F7">
        <w:rPr>
          <w:szCs w:val="22"/>
          <w:shd w:val="clear" w:color="auto" w:fill="FFFFFF"/>
        </w:rPr>
        <w:t xml:space="preserve"> </w:t>
      </w:r>
      <w:r w:rsidR="000C29F7" w:rsidRPr="009D5732">
        <w:rPr>
          <w:color w:val="FF0000"/>
          <w:szCs w:val="22"/>
          <w:shd w:val="clear" w:color="auto" w:fill="FFFFFF"/>
        </w:rPr>
        <w:t xml:space="preserve">the wounds of </w:t>
      </w:r>
      <w:proofErr w:type="gramStart"/>
      <w:r w:rsidR="000C29F7" w:rsidRPr="009D5732">
        <w:rPr>
          <w:color w:val="FF0000"/>
          <w:szCs w:val="22"/>
          <w:shd w:val="clear" w:color="auto" w:fill="FFFFFF"/>
        </w:rPr>
        <w:t>animals</w:t>
      </w:r>
      <w:proofErr w:type="gramEnd"/>
      <w:r w:rsidR="004E4F1C" w:rsidRPr="009D5732">
        <w:rPr>
          <w:color w:val="FF0000"/>
          <w:szCs w:val="22"/>
          <w:shd w:val="clear" w:color="auto" w:fill="FFFFFF"/>
        </w:rPr>
        <w:t xml:space="preserve"> </w:t>
      </w:r>
      <w:r w:rsidRPr="009D5732">
        <w:rPr>
          <w:strike/>
          <w:szCs w:val="22"/>
          <w:shd w:val="clear" w:color="auto" w:fill="FFFFFF"/>
        </w:rPr>
        <w:t>post-surgical wounds associated with 'mulesing' of sheep; tail docking and castration of lambs; or castration and disbudding/dehorning in calves.</w:t>
      </w:r>
    </w:p>
    <w:p w14:paraId="5BF1E282" w14:textId="60D429A5" w:rsidR="00D337B1" w:rsidRDefault="00C00BB3" w:rsidP="00B852BC">
      <w:pPr>
        <w:pStyle w:val="Heading4"/>
      </w:pPr>
      <w:bookmarkStart w:id="48" w:name="_Toc57114192"/>
      <w:r>
        <w:t>Materials considered</w:t>
      </w:r>
      <w:bookmarkEnd w:id="48"/>
    </w:p>
    <w:p w14:paraId="6F43DE62" w14:textId="77777777" w:rsidR="001B35BA" w:rsidRDefault="001B35BA" w:rsidP="001B35BA">
      <w:r>
        <w:t>In making this final decision, the Delegate considered the following material:</w:t>
      </w:r>
    </w:p>
    <w:p w14:paraId="19B73AC2" w14:textId="78D08945" w:rsidR="001B35BA" w:rsidRDefault="001B35BA" w:rsidP="00EE7A21">
      <w:pPr>
        <w:pStyle w:val="ListBullet"/>
      </w:pPr>
      <w:r>
        <w:t xml:space="preserve">The </w:t>
      </w:r>
      <w:r w:rsidRPr="00C02858">
        <w:t>application</w:t>
      </w:r>
      <w:r>
        <w:t xml:space="preserve"> to amend the current Poisons Standard with respect to </w:t>
      </w:r>
      <w:r w:rsidR="004A3470">
        <w:t>lidocaine</w:t>
      </w:r>
      <w:r>
        <w:t>;</w:t>
      </w:r>
    </w:p>
    <w:p w14:paraId="2555E059" w14:textId="77777777" w:rsidR="001B35BA" w:rsidRDefault="001B35BA" w:rsidP="00EE7A21">
      <w:pPr>
        <w:pStyle w:val="ListBullet"/>
      </w:pPr>
      <w:r w:rsidRPr="001169AC">
        <w:t xml:space="preserve">Subsection </w:t>
      </w:r>
      <w:proofErr w:type="gramStart"/>
      <w:r w:rsidRPr="001169AC">
        <w:t>52E(</w:t>
      </w:r>
      <w:proofErr w:type="gramEnd"/>
      <w:r w:rsidRPr="001169AC">
        <w:t xml:space="preserve">1) of </w:t>
      </w:r>
      <w:r w:rsidRPr="001169AC">
        <w:rPr>
          <w:i/>
        </w:rPr>
        <w:t>the Therapeutic Goods Act 1989</w:t>
      </w:r>
      <w:r w:rsidRPr="001169AC">
        <w:t>, in particular</w:t>
      </w:r>
      <w:r>
        <w:t xml:space="preserve"> </w:t>
      </w:r>
      <w:r w:rsidRPr="001169AC">
        <w:t>(a) the risks and benefits of the use of a substance; (b) the purposes for which a substance is to be used and the extent of use of a substance; (c) the toxicity of a substance; (d) the dosage, formulation, labelling, packaging and presentation of a substance;</w:t>
      </w:r>
      <w:r>
        <w:t xml:space="preserve"> and</w:t>
      </w:r>
      <w:r w:rsidRPr="001169AC">
        <w:t xml:space="preserve"> (e) the potential for abuse of a substance</w:t>
      </w:r>
      <w:r>
        <w:t>.</w:t>
      </w:r>
    </w:p>
    <w:p w14:paraId="6A8C6ED3" w14:textId="28F70579" w:rsidR="001B35BA" w:rsidRDefault="001B35BA" w:rsidP="00EE7A21">
      <w:pPr>
        <w:pStyle w:val="ListBullet"/>
      </w:pPr>
      <w:r w:rsidRPr="002C1418">
        <w:t xml:space="preserve">The Australian Health Ministers’ Advisory Council’s </w:t>
      </w:r>
      <w:hyperlink r:id="rId56" w:history="1">
        <w:r w:rsidRPr="001A7580">
          <w:rPr>
            <w:rStyle w:val="Hyperlink"/>
          </w:rPr>
          <w:t>Scheduling Policy Framework</w:t>
        </w:r>
      </w:hyperlink>
      <w:r>
        <w:t xml:space="preserve"> (SPF 2018);</w:t>
      </w:r>
    </w:p>
    <w:p w14:paraId="28849335" w14:textId="53C72443" w:rsidR="001B35BA" w:rsidRDefault="001B35BA" w:rsidP="00EE7A21">
      <w:pPr>
        <w:pStyle w:val="ListBullet"/>
      </w:pPr>
      <w:r>
        <w:t xml:space="preserve">The </w:t>
      </w:r>
      <w:hyperlink r:id="rId57" w:history="1">
        <w:r w:rsidRPr="001A7580">
          <w:rPr>
            <w:rStyle w:val="Hyperlink"/>
          </w:rPr>
          <w:t>Scheduling handbook: Guidance for amending the Poisons Standard</w:t>
        </w:r>
      </w:hyperlink>
      <w:r w:rsidR="004E4F1C">
        <w:t>;</w:t>
      </w:r>
      <w:r w:rsidR="005837CC">
        <w:t xml:space="preserve"> </w:t>
      </w:r>
      <w:r w:rsidR="005837CC" w:rsidRPr="00D337B1">
        <w:t>and</w:t>
      </w:r>
    </w:p>
    <w:p w14:paraId="4EABCCB0" w14:textId="7438FF07" w:rsidR="00C61E62" w:rsidRDefault="001B35BA" w:rsidP="00EE7A21">
      <w:pPr>
        <w:pStyle w:val="ListBullet"/>
      </w:pPr>
      <w:r w:rsidRPr="00A31B48">
        <w:t>Australian Animal Welfare Standards and Guidelines</w:t>
      </w:r>
      <w:r w:rsidR="004E4F1C">
        <w:t>.</w:t>
      </w:r>
    </w:p>
    <w:p w14:paraId="0868150B" w14:textId="77777777" w:rsidR="00D337B1" w:rsidRDefault="00D337B1" w:rsidP="005837CC">
      <w:pPr>
        <w:pStyle w:val="Heading4"/>
        <w:ind w:left="0" w:firstLine="0"/>
      </w:pPr>
      <w:bookmarkStart w:id="49" w:name="_Toc57114193"/>
      <w:r w:rsidRPr="00436C41">
        <w:t>Reasons for the final decision (including findings on material questions of fact)</w:t>
      </w:r>
      <w:bookmarkEnd w:id="49"/>
    </w:p>
    <w:p w14:paraId="1BFBFEF8" w14:textId="3396FC8D" w:rsidR="00D337B1" w:rsidRDefault="00D337B1" w:rsidP="00654734">
      <w:r w:rsidRPr="00A31B48">
        <w:t xml:space="preserve">In determining, that this matter will be a delegate-only decision I have taken into account the information provided in the application from the Applicant (APVMA), and the matters outlined under Section 52E of </w:t>
      </w:r>
      <w:r w:rsidRPr="00A31B48">
        <w:rPr>
          <w:i/>
        </w:rPr>
        <w:t>the Therapeutic Goods Act 1989</w:t>
      </w:r>
      <w:r w:rsidRPr="00A31B48">
        <w:t xml:space="preserve"> and the Scheduling Policy Framework (2018). In particular I note that:</w:t>
      </w:r>
    </w:p>
    <w:p w14:paraId="6E68A357" w14:textId="4F1E667D" w:rsidR="00F20167" w:rsidRDefault="007956FB" w:rsidP="00EE7A21">
      <w:pPr>
        <w:pStyle w:val="ListBullet"/>
      </w:pPr>
      <w:r w:rsidRPr="00A31B48">
        <w:t xml:space="preserve">The proposed amendment to the Poisons Standard entry </w:t>
      </w:r>
      <w:r w:rsidR="00F20167">
        <w:t xml:space="preserve">for lidocaine, from its limited indication for the </w:t>
      </w:r>
      <w:r w:rsidR="003853AB">
        <w:t>“‘mulesing’</w:t>
      </w:r>
      <w:r w:rsidR="00F20167" w:rsidRPr="00E87DC2">
        <w:rPr>
          <w:szCs w:val="22"/>
        </w:rPr>
        <w:t xml:space="preserve"> of sheep; tail docking and castration of lambs; or castration and disbudding/dehorning in calves</w:t>
      </w:r>
      <w:r w:rsidR="00F20167">
        <w:t>”, to the more expansive indication for the “dermal spray-on administration to the wounds of animals”, increases potential benefits to the farming and veterinary industry from the broader use of the substance</w:t>
      </w:r>
      <w:r w:rsidR="006504F2">
        <w:t xml:space="preserve">. The </w:t>
      </w:r>
      <w:r w:rsidR="006504F2" w:rsidRPr="00E9174A">
        <w:t>exposure of human</w:t>
      </w:r>
      <w:r w:rsidR="006504F2">
        <w:t xml:space="preserve">s to lidocaine-containing preparations </w:t>
      </w:r>
      <w:r w:rsidR="006504F2" w:rsidRPr="00E9174A">
        <w:t>to the active constituent is expected to be no great</w:t>
      </w:r>
      <w:r w:rsidR="006504F2">
        <w:t>er than currently approved uses</w:t>
      </w:r>
      <w:r w:rsidR="00F20167">
        <w:t xml:space="preserve">. The regulator (APVMA) has concluded </w:t>
      </w:r>
      <w:r w:rsidRPr="00E87DC2">
        <w:t xml:space="preserve">that the human health risk posed by the product is acceptable according to the criteria stipulated in Section 5A of the </w:t>
      </w:r>
      <w:r w:rsidRPr="003853AB">
        <w:rPr>
          <w:i/>
        </w:rPr>
        <w:t xml:space="preserve">Agricultural and Veterinary Chemicals Code Act </w:t>
      </w:r>
      <w:r>
        <w:t>(1994</w:t>
      </w:r>
      <w:proofErr w:type="gramStart"/>
      <w:r>
        <w:t>)</w:t>
      </w:r>
      <w:r w:rsidRPr="00F57405">
        <w:rPr>
          <w:rFonts w:asciiTheme="minorHAnsi" w:hAnsiTheme="minorHAnsi"/>
        </w:rPr>
        <w:t>(</w:t>
      </w:r>
      <w:proofErr w:type="gramEnd"/>
      <w:r w:rsidRPr="00F57405">
        <w:rPr>
          <w:rFonts w:asciiTheme="minorHAnsi" w:hAnsiTheme="minorHAnsi"/>
        </w:rPr>
        <w:t>52E(1)(a))</w:t>
      </w:r>
      <w:r>
        <w:t>.</w:t>
      </w:r>
    </w:p>
    <w:p w14:paraId="07F55000" w14:textId="7BBA7212" w:rsidR="00F20167" w:rsidRPr="00A31B48" w:rsidRDefault="00F20167" w:rsidP="00EE7A21">
      <w:pPr>
        <w:pStyle w:val="ListBullet"/>
      </w:pPr>
      <w:r w:rsidRPr="00F20167">
        <w:rPr>
          <w:rFonts w:asciiTheme="minorHAnsi" w:hAnsiTheme="minorHAnsi"/>
          <w:szCs w:val="22"/>
          <w:lang w:eastAsia="en-AU"/>
        </w:rPr>
        <w:t xml:space="preserve">The purpose and extent for which the substance is to be used has been adequately outlined by the Applicant. </w:t>
      </w:r>
      <w:r>
        <w:t xml:space="preserve">I have taken into account that </w:t>
      </w:r>
      <w:r w:rsidRPr="00A31B48">
        <w:t>surgical procedures and treatment of significant injuries are</w:t>
      </w:r>
      <w:r>
        <w:t xml:space="preserve"> adequately</w:t>
      </w:r>
      <w:r w:rsidRPr="00A31B48">
        <w:t xml:space="preserve"> </w:t>
      </w:r>
      <w:r>
        <w:t>covered</w:t>
      </w:r>
      <w:r w:rsidRPr="00A31B48">
        <w:t xml:space="preserve"> in the Australian Animal Welfare Standards and Guidelines</w:t>
      </w:r>
      <w:r>
        <w:t xml:space="preserve">. </w:t>
      </w:r>
      <w:r w:rsidRPr="00E87DC2">
        <w:t xml:space="preserve">These standards provide </w:t>
      </w:r>
      <w:r w:rsidR="006504F2">
        <w:t xml:space="preserve">animal </w:t>
      </w:r>
      <w:r w:rsidRPr="00E87DC2">
        <w:t xml:space="preserve">age-related and developmental stage-related </w:t>
      </w:r>
      <w:r w:rsidRPr="00E87DC2">
        <w:lastRenderedPageBreak/>
        <w:t>standards and guidance on when a non-veterinarian can and cannot perform such procedures</w:t>
      </w:r>
      <w:r>
        <w:t xml:space="preserve"> </w:t>
      </w:r>
      <w:proofErr w:type="gramStart"/>
      <w:r w:rsidRPr="00F20167">
        <w:rPr>
          <w:rFonts w:asciiTheme="minorHAnsi" w:hAnsiTheme="minorHAnsi"/>
        </w:rPr>
        <w:t>52E(</w:t>
      </w:r>
      <w:proofErr w:type="gramEnd"/>
      <w:r w:rsidRPr="00F20167">
        <w:rPr>
          <w:rFonts w:asciiTheme="minorHAnsi" w:hAnsiTheme="minorHAnsi"/>
        </w:rPr>
        <w:t>1)(b))</w:t>
      </w:r>
      <w:r w:rsidRPr="00A31B48">
        <w:t>.</w:t>
      </w:r>
    </w:p>
    <w:p w14:paraId="0419B29B" w14:textId="274DE2EE" w:rsidR="00F20167" w:rsidRPr="00F20167" w:rsidRDefault="00F20167" w:rsidP="00EE7A21">
      <w:pPr>
        <w:pStyle w:val="ListBullet"/>
      </w:pPr>
      <w:r>
        <w:t xml:space="preserve">I have taken into account the broader uses of lidocaine and note that it is currently used for therapeutic uses in humans. </w:t>
      </w:r>
      <w:r w:rsidR="006504F2">
        <w:t xml:space="preserve">I find that my decision would not affect such use in humans because the amendment will continue to limit use to animals when in aqueous gel preparations for dermal spray-on administration </w:t>
      </w:r>
      <w:r w:rsidRPr="00820431">
        <w:rPr>
          <w:rFonts w:asciiTheme="minorHAnsi" w:hAnsiTheme="minorHAnsi"/>
        </w:rPr>
        <w:t>(</w:t>
      </w:r>
      <w:proofErr w:type="gramStart"/>
      <w:r w:rsidRPr="00820431">
        <w:rPr>
          <w:rFonts w:asciiTheme="minorHAnsi" w:hAnsiTheme="minorHAnsi"/>
        </w:rPr>
        <w:t>52E(</w:t>
      </w:r>
      <w:proofErr w:type="gramEnd"/>
      <w:r w:rsidRPr="00820431">
        <w:rPr>
          <w:rFonts w:asciiTheme="minorHAnsi" w:hAnsiTheme="minorHAnsi"/>
        </w:rPr>
        <w:t>1)(b))</w:t>
      </w:r>
      <w:r>
        <w:t>.</w:t>
      </w:r>
    </w:p>
    <w:p w14:paraId="036C9E16" w14:textId="52650B8A" w:rsidR="007956FB" w:rsidRPr="00014629" w:rsidRDefault="007956FB" w:rsidP="00EE7A21">
      <w:pPr>
        <w:pStyle w:val="ListBullet"/>
      </w:pPr>
      <w:r>
        <w:rPr>
          <w:shd w:val="clear" w:color="auto" w:fill="FFFFFF"/>
        </w:rPr>
        <w:t>The product under consideration contains 4</w:t>
      </w:r>
      <w:r w:rsidR="00820431">
        <w:rPr>
          <w:shd w:val="clear" w:color="auto" w:fill="FFFFFF"/>
        </w:rPr>
        <w:t>0.6</w:t>
      </w:r>
      <w:r>
        <w:rPr>
          <w:shd w:val="clear" w:color="auto" w:fill="FFFFFF"/>
        </w:rPr>
        <w:t xml:space="preserve"> g/L </w:t>
      </w:r>
      <w:r w:rsidR="004A3470">
        <w:rPr>
          <w:shd w:val="clear" w:color="auto" w:fill="FFFFFF"/>
        </w:rPr>
        <w:t>lidocaine</w:t>
      </w:r>
      <w:r>
        <w:rPr>
          <w:shd w:val="clear" w:color="auto" w:fill="FFFFFF"/>
        </w:rPr>
        <w:t xml:space="preserve"> (4</w:t>
      </w:r>
      <w:r w:rsidR="00820431">
        <w:rPr>
          <w:shd w:val="clear" w:color="auto" w:fill="FFFFFF"/>
        </w:rPr>
        <w:t>.1</w:t>
      </w:r>
      <w:r>
        <w:rPr>
          <w:shd w:val="clear" w:color="auto" w:fill="FFFFFF"/>
        </w:rPr>
        <w:t>%, as hydrochloride) and has low acute toxicity in rats by the oral and</w:t>
      </w:r>
      <w:r w:rsidRPr="00BA76E1">
        <w:rPr>
          <w:shd w:val="clear" w:color="auto" w:fill="FFFFFF"/>
        </w:rPr>
        <w:t xml:space="preserve"> dermal routes, is a slight skin and eye irritant</w:t>
      </w:r>
      <w:r>
        <w:rPr>
          <w:shd w:val="clear" w:color="auto" w:fill="FFFFFF"/>
        </w:rPr>
        <w:t>, and may be</w:t>
      </w:r>
      <w:r w:rsidRPr="00BA76E1">
        <w:rPr>
          <w:shd w:val="clear" w:color="auto" w:fill="FFFFFF"/>
        </w:rPr>
        <w:t xml:space="preserve"> </w:t>
      </w:r>
      <w:r>
        <w:rPr>
          <w:shd w:val="clear" w:color="auto" w:fill="FFFFFF"/>
        </w:rPr>
        <w:t xml:space="preserve">a skin sensitiser. </w:t>
      </w:r>
      <w:r>
        <w:t xml:space="preserve">The toxicity of the substance </w:t>
      </w:r>
      <w:r w:rsidR="006504F2">
        <w:t>to humans will not</w:t>
      </w:r>
      <w:r>
        <w:t xml:space="preserve"> be increased as similar quantities and administrative routes of the product are proposed </w:t>
      </w:r>
      <w:r w:rsidRPr="00BA76E1">
        <w:rPr>
          <w:shd w:val="clear" w:color="auto" w:fill="FFFFFF"/>
        </w:rPr>
        <w:t>(</w:t>
      </w:r>
      <w:proofErr w:type="gramStart"/>
      <w:r w:rsidRPr="00BA76E1">
        <w:rPr>
          <w:shd w:val="clear" w:color="auto" w:fill="FFFFFF"/>
        </w:rPr>
        <w:t>52E(</w:t>
      </w:r>
      <w:proofErr w:type="gramEnd"/>
      <w:r w:rsidRPr="00BA76E1">
        <w:rPr>
          <w:shd w:val="clear" w:color="auto" w:fill="FFFFFF"/>
        </w:rPr>
        <w:t>1)(c)).</w:t>
      </w:r>
    </w:p>
    <w:p w14:paraId="7B4FEBA3" w14:textId="48757EAE" w:rsidR="00014629" w:rsidRPr="00014629" w:rsidRDefault="00014629" w:rsidP="00EE7A21">
      <w:pPr>
        <w:pStyle w:val="ListBullet"/>
      </w:pPr>
      <w:r w:rsidRPr="00560B02">
        <w:t>There has been no substantive change in the information available regarding the toxicity of the substance since it was last considered for Scheduling that would warrant a change to its Schedul</w:t>
      </w:r>
      <w:r>
        <w:t>ing Classification in Schedule 5</w:t>
      </w:r>
      <w:r w:rsidRPr="00560B02">
        <w:t xml:space="preserve"> in the Poisons Standard based on the criteria set out in the SPF (2018) under the s</w:t>
      </w:r>
      <w:r>
        <w:t>cheduling factors for Schedule 5</w:t>
      </w:r>
      <w:r w:rsidRPr="00560B02">
        <w:t xml:space="preserve"> substances</w:t>
      </w:r>
      <w:r>
        <w:t xml:space="preserve"> </w:t>
      </w:r>
      <w:r w:rsidRPr="00560B02">
        <w:rPr>
          <w:shd w:val="clear" w:color="auto" w:fill="FFFFFF"/>
        </w:rPr>
        <w:t>(52E(1)(c)).</w:t>
      </w:r>
    </w:p>
    <w:p w14:paraId="5E89B286" w14:textId="7AE866C8" w:rsidR="00014629" w:rsidRPr="001B35BA" w:rsidRDefault="00014629" w:rsidP="00EE7A21">
      <w:pPr>
        <w:pStyle w:val="ListBullet"/>
      </w:pPr>
      <w:r>
        <w:t>The</w:t>
      </w:r>
      <w:r w:rsidRPr="00810F4E">
        <w:t xml:space="preserve"> packaging of</w:t>
      </w:r>
      <w:r>
        <w:t xml:space="preserve"> the </w:t>
      </w:r>
      <w:r w:rsidR="00A406BB">
        <w:t xml:space="preserve">preparation containing the </w:t>
      </w:r>
      <w:r>
        <w:t xml:space="preserve">substance will </w:t>
      </w:r>
      <w:r w:rsidR="00A406BB">
        <w:t xml:space="preserve">not </w:t>
      </w:r>
      <w:r>
        <w:t>change as a result of its broader use in animals. However, the Applicant has demonstrated that appropriate risk mitigation measures</w:t>
      </w:r>
      <w:r w:rsidR="00A406BB">
        <w:t>, including labelling,</w:t>
      </w:r>
      <w:r>
        <w:t xml:space="preserve"> will be</w:t>
      </w:r>
      <w:r w:rsidR="00A406BB">
        <w:t xml:space="preserve"> put</w:t>
      </w:r>
      <w:r>
        <w:t xml:space="preserve"> in place </w:t>
      </w:r>
      <w:r w:rsidRPr="00810F4E">
        <w:t>should the proposed product containing the substance be registered for use in Australia</w:t>
      </w:r>
      <w:r>
        <w:t xml:space="preserve">. As a result, no additional measures are required in the Poisons Standard. </w:t>
      </w:r>
      <w:r w:rsidRPr="00D05A89">
        <w:t xml:space="preserve">The proposed amended entry for the substance in the Poisons Standard will not affect </w:t>
      </w:r>
      <w:r>
        <w:t>lidocaine</w:t>
      </w:r>
      <w:r w:rsidRPr="00D05A89">
        <w:t>-containing ingredients listed under the ARTG</w:t>
      </w:r>
      <w:r>
        <w:t xml:space="preserve"> </w:t>
      </w:r>
      <w:r w:rsidRPr="00DE5D6D">
        <w:rPr>
          <w:rFonts w:asciiTheme="minorHAnsi" w:hAnsiTheme="minorHAnsi"/>
        </w:rPr>
        <w:t>(</w:t>
      </w:r>
      <w:proofErr w:type="gramStart"/>
      <w:r w:rsidRPr="00DE5D6D">
        <w:rPr>
          <w:rFonts w:asciiTheme="minorHAnsi" w:hAnsiTheme="minorHAnsi"/>
        </w:rPr>
        <w:t>52E(</w:t>
      </w:r>
      <w:proofErr w:type="gramEnd"/>
      <w:r w:rsidRPr="00DE5D6D">
        <w:rPr>
          <w:rFonts w:asciiTheme="minorHAnsi" w:hAnsiTheme="minorHAnsi"/>
        </w:rPr>
        <w:t>1)(d))</w:t>
      </w:r>
      <w:r w:rsidRPr="00A31B48">
        <w:t>.</w:t>
      </w:r>
    </w:p>
    <w:p w14:paraId="143A8CCF" w14:textId="77777777" w:rsidR="007956FB" w:rsidRDefault="007956FB" w:rsidP="00EE7A21">
      <w:pPr>
        <w:pStyle w:val="ListBullet"/>
      </w:pPr>
      <w:r w:rsidRPr="00E87DC2">
        <w:t>The potential for misuse or abuse of the substance is unchang</w:t>
      </w:r>
      <w:r>
        <w:t xml:space="preserve">ed from previous considerations </w:t>
      </w:r>
      <w:r>
        <w:rPr>
          <w:rFonts w:asciiTheme="minorHAnsi" w:hAnsiTheme="minorHAnsi"/>
        </w:rPr>
        <w:t>(</w:t>
      </w:r>
      <w:proofErr w:type="gramStart"/>
      <w:r>
        <w:rPr>
          <w:rFonts w:asciiTheme="minorHAnsi" w:hAnsiTheme="minorHAnsi"/>
        </w:rPr>
        <w:t>52E(</w:t>
      </w:r>
      <w:proofErr w:type="gramEnd"/>
      <w:r>
        <w:rPr>
          <w:rFonts w:asciiTheme="minorHAnsi" w:hAnsiTheme="minorHAnsi"/>
        </w:rPr>
        <w:t>1)(e</w:t>
      </w:r>
      <w:r w:rsidRPr="00F57405">
        <w:rPr>
          <w:rFonts w:asciiTheme="minorHAnsi" w:hAnsiTheme="minorHAnsi"/>
        </w:rPr>
        <w:t>))</w:t>
      </w:r>
      <w:r w:rsidRPr="00A31B48">
        <w:t>.</w:t>
      </w:r>
    </w:p>
    <w:p w14:paraId="2538A769" w14:textId="21E97C3D" w:rsidR="007956FB" w:rsidRDefault="007956FB" w:rsidP="00F20167">
      <w:r>
        <w:t>Therefore, based on the information provided in the application, I have decided to amend the current Poisons Standard in the manner set out in the application. The proposed amendment was not referred t</w:t>
      </w:r>
      <w:r w:rsidR="00A5058B">
        <w:t>o an expert advisory committee.</w:t>
      </w:r>
    </w:p>
    <w:p w14:paraId="1D1397B8" w14:textId="3D510E7F" w:rsidR="00D337B1" w:rsidRDefault="00A5058B" w:rsidP="00B852BC">
      <w:pPr>
        <w:pStyle w:val="Heading4"/>
      </w:pPr>
      <w:bookmarkStart w:id="50" w:name="_Toc57114194"/>
      <w:r>
        <w:t>Date of effect of the decision</w:t>
      </w:r>
      <w:bookmarkEnd w:id="50"/>
    </w:p>
    <w:p w14:paraId="13B03E65" w14:textId="6986A7F7" w:rsidR="00D337B1" w:rsidRPr="00DA3817" w:rsidRDefault="00D337B1" w:rsidP="00D337B1">
      <w:pPr>
        <w:rPr>
          <w:b/>
        </w:rPr>
      </w:pPr>
      <w:r w:rsidRPr="00DA3817">
        <w:rPr>
          <w:b/>
        </w:rPr>
        <w:t>1 February 2021</w:t>
      </w:r>
    </w:p>
    <w:p w14:paraId="4395E5D9" w14:textId="46B272C8" w:rsidR="00B0265A" w:rsidRDefault="00B0265A" w:rsidP="00B0265A">
      <w:pPr>
        <w:pStyle w:val="Heading3"/>
      </w:pPr>
      <w:bookmarkStart w:id="51" w:name="_Toc57114195"/>
      <w:bookmarkStart w:id="52" w:name="BEFvaccine"/>
      <w:r>
        <w:t xml:space="preserve">Final decision in relation to </w:t>
      </w:r>
      <w:r w:rsidR="00FF5B65">
        <w:t>Bovine Ephemeral Fever</w:t>
      </w:r>
      <w:r>
        <w:t xml:space="preserve"> vaccine</w:t>
      </w:r>
      <w:bookmarkEnd w:id="51"/>
    </w:p>
    <w:p w14:paraId="689FA0D4" w14:textId="7606E276" w:rsidR="00B0265A" w:rsidRDefault="00A5058B" w:rsidP="00B852BC">
      <w:pPr>
        <w:pStyle w:val="Heading4"/>
      </w:pPr>
      <w:bookmarkStart w:id="53" w:name="_Toc57114196"/>
      <w:bookmarkEnd w:id="52"/>
      <w:r>
        <w:t>Final decision</w:t>
      </w:r>
      <w:bookmarkEnd w:id="53"/>
    </w:p>
    <w:p w14:paraId="4EE9CD8A" w14:textId="7224F4F8" w:rsidR="00B0265A" w:rsidRDefault="00B0265A" w:rsidP="00B0265A">
      <w:r w:rsidRPr="00C546F4">
        <w:t xml:space="preserve">Pursuant to regulation </w:t>
      </w:r>
      <w:r w:rsidRPr="005F3EA0">
        <w:t>42ZCZU</w:t>
      </w:r>
      <w:r w:rsidRPr="005F3EA0" w:rsidDel="005F3EA0">
        <w:t xml:space="preserve"> </w:t>
      </w:r>
      <w:r w:rsidRPr="00C546F4">
        <w:t xml:space="preserve">of the Regulations, a Delegate of the Secretary has made a final </w:t>
      </w:r>
      <w:r w:rsidRPr="00DE169A">
        <w:t>decision to amend the current Poisons Sta</w:t>
      </w:r>
      <w:r w:rsidR="008D77AD" w:rsidRPr="00DE169A">
        <w:t>ndard in relation to bovine ephemeral fever vaccine</w:t>
      </w:r>
      <w:r w:rsidRPr="00DE169A">
        <w:t xml:space="preserve"> as follows</w:t>
      </w:r>
      <w:r w:rsidR="008D77AD" w:rsidRPr="00DE169A">
        <w:t>:</w:t>
      </w:r>
    </w:p>
    <w:p w14:paraId="1D06C4C1" w14:textId="4935027D" w:rsidR="008D77AD" w:rsidRPr="008D77AD" w:rsidRDefault="008D77AD" w:rsidP="00A5058B">
      <w:pPr>
        <w:ind w:left="426"/>
        <w:rPr>
          <w:b/>
        </w:rPr>
      </w:pPr>
      <w:bookmarkStart w:id="54" w:name="_Toc41902599"/>
      <w:r w:rsidRPr="008D77AD">
        <w:rPr>
          <w:b/>
        </w:rPr>
        <w:t xml:space="preserve">Schedule 4 – </w:t>
      </w:r>
      <w:bookmarkEnd w:id="54"/>
      <w:r w:rsidR="00A5058B">
        <w:rPr>
          <w:b/>
        </w:rPr>
        <w:t>Amend Entry</w:t>
      </w:r>
    </w:p>
    <w:p w14:paraId="630C1128" w14:textId="77777777" w:rsidR="000C29F7" w:rsidRPr="001E2829" w:rsidRDefault="000C29F7" w:rsidP="00A5058B">
      <w:pPr>
        <w:ind w:left="426"/>
      </w:pPr>
      <w:r w:rsidRPr="001E2829">
        <w:t xml:space="preserve">VACCINES, veterinary live virus </w:t>
      </w:r>
      <w:r w:rsidRPr="001E2829">
        <w:rPr>
          <w:b/>
        </w:rPr>
        <w:t>except</w:t>
      </w:r>
      <w:r w:rsidRPr="001E2829">
        <w:t>:</w:t>
      </w:r>
    </w:p>
    <w:p w14:paraId="60FB0E6F" w14:textId="77777777" w:rsidR="000C29F7" w:rsidRPr="00A5058B" w:rsidRDefault="000C29F7" w:rsidP="00A5058B">
      <w:pPr>
        <w:pStyle w:val="ListBulleta"/>
        <w:ind w:left="851"/>
      </w:pPr>
      <w:r w:rsidRPr="00A5058B">
        <w:t>poultry vaccines;</w:t>
      </w:r>
    </w:p>
    <w:p w14:paraId="1A65AF8A" w14:textId="77777777" w:rsidR="000C29F7" w:rsidRPr="00A5058B" w:rsidRDefault="000C29F7" w:rsidP="00A5058B">
      <w:pPr>
        <w:pStyle w:val="ListBulleta"/>
        <w:ind w:left="851"/>
      </w:pPr>
      <w:r w:rsidRPr="00A5058B">
        <w:t>pigeon pox vaccine; or</w:t>
      </w:r>
    </w:p>
    <w:p w14:paraId="11A3E0D2" w14:textId="77777777" w:rsidR="001476A3" w:rsidRPr="00A5058B" w:rsidRDefault="000C29F7" w:rsidP="00A5058B">
      <w:pPr>
        <w:pStyle w:val="ListBulleta"/>
        <w:ind w:left="851"/>
      </w:pPr>
      <w:r w:rsidRPr="00A5058B">
        <w:t>scabby mouth v</w:t>
      </w:r>
      <w:r>
        <w:t>accine</w:t>
      </w:r>
      <w:r w:rsidRPr="001476A3">
        <w:rPr>
          <w:color w:val="FF0000"/>
        </w:rPr>
        <w:t>; or</w:t>
      </w:r>
    </w:p>
    <w:p w14:paraId="4B4A0648" w14:textId="706A5B49" w:rsidR="000C29F7" w:rsidRPr="00A5058B" w:rsidRDefault="000C29F7" w:rsidP="00A5058B">
      <w:pPr>
        <w:pStyle w:val="ListBulleta"/>
        <w:ind w:left="851"/>
        <w:rPr>
          <w:color w:val="FF0000"/>
        </w:rPr>
      </w:pPr>
      <w:proofErr w:type="gramStart"/>
      <w:r w:rsidRPr="00A5058B">
        <w:rPr>
          <w:color w:val="FF0000"/>
        </w:rPr>
        <w:t>bovine</w:t>
      </w:r>
      <w:proofErr w:type="gramEnd"/>
      <w:r w:rsidRPr="00A5058B">
        <w:rPr>
          <w:color w:val="FF0000"/>
        </w:rPr>
        <w:t xml:space="preserve"> eph</w:t>
      </w:r>
      <w:r w:rsidR="00A5058B">
        <w:rPr>
          <w:color w:val="FF0000"/>
        </w:rPr>
        <w:t>emeral fever.</w:t>
      </w:r>
    </w:p>
    <w:p w14:paraId="7A7F0FE1" w14:textId="1DD555A2" w:rsidR="00B0265A" w:rsidRDefault="00654734" w:rsidP="00B852BC">
      <w:pPr>
        <w:pStyle w:val="Heading4"/>
      </w:pPr>
      <w:bookmarkStart w:id="55" w:name="_Toc57114197"/>
      <w:r>
        <w:lastRenderedPageBreak/>
        <w:t>Materials considered</w:t>
      </w:r>
      <w:bookmarkEnd w:id="55"/>
    </w:p>
    <w:p w14:paraId="77912864" w14:textId="77777777" w:rsidR="00B0265A" w:rsidRDefault="00B0265A" w:rsidP="00B0265A">
      <w:r>
        <w:t>In making this final decision, the Delegate considered the following material:</w:t>
      </w:r>
    </w:p>
    <w:p w14:paraId="16C775B3" w14:textId="7B9A2E26" w:rsidR="00B0265A" w:rsidRDefault="00B0265A" w:rsidP="00EE7A21">
      <w:pPr>
        <w:pStyle w:val="ListBullet"/>
      </w:pPr>
      <w:r>
        <w:t xml:space="preserve">The </w:t>
      </w:r>
      <w:r w:rsidRPr="00C02858">
        <w:t>application</w:t>
      </w:r>
      <w:r>
        <w:t xml:space="preserve"> to amend the current Poisons Standard</w:t>
      </w:r>
      <w:r w:rsidR="00FF5B65">
        <w:t xml:space="preserve"> with respect to bovine ephemeral fever vaccine</w:t>
      </w:r>
      <w:r>
        <w:t>;</w:t>
      </w:r>
    </w:p>
    <w:p w14:paraId="7CFB00C2" w14:textId="3019C6DA" w:rsidR="00B0265A" w:rsidRDefault="00B0265A" w:rsidP="00EE7A21">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w:t>
      </w:r>
      <w:r w:rsidR="00427D08">
        <w:t>ntial for abuse of a substance;</w:t>
      </w:r>
    </w:p>
    <w:p w14:paraId="4458FD2D" w14:textId="77777777" w:rsidR="00B0265A" w:rsidRDefault="00B0265A" w:rsidP="00EE7A21">
      <w:pPr>
        <w:pStyle w:val="ListBullet"/>
      </w:pPr>
      <w:r w:rsidRPr="002C1418">
        <w:t xml:space="preserve">The Australian Health Ministers’ Advisory Council’s </w:t>
      </w:r>
      <w:hyperlink r:id="rId58" w:history="1">
        <w:r w:rsidRPr="001A7580">
          <w:rPr>
            <w:rStyle w:val="Hyperlink"/>
          </w:rPr>
          <w:t>Scheduling Policy Framework</w:t>
        </w:r>
      </w:hyperlink>
      <w:r>
        <w:t xml:space="preserve"> (SPF 2018); </w:t>
      </w:r>
      <w:r w:rsidRPr="000B1E89">
        <w:t>and</w:t>
      </w:r>
    </w:p>
    <w:p w14:paraId="24F57400" w14:textId="18B89E53" w:rsidR="00B0265A" w:rsidRDefault="00B0265A" w:rsidP="00EE7A21">
      <w:pPr>
        <w:pStyle w:val="ListBullet"/>
      </w:pPr>
      <w:r>
        <w:t xml:space="preserve">The </w:t>
      </w:r>
      <w:hyperlink r:id="rId59" w:history="1">
        <w:r w:rsidRPr="001A7580">
          <w:rPr>
            <w:rStyle w:val="Hyperlink"/>
          </w:rPr>
          <w:t>Scheduling handbook: Guidance for amending the Poisons Standard</w:t>
        </w:r>
      </w:hyperlink>
      <w:r>
        <w:t>.</w:t>
      </w:r>
    </w:p>
    <w:p w14:paraId="1D5E9ECF" w14:textId="42C0F043" w:rsidR="00B0265A" w:rsidRDefault="00B0265A" w:rsidP="00654734">
      <w:pPr>
        <w:pStyle w:val="Heading4"/>
        <w:ind w:left="0" w:firstLine="0"/>
      </w:pPr>
      <w:bookmarkStart w:id="56" w:name="_Toc57114198"/>
      <w:r w:rsidRPr="00436C41">
        <w:t>Reasons for the final decision (including findings on material questions of fact)</w:t>
      </w:r>
      <w:bookmarkEnd w:id="56"/>
    </w:p>
    <w:p w14:paraId="1DC52D95" w14:textId="77777777" w:rsidR="00FA49AA" w:rsidRDefault="00FA49AA" w:rsidP="00654734">
      <w:r w:rsidRPr="00A31B48">
        <w:t xml:space="preserve">In determining, that this matter will be a delegate-only decision I have taken into account the information provided in the application from the Applicant (APVMA), and the matters outlined under Section 52E of </w:t>
      </w:r>
      <w:r w:rsidRPr="00A31B48">
        <w:rPr>
          <w:i/>
        </w:rPr>
        <w:t>the Therapeutic Goods Act 1989</w:t>
      </w:r>
      <w:r w:rsidRPr="00A31B48">
        <w:t xml:space="preserve"> and the Scheduling Policy Framework (2018). In particular I note that:</w:t>
      </w:r>
    </w:p>
    <w:p w14:paraId="2F9074CE" w14:textId="39371F4E" w:rsidR="00FA49AA" w:rsidRDefault="00FA49AA" w:rsidP="00EE7A21">
      <w:pPr>
        <w:pStyle w:val="ListBullet"/>
      </w:pPr>
      <w:r w:rsidRPr="00A31B48">
        <w:t xml:space="preserve">The proposed amendment to the Poisons Standard entry is to </w:t>
      </w:r>
      <w:r w:rsidR="00C22C12">
        <w:t xml:space="preserve">exempt from scheduling the bovine ephemeral fever (BEF) vaccine used for treatment of bovine ephemeral fever in </w:t>
      </w:r>
      <w:r w:rsidR="001F4BEB">
        <w:t xml:space="preserve">beef and dairy </w:t>
      </w:r>
      <w:r w:rsidR="00C22C12">
        <w:t>cattle</w:t>
      </w:r>
      <w:r>
        <w:t xml:space="preserve">. </w:t>
      </w:r>
      <w:r w:rsidR="00C22C12">
        <w:t xml:space="preserve">The </w:t>
      </w:r>
      <w:r w:rsidR="00046B1F">
        <w:t>regulator (</w:t>
      </w:r>
      <w:r w:rsidR="00C22C12">
        <w:t>APVMA</w:t>
      </w:r>
      <w:r w:rsidR="00046B1F">
        <w:t>)</w:t>
      </w:r>
      <w:r w:rsidR="00C22C12">
        <w:t xml:space="preserve"> has concluded that the human health risk posed by bovine ephemeral fever live vaccines is acceptable </w:t>
      </w:r>
      <w:r w:rsidR="00C22C12" w:rsidRPr="006379CD">
        <w:t xml:space="preserve">according to the criteria stipulated in Section 5A of the </w:t>
      </w:r>
      <w:r w:rsidR="00C22C12" w:rsidRPr="003853AB">
        <w:rPr>
          <w:i/>
        </w:rPr>
        <w:t>Agricultural and Veter</w:t>
      </w:r>
      <w:r w:rsidR="002549D9" w:rsidRPr="003853AB">
        <w:rPr>
          <w:i/>
        </w:rPr>
        <w:t>inary Chemicals Code Act</w:t>
      </w:r>
      <w:r w:rsidR="002549D9">
        <w:t xml:space="preserve"> (1994)</w:t>
      </w:r>
      <w:r w:rsidRPr="00C22C12">
        <w:rPr>
          <w:rFonts w:asciiTheme="minorHAnsi" w:hAnsiTheme="minorHAnsi"/>
        </w:rPr>
        <w:t>(52E(1)(a))</w:t>
      </w:r>
      <w:r>
        <w:t>.</w:t>
      </w:r>
    </w:p>
    <w:p w14:paraId="53DDCA81" w14:textId="102F6610" w:rsidR="00FA49AA" w:rsidRPr="00A31B48" w:rsidRDefault="00FA49AA" w:rsidP="00EE7A21">
      <w:pPr>
        <w:pStyle w:val="ListBullet"/>
      </w:pPr>
      <w:r w:rsidRPr="004E5EF1">
        <w:rPr>
          <w:lang w:eastAsia="en-AU"/>
        </w:rPr>
        <w:t>The purpose and extent for which the substance is to be used has been ad</w:t>
      </w:r>
      <w:r w:rsidR="002549D9">
        <w:rPr>
          <w:lang w:eastAsia="en-AU"/>
        </w:rPr>
        <w:t xml:space="preserve">equately outlined by Applicant </w:t>
      </w:r>
      <w:r>
        <w:t>(</w:t>
      </w:r>
      <w:proofErr w:type="gramStart"/>
      <w:r>
        <w:t>52E(</w:t>
      </w:r>
      <w:proofErr w:type="gramEnd"/>
      <w:r>
        <w:t>1)(b</w:t>
      </w:r>
      <w:r w:rsidRPr="00F57405">
        <w:t>))</w:t>
      </w:r>
      <w:r w:rsidRPr="00A31B48">
        <w:t>.</w:t>
      </w:r>
    </w:p>
    <w:p w14:paraId="00E56C77" w14:textId="0A0368FC" w:rsidR="00FA34E3" w:rsidRDefault="004B751C" w:rsidP="00EE7A21">
      <w:pPr>
        <w:pStyle w:val="ListBullet"/>
      </w:pPr>
      <w:r w:rsidRPr="004B751C">
        <w:t xml:space="preserve">Safety concerns </w:t>
      </w:r>
      <w:r w:rsidR="00A406BB">
        <w:t xml:space="preserve">may </w:t>
      </w:r>
      <w:r w:rsidRPr="004B751C">
        <w:t xml:space="preserve">arise during preparation, administration and storage of the vaccine. The risks that </w:t>
      </w:r>
      <w:r w:rsidR="00A406BB">
        <w:t xml:space="preserve">may </w:t>
      </w:r>
      <w:r w:rsidRPr="004B751C">
        <w:t>arise during vaccine reconstitution of the vaccine are comparable with that of unscheduled vaccines</w:t>
      </w:r>
      <w:r w:rsidR="005B3354">
        <w:t xml:space="preserve"> </w:t>
      </w:r>
      <w:r w:rsidRPr="004B751C">
        <w:t>for cattle, and</w:t>
      </w:r>
      <w:r>
        <w:t xml:space="preserve"> risks arising during administration can be managed through the provision of appropriate training programs for rural resellers by manufacturers. </w:t>
      </w:r>
      <w:r w:rsidR="00B94622">
        <w:t xml:space="preserve">A number of other </w:t>
      </w:r>
      <w:r>
        <w:t>live</w:t>
      </w:r>
      <w:r w:rsidR="00B94622">
        <w:t>-virus</w:t>
      </w:r>
      <w:r>
        <w:t xml:space="preserve"> vaccines </w:t>
      </w:r>
      <w:r w:rsidR="00B94622">
        <w:t>for use in animals</w:t>
      </w:r>
      <w:r>
        <w:t xml:space="preserve"> are currently unscheduled, and present similar risk to the BEF vaccine</w:t>
      </w:r>
      <w:r w:rsidR="00F13990">
        <w:t xml:space="preserve"> </w:t>
      </w:r>
      <w:r w:rsidR="00F13990" w:rsidRPr="001864CD">
        <w:rPr>
          <w:shd w:val="clear" w:color="auto" w:fill="FFFFFF"/>
        </w:rPr>
        <w:t>(</w:t>
      </w:r>
      <w:proofErr w:type="gramStart"/>
      <w:r w:rsidR="00F13990" w:rsidRPr="001864CD">
        <w:rPr>
          <w:shd w:val="clear" w:color="auto" w:fill="FFFFFF"/>
        </w:rPr>
        <w:t>52E(</w:t>
      </w:r>
      <w:proofErr w:type="gramEnd"/>
      <w:r w:rsidR="00F13990" w:rsidRPr="001864CD">
        <w:rPr>
          <w:shd w:val="clear" w:color="auto" w:fill="FFFFFF"/>
        </w:rPr>
        <w:t>1)(c))</w:t>
      </w:r>
      <w:r w:rsidR="00F13990">
        <w:t>.</w:t>
      </w:r>
    </w:p>
    <w:p w14:paraId="7B13405A" w14:textId="21741BEF" w:rsidR="00FA34E3" w:rsidRDefault="00F13990" w:rsidP="00DA3817">
      <w:pPr>
        <w:pStyle w:val="ListBullet"/>
      </w:pPr>
      <w:r>
        <w:t xml:space="preserve">Producers have safely administered approximately 180,000 doses of the BEF vaccine. </w:t>
      </w:r>
      <w:r w:rsidR="00FA34E3">
        <w:t>There are no known</w:t>
      </w:r>
      <w:r w:rsidR="00B94622">
        <w:t xml:space="preserve"> reports of</w:t>
      </w:r>
      <w:r w:rsidR="00FA34E3">
        <w:t xml:space="preserve"> vaccine interactions</w:t>
      </w:r>
      <w:r w:rsidR="00B94622">
        <w:t xml:space="preserve"> in treated animals</w:t>
      </w:r>
      <w:r w:rsidR="00FA34E3">
        <w:t xml:space="preserve"> that would require the monitoring or intervention of a veterinarian. </w:t>
      </w:r>
      <w:r>
        <w:t>Between 2009 and 2019, human adverse events reported to the APVMA include four incidences of accidental exposure, either needle-stick or squirting towards the face, with no documentation of</w:t>
      </w:r>
      <w:r w:rsidR="00741AB7">
        <w:t xml:space="preserve"> toxicity </w:t>
      </w:r>
      <w:r w:rsidR="00741AB7">
        <w:rPr>
          <w:shd w:val="clear" w:color="auto" w:fill="FFFFFF"/>
        </w:rPr>
        <w:t>(</w:t>
      </w:r>
      <w:proofErr w:type="gramStart"/>
      <w:r w:rsidR="00741AB7">
        <w:rPr>
          <w:shd w:val="clear" w:color="auto" w:fill="FFFFFF"/>
        </w:rPr>
        <w:t>52E(</w:t>
      </w:r>
      <w:proofErr w:type="gramEnd"/>
      <w:r w:rsidR="00741AB7">
        <w:rPr>
          <w:shd w:val="clear" w:color="auto" w:fill="FFFFFF"/>
        </w:rPr>
        <w:t>1)(c))</w:t>
      </w:r>
      <w:r w:rsidR="00741AB7">
        <w:t>.</w:t>
      </w:r>
    </w:p>
    <w:p w14:paraId="110A2132" w14:textId="1EB2CFB7" w:rsidR="00FA34E3" w:rsidRPr="001B35BA" w:rsidRDefault="00FA34E3" w:rsidP="00DA3817">
      <w:pPr>
        <w:pStyle w:val="ListBullet"/>
      </w:pPr>
      <w:r>
        <w:t>There is</w:t>
      </w:r>
      <w:r w:rsidR="00210F3A">
        <w:t xml:space="preserve"> also</w:t>
      </w:r>
      <w:r>
        <w:t xml:space="preserve"> no evidence of communal harm from the </w:t>
      </w:r>
      <w:r w:rsidR="00741AB7">
        <w:t xml:space="preserve">BEF Vaccine. </w:t>
      </w:r>
      <w:r>
        <w:t xml:space="preserve">The APVMA considers, that based on the data, </w:t>
      </w:r>
      <w:r w:rsidRPr="00404C65">
        <w:t>no foreseeable communal harm from the use of this product</w:t>
      </w:r>
      <w:r>
        <w:t xml:space="preserve"> is likely </w:t>
      </w:r>
      <w:r>
        <w:rPr>
          <w:shd w:val="clear" w:color="auto" w:fill="FFFFFF"/>
        </w:rPr>
        <w:t>(</w:t>
      </w:r>
      <w:proofErr w:type="gramStart"/>
      <w:r>
        <w:rPr>
          <w:shd w:val="clear" w:color="auto" w:fill="FFFFFF"/>
        </w:rPr>
        <w:t>52E(</w:t>
      </w:r>
      <w:proofErr w:type="gramEnd"/>
      <w:r>
        <w:rPr>
          <w:shd w:val="clear" w:color="auto" w:fill="FFFFFF"/>
        </w:rPr>
        <w:t>1)(c))</w:t>
      </w:r>
      <w:r>
        <w:t>.</w:t>
      </w:r>
    </w:p>
    <w:p w14:paraId="6CB54A05" w14:textId="77777777" w:rsidR="00FA49AA" w:rsidRDefault="00FA49AA" w:rsidP="00DA3817">
      <w:pPr>
        <w:pStyle w:val="ListBullet"/>
      </w:pPr>
      <w:r>
        <w:t>T</w:t>
      </w:r>
      <w:r w:rsidRPr="001169AC">
        <w:t xml:space="preserve">he dosage, formulation, labelling, packaging and presentation of </w:t>
      </w:r>
      <w:r w:rsidRPr="00DE5D6D">
        <w:rPr>
          <w:shd w:val="clear" w:color="auto" w:fill="FFFFFF"/>
        </w:rPr>
        <w:t xml:space="preserve">the product under consideration </w:t>
      </w:r>
      <w:r>
        <w:rPr>
          <w:shd w:val="clear" w:color="auto" w:fill="FFFFFF"/>
        </w:rPr>
        <w:t xml:space="preserve">will remain unchanged </w:t>
      </w:r>
      <w:r w:rsidRPr="00DE5D6D">
        <w:rPr>
          <w:rFonts w:asciiTheme="minorHAnsi" w:hAnsiTheme="minorHAnsi"/>
        </w:rPr>
        <w:t>(</w:t>
      </w:r>
      <w:proofErr w:type="gramStart"/>
      <w:r w:rsidRPr="00DE5D6D">
        <w:rPr>
          <w:rFonts w:asciiTheme="minorHAnsi" w:hAnsiTheme="minorHAnsi"/>
        </w:rPr>
        <w:t>52E(</w:t>
      </w:r>
      <w:proofErr w:type="gramEnd"/>
      <w:r w:rsidRPr="00DE5D6D">
        <w:rPr>
          <w:rFonts w:asciiTheme="minorHAnsi" w:hAnsiTheme="minorHAnsi"/>
        </w:rPr>
        <w:t>1)(d))</w:t>
      </w:r>
      <w:r w:rsidRPr="00A31B48">
        <w:t>.</w:t>
      </w:r>
    </w:p>
    <w:p w14:paraId="01E59AC1" w14:textId="633CFF59" w:rsidR="00FA49AA" w:rsidRDefault="00427D08" w:rsidP="00DA3817">
      <w:pPr>
        <w:pStyle w:val="ListBullet"/>
      </w:pPr>
      <w:r>
        <w:t xml:space="preserve">The current BEF live virus vaccine </w:t>
      </w:r>
      <w:r w:rsidRPr="004D0EF7">
        <w:t>ha</w:t>
      </w:r>
      <w:r>
        <w:t>s</w:t>
      </w:r>
      <w:r w:rsidRPr="004D0EF7">
        <w:t xml:space="preserve"> no ability to produce dependency and no propensity for misuse, abuse or illicit use</w:t>
      </w:r>
      <w:r>
        <w:rPr>
          <w:rFonts w:asciiTheme="minorHAnsi" w:hAnsiTheme="minorHAnsi"/>
        </w:rPr>
        <w:t xml:space="preserve"> </w:t>
      </w:r>
      <w:r w:rsidR="00FA49AA">
        <w:rPr>
          <w:rFonts w:asciiTheme="minorHAnsi" w:hAnsiTheme="minorHAnsi"/>
        </w:rPr>
        <w:t>(</w:t>
      </w:r>
      <w:proofErr w:type="gramStart"/>
      <w:r w:rsidR="00FA49AA">
        <w:rPr>
          <w:rFonts w:asciiTheme="minorHAnsi" w:hAnsiTheme="minorHAnsi"/>
        </w:rPr>
        <w:t>52E(</w:t>
      </w:r>
      <w:proofErr w:type="gramEnd"/>
      <w:r w:rsidR="00FA49AA">
        <w:rPr>
          <w:rFonts w:asciiTheme="minorHAnsi" w:hAnsiTheme="minorHAnsi"/>
        </w:rPr>
        <w:t>1)(e</w:t>
      </w:r>
      <w:r w:rsidR="00FA49AA" w:rsidRPr="00F57405">
        <w:rPr>
          <w:rFonts w:asciiTheme="minorHAnsi" w:hAnsiTheme="minorHAnsi"/>
        </w:rPr>
        <w:t>))</w:t>
      </w:r>
      <w:r w:rsidR="00FA49AA" w:rsidRPr="00A31B48">
        <w:t>.</w:t>
      </w:r>
    </w:p>
    <w:p w14:paraId="7ECDFF92" w14:textId="6F1177A2" w:rsidR="00FA49AA" w:rsidRPr="00FA49AA" w:rsidRDefault="00FA49AA" w:rsidP="008F2632">
      <w:r>
        <w:lastRenderedPageBreak/>
        <w:t>Therefore, based on the information provided in the application, I have decided to amend the current Poisons Standard in the manner set out in the application. The proposed amendment was not referred t</w:t>
      </w:r>
      <w:r w:rsidR="00654734">
        <w:t>o an expert advisory committee.</w:t>
      </w:r>
    </w:p>
    <w:p w14:paraId="03BBDAF5" w14:textId="75075949" w:rsidR="00B0265A" w:rsidRDefault="00B0265A" w:rsidP="00B852BC">
      <w:pPr>
        <w:pStyle w:val="Heading4"/>
      </w:pPr>
      <w:bookmarkStart w:id="57" w:name="_Toc57114199"/>
      <w:r>
        <w:t>Date of ef</w:t>
      </w:r>
      <w:r w:rsidR="00654734">
        <w:t>fect of the decision</w:t>
      </w:r>
      <w:bookmarkEnd w:id="57"/>
    </w:p>
    <w:p w14:paraId="6DE6B0F4" w14:textId="627A6DF4" w:rsidR="00B0265A" w:rsidRPr="00DA3817" w:rsidRDefault="001864CD" w:rsidP="00D337B1">
      <w:pPr>
        <w:rPr>
          <w:b/>
        </w:rPr>
      </w:pPr>
      <w:r w:rsidRPr="00DA3817">
        <w:rPr>
          <w:b/>
        </w:rPr>
        <w:t>1 February 2021</w:t>
      </w:r>
    </w:p>
    <w:p w14:paraId="78598D04" w14:textId="1AB71AEB" w:rsidR="008844F7" w:rsidRDefault="008844F7" w:rsidP="00654734">
      <w:pPr>
        <w:pStyle w:val="Heading3"/>
      </w:pPr>
      <w:bookmarkStart w:id="58" w:name="_Toc57114200"/>
      <w:bookmarkStart w:id="59" w:name="Fluazaindolizine"/>
      <w:r>
        <w:t xml:space="preserve">Final decision in relation to </w:t>
      </w:r>
      <w:proofErr w:type="spellStart"/>
      <w:r>
        <w:t>fluazaindolizine</w:t>
      </w:r>
      <w:bookmarkEnd w:id="58"/>
      <w:proofErr w:type="spellEnd"/>
    </w:p>
    <w:p w14:paraId="1E83BDE7" w14:textId="04CE245C" w:rsidR="008844F7" w:rsidRDefault="00654734" w:rsidP="00B852BC">
      <w:pPr>
        <w:pStyle w:val="Heading4"/>
      </w:pPr>
      <w:bookmarkStart w:id="60" w:name="_Toc57114201"/>
      <w:bookmarkEnd w:id="59"/>
      <w:r>
        <w:t>Final decision</w:t>
      </w:r>
      <w:bookmarkEnd w:id="60"/>
    </w:p>
    <w:p w14:paraId="3F190CAD" w14:textId="2D299FCE" w:rsidR="008844F7" w:rsidRDefault="008844F7" w:rsidP="008844F7">
      <w:r w:rsidRPr="00C546F4">
        <w:t xml:space="preserve">Pursuant to regulation </w:t>
      </w:r>
      <w:r w:rsidRPr="005F3EA0">
        <w:t>42ZCZU</w:t>
      </w:r>
      <w:r w:rsidRPr="005F3EA0" w:rsidDel="005F3EA0">
        <w:t xml:space="preserve"> </w:t>
      </w:r>
      <w:r w:rsidRPr="00C546F4">
        <w:t xml:space="preserve">of the Regulations, a Delegate of the Secretary has made a final </w:t>
      </w:r>
      <w:r w:rsidRPr="006C59C9">
        <w:t xml:space="preserve">decision to amend the current Poisons Standard in relation </w:t>
      </w:r>
      <w:r w:rsidR="00311F8C" w:rsidRPr="006C59C9">
        <w:t xml:space="preserve">to </w:t>
      </w:r>
      <w:proofErr w:type="spellStart"/>
      <w:r w:rsidR="00311F8C" w:rsidRPr="006C59C9">
        <w:t>Fluazaindolizine</w:t>
      </w:r>
      <w:proofErr w:type="spellEnd"/>
      <w:r w:rsidRPr="006C59C9">
        <w:t xml:space="preserve"> as follows:</w:t>
      </w:r>
    </w:p>
    <w:p w14:paraId="61714515" w14:textId="77777777" w:rsidR="00C61E62" w:rsidRPr="00C61E62" w:rsidRDefault="00C61E62" w:rsidP="00C61E62">
      <w:pPr>
        <w:tabs>
          <w:tab w:val="left" w:pos="426"/>
        </w:tabs>
        <w:ind w:left="426"/>
        <w:jc w:val="both"/>
        <w:rPr>
          <w:b/>
        </w:rPr>
      </w:pPr>
      <w:bookmarkStart w:id="61" w:name="_Toc366768193"/>
      <w:r w:rsidRPr="00C61E62">
        <w:rPr>
          <w:b/>
        </w:rPr>
        <w:t>Schedule 5 – New entry</w:t>
      </w:r>
    </w:p>
    <w:p w14:paraId="22AF556C" w14:textId="73F036BF" w:rsidR="00C61E62" w:rsidRPr="003F7C3E" w:rsidRDefault="00C61E62" w:rsidP="00C61E62">
      <w:pPr>
        <w:tabs>
          <w:tab w:val="left" w:pos="426"/>
        </w:tabs>
        <w:ind w:left="426"/>
        <w:jc w:val="both"/>
        <w:rPr>
          <w:color w:val="FF0000"/>
        </w:rPr>
      </w:pPr>
      <w:r w:rsidRPr="003F7C3E">
        <w:rPr>
          <w:color w:val="FF0000"/>
        </w:rPr>
        <w:t xml:space="preserve">FLUAZAINDOLIZINE in preparations containing 50 per cent or less </w:t>
      </w:r>
      <w:proofErr w:type="spellStart"/>
      <w:r w:rsidRPr="003F7C3E">
        <w:rPr>
          <w:color w:val="FF0000"/>
        </w:rPr>
        <w:t>fluazaindolizine</w:t>
      </w:r>
      <w:proofErr w:type="spellEnd"/>
    </w:p>
    <w:p w14:paraId="53842F70" w14:textId="77777777" w:rsidR="00C61E62" w:rsidRDefault="00C61E62" w:rsidP="00C61E62">
      <w:pPr>
        <w:tabs>
          <w:tab w:val="left" w:pos="426"/>
        </w:tabs>
        <w:ind w:left="426"/>
        <w:jc w:val="both"/>
        <w:rPr>
          <w:b/>
        </w:rPr>
      </w:pPr>
      <w:r>
        <w:rPr>
          <w:b/>
        </w:rPr>
        <w:t>Schedule 6 – New entry</w:t>
      </w:r>
    </w:p>
    <w:p w14:paraId="7400603E" w14:textId="461F641F" w:rsidR="00B44359" w:rsidRDefault="00C61E62" w:rsidP="00C61E62">
      <w:pPr>
        <w:tabs>
          <w:tab w:val="left" w:pos="426"/>
        </w:tabs>
        <w:ind w:left="426"/>
        <w:jc w:val="both"/>
        <w:rPr>
          <w:color w:val="FF0000"/>
        </w:rPr>
      </w:pPr>
      <w:r w:rsidRPr="003F7C3E">
        <w:rPr>
          <w:color w:val="FF0000"/>
        </w:rPr>
        <w:t xml:space="preserve">FLUAZAINDOLIZINE </w:t>
      </w:r>
      <w:r w:rsidRPr="003F7C3E">
        <w:rPr>
          <w:b/>
          <w:color w:val="FF0000"/>
        </w:rPr>
        <w:t>except</w:t>
      </w:r>
      <w:r w:rsidRPr="003F7C3E">
        <w:rPr>
          <w:color w:val="FF0000"/>
        </w:rPr>
        <w:t xml:space="preserve"> when included in Schedule 5.</w:t>
      </w:r>
      <w:bookmarkEnd w:id="61"/>
    </w:p>
    <w:p w14:paraId="6A9D3E40" w14:textId="315080EB" w:rsidR="00B44359" w:rsidRPr="003F7C3E" w:rsidRDefault="00B44359" w:rsidP="00C61E62">
      <w:pPr>
        <w:tabs>
          <w:tab w:val="left" w:pos="426"/>
        </w:tabs>
        <w:ind w:left="426"/>
        <w:jc w:val="both"/>
        <w:rPr>
          <w:b/>
        </w:rPr>
      </w:pPr>
      <w:r w:rsidRPr="003F7C3E">
        <w:rPr>
          <w:b/>
        </w:rPr>
        <w:t>Index – New entry</w:t>
      </w:r>
    </w:p>
    <w:p w14:paraId="30E47036" w14:textId="49F6FBC9" w:rsidR="00C61E62" w:rsidRDefault="00B44359" w:rsidP="00C61E62">
      <w:pPr>
        <w:tabs>
          <w:tab w:val="left" w:pos="426"/>
        </w:tabs>
        <w:ind w:left="426"/>
        <w:jc w:val="both"/>
        <w:rPr>
          <w:color w:val="FF0000"/>
        </w:rPr>
      </w:pPr>
      <w:r w:rsidRPr="00B44359">
        <w:rPr>
          <w:color w:val="FF0000"/>
        </w:rPr>
        <w:t>FLUAZAINDOLIZINE</w:t>
      </w:r>
      <w:r>
        <w:rPr>
          <w:color w:val="FF0000"/>
        </w:rPr>
        <w:t>.</w:t>
      </w:r>
    </w:p>
    <w:p w14:paraId="23261A73" w14:textId="17AD36B0" w:rsidR="00B44359" w:rsidRDefault="00B44359" w:rsidP="00C61E62">
      <w:pPr>
        <w:tabs>
          <w:tab w:val="left" w:pos="426"/>
        </w:tabs>
        <w:ind w:left="426"/>
        <w:jc w:val="both"/>
        <w:rPr>
          <w:color w:val="FF0000"/>
        </w:rPr>
      </w:pPr>
      <w:r>
        <w:rPr>
          <w:color w:val="FF0000"/>
        </w:rPr>
        <w:t>Schedule 6</w:t>
      </w:r>
    </w:p>
    <w:p w14:paraId="2A2A79A0" w14:textId="3053915E" w:rsidR="00B44359" w:rsidRPr="003F7C3E" w:rsidRDefault="00B44359" w:rsidP="00C61E62">
      <w:pPr>
        <w:tabs>
          <w:tab w:val="left" w:pos="426"/>
        </w:tabs>
        <w:ind w:left="426"/>
        <w:jc w:val="both"/>
        <w:rPr>
          <w:color w:val="FF0000"/>
        </w:rPr>
      </w:pPr>
      <w:r>
        <w:rPr>
          <w:color w:val="FF0000"/>
        </w:rPr>
        <w:t>Schedule 5</w:t>
      </w:r>
    </w:p>
    <w:p w14:paraId="3F0826CF" w14:textId="2BDDA160" w:rsidR="008844F7" w:rsidRDefault="00654734" w:rsidP="00B852BC">
      <w:pPr>
        <w:pStyle w:val="Heading4"/>
      </w:pPr>
      <w:bookmarkStart w:id="62" w:name="_Toc57114202"/>
      <w:r>
        <w:t>Materials considered</w:t>
      </w:r>
      <w:bookmarkEnd w:id="62"/>
    </w:p>
    <w:p w14:paraId="36C5A47F" w14:textId="77777777" w:rsidR="008844F7" w:rsidRDefault="008844F7" w:rsidP="008844F7">
      <w:r>
        <w:t>In making this final decision, the Delegate considered the following material:</w:t>
      </w:r>
    </w:p>
    <w:p w14:paraId="5744790C" w14:textId="247EB3C3" w:rsidR="008844F7" w:rsidRDefault="008844F7" w:rsidP="00EE7A21">
      <w:pPr>
        <w:pStyle w:val="ListBullet"/>
      </w:pPr>
      <w:r>
        <w:t xml:space="preserve">The </w:t>
      </w:r>
      <w:r w:rsidRPr="00C02858">
        <w:t>application</w:t>
      </w:r>
      <w:r>
        <w:t xml:space="preserve"> to amend the current Poisons Standard with r</w:t>
      </w:r>
      <w:r w:rsidR="00000D92">
        <w:t xml:space="preserve">espect to </w:t>
      </w:r>
      <w:proofErr w:type="spellStart"/>
      <w:r w:rsidR="00000D92">
        <w:t>f</w:t>
      </w:r>
      <w:r w:rsidR="006C59C9">
        <w:t>luazaindolizine</w:t>
      </w:r>
      <w:proofErr w:type="spellEnd"/>
      <w:r>
        <w:t>;</w:t>
      </w:r>
    </w:p>
    <w:p w14:paraId="78E4A430" w14:textId="1BA1EE4F" w:rsidR="008844F7" w:rsidRDefault="008844F7" w:rsidP="00EE7A21">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w:t>
      </w:r>
      <w:r w:rsidR="002C269C">
        <w:t xml:space="preserve"> </w:t>
      </w:r>
      <w:r w:rsidR="002C269C" w:rsidRPr="001169AC">
        <w:t>(d) the dosage, formulation, labelling, packaging and p</w:t>
      </w:r>
      <w:r w:rsidR="002C269C">
        <w:t>resentation of a substance;</w:t>
      </w:r>
      <w:r w:rsidRPr="001169AC">
        <w:t xml:space="preserve"> </w:t>
      </w:r>
      <w:r w:rsidR="002C269C">
        <w:t xml:space="preserve">and </w:t>
      </w:r>
      <w:r w:rsidRPr="001169AC">
        <w:t xml:space="preserve">(e) the potential for abuse of a substance; </w:t>
      </w:r>
    </w:p>
    <w:p w14:paraId="767BB5AD" w14:textId="77777777" w:rsidR="008844F7" w:rsidRDefault="008844F7" w:rsidP="00EE7A21">
      <w:pPr>
        <w:pStyle w:val="ListBullet"/>
      </w:pPr>
      <w:r w:rsidRPr="002C1418">
        <w:t xml:space="preserve">The Australian Health Ministers’ Advisory Council’s </w:t>
      </w:r>
      <w:hyperlink r:id="rId60" w:history="1">
        <w:r w:rsidRPr="001A7580">
          <w:rPr>
            <w:rStyle w:val="Hyperlink"/>
          </w:rPr>
          <w:t>Scheduling Policy Framework</w:t>
        </w:r>
      </w:hyperlink>
      <w:r>
        <w:t xml:space="preserve"> (SPF 2018); </w:t>
      </w:r>
      <w:r w:rsidRPr="005E46B5">
        <w:t>and</w:t>
      </w:r>
    </w:p>
    <w:p w14:paraId="26B873BF" w14:textId="7A564794" w:rsidR="008844F7" w:rsidRDefault="008844F7" w:rsidP="00EE7A21">
      <w:pPr>
        <w:pStyle w:val="ListBullet"/>
      </w:pPr>
      <w:r>
        <w:t xml:space="preserve">The </w:t>
      </w:r>
      <w:hyperlink r:id="rId61" w:history="1">
        <w:r w:rsidRPr="001A7580">
          <w:rPr>
            <w:rStyle w:val="Hyperlink"/>
          </w:rPr>
          <w:t>Scheduling handbook: Guidance for amending the Poisons Standard</w:t>
        </w:r>
      </w:hyperlink>
      <w:r>
        <w:t>.</w:t>
      </w:r>
    </w:p>
    <w:p w14:paraId="0D3D3046" w14:textId="77777777" w:rsidR="008844F7" w:rsidRDefault="008844F7" w:rsidP="00654734">
      <w:pPr>
        <w:pStyle w:val="Heading4"/>
        <w:ind w:left="0" w:firstLine="0"/>
      </w:pPr>
      <w:bookmarkStart w:id="63" w:name="_Toc57114203"/>
      <w:r w:rsidRPr="00436C41">
        <w:lastRenderedPageBreak/>
        <w:t>Reasons for the final decision (including findings on material questions of fact)</w:t>
      </w:r>
      <w:bookmarkEnd w:id="63"/>
    </w:p>
    <w:p w14:paraId="6EDEC6A4" w14:textId="77777777" w:rsidR="00DE169A" w:rsidRDefault="00DE169A" w:rsidP="00654734">
      <w:pPr>
        <w:keepNext/>
        <w:keepLines/>
      </w:pPr>
      <w:r w:rsidRPr="00A31B48">
        <w:t xml:space="preserve">In determining, that this matter will be a delegate-only decision I have taken into account the information provided in the application from the Applicant (APVMA), and the matters outlined under Section 52E of </w:t>
      </w:r>
      <w:r w:rsidRPr="00A31B48">
        <w:rPr>
          <w:i/>
        </w:rPr>
        <w:t>the Therapeutic Goods Act 1989</w:t>
      </w:r>
      <w:r w:rsidRPr="00A31B48">
        <w:t xml:space="preserve"> and the Scheduling Policy Framework (2018). In particular I note that:</w:t>
      </w:r>
    </w:p>
    <w:p w14:paraId="7377635B" w14:textId="3C2E3584" w:rsidR="00DE169A" w:rsidRDefault="00DE169A" w:rsidP="00EE7A21">
      <w:pPr>
        <w:pStyle w:val="ListBullet"/>
      </w:pPr>
      <w:r w:rsidRPr="00A31B48">
        <w:t xml:space="preserve">The proposed amendment to the Poisons Standard entry is to </w:t>
      </w:r>
      <w:r w:rsidR="00000D92">
        <w:t xml:space="preserve">include a new entry for </w:t>
      </w:r>
      <w:proofErr w:type="spellStart"/>
      <w:r w:rsidR="00000D92" w:rsidRPr="00545BD1">
        <w:t>fluazaindolizine</w:t>
      </w:r>
      <w:proofErr w:type="spellEnd"/>
      <w:r w:rsidR="001247CD">
        <w:t xml:space="preserve"> in Schedule 6, and for </w:t>
      </w:r>
      <w:r w:rsidR="00000D92" w:rsidRPr="00545BD1">
        <w:t>preparations contain</w:t>
      </w:r>
      <w:r w:rsidR="001247CD">
        <w:t>ing</w:t>
      </w:r>
      <w:r w:rsidR="00000D92" w:rsidRPr="00545BD1">
        <w:t xml:space="preserve"> 50 per cent or less </w:t>
      </w:r>
      <w:proofErr w:type="spellStart"/>
      <w:r w:rsidR="00000D92" w:rsidRPr="00545BD1">
        <w:t>fluazaindolizine</w:t>
      </w:r>
      <w:proofErr w:type="spellEnd"/>
      <w:r w:rsidR="001247CD">
        <w:t xml:space="preserve"> in Schedule 5</w:t>
      </w:r>
      <w:r w:rsidR="00545BD1" w:rsidRPr="00545BD1">
        <w:t xml:space="preserve">, </w:t>
      </w:r>
      <w:r w:rsidR="001247CD">
        <w:t xml:space="preserve">based upon </w:t>
      </w:r>
      <w:r w:rsidR="00545BD1" w:rsidRPr="009B77AB">
        <w:t xml:space="preserve">benefits to the agricultural industry from the introduction of this </w:t>
      </w:r>
      <w:r w:rsidR="001247CD">
        <w:t xml:space="preserve">new </w:t>
      </w:r>
      <w:proofErr w:type="spellStart"/>
      <w:r w:rsidR="00545BD1" w:rsidRPr="009B77AB">
        <w:t>nematicidal</w:t>
      </w:r>
      <w:proofErr w:type="spellEnd"/>
      <w:r w:rsidR="00545BD1" w:rsidRPr="009B77AB">
        <w:t xml:space="preserve"> active constituent.</w:t>
      </w:r>
      <w:r w:rsidR="000069EC" w:rsidRPr="009B77AB">
        <w:t xml:space="preserve"> </w:t>
      </w:r>
      <w:r w:rsidR="009B77AB" w:rsidRPr="009B77AB">
        <w:t>The risks to human health and saf</w:t>
      </w:r>
      <w:r w:rsidR="009B77AB">
        <w:t xml:space="preserve">ety from </w:t>
      </w:r>
      <w:proofErr w:type="spellStart"/>
      <w:r w:rsidR="009B77AB">
        <w:t>fluazaindolizine</w:t>
      </w:r>
      <w:proofErr w:type="spellEnd"/>
      <w:r w:rsidR="009B77AB" w:rsidRPr="009B77AB">
        <w:t xml:space="preserve"> have been addressed by the pesticide regulator (APVMA</w:t>
      </w:r>
      <w:r w:rsidR="000C09B6">
        <w:t xml:space="preserve">) in </w:t>
      </w:r>
      <w:r w:rsidR="00D04442">
        <w:t xml:space="preserve">its </w:t>
      </w:r>
      <w:r w:rsidR="009B77AB">
        <w:t xml:space="preserve">application </w:t>
      </w:r>
      <w:r w:rsidR="001247CD">
        <w:t>that</w:t>
      </w:r>
      <w:r w:rsidR="009B77AB">
        <w:t xml:space="preserve"> </w:t>
      </w:r>
      <w:r w:rsidR="00A97206" w:rsidRPr="009B77AB">
        <w:t>concluded that the human health risk posed by the product is acceptable according to the criteria stipulated in Section</w:t>
      </w:r>
      <w:r w:rsidR="00A97206" w:rsidRPr="00D47BF7">
        <w:t xml:space="preserve"> 5A of the </w:t>
      </w:r>
      <w:r w:rsidR="00A97206" w:rsidRPr="00CF1EA2">
        <w:rPr>
          <w:i/>
        </w:rPr>
        <w:t xml:space="preserve">Agricultural and Veterinary Chemicals Code Act </w:t>
      </w:r>
      <w:r w:rsidR="00A97206">
        <w:t xml:space="preserve">(1994) </w:t>
      </w:r>
      <w:r w:rsidRPr="00C22C12">
        <w:rPr>
          <w:rFonts w:asciiTheme="minorHAnsi" w:hAnsiTheme="minorHAnsi"/>
        </w:rPr>
        <w:t>52E(1)(a)</w:t>
      </w:r>
      <w:r w:rsidR="001C732D">
        <w:rPr>
          <w:rFonts w:asciiTheme="minorHAnsi" w:hAnsiTheme="minorHAnsi"/>
        </w:rPr>
        <w:t>(b)</w:t>
      </w:r>
      <w:r w:rsidRPr="00C22C12">
        <w:rPr>
          <w:rFonts w:asciiTheme="minorHAnsi" w:hAnsiTheme="minorHAnsi"/>
        </w:rPr>
        <w:t>)</w:t>
      </w:r>
      <w:r>
        <w:t>.</w:t>
      </w:r>
    </w:p>
    <w:p w14:paraId="58CDC83F" w14:textId="74EC5F50" w:rsidR="006D79A0" w:rsidRDefault="006D79A0" w:rsidP="00EE7A21">
      <w:pPr>
        <w:pStyle w:val="ListBullet"/>
      </w:pPr>
      <w:r>
        <w:t>The applicant provided data</w:t>
      </w:r>
      <w:r w:rsidR="001247CD">
        <w:t xml:space="preserve"> for </w:t>
      </w:r>
      <w:r>
        <w:t>a product contai</w:t>
      </w:r>
      <w:r w:rsidR="00F9027E">
        <w:t xml:space="preserve">ning 500 g/L of </w:t>
      </w:r>
      <w:r w:rsidR="001247CD">
        <w:t xml:space="preserve">the active constituent </w:t>
      </w:r>
      <w:proofErr w:type="spellStart"/>
      <w:r w:rsidR="00F9027E">
        <w:t>fluazaindolizine</w:t>
      </w:r>
      <w:proofErr w:type="spellEnd"/>
      <w:r w:rsidR="00F9027E">
        <w:t>,</w:t>
      </w:r>
      <w:r w:rsidR="001247CD">
        <w:t xml:space="preserve"> which </w:t>
      </w:r>
      <w:r w:rsidR="00F9027E">
        <w:t xml:space="preserve">indicated </w:t>
      </w:r>
      <w:r w:rsidR="001247CD">
        <w:t xml:space="preserve">that the </w:t>
      </w:r>
      <w:r w:rsidR="00F9027E">
        <w:t xml:space="preserve">toxicity </w:t>
      </w:r>
      <w:r w:rsidR="001247CD">
        <w:t>profile was consistent with a</w:t>
      </w:r>
      <w:r w:rsidR="00F83533">
        <w:t xml:space="preserve"> Schedule 5 </w:t>
      </w:r>
      <w:r w:rsidR="001247CD">
        <w:t xml:space="preserve">entry, i.e. </w:t>
      </w:r>
      <w:r w:rsidR="00F9027E">
        <w:t>low acute toxicity by the oral (LD</w:t>
      </w:r>
      <w:r w:rsidR="00F9027E" w:rsidRPr="00564737">
        <w:rPr>
          <w:sz w:val="13"/>
          <w:szCs w:val="13"/>
        </w:rPr>
        <w:t xml:space="preserve">50 </w:t>
      </w:r>
      <w:r w:rsidR="00F9027E">
        <w:t xml:space="preserve">&gt;2000 mg/kg </w:t>
      </w:r>
      <w:proofErr w:type="spellStart"/>
      <w:r w:rsidR="00F9027E">
        <w:t>bw</w:t>
      </w:r>
      <w:proofErr w:type="spellEnd"/>
      <w:r w:rsidR="00F9027E">
        <w:t>), dermal (LD</w:t>
      </w:r>
      <w:r w:rsidR="00F9027E" w:rsidRPr="00564737">
        <w:rPr>
          <w:sz w:val="13"/>
          <w:szCs w:val="13"/>
        </w:rPr>
        <w:t xml:space="preserve">50 </w:t>
      </w:r>
      <w:r w:rsidR="00F9027E">
        <w:t xml:space="preserve">&gt;5000 mg/kg </w:t>
      </w:r>
      <w:proofErr w:type="spellStart"/>
      <w:r w:rsidR="00F9027E">
        <w:t>bw</w:t>
      </w:r>
      <w:proofErr w:type="spellEnd"/>
      <w:r w:rsidR="00F9027E">
        <w:t>) and inhalational (LC</w:t>
      </w:r>
      <w:r w:rsidR="00F9027E" w:rsidRPr="00564737">
        <w:rPr>
          <w:sz w:val="13"/>
          <w:szCs w:val="13"/>
        </w:rPr>
        <w:t xml:space="preserve">50 </w:t>
      </w:r>
      <w:r w:rsidR="00F9027E">
        <w:t>&gt;5100 mg/m</w:t>
      </w:r>
      <w:r w:rsidR="001247CD" w:rsidRPr="003853AB">
        <w:rPr>
          <w:vertAlign w:val="superscript"/>
        </w:rPr>
        <w:t>3</w:t>
      </w:r>
      <w:r w:rsidR="00F9027E">
        <w:t>) routes</w:t>
      </w:r>
      <w:r w:rsidR="00F83533">
        <w:t xml:space="preserve">. The product </w:t>
      </w:r>
      <w:r w:rsidR="001247CD">
        <w:t>wa</w:t>
      </w:r>
      <w:r w:rsidR="00F9027E">
        <w:t xml:space="preserve">s a slight eye and skin irritant and </w:t>
      </w:r>
      <w:r w:rsidR="001247CD">
        <w:t>wa</w:t>
      </w:r>
      <w:r w:rsidR="00F9027E">
        <w:t>s not a skin sensitiser.</w:t>
      </w:r>
      <w:r w:rsidR="00F83533" w:rsidRPr="00F83533">
        <w:t xml:space="preserve"> </w:t>
      </w:r>
      <w:r w:rsidR="00EC7FF7">
        <w:t xml:space="preserve">The skin and eye irritation potential of this product can be adequately managed with safety directions. </w:t>
      </w:r>
      <w:r w:rsidR="00D04442">
        <w:t>Overall,</w:t>
      </w:r>
      <w:r w:rsidR="00EC7FF7">
        <w:t xml:space="preserve"> the substance was </w:t>
      </w:r>
      <w:r w:rsidR="00F83533">
        <w:t>found to be non-carcinogenic, non-genotoxic and did not exhibit any</w:t>
      </w:r>
      <w:r w:rsidR="00F83533" w:rsidRPr="00465286">
        <w:t xml:space="preserve"> developmental or reproductive toxi</w:t>
      </w:r>
      <w:r w:rsidR="00EC7FF7">
        <w:t xml:space="preserve">cities </w:t>
      </w:r>
      <w:r w:rsidR="00F83533">
        <w:t>(</w:t>
      </w:r>
      <w:proofErr w:type="gramStart"/>
      <w:r w:rsidR="00F83533">
        <w:t>52E(</w:t>
      </w:r>
      <w:proofErr w:type="gramEnd"/>
      <w:r w:rsidR="00F83533">
        <w:t>1)(c)</w:t>
      </w:r>
      <w:r w:rsidR="00EC7FF7">
        <w:t>(d)</w:t>
      </w:r>
      <w:r w:rsidR="00F83533">
        <w:t>).</w:t>
      </w:r>
    </w:p>
    <w:p w14:paraId="462B9BE9" w14:textId="09E43776" w:rsidR="00DE169A" w:rsidRDefault="000069EC" w:rsidP="00EE7A21">
      <w:pPr>
        <w:pStyle w:val="ListBullet"/>
      </w:pPr>
      <w:r>
        <w:t xml:space="preserve">I find that the </w:t>
      </w:r>
      <w:r w:rsidR="00DF4692">
        <w:t xml:space="preserve">risks to human health and safety from exposure to </w:t>
      </w:r>
      <w:proofErr w:type="spellStart"/>
      <w:r w:rsidR="00DF4692">
        <w:t>fluazaindolizine</w:t>
      </w:r>
      <w:proofErr w:type="spellEnd"/>
      <w:r w:rsidR="00DF4692">
        <w:t xml:space="preserve"> </w:t>
      </w:r>
      <w:r w:rsidR="00EC7FF7">
        <w:t>at a concentration of 50%</w:t>
      </w:r>
      <w:r w:rsidR="00D04442">
        <w:t xml:space="preserve"> </w:t>
      </w:r>
      <w:r w:rsidR="00EC7FF7">
        <w:t xml:space="preserve">or less, during use, </w:t>
      </w:r>
      <w:r w:rsidR="00DF4692">
        <w:t xml:space="preserve">re-entering treated areas or handling treated material, and the general public coming into contact with the product have been </w:t>
      </w:r>
      <w:r>
        <w:t xml:space="preserve">adequately </w:t>
      </w:r>
      <w:r w:rsidR="00DF4692">
        <w:t>qualified in the APVMA’s Human Health Risk Assessment (HHRA) technical report</w:t>
      </w:r>
      <w:r w:rsidR="00EC7FF7">
        <w:t xml:space="preserve"> </w:t>
      </w:r>
      <w:r w:rsidR="00F83533">
        <w:t>(</w:t>
      </w:r>
      <w:r w:rsidR="00821DA1" w:rsidRPr="00C22C12">
        <w:rPr>
          <w:rFonts w:asciiTheme="minorHAnsi" w:hAnsiTheme="minorHAnsi"/>
        </w:rPr>
        <w:t>52E(1)(a)</w:t>
      </w:r>
      <w:r w:rsidR="00F83533">
        <w:rPr>
          <w:rFonts w:asciiTheme="minorHAnsi" w:hAnsiTheme="minorHAnsi"/>
        </w:rPr>
        <w:t>)</w:t>
      </w:r>
      <w:r w:rsidR="00985A68">
        <w:t>.</w:t>
      </w:r>
    </w:p>
    <w:p w14:paraId="1065762A" w14:textId="3129D6BA" w:rsidR="00DF4692" w:rsidRDefault="00EC7FF7" w:rsidP="00654734">
      <w:pPr>
        <w:pStyle w:val="ListBullet"/>
      </w:pPr>
      <w:r>
        <w:t xml:space="preserve">Products containing 50% or less </w:t>
      </w:r>
      <w:proofErr w:type="spellStart"/>
      <w:r>
        <w:t>fluazaindolizine</w:t>
      </w:r>
      <w:proofErr w:type="spellEnd"/>
      <w:r>
        <w:t xml:space="preserve">, are </w:t>
      </w:r>
      <w:r w:rsidR="00DF4692">
        <w:t>intended only for professional use, and will not be available to the general public.</w:t>
      </w:r>
      <w:r w:rsidR="007F6B27" w:rsidRPr="007F6B27">
        <w:t xml:space="preserve"> </w:t>
      </w:r>
      <w:r>
        <w:t>Therefore, t</w:t>
      </w:r>
      <w:r w:rsidR="007F6B27">
        <w:t>he potential for misuse or abuse of the substance as contained in the proposed produc</w:t>
      </w:r>
      <w:r w:rsidR="00821DA1">
        <w:t xml:space="preserve">ts is limited. </w:t>
      </w:r>
      <w:r w:rsidR="007F6B27">
        <w:t xml:space="preserve">The substance has no established therapeutic value in humans that would indicate that there is a risk of dependency, abuse, misuse or diversion into illicit use </w:t>
      </w:r>
      <w:r w:rsidR="007F6B27">
        <w:rPr>
          <w:rFonts w:asciiTheme="minorHAnsi" w:hAnsiTheme="minorHAnsi"/>
        </w:rPr>
        <w:t>(</w:t>
      </w:r>
      <w:proofErr w:type="gramStart"/>
      <w:r w:rsidR="007F6B27">
        <w:rPr>
          <w:rFonts w:asciiTheme="minorHAnsi" w:hAnsiTheme="minorHAnsi"/>
        </w:rPr>
        <w:t>52E(</w:t>
      </w:r>
      <w:proofErr w:type="gramEnd"/>
      <w:r w:rsidR="007F6B27">
        <w:rPr>
          <w:rFonts w:asciiTheme="minorHAnsi" w:hAnsiTheme="minorHAnsi"/>
        </w:rPr>
        <w:t>1)(e</w:t>
      </w:r>
      <w:r w:rsidR="007F6B27" w:rsidRPr="00F57405">
        <w:rPr>
          <w:rFonts w:asciiTheme="minorHAnsi" w:hAnsiTheme="minorHAnsi"/>
        </w:rPr>
        <w:t>))</w:t>
      </w:r>
      <w:r w:rsidR="007F6B27" w:rsidRPr="00A31B48">
        <w:t>.</w:t>
      </w:r>
    </w:p>
    <w:p w14:paraId="1A4D0E0E" w14:textId="12B545F2" w:rsidR="008844F7" w:rsidRPr="007F6B27" w:rsidRDefault="00DE169A" w:rsidP="00654734">
      <w:r>
        <w:t>Therefore, based on the information provided in the application, I have decided to amend the current Poisons Standard in the manner set out in the application. The proposed amendment was not referred t</w:t>
      </w:r>
      <w:r w:rsidR="00654734">
        <w:t>o an expert advisory committee.</w:t>
      </w:r>
    </w:p>
    <w:p w14:paraId="1920F093" w14:textId="5EE0385A" w:rsidR="008844F7" w:rsidRPr="00654734" w:rsidRDefault="00654734" w:rsidP="00654734">
      <w:pPr>
        <w:pStyle w:val="Heading4"/>
      </w:pPr>
      <w:bookmarkStart w:id="64" w:name="_Toc57114204"/>
      <w:r>
        <w:t>Date of effect of the decision</w:t>
      </w:r>
      <w:bookmarkEnd w:id="64"/>
    </w:p>
    <w:p w14:paraId="1FBA07CD" w14:textId="35B91F67" w:rsidR="008844F7" w:rsidRPr="00DA3817" w:rsidRDefault="005E46B5" w:rsidP="008844F7">
      <w:pPr>
        <w:rPr>
          <w:b/>
        </w:rPr>
      </w:pPr>
      <w:r w:rsidRPr="00DA3817">
        <w:rPr>
          <w:b/>
        </w:rPr>
        <w:t>1 February 2021</w:t>
      </w:r>
    </w:p>
    <w:p w14:paraId="683DE16F" w14:textId="01BCC746" w:rsidR="008844F7" w:rsidRDefault="008844F7" w:rsidP="00654734">
      <w:pPr>
        <w:pStyle w:val="Heading3"/>
      </w:pPr>
      <w:bookmarkStart w:id="65" w:name="_Toc57114205"/>
      <w:bookmarkStart w:id="66" w:name="Florylpicoxamid"/>
      <w:r>
        <w:lastRenderedPageBreak/>
        <w:t xml:space="preserve">Final decision in relation to </w:t>
      </w:r>
      <w:proofErr w:type="spellStart"/>
      <w:r>
        <w:t>florylpicoxamid</w:t>
      </w:r>
      <w:bookmarkEnd w:id="65"/>
      <w:proofErr w:type="spellEnd"/>
    </w:p>
    <w:p w14:paraId="28FE447B" w14:textId="38AD0BC7" w:rsidR="008844F7" w:rsidRDefault="00654734" w:rsidP="00654734">
      <w:pPr>
        <w:pStyle w:val="Heading4"/>
      </w:pPr>
      <w:bookmarkStart w:id="67" w:name="_Toc57114206"/>
      <w:bookmarkEnd w:id="66"/>
      <w:r>
        <w:t>Final d</w:t>
      </w:r>
      <w:r w:rsidR="008844F7">
        <w:t>eci</w:t>
      </w:r>
      <w:r>
        <w:t>sion</w:t>
      </w:r>
      <w:bookmarkEnd w:id="67"/>
    </w:p>
    <w:p w14:paraId="3D95DE67" w14:textId="25C0E531" w:rsidR="008844F7" w:rsidRDefault="008844F7" w:rsidP="00654734">
      <w:pPr>
        <w:keepNext/>
        <w:keepLines/>
      </w:pPr>
      <w:r w:rsidRPr="00C546F4">
        <w:t xml:space="preserve">Pursuant to regulation </w:t>
      </w:r>
      <w:r w:rsidRPr="005F3EA0">
        <w:t>42ZCZU</w:t>
      </w:r>
      <w:r w:rsidRPr="005F3EA0" w:rsidDel="005F3EA0">
        <w:t xml:space="preserve"> </w:t>
      </w:r>
      <w:r w:rsidRPr="00C546F4">
        <w:t xml:space="preserve">of the Regulations, a Delegate of the Secretary has made a final </w:t>
      </w:r>
      <w:r w:rsidRPr="00CE19E1">
        <w:t>decision to</w:t>
      </w:r>
      <w:r w:rsidR="006F67AE">
        <w:t xml:space="preserve"> </w:t>
      </w:r>
      <w:r w:rsidRPr="00CE19E1">
        <w:t>amend the current Poisons Sta</w:t>
      </w:r>
      <w:r w:rsidR="00C22768" w:rsidRPr="00CE19E1">
        <w:t xml:space="preserve">ndard in relation to </w:t>
      </w:r>
      <w:proofErr w:type="spellStart"/>
      <w:r w:rsidR="00C22768" w:rsidRPr="00CE19E1">
        <w:t>floryl</w:t>
      </w:r>
      <w:r w:rsidR="00CE19E1" w:rsidRPr="00CE19E1">
        <w:t>picoxamid</w:t>
      </w:r>
      <w:proofErr w:type="spellEnd"/>
      <w:r w:rsidRPr="00CE19E1">
        <w:t xml:space="preserve"> as follows:</w:t>
      </w:r>
    </w:p>
    <w:p w14:paraId="1689C052" w14:textId="6DC94660" w:rsidR="00585E23" w:rsidRDefault="00585E23" w:rsidP="00654734">
      <w:pPr>
        <w:keepNext/>
        <w:keepLines/>
        <w:tabs>
          <w:tab w:val="left" w:pos="426"/>
        </w:tabs>
        <w:ind w:left="426"/>
        <w:jc w:val="both"/>
        <w:rPr>
          <w:b/>
          <w:color w:val="000000"/>
        </w:rPr>
      </w:pPr>
      <w:r w:rsidRPr="00585E23">
        <w:rPr>
          <w:b/>
          <w:color w:val="000000"/>
        </w:rPr>
        <w:t>Appendix B</w:t>
      </w:r>
      <w:r w:rsidR="000069EC">
        <w:rPr>
          <w:b/>
          <w:color w:val="000000"/>
        </w:rPr>
        <w:t>, Part 3</w:t>
      </w:r>
      <w:r w:rsidRPr="00585E23">
        <w:rPr>
          <w:b/>
          <w:color w:val="000000"/>
        </w:rPr>
        <w:t xml:space="preserve"> – New entry</w:t>
      </w:r>
    </w:p>
    <w:tbl>
      <w:tblPr>
        <w:tblStyle w:val="TableTGAblue"/>
        <w:tblW w:w="0" w:type="auto"/>
        <w:tblInd w:w="416" w:type="dxa"/>
        <w:tblLook w:val="04A0" w:firstRow="1" w:lastRow="0" w:firstColumn="1" w:lastColumn="0" w:noHBand="0" w:noVBand="1"/>
      </w:tblPr>
      <w:tblGrid>
        <w:gridCol w:w="2099"/>
        <w:gridCol w:w="2187"/>
        <w:gridCol w:w="2186"/>
        <w:gridCol w:w="2162"/>
      </w:tblGrid>
      <w:tr w:rsidR="004E4F1C" w14:paraId="573D191D" w14:textId="77777777" w:rsidTr="00DA3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14:paraId="517F6B9E" w14:textId="2A2D5CF3" w:rsidR="004E4F1C" w:rsidRPr="002C3C50" w:rsidRDefault="004E4F1C" w:rsidP="00585E23">
            <w:pPr>
              <w:tabs>
                <w:tab w:val="left" w:pos="426"/>
              </w:tabs>
              <w:jc w:val="both"/>
              <w:rPr>
                <w:color w:val="FFFFFF" w:themeColor="background1"/>
              </w:rPr>
            </w:pPr>
            <w:r w:rsidRPr="002C3C50">
              <w:rPr>
                <w:color w:val="FFFFFF" w:themeColor="background1"/>
              </w:rPr>
              <w:t>Substance</w:t>
            </w:r>
          </w:p>
        </w:tc>
        <w:tc>
          <w:tcPr>
            <w:tcW w:w="2262" w:type="dxa"/>
          </w:tcPr>
          <w:p w14:paraId="20507467" w14:textId="2303D840" w:rsidR="004E4F1C" w:rsidRPr="002C3C50" w:rsidRDefault="004E4F1C" w:rsidP="00585E23">
            <w:pPr>
              <w:tabs>
                <w:tab w:val="left" w:pos="426"/>
              </w:tabs>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2C3C50">
              <w:rPr>
                <w:color w:val="FFFFFF" w:themeColor="background1"/>
              </w:rPr>
              <w:t>Date of entry</w:t>
            </w:r>
          </w:p>
        </w:tc>
        <w:tc>
          <w:tcPr>
            <w:tcW w:w="2262" w:type="dxa"/>
          </w:tcPr>
          <w:p w14:paraId="498E4B64" w14:textId="779A53DD" w:rsidR="004E4F1C" w:rsidRPr="002C3C50" w:rsidRDefault="004E4F1C" w:rsidP="00585E23">
            <w:pPr>
              <w:tabs>
                <w:tab w:val="left" w:pos="426"/>
              </w:tabs>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2C3C50">
              <w:rPr>
                <w:color w:val="FFFFFF" w:themeColor="background1"/>
              </w:rPr>
              <w:t>Reasons for listing</w:t>
            </w:r>
          </w:p>
        </w:tc>
        <w:tc>
          <w:tcPr>
            <w:tcW w:w="2261" w:type="dxa"/>
          </w:tcPr>
          <w:p w14:paraId="72EF091A" w14:textId="73024206" w:rsidR="004E4F1C" w:rsidRPr="002C3C50" w:rsidRDefault="004E4F1C" w:rsidP="00585E23">
            <w:pPr>
              <w:tabs>
                <w:tab w:val="left" w:pos="426"/>
              </w:tabs>
              <w:jc w:val="both"/>
              <w:cnfStyle w:val="100000000000" w:firstRow="1" w:lastRow="0" w:firstColumn="0" w:lastColumn="0" w:oddVBand="0" w:evenVBand="0" w:oddHBand="0" w:evenHBand="0" w:firstRowFirstColumn="0" w:firstRowLastColumn="0" w:lastRowFirstColumn="0" w:lastRowLastColumn="0"/>
              <w:rPr>
                <w:color w:val="FFFFFF" w:themeColor="background1"/>
              </w:rPr>
            </w:pPr>
            <w:r w:rsidRPr="002C3C50">
              <w:rPr>
                <w:color w:val="FFFFFF" w:themeColor="background1"/>
              </w:rPr>
              <w:t xml:space="preserve">Area of use </w:t>
            </w:r>
          </w:p>
        </w:tc>
      </w:tr>
      <w:tr w:rsidR="004E4F1C" w14:paraId="084A07F3" w14:textId="77777777" w:rsidTr="00DA3817">
        <w:tc>
          <w:tcPr>
            <w:cnfStyle w:val="001000000000" w:firstRow="0" w:lastRow="0" w:firstColumn="1" w:lastColumn="0" w:oddVBand="0" w:evenVBand="0" w:oddHBand="0" w:evenHBand="0" w:firstRowFirstColumn="0" w:firstRowLastColumn="0" w:lastRowFirstColumn="0" w:lastRowLastColumn="0"/>
            <w:tcW w:w="1849" w:type="dxa"/>
          </w:tcPr>
          <w:p w14:paraId="5DF95250" w14:textId="70558DA5" w:rsidR="004E4F1C" w:rsidRPr="002C3C50" w:rsidRDefault="004E4F1C" w:rsidP="00585E23">
            <w:pPr>
              <w:tabs>
                <w:tab w:val="left" w:pos="426"/>
              </w:tabs>
              <w:jc w:val="both"/>
              <w:rPr>
                <w:color w:val="FF0000"/>
              </w:rPr>
            </w:pPr>
            <w:r w:rsidRPr="002C3C50">
              <w:rPr>
                <w:color w:val="FF0000"/>
              </w:rPr>
              <w:t>FLORYLPICOXAMID</w:t>
            </w:r>
          </w:p>
        </w:tc>
        <w:tc>
          <w:tcPr>
            <w:tcW w:w="2262" w:type="dxa"/>
          </w:tcPr>
          <w:p w14:paraId="40D7ACAA" w14:textId="31F6CE8A" w:rsidR="004E4F1C" w:rsidRPr="002C3C50" w:rsidRDefault="004E4F1C" w:rsidP="00585E23">
            <w:pPr>
              <w:tabs>
                <w:tab w:val="left" w:pos="426"/>
              </w:tabs>
              <w:jc w:val="both"/>
              <w:cnfStyle w:val="000000000000" w:firstRow="0" w:lastRow="0" w:firstColumn="0" w:lastColumn="0" w:oddVBand="0" w:evenVBand="0" w:oddHBand="0" w:evenHBand="0" w:firstRowFirstColumn="0" w:firstRowLastColumn="0" w:lastRowFirstColumn="0" w:lastRowLastColumn="0"/>
              <w:rPr>
                <w:color w:val="FF0000"/>
              </w:rPr>
            </w:pPr>
            <w:r w:rsidRPr="002C3C50">
              <w:rPr>
                <w:color w:val="FF0000"/>
              </w:rPr>
              <w:t>1 February 2021</w:t>
            </w:r>
          </w:p>
        </w:tc>
        <w:tc>
          <w:tcPr>
            <w:tcW w:w="2262" w:type="dxa"/>
          </w:tcPr>
          <w:p w14:paraId="2D07DB4A" w14:textId="6292C42B" w:rsidR="004E4F1C" w:rsidRPr="002C3C50" w:rsidRDefault="00B44359" w:rsidP="00585E23">
            <w:pPr>
              <w:tabs>
                <w:tab w:val="left" w:pos="426"/>
              </w:tabs>
              <w:jc w:val="both"/>
              <w:cnfStyle w:val="000000000000" w:firstRow="0" w:lastRow="0" w:firstColumn="0" w:lastColumn="0" w:oddVBand="0" w:evenVBand="0" w:oddHBand="0" w:evenHBand="0" w:firstRowFirstColumn="0" w:firstRowLastColumn="0" w:lastRowFirstColumn="0" w:lastRowLastColumn="0"/>
              <w:rPr>
                <w:color w:val="FF0000"/>
              </w:rPr>
            </w:pPr>
            <w:r w:rsidRPr="002C3C50">
              <w:rPr>
                <w:color w:val="FF0000"/>
              </w:rPr>
              <w:t>a</w:t>
            </w:r>
          </w:p>
        </w:tc>
        <w:tc>
          <w:tcPr>
            <w:tcW w:w="2261" w:type="dxa"/>
          </w:tcPr>
          <w:p w14:paraId="21745E15" w14:textId="36CF01A2" w:rsidR="004E4F1C" w:rsidRPr="002C3C50" w:rsidRDefault="00B44359" w:rsidP="00585E23">
            <w:pPr>
              <w:tabs>
                <w:tab w:val="left" w:pos="426"/>
              </w:tabs>
              <w:jc w:val="both"/>
              <w:cnfStyle w:val="000000000000" w:firstRow="0" w:lastRow="0" w:firstColumn="0" w:lastColumn="0" w:oddVBand="0" w:evenVBand="0" w:oddHBand="0" w:evenHBand="0" w:firstRowFirstColumn="0" w:firstRowLastColumn="0" w:lastRowFirstColumn="0" w:lastRowLastColumn="0"/>
              <w:rPr>
                <w:color w:val="FF0000"/>
              </w:rPr>
            </w:pPr>
            <w:r w:rsidRPr="002C3C50">
              <w:rPr>
                <w:color w:val="FF0000"/>
              </w:rPr>
              <w:t>1.3</w:t>
            </w:r>
          </w:p>
        </w:tc>
      </w:tr>
    </w:tbl>
    <w:p w14:paraId="699B2FA8" w14:textId="42026683" w:rsidR="000069EC" w:rsidRDefault="00DA3817" w:rsidP="00585E23">
      <w:pPr>
        <w:ind w:left="426"/>
        <w:jc w:val="both"/>
        <w:rPr>
          <w:b/>
          <w:color w:val="000000"/>
        </w:rPr>
      </w:pPr>
      <w:r>
        <w:rPr>
          <w:b/>
          <w:color w:val="000000"/>
        </w:rPr>
        <w:t>Index – New entry</w:t>
      </w:r>
    </w:p>
    <w:p w14:paraId="26D015D4" w14:textId="584DB9D0" w:rsidR="000069EC" w:rsidRPr="002C3C50" w:rsidRDefault="000069EC" w:rsidP="00585E23">
      <w:pPr>
        <w:ind w:left="426"/>
        <w:jc w:val="both"/>
        <w:rPr>
          <w:b/>
          <w:color w:val="FF0000"/>
        </w:rPr>
      </w:pPr>
      <w:r w:rsidRPr="002C3C50">
        <w:rPr>
          <w:b/>
          <w:color w:val="FF0000"/>
        </w:rPr>
        <w:t>FLORYLPICOXAMID.</w:t>
      </w:r>
    </w:p>
    <w:p w14:paraId="768ACC7D" w14:textId="28DCFC2F" w:rsidR="000069EC" w:rsidRPr="002C3C50" w:rsidRDefault="000069EC" w:rsidP="00585E23">
      <w:pPr>
        <w:ind w:left="426"/>
        <w:jc w:val="both"/>
        <w:rPr>
          <w:b/>
          <w:color w:val="000000"/>
        </w:rPr>
      </w:pPr>
      <w:r>
        <w:rPr>
          <w:color w:val="FF0000"/>
        </w:rPr>
        <w:t>Appendix B, Part 3</w:t>
      </w:r>
    </w:p>
    <w:p w14:paraId="3981E657" w14:textId="22D409C2" w:rsidR="008844F7" w:rsidRDefault="00DA3817" w:rsidP="00B852BC">
      <w:pPr>
        <w:pStyle w:val="Heading4"/>
      </w:pPr>
      <w:bookmarkStart w:id="68" w:name="_Toc57114207"/>
      <w:r>
        <w:t>Materials considered</w:t>
      </w:r>
      <w:bookmarkEnd w:id="68"/>
    </w:p>
    <w:p w14:paraId="476E780A" w14:textId="77777777" w:rsidR="008844F7" w:rsidRDefault="008844F7" w:rsidP="008844F7">
      <w:r>
        <w:t>In making this final decision, the Delegate considered the following material:</w:t>
      </w:r>
    </w:p>
    <w:p w14:paraId="73FFE8B4" w14:textId="51E97B12" w:rsidR="008844F7" w:rsidRDefault="008844F7" w:rsidP="00EE7A21">
      <w:pPr>
        <w:pStyle w:val="ListBullet"/>
      </w:pPr>
      <w:r>
        <w:t xml:space="preserve">The </w:t>
      </w:r>
      <w:r w:rsidRPr="00C02858">
        <w:t>application</w:t>
      </w:r>
      <w:r>
        <w:t xml:space="preserve"> to amend the current Po</w:t>
      </w:r>
      <w:r w:rsidR="001C43EA">
        <w:t xml:space="preserve">isons Standard with respect to </w:t>
      </w:r>
      <w:proofErr w:type="spellStart"/>
      <w:r w:rsidR="001C43EA">
        <w:t>florylpicoxamid</w:t>
      </w:r>
      <w:proofErr w:type="spellEnd"/>
      <w:r>
        <w:t>;</w:t>
      </w:r>
    </w:p>
    <w:p w14:paraId="3B8F2FC3" w14:textId="42318764" w:rsidR="008844F7" w:rsidRDefault="008844F7" w:rsidP="00EE7A21">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w:t>
      </w:r>
      <w:r w:rsidR="00F00029">
        <w:t xml:space="preserve">resentation of a substance; </w:t>
      </w:r>
      <w:r w:rsidRPr="001169AC">
        <w:t>(e) the potential for abuse of a substance;</w:t>
      </w:r>
      <w:r w:rsidR="00F00029">
        <w:t xml:space="preserve"> </w:t>
      </w:r>
      <w:r w:rsidR="00F00029" w:rsidRPr="001169AC">
        <w:t>and (f) any other matters considered necessary to protect public hea</w:t>
      </w:r>
      <w:r w:rsidR="00DA3817">
        <w:t>lth;</w:t>
      </w:r>
    </w:p>
    <w:p w14:paraId="7F2814BE" w14:textId="3CB5E79C" w:rsidR="008844F7" w:rsidRDefault="008844F7" w:rsidP="00EE7A21">
      <w:pPr>
        <w:pStyle w:val="ListBullet"/>
      </w:pPr>
      <w:r w:rsidRPr="002C1418">
        <w:t xml:space="preserve">The Australian Health Ministers’ Advisory Council’s </w:t>
      </w:r>
      <w:hyperlink r:id="rId62" w:history="1">
        <w:r w:rsidRPr="001A7580">
          <w:rPr>
            <w:rStyle w:val="Hyperlink"/>
          </w:rPr>
          <w:t>Scheduling Policy Framework</w:t>
        </w:r>
      </w:hyperlink>
      <w:r>
        <w:t xml:space="preserve"> (SPF 2018);</w:t>
      </w:r>
      <w:r w:rsidR="00585E23">
        <w:t xml:space="preserve"> and</w:t>
      </w:r>
    </w:p>
    <w:p w14:paraId="3FB0B31C" w14:textId="3680C10F" w:rsidR="008844F7" w:rsidRDefault="008844F7" w:rsidP="00EE7A21">
      <w:pPr>
        <w:pStyle w:val="ListBullet"/>
      </w:pPr>
      <w:r>
        <w:t xml:space="preserve">The </w:t>
      </w:r>
      <w:hyperlink r:id="rId63" w:history="1">
        <w:r w:rsidRPr="001A7580">
          <w:rPr>
            <w:rStyle w:val="Hyperlink"/>
          </w:rPr>
          <w:t>Scheduling handbook: Guidance for amending the Poisons Standard</w:t>
        </w:r>
      </w:hyperlink>
      <w:r w:rsidR="00585E23">
        <w:t>.</w:t>
      </w:r>
    </w:p>
    <w:p w14:paraId="250026FC" w14:textId="7EA613D9" w:rsidR="008844F7" w:rsidRDefault="008844F7" w:rsidP="00DA3817">
      <w:pPr>
        <w:pStyle w:val="Heading4"/>
        <w:ind w:left="0" w:firstLine="0"/>
      </w:pPr>
      <w:bookmarkStart w:id="69" w:name="_Toc57114208"/>
      <w:r w:rsidRPr="00436C41">
        <w:t>Reasons for the final decision (including findings on material questions of fact)</w:t>
      </w:r>
      <w:bookmarkEnd w:id="69"/>
    </w:p>
    <w:p w14:paraId="65350407" w14:textId="7039761B" w:rsidR="00892BDA" w:rsidRDefault="00892BDA" w:rsidP="00892BDA">
      <w:r w:rsidRPr="00892BDA">
        <w:t>The proposed amendment was not referred to an expert advisory committee. In not referring this matter to either the ACCS or the Joint ACCS-ACMS, I am satisfied that sufficient information has been provided by the Applicant for me to exercise my delegation.</w:t>
      </w:r>
    </w:p>
    <w:p w14:paraId="6774D421" w14:textId="2AF764C9" w:rsidR="00892BDA" w:rsidRDefault="00892BDA" w:rsidP="00892BDA">
      <w:r>
        <w:rPr>
          <w:lang w:val="en"/>
        </w:rPr>
        <w:t>In determining that this matter will be a delegate-only decision, I note that:</w:t>
      </w:r>
    </w:p>
    <w:p w14:paraId="2EE35892" w14:textId="7A6DED7B" w:rsidR="00E67F9E" w:rsidRDefault="00E67F9E" w:rsidP="00DA3817">
      <w:pPr>
        <w:pStyle w:val="ListBullet"/>
      </w:pPr>
      <w:proofErr w:type="spellStart"/>
      <w:r>
        <w:t>Florylpicoxamid</w:t>
      </w:r>
      <w:proofErr w:type="spellEnd"/>
      <w:r>
        <w:t xml:space="preserve"> is a pesticide used in </w:t>
      </w:r>
      <w:proofErr w:type="spellStart"/>
      <w:r>
        <w:t>emulsifiable</w:t>
      </w:r>
      <w:proofErr w:type="spellEnd"/>
      <w:r>
        <w:t xml:space="preserve"> concentrate formulations for the treatment of wheat and bananas. Products containing </w:t>
      </w:r>
      <w:proofErr w:type="spellStart"/>
      <w:r w:rsidR="00D92E0B">
        <w:t>f</w:t>
      </w:r>
      <w:r>
        <w:t>lorylpicoxamid</w:t>
      </w:r>
      <w:proofErr w:type="spellEnd"/>
      <w:r>
        <w:t xml:space="preserve"> are intended only for professional use, and will not be available to the general public.</w:t>
      </w:r>
      <w:r w:rsidRPr="007F6B27">
        <w:t xml:space="preserve"> </w:t>
      </w:r>
      <w:r>
        <w:t xml:space="preserve">The potential for misuse or abuse of the substance as contained in the proposed products is limited. The substance has no established therapeutic value in humans that would indicate that there is a risk of dependency, abuse, misuse or diversion into illicit use </w:t>
      </w:r>
      <w:r>
        <w:rPr>
          <w:rFonts w:asciiTheme="minorHAnsi" w:hAnsiTheme="minorHAnsi"/>
        </w:rPr>
        <w:t>(</w:t>
      </w:r>
      <w:proofErr w:type="gramStart"/>
      <w:r>
        <w:rPr>
          <w:rFonts w:asciiTheme="minorHAnsi" w:hAnsiTheme="minorHAnsi"/>
        </w:rPr>
        <w:t>52E(</w:t>
      </w:r>
      <w:proofErr w:type="gramEnd"/>
      <w:r>
        <w:rPr>
          <w:rFonts w:asciiTheme="minorHAnsi" w:hAnsiTheme="minorHAnsi"/>
        </w:rPr>
        <w:t>1)(a)(b)(e</w:t>
      </w:r>
      <w:r w:rsidRPr="00F57405">
        <w:rPr>
          <w:rFonts w:asciiTheme="minorHAnsi" w:hAnsiTheme="minorHAnsi"/>
        </w:rPr>
        <w:t>))</w:t>
      </w:r>
      <w:r w:rsidRPr="00A31B48">
        <w:t>.</w:t>
      </w:r>
    </w:p>
    <w:p w14:paraId="49424C9F" w14:textId="4E926AF6" w:rsidR="00E67F9E" w:rsidRPr="00E67F9E" w:rsidRDefault="00E67F9E" w:rsidP="00EE7A21">
      <w:pPr>
        <w:pStyle w:val="ListBullet"/>
      </w:pPr>
      <w:r w:rsidRPr="0057373C">
        <w:t xml:space="preserve">The APVMA has concluded that the human health risk posed by the product is acceptable according to the criteria stipulated in Section 5A of the </w:t>
      </w:r>
      <w:r w:rsidRPr="0059764A">
        <w:rPr>
          <w:i/>
        </w:rPr>
        <w:t xml:space="preserve">Agricultural and Veterinary Chemicals Code Act </w:t>
      </w:r>
      <w:r>
        <w:t xml:space="preserve">(1994) </w:t>
      </w:r>
      <w:proofErr w:type="gramStart"/>
      <w:r w:rsidRPr="0059764A">
        <w:rPr>
          <w:rFonts w:asciiTheme="minorHAnsi" w:hAnsiTheme="minorHAnsi"/>
        </w:rPr>
        <w:t>52E(</w:t>
      </w:r>
      <w:proofErr w:type="gramEnd"/>
      <w:r w:rsidRPr="0059764A">
        <w:rPr>
          <w:rFonts w:asciiTheme="minorHAnsi" w:hAnsiTheme="minorHAnsi"/>
        </w:rPr>
        <w:t>1)(a))</w:t>
      </w:r>
      <w:r>
        <w:t>.</w:t>
      </w:r>
    </w:p>
    <w:p w14:paraId="054C9C0E" w14:textId="3A20BFF1" w:rsidR="00892BDA" w:rsidRDefault="00D92E0B" w:rsidP="00EE7A21">
      <w:pPr>
        <w:pStyle w:val="ListBullet"/>
      </w:pPr>
      <w:r>
        <w:rPr>
          <w:lang w:val="en"/>
        </w:rPr>
        <w:lastRenderedPageBreak/>
        <w:t>P</w:t>
      </w:r>
      <w:r w:rsidR="00E67F9E">
        <w:rPr>
          <w:lang w:val="en"/>
        </w:rPr>
        <w:t xml:space="preserve">roducts containing </w:t>
      </w:r>
      <w:proofErr w:type="spellStart"/>
      <w:r>
        <w:rPr>
          <w:lang w:val="en"/>
        </w:rPr>
        <w:t>florylpicoxamid</w:t>
      </w:r>
      <w:proofErr w:type="spellEnd"/>
      <w:r>
        <w:rPr>
          <w:lang w:val="en"/>
        </w:rPr>
        <w:t xml:space="preserve"> (</w:t>
      </w:r>
      <w:r w:rsidR="00E67F9E">
        <w:rPr>
          <w:lang w:val="en"/>
        </w:rPr>
        <w:t>100g/L</w:t>
      </w:r>
      <w:r>
        <w:rPr>
          <w:lang w:val="en"/>
        </w:rPr>
        <w:t>)</w:t>
      </w:r>
      <w:r w:rsidR="00E67F9E">
        <w:rPr>
          <w:lang w:val="en"/>
        </w:rPr>
        <w:t xml:space="preserve"> ha</w:t>
      </w:r>
      <w:r>
        <w:rPr>
          <w:lang w:val="en"/>
        </w:rPr>
        <w:t>ve</w:t>
      </w:r>
      <w:r w:rsidR="00E67F9E">
        <w:rPr>
          <w:lang w:val="en"/>
        </w:rPr>
        <w:t xml:space="preserve"> shown a</w:t>
      </w:r>
      <w:r w:rsidR="00892BDA">
        <w:rPr>
          <w:lang w:val="en"/>
        </w:rPr>
        <w:t xml:space="preserve"> very low toxicity profile</w:t>
      </w:r>
      <w:r w:rsidR="00E67F9E">
        <w:rPr>
          <w:lang w:val="en"/>
        </w:rPr>
        <w:t xml:space="preserve"> </w:t>
      </w:r>
      <w:r>
        <w:rPr>
          <w:lang w:val="en"/>
        </w:rPr>
        <w:t xml:space="preserve">with </w:t>
      </w:r>
      <w:r w:rsidR="00892BDA">
        <w:rPr>
          <w:lang w:val="en"/>
        </w:rPr>
        <w:t>the weight of evidence from the toxicological database indicat</w:t>
      </w:r>
      <w:r>
        <w:rPr>
          <w:lang w:val="en"/>
        </w:rPr>
        <w:t>ing</w:t>
      </w:r>
      <w:r w:rsidR="00892BDA">
        <w:rPr>
          <w:lang w:val="en"/>
        </w:rPr>
        <w:t xml:space="preserve"> that it does not appear to present any substantial </w:t>
      </w:r>
      <w:r w:rsidR="00601854">
        <w:rPr>
          <w:lang w:val="en"/>
        </w:rPr>
        <w:t>risk</w:t>
      </w:r>
      <w:r w:rsidR="00892BDA">
        <w:rPr>
          <w:lang w:val="en"/>
        </w:rPr>
        <w:t xml:space="preserve"> f</w:t>
      </w:r>
      <w:r>
        <w:rPr>
          <w:lang w:val="en"/>
        </w:rPr>
        <w:t>rom</w:t>
      </w:r>
      <w:r w:rsidR="00892BDA">
        <w:rPr>
          <w:lang w:val="en"/>
        </w:rPr>
        <w:t xml:space="preserve"> acute, short term or long term exposure. T</w:t>
      </w:r>
      <w:r w:rsidR="00F00029">
        <w:rPr>
          <w:lang w:val="en"/>
        </w:rPr>
        <w:t xml:space="preserve">he data indicate that </w:t>
      </w:r>
      <w:proofErr w:type="spellStart"/>
      <w:r w:rsidR="00F00029">
        <w:rPr>
          <w:lang w:val="en"/>
        </w:rPr>
        <w:t>florylpicoxamid</w:t>
      </w:r>
      <w:proofErr w:type="spellEnd"/>
      <w:r w:rsidR="00892BDA">
        <w:rPr>
          <w:lang w:val="en"/>
        </w:rPr>
        <w:t xml:space="preserve"> has very low toxicity by oral</w:t>
      </w:r>
      <w:r w:rsidR="00F00029">
        <w:rPr>
          <w:lang w:val="en"/>
        </w:rPr>
        <w:t>, dermal and inhalat</w:t>
      </w:r>
      <w:r>
        <w:rPr>
          <w:lang w:val="en"/>
        </w:rPr>
        <w:t>ion</w:t>
      </w:r>
      <w:r w:rsidR="00F00029">
        <w:rPr>
          <w:lang w:val="en"/>
        </w:rPr>
        <w:t xml:space="preserve"> routes. It is</w:t>
      </w:r>
      <w:r w:rsidR="00892BDA">
        <w:rPr>
          <w:lang w:val="en"/>
        </w:rPr>
        <w:t xml:space="preserve"> a </w:t>
      </w:r>
      <w:r w:rsidR="00F00029">
        <w:rPr>
          <w:lang w:val="en"/>
        </w:rPr>
        <w:t xml:space="preserve">slight </w:t>
      </w:r>
      <w:r w:rsidR="00892BDA">
        <w:rPr>
          <w:lang w:val="en"/>
        </w:rPr>
        <w:t>eye irritant in rabbits</w:t>
      </w:r>
      <w:r w:rsidR="00F00029">
        <w:rPr>
          <w:lang w:val="en"/>
        </w:rPr>
        <w:t xml:space="preserve">, but is not a </w:t>
      </w:r>
      <w:r w:rsidR="00892BDA">
        <w:rPr>
          <w:lang w:val="en"/>
        </w:rPr>
        <w:t>skin</w:t>
      </w:r>
      <w:r w:rsidR="00F00029">
        <w:rPr>
          <w:lang w:val="en"/>
        </w:rPr>
        <w:t xml:space="preserve"> irritant, or skin</w:t>
      </w:r>
      <w:r w:rsidR="00892BDA">
        <w:rPr>
          <w:lang w:val="en"/>
        </w:rPr>
        <w:t xml:space="preserve"> </w:t>
      </w:r>
      <w:proofErr w:type="spellStart"/>
      <w:r w:rsidR="00892BDA">
        <w:rPr>
          <w:lang w:val="en"/>
        </w:rPr>
        <w:t>sensitiser</w:t>
      </w:r>
      <w:proofErr w:type="spellEnd"/>
      <w:r w:rsidR="00892BDA">
        <w:rPr>
          <w:lang w:val="en"/>
        </w:rPr>
        <w:t xml:space="preserve"> in the local lymph node assay (LLNA) test in mice. There is no evidence of neurotoxicity, </w:t>
      </w:r>
      <w:proofErr w:type="spellStart"/>
      <w:r w:rsidR="00892BDA">
        <w:rPr>
          <w:lang w:val="en"/>
        </w:rPr>
        <w:t>immunotoxicity</w:t>
      </w:r>
      <w:proofErr w:type="spellEnd"/>
      <w:r w:rsidR="00892BDA">
        <w:rPr>
          <w:lang w:val="en"/>
        </w:rPr>
        <w:t xml:space="preserve">, endocrine disruption, </w:t>
      </w:r>
      <w:proofErr w:type="spellStart"/>
      <w:r w:rsidR="00892BDA">
        <w:rPr>
          <w:lang w:val="en"/>
        </w:rPr>
        <w:t>genotoxicity</w:t>
      </w:r>
      <w:proofErr w:type="spellEnd"/>
      <w:r w:rsidR="00892BDA">
        <w:rPr>
          <w:lang w:val="en"/>
        </w:rPr>
        <w:t>, carcinogenicity, effects on reproduction or teratogenicity (</w:t>
      </w:r>
      <w:proofErr w:type="gramStart"/>
      <w:r w:rsidR="00892BDA">
        <w:rPr>
          <w:lang w:val="en"/>
        </w:rPr>
        <w:t>52E(</w:t>
      </w:r>
      <w:proofErr w:type="gramEnd"/>
      <w:r w:rsidR="00892BDA">
        <w:rPr>
          <w:lang w:val="en"/>
        </w:rPr>
        <w:t>1)(a)(c)(f)).</w:t>
      </w:r>
    </w:p>
    <w:p w14:paraId="64ED5015" w14:textId="5DDF083C" w:rsidR="0059764A" w:rsidRDefault="0059764A" w:rsidP="00DA3817">
      <w:pPr>
        <w:pStyle w:val="ListBullet"/>
      </w:pPr>
      <w:r w:rsidRPr="0059764A">
        <w:rPr>
          <w:lang w:val="en"/>
        </w:rPr>
        <w:t xml:space="preserve">The </w:t>
      </w:r>
      <w:r w:rsidR="00E67F9E">
        <w:rPr>
          <w:lang w:val="en"/>
        </w:rPr>
        <w:t>a</w:t>
      </w:r>
      <w:r w:rsidRPr="0059764A">
        <w:rPr>
          <w:lang w:val="en"/>
        </w:rPr>
        <w:t>pplicant has demonstrated that appropriate risk mitigation measures will be put in place for use</w:t>
      </w:r>
      <w:r w:rsidR="00E67F9E">
        <w:rPr>
          <w:lang w:val="en"/>
        </w:rPr>
        <w:t xml:space="preserve"> of a registered product</w:t>
      </w:r>
      <w:r w:rsidRPr="0059764A">
        <w:rPr>
          <w:lang w:val="en"/>
        </w:rPr>
        <w:t xml:space="preserve"> in Australia, account</w:t>
      </w:r>
      <w:r w:rsidR="00E67F9E">
        <w:rPr>
          <w:lang w:val="en"/>
        </w:rPr>
        <w:t>ing</w:t>
      </w:r>
      <w:r w:rsidRPr="0059764A">
        <w:rPr>
          <w:lang w:val="en"/>
        </w:rPr>
        <w:t xml:space="preserve"> for the dosage (application rate), formulation, labelling, packagi</w:t>
      </w:r>
      <w:r w:rsidR="00796F7C">
        <w:rPr>
          <w:lang w:val="en"/>
        </w:rPr>
        <w:t xml:space="preserve">ng and presentation of </w:t>
      </w:r>
      <w:proofErr w:type="spellStart"/>
      <w:r w:rsidR="00796F7C">
        <w:rPr>
          <w:lang w:val="en"/>
        </w:rPr>
        <w:t>florylpicoxamid</w:t>
      </w:r>
      <w:proofErr w:type="spellEnd"/>
      <w:r w:rsidRPr="0059764A">
        <w:rPr>
          <w:lang w:val="en"/>
        </w:rPr>
        <w:t xml:space="preserve">. As a result, no additional measures are required in the Poisons Standard. </w:t>
      </w:r>
      <w:r w:rsidR="00796F7C">
        <w:rPr>
          <w:lang w:val="en"/>
        </w:rPr>
        <w:t xml:space="preserve">Further use of </w:t>
      </w:r>
      <w:proofErr w:type="spellStart"/>
      <w:r w:rsidR="00796F7C">
        <w:rPr>
          <w:lang w:val="en"/>
        </w:rPr>
        <w:t>florylpicoxamid</w:t>
      </w:r>
      <w:proofErr w:type="spellEnd"/>
      <w:r w:rsidR="00796F7C" w:rsidRPr="0059764A">
        <w:rPr>
          <w:lang w:val="en"/>
        </w:rPr>
        <w:t xml:space="preserve"> in other pesticide products will be addressed by the pesticide regulator (APVMA) in any future applications to the regulator (</w:t>
      </w:r>
      <w:proofErr w:type="gramStart"/>
      <w:r w:rsidR="00796F7C" w:rsidRPr="0059764A">
        <w:rPr>
          <w:lang w:val="en"/>
        </w:rPr>
        <w:t>52E(</w:t>
      </w:r>
      <w:proofErr w:type="gramEnd"/>
      <w:r w:rsidR="00796F7C" w:rsidRPr="0059764A">
        <w:rPr>
          <w:lang w:val="en"/>
        </w:rPr>
        <w:t>1)(d)).</w:t>
      </w:r>
    </w:p>
    <w:p w14:paraId="47ED45F0" w14:textId="72C6D731" w:rsidR="00585E23" w:rsidRPr="00585E23" w:rsidRDefault="00892BDA" w:rsidP="00DA3817">
      <w:r>
        <w:rPr>
          <w:lang w:val="en"/>
        </w:rPr>
        <w:t xml:space="preserve">Therefore, based on the information provided in the application, it is considered that </w:t>
      </w:r>
      <w:proofErr w:type="spellStart"/>
      <w:r>
        <w:rPr>
          <w:lang w:val="en"/>
        </w:rPr>
        <w:t>florylpicoxamid</w:t>
      </w:r>
      <w:proofErr w:type="spellEnd"/>
      <w:r>
        <w:rPr>
          <w:lang w:val="en"/>
        </w:rPr>
        <w:t xml:space="preserve"> does not meet the factors for inclusion in the Schedules of the Poisons Standard. </w:t>
      </w:r>
      <w:proofErr w:type="spellStart"/>
      <w:r w:rsidR="00D04442">
        <w:rPr>
          <w:lang w:val="en"/>
        </w:rPr>
        <w:t>F</w:t>
      </w:r>
      <w:r>
        <w:rPr>
          <w:lang w:val="en"/>
        </w:rPr>
        <w:t>lorylpicoxamid</w:t>
      </w:r>
      <w:proofErr w:type="spellEnd"/>
      <w:r>
        <w:rPr>
          <w:lang w:val="en"/>
        </w:rPr>
        <w:t xml:space="preserve"> should be listed in Appendix B due to</w:t>
      </w:r>
      <w:r w:rsidR="00D04442">
        <w:rPr>
          <w:lang w:val="en"/>
        </w:rPr>
        <w:t xml:space="preserve"> its</w:t>
      </w:r>
      <w:r>
        <w:rPr>
          <w:lang w:val="en"/>
        </w:rPr>
        <w:t xml:space="preserve"> low toxicity (Part 1, a; Part 2, 1.1).</w:t>
      </w:r>
    </w:p>
    <w:p w14:paraId="11E45882" w14:textId="49FF42C4" w:rsidR="008844F7" w:rsidRDefault="00DA3817" w:rsidP="00B852BC">
      <w:pPr>
        <w:pStyle w:val="Heading4"/>
      </w:pPr>
      <w:bookmarkStart w:id="70" w:name="_Toc57114209"/>
      <w:r>
        <w:t>Date of effect of the decision</w:t>
      </w:r>
      <w:bookmarkEnd w:id="70"/>
    </w:p>
    <w:p w14:paraId="29F50892" w14:textId="5B6C8B5A" w:rsidR="00E06A1B" w:rsidRPr="00D4567B" w:rsidRDefault="00585E23" w:rsidP="00E06A1B">
      <w:pPr>
        <w:rPr>
          <w:b/>
        </w:rPr>
      </w:pPr>
      <w:r w:rsidRPr="00D4567B">
        <w:rPr>
          <w:b/>
        </w:rPr>
        <w:t>1 February 2021</w:t>
      </w:r>
    </w:p>
    <w:sectPr w:rsidR="00E06A1B" w:rsidRPr="00D4567B" w:rsidSect="003A48A2">
      <w:headerReference w:type="default" r:id="rId64"/>
      <w:footerReference w:type="default" r:id="rId65"/>
      <w:headerReference w:type="first" r:id="rId66"/>
      <w:footerReference w:type="first" r:id="rId67"/>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B8460" w14:textId="77777777" w:rsidR="00A9226D" w:rsidRDefault="00A9226D" w:rsidP="00C40A36">
      <w:pPr>
        <w:spacing w:after="0"/>
      </w:pPr>
      <w:r>
        <w:separator/>
      </w:r>
    </w:p>
  </w:endnote>
  <w:endnote w:type="continuationSeparator" w:id="0">
    <w:p w14:paraId="6A7270D4" w14:textId="77777777" w:rsidR="00A9226D" w:rsidRDefault="00A9226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Cambria-Bold">
    <w:altName w:val="Cambria"/>
    <w:panose1 w:val="00000000000000000000"/>
    <w:charset w:val="00"/>
    <w:family w:val="roman"/>
    <w:notTrueType/>
    <w:pitch w:val="default"/>
  </w:font>
  <w:font w:name="Noto Sans">
    <w:altName w:val="Times New Roman"/>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A9226D" w:rsidRPr="00257138" w14:paraId="14B40608" w14:textId="77777777" w:rsidTr="009B00CC">
      <w:trPr>
        <w:trHeight w:val="423"/>
      </w:trPr>
      <w:tc>
        <w:tcPr>
          <w:tcW w:w="7338" w:type="dxa"/>
          <w:tcBorders>
            <w:top w:val="single" w:sz="4" w:space="0" w:color="auto"/>
          </w:tcBorders>
        </w:tcPr>
        <w:p w14:paraId="01C0B506" w14:textId="77777777" w:rsidR="00A9226D" w:rsidRDefault="00A9226D" w:rsidP="003F3095">
          <w:pPr>
            <w:pStyle w:val="Footer"/>
          </w:pPr>
          <w:r>
            <w:t>Record of the 29th meeting of the Advisory Committee on Medicines Scheduling</w:t>
          </w:r>
        </w:p>
        <w:p w14:paraId="5C7A2176" w14:textId="13ECDCE6" w:rsidR="00A9226D" w:rsidRPr="00257138" w:rsidRDefault="00A9226D"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54629571" w14:textId="77777777" w:rsidR="00A9226D" w:rsidRDefault="00A9226D" w:rsidP="00782870">
              <w:pPr>
                <w:pStyle w:val="Footer"/>
                <w:jc w:val="right"/>
              </w:pPr>
            </w:p>
            <w:p w14:paraId="650BE744" w14:textId="16F39822" w:rsidR="00A9226D" w:rsidRPr="00257138" w:rsidRDefault="00A9226D" w:rsidP="0078287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547E85">
                <w:fldChar w:fldCharType="begin"/>
              </w:r>
              <w:r w:rsidR="00547E85">
                <w:instrText xml:space="preserve"> NUMPAGES  </w:instrText>
              </w:r>
              <w:r w:rsidR="00547E85">
                <w:fldChar w:fldCharType="separate"/>
              </w:r>
              <w:r>
                <w:rPr>
                  <w:noProof/>
                </w:rPr>
                <w:t>6</w:t>
              </w:r>
              <w:r w:rsidR="00547E85">
                <w:rPr>
                  <w:noProof/>
                </w:rPr>
                <w:fldChar w:fldCharType="end"/>
              </w:r>
            </w:p>
          </w:sdtContent>
        </w:sdt>
      </w:tc>
    </w:tr>
    <w:tr w:rsidR="00A9226D" w:rsidRPr="00257138" w14:paraId="10AB8BED" w14:textId="77777777" w:rsidTr="009B00CC">
      <w:trPr>
        <w:trHeight w:val="263"/>
      </w:trPr>
      <w:tc>
        <w:tcPr>
          <w:tcW w:w="7338" w:type="dxa"/>
        </w:tcPr>
        <w:p w14:paraId="59580AB7" w14:textId="19B73688" w:rsidR="00A9226D" w:rsidRPr="00257138" w:rsidRDefault="00A9226D" w:rsidP="00782870">
          <w:pPr>
            <w:pStyle w:val="Footer"/>
          </w:pPr>
        </w:p>
      </w:tc>
      <w:tc>
        <w:tcPr>
          <w:tcW w:w="1382" w:type="dxa"/>
        </w:tcPr>
        <w:p w14:paraId="219FF5F5" w14:textId="77777777" w:rsidR="00A9226D" w:rsidRPr="00257138" w:rsidRDefault="00A9226D" w:rsidP="00782870">
          <w:pPr>
            <w:pStyle w:val="Footer"/>
            <w:jc w:val="right"/>
          </w:pPr>
        </w:p>
      </w:tc>
    </w:tr>
  </w:tbl>
  <w:p w14:paraId="2023C75C" w14:textId="77777777" w:rsidR="00A9226D" w:rsidRPr="00826007" w:rsidRDefault="00A9226D"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A9226D" w:rsidRPr="00257138" w14:paraId="11075AFF" w14:textId="77777777" w:rsidTr="009468C6">
      <w:trPr>
        <w:trHeight w:val="423"/>
      </w:trPr>
      <w:tc>
        <w:tcPr>
          <w:tcW w:w="7338" w:type="dxa"/>
        </w:tcPr>
        <w:p w14:paraId="61B06247" w14:textId="18C0D265" w:rsidR="00A9226D" w:rsidRDefault="00A9226D" w:rsidP="00516E40">
          <w:pPr>
            <w:pStyle w:val="Footer"/>
          </w:pPr>
          <w:r>
            <w:t>Delegate’s final decisions and reasons for decisions (ACMS#31, June 2020)</w:t>
          </w:r>
        </w:p>
        <w:p w14:paraId="13E7B9DF" w14:textId="777DE509" w:rsidR="00A9226D" w:rsidRPr="00257138" w:rsidRDefault="00A9226D" w:rsidP="00B55A8D">
          <w:pPr>
            <w:pStyle w:val="Footer"/>
          </w:pPr>
          <w:r>
            <w:t>25 November 2020</w:t>
          </w:r>
        </w:p>
      </w:tc>
      <w:tc>
        <w:tcPr>
          <w:tcW w:w="1382" w:type="dxa"/>
        </w:tcPr>
        <w:sdt>
          <w:sdtPr>
            <w:id w:val="6788836"/>
            <w:docPartObj>
              <w:docPartGallery w:val="Page Numbers (Top of Page)"/>
              <w:docPartUnique/>
            </w:docPartObj>
          </w:sdtPr>
          <w:sdtEndPr/>
          <w:sdtContent>
            <w:p w14:paraId="3BD26206" w14:textId="7AF27C2C" w:rsidR="00A9226D" w:rsidRPr="00257138" w:rsidRDefault="00A9226D" w:rsidP="009468C6">
              <w:pPr>
                <w:pStyle w:val="Footer"/>
                <w:jc w:val="right"/>
              </w:pPr>
              <w:r w:rsidRPr="00257138">
                <w:t xml:space="preserve">Page </w:t>
              </w:r>
              <w:r>
                <w:fldChar w:fldCharType="begin"/>
              </w:r>
              <w:r>
                <w:instrText xml:space="preserve"> PAGE </w:instrText>
              </w:r>
              <w:r>
                <w:fldChar w:fldCharType="separate"/>
              </w:r>
              <w:r w:rsidR="00547E85">
                <w:rPr>
                  <w:noProof/>
                </w:rPr>
                <w:t>20</w:t>
              </w:r>
              <w:r>
                <w:fldChar w:fldCharType="end"/>
              </w:r>
              <w:r w:rsidRPr="00257138">
                <w:t xml:space="preserve"> of </w:t>
              </w:r>
              <w:r w:rsidR="00547E85">
                <w:fldChar w:fldCharType="begin"/>
              </w:r>
              <w:r w:rsidR="00547E85">
                <w:instrText xml:space="preserve"> NUMPAGES  </w:instrText>
              </w:r>
              <w:r w:rsidR="00547E85">
                <w:fldChar w:fldCharType="separate"/>
              </w:r>
              <w:r w:rsidR="00547E85">
                <w:rPr>
                  <w:noProof/>
                </w:rPr>
                <w:t>21</w:t>
              </w:r>
              <w:r w:rsidR="00547E85">
                <w:rPr>
                  <w:noProof/>
                </w:rPr>
                <w:fldChar w:fldCharType="end"/>
              </w:r>
            </w:p>
          </w:sdtContent>
        </w:sdt>
      </w:tc>
    </w:tr>
  </w:tbl>
  <w:p w14:paraId="623AA1CE" w14:textId="77777777" w:rsidR="00A9226D" w:rsidRPr="00826007" w:rsidRDefault="00A9226D"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A9226D" w:rsidRPr="00257138" w14:paraId="76052F65" w14:textId="77777777" w:rsidTr="003A48A2">
      <w:trPr>
        <w:trHeight w:val="423"/>
      </w:trPr>
      <w:tc>
        <w:tcPr>
          <w:tcW w:w="7338" w:type="dxa"/>
        </w:tcPr>
        <w:p w14:paraId="58E8D25D" w14:textId="77777777" w:rsidR="00A9226D" w:rsidRDefault="00A9226D" w:rsidP="00BE52B8">
          <w:pPr>
            <w:pStyle w:val="Footer"/>
          </w:pPr>
          <w:r>
            <w:t>Delegate’s final decisions and reasons for decisions (ACMS#31, June 2020)</w:t>
          </w:r>
        </w:p>
        <w:p w14:paraId="6A331473" w14:textId="76DB1C3D" w:rsidR="00A9226D" w:rsidRPr="00257138" w:rsidRDefault="00A9226D" w:rsidP="00BE52B8">
          <w:pPr>
            <w:pStyle w:val="Footer"/>
          </w:pPr>
          <w:r>
            <w:t>25 November 2020</w:t>
          </w:r>
        </w:p>
      </w:tc>
      <w:tc>
        <w:tcPr>
          <w:tcW w:w="1382" w:type="dxa"/>
        </w:tcPr>
        <w:sdt>
          <w:sdtPr>
            <w:id w:val="5342774"/>
            <w:docPartObj>
              <w:docPartGallery w:val="Page Numbers (Top of Page)"/>
              <w:docPartUnique/>
            </w:docPartObj>
          </w:sdtPr>
          <w:sdtEndPr/>
          <w:sdtContent>
            <w:p w14:paraId="44A48167" w14:textId="1659DB70" w:rsidR="00A9226D" w:rsidRPr="00257138" w:rsidRDefault="00A9226D" w:rsidP="003A48A2">
              <w:pPr>
                <w:pStyle w:val="Footer"/>
                <w:jc w:val="right"/>
              </w:pPr>
              <w:r w:rsidRPr="00257138">
                <w:t xml:space="preserve">Page </w:t>
              </w:r>
              <w:r>
                <w:fldChar w:fldCharType="begin"/>
              </w:r>
              <w:r>
                <w:instrText xml:space="preserve"> PAGE </w:instrText>
              </w:r>
              <w:r>
                <w:fldChar w:fldCharType="separate"/>
              </w:r>
              <w:r w:rsidR="00547E85">
                <w:rPr>
                  <w:noProof/>
                </w:rPr>
                <w:t>2</w:t>
              </w:r>
              <w:r>
                <w:rPr>
                  <w:noProof/>
                </w:rPr>
                <w:fldChar w:fldCharType="end"/>
              </w:r>
              <w:r w:rsidRPr="00257138">
                <w:t xml:space="preserve"> of </w:t>
              </w:r>
              <w:r w:rsidR="00547E85">
                <w:fldChar w:fldCharType="begin"/>
              </w:r>
              <w:r w:rsidR="00547E85">
                <w:instrText xml:space="preserve"> NUMPAGES  </w:instrText>
              </w:r>
              <w:r w:rsidR="00547E85">
                <w:fldChar w:fldCharType="separate"/>
              </w:r>
              <w:r w:rsidR="00547E85">
                <w:rPr>
                  <w:noProof/>
                </w:rPr>
                <w:t>21</w:t>
              </w:r>
              <w:r w:rsidR="00547E85">
                <w:rPr>
                  <w:noProof/>
                </w:rPr>
                <w:fldChar w:fldCharType="end"/>
              </w:r>
            </w:p>
          </w:sdtContent>
        </w:sdt>
      </w:tc>
    </w:tr>
  </w:tbl>
  <w:p w14:paraId="3FF833DF" w14:textId="77777777" w:rsidR="00A9226D" w:rsidRDefault="00A92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197E9" w14:textId="77777777" w:rsidR="00A9226D" w:rsidRDefault="00A9226D" w:rsidP="00C40A36">
      <w:pPr>
        <w:spacing w:after="0"/>
      </w:pPr>
      <w:r>
        <w:separator/>
      </w:r>
    </w:p>
  </w:footnote>
  <w:footnote w:type="continuationSeparator" w:id="0">
    <w:p w14:paraId="6D1B11C1" w14:textId="77777777" w:rsidR="00A9226D" w:rsidRDefault="00A9226D"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035"/>
      <w:gridCol w:w="4685"/>
    </w:tblGrid>
    <w:tr w:rsidR="00A9226D" w:rsidRPr="00DA24C7" w14:paraId="081A8C01" w14:textId="77777777" w:rsidTr="00F923D6">
      <w:trPr>
        <w:trHeight w:val="709"/>
      </w:trPr>
      <w:tc>
        <w:tcPr>
          <w:tcW w:w="4035" w:type="dxa"/>
        </w:tcPr>
        <w:p w14:paraId="32A34B13" w14:textId="77777777" w:rsidR="00A9226D" w:rsidRPr="00DA24C7" w:rsidRDefault="00A9226D" w:rsidP="00DA24C7">
          <w:pPr>
            <w:rPr>
              <w:rStyle w:val="HeaderChar"/>
              <w:sz w:val="32"/>
            </w:rPr>
          </w:pPr>
          <w:r w:rsidRPr="00DA24C7">
            <w:rPr>
              <w:rStyle w:val="HeaderChar"/>
              <w:sz w:val="32"/>
            </w:rPr>
            <w:t>INTERNAL USE ONLY</w:t>
          </w:r>
        </w:p>
      </w:tc>
      <w:tc>
        <w:tcPr>
          <w:tcW w:w="4685" w:type="dxa"/>
          <w:tcBorders>
            <w:bottom w:val="single" w:sz="4" w:space="0" w:color="auto"/>
          </w:tcBorders>
          <w:vAlign w:val="bottom"/>
        </w:tcPr>
        <w:p w14:paraId="3D83E5FA" w14:textId="77777777" w:rsidR="00A9226D" w:rsidRPr="000F5176" w:rsidRDefault="00A9226D" w:rsidP="000F5176">
          <w:pPr>
            <w:pStyle w:val="HeaderNoLine"/>
            <w:rPr>
              <w:rStyle w:val="HeaderChar"/>
            </w:rPr>
          </w:pPr>
          <w:r w:rsidRPr="000F5176">
            <w:t>Therapeutic Goods Administration</w:t>
          </w:r>
        </w:p>
      </w:tc>
    </w:tr>
  </w:tbl>
  <w:p w14:paraId="7D79B037" w14:textId="77777777" w:rsidR="00A9226D" w:rsidRDefault="00A9226D" w:rsidP="00F923D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314CE" w14:textId="28BF94E3" w:rsidR="00A9226D" w:rsidRDefault="00A9226D" w:rsidP="006E08B3">
    <w:pPr>
      <w:rPr>
        <w:noProof/>
      </w:rPr>
    </w:pPr>
    <w:r w:rsidRPr="00E57B71">
      <w:rPr>
        <w:noProof/>
        <w:lang w:eastAsia="en-AU"/>
      </w:rPr>
      <w:drawing>
        <wp:anchor distT="0" distB="0" distL="114300" distR="114300" simplePos="0" relativeHeight="251660288" behindDoc="0" locked="0" layoutInCell="1" allowOverlap="1" wp14:anchorId="4ED3BB99" wp14:editId="491EAEE4">
          <wp:simplePos x="0" y="0"/>
          <wp:positionH relativeFrom="column">
            <wp:posOffset>-195580</wp:posOffset>
          </wp:positionH>
          <wp:positionV relativeFrom="paragraph">
            <wp:posOffset>-58420</wp:posOffset>
          </wp:positionV>
          <wp:extent cx="3524250" cy="1209675"/>
          <wp:effectExtent l="19050" t="0" r="0" b="0"/>
          <wp:wrapTopAndBottom/>
          <wp:docPr id="25" name="Picture 25"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9226D" w:rsidRPr="00DE02AE" w14:paraId="6C8DF45D" w14:textId="77777777" w:rsidTr="00782870">
      <w:trPr>
        <w:trHeight w:hRule="exact" w:val="8845"/>
      </w:trPr>
      <w:tc>
        <w:tcPr>
          <w:tcW w:w="11964" w:type="dxa"/>
        </w:tcPr>
        <w:p w14:paraId="1F71D1E5" w14:textId="67D8554C" w:rsidR="00A9226D" w:rsidRPr="00DE02AE" w:rsidRDefault="00A9226D" w:rsidP="00782870">
          <w:pPr>
            <w:pStyle w:val="Date"/>
            <w:ind w:left="-28"/>
          </w:pPr>
          <w:r w:rsidRPr="002B29B2">
            <w:rPr>
              <w:noProof/>
              <w:lang w:eastAsia="en-AU"/>
            </w:rPr>
            <w:drawing>
              <wp:anchor distT="0" distB="0" distL="114300" distR="114300" simplePos="0" relativeHeight="251662336" behindDoc="0" locked="0" layoutInCell="0" allowOverlap="1" wp14:anchorId="61F4C4D4" wp14:editId="1206443C">
                <wp:simplePos x="0" y="0"/>
                <wp:positionH relativeFrom="page">
                  <wp:posOffset>-22437</wp:posOffset>
                </wp:positionH>
                <wp:positionV relativeFrom="page">
                  <wp:posOffset>-16087</wp:posOffset>
                </wp:positionV>
                <wp:extent cx="7581900" cy="2447925"/>
                <wp:effectExtent l="19050" t="0" r="0" b="0"/>
                <wp:wrapNone/>
                <wp:docPr id="28" name="Picture 2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sdt>
            <w:sdtPr>
              <w:id w:val="21514581"/>
              <w:showingPlcHdr/>
              <w:picture/>
            </w:sdtPr>
            <w:sdtEndPr/>
            <w:sdtContent>
              <w:r>
                <w:rPr>
                  <w:noProof/>
                  <w:lang w:eastAsia="en-AU"/>
                </w:rPr>
                <w:drawing>
                  <wp:inline distT="0" distB="0" distL="0" distR="0" wp14:anchorId="0196F78A" wp14:editId="17A31771">
                    <wp:extent cx="7610475" cy="5638800"/>
                    <wp:effectExtent l="19050" t="0" r="9525"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1CE47A24" w14:textId="6D657221" w:rsidR="00A9226D" w:rsidRDefault="00A9226D" w:rsidP="006D03E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035"/>
      <w:gridCol w:w="4685"/>
    </w:tblGrid>
    <w:tr w:rsidR="00A9226D" w:rsidRPr="00DA24C7" w14:paraId="7C724D59" w14:textId="77777777" w:rsidTr="00C6376F">
      <w:trPr>
        <w:trHeight w:val="558"/>
      </w:trPr>
      <w:tc>
        <w:tcPr>
          <w:tcW w:w="4035" w:type="dxa"/>
          <w:vAlign w:val="center"/>
        </w:tcPr>
        <w:p w14:paraId="047292FC" w14:textId="62B95FE3" w:rsidR="00A9226D" w:rsidRPr="00EB74A7" w:rsidRDefault="00A9226D" w:rsidP="00C6376F">
          <w:pPr>
            <w:rPr>
              <w:rStyle w:val="HeaderChar"/>
              <w:rFonts w:ascii="Arial" w:hAnsi="Arial" w:cs="Arial"/>
              <w:b/>
              <w:sz w:val="28"/>
              <w:szCs w:val="28"/>
            </w:rPr>
          </w:pPr>
        </w:p>
      </w:tc>
      <w:tc>
        <w:tcPr>
          <w:tcW w:w="4685" w:type="dxa"/>
          <w:vAlign w:val="center"/>
        </w:tcPr>
        <w:p w14:paraId="3A7D855E" w14:textId="77777777" w:rsidR="00A9226D" w:rsidRPr="000F5176" w:rsidRDefault="00A9226D" w:rsidP="00C6376F">
          <w:pPr>
            <w:pStyle w:val="HeaderNoLine"/>
            <w:rPr>
              <w:rStyle w:val="HeaderChar"/>
            </w:rPr>
          </w:pPr>
          <w:r w:rsidRPr="000F5176">
            <w:t>Therapeutic Goods Administration</w:t>
          </w:r>
        </w:p>
      </w:tc>
    </w:tr>
  </w:tbl>
  <w:p w14:paraId="480E463E" w14:textId="77777777" w:rsidR="00A9226D" w:rsidRDefault="00A9226D" w:rsidP="0010176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035"/>
      <w:gridCol w:w="4685"/>
    </w:tblGrid>
    <w:tr w:rsidR="00A9226D" w:rsidRPr="00DA24C7" w14:paraId="28E03D4B" w14:textId="77777777" w:rsidTr="00C6376F">
      <w:trPr>
        <w:trHeight w:val="558"/>
      </w:trPr>
      <w:tc>
        <w:tcPr>
          <w:tcW w:w="4035" w:type="dxa"/>
        </w:tcPr>
        <w:p w14:paraId="02A4F856" w14:textId="69123A4C" w:rsidR="00A9226D" w:rsidRPr="00EB74A7" w:rsidRDefault="00A9226D" w:rsidP="00C6376F">
          <w:pPr>
            <w:pStyle w:val="HeaderNoLine"/>
            <w:jc w:val="left"/>
            <w:rPr>
              <w:rStyle w:val="HeaderChar"/>
              <w:rFonts w:ascii="Arial" w:hAnsi="Arial" w:cs="Arial"/>
              <w:b/>
              <w:sz w:val="28"/>
              <w:szCs w:val="28"/>
            </w:rPr>
          </w:pPr>
        </w:p>
      </w:tc>
      <w:tc>
        <w:tcPr>
          <w:tcW w:w="4685" w:type="dxa"/>
          <w:vAlign w:val="center"/>
        </w:tcPr>
        <w:p w14:paraId="0DD7BFA8" w14:textId="77777777" w:rsidR="00A9226D" w:rsidRPr="000F5176" w:rsidRDefault="00A9226D" w:rsidP="00C6376F">
          <w:pPr>
            <w:pStyle w:val="HeaderNoLine"/>
            <w:rPr>
              <w:rStyle w:val="HeaderChar"/>
            </w:rPr>
          </w:pPr>
          <w:r w:rsidRPr="000F5176">
            <w:t>Therapeutic Goods Administration</w:t>
          </w:r>
        </w:p>
      </w:tc>
    </w:tr>
  </w:tbl>
  <w:p w14:paraId="3D9C25A3" w14:textId="77777777" w:rsidR="00A9226D" w:rsidRDefault="00A9226D" w:rsidP="00BE52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702B51C"/>
    <w:lvl w:ilvl="0">
      <w:start w:val="1"/>
      <w:numFmt w:val="decimal"/>
      <w:pStyle w:val="BodyText"/>
      <w:lvlText w:val="%1."/>
      <w:lvlJc w:val="left"/>
      <w:pPr>
        <w:tabs>
          <w:tab w:val="num" w:pos="360"/>
        </w:tabs>
        <w:ind w:left="360" w:hanging="360"/>
      </w:pPr>
      <w:rPr>
        <w:rFonts w:cs="Times New Roman"/>
        <w:color w:val="auto"/>
      </w:rPr>
    </w:lvl>
  </w:abstractNum>
  <w:abstractNum w:abstractNumId="1" w15:restartNumberingAfterBreak="0">
    <w:nsid w:val="10053F11"/>
    <w:multiLevelType w:val="multilevel"/>
    <w:tmpl w:val="57EA222A"/>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68F13E9"/>
    <w:multiLevelType w:val="multilevel"/>
    <w:tmpl w:val="48AC7620"/>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6" w15:restartNumberingAfterBreak="0">
    <w:nsid w:val="38611B7E"/>
    <w:multiLevelType w:val="hybridMultilevel"/>
    <w:tmpl w:val="788611FC"/>
    <w:lvl w:ilvl="0" w:tplc="BE9E2BFA">
      <w:start w:val="1"/>
      <w:numFmt w:val="lowerLetter"/>
      <w:lvlText w:val="%1)"/>
      <w:lvlJc w:val="left"/>
      <w:pPr>
        <w:ind w:left="927"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5D990DD7"/>
    <w:multiLevelType w:val="hybridMultilevel"/>
    <w:tmpl w:val="B7E44B52"/>
    <w:lvl w:ilvl="0" w:tplc="027CAAFA">
      <w:numFmt w:val="bullet"/>
      <w:lvlText w:val="-"/>
      <w:lvlJc w:val="left"/>
      <w:pPr>
        <w:ind w:left="408" w:hanging="360"/>
      </w:pPr>
      <w:rPr>
        <w:rFonts w:ascii="Cambria" w:eastAsia="Cambria" w:hAnsi="Cambria" w:cs="Times New Roman"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8" w15:restartNumberingAfterBreak="0">
    <w:nsid w:val="64892D55"/>
    <w:multiLevelType w:val="hybridMultilevel"/>
    <w:tmpl w:val="8A1A9134"/>
    <w:lvl w:ilvl="0" w:tplc="0C090019">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4E3240C"/>
    <w:multiLevelType w:val="hybridMultilevel"/>
    <w:tmpl w:val="F2403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num>
  <w:num w:numId="4">
    <w:abstractNumId w:val="1"/>
  </w:num>
  <w:num w:numId="5">
    <w:abstractNumId w:val="4"/>
  </w:num>
  <w:num w:numId="6">
    <w:abstractNumId w:val="5"/>
  </w:num>
  <w:num w:numId="7">
    <w:abstractNumId w:val="3"/>
  </w:num>
  <w:num w:numId="8">
    <w:abstractNumId w:val="0"/>
  </w:num>
  <w:num w:numId="9">
    <w:abstractNumId w:val="9"/>
  </w:num>
  <w:num w:numId="10">
    <w:abstractNumId w:val="6"/>
    <w:lvlOverride w:ilvl="0">
      <w:startOverride w:val="1"/>
    </w:lvlOverride>
  </w:num>
  <w:num w:numId="11">
    <w:abstractNumId w:val="6"/>
  </w:num>
  <w:num w:numId="12">
    <w:abstractNumId w:val="8"/>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3312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48"/>
    <w:rsid w:val="00000D92"/>
    <w:rsid w:val="00001B6C"/>
    <w:rsid w:val="00001B7D"/>
    <w:rsid w:val="00002031"/>
    <w:rsid w:val="00003EE4"/>
    <w:rsid w:val="000042DA"/>
    <w:rsid w:val="00004734"/>
    <w:rsid w:val="000069EC"/>
    <w:rsid w:val="00006AE7"/>
    <w:rsid w:val="00006B22"/>
    <w:rsid w:val="0001276A"/>
    <w:rsid w:val="00012D9E"/>
    <w:rsid w:val="00013328"/>
    <w:rsid w:val="00014629"/>
    <w:rsid w:val="00023C6E"/>
    <w:rsid w:val="000246AE"/>
    <w:rsid w:val="00025266"/>
    <w:rsid w:val="00025C67"/>
    <w:rsid w:val="000335FC"/>
    <w:rsid w:val="00033F14"/>
    <w:rsid w:val="00036E64"/>
    <w:rsid w:val="00041297"/>
    <w:rsid w:val="00042573"/>
    <w:rsid w:val="000465B5"/>
    <w:rsid w:val="00046B1F"/>
    <w:rsid w:val="0005081A"/>
    <w:rsid w:val="00052322"/>
    <w:rsid w:val="00053C6C"/>
    <w:rsid w:val="0005559E"/>
    <w:rsid w:val="00056156"/>
    <w:rsid w:val="00057FFC"/>
    <w:rsid w:val="00061765"/>
    <w:rsid w:val="00063A6F"/>
    <w:rsid w:val="0006427F"/>
    <w:rsid w:val="00065585"/>
    <w:rsid w:val="00065D1A"/>
    <w:rsid w:val="00072D02"/>
    <w:rsid w:val="00074EBD"/>
    <w:rsid w:val="000755F8"/>
    <w:rsid w:val="00077548"/>
    <w:rsid w:val="00077775"/>
    <w:rsid w:val="0008417D"/>
    <w:rsid w:val="0008484F"/>
    <w:rsid w:val="00085DD5"/>
    <w:rsid w:val="000860B4"/>
    <w:rsid w:val="000869F6"/>
    <w:rsid w:val="00090471"/>
    <w:rsid w:val="000956AB"/>
    <w:rsid w:val="000A56BE"/>
    <w:rsid w:val="000A74B0"/>
    <w:rsid w:val="000B0759"/>
    <w:rsid w:val="000B1E89"/>
    <w:rsid w:val="000B3532"/>
    <w:rsid w:val="000B38E6"/>
    <w:rsid w:val="000B3A75"/>
    <w:rsid w:val="000B56DE"/>
    <w:rsid w:val="000B7084"/>
    <w:rsid w:val="000C09B6"/>
    <w:rsid w:val="000C1B34"/>
    <w:rsid w:val="000C29F7"/>
    <w:rsid w:val="000C31F2"/>
    <w:rsid w:val="000C5F0B"/>
    <w:rsid w:val="000C6B99"/>
    <w:rsid w:val="000D0ABB"/>
    <w:rsid w:val="000D2B49"/>
    <w:rsid w:val="000D391B"/>
    <w:rsid w:val="000D3D6D"/>
    <w:rsid w:val="000D45F7"/>
    <w:rsid w:val="000D4FC7"/>
    <w:rsid w:val="000F04C4"/>
    <w:rsid w:val="000F3A5D"/>
    <w:rsid w:val="000F4869"/>
    <w:rsid w:val="000F5176"/>
    <w:rsid w:val="000F5B42"/>
    <w:rsid w:val="000F6E6F"/>
    <w:rsid w:val="001003F2"/>
    <w:rsid w:val="00101762"/>
    <w:rsid w:val="0010321C"/>
    <w:rsid w:val="00105B82"/>
    <w:rsid w:val="0010601F"/>
    <w:rsid w:val="00106BF9"/>
    <w:rsid w:val="00110AE1"/>
    <w:rsid w:val="00110EA5"/>
    <w:rsid w:val="00112440"/>
    <w:rsid w:val="00115240"/>
    <w:rsid w:val="001157F7"/>
    <w:rsid w:val="00116990"/>
    <w:rsid w:val="001169AC"/>
    <w:rsid w:val="00117127"/>
    <w:rsid w:val="00123BB2"/>
    <w:rsid w:val="001247CD"/>
    <w:rsid w:val="00125091"/>
    <w:rsid w:val="00125148"/>
    <w:rsid w:val="00125318"/>
    <w:rsid w:val="0012669D"/>
    <w:rsid w:val="001268BE"/>
    <w:rsid w:val="0012750F"/>
    <w:rsid w:val="001305A2"/>
    <w:rsid w:val="00130EB7"/>
    <w:rsid w:val="001327EC"/>
    <w:rsid w:val="00133238"/>
    <w:rsid w:val="00140A41"/>
    <w:rsid w:val="00140FE3"/>
    <w:rsid w:val="0014113C"/>
    <w:rsid w:val="0014197B"/>
    <w:rsid w:val="00143B58"/>
    <w:rsid w:val="001447CD"/>
    <w:rsid w:val="001476A3"/>
    <w:rsid w:val="00150A66"/>
    <w:rsid w:val="001516B1"/>
    <w:rsid w:val="001525B4"/>
    <w:rsid w:val="00155651"/>
    <w:rsid w:val="00156316"/>
    <w:rsid w:val="00156847"/>
    <w:rsid w:val="00157601"/>
    <w:rsid w:val="001578C5"/>
    <w:rsid w:val="00161226"/>
    <w:rsid w:val="00165389"/>
    <w:rsid w:val="001653CE"/>
    <w:rsid w:val="001706F7"/>
    <w:rsid w:val="00173C6A"/>
    <w:rsid w:val="0017693F"/>
    <w:rsid w:val="00176CB0"/>
    <w:rsid w:val="0018056A"/>
    <w:rsid w:val="0018110E"/>
    <w:rsid w:val="00181684"/>
    <w:rsid w:val="00182A4A"/>
    <w:rsid w:val="00183CE4"/>
    <w:rsid w:val="001843C6"/>
    <w:rsid w:val="001850E0"/>
    <w:rsid w:val="00185CE9"/>
    <w:rsid w:val="001864CD"/>
    <w:rsid w:val="00186517"/>
    <w:rsid w:val="00193183"/>
    <w:rsid w:val="001A3925"/>
    <w:rsid w:val="001A4235"/>
    <w:rsid w:val="001A525F"/>
    <w:rsid w:val="001A5FFE"/>
    <w:rsid w:val="001B09F9"/>
    <w:rsid w:val="001B0C27"/>
    <w:rsid w:val="001B0F8B"/>
    <w:rsid w:val="001B35BA"/>
    <w:rsid w:val="001B5CE3"/>
    <w:rsid w:val="001B6448"/>
    <w:rsid w:val="001C0D8C"/>
    <w:rsid w:val="001C2A9E"/>
    <w:rsid w:val="001C2D91"/>
    <w:rsid w:val="001C43EA"/>
    <w:rsid w:val="001C5266"/>
    <w:rsid w:val="001C5AFC"/>
    <w:rsid w:val="001C732D"/>
    <w:rsid w:val="001C7F0A"/>
    <w:rsid w:val="001D046B"/>
    <w:rsid w:val="001D7C1B"/>
    <w:rsid w:val="001E07CF"/>
    <w:rsid w:val="001E51C6"/>
    <w:rsid w:val="001E5555"/>
    <w:rsid w:val="001E59F1"/>
    <w:rsid w:val="001F04D7"/>
    <w:rsid w:val="001F2282"/>
    <w:rsid w:val="001F32EC"/>
    <w:rsid w:val="001F46F0"/>
    <w:rsid w:val="001F49EB"/>
    <w:rsid w:val="001F4BEB"/>
    <w:rsid w:val="001F6CBA"/>
    <w:rsid w:val="002001F1"/>
    <w:rsid w:val="0020028B"/>
    <w:rsid w:val="00200A9C"/>
    <w:rsid w:val="00201D4E"/>
    <w:rsid w:val="00202086"/>
    <w:rsid w:val="00204DF0"/>
    <w:rsid w:val="0020793B"/>
    <w:rsid w:val="002101CA"/>
    <w:rsid w:val="00210F3A"/>
    <w:rsid w:val="002147E0"/>
    <w:rsid w:val="00220B8A"/>
    <w:rsid w:val="002226DD"/>
    <w:rsid w:val="002257F3"/>
    <w:rsid w:val="0023267B"/>
    <w:rsid w:val="00233456"/>
    <w:rsid w:val="002339A5"/>
    <w:rsid w:val="00236140"/>
    <w:rsid w:val="00240781"/>
    <w:rsid w:val="00240BFE"/>
    <w:rsid w:val="00242707"/>
    <w:rsid w:val="002445F4"/>
    <w:rsid w:val="002458D4"/>
    <w:rsid w:val="00245CF3"/>
    <w:rsid w:val="002471BF"/>
    <w:rsid w:val="00247223"/>
    <w:rsid w:val="00247308"/>
    <w:rsid w:val="0025120A"/>
    <w:rsid w:val="00253509"/>
    <w:rsid w:val="002540E9"/>
    <w:rsid w:val="002549D9"/>
    <w:rsid w:val="00256515"/>
    <w:rsid w:val="0025660C"/>
    <w:rsid w:val="00257138"/>
    <w:rsid w:val="00257848"/>
    <w:rsid w:val="00267925"/>
    <w:rsid w:val="0027084A"/>
    <w:rsid w:val="00275590"/>
    <w:rsid w:val="00285023"/>
    <w:rsid w:val="002851D6"/>
    <w:rsid w:val="00286434"/>
    <w:rsid w:val="00286C59"/>
    <w:rsid w:val="002929C2"/>
    <w:rsid w:val="00292BB3"/>
    <w:rsid w:val="002942D1"/>
    <w:rsid w:val="002A0556"/>
    <w:rsid w:val="002A3961"/>
    <w:rsid w:val="002A5857"/>
    <w:rsid w:val="002A5F56"/>
    <w:rsid w:val="002A6E38"/>
    <w:rsid w:val="002A749B"/>
    <w:rsid w:val="002B0E0E"/>
    <w:rsid w:val="002B1638"/>
    <w:rsid w:val="002B3304"/>
    <w:rsid w:val="002B52C7"/>
    <w:rsid w:val="002C07AF"/>
    <w:rsid w:val="002C07F7"/>
    <w:rsid w:val="002C1418"/>
    <w:rsid w:val="002C269C"/>
    <w:rsid w:val="002C383A"/>
    <w:rsid w:val="002C3C50"/>
    <w:rsid w:val="002C43C3"/>
    <w:rsid w:val="002C48BF"/>
    <w:rsid w:val="002C6D34"/>
    <w:rsid w:val="002D0B05"/>
    <w:rsid w:val="002D25EE"/>
    <w:rsid w:val="002E430E"/>
    <w:rsid w:val="002E4C9A"/>
    <w:rsid w:val="002E5C31"/>
    <w:rsid w:val="002E69BE"/>
    <w:rsid w:val="002F11F8"/>
    <w:rsid w:val="002F297F"/>
    <w:rsid w:val="002F3F56"/>
    <w:rsid w:val="002F44B5"/>
    <w:rsid w:val="002F53E0"/>
    <w:rsid w:val="002F5707"/>
    <w:rsid w:val="002F7E09"/>
    <w:rsid w:val="00302504"/>
    <w:rsid w:val="00303CBB"/>
    <w:rsid w:val="0030508C"/>
    <w:rsid w:val="003055BD"/>
    <w:rsid w:val="00311AC0"/>
    <w:rsid w:val="00311F8C"/>
    <w:rsid w:val="00314331"/>
    <w:rsid w:val="003164D7"/>
    <w:rsid w:val="00316F8D"/>
    <w:rsid w:val="003208A0"/>
    <w:rsid w:val="00322AF8"/>
    <w:rsid w:val="003251D0"/>
    <w:rsid w:val="003261C8"/>
    <w:rsid w:val="00330A23"/>
    <w:rsid w:val="00331DBB"/>
    <w:rsid w:val="00334439"/>
    <w:rsid w:val="00335BEC"/>
    <w:rsid w:val="003367E4"/>
    <w:rsid w:val="00343736"/>
    <w:rsid w:val="003521E8"/>
    <w:rsid w:val="00352A2E"/>
    <w:rsid w:val="00353AC2"/>
    <w:rsid w:val="00354AEA"/>
    <w:rsid w:val="003555D7"/>
    <w:rsid w:val="0035690C"/>
    <w:rsid w:val="00356F04"/>
    <w:rsid w:val="00360648"/>
    <w:rsid w:val="00360DFD"/>
    <w:rsid w:val="00362473"/>
    <w:rsid w:val="00362F16"/>
    <w:rsid w:val="003662D5"/>
    <w:rsid w:val="003664BF"/>
    <w:rsid w:val="0036794C"/>
    <w:rsid w:val="0037036E"/>
    <w:rsid w:val="003704C4"/>
    <w:rsid w:val="0037215C"/>
    <w:rsid w:val="003728F3"/>
    <w:rsid w:val="00373D31"/>
    <w:rsid w:val="0038110B"/>
    <w:rsid w:val="00383334"/>
    <w:rsid w:val="003853AB"/>
    <w:rsid w:val="00386152"/>
    <w:rsid w:val="00390900"/>
    <w:rsid w:val="003964E2"/>
    <w:rsid w:val="003A0110"/>
    <w:rsid w:val="003A0B29"/>
    <w:rsid w:val="003A0B68"/>
    <w:rsid w:val="003A19BA"/>
    <w:rsid w:val="003A3319"/>
    <w:rsid w:val="003A48A2"/>
    <w:rsid w:val="003B1FAD"/>
    <w:rsid w:val="003B3601"/>
    <w:rsid w:val="003B629A"/>
    <w:rsid w:val="003B6E20"/>
    <w:rsid w:val="003B7E39"/>
    <w:rsid w:val="003C04B2"/>
    <w:rsid w:val="003C1BBB"/>
    <w:rsid w:val="003C58DC"/>
    <w:rsid w:val="003C62FC"/>
    <w:rsid w:val="003C6780"/>
    <w:rsid w:val="003C7673"/>
    <w:rsid w:val="003C78EC"/>
    <w:rsid w:val="003D1DEC"/>
    <w:rsid w:val="003D26B4"/>
    <w:rsid w:val="003D497F"/>
    <w:rsid w:val="003D5D86"/>
    <w:rsid w:val="003E0E6A"/>
    <w:rsid w:val="003E1945"/>
    <w:rsid w:val="003E1BF4"/>
    <w:rsid w:val="003E2889"/>
    <w:rsid w:val="003E3208"/>
    <w:rsid w:val="003E33D4"/>
    <w:rsid w:val="003E3CA3"/>
    <w:rsid w:val="003E6342"/>
    <w:rsid w:val="003E7390"/>
    <w:rsid w:val="003F0B04"/>
    <w:rsid w:val="003F3092"/>
    <w:rsid w:val="003F3095"/>
    <w:rsid w:val="003F48DD"/>
    <w:rsid w:val="003F7C3E"/>
    <w:rsid w:val="0040134E"/>
    <w:rsid w:val="00402EF6"/>
    <w:rsid w:val="00403ACE"/>
    <w:rsid w:val="00403D3E"/>
    <w:rsid w:val="00404AD5"/>
    <w:rsid w:val="0040598C"/>
    <w:rsid w:val="0040726C"/>
    <w:rsid w:val="004072A5"/>
    <w:rsid w:val="00411710"/>
    <w:rsid w:val="0041244F"/>
    <w:rsid w:val="00412E40"/>
    <w:rsid w:val="00414BA2"/>
    <w:rsid w:val="00421B7E"/>
    <w:rsid w:val="00423F10"/>
    <w:rsid w:val="004247DA"/>
    <w:rsid w:val="00427D08"/>
    <w:rsid w:val="004302D7"/>
    <w:rsid w:val="0043074F"/>
    <w:rsid w:val="00430AAA"/>
    <w:rsid w:val="00432CDD"/>
    <w:rsid w:val="00433211"/>
    <w:rsid w:val="004340C3"/>
    <w:rsid w:val="0043533B"/>
    <w:rsid w:val="00435B13"/>
    <w:rsid w:val="00436C41"/>
    <w:rsid w:val="004403D9"/>
    <w:rsid w:val="004407B2"/>
    <w:rsid w:val="00440A2D"/>
    <w:rsid w:val="00441040"/>
    <w:rsid w:val="004422DF"/>
    <w:rsid w:val="004432FB"/>
    <w:rsid w:val="004446E3"/>
    <w:rsid w:val="004454B4"/>
    <w:rsid w:val="0044589C"/>
    <w:rsid w:val="0044722D"/>
    <w:rsid w:val="0044785B"/>
    <w:rsid w:val="0045203F"/>
    <w:rsid w:val="0045249D"/>
    <w:rsid w:val="00455ECA"/>
    <w:rsid w:val="004564A7"/>
    <w:rsid w:val="00457FE3"/>
    <w:rsid w:val="004617BF"/>
    <w:rsid w:val="004618AB"/>
    <w:rsid w:val="00461999"/>
    <w:rsid w:val="00464DFB"/>
    <w:rsid w:val="0046516E"/>
    <w:rsid w:val="004658BC"/>
    <w:rsid w:val="00470EC2"/>
    <w:rsid w:val="0047192B"/>
    <w:rsid w:val="00472080"/>
    <w:rsid w:val="004822AA"/>
    <w:rsid w:val="00484BAB"/>
    <w:rsid w:val="00485BFD"/>
    <w:rsid w:val="00487716"/>
    <w:rsid w:val="004923FF"/>
    <w:rsid w:val="00494E60"/>
    <w:rsid w:val="004970FD"/>
    <w:rsid w:val="004A1BCB"/>
    <w:rsid w:val="004A2400"/>
    <w:rsid w:val="004A3470"/>
    <w:rsid w:val="004A519B"/>
    <w:rsid w:val="004A6F05"/>
    <w:rsid w:val="004B21D7"/>
    <w:rsid w:val="004B2BD3"/>
    <w:rsid w:val="004B545E"/>
    <w:rsid w:val="004B5E83"/>
    <w:rsid w:val="004B6701"/>
    <w:rsid w:val="004B751C"/>
    <w:rsid w:val="004B7B76"/>
    <w:rsid w:val="004C0070"/>
    <w:rsid w:val="004C241F"/>
    <w:rsid w:val="004C3BFD"/>
    <w:rsid w:val="004C40A5"/>
    <w:rsid w:val="004C4791"/>
    <w:rsid w:val="004C5C9A"/>
    <w:rsid w:val="004C60B4"/>
    <w:rsid w:val="004D51A6"/>
    <w:rsid w:val="004D6739"/>
    <w:rsid w:val="004D722C"/>
    <w:rsid w:val="004E13E5"/>
    <w:rsid w:val="004E4F1C"/>
    <w:rsid w:val="004E5523"/>
    <w:rsid w:val="004E7F90"/>
    <w:rsid w:val="004F0F38"/>
    <w:rsid w:val="004F13F1"/>
    <w:rsid w:val="004F1DA8"/>
    <w:rsid w:val="004F4580"/>
    <w:rsid w:val="005009C0"/>
    <w:rsid w:val="00501179"/>
    <w:rsid w:val="00501921"/>
    <w:rsid w:val="00501CBA"/>
    <w:rsid w:val="005042C1"/>
    <w:rsid w:val="00510C9A"/>
    <w:rsid w:val="005164BD"/>
    <w:rsid w:val="005168C9"/>
    <w:rsid w:val="00516E40"/>
    <w:rsid w:val="00520F6C"/>
    <w:rsid w:val="00521BEF"/>
    <w:rsid w:val="005220E5"/>
    <w:rsid w:val="005221E1"/>
    <w:rsid w:val="00524647"/>
    <w:rsid w:val="005274DA"/>
    <w:rsid w:val="005302F5"/>
    <w:rsid w:val="00530354"/>
    <w:rsid w:val="00533970"/>
    <w:rsid w:val="00534871"/>
    <w:rsid w:val="0053538C"/>
    <w:rsid w:val="0053781A"/>
    <w:rsid w:val="00541352"/>
    <w:rsid w:val="0054163A"/>
    <w:rsid w:val="005434C6"/>
    <w:rsid w:val="00543B39"/>
    <w:rsid w:val="00545BD1"/>
    <w:rsid w:val="00547E85"/>
    <w:rsid w:val="00550096"/>
    <w:rsid w:val="00551F1D"/>
    <w:rsid w:val="00552646"/>
    <w:rsid w:val="00552DB2"/>
    <w:rsid w:val="005540F9"/>
    <w:rsid w:val="005576C9"/>
    <w:rsid w:val="00557FF9"/>
    <w:rsid w:val="00560B02"/>
    <w:rsid w:val="00560BAF"/>
    <w:rsid w:val="00561B1B"/>
    <w:rsid w:val="00564737"/>
    <w:rsid w:val="005729B0"/>
    <w:rsid w:val="00575A6D"/>
    <w:rsid w:val="00576378"/>
    <w:rsid w:val="00577E38"/>
    <w:rsid w:val="00581BAC"/>
    <w:rsid w:val="005824DB"/>
    <w:rsid w:val="005837CC"/>
    <w:rsid w:val="00585069"/>
    <w:rsid w:val="00585322"/>
    <w:rsid w:val="00585E23"/>
    <w:rsid w:val="0058774D"/>
    <w:rsid w:val="005878B7"/>
    <w:rsid w:val="00591975"/>
    <w:rsid w:val="00593AD1"/>
    <w:rsid w:val="005955CF"/>
    <w:rsid w:val="0059764A"/>
    <w:rsid w:val="00597B50"/>
    <w:rsid w:val="005A1131"/>
    <w:rsid w:val="005A3F2F"/>
    <w:rsid w:val="005A5916"/>
    <w:rsid w:val="005A5A5E"/>
    <w:rsid w:val="005A6611"/>
    <w:rsid w:val="005B1DEF"/>
    <w:rsid w:val="005B3354"/>
    <w:rsid w:val="005C03F2"/>
    <w:rsid w:val="005C0499"/>
    <w:rsid w:val="005C1D90"/>
    <w:rsid w:val="005C22EA"/>
    <w:rsid w:val="005C2732"/>
    <w:rsid w:val="005C2FB2"/>
    <w:rsid w:val="005C3414"/>
    <w:rsid w:val="005C4804"/>
    <w:rsid w:val="005C5570"/>
    <w:rsid w:val="005C6864"/>
    <w:rsid w:val="005C6D87"/>
    <w:rsid w:val="005C79A4"/>
    <w:rsid w:val="005D060C"/>
    <w:rsid w:val="005D16DC"/>
    <w:rsid w:val="005D321C"/>
    <w:rsid w:val="005D4E06"/>
    <w:rsid w:val="005D5442"/>
    <w:rsid w:val="005E0BBB"/>
    <w:rsid w:val="005E1A89"/>
    <w:rsid w:val="005E2B85"/>
    <w:rsid w:val="005E3393"/>
    <w:rsid w:val="005E46B5"/>
    <w:rsid w:val="005E5885"/>
    <w:rsid w:val="005E6395"/>
    <w:rsid w:val="005F3EA0"/>
    <w:rsid w:val="005F7205"/>
    <w:rsid w:val="00601594"/>
    <w:rsid w:val="00601854"/>
    <w:rsid w:val="00601FD3"/>
    <w:rsid w:val="0060581D"/>
    <w:rsid w:val="00612B30"/>
    <w:rsid w:val="006131AB"/>
    <w:rsid w:val="00613211"/>
    <w:rsid w:val="006132E8"/>
    <w:rsid w:val="006210F2"/>
    <w:rsid w:val="0062266E"/>
    <w:rsid w:val="00623676"/>
    <w:rsid w:val="006238C7"/>
    <w:rsid w:val="00626D1F"/>
    <w:rsid w:val="00632D4C"/>
    <w:rsid w:val="006352D8"/>
    <w:rsid w:val="006379E6"/>
    <w:rsid w:val="006400CB"/>
    <w:rsid w:val="00640FC3"/>
    <w:rsid w:val="00642020"/>
    <w:rsid w:val="00650434"/>
    <w:rsid w:val="006504F2"/>
    <w:rsid w:val="00651316"/>
    <w:rsid w:val="00652CEE"/>
    <w:rsid w:val="0065337B"/>
    <w:rsid w:val="0065419D"/>
    <w:rsid w:val="00654734"/>
    <w:rsid w:val="006604D8"/>
    <w:rsid w:val="0066228A"/>
    <w:rsid w:val="00664A5B"/>
    <w:rsid w:val="006664CB"/>
    <w:rsid w:val="00667942"/>
    <w:rsid w:val="006733CD"/>
    <w:rsid w:val="00674BA2"/>
    <w:rsid w:val="00677050"/>
    <w:rsid w:val="006804A8"/>
    <w:rsid w:val="00680C08"/>
    <w:rsid w:val="0068543D"/>
    <w:rsid w:val="00686C19"/>
    <w:rsid w:val="0068741A"/>
    <w:rsid w:val="00691DBE"/>
    <w:rsid w:val="006931B1"/>
    <w:rsid w:val="00695A52"/>
    <w:rsid w:val="006A1095"/>
    <w:rsid w:val="006A15C0"/>
    <w:rsid w:val="006A1DC0"/>
    <w:rsid w:val="006A64F4"/>
    <w:rsid w:val="006A7FD9"/>
    <w:rsid w:val="006B1BCF"/>
    <w:rsid w:val="006B3B74"/>
    <w:rsid w:val="006B3CF2"/>
    <w:rsid w:val="006B585D"/>
    <w:rsid w:val="006B6E53"/>
    <w:rsid w:val="006C0A51"/>
    <w:rsid w:val="006C1A83"/>
    <w:rsid w:val="006C1AD9"/>
    <w:rsid w:val="006C1F3B"/>
    <w:rsid w:val="006C3E2A"/>
    <w:rsid w:val="006C450D"/>
    <w:rsid w:val="006C57B7"/>
    <w:rsid w:val="006C59C9"/>
    <w:rsid w:val="006C642F"/>
    <w:rsid w:val="006C6CEF"/>
    <w:rsid w:val="006D03E5"/>
    <w:rsid w:val="006D08C1"/>
    <w:rsid w:val="006D5D3E"/>
    <w:rsid w:val="006D6A23"/>
    <w:rsid w:val="006D79A0"/>
    <w:rsid w:val="006E08B3"/>
    <w:rsid w:val="006E4BD7"/>
    <w:rsid w:val="006E5071"/>
    <w:rsid w:val="006E5916"/>
    <w:rsid w:val="006F01FE"/>
    <w:rsid w:val="006F0764"/>
    <w:rsid w:val="006F1A67"/>
    <w:rsid w:val="006F572E"/>
    <w:rsid w:val="006F65A9"/>
    <w:rsid w:val="006F67AE"/>
    <w:rsid w:val="007046D6"/>
    <w:rsid w:val="00705DB0"/>
    <w:rsid w:val="00706AFE"/>
    <w:rsid w:val="007105C8"/>
    <w:rsid w:val="00711BAE"/>
    <w:rsid w:val="007127A7"/>
    <w:rsid w:val="00717545"/>
    <w:rsid w:val="00717B5D"/>
    <w:rsid w:val="007249F8"/>
    <w:rsid w:val="00727A17"/>
    <w:rsid w:val="0073205A"/>
    <w:rsid w:val="00732B06"/>
    <w:rsid w:val="0073345D"/>
    <w:rsid w:val="00736B85"/>
    <w:rsid w:val="00736EFA"/>
    <w:rsid w:val="00737627"/>
    <w:rsid w:val="00741AB7"/>
    <w:rsid w:val="0074253D"/>
    <w:rsid w:val="00742A99"/>
    <w:rsid w:val="0074429B"/>
    <w:rsid w:val="00746DD9"/>
    <w:rsid w:val="007477F8"/>
    <w:rsid w:val="00750368"/>
    <w:rsid w:val="00750487"/>
    <w:rsid w:val="007560C5"/>
    <w:rsid w:val="007615BC"/>
    <w:rsid w:val="00761AA7"/>
    <w:rsid w:val="00762F05"/>
    <w:rsid w:val="007637F0"/>
    <w:rsid w:val="00763BB7"/>
    <w:rsid w:val="007652FF"/>
    <w:rsid w:val="00765C7B"/>
    <w:rsid w:val="00766342"/>
    <w:rsid w:val="00766729"/>
    <w:rsid w:val="00766888"/>
    <w:rsid w:val="00771329"/>
    <w:rsid w:val="007718BC"/>
    <w:rsid w:val="00773EF7"/>
    <w:rsid w:val="007748DC"/>
    <w:rsid w:val="00774E1D"/>
    <w:rsid w:val="0077675A"/>
    <w:rsid w:val="00780355"/>
    <w:rsid w:val="00782870"/>
    <w:rsid w:val="00783116"/>
    <w:rsid w:val="00784124"/>
    <w:rsid w:val="00785721"/>
    <w:rsid w:val="007907BF"/>
    <w:rsid w:val="00793A59"/>
    <w:rsid w:val="00794519"/>
    <w:rsid w:val="007954D4"/>
    <w:rsid w:val="007956FB"/>
    <w:rsid w:val="00796F7C"/>
    <w:rsid w:val="00797C67"/>
    <w:rsid w:val="007A05BF"/>
    <w:rsid w:val="007A2162"/>
    <w:rsid w:val="007A2B0B"/>
    <w:rsid w:val="007A3FAC"/>
    <w:rsid w:val="007A58C5"/>
    <w:rsid w:val="007B0412"/>
    <w:rsid w:val="007B0A15"/>
    <w:rsid w:val="007B1ED1"/>
    <w:rsid w:val="007B7F38"/>
    <w:rsid w:val="007C0F3D"/>
    <w:rsid w:val="007C1AF7"/>
    <w:rsid w:val="007D2CFA"/>
    <w:rsid w:val="007D31C7"/>
    <w:rsid w:val="007D3663"/>
    <w:rsid w:val="007D404B"/>
    <w:rsid w:val="007D4385"/>
    <w:rsid w:val="007D7B54"/>
    <w:rsid w:val="007E29E1"/>
    <w:rsid w:val="007E3E3E"/>
    <w:rsid w:val="007E4DCE"/>
    <w:rsid w:val="007E662C"/>
    <w:rsid w:val="007F6B27"/>
    <w:rsid w:val="00802648"/>
    <w:rsid w:val="008030CD"/>
    <w:rsid w:val="00803B10"/>
    <w:rsid w:val="00804357"/>
    <w:rsid w:val="0080449A"/>
    <w:rsid w:val="00810F4E"/>
    <w:rsid w:val="00811949"/>
    <w:rsid w:val="00812029"/>
    <w:rsid w:val="008122AC"/>
    <w:rsid w:val="00813E46"/>
    <w:rsid w:val="00817471"/>
    <w:rsid w:val="00820431"/>
    <w:rsid w:val="00821776"/>
    <w:rsid w:val="00821DA1"/>
    <w:rsid w:val="00824BA5"/>
    <w:rsid w:val="00826007"/>
    <w:rsid w:val="0082653E"/>
    <w:rsid w:val="008266E2"/>
    <w:rsid w:val="008313DE"/>
    <w:rsid w:val="0083209C"/>
    <w:rsid w:val="008321F5"/>
    <w:rsid w:val="00832369"/>
    <w:rsid w:val="00832486"/>
    <w:rsid w:val="0083329F"/>
    <w:rsid w:val="00834660"/>
    <w:rsid w:val="008357ED"/>
    <w:rsid w:val="00836BC2"/>
    <w:rsid w:val="0084109D"/>
    <w:rsid w:val="00841C4F"/>
    <w:rsid w:val="008423DC"/>
    <w:rsid w:val="00846E23"/>
    <w:rsid w:val="008551B5"/>
    <w:rsid w:val="0085641B"/>
    <w:rsid w:val="00857136"/>
    <w:rsid w:val="008617CA"/>
    <w:rsid w:val="008702B3"/>
    <w:rsid w:val="008707DF"/>
    <w:rsid w:val="00871E49"/>
    <w:rsid w:val="00872807"/>
    <w:rsid w:val="0087525D"/>
    <w:rsid w:val="00876EAC"/>
    <w:rsid w:val="00881EA0"/>
    <w:rsid w:val="008844F7"/>
    <w:rsid w:val="0088496A"/>
    <w:rsid w:val="0088678E"/>
    <w:rsid w:val="00892BDA"/>
    <w:rsid w:val="0089392A"/>
    <w:rsid w:val="00893C5D"/>
    <w:rsid w:val="00896018"/>
    <w:rsid w:val="008963B2"/>
    <w:rsid w:val="00896E1F"/>
    <w:rsid w:val="00897820"/>
    <w:rsid w:val="008A00FE"/>
    <w:rsid w:val="008A2B9D"/>
    <w:rsid w:val="008A2D18"/>
    <w:rsid w:val="008A5E0B"/>
    <w:rsid w:val="008A69D0"/>
    <w:rsid w:val="008A6A7F"/>
    <w:rsid w:val="008A6B96"/>
    <w:rsid w:val="008A6D59"/>
    <w:rsid w:val="008B0015"/>
    <w:rsid w:val="008B2B27"/>
    <w:rsid w:val="008B4B03"/>
    <w:rsid w:val="008B596F"/>
    <w:rsid w:val="008B7B37"/>
    <w:rsid w:val="008B7C43"/>
    <w:rsid w:val="008C0C69"/>
    <w:rsid w:val="008C159F"/>
    <w:rsid w:val="008C1623"/>
    <w:rsid w:val="008C2B58"/>
    <w:rsid w:val="008C51A9"/>
    <w:rsid w:val="008C5225"/>
    <w:rsid w:val="008C7E46"/>
    <w:rsid w:val="008D0620"/>
    <w:rsid w:val="008D1287"/>
    <w:rsid w:val="008D3724"/>
    <w:rsid w:val="008D3FCE"/>
    <w:rsid w:val="008D5C6D"/>
    <w:rsid w:val="008D67F7"/>
    <w:rsid w:val="008D6D2D"/>
    <w:rsid w:val="008D77AD"/>
    <w:rsid w:val="008D7BD4"/>
    <w:rsid w:val="008E6463"/>
    <w:rsid w:val="008F1CCC"/>
    <w:rsid w:val="008F2632"/>
    <w:rsid w:val="008F2967"/>
    <w:rsid w:val="008F2AD4"/>
    <w:rsid w:val="008F4A62"/>
    <w:rsid w:val="008F57B4"/>
    <w:rsid w:val="008F73DD"/>
    <w:rsid w:val="00905D16"/>
    <w:rsid w:val="0091165D"/>
    <w:rsid w:val="00915525"/>
    <w:rsid w:val="00916415"/>
    <w:rsid w:val="00917AB4"/>
    <w:rsid w:val="00920330"/>
    <w:rsid w:val="009207ED"/>
    <w:rsid w:val="00920FF4"/>
    <w:rsid w:val="009219D7"/>
    <w:rsid w:val="00922D53"/>
    <w:rsid w:val="00923B70"/>
    <w:rsid w:val="0092465F"/>
    <w:rsid w:val="00924FB8"/>
    <w:rsid w:val="00925333"/>
    <w:rsid w:val="00925FC0"/>
    <w:rsid w:val="0092600B"/>
    <w:rsid w:val="00926BE5"/>
    <w:rsid w:val="00926F1C"/>
    <w:rsid w:val="00930237"/>
    <w:rsid w:val="0093064F"/>
    <w:rsid w:val="009310B4"/>
    <w:rsid w:val="0093749E"/>
    <w:rsid w:val="00942751"/>
    <w:rsid w:val="00943A3F"/>
    <w:rsid w:val="00944B14"/>
    <w:rsid w:val="00945041"/>
    <w:rsid w:val="009468C6"/>
    <w:rsid w:val="0094775F"/>
    <w:rsid w:val="00951677"/>
    <w:rsid w:val="00952C3D"/>
    <w:rsid w:val="00953EA8"/>
    <w:rsid w:val="00955A46"/>
    <w:rsid w:val="009628B7"/>
    <w:rsid w:val="00963C08"/>
    <w:rsid w:val="00963C0D"/>
    <w:rsid w:val="00966970"/>
    <w:rsid w:val="00967C5A"/>
    <w:rsid w:val="00970367"/>
    <w:rsid w:val="009741DD"/>
    <w:rsid w:val="009752DD"/>
    <w:rsid w:val="00975379"/>
    <w:rsid w:val="00976756"/>
    <w:rsid w:val="00981AC6"/>
    <w:rsid w:val="00981D0A"/>
    <w:rsid w:val="009835B6"/>
    <w:rsid w:val="009836F1"/>
    <w:rsid w:val="00984CAD"/>
    <w:rsid w:val="009852E7"/>
    <w:rsid w:val="00985A68"/>
    <w:rsid w:val="00987D65"/>
    <w:rsid w:val="009927F3"/>
    <w:rsid w:val="00993AB0"/>
    <w:rsid w:val="009A190E"/>
    <w:rsid w:val="009A4825"/>
    <w:rsid w:val="009A4CED"/>
    <w:rsid w:val="009A7508"/>
    <w:rsid w:val="009B00CC"/>
    <w:rsid w:val="009B015A"/>
    <w:rsid w:val="009B1D12"/>
    <w:rsid w:val="009B20A0"/>
    <w:rsid w:val="009B256D"/>
    <w:rsid w:val="009B2B3C"/>
    <w:rsid w:val="009B3475"/>
    <w:rsid w:val="009B416B"/>
    <w:rsid w:val="009B6348"/>
    <w:rsid w:val="009B77AB"/>
    <w:rsid w:val="009C4BD5"/>
    <w:rsid w:val="009C4EFA"/>
    <w:rsid w:val="009C5F04"/>
    <w:rsid w:val="009C683C"/>
    <w:rsid w:val="009D0801"/>
    <w:rsid w:val="009D0A6D"/>
    <w:rsid w:val="009D0DC8"/>
    <w:rsid w:val="009D2144"/>
    <w:rsid w:val="009D2E04"/>
    <w:rsid w:val="009D5732"/>
    <w:rsid w:val="009D7B77"/>
    <w:rsid w:val="009E0BB0"/>
    <w:rsid w:val="009E1553"/>
    <w:rsid w:val="009E37F8"/>
    <w:rsid w:val="009E3BB5"/>
    <w:rsid w:val="009E3FBB"/>
    <w:rsid w:val="009F018D"/>
    <w:rsid w:val="009F01FD"/>
    <w:rsid w:val="009F207B"/>
    <w:rsid w:val="009F20E4"/>
    <w:rsid w:val="00A0156E"/>
    <w:rsid w:val="00A02177"/>
    <w:rsid w:val="00A04430"/>
    <w:rsid w:val="00A06918"/>
    <w:rsid w:val="00A10C68"/>
    <w:rsid w:val="00A1235B"/>
    <w:rsid w:val="00A12A61"/>
    <w:rsid w:val="00A14DF7"/>
    <w:rsid w:val="00A22E19"/>
    <w:rsid w:val="00A27B10"/>
    <w:rsid w:val="00A31294"/>
    <w:rsid w:val="00A31B48"/>
    <w:rsid w:val="00A3246D"/>
    <w:rsid w:val="00A32C51"/>
    <w:rsid w:val="00A342E4"/>
    <w:rsid w:val="00A36E8D"/>
    <w:rsid w:val="00A36FA7"/>
    <w:rsid w:val="00A406BB"/>
    <w:rsid w:val="00A40944"/>
    <w:rsid w:val="00A41E88"/>
    <w:rsid w:val="00A42129"/>
    <w:rsid w:val="00A46A96"/>
    <w:rsid w:val="00A47209"/>
    <w:rsid w:val="00A475B7"/>
    <w:rsid w:val="00A47AF7"/>
    <w:rsid w:val="00A47C3E"/>
    <w:rsid w:val="00A500B6"/>
    <w:rsid w:val="00A50226"/>
    <w:rsid w:val="00A5058B"/>
    <w:rsid w:val="00A50992"/>
    <w:rsid w:val="00A51AF1"/>
    <w:rsid w:val="00A60BAD"/>
    <w:rsid w:val="00A6126E"/>
    <w:rsid w:val="00A73339"/>
    <w:rsid w:val="00A737A1"/>
    <w:rsid w:val="00A73A8D"/>
    <w:rsid w:val="00A777F1"/>
    <w:rsid w:val="00A77C79"/>
    <w:rsid w:val="00A8051A"/>
    <w:rsid w:val="00A806AE"/>
    <w:rsid w:val="00A84B19"/>
    <w:rsid w:val="00A8571D"/>
    <w:rsid w:val="00A87334"/>
    <w:rsid w:val="00A9226D"/>
    <w:rsid w:val="00A92E6D"/>
    <w:rsid w:val="00A934D5"/>
    <w:rsid w:val="00A94EAD"/>
    <w:rsid w:val="00A957C4"/>
    <w:rsid w:val="00A97206"/>
    <w:rsid w:val="00AA34FC"/>
    <w:rsid w:val="00AA40E6"/>
    <w:rsid w:val="00AA75C3"/>
    <w:rsid w:val="00AB201E"/>
    <w:rsid w:val="00AB3F92"/>
    <w:rsid w:val="00AB42C4"/>
    <w:rsid w:val="00AB4CAE"/>
    <w:rsid w:val="00AB581C"/>
    <w:rsid w:val="00AB5C96"/>
    <w:rsid w:val="00AC262B"/>
    <w:rsid w:val="00AC2B40"/>
    <w:rsid w:val="00AC2BB2"/>
    <w:rsid w:val="00AC2C3C"/>
    <w:rsid w:val="00AC3BD9"/>
    <w:rsid w:val="00AC44FA"/>
    <w:rsid w:val="00AC54D1"/>
    <w:rsid w:val="00AC6DEA"/>
    <w:rsid w:val="00AC6EBE"/>
    <w:rsid w:val="00AD4722"/>
    <w:rsid w:val="00AD58C6"/>
    <w:rsid w:val="00AD7E78"/>
    <w:rsid w:val="00AE2270"/>
    <w:rsid w:val="00AE4205"/>
    <w:rsid w:val="00AE6155"/>
    <w:rsid w:val="00AE65EB"/>
    <w:rsid w:val="00AE670F"/>
    <w:rsid w:val="00AF1D94"/>
    <w:rsid w:val="00AF27F0"/>
    <w:rsid w:val="00AF316D"/>
    <w:rsid w:val="00AF3A8C"/>
    <w:rsid w:val="00AF60C5"/>
    <w:rsid w:val="00B009C6"/>
    <w:rsid w:val="00B01548"/>
    <w:rsid w:val="00B0265A"/>
    <w:rsid w:val="00B0600A"/>
    <w:rsid w:val="00B138BE"/>
    <w:rsid w:val="00B15AE2"/>
    <w:rsid w:val="00B15C1C"/>
    <w:rsid w:val="00B17A0B"/>
    <w:rsid w:val="00B17CB3"/>
    <w:rsid w:val="00B21D29"/>
    <w:rsid w:val="00B21FC5"/>
    <w:rsid w:val="00B25034"/>
    <w:rsid w:val="00B27751"/>
    <w:rsid w:val="00B27B29"/>
    <w:rsid w:val="00B27EA3"/>
    <w:rsid w:val="00B325C7"/>
    <w:rsid w:val="00B33863"/>
    <w:rsid w:val="00B34F51"/>
    <w:rsid w:val="00B35BBF"/>
    <w:rsid w:val="00B368CC"/>
    <w:rsid w:val="00B37D17"/>
    <w:rsid w:val="00B4175E"/>
    <w:rsid w:val="00B44359"/>
    <w:rsid w:val="00B4454F"/>
    <w:rsid w:val="00B50EE7"/>
    <w:rsid w:val="00B510E1"/>
    <w:rsid w:val="00B54C25"/>
    <w:rsid w:val="00B55A8D"/>
    <w:rsid w:val="00B55E71"/>
    <w:rsid w:val="00B57049"/>
    <w:rsid w:val="00B572B2"/>
    <w:rsid w:val="00B60801"/>
    <w:rsid w:val="00B617EA"/>
    <w:rsid w:val="00B6409A"/>
    <w:rsid w:val="00B6677B"/>
    <w:rsid w:val="00B668B2"/>
    <w:rsid w:val="00B71B18"/>
    <w:rsid w:val="00B7359B"/>
    <w:rsid w:val="00B7672F"/>
    <w:rsid w:val="00B76B91"/>
    <w:rsid w:val="00B81053"/>
    <w:rsid w:val="00B83FC7"/>
    <w:rsid w:val="00B8473E"/>
    <w:rsid w:val="00B852BC"/>
    <w:rsid w:val="00B86F81"/>
    <w:rsid w:val="00B929EB"/>
    <w:rsid w:val="00B94276"/>
    <w:rsid w:val="00B94618"/>
    <w:rsid w:val="00B94622"/>
    <w:rsid w:val="00B978A9"/>
    <w:rsid w:val="00BA76E1"/>
    <w:rsid w:val="00BB013C"/>
    <w:rsid w:val="00BB0BD8"/>
    <w:rsid w:val="00BB4F50"/>
    <w:rsid w:val="00BB538A"/>
    <w:rsid w:val="00BB6DFC"/>
    <w:rsid w:val="00BB7F56"/>
    <w:rsid w:val="00BC1CAB"/>
    <w:rsid w:val="00BC2009"/>
    <w:rsid w:val="00BC50DB"/>
    <w:rsid w:val="00BC526C"/>
    <w:rsid w:val="00BC5AC3"/>
    <w:rsid w:val="00BC5AE6"/>
    <w:rsid w:val="00BC622A"/>
    <w:rsid w:val="00BD48EC"/>
    <w:rsid w:val="00BE0A78"/>
    <w:rsid w:val="00BE52B8"/>
    <w:rsid w:val="00BE79F0"/>
    <w:rsid w:val="00BF046D"/>
    <w:rsid w:val="00BF46E4"/>
    <w:rsid w:val="00BF5D04"/>
    <w:rsid w:val="00BF6D2F"/>
    <w:rsid w:val="00C0017E"/>
    <w:rsid w:val="00C007D3"/>
    <w:rsid w:val="00C00BB3"/>
    <w:rsid w:val="00C019E6"/>
    <w:rsid w:val="00C0357E"/>
    <w:rsid w:val="00C06612"/>
    <w:rsid w:val="00C07436"/>
    <w:rsid w:val="00C1305B"/>
    <w:rsid w:val="00C13563"/>
    <w:rsid w:val="00C16CCE"/>
    <w:rsid w:val="00C17E00"/>
    <w:rsid w:val="00C21694"/>
    <w:rsid w:val="00C22768"/>
    <w:rsid w:val="00C22C12"/>
    <w:rsid w:val="00C232A9"/>
    <w:rsid w:val="00C24035"/>
    <w:rsid w:val="00C25FC2"/>
    <w:rsid w:val="00C31D44"/>
    <w:rsid w:val="00C32A88"/>
    <w:rsid w:val="00C33FDE"/>
    <w:rsid w:val="00C3534F"/>
    <w:rsid w:val="00C3536F"/>
    <w:rsid w:val="00C3636E"/>
    <w:rsid w:val="00C364D5"/>
    <w:rsid w:val="00C36810"/>
    <w:rsid w:val="00C404A6"/>
    <w:rsid w:val="00C40A36"/>
    <w:rsid w:val="00C434EA"/>
    <w:rsid w:val="00C43D0B"/>
    <w:rsid w:val="00C44419"/>
    <w:rsid w:val="00C45E7B"/>
    <w:rsid w:val="00C471B1"/>
    <w:rsid w:val="00C54222"/>
    <w:rsid w:val="00C544F4"/>
    <w:rsid w:val="00C55437"/>
    <w:rsid w:val="00C55C1A"/>
    <w:rsid w:val="00C61E62"/>
    <w:rsid w:val="00C6204C"/>
    <w:rsid w:val="00C6316B"/>
    <w:rsid w:val="00C634A9"/>
    <w:rsid w:val="00C6376F"/>
    <w:rsid w:val="00C651B1"/>
    <w:rsid w:val="00C669EE"/>
    <w:rsid w:val="00C73315"/>
    <w:rsid w:val="00C741A3"/>
    <w:rsid w:val="00C74DD6"/>
    <w:rsid w:val="00C76E42"/>
    <w:rsid w:val="00C772FF"/>
    <w:rsid w:val="00C801AF"/>
    <w:rsid w:val="00C80256"/>
    <w:rsid w:val="00C81696"/>
    <w:rsid w:val="00C85FB1"/>
    <w:rsid w:val="00C87CA5"/>
    <w:rsid w:val="00C93228"/>
    <w:rsid w:val="00C94239"/>
    <w:rsid w:val="00C95D76"/>
    <w:rsid w:val="00C9612A"/>
    <w:rsid w:val="00CA068B"/>
    <w:rsid w:val="00CA0F79"/>
    <w:rsid w:val="00CA3A38"/>
    <w:rsid w:val="00CA62E0"/>
    <w:rsid w:val="00CA7184"/>
    <w:rsid w:val="00CA7F35"/>
    <w:rsid w:val="00CB27FE"/>
    <w:rsid w:val="00CB6BC0"/>
    <w:rsid w:val="00CC1B7C"/>
    <w:rsid w:val="00CC314F"/>
    <w:rsid w:val="00CC50DE"/>
    <w:rsid w:val="00CC727F"/>
    <w:rsid w:val="00CD53AA"/>
    <w:rsid w:val="00CD6EB8"/>
    <w:rsid w:val="00CE19E1"/>
    <w:rsid w:val="00CE5BB0"/>
    <w:rsid w:val="00CE5E4B"/>
    <w:rsid w:val="00CF15C3"/>
    <w:rsid w:val="00CF2B6F"/>
    <w:rsid w:val="00CF3BC4"/>
    <w:rsid w:val="00CF6340"/>
    <w:rsid w:val="00D017ED"/>
    <w:rsid w:val="00D02AD9"/>
    <w:rsid w:val="00D03C8B"/>
    <w:rsid w:val="00D04442"/>
    <w:rsid w:val="00D05899"/>
    <w:rsid w:val="00D05A89"/>
    <w:rsid w:val="00D07496"/>
    <w:rsid w:val="00D07BFC"/>
    <w:rsid w:val="00D135F8"/>
    <w:rsid w:val="00D153B1"/>
    <w:rsid w:val="00D1617A"/>
    <w:rsid w:val="00D224FE"/>
    <w:rsid w:val="00D229BA"/>
    <w:rsid w:val="00D22DF8"/>
    <w:rsid w:val="00D24C02"/>
    <w:rsid w:val="00D337B1"/>
    <w:rsid w:val="00D4567B"/>
    <w:rsid w:val="00D46E89"/>
    <w:rsid w:val="00D47415"/>
    <w:rsid w:val="00D51CD8"/>
    <w:rsid w:val="00D55A5F"/>
    <w:rsid w:val="00D624D6"/>
    <w:rsid w:val="00D63084"/>
    <w:rsid w:val="00D63F91"/>
    <w:rsid w:val="00D6493E"/>
    <w:rsid w:val="00D66CE2"/>
    <w:rsid w:val="00D721FF"/>
    <w:rsid w:val="00D72783"/>
    <w:rsid w:val="00D73C01"/>
    <w:rsid w:val="00D74637"/>
    <w:rsid w:val="00D763E2"/>
    <w:rsid w:val="00D80DD3"/>
    <w:rsid w:val="00D82F24"/>
    <w:rsid w:val="00D834EE"/>
    <w:rsid w:val="00D84A25"/>
    <w:rsid w:val="00D855AE"/>
    <w:rsid w:val="00D86C12"/>
    <w:rsid w:val="00D87957"/>
    <w:rsid w:val="00D87F31"/>
    <w:rsid w:val="00D92AB4"/>
    <w:rsid w:val="00D92E0B"/>
    <w:rsid w:val="00D97D00"/>
    <w:rsid w:val="00DA1124"/>
    <w:rsid w:val="00DA24C7"/>
    <w:rsid w:val="00DA2BE7"/>
    <w:rsid w:val="00DA3817"/>
    <w:rsid w:val="00DA3BFE"/>
    <w:rsid w:val="00DA5B9B"/>
    <w:rsid w:val="00DA6FE5"/>
    <w:rsid w:val="00DA7A0C"/>
    <w:rsid w:val="00DB33CF"/>
    <w:rsid w:val="00DB34F5"/>
    <w:rsid w:val="00DC38FE"/>
    <w:rsid w:val="00DC55B7"/>
    <w:rsid w:val="00DC765D"/>
    <w:rsid w:val="00DC7746"/>
    <w:rsid w:val="00DC79D6"/>
    <w:rsid w:val="00DC7EE4"/>
    <w:rsid w:val="00DD75A3"/>
    <w:rsid w:val="00DE02AE"/>
    <w:rsid w:val="00DE169A"/>
    <w:rsid w:val="00DE4CD8"/>
    <w:rsid w:val="00DE5D6D"/>
    <w:rsid w:val="00DE6676"/>
    <w:rsid w:val="00DE6A0C"/>
    <w:rsid w:val="00DE6C04"/>
    <w:rsid w:val="00DF10AF"/>
    <w:rsid w:val="00DF1D7F"/>
    <w:rsid w:val="00DF2F50"/>
    <w:rsid w:val="00DF4692"/>
    <w:rsid w:val="00DF5D17"/>
    <w:rsid w:val="00DF5DB0"/>
    <w:rsid w:val="00E02FB4"/>
    <w:rsid w:val="00E05B04"/>
    <w:rsid w:val="00E06A1B"/>
    <w:rsid w:val="00E1165A"/>
    <w:rsid w:val="00E1340C"/>
    <w:rsid w:val="00E2020C"/>
    <w:rsid w:val="00E20571"/>
    <w:rsid w:val="00E207D9"/>
    <w:rsid w:val="00E21651"/>
    <w:rsid w:val="00E235F7"/>
    <w:rsid w:val="00E239D4"/>
    <w:rsid w:val="00E313A8"/>
    <w:rsid w:val="00E40B22"/>
    <w:rsid w:val="00E40BD2"/>
    <w:rsid w:val="00E41AD2"/>
    <w:rsid w:val="00E42068"/>
    <w:rsid w:val="00E4307C"/>
    <w:rsid w:val="00E4588F"/>
    <w:rsid w:val="00E46DA3"/>
    <w:rsid w:val="00E476C8"/>
    <w:rsid w:val="00E57B71"/>
    <w:rsid w:val="00E63111"/>
    <w:rsid w:val="00E64FF9"/>
    <w:rsid w:val="00E67F9E"/>
    <w:rsid w:val="00E72FC4"/>
    <w:rsid w:val="00E817B8"/>
    <w:rsid w:val="00E81BC9"/>
    <w:rsid w:val="00E85439"/>
    <w:rsid w:val="00E85D5D"/>
    <w:rsid w:val="00E860E0"/>
    <w:rsid w:val="00E86A1F"/>
    <w:rsid w:val="00E86E91"/>
    <w:rsid w:val="00E8778C"/>
    <w:rsid w:val="00E9008E"/>
    <w:rsid w:val="00E9174A"/>
    <w:rsid w:val="00E9579B"/>
    <w:rsid w:val="00E97275"/>
    <w:rsid w:val="00EA0A0F"/>
    <w:rsid w:val="00EA16DE"/>
    <w:rsid w:val="00EA1AFB"/>
    <w:rsid w:val="00EA3F67"/>
    <w:rsid w:val="00EA406B"/>
    <w:rsid w:val="00EA5776"/>
    <w:rsid w:val="00EA7F66"/>
    <w:rsid w:val="00EB015C"/>
    <w:rsid w:val="00EB0798"/>
    <w:rsid w:val="00EB28AE"/>
    <w:rsid w:val="00EB2F97"/>
    <w:rsid w:val="00EB34F1"/>
    <w:rsid w:val="00EB40AD"/>
    <w:rsid w:val="00EB4571"/>
    <w:rsid w:val="00EB586E"/>
    <w:rsid w:val="00EB5FC8"/>
    <w:rsid w:val="00EB74A7"/>
    <w:rsid w:val="00EC384E"/>
    <w:rsid w:val="00EC4910"/>
    <w:rsid w:val="00EC580A"/>
    <w:rsid w:val="00EC7FF7"/>
    <w:rsid w:val="00ED1CFF"/>
    <w:rsid w:val="00ED28E8"/>
    <w:rsid w:val="00ED5A41"/>
    <w:rsid w:val="00ED5D05"/>
    <w:rsid w:val="00ED6676"/>
    <w:rsid w:val="00ED6B23"/>
    <w:rsid w:val="00EE00CA"/>
    <w:rsid w:val="00EE2CC3"/>
    <w:rsid w:val="00EE3577"/>
    <w:rsid w:val="00EE7A21"/>
    <w:rsid w:val="00EF1963"/>
    <w:rsid w:val="00EF2C3B"/>
    <w:rsid w:val="00EF3C6A"/>
    <w:rsid w:val="00EF3F78"/>
    <w:rsid w:val="00EF578B"/>
    <w:rsid w:val="00EF7B95"/>
    <w:rsid w:val="00F00029"/>
    <w:rsid w:val="00F033EC"/>
    <w:rsid w:val="00F0438D"/>
    <w:rsid w:val="00F049A1"/>
    <w:rsid w:val="00F04F68"/>
    <w:rsid w:val="00F05F46"/>
    <w:rsid w:val="00F06687"/>
    <w:rsid w:val="00F06A5E"/>
    <w:rsid w:val="00F10A73"/>
    <w:rsid w:val="00F10BD8"/>
    <w:rsid w:val="00F12670"/>
    <w:rsid w:val="00F13990"/>
    <w:rsid w:val="00F14B27"/>
    <w:rsid w:val="00F20118"/>
    <w:rsid w:val="00F20167"/>
    <w:rsid w:val="00F23105"/>
    <w:rsid w:val="00F25577"/>
    <w:rsid w:val="00F2700C"/>
    <w:rsid w:val="00F27B7F"/>
    <w:rsid w:val="00F3148D"/>
    <w:rsid w:val="00F32D36"/>
    <w:rsid w:val="00F3509E"/>
    <w:rsid w:val="00F35298"/>
    <w:rsid w:val="00F3529E"/>
    <w:rsid w:val="00F41DCE"/>
    <w:rsid w:val="00F4267C"/>
    <w:rsid w:val="00F443FD"/>
    <w:rsid w:val="00F46F9A"/>
    <w:rsid w:val="00F47D14"/>
    <w:rsid w:val="00F47E37"/>
    <w:rsid w:val="00F50ADC"/>
    <w:rsid w:val="00F50B5E"/>
    <w:rsid w:val="00F53E24"/>
    <w:rsid w:val="00F56D63"/>
    <w:rsid w:val="00F57405"/>
    <w:rsid w:val="00F62372"/>
    <w:rsid w:val="00F6284D"/>
    <w:rsid w:val="00F640B6"/>
    <w:rsid w:val="00F647EA"/>
    <w:rsid w:val="00F65B15"/>
    <w:rsid w:val="00F70540"/>
    <w:rsid w:val="00F76802"/>
    <w:rsid w:val="00F80E40"/>
    <w:rsid w:val="00F83533"/>
    <w:rsid w:val="00F85C7E"/>
    <w:rsid w:val="00F9027E"/>
    <w:rsid w:val="00F91585"/>
    <w:rsid w:val="00F923D6"/>
    <w:rsid w:val="00F942E9"/>
    <w:rsid w:val="00F95CA6"/>
    <w:rsid w:val="00F96EC2"/>
    <w:rsid w:val="00F9705F"/>
    <w:rsid w:val="00FA029A"/>
    <w:rsid w:val="00FA144A"/>
    <w:rsid w:val="00FA2018"/>
    <w:rsid w:val="00FA3338"/>
    <w:rsid w:val="00FA34E3"/>
    <w:rsid w:val="00FA49AA"/>
    <w:rsid w:val="00FA5B82"/>
    <w:rsid w:val="00FA639E"/>
    <w:rsid w:val="00FA7DF1"/>
    <w:rsid w:val="00FB1B89"/>
    <w:rsid w:val="00FB3817"/>
    <w:rsid w:val="00FC03C8"/>
    <w:rsid w:val="00FC0521"/>
    <w:rsid w:val="00FC137C"/>
    <w:rsid w:val="00FC21E3"/>
    <w:rsid w:val="00FC25E4"/>
    <w:rsid w:val="00FC42B9"/>
    <w:rsid w:val="00FC4EF7"/>
    <w:rsid w:val="00FD0757"/>
    <w:rsid w:val="00FD5205"/>
    <w:rsid w:val="00FD56A0"/>
    <w:rsid w:val="00FD5947"/>
    <w:rsid w:val="00FD62E3"/>
    <w:rsid w:val="00FE1DEE"/>
    <w:rsid w:val="00FE705F"/>
    <w:rsid w:val="00FF01FE"/>
    <w:rsid w:val="00FF11F0"/>
    <w:rsid w:val="00FF1448"/>
    <w:rsid w:val="00FF2126"/>
    <w:rsid w:val="00FF25D3"/>
    <w:rsid w:val="00FF4170"/>
    <w:rsid w:val="00FF59FF"/>
    <w:rsid w:val="00FF5B65"/>
    <w:rsid w:val="00FF5FB0"/>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645E7007"/>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A7F35"/>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Normal"/>
    <w:next w:val="Normal"/>
    <w:link w:val="Heading4Char"/>
    <w:qFormat/>
    <w:rsid w:val="00B852BC"/>
    <w:pPr>
      <w:keepNext/>
      <w:keepLines/>
      <w:spacing w:before="360" w:after="120"/>
      <w:ind w:left="851" w:hanging="851"/>
      <w:outlineLvl w:val="3"/>
    </w:pPr>
    <w:rPr>
      <w:rFonts w:ascii="Arial" w:hAnsi="Arial"/>
      <w:b/>
      <w:bCs/>
      <w:sz w:val="26"/>
      <w:szCs w:val="26"/>
    </w:r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B852BC"/>
    <w:rPr>
      <w:rFonts w:ascii="Arial" w:hAnsi="Arial"/>
      <w:b/>
      <w:bCs/>
      <w:sz w:val="26"/>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EE7A21"/>
    <w:pPr>
      <w:numPr>
        <w:numId w:val="3"/>
      </w:numPr>
      <w:ind w:left="426" w:hanging="426"/>
    </w:pPr>
  </w:style>
  <w:style w:type="paragraph" w:styleId="ListBullet2">
    <w:name w:val="List Bullet 2"/>
    <w:basedOn w:val="Normal"/>
    <w:uiPriority w:val="2"/>
    <w:qFormat/>
    <w:rsid w:val="00E313A8"/>
    <w:pPr>
      <w:numPr>
        <w:ilvl w:val="1"/>
        <w:numId w:val="3"/>
      </w:numPr>
    </w:pPr>
  </w:style>
  <w:style w:type="paragraph" w:styleId="ListBullet3">
    <w:name w:val="List Bullet 3"/>
    <w:basedOn w:val="Normal"/>
    <w:uiPriority w:val="2"/>
    <w:qFormat/>
    <w:rsid w:val="00E313A8"/>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ind w:left="850" w:hanging="425"/>
    </w:pPr>
  </w:style>
  <w:style w:type="paragraph" w:customStyle="1" w:styleId="Numberbullet3">
    <w:name w:val="Number bullet 3"/>
    <w:basedOn w:val="ListBullet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B138BE"/>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6"/>
      </w:numPr>
    </w:pPr>
  </w:style>
  <w:style w:type="paragraph" w:customStyle="1" w:styleId="ListBulleti">
    <w:name w:val="List Bullet i)"/>
    <w:basedOn w:val="ListBullet"/>
    <w:uiPriority w:val="1"/>
    <w:qFormat/>
    <w:rsid w:val="005302F5"/>
    <w:pPr>
      <w:numPr>
        <w:numId w:val="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semiHidden/>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paragraph" w:styleId="BodyText">
    <w:name w:val="Body Text"/>
    <w:basedOn w:val="Normal"/>
    <w:link w:val="BodyTextChar"/>
    <w:uiPriority w:val="99"/>
    <w:rsid w:val="008B7B37"/>
    <w:pPr>
      <w:numPr>
        <w:numId w:val="8"/>
      </w:numPr>
      <w:spacing w:before="0" w:after="240" w:line="240" w:lineRule="auto"/>
    </w:pPr>
    <w:rPr>
      <w:rFonts w:ascii="Times New Roman" w:eastAsia="Times New Roman" w:hAnsi="Times New Roman"/>
      <w:sz w:val="24"/>
      <w:szCs w:val="24"/>
      <w:lang w:eastAsia="en-AU"/>
    </w:rPr>
  </w:style>
  <w:style w:type="character" w:customStyle="1" w:styleId="BodyTextChar">
    <w:name w:val="Body Text Char"/>
    <w:basedOn w:val="DefaultParagraphFont"/>
    <w:link w:val="BodyText"/>
    <w:uiPriority w:val="99"/>
    <w:rsid w:val="008B7B37"/>
    <w:rPr>
      <w:rFonts w:ascii="Times New Roman" w:eastAsia="Times New Roman" w:hAnsi="Times New Roman"/>
      <w:sz w:val="24"/>
      <w:szCs w:val="24"/>
    </w:rPr>
  </w:style>
  <w:style w:type="paragraph" w:customStyle="1" w:styleId="ScheduleBody">
    <w:name w:val="Schedule Body"/>
    <w:basedOn w:val="Normal"/>
    <w:next w:val="Normal"/>
    <w:uiPriority w:val="99"/>
    <w:rsid w:val="008D77AD"/>
    <w:pPr>
      <w:spacing w:before="0" w:after="240" w:line="240" w:lineRule="auto"/>
      <w:ind w:left="851" w:hanging="851"/>
    </w:pPr>
    <w:rPr>
      <w:rFonts w:ascii="Times New Roman" w:eastAsia="Times New Roman" w:hAnsi="Times New Roman"/>
      <w:sz w:val="24"/>
      <w:szCs w:val="24"/>
      <w:lang w:eastAsia="en-AU"/>
    </w:rPr>
  </w:style>
  <w:style w:type="paragraph" w:customStyle="1" w:styleId="Schedulea">
    <w:name w:val="Schedule (a)"/>
    <w:basedOn w:val="ScheduleBody"/>
    <w:uiPriority w:val="99"/>
    <w:rsid w:val="008D77AD"/>
    <w:pPr>
      <w:tabs>
        <w:tab w:val="left" w:pos="1418"/>
      </w:tabs>
      <w:ind w:left="1418" w:right="1418" w:hanging="567"/>
    </w:pPr>
  </w:style>
  <w:style w:type="paragraph" w:customStyle="1" w:styleId="ActionBullet">
    <w:name w:val="Action Bullet"/>
    <w:basedOn w:val="Normal"/>
    <w:uiPriority w:val="99"/>
    <w:rsid w:val="008D77AD"/>
    <w:pPr>
      <w:tabs>
        <w:tab w:val="num" w:pos="757"/>
        <w:tab w:val="left" w:pos="1440"/>
      </w:tabs>
      <w:spacing w:before="0" w:after="240" w:line="240" w:lineRule="auto"/>
      <w:ind w:left="737" w:hanging="340"/>
    </w:pPr>
    <w:rPr>
      <w:rFonts w:ascii="Times New Roman" w:eastAsia="Times New Roman" w:hAnsi="Times New Roman"/>
      <w:i/>
      <w:iCs/>
      <w:sz w:val="24"/>
      <w:szCs w:val="24"/>
      <w:lang w:eastAsia="en-AU"/>
    </w:rPr>
  </w:style>
  <w:style w:type="paragraph" w:styleId="ListNumber">
    <w:name w:val="List Number"/>
    <w:basedOn w:val="Normal"/>
    <w:uiPriority w:val="99"/>
    <w:unhideWhenUsed/>
    <w:rsid w:val="00FA34E3"/>
    <w:pPr>
      <w:tabs>
        <w:tab w:val="num" w:pos="432"/>
        <w:tab w:val="num" w:pos="720"/>
        <w:tab w:val="left" w:pos="1440"/>
      </w:tabs>
      <w:spacing w:before="0" w:after="240" w:line="240" w:lineRule="auto"/>
      <w:ind w:left="360" w:hanging="360"/>
      <w:contextualSpacing/>
    </w:pPr>
    <w:rPr>
      <w:rFonts w:ascii="Times New Roman" w:eastAsia="Times New Roman" w:hAnsi="Times New Roman"/>
      <w:sz w:val="24"/>
      <w:szCs w:val="24"/>
      <w:lang w:eastAsia="en-AU"/>
    </w:rPr>
  </w:style>
  <w:style w:type="paragraph" w:customStyle="1" w:styleId="Numberbullet2red">
    <w:name w:val="Number bullet 2 red"/>
    <w:basedOn w:val="Numberbullet2"/>
    <w:uiPriority w:val="1"/>
    <w:qFormat/>
    <w:rsid w:val="00F06A5E"/>
    <w:rPr>
      <w:lang w:val="en" w:eastAsia="en-AU"/>
    </w:rPr>
  </w:style>
  <w:style w:type="paragraph" w:customStyle="1" w:styleId="Numberbullet3red">
    <w:name w:val="Number bullet 3 red"/>
    <w:basedOn w:val="Numberbullet3"/>
    <w:uiPriority w:val="1"/>
    <w:qFormat/>
    <w:rsid w:val="00F06A5E"/>
    <w:pPr>
      <w:ind w:left="1560"/>
    </w:pPr>
    <w:rPr>
      <w:color w:val="FF0000"/>
      <w:lang w:val="en"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 w:id="233047292">
      <w:bodyDiv w:val="1"/>
      <w:marLeft w:val="0"/>
      <w:marRight w:val="0"/>
      <w:marTop w:val="0"/>
      <w:marBottom w:val="0"/>
      <w:divBdr>
        <w:top w:val="none" w:sz="0" w:space="0" w:color="auto"/>
        <w:left w:val="none" w:sz="0" w:space="0" w:color="auto"/>
        <w:bottom w:val="none" w:sz="0" w:space="0" w:color="auto"/>
        <w:right w:val="none" w:sz="0" w:space="0" w:color="auto"/>
      </w:divBdr>
      <w:divsChild>
        <w:div w:id="1645887730">
          <w:marLeft w:val="0"/>
          <w:marRight w:val="0"/>
          <w:marTop w:val="0"/>
          <w:marBottom w:val="0"/>
          <w:divBdr>
            <w:top w:val="none" w:sz="0" w:space="0" w:color="auto"/>
            <w:left w:val="none" w:sz="0" w:space="0" w:color="auto"/>
            <w:bottom w:val="none" w:sz="0" w:space="0" w:color="auto"/>
            <w:right w:val="none" w:sz="0" w:space="0" w:color="auto"/>
          </w:divBdr>
          <w:divsChild>
            <w:div w:id="700594232">
              <w:marLeft w:val="0"/>
              <w:marRight w:val="0"/>
              <w:marTop w:val="0"/>
              <w:marBottom w:val="0"/>
              <w:divBdr>
                <w:top w:val="none" w:sz="0" w:space="0" w:color="auto"/>
                <w:left w:val="none" w:sz="0" w:space="0" w:color="auto"/>
                <w:bottom w:val="none" w:sz="0" w:space="0" w:color="auto"/>
                <w:right w:val="none" w:sz="0" w:space="0" w:color="auto"/>
              </w:divBdr>
              <w:divsChild>
                <w:div w:id="1587153868">
                  <w:marLeft w:val="0"/>
                  <w:marRight w:val="0"/>
                  <w:marTop w:val="0"/>
                  <w:marBottom w:val="0"/>
                  <w:divBdr>
                    <w:top w:val="none" w:sz="0" w:space="0" w:color="auto"/>
                    <w:left w:val="none" w:sz="0" w:space="0" w:color="auto"/>
                    <w:bottom w:val="none" w:sz="0" w:space="0" w:color="auto"/>
                    <w:right w:val="none" w:sz="0" w:space="0" w:color="auto"/>
                  </w:divBdr>
                  <w:divsChild>
                    <w:div w:id="1441493349">
                      <w:marLeft w:val="0"/>
                      <w:marRight w:val="0"/>
                      <w:marTop w:val="0"/>
                      <w:marBottom w:val="0"/>
                      <w:divBdr>
                        <w:top w:val="none" w:sz="0" w:space="0" w:color="auto"/>
                        <w:left w:val="none" w:sz="0" w:space="0" w:color="auto"/>
                        <w:bottom w:val="none" w:sz="0" w:space="0" w:color="auto"/>
                        <w:right w:val="none" w:sz="0" w:space="0" w:color="auto"/>
                      </w:divBdr>
                      <w:divsChild>
                        <w:div w:id="243536869">
                          <w:marLeft w:val="0"/>
                          <w:marRight w:val="0"/>
                          <w:marTop w:val="0"/>
                          <w:marBottom w:val="0"/>
                          <w:divBdr>
                            <w:top w:val="none" w:sz="0" w:space="0" w:color="auto"/>
                            <w:left w:val="none" w:sz="0" w:space="0" w:color="auto"/>
                            <w:bottom w:val="none" w:sz="0" w:space="0" w:color="auto"/>
                            <w:right w:val="none" w:sz="0" w:space="0" w:color="auto"/>
                          </w:divBdr>
                          <w:divsChild>
                            <w:div w:id="57287449">
                              <w:marLeft w:val="0"/>
                              <w:marRight w:val="0"/>
                              <w:marTop w:val="0"/>
                              <w:marBottom w:val="0"/>
                              <w:divBdr>
                                <w:top w:val="none" w:sz="0" w:space="0" w:color="auto"/>
                                <w:left w:val="none" w:sz="0" w:space="0" w:color="auto"/>
                                <w:bottom w:val="none" w:sz="0" w:space="0" w:color="auto"/>
                                <w:right w:val="none" w:sz="0" w:space="0" w:color="auto"/>
                              </w:divBdr>
                              <w:divsChild>
                                <w:div w:id="2135827138">
                                  <w:marLeft w:val="0"/>
                                  <w:marRight w:val="0"/>
                                  <w:marTop w:val="0"/>
                                  <w:marBottom w:val="0"/>
                                  <w:divBdr>
                                    <w:top w:val="none" w:sz="0" w:space="0" w:color="auto"/>
                                    <w:left w:val="none" w:sz="0" w:space="0" w:color="auto"/>
                                    <w:bottom w:val="none" w:sz="0" w:space="0" w:color="auto"/>
                                    <w:right w:val="none" w:sz="0" w:space="0" w:color="auto"/>
                                  </w:divBdr>
                                  <w:divsChild>
                                    <w:div w:id="453790975">
                                      <w:marLeft w:val="0"/>
                                      <w:marRight w:val="0"/>
                                      <w:marTop w:val="0"/>
                                      <w:marBottom w:val="0"/>
                                      <w:divBdr>
                                        <w:top w:val="none" w:sz="0" w:space="0" w:color="auto"/>
                                        <w:left w:val="none" w:sz="0" w:space="0" w:color="auto"/>
                                        <w:bottom w:val="none" w:sz="0" w:space="0" w:color="auto"/>
                                        <w:right w:val="none" w:sz="0" w:space="0" w:color="auto"/>
                                      </w:divBdr>
                                      <w:divsChild>
                                        <w:div w:id="767581481">
                                          <w:marLeft w:val="0"/>
                                          <w:marRight w:val="0"/>
                                          <w:marTop w:val="0"/>
                                          <w:marBottom w:val="0"/>
                                          <w:divBdr>
                                            <w:top w:val="none" w:sz="0" w:space="0" w:color="auto"/>
                                            <w:left w:val="none" w:sz="0" w:space="0" w:color="auto"/>
                                            <w:bottom w:val="none" w:sz="0" w:space="0" w:color="auto"/>
                                            <w:right w:val="none" w:sz="0" w:space="0" w:color="auto"/>
                                          </w:divBdr>
                                          <w:divsChild>
                                            <w:div w:id="15543871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3446084">
      <w:bodyDiv w:val="1"/>
      <w:marLeft w:val="0"/>
      <w:marRight w:val="0"/>
      <w:marTop w:val="0"/>
      <w:marBottom w:val="0"/>
      <w:divBdr>
        <w:top w:val="none" w:sz="0" w:space="0" w:color="auto"/>
        <w:left w:val="none" w:sz="0" w:space="0" w:color="auto"/>
        <w:bottom w:val="none" w:sz="0" w:space="0" w:color="auto"/>
        <w:right w:val="none" w:sz="0" w:space="0" w:color="auto"/>
      </w:divBdr>
      <w:divsChild>
        <w:div w:id="1322467767">
          <w:marLeft w:val="0"/>
          <w:marRight w:val="0"/>
          <w:marTop w:val="0"/>
          <w:marBottom w:val="0"/>
          <w:divBdr>
            <w:top w:val="none" w:sz="0" w:space="0" w:color="auto"/>
            <w:left w:val="none" w:sz="0" w:space="0" w:color="auto"/>
            <w:bottom w:val="none" w:sz="0" w:space="0" w:color="auto"/>
            <w:right w:val="none" w:sz="0" w:space="0" w:color="auto"/>
          </w:divBdr>
          <w:divsChild>
            <w:div w:id="396128246">
              <w:marLeft w:val="0"/>
              <w:marRight w:val="0"/>
              <w:marTop w:val="0"/>
              <w:marBottom w:val="0"/>
              <w:divBdr>
                <w:top w:val="none" w:sz="0" w:space="0" w:color="auto"/>
                <w:left w:val="none" w:sz="0" w:space="0" w:color="auto"/>
                <w:bottom w:val="none" w:sz="0" w:space="0" w:color="auto"/>
                <w:right w:val="none" w:sz="0" w:space="0" w:color="auto"/>
              </w:divBdr>
              <w:divsChild>
                <w:div w:id="856040508">
                  <w:marLeft w:val="0"/>
                  <w:marRight w:val="0"/>
                  <w:marTop w:val="0"/>
                  <w:marBottom w:val="0"/>
                  <w:divBdr>
                    <w:top w:val="none" w:sz="0" w:space="0" w:color="auto"/>
                    <w:left w:val="none" w:sz="0" w:space="0" w:color="auto"/>
                    <w:bottom w:val="none" w:sz="0" w:space="0" w:color="auto"/>
                    <w:right w:val="none" w:sz="0" w:space="0" w:color="auto"/>
                  </w:divBdr>
                  <w:divsChild>
                    <w:div w:id="510340207">
                      <w:marLeft w:val="0"/>
                      <w:marRight w:val="0"/>
                      <w:marTop w:val="0"/>
                      <w:marBottom w:val="0"/>
                      <w:divBdr>
                        <w:top w:val="none" w:sz="0" w:space="0" w:color="auto"/>
                        <w:left w:val="none" w:sz="0" w:space="0" w:color="auto"/>
                        <w:bottom w:val="none" w:sz="0" w:space="0" w:color="auto"/>
                        <w:right w:val="none" w:sz="0" w:space="0" w:color="auto"/>
                      </w:divBdr>
                      <w:divsChild>
                        <w:div w:id="404377776">
                          <w:marLeft w:val="0"/>
                          <w:marRight w:val="0"/>
                          <w:marTop w:val="0"/>
                          <w:marBottom w:val="0"/>
                          <w:divBdr>
                            <w:top w:val="none" w:sz="0" w:space="0" w:color="auto"/>
                            <w:left w:val="none" w:sz="0" w:space="0" w:color="auto"/>
                            <w:bottom w:val="none" w:sz="0" w:space="0" w:color="auto"/>
                            <w:right w:val="none" w:sz="0" w:space="0" w:color="auto"/>
                          </w:divBdr>
                          <w:divsChild>
                            <w:div w:id="107480435">
                              <w:marLeft w:val="0"/>
                              <w:marRight w:val="0"/>
                              <w:marTop w:val="0"/>
                              <w:marBottom w:val="0"/>
                              <w:divBdr>
                                <w:top w:val="none" w:sz="0" w:space="0" w:color="auto"/>
                                <w:left w:val="none" w:sz="0" w:space="0" w:color="auto"/>
                                <w:bottom w:val="none" w:sz="0" w:space="0" w:color="auto"/>
                                <w:right w:val="none" w:sz="0" w:space="0" w:color="auto"/>
                              </w:divBdr>
                              <w:divsChild>
                                <w:div w:id="80688085">
                                  <w:marLeft w:val="0"/>
                                  <w:marRight w:val="0"/>
                                  <w:marTop w:val="0"/>
                                  <w:marBottom w:val="0"/>
                                  <w:divBdr>
                                    <w:top w:val="none" w:sz="0" w:space="0" w:color="auto"/>
                                    <w:left w:val="none" w:sz="0" w:space="0" w:color="auto"/>
                                    <w:bottom w:val="none" w:sz="0" w:space="0" w:color="auto"/>
                                    <w:right w:val="none" w:sz="0" w:space="0" w:color="auto"/>
                                  </w:divBdr>
                                  <w:divsChild>
                                    <w:div w:id="1198393782">
                                      <w:marLeft w:val="0"/>
                                      <w:marRight w:val="0"/>
                                      <w:marTop w:val="0"/>
                                      <w:marBottom w:val="0"/>
                                      <w:divBdr>
                                        <w:top w:val="none" w:sz="0" w:space="0" w:color="auto"/>
                                        <w:left w:val="none" w:sz="0" w:space="0" w:color="auto"/>
                                        <w:bottom w:val="none" w:sz="0" w:space="0" w:color="auto"/>
                                        <w:right w:val="none" w:sz="0" w:space="0" w:color="auto"/>
                                      </w:divBdr>
                                      <w:divsChild>
                                        <w:div w:id="650869300">
                                          <w:marLeft w:val="0"/>
                                          <w:marRight w:val="0"/>
                                          <w:marTop w:val="0"/>
                                          <w:marBottom w:val="0"/>
                                          <w:divBdr>
                                            <w:top w:val="none" w:sz="0" w:space="0" w:color="auto"/>
                                            <w:left w:val="none" w:sz="0" w:space="0" w:color="auto"/>
                                            <w:bottom w:val="none" w:sz="0" w:space="0" w:color="auto"/>
                                            <w:right w:val="none" w:sz="0" w:space="0" w:color="auto"/>
                                          </w:divBdr>
                                          <w:divsChild>
                                            <w:div w:id="450630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586327">
      <w:bodyDiv w:val="1"/>
      <w:marLeft w:val="0"/>
      <w:marRight w:val="0"/>
      <w:marTop w:val="0"/>
      <w:marBottom w:val="0"/>
      <w:divBdr>
        <w:top w:val="none" w:sz="0" w:space="0" w:color="auto"/>
        <w:left w:val="none" w:sz="0" w:space="0" w:color="auto"/>
        <w:bottom w:val="none" w:sz="0" w:space="0" w:color="auto"/>
        <w:right w:val="none" w:sz="0" w:space="0" w:color="auto"/>
      </w:divBdr>
    </w:div>
    <w:div w:id="1709259826">
      <w:bodyDiv w:val="1"/>
      <w:marLeft w:val="0"/>
      <w:marRight w:val="0"/>
      <w:marTop w:val="0"/>
      <w:marBottom w:val="0"/>
      <w:divBdr>
        <w:top w:val="none" w:sz="0" w:space="0" w:color="auto"/>
        <w:left w:val="none" w:sz="0" w:space="0" w:color="auto"/>
        <w:bottom w:val="none" w:sz="0" w:space="0" w:color="auto"/>
        <w:right w:val="none" w:sz="0" w:space="0" w:color="auto"/>
      </w:divBdr>
      <w:divsChild>
        <w:div w:id="671689483">
          <w:marLeft w:val="0"/>
          <w:marRight w:val="0"/>
          <w:marTop w:val="0"/>
          <w:marBottom w:val="0"/>
          <w:divBdr>
            <w:top w:val="none" w:sz="0" w:space="0" w:color="auto"/>
            <w:left w:val="none" w:sz="0" w:space="0" w:color="auto"/>
            <w:bottom w:val="none" w:sz="0" w:space="0" w:color="auto"/>
            <w:right w:val="none" w:sz="0" w:space="0" w:color="auto"/>
          </w:divBdr>
          <w:divsChild>
            <w:div w:id="219371230">
              <w:marLeft w:val="0"/>
              <w:marRight w:val="0"/>
              <w:marTop w:val="0"/>
              <w:marBottom w:val="0"/>
              <w:divBdr>
                <w:top w:val="none" w:sz="0" w:space="0" w:color="auto"/>
                <w:left w:val="none" w:sz="0" w:space="0" w:color="auto"/>
                <w:bottom w:val="none" w:sz="0" w:space="0" w:color="auto"/>
                <w:right w:val="none" w:sz="0" w:space="0" w:color="auto"/>
              </w:divBdr>
              <w:divsChild>
                <w:div w:id="1918009106">
                  <w:marLeft w:val="0"/>
                  <w:marRight w:val="0"/>
                  <w:marTop w:val="0"/>
                  <w:marBottom w:val="0"/>
                  <w:divBdr>
                    <w:top w:val="none" w:sz="0" w:space="0" w:color="auto"/>
                    <w:left w:val="none" w:sz="0" w:space="0" w:color="auto"/>
                    <w:bottom w:val="none" w:sz="0" w:space="0" w:color="auto"/>
                    <w:right w:val="none" w:sz="0" w:space="0" w:color="auto"/>
                  </w:divBdr>
                  <w:divsChild>
                    <w:div w:id="879511790">
                      <w:marLeft w:val="0"/>
                      <w:marRight w:val="0"/>
                      <w:marTop w:val="0"/>
                      <w:marBottom w:val="0"/>
                      <w:divBdr>
                        <w:top w:val="none" w:sz="0" w:space="0" w:color="auto"/>
                        <w:left w:val="none" w:sz="0" w:space="0" w:color="auto"/>
                        <w:bottom w:val="none" w:sz="0" w:space="0" w:color="auto"/>
                        <w:right w:val="none" w:sz="0" w:space="0" w:color="auto"/>
                      </w:divBdr>
                      <w:divsChild>
                        <w:div w:id="2088919281">
                          <w:marLeft w:val="0"/>
                          <w:marRight w:val="0"/>
                          <w:marTop w:val="0"/>
                          <w:marBottom w:val="0"/>
                          <w:divBdr>
                            <w:top w:val="none" w:sz="0" w:space="0" w:color="auto"/>
                            <w:left w:val="none" w:sz="0" w:space="0" w:color="auto"/>
                            <w:bottom w:val="none" w:sz="0" w:space="0" w:color="auto"/>
                            <w:right w:val="none" w:sz="0" w:space="0" w:color="auto"/>
                          </w:divBdr>
                          <w:divsChild>
                            <w:div w:id="1551452765">
                              <w:marLeft w:val="0"/>
                              <w:marRight w:val="0"/>
                              <w:marTop w:val="0"/>
                              <w:marBottom w:val="0"/>
                              <w:divBdr>
                                <w:top w:val="none" w:sz="0" w:space="0" w:color="auto"/>
                                <w:left w:val="none" w:sz="0" w:space="0" w:color="auto"/>
                                <w:bottom w:val="none" w:sz="0" w:space="0" w:color="auto"/>
                                <w:right w:val="none" w:sz="0" w:space="0" w:color="auto"/>
                              </w:divBdr>
                              <w:divsChild>
                                <w:div w:id="1386642770">
                                  <w:marLeft w:val="0"/>
                                  <w:marRight w:val="0"/>
                                  <w:marTop w:val="0"/>
                                  <w:marBottom w:val="0"/>
                                  <w:divBdr>
                                    <w:top w:val="none" w:sz="0" w:space="0" w:color="auto"/>
                                    <w:left w:val="none" w:sz="0" w:space="0" w:color="auto"/>
                                    <w:bottom w:val="none" w:sz="0" w:space="0" w:color="auto"/>
                                    <w:right w:val="none" w:sz="0" w:space="0" w:color="auto"/>
                                  </w:divBdr>
                                  <w:divsChild>
                                    <w:div w:id="1143422529">
                                      <w:marLeft w:val="0"/>
                                      <w:marRight w:val="0"/>
                                      <w:marTop w:val="0"/>
                                      <w:marBottom w:val="0"/>
                                      <w:divBdr>
                                        <w:top w:val="none" w:sz="0" w:space="0" w:color="auto"/>
                                        <w:left w:val="none" w:sz="0" w:space="0" w:color="auto"/>
                                        <w:bottom w:val="none" w:sz="0" w:space="0" w:color="auto"/>
                                        <w:right w:val="none" w:sz="0" w:space="0" w:color="auto"/>
                                      </w:divBdr>
                                      <w:divsChild>
                                        <w:div w:id="648511475">
                                          <w:marLeft w:val="0"/>
                                          <w:marRight w:val="0"/>
                                          <w:marTop w:val="0"/>
                                          <w:marBottom w:val="0"/>
                                          <w:divBdr>
                                            <w:top w:val="none" w:sz="0" w:space="0" w:color="auto"/>
                                            <w:left w:val="none" w:sz="0" w:space="0" w:color="auto"/>
                                            <w:bottom w:val="none" w:sz="0" w:space="0" w:color="auto"/>
                                            <w:right w:val="none" w:sz="0" w:space="0" w:color="auto"/>
                                          </w:divBdr>
                                          <w:divsChild>
                                            <w:div w:id="8211164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scheduling-submission/public-submissions-scheduling-matters-referred-acms-31-and-joint-acms-accs-25-meetings-held-june-2020" TargetMode="External"/><Relationship Id="rId18" Type="http://schemas.openxmlformats.org/officeDocument/2006/relationships/hyperlink" Target="https://www.tga.gov.au/book-page/31-oxymetazoline" TargetMode="External"/><Relationship Id="rId26" Type="http://schemas.openxmlformats.org/officeDocument/2006/relationships/hyperlink" Target="https://www.tga.gov.au/consultation-invitation/consultation-proposed-amendments-poisons-standard-acms-and-joint-acmsaccs-meetings-june-2020" TargetMode="External"/><Relationship Id="rId39" Type="http://schemas.openxmlformats.org/officeDocument/2006/relationships/hyperlink" Target="https://www.tga.gov.au/book-page/34-sildenafil" TargetMode="External"/><Relationship Id="rId21" Type="http://schemas.openxmlformats.org/officeDocument/2006/relationships/hyperlink" Target="https://www.tga.gov.au/consultation-invitation/consultation-proposed-amendments-poisons-standard-acms-and-joint-acmsaccs-meetings-june-2020" TargetMode="External"/><Relationship Id="rId34" Type="http://schemas.openxmlformats.org/officeDocument/2006/relationships/hyperlink" Target="https://www.tga.gov.au/scheduling-submission/public-submissions-scheduling-matters-referred-acms-31-and-joint-acms-accs-25-meetings-held-june-2020" TargetMode="External"/><Relationship Id="rId42" Type="http://schemas.openxmlformats.org/officeDocument/2006/relationships/hyperlink" Target="https://www.tga.gov.au/consultation-invitation/consultation-proposed-amendments-poisons-standard-acms-and-joint-acmsaccs-meetings-june-2020" TargetMode="External"/><Relationship Id="rId47" Type="http://schemas.openxmlformats.org/officeDocument/2006/relationships/hyperlink" Target="https://www.tga.gov.au/consultation-invitation/consultation-proposed-amendments-poisons-standard-acms-and-joint-acmsaccs-meetings-june-2020" TargetMode="External"/><Relationship Id="rId50" Type="http://schemas.openxmlformats.org/officeDocument/2006/relationships/hyperlink" Target="https://www.tga.gov.au/scheduling-decision-interim/notice-interim-decisions-proposed-amendments-poisons-standard-acms-and-joint-acms-accs-meetings-june-2020" TargetMode="External"/><Relationship Id="rId55" Type="http://schemas.openxmlformats.org/officeDocument/2006/relationships/hyperlink" Target="https://www.tga.gov.au/publication/scheduling-handbook-guidance-amending-poisons-standard" TargetMode="External"/><Relationship Id="rId63" Type="http://schemas.openxmlformats.org/officeDocument/2006/relationships/hyperlink" Target="https://www.tga.gov.au/publication/scheduling-handbook-guidance-amending-poisons-standard"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ga.gov.au/publication/ahmac-scheduling-policy-framework-medicines-and-chemicals" TargetMode="External"/><Relationship Id="rId29" Type="http://schemas.openxmlformats.org/officeDocument/2006/relationships/hyperlink" Target="https://www.tga.gov.au/scheduling-decision-interim/notice-interim-decisions-proposed-amendments-poisons-standard-acms-and-joint-acms-accs-meetings-june-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hyperlink" Target="https://www.tga.gov.au/publication/scheduling-handbook-guidance-amending-poisons-standard" TargetMode="External"/><Relationship Id="rId32" Type="http://schemas.openxmlformats.org/officeDocument/2006/relationships/hyperlink" Target="https://www.tga.gov.au/scheduling-decision-interim/notice-interim-decisions-proposed-amendments-poisons-standard-acms-and-joint-acms-accs-meetings-june-2020" TargetMode="External"/><Relationship Id="rId37" Type="http://schemas.openxmlformats.org/officeDocument/2006/relationships/hyperlink" Target="https://www.tga.gov.au/publication/ahmac-scheduling-policy-framework-medicines-and-chemicals" TargetMode="External"/><Relationship Id="rId40" Type="http://schemas.openxmlformats.org/officeDocument/2006/relationships/hyperlink" Target="https://www.tga.gov.au/consultation-invitation/consultation-proposed-amendments-poisons-standard-acms-and-joint-acmsaccs-meetings-june-2020" TargetMode="External"/><Relationship Id="rId45" Type="http://schemas.openxmlformats.org/officeDocument/2006/relationships/hyperlink" Target="https://www.tga.gov.au/publication/scheduling-handbook-guidance-amending-poisons-standard" TargetMode="External"/><Relationship Id="rId53" Type="http://schemas.openxmlformats.org/officeDocument/2006/relationships/hyperlink" Target="https://www.tga.gov.au/book-page/36-cumyl-pegaclone" TargetMode="External"/><Relationship Id="rId58" Type="http://schemas.openxmlformats.org/officeDocument/2006/relationships/hyperlink" Target="https://www.tga.gov.au/publication/ahmac-scheduling-policy-framework-medicines-and-chemicals" TargetMode="External"/><Relationship Id="rId66"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tga.gov.au/scheduling-decision-interim/notice-interim-decisions-proposed-amendments-poisons-standard-acms-and-joint-acms-accs-meetings-june-2020" TargetMode="External"/><Relationship Id="rId23" Type="http://schemas.openxmlformats.org/officeDocument/2006/relationships/hyperlink" Target="https://www.tga.gov.au/publication/ahmac-scheduling-policy-framework-medicines-and-chemicals" TargetMode="External"/><Relationship Id="rId28" Type="http://schemas.openxmlformats.org/officeDocument/2006/relationships/hyperlink" Target="https://www.tga.gov.au/consultation-invitation/consultation-proposed-amendments-poisons-standard-acms-and-joint-acmsaccs-meetings-june-2020" TargetMode="External"/><Relationship Id="rId36" Type="http://schemas.openxmlformats.org/officeDocument/2006/relationships/hyperlink" Target="https://www.tga.gov.au/scheduling-decision-interim/notice-interim-decisions-proposed-amendments-poisons-standard-acms-and-joint-acms-accs-meetings-june-2020" TargetMode="External"/><Relationship Id="rId49" Type="http://schemas.openxmlformats.org/officeDocument/2006/relationships/hyperlink" Target="https://www.tga.gov.au/consultation-invitation/consultation-proposed-amendments-poisons-standard-acms-and-joint-acmsaccs-meetings-june-2020" TargetMode="External"/><Relationship Id="rId57" Type="http://schemas.openxmlformats.org/officeDocument/2006/relationships/hyperlink" Target="https://www.tga.gov.au/publication/scheduling-handbook-guidance-amending-poisons-standard" TargetMode="External"/><Relationship Id="rId61" Type="http://schemas.openxmlformats.org/officeDocument/2006/relationships/hyperlink" Target="https://www.tga.gov.au/publication/scheduling-handbook-guidance-amending-poisons-standard" TargetMode="External"/><Relationship Id="rId10" Type="http://schemas.openxmlformats.org/officeDocument/2006/relationships/header" Target="header2.xml"/><Relationship Id="rId19" Type="http://schemas.openxmlformats.org/officeDocument/2006/relationships/hyperlink" Target="https://www.tga.gov.au/consultation-invitation/consultation-proposed-amendments-poisons-standard-acms-and-joint-acmsaccs-meetings-june-2020" TargetMode="External"/><Relationship Id="rId31" Type="http://schemas.openxmlformats.org/officeDocument/2006/relationships/hyperlink" Target="https://www.tga.gov.au/publication/scheduling-handbook-guidance-amending-poisons-standard" TargetMode="External"/><Relationship Id="rId44" Type="http://schemas.openxmlformats.org/officeDocument/2006/relationships/hyperlink" Target="https://www.tga.gov.au/publication/ahmac-scheduling-policy-framework-medicines-and-chemicals" TargetMode="External"/><Relationship Id="rId52" Type="http://schemas.openxmlformats.org/officeDocument/2006/relationships/hyperlink" Target="https://www.tga.gov.au/publication/scheduling-handbook-guidance-amending-poisons-standard" TargetMode="External"/><Relationship Id="rId60" Type="http://schemas.openxmlformats.org/officeDocument/2006/relationships/hyperlink" Target="https://www.tga.gov.au/publication/ahmac-scheduling-policy-framework-medicines-and-chemicals"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consultation-invitation/consultation-proposed-amendments-poisons-standard-acms-and-joint-acmsaccs-meetings-june-2020" TargetMode="External"/><Relationship Id="rId22" Type="http://schemas.openxmlformats.org/officeDocument/2006/relationships/hyperlink" Target="https://www.tga.gov.au/scheduling-decision-interim/notice-interim-decisions-proposed-amendments-poisons-standard-acms-and-joint-acms-accs-meetings-june-2020" TargetMode="External"/><Relationship Id="rId27" Type="http://schemas.openxmlformats.org/officeDocument/2006/relationships/hyperlink" Target="https://www.tga.gov.au/scheduling-submission/public-submissions-scheduling-matters-referred-acms-31-and-joint-acms-accs-25-meetings-held-june-2020" TargetMode="External"/><Relationship Id="rId30" Type="http://schemas.openxmlformats.org/officeDocument/2006/relationships/hyperlink" Target="https://www.tga.gov.au/publication/ahmac-scheduling-policy-framework-medicines-and-chemicals" TargetMode="External"/><Relationship Id="rId35" Type="http://schemas.openxmlformats.org/officeDocument/2006/relationships/hyperlink" Target="https://www.tga.gov.au/consultation-invitation/consultation-proposed-amendments-poisons-standard-acms-and-joint-acmsaccs-meetings-june-2020" TargetMode="External"/><Relationship Id="rId43" Type="http://schemas.openxmlformats.org/officeDocument/2006/relationships/hyperlink" Target="https://www.tga.gov.au/scheduling-decision-interim/notice-interim-decisions-proposed-amendments-poisons-standard-acms-and-joint-acms-accs-meetings-june-2020" TargetMode="External"/><Relationship Id="rId48" Type="http://schemas.openxmlformats.org/officeDocument/2006/relationships/hyperlink" Target="https://www.tga.gov.au/scheduling-submission/public-submissions-scheduling-matters-referred-acms-31-and-joint-acms-accs-25-meetings-held-june-2020" TargetMode="External"/><Relationship Id="rId56" Type="http://schemas.openxmlformats.org/officeDocument/2006/relationships/hyperlink" Target="https://www.tga.gov.au/publication/ahmac-scheduling-policy-framework-medicines-and-chemicals" TargetMode="External"/><Relationship Id="rId64" Type="http://schemas.openxmlformats.org/officeDocument/2006/relationships/header" Target="header3.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tga.gov.au/publication/ahmac-scheduling-policy-framework-medicines-and-chemicals" TargetMode="External"/><Relationship Id="rId3" Type="http://schemas.openxmlformats.org/officeDocument/2006/relationships/styles" Target="styles.xml"/><Relationship Id="rId12" Type="http://schemas.openxmlformats.org/officeDocument/2006/relationships/hyperlink" Target="https://www.tga.gov.au/consultation-invitation/consultation-proposed-amendments-poisons-standard-acms-and-joint-acmsaccs-meetings-june-2020" TargetMode="External"/><Relationship Id="rId17" Type="http://schemas.openxmlformats.org/officeDocument/2006/relationships/hyperlink" Target="https://www.tga.gov.au/publication/scheduling-handbook-guidance-amending-poisons-standard" TargetMode="External"/><Relationship Id="rId25" Type="http://schemas.openxmlformats.org/officeDocument/2006/relationships/hyperlink" Target="https://www.tga.gov.au/book-page/32-eletriptan" TargetMode="External"/><Relationship Id="rId33" Type="http://schemas.openxmlformats.org/officeDocument/2006/relationships/hyperlink" Target="https://www.tga.gov.au/consultation-invitation/consultation-proposed-amendments-poisons-standard-acms-and-joint-acmsaccs-meetings-june-2020" TargetMode="External"/><Relationship Id="rId38" Type="http://schemas.openxmlformats.org/officeDocument/2006/relationships/hyperlink" Target="https://www.tga.gov.au/publication/scheduling-handbook-guidance-amending-poisons-standard" TargetMode="External"/><Relationship Id="rId46" Type="http://schemas.openxmlformats.org/officeDocument/2006/relationships/hyperlink" Target="https://www.tga.gov.au/book-page/35-ibuprofen" TargetMode="External"/><Relationship Id="rId59" Type="http://schemas.openxmlformats.org/officeDocument/2006/relationships/hyperlink" Target="https://www.tga.gov.au/publication/scheduling-handbook-guidance-amending-poisons-standard" TargetMode="External"/><Relationship Id="rId67" Type="http://schemas.openxmlformats.org/officeDocument/2006/relationships/footer" Target="footer3.xml"/><Relationship Id="rId20" Type="http://schemas.openxmlformats.org/officeDocument/2006/relationships/hyperlink" Target="https://www.tga.gov.au/scheduling-submission/public-submissions-scheduling-matters-referred-acms-31-and-joint-acms-accs-25-meetings-held-june-2020" TargetMode="External"/><Relationship Id="rId41" Type="http://schemas.openxmlformats.org/officeDocument/2006/relationships/hyperlink" Target="https://www.tga.gov.au/scheduling-submission/public-submissions-scheduling-matters-referred-acms-31-and-joint-acms-accs-25-meetings-held-june-2020" TargetMode="External"/><Relationship Id="rId54" Type="http://schemas.openxmlformats.org/officeDocument/2006/relationships/hyperlink" Target="https://www.tga.gov.au/publication/ahmac-scheduling-policy-framework-medicines-and-chemicals" TargetMode="External"/><Relationship Id="rId62" Type="http://schemas.openxmlformats.org/officeDocument/2006/relationships/hyperlink" Target="https://www.tga.gov.au/publication/ahmac-scheduling-policy-framework-medicines-and-chemical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BEDF3-A874-495D-AAAF-091711C5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2995</TotalTime>
  <Pages>21</Pages>
  <Words>7475</Words>
  <Characters>41266</Characters>
  <Application>Microsoft Office Word</Application>
  <DocSecurity>0</DocSecurity>
  <Lines>750</Lines>
  <Paragraphs>402</Paragraphs>
  <ScaleCrop>false</ScaleCrop>
  <HeadingPairs>
    <vt:vector size="2" baseType="variant">
      <vt:variant>
        <vt:lpstr>Title</vt:lpstr>
      </vt:variant>
      <vt:variant>
        <vt:i4>1</vt:i4>
      </vt:variant>
    </vt:vector>
  </HeadingPairs>
  <TitlesOfParts>
    <vt:vector size="1" baseType="lpstr">
      <vt:lpstr>Notice of final decisions to amend (or not amend) the current Poisons Standard, November 2020</vt:lpstr>
    </vt:vector>
  </TitlesOfParts>
  <Company>TGA</Company>
  <LinksUpToDate>false</LinksUpToDate>
  <CharactersWithSpaces>48339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(or not amend) the current Poisons Standard, November 2020</dc:title>
  <dc:subject>scheduling</dc:subject>
  <dc:creator>Therapeutic Goods Administration</dc:creator>
  <dc:description>template v1.4</dc:description>
  <cp:lastPrinted>2020-05-01T05:17:00Z</cp:lastPrinted>
  <dcterms:created xsi:type="dcterms:W3CDTF">2020-10-15T03:03:00Z</dcterms:created>
  <dcterms:modified xsi:type="dcterms:W3CDTF">2020-11-24T02:55:00Z</dcterms:modified>
</cp:coreProperties>
</file>