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B15A4" w14:textId="6A30E208" w:rsidR="00712A69" w:rsidRPr="00A71ADB" w:rsidRDefault="001E1F74" w:rsidP="00A71ADB">
      <w:pPr>
        <w:pStyle w:val="Heading1"/>
      </w:pPr>
      <w:bookmarkStart w:id="0" w:name="_Toc416466609"/>
      <w:bookmarkStart w:id="1" w:name="_Toc416951051"/>
      <w:bookmarkStart w:id="2" w:name="_Toc436221100"/>
      <w:bookmarkStart w:id="3" w:name="_Toc510011157"/>
      <w:bookmarkStart w:id="4" w:name="_Toc39587401"/>
      <w:r w:rsidRPr="00A71ADB">
        <w:rPr>
          <w:noProof/>
          <w:lang w:eastAsia="en-AU"/>
        </w:rPr>
        <w:drawing>
          <wp:anchor distT="0" distB="0" distL="114300" distR="114300" simplePos="0" relativeHeight="251659264" behindDoc="0" locked="0" layoutInCell="1" allowOverlap="1" wp14:anchorId="25FB1B30" wp14:editId="74E4953D">
            <wp:simplePos x="0" y="0"/>
            <wp:positionH relativeFrom="column">
              <wp:posOffset>1905</wp:posOffset>
            </wp:positionH>
            <wp:positionV relativeFrom="paragraph">
              <wp:posOffset>212725</wp:posOffset>
            </wp:positionV>
            <wp:extent cx="3524250" cy="1209675"/>
            <wp:effectExtent l="0" t="0" r="0" b="9525"/>
            <wp:wrapTopAndBottom/>
            <wp:docPr id="2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8"/>
                    <a:srcRect/>
                    <a:stretch>
                      <a:fillRect/>
                    </a:stretch>
                  </pic:blipFill>
                  <pic:spPr bwMode="auto">
                    <a:xfrm>
                      <a:off x="0" y="0"/>
                      <a:ext cx="3524250" cy="1209675"/>
                    </a:xfrm>
                    <a:prstGeom prst="rect">
                      <a:avLst/>
                    </a:prstGeom>
                    <a:noFill/>
                    <a:ln w="9525">
                      <a:noFill/>
                      <a:miter lim="800000"/>
                      <a:headEnd/>
                      <a:tailEnd/>
                    </a:ln>
                  </pic:spPr>
                </pic:pic>
              </a:graphicData>
            </a:graphic>
          </wp:anchor>
        </w:drawing>
      </w:r>
      <w:bookmarkEnd w:id="0"/>
      <w:bookmarkEnd w:id="1"/>
      <w:bookmarkEnd w:id="2"/>
      <w:r w:rsidR="001E7DA2" w:rsidRPr="00A71ADB">
        <w:t>Notice</w:t>
      </w:r>
      <w:r w:rsidR="00013EBE" w:rsidRPr="00A71ADB">
        <w:t xml:space="preserve"> of </w:t>
      </w:r>
      <w:r w:rsidR="009F1E7C" w:rsidRPr="00A71ADB">
        <w:t>final</w:t>
      </w:r>
      <w:r w:rsidR="00FC55C0" w:rsidRPr="00A71ADB">
        <w:t xml:space="preserve"> </w:t>
      </w:r>
      <w:r w:rsidRPr="00A71ADB">
        <w:t xml:space="preserve">decisions </w:t>
      </w:r>
      <w:bookmarkEnd w:id="3"/>
      <w:r w:rsidR="00160C06" w:rsidRPr="00A71ADB">
        <w:t>to amend</w:t>
      </w:r>
      <w:r w:rsidR="00013EBE" w:rsidRPr="00A71ADB">
        <w:t xml:space="preserve"> </w:t>
      </w:r>
      <w:r w:rsidR="008908C0" w:rsidRPr="00A71ADB">
        <w:t xml:space="preserve">(or not amend) </w:t>
      </w:r>
      <w:r w:rsidR="005B20F9">
        <w:t>the current Poisons Standard</w:t>
      </w:r>
      <w:bookmarkEnd w:id="4"/>
    </w:p>
    <w:sdt>
      <w:sdtPr>
        <w:rPr>
          <w:b/>
          <w:sz w:val="28"/>
        </w:rPr>
        <w:id w:val="634445791"/>
        <w:placeholder>
          <w:docPart w:val="DefaultPlaceholder_1082065160"/>
        </w:placeholder>
        <w:date w:fullDate="2020-05-07T00:00:00Z">
          <w:dateFormat w:val="d MMMM yyyy"/>
          <w:lid w:val="en-AU"/>
          <w:storeMappedDataAs w:val="dateTime"/>
          <w:calendar w:val="gregorian"/>
        </w:date>
      </w:sdtPr>
      <w:sdtEndPr>
        <w:rPr>
          <w:highlight w:val="yellow"/>
        </w:rPr>
      </w:sdtEndPr>
      <w:sdtContent>
        <w:p w14:paraId="13A381C1" w14:textId="107DFE5B" w:rsidR="00FC55C0" w:rsidRPr="009B484E" w:rsidRDefault="00E56311" w:rsidP="00FC55C0">
          <w:pPr>
            <w:rPr>
              <w:b/>
              <w:sz w:val="28"/>
            </w:rPr>
          </w:pPr>
          <w:r>
            <w:rPr>
              <w:b/>
              <w:sz w:val="28"/>
            </w:rPr>
            <w:t>7 May 2020</w:t>
          </w:r>
        </w:p>
      </w:sdtContent>
    </w:sdt>
    <w:p w14:paraId="7CB90E1F" w14:textId="77777777" w:rsidR="003177D7" w:rsidRDefault="003177D7" w:rsidP="003177D7">
      <w:r>
        <w:t xml:space="preserve">This web publication constitutes a notice for the purposes of </w:t>
      </w:r>
      <w:r w:rsidRPr="00A24A9F">
        <w:t xml:space="preserve">regulation </w:t>
      </w:r>
      <w:sdt>
        <w:sdtPr>
          <w:id w:val="1529759125"/>
          <w:placeholder>
            <w:docPart w:val="0DA390F9407A40EC9B29EEA90DE607EE"/>
          </w:placeholder>
          <w:dropDownList>
            <w:listItem w:displayText="42ZCZS" w:value="42ZCZS"/>
            <w:listItem w:displayText="42ZCZX" w:value="42ZCZX"/>
            <w:listItem w:displayText="42ZCZS and regulation 42ZCZX" w:value="42ZCZS and regulation 42ZCZX"/>
          </w:dropDownList>
        </w:sdtPr>
        <w:sdtEndPr/>
        <w:sdtContent>
          <w:r>
            <w:t>42ZCZS and regulation 42ZCZX</w:t>
          </w:r>
        </w:sdtContent>
      </w:sdt>
      <w:r w:rsidRPr="00A24A9F">
        <w:t xml:space="preserve"> of the </w:t>
      </w:r>
      <w:r w:rsidRPr="00A24A9F">
        <w:rPr>
          <w:i/>
        </w:rPr>
        <w:t>Therapeutic</w:t>
      </w:r>
      <w:r>
        <w:rPr>
          <w:i/>
        </w:rPr>
        <w:t xml:space="preserve"> </w:t>
      </w:r>
      <w:r w:rsidRPr="00E80A53">
        <w:rPr>
          <w:i/>
        </w:rPr>
        <w:t>Goods Regulations 1990</w:t>
      </w:r>
      <w:r>
        <w:rPr>
          <w:i/>
        </w:rPr>
        <w:t xml:space="preserve"> </w:t>
      </w:r>
      <w:r>
        <w:t xml:space="preserve">(the </w:t>
      </w:r>
      <w:r>
        <w:rPr>
          <w:b/>
        </w:rPr>
        <w:t>Regulations</w:t>
      </w:r>
      <w:r>
        <w:t>). In accorda</w:t>
      </w:r>
      <w:r w:rsidRPr="00430184">
        <w:t xml:space="preserve">nce with regulations </w:t>
      </w:r>
      <w:r>
        <w:t>42ZCZS and 42ZCZX</w:t>
      </w:r>
      <w:r w:rsidRPr="00430184">
        <w:t>, this</w:t>
      </w:r>
      <w:r>
        <w:t xml:space="preserve"> notice publishes:</w:t>
      </w:r>
    </w:p>
    <w:p w14:paraId="625FB132" w14:textId="70A268E4" w:rsidR="003177D7" w:rsidRDefault="003177D7" w:rsidP="00752177">
      <w:pPr>
        <w:pStyle w:val="Numberbullet0"/>
      </w:pPr>
      <w:r>
        <w:t xml:space="preserve">the </w:t>
      </w:r>
      <w:r w:rsidRPr="002B23AC">
        <w:t>decisions made by a delegate of the Secretary pursuant to regulations 42ZCZR</w:t>
      </w:r>
      <w:r w:rsidR="00072D84">
        <w:t xml:space="preserve"> and 42ZCZU;</w:t>
      </w:r>
    </w:p>
    <w:p w14:paraId="0C1DC7C6" w14:textId="3D53C28B" w:rsidR="003177D7" w:rsidRPr="002B23AC" w:rsidRDefault="003177D7" w:rsidP="00752177">
      <w:pPr>
        <w:pStyle w:val="Numberbullet0"/>
      </w:pPr>
      <w:r>
        <w:t xml:space="preserve">the </w:t>
      </w:r>
      <w:r w:rsidRPr="002B23AC">
        <w:t>reasons</w:t>
      </w:r>
      <w:r w:rsidR="005B20F9">
        <w:t xml:space="preserve"> for those final decisions; and</w:t>
      </w:r>
    </w:p>
    <w:p w14:paraId="6D85AD07" w14:textId="04466D08" w:rsidR="003177D7" w:rsidRDefault="003177D7" w:rsidP="00752177">
      <w:pPr>
        <w:pStyle w:val="Numberbullet0"/>
      </w:pPr>
      <w:r w:rsidRPr="002B23AC">
        <w:t>the date of effect of those decisions.</w:t>
      </w:r>
    </w:p>
    <w:sdt>
      <w:sdtPr>
        <w:rPr>
          <w:rFonts w:ascii="Cambria" w:eastAsia="Cambria" w:hAnsi="Cambria" w:cs="Times New Roman"/>
          <w:b w:val="0"/>
          <w:color w:val="auto"/>
          <w:sz w:val="22"/>
          <w:szCs w:val="20"/>
          <w:lang w:val="en-AU"/>
        </w:rPr>
        <w:id w:val="-188306089"/>
        <w:docPartObj>
          <w:docPartGallery w:val="Table of Contents"/>
          <w:docPartUnique/>
        </w:docPartObj>
      </w:sdtPr>
      <w:sdtEndPr>
        <w:rPr>
          <w:bCs/>
          <w:noProof/>
        </w:rPr>
      </w:sdtEndPr>
      <w:sdtContent>
        <w:p w14:paraId="4DA02997" w14:textId="2A05497F" w:rsidR="001A5CA3" w:rsidRPr="008166FB" w:rsidRDefault="001A5CA3" w:rsidP="008166FB">
          <w:pPr>
            <w:pStyle w:val="TOCHeading"/>
            <w:pageBreakBefore/>
            <w:rPr>
              <w:noProof/>
              <w:color w:val="auto"/>
            </w:rPr>
          </w:pPr>
          <w:r w:rsidRPr="001A5CA3">
            <w:rPr>
              <w:color w:val="auto"/>
            </w:rPr>
            <w:t>Table of Contents</w:t>
          </w:r>
          <w:r>
            <w:rPr>
              <w:rFonts w:ascii="Arial" w:hAnsi="Arial"/>
              <w:sz w:val="24"/>
            </w:rPr>
            <w:fldChar w:fldCharType="begin"/>
          </w:r>
          <w:r>
            <w:instrText xml:space="preserve"> TOC \o "1-3" \h \z \u </w:instrText>
          </w:r>
          <w:r>
            <w:rPr>
              <w:rFonts w:ascii="Arial" w:hAnsi="Arial"/>
              <w:sz w:val="24"/>
            </w:rPr>
            <w:fldChar w:fldCharType="separate"/>
          </w:r>
        </w:p>
        <w:p w14:paraId="146872CE" w14:textId="021B8F10" w:rsidR="001A5CA3" w:rsidRDefault="00423457">
          <w:pPr>
            <w:pStyle w:val="TOC2"/>
            <w:tabs>
              <w:tab w:val="left" w:pos="1021"/>
            </w:tabs>
            <w:rPr>
              <w:rFonts w:asciiTheme="minorHAnsi" w:eastAsiaTheme="minorEastAsia" w:hAnsiTheme="minorHAnsi" w:cstheme="minorBidi"/>
              <w:b w:val="0"/>
              <w:noProof/>
              <w:szCs w:val="22"/>
              <w:lang w:eastAsia="en-AU"/>
            </w:rPr>
          </w:pPr>
          <w:hyperlink w:anchor="_Toc39587402" w:history="1">
            <w:r w:rsidR="001A5CA3" w:rsidRPr="005C12F0">
              <w:rPr>
                <w:rStyle w:val="Hyperlink"/>
                <w:noProof/>
              </w:rPr>
              <w:t>1</w:t>
            </w:r>
            <w:r w:rsidR="001A5CA3">
              <w:rPr>
                <w:rFonts w:asciiTheme="minorHAnsi" w:eastAsiaTheme="minorEastAsia" w:hAnsiTheme="minorHAnsi" w:cstheme="minorBidi"/>
                <w:b w:val="0"/>
                <w:noProof/>
                <w:szCs w:val="22"/>
                <w:lang w:eastAsia="en-AU"/>
              </w:rPr>
              <w:tab/>
            </w:r>
            <w:r w:rsidR="001A5CA3" w:rsidRPr="005C12F0">
              <w:rPr>
                <w:rStyle w:val="Hyperlink"/>
                <w:noProof/>
              </w:rPr>
              <w:t>Final decisions made pursuant to regulation 42ZCZR – proposals referred to the November 2019 Advisory Committee on Medicines Schedule (ACMS #28)</w:t>
            </w:r>
            <w:r w:rsidR="001A5CA3">
              <w:rPr>
                <w:noProof/>
                <w:webHidden/>
              </w:rPr>
              <w:tab/>
            </w:r>
            <w:r w:rsidR="001A5CA3">
              <w:rPr>
                <w:noProof/>
                <w:webHidden/>
              </w:rPr>
              <w:fldChar w:fldCharType="begin"/>
            </w:r>
            <w:r w:rsidR="001A5CA3">
              <w:rPr>
                <w:noProof/>
                <w:webHidden/>
              </w:rPr>
              <w:instrText xml:space="preserve"> PAGEREF _Toc39587402 \h </w:instrText>
            </w:r>
            <w:r w:rsidR="001A5CA3">
              <w:rPr>
                <w:noProof/>
                <w:webHidden/>
              </w:rPr>
            </w:r>
            <w:r w:rsidR="001A5CA3">
              <w:rPr>
                <w:noProof/>
                <w:webHidden/>
              </w:rPr>
              <w:fldChar w:fldCharType="separate"/>
            </w:r>
            <w:r w:rsidR="00E34C68">
              <w:rPr>
                <w:noProof/>
                <w:webHidden/>
              </w:rPr>
              <w:t>3</w:t>
            </w:r>
            <w:r w:rsidR="001A5CA3">
              <w:rPr>
                <w:noProof/>
                <w:webHidden/>
              </w:rPr>
              <w:fldChar w:fldCharType="end"/>
            </w:r>
          </w:hyperlink>
        </w:p>
        <w:p w14:paraId="0609005D" w14:textId="6099CC5F" w:rsidR="001A5CA3" w:rsidRDefault="00423457">
          <w:pPr>
            <w:pStyle w:val="TOC3"/>
            <w:tabs>
              <w:tab w:val="left" w:pos="1760"/>
            </w:tabs>
            <w:rPr>
              <w:rFonts w:asciiTheme="minorHAnsi" w:eastAsiaTheme="minorEastAsia" w:hAnsiTheme="minorHAnsi" w:cstheme="minorBidi"/>
              <w:noProof/>
              <w:szCs w:val="22"/>
              <w:lang w:eastAsia="en-AU"/>
            </w:rPr>
          </w:pPr>
          <w:hyperlink w:anchor="_Toc39587403" w:history="1">
            <w:r w:rsidR="001A5CA3" w:rsidRPr="005C12F0">
              <w:rPr>
                <w:rStyle w:val="Hyperlink"/>
                <w:noProof/>
              </w:rPr>
              <w:t>1.1.</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Sumatripan</w:t>
            </w:r>
            <w:r w:rsidR="001A5CA3">
              <w:rPr>
                <w:noProof/>
                <w:webHidden/>
              </w:rPr>
              <w:tab/>
            </w:r>
            <w:r w:rsidR="001A5CA3">
              <w:rPr>
                <w:noProof/>
                <w:webHidden/>
              </w:rPr>
              <w:fldChar w:fldCharType="begin"/>
            </w:r>
            <w:r w:rsidR="001A5CA3">
              <w:rPr>
                <w:noProof/>
                <w:webHidden/>
              </w:rPr>
              <w:instrText xml:space="preserve"> PAGEREF _Toc39587403 \h </w:instrText>
            </w:r>
            <w:r w:rsidR="001A5CA3">
              <w:rPr>
                <w:noProof/>
                <w:webHidden/>
              </w:rPr>
            </w:r>
            <w:r w:rsidR="001A5CA3">
              <w:rPr>
                <w:noProof/>
                <w:webHidden/>
              </w:rPr>
              <w:fldChar w:fldCharType="separate"/>
            </w:r>
            <w:r w:rsidR="00E34C68">
              <w:rPr>
                <w:noProof/>
                <w:webHidden/>
              </w:rPr>
              <w:t>3</w:t>
            </w:r>
            <w:r w:rsidR="001A5CA3">
              <w:rPr>
                <w:noProof/>
                <w:webHidden/>
              </w:rPr>
              <w:fldChar w:fldCharType="end"/>
            </w:r>
          </w:hyperlink>
        </w:p>
        <w:p w14:paraId="225F93C1" w14:textId="14725743" w:rsidR="001A5CA3" w:rsidRDefault="00423457">
          <w:pPr>
            <w:pStyle w:val="TOC3"/>
            <w:tabs>
              <w:tab w:val="left" w:pos="1760"/>
            </w:tabs>
            <w:rPr>
              <w:rFonts w:asciiTheme="minorHAnsi" w:eastAsiaTheme="minorEastAsia" w:hAnsiTheme="minorHAnsi" w:cstheme="minorBidi"/>
              <w:noProof/>
              <w:szCs w:val="22"/>
              <w:lang w:eastAsia="en-AU"/>
            </w:rPr>
          </w:pPr>
          <w:hyperlink w:anchor="_Toc39587404" w:history="1">
            <w:r w:rsidR="001A5CA3" w:rsidRPr="005C12F0">
              <w:rPr>
                <w:rStyle w:val="Hyperlink"/>
                <w:noProof/>
              </w:rPr>
              <w:t>1.2.</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Zolmitriptan</w:t>
            </w:r>
            <w:r w:rsidR="001A5CA3">
              <w:rPr>
                <w:noProof/>
                <w:webHidden/>
              </w:rPr>
              <w:tab/>
            </w:r>
            <w:r w:rsidR="001A5CA3">
              <w:rPr>
                <w:noProof/>
                <w:webHidden/>
              </w:rPr>
              <w:fldChar w:fldCharType="begin"/>
            </w:r>
            <w:r w:rsidR="001A5CA3">
              <w:rPr>
                <w:noProof/>
                <w:webHidden/>
              </w:rPr>
              <w:instrText xml:space="preserve"> PAGEREF _Toc39587404 \h </w:instrText>
            </w:r>
            <w:r w:rsidR="001A5CA3">
              <w:rPr>
                <w:noProof/>
                <w:webHidden/>
              </w:rPr>
            </w:r>
            <w:r w:rsidR="001A5CA3">
              <w:rPr>
                <w:noProof/>
                <w:webHidden/>
              </w:rPr>
              <w:fldChar w:fldCharType="separate"/>
            </w:r>
            <w:r w:rsidR="00E34C68">
              <w:rPr>
                <w:noProof/>
                <w:webHidden/>
              </w:rPr>
              <w:t>5</w:t>
            </w:r>
            <w:r w:rsidR="001A5CA3">
              <w:rPr>
                <w:noProof/>
                <w:webHidden/>
              </w:rPr>
              <w:fldChar w:fldCharType="end"/>
            </w:r>
          </w:hyperlink>
        </w:p>
        <w:p w14:paraId="47B40DC8" w14:textId="364CBB44" w:rsidR="001A5CA3" w:rsidRDefault="00423457">
          <w:pPr>
            <w:pStyle w:val="TOC3"/>
            <w:tabs>
              <w:tab w:val="left" w:pos="1760"/>
            </w:tabs>
            <w:rPr>
              <w:rFonts w:asciiTheme="minorHAnsi" w:eastAsiaTheme="minorEastAsia" w:hAnsiTheme="minorHAnsi" w:cstheme="minorBidi"/>
              <w:noProof/>
              <w:szCs w:val="22"/>
              <w:lang w:eastAsia="en-AU"/>
            </w:rPr>
          </w:pPr>
          <w:hyperlink w:anchor="_Toc39587405" w:history="1">
            <w:r w:rsidR="001A5CA3" w:rsidRPr="005C12F0">
              <w:rPr>
                <w:rStyle w:val="Hyperlink"/>
                <w:noProof/>
              </w:rPr>
              <w:t>1.3.</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Mometasone</w:t>
            </w:r>
            <w:r w:rsidR="001A5CA3">
              <w:rPr>
                <w:noProof/>
                <w:webHidden/>
              </w:rPr>
              <w:tab/>
            </w:r>
            <w:r w:rsidR="001A5CA3">
              <w:rPr>
                <w:noProof/>
                <w:webHidden/>
              </w:rPr>
              <w:fldChar w:fldCharType="begin"/>
            </w:r>
            <w:r w:rsidR="001A5CA3">
              <w:rPr>
                <w:noProof/>
                <w:webHidden/>
              </w:rPr>
              <w:instrText xml:space="preserve"> PAGEREF _Toc39587405 \h </w:instrText>
            </w:r>
            <w:r w:rsidR="001A5CA3">
              <w:rPr>
                <w:noProof/>
                <w:webHidden/>
              </w:rPr>
            </w:r>
            <w:r w:rsidR="001A5CA3">
              <w:rPr>
                <w:noProof/>
                <w:webHidden/>
              </w:rPr>
              <w:fldChar w:fldCharType="separate"/>
            </w:r>
            <w:r w:rsidR="00E34C68">
              <w:rPr>
                <w:noProof/>
                <w:webHidden/>
              </w:rPr>
              <w:t>7</w:t>
            </w:r>
            <w:r w:rsidR="001A5CA3">
              <w:rPr>
                <w:noProof/>
                <w:webHidden/>
              </w:rPr>
              <w:fldChar w:fldCharType="end"/>
            </w:r>
          </w:hyperlink>
        </w:p>
        <w:p w14:paraId="6181941C" w14:textId="2C0D9DD7" w:rsidR="001A5CA3" w:rsidRDefault="00423457">
          <w:pPr>
            <w:pStyle w:val="TOC3"/>
            <w:tabs>
              <w:tab w:val="left" w:pos="1760"/>
            </w:tabs>
            <w:rPr>
              <w:rFonts w:asciiTheme="minorHAnsi" w:eastAsiaTheme="minorEastAsia" w:hAnsiTheme="minorHAnsi" w:cstheme="minorBidi"/>
              <w:noProof/>
              <w:szCs w:val="22"/>
              <w:lang w:eastAsia="en-AU"/>
            </w:rPr>
          </w:pPr>
          <w:hyperlink w:anchor="_Toc39587406" w:history="1">
            <w:r w:rsidR="001A5CA3" w:rsidRPr="005C12F0">
              <w:rPr>
                <w:rStyle w:val="Hyperlink"/>
                <w:noProof/>
              </w:rPr>
              <w:t>1.4.</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calcifediol monohydrate</w:t>
            </w:r>
            <w:r w:rsidR="001A5CA3">
              <w:rPr>
                <w:noProof/>
                <w:webHidden/>
              </w:rPr>
              <w:tab/>
            </w:r>
            <w:r w:rsidR="001A5CA3">
              <w:rPr>
                <w:noProof/>
                <w:webHidden/>
              </w:rPr>
              <w:fldChar w:fldCharType="begin"/>
            </w:r>
            <w:r w:rsidR="001A5CA3">
              <w:rPr>
                <w:noProof/>
                <w:webHidden/>
              </w:rPr>
              <w:instrText xml:space="preserve"> PAGEREF _Toc39587406 \h </w:instrText>
            </w:r>
            <w:r w:rsidR="001A5CA3">
              <w:rPr>
                <w:noProof/>
                <w:webHidden/>
              </w:rPr>
            </w:r>
            <w:r w:rsidR="001A5CA3">
              <w:rPr>
                <w:noProof/>
                <w:webHidden/>
              </w:rPr>
              <w:fldChar w:fldCharType="separate"/>
            </w:r>
            <w:r w:rsidR="00E34C68">
              <w:rPr>
                <w:noProof/>
                <w:webHidden/>
              </w:rPr>
              <w:t>14</w:t>
            </w:r>
            <w:r w:rsidR="001A5CA3">
              <w:rPr>
                <w:noProof/>
                <w:webHidden/>
              </w:rPr>
              <w:fldChar w:fldCharType="end"/>
            </w:r>
          </w:hyperlink>
        </w:p>
        <w:p w14:paraId="431BE9F0" w14:textId="6EAA4A5F" w:rsidR="001A5CA3" w:rsidRDefault="00423457">
          <w:pPr>
            <w:pStyle w:val="TOC3"/>
            <w:tabs>
              <w:tab w:val="left" w:pos="1760"/>
            </w:tabs>
            <w:rPr>
              <w:rFonts w:asciiTheme="minorHAnsi" w:eastAsiaTheme="minorEastAsia" w:hAnsiTheme="minorHAnsi" w:cstheme="minorBidi"/>
              <w:noProof/>
              <w:szCs w:val="22"/>
              <w:lang w:eastAsia="en-AU"/>
            </w:rPr>
          </w:pPr>
          <w:hyperlink w:anchor="_Toc39587407" w:history="1">
            <w:r w:rsidR="001A5CA3" w:rsidRPr="005C12F0">
              <w:rPr>
                <w:rStyle w:val="Hyperlink"/>
                <w:noProof/>
              </w:rPr>
              <w:t>1.5.</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Paracetamol (liquid formulations)</w:t>
            </w:r>
            <w:r w:rsidR="001A5CA3">
              <w:rPr>
                <w:noProof/>
                <w:webHidden/>
              </w:rPr>
              <w:tab/>
            </w:r>
            <w:r w:rsidR="001A5CA3">
              <w:rPr>
                <w:noProof/>
                <w:webHidden/>
              </w:rPr>
              <w:fldChar w:fldCharType="begin"/>
            </w:r>
            <w:r w:rsidR="001A5CA3">
              <w:rPr>
                <w:noProof/>
                <w:webHidden/>
              </w:rPr>
              <w:instrText xml:space="preserve"> PAGEREF _Toc39587407 \h </w:instrText>
            </w:r>
            <w:r w:rsidR="001A5CA3">
              <w:rPr>
                <w:noProof/>
                <w:webHidden/>
              </w:rPr>
            </w:r>
            <w:r w:rsidR="001A5CA3">
              <w:rPr>
                <w:noProof/>
                <w:webHidden/>
              </w:rPr>
              <w:fldChar w:fldCharType="separate"/>
            </w:r>
            <w:r w:rsidR="00E34C68">
              <w:rPr>
                <w:noProof/>
                <w:webHidden/>
              </w:rPr>
              <w:t>15</w:t>
            </w:r>
            <w:r w:rsidR="001A5CA3">
              <w:rPr>
                <w:noProof/>
                <w:webHidden/>
              </w:rPr>
              <w:fldChar w:fldCharType="end"/>
            </w:r>
          </w:hyperlink>
        </w:p>
        <w:p w14:paraId="20EA6804" w14:textId="50A18BC8" w:rsidR="001A5CA3" w:rsidRDefault="00423457">
          <w:pPr>
            <w:pStyle w:val="TOC3"/>
            <w:tabs>
              <w:tab w:val="left" w:pos="1760"/>
            </w:tabs>
            <w:rPr>
              <w:rFonts w:asciiTheme="minorHAnsi" w:eastAsiaTheme="minorEastAsia" w:hAnsiTheme="minorHAnsi" w:cstheme="minorBidi"/>
              <w:noProof/>
              <w:szCs w:val="22"/>
              <w:lang w:eastAsia="en-AU"/>
            </w:rPr>
          </w:pPr>
          <w:hyperlink w:anchor="_Toc39587408" w:history="1">
            <w:r w:rsidR="001A5CA3" w:rsidRPr="005C12F0">
              <w:rPr>
                <w:rStyle w:val="Hyperlink"/>
                <w:noProof/>
              </w:rPr>
              <w:t>1.6.</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Paracetamol + ibuprofen</w:t>
            </w:r>
            <w:r w:rsidR="001A5CA3">
              <w:rPr>
                <w:noProof/>
                <w:webHidden/>
              </w:rPr>
              <w:tab/>
            </w:r>
            <w:r w:rsidR="001A5CA3">
              <w:rPr>
                <w:noProof/>
                <w:webHidden/>
              </w:rPr>
              <w:fldChar w:fldCharType="begin"/>
            </w:r>
            <w:r w:rsidR="001A5CA3">
              <w:rPr>
                <w:noProof/>
                <w:webHidden/>
              </w:rPr>
              <w:instrText xml:space="preserve"> PAGEREF _Toc39587408 \h </w:instrText>
            </w:r>
            <w:r w:rsidR="001A5CA3">
              <w:rPr>
                <w:noProof/>
                <w:webHidden/>
              </w:rPr>
            </w:r>
            <w:r w:rsidR="001A5CA3">
              <w:rPr>
                <w:noProof/>
                <w:webHidden/>
              </w:rPr>
              <w:fldChar w:fldCharType="separate"/>
            </w:r>
            <w:r w:rsidR="00E34C68">
              <w:rPr>
                <w:noProof/>
                <w:webHidden/>
              </w:rPr>
              <w:t>17</w:t>
            </w:r>
            <w:r w:rsidR="001A5CA3">
              <w:rPr>
                <w:noProof/>
                <w:webHidden/>
              </w:rPr>
              <w:fldChar w:fldCharType="end"/>
            </w:r>
          </w:hyperlink>
        </w:p>
        <w:p w14:paraId="5BA53466" w14:textId="1E2F5137" w:rsidR="001A5CA3" w:rsidRDefault="00423457">
          <w:pPr>
            <w:pStyle w:val="TOC3"/>
            <w:tabs>
              <w:tab w:val="left" w:pos="1760"/>
            </w:tabs>
            <w:rPr>
              <w:rFonts w:asciiTheme="minorHAnsi" w:eastAsiaTheme="minorEastAsia" w:hAnsiTheme="minorHAnsi" w:cstheme="minorBidi"/>
              <w:noProof/>
              <w:szCs w:val="22"/>
              <w:lang w:eastAsia="en-AU"/>
            </w:rPr>
          </w:pPr>
          <w:hyperlink w:anchor="_Toc39587409" w:history="1">
            <w:r w:rsidR="001A5CA3" w:rsidRPr="005C12F0">
              <w:rPr>
                <w:rStyle w:val="Hyperlink"/>
                <w:noProof/>
              </w:rPr>
              <w:t>1.7.</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Hyoscine butylbromide</w:t>
            </w:r>
            <w:r w:rsidR="001A5CA3">
              <w:rPr>
                <w:noProof/>
                <w:webHidden/>
              </w:rPr>
              <w:tab/>
            </w:r>
            <w:r w:rsidR="001A5CA3">
              <w:rPr>
                <w:noProof/>
                <w:webHidden/>
              </w:rPr>
              <w:fldChar w:fldCharType="begin"/>
            </w:r>
            <w:r w:rsidR="001A5CA3">
              <w:rPr>
                <w:noProof/>
                <w:webHidden/>
              </w:rPr>
              <w:instrText xml:space="preserve"> PAGEREF _Toc39587409 \h </w:instrText>
            </w:r>
            <w:r w:rsidR="001A5CA3">
              <w:rPr>
                <w:noProof/>
                <w:webHidden/>
              </w:rPr>
            </w:r>
            <w:r w:rsidR="001A5CA3">
              <w:rPr>
                <w:noProof/>
                <w:webHidden/>
              </w:rPr>
              <w:fldChar w:fldCharType="separate"/>
            </w:r>
            <w:r w:rsidR="00E34C68">
              <w:rPr>
                <w:noProof/>
                <w:webHidden/>
              </w:rPr>
              <w:t>18</w:t>
            </w:r>
            <w:r w:rsidR="001A5CA3">
              <w:rPr>
                <w:noProof/>
                <w:webHidden/>
              </w:rPr>
              <w:fldChar w:fldCharType="end"/>
            </w:r>
          </w:hyperlink>
        </w:p>
        <w:p w14:paraId="6BD809D0" w14:textId="1EBB5CF2" w:rsidR="001A5CA3" w:rsidRDefault="00423457">
          <w:pPr>
            <w:pStyle w:val="TOC3"/>
            <w:tabs>
              <w:tab w:val="left" w:pos="1760"/>
            </w:tabs>
            <w:rPr>
              <w:rFonts w:asciiTheme="minorHAnsi" w:eastAsiaTheme="minorEastAsia" w:hAnsiTheme="minorHAnsi" w:cstheme="minorBidi"/>
              <w:noProof/>
              <w:szCs w:val="22"/>
              <w:lang w:eastAsia="en-AU"/>
            </w:rPr>
          </w:pPr>
          <w:hyperlink w:anchor="_Toc39587410" w:history="1">
            <w:r w:rsidR="001A5CA3" w:rsidRPr="005C12F0">
              <w:rPr>
                <w:rStyle w:val="Hyperlink"/>
                <w:noProof/>
              </w:rPr>
              <w:t>1.8.</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Lidocaine</w:t>
            </w:r>
            <w:r w:rsidR="001A5CA3">
              <w:rPr>
                <w:noProof/>
                <w:webHidden/>
              </w:rPr>
              <w:tab/>
            </w:r>
            <w:r w:rsidR="001A5CA3">
              <w:rPr>
                <w:noProof/>
                <w:webHidden/>
              </w:rPr>
              <w:fldChar w:fldCharType="begin"/>
            </w:r>
            <w:r w:rsidR="001A5CA3">
              <w:rPr>
                <w:noProof/>
                <w:webHidden/>
              </w:rPr>
              <w:instrText xml:space="preserve"> PAGEREF _Toc39587410 \h </w:instrText>
            </w:r>
            <w:r w:rsidR="001A5CA3">
              <w:rPr>
                <w:noProof/>
                <w:webHidden/>
              </w:rPr>
            </w:r>
            <w:r w:rsidR="001A5CA3">
              <w:rPr>
                <w:noProof/>
                <w:webHidden/>
              </w:rPr>
              <w:fldChar w:fldCharType="separate"/>
            </w:r>
            <w:r w:rsidR="00E34C68">
              <w:rPr>
                <w:noProof/>
                <w:webHidden/>
              </w:rPr>
              <w:t>20</w:t>
            </w:r>
            <w:r w:rsidR="001A5CA3">
              <w:rPr>
                <w:noProof/>
                <w:webHidden/>
              </w:rPr>
              <w:fldChar w:fldCharType="end"/>
            </w:r>
          </w:hyperlink>
        </w:p>
        <w:p w14:paraId="59FD6BD1" w14:textId="5A5450F4" w:rsidR="001A5CA3" w:rsidRDefault="00423457">
          <w:pPr>
            <w:pStyle w:val="TOC2"/>
            <w:tabs>
              <w:tab w:val="left" w:pos="1021"/>
            </w:tabs>
            <w:rPr>
              <w:rFonts w:asciiTheme="minorHAnsi" w:eastAsiaTheme="minorEastAsia" w:hAnsiTheme="minorHAnsi" w:cstheme="minorBidi"/>
              <w:b w:val="0"/>
              <w:noProof/>
              <w:szCs w:val="22"/>
              <w:lang w:eastAsia="en-AU"/>
            </w:rPr>
          </w:pPr>
          <w:hyperlink w:anchor="_Toc39587411" w:history="1">
            <w:r w:rsidR="001A5CA3" w:rsidRPr="005C12F0">
              <w:rPr>
                <w:rStyle w:val="Hyperlink"/>
                <w:noProof/>
              </w:rPr>
              <w:t>2</w:t>
            </w:r>
            <w:r w:rsidR="001A5CA3">
              <w:rPr>
                <w:rFonts w:asciiTheme="minorHAnsi" w:eastAsiaTheme="minorEastAsia" w:hAnsiTheme="minorHAnsi" w:cstheme="minorBidi"/>
                <w:b w:val="0"/>
                <w:noProof/>
                <w:szCs w:val="22"/>
                <w:lang w:eastAsia="en-AU"/>
              </w:rPr>
              <w:tab/>
            </w:r>
            <w:r w:rsidR="001A5CA3" w:rsidRPr="005C12F0">
              <w:rPr>
                <w:rStyle w:val="Hyperlink"/>
                <w:noProof/>
              </w:rPr>
              <w:t>Final decisions made pursuant to regulation 42ZCZR – proposals referred to the November 2019 Joint Advisory Committee on Medicines and Chemicals Scheduling (ACCS-ACMS #23)</w:t>
            </w:r>
            <w:r w:rsidR="001A5CA3">
              <w:rPr>
                <w:noProof/>
                <w:webHidden/>
              </w:rPr>
              <w:tab/>
            </w:r>
            <w:r w:rsidR="001A5CA3">
              <w:rPr>
                <w:noProof/>
                <w:webHidden/>
              </w:rPr>
              <w:fldChar w:fldCharType="begin"/>
            </w:r>
            <w:r w:rsidR="001A5CA3">
              <w:rPr>
                <w:noProof/>
                <w:webHidden/>
              </w:rPr>
              <w:instrText xml:space="preserve"> PAGEREF _Toc39587411 \h </w:instrText>
            </w:r>
            <w:r w:rsidR="001A5CA3">
              <w:rPr>
                <w:noProof/>
                <w:webHidden/>
              </w:rPr>
            </w:r>
            <w:r w:rsidR="001A5CA3">
              <w:rPr>
                <w:noProof/>
                <w:webHidden/>
              </w:rPr>
              <w:fldChar w:fldCharType="separate"/>
            </w:r>
            <w:r w:rsidR="00E34C68">
              <w:rPr>
                <w:noProof/>
                <w:webHidden/>
              </w:rPr>
              <w:t>21</w:t>
            </w:r>
            <w:r w:rsidR="001A5CA3">
              <w:rPr>
                <w:noProof/>
                <w:webHidden/>
              </w:rPr>
              <w:fldChar w:fldCharType="end"/>
            </w:r>
          </w:hyperlink>
        </w:p>
        <w:p w14:paraId="6A1E297C" w14:textId="2F02DBFC" w:rsidR="001A5CA3" w:rsidRDefault="00423457">
          <w:pPr>
            <w:pStyle w:val="TOC3"/>
            <w:tabs>
              <w:tab w:val="left" w:pos="1760"/>
            </w:tabs>
            <w:rPr>
              <w:rFonts w:asciiTheme="minorHAnsi" w:eastAsiaTheme="minorEastAsia" w:hAnsiTheme="minorHAnsi" w:cstheme="minorBidi"/>
              <w:noProof/>
              <w:szCs w:val="22"/>
              <w:lang w:eastAsia="en-AU"/>
            </w:rPr>
          </w:pPr>
          <w:hyperlink w:anchor="_Toc39587412" w:history="1">
            <w:r w:rsidR="001A5CA3" w:rsidRPr="005C12F0">
              <w:rPr>
                <w:rStyle w:val="Hyperlink"/>
                <w:noProof/>
              </w:rPr>
              <w:t>2.1.</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Caffeine</w:t>
            </w:r>
            <w:r w:rsidR="001A5CA3">
              <w:rPr>
                <w:noProof/>
                <w:webHidden/>
              </w:rPr>
              <w:tab/>
            </w:r>
            <w:r w:rsidR="001A5CA3">
              <w:rPr>
                <w:noProof/>
                <w:webHidden/>
              </w:rPr>
              <w:fldChar w:fldCharType="begin"/>
            </w:r>
            <w:r w:rsidR="001A5CA3">
              <w:rPr>
                <w:noProof/>
                <w:webHidden/>
              </w:rPr>
              <w:instrText xml:space="preserve"> PAGEREF _Toc39587412 \h </w:instrText>
            </w:r>
            <w:r w:rsidR="001A5CA3">
              <w:rPr>
                <w:noProof/>
                <w:webHidden/>
              </w:rPr>
            </w:r>
            <w:r w:rsidR="001A5CA3">
              <w:rPr>
                <w:noProof/>
                <w:webHidden/>
              </w:rPr>
              <w:fldChar w:fldCharType="separate"/>
            </w:r>
            <w:r w:rsidR="00E34C68">
              <w:rPr>
                <w:noProof/>
                <w:webHidden/>
              </w:rPr>
              <w:t>21</w:t>
            </w:r>
            <w:r w:rsidR="001A5CA3">
              <w:rPr>
                <w:noProof/>
                <w:webHidden/>
              </w:rPr>
              <w:fldChar w:fldCharType="end"/>
            </w:r>
          </w:hyperlink>
        </w:p>
        <w:p w14:paraId="222A5DDA" w14:textId="664FCAF3" w:rsidR="001A5CA3" w:rsidRDefault="00423457">
          <w:pPr>
            <w:pStyle w:val="TOC3"/>
            <w:tabs>
              <w:tab w:val="left" w:pos="1760"/>
            </w:tabs>
            <w:rPr>
              <w:rFonts w:asciiTheme="minorHAnsi" w:eastAsiaTheme="minorEastAsia" w:hAnsiTheme="minorHAnsi" w:cstheme="minorBidi"/>
              <w:noProof/>
              <w:szCs w:val="22"/>
              <w:lang w:eastAsia="en-AU"/>
            </w:rPr>
          </w:pPr>
          <w:hyperlink w:anchor="_Toc39587413" w:history="1">
            <w:r w:rsidR="001A5CA3" w:rsidRPr="005C12F0">
              <w:rPr>
                <w:rStyle w:val="Hyperlink"/>
                <w:noProof/>
              </w:rPr>
              <w:t>2.2.</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N-methyl-2-pyrrolidone (NMP)</w:t>
            </w:r>
            <w:r w:rsidR="001A5CA3">
              <w:rPr>
                <w:noProof/>
                <w:webHidden/>
              </w:rPr>
              <w:tab/>
            </w:r>
            <w:r w:rsidR="001A5CA3">
              <w:rPr>
                <w:noProof/>
                <w:webHidden/>
              </w:rPr>
              <w:fldChar w:fldCharType="begin"/>
            </w:r>
            <w:r w:rsidR="001A5CA3">
              <w:rPr>
                <w:noProof/>
                <w:webHidden/>
              </w:rPr>
              <w:instrText xml:space="preserve"> PAGEREF _Toc39587413 \h </w:instrText>
            </w:r>
            <w:r w:rsidR="001A5CA3">
              <w:rPr>
                <w:noProof/>
                <w:webHidden/>
              </w:rPr>
            </w:r>
            <w:r w:rsidR="001A5CA3">
              <w:rPr>
                <w:noProof/>
                <w:webHidden/>
              </w:rPr>
              <w:fldChar w:fldCharType="separate"/>
            </w:r>
            <w:r w:rsidR="00E34C68">
              <w:rPr>
                <w:noProof/>
                <w:webHidden/>
              </w:rPr>
              <w:t>23</w:t>
            </w:r>
            <w:r w:rsidR="001A5CA3">
              <w:rPr>
                <w:noProof/>
                <w:webHidden/>
              </w:rPr>
              <w:fldChar w:fldCharType="end"/>
            </w:r>
          </w:hyperlink>
        </w:p>
        <w:p w14:paraId="4E5F4BF0" w14:textId="428B33E5" w:rsidR="001A5CA3" w:rsidRDefault="00423457">
          <w:pPr>
            <w:pStyle w:val="TOC2"/>
            <w:tabs>
              <w:tab w:val="left" w:pos="1021"/>
            </w:tabs>
            <w:rPr>
              <w:rFonts w:asciiTheme="minorHAnsi" w:eastAsiaTheme="minorEastAsia" w:hAnsiTheme="minorHAnsi" w:cstheme="minorBidi"/>
              <w:b w:val="0"/>
              <w:noProof/>
              <w:szCs w:val="22"/>
              <w:lang w:eastAsia="en-AU"/>
            </w:rPr>
          </w:pPr>
          <w:hyperlink w:anchor="_Toc39587414" w:history="1">
            <w:r w:rsidR="001A5CA3" w:rsidRPr="005C12F0">
              <w:rPr>
                <w:rStyle w:val="Hyperlink"/>
                <w:noProof/>
              </w:rPr>
              <w:t>3</w:t>
            </w:r>
            <w:r w:rsidR="001A5CA3">
              <w:rPr>
                <w:rFonts w:asciiTheme="minorHAnsi" w:eastAsiaTheme="minorEastAsia" w:hAnsiTheme="minorHAnsi" w:cstheme="minorBidi"/>
                <w:b w:val="0"/>
                <w:noProof/>
                <w:szCs w:val="22"/>
                <w:lang w:eastAsia="en-AU"/>
              </w:rPr>
              <w:tab/>
            </w:r>
            <w:r w:rsidR="001A5CA3" w:rsidRPr="005C12F0">
              <w:rPr>
                <w:rStyle w:val="Hyperlink"/>
                <w:noProof/>
              </w:rPr>
              <w:t>Final decisions made pursuant to regulation 42ZCZR – proposals referred to the November 2019 Advisory Committee on Chemicals Scheduling (ACCS #26)</w:t>
            </w:r>
            <w:r w:rsidR="001A5CA3">
              <w:rPr>
                <w:noProof/>
                <w:webHidden/>
              </w:rPr>
              <w:tab/>
            </w:r>
            <w:r w:rsidR="001A5CA3">
              <w:rPr>
                <w:noProof/>
                <w:webHidden/>
              </w:rPr>
              <w:fldChar w:fldCharType="begin"/>
            </w:r>
            <w:r w:rsidR="001A5CA3">
              <w:rPr>
                <w:noProof/>
                <w:webHidden/>
              </w:rPr>
              <w:instrText xml:space="preserve"> PAGEREF _Toc39587414 \h </w:instrText>
            </w:r>
            <w:r w:rsidR="001A5CA3">
              <w:rPr>
                <w:noProof/>
                <w:webHidden/>
              </w:rPr>
            </w:r>
            <w:r w:rsidR="001A5CA3">
              <w:rPr>
                <w:noProof/>
                <w:webHidden/>
              </w:rPr>
              <w:fldChar w:fldCharType="separate"/>
            </w:r>
            <w:r w:rsidR="00E34C68">
              <w:rPr>
                <w:noProof/>
                <w:webHidden/>
              </w:rPr>
              <w:t>24</w:t>
            </w:r>
            <w:r w:rsidR="001A5CA3">
              <w:rPr>
                <w:noProof/>
                <w:webHidden/>
              </w:rPr>
              <w:fldChar w:fldCharType="end"/>
            </w:r>
          </w:hyperlink>
        </w:p>
        <w:p w14:paraId="38F10490" w14:textId="09DE4D1A" w:rsidR="001A5CA3" w:rsidRDefault="00423457">
          <w:pPr>
            <w:pStyle w:val="TOC3"/>
            <w:tabs>
              <w:tab w:val="left" w:pos="1760"/>
            </w:tabs>
            <w:rPr>
              <w:rFonts w:asciiTheme="minorHAnsi" w:eastAsiaTheme="minorEastAsia" w:hAnsiTheme="minorHAnsi" w:cstheme="minorBidi"/>
              <w:noProof/>
              <w:szCs w:val="22"/>
              <w:lang w:eastAsia="en-AU"/>
            </w:rPr>
          </w:pPr>
          <w:hyperlink w:anchor="_Toc39587415" w:history="1">
            <w:r w:rsidR="001A5CA3" w:rsidRPr="005C12F0">
              <w:rPr>
                <w:rStyle w:val="Hyperlink"/>
                <w:noProof/>
              </w:rPr>
              <w:t>3.1.</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Carbon monoxide</w:t>
            </w:r>
            <w:r w:rsidR="001A5CA3">
              <w:rPr>
                <w:noProof/>
                <w:webHidden/>
              </w:rPr>
              <w:tab/>
            </w:r>
            <w:r w:rsidR="001A5CA3">
              <w:rPr>
                <w:noProof/>
                <w:webHidden/>
              </w:rPr>
              <w:fldChar w:fldCharType="begin"/>
            </w:r>
            <w:r w:rsidR="001A5CA3">
              <w:rPr>
                <w:noProof/>
                <w:webHidden/>
              </w:rPr>
              <w:instrText xml:space="preserve"> PAGEREF _Toc39587415 \h </w:instrText>
            </w:r>
            <w:r w:rsidR="001A5CA3">
              <w:rPr>
                <w:noProof/>
                <w:webHidden/>
              </w:rPr>
            </w:r>
            <w:r w:rsidR="001A5CA3">
              <w:rPr>
                <w:noProof/>
                <w:webHidden/>
              </w:rPr>
              <w:fldChar w:fldCharType="separate"/>
            </w:r>
            <w:r w:rsidR="00E34C68">
              <w:rPr>
                <w:noProof/>
                <w:webHidden/>
              </w:rPr>
              <w:t>24</w:t>
            </w:r>
            <w:r w:rsidR="001A5CA3">
              <w:rPr>
                <w:noProof/>
                <w:webHidden/>
              </w:rPr>
              <w:fldChar w:fldCharType="end"/>
            </w:r>
          </w:hyperlink>
        </w:p>
        <w:p w14:paraId="1148E201" w14:textId="3A24C5A5" w:rsidR="001A5CA3" w:rsidRDefault="00423457">
          <w:pPr>
            <w:pStyle w:val="TOC3"/>
            <w:tabs>
              <w:tab w:val="left" w:pos="1760"/>
            </w:tabs>
            <w:rPr>
              <w:rFonts w:asciiTheme="minorHAnsi" w:eastAsiaTheme="minorEastAsia" w:hAnsiTheme="minorHAnsi" w:cstheme="minorBidi"/>
              <w:noProof/>
              <w:szCs w:val="22"/>
              <w:lang w:eastAsia="en-AU"/>
            </w:rPr>
          </w:pPr>
          <w:hyperlink w:anchor="_Toc39587416" w:history="1">
            <w:r w:rsidR="001A5CA3" w:rsidRPr="005C12F0">
              <w:rPr>
                <w:rStyle w:val="Hyperlink"/>
                <w:noProof/>
              </w:rPr>
              <w:t>3.2.</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Momfluorothrin</w:t>
            </w:r>
            <w:r w:rsidR="001A5CA3">
              <w:rPr>
                <w:noProof/>
                <w:webHidden/>
              </w:rPr>
              <w:tab/>
            </w:r>
            <w:r w:rsidR="001A5CA3">
              <w:rPr>
                <w:noProof/>
                <w:webHidden/>
              </w:rPr>
              <w:fldChar w:fldCharType="begin"/>
            </w:r>
            <w:r w:rsidR="001A5CA3">
              <w:rPr>
                <w:noProof/>
                <w:webHidden/>
              </w:rPr>
              <w:instrText xml:space="preserve"> PAGEREF _Toc39587416 \h </w:instrText>
            </w:r>
            <w:r w:rsidR="001A5CA3">
              <w:rPr>
                <w:noProof/>
                <w:webHidden/>
              </w:rPr>
            </w:r>
            <w:r w:rsidR="001A5CA3">
              <w:rPr>
                <w:noProof/>
                <w:webHidden/>
              </w:rPr>
              <w:fldChar w:fldCharType="separate"/>
            </w:r>
            <w:r w:rsidR="00E34C68">
              <w:rPr>
                <w:noProof/>
                <w:webHidden/>
              </w:rPr>
              <w:t>25</w:t>
            </w:r>
            <w:r w:rsidR="001A5CA3">
              <w:rPr>
                <w:noProof/>
                <w:webHidden/>
              </w:rPr>
              <w:fldChar w:fldCharType="end"/>
            </w:r>
          </w:hyperlink>
        </w:p>
        <w:p w14:paraId="34130419" w14:textId="536B98E5" w:rsidR="001A5CA3" w:rsidRDefault="00423457">
          <w:pPr>
            <w:pStyle w:val="TOC3"/>
            <w:tabs>
              <w:tab w:val="left" w:pos="1760"/>
            </w:tabs>
            <w:rPr>
              <w:rFonts w:asciiTheme="minorHAnsi" w:eastAsiaTheme="minorEastAsia" w:hAnsiTheme="minorHAnsi" w:cstheme="minorBidi"/>
              <w:noProof/>
              <w:szCs w:val="22"/>
              <w:lang w:eastAsia="en-AU"/>
            </w:rPr>
          </w:pPr>
          <w:hyperlink w:anchor="_Toc39587417" w:history="1">
            <w:r w:rsidR="001A5CA3" w:rsidRPr="005C12F0">
              <w:rPr>
                <w:rStyle w:val="Hyperlink"/>
                <w:noProof/>
              </w:rPr>
              <w:t>3.3.</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Tetraniliprole</w:t>
            </w:r>
            <w:r w:rsidR="001A5CA3">
              <w:rPr>
                <w:noProof/>
                <w:webHidden/>
              </w:rPr>
              <w:tab/>
            </w:r>
            <w:r w:rsidR="001A5CA3">
              <w:rPr>
                <w:noProof/>
                <w:webHidden/>
              </w:rPr>
              <w:fldChar w:fldCharType="begin"/>
            </w:r>
            <w:r w:rsidR="001A5CA3">
              <w:rPr>
                <w:noProof/>
                <w:webHidden/>
              </w:rPr>
              <w:instrText xml:space="preserve"> PAGEREF _Toc39587417 \h </w:instrText>
            </w:r>
            <w:r w:rsidR="001A5CA3">
              <w:rPr>
                <w:noProof/>
                <w:webHidden/>
              </w:rPr>
            </w:r>
            <w:r w:rsidR="001A5CA3">
              <w:rPr>
                <w:noProof/>
                <w:webHidden/>
              </w:rPr>
              <w:fldChar w:fldCharType="separate"/>
            </w:r>
            <w:r w:rsidR="00E34C68">
              <w:rPr>
                <w:noProof/>
                <w:webHidden/>
              </w:rPr>
              <w:t>26</w:t>
            </w:r>
            <w:r w:rsidR="001A5CA3">
              <w:rPr>
                <w:noProof/>
                <w:webHidden/>
              </w:rPr>
              <w:fldChar w:fldCharType="end"/>
            </w:r>
          </w:hyperlink>
        </w:p>
        <w:p w14:paraId="589114B6" w14:textId="55025C06" w:rsidR="001A5CA3" w:rsidRDefault="00423457">
          <w:pPr>
            <w:pStyle w:val="TOC3"/>
            <w:tabs>
              <w:tab w:val="left" w:pos="1760"/>
            </w:tabs>
            <w:rPr>
              <w:rFonts w:asciiTheme="minorHAnsi" w:eastAsiaTheme="minorEastAsia" w:hAnsiTheme="minorHAnsi" w:cstheme="minorBidi"/>
              <w:noProof/>
              <w:szCs w:val="22"/>
              <w:lang w:eastAsia="en-AU"/>
            </w:rPr>
          </w:pPr>
          <w:hyperlink w:anchor="_Toc39587418" w:history="1">
            <w:r w:rsidR="001A5CA3" w:rsidRPr="005C12F0">
              <w:rPr>
                <w:rStyle w:val="Hyperlink"/>
                <w:noProof/>
              </w:rPr>
              <w:t>3.4.</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Methiozolin</w:t>
            </w:r>
            <w:r w:rsidR="001A5CA3">
              <w:rPr>
                <w:noProof/>
                <w:webHidden/>
              </w:rPr>
              <w:tab/>
            </w:r>
            <w:r w:rsidR="001A5CA3">
              <w:rPr>
                <w:noProof/>
                <w:webHidden/>
              </w:rPr>
              <w:fldChar w:fldCharType="begin"/>
            </w:r>
            <w:r w:rsidR="001A5CA3">
              <w:rPr>
                <w:noProof/>
                <w:webHidden/>
              </w:rPr>
              <w:instrText xml:space="preserve"> PAGEREF _Toc39587418 \h </w:instrText>
            </w:r>
            <w:r w:rsidR="001A5CA3">
              <w:rPr>
                <w:noProof/>
                <w:webHidden/>
              </w:rPr>
            </w:r>
            <w:r w:rsidR="001A5CA3">
              <w:rPr>
                <w:noProof/>
                <w:webHidden/>
              </w:rPr>
              <w:fldChar w:fldCharType="separate"/>
            </w:r>
            <w:r w:rsidR="00E34C68">
              <w:rPr>
                <w:noProof/>
                <w:webHidden/>
              </w:rPr>
              <w:t>27</w:t>
            </w:r>
            <w:r w:rsidR="001A5CA3">
              <w:rPr>
                <w:noProof/>
                <w:webHidden/>
              </w:rPr>
              <w:fldChar w:fldCharType="end"/>
            </w:r>
          </w:hyperlink>
        </w:p>
        <w:p w14:paraId="50D47DF5" w14:textId="190ADC3C" w:rsidR="001A5CA3" w:rsidRDefault="00423457">
          <w:pPr>
            <w:pStyle w:val="TOC3"/>
            <w:tabs>
              <w:tab w:val="left" w:pos="1760"/>
            </w:tabs>
            <w:rPr>
              <w:rFonts w:asciiTheme="minorHAnsi" w:eastAsiaTheme="minorEastAsia" w:hAnsiTheme="minorHAnsi" w:cstheme="minorBidi"/>
              <w:noProof/>
              <w:szCs w:val="22"/>
              <w:lang w:eastAsia="en-AU"/>
            </w:rPr>
          </w:pPr>
          <w:hyperlink w:anchor="_Toc39587419" w:history="1">
            <w:r w:rsidR="001A5CA3" w:rsidRPr="005C12F0">
              <w:rPr>
                <w:rStyle w:val="Hyperlink"/>
                <w:noProof/>
              </w:rPr>
              <w:t>3.5.</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Lambda-cyhalothrin</w:t>
            </w:r>
            <w:r w:rsidR="001A5CA3">
              <w:rPr>
                <w:noProof/>
                <w:webHidden/>
              </w:rPr>
              <w:tab/>
            </w:r>
            <w:r w:rsidR="001A5CA3">
              <w:rPr>
                <w:noProof/>
                <w:webHidden/>
              </w:rPr>
              <w:fldChar w:fldCharType="begin"/>
            </w:r>
            <w:r w:rsidR="001A5CA3">
              <w:rPr>
                <w:noProof/>
                <w:webHidden/>
              </w:rPr>
              <w:instrText xml:space="preserve"> PAGEREF _Toc39587419 \h </w:instrText>
            </w:r>
            <w:r w:rsidR="001A5CA3">
              <w:rPr>
                <w:noProof/>
                <w:webHidden/>
              </w:rPr>
            </w:r>
            <w:r w:rsidR="001A5CA3">
              <w:rPr>
                <w:noProof/>
                <w:webHidden/>
              </w:rPr>
              <w:fldChar w:fldCharType="separate"/>
            </w:r>
            <w:r w:rsidR="00E34C68">
              <w:rPr>
                <w:noProof/>
                <w:webHidden/>
              </w:rPr>
              <w:t>28</w:t>
            </w:r>
            <w:r w:rsidR="001A5CA3">
              <w:rPr>
                <w:noProof/>
                <w:webHidden/>
              </w:rPr>
              <w:fldChar w:fldCharType="end"/>
            </w:r>
          </w:hyperlink>
        </w:p>
        <w:p w14:paraId="02F0F2CE" w14:textId="7D8A4894" w:rsidR="001A5CA3" w:rsidRDefault="00423457">
          <w:pPr>
            <w:pStyle w:val="TOC2"/>
            <w:tabs>
              <w:tab w:val="left" w:pos="1021"/>
            </w:tabs>
            <w:rPr>
              <w:rFonts w:asciiTheme="minorHAnsi" w:eastAsiaTheme="minorEastAsia" w:hAnsiTheme="minorHAnsi" w:cstheme="minorBidi"/>
              <w:b w:val="0"/>
              <w:noProof/>
              <w:szCs w:val="22"/>
              <w:lang w:eastAsia="en-AU"/>
            </w:rPr>
          </w:pPr>
          <w:hyperlink w:anchor="_Toc39587420" w:history="1">
            <w:r w:rsidR="001A5CA3" w:rsidRPr="005C12F0">
              <w:rPr>
                <w:rStyle w:val="Hyperlink"/>
                <w:noProof/>
              </w:rPr>
              <w:t>4</w:t>
            </w:r>
            <w:r w:rsidR="001A5CA3">
              <w:rPr>
                <w:rFonts w:asciiTheme="minorHAnsi" w:eastAsiaTheme="minorEastAsia" w:hAnsiTheme="minorHAnsi" w:cstheme="minorBidi"/>
                <w:b w:val="0"/>
                <w:noProof/>
                <w:szCs w:val="22"/>
                <w:lang w:eastAsia="en-AU"/>
              </w:rPr>
              <w:tab/>
            </w:r>
            <w:r w:rsidR="001A5CA3" w:rsidRPr="005C12F0">
              <w:rPr>
                <w:rStyle w:val="Hyperlink"/>
                <w:noProof/>
              </w:rPr>
              <w:t>Final decision(s) (without interim decision) made pursuant to regulation 42ZCZU</w:t>
            </w:r>
            <w:r w:rsidR="001A5CA3">
              <w:rPr>
                <w:noProof/>
                <w:webHidden/>
              </w:rPr>
              <w:tab/>
            </w:r>
            <w:r w:rsidR="001A5CA3">
              <w:rPr>
                <w:noProof/>
                <w:webHidden/>
              </w:rPr>
              <w:fldChar w:fldCharType="begin"/>
            </w:r>
            <w:r w:rsidR="001A5CA3">
              <w:rPr>
                <w:noProof/>
                <w:webHidden/>
              </w:rPr>
              <w:instrText xml:space="preserve"> PAGEREF _Toc39587420 \h </w:instrText>
            </w:r>
            <w:r w:rsidR="001A5CA3">
              <w:rPr>
                <w:noProof/>
                <w:webHidden/>
              </w:rPr>
            </w:r>
            <w:r w:rsidR="001A5CA3">
              <w:rPr>
                <w:noProof/>
                <w:webHidden/>
              </w:rPr>
              <w:fldChar w:fldCharType="separate"/>
            </w:r>
            <w:r w:rsidR="00E34C68">
              <w:rPr>
                <w:noProof/>
                <w:webHidden/>
              </w:rPr>
              <w:t>29</w:t>
            </w:r>
            <w:r w:rsidR="001A5CA3">
              <w:rPr>
                <w:noProof/>
                <w:webHidden/>
              </w:rPr>
              <w:fldChar w:fldCharType="end"/>
            </w:r>
          </w:hyperlink>
        </w:p>
        <w:p w14:paraId="709F714B" w14:textId="10F19661" w:rsidR="001A5CA3" w:rsidRDefault="00423457">
          <w:pPr>
            <w:pStyle w:val="TOC3"/>
            <w:tabs>
              <w:tab w:val="left" w:pos="1760"/>
            </w:tabs>
            <w:rPr>
              <w:rFonts w:asciiTheme="minorHAnsi" w:eastAsiaTheme="minorEastAsia" w:hAnsiTheme="minorHAnsi" w:cstheme="minorBidi"/>
              <w:noProof/>
              <w:szCs w:val="22"/>
              <w:lang w:eastAsia="en-AU"/>
            </w:rPr>
          </w:pPr>
          <w:hyperlink w:anchor="_Toc39587421" w:history="1">
            <w:r w:rsidR="001A5CA3" w:rsidRPr="005C12F0">
              <w:rPr>
                <w:rStyle w:val="Hyperlink"/>
                <w:noProof/>
              </w:rPr>
              <w:t>4.1.</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Acequinocyl</w:t>
            </w:r>
            <w:r w:rsidR="001A5CA3">
              <w:rPr>
                <w:noProof/>
                <w:webHidden/>
              </w:rPr>
              <w:tab/>
            </w:r>
            <w:r w:rsidR="001A5CA3">
              <w:rPr>
                <w:noProof/>
                <w:webHidden/>
              </w:rPr>
              <w:fldChar w:fldCharType="begin"/>
            </w:r>
            <w:r w:rsidR="001A5CA3">
              <w:rPr>
                <w:noProof/>
                <w:webHidden/>
              </w:rPr>
              <w:instrText xml:space="preserve"> PAGEREF _Toc39587421 \h </w:instrText>
            </w:r>
            <w:r w:rsidR="001A5CA3">
              <w:rPr>
                <w:noProof/>
                <w:webHidden/>
              </w:rPr>
            </w:r>
            <w:r w:rsidR="001A5CA3">
              <w:rPr>
                <w:noProof/>
                <w:webHidden/>
              </w:rPr>
              <w:fldChar w:fldCharType="separate"/>
            </w:r>
            <w:r w:rsidR="00E34C68">
              <w:rPr>
                <w:noProof/>
                <w:webHidden/>
              </w:rPr>
              <w:t>29</w:t>
            </w:r>
            <w:r w:rsidR="001A5CA3">
              <w:rPr>
                <w:noProof/>
                <w:webHidden/>
              </w:rPr>
              <w:fldChar w:fldCharType="end"/>
            </w:r>
          </w:hyperlink>
        </w:p>
        <w:p w14:paraId="2FCA4DC0" w14:textId="1139BD7A" w:rsidR="001A5CA3" w:rsidRDefault="00423457">
          <w:pPr>
            <w:pStyle w:val="TOC3"/>
            <w:tabs>
              <w:tab w:val="left" w:pos="1760"/>
            </w:tabs>
            <w:rPr>
              <w:rFonts w:asciiTheme="minorHAnsi" w:eastAsiaTheme="minorEastAsia" w:hAnsiTheme="minorHAnsi" w:cstheme="minorBidi"/>
              <w:noProof/>
              <w:szCs w:val="22"/>
              <w:lang w:eastAsia="en-AU"/>
            </w:rPr>
          </w:pPr>
          <w:hyperlink w:anchor="_Toc39587422" w:history="1">
            <w:r w:rsidR="001A5CA3" w:rsidRPr="005C12F0">
              <w:rPr>
                <w:rStyle w:val="Hyperlink"/>
                <w:noProof/>
              </w:rPr>
              <w:t>4.2.</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Agrobacterium radiobacter (Rhizobium rhizogenes)</w:t>
            </w:r>
            <w:r w:rsidR="001A5CA3">
              <w:rPr>
                <w:noProof/>
                <w:webHidden/>
              </w:rPr>
              <w:tab/>
            </w:r>
            <w:r w:rsidR="001A5CA3">
              <w:rPr>
                <w:noProof/>
                <w:webHidden/>
              </w:rPr>
              <w:fldChar w:fldCharType="begin"/>
            </w:r>
            <w:r w:rsidR="001A5CA3">
              <w:rPr>
                <w:noProof/>
                <w:webHidden/>
              </w:rPr>
              <w:instrText xml:space="preserve"> PAGEREF _Toc39587422 \h </w:instrText>
            </w:r>
            <w:r w:rsidR="001A5CA3">
              <w:rPr>
                <w:noProof/>
                <w:webHidden/>
              </w:rPr>
            </w:r>
            <w:r w:rsidR="001A5CA3">
              <w:rPr>
                <w:noProof/>
                <w:webHidden/>
              </w:rPr>
              <w:fldChar w:fldCharType="separate"/>
            </w:r>
            <w:r w:rsidR="00E34C68">
              <w:rPr>
                <w:noProof/>
                <w:webHidden/>
              </w:rPr>
              <w:t>34</w:t>
            </w:r>
            <w:r w:rsidR="001A5CA3">
              <w:rPr>
                <w:noProof/>
                <w:webHidden/>
              </w:rPr>
              <w:fldChar w:fldCharType="end"/>
            </w:r>
          </w:hyperlink>
        </w:p>
        <w:p w14:paraId="7F1580C2" w14:textId="38DA944A" w:rsidR="001A5CA3" w:rsidRDefault="00423457">
          <w:pPr>
            <w:pStyle w:val="TOC3"/>
            <w:tabs>
              <w:tab w:val="left" w:pos="1760"/>
            </w:tabs>
            <w:rPr>
              <w:rFonts w:asciiTheme="minorHAnsi" w:eastAsiaTheme="minorEastAsia" w:hAnsiTheme="minorHAnsi" w:cstheme="minorBidi"/>
              <w:noProof/>
              <w:szCs w:val="22"/>
              <w:lang w:eastAsia="en-AU"/>
            </w:rPr>
          </w:pPr>
          <w:hyperlink w:anchor="_Toc39587423" w:history="1">
            <w:r w:rsidR="001A5CA3" w:rsidRPr="005C12F0">
              <w:rPr>
                <w:rStyle w:val="Hyperlink"/>
                <w:noProof/>
              </w:rPr>
              <w:t>4.3.</w:t>
            </w:r>
            <w:r w:rsidR="001A5CA3">
              <w:rPr>
                <w:rFonts w:asciiTheme="minorHAnsi" w:eastAsiaTheme="minorEastAsia" w:hAnsiTheme="minorHAnsi" w:cstheme="minorBidi"/>
                <w:noProof/>
                <w:szCs w:val="22"/>
                <w:lang w:eastAsia="en-AU"/>
              </w:rPr>
              <w:tab/>
            </w:r>
            <w:r w:rsidR="001A5CA3" w:rsidRPr="005C12F0">
              <w:rPr>
                <w:rStyle w:val="Hyperlink"/>
                <w:noProof/>
              </w:rPr>
              <w:t>Final decision in relation to Nonanoic acid</w:t>
            </w:r>
            <w:r w:rsidR="001A5CA3">
              <w:rPr>
                <w:noProof/>
                <w:webHidden/>
              </w:rPr>
              <w:tab/>
            </w:r>
            <w:r w:rsidR="001A5CA3">
              <w:rPr>
                <w:noProof/>
                <w:webHidden/>
              </w:rPr>
              <w:fldChar w:fldCharType="begin"/>
            </w:r>
            <w:r w:rsidR="001A5CA3">
              <w:rPr>
                <w:noProof/>
                <w:webHidden/>
              </w:rPr>
              <w:instrText xml:space="preserve"> PAGEREF _Toc39587423 \h </w:instrText>
            </w:r>
            <w:r w:rsidR="001A5CA3">
              <w:rPr>
                <w:noProof/>
                <w:webHidden/>
              </w:rPr>
            </w:r>
            <w:r w:rsidR="001A5CA3">
              <w:rPr>
                <w:noProof/>
                <w:webHidden/>
              </w:rPr>
              <w:fldChar w:fldCharType="separate"/>
            </w:r>
            <w:r w:rsidR="00E34C68">
              <w:rPr>
                <w:noProof/>
                <w:webHidden/>
              </w:rPr>
              <w:t>39</w:t>
            </w:r>
            <w:r w:rsidR="001A5CA3">
              <w:rPr>
                <w:noProof/>
                <w:webHidden/>
              </w:rPr>
              <w:fldChar w:fldCharType="end"/>
            </w:r>
          </w:hyperlink>
        </w:p>
        <w:p w14:paraId="76F993A6" w14:textId="6FE128ED" w:rsidR="001A5CA3" w:rsidRDefault="00423457">
          <w:pPr>
            <w:pStyle w:val="TOC2"/>
            <w:tabs>
              <w:tab w:val="left" w:pos="1021"/>
            </w:tabs>
            <w:rPr>
              <w:rFonts w:asciiTheme="minorHAnsi" w:eastAsiaTheme="minorEastAsia" w:hAnsiTheme="minorHAnsi" w:cstheme="minorBidi"/>
              <w:b w:val="0"/>
              <w:noProof/>
              <w:szCs w:val="22"/>
              <w:lang w:eastAsia="en-AU"/>
            </w:rPr>
          </w:pPr>
          <w:hyperlink w:anchor="_Toc39587424" w:history="1">
            <w:r w:rsidR="001A5CA3" w:rsidRPr="005C12F0">
              <w:rPr>
                <w:rStyle w:val="Hyperlink"/>
                <w:noProof/>
              </w:rPr>
              <w:t>5</w:t>
            </w:r>
            <w:r w:rsidR="001A5CA3">
              <w:rPr>
                <w:rFonts w:asciiTheme="minorHAnsi" w:eastAsiaTheme="minorEastAsia" w:hAnsiTheme="minorHAnsi" w:cstheme="minorBidi"/>
                <w:b w:val="0"/>
                <w:noProof/>
                <w:szCs w:val="22"/>
                <w:lang w:eastAsia="en-AU"/>
              </w:rPr>
              <w:tab/>
            </w:r>
            <w:r w:rsidR="001A5CA3" w:rsidRPr="005C12F0">
              <w:rPr>
                <w:rStyle w:val="Hyperlink"/>
                <w:noProof/>
              </w:rPr>
              <w:t>Notice of an amendment to the current Poisons Standard in relation to Modified-release (MR) paracetamol</w:t>
            </w:r>
            <w:r w:rsidR="001A5CA3">
              <w:rPr>
                <w:noProof/>
                <w:webHidden/>
              </w:rPr>
              <w:tab/>
            </w:r>
            <w:r w:rsidR="001A5CA3">
              <w:rPr>
                <w:noProof/>
                <w:webHidden/>
              </w:rPr>
              <w:fldChar w:fldCharType="begin"/>
            </w:r>
            <w:r w:rsidR="001A5CA3">
              <w:rPr>
                <w:noProof/>
                <w:webHidden/>
              </w:rPr>
              <w:instrText xml:space="preserve"> PAGEREF _Toc39587424 \h </w:instrText>
            </w:r>
            <w:r w:rsidR="001A5CA3">
              <w:rPr>
                <w:noProof/>
                <w:webHidden/>
              </w:rPr>
            </w:r>
            <w:r w:rsidR="001A5CA3">
              <w:rPr>
                <w:noProof/>
                <w:webHidden/>
              </w:rPr>
              <w:fldChar w:fldCharType="separate"/>
            </w:r>
            <w:r w:rsidR="00E34C68">
              <w:rPr>
                <w:noProof/>
                <w:webHidden/>
              </w:rPr>
              <w:t>46</w:t>
            </w:r>
            <w:r w:rsidR="001A5CA3">
              <w:rPr>
                <w:noProof/>
                <w:webHidden/>
              </w:rPr>
              <w:fldChar w:fldCharType="end"/>
            </w:r>
          </w:hyperlink>
        </w:p>
        <w:p w14:paraId="5FA24D33" w14:textId="19E5B49E" w:rsidR="001A5CA3" w:rsidRDefault="00423457">
          <w:pPr>
            <w:pStyle w:val="TOC3"/>
            <w:tabs>
              <w:tab w:val="left" w:pos="1760"/>
            </w:tabs>
            <w:rPr>
              <w:rFonts w:asciiTheme="minorHAnsi" w:eastAsiaTheme="minorEastAsia" w:hAnsiTheme="minorHAnsi" w:cstheme="minorBidi"/>
              <w:noProof/>
              <w:szCs w:val="22"/>
              <w:lang w:eastAsia="en-AU"/>
            </w:rPr>
          </w:pPr>
          <w:hyperlink w:anchor="_Toc39587425" w:history="1">
            <w:r w:rsidR="001A5CA3" w:rsidRPr="005C12F0">
              <w:rPr>
                <w:rStyle w:val="Hyperlink"/>
                <w:noProof/>
              </w:rPr>
              <w:t>5.1.</w:t>
            </w:r>
            <w:r w:rsidR="001A5CA3">
              <w:rPr>
                <w:rFonts w:asciiTheme="minorHAnsi" w:eastAsiaTheme="minorEastAsia" w:hAnsiTheme="minorHAnsi" w:cstheme="minorBidi"/>
                <w:noProof/>
                <w:szCs w:val="22"/>
                <w:lang w:eastAsia="en-AU"/>
              </w:rPr>
              <w:tab/>
            </w:r>
            <w:r w:rsidR="001A5CA3" w:rsidRPr="005C12F0">
              <w:rPr>
                <w:rStyle w:val="Hyperlink"/>
                <w:noProof/>
              </w:rPr>
              <w:t>Decision in relation to modified-release (MR) paracetamol</w:t>
            </w:r>
            <w:r w:rsidR="001A5CA3">
              <w:rPr>
                <w:noProof/>
                <w:webHidden/>
              </w:rPr>
              <w:tab/>
            </w:r>
            <w:r w:rsidR="001A5CA3">
              <w:rPr>
                <w:noProof/>
                <w:webHidden/>
              </w:rPr>
              <w:fldChar w:fldCharType="begin"/>
            </w:r>
            <w:r w:rsidR="001A5CA3">
              <w:rPr>
                <w:noProof/>
                <w:webHidden/>
              </w:rPr>
              <w:instrText xml:space="preserve"> PAGEREF _Toc39587425 \h </w:instrText>
            </w:r>
            <w:r w:rsidR="001A5CA3">
              <w:rPr>
                <w:noProof/>
                <w:webHidden/>
              </w:rPr>
            </w:r>
            <w:r w:rsidR="001A5CA3">
              <w:rPr>
                <w:noProof/>
                <w:webHidden/>
              </w:rPr>
              <w:fldChar w:fldCharType="separate"/>
            </w:r>
            <w:r w:rsidR="00E34C68">
              <w:rPr>
                <w:noProof/>
                <w:webHidden/>
              </w:rPr>
              <w:t>46</w:t>
            </w:r>
            <w:r w:rsidR="001A5CA3">
              <w:rPr>
                <w:noProof/>
                <w:webHidden/>
              </w:rPr>
              <w:fldChar w:fldCharType="end"/>
            </w:r>
          </w:hyperlink>
        </w:p>
        <w:p w14:paraId="0D7D79C8" w14:textId="77EE32EC" w:rsidR="001A5CA3" w:rsidRDefault="001A5CA3">
          <w:r>
            <w:rPr>
              <w:b/>
              <w:bCs/>
              <w:noProof/>
            </w:rPr>
            <w:fldChar w:fldCharType="end"/>
          </w:r>
        </w:p>
      </w:sdtContent>
    </w:sdt>
    <w:p w14:paraId="2DF83BF7" w14:textId="0C61939F" w:rsidR="00B646C0" w:rsidRPr="00FC2FAC" w:rsidRDefault="002A1676" w:rsidP="001A5CA3">
      <w:pPr>
        <w:pStyle w:val="Heading2"/>
        <w:pageBreakBefore/>
        <w:ind w:left="357" w:hanging="357"/>
      </w:pPr>
      <w:bookmarkStart w:id="5" w:name="_Toc39587402"/>
      <w:r w:rsidRPr="002A1676">
        <w:lastRenderedPageBreak/>
        <w:t>Final decisions mad</w:t>
      </w:r>
      <w:r w:rsidR="00C66ED5">
        <w:t>e pursuant to regulation 42ZCZR</w:t>
      </w:r>
      <w:r>
        <w:t xml:space="preserve"> – proposals referred to the November 2019 </w:t>
      </w:r>
      <w:r w:rsidR="00B646C0">
        <w:t>Advisory Committee on Medicines Schedule (ACMS #2</w:t>
      </w:r>
      <w:r>
        <w:t>8</w:t>
      </w:r>
      <w:r w:rsidR="005B20F9">
        <w:t>)</w:t>
      </w:r>
      <w:bookmarkEnd w:id="5"/>
    </w:p>
    <w:p w14:paraId="2AA8D99F" w14:textId="02509584" w:rsidR="006B652C" w:rsidRPr="00EE463E" w:rsidRDefault="006B652C" w:rsidP="00E325D5">
      <w:pPr>
        <w:pStyle w:val="Heading3"/>
      </w:pPr>
      <w:bookmarkStart w:id="6" w:name="_Toc39587403"/>
      <w:r>
        <w:t>Final</w:t>
      </w:r>
      <w:r w:rsidRPr="00EE463E">
        <w:t xml:space="preserve"> decision in relation to </w:t>
      </w:r>
      <w:sdt>
        <w:sdtPr>
          <w:id w:val="1042876081"/>
          <w:placeholder>
            <w:docPart w:val="FDF71CEA34C848F1AB08E2620D1CD428"/>
          </w:placeholder>
        </w:sdtPr>
        <w:sdtEndPr/>
        <w:sdtContent>
          <w:r w:rsidR="007E3ED7">
            <w:t>Sumatripan</w:t>
          </w:r>
        </w:sdtContent>
      </w:sdt>
      <w:bookmarkEnd w:id="6"/>
    </w:p>
    <w:tbl>
      <w:tblPr>
        <w:tblStyle w:val="TableGrid"/>
        <w:tblW w:w="0" w:type="auto"/>
        <w:tblLook w:val="04A0" w:firstRow="1" w:lastRow="0" w:firstColumn="1" w:lastColumn="0" w:noHBand="0" w:noVBand="1"/>
      </w:tblPr>
      <w:tblGrid>
        <w:gridCol w:w="9628"/>
      </w:tblGrid>
      <w:tr w:rsidR="006B652C" w14:paraId="41CE1816" w14:textId="77777777" w:rsidTr="004474D5">
        <w:tc>
          <w:tcPr>
            <w:tcW w:w="9854" w:type="dxa"/>
          </w:tcPr>
          <w:p w14:paraId="32DE98D1" w14:textId="42137B75" w:rsidR="007E3ED7" w:rsidRDefault="006B652C" w:rsidP="0071224C">
            <w:pPr>
              <w:pStyle w:val="Heading4"/>
              <w:keepNext w:val="0"/>
              <w:keepLines w:val="0"/>
              <w:widowControl w:val="0"/>
            </w:pPr>
            <w:r w:rsidRPr="008036B7">
              <w:t>Final decision</w:t>
            </w:r>
          </w:p>
          <w:p w14:paraId="105F0961" w14:textId="4FA7DBD3" w:rsidR="001749BD" w:rsidRDefault="006B652C" w:rsidP="001749BD">
            <w:r>
              <w:t xml:space="preserve">Pursuant to regulation 42ZCZR of the Regulations, a Delegate of the Secretary has made a final decision to </w:t>
            </w:r>
            <w:r w:rsidR="00481B8C">
              <w:t>vary</w:t>
            </w:r>
            <w:r>
              <w:t xml:space="preserve"> </w:t>
            </w:r>
            <w:r w:rsidRPr="005203C8">
              <w:t>the interim decision</w:t>
            </w:r>
            <w:r>
              <w:t xml:space="preserve"> and </w:t>
            </w:r>
            <w:r w:rsidR="001749BD">
              <w:t>amend the current Poisons Standard in rela</w:t>
            </w:r>
            <w:r w:rsidR="005B20F9">
              <w:t>tion to sumatriptan as follows:</w:t>
            </w:r>
          </w:p>
          <w:p w14:paraId="28F77979" w14:textId="5EEBC792" w:rsidR="001749BD" w:rsidRPr="00190C6E" w:rsidRDefault="005B20F9" w:rsidP="007C3182">
            <w:pPr>
              <w:autoSpaceDE w:val="0"/>
              <w:autoSpaceDN w:val="0"/>
              <w:adjustRightInd w:val="0"/>
              <w:spacing w:before="0" w:after="0" w:line="360" w:lineRule="auto"/>
              <w:ind w:left="426"/>
              <w:rPr>
                <w:rFonts w:cs="Cambria"/>
                <w:color w:val="000000"/>
                <w:szCs w:val="22"/>
              </w:rPr>
            </w:pPr>
            <w:r>
              <w:rPr>
                <w:rFonts w:cs="Cambria"/>
                <w:b/>
                <w:bCs/>
                <w:color w:val="000000"/>
                <w:szCs w:val="22"/>
              </w:rPr>
              <w:t>Schedule 4 – Amend Entry</w:t>
            </w:r>
          </w:p>
          <w:p w14:paraId="38FBE961" w14:textId="3329FB1D" w:rsidR="001749BD" w:rsidRPr="00190C6E" w:rsidRDefault="001749BD" w:rsidP="007C3182">
            <w:pPr>
              <w:autoSpaceDE w:val="0"/>
              <w:autoSpaceDN w:val="0"/>
              <w:adjustRightInd w:val="0"/>
              <w:spacing w:before="0" w:after="0" w:line="360" w:lineRule="auto"/>
              <w:ind w:left="426"/>
              <w:rPr>
                <w:rFonts w:cs="Cambria"/>
                <w:color w:val="FF0000"/>
                <w:szCs w:val="22"/>
              </w:rPr>
            </w:pPr>
            <w:r w:rsidRPr="000E79FA">
              <w:rPr>
                <w:rFonts w:cs="Cambria"/>
                <w:szCs w:val="22"/>
              </w:rPr>
              <w:t xml:space="preserve">SUMATRIPTAN </w:t>
            </w:r>
            <w:r w:rsidRPr="00190C6E">
              <w:rPr>
                <w:rFonts w:cs="Cambria"/>
                <w:b/>
                <w:bCs/>
                <w:color w:val="FF0000"/>
                <w:szCs w:val="22"/>
              </w:rPr>
              <w:t xml:space="preserve">except </w:t>
            </w:r>
            <w:r w:rsidR="005B20F9">
              <w:rPr>
                <w:rFonts w:cs="Cambria"/>
                <w:color w:val="FF0000"/>
                <w:szCs w:val="22"/>
              </w:rPr>
              <w:t>when included in Schedule 3.</w:t>
            </w:r>
          </w:p>
          <w:p w14:paraId="33350096" w14:textId="6CFFF210" w:rsidR="001749BD" w:rsidRPr="00190C6E" w:rsidRDefault="005B20F9" w:rsidP="007C3182">
            <w:pPr>
              <w:autoSpaceDE w:val="0"/>
              <w:autoSpaceDN w:val="0"/>
              <w:adjustRightInd w:val="0"/>
              <w:spacing w:before="0" w:after="0" w:line="360" w:lineRule="auto"/>
              <w:ind w:left="426"/>
              <w:rPr>
                <w:rFonts w:cs="Cambria"/>
                <w:color w:val="000000"/>
                <w:szCs w:val="22"/>
              </w:rPr>
            </w:pPr>
            <w:r>
              <w:rPr>
                <w:rFonts w:cs="Cambria"/>
                <w:b/>
                <w:bCs/>
                <w:color w:val="000000"/>
                <w:szCs w:val="22"/>
              </w:rPr>
              <w:t>Schedule 3 – New Entry</w:t>
            </w:r>
          </w:p>
          <w:p w14:paraId="136445E0" w14:textId="77777777" w:rsidR="001749BD" w:rsidRPr="005B20F9" w:rsidRDefault="001749BD" w:rsidP="007C3182">
            <w:pPr>
              <w:ind w:left="426"/>
              <w:rPr>
                <w:color w:val="FF0000"/>
              </w:rPr>
            </w:pPr>
            <w:r w:rsidRPr="005B20F9">
              <w:rPr>
                <w:color w:val="FF0000"/>
              </w:rPr>
              <w:t>SUMATRIPTAN when in divided oral preparations containing 50 milligrams or less per dosage unit and when sold in a pack containing not more than 2 dosage units for the acute relief of migraine in patients who have a stable, well-established pattern of symptoms.</w:t>
            </w:r>
          </w:p>
          <w:p w14:paraId="08D94B84" w14:textId="4E15A17B" w:rsidR="001749BD" w:rsidRPr="00190C6E" w:rsidRDefault="005B20F9" w:rsidP="007C3182">
            <w:pPr>
              <w:autoSpaceDE w:val="0"/>
              <w:autoSpaceDN w:val="0"/>
              <w:adjustRightInd w:val="0"/>
              <w:spacing w:before="0" w:after="0" w:line="360" w:lineRule="auto"/>
              <w:ind w:left="426"/>
              <w:rPr>
                <w:rFonts w:cs="Cambria"/>
                <w:color w:val="000000"/>
                <w:szCs w:val="22"/>
              </w:rPr>
            </w:pPr>
            <w:r>
              <w:rPr>
                <w:rFonts w:cs="Cambria"/>
                <w:b/>
                <w:bCs/>
                <w:color w:val="000000"/>
                <w:szCs w:val="22"/>
              </w:rPr>
              <w:t>Appendix H – New Entry</w:t>
            </w:r>
          </w:p>
          <w:p w14:paraId="1332AFB8" w14:textId="7FD5998C" w:rsidR="001749BD" w:rsidRPr="00190C6E" w:rsidRDefault="005B20F9" w:rsidP="007C3182">
            <w:pPr>
              <w:autoSpaceDE w:val="0"/>
              <w:autoSpaceDN w:val="0"/>
              <w:adjustRightInd w:val="0"/>
              <w:spacing w:before="0" w:after="0" w:line="360" w:lineRule="auto"/>
              <w:ind w:left="426"/>
              <w:rPr>
                <w:rFonts w:cs="Cambria"/>
                <w:color w:val="FF0000"/>
                <w:szCs w:val="22"/>
              </w:rPr>
            </w:pPr>
            <w:r>
              <w:rPr>
                <w:rFonts w:cs="Cambria"/>
                <w:color w:val="FF0000"/>
                <w:szCs w:val="22"/>
              </w:rPr>
              <w:t>SUMATRIPTAN</w:t>
            </w:r>
          </w:p>
          <w:p w14:paraId="1A8BD221" w14:textId="384273C5" w:rsidR="001749BD" w:rsidRPr="00190C6E" w:rsidRDefault="005B20F9" w:rsidP="007C3182">
            <w:pPr>
              <w:autoSpaceDE w:val="0"/>
              <w:autoSpaceDN w:val="0"/>
              <w:adjustRightInd w:val="0"/>
              <w:spacing w:before="0" w:after="0" w:line="360" w:lineRule="auto"/>
              <w:ind w:left="426"/>
              <w:rPr>
                <w:rFonts w:cs="Cambria"/>
                <w:color w:val="000000"/>
                <w:szCs w:val="22"/>
              </w:rPr>
            </w:pPr>
            <w:r>
              <w:rPr>
                <w:rFonts w:cs="Cambria"/>
                <w:b/>
                <w:bCs/>
                <w:color w:val="000000"/>
                <w:szCs w:val="22"/>
              </w:rPr>
              <w:t>Index – Amend Entry</w:t>
            </w:r>
          </w:p>
          <w:p w14:paraId="0108FCE1" w14:textId="4CCAC8A6" w:rsidR="001749BD" w:rsidRPr="005B20F9" w:rsidRDefault="005B20F9" w:rsidP="007C3182">
            <w:pPr>
              <w:ind w:left="426"/>
              <w:rPr>
                <w:b/>
              </w:rPr>
            </w:pPr>
            <w:r w:rsidRPr="005B20F9">
              <w:rPr>
                <w:b/>
              </w:rPr>
              <w:t>SUMATRIPTAN</w:t>
            </w:r>
          </w:p>
          <w:p w14:paraId="17E000B0" w14:textId="72FD5AFC" w:rsidR="001749BD" w:rsidRPr="00190C6E" w:rsidRDefault="005B20F9" w:rsidP="007C3182">
            <w:pPr>
              <w:ind w:left="426"/>
              <w:rPr>
                <w:color w:val="FF0000"/>
              </w:rPr>
            </w:pPr>
            <w:r>
              <w:t>Schedule 4</w:t>
            </w:r>
            <w:r>
              <w:br/>
            </w:r>
            <w:r>
              <w:rPr>
                <w:rFonts w:cs="Cambria"/>
                <w:color w:val="FF0000"/>
                <w:szCs w:val="22"/>
              </w:rPr>
              <w:t>Schedule 3</w:t>
            </w:r>
            <w:r>
              <w:rPr>
                <w:rFonts w:cs="Cambria"/>
                <w:color w:val="FF0000"/>
                <w:szCs w:val="22"/>
              </w:rPr>
              <w:br/>
            </w:r>
            <w:r w:rsidR="001749BD" w:rsidRPr="00190C6E">
              <w:rPr>
                <w:rFonts w:cs="Cambria"/>
                <w:color w:val="FF0000"/>
                <w:szCs w:val="22"/>
              </w:rPr>
              <w:t>Appendix H</w:t>
            </w:r>
          </w:p>
          <w:p w14:paraId="073017CD" w14:textId="395EDF5F" w:rsidR="006B652C" w:rsidRDefault="006B652C" w:rsidP="00190515">
            <w:pPr>
              <w:pStyle w:val="Heading4"/>
            </w:pPr>
            <w:r>
              <w:t>Reasons for the final decision (including findings on material questions of fact)</w:t>
            </w:r>
          </w:p>
          <w:p w14:paraId="57C02CDC" w14:textId="205F9E93" w:rsidR="00481B8C" w:rsidRDefault="00432BCE" w:rsidP="005B20F9">
            <w:r>
              <w:t xml:space="preserve">I confirm the reasons for my final decision </w:t>
            </w:r>
            <w:r w:rsidRPr="00432BCE">
              <w:t xml:space="preserve">to create a Schedule 3 entry for sumatriptan </w:t>
            </w:r>
            <w:r>
              <w:t xml:space="preserve">are as detailed in my interim decision. Further to this, </w:t>
            </w:r>
            <w:r w:rsidR="00481B8C" w:rsidRPr="00731F40">
              <w:t xml:space="preserve">I have </w:t>
            </w:r>
            <w:r w:rsidR="00481B8C">
              <w:t xml:space="preserve">decided </w:t>
            </w:r>
            <w:r w:rsidR="00481B8C" w:rsidRPr="00731F40">
              <w:t>to</w:t>
            </w:r>
            <w:r w:rsidR="00481B8C">
              <w:t xml:space="preserve"> vary my </w:t>
            </w:r>
            <w:hyperlink r:id="rId9" w:history="1">
              <w:r w:rsidR="00481B8C" w:rsidRPr="00156981">
                <w:rPr>
                  <w:rStyle w:val="Hyperlink"/>
                </w:rPr>
                <w:t>interim decision</w:t>
              </w:r>
            </w:hyperlink>
            <w:r w:rsidR="00481B8C">
              <w:t xml:space="preserve">, to take into account dosage units and the specific indication </w:t>
            </w:r>
            <w:r w:rsidR="00481B8C" w:rsidRPr="009D6764">
              <w:t>for the acute relief of migraine</w:t>
            </w:r>
            <w:r w:rsidR="00481B8C">
              <w:t xml:space="preserve"> </w:t>
            </w:r>
            <w:r w:rsidR="00481B8C" w:rsidRPr="00890423">
              <w:rPr>
                <w:rFonts w:cs="Cambria"/>
              </w:rPr>
              <w:t>in patients who have a stable, well-established pattern of symptoms</w:t>
            </w:r>
            <w:r w:rsidR="00481B8C">
              <w:t>. I consider the indication specific wording of the entry would support the</w:t>
            </w:r>
            <w:r w:rsidR="00481B8C" w:rsidRPr="000566DF">
              <w:t xml:space="preserve"> quality use</w:t>
            </w:r>
            <w:r w:rsidR="00481B8C">
              <w:t xml:space="preserve"> of sumatriptan</w:t>
            </w:r>
            <w:r w:rsidR="00481B8C" w:rsidRPr="000566DF">
              <w:t xml:space="preserve"> under a Schedule 3 classification</w:t>
            </w:r>
            <w:r w:rsidR="005B20F9">
              <w:t xml:space="preserve">. </w:t>
            </w:r>
            <w:r w:rsidR="00481B8C" w:rsidRPr="00C858BE">
              <w:t xml:space="preserve">I </w:t>
            </w:r>
            <w:r w:rsidR="00481B8C">
              <w:t>also af</w:t>
            </w:r>
            <w:r w:rsidR="00481B8C" w:rsidRPr="00C858BE">
              <w:t xml:space="preserve">firm my </w:t>
            </w:r>
            <w:hyperlink r:id="rId10" w:history="1">
              <w:r w:rsidR="00481B8C" w:rsidRPr="00C858BE">
                <w:rPr>
                  <w:rStyle w:val="Hyperlink"/>
                  <w:rFonts w:asciiTheme="minorHAnsi" w:hAnsiTheme="minorHAnsi"/>
                  <w:szCs w:val="22"/>
                </w:rPr>
                <w:t>interim decision</w:t>
              </w:r>
            </w:hyperlink>
            <w:r w:rsidR="00481B8C" w:rsidRPr="00C858BE">
              <w:t xml:space="preserve"> to </w:t>
            </w:r>
            <w:r w:rsidR="00481B8C">
              <w:t xml:space="preserve">create an Appendix H entry for sumatriptan. </w:t>
            </w:r>
            <w:r w:rsidR="00481B8C" w:rsidRPr="00A96577">
              <w:t xml:space="preserve">In making my final decision, I have taken into account </w:t>
            </w:r>
            <w:r w:rsidR="007F0968">
              <w:t xml:space="preserve">the material detailed in the interim decision and </w:t>
            </w:r>
            <w:r w:rsidR="00481B8C" w:rsidRPr="00A96577">
              <w:t xml:space="preserve">the two submissions received before the </w:t>
            </w:r>
            <w:hyperlink r:id="rId11" w:history="1">
              <w:r w:rsidR="00481B8C" w:rsidRPr="00A96577">
                <w:rPr>
                  <w:rStyle w:val="Hyperlink"/>
                  <w:rFonts w:asciiTheme="minorHAnsi" w:hAnsiTheme="minorHAnsi"/>
                  <w:szCs w:val="22"/>
                </w:rPr>
                <w:t>second closing date</w:t>
              </w:r>
            </w:hyperlink>
            <w:r w:rsidR="00481B8C" w:rsidRPr="00A96577">
              <w:t xml:space="preserve"> in response to the call for further subm</w:t>
            </w:r>
            <w:r w:rsidR="00481B8C">
              <w:t>issions published on 6 February </w:t>
            </w:r>
            <w:r w:rsidR="00481B8C" w:rsidRPr="00A96577">
              <w:t>2020 under regulation 42ZCZP of the Regulations.</w:t>
            </w:r>
          </w:p>
          <w:p w14:paraId="5B0DC3A6" w14:textId="3656E8AC" w:rsidR="006B652C" w:rsidRPr="00AB338F" w:rsidRDefault="00481B8C" w:rsidP="00AA5CB2">
            <w:r>
              <w:t>While I note the public submission expressing the view that if one triptan is suitable for down-scheduling then it is appropriate for all triptans to be down-scheduled at the same time, this consideration has not</w:t>
            </w:r>
            <w:r w:rsidR="005B20F9">
              <w:t xml:space="preserve"> been material to my decision. </w:t>
            </w:r>
            <w:r>
              <w:t>The triptans are listed individually in the Poisons Standard and this current application is for sumatriptan only. As per the requirements of the SPF 2018, each individual substance must be assessed against the Scheduling Factors on their own merits.</w:t>
            </w:r>
          </w:p>
          <w:p w14:paraId="3A17AFA4" w14:textId="77777777" w:rsidR="006B652C" w:rsidRDefault="006B652C" w:rsidP="00190515">
            <w:pPr>
              <w:pStyle w:val="Heading4"/>
            </w:pPr>
            <w:r>
              <w:t>Summary of p</w:t>
            </w:r>
            <w:r w:rsidRPr="001A1B0E">
              <w:t>ublic submissions on the interim decision</w:t>
            </w:r>
          </w:p>
          <w:p w14:paraId="1A9A947A" w14:textId="06D2DEDE" w:rsidR="001749BD" w:rsidRDefault="001749BD" w:rsidP="00AA5CB2">
            <w:r w:rsidRPr="008D41FC">
              <w:t xml:space="preserve">In response to </w:t>
            </w:r>
            <w:r>
              <w:t>the interim decisi</w:t>
            </w:r>
            <w:r w:rsidRPr="006D5E58">
              <w:t>on, two (2) su</w:t>
            </w:r>
            <w:r w:rsidRPr="004026EF">
              <w:t xml:space="preserve">bmissions were received.  </w:t>
            </w:r>
            <w:r w:rsidRPr="006D5E58">
              <w:t>Both</w:t>
            </w:r>
            <w:r w:rsidRPr="004026EF">
              <w:t xml:space="preserve"> submissions supported the </w:t>
            </w:r>
            <w:r w:rsidR="005B20F9">
              <w:t>interim decision.</w:t>
            </w:r>
          </w:p>
          <w:p w14:paraId="5847D8C6" w14:textId="5C37EB08" w:rsidR="005448BE" w:rsidRPr="005B7BF1" w:rsidRDefault="005448BE" w:rsidP="00AA5CB2">
            <w:pPr>
              <w:keepNext/>
              <w:rPr>
                <w:b/>
              </w:rPr>
            </w:pPr>
            <w:r w:rsidRPr="005B7BF1">
              <w:lastRenderedPageBreak/>
              <w:t>The main points provided in support of the interim decision were:</w:t>
            </w:r>
          </w:p>
          <w:p w14:paraId="373ECD95" w14:textId="77777777" w:rsidR="001749BD" w:rsidRPr="006D5E58" w:rsidRDefault="001749BD" w:rsidP="005B20F9">
            <w:pPr>
              <w:pStyle w:val="ListBullet"/>
            </w:pPr>
            <w:r w:rsidRPr="006D5E58">
              <w:t>The submissions provided by industry stakeholders supported the proposed amendments and inclusion within Appendix H.</w:t>
            </w:r>
          </w:p>
          <w:p w14:paraId="7F61AEFB" w14:textId="4B443363" w:rsidR="001749BD" w:rsidRPr="006D5E58" w:rsidRDefault="001749BD" w:rsidP="005B20F9">
            <w:pPr>
              <w:pStyle w:val="ListBullet"/>
            </w:pPr>
            <w:r w:rsidRPr="006D5E58">
              <w:t>One submission agreed the access controls in place for a Schedule 3 medicine are appropriate and sufficient to mitigate the</w:t>
            </w:r>
            <w:r w:rsidR="005B20F9">
              <w:t xml:space="preserve"> risk of misuse of sumatriptan.</w:t>
            </w:r>
          </w:p>
          <w:p w14:paraId="6182DBED" w14:textId="77777777" w:rsidR="001749BD" w:rsidRPr="006D5E58" w:rsidRDefault="001749BD" w:rsidP="005B20F9">
            <w:pPr>
              <w:pStyle w:val="ListBullet"/>
            </w:pPr>
            <w:r w:rsidRPr="006D5E58">
              <w:t>Both submissions noted that the implementation date of February 2021 was decided by the delegate to allow the opportunity for sponsors to adhere to regulatory change and the opportunity to align labelling requirements to be developed and for the development of education and training material to be provided to pharmacists.</w:t>
            </w:r>
          </w:p>
          <w:p w14:paraId="39B9F57A" w14:textId="42863F90" w:rsidR="006B652C" w:rsidRDefault="001749BD" w:rsidP="005B20F9">
            <w:pPr>
              <w:pStyle w:val="ListBullet"/>
            </w:pPr>
            <w:r w:rsidRPr="006D5E58">
              <w:t>One submission discussed that if one triptan is suitable for down</w:t>
            </w:r>
            <w:r>
              <w:t>-</w:t>
            </w:r>
            <w:r w:rsidRPr="006D5E58">
              <w:t>s</w:t>
            </w:r>
            <w:r>
              <w:t>c</w:t>
            </w:r>
            <w:r w:rsidRPr="006D5E58">
              <w:t>heduling then it would be appropriate for all of the triptans to be down</w:t>
            </w:r>
            <w:r>
              <w:t>-</w:t>
            </w:r>
            <w:r w:rsidRPr="006D5E58">
              <w:t>scheduled at the same time in the absence of evidence that there is a particular reason why one particular triptan does not meet the scheduling criteria.</w:t>
            </w:r>
          </w:p>
          <w:p w14:paraId="2E0B2D6D" w14:textId="77777777" w:rsidR="006B652C" w:rsidRDefault="006B652C" w:rsidP="00190515">
            <w:pPr>
              <w:pStyle w:val="Heading4"/>
            </w:pPr>
            <w:r>
              <w:t>D</w:t>
            </w:r>
            <w:r w:rsidRPr="002E13B1">
              <w:t xml:space="preserve">ate of effect of the </w:t>
            </w:r>
            <w:r>
              <w:t>decision</w:t>
            </w:r>
          </w:p>
          <w:p w14:paraId="7DDA7BD8" w14:textId="76E5D4D0" w:rsidR="006B652C" w:rsidRPr="005B7BF1" w:rsidRDefault="00423457" w:rsidP="000C2955">
            <w:sdt>
              <w:sdtPr>
                <w:rPr>
                  <w:b/>
                </w:rPr>
                <w:id w:val="817151129"/>
                <w:placeholder>
                  <w:docPart w:val="95DB0FE2BD7D4AAEA031C079E045CD9D"/>
                </w:placeholder>
                <w:date w:fullDate="2021-02-01T00:00:00Z">
                  <w:dateFormat w:val="d MMMM yyyy"/>
                  <w:lid w:val="en-AU"/>
                  <w:storeMappedDataAs w:val="dateTime"/>
                  <w:calendar w:val="gregorian"/>
                </w:date>
              </w:sdtPr>
              <w:sdtEndPr/>
              <w:sdtContent>
                <w:r w:rsidR="00481B8C" w:rsidRPr="000C2955">
                  <w:rPr>
                    <w:b/>
                  </w:rPr>
                  <w:t>1 February 2021</w:t>
                </w:r>
              </w:sdtContent>
            </w:sdt>
          </w:p>
        </w:tc>
      </w:tr>
    </w:tbl>
    <w:p w14:paraId="5EFA0DFA" w14:textId="369ABA93" w:rsidR="006B652C" w:rsidRPr="00EE463E" w:rsidRDefault="006B652C" w:rsidP="00E325D5">
      <w:pPr>
        <w:pStyle w:val="Heading3"/>
        <w:pageBreakBefore/>
        <w:spacing w:before="0"/>
      </w:pPr>
      <w:bookmarkStart w:id="7" w:name="_Toc39587404"/>
      <w:r>
        <w:lastRenderedPageBreak/>
        <w:t>Final</w:t>
      </w:r>
      <w:r w:rsidRPr="00EE463E">
        <w:t xml:space="preserve"> decision in relation to </w:t>
      </w:r>
      <w:sdt>
        <w:sdtPr>
          <w:id w:val="-964121696"/>
          <w:placeholder>
            <w:docPart w:val="7D3FC0EAA576400CA0B9BC2B3E1D8B3D"/>
          </w:placeholder>
        </w:sdtPr>
        <w:sdtEndPr/>
        <w:sdtContent>
          <w:r w:rsidR="0067357E">
            <w:t>Zolmitriptan</w:t>
          </w:r>
        </w:sdtContent>
      </w:sdt>
      <w:bookmarkEnd w:id="7"/>
    </w:p>
    <w:tbl>
      <w:tblPr>
        <w:tblStyle w:val="TableGrid"/>
        <w:tblW w:w="0" w:type="auto"/>
        <w:tblLook w:val="04A0" w:firstRow="1" w:lastRow="0" w:firstColumn="1" w:lastColumn="0" w:noHBand="0" w:noVBand="1"/>
      </w:tblPr>
      <w:tblGrid>
        <w:gridCol w:w="9628"/>
      </w:tblGrid>
      <w:tr w:rsidR="006B652C" w14:paraId="6D6FFB8F" w14:textId="77777777" w:rsidTr="004474D5">
        <w:tc>
          <w:tcPr>
            <w:tcW w:w="9854" w:type="dxa"/>
          </w:tcPr>
          <w:p w14:paraId="39F7295B" w14:textId="77777777" w:rsidR="006B652C" w:rsidRPr="008036B7" w:rsidRDefault="006B652C" w:rsidP="005B7BBE">
            <w:pPr>
              <w:pStyle w:val="Heading4"/>
              <w:keepNext w:val="0"/>
              <w:keepLines w:val="0"/>
              <w:widowControl w:val="0"/>
            </w:pPr>
            <w:r w:rsidRPr="008036B7">
              <w:t>Final decision</w:t>
            </w:r>
          </w:p>
          <w:p w14:paraId="59FA535C" w14:textId="1F4AC44E" w:rsidR="006B652C" w:rsidRDefault="006B652C" w:rsidP="004474D5">
            <w:r>
              <w:t xml:space="preserve">Pursuant to regulation 42ZCZR of the Regulations, a Delegate of the Secretary has made a final decision to </w:t>
            </w:r>
            <w:sdt>
              <w:sdtPr>
                <w:id w:val="-1913686701"/>
                <w:placeholder>
                  <w:docPart w:val="0773AF80396D4BD2B9857948EE8EAEF5"/>
                </w:placeholder>
                <w:dropDownList>
                  <w:listItem w:displayText="confirm" w:value="confirm"/>
                  <w:listItem w:displayText="vary" w:value="vary"/>
                  <w:listItem w:displayText="set aside" w:value="set aside"/>
                </w:dropDownList>
              </w:sdtPr>
              <w:sdtEndPr/>
              <w:sdtContent>
                <w:r w:rsidR="00481B8C">
                  <w:t>vary</w:t>
                </w:r>
              </w:sdtContent>
            </w:sdt>
            <w:r>
              <w:t xml:space="preserve"> </w:t>
            </w:r>
            <w:r w:rsidRPr="005203C8">
              <w:t>the interim decision</w:t>
            </w:r>
            <w:r>
              <w:t xml:space="preserve"> and </w:t>
            </w:r>
            <w:sdt>
              <w:sdtPr>
                <w:id w:val="1250930076"/>
                <w:placeholder>
                  <w:docPart w:val="41857D61E18744F7913F8470CF15691E"/>
                </w:placeholder>
                <w:comboBox>
                  <w:listItem w:displayText="amend the current Poisons Standard in relation to [insert name of substance] as follows: [insert amendments]" w:value="amend the current Poisons Standard in relation to [insert name of substance] as follows: [insert amendments]"/>
                  <w:listItem w:displayText="not amend the current Poisons Standard in relation to [insert name of substance]" w:value="not amend the current Poisons Standard in relation to [insert name of substance]"/>
                </w:comboBox>
              </w:sdtPr>
              <w:sdtEndPr/>
              <w:sdtContent>
                <w:r w:rsidR="00481B8C">
                  <w:t>amend the current Poisons Standard in relation to zolmitriptan as follows:</w:t>
                </w:r>
              </w:sdtContent>
            </w:sdt>
          </w:p>
          <w:p w14:paraId="5C2326E2" w14:textId="73323AA0" w:rsidR="00481B8C" w:rsidRPr="007640BF" w:rsidRDefault="005B20F9" w:rsidP="008F7052">
            <w:pPr>
              <w:spacing w:after="120"/>
              <w:ind w:left="425"/>
            </w:pPr>
            <w:r>
              <w:rPr>
                <w:b/>
                <w:bCs/>
              </w:rPr>
              <w:t>Schedule 4 – Amend Entry</w:t>
            </w:r>
          </w:p>
          <w:p w14:paraId="4B97A15D" w14:textId="3DC9B399" w:rsidR="00481B8C" w:rsidRPr="007640BF" w:rsidRDefault="00481B8C" w:rsidP="008F7052">
            <w:pPr>
              <w:spacing w:before="120" w:after="120"/>
              <w:ind w:left="425"/>
            </w:pPr>
            <w:r w:rsidRPr="007640BF">
              <w:t xml:space="preserve">ZOLMITRIPTAN </w:t>
            </w:r>
            <w:r w:rsidRPr="007640BF">
              <w:rPr>
                <w:b/>
                <w:bCs/>
                <w:color w:val="FF0000"/>
              </w:rPr>
              <w:t xml:space="preserve">except </w:t>
            </w:r>
            <w:r w:rsidR="005B20F9">
              <w:rPr>
                <w:color w:val="FF0000"/>
              </w:rPr>
              <w:t>when included in Schedule 3.</w:t>
            </w:r>
          </w:p>
          <w:p w14:paraId="131650E4" w14:textId="54FD1E40" w:rsidR="00481B8C" w:rsidRPr="007640BF" w:rsidRDefault="005B20F9" w:rsidP="008F7052">
            <w:pPr>
              <w:spacing w:before="120" w:after="120"/>
              <w:ind w:left="425"/>
            </w:pPr>
            <w:r>
              <w:rPr>
                <w:b/>
                <w:bCs/>
              </w:rPr>
              <w:t>Schedule 3 – New Entry</w:t>
            </w:r>
          </w:p>
          <w:p w14:paraId="5A2A0814" w14:textId="77777777" w:rsidR="00481B8C" w:rsidRPr="008F2D1D" w:rsidRDefault="00481B8C" w:rsidP="008F7052">
            <w:pPr>
              <w:autoSpaceDE w:val="0"/>
              <w:autoSpaceDN w:val="0"/>
              <w:adjustRightInd w:val="0"/>
              <w:spacing w:before="120" w:after="120" w:line="240" w:lineRule="auto"/>
              <w:ind w:left="425"/>
              <w:rPr>
                <w:rFonts w:cs="Cambria"/>
                <w:color w:val="FF0000"/>
                <w:szCs w:val="22"/>
              </w:rPr>
            </w:pPr>
            <w:r w:rsidRPr="00885CC5">
              <w:rPr>
                <w:rFonts w:cs="Cambria"/>
                <w:color w:val="FF0000"/>
                <w:szCs w:val="22"/>
              </w:rPr>
              <w:t>ZOLMITRIPTAN when in divided oral preparations containing 2.</w:t>
            </w:r>
            <w:r w:rsidRPr="008F2D1D">
              <w:rPr>
                <w:rFonts w:cs="Cambria"/>
                <w:color w:val="FF0000"/>
                <w:szCs w:val="22"/>
              </w:rPr>
              <w:t>5 milligrams or less per dosage unit and when sold in a pack containing not more than 2 dosage units for the acute relief of migraine in patients who have a stable, well-established pattern of symptoms.</w:t>
            </w:r>
          </w:p>
          <w:p w14:paraId="1984CB86" w14:textId="3D36D8EB" w:rsidR="00481B8C" w:rsidRPr="007640BF" w:rsidRDefault="005B20F9" w:rsidP="008F7052">
            <w:pPr>
              <w:spacing w:before="120" w:after="120"/>
              <w:ind w:left="425"/>
            </w:pPr>
            <w:r>
              <w:rPr>
                <w:b/>
                <w:bCs/>
              </w:rPr>
              <w:t>Appendix H – New Entry</w:t>
            </w:r>
          </w:p>
          <w:p w14:paraId="16808882" w14:textId="46BCB28A" w:rsidR="00481B8C" w:rsidRPr="007640BF" w:rsidRDefault="005B20F9" w:rsidP="008F7052">
            <w:pPr>
              <w:spacing w:before="120" w:after="120"/>
              <w:ind w:left="425"/>
              <w:rPr>
                <w:color w:val="FF0000"/>
              </w:rPr>
            </w:pPr>
            <w:r>
              <w:rPr>
                <w:color w:val="FF0000"/>
              </w:rPr>
              <w:t>ZOLMITRIPTAN</w:t>
            </w:r>
          </w:p>
          <w:p w14:paraId="5C0198E0" w14:textId="182FACCE" w:rsidR="00481B8C" w:rsidRPr="007640BF" w:rsidRDefault="00481B8C" w:rsidP="008F7052">
            <w:pPr>
              <w:spacing w:before="120" w:after="120"/>
              <w:ind w:left="425"/>
            </w:pPr>
            <w:r w:rsidRPr="007640BF">
              <w:rPr>
                <w:b/>
                <w:bCs/>
              </w:rPr>
              <w:t>Index – Amend Ent</w:t>
            </w:r>
            <w:r w:rsidR="005B20F9">
              <w:rPr>
                <w:b/>
                <w:bCs/>
              </w:rPr>
              <w:t>ry</w:t>
            </w:r>
          </w:p>
          <w:p w14:paraId="4452A550" w14:textId="7553611C" w:rsidR="00481B8C" w:rsidRPr="007640BF" w:rsidRDefault="005B20F9" w:rsidP="008F7052">
            <w:pPr>
              <w:spacing w:before="120" w:after="120"/>
              <w:ind w:left="425"/>
            </w:pPr>
            <w:r>
              <w:rPr>
                <w:b/>
                <w:bCs/>
              </w:rPr>
              <w:t>ZOLMITRIPTAN</w:t>
            </w:r>
          </w:p>
          <w:p w14:paraId="360A4885" w14:textId="6FC4490C" w:rsidR="0067357E" w:rsidRDefault="005B20F9" w:rsidP="008F7052">
            <w:pPr>
              <w:spacing w:before="120"/>
              <w:ind w:left="426"/>
            </w:pPr>
            <w:r>
              <w:t>Schedule 4</w:t>
            </w:r>
            <w:r>
              <w:br/>
            </w:r>
            <w:r>
              <w:rPr>
                <w:color w:val="FF0000"/>
              </w:rPr>
              <w:t>Schedule 3</w:t>
            </w:r>
            <w:r>
              <w:rPr>
                <w:color w:val="FF0000"/>
              </w:rPr>
              <w:br/>
            </w:r>
            <w:r w:rsidR="00481B8C" w:rsidRPr="007640BF">
              <w:rPr>
                <w:color w:val="FF0000"/>
              </w:rPr>
              <w:t>Appendix H</w:t>
            </w:r>
          </w:p>
          <w:p w14:paraId="735CDF50" w14:textId="77777777" w:rsidR="006B652C" w:rsidRDefault="006B652C" w:rsidP="00190515">
            <w:pPr>
              <w:pStyle w:val="Heading4"/>
            </w:pPr>
            <w:r>
              <w:t>Reasons for the final decision (including findings on material questions of fact)</w:t>
            </w:r>
          </w:p>
          <w:p w14:paraId="1DBF4957" w14:textId="19AB8E4C" w:rsidR="00AB338F" w:rsidRDefault="00C66ED5" w:rsidP="005B7BF1">
            <w:pPr>
              <w:spacing w:before="120"/>
            </w:pPr>
            <w:r>
              <w:t xml:space="preserve">I confirm the reasons for my final decision to create a Schedule 3 entry for zolmitriptan are as detailed in my interim decision. </w:t>
            </w:r>
            <w:r w:rsidR="00AB338F" w:rsidRPr="00731F40">
              <w:t xml:space="preserve">I have </w:t>
            </w:r>
            <w:r w:rsidR="00AB338F">
              <w:t xml:space="preserve">decided </w:t>
            </w:r>
            <w:r w:rsidR="00AB338F" w:rsidRPr="00731F40">
              <w:t>to</w:t>
            </w:r>
            <w:r w:rsidR="00AB338F">
              <w:t xml:space="preserve"> vary the </w:t>
            </w:r>
            <w:hyperlink r:id="rId12" w:history="1">
              <w:r w:rsidR="00AB338F" w:rsidRPr="00156981">
                <w:rPr>
                  <w:rStyle w:val="Hyperlink"/>
                </w:rPr>
                <w:t>interim decision</w:t>
              </w:r>
            </w:hyperlink>
            <w:r w:rsidR="00AB338F" w:rsidRPr="00A96577">
              <w:t xml:space="preserve"> </w:t>
            </w:r>
            <w:r w:rsidR="00AB338F" w:rsidRPr="009D6764">
              <w:t>to take into account dosage units and the specific indicatio</w:t>
            </w:r>
            <w:r w:rsidR="00AB338F">
              <w:t>n</w:t>
            </w:r>
            <w:r w:rsidR="00AB338F" w:rsidRPr="009D6764">
              <w:t xml:space="preserve"> for the acute relief of migraine in patients who have a stable, well-</w:t>
            </w:r>
            <w:r w:rsidR="00AB338F">
              <w:t xml:space="preserve">established pattern of symptoms. I </w:t>
            </w:r>
            <w:r w:rsidR="00AB338F" w:rsidRPr="009D6764">
              <w:t>consider the indicatio</w:t>
            </w:r>
            <w:r w:rsidR="00AB338F">
              <w:t>n specific wording of the entry</w:t>
            </w:r>
            <w:r w:rsidR="00AB338F" w:rsidRPr="009D6764">
              <w:t xml:space="preserve"> would support the quality use of </w:t>
            </w:r>
            <w:r w:rsidR="00AB338F">
              <w:t>zolmitriptan</w:t>
            </w:r>
            <w:r w:rsidR="00AB338F" w:rsidRPr="009D6764">
              <w:t xml:space="preserve"> under</w:t>
            </w:r>
            <w:r w:rsidR="00AB338F">
              <w:t xml:space="preserve"> a Schedule 3 classification. </w:t>
            </w:r>
            <w:r w:rsidR="00AB338F" w:rsidRPr="009D6764">
              <w:t>I also</w:t>
            </w:r>
            <w:r w:rsidR="00AB338F">
              <w:t xml:space="preserve"> </w:t>
            </w:r>
            <w:r>
              <w:t>affirm</w:t>
            </w:r>
            <w:r w:rsidR="00AB338F" w:rsidRPr="00C858BE">
              <w:t xml:space="preserve"> my </w:t>
            </w:r>
            <w:hyperlink r:id="rId13" w:history="1">
              <w:r w:rsidR="00AB338F" w:rsidRPr="00C858BE">
                <w:rPr>
                  <w:rStyle w:val="Hyperlink"/>
                  <w:rFonts w:asciiTheme="minorHAnsi" w:hAnsiTheme="minorHAnsi"/>
                  <w:szCs w:val="22"/>
                </w:rPr>
                <w:t>interim decision</w:t>
              </w:r>
            </w:hyperlink>
            <w:r w:rsidR="00AB338F" w:rsidRPr="00C858BE">
              <w:t xml:space="preserve"> to </w:t>
            </w:r>
            <w:r w:rsidR="00AB338F">
              <w:t xml:space="preserve">create an Appendix H entry for zolmitriptan. </w:t>
            </w:r>
            <w:r w:rsidR="00AB338F" w:rsidRPr="00A96577">
              <w:t xml:space="preserve">In making my final decision, I have taken </w:t>
            </w:r>
            <w:r>
              <w:t>into account the material detailed in the interim decision and</w:t>
            </w:r>
            <w:r w:rsidR="00AB338F" w:rsidRPr="00A96577">
              <w:t xml:space="preserve"> the two submissions received before the </w:t>
            </w:r>
            <w:hyperlink r:id="rId14" w:history="1">
              <w:r w:rsidR="00AB338F" w:rsidRPr="00A96577">
                <w:rPr>
                  <w:rStyle w:val="Hyperlink"/>
                  <w:rFonts w:asciiTheme="minorHAnsi" w:hAnsiTheme="minorHAnsi"/>
                  <w:szCs w:val="22"/>
                </w:rPr>
                <w:t>second closing date</w:t>
              </w:r>
            </w:hyperlink>
            <w:r w:rsidR="00AB338F" w:rsidRPr="00A96577">
              <w:t xml:space="preserve"> in response to the call for further subm</w:t>
            </w:r>
            <w:r w:rsidR="00AB338F">
              <w:t>issions published on 6 February </w:t>
            </w:r>
            <w:r w:rsidR="00AB338F" w:rsidRPr="00A96577">
              <w:t>2020 under regulation 42ZCZP of the Regulations.</w:t>
            </w:r>
          </w:p>
          <w:p w14:paraId="4CEFF9AC" w14:textId="0E40AD7F" w:rsidR="006B652C" w:rsidRPr="00AB338F" w:rsidRDefault="00AB338F" w:rsidP="005B7BF1">
            <w:r>
              <w:t>While I note the public submission expressing the view that if one triptan is suitable for down-scheduling then it is appropriate for all triptans to be down-scheduled at the same time, this consideration has not</w:t>
            </w:r>
            <w:r w:rsidR="005B7BF1">
              <w:t xml:space="preserve"> been material to my decision. </w:t>
            </w:r>
            <w:r>
              <w:t>The triptans are listed individually in the Poisons Standard and this current applic</w:t>
            </w:r>
            <w:r w:rsidR="005B7BF1">
              <w:t xml:space="preserve">ation is for sumatriptan only. </w:t>
            </w:r>
            <w:r>
              <w:t>As per the requirements SPF 2018, each individual substance must be assessed against the Scheduling Factors on their own merits.</w:t>
            </w:r>
          </w:p>
          <w:p w14:paraId="2D4A0DD5" w14:textId="77777777" w:rsidR="006B652C" w:rsidRDefault="006B652C" w:rsidP="00190515">
            <w:pPr>
              <w:pStyle w:val="Heading4"/>
            </w:pPr>
            <w:r>
              <w:t>Summary of p</w:t>
            </w:r>
            <w:r w:rsidRPr="001A1B0E">
              <w:t>ublic submissions on the interim decision</w:t>
            </w:r>
          </w:p>
          <w:p w14:paraId="016B598C" w14:textId="53E44354" w:rsidR="0067357E" w:rsidRDefault="0067357E" w:rsidP="0067357E">
            <w:pPr>
              <w:rPr>
                <w:b/>
              </w:rPr>
            </w:pPr>
            <w:r w:rsidRPr="008D41FC">
              <w:t xml:space="preserve">In response to </w:t>
            </w:r>
            <w:r>
              <w:t>the interim decisio</w:t>
            </w:r>
            <w:r w:rsidRPr="007640BF">
              <w:t>n, two (2) su</w:t>
            </w:r>
            <w:r>
              <w:t xml:space="preserve">bmissions were received.  Both </w:t>
            </w:r>
            <w:r w:rsidRPr="004026EF">
              <w:t xml:space="preserve">submissions supported the </w:t>
            </w:r>
            <w:r>
              <w:t>interim decision</w:t>
            </w:r>
            <w:r w:rsidRPr="004026EF">
              <w:t>.</w:t>
            </w:r>
          </w:p>
          <w:p w14:paraId="0E56F327" w14:textId="77777777" w:rsidR="0067357E" w:rsidRPr="005B7BF1" w:rsidRDefault="0067357E" w:rsidP="0067357E">
            <w:r w:rsidRPr="005B7BF1">
              <w:t>The main points provided in support of the interim decision were:</w:t>
            </w:r>
          </w:p>
          <w:p w14:paraId="38BAE7DA" w14:textId="77777777" w:rsidR="0067357E" w:rsidRPr="00387047" w:rsidRDefault="0067357E" w:rsidP="008F7052">
            <w:pPr>
              <w:pStyle w:val="ListBullet"/>
              <w:spacing w:after="120"/>
              <w:ind w:left="357" w:hanging="357"/>
            </w:pPr>
            <w:r w:rsidRPr="00387047">
              <w:t>The submissions provided by industry stakeholders supported the proposed amendments and inclusion within Appendix H.</w:t>
            </w:r>
          </w:p>
          <w:p w14:paraId="755D5C83" w14:textId="1A34C4E8" w:rsidR="0067357E" w:rsidRPr="00387047" w:rsidRDefault="0067357E" w:rsidP="008F7052">
            <w:pPr>
              <w:pStyle w:val="ListBullet"/>
              <w:spacing w:after="120"/>
              <w:ind w:left="357" w:hanging="357"/>
            </w:pPr>
            <w:r w:rsidRPr="00387047">
              <w:t>One submission agreed the access controls in place for a Schedule 3 medicine are appropriate and sufficient to mitigate t</w:t>
            </w:r>
            <w:r>
              <w:t>he risk of misuse of zolmitriptan</w:t>
            </w:r>
            <w:r w:rsidR="005B7BF1">
              <w:t>.</w:t>
            </w:r>
          </w:p>
          <w:p w14:paraId="19B30CAC" w14:textId="77777777" w:rsidR="0067357E" w:rsidRPr="00D832D6" w:rsidRDefault="0067357E" w:rsidP="008F7052">
            <w:pPr>
              <w:pStyle w:val="ListBullet"/>
              <w:spacing w:after="120"/>
              <w:ind w:left="357" w:hanging="357"/>
              <w:rPr>
                <w:rFonts w:asciiTheme="minorHAnsi" w:eastAsia="Times New Roman" w:hAnsiTheme="minorHAnsi"/>
                <w:b/>
                <w:bCs/>
                <w:szCs w:val="21"/>
              </w:rPr>
            </w:pPr>
            <w:r w:rsidRPr="00387047">
              <w:t>Both submissions noted that the implementation date of February 2021</w:t>
            </w:r>
            <w:r>
              <w:t>,</w:t>
            </w:r>
            <w:r w:rsidRPr="00387047">
              <w:t xml:space="preserve"> was decided by the delegate to allow the opportunity for sponsors to adhere to regulatory change and the </w:t>
            </w:r>
            <w:r w:rsidRPr="00387047">
              <w:lastRenderedPageBreak/>
              <w:t>opportunity to align labelling requirements to be developed and for the development of education and training material to be provided to pharmacists.</w:t>
            </w:r>
          </w:p>
          <w:p w14:paraId="04F9D85D" w14:textId="1379FD9A" w:rsidR="0067357E" w:rsidRPr="00A3512D" w:rsidRDefault="00A3512D" w:rsidP="0067357E">
            <w:r w:rsidRPr="00A3512D">
              <w:t>Additional comment:</w:t>
            </w:r>
          </w:p>
          <w:p w14:paraId="7FEE0BE6" w14:textId="77777777" w:rsidR="0067357E" w:rsidRPr="00387047" w:rsidRDefault="0067357E" w:rsidP="00A3512D">
            <w:pPr>
              <w:pStyle w:val="ListBullet"/>
            </w:pPr>
            <w:r w:rsidRPr="00D832D6">
              <w:rPr>
                <w:bCs/>
              </w:rPr>
              <w:t>One submission expressed a view</w:t>
            </w:r>
            <w:r w:rsidRPr="00D832D6">
              <w:rPr>
                <w:b/>
                <w:bCs/>
                <w:i/>
              </w:rPr>
              <w:t xml:space="preserve"> </w:t>
            </w:r>
            <w:r w:rsidRPr="00387047">
              <w:t>that if one triptan is suitable for down</w:t>
            </w:r>
            <w:r>
              <w:t>-</w:t>
            </w:r>
            <w:r w:rsidRPr="00387047">
              <w:t>s</w:t>
            </w:r>
            <w:r>
              <w:t>c</w:t>
            </w:r>
            <w:r w:rsidRPr="00387047">
              <w:t>heduling then it would be appropriate for all of the triptans to be down</w:t>
            </w:r>
            <w:r>
              <w:t>-</w:t>
            </w:r>
            <w:r w:rsidRPr="00387047">
              <w:t>scheduled at the same time in the absence of evidence that there is a particular reason why one particular triptan does not meet the scheduling criteria.</w:t>
            </w:r>
          </w:p>
          <w:p w14:paraId="0D016FC3" w14:textId="3A549C63" w:rsidR="006B652C" w:rsidRPr="00E325D5" w:rsidRDefault="0067357E" w:rsidP="00A3512D">
            <w:pPr>
              <w:pStyle w:val="ListBullet"/>
              <w:rPr>
                <w:rFonts w:asciiTheme="minorHAnsi" w:eastAsia="Times New Roman" w:hAnsiTheme="minorHAnsi"/>
                <w:b/>
                <w:bCs/>
                <w:szCs w:val="21"/>
              </w:rPr>
            </w:pPr>
            <w:r w:rsidRPr="00387047">
              <w:t>An implementation date of February 2021 was recommended to the Delegate to consider for any future triptan scheduling applications</w:t>
            </w:r>
            <w:r w:rsidRPr="00E325D5">
              <w:rPr>
                <w:i/>
              </w:rPr>
              <w:t>.</w:t>
            </w:r>
          </w:p>
          <w:p w14:paraId="0B2934FB" w14:textId="77777777" w:rsidR="006B652C" w:rsidRDefault="006B652C" w:rsidP="00190515">
            <w:pPr>
              <w:pStyle w:val="Heading4"/>
            </w:pPr>
            <w:r>
              <w:t>D</w:t>
            </w:r>
            <w:r w:rsidRPr="002E13B1">
              <w:t xml:space="preserve">ate of effect of the </w:t>
            </w:r>
            <w:r>
              <w:t>decision</w:t>
            </w:r>
          </w:p>
          <w:p w14:paraId="46E229F2" w14:textId="74DAF0AE" w:rsidR="006B652C" w:rsidRPr="00A3512D" w:rsidRDefault="00423457" w:rsidP="00A3512D">
            <w:pPr>
              <w:rPr>
                <w:b/>
              </w:rPr>
            </w:pPr>
            <w:sdt>
              <w:sdtPr>
                <w:rPr>
                  <w:b/>
                </w:rPr>
                <w:id w:val="-1840378399"/>
                <w:placeholder>
                  <w:docPart w:val="4E7D159825984C1491E80EA0C4B3B7E3"/>
                </w:placeholder>
                <w:date w:fullDate="2021-02-01T00:00:00Z">
                  <w:dateFormat w:val="d MMMM yyyy"/>
                  <w:lid w:val="en-AU"/>
                  <w:storeMappedDataAs w:val="dateTime"/>
                  <w:calendar w:val="gregorian"/>
                </w:date>
              </w:sdtPr>
              <w:sdtEndPr/>
              <w:sdtContent>
                <w:r w:rsidR="000C5FBF" w:rsidRPr="00A3512D">
                  <w:rPr>
                    <w:b/>
                  </w:rPr>
                  <w:t>1 February 2021</w:t>
                </w:r>
              </w:sdtContent>
            </w:sdt>
          </w:p>
        </w:tc>
      </w:tr>
    </w:tbl>
    <w:p w14:paraId="2491A172" w14:textId="3A45DD27" w:rsidR="006B652C" w:rsidRPr="00EE463E" w:rsidRDefault="006B652C" w:rsidP="008F7052">
      <w:pPr>
        <w:pStyle w:val="Heading3"/>
        <w:pageBreakBefore/>
        <w:spacing w:before="0"/>
      </w:pPr>
      <w:bookmarkStart w:id="8" w:name="_Toc39587405"/>
      <w:r>
        <w:lastRenderedPageBreak/>
        <w:t>Final</w:t>
      </w:r>
      <w:r w:rsidRPr="00EE463E">
        <w:t xml:space="preserve"> decision in relation to </w:t>
      </w:r>
      <w:sdt>
        <w:sdtPr>
          <w:id w:val="-1375229079"/>
          <w:placeholder>
            <w:docPart w:val="B891ABB43B934A97A215FE7D18EC52AD"/>
          </w:placeholder>
        </w:sdtPr>
        <w:sdtEndPr/>
        <w:sdtContent>
          <w:r w:rsidR="001749BD">
            <w:t>Mometasone</w:t>
          </w:r>
        </w:sdtContent>
      </w:sdt>
      <w:bookmarkEnd w:id="8"/>
    </w:p>
    <w:tbl>
      <w:tblPr>
        <w:tblStyle w:val="TableGrid"/>
        <w:tblW w:w="0" w:type="auto"/>
        <w:tblLook w:val="04A0" w:firstRow="1" w:lastRow="0" w:firstColumn="1" w:lastColumn="0" w:noHBand="0" w:noVBand="1"/>
      </w:tblPr>
      <w:tblGrid>
        <w:gridCol w:w="9628"/>
      </w:tblGrid>
      <w:tr w:rsidR="006B652C" w14:paraId="0881C7F1" w14:textId="77777777" w:rsidTr="004474D5">
        <w:tc>
          <w:tcPr>
            <w:tcW w:w="9854" w:type="dxa"/>
          </w:tcPr>
          <w:p w14:paraId="01EB56E7" w14:textId="77777777" w:rsidR="006B652C" w:rsidRPr="008036B7" w:rsidRDefault="006B652C" w:rsidP="00065051">
            <w:pPr>
              <w:pStyle w:val="Heading4"/>
              <w:keepNext w:val="0"/>
              <w:keepLines w:val="0"/>
              <w:widowControl w:val="0"/>
            </w:pPr>
            <w:r w:rsidRPr="008036B7">
              <w:t>Final decision</w:t>
            </w:r>
          </w:p>
          <w:p w14:paraId="0D2AF295" w14:textId="644CC59C" w:rsidR="007416FA" w:rsidRDefault="006B652C" w:rsidP="007416FA">
            <w:pPr>
              <w:rPr>
                <w:rFonts w:asciiTheme="minorHAnsi" w:hAnsiTheme="minorHAnsi"/>
                <w:szCs w:val="22"/>
              </w:rPr>
            </w:pPr>
            <w:r>
              <w:t xml:space="preserve">Pursuant to regulation 42ZCZR of the Regulations, a Delegate of the Secretary has made a final decision to </w:t>
            </w:r>
            <w:sdt>
              <w:sdtPr>
                <w:id w:val="1334654452"/>
                <w:placeholder>
                  <w:docPart w:val="4FF836746FC742868D6C0E98F88EF539"/>
                </w:placeholder>
                <w:dropDownList>
                  <w:listItem w:displayText="confirm" w:value="confirm"/>
                  <w:listItem w:displayText="vary" w:value="vary"/>
                  <w:listItem w:displayText="set aside" w:value="set aside"/>
                </w:dropDownList>
              </w:sdtPr>
              <w:sdtEndPr/>
              <w:sdtContent>
                <w:r w:rsidR="007416FA">
                  <w:t>vary</w:t>
                </w:r>
              </w:sdtContent>
            </w:sdt>
            <w:r>
              <w:t xml:space="preserve"> </w:t>
            </w:r>
            <w:r w:rsidRPr="005203C8">
              <w:t>the interim decision</w:t>
            </w:r>
            <w:r>
              <w:t xml:space="preserve"> and </w:t>
            </w:r>
            <w:r w:rsidR="007416FA">
              <w:t>amend the current Poisons Standard in relation to mo</w:t>
            </w:r>
            <w:r w:rsidR="0083444E">
              <w:t>metasone as follows:</w:t>
            </w:r>
          </w:p>
          <w:p w14:paraId="273177B5" w14:textId="079500A0" w:rsidR="00A6191C" w:rsidRPr="00FD0083" w:rsidRDefault="000C5FBF" w:rsidP="00A6191C">
            <w:pPr>
              <w:ind w:left="426"/>
            </w:pPr>
            <w:r>
              <w:rPr>
                <w:b/>
                <w:bCs/>
              </w:rPr>
              <w:t>Schedule 4 – Amend Entry</w:t>
            </w:r>
          </w:p>
          <w:p w14:paraId="2FCA27DB" w14:textId="5E1EDEBF" w:rsidR="00A6191C" w:rsidRPr="00FD0083" w:rsidRDefault="00A6191C" w:rsidP="00BF2836">
            <w:pPr>
              <w:ind w:left="426"/>
            </w:pPr>
            <w:r w:rsidRPr="00FD0083">
              <w:t xml:space="preserve">MOMETASONE </w:t>
            </w:r>
            <w:r w:rsidRPr="00FD0083">
              <w:rPr>
                <w:b/>
                <w:bCs/>
              </w:rPr>
              <w:t xml:space="preserve">except </w:t>
            </w:r>
            <w:r w:rsidRPr="00FD0083">
              <w:t xml:space="preserve">when included in Schedule 2 </w:t>
            </w:r>
            <w:r w:rsidRPr="00FD0083">
              <w:rPr>
                <w:color w:val="FF0000"/>
              </w:rPr>
              <w:t>or 3</w:t>
            </w:r>
            <w:r w:rsidR="000C5FBF">
              <w:t>.</w:t>
            </w:r>
          </w:p>
          <w:p w14:paraId="7967D2DF" w14:textId="73CE7F46" w:rsidR="00A6191C" w:rsidRPr="00FD0083" w:rsidRDefault="000C5FBF" w:rsidP="00A6191C">
            <w:pPr>
              <w:ind w:left="426"/>
            </w:pPr>
            <w:r>
              <w:rPr>
                <w:b/>
                <w:bCs/>
              </w:rPr>
              <w:t>Schedule 3 – New Entry</w:t>
            </w:r>
          </w:p>
          <w:p w14:paraId="1F11BECF" w14:textId="0EECD1F3" w:rsidR="00A6191C" w:rsidRPr="000C5FBF" w:rsidRDefault="00A6191C" w:rsidP="00A6191C">
            <w:pPr>
              <w:ind w:left="426"/>
              <w:rPr>
                <w:color w:val="FF0000"/>
              </w:rPr>
            </w:pPr>
            <w:r w:rsidRPr="00FD0083">
              <w:rPr>
                <w:color w:val="FF0000"/>
              </w:rPr>
              <w:t>MOMETASONE as the only therapeutically active substance in preparations for dermal use containing 0.1 percent or less of mometasone in</w:t>
            </w:r>
            <w:r w:rsidR="000C5FBF">
              <w:rPr>
                <w:color w:val="FF0000"/>
              </w:rPr>
              <w:t xml:space="preserve"> packs containing 15 g or less.</w:t>
            </w:r>
          </w:p>
          <w:p w14:paraId="06D1C02D" w14:textId="44D6F0EA" w:rsidR="00A6191C" w:rsidRPr="00FD0083" w:rsidRDefault="000C5FBF" w:rsidP="00A6191C">
            <w:pPr>
              <w:ind w:left="426"/>
            </w:pPr>
            <w:r>
              <w:rPr>
                <w:b/>
                <w:bCs/>
              </w:rPr>
              <w:t>Schedule 2</w:t>
            </w:r>
          </w:p>
          <w:p w14:paraId="37C641EF" w14:textId="622A40B0" w:rsidR="00A6191C" w:rsidRPr="00FD0083" w:rsidRDefault="00A6191C" w:rsidP="00A6191C">
            <w:pPr>
              <w:ind w:left="426"/>
            </w:pPr>
            <w:r w:rsidRPr="00FD0083">
              <w:t>MOMETASONE in aqueous nasal sprays delivering 50 micrograms or less of mometasone per actuation when the maximum recommended daily dose is no greater than 200 micrograms for the prophylaxis or treatment of allergic rhinitis for up to 6 months in adults and children 12 years</w:t>
            </w:r>
            <w:r w:rsidR="000C5FBF">
              <w:t xml:space="preserve"> and over.</w:t>
            </w:r>
          </w:p>
          <w:p w14:paraId="4BDC4185" w14:textId="4FBCB3EC" w:rsidR="00A6191C" w:rsidRPr="00FD0083" w:rsidRDefault="000C5FBF" w:rsidP="00A6191C">
            <w:pPr>
              <w:ind w:left="426"/>
            </w:pPr>
            <w:r>
              <w:rPr>
                <w:b/>
                <w:bCs/>
              </w:rPr>
              <w:t>Index – Amend Entry</w:t>
            </w:r>
          </w:p>
          <w:p w14:paraId="5BCA6108" w14:textId="1AF84C66" w:rsidR="00A6191C" w:rsidRDefault="000C5FBF" w:rsidP="00A6191C">
            <w:pPr>
              <w:ind w:left="426"/>
            </w:pPr>
            <w:r>
              <w:rPr>
                <w:b/>
                <w:bCs/>
              </w:rPr>
              <w:t>MOMETASONE</w:t>
            </w:r>
          </w:p>
          <w:p w14:paraId="14735285" w14:textId="2EF11963" w:rsidR="00A6191C" w:rsidRDefault="000C5FBF" w:rsidP="006D0146">
            <w:pPr>
              <w:ind w:left="426"/>
            </w:pPr>
            <w:r>
              <w:t>Schedule 4</w:t>
            </w:r>
            <w:r w:rsidR="00A6191C">
              <w:br/>
            </w:r>
            <w:r>
              <w:rPr>
                <w:color w:val="FF0000"/>
              </w:rPr>
              <w:t>Schedule 3</w:t>
            </w:r>
            <w:r w:rsidR="00A6191C">
              <w:rPr>
                <w:color w:val="FF0000"/>
              </w:rPr>
              <w:br/>
            </w:r>
            <w:r>
              <w:t>Schedule 2</w:t>
            </w:r>
          </w:p>
          <w:p w14:paraId="73D9149B" w14:textId="77777777" w:rsidR="00B646C0" w:rsidRDefault="00B646C0" w:rsidP="00190515">
            <w:pPr>
              <w:pStyle w:val="Heading4"/>
            </w:pPr>
            <w:r>
              <w:t>Reasons for the final decision (including findings on material questions of fact)</w:t>
            </w:r>
          </w:p>
          <w:p w14:paraId="66BB503E" w14:textId="4831DB6B" w:rsidR="0083444E" w:rsidRDefault="0083444E" w:rsidP="00EE001C">
            <w:r w:rsidRPr="00DC4DF0">
              <w:t xml:space="preserve">I have decided to </w:t>
            </w:r>
            <w:r>
              <w:t xml:space="preserve">vary the </w:t>
            </w:r>
            <w:r w:rsidR="00780ADB">
              <w:t xml:space="preserve">ACMS #26 </w:t>
            </w:r>
            <w:hyperlink r:id="rId15" w:history="1">
              <w:r w:rsidRPr="002D70A3">
                <w:rPr>
                  <w:rStyle w:val="Hyperlink"/>
                  <w:rFonts w:asciiTheme="minorHAnsi" w:hAnsiTheme="minorHAnsi"/>
                  <w:szCs w:val="22"/>
                </w:rPr>
                <w:t>interim decision</w:t>
              </w:r>
            </w:hyperlink>
            <w:r>
              <w:t xml:space="preserve"> not to down-schedule mometasone for dermal use from Schedule 4 to Schedule 3 and to introduce an actuation limit for mometasone. I find that </w:t>
            </w:r>
            <w:r>
              <w:rPr>
                <w:rFonts w:cs="Cambria"/>
                <w:color w:val="000000"/>
              </w:rPr>
              <w:t>mometason</w:t>
            </w:r>
            <w:r w:rsidRPr="00BF2836">
              <w:t>e</w:t>
            </w:r>
            <w:r>
              <w:rPr>
                <w:rFonts w:cs="Cambria"/>
                <w:color w:val="000000"/>
              </w:rPr>
              <w:t xml:space="preserve"> for dermal use meet</w:t>
            </w:r>
            <w:r w:rsidR="005A3D06">
              <w:rPr>
                <w:rFonts w:cs="Cambria"/>
                <w:color w:val="000000"/>
              </w:rPr>
              <w:t>s</w:t>
            </w:r>
            <w:r>
              <w:rPr>
                <w:rFonts w:cs="Cambria"/>
                <w:color w:val="000000"/>
              </w:rPr>
              <w:t xml:space="preserve"> the Scheduling Factors for Schedule 3</w:t>
            </w:r>
            <w:r w:rsidRPr="002D70A3">
              <w:t xml:space="preserve"> </w:t>
            </w:r>
            <w:r>
              <w:t>without the requirement for an Appendix M entry; that the introduction of an actuation limit for intranasal mometasone in Schedule 2 is not required; and that in the interests of public safety, mometasone should not be included in Appendix H</w:t>
            </w:r>
            <w:r w:rsidR="005D6DCD">
              <w:t>.</w:t>
            </w:r>
          </w:p>
          <w:p w14:paraId="3BBB69EB" w14:textId="1B6C51A4" w:rsidR="005D6DCD" w:rsidRPr="005D6DCD" w:rsidRDefault="005D6DCD" w:rsidP="00BF2836">
            <w:pPr>
              <w:pStyle w:val="Heading5"/>
              <w:rPr>
                <w:rFonts w:asciiTheme="minorHAnsi" w:hAnsiTheme="minorHAnsi"/>
              </w:rPr>
            </w:pPr>
            <w:r w:rsidRPr="005D6DCD">
              <w:t>Material considered</w:t>
            </w:r>
          </w:p>
          <w:p w14:paraId="3B024838" w14:textId="77777777" w:rsidR="0083444E" w:rsidRDefault="0083444E" w:rsidP="00BF2836">
            <w:r>
              <w:t>In making my final decision, I have taken into account all available information including:</w:t>
            </w:r>
          </w:p>
          <w:p w14:paraId="645394A6" w14:textId="77777777" w:rsidR="005D6DCD" w:rsidRPr="008B4E8B" w:rsidRDefault="005D6DCD" w:rsidP="008B4E8B">
            <w:pPr>
              <w:pStyle w:val="ListBullet"/>
              <w:spacing w:after="120"/>
              <w:ind w:left="357" w:hanging="357"/>
            </w:pPr>
            <w:r w:rsidRPr="008B4E8B">
              <w:t>The application to amend the current Poisons Standard with respect to mometasone;</w:t>
            </w:r>
          </w:p>
          <w:p w14:paraId="757A8961" w14:textId="77777777" w:rsidR="005D6DCD" w:rsidRPr="008B4E8B" w:rsidRDefault="005D6DCD" w:rsidP="008B4E8B">
            <w:pPr>
              <w:pStyle w:val="ListBullet"/>
              <w:spacing w:after="120"/>
              <w:ind w:left="357" w:hanging="357"/>
            </w:pPr>
            <w:r w:rsidRPr="008B4E8B">
              <w:t>Advisory Committee on Medicines Scheduling’s advice (ACMS #26 (March 2019) and ACMS #28 (November 2019));</w:t>
            </w:r>
          </w:p>
          <w:p w14:paraId="78F54FB6" w14:textId="0115E2DE" w:rsidR="005D6DCD" w:rsidRPr="0039541B" w:rsidRDefault="005D6DCD" w:rsidP="008B4E8B">
            <w:pPr>
              <w:pStyle w:val="ListBullet"/>
              <w:spacing w:after="120"/>
              <w:ind w:left="357" w:hanging="357"/>
            </w:pPr>
            <w:r w:rsidRPr="008B4E8B">
              <w:t>The public s</w:t>
            </w:r>
            <w:r>
              <w:t xml:space="preserve">ubmissions received by the </w:t>
            </w:r>
            <w:hyperlink r:id="rId16" w:history="1">
              <w:r w:rsidRPr="006822AF">
                <w:rPr>
                  <w:rStyle w:val="Hyperlink"/>
                </w:rPr>
                <w:t>second closing date</w:t>
              </w:r>
            </w:hyperlink>
            <w:bookmarkStart w:id="9" w:name="_GoBack"/>
            <w:bookmarkEnd w:id="9"/>
            <w:r>
              <w:t xml:space="preserve"> (ACMS #26);</w:t>
            </w:r>
          </w:p>
          <w:p w14:paraId="75FFF485" w14:textId="77777777" w:rsidR="005D6DCD" w:rsidRPr="005B7BF4" w:rsidRDefault="005D6DCD" w:rsidP="008B4E8B">
            <w:pPr>
              <w:pStyle w:val="ListBullet"/>
              <w:spacing w:after="120"/>
              <w:ind w:left="357" w:hanging="357"/>
            </w:pPr>
            <w:r>
              <w:t>The p</w:t>
            </w:r>
            <w:r w:rsidRPr="005B7BF4">
              <w:t xml:space="preserve">ublic </w:t>
            </w:r>
            <w:r>
              <w:t>s</w:t>
            </w:r>
            <w:r w:rsidRPr="005B7BF4">
              <w:t>ubmission</w:t>
            </w:r>
            <w:r>
              <w:t>s</w:t>
            </w:r>
            <w:r w:rsidRPr="005B7BF4">
              <w:t xml:space="preserve"> received</w:t>
            </w:r>
            <w:r>
              <w:t xml:space="preserve"> by the </w:t>
            </w:r>
            <w:hyperlink r:id="rId17" w:history="1">
              <w:r w:rsidRPr="00817E9C">
                <w:rPr>
                  <w:rStyle w:val="Hyperlink"/>
                </w:rPr>
                <w:t>first closing date</w:t>
              </w:r>
            </w:hyperlink>
            <w:r>
              <w:rPr>
                <w:rStyle w:val="Hyperlink"/>
              </w:rPr>
              <w:t xml:space="preserve"> </w:t>
            </w:r>
            <w:r w:rsidRPr="006822AF">
              <w:rPr>
                <w:rStyle w:val="Hyperlink"/>
                <w:color w:val="auto"/>
                <w:u w:val="none"/>
              </w:rPr>
              <w:t>(ACMS #28)</w:t>
            </w:r>
            <w:r>
              <w:t>;</w:t>
            </w:r>
          </w:p>
          <w:p w14:paraId="775498CF" w14:textId="77777777" w:rsidR="005D6DCD" w:rsidRDefault="005D6DCD" w:rsidP="008B4E8B">
            <w:pPr>
              <w:pStyle w:val="ListBullet"/>
              <w:spacing w:after="120"/>
              <w:ind w:left="357" w:hanging="357"/>
            </w:pPr>
            <w:r w:rsidRPr="005B7BF4">
              <w:t xml:space="preserve">Section 52E of the </w:t>
            </w:r>
            <w:r w:rsidRPr="005B7BF4">
              <w:rPr>
                <w:i/>
              </w:rPr>
              <w:t>Therapeutic Goods Act 1989</w:t>
            </w:r>
            <w:r w:rsidRPr="00EF7D65">
              <w:t xml:space="preserve">, in particular </w:t>
            </w:r>
            <w:r w:rsidRPr="00EC0E2E">
              <w:t xml:space="preserve">(a) the risks and benefits of the use of a substance; (b) the purposes for which a substance is to be used and the extent of use of a substance; (c) the toxicity of a substance; (d) the dosage, formulation, labelling, packaging </w:t>
            </w:r>
            <w:r>
              <w:t>and presentation of a substance;</w:t>
            </w:r>
            <w:r w:rsidRPr="00404837">
              <w:t xml:space="preserve"> </w:t>
            </w:r>
            <w:r w:rsidRPr="00D01A55">
              <w:t>and (f) any other matters that the Secretary considers necessary to protect public health.</w:t>
            </w:r>
            <w:r>
              <w:t>;</w:t>
            </w:r>
          </w:p>
          <w:p w14:paraId="03773F34" w14:textId="3EEA6D7C" w:rsidR="005D6DCD" w:rsidRDefault="005D6DCD" w:rsidP="00BF2836">
            <w:pPr>
              <w:pStyle w:val="ListBullet"/>
            </w:pPr>
            <w:r>
              <w:t xml:space="preserve">The Australian Health Ministers’ Advisory Council’s </w:t>
            </w:r>
            <w:hyperlink r:id="rId18" w:history="1">
              <w:r w:rsidRPr="005B7BF4">
                <w:rPr>
                  <w:rStyle w:val="Hyperlink"/>
                  <w:rFonts w:asciiTheme="minorHAnsi" w:hAnsiTheme="minorHAnsi"/>
                </w:rPr>
                <w:t>Scheduling Policy Framework</w:t>
              </w:r>
            </w:hyperlink>
            <w:r w:rsidR="00EE001C">
              <w:t xml:space="preserve"> (SPF 2018); and</w:t>
            </w:r>
          </w:p>
          <w:p w14:paraId="10C06710" w14:textId="77777777" w:rsidR="005D6DCD" w:rsidRDefault="00423457" w:rsidP="00BF2836">
            <w:pPr>
              <w:pStyle w:val="ListBullet"/>
            </w:pPr>
            <w:hyperlink r:id="rId19" w:history="1">
              <w:r w:rsidR="005D6DCD">
                <w:rPr>
                  <w:rStyle w:val="Hyperlink"/>
                </w:rPr>
                <w:t>Scheduling Handbook</w:t>
              </w:r>
            </w:hyperlink>
            <w:r w:rsidR="005D6DCD">
              <w:t xml:space="preserve"> (V 1.1, July 2019).</w:t>
            </w:r>
          </w:p>
          <w:p w14:paraId="2164B036" w14:textId="20F576F8" w:rsidR="005D6DCD" w:rsidRPr="005D6DCD" w:rsidRDefault="005D6DCD" w:rsidP="00190515">
            <w:pPr>
              <w:pStyle w:val="Heading4"/>
            </w:pPr>
            <w:r w:rsidRPr="005D6DCD">
              <w:lastRenderedPageBreak/>
              <w:t>Reasons for the final decision</w:t>
            </w:r>
          </w:p>
          <w:p w14:paraId="3E00DA82" w14:textId="0A8B69C0" w:rsidR="0083444E" w:rsidRDefault="0083444E" w:rsidP="00123C59">
            <w:r>
              <w:t>The reasons for my decision are set out below.</w:t>
            </w:r>
          </w:p>
          <w:p w14:paraId="35772677" w14:textId="77777777" w:rsidR="0083444E" w:rsidRDefault="0083444E" w:rsidP="00123C59">
            <w:r w:rsidRPr="00617803">
              <w:t>In my view, the rel</w:t>
            </w:r>
            <w:r>
              <w:t>evant parts of the SPF 2018 are the Scheduling Factors for Schedule 3 and the criteria for inclusion of a medicine in Appendix M and Appendix H.</w:t>
            </w:r>
          </w:p>
          <w:p w14:paraId="370B6D43" w14:textId="77777777" w:rsidR="0083444E" w:rsidRDefault="0083444E" w:rsidP="00123C59">
            <w:r>
              <w:t>Topical corticosteroids (TCS) are important in the treatment of active corticosteroid-responsive dermatoses, including atopic dermatitis and psoriasis, which may have a fluctuating clinical course requiring access to treatment during periods of increased disease activity. Poor symptom control can result in significant impacts on a person’s quality of life.</w:t>
            </w:r>
          </w:p>
          <w:p w14:paraId="4C6B6880" w14:textId="6A28F023" w:rsidR="0083444E" w:rsidRDefault="0083444E" w:rsidP="00123C59">
            <w:r w:rsidRPr="00FD0083">
              <w:t xml:space="preserve">An application to down-schedule mometasone from Schedule 4 to Schedule 3 in 15 g packs, create a new entry in Appendix M and revise the wording of the Schedule 2 entry for inhaled mometasone to include a limit of 200 actuations per pack was </w:t>
            </w:r>
            <w:r>
              <w:t xml:space="preserve">first </w:t>
            </w:r>
            <w:r w:rsidRPr="00FD0083">
              <w:t>consid</w:t>
            </w:r>
            <w:r>
              <w:t>ered by the ACMS</w:t>
            </w:r>
            <w:r w:rsidRPr="00FD0083">
              <w:t xml:space="preserve"> in March 2019</w:t>
            </w:r>
            <w:r>
              <w:t>.</w:t>
            </w:r>
            <w:r>
              <w:rPr>
                <w:rStyle w:val="FootnoteReference"/>
              </w:rPr>
              <w:footnoteReference w:id="1"/>
            </w:r>
            <w:r w:rsidRPr="00FD0083">
              <w:t xml:space="preserve"> While the amendment to the Schedule 2 entry was supported by the Committee, down-scheduling to Schedule 3 </w:t>
            </w:r>
            <w:r>
              <w:t xml:space="preserve">and inclusion in Appendix M were </w:t>
            </w:r>
            <w:r w:rsidRPr="00FD0083">
              <w:t xml:space="preserve">not, in part because it was unclear what additional conditions or controls would be included in Appendix M. As a result, the Applicant was provided an opportunity to address the </w:t>
            </w:r>
            <w:r>
              <w:t xml:space="preserve">new </w:t>
            </w:r>
            <w:r w:rsidRPr="00FD0083">
              <w:t xml:space="preserve">Appendix M criteria published in the Scheduling </w:t>
            </w:r>
            <w:r>
              <w:t>Handbook</w:t>
            </w:r>
            <w:r>
              <w:rPr>
                <w:rStyle w:val="FootnoteReference"/>
              </w:rPr>
              <w:footnoteReference w:id="2"/>
            </w:r>
            <w:r>
              <w:t xml:space="preserve"> </w:t>
            </w:r>
            <w:r w:rsidRPr="00FD0083">
              <w:t xml:space="preserve">and provided additional information, including addressing how inclusion of mometasone in Appendix M would mitigate the risks identified to support down-scheduling for consideration at </w:t>
            </w:r>
            <w:r w:rsidR="00EE001C">
              <w:t>the November 2019 ACMS meeting.</w:t>
            </w:r>
          </w:p>
          <w:p w14:paraId="4F94C313" w14:textId="77777777" w:rsidR="0083444E" w:rsidRDefault="0083444E" w:rsidP="00123C59">
            <w:r>
              <w:t>Public submissions were received opposing the down-scheduling of dermal mometasone to Schedule 3. These submissions cited mometasone’s high potency and potential for increase in adverse reactions including corticosteroid-induced rosacea (perioral dermatitis) leading to skin atrophy and the theoretical risk of hypothalamic pituitary adrenal (HPA) suppression. In considering TCS, it is important to recognise that potency does not equate to toxicity. The criteria for defining topical corticosteroid potency is based upon vasoconstrictor and skin blanching effects, which are somewhat removed from the systemic corticosteroid effects that constitute the systemic risk. As raised in the public submissions, the higher the corticosteroid potency, the more likely it is that side effects will occur. However, in the case of mometasone, even though it is a potent Class IIT TSC, it has lower systemic toxicity than other TSC and has longer lasting effects. Potential risks associated with dermal mometasone are predominantly related to its inappropriate application such as to the face or for conditions in which topical corticosteroids broadly</w:t>
            </w:r>
            <w:r w:rsidRPr="00693824">
              <w:t xml:space="preserve"> </w:t>
            </w:r>
            <w:r>
              <w:t>are contraindicated, not specifically mometasone. While there is a risk of perioral dermatitis and steroid rosacea if mometasone is applied inappropriately to the face, it is my view that there is insufficient evidence to suggest that Schedule 3 availability will necessarily increase this risk. Furthermore, there is no evidence to suggest that the theoretical potential risk of HPA suppression has been observed with topical mometasone, consistent with its low systemic bioavailability. HPA suppression is dependent upon exposure to supra-physiologic glucocorticoid concentrations for a sufficient duration. In combination with the inherently low systemic bioavailability of mometasone, the proposed restricted quantity able to be supplied under Schedule 3 discourages its use on large areas of the body and for long durations, limiting the attainment of the critical factors required to induce HPA suppression. I consider that patient education and the proposed product labelling ‘</w:t>
            </w:r>
            <w:r w:rsidRPr="002F5025">
              <w:rPr>
                <w:i/>
              </w:rPr>
              <w:t>Do not use on the face, or for more than 4 weeks without advice from a medical professional</w:t>
            </w:r>
            <w:r>
              <w:t>’ are appropriate ways to mitigate these risks. In addition, the 15 g pack size limitation will also mean that patients with extensive disease requiring access to large quantities will continue to be appropriately managed by a general practitioner or dermatologist.</w:t>
            </w:r>
          </w:p>
          <w:p w14:paraId="190CA22C" w14:textId="17632BA6" w:rsidR="0083444E" w:rsidRDefault="0083444E" w:rsidP="00123C59">
            <w:pPr>
              <w:spacing w:before="120" w:after="120"/>
            </w:pPr>
            <w:r>
              <w:t xml:space="preserve">I have noted the </w:t>
            </w:r>
            <w:r w:rsidRPr="0000550A">
              <w:t>concerns regarding the ability of pharmacists to perform a differential diagnosis in the supply of mometasone (e.g. fungal infections, herpes zoster infection</w:t>
            </w:r>
            <w:r>
              <w:t xml:space="preserve"> etc.</w:t>
            </w:r>
            <w:r w:rsidRPr="0000550A">
              <w:t>)</w:t>
            </w:r>
            <w:r>
              <w:t xml:space="preserve"> as an impediment to down-scheduling.</w:t>
            </w:r>
            <w:r w:rsidRPr="0000550A">
              <w:t xml:space="preserve"> </w:t>
            </w:r>
            <w:r>
              <w:t>However, I am of the view</w:t>
            </w:r>
            <w:r w:rsidRPr="0000550A">
              <w:t xml:space="preserve"> that this consideration is not specific to mometasone and applies equally to the supply of other products that have been considered appropriate for down-scheduling from Schedule 4 </w:t>
            </w:r>
            <w:r>
              <w:t xml:space="preserve">to Schedule 2 or 3, </w:t>
            </w:r>
            <w:r w:rsidRPr="0000550A">
              <w:t>including topical corticosteroids and anti-fungal products. Further</w:t>
            </w:r>
            <w:r>
              <w:t>more</w:t>
            </w:r>
            <w:r w:rsidRPr="0000550A">
              <w:t>, pharmacists are already able to initiate treatment with Schedule 2 and Schedule 3 steroids based on their differential assessment of a patient’s condition. There is no evidence to suggest that pharmacists are unable to recommend appropriate treatments and therefore</w:t>
            </w:r>
            <w:r>
              <w:t>,</w:t>
            </w:r>
            <w:r w:rsidRPr="0000550A">
              <w:t xml:space="preserve"> </w:t>
            </w:r>
            <w:r>
              <w:t>I do not consider</w:t>
            </w:r>
            <w:r w:rsidRPr="0000550A">
              <w:t xml:space="preserve"> </w:t>
            </w:r>
            <w:r>
              <w:t xml:space="preserve">this </w:t>
            </w:r>
            <w:r w:rsidRPr="0000550A">
              <w:t>to presen</w:t>
            </w:r>
            <w:r w:rsidR="00EE001C">
              <w:t>t a barrier to down-scheduling.</w:t>
            </w:r>
          </w:p>
          <w:p w14:paraId="14B6258A" w14:textId="77777777" w:rsidR="0083444E" w:rsidRPr="004C267B" w:rsidRDefault="0083444E" w:rsidP="00123C59">
            <w:r>
              <w:lastRenderedPageBreak/>
              <w:t xml:space="preserve">In recognition that the use of mometasone at established therapeutic dosage levels may mask the symptoms or delay diagnosis of a serious condition, the proposal by the Applicant contains some caveats on use, and these are in the CMI – e.g. do not use around eyes, do not use on skin infections, check with a doctor etc. These label statements together with pharmacist oversight </w:t>
            </w:r>
            <w:r w:rsidRPr="0000550A">
              <w:t>to monitor use and to provide education</w:t>
            </w:r>
            <w:r>
              <w:t xml:space="preserve"> are consistent with and appropriate for a Schedule 3 entry and can</w:t>
            </w:r>
            <w:r w:rsidRPr="0000550A">
              <w:t xml:space="preserve"> effectivel</w:t>
            </w:r>
            <w:r>
              <w:t>y mitigate potential risks associated with down-scheduling.</w:t>
            </w:r>
          </w:p>
          <w:p w14:paraId="2ACAD169" w14:textId="36EE03CA" w:rsidR="0083444E" w:rsidRDefault="0083444E" w:rsidP="0083444E">
            <w:r>
              <w:t>Rescheduling of a substance into Schedule 3 may be facilitated by an entry in Appendix M of the Poisons Standard whereby additional controls or supply requirements are applied to enable substances to be provided by a pharmacist. However, the additional information provided by the Applicant addressing the new Schedule M criteria</w:t>
            </w:r>
            <w:r>
              <w:rPr>
                <w:rStyle w:val="FootnoteReference"/>
              </w:rPr>
              <w:footnoteReference w:id="3"/>
            </w:r>
            <w:r>
              <w:t xml:space="preserve"> and public submissions questioning the robustness of Applicant’s proposals have not been material to my decision. </w:t>
            </w:r>
            <w:r w:rsidRPr="00783F58">
              <w:t>After taking into account the matters stated above, I find that the Sch</w:t>
            </w:r>
            <w:r>
              <w:t>eduling Factors under Schedule 3</w:t>
            </w:r>
            <w:r w:rsidRPr="00783F58">
              <w:t xml:space="preserve"> are met and that </w:t>
            </w:r>
            <w:r>
              <w:t>additional controls under Appendix M for mometasone are not required</w:t>
            </w:r>
            <w:r w:rsidRPr="00783F58">
              <w:t>.</w:t>
            </w:r>
          </w:p>
          <w:p w14:paraId="41D07E6A" w14:textId="77777777" w:rsidR="0083444E" w:rsidRDefault="0083444E" w:rsidP="00123C59">
            <w:r>
              <w:t xml:space="preserve">While not proposed by the Applicant, I have given consideration to inclusion of mometasone in Appendix H. Since 2018 the SPF and the </w:t>
            </w:r>
            <w:hyperlink r:id="rId20" w:history="1">
              <w:r w:rsidRPr="002B446A">
                <w:rPr>
                  <w:rStyle w:val="Hyperlink"/>
                  <w:rFonts w:asciiTheme="minorHAnsi" w:hAnsiTheme="minorHAnsi"/>
                  <w:szCs w:val="22"/>
                </w:rPr>
                <w:t>Guidelines for advertisements for medicines containing Schedule 3 substances</w:t>
              </w:r>
            </w:hyperlink>
            <w:r>
              <w:rPr>
                <w:rStyle w:val="FootnoteReference"/>
                <w:rFonts w:asciiTheme="minorHAnsi" w:hAnsiTheme="minorHAnsi"/>
                <w:szCs w:val="22"/>
              </w:rPr>
              <w:footnoteReference w:id="4"/>
            </w:r>
            <w:r>
              <w:t xml:space="preserve"> provide that in principle, all Schedule 3 substances are to be included in Appendix H unless it is determined that, in the interests of public health, it is not appropriate to allow a substance to be advertised directly to consumers. Given the potential for mometasone to be inappropriately used to treat conditions other than inflammatory conditions, I am of the view that there may only be limited additional benefit from the advertising of a more potent option and the choice of agent is best managed through consultation with the pharmacist. Consequently, I do not support an Appendix H entry for mometasone at this time.</w:t>
            </w:r>
          </w:p>
          <w:p w14:paraId="65F6EE15" w14:textId="7380B3EE" w:rsidR="006B652C" w:rsidRPr="00EE001C" w:rsidRDefault="0083444E" w:rsidP="00EE001C">
            <w:r>
              <w:t>In the matter of the introduction of an actuation limit for intranasal mometasone in Schedule 2, having had regard to the Committee’s advice and the public submissions opposing the amendment, I am satisfied that an actuation limit is not required to ensure the medicine’s continuing quality use. The introduction of an actuation limit for Schedule 2 mometasone is inconsistent with recent scheduling decisions from 2018</w:t>
            </w:r>
            <w:r>
              <w:rPr>
                <w:rStyle w:val="FootnoteReference"/>
                <w:rFonts w:asciiTheme="minorHAnsi" w:hAnsiTheme="minorHAnsi"/>
                <w:szCs w:val="22"/>
              </w:rPr>
              <w:footnoteReference w:id="5"/>
            </w:r>
            <w:r>
              <w:t xml:space="preserve"> and 2019</w:t>
            </w:r>
            <w:r>
              <w:rPr>
                <w:rStyle w:val="FootnoteReference"/>
                <w:rFonts w:asciiTheme="minorHAnsi" w:hAnsiTheme="minorHAnsi"/>
                <w:szCs w:val="22"/>
              </w:rPr>
              <w:footnoteReference w:id="6"/>
            </w:r>
            <w:r>
              <w:t xml:space="preserve"> that removed actuation limits from fluticasone and budesonide, aligning them to equivalent intranasal corticosteroids (including at that time, mometasone). In making these decisions, the Delegates determined that removal of the actuation limits to allow larger pack sizes to treat chronic conditions would be unlikely to impact the risk-benefit profiles of these substances.</w:t>
            </w:r>
            <w:r>
              <w:rPr>
                <w:rStyle w:val="FootnoteReference"/>
                <w:rFonts w:asciiTheme="minorHAnsi" w:hAnsiTheme="minorHAnsi"/>
                <w:szCs w:val="22"/>
              </w:rPr>
              <w:footnoteReference w:id="7"/>
            </w:r>
            <w:r w:rsidRPr="00AA5CCC">
              <w:rPr>
                <w:vertAlign w:val="superscript"/>
              </w:rPr>
              <w:t>,</w:t>
            </w:r>
            <w:r>
              <w:rPr>
                <w:rStyle w:val="FootnoteReference"/>
                <w:rFonts w:asciiTheme="minorHAnsi" w:hAnsiTheme="minorHAnsi"/>
                <w:szCs w:val="22"/>
              </w:rPr>
              <w:footnoteReference w:id="8"/>
            </w:r>
            <w:r>
              <w:t xml:space="preserve"> Given there are no safety signals warranting an amendment to the Schedule 2 entry in order to protect public health, it is my view that the introduction of an actuation limit for mometasone is not required and would impose an unnecessary regulatory burden on industry.</w:t>
            </w:r>
          </w:p>
          <w:p w14:paraId="4D188B0C" w14:textId="2E11EB5A" w:rsidR="006B652C" w:rsidRDefault="006B652C" w:rsidP="00190515">
            <w:pPr>
              <w:pStyle w:val="Heading4"/>
            </w:pPr>
            <w:r>
              <w:t>Summary of p</w:t>
            </w:r>
            <w:r w:rsidRPr="001A1B0E">
              <w:t>ublic submissions on the interim decision</w:t>
            </w:r>
          </w:p>
          <w:p w14:paraId="4CB99335" w14:textId="598DE2DC" w:rsidR="001C7F5A" w:rsidRPr="00B646C0" w:rsidRDefault="001C7F5A" w:rsidP="00854541">
            <w:pPr>
              <w:pStyle w:val="Heading5"/>
            </w:pPr>
            <w:r w:rsidRPr="00B646C0">
              <w:t>Interim decision public submissions (ACMS #26)</w:t>
            </w:r>
          </w:p>
          <w:p w14:paraId="34D243E7" w14:textId="77777777" w:rsidR="001C7F5A" w:rsidRDefault="001C7F5A" w:rsidP="001C7F5A">
            <w:r>
              <w:t>T</w:t>
            </w:r>
            <w:r w:rsidRPr="0068356C">
              <w:t>wo (2) public submissions</w:t>
            </w:r>
            <w:r>
              <w:t xml:space="preserve"> were received in response to the notice published under regulation 42ZCZP advising of </w:t>
            </w:r>
            <w:hyperlink r:id="rId21" w:history="1">
              <w:r w:rsidRPr="00F405A5">
                <w:rPr>
                  <w:rStyle w:val="Hyperlink"/>
                </w:rPr>
                <w:t>the interim decision and invitation for further comment on substances referred to the March 2019 ACMS/ACCS meeting</w:t>
              </w:r>
            </w:hyperlink>
            <w:r w:rsidRPr="0068356C">
              <w:t>.</w:t>
            </w:r>
            <w:r>
              <w:rPr>
                <w:rStyle w:val="FootnoteReference"/>
              </w:rPr>
              <w:footnoteReference w:id="9"/>
            </w:r>
            <w:r>
              <w:t xml:space="preserve"> Both public submissions were in </w:t>
            </w:r>
            <w:r w:rsidRPr="009F5104">
              <w:t>oppos</w:t>
            </w:r>
            <w:r>
              <w:t>ition</w:t>
            </w:r>
            <w:r w:rsidRPr="009F5104">
              <w:t xml:space="preserve"> the interim </w:t>
            </w:r>
            <w:r>
              <w:t>decision.</w:t>
            </w:r>
          </w:p>
          <w:p w14:paraId="0183B270" w14:textId="7C1DF1B4" w:rsidR="001C7F5A" w:rsidRPr="00EE001C" w:rsidRDefault="001C7F5A" w:rsidP="003A03FE">
            <w:pPr>
              <w:keepNext/>
            </w:pPr>
            <w:r w:rsidRPr="00EE001C">
              <w:lastRenderedPageBreak/>
              <w:t xml:space="preserve">Main points </w:t>
            </w:r>
            <w:r w:rsidR="00780ADB" w:rsidRPr="00EE001C">
              <w:t xml:space="preserve">provided </w:t>
            </w:r>
            <w:r w:rsidRPr="00EE001C">
              <w:t>in opposition</w:t>
            </w:r>
            <w:r w:rsidR="00780ADB" w:rsidRPr="00EE001C">
              <w:t xml:space="preserve"> were</w:t>
            </w:r>
            <w:r w:rsidRPr="00EE001C">
              <w:t>:</w:t>
            </w:r>
          </w:p>
          <w:p w14:paraId="34612B09" w14:textId="77777777" w:rsidR="001C7F5A" w:rsidRDefault="001C7F5A" w:rsidP="009F72C9">
            <w:pPr>
              <w:pStyle w:val="ListBullet"/>
              <w:spacing w:after="120"/>
              <w:ind w:left="357" w:hanging="357"/>
            </w:pPr>
            <w:r>
              <w:t>Mometasone for dermal use containing 0.1 % or less mometasone, in packs containing 15 g or less, substantially meets the Scheduling Factors for inclusion in Schedule 3.</w:t>
            </w:r>
          </w:p>
          <w:p w14:paraId="0EBCC287" w14:textId="77777777" w:rsidR="001C7F5A" w:rsidRDefault="001C7F5A" w:rsidP="009F72C9">
            <w:pPr>
              <w:pStyle w:val="ListBullet"/>
              <w:spacing w:after="120"/>
              <w:ind w:left="357" w:hanging="357"/>
            </w:pPr>
            <w:r>
              <w:t>Pharmacists currently intervene in the supply of lower potency dermal corticosteroids that have very similar precautions and contraindications to higher potency corticosteroids.</w:t>
            </w:r>
          </w:p>
          <w:p w14:paraId="7A7F743E" w14:textId="77777777" w:rsidR="001C7F5A" w:rsidRDefault="001C7F5A" w:rsidP="009F72C9">
            <w:pPr>
              <w:pStyle w:val="ListBullet"/>
              <w:spacing w:after="120"/>
              <w:ind w:left="357" w:hanging="357"/>
            </w:pPr>
            <w:r>
              <w:t>The introduction of an actuation limit for the current Schedule 2 entry conflicts with recent decisions for budesonide (2019) and fluticasone (2018) to remove actuation limits from other intranasal corticosteroids so that they could align with the (then) Schedule 2 entry for mometasone.</w:t>
            </w:r>
          </w:p>
          <w:p w14:paraId="069B63C1" w14:textId="14EBA0CD" w:rsidR="001C7F5A" w:rsidRDefault="001C7F5A" w:rsidP="009F72C9">
            <w:pPr>
              <w:pStyle w:val="ListBullet"/>
              <w:spacing w:after="120"/>
              <w:ind w:left="357" w:hanging="357"/>
            </w:pPr>
            <w:r>
              <w:t>Concerns with the diagnosis, management and monitoring of mometasone under Schedule 3 can be managed with an Appendix M entry that requires patients to have a medical diagnosis of their condition and a prescription specifying mometasone and that this must be reviewed by thei</w:t>
            </w:r>
            <w:r w:rsidR="00EE001C">
              <w:t xml:space="preserve">r medical practitioner every 6 </w:t>
            </w:r>
            <w:r>
              <w:t>months.</w:t>
            </w:r>
          </w:p>
          <w:p w14:paraId="4C935F3D" w14:textId="496BD06B" w:rsidR="001C7F5A" w:rsidRPr="00EE001C" w:rsidRDefault="001C7F5A" w:rsidP="009F72C9">
            <w:pPr>
              <w:pStyle w:val="ListBullet"/>
              <w:spacing w:after="120"/>
              <w:ind w:left="357" w:hanging="357"/>
            </w:pPr>
            <w:r>
              <w:t>Label warning statements and advice in the CMI not to use mometasone on the face or for more than two weeks without advice from a medical professional can help mitigate risks, such as corticosteroid-induced rosacea and skin atrophy, from the inappropriate application of mometasone to the face</w:t>
            </w:r>
            <w:r w:rsidR="00EE001C">
              <w:t>.</w:t>
            </w:r>
          </w:p>
          <w:p w14:paraId="37637A0D" w14:textId="2B57B33C" w:rsidR="0083444E" w:rsidRPr="00B646C0" w:rsidRDefault="0083444E" w:rsidP="00854541">
            <w:pPr>
              <w:pStyle w:val="Heading5"/>
            </w:pPr>
            <w:r w:rsidRPr="00B646C0">
              <w:t>Pre-meeting public submissions (ACMS #28)</w:t>
            </w:r>
          </w:p>
          <w:p w14:paraId="0293D551" w14:textId="288E987B" w:rsidR="001C7F5A" w:rsidRDefault="001C7F5A" w:rsidP="001C7F5A">
            <w:pPr>
              <w:rPr>
                <w:b/>
              </w:rPr>
            </w:pPr>
            <w:r w:rsidRPr="00E66FB1">
              <w:t xml:space="preserve">In response to </w:t>
            </w:r>
            <w:hyperlink r:id="rId22" w:history="1">
              <w:r w:rsidRPr="009018B9">
                <w:rPr>
                  <w:rStyle w:val="Hyperlink"/>
                </w:rPr>
                <w:t>the notice published under regulation 42ZCZK</w:t>
              </w:r>
            </w:hyperlink>
            <w:r w:rsidRPr="00E66FB1">
              <w:t xml:space="preserve"> </w:t>
            </w:r>
            <w:r>
              <w:t>advising of the proposed amendment</w:t>
            </w:r>
            <w:r>
              <w:rPr>
                <w:b/>
              </w:rPr>
              <w:t xml:space="preserve">, </w:t>
            </w:r>
            <w:r>
              <w:t>six (6)</w:t>
            </w:r>
            <w:r w:rsidRPr="004026EF">
              <w:t xml:space="preserve"> submissio</w:t>
            </w:r>
            <w:r w:rsidR="00EE001C">
              <w:t xml:space="preserve">ns were received. </w:t>
            </w:r>
            <w:r>
              <w:t>Two (2)</w:t>
            </w:r>
            <w:r w:rsidRPr="004026EF">
              <w:t xml:space="preserve"> submissions supported the amendment</w:t>
            </w:r>
            <w:r>
              <w:t>, one (1) with caveats</w:t>
            </w:r>
            <w:r w:rsidRPr="004026EF">
              <w:t xml:space="preserve"> and </w:t>
            </w:r>
            <w:r w:rsidRPr="002F4A81">
              <w:t>four (4)</w:t>
            </w:r>
            <w:r w:rsidRPr="004026EF">
              <w:t xml:space="preserve"> submissions opposed the amendment.</w:t>
            </w:r>
          </w:p>
          <w:p w14:paraId="7C6B29BD" w14:textId="77777777" w:rsidR="001C7F5A" w:rsidRPr="00EE001C" w:rsidRDefault="001C7F5A" w:rsidP="001C7F5A">
            <w:r w:rsidRPr="00EE001C">
              <w:t>The main points provided in support of the proposed amendment were:</w:t>
            </w:r>
          </w:p>
          <w:p w14:paraId="362D2309" w14:textId="77777777" w:rsidR="001C7F5A" w:rsidRDefault="001C7F5A" w:rsidP="009F72C9">
            <w:pPr>
              <w:pStyle w:val="ListBullet"/>
              <w:spacing w:after="120"/>
              <w:ind w:left="357" w:hanging="357"/>
            </w:pPr>
            <w:r>
              <w:t>The substance meets the scheduling criteria for Schedule 3 substances.</w:t>
            </w:r>
          </w:p>
          <w:p w14:paraId="7CA5E5E9" w14:textId="77777777" w:rsidR="001C7F5A" w:rsidRPr="00D060B3" w:rsidRDefault="001C7F5A" w:rsidP="009F72C9">
            <w:pPr>
              <w:pStyle w:val="ListBullet"/>
              <w:spacing w:after="120"/>
              <w:ind w:left="357" w:hanging="357"/>
              <w:rPr>
                <w:szCs w:val="22"/>
              </w:rPr>
            </w:pPr>
            <w:r>
              <w:t>Suggest that it is not</w:t>
            </w:r>
            <w:r w:rsidRPr="001A4736">
              <w:t xml:space="preserve"> necessary to include the phrase “</w:t>
            </w:r>
            <w:r w:rsidRPr="001A4736">
              <w:rPr>
                <w:i/>
              </w:rPr>
              <w:t>Specific pharmacist training on the provision of this medicine is require</w:t>
            </w:r>
            <w:r w:rsidRPr="001A4736">
              <w:t xml:space="preserve">d” in the Appendix M wording. Pharmacists already know about corticosteroid dermal preparations and the treatment of corticosteroid responsive skin conditions. </w:t>
            </w:r>
            <w:r>
              <w:t>Further,</w:t>
            </w:r>
            <w:r w:rsidRPr="001A4736">
              <w:t xml:space="preserve"> pharmacists are trained to differentiate between varied skin conditions and they are well aware of the pharmacol</w:t>
            </w:r>
            <w:r>
              <w:t>ogy of topical corticosteroids. Skin conditions and their treatment are a staple part of a community pharmacist’s work as they are often the first health professional that a patient will speak to. A community pharmacy is where most consumers will have their prescriptions dispensed.</w:t>
            </w:r>
          </w:p>
          <w:p w14:paraId="03720D17" w14:textId="1444B8F2" w:rsidR="001C7F5A" w:rsidRDefault="001C7F5A" w:rsidP="009F72C9">
            <w:pPr>
              <w:pStyle w:val="ListBullet"/>
              <w:spacing w:after="120"/>
              <w:ind w:left="357" w:hanging="357"/>
            </w:pPr>
            <w:r>
              <w:t xml:space="preserve">The Delegate and ACMS members are reminded that </w:t>
            </w:r>
            <w:r w:rsidRPr="001A4736">
              <w:t xml:space="preserve">pharmacists under current scheduling arrangements are already able to initiate hydrocortisone treatment from their own assessment of a patient’s condition </w:t>
            </w:r>
            <w:r>
              <w:t>that</w:t>
            </w:r>
            <w:r w:rsidRPr="001A4736">
              <w:t xml:space="preserve"> would require a similar approach in differential diagnosis when considering whether mometasone is appropriate for a patient’s condition.</w:t>
            </w:r>
          </w:p>
          <w:p w14:paraId="496CDF21" w14:textId="77777777" w:rsidR="001C7F5A" w:rsidRDefault="001C7F5A" w:rsidP="009F72C9">
            <w:pPr>
              <w:pStyle w:val="ListBullet"/>
              <w:spacing w:after="120"/>
              <w:ind w:left="357" w:hanging="357"/>
            </w:pPr>
            <w:r w:rsidRPr="000A7EC6">
              <w:t>A patient provided with this substance under the Schedule 3 Appendix M mechanism would already have consulted a medical practitioner regarding their condition and have trialled mometasone. They would have been counselled by the medical practitioner and the pharmacist when they have their first prescription dispensed.</w:t>
            </w:r>
            <w:r>
              <w:t xml:space="preserve"> Pharmacist can verify that a patient has previously been prescribed this substance either by interviewing the patient or by consulting the patient’s My Health Record or the pharmacy dispense records.</w:t>
            </w:r>
          </w:p>
          <w:p w14:paraId="70B8E288" w14:textId="77777777" w:rsidR="001C7F5A" w:rsidRDefault="001C7F5A" w:rsidP="009F72C9">
            <w:pPr>
              <w:pStyle w:val="ListBullet"/>
              <w:spacing w:after="120"/>
              <w:ind w:left="357" w:hanging="357"/>
            </w:pPr>
            <w:r w:rsidRPr="000001B4">
              <w:t>There are no additional risks associated with the dosage form that may impact on safe use that will be exacerbated by advertising. Only patients that have a formal diagnosis and have previously used this substance will be eligible for access. Advertising will act as a reminder that they can access treatment for their condition should they experience a flare-up of their condition and cannot consult with their medical practitioner in a timely fashion.</w:t>
            </w:r>
          </w:p>
          <w:p w14:paraId="7FD76AAC" w14:textId="08469AB6" w:rsidR="001C7F5A" w:rsidRDefault="001C7F5A" w:rsidP="009F72C9">
            <w:pPr>
              <w:pStyle w:val="ListBullet"/>
              <w:spacing w:after="120"/>
              <w:ind w:left="357" w:hanging="357"/>
            </w:pPr>
            <w:r w:rsidRPr="004043A8">
              <w:t>The Appendix M wording ensures that a patient must have previously been diagnosed with a dermal condition suitable for treatment with mometasone within the last 6 months. This requirement will ensure that there is no potential for inappropriate use or diversion that would b</w:t>
            </w:r>
            <w:r w:rsidR="00EE001C">
              <w:t>e exacerbated by advertising.</w:t>
            </w:r>
          </w:p>
          <w:p w14:paraId="06243EA6" w14:textId="77777777" w:rsidR="001C7F5A" w:rsidRPr="00EE001C" w:rsidRDefault="001C7F5A" w:rsidP="009F72C9">
            <w:r w:rsidRPr="00EE001C">
              <w:lastRenderedPageBreak/>
              <w:t>The main points provided in support of the proposed amendment with caveats were:</w:t>
            </w:r>
          </w:p>
          <w:p w14:paraId="37842B04" w14:textId="52C882B7" w:rsidR="001C7F5A" w:rsidRDefault="001C7F5A" w:rsidP="00C103EC">
            <w:pPr>
              <w:pStyle w:val="ListBullet"/>
            </w:pPr>
            <w:r w:rsidRPr="00BE362A">
              <w:t xml:space="preserve">The proposed Appendix M controls </w:t>
            </w:r>
            <w:r w:rsidRPr="00BE362A">
              <w:rPr>
                <w:bCs/>
              </w:rPr>
              <w:t xml:space="preserve">appear logical and appropriate </w:t>
            </w:r>
            <w:r w:rsidRPr="00BE362A">
              <w:t xml:space="preserve">and the overall rescheduling proposal for mometasone is </w:t>
            </w:r>
            <w:r w:rsidRPr="00BE362A">
              <w:rPr>
                <w:bCs/>
              </w:rPr>
              <w:t>appropriate from a patient safety perspective. However,</w:t>
            </w:r>
            <w:r>
              <w:rPr>
                <w:bCs/>
              </w:rPr>
              <w:t xml:space="preserve"> </w:t>
            </w:r>
            <w:r>
              <w:t xml:space="preserve">the Scheduling handbook </w:t>
            </w:r>
            <w:r w:rsidRPr="00305A00">
              <w:t>outlines the expectation that an ap</w:t>
            </w:r>
            <w:r>
              <w:t>plicant seeking to reschedule a</w:t>
            </w:r>
            <w:r w:rsidRPr="00305A00">
              <w:t xml:space="preserve"> S</w:t>
            </w:r>
            <w:r>
              <w:t xml:space="preserve">chedule </w:t>
            </w:r>
            <w:r w:rsidRPr="00305A00">
              <w:t>4 substance to S</w:t>
            </w:r>
            <w:r>
              <w:t xml:space="preserve">chedule </w:t>
            </w:r>
            <w:r w:rsidRPr="00305A00">
              <w:t>3 with Appendix M conditions will conduct preliminary discussions with the pharmacy profession.</w:t>
            </w:r>
            <w:r>
              <w:t xml:space="preserve"> I</w:t>
            </w:r>
            <w:r w:rsidRPr="00BE362A">
              <w:t>n the</w:t>
            </w:r>
            <w:r w:rsidR="002C1E39">
              <w:t xml:space="preserve"> absence of any discussion with </w:t>
            </w:r>
            <w:r w:rsidR="002C1E39" w:rsidRPr="002C1E39">
              <w:rPr>
                <w:highlight w:val="black"/>
              </w:rPr>
              <w:t>XXX</w:t>
            </w:r>
            <w:r w:rsidR="002C1E39">
              <w:t xml:space="preserve"> </w:t>
            </w:r>
            <w:r w:rsidRPr="00354701">
              <w:t>r</w:t>
            </w:r>
            <w:r w:rsidRPr="00BE362A">
              <w:t>egarding the rescheduling to S</w:t>
            </w:r>
            <w:r>
              <w:t xml:space="preserve">cheduling </w:t>
            </w:r>
            <w:r w:rsidRPr="00BE362A">
              <w:t xml:space="preserve">3 through Appendix M controls and the apparent lack of preparatory work on a suitable pharmacist training package, </w:t>
            </w:r>
            <w:r w:rsidR="002C1E39" w:rsidRPr="002C1E39">
              <w:rPr>
                <w:highlight w:val="black"/>
              </w:rPr>
              <w:t>XXX</w:t>
            </w:r>
            <w:r w:rsidRPr="00BE362A">
              <w:t xml:space="preserve"> is unable to support thi</w:t>
            </w:r>
            <w:r w:rsidR="00EE001C">
              <w:t>s proposal in its current form.</w:t>
            </w:r>
          </w:p>
          <w:p w14:paraId="64730195" w14:textId="77777777" w:rsidR="001C7F5A" w:rsidRDefault="001C7F5A" w:rsidP="00C103EC">
            <w:pPr>
              <w:pStyle w:val="ListBullet"/>
            </w:pPr>
            <w:r>
              <w:t xml:space="preserve">Agree with the interim decision that mometasone </w:t>
            </w:r>
            <w:r w:rsidRPr="00D060B3">
              <w:t>should not be included</w:t>
            </w:r>
            <w:r>
              <w:t xml:space="preserve"> in Appendix H.</w:t>
            </w:r>
          </w:p>
          <w:p w14:paraId="2B1095C2" w14:textId="77777777" w:rsidR="001C7F5A" w:rsidRDefault="001C7F5A" w:rsidP="00C103EC">
            <w:pPr>
              <w:pStyle w:val="ListBullet"/>
            </w:pPr>
            <w:r>
              <w:t xml:space="preserve">While supportive of the inclusion of an upper limit to the supply of Schedule 2, the conditions in the Schedule 2 entry include </w:t>
            </w:r>
            <w:r w:rsidRPr="000001B4">
              <w:rPr>
                <w:i/>
              </w:rPr>
              <w:t>“… for the short term prophylaxis or treatment of allergic rhinitis for up to 6 months…</w:t>
            </w:r>
            <w:r>
              <w:t xml:space="preserve">”. However, the TGA recently </w:t>
            </w:r>
            <w:r>
              <w:rPr>
                <w:lang w:eastAsia="en-AU"/>
              </w:rPr>
              <w:t>communicated (albeit in the context of the Appendix M criteria consultation) advice from States and Territories that “</w:t>
            </w:r>
            <w:r w:rsidRPr="000001B4">
              <w:rPr>
                <w:i/>
                <w:lang w:eastAsia="en-AU"/>
              </w:rPr>
              <w:t>limits on frequency and duration of supply are not within their power to legislate</w:t>
            </w:r>
            <w:r>
              <w:rPr>
                <w:lang w:eastAsia="en-AU"/>
              </w:rPr>
              <w:t>”. Therefore, clarification is sought on whether the reference to “</w:t>
            </w:r>
            <w:r w:rsidRPr="000001B4">
              <w:rPr>
                <w:i/>
                <w:lang w:eastAsia="en-AU"/>
              </w:rPr>
              <w:t>for up to 6 months</w:t>
            </w:r>
            <w:r>
              <w:rPr>
                <w:lang w:eastAsia="en-AU"/>
              </w:rPr>
              <w:t>” is still appropriate for inclusion in the Schedule 2 entry of the Poisons Standard for mometasone, and if so,</w:t>
            </w:r>
            <w:r>
              <w:t xml:space="preserve"> </w:t>
            </w:r>
            <w:r>
              <w:rPr>
                <w:lang w:eastAsia="en-AU"/>
              </w:rPr>
              <w:t>how this condition is expected to be fulfilled in practice.</w:t>
            </w:r>
          </w:p>
          <w:p w14:paraId="364E0B25" w14:textId="7ABFC1DA" w:rsidR="001C7F5A" w:rsidRPr="00EE001C" w:rsidRDefault="001C7F5A" w:rsidP="001C7F5A">
            <w:r w:rsidRPr="00EE001C">
              <w:t xml:space="preserve">The main points provided in opposition to </w:t>
            </w:r>
            <w:r w:rsidR="00EE001C">
              <w:t>the proposed amendment were:</w:t>
            </w:r>
          </w:p>
          <w:p w14:paraId="6B0E51D9" w14:textId="77777777" w:rsidR="001C7F5A" w:rsidRDefault="001C7F5A" w:rsidP="00C103EC">
            <w:pPr>
              <w:pStyle w:val="ListBullet"/>
            </w:pPr>
            <w:r>
              <w:t>The proposed addition to Appendix M is entirely insufficient to satisfy the concerns outlined in the ACMS’ interim decision. The proposed entry lacks detail on:</w:t>
            </w:r>
          </w:p>
          <w:p w14:paraId="1F66CFA5" w14:textId="77777777" w:rsidR="001C7F5A" w:rsidRDefault="001C7F5A" w:rsidP="00C103EC">
            <w:pPr>
              <w:pStyle w:val="ListBullet2"/>
            </w:pPr>
            <w:r>
              <w:t>the proposed pharmacist training and what this entails;</w:t>
            </w:r>
          </w:p>
          <w:p w14:paraId="4638B04D" w14:textId="77777777" w:rsidR="001C7F5A" w:rsidRDefault="001C7F5A" w:rsidP="00C103EC">
            <w:pPr>
              <w:pStyle w:val="ListBullet2"/>
            </w:pPr>
            <w:r>
              <w:t>the validation of the patient questionnaire;</w:t>
            </w:r>
          </w:p>
          <w:p w14:paraId="07D05F21" w14:textId="77777777" w:rsidR="001C7F5A" w:rsidRDefault="001C7F5A" w:rsidP="00C103EC">
            <w:pPr>
              <w:pStyle w:val="ListBullet2"/>
            </w:pPr>
            <w:r>
              <w:t>the required records of diagnosis and therapeutic recommendation from the medical practitioner;</w:t>
            </w:r>
          </w:p>
          <w:p w14:paraId="5FDE30B4" w14:textId="625401E5" w:rsidR="001C7F5A" w:rsidRPr="00C103EC" w:rsidRDefault="001C7F5A" w:rsidP="00C103EC">
            <w:pPr>
              <w:pStyle w:val="ListBullet2"/>
            </w:pPr>
            <w:r>
              <w:t>the m</w:t>
            </w:r>
            <w:r w:rsidRPr="00C103EC">
              <w:t>echanisms for patient follow up and ma</w:t>
            </w:r>
            <w:r w:rsidR="007C3182" w:rsidRPr="00C103EC">
              <w:t>nagement of adverse events; and</w:t>
            </w:r>
          </w:p>
          <w:p w14:paraId="69FF60AD" w14:textId="77777777" w:rsidR="001C7F5A" w:rsidRDefault="001C7F5A" w:rsidP="00C103EC">
            <w:pPr>
              <w:pStyle w:val="ListBullet2"/>
            </w:pPr>
            <w:r w:rsidRPr="00C103EC">
              <w:t>the tracking of clinical outcomes. There is no evidence to support this approach and it does not reflect good clini</w:t>
            </w:r>
            <w:r>
              <w:t>cal practice.</w:t>
            </w:r>
          </w:p>
          <w:p w14:paraId="052CAD49" w14:textId="1FFC4306" w:rsidR="001C7F5A" w:rsidRDefault="001C7F5A" w:rsidP="00C103EC">
            <w:pPr>
              <w:pStyle w:val="ListBullet"/>
            </w:pPr>
            <w:r>
              <w:t xml:space="preserve">The </w:t>
            </w:r>
            <w:r w:rsidR="002C1E39" w:rsidRPr="002C1E39">
              <w:rPr>
                <w:highlight w:val="black"/>
              </w:rPr>
              <w:t>XXX</w:t>
            </w:r>
            <w:r>
              <w:t xml:space="preserve"> oppose the scheduling amendment on the terms of patient safety and in health care costs. The </w:t>
            </w:r>
            <w:r w:rsidR="002C1E39" w:rsidRPr="002C1E39">
              <w:rPr>
                <w:highlight w:val="black"/>
              </w:rPr>
              <w:t>XXX</w:t>
            </w:r>
            <w:r>
              <w:t xml:space="preserve"> supports the </w:t>
            </w:r>
            <w:r w:rsidR="002C1E39" w:rsidRPr="002C1E39">
              <w:rPr>
                <w:highlight w:val="black"/>
              </w:rPr>
              <w:t>XXXXXXXXXXX</w:t>
            </w:r>
            <w:r w:rsidR="002C1E39">
              <w:t xml:space="preserve"> </w:t>
            </w:r>
            <w:r w:rsidR="002C1E39" w:rsidRPr="002C1E39">
              <w:rPr>
                <w:highlight w:val="black"/>
              </w:rPr>
              <w:t>XXXXXXX</w:t>
            </w:r>
            <w:r w:rsidR="002C1E39">
              <w:t xml:space="preserve"> of </w:t>
            </w:r>
            <w:r w:rsidR="002C1E39" w:rsidRPr="002C1E39">
              <w:rPr>
                <w:highlight w:val="black"/>
              </w:rPr>
              <w:t>XXXXXXXXXXXXXXX</w:t>
            </w:r>
            <w:r>
              <w:t xml:space="preserve"> submission on the proposed amendments to mometasone</w:t>
            </w:r>
            <w:r>
              <w:rPr>
                <w:rStyle w:val="FootnoteReference"/>
              </w:rPr>
              <w:footnoteReference w:id="10"/>
            </w:r>
            <w:r>
              <w:t xml:space="preserve"> and refers the Delegate to its own submission to the ACMS in January 2019 that further outlines the issues with down-scheduling mometasone.</w:t>
            </w:r>
            <w:r>
              <w:rPr>
                <w:rStyle w:val="FootnoteReference"/>
              </w:rPr>
              <w:footnoteReference w:id="11"/>
            </w:r>
          </w:p>
          <w:p w14:paraId="1E00743B" w14:textId="77777777" w:rsidR="001C7F5A" w:rsidRDefault="001C7F5A" w:rsidP="00C103EC">
            <w:pPr>
              <w:pStyle w:val="ListBullet"/>
            </w:pPr>
            <w:r>
              <w:t>Mometasone is the most common cause of corticosteroid-induced rosacea (perioral dermatitis) and causes skin atrophy.</w:t>
            </w:r>
            <w:r>
              <w:rPr>
                <w:rStyle w:val="FootnoteReference"/>
              </w:rPr>
              <w:footnoteReference w:id="12"/>
            </w:r>
            <w:r>
              <w:t xml:space="preserve"> P</w:t>
            </w:r>
            <w:r w:rsidRPr="00C103EC">
              <w:t>h</w:t>
            </w:r>
            <w:r>
              <w:t>armacists do not have the medical training or expertise to know when to appropriately recommend mometasone to a patient, and rectifying adverse reactions requires medical practitioner expertise.</w:t>
            </w:r>
          </w:p>
          <w:p w14:paraId="1277C371" w14:textId="1E36E62D" w:rsidR="001C7F5A" w:rsidRDefault="001C7F5A" w:rsidP="009F72C9">
            <w:pPr>
              <w:pStyle w:val="ListBullet"/>
              <w:rPr>
                <w:lang w:eastAsia="en-AU"/>
              </w:rPr>
            </w:pPr>
            <w:r>
              <w:t xml:space="preserve">There are already existing, effective, over the counter, low-potency topical steroid options and expanding access to higher </w:t>
            </w:r>
            <w:r>
              <w:rPr>
                <w:lang w:eastAsia="en-AU"/>
              </w:rPr>
              <w:t xml:space="preserve">potency steroids is fraught with negative consequences. </w:t>
            </w:r>
            <w:r w:rsidR="002C1E39" w:rsidRPr="002C1E39">
              <w:rPr>
                <w:highlight w:val="black"/>
                <w:lang w:eastAsia="en-AU"/>
              </w:rPr>
              <w:t>XXX</w:t>
            </w:r>
            <w:r>
              <w:t xml:space="preserve"> members are concerned that the number of adverse reactions will increase with the proposed changes. Further, there is a cost to the patient if mometasone is used inappropriately and they must pay for further treatment or medication such as antibiotics.</w:t>
            </w:r>
          </w:p>
          <w:p w14:paraId="17918EE2" w14:textId="77777777" w:rsidR="001C7F5A" w:rsidRDefault="001C7F5A" w:rsidP="007C3182">
            <w:pPr>
              <w:pStyle w:val="ListBullet"/>
            </w:pPr>
            <w:r>
              <w:lastRenderedPageBreak/>
              <w:t>The proposed amendment to the Schedule 2 entry that seeks to introduce a pack size limit of 200 actuations for intranasal mometasone is not supported. There was no transparency of the rationale for its inclusion for in the agenda nor explanation for the basis upon which public comment was sought.</w:t>
            </w:r>
          </w:p>
          <w:p w14:paraId="46233CDB" w14:textId="77777777" w:rsidR="001C7F5A" w:rsidRDefault="001C7F5A" w:rsidP="007C3182">
            <w:pPr>
              <w:pStyle w:val="ListBullet"/>
            </w:pPr>
            <w:r>
              <w:t>An actuation limit for intranasal mometasone should not be introduced after it has already been decided that similar limits are not needed for other equivalent intranasal corticosteroids and after it was determined that making budesonide available in a larger pack size was unlikely to impact the risk-benefit profile significantly.</w:t>
            </w:r>
          </w:p>
          <w:p w14:paraId="50E285B5" w14:textId="1634B078" w:rsidR="001C7F5A" w:rsidRDefault="001C7F5A" w:rsidP="00123C59">
            <w:pPr>
              <w:pStyle w:val="ListBullet"/>
            </w:pPr>
            <w:r>
              <w:t xml:space="preserve">In recent Scheduling decisions it has decided that similar limits were not needed for other equivalent intranasal corticosteroids. The 1 February 2019 Poisons Standard removed the actuation limit of 200 actuations or less from the entry for budesonide in aqueous nasal sprays (see the </w:t>
            </w:r>
            <w:hyperlink r:id="rId23" w:history="1">
              <w:r w:rsidRPr="00354701">
                <w:rPr>
                  <w:rStyle w:val="Hyperlink"/>
                </w:rPr>
                <w:t>Final Decision</w:t>
              </w:r>
            </w:hyperlink>
            <w:r>
              <w:t xml:space="preserve">), on the basis that there was no actuation limit for other intranasal corticosteroids, i.e. mometasone. Similarly, a decision was made to remove the actuation limit for fluticasone, and this was included in the 1 October 2018 update to the Poisons Standard, (see the </w:t>
            </w:r>
            <w:hyperlink r:id="rId24" w:history="1">
              <w:r w:rsidRPr="00354701">
                <w:rPr>
                  <w:rStyle w:val="Hyperlink"/>
                </w:rPr>
                <w:t>Final Decision</w:t>
              </w:r>
            </w:hyperlink>
            <w:r w:rsidR="007C3182">
              <w:t>).</w:t>
            </w:r>
          </w:p>
          <w:p w14:paraId="1D305D07" w14:textId="77777777" w:rsidR="001C7F5A" w:rsidRDefault="001C7F5A" w:rsidP="007C3182">
            <w:pPr>
              <w:pStyle w:val="ListBullet"/>
              <w:rPr>
                <w:i/>
              </w:rPr>
            </w:pPr>
            <w:r w:rsidRPr="00652CF2">
              <w:t xml:space="preserve">When deciding to remove the actuation limit for fluticasone, the Delegate’s </w:t>
            </w:r>
            <w:r>
              <w:t>interim decisions stated that ‘</w:t>
            </w:r>
            <w:r w:rsidRPr="00652CF2">
              <w:rPr>
                <w:i/>
              </w:rPr>
              <w:t>There is no difference in the risks of the substance by allowing more doses per pack</w:t>
            </w:r>
            <w:r>
              <w:rPr>
                <w:i/>
              </w:rPr>
              <w:t>”</w:t>
            </w:r>
            <w:r w:rsidRPr="00652CF2">
              <w:t>.</w:t>
            </w:r>
            <w:r>
              <w:rPr>
                <w:rStyle w:val="FootnoteReference"/>
              </w:rPr>
              <w:footnoteReference w:id="13"/>
            </w:r>
            <w:r w:rsidRPr="00652CF2">
              <w:t xml:space="preserve"> Similarly, for budeso</w:t>
            </w:r>
            <w:r>
              <w:t>nide, the Delegate stated that ‘</w:t>
            </w:r>
            <w:r w:rsidRPr="00652CF2">
              <w:rPr>
                <w:i/>
              </w:rPr>
              <w:t>Removing the actuation limit will</w:t>
            </w:r>
            <w:r>
              <w:rPr>
                <w:i/>
              </w:rPr>
              <w:t xml:space="preserve"> </w:t>
            </w:r>
            <w:r w:rsidRPr="00652CF2">
              <w:rPr>
                <w:i/>
              </w:rPr>
              <w:t>allow new larger pack sizes and provide a longer duration of treatment”; “This change to the scheduling of budesonide in the Poisons Standard will align the Schedule 2 entry with other intranasal corticosteroids” and “Making budesonide available in a larger pack size is unlikely to impact the ris</w:t>
            </w:r>
            <w:r>
              <w:rPr>
                <w:i/>
              </w:rPr>
              <w:t>k-benefit profile significantly”.</w:t>
            </w:r>
            <w:r>
              <w:rPr>
                <w:rStyle w:val="FootnoteReference"/>
                <w:i/>
              </w:rPr>
              <w:footnoteReference w:id="14"/>
            </w:r>
          </w:p>
          <w:p w14:paraId="5E83D51E" w14:textId="63E9ACDE" w:rsidR="001C7F5A" w:rsidRPr="001C7F5A" w:rsidRDefault="001C7F5A" w:rsidP="005A06C6">
            <w:pPr>
              <w:pStyle w:val="ListBullet"/>
              <w:ind w:left="357" w:hanging="357"/>
            </w:pPr>
            <w:r>
              <w:t>Both decisions (for budesonide and fluticasone) and the corresponding updates to the Poisons Standard were made to align both of these intranasal corticosteroid entries with that of intranasal. It is concerning that the current proposal is contradictory and does not provide a level playing field or consistency in approach for intranasal corticosteroids.</w:t>
            </w:r>
          </w:p>
          <w:p w14:paraId="43EFE49E" w14:textId="737E4080" w:rsidR="00993ED7" w:rsidRPr="00993ED7" w:rsidRDefault="00993ED7" w:rsidP="00854541">
            <w:pPr>
              <w:pStyle w:val="Heading4"/>
            </w:pPr>
            <w:r>
              <w:t xml:space="preserve">ACMS #28 </w:t>
            </w:r>
            <w:r w:rsidRPr="00993ED7">
              <w:t>Advice f</w:t>
            </w:r>
            <w:r w:rsidR="007C3182">
              <w:t>or the delegate’s consideration</w:t>
            </w:r>
          </w:p>
          <w:p w14:paraId="65225EC2" w14:textId="23573068" w:rsidR="00993ED7" w:rsidRDefault="00993ED7" w:rsidP="00993ED7">
            <w:pPr>
              <w:autoSpaceDE w:val="0"/>
              <w:autoSpaceDN w:val="0"/>
              <w:adjustRightInd w:val="0"/>
              <w:spacing w:before="0" w:after="0" w:line="240" w:lineRule="auto"/>
              <w:rPr>
                <w:rFonts w:cs="Cambria"/>
                <w:color w:val="000000"/>
                <w:szCs w:val="22"/>
              </w:rPr>
            </w:pPr>
            <w:r w:rsidRPr="005B7BF4">
              <w:rPr>
                <w:rFonts w:asciiTheme="minorHAnsi" w:eastAsia="Times New Roman" w:hAnsiTheme="minorHAnsi"/>
                <w:szCs w:val="24"/>
              </w:rPr>
              <w:t xml:space="preserve">The </w:t>
            </w:r>
            <w:r>
              <w:t>Advisory Committee on Medicines Scheduling</w:t>
            </w:r>
            <w:r w:rsidRPr="005B7BF4">
              <w:rPr>
                <w:rFonts w:asciiTheme="minorHAnsi" w:eastAsia="Times New Roman" w:hAnsiTheme="minorHAnsi"/>
                <w:szCs w:val="24"/>
              </w:rPr>
              <w:t xml:space="preserve"> </w:t>
            </w:r>
            <w:r>
              <w:rPr>
                <w:rFonts w:asciiTheme="minorHAnsi" w:eastAsia="Times New Roman" w:hAnsiTheme="minorHAnsi"/>
                <w:szCs w:val="24"/>
              </w:rPr>
              <w:t>recommended</w:t>
            </w:r>
            <w:r w:rsidRPr="005B7BF4">
              <w:rPr>
                <w:rFonts w:asciiTheme="minorHAnsi" w:eastAsia="Times New Roman" w:hAnsiTheme="minorHAnsi"/>
                <w:szCs w:val="24"/>
              </w:rPr>
              <w:t xml:space="preserve"> that</w:t>
            </w:r>
            <w:r>
              <w:rPr>
                <w:rFonts w:asciiTheme="minorHAnsi" w:eastAsia="Times New Roman" w:hAnsiTheme="minorHAnsi"/>
                <w:szCs w:val="24"/>
              </w:rPr>
              <w:t xml:space="preserve"> </w:t>
            </w:r>
            <w:r w:rsidRPr="00FD0083">
              <w:rPr>
                <w:rFonts w:cs="Cambria"/>
                <w:color w:val="000000"/>
                <w:szCs w:val="22"/>
              </w:rPr>
              <w:t xml:space="preserve">that the current Schedule 4 entry for mometasone be amended and that a new Schedule 3 </w:t>
            </w:r>
            <w:r>
              <w:rPr>
                <w:rFonts w:cs="Cambria"/>
                <w:color w:val="000000"/>
                <w:szCs w:val="22"/>
              </w:rPr>
              <w:t>entry</w:t>
            </w:r>
            <w:r w:rsidRPr="00FD0083">
              <w:rPr>
                <w:rFonts w:cs="Cambria"/>
                <w:color w:val="000000"/>
                <w:szCs w:val="22"/>
              </w:rPr>
              <w:t xml:space="preserve"> be created in the Poiso</w:t>
            </w:r>
            <w:r w:rsidR="007C3182">
              <w:rPr>
                <w:rFonts w:cs="Cambria"/>
                <w:color w:val="000000"/>
                <w:szCs w:val="22"/>
              </w:rPr>
              <w:t>ns Standard as follows:</w:t>
            </w:r>
          </w:p>
          <w:p w14:paraId="729A1EC0" w14:textId="173CF1F3" w:rsidR="00993ED7" w:rsidRPr="00FD0083" w:rsidRDefault="007C3182" w:rsidP="00C103EC">
            <w:pPr>
              <w:spacing w:before="120" w:after="120"/>
              <w:ind w:left="425"/>
            </w:pPr>
            <w:r>
              <w:rPr>
                <w:b/>
                <w:bCs/>
              </w:rPr>
              <w:t>Schedule 4 – Amend Entry</w:t>
            </w:r>
          </w:p>
          <w:p w14:paraId="1D9AA9A2" w14:textId="64DED430" w:rsidR="00993ED7" w:rsidRPr="00FD0083" w:rsidRDefault="00993ED7" w:rsidP="00C103EC">
            <w:pPr>
              <w:spacing w:before="120" w:after="120"/>
              <w:ind w:left="425"/>
            </w:pPr>
            <w:r w:rsidRPr="00FD0083">
              <w:t xml:space="preserve">MOMETASONE </w:t>
            </w:r>
            <w:r w:rsidRPr="00FD0083">
              <w:rPr>
                <w:b/>
                <w:bCs/>
              </w:rPr>
              <w:t xml:space="preserve">except </w:t>
            </w:r>
            <w:r w:rsidRPr="00FD0083">
              <w:t xml:space="preserve">when included in Schedule 2 </w:t>
            </w:r>
            <w:r w:rsidRPr="00FD0083">
              <w:rPr>
                <w:color w:val="FF0000"/>
              </w:rPr>
              <w:t>or 3</w:t>
            </w:r>
            <w:r w:rsidR="007C3182">
              <w:t>.</w:t>
            </w:r>
          </w:p>
          <w:p w14:paraId="516A6552" w14:textId="50B87794" w:rsidR="00993ED7" w:rsidRPr="00FD0083" w:rsidRDefault="007C3182" w:rsidP="00C103EC">
            <w:pPr>
              <w:spacing w:before="120" w:after="120"/>
              <w:ind w:left="425"/>
            </w:pPr>
            <w:r>
              <w:rPr>
                <w:b/>
                <w:bCs/>
              </w:rPr>
              <w:t>Schedule 3 – New Entry</w:t>
            </w:r>
          </w:p>
          <w:p w14:paraId="79BDE0D7" w14:textId="05CB6CA3" w:rsidR="00993ED7" w:rsidRPr="007C3182" w:rsidRDefault="00993ED7" w:rsidP="00C103EC">
            <w:pPr>
              <w:spacing w:before="120" w:after="120"/>
              <w:ind w:left="425"/>
              <w:rPr>
                <w:color w:val="FF0000"/>
              </w:rPr>
            </w:pPr>
            <w:r w:rsidRPr="00FD0083">
              <w:rPr>
                <w:color w:val="FF0000"/>
              </w:rPr>
              <w:t>MOMETASONE as the only therapeutically active substance in preparations for dermal use containing 0.1 percent or less of mometasone in</w:t>
            </w:r>
            <w:r w:rsidR="007C3182">
              <w:rPr>
                <w:color w:val="FF0000"/>
              </w:rPr>
              <w:t xml:space="preserve"> packs containing 15 g or less.</w:t>
            </w:r>
          </w:p>
          <w:p w14:paraId="04678115" w14:textId="4976085F" w:rsidR="00993ED7" w:rsidRPr="00FD0083" w:rsidRDefault="007C3182" w:rsidP="00C103EC">
            <w:pPr>
              <w:spacing w:before="120" w:after="120"/>
              <w:ind w:left="425"/>
            </w:pPr>
            <w:r>
              <w:rPr>
                <w:b/>
                <w:bCs/>
              </w:rPr>
              <w:t>Schedule 2</w:t>
            </w:r>
          </w:p>
          <w:p w14:paraId="11CFC88A" w14:textId="40B8AC2A" w:rsidR="00993ED7" w:rsidRPr="00FD0083" w:rsidRDefault="00993ED7" w:rsidP="00C103EC">
            <w:pPr>
              <w:spacing w:before="120" w:after="120"/>
              <w:ind w:left="425"/>
            </w:pPr>
            <w:r w:rsidRPr="00FD0083">
              <w:t xml:space="preserve">MOMETASONE in aqueous nasal sprays delivering 50 micrograms or less of mometasone per actuation when the maximum recommended daily dose is no greater than 200 micrograms for the prophylaxis or treatment of allergic rhinitis for up to 6 months in adults </w:t>
            </w:r>
            <w:r w:rsidR="007C3182">
              <w:t>and children 12 years and over.</w:t>
            </w:r>
          </w:p>
          <w:p w14:paraId="6B4D1BAA" w14:textId="4313DE0D" w:rsidR="00993ED7" w:rsidRPr="00FD0083" w:rsidRDefault="007C3182" w:rsidP="00C103EC">
            <w:pPr>
              <w:spacing w:before="120" w:after="120"/>
              <w:ind w:left="425"/>
            </w:pPr>
            <w:r>
              <w:rPr>
                <w:b/>
                <w:bCs/>
              </w:rPr>
              <w:t>Index – Amend Entry</w:t>
            </w:r>
          </w:p>
          <w:p w14:paraId="082B382E" w14:textId="168C6F8B" w:rsidR="00993ED7" w:rsidRDefault="007C3182" w:rsidP="00C103EC">
            <w:pPr>
              <w:spacing w:before="120" w:after="120"/>
              <w:ind w:left="425"/>
            </w:pPr>
            <w:r>
              <w:rPr>
                <w:b/>
                <w:bCs/>
              </w:rPr>
              <w:t>MOMETASONE</w:t>
            </w:r>
          </w:p>
          <w:p w14:paraId="7D16F414" w14:textId="21F1B7DF" w:rsidR="00993ED7" w:rsidRPr="00FD0083" w:rsidRDefault="007C3182" w:rsidP="00993ED7">
            <w:pPr>
              <w:ind w:left="426"/>
            </w:pPr>
            <w:r>
              <w:t>Schedule 4</w:t>
            </w:r>
            <w:r w:rsidR="00993ED7">
              <w:br/>
            </w:r>
            <w:r>
              <w:rPr>
                <w:color w:val="FF0000"/>
              </w:rPr>
              <w:t>Schedule 3</w:t>
            </w:r>
            <w:r w:rsidR="00993ED7">
              <w:rPr>
                <w:color w:val="FF0000"/>
              </w:rPr>
              <w:br/>
            </w:r>
            <w:r>
              <w:t>Schedule 2</w:t>
            </w:r>
          </w:p>
          <w:p w14:paraId="749EAC62" w14:textId="79C4A4B9" w:rsidR="00993ED7" w:rsidRDefault="00993ED7" w:rsidP="007C3182">
            <w:r w:rsidRPr="00FD0083">
              <w:lastRenderedPageBreak/>
              <w:t xml:space="preserve">The Committee also recommended an implementation date of </w:t>
            </w:r>
            <w:r w:rsidRPr="00FD0083">
              <w:rPr>
                <w:b/>
                <w:bCs/>
              </w:rPr>
              <w:t>1 June 2020</w:t>
            </w:r>
            <w:r w:rsidR="007C3182">
              <w:t>.</w:t>
            </w:r>
          </w:p>
          <w:p w14:paraId="06609D45" w14:textId="60255241" w:rsidR="00C04093" w:rsidRPr="00C04093" w:rsidRDefault="00C04093" w:rsidP="00854541">
            <w:r>
              <w:t xml:space="preserve">Members agreed that the relevant matters under Section 52E(1) of the </w:t>
            </w:r>
            <w:r w:rsidRPr="007C3182">
              <w:rPr>
                <w:i/>
              </w:rPr>
              <w:t>Therapeutic Goods Act 1989</w:t>
            </w:r>
            <w:r w:rsidRPr="007C3182">
              <w:t xml:space="preserve"> </w:t>
            </w:r>
            <w:r>
              <w:t>included (a) the risks and benefits of the use of a substance; (b) the purpose for which a substance is to be used and the and extent of use of a substance; (c) the toxicity of a substance; (d) the dosage, formulation, labelling, packaging and presentation of a substance; and (f) any other matters that the Secretary considers necessary to protect public health.</w:t>
            </w:r>
          </w:p>
          <w:p w14:paraId="64AC3F65" w14:textId="31D0B1F6" w:rsidR="00993ED7" w:rsidRPr="002C1E39" w:rsidRDefault="00993ED7" w:rsidP="00854541">
            <w:r>
              <w:t>The Advisory Committee on Medicines Scheduling</w:t>
            </w:r>
            <w:r w:rsidRPr="00547485">
              <w:t xml:space="preserve"> </w:t>
            </w:r>
            <w:r>
              <w:t>stated its</w:t>
            </w:r>
            <w:r w:rsidRPr="00547485">
              <w:t xml:space="preserve"> reasons for </w:t>
            </w:r>
            <w:r>
              <w:t xml:space="preserve">its </w:t>
            </w:r>
            <w:r w:rsidRPr="00547485">
              <w:t xml:space="preserve">advice </w:t>
            </w:r>
            <w:r>
              <w:t>and recommendations as follows</w:t>
            </w:r>
            <w:r w:rsidRPr="00547485">
              <w:t>:</w:t>
            </w:r>
          </w:p>
          <w:p w14:paraId="40932F8A" w14:textId="77777777" w:rsidR="005D6DCD" w:rsidRPr="00922830" w:rsidRDefault="005D6DCD" w:rsidP="00823D31">
            <w:pPr>
              <w:pStyle w:val="Numberbullet2"/>
              <w:rPr>
                <w:i/>
              </w:rPr>
            </w:pPr>
            <w:r w:rsidRPr="00922830">
              <w:rPr>
                <w:i/>
              </w:rPr>
              <w:t>risks and benefits of the use of a substance:</w:t>
            </w:r>
          </w:p>
          <w:p w14:paraId="69938DEF" w14:textId="77777777" w:rsidR="005D6DCD" w:rsidRPr="00193D0A" w:rsidRDefault="005D6DCD" w:rsidP="007C3182">
            <w:pPr>
              <w:pStyle w:val="ListBullet2"/>
              <w:ind w:left="1134"/>
            </w:pPr>
            <w:r w:rsidRPr="00193D0A">
              <w:t>Poorly controlled skin conditions can result in significant impairment of quality of life.</w:t>
            </w:r>
          </w:p>
          <w:p w14:paraId="5CB8EAA1" w14:textId="77777777" w:rsidR="005D6DCD" w:rsidRPr="00193D0A" w:rsidRDefault="005D6DCD" w:rsidP="007C3182">
            <w:pPr>
              <w:pStyle w:val="ListBullet2"/>
              <w:numPr>
                <w:ilvl w:val="1"/>
                <w:numId w:val="1"/>
              </w:numPr>
              <w:ind w:left="1134"/>
            </w:pPr>
            <w:r w:rsidRPr="00193D0A">
              <w:t>Easier access to limited amounts of a potent topical corticosteroid can assist suitable patients in managing these conditions.</w:t>
            </w:r>
          </w:p>
          <w:p w14:paraId="3D0E1667" w14:textId="77777777" w:rsidR="005D6DCD" w:rsidRPr="00193D0A" w:rsidRDefault="005D6DCD" w:rsidP="007C3182">
            <w:pPr>
              <w:pStyle w:val="ListBullet2"/>
              <w:numPr>
                <w:ilvl w:val="1"/>
                <w:numId w:val="1"/>
              </w:numPr>
              <w:ind w:left="1134"/>
            </w:pPr>
            <w:r w:rsidRPr="00193D0A">
              <w:t>Contraindications apply to topical corticosteroids as a class and not mometasone specifically and as such apply to other topical corticosteroids available without prescription.</w:t>
            </w:r>
          </w:p>
          <w:p w14:paraId="607E472E" w14:textId="77777777" w:rsidR="005D6DCD" w:rsidRDefault="005D6DCD" w:rsidP="007C3182">
            <w:pPr>
              <w:pStyle w:val="ListBullet2"/>
              <w:numPr>
                <w:ilvl w:val="1"/>
                <w:numId w:val="1"/>
              </w:numPr>
              <w:ind w:left="1134"/>
            </w:pPr>
            <w:r w:rsidRPr="00193D0A">
              <w:t>Available evidence does not support a significant risk of skin atrophy.</w:t>
            </w:r>
          </w:p>
          <w:p w14:paraId="677DA0C7" w14:textId="77777777" w:rsidR="005D6DCD" w:rsidRDefault="005D6DCD" w:rsidP="007C3182">
            <w:pPr>
              <w:pStyle w:val="ListBullet2"/>
              <w:numPr>
                <w:ilvl w:val="1"/>
                <w:numId w:val="1"/>
              </w:numPr>
              <w:ind w:left="1134"/>
            </w:pPr>
            <w:r>
              <w:t>Theoretical risk of suppression of the HPA axis. Clinical trials and extensive clinical experience with product supplied on prescription do not indicate that this a significant concern.</w:t>
            </w:r>
          </w:p>
          <w:p w14:paraId="598DCFCD" w14:textId="77777777" w:rsidR="005D6DCD" w:rsidRPr="00193D0A" w:rsidRDefault="005D6DCD" w:rsidP="007C3182">
            <w:pPr>
              <w:pStyle w:val="ListBullet2"/>
              <w:numPr>
                <w:ilvl w:val="1"/>
                <w:numId w:val="1"/>
              </w:numPr>
              <w:ind w:left="1134"/>
            </w:pPr>
            <w:r>
              <w:t>Risk of perioral dermatitis and rosacea if applied inappropriately to the face therefore pharmacist intervention is necessary.</w:t>
            </w:r>
          </w:p>
          <w:p w14:paraId="3069DFB0" w14:textId="77777777" w:rsidR="005D6DCD" w:rsidRPr="00922830" w:rsidRDefault="005D6DCD" w:rsidP="00823D31">
            <w:pPr>
              <w:pStyle w:val="Numberbullet2"/>
              <w:rPr>
                <w:i/>
              </w:rPr>
            </w:pPr>
            <w:r w:rsidRPr="00922830">
              <w:rPr>
                <w:i/>
              </w:rPr>
              <w:t>the purpose for which a substance is to be used and the extent of use:</w:t>
            </w:r>
          </w:p>
          <w:p w14:paraId="68B73236" w14:textId="6FF21D24" w:rsidR="005D6DCD" w:rsidRPr="007C3182" w:rsidRDefault="005D6DCD" w:rsidP="007C3182">
            <w:pPr>
              <w:pStyle w:val="ListBullet2"/>
              <w:numPr>
                <w:ilvl w:val="1"/>
                <w:numId w:val="1"/>
              </w:numPr>
              <w:ind w:left="1134"/>
              <w:rPr>
                <w:u w:val="single"/>
              </w:rPr>
            </w:pPr>
            <w:r w:rsidRPr="00A242A6">
              <w:t>Used in the management of active corticosteroid-responsive dermato</w:t>
            </w:r>
            <w:r>
              <w:t>ses including atopic dermatitis.</w:t>
            </w:r>
          </w:p>
          <w:p w14:paraId="570E2233" w14:textId="66CE4356" w:rsidR="005D6DCD" w:rsidRPr="00922830" w:rsidRDefault="00922830" w:rsidP="00823D31">
            <w:pPr>
              <w:pStyle w:val="Numberbullet2"/>
              <w:rPr>
                <w:i/>
              </w:rPr>
            </w:pPr>
            <w:r w:rsidRPr="00922830">
              <w:rPr>
                <w:i/>
              </w:rPr>
              <w:t>t</w:t>
            </w:r>
            <w:r w:rsidR="005D6DCD" w:rsidRPr="00922830">
              <w:rPr>
                <w:i/>
              </w:rPr>
              <w:t>he toxicity of the a substance:</w:t>
            </w:r>
          </w:p>
          <w:p w14:paraId="5442DD89" w14:textId="77777777" w:rsidR="005D6DCD" w:rsidRPr="007E41A6" w:rsidRDefault="005D6DCD" w:rsidP="007C3182">
            <w:pPr>
              <w:pStyle w:val="ListBullet2"/>
              <w:numPr>
                <w:ilvl w:val="1"/>
                <w:numId w:val="1"/>
              </w:numPr>
              <w:ind w:left="1134"/>
            </w:pPr>
            <w:r w:rsidRPr="00A242A6">
              <w:t>The toxicity of mometasone meets the Schedule 3 factors</w:t>
            </w:r>
          </w:p>
          <w:p w14:paraId="2439B6E6" w14:textId="77777777" w:rsidR="005D6DCD" w:rsidRPr="00922830" w:rsidRDefault="005D6DCD" w:rsidP="00823D31">
            <w:pPr>
              <w:pStyle w:val="Numberbullet2"/>
              <w:rPr>
                <w:i/>
              </w:rPr>
            </w:pPr>
            <w:r w:rsidRPr="00922830">
              <w:rPr>
                <w:i/>
              </w:rPr>
              <w:t>the dosage, formulation, labelling, packaging and presentation of a substance:</w:t>
            </w:r>
          </w:p>
          <w:p w14:paraId="552A5F22" w14:textId="77777777" w:rsidR="005D6DCD" w:rsidRDefault="005D6DCD" w:rsidP="007C3182">
            <w:pPr>
              <w:pStyle w:val="ListBullet2"/>
              <w:numPr>
                <w:ilvl w:val="1"/>
                <w:numId w:val="1"/>
              </w:numPr>
              <w:ind w:left="1134"/>
            </w:pPr>
            <w:r>
              <w:t>Limitation of Schedule 3 pack size to 15 g is a safety measure to limit the possibility of use on large areas of the body for prolonged durations.</w:t>
            </w:r>
          </w:p>
          <w:p w14:paraId="5590836D" w14:textId="77777777" w:rsidR="005D6DCD" w:rsidRDefault="005D6DCD" w:rsidP="007C3182">
            <w:pPr>
              <w:pStyle w:val="ListBullet2"/>
              <w:numPr>
                <w:ilvl w:val="1"/>
                <w:numId w:val="1"/>
              </w:numPr>
              <w:ind w:left="1134"/>
            </w:pPr>
            <w:r>
              <w:t>The addition of reference to the actuations is an unnecessary change to Schedule 2 given other recent scheduling decisions for other intranasal corticosteroids</w:t>
            </w:r>
          </w:p>
          <w:p w14:paraId="240ED1E7" w14:textId="2E602162" w:rsidR="005D6DCD" w:rsidRPr="00922830" w:rsidRDefault="005D6DCD" w:rsidP="00823D31">
            <w:pPr>
              <w:pStyle w:val="Numberbullet2"/>
              <w:rPr>
                <w:i/>
              </w:rPr>
            </w:pPr>
            <w:r w:rsidRPr="00922830">
              <w:rPr>
                <w:i/>
              </w:rPr>
              <w:t>the potential for abuse of a substance:</w:t>
            </w:r>
          </w:p>
          <w:p w14:paraId="67975492" w14:textId="77777777" w:rsidR="005D6DCD" w:rsidRDefault="005D6DCD" w:rsidP="007C3182">
            <w:pPr>
              <w:pStyle w:val="ListBullet2"/>
              <w:numPr>
                <w:ilvl w:val="1"/>
                <w:numId w:val="1"/>
              </w:numPr>
              <w:ind w:left="1134"/>
            </w:pPr>
            <w:r>
              <w:t>Nil.</w:t>
            </w:r>
          </w:p>
          <w:p w14:paraId="33945415" w14:textId="77777777" w:rsidR="005D6DCD" w:rsidRPr="00922830" w:rsidRDefault="005D6DCD" w:rsidP="00823D31">
            <w:pPr>
              <w:pStyle w:val="Numberbullet2"/>
              <w:rPr>
                <w:i/>
              </w:rPr>
            </w:pPr>
            <w:r w:rsidRPr="00922830">
              <w:rPr>
                <w:i/>
              </w:rPr>
              <w:t>any other matters that the Secretary considers necessary to protect public health:</w:t>
            </w:r>
          </w:p>
          <w:p w14:paraId="5C6A8ACF" w14:textId="77777777" w:rsidR="005D6DCD" w:rsidRPr="00B075AE" w:rsidRDefault="005D6DCD" w:rsidP="007C3182">
            <w:pPr>
              <w:pStyle w:val="ListBullet2"/>
              <w:numPr>
                <w:ilvl w:val="1"/>
                <w:numId w:val="1"/>
              </w:numPr>
              <w:ind w:left="1134"/>
            </w:pPr>
            <w:r>
              <w:t>Larger pack sizes of mometasone will still be available as a Schedule 4 medicine.</w:t>
            </w:r>
          </w:p>
          <w:p w14:paraId="7881809A" w14:textId="77777777" w:rsidR="006B652C" w:rsidRDefault="006B652C" w:rsidP="00190515">
            <w:pPr>
              <w:pStyle w:val="Heading4"/>
            </w:pPr>
            <w:r>
              <w:t>D</w:t>
            </w:r>
            <w:r w:rsidRPr="002E13B1">
              <w:t xml:space="preserve">ate of effect of the </w:t>
            </w:r>
            <w:r>
              <w:t>decision</w:t>
            </w:r>
          </w:p>
          <w:p w14:paraId="1B2F8158" w14:textId="0AE7A2F3" w:rsidR="006B652C" w:rsidRPr="00F829C3" w:rsidRDefault="00423457" w:rsidP="00F829C3">
            <w:pPr>
              <w:rPr>
                <w:b/>
                <w:i/>
              </w:rPr>
            </w:pPr>
            <w:sdt>
              <w:sdtPr>
                <w:rPr>
                  <w:b/>
                </w:rPr>
                <w:id w:val="-460423279"/>
                <w:placeholder>
                  <w:docPart w:val="B2180E0559324CB4997A29BC3BC59B8D"/>
                </w:placeholder>
                <w:date w:fullDate="2020-06-01T00:00:00Z">
                  <w:dateFormat w:val="d MMMM yyyy"/>
                  <w:lid w:val="en-AU"/>
                  <w:storeMappedDataAs w:val="dateTime"/>
                  <w:calendar w:val="gregorian"/>
                </w:date>
              </w:sdtPr>
              <w:sdtEndPr/>
              <w:sdtContent>
                <w:r w:rsidR="00E22FDD" w:rsidRPr="00F829C3">
                  <w:rPr>
                    <w:b/>
                  </w:rPr>
                  <w:t>1 June 2020</w:t>
                </w:r>
              </w:sdtContent>
            </w:sdt>
          </w:p>
        </w:tc>
      </w:tr>
    </w:tbl>
    <w:p w14:paraId="0FD45126" w14:textId="5D1E74E1" w:rsidR="006B652C" w:rsidRPr="00EE463E" w:rsidRDefault="006B652C" w:rsidP="00123C59">
      <w:pPr>
        <w:pStyle w:val="Heading3"/>
        <w:pageBreakBefore/>
        <w:spacing w:before="0"/>
      </w:pPr>
      <w:bookmarkStart w:id="10" w:name="_Toc39587406"/>
      <w:r>
        <w:lastRenderedPageBreak/>
        <w:t>Final</w:t>
      </w:r>
      <w:r w:rsidRPr="00EE463E">
        <w:t xml:space="preserve"> decision in relation to </w:t>
      </w:r>
      <w:r w:rsidR="004E44BD">
        <w:t>calcifediol</w:t>
      </w:r>
      <w:r w:rsidR="003D5415">
        <w:t xml:space="preserve"> monohydrate</w:t>
      </w:r>
      <w:bookmarkEnd w:id="10"/>
    </w:p>
    <w:tbl>
      <w:tblPr>
        <w:tblStyle w:val="TableGrid"/>
        <w:tblW w:w="0" w:type="auto"/>
        <w:tblLook w:val="04A0" w:firstRow="1" w:lastRow="0" w:firstColumn="1" w:lastColumn="0" w:noHBand="0" w:noVBand="1"/>
      </w:tblPr>
      <w:tblGrid>
        <w:gridCol w:w="9628"/>
      </w:tblGrid>
      <w:tr w:rsidR="006B652C" w14:paraId="08E1B53A" w14:textId="77777777" w:rsidTr="004474D5">
        <w:tc>
          <w:tcPr>
            <w:tcW w:w="9854" w:type="dxa"/>
          </w:tcPr>
          <w:p w14:paraId="5F39C757" w14:textId="77777777" w:rsidR="006B652C" w:rsidRPr="008036B7" w:rsidRDefault="006B652C" w:rsidP="00190515">
            <w:pPr>
              <w:pStyle w:val="Heading4"/>
            </w:pPr>
            <w:r w:rsidRPr="008036B7">
              <w:t>Final decision</w:t>
            </w:r>
          </w:p>
          <w:p w14:paraId="42F24AE7" w14:textId="16F77663" w:rsidR="004E44BD" w:rsidRDefault="006B652C" w:rsidP="00414ABE">
            <w:r>
              <w:t xml:space="preserve">Pursuant to regulation 42ZCZR of the Regulations, a Delegate of the Secretary has made a final decision to </w:t>
            </w:r>
            <w:r w:rsidR="00E34A13">
              <w:t>affirm</w:t>
            </w:r>
            <w:r>
              <w:t xml:space="preserve"> </w:t>
            </w:r>
            <w:r w:rsidRPr="005203C8">
              <w:t>the interim decision</w:t>
            </w:r>
            <w:r w:rsidR="00E34A13">
              <w:t xml:space="preserve"> and</w:t>
            </w:r>
            <w:r w:rsidR="004E44BD">
              <w:t xml:space="preserve"> amend the current Poisons Standard in rela</w:t>
            </w:r>
            <w:r w:rsidR="00414ABE">
              <w:t>tion to calcifediol as follows:</w:t>
            </w:r>
          </w:p>
          <w:p w14:paraId="64304992" w14:textId="77777777" w:rsidR="004E44BD" w:rsidRPr="001B4DFE" w:rsidRDefault="004E44BD" w:rsidP="004E44BD">
            <w:pPr>
              <w:ind w:firstLine="426"/>
              <w:rPr>
                <w:b/>
              </w:rPr>
            </w:pPr>
            <w:r w:rsidRPr="001B4DFE">
              <w:rPr>
                <w:b/>
              </w:rPr>
              <w:t>Schedule 4 – New Entry</w:t>
            </w:r>
          </w:p>
          <w:p w14:paraId="2B835516" w14:textId="77777777" w:rsidR="004E44BD" w:rsidRPr="005053B1" w:rsidRDefault="004E44BD" w:rsidP="004E44BD">
            <w:pPr>
              <w:ind w:left="426"/>
              <w:rPr>
                <w:color w:val="FF0000"/>
              </w:rPr>
            </w:pPr>
            <w:r w:rsidRPr="005053B1">
              <w:rPr>
                <w:rFonts w:cstheme="minorHAnsi"/>
                <w:color w:val="FF0000"/>
              </w:rPr>
              <w:t xml:space="preserve">CALCIFEDIOL for human internal therapeutic use </w:t>
            </w:r>
            <w:r w:rsidRPr="005053B1">
              <w:rPr>
                <w:rFonts w:cstheme="minorHAnsi"/>
                <w:b/>
                <w:color w:val="FF0000"/>
              </w:rPr>
              <w:t xml:space="preserve">except </w:t>
            </w:r>
            <w:r w:rsidRPr="005053B1">
              <w:rPr>
                <w:rFonts w:cstheme="minorHAnsi"/>
                <w:color w:val="FF0000"/>
              </w:rPr>
              <w:t>i</w:t>
            </w:r>
            <w:r w:rsidRPr="005053B1">
              <w:rPr>
                <w:color w:val="FF0000"/>
              </w:rPr>
              <w:t>n preparations containing 10 micrograms or less of calcifediol per recommended daily dose.</w:t>
            </w:r>
          </w:p>
          <w:p w14:paraId="6863E7CF" w14:textId="77777777" w:rsidR="004E44BD" w:rsidRPr="001B4DFE" w:rsidRDefault="004E44BD" w:rsidP="004E44BD">
            <w:pPr>
              <w:ind w:left="426"/>
              <w:rPr>
                <w:b/>
              </w:rPr>
            </w:pPr>
            <w:r w:rsidRPr="001B4DFE">
              <w:rPr>
                <w:b/>
              </w:rPr>
              <w:t>Index – New Entry</w:t>
            </w:r>
          </w:p>
          <w:p w14:paraId="5BC0E097" w14:textId="4DF55633" w:rsidR="004E44BD" w:rsidRPr="005053B1" w:rsidRDefault="004E44BD" w:rsidP="004E44BD">
            <w:pPr>
              <w:ind w:left="426"/>
              <w:rPr>
                <w:b/>
                <w:color w:val="FF0000"/>
              </w:rPr>
            </w:pPr>
            <w:r w:rsidRPr="005053B1">
              <w:rPr>
                <w:b/>
                <w:color w:val="FF0000"/>
              </w:rPr>
              <w:t>CALCIFEDIOL</w:t>
            </w:r>
          </w:p>
          <w:p w14:paraId="02A2F71C" w14:textId="56A28359" w:rsidR="004E44BD" w:rsidRPr="00E34A13" w:rsidRDefault="004E44BD" w:rsidP="00E34A13">
            <w:pPr>
              <w:ind w:left="426"/>
              <w:rPr>
                <w:color w:val="FF0000"/>
                <w:sz w:val="24"/>
              </w:rPr>
            </w:pPr>
            <w:r w:rsidRPr="005053B1">
              <w:rPr>
                <w:color w:val="FF0000"/>
              </w:rPr>
              <w:t>Schedule 4</w:t>
            </w:r>
          </w:p>
          <w:p w14:paraId="32096B5F" w14:textId="3631832D" w:rsidR="006B652C" w:rsidRDefault="006B652C" w:rsidP="00190515">
            <w:pPr>
              <w:pStyle w:val="Heading4"/>
            </w:pPr>
            <w:r>
              <w:t>Reasons for the final decision</w:t>
            </w:r>
            <w:r w:rsidR="00B646C0">
              <w:t xml:space="preserve"> (including findings on material questions of fact)</w:t>
            </w:r>
          </w:p>
          <w:p w14:paraId="2E68D967" w14:textId="7A962861" w:rsidR="006B652C" w:rsidRPr="00414ABE" w:rsidRDefault="00C66ED5" w:rsidP="00414ABE">
            <w:r>
              <w:t xml:space="preserve">I confirm the reasons for my final decision to create a new </w:t>
            </w:r>
            <w:r w:rsidR="004601F9">
              <w:t>Schedule 4 entry for calci</w:t>
            </w:r>
            <w:r w:rsidR="00D6773D">
              <w:t>fediol for human internal use</w:t>
            </w:r>
            <w:r w:rsidR="004601F9">
              <w:t xml:space="preserve"> with a concentration cut-off of 10 micrograms or less calcifediol per recommended daily dose</w:t>
            </w:r>
            <w:r w:rsidR="00C05A66">
              <w:t>,</w:t>
            </w:r>
            <w:r w:rsidR="004601F9">
              <w:t xml:space="preserve"> are as </w:t>
            </w:r>
            <w:r>
              <w:t xml:space="preserve">detailed in my </w:t>
            </w:r>
            <w:hyperlink r:id="rId25" w:history="1">
              <w:r w:rsidR="004601F9" w:rsidRPr="00DC4DF0">
                <w:rPr>
                  <w:rStyle w:val="Hyperlink"/>
                  <w:rFonts w:asciiTheme="minorHAnsi" w:hAnsiTheme="minorHAnsi"/>
                  <w:szCs w:val="22"/>
                </w:rPr>
                <w:t>interim decision</w:t>
              </w:r>
            </w:hyperlink>
            <w:r w:rsidR="00B54ABF">
              <w:t xml:space="preserve">. </w:t>
            </w:r>
            <w:r w:rsidR="00DB3B4B">
              <w:t>In making my final decision</w:t>
            </w:r>
            <w:r w:rsidR="00D6773D">
              <w:t>,</w:t>
            </w:r>
            <w:r w:rsidR="004601F9">
              <w:t xml:space="preserve"> I have taken into account the material detailed in the interim decision and the</w:t>
            </w:r>
            <w:r w:rsidR="00DB3B4B">
              <w:t xml:space="preserve"> su</w:t>
            </w:r>
            <w:r w:rsidR="004601F9">
              <w:t>bmission</w:t>
            </w:r>
            <w:r w:rsidR="00DB3B4B">
              <w:t xml:space="preserve"> received before the</w:t>
            </w:r>
            <w:hyperlink r:id="rId26" w:history="1">
              <w:r w:rsidR="00DB3B4B" w:rsidRPr="003A0EC1">
                <w:rPr>
                  <w:rStyle w:val="Hyperlink"/>
                  <w:rFonts w:asciiTheme="minorHAnsi" w:hAnsiTheme="minorHAnsi"/>
                  <w:szCs w:val="22"/>
                </w:rPr>
                <w:t xml:space="preserve"> second closing date</w:t>
              </w:r>
            </w:hyperlink>
            <w:r w:rsidR="00DB3B4B">
              <w:t xml:space="preserve"> in response for the call for further submissions published on 6 February 2020 under regulation 42ZCZP of the Regulations. As the public submission reiterated a view consistent with a pre-meeting submission supporting access to calcifediol under Schedule 3, it has not be material to my decision.</w:t>
            </w:r>
          </w:p>
          <w:p w14:paraId="07691F9C" w14:textId="2513E709" w:rsidR="006B652C" w:rsidRDefault="006B652C" w:rsidP="00190515">
            <w:pPr>
              <w:pStyle w:val="Heading4"/>
            </w:pPr>
            <w:r>
              <w:t>Summary of p</w:t>
            </w:r>
            <w:r w:rsidRPr="001A1B0E">
              <w:t>ublic submissions on the interim decision</w:t>
            </w:r>
          </w:p>
          <w:p w14:paraId="7AB33EED" w14:textId="730FE595" w:rsidR="004474D5" w:rsidRDefault="004474D5" w:rsidP="00414ABE">
            <w:pPr>
              <w:rPr>
                <w:b/>
              </w:rPr>
            </w:pPr>
            <w:r w:rsidRPr="008D41FC">
              <w:t xml:space="preserve">In response to </w:t>
            </w:r>
            <w:r>
              <w:t>the interim decision,</w:t>
            </w:r>
            <w:r w:rsidRPr="008D41FC">
              <w:t xml:space="preserve"> </w:t>
            </w:r>
            <w:r>
              <w:t>one submission opposing the interim decision was received</w:t>
            </w:r>
            <w:r w:rsidRPr="004026EF">
              <w:t>.</w:t>
            </w:r>
          </w:p>
          <w:p w14:paraId="4982140A" w14:textId="23FE5F1C" w:rsidR="004474D5" w:rsidRPr="00414ABE" w:rsidRDefault="004474D5" w:rsidP="004474D5">
            <w:r w:rsidRPr="00414ABE">
              <w:t>The main points opposi</w:t>
            </w:r>
            <w:r w:rsidR="00414ABE" w:rsidRPr="00414ABE">
              <w:t>ng the proposed amendment were:</w:t>
            </w:r>
          </w:p>
          <w:p w14:paraId="1E47ACE9" w14:textId="6663E8F6" w:rsidR="004474D5" w:rsidRDefault="004474D5" w:rsidP="00414ABE">
            <w:pPr>
              <w:pStyle w:val="ListBullet"/>
            </w:pPr>
            <w:r>
              <w:t xml:space="preserve">Considering its use is consistent with the purpose of calciferol, but more useful in specific circumstances, it would be appropriate to enable sponsors to make applications for the S3 Pharmacist Only category that is equivalent in dose to the Vitamin D entry </w:t>
            </w:r>
            <w:r w:rsidR="00414ABE">
              <w:t>in Schedule 3:</w:t>
            </w:r>
          </w:p>
          <w:p w14:paraId="1241BB5C" w14:textId="3C814375" w:rsidR="004474D5" w:rsidRPr="000336D0" w:rsidRDefault="004474D5" w:rsidP="00414ABE">
            <w:pPr>
              <w:pStyle w:val="ListBullet"/>
              <w:numPr>
                <w:ilvl w:val="0"/>
                <w:numId w:val="0"/>
              </w:numPr>
              <w:ind w:left="709"/>
            </w:pPr>
            <w:r w:rsidRPr="000336D0">
              <w:t>VITAMIN D for human internal therapeutic use in preparations containing 175 micrograms or less of vitamin D per recommended single weekly dose except in preparations containing 25 micrograms or less of vitamin D per recommended daily dose</w:t>
            </w:r>
            <w:r w:rsidR="00414ABE" w:rsidRPr="000336D0">
              <w:t>.</w:t>
            </w:r>
          </w:p>
          <w:p w14:paraId="4234DB7F" w14:textId="74AB9853" w:rsidR="004474D5" w:rsidRDefault="004474D5" w:rsidP="00414ABE">
            <w:pPr>
              <w:pStyle w:val="ListBullet"/>
            </w:pPr>
            <w:r>
              <w:t>For calcifediol, this could mean an equivalent dose of around 60-70 micrograms on a weekly basis could be considered for Schedule 3, pending appropriate evaluation through the registration process, to ensure that health professionals have the tools available to allow patients to access appropriate medicines without the need for managing prescriptions on an ongoing basis unle</w:t>
            </w:r>
            <w:r w:rsidR="00414ABE">
              <w:t>ss a higher dose was indicated.</w:t>
            </w:r>
          </w:p>
          <w:p w14:paraId="175638C1" w14:textId="3FAF4A9D" w:rsidR="004474D5" w:rsidRDefault="004474D5" w:rsidP="00414ABE">
            <w:pPr>
              <w:pStyle w:val="ListBullet"/>
            </w:pPr>
            <w:r>
              <w:t>In summary, we propose that it would be appropriate to allow the gradation of access to calcifediol in an equiva</w:t>
            </w:r>
            <w:r w:rsidR="00414ABE">
              <w:t>lent manner to colecalciferol.</w:t>
            </w:r>
          </w:p>
          <w:p w14:paraId="60E57AB9" w14:textId="58930F74" w:rsidR="006B652C" w:rsidRDefault="006B652C" w:rsidP="00190515">
            <w:pPr>
              <w:pStyle w:val="Heading4"/>
            </w:pPr>
            <w:r>
              <w:t>D</w:t>
            </w:r>
            <w:r w:rsidRPr="002E13B1">
              <w:t xml:space="preserve">ate of effect of the </w:t>
            </w:r>
            <w:r>
              <w:t>decision</w:t>
            </w:r>
          </w:p>
          <w:p w14:paraId="5EA2068A" w14:textId="00246351" w:rsidR="006B652C" w:rsidRPr="00414ABE" w:rsidRDefault="00423457" w:rsidP="00780ADB">
            <w:sdt>
              <w:sdtPr>
                <w:rPr>
                  <w:b/>
                </w:rPr>
                <w:id w:val="1084885699"/>
                <w:placeholder>
                  <w:docPart w:val="EBD9A050E06F452F87389E4661A93168"/>
                </w:placeholder>
                <w:date w:fullDate="2020-06-01T00:00:00Z">
                  <w:dateFormat w:val="d MMMM yyyy"/>
                  <w:lid w:val="en-AU"/>
                  <w:storeMappedDataAs w:val="dateTime"/>
                  <w:calendar w:val="gregorian"/>
                </w:date>
              </w:sdtPr>
              <w:sdtEndPr/>
              <w:sdtContent>
                <w:r w:rsidR="00DB3B4B" w:rsidRPr="00780ADB">
                  <w:rPr>
                    <w:b/>
                  </w:rPr>
                  <w:t>1 June 2020</w:t>
                </w:r>
              </w:sdtContent>
            </w:sdt>
          </w:p>
        </w:tc>
      </w:tr>
    </w:tbl>
    <w:p w14:paraId="5DF37318" w14:textId="17F07936" w:rsidR="006B652C" w:rsidRPr="00EE463E" w:rsidRDefault="006B652C" w:rsidP="00123C59">
      <w:pPr>
        <w:pStyle w:val="Heading3"/>
        <w:pageBreakBefore/>
        <w:spacing w:before="0"/>
      </w:pPr>
      <w:bookmarkStart w:id="11" w:name="_Toc39587407"/>
      <w:r>
        <w:lastRenderedPageBreak/>
        <w:t>Final</w:t>
      </w:r>
      <w:r w:rsidRPr="00EE463E">
        <w:t xml:space="preserve"> decision in relation to </w:t>
      </w:r>
      <w:r w:rsidR="00DB3B4B">
        <w:t>P</w:t>
      </w:r>
      <w:r w:rsidR="00943021">
        <w:t>aracetamol (liquid formulations)</w:t>
      </w:r>
      <w:bookmarkEnd w:id="11"/>
    </w:p>
    <w:tbl>
      <w:tblPr>
        <w:tblStyle w:val="TableGrid"/>
        <w:tblW w:w="0" w:type="auto"/>
        <w:tblLook w:val="04A0" w:firstRow="1" w:lastRow="0" w:firstColumn="1" w:lastColumn="0" w:noHBand="0" w:noVBand="1"/>
      </w:tblPr>
      <w:tblGrid>
        <w:gridCol w:w="9628"/>
      </w:tblGrid>
      <w:tr w:rsidR="006B652C" w14:paraId="59C0676D" w14:textId="77777777" w:rsidTr="004474D5">
        <w:tc>
          <w:tcPr>
            <w:tcW w:w="9854" w:type="dxa"/>
          </w:tcPr>
          <w:p w14:paraId="5F9351C2" w14:textId="77777777" w:rsidR="006B652C" w:rsidRPr="008036B7" w:rsidRDefault="006B652C" w:rsidP="00DB5F6D">
            <w:pPr>
              <w:pStyle w:val="Heading4"/>
              <w:keepNext w:val="0"/>
              <w:keepLines w:val="0"/>
              <w:widowControl w:val="0"/>
            </w:pPr>
            <w:r w:rsidRPr="008036B7">
              <w:t>Final decision</w:t>
            </w:r>
          </w:p>
          <w:p w14:paraId="31B46ADA" w14:textId="7765E253" w:rsidR="006B652C" w:rsidRDefault="006B652C" w:rsidP="004474D5">
            <w:r>
              <w:t>Pursuant to regulation 42ZCZR of the Regulations, a Delegate of the Secretary has made a final decision to</w:t>
            </w:r>
            <w:r w:rsidR="00943021">
              <w:t xml:space="preserve"> affirm</w:t>
            </w:r>
            <w:r>
              <w:t xml:space="preserve"> </w:t>
            </w:r>
            <w:r w:rsidRPr="005203C8">
              <w:t>the interim decision</w:t>
            </w:r>
            <w:r>
              <w:t xml:space="preserve"> and </w:t>
            </w:r>
            <w:sdt>
              <w:sdtPr>
                <w:id w:val="-1907133680"/>
                <w:placeholder>
                  <w:docPart w:val="D998771EA7434B5EA8501B3DD2947A33"/>
                </w:placeholder>
                <w:comboBox>
                  <w:listItem w:displayText="amend the current Poisons Standard in relation to [insert name of substance] as follows: [insert amendments]" w:value="amend the current Poisons Standard in relation to [insert name of substance] as follows: [insert amendments]"/>
                  <w:listItem w:displayText="not amend the current Poisons Standard in relation to [insert name of substance]" w:value="not amend the current Poisons Standard in relation to [insert name of substance]"/>
                </w:comboBox>
              </w:sdtPr>
              <w:sdtEndPr/>
              <w:sdtContent>
                <w:r w:rsidR="00943021">
                  <w:t>amend the current Poisons Standard in relation to paracetamol (l</w:t>
                </w:r>
                <w:r w:rsidR="00414ABE">
                  <w:t>iquid formulations) as follows:</w:t>
                </w:r>
              </w:sdtContent>
            </w:sdt>
          </w:p>
          <w:p w14:paraId="1D57F4C6" w14:textId="77777777" w:rsidR="00687D9A" w:rsidRPr="00FE29F7" w:rsidRDefault="00687D9A" w:rsidP="00687D9A">
            <w:pPr>
              <w:ind w:left="426"/>
              <w:rPr>
                <w:b/>
              </w:rPr>
            </w:pPr>
            <w:r w:rsidRPr="00FE29F7">
              <w:rPr>
                <w:b/>
              </w:rPr>
              <w:t>Schedule 3 – Amend Entry</w:t>
            </w:r>
            <w:r>
              <w:rPr>
                <w:b/>
              </w:rPr>
              <w:t>*</w:t>
            </w:r>
          </w:p>
          <w:p w14:paraId="52560B32" w14:textId="77777777" w:rsidR="00687D9A" w:rsidRPr="00FE29F7" w:rsidRDefault="00687D9A" w:rsidP="00687D9A">
            <w:pPr>
              <w:ind w:left="426"/>
            </w:pPr>
            <w:r w:rsidRPr="00FE29F7">
              <w:t>PARACETAMOL:</w:t>
            </w:r>
          </w:p>
          <w:p w14:paraId="49F87101" w14:textId="77777777" w:rsidR="00687D9A" w:rsidRPr="003C5ADD" w:rsidRDefault="00687D9A" w:rsidP="003C5ADD">
            <w:pPr>
              <w:pStyle w:val="Numberbullet2"/>
              <w:numPr>
                <w:ilvl w:val="0"/>
                <w:numId w:val="15"/>
              </w:numPr>
              <w:rPr>
                <w:color w:val="FF0000"/>
              </w:rPr>
            </w:pPr>
            <w:r w:rsidRPr="00FE29F7">
              <w:t xml:space="preserve">when combined with ibuprofen in a primary pack containing 30 dosage units or less </w:t>
            </w:r>
            <w:r w:rsidRPr="003C5ADD">
              <w:rPr>
                <w:b/>
              </w:rPr>
              <w:t>except</w:t>
            </w:r>
            <w:r w:rsidRPr="00FE29F7">
              <w:t xml:space="preserve"> when included in Schedule 2; </w:t>
            </w:r>
            <w:r w:rsidRPr="003C5ADD">
              <w:rPr>
                <w:color w:val="FF0000"/>
              </w:rPr>
              <w:t>or</w:t>
            </w:r>
          </w:p>
          <w:p w14:paraId="5B140628" w14:textId="10EDF04B" w:rsidR="00687D9A" w:rsidRDefault="00687D9A" w:rsidP="00823D31">
            <w:pPr>
              <w:pStyle w:val="Numberbullet2"/>
              <w:rPr>
                <w:color w:val="FF0000"/>
              </w:rPr>
            </w:pPr>
            <w:r w:rsidRPr="00FE29F7">
              <w:t>in modified release tablets or capsules containing 665 mg or less paracetamol</w:t>
            </w:r>
            <w:r w:rsidRPr="00BE2E0C">
              <w:rPr>
                <w:color w:val="FF0000"/>
              </w:rPr>
              <w:t xml:space="preserve">; </w:t>
            </w:r>
            <w:r w:rsidRPr="003C5ADD">
              <w:rPr>
                <w:color w:val="FF0000"/>
              </w:rPr>
              <w:t>or</w:t>
            </w:r>
          </w:p>
          <w:p w14:paraId="2A3D21B9" w14:textId="0C2C62FB" w:rsidR="00687D9A" w:rsidRPr="003C5ADD" w:rsidRDefault="00703CD8" w:rsidP="00703CD8">
            <w:pPr>
              <w:pStyle w:val="Numberbullet2"/>
              <w:numPr>
                <w:ilvl w:val="0"/>
                <w:numId w:val="0"/>
              </w:numPr>
              <w:ind w:left="877" w:hanging="517"/>
              <w:rPr>
                <w:color w:val="FF0000"/>
              </w:rPr>
            </w:pPr>
            <w:r w:rsidRPr="00703CD8">
              <w:rPr>
                <w:color w:val="FF0000"/>
              </w:rPr>
              <w:t>(c</w:t>
            </w:r>
            <w:r>
              <w:rPr>
                <w:color w:val="FF0000"/>
              </w:rPr>
              <w:t xml:space="preserve">)  </w:t>
            </w:r>
            <w:r w:rsidRPr="00703CD8">
              <w:rPr>
                <w:color w:val="FF0000"/>
              </w:rPr>
              <w:t>in liquid preparations for oral use except when in Schedule 2.</w:t>
            </w:r>
          </w:p>
          <w:p w14:paraId="06436CFC" w14:textId="77777777" w:rsidR="00687D9A" w:rsidRPr="00916937" w:rsidRDefault="00687D9A" w:rsidP="00687D9A">
            <w:pPr>
              <w:ind w:left="426"/>
            </w:pPr>
            <w:r>
              <w:t xml:space="preserve">*The proposed amended Schedule 3 entry for paracetamol as written includes the </w:t>
            </w:r>
            <w:hyperlink r:id="rId27" w:history="1">
              <w:r w:rsidRPr="00916937">
                <w:rPr>
                  <w:rStyle w:val="Hyperlink"/>
                </w:rPr>
                <w:t>final decision</w:t>
              </w:r>
            </w:hyperlink>
            <w:r>
              <w:rPr>
                <w:rStyle w:val="FootnoteReference"/>
              </w:rPr>
              <w:footnoteReference w:id="15"/>
            </w:r>
            <w:r>
              <w:t xml:space="preserve"> for modified paracetamol that will be implemented 1 June 2020.</w:t>
            </w:r>
          </w:p>
          <w:p w14:paraId="63B8AA8E" w14:textId="77777777" w:rsidR="00687D9A" w:rsidRPr="006134AB" w:rsidRDefault="00687D9A" w:rsidP="00687D9A">
            <w:pPr>
              <w:ind w:left="426"/>
              <w:rPr>
                <w:b/>
              </w:rPr>
            </w:pPr>
            <w:r w:rsidRPr="006134AB">
              <w:rPr>
                <w:b/>
              </w:rPr>
              <w:t>Schedule 2 – Amend Entry</w:t>
            </w:r>
          </w:p>
          <w:p w14:paraId="3E73ED77" w14:textId="799E4B5B" w:rsidR="00687D9A" w:rsidRPr="003C5ADD" w:rsidRDefault="00687D9A" w:rsidP="00687D9A">
            <w:pPr>
              <w:ind w:left="426"/>
              <w:rPr>
                <w:color w:val="FF0000"/>
              </w:rPr>
            </w:pPr>
            <w:r w:rsidRPr="005D06FE">
              <w:t>PARACETAMOL for th</w:t>
            </w:r>
            <w:r w:rsidR="001E3B99">
              <w:t>erapeutic use:</w:t>
            </w:r>
          </w:p>
          <w:p w14:paraId="04C401C0" w14:textId="628BBDF7" w:rsidR="003C5ADD" w:rsidRDefault="00687D9A" w:rsidP="003C5ADD">
            <w:pPr>
              <w:pStyle w:val="Numberbullet2"/>
              <w:numPr>
                <w:ilvl w:val="0"/>
                <w:numId w:val="35"/>
              </w:numPr>
              <w:ind w:left="735"/>
              <w:rPr>
                <w:color w:val="FF0000"/>
              </w:rPr>
            </w:pPr>
            <w:r w:rsidRPr="003C5ADD">
              <w:rPr>
                <w:color w:val="FF0000"/>
              </w:rPr>
              <w:t xml:space="preserve">in liquid preparations for oral use containing a maximum of 10 </w:t>
            </w:r>
            <w:r w:rsidR="00414ABE" w:rsidRPr="003C5ADD">
              <w:rPr>
                <w:color w:val="FF0000"/>
              </w:rPr>
              <w:t>g of paracetamol per container;</w:t>
            </w:r>
            <w:r w:rsidR="009018DD" w:rsidRPr="003C5ADD">
              <w:rPr>
                <w:color w:val="FF0000"/>
              </w:rPr>
              <w:t xml:space="preserve"> or</w:t>
            </w:r>
          </w:p>
          <w:p w14:paraId="260386B9" w14:textId="1D3F795C" w:rsidR="003C5ADD" w:rsidRDefault="003C5ADD" w:rsidP="003C5ADD">
            <w:pPr>
              <w:pStyle w:val="Numberbullet2"/>
              <w:numPr>
                <w:ilvl w:val="0"/>
                <w:numId w:val="35"/>
              </w:numPr>
              <w:ind w:left="735"/>
            </w:pPr>
            <w:r w:rsidRPr="005D06FE">
              <w:t>when combined with ibuprofen in preparations for oral use when labelled with a recommended daily dose of 1200 mg or less of ibuprofen in divided doses in a primary pack containing no more th</w:t>
            </w:r>
            <w:r>
              <w:t>an 12 dosage units per pack; or</w:t>
            </w:r>
          </w:p>
          <w:p w14:paraId="271F76B2" w14:textId="619E84B5" w:rsidR="003C5ADD" w:rsidRDefault="003C5ADD" w:rsidP="003C5ADD">
            <w:pPr>
              <w:pStyle w:val="Numberbullet2"/>
              <w:numPr>
                <w:ilvl w:val="0"/>
                <w:numId w:val="35"/>
              </w:numPr>
              <w:ind w:left="735"/>
            </w:pPr>
            <w:r w:rsidRPr="005D06FE">
              <w:t>in tablets or capsules enclosed in a primary pack containing not more than 100 tablets or capsules; or</w:t>
            </w:r>
          </w:p>
          <w:p w14:paraId="19560D4A" w14:textId="5BA02238" w:rsidR="003360EA" w:rsidRDefault="003360EA" w:rsidP="003C5ADD">
            <w:pPr>
              <w:pStyle w:val="Numberbullet2"/>
              <w:numPr>
                <w:ilvl w:val="0"/>
                <w:numId w:val="35"/>
              </w:numPr>
              <w:ind w:left="735"/>
            </w:pPr>
            <w:r w:rsidRPr="005D06FE">
              <w:t>in tablets or capsules enclosed in a primary pack containing more than 100 tablets or capsules intended only as a bulk medicine pack and labelled ‘For dispensing only’ and ‘This pack is not to be supplied to a patient’; or</w:t>
            </w:r>
          </w:p>
          <w:p w14:paraId="294DA5F9" w14:textId="4A2739BE" w:rsidR="003360EA" w:rsidRDefault="003360EA" w:rsidP="003C5ADD">
            <w:pPr>
              <w:pStyle w:val="Numberbullet2"/>
              <w:numPr>
                <w:ilvl w:val="0"/>
                <w:numId w:val="35"/>
              </w:numPr>
              <w:ind w:left="735"/>
            </w:pPr>
            <w:r w:rsidRPr="005D06FE">
              <w:t>in individually wrapped powders or sachets of granules enclosed in a primary pack containing not more than 50 wrapped powders or sachets of granules; or</w:t>
            </w:r>
          </w:p>
          <w:p w14:paraId="5DDF0803" w14:textId="70A7A2AE" w:rsidR="003360EA" w:rsidRDefault="003360EA" w:rsidP="003C5ADD">
            <w:pPr>
              <w:pStyle w:val="Numberbullet2"/>
              <w:numPr>
                <w:ilvl w:val="0"/>
                <w:numId w:val="35"/>
              </w:numPr>
              <w:ind w:left="735"/>
            </w:pPr>
            <w:r w:rsidRPr="005D06FE">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14:paraId="2B91230D" w14:textId="343BCFEA" w:rsidR="00687D9A" w:rsidRPr="005D06FE" w:rsidRDefault="003360EA" w:rsidP="003360EA">
            <w:pPr>
              <w:pStyle w:val="Numberbullet2"/>
              <w:numPr>
                <w:ilvl w:val="0"/>
                <w:numId w:val="35"/>
              </w:numPr>
              <w:ind w:left="735"/>
            </w:pPr>
            <w:r w:rsidRPr="005D06FE">
              <w:t xml:space="preserve">in other preparations </w:t>
            </w:r>
            <w:r w:rsidRPr="003C5ADD">
              <w:rPr>
                <w:b/>
              </w:rPr>
              <w:t>except</w:t>
            </w:r>
            <w:r>
              <w:t>:</w:t>
            </w:r>
          </w:p>
          <w:p w14:paraId="79FA7399" w14:textId="77777777" w:rsidR="00687D9A" w:rsidRPr="009703E3" w:rsidRDefault="00687D9A" w:rsidP="008276C7">
            <w:pPr>
              <w:pStyle w:val="Numberbullet3"/>
              <w:numPr>
                <w:ilvl w:val="2"/>
                <w:numId w:val="14"/>
              </w:numPr>
              <w:ind w:left="1276"/>
            </w:pPr>
            <w:r w:rsidRPr="009703E3">
              <w:t>when included in Schedule 3 or 4; or</w:t>
            </w:r>
          </w:p>
          <w:p w14:paraId="1831B889" w14:textId="77777777" w:rsidR="00687D9A" w:rsidRPr="009703E3" w:rsidRDefault="00687D9A" w:rsidP="00D25FF9">
            <w:pPr>
              <w:pStyle w:val="Numberbullet3"/>
            </w:pPr>
            <w:r w:rsidRPr="009703E3">
              <w:t>in individually wrapped powders or sachets of granules each containing 1000 mg or less of paracetamol as the only therapeutically active constituent (other than caffeine, phenylephrine and/or guaifenesin or when combined with effervescent agents) when:</w:t>
            </w:r>
          </w:p>
          <w:p w14:paraId="46810E4D" w14:textId="77777777" w:rsidR="00687D9A" w:rsidRPr="005D06FE" w:rsidRDefault="00687D9A" w:rsidP="008276C7">
            <w:pPr>
              <w:pStyle w:val="Numberbullet2"/>
              <w:numPr>
                <w:ilvl w:val="1"/>
                <w:numId w:val="11"/>
              </w:numPr>
              <w:ind w:left="1701"/>
            </w:pPr>
            <w:r w:rsidRPr="005D06FE">
              <w:t>enclosed in a primary pack that contains not more than 10 such powders or sachets of granules,</w:t>
            </w:r>
          </w:p>
          <w:p w14:paraId="600E7218" w14:textId="77777777" w:rsidR="00687D9A" w:rsidRPr="005D06FE" w:rsidRDefault="00687D9A" w:rsidP="008276C7">
            <w:pPr>
              <w:pStyle w:val="Numberbullet2"/>
              <w:numPr>
                <w:ilvl w:val="1"/>
                <w:numId w:val="11"/>
              </w:numPr>
              <w:ind w:left="1701"/>
            </w:pPr>
            <w:r w:rsidRPr="005D06FE">
              <w:t>compliant with the requirements of the Required Advisory Statements for Medicine Labels,</w:t>
            </w:r>
          </w:p>
          <w:p w14:paraId="253BDF8F" w14:textId="77777777" w:rsidR="00687D9A" w:rsidRPr="005D06FE" w:rsidRDefault="00687D9A" w:rsidP="008276C7">
            <w:pPr>
              <w:pStyle w:val="Numberbullet2"/>
              <w:numPr>
                <w:ilvl w:val="1"/>
                <w:numId w:val="11"/>
              </w:numPr>
              <w:ind w:left="1701"/>
            </w:pPr>
            <w:r w:rsidRPr="005D06FE">
              <w:lastRenderedPageBreak/>
              <w:t>not labelled for the treatment of children 6 years of age or less, and</w:t>
            </w:r>
          </w:p>
          <w:p w14:paraId="04FC2674" w14:textId="77777777" w:rsidR="00687D9A" w:rsidRPr="005D06FE" w:rsidRDefault="00687D9A" w:rsidP="008276C7">
            <w:pPr>
              <w:pStyle w:val="Numberbullet2"/>
              <w:numPr>
                <w:ilvl w:val="1"/>
                <w:numId w:val="11"/>
              </w:numPr>
              <w:ind w:left="1701"/>
            </w:pPr>
            <w:r w:rsidRPr="005D06FE">
              <w:t>not labelled for the treatment of children under 12 years of age when combined with caffeine, phenylephrine and/or guaifenesin; or</w:t>
            </w:r>
          </w:p>
          <w:p w14:paraId="585BD7C7" w14:textId="77777777" w:rsidR="00687D9A" w:rsidRPr="005D06FE" w:rsidRDefault="00687D9A" w:rsidP="00D25FF9">
            <w:pPr>
              <w:pStyle w:val="Numberbullet3"/>
            </w:pPr>
            <w:r w:rsidRPr="005D06FE">
              <w:t>in tablets or capsules each containing 500 mg or less of paracetamol as the only therapeutically active constituent (other than caffeine, phenylephrine and/or guaifenesin or when combined with effervescent agents) when:</w:t>
            </w:r>
          </w:p>
          <w:p w14:paraId="5671CA81" w14:textId="77777777" w:rsidR="00687D9A" w:rsidRPr="005D06FE" w:rsidRDefault="00687D9A" w:rsidP="008276C7">
            <w:pPr>
              <w:pStyle w:val="Numberbullet2"/>
              <w:numPr>
                <w:ilvl w:val="1"/>
                <w:numId w:val="12"/>
              </w:numPr>
              <w:ind w:left="1701"/>
            </w:pPr>
            <w:r w:rsidRPr="005D06FE">
              <w:t>packed in blister or strip packaging or in a container with a child-resistant closure,</w:t>
            </w:r>
          </w:p>
          <w:p w14:paraId="66728F34" w14:textId="77777777" w:rsidR="00687D9A" w:rsidRPr="005D06FE" w:rsidRDefault="00687D9A" w:rsidP="008276C7">
            <w:pPr>
              <w:pStyle w:val="Numberbullet2"/>
              <w:numPr>
                <w:ilvl w:val="1"/>
                <w:numId w:val="12"/>
              </w:numPr>
              <w:ind w:left="1701"/>
            </w:pPr>
            <w:r w:rsidRPr="005D06FE">
              <w:t>in a primary pack containing not more than 20 tablets or capsules,</w:t>
            </w:r>
          </w:p>
          <w:p w14:paraId="53EC9DA6" w14:textId="77777777" w:rsidR="00687D9A" w:rsidRPr="005D06FE" w:rsidRDefault="00687D9A" w:rsidP="008276C7">
            <w:pPr>
              <w:pStyle w:val="Numberbullet2"/>
              <w:numPr>
                <w:ilvl w:val="1"/>
                <w:numId w:val="12"/>
              </w:numPr>
              <w:ind w:left="1701"/>
            </w:pPr>
            <w:r w:rsidRPr="005D06FE">
              <w:t>compliant with the requirements of the Required Advisory Statements for Medicine Labels,</w:t>
            </w:r>
          </w:p>
          <w:p w14:paraId="3768C864" w14:textId="77777777" w:rsidR="00687D9A" w:rsidRPr="005D06FE" w:rsidRDefault="00687D9A" w:rsidP="008276C7">
            <w:pPr>
              <w:pStyle w:val="Numberbullet2"/>
              <w:numPr>
                <w:ilvl w:val="1"/>
                <w:numId w:val="12"/>
              </w:numPr>
              <w:ind w:left="1701"/>
            </w:pPr>
            <w:r w:rsidRPr="005D06FE">
              <w:t>not labelled for the treatment of children 6 years of age or less, and</w:t>
            </w:r>
          </w:p>
          <w:p w14:paraId="49DC6B0F" w14:textId="77777777" w:rsidR="00687D9A" w:rsidRDefault="00687D9A" w:rsidP="008276C7">
            <w:pPr>
              <w:pStyle w:val="Numberbullet2"/>
              <w:numPr>
                <w:ilvl w:val="1"/>
                <w:numId w:val="12"/>
              </w:numPr>
              <w:ind w:left="1701"/>
            </w:pPr>
            <w:r w:rsidRPr="005D06FE">
              <w:t>not labelled for the treatment of children under 12 years of age when combined with caffeine, phenylephrine and/or guaifenesin.</w:t>
            </w:r>
          </w:p>
          <w:p w14:paraId="7173EBD5" w14:textId="5B915B3A" w:rsidR="006B652C" w:rsidRDefault="006B652C" w:rsidP="00190515">
            <w:pPr>
              <w:pStyle w:val="Heading4"/>
            </w:pPr>
            <w:r>
              <w:t>Reasons for the f</w:t>
            </w:r>
            <w:r w:rsidR="00943021">
              <w:t>inal decision</w:t>
            </w:r>
            <w:r w:rsidR="003B768D">
              <w:t xml:space="preserve"> (including findings on material questions of fact)</w:t>
            </w:r>
          </w:p>
          <w:p w14:paraId="072B44E4" w14:textId="5ABB6769" w:rsidR="006B652C" w:rsidRPr="00735ECC" w:rsidRDefault="00186076" w:rsidP="00735ECC">
            <w:r>
              <w:t xml:space="preserve">I confirm the reasons for my final decision to schedule paracetamol in </w:t>
            </w:r>
            <w:r w:rsidRPr="00AF27E6">
              <w:t xml:space="preserve">liquid preparations for oral use </w:t>
            </w:r>
            <w:r>
              <w:t xml:space="preserve">in Schedule 3 </w:t>
            </w:r>
            <w:r w:rsidRPr="00AF27E6">
              <w:t>except when in Schedule</w:t>
            </w:r>
            <w:r>
              <w:t xml:space="preserve"> 2 as </w:t>
            </w:r>
            <w:r w:rsidRPr="00AF27E6">
              <w:t>liquid preparations for oral use containing a maximum of 10</w:t>
            </w:r>
            <w:r>
              <w:t xml:space="preserve"> g of paracetamol per container, are as detailed in my </w:t>
            </w:r>
            <w:hyperlink r:id="rId28" w:history="1">
              <w:r w:rsidRPr="00DC4DF0">
                <w:rPr>
                  <w:rStyle w:val="Hyperlink"/>
                  <w:rFonts w:asciiTheme="minorHAnsi" w:hAnsiTheme="minorHAnsi"/>
                  <w:szCs w:val="22"/>
                </w:rPr>
                <w:t>interim decision</w:t>
              </w:r>
            </w:hyperlink>
            <w:r>
              <w:t>.</w:t>
            </w:r>
            <w:r w:rsidR="00DB3B4B">
              <w:t xml:space="preserve"> </w:t>
            </w:r>
            <w:r w:rsidR="00DB3B4B" w:rsidRPr="00DC4DF0">
              <w:t>In making my final decision,</w:t>
            </w:r>
            <w:r>
              <w:t xml:space="preserve"> I have taken into account the material detailed in the </w:t>
            </w:r>
            <w:r w:rsidRPr="0021499B">
              <w:t>interim decision</w:t>
            </w:r>
            <w:r>
              <w:rPr>
                <w:rStyle w:val="Hyperlink"/>
                <w:rFonts w:asciiTheme="minorHAnsi" w:hAnsiTheme="minorHAnsi"/>
                <w:color w:val="auto"/>
                <w:szCs w:val="22"/>
                <w:u w:val="none"/>
              </w:rPr>
              <w:t xml:space="preserve"> and the two</w:t>
            </w:r>
            <w:r>
              <w:t xml:space="preserve"> </w:t>
            </w:r>
            <w:r w:rsidR="00DB3B4B" w:rsidRPr="00DC4DF0">
              <w:t xml:space="preserve">submissions received before the </w:t>
            </w:r>
            <w:hyperlink r:id="rId29" w:history="1">
              <w:r w:rsidR="00DB3B4B" w:rsidRPr="00DC4DF0">
                <w:rPr>
                  <w:rStyle w:val="Hyperlink"/>
                  <w:rFonts w:asciiTheme="minorHAnsi" w:hAnsiTheme="minorHAnsi"/>
                  <w:szCs w:val="22"/>
                </w:rPr>
                <w:t>second closing date</w:t>
              </w:r>
            </w:hyperlink>
            <w:r w:rsidR="00DB3B4B" w:rsidRPr="00DC4DF0">
              <w:t xml:space="preserve"> in response to the call for further submissions published on 6 February 2020 under regulation 42ZCZP of the Regulations</w:t>
            </w:r>
            <w:r w:rsidR="00DB3B4B">
              <w:t>. Though not material to my decision, both submissions supported the interim decision and I acknowledge the concerns also expressed regarding the ambiguity of the initial scheduling proposal.</w:t>
            </w:r>
          </w:p>
          <w:p w14:paraId="21FE91B5" w14:textId="77777777" w:rsidR="006B652C" w:rsidRDefault="006B652C" w:rsidP="00190515">
            <w:pPr>
              <w:pStyle w:val="Heading4"/>
            </w:pPr>
            <w:r>
              <w:t>Summary of p</w:t>
            </w:r>
            <w:r w:rsidRPr="001A1B0E">
              <w:t>ublic submissions on the interim decision</w:t>
            </w:r>
          </w:p>
          <w:p w14:paraId="6D4C08D8" w14:textId="27444D6B" w:rsidR="00DB3B4B" w:rsidRDefault="00DB3B4B" w:rsidP="00DB3B4B">
            <w:pPr>
              <w:rPr>
                <w:b/>
              </w:rPr>
            </w:pPr>
            <w:r w:rsidRPr="008D41FC">
              <w:t xml:space="preserve">In response to </w:t>
            </w:r>
            <w:r>
              <w:t>the interim decision,</w:t>
            </w:r>
            <w:r w:rsidRPr="008D41FC">
              <w:t xml:space="preserve"> </w:t>
            </w:r>
            <w:r w:rsidRPr="00E35CAC">
              <w:t>two (2)</w:t>
            </w:r>
            <w:r w:rsidR="001E3B99">
              <w:t xml:space="preserve"> submissions were received.</w:t>
            </w:r>
            <w:r w:rsidRPr="004026EF">
              <w:t xml:space="preserve"> </w:t>
            </w:r>
            <w:r w:rsidRPr="00D832D6">
              <w:t xml:space="preserve">Both </w:t>
            </w:r>
            <w:r w:rsidRPr="004026EF">
              <w:t xml:space="preserve">submissions supported the </w:t>
            </w:r>
            <w:r w:rsidR="00735ECC">
              <w:t>interim decision.</w:t>
            </w:r>
          </w:p>
          <w:p w14:paraId="18FC263B" w14:textId="77777777" w:rsidR="00DB3B4B" w:rsidRPr="00735ECC" w:rsidRDefault="00DB3B4B" w:rsidP="00DB3B4B">
            <w:r w:rsidRPr="00735ECC">
              <w:t>The main points provided in support of the interim decision were:</w:t>
            </w:r>
          </w:p>
          <w:p w14:paraId="1C535E4F" w14:textId="0E59BDBB" w:rsidR="00DB3B4B" w:rsidRDefault="00DB3B4B" w:rsidP="00735ECC">
            <w:pPr>
              <w:pStyle w:val="ListBullet"/>
            </w:pPr>
            <w:r>
              <w:t>The scheduling proposal in the Delegate’s interim decision takes into consideration the appropriate balance between patient access to medicines and safety.</w:t>
            </w:r>
          </w:p>
          <w:p w14:paraId="4555AB01" w14:textId="77777777" w:rsidR="00DB3B4B" w:rsidRDefault="00DB3B4B" w:rsidP="00735ECC">
            <w:pPr>
              <w:pStyle w:val="ListBullet"/>
            </w:pPr>
            <w:r>
              <w:t>The Delegate’s interim decision on paracetamol (liquid formulations) is supported to the extent that current marketed products will not be affected by the decision.</w:t>
            </w:r>
          </w:p>
          <w:p w14:paraId="028E28F2" w14:textId="6B38142D" w:rsidR="00DB3B4B" w:rsidRPr="00735ECC" w:rsidRDefault="00DB3B4B" w:rsidP="00DB3B4B">
            <w:r w:rsidRPr="00735ECC">
              <w:t>Additional comment</w:t>
            </w:r>
            <w:r w:rsidR="00735ECC" w:rsidRPr="00735ECC">
              <w:t>:</w:t>
            </w:r>
          </w:p>
          <w:p w14:paraId="3E288D0B" w14:textId="5D067E51" w:rsidR="006B652C" w:rsidRDefault="00DB3B4B" w:rsidP="00735ECC">
            <w:pPr>
              <w:pStyle w:val="ListBullet"/>
            </w:pPr>
            <w:r>
              <w:t>One submission expressed their</w:t>
            </w:r>
            <w:r w:rsidRPr="00D832D6">
              <w:t xml:space="preserve"> disappointment with the wording of the initial scheduling proposal due to ambiguity in the scheduling amendment as proposed which included both a concentration cut-off (50 mg/mL) and two different </w:t>
            </w:r>
            <w:r w:rsidR="00735ECC">
              <w:t>weight cut-offs (5 g and 50 g).</w:t>
            </w:r>
          </w:p>
          <w:p w14:paraId="34B7B2FE" w14:textId="77777777" w:rsidR="006B652C" w:rsidRDefault="006B652C" w:rsidP="00190515">
            <w:pPr>
              <w:pStyle w:val="Heading4"/>
            </w:pPr>
            <w:r>
              <w:t>D</w:t>
            </w:r>
            <w:r w:rsidRPr="002E13B1">
              <w:t xml:space="preserve">ate of effect of the </w:t>
            </w:r>
            <w:r>
              <w:t>decision</w:t>
            </w:r>
          </w:p>
          <w:p w14:paraId="065A8581" w14:textId="0172E6E3" w:rsidR="006B652C" w:rsidRPr="00735ECC" w:rsidRDefault="00423457" w:rsidP="00780ADB">
            <w:sdt>
              <w:sdtPr>
                <w:rPr>
                  <w:b/>
                </w:rPr>
                <w:id w:val="-1932498486"/>
                <w:placeholder>
                  <w:docPart w:val="8FC5F7110F144FDFB204899C5816F7FA"/>
                </w:placeholder>
                <w:date w:fullDate="2020-06-01T00:00:00Z">
                  <w:dateFormat w:val="d MMMM yyyy"/>
                  <w:lid w:val="en-AU"/>
                  <w:storeMappedDataAs w:val="dateTime"/>
                  <w:calendar w:val="gregorian"/>
                </w:date>
              </w:sdtPr>
              <w:sdtEndPr/>
              <w:sdtContent>
                <w:r w:rsidR="00DB3B4B" w:rsidRPr="00780ADB">
                  <w:rPr>
                    <w:b/>
                  </w:rPr>
                  <w:t>1 June 2020</w:t>
                </w:r>
              </w:sdtContent>
            </w:sdt>
          </w:p>
        </w:tc>
      </w:tr>
    </w:tbl>
    <w:p w14:paraId="24EB8E54" w14:textId="1CA89E77" w:rsidR="006B652C" w:rsidRPr="00EE463E" w:rsidRDefault="006B652C" w:rsidP="00A63E30">
      <w:pPr>
        <w:pStyle w:val="Heading3"/>
        <w:pageBreakBefore/>
        <w:spacing w:before="0"/>
      </w:pPr>
      <w:bookmarkStart w:id="12" w:name="_Toc39587408"/>
      <w:r>
        <w:lastRenderedPageBreak/>
        <w:t>Final</w:t>
      </w:r>
      <w:r w:rsidRPr="00EE463E">
        <w:t xml:space="preserve"> decision in relation to</w:t>
      </w:r>
      <w:r w:rsidR="00DB3B4B">
        <w:t xml:space="preserve"> Paracetamol + ibuprofen</w:t>
      </w:r>
      <w:bookmarkEnd w:id="12"/>
    </w:p>
    <w:tbl>
      <w:tblPr>
        <w:tblStyle w:val="TableGrid"/>
        <w:tblW w:w="0" w:type="auto"/>
        <w:tblLook w:val="04A0" w:firstRow="1" w:lastRow="0" w:firstColumn="1" w:lastColumn="0" w:noHBand="0" w:noVBand="1"/>
      </w:tblPr>
      <w:tblGrid>
        <w:gridCol w:w="9628"/>
      </w:tblGrid>
      <w:tr w:rsidR="006B652C" w14:paraId="22854234" w14:textId="77777777" w:rsidTr="004474D5">
        <w:tc>
          <w:tcPr>
            <w:tcW w:w="9854" w:type="dxa"/>
          </w:tcPr>
          <w:p w14:paraId="7BBFF079" w14:textId="77777777" w:rsidR="006B652C" w:rsidRPr="008036B7" w:rsidRDefault="006B652C" w:rsidP="00190515">
            <w:pPr>
              <w:pStyle w:val="Heading4"/>
            </w:pPr>
            <w:r w:rsidRPr="008036B7">
              <w:t>Final decision</w:t>
            </w:r>
          </w:p>
          <w:p w14:paraId="0D79487F" w14:textId="2E44297E" w:rsidR="006B652C" w:rsidRDefault="006B652C" w:rsidP="004474D5">
            <w:r>
              <w:t xml:space="preserve">Pursuant to regulation 42ZCZR of the Regulations, a Delegate of the Secretary has made a final decision to </w:t>
            </w:r>
            <w:r w:rsidR="00FA7158">
              <w:t>af</w:t>
            </w:r>
            <w:r w:rsidR="00DB3B4B">
              <w:t>firm</w:t>
            </w:r>
            <w:r>
              <w:t xml:space="preserve"> </w:t>
            </w:r>
            <w:r w:rsidRPr="005203C8">
              <w:t>the interim decision</w:t>
            </w:r>
            <w:r>
              <w:t xml:space="preserve"> and </w:t>
            </w:r>
            <w:sdt>
              <w:sdtPr>
                <w:id w:val="96376286"/>
                <w:placeholder>
                  <w:docPart w:val="EE07C732F9BE43CB99308E63B0DE7CED"/>
                </w:placeholder>
                <w:comboBox>
                  <w:listItem w:displayText="amend the current Poisons Standard in relation to [insert name of substance] as follows: [insert amendments]" w:value="amend the current Poisons Standard in relation to [insert name of substance] as follows: [insert amendments]"/>
                  <w:listItem w:displayText="not amend the current Poisons Standard in relation to [insert name of substance]" w:value="not amend the current Poisons Standard in relation to [insert name of substance]"/>
                </w:comboBox>
              </w:sdtPr>
              <w:sdtEndPr/>
              <w:sdtContent>
                <w:r w:rsidR="002911B6">
                  <w:t>not amend the current Poisons Standard in relation to paracetamol + ibuprofen</w:t>
                </w:r>
              </w:sdtContent>
            </w:sdt>
            <w:r>
              <w:t>.</w:t>
            </w:r>
          </w:p>
          <w:p w14:paraId="016ABDF1" w14:textId="36419194" w:rsidR="00DB3B4B" w:rsidRPr="00914E59" w:rsidRDefault="006B652C" w:rsidP="00190515">
            <w:pPr>
              <w:pStyle w:val="Heading4"/>
            </w:pPr>
            <w:r>
              <w:t>Reasons for the f</w:t>
            </w:r>
            <w:r w:rsidR="00914E59">
              <w:t xml:space="preserve">inal decision </w:t>
            </w:r>
            <w:r w:rsidR="00B646C0">
              <w:t>(including findings on material questions of fact)</w:t>
            </w:r>
          </w:p>
          <w:p w14:paraId="206C2E27" w14:textId="3FD07BFC" w:rsidR="00D6773D" w:rsidRPr="00914E59" w:rsidRDefault="00D6773D" w:rsidP="00D25FF9">
            <w:r>
              <w:t>I confirm the reasons for my final decision to retain the current Schedule 3, Schedule 3 and Schedule 4 entries in relation to</w:t>
            </w:r>
            <w:r w:rsidRPr="0069717B">
              <w:t xml:space="preserve"> </w:t>
            </w:r>
            <w:r>
              <w:t>paracetamol when in combination with ibuprofen</w:t>
            </w:r>
            <w:r w:rsidR="00C05A66">
              <w:t>,</w:t>
            </w:r>
            <w:r>
              <w:t xml:space="preserve"> are as detailed in my </w:t>
            </w:r>
            <w:hyperlink r:id="rId30" w:history="1">
              <w:r w:rsidRPr="00156981">
                <w:rPr>
                  <w:rStyle w:val="Hyperlink"/>
                </w:rPr>
                <w:t>interim decision</w:t>
              </w:r>
            </w:hyperlink>
            <w:r>
              <w:t xml:space="preserve">. In making my final decision, I have taken into account the material detailed in the interim decision and have noted that </w:t>
            </w:r>
            <w:r w:rsidRPr="00F46D3F">
              <w:t>no public submissions were received before the</w:t>
            </w:r>
            <w:r w:rsidRPr="00156981">
              <w:t xml:space="preserve"> </w:t>
            </w:r>
            <w:hyperlink r:id="rId31" w:history="1">
              <w:r w:rsidRPr="00156981">
                <w:rPr>
                  <w:rStyle w:val="Hyperlink"/>
                </w:rPr>
                <w:t xml:space="preserve">second closing date </w:t>
              </w:r>
            </w:hyperlink>
            <w:r w:rsidRPr="00F46D3F">
              <w:t xml:space="preserve"> in response to the call for further submissions published on 6 February 2020 under regulation </w:t>
            </w:r>
            <w:r w:rsidRPr="00F17F63">
              <w:t>42ZCZP</w:t>
            </w:r>
            <w:r w:rsidRPr="00F46D3F">
              <w:t xml:space="preserve"> of the Regulations.</w:t>
            </w:r>
          </w:p>
          <w:p w14:paraId="389F4807" w14:textId="5A80798A" w:rsidR="006B652C" w:rsidRDefault="006B652C" w:rsidP="00190515">
            <w:pPr>
              <w:pStyle w:val="Heading4"/>
            </w:pPr>
            <w:r>
              <w:t>Summary of p</w:t>
            </w:r>
            <w:r w:rsidRPr="001A1B0E">
              <w:t>ublic submissions on the interim decision</w:t>
            </w:r>
          </w:p>
          <w:p w14:paraId="519B0679" w14:textId="13611CC3" w:rsidR="006B652C" w:rsidRPr="00914E59" w:rsidRDefault="00914E59" w:rsidP="00D25FF9">
            <w:pPr>
              <w:rPr>
                <w:highlight w:val="yellow"/>
              </w:rPr>
            </w:pPr>
            <w:r w:rsidRPr="00DA31CB">
              <w:t>No public submissions were received in response to the interim decision.</w:t>
            </w:r>
          </w:p>
          <w:p w14:paraId="435426F3" w14:textId="77777777" w:rsidR="006B652C" w:rsidRDefault="006B652C" w:rsidP="00190515">
            <w:pPr>
              <w:pStyle w:val="Heading4"/>
            </w:pPr>
            <w:r>
              <w:t>D</w:t>
            </w:r>
            <w:r w:rsidRPr="002E13B1">
              <w:t xml:space="preserve">ate of effect of the </w:t>
            </w:r>
            <w:r>
              <w:t>decision</w:t>
            </w:r>
          </w:p>
          <w:p w14:paraId="0E670DB3" w14:textId="3901C80A" w:rsidR="006B652C" w:rsidRPr="00D25FF9" w:rsidRDefault="00423457" w:rsidP="00780ADB">
            <w:sdt>
              <w:sdtPr>
                <w:rPr>
                  <w:b/>
                </w:rPr>
                <w:id w:val="-1217432664"/>
                <w:placeholder>
                  <w:docPart w:val="8FD664EFD4734321AAE5948A830A53B7"/>
                </w:placeholder>
                <w:date w:fullDate="2020-05-07T00:00:00Z">
                  <w:dateFormat w:val="d MMMM yyyy"/>
                  <w:lid w:val="en-AU"/>
                  <w:storeMappedDataAs w:val="dateTime"/>
                  <w:calendar w:val="gregorian"/>
                </w:date>
              </w:sdtPr>
              <w:sdtEndPr/>
              <w:sdtContent>
                <w:r w:rsidR="00780ADB">
                  <w:rPr>
                    <w:b/>
                  </w:rPr>
                  <w:t>7 May 2020</w:t>
                </w:r>
              </w:sdtContent>
            </w:sdt>
          </w:p>
        </w:tc>
      </w:tr>
    </w:tbl>
    <w:p w14:paraId="084B90E7" w14:textId="1F64CD29" w:rsidR="006B652C" w:rsidRPr="00EE463E" w:rsidRDefault="006B652C" w:rsidP="00A63E30">
      <w:pPr>
        <w:pStyle w:val="Heading3"/>
        <w:pageBreakBefore/>
        <w:spacing w:before="0"/>
      </w:pPr>
      <w:bookmarkStart w:id="13" w:name="_Toc39587409"/>
      <w:r>
        <w:lastRenderedPageBreak/>
        <w:t>Final</w:t>
      </w:r>
      <w:r w:rsidRPr="00EE463E">
        <w:t xml:space="preserve"> decision in relation to </w:t>
      </w:r>
      <w:sdt>
        <w:sdtPr>
          <w:id w:val="-831068707"/>
          <w:placeholder>
            <w:docPart w:val="E62B22DDD95A4DB2A5EFB57EB3913F0B"/>
          </w:placeholder>
        </w:sdtPr>
        <w:sdtEndPr/>
        <w:sdtContent>
          <w:r w:rsidR="00FA7158">
            <w:t>Hyoscine butylbromide</w:t>
          </w:r>
        </w:sdtContent>
      </w:sdt>
      <w:bookmarkEnd w:id="13"/>
    </w:p>
    <w:tbl>
      <w:tblPr>
        <w:tblStyle w:val="TableGrid"/>
        <w:tblW w:w="0" w:type="auto"/>
        <w:tblLook w:val="04A0" w:firstRow="1" w:lastRow="0" w:firstColumn="1" w:lastColumn="0" w:noHBand="0" w:noVBand="1"/>
      </w:tblPr>
      <w:tblGrid>
        <w:gridCol w:w="9628"/>
      </w:tblGrid>
      <w:tr w:rsidR="006B652C" w14:paraId="63E18B1A" w14:textId="77777777" w:rsidTr="004474D5">
        <w:tc>
          <w:tcPr>
            <w:tcW w:w="9854" w:type="dxa"/>
          </w:tcPr>
          <w:p w14:paraId="5602A2D1" w14:textId="77777777" w:rsidR="006B652C" w:rsidRPr="008036B7" w:rsidRDefault="006B652C" w:rsidP="00A00DB2">
            <w:pPr>
              <w:pStyle w:val="Heading4"/>
              <w:keepNext w:val="0"/>
              <w:keepLines w:val="0"/>
              <w:widowControl w:val="0"/>
            </w:pPr>
            <w:r w:rsidRPr="008036B7">
              <w:t>Final decision</w:t>
            </w:r>
          </w:p>
          <w:p w14:paraId="4AB0C40B" w14:textId="46BF57BF" w:rsidR="00FA7158" w:rsidRDefault="006B652C" w:rsidP="00B666D2">
            <w:r>
              <w:t xml:space="preserve">Pursuant to regulation 42ZCZR of the Regulations, a Delegate of the Secretary has made a final decision to </w:t>
            </w:r>
            <w:r w:rsidR="00B666D2">
              <w:t>affirm</w:t>
            </w:r>
            <w:r>
              <w:t xml:space="preserve"> </w:t>
            </w:r>
            <w:r w:rsidRPr="005203C8">
              <w:t>the interim decision</w:t>
            </w:r>
            <w:r>
              <w:t xml:space="preserve"> and </w:t>
            </w:r>
            <w:r w:rsidR="00B666D2">
              <w:t>amend the current Poisons Standard in relation to hy</w:t>
            </w:r>
            <w:r w:rsidR="00D25FF9">
              <w:t>oscine butylbromide as follows:</w:t>
            </w:r>
          </w:p>
          <w:p w14:paraId="7A5DA48C" w14:textId="24DA8C7A" w:rsidR="00FA7158" w:rsidRPr="00E07925" w:rsidRDefault="00D25FF9" w:rsidP="00D25FF9">
            <w:pPr>
              <w:ind w:left="426"/>
            </w:pPr>
            <w:r>
              <w:rPr>
                <w:b/>
                <w:bCs/>
              </w:rPr>
              <w:t>Schedule 4 – New Entry</w:t>
            </w:r>
          </w:p>
          <w:p w14:paraId="757E84CB" w14:textId="5A9FCD02" w:rsidR="00FA7158" w:rsidRPr="00E07925" w:rsidRDefault="00FA7158" w:rsidP="00D25FF9">
            <w:pPr>
              <w:ind w:left="426"/>
              <w:rPr>
                <w:color w:val="FF0000"/>
              </w:rPr>
            </w:pPr>
            <w:r w:rsidRPr="00E07925">
              <w:rPr>
                <w:color w:val="FF0000"/>
              </w:rPr>
              <w:t xml:space="preserve">HYOSCINE BUTYLBROMIDE </w:t>
            </w:r>
            <w:r w:rsidRPr="00E07925">
              <w:rPr>
                <w:b/>
                <w:bCs/>
                <w:color w:val="FF0000"/>
              </w:rPr>
              <w:t xml:space="preserve">except </w:t>
            </w:r>
            <w:r w:rsidRPr="00E07925">
              <w:rPr>
                <w:color w:val="FF0000"/>
              </w:rPr>
              <w:t>wh</w:t>
            </w:r>
            <w:r w:rsidR="00D25FF9">
              <w:rPr>
                <w:color w:val="FF0000"/>
              </w:rPr>
              <w:t>en included in Schedule 2 or 3.</w:t>
            </w:r>
          </w:p>
          <w:p w14:paraId="11B95C5B" w14:textId="3CC5C88B" w:rsidR="00FA7158" w:rsidRPr="00E07925" w:rsidRDefault="00D25FF9" w:rsidP="00D25FF9">
            <w:pPr>
              <w:ind w:left="426"/>
            </w:pPr>
            <w:r>
              <w:rPr>
                <w:b/>
                <w:bCs/>
              </w:rPr>
              <w:t>Schedule 3 – New Entry</w:t>
            </w:r>
          </w:p>
          <w:p w14:paraId="0F18C53C" w14:textId="6FBF0DE8" w:rsidR="00FA7158" w:rsidRPr="00E07925" w:rsidRDefault="00FA7158" w:rsidP="00D25FF9">
            <w:pPr>
              <w:ind w:left="426"/>
              <w:rPr>
                <w:color w:val="FF0000"/>
              </w:rPr>
            </w:pPr>
            <w:r w:rsidRPr="00E07925">
              <w:rPr>
                <w:color w:val="FF0000"/>
              </w:rPr>
              <w:t>HYOSCINE BUTYLBROMIDE in undivided preparations for oral use with a recommended single dose not exceeding 20 mg of hyoscine butylbromide in a pack containing 100 mg or less of hyoscine butylbromide when labelled for adults</w:t>
            </w:r>
            <w:r w:rsidR="00D25FF9">
              <w:rPr>
                <w:color w:val="FF0000"/>
              </w:rPr>
              <w:t xml:space="preserve"> and children 6 years and over.</w:t>
            </w:r>
          </w:p>
          <w:p w14:paraId="44534EC9" w14:textId="33B9B468" w:rsidR="00FA7158" w:rsidRPr="00E07925" w:rsidRDefault="00D25FF9" w:rsidP="00D25FF9">
            <w:pPr>
              <w:ind w:left="426"/>
            </w:pPr>
            <w:r>
              <w:rPr>
                <w:b/>
                <w:bCs/>
              </w:rPr>
              <w:t>Schedule 2</w:t>
            </w:r>
          </w:p>
          <w:p w14:paraId="4B025381" w14:textId="548FF5F2" w:rsidR="00FA7158" w:rsidRPr="00E07925" w:rsidRDefault="00FA7158" w:rsidP="00D25FF9">
            <w:pPr>
              <w:ind w:left="426"/>
            </w:pPr>
            <w:r w:rsidRPr="00E07925">
              <w:t>HYOSCINE BUTYLBROMIDE as the only therapeutically active substance, in divided preparations for oral use, containing 20 mg or less of hyoscine butylbromide per dosage unit in a pack containing 200 mg or</w:t>
            </w:r>
            <w:r w:rsidR="000D2BD8">
              <w:t xml:space="preserve"> less of hyoscine butylbromide.</w:t>
            </w:r>
          </w:p>
          <w:p w14:paraId="334A5794" w14:textId="3F57201E" w:rsidR="00FA7158" w:rsidRPr="00E07925" w:rsidRDefault="00D25FF9" w:rsidP="00D25FF9">
            <w:pPr>
              <w:ind w:left="426"/>
            </w:pPr>
            <w:r>
              <w:rPr>
                <w:b/>
                <w:bCs/>
              </w:rPr>
              <w:t>Schedule 2 – Amend Entry</w:t>
            </w:r>
          </w:p>
          <w:p w14:paraId="460E88D4" w14:textId="1EC89D17" w:rsidR="00FA7158" w:rsidRPr="00E07925" w:rsidRDefault="00FA7158" w:rsidP="00D25FF9">
            <w:pPr>
              <w:ind w:left="426"/>
            </w:pPr>
            <w:r w:rsidRPr="00E07925">
              <w:t>HYOSCINE</w:t>
            </w:r>
            <w:r w:rsidRPr="00E07925">
              <w:rPr>
                <w:strike/>
                <w:color w:val="FF0000"/>
              </w:rPr>
              <w:t xml:space="preserve"> (excluding hyoscine butylbromide):</w:t>
            </w:r>
          </w:p>
          <w:p w14:paraId="36A41278" w14:textId="0D2711AB" w:rsidR="00FA7158" w:rsidRPr="00E07925" w:rsidRDefault="00FA7158" w:rsidP="00CD706A">
            <w:pPr>
              <w:pStyle w:val="Numberbullet2"/>
              <w:numPr>
                <w:ilvl w:val="0"/>
                <w:numId w:val="17"/>
              </w:numPr>
              <w:ind w:left="877" w:hanging="426"/>
            </w:pPr>
            <w:r w:rsidRPr="00E07925">
              <w:t>for transdermal use in preparations containing 2 mg or less of total solanaceou</w:t>
            </w:r>
            <w:r w:rsidR="000D2BD8">
              <w:t>s alkaloids per dosage unit; or</w:t>
            </w:r>
          </w:p>
          <w:p w14:paraId="4F655D2F" w14:textId="77777777" w:rsidR="00FA7158" w:rsidRDefault="00FA7158" w:rsidP="00CD706A">
            <w:pPr>
              <w:pStyle w:val="Numberbullet2"/>
              <w:ind w:left="877" w:hanging="426"/>
            </w:pPr>
            <w:r w:rsidRPr="00E07925">
              <w:t>for oral use:</w:t>
            </w:r>
          </w:p>
          <w:p w14:paraId="7EB4BADF" w14:textId="51E79ECD" w:rsidR="00FA7158" w:rsidRPr="00E07925" w:rsidRDefault="00FA7158" w:rsidP="008276C7">
            <w:pPr>
              <w:pStyle w:val="Numberbullet3"/>
              <w:numPr>
                <w:ilvl w:val="2"/>
                <w:numId w:val="18"/>
              </w:numPr>
              <w:ind w:left="1276"/>
            </w:pPr>
            <w:r w:rsidRPr="00E07925">
              <w:t xml:space="preserve">in undivided preparations containing 0.03 per cent or less of total solanaceous alkaloids, when labelled with a dose of 0.3 mg or less of total solanaceous alkaloids and a recommended daily dose of 1.2 mg or less of </w:t>
            </w:r>
            <w:r w:rsidR="00D25FF9">
              <w:t>total solanaceous alkaloids; or</w:t>
            </w:r>
          </w:p>
          <w:p w14:paraId="7672054E" w14:textId="5139E70E" w:rsidR="00FA7158" w:rsidRPr="00E07925" w:rsidRDefault="00FA7158" w:rsidP="00D25FF9">
            <w:pPr>
              <w:pStyle w:val="Numberbullet3"/>
            </w:pPr>
            <w:r w:rsidRPr="00E07925">
              <w:t xml:space="preserve">in divided preparations containing 0.3 mg or less of total solanaceous alkaloids per dosage unit when labelled with a recommended daily dose of 1.2 mg or less </w:t>
            </w:r>
            <w:r w:rsidR="00D25FF9">
              <w:t>of total solanaceous alkaloids.</w:t>
            </w:r>
          </w:p>
          <w:p w14:paraId="0F426AC3" w14:textId="345125EA" w:rsidR="00FA7158" w:rsidRPr="00E07925" w:rsidRDefault="00D25FF9" w:rsidP="00A63E30">
            <w:pPr>
              <w:ind w:left="426"/>
            </w:pPr>
            <w:r>
              <w:rPr>
                <w:b/>
                <w:bCs/>
              </w:rPr>
              <w:t>Appendix H – New Entry</w:t>
            </w:r>
          </w:p>
          <w:p w14:paraId="02068433" w14:textId="6AFEA235" w:rsidR="00FA7158" w:rsidRPr="00E07925" w:rsidRDefault="00D25FF9" w:rsidP="00A63E30">
            <w:pPr>
              <w:ind w:left="426"/>
              <w:rPr>
                <w:color w:val="FF0000"/>
              </w:rPr>
            </w:pPr>
            <w:r>
              <w:rPr>
                <w:color w:val="FF0000"/>
              </w:rPr>
              <w:t>HYOSCINE BUTYLBROMIDE</w:t>
            </w:r>
          </w:p>
          <w:p w14:paraId="4F0A4555" w14:textId="4F878020" w:rsidR="00FA7158" w:rsidRPr="00E07925" w:rsidRDefault="00D25FF9" w:rsidP="00A63E30">
            <w:pPr>
              <w:ind w:left="426"/>
            </w:pPr>
            <w:r>
              <w:rPr>
                <w:b/>
                <w:bCs/>
              </w:rPr>
              <w:t>Index – Amend Entry</w:t>
            </w:r>
          </w:p>
          <w:p w14:paraId="5812BF8C" w14:textId="38C7E305" w:rsidR="00FA7158" w:rsidRPr="00E07925" w:rsidRDefault="00D25FF9" w:rsidP="00A63E30">
            <w:pPr>
              <w:ind w:left="426"/>
            </w:pPr>
            <w:r>
              <w:rPr>
                <w:b/>
                <w:bCs/>
              </w:rPr>
              <w:t>HYOSCINE BUTYLBROMIDE</w:t>
            </w:r>
          </w:p>
          <w:p w14:paraId="624B3D64" w14:textId="77777777" w:rsidR="00FA7158" w:rsidRPr="00E07925" w:rsidRDefault="00FA7158" w:rsidP="00A63E30">
            <w:pPr>
              <w:spacing w:before="0" w:after="0"/>
              <w:ind w:left="426"/>
              <w:rPr>
                <w:color w:val="FF0000"/>
              </w:rPr>
            </w:pPr>
            <w:r w:rsidRPr="00E07925">
              <w:rPr>
                <w:color w:val="FF0000"/>
              </w:rPr>
              <w:t>Schedule 4</w:t>
            </w:r>
          </w:p>
          <w:p w14:paraId="7B7F15DE" w14:textId="77777777" w:rsidR="00FA7158" w:rsidRPr="00E07925" w:rsidRDefault="00FA7158" w:rsidP="00A63E30">
            <w:pPr>
              <w:spacing w:before="0" w:after="0"/>
              <w:ind w:left="426"/>
              <w:rPr>
                <w:color w:val="FF0000"/>
              </w:rPr>
            </w:pPr>
            <w:r w:rsidRPr="00E07925">
              <w:rPr>
                <w:color w:val="FF0000"/>
              </w:rPr>
              <w:t>Schedule 3</w:t>
            </w:r>
          </w:p>
          <w:p w14:paraId="5576DF1B" w14:textId="10C80C10" w:rsidR="00FA7158" w:rsidRDefault="00D25FF9" w:rsidP="00A63E30">
            <w:pPr>
              <w:spacing w:before="0" w:after="0"/>
              <w:ind w:left="426"/>
            </w:pPr>
            <w:r>
              <w:t>Schedule 2</w:t>
            </w:r>
          </w:p>
          <w:p w14:paraId="79DDBD36" w14:textId="560CED55" w:rsidR="00FA7158" w:rsidRPr="00B666D2" w:rsidRDefault="00B666D2" w:rsidP="00A63E30">
            <w:pPr>
              <w:spacing w:before="0" w:after="0"/>
              <w:ind w:left="426"/>
              <w:rPr>
                <w:color w:val="FF0000"/>
              </w:rPr>
            </w:pPr>
            <w:r>
              <w:rPr>
                <w:color w:val="FF0000"/>
              </w:rPr>
              <w:t>Appendix H</w:t>
            </w:r>
          </w:p>
          <w:p w14:paraId="2E4C77F3" w14:textId="7265A5D2" w:rsidR="00FA7158" w:rsidRPr="007C4E72" w:rsidRDefault="006B652C" w:rsidP="00190515">
            <w:pPr>
              <w:pStyle w:val="Heading4"/>
            </w:pPr>
            <w:r>
              <w:t xml:space="preserve">Reasons for the final decision </w:t>
            </w:r>
            <w:r w:rsidR="003B768D">
              <w:t>(including findings on material questions of fact)</w:t>
            </w:r>
          </w:p>
          <w:p w14:paraId="133A3E6E" w14:textId="7E9C5E2A" w:rsidR="006B652C" w:rsidRPr="000D2BD8" w:rsidRDefault="00D6773D" w:rsidP="000D2BD8">
            <w:pPr>
              <w:rPr>
                <w:u w:val="single"/>
              </w:rPr>
            </w:pPr>
            <w:r>
              <w:t xml:space="preserve">I confirm the reasons for my final decision </w:t>
            </w:r>
            <w:r w:rsidR="00723681" w:rsidRPr="00DC4DF0">
              <w:t>to</w:t>
            </w:r>
            <w:r w:rsidR="00723681">
              <w:t xml:space="preserve"> </w:t>
            </w:r>
            <w:r w:rsidR="00723681" w:rsidRPr="00B34F59">
              <w:t>amend the Poisons Standard</w:t>
            </w:r>
            <w:r w:rsidR="00723681">
              <w:t xml:space="preserve"> in relation to </w:t>
            </w:r>
            <w:r w:rsidR="00723681" w:rsidRPr="00B34F59">
              <w:t xml:space="preserve">hyoscine butylbromide by creating new </w:t>
            </w:r>
            <w:r w:rsidR="00723681">
              <w:t>Schedule 3, Schedule 4 and Appendix H</w:t>
            </w:r>
            <w:r w:rsidR="00723681" w:rsidRPr="00B34F59">
              <w:t xml:space="preserve"> </w:t>
            </w:r>
            <w:r w:rsidR="00723681">
              <w:t>entries and removing</w:t>
            </w:r>
            <w:r w:rsidR="00723681" w:rsidRPr="00B34F59">
              <w:t xml:space="preserve"> the refere</w:t>
            </w:r>
            <w:r w:rsidR="00723681">
              <w:t xml:space="preserve">nce to hyoscine butylbromide </w:t>
            </w:r>
            <w:r w:rsidR="00723681" w:rsidRPr="00B34F59">
              <w:t>in the Schedule 2 entry for hyoscine</w:t>
            </w:r>
            <w:r w:rsidR="00723681">
              <w:t>, are as detailed in my</w:t>
            </w:r>
            <w:r w:rsidR="00FA7158" w:rsidRPr="00DC4DF0">
              <w:t xml:space="preserve"> </w:t>
            </w:r>
            <w:hyperlink r:id="rId32" w:history="1">
              <w:r w:rsidR="00FA7158" w:rsidRPr="00156981">
                <w:rPr>
                  <w:rStyle w:val="Hyperlink"/>
                </w:rPr>
                <w:t xml:space="preserve">interim </w:t>
              </w:r>
              <w:r w:rsidR="00FA7158" w:rsidRPr="004C2C13">
                <w:rPr>
                  <w:rStyle w:val="Hyperlink"/>
                </w:rPr>
                <w:t>decision</w:t>
              </w:r>
            </w:hyperlink>
            <w:r w:rsidR="00C05A66">
              <w:rPr>
                <w:rStyle w:val="Hyperlink"/>
                <w:color w:val="auto"/>
                <w:u w:val="none"/>
              </w:rPr>
              <w:t xml:space="preserve">. </w:t>
            </w:r>
            <w:r w:rsidR="00723681" w:rsidRPr="00C05A66">
              <w:t>In</w:t>
            </w:r>
            <w:r w:rsidR="00723681">
              <w:t xml:space="preserve"> making my final decision, I have taken into account the material detailed in the interim decision and have noted that </w:t>
            </w:r>
            <w:r w:rsidR="00FA7158" w:rsidRPr="00F46D3F">
              <w:t>no public submissions were received before the</w:t>
            </w:r>
            <w:r w:rsidR="00FA7158" w:rsidRPr="00156981">
              <w:t xml:space="preserve"> </w:t>
            </w:r>
            <w:hyperlink r:id="rId33" w:history="1">
              <w:r w:rsidR="00FA7158" w:rsidRPr="00156981">
                <w:rPr>
                  <w:rStyle w:val="Hyperlink"/>
                </w:rPr>
                <w:t>second closing date</w:t>
              </w:r>
            </w:hyperlink>
            <w:r w:rsidR="00FA7158" w:rsidRPr="00F46D3F">
              <w:t xml:space="preserve"> in response to the call for further submissions published on 6 February 2020 under regulation </w:t>
            </w:r>
            <w:r w:rsidR="00FA7158" w:rsidRPr="00F17F63">
              <w:t>42ZCZP</w:t>
            </w:r>
            <w:r w:rsidR="00B666D2">
              <w:t xml:space="preserve"> of the Regulation</w:t>
            </w:r>
            <w:r w:rsidR="00723681">
              <w:t>s.</w:t>
            </w:r>
          </w:p>
          <w:p w14:paraId="3C79B12B" w14:textId="77777777" w:rsidR="006B652C" w:rsidRDefault="006B652C" w:rsidP="00A00DB2">
            <w:pPr>
              <w:pStyle w:val="Heading4"/>
            </w:pPr>
            <w:r>
              <w:lastRenderedPageBreak/>
              <w:t>Summary of p</w:t>
            </w:r>
            <w:r w:rsidRPr="001A1B0E">
              <w:t>ublic submissions on the interim decision</w:t>
            </w:r>
          </w:p>
          <w:p w14:paraId="2EB02E98" w14:textId="77777777" w:rsidR="00B666D2" w:rsidRDefault="00B666D2" w:rsidP="00A00DB2">
            <w:pPr>
              <w:rPr>
                <w:highlight w:val="yellow"/>
              </w:rPr>
            </w:pPr>
            <w:r w:rsidRPr="00DA31CB">
              <w:t>No public submissions were received in response to the interim decision.</w:t>
            </w:r>
          </w:p>
          <w:p w14:paraId="2D3A1E0C" w14:textId="77777777" w:rsidR="006B652C" w:rsidRDefault="006B652C" w:rsidP="00190515">
            <w:pPr>
              <w:pStyle w:val="Heading4"/>
            </w:pPr>
            <w:r>
              <w:t>D</w:t>
            </w:r>
            <w:r w:rsidRPr="002E13B1">
              <w:t xml:space="preserve">ate of effect of the </w:t>
            </w:r>
            <w:r>
              <w:t>decision</w:t>
            </w:r>
          </w:p>
          <w:p w14:paraId="299F6B3B" w14:textId="1E4CD110" w:rsidR="006B652C" w:rsidRPr="004C2C13" w:rsidRDefault="00423457" w:rsidP="00780ADB">
            <w:sdt>
              <w:sdtPr>
                <w:rPr>
                  <w:b/>
                </w:rPr>
                <w:id w:val="1886916201"/>
                <w:placeholder>
                  <w:docPart w:val="6956D64FD3964DA581F79A093A13D1C3"/>
                </w:placeholder>
                <w:date w:fullDate="2020-06-01T00:00:00Z">
                  <w:dateFormat w:val="d MMMM yyyy"/>
                  <w:lid w:val="en-AU"/>
                  <w:storeMappedDataAs w:val="dateTime"/>
                  <w:calendar w:val="gregorian"/>
                </w:date>
              </w:sdtPr>
              <w:sdtEndPr/>
              <w:sdtContent>
                <w:r w:rsidR="00B666D2" w:rsidRPr="00780ADB">
                  <w:rPr>
                    <w:b/>
                  </w:rPr>
                  <w:t>1 June 2020</w:t>
                </w:r>
              </w:sdtContent>
            </w:sdt>
          </w:p>
        </w:tc>
      </w:tr>
    </w:tbl>
    <w:p w14:paraId="2C4A84B6" w14:textId="3D573E95" w:rsidR="006B652C" w:rsidRPr="00EE463E" w:rsidRDefault="006B652C" w:rsidP="001560EF">
      <w:pPr>
        <w:pStyle w:val="Heading3"/>
        <w:pageBreakBefore/>
        <w:spacing w:before="0"/>
      </w:pPr>
      <w:bookmarkStart w:id="14" w:name="_Toc39587410"/>
      <w:r>
        <w:lastRenderedPageBreak/>
        <w:t>Final</w:t>
      </w:r>
      <w:r w:rsidRPr="00EE463E">
        <w:t xml:space="preserve"> decision in relation to </w:t>
      </w:r>
      <w:sdt>
        <w:sdtPr>
          <w:id w:val="1922137250"/>
          <w:placeholder>
            <w:docPart w:val="8525F00BC2B54678AFD89072918AD348"/>
          </w:placeholder>
        </w:sdtPr>
        <w:sdtEndPr/>
        <w:sdtContent>
          <w:r w:rsidR="006F3902">
            <w:t>Lidocaine</w:t>
          </w:r>
        </w:sdtContent>
      </w:sdt>
      <w:bookmarkEnd w:id="14"/>
    </w:p>
    <w:tbl>
      <w:tblPr>
        <w:tblStyle w:val="TableGrid"/>
        <w:tblW w:w="0" w:type="auto"/>
        <w:tblLook w:val="04A0" w:firstRow="1" w:lastRow="0" w:firstColumn="1" w:lastColumn="0" w:noHBand="0" w:noVBand="1"/>
      </w:tblPr>
      <w:tblGrid>
        <w:gridCol w:w="9628"/>
      </w:tblGrid>
      <w:tr w:rsidR="006B652C" w14:paraId="1DC1F337" w14:textId="77777777" w:rsidTr="004474D5">
        <w:tc>
          <w:tcPr>
            <w:tcW w:w="9854" w:type="dxa"/>
          </w:tcPr>
          <w:p w14:paraId="41D2105C" w14:textId="77777777" w:rsidR="006B652C" w:rsidRPr="008036B7" w:rsidRDefault="006B652C" w:rsidP="00190515">
            <w:pPr>
              <w:pStyle w:val="Heading4"/>
            </w:pPr>
            <w:r w:rsidRPr="008036B7">
              <w:t>Final decision</w:t>
            </w:r>
          </w:p>
          <w:p w14:paraId="10C26A87" w14:textId="2E811F8C" w:rsidR="00FA7158" w:rsidRDefault="006B652C" w:rsidP="00FA7158">
            <w:r>
              <w:t xml:space="preserve">Pursuant to regulation 42ZCZR of the Regulations, a Delegate of the Secretary has made a final decision to </w:t>
            </w:r>
            <w:r w:rsidR="00FA7158">
              <w:t>affirm</w:t>
            </w:r>
            <w:r>
              <w:t xml:space="preserve"> </w:t>
            </w:r>
            <w:r w:rsidRPr="005203C8">
              <w:t>the interim decision</w:t>
            </w:r>
            <w:r>
              <w:t xml:space="preserve"> and </w:t>
            </w:r>
            <w:r w:rsidR="00FA7158">
              <w:t xml:space="preserve">amend the current Poisons Standard in relation to </w:t>
            </w:r>
            <w:r w:rsidR="004C2C13">
              <w:t>lidocaine as follows:</w:t>
            </w:r>
          </w:p>
          <w:p w14:paraId="0D7D6D60" w14:textId="7735F934" w:rsidR="00FA7158" w:rsidRPr="00DB68F3" w:rsidRDefault="004C2C13" w:rsidP="00FA7158">
            <w:pPr>
              <w:ind w:left="426"/>
              <w:rPr>
                <w:b/>
              </w:rPr>
            </w:pPr>
            <w:r>
              <w:rPr>
                <w:b/>
              </w:rPr>
              <w:t>Schedule 2 – Amend Entry</w:t>
            </w:r>
          </w:p>
          <w:p w14:paraId="1FD9B56C" w14:textId="77777777" w:rsidR="00FA7158" w:rsidRPr="00DB68F3" w:rsidRDefault="00FA7158" w:rsidP="00FA7158">
            <w:pPr>
              <w:ind w:left="426"/>
            </w:pPr>
            <w:r w:rsidRPr="00DB68F3">
              <w:t xml:space="preserve">LIDOCAINE in preparations for topical use other than eye drops: </w:t>
            </w:r>
          </w:p>
          <w:p w14:paraId="7E11B6E3" w14:textId="77777777" w:rsidR="00FA7158" w:rsidRPr="007168E4" w:rsidRDefault="00FA7158" w:rsidP="00532C96">
            <w:pPr>
              <w:pStyle w:val="Numberbullet2"/>
              <w:numPr>
                <w:ilvl w:val="0"/>
                <w:numId w:val="19"/>
              </w:numPr>
              <w:ind w:left="877" w:hanging="426"/>
            </w:pPr>
            <w:r w:rsidRPr="004C2C13">
              <w:t xml:space="preserve">containing 10 per cent or less of total local anaesthetic substances, </w:t>
            </w:r>
            <w:r w:rsidRPr="00532C96">
              <w:rPr>
                <w:b/>
              </w:rPr>
              <w:t>except</w:t>
            </w:r>
            <w:r w:rsidRPr="00532C96">
              <w:rPr>
                <w:color w:val="FF0000"/>
              </w:rPr>
              <w:t>:</w:t>
            </w:r>
          </w:p>
          <w:p w14:paraId="08A22DAF" w14:textId="77777777" w:rsidR="00FA7158" w:rsidRPr="00752177" w:rsidRDefault="00FA7158" w:rsidP="008276C7">
            <w:pPr>
              <w:pStyle w:val="Numberbullet3"/>
              <w:numPr>
                <w:ilvl w:val="2"/>
                <w:numId w:val="20"/>
              </w:numPr>
              <w:ind w:left="1276"/>
              <w:rPr>
                <w:color w:val="FF0000"/>
              </w:rPr>
            </w:pPr>
            <w:r w:rsidRPr="00752177">
              <w:t>in dermal preparations containing 2 per cent or less of total local anaesthetic substances;</w:t>
            </w:r>
            <w:r w:rsidRPr="00752177">
              <w:rPr>
                <w:color w:val="FF0000"/>
              </w:rPr>
              <w:t xml:space="preserve"> or</w:t>
            </w:r>
          </w:p>
          <w:p w14:paraId="2303A8D8" w14:textId="3CC0391B" w:rsidR="00FE38DE" w:rsidRPr="00FE38DE" w:rsidRDefault="00FA7158" w:rsidP="00FE38DE">
            <w:pPr>
              <w:pStyle w:val="Numberbullet3"/>
              <w:rPr>
                <w:color w:val="FF0000"/>
              </w:rPr>
            </w:pPr>
            <w:r w:rsidRPr="004C2C13">
              <w:rPr>
                <w:color w:val="FF0000"/>
              </w:rPr>
              <w:t>in aqueous sprays for oromucosal use containing 0.6 per cent or less of total local anaesthetic substances; or</w:t>
            </w:r>
          </w:p>
          <w:p w14:paraId="57C391CE" w14:textId="77777777" w:rsidR="00FA7158" w:rsidRPr="004C2C13" w:rsidRDefault="00FA7158" w:rsidP="00C10DFA">
            <w:pPr>
              <w:pStyle w:val="Numberbullet2"/>
              <w:ind w:left="877" w:hanging="426"/>
              <w:rPr>
                <w:sz w:val="24"/>
              </w:rPr>
            </w:pPr>
            <w:r w:rsidRPr="004C2C13">
              <w:t xml:space="preserve">in divided preparations containing 200 mg or less of total local anaesthetic substances, </w:t>
            </w:r>
            <w:r w:rsidRPr="004C2C13">
              <w:rPr>
                <w:b/>
              </w:rPr>
              <w:t>except</w:t>
            </w:r>
            <w:r w:rsidRPr="004C2C13">
              <w:t xml:space="preserve"> in lozenges containing 30 mg or less of total local anaesthetic substances per dosage unit.</w:t>
            </w:r>
          </w:p>
          <w:p w14:paraId="1C193E7D" w14:textId="09CE2E82" w:rsidR="006B652C" w:rsidRDefault="006B652C" w:rsidP="00190515">
            <w:pPr>
              <w:pStyle w:val="Heading4"/>
            </w:pPr>
            <w:r>
              <w:t>Reasons for the f</w:t>
            </w:r>
            <w:r w:rsidR="006F3902">
              <w:t>inal decision</w:t>
            </w:r>
            <w:r w:rsidR="003B768D">
              <w:t xml:space="preserve"> (including findings on material questions of fact)</w:t>
            </w:r>
          </w:p>
          <w:p w14:paraId="0F7EFDA8" w14:textId="0774E935" w:rsidR="006B652C" w:rsidRPr="006F3902" w:rsidRDefault="00FA7158" w:rsidP="004C2C13">
            <w:r>
              <w:t>I</w:t>
            </w:r>
            <w:r w:rsidR="00723681">
              <w:t xml:space="preserve"> confirm the reasons for my final decision to amend the Poisons Standard in relation to the Schedule 2 entry for lidocaine are as detailed in my </w:t>
            </w:r>
            <w:hyperlink r:id="rId34" w:history="1">
              <w:r w:rsidRPr="00DB68F3">
                <w:rPr>
                  <w:rStyle w:val="Hyperlink"/>
                </w:rPr>
                <w:t>interim decision</w:t>
              </w:r>
            </w:hyperlink>
            <w:r w:rsidR="00723681">
              <w:rPr>
                <w:rStyle w:val="Hyperlink"/>
                <w:color w:val="auto"/>
                <w:u w:val="none"/>
              </w:rPr>
              <w:t>. In making my final decision, I have taken into account the material detailed in the interim decision and have</w:t>
            </w:r>
            <w:r w:rsidRPr="00F46D3F">
              <w:t xml:space="preserve"> note</w:t>
            </w:r>
            <w:r w:rsidR="00723681">
              <w:t>d</w:t>
            </w:r>
            <w:r w:rsidRPr="00F46D3F">
              <w:t xml:space="preserve"> that no public submissions were received before the</w:t>
            </w:r>
            <w:r w:rsidRPr="00156981">
              <w:t xml:space="preserve"> </w:t>
            </w:r>
            <w:hyperlink r:id="rId35" w:history="1">
              <w:r w:rsidRPr="00156981">
                <w:rPr>
                  <w:rStyle w:val="Hyperlink"/>
                </w:rPr>
                <w:t>second closing date</w:t>
              </w:r>
            </w:hyperlink>
            <w:r w:rsidRPr="00F46D3F">
              <w:t xml:space="preserve"> in response to the call for further submissions published on 6 February 2020 under regulation </w:t>
            </w:r>
            <w:r w:rsidRPr="00F17F63">
              <w:t>42ZCZP</w:t>
            </w:r>
            <w:r w:rsidRPr="00F46D3F">
              <w:t xml:space="preserve"> of the Regulations.</w:t>
            </w:r>
          </w:p>
          <w:p w14:paraId="15D5CB02" w14:textId="77777777" w:rsidR="006B652C" w:rsidRDefault="006B652C" w:rsidP="00190515">
            <w:pPr>
              <w:pStyle w:val="Heading4"/>
            </w:pPr>
            <w:r>
              <w:t>Summary of p</w:t>
            </w:r>
            <w:r w:rsidRPr="001A1B0E">
              <w:t>ublic submissions on the interim decision</w:t>
            </w:r>
          </w:p>
          <w:p w14:paraId="45D9CF50" w14:textId="453D6F16" w:rsidR="006B652C" w:rsidRPr="006F3902" w:rsidRDefault="006F3902" w:rsidP="004C2C13">
            <w:pPr>
              <w:rPr>
                <w:highlight w:val="yellow"/>
              </w:rPr>
            </w:pPr>
            <w:r w:rsidRPr="00B34F59">
              <w:t>No public submissions were received in res</w:t>
            </w:r>
            <w:r w:rsidR="004C2C13">
              <w:t>ponse to the interim decision.</w:t>
            </w:r>
          </w:p>
          <w:p w14:paraId="4FF303C2" w14:textId="77777777" w:rsidR="006B652C" w:rsidRDefault="006B652C" w:rsidP="00190515">
            <w:pPr>
              <w:pStyle w:val="Heading4"/>
            </w:pPr>
            <w:r>
              <w:t>D</w:t>
            </w:r>
            <w:r w:rsidRPr="002E13B1">
              <w:t xml:space="preserve">ate of effect of the </w:t>
            </w:r>
            <w:r>
              <w:t>decision</w:t>
            </w:r>
          </w:p>
          <w:p w14:paraId="38E3FF32" w14:textId="74E4E990" w:rsidR="006B652C" w:rsidRPr="004C2C13" w:rsidRDefault="00862E66" w:rsidP="004C2C13">
            <w:pPr>
              <w:rPr>
                <w:b/>
              </w:rPr>
            </w:pPr>
            <w:r w:rsidRPr="004C2C13">
              <w:rPr>
                <w:b/>
              </w:rPr>
              <w:t xml:space="preserve">1 </w:t>
            </w:r>
            <w:r w:rsidR="00B003ED" w:rsidRPr="004C2C13">
              <w:rPr>
                <w:b/>
              </w:rPr>
              <w:t>June 2020</w:t>
            </w:r>
          </w:p>
        </w:tc>
      </w:tr>
    </w:tbl>
    <w:p w14:paraId="5A1986DA" w14:textId="4154BFEC" w:rsidR="000E79FA" w:rsidRPr="00FC2FAC" w:rsidRDefault="000E79FA" w:rsidP="000C36C3">
      <w:pPr>
        <w:pStyle w:val="Heading2"/>
        <w:pageBreakBefore/>
        <w:ind w:left="357" w:hanging="357"/>
      </w:pPr>
      <w:bookmarkStart w:id="15" w:name="_Toc39587411"/>
      <w:r w:rsidRPr="002A1676">
        <w:lastRenderedPageBreak/>
        <w:t>Final decisions made pursuant to</w:t>
      </w:r>
      <w:r w:rsidR="004C2C13">
        <w:t xml:space="preserve"> regulation 42ZCZR</w:t>
      </w:r>
      <w:r>
        <w:t xml:space="preserve"> – proposals referred to the November 2019 Joint Advisory Committee on Medicines and Chemi</w:t>
      </w:r>
      <w:r w:rsidR="00823D31">
        <w:t>cals Scheduling (ACCS-ACMS #23)</w:t>
      </w:r>
      <w:bookmarkEnd w:id="15"/>
    </w:p>
    <w:p w14:paraId="4E400D26" w14:textId="3BCB3EDA" w:rsidR="00CE49CB" w:rsidRPr="00EE463E" w:rsidRDefault="00CE49CB" w:rsidP="00E325D5">
      <w:pPr>
        <w:pStyle w:val="Heading3"/>
      </w:pPr>
      <w:bookmarkStart w:id="16" w:name="_Toc39587412"/>
      <w:r>
        <w:t>Final</w:t>
      </w:r>
      <w:r w:rsidRPr="00EE463E">
        <w:t xml:space="preserve"> decision in relation to </w:t>
      </w:r>
      <w:sdt>
        <w:sdtPr>
          <w:id w:val="955844981"/>
          <w:placeholder>
            <w:docPart w:val="534B4F07D5A04C669ABACBAF6ABF9F7E"/>
          </w:placeholder>
        </w:sdtPr>
        <w:sdtEndPr/>
        <w:sdtContent>
          <w:r w:rsidR="00743241">
            <w:t>Caffeine</w:t>
          </w:r>
        </w:sdtContent>
      </w:sdt>
      <w:bookmarkEnd w:id="16"/>
    </w:p>
    <w:tbl>
      <w:tblPr>
        <w:tblStyle w:val="TableGrid"/>
        <w:tblW w:w="0" w:type="auto"/>
        <w:tblLook w:val="04A0" w:firstRow="1" w:lastRow="0" w:firstColumn="1" w:lastColumn="0" w:noHBand="0" w:noVBand="1"/>
      </w:tblPr>
      <w:tblGrid>
        <w:gridCol w:w="9628"/>
      </w:tblGrid>
      <w:tr w:rsidR="00CE49CB" w14:paraId="2F84E042" w14:textId="77777777" w:rsidTr="004474D5">
        <w:tc>
          <w:tcPr>
            <w:tcW w:w="9854" w:type="dxa"/>
          </w:tcPr>
          <w:p w14:paraId="0A455728" w14:textId="77777777" w:rsidR="00CE49CB" w:rsidRPr="008036B7" w:rsidRDefault="00CE49CB" w:rsidP="00A00DB2">
            <w:pPr>
              <w:pStyle w:val="Heading4"/>
              <w:keepNext w:val="0"/>
              <w:keepLines w:val="0"/>
              <w:widowControl w:val="0"/>
            </w:pPr>
            <w:r w:rsidRPr="008036B7">
              <w:t>Final decision</w:t>
            </w:r>
          </w:p>
          <w:p w14:paraId="212D3FAC" w14:textId="0EAEFF65" w:rsidR="00CE49CB" w:rsidRDefault="00CE49CB" w:rsidP="00823D31">
            <w:r>
              <w:t xml:space="preserve">Pursuant to regulation 42ZCZR of the Regulations, a Delegate of the Secretary has made a final decision to </w:t>
            </w:r>
            <w:r w:rsidR="00B666D2">
              <w:t>af</w:t>
            </w:r>
            <w:r w:rsidR="0099670E">
              <w:t>f</w:t>
            </w:r>
            <w:r w:rsidR="00B666D2">
              <w:t>irm</w:t>
            </w:r>
            <w:r>
              <w:t xml:space="preserve"> </w:t>
            </w:r>
            <w:r w:rsidRPr="005203C8">
              <w:t>the interim decision</w:t>
            </w:r>
            <w:r>
              <w:t xml:space="preserve"> and </w:t>
            </w:r>
            <w:r w:rsidR="00B666D2">
              <w:t>amend the current Poisons Standard in r</w:t>
            </w:r>
            <w:r w:rsidR="00823D31">
              <w:t>elation to caffeine as follows:</w:t>
            </w:r>
          </w:p>
          <w:p w14:paraId="3F906DB9" w14:textId="77777777" w:rsidR="00E22FDD" w:rsidRPr="006A44F0" w:rsidRDefault="00E22FDD" w:rsidP="00E22FDD">
            <w:pPr>
              <w:ind w:left="426"/>
              <w:rPr>
                <w:rFonts w:ascii="Calibri" w:hAnsi="Calibri"/>
                <w:szCs w:val="22"/>
              </w:rPr>
            </w:pPr>
            <w:r w:rsidRPr="006A44F0">
              <w:rPr>
                <w:b/>
                <w:bCs/>
                <w:szCs w:val="22"/>
              </w:rPr>
              <w:t>Schedule 6 – New Entry</w:t>
            </w:r>
          </w:p>
          <w:p w14:paraId="22CE3A6F" w14:textId="77777777" w:rsidR="00E22FDD" w:rsidRPr="006A44F0" w:rsidRDefault="00E22FDD" w:rsidP="00E22FDD">
            <w:pPr>
              <w:ind w:left="426"/>
              <w:rPr>
                <w:szCs w:val="22"/>
              </w:rPr>
            </w:pPr>
            <w:r w:rsidRPr="006A44F0">
              <w:rPr>
                <w:color w:val="FF0000"/>
                <w:szCs w:val="22"/>
              </w:rPr>
              <w:t xml:space="preserve">CAFFEINE </w:t>
            </w:r>
            <w:r w:rsidRPr="006A44F0">
              <w:rPr>
                <w:b/>
                <w:bCs/>
                <w:color w:val="FF0000"/>
                <w:szCs w:val="22"/>
              </w:rPr>
              <w:t>except</w:t>
            </w:r>
            <w:r w:rsidRPr="006A44F0">
              <w:rPr>
                <w:color w:val="FF0000"/>
                <w:szCs w:val="22"/>
              </w:rPr>
              <w:t>:</w:t>
            </w:r>
          </w:p>
          <w:p w14:paraId="5CA48133" w14:textId="77777777" w:rsidR="00E22FDD" w:rsidRPr="004C2708" w:rsidRDefault="00E22FDD" w:rsidP="002353B0">
            <w:pPr>
              <w:pStyle w:val="Numberbullet2red"/>
            </w:pPr>
            <w:r w:rsidRPr="004C2708">
              <w:t>when included in Schedule 4; or</w:t>
            </w:r>
          </w:p>
          <w:p w14:paraId="2DFD694E" w14:textId="77777777" w:rsidR="00E22FDD" w:rsidRPr="004C2708" w:rsidRDefault="00E22FDD" w:rsidP="002353B0">
            <w:pPr>
              <w:pStyle w:val="Numberbullet2red"/>
            </w:pPr>
            <w:r w:rsidRPr="004C2708">
              <w:t>in divided preparations for internal human therapeutic use when labelled with a maximum recommended daily dose of no greater than 600 milligrams of total caffeine; or</w:t>
            </w:r>
          </w:p>
          <w:p w14:paraId="6DBD9EC3" w14:textId="77777777" w:rsidR="00E22FDD" w:rsidRPr="004C2708" w:rsidRDefault="00E22FDD" w:rsidP="002353B0">
            <w:pPr>
              <w:pStyle w:val="Numberbullet2red"/>
            </w:pPr>
            <w:r w:rsidRPr="004C2708">
              <w:t>in undivided preparations for internal human therapeutic use with a concentration of less than 5 per cent of total caffeine and when labelled with a maximum recommended daily dose of no greater than 600 milligrams of total caffeine; or</w:t>
            </w:r>
          </w:p>
          <w:p w14:paraId="1E809F58" w14:textId="77777777" w:rsidR="00E22FDD" w:rsidRPr="004C2708" w:rsidRDefault="00E22FDD" w:rsidP="002353B0">
            <w:pPr>
              <w:pStyle w:val="Numberbullet2red"/>
            </w:pPr>
            <w:r w:rsidRPr="004C2708">
              <w:t>in preparations for external use; or</w:t>
            </w:r>
          </w:p>
          <w:p w14:paraId="476DBA3A" w14:textId="77777777" w:rsidR="00E22FDD" w:rsidRPr="004C2708" w:rsidRDefault="00E22FDD" w:rsidP="002353B0">
            <w:pPr>
              <w:pStyle w:val="Numberbullet2red"/>
            </w:pPr>
            <w:r w:rsidRPr="004C2708">
              <w:t>in other preparations with a concentration of less than 5 per cent of caffeine.</w:t>
            </w:r>
          </w:p>
          <w:p w14:paraId="578E12F1" w14:textId="77777777" w:rsidR="00E22FDD" w:rsidRPr="006A44F0" w:rsidRDefault="00E22FDD" w:rsidP="00E22FDD">
            <w:pPr>
              <w:ind w:left="426"/>
              <w:rPr>
                <w:szCs w:val="22"/>
              </w:rPr>
            </w:pPr>
            <w:r w:rsidRPr="006A44F0">
              <w:rPr>
                <w:b/>
                <w:bCs/>
                <w:szCs w:val="22"/>
              </w:rPr>
              <w:t>Schedule 4 – New Entry</w:t>
            </w:r>
          </w:p>
          <w:p w14:paraId="00799985" w14:textId="77777777" w:rsidR="00E22FDD" w:rsidRPr="006A44F0" w:rsidRDefault="00E22FDD" w:rsidP="00E22FDD">
            <w:pPr>
              <w:ind w:left="426"/>
              <w:rPr>
                <w:szCs w:val="22"/>
              </w:rPr>
            </w:pPr>
            <w:r w:rsidRPr="006A44F0">
              <w:rPr>
                <w:color w:val="FF0000"/>
                <w:szCs w:val="22"/>
              </w:rPr>
              <w:t xml:space="preserve">CAFFEINE for internal human therapeutic use </w:t>
            </w:r>
            <w:r w:rsidRPr="006A44F0">
              <w:rPr>
                <w:b/>
                <w:bCs/>
                <w:color w:val="FF0000"/>
                <w:szCs w:val="22"/>
              </w:rPr>
              <w:t>except</w:t>
            </w:r>
            <w:r w:rsidRPr="006A44F0">
              <w:rPr>
                <w:color w:val="FF0000"/>
                <w:szCs w:val="22"/>
              </w:rPr>
              <w:t>:</w:t>
            </w:r>
          </w:p>
          <w:p w14:paraId="5403415B" w14:textId="77777777" w:rsidR="00E22FDD" w:rsidRPr="004C2708" w:rsidRDefault="00E22FDD" w:rsidP="002353B0">
            <w:pPr>
              <w:pStyle w:val="Numberbullet2red"/>
              <w:numPr>
                <w:ilvl w:val="0"/>
                <w:numId w:val="37"/>
              </w:numPr>
              <w:ind w:left="877" w:hanging="426"/>
            </w:pPr>
            <w:r w:rsidRPr="004C2708">
              <w:t>in divided preparations when labelled with a maximum recommended daily dose of no greater than 600 milligrams of total caffeine; or</w:t>
            </w:r>
          </w:p>
          <w:p w14:paraId="1BEF2930" w14:textId="77777777" w:rsidR="00E22FDD" w:rsidRPr="004C2708" w:rsidRDefault="00E22FDD" w:rsidP="002353B0">
            <w:pPr>
              <w:pStyle w:val="Numberbullet2red"/>
            </w:pPr>
            <w:r w:rsidRPr="004C2708">
              <w:t>in undivided preparations with a concentration of less than 5 per cent of caffeine and when labelled with a maximum recommended daily dose of no greater than 600 milligrams of total caffeine.</w:t>
            </w:r>
          </w:p>
          <w:p w14:paraId="410BCF4F" w14:textId="77777777" w:rsidR="00E22FDD" w:rsidRPr="006A44F0" w:rsidRDefault="00E22FDD" w:rsidP="00E22FDD">
            <w:pPr>
              <w:ind w:left="426"/>
              <w:rPr>
                <w:szCs w:val="22"/>
              </w:rPr>
            </w:pPr>
            <w:r w:rsidRPr="006A44F0">
              <w:rPr>
                <w:b/>
                <w:bCs/>
                <w:szCs w:val="22"/>
              </w:rPr>
              <w:t>Index – New Entry</w:t>
            </w:r>
          </w:p>
          <w:p w14:paraId="7D1CDE5D" w14:textId="56FA39E9" w:rsidR="00E22FDD" w:rsidRPr="006A44F0" w:rsidRDefault="00823D31" w:rsidP="00E22FDD">
            <w:pPr>
              <w:ind w:left="426"/>
              <w:rPr>
                <w:szCs w:val="22"/>
              </w:rPr>
            </w:pPr>
            <w:r>
              <w:rPr>
                <w:b/>
                <w:bCs/>
                <w:color w:val="FF0000"/>
                <w:szCs w:val="22"/>
              </w:rPr>
              <w:t>CAFFEINE</w:t>
            </w:r>
            <w:r w:rsidR="00E22FDD" w:rsidRPr="006A44F0">
              <w:rPr>
                <w:b/>
                <w:bCs/>
                <w:color w:val="FF0000"/>
                <w:szCs w:val="22"/>
              </w:rPr>
              <w:br/>
            </w:r>
            <w:r w:rsidR="00E22FDD" w:rsidRPr="006A44F0">
              <w:rPr>
                <w:color w:val="FF0000"/>
                <w:szCs w:val="22"/>
              </w:rPr>
              <w:t>cross reference: PARACETAMOL, ASPIRIN, SALICYLAMIDE</w:t>
            </w:r>
          </w:p>
          <w:p w14:paraId="578B9FBA" w14:textId="77777777" w:rsidR="00E22FDD" w:rsidRPr="006A44F0" w:rsidRDefault="00E22FDD" w:rsidP="00E22FDD">
            <w:pPr>
              <w:ind w:left="426"/>
              <w:rPr>
                <w:szCs w:val="22"/>
              </w:rPr>
            </w:pPr>
            <w:r w:rsidRPr="006A44F0">
              <w:rPr>
                <w:color w:val="FF0000"/>
                <w:szCs w:val="22"/>
              </w:rPr>
              <w:t>Schedule 6</w:t>
            </w:r>
            <w:r w:rsidRPr="006A44F0">
              <w:rPr>
                <w:color w:val="FF0000"/>
                <w:szCs w:val="22"/>
              </w:rPr>
              <w:br/>
              <w:t>Schedule 4</w:t>
            </w:r>
          </w:p>
          <w:p w14:paraId="5FF06E6B" w14:textId="76BB4F20" w:rsidR="00CE49CB" w:rsidRDefault="00CE49CB" w:rsidP="00190515">
            <w:pPr>
              <w:pStyle w:val="Heading4"/>
            </w:pPr>
            <w:r>
              <w:t xml:space="preserve">Reasons for the final decision </w:t>
            </w:r>
            <w:r w:rsidR="003B768D">
              <w:t>(including findings on material questions of fact)</w:t>
            </w:r>
          </w:p>
          <w:p w14:paraId="6A4DADA3" w14:textId="5CC2292D" w:rsidR="00221945" w:rsidRDefault="00221945" w:rsidP="000C36C3">
            <w:pPr>
              <w:spacing w:after="800"/>
              <w:rPr>
                <w:rFonts w:asciiTheme="minorHAnsi" w:hAnsiTheme="minorHAnsi"/>
                <w:szCs w:val="22"/>
              </w:rPr>
            </w:pPr>
            <w:r w:rsidRPr="00731F40">
              <w:rPr>
                <w:rFonts w:asciiTheme="minorHAnsi" w:hAnsiTheme="minorHAnsi"/>
                <w:szCs w:val="22"/>
              </w:rPr>
              <w:t xml:space="preserve">I </w:t>
            </w:r>
            <w:r w:rsidR="00C81637">
              <w:rPr>
                <w:rFonts w:asciiTheme="minorHAnsi" w:hAnsiTheme="minorHAnsi"/>
                <w:szCs w:val="22"/>
              </w:rPr>
              <w:t xml:space="preserve">confirm the reasons for my final decision </w:t>
            </w:r>
            <w:r w:rsidR="00C81637" w:rsidRPr="00731F40">
              <w:rPr>
                <w:rFonts w:asciiTheme="minorHAnsi" w:hAnsiTheme="minorHAnsi"/>
                <w:szCs w:val="22"/>
              </w:rPr>
              <w:t>to</w:t>
            </w:r>
            <w:r w:rsidR="00C81637" w:rsidRPr="00545A44">
              <w:rPr>
                <w:rFonts w:asciiTheme="minorHAnsi" w:hAnsiTheme="minorHAnsi"/>
                <w:szCs w:val="22"/>
              </w:rPr>
              <w:t xml:space="preserve"> </w:t>
            </w:r>
            <w:r w:rsidR="00C81637">
              <w:rPr>
                <w:rFonts w:asciiTheme="minorHAnsi" w:hAnsiTheme="minorHAnsi"/>
                <w:szCs w:val="22"/>
              </w:rPr>
              <w:t>create new</w:t>
            </w:r>
            <w:r w:rsidR="00C81637" w:rsidRPr="00545A44">
              <w:rPr>
                <w:rFonts w:asciiTheme="minorHAnsi" w:hAnsiTheme="minorHAnsi"/>
                <w:szCs w:val="22"/>
              </w:rPr>
              <w:t xml:space="preserve"> Schedule 4 and Schedule 6 </w:t>
            </w:r>
            <w:r w:rsidR="00C81637">
              <w:rPr>
                <w:rFonts w:asciiTheme="minorHAnsi" w:hAnsiTheme="minorHAnsi"/>
                <w:szCs w:val="22"/>
              </w:rPr>
              <w:t xml:space="preserve">entries for caffeine are as detailed in my </w:t>
            </w:r>
            <w:hyperlink r:id="rId36" w:history="1">
              <w:r w:rsidR="00C81637" w:rsidRPr="00156981">
                <w:rPr>
                  <w:rStyle w:val="Hyperlink"/>
                </w:rPr>
                <w:t>interim decision</w:t>
              </w:r>
            </w:hyperlink>
            <w:r w:rsidR="00C81637">
              <w:rPr>
                <w:rStyle w:val="Hyperlink"/>
                <w:color w:val="auto"/>
                <w:u w:val="none"/>
              </w:rPr>
              <w:t xml:space="preserve">. </w:t>
            </w:r>
            <w:r w:rsidRPr="00731F40">
              <w:rPr>
                <w:rFonts w:asciiTheme="minorHAnsi" w:hAnsiTheme="minorHAnsi"/>
                <w:szCs w:val="22"/>
              </w:rPr>
              <w:t xml:space="preserve">In making my final decision, I </w:t>
            </w:r>
            <w:r>
              <w:rPr>
                <w:rFonts w:asciiTheme="minorHAnsi" w:hAnsiTheme="minorHAnsi"/>
                <w:szCs w:val="22"/>
              </w:rPr>
              <w:t xml:space="preserve">have </w:t>
            </w:r>
            <w:r w:rsidR="00C81637">
              <w:rPr>
                <w:rFonts w:asciiTheme="minorHAnsi" w:hAnsiTheme="minorHAnsi"/>
                <w:szCs w:val="22"/>
              </w:rPr>
              <w:t xml:space="preserve">taken into account the material detailed in the interim decision and the </w:t>
            </w:r>
            <w:r>
              <w:rPr>
                <w:rFonts w:asciiTheme="minorHAnsi" w:hAnsiTheme="minorHAnsi"/>
                <w:szCs w:val="22"/>
              </w:rPr>
              <w:t xml:space="preserve">submission </w:t>
            </w:r>
            <w:r w:rsidRPr="00731F40">
              <w:rPr>
                <w:rFonts w:asciiTheme="minorHAnsi" w:hAnsiTheme="minorHAnsi"/>
                <w:szCs w:val="22"/>
              </w:rPr>
              <w:t xml:space="preserve">received before the </w:t>
            </w:r>
            <w:hyperlink r:id="rId37" w:history="1">
              <w:r w:rsidRPr="00156981">
                <w:rPr>
                  <w:rStyle w:val="Hyperlink"/>
                </w:rPr>
                <w:t xml:space="preserve">second closing date </w:t>
              </w:r>
            </w:hyperlink>
            <w:r w:rsidRPr="00731F40">
              <w:rPr>
                <w:rFonts w:asciiTheme="minorHAnsi" w:hAnsiTheme="minorHAnsi"/>
                <w:szCs w:val="22"/>
              </w:rPr>
              <w:t>in response to the call for further submissions published on 6 February 2020 under regulation 42ZCZP of the Regulations.</w:t>
            </w:r>
            <w:r w:rsidR="00C81637">
              <w:rPr>
                <w:rFonts w:asciiTheme="minorHAnsi" w:hAnsiTheme="minorHAnsi"/>
                <w:szCs w:val="22"/>
              </w:rPr>
              <w:t xml:space="preserve"> T</w:t>
            </w:r>
            <w:r>
              <w:rPr>
                <w:rFonts w:asciiTheme="minorHAnsi" w:hAnsiTheme="minorHAnsi"/>
                <w:szCs w:val="22"/>
              </w:rPr>
              <w:t>he public submission</w:t>
            </w:r>
            <w:r w:rsidR="00C81637">
              <w:rPr>
                <w:rFonts w:asciiTheme="minorHAnsi" w:hAnsiTheme="minorHAnsi"/>
                <w:szCs w:val="22"/>
              </w:rPr>
              <w:t>, however,</w:t>
            </w:r>
            <w:r>
              <w:rPr>
                <w:rFonts w:asciiTheme="minorHAnsi" w:hAnsiTheme="minorHAnsi"/>
                <w:szCs w:val="22"/>
              </w:rPr>
              <w:t xml:space="preserve"> has not been material to my decision. While supportive, the views expressed were not relevant as they related to matters outside the scope of scheduling.</w:t>
            </w:r>
          </w:p>
          <w:p w14:paraId="25CF888C" w14:textId="77777777" w:rsidR="00CE49CB" w:rsidRDefault="00CE49CB" w:rsidP="00190515">
            <w:pPr>
              <w:pStyle w:val="Heading4"/>
            </w:pPr>
            <w:r>
              <w:lastRenderedPageBreak/>
              <w:t>Summary of p</w:t>
            </w:r>
            <w:r w:rsidRPr="001A1B0E">
              <w:t>ublic submissions on the interim decision</w:t>
            </w:r>
          </w:p>
          <w:p w14:paraId="71BF1FD9" w14:textId="4C19AE6B" w:rsidR="0066636B" w:rsidRDefault="0066636B" w:rsidP="003A6C91">
            <w:r>
              <w:t>One public submission supporting</w:t>
            </w:r>
            <w:r w:rsidRPr="0066636B">
              <w:t xml:space="preserve"> were received in response </w:t>
            </w:r>
            <w:r w:rsidR="00823D31">
              <w:t>to the second interim decision.</w:t>
            </w:r>
          </w:p>
          <w:p w14:paraId="221EFDBE" w14:textId="21CD06CD" w:rsidR="003B768D" w:rsidRPr="00823D31" w:rsidRDefault="003B768D" w:rsidP="00124A3C">
            <w:r w:rsidRPr="00823D31">
              <w:t>The main points in support with amendments of the proposed amendment were:</w:t>
            </w:r>
          </w:p>
          <w:p w14:paraId="4F2BC1C6" w14:textId="77777777" w:rsidR="00D8030E" w:rsidRDefault="00D8030E" w:rsidP="00823D31">
            <w:pPr>
              <w:pStyle w:val="ListBullet"/>
            </w:pPr>
            <w:r>
              <w:t>The submission supported the schedule 4 entries in the Delegate’s interim decision.</w:t>
            </w:r>
          </w:p>
          <w:p w14:paraId="5CB5A850" w14:textId="4C35B06E" w:rsidR="00D8030E" w:rsidRDefault="00D8030E" w:rsidP="00823D31">
            <w:pPr>
              <w:pStyle w:val="ListBullet"/>
            </w:pPr>
            <w:r>
              <w:t>The submission proposes increasing the current 1% limit in the listing for caffeine in the Permissible Ingredient Determination to align with the 5% limit set for food by FSANZ.</w:t>
            </w:r>
          </w:p>
          <w:p w14:paraId="5B1B3282" w14:textId="77777777" w:rsidR="00CE49CB" w:rsidRDefault="00CE49CB" w:rsidP="00190515">
            <w:pPr>
              <w:pStyle w:val="Heading4"/>
            </w:pPr>
            <w:r>
              <w:t>D</w:t>
            </w:r>
            <w:r w:rsidRPr="002E13B1">
              <w:t xml:space="preserve">ate of effect of the </w:t>
            </w:r>
            <w:r>
              <w:t>decision</w:t>
            </w:r>
          </w:p>
          <w:p w14:paraId="3D6D91F3" w14:textId="486BECB0" w:rsidR="00CE49CB" w:rsidRPr="00823D31" w:rsidRDefault="00423457" w:rsidP="00221945">
            <w:sdt>
              <w:sdtPr>
                <w:rPr>
                  <w:b/>
                </w:rPr>
                <w:id w:val="104548226"/>
                <w:placeholder>
                  <w:docPart w:val="6CB29CE9DFC94F7683ABE206B14C00F3"/>
                </w:placeholder>
                <w:date w:fullDate="2020-06-01T00:00:00Z">
                  <w:dateFormat w:val="d MMMM yyyy"/>
                  <w:lid w:val="en-AU"/>
                  <w:storeMappedDataAs w:val="dateTime"/>
                  <w:calendar w:val="gregorian"/>
                </w:date>
              </w:sdtPr>
              <w:sdtEndPr/>
              <w:sdtContent>
                <w:r w:rsidR="000A506F" w:rsidRPr="00221945">
                  <w:rPr>
                    <w:b/>
                  </w:rPr>
                  <w:t>1 June 2020</w:t>
                </w:r>
              </w:sdtContent>
            </w:sdt>
          </w:p>
        </w:tc>
      </w:tr>
    </w:tbl>
    <w:p w14:paraId="13BC518B" w14:textId="1E66555C" w:rsidR="00CE49CB" w:rsidRPr="00EE463E" w:rsidRDefault="00CE49CB" w:rsidP="000C36C3">
      <w:pPr>
        <w:pStyle w:val="Heading3"/>
        <w:pageBreakBefore/>
      </w:pPr>
      <w:bookmarkStart w:id="17" w:name="_Toc39587413"/>
      <w:r>
        <w:lastRenderedPageBreak/>
        <w:t>Final</w:t>
      </w:r>
      <w:r w:rsidRPr="00EE463E">
        <w:t xml:space="preserve"> decision in relation to </w:t>
      </w:r>
      <w:sdt>
        <w:sdtPr>
          <w:id w:val="1663513207"/>
          <w:placeholder>
            <w:docPart w:val="BCBD85C1F0474E14BA11762BF782BC25"/>
          </w:placeholder>
        </w:sdtPr>
        <w:sdtEndPr/>
        <w:sdtContent>
          <w:r w:rsidR="00743241" w:rsidRPr="00743241">
            <w:t>N</w:t>
          </w:r>
          <w:r w:rsidR="00743241">
            <w:t>-methyl-2-pyrrolidone (NMP)</w:t>
          </w:r>
        </w:sdtContent>
      </w:sdt>
      <w:bookmarkEnd w:id="17"/>
    </w:p>
    <w:tbl>
      <w:tblPr>
        <w:tblStyle w:val="TableGrid"/>
        <w:tblW w:w="0" w:type="auto"/>
        <w:tblLook w:val="04A0" w:firstRow="1" w:lastRow="0" w:firstColumn="1" w:lastColumn="0" w:noHBand="0" w:noVBand="1"/>
      </w:tblPr>
      <w:tblGrid>
        <w:gridCol w:w="9628"/>
      </w:tblGrid>
      <w:tr w:rsidR="00CE49CB" w14:paraId="6C0B7496" w14:textId="77777777" w:rsidTr="004474D5">
        <w:tc>
          <w:tcPr>
            <w:tcW w:w="9854" w:type="dxa"/>
          </w:tcPr>
          <w:p w14:paraId="3A9103F5" w14:textId="77777777" w:rsidR="00CE49CB" w:rsidRPr="008036B7" w:rsidRDefault="00CE49CB" w:rsidP="00190515">
            <w:pPr>
              <w:pStyle w:val="Heading4"/>
            </w:pPr>
            <w:r w:rsidRPr="008036B7">
              <w:t>Final decision</w:t>
            </w:r>
          </w:p>
          <w:p w14:paraId="6851AC43" w14:textId="7AC8F440" w:rsidR="00CE49CB" w:rsidRDefault="00CE49CB" w:rsidP="00823D31">
            <w:r>
              <w:t xml:space="preserve">Pursuant to regulation 42ZCZR of the Regulations, a Delegate of the Secretary has made a final decision to </w:t>
            </w:r>
            <w:r w:rsidR="00C81637">
              <w:t>af</w:t>
            </w:r>
            <w:r w:rsidR="00743241">
              <w:t>firm</w:t>
            </w:r>
            <w:r>
              <w:t xml:space="preserve"> </w:t>
            </w:r>
            <w:r w:rsidRPr="005203C8">
              <w:t>the interim decision</w:t>
            </w:r>
            <w:r>
              <w:t xml:space="preserve"> and </w:t>
            </w:r>
            <w:r w:rsidR="00743241">
              <w:t xml:space="preserve">not amend the current Poisons Standard in relation to </w:t>
            </w:r>
            <w:r w:rsidR="00743241" w:rsidRPr="00D8030E">
              <w:rPr>
                <w:i/>
              </w:rPr>
              <w:t>N</w:t>
            </w:r>
            <w:r w:rsidR="00743241">
              <w:t>-methyl-2-pyrrolidone</w:t>
            </w:r>
            <w:r w:rsidR="00C81637">
              <w:t xml:space="preserve"> (NMP)</w:t>
            </w:r>
            <w:r>
              <w:t>.</w:t>
            </w:r>
          </w:p>
          <w:p w14:paraId="204A7383" w14:textId="41D7119D" w:rsidR="00CE49CB" w:rsidRDefault="003B768D" w:rsidP="00190515">
            <w:pPr>
              <w:pStyle w:val="Heading4"/>
            </w:pPr>
            <w:r>
              <w:t>Reasons for the final decision (including findings on material questions of fact)</w:t>
            </w:r>
          </w:p>
          <w:p w14:paraId="295CA680" w14:textId="4DEF314A" w:rsidR="00743241" w:rsidRPr="00F46D3F" w:rsidRDefault="00C81637" w:rsidP="00823D31">
            <w:r>
              <w:t xml:space="preserve">I confirm that the reasons for my final decision not to amend the Poison Standard with respect to NMP are as detailed in my </w:t>
            </w:r>
            <w:hyperlink r:id="rId38" w:history="1">
              <w:r w:rsidRPr="00C81637">
                <w:rPr>
                  <w:rStyle w:val="Hyperlink"/>
                </w:rPr>
                <w:t>second interim decision</w:t>
              </w:r>
            </w:hyperlink>
            <w:r w:rsidR="00094758">
              <w:t>. In making my final decision</w:t>
            </w:r>
            <w:r w:rsidR="00A22952">
              <w:t>.</w:t>
            </w:r>
            <w:r w:rsidR="00094758">
              <w:t xml:space="preserve"> I have taken into account the material detailed in the interim decision and</w:t>
            </w:r>
            <w:r w:rsidR="00743241" w:rsidRPr="00F46D3F">
              <w:t xml:space="preserve"> </w:t>
            </w:r>
            <w:r w:rsidR="002470AD">
              <w:t xml:space="preserve">have </w:t>
            </w:r>
            <w:r w:rsidR="00743241" w:rsidRPr="00F46D3F">
              <w:t>note</w:t>
            </w:r>
            <w:r w:rsidR="002470AD">
              <w:t>d</w:t>
            </w:r>
            <w:r w:rsidR="00743241" w:rsidRPr="00F46D3F">
              <w:t xml:space="preserve"> that no public submissions were received before the</w:t>
            </w:r>
            <w:r w:rsidR="00743241" w:rsidRPr="00156981">
              <w:t xml:space="preserve"> </w:t>
            </w:r>
            <w:hyperlink r:id="rId39" w:history="1">
              <w:r w:rsidR="00743241" w:rsidRPr="00156981">
                <w:rPr>
                  <w:rStyle w:val="Hyperlink"/>
                </w:rPr>
                <w:t>second closing date</w:t>
              </w:r>
            </w:hyperlink>
            <w:r w:rsidR="00743241" w:rsidRPr="00F46D3F">
              <w:t xml:space="preserve"> in response to the call for further submissions published on 6 February 2020 under regulation </w:t>
            </w:r>
            <w:r w:rsidR="00743241" w:rsidRPr="00F17F63">
              <w:t>42ZCZP</w:t>
            </w:r>
            <w:r w:rsidR="00743241" w:rsidRPr="00F46D3F">
              <w:t xml:space="preserve"> of the Regulations.</w:t>
            </w:r>
          </w:p>
          <w:p w14:paraId="6484BEC8" w14:textId="77777777" w:rsidR="00CE49CB" w:rsidRDefault="00CE49CB" w:rsidP="00190515">
            <w:pPr>
              <w:pStyle w:val="Heading4"/>
            </w:pPr>
            <w:r>
              <w:t>Summary of p</w:t>
            </w:r>
            <w:r w:rsidRPr="001A1B0E">
              <w:t>ublic submissions on the interim decision</w:t>
            </w:r>
          </w:p>
          <w:p w14:paraId="4B3D97AD" w14:textId="38EAD413" w:rsidR="0066636B" w:rsidRDefault="00743241" w:rsidP="00823D31">
            <w:r w:rsidRPr="0066636B">
              <w:t xml:space="preserve">No public submissions were received in response </w:t>
            </w:r>
            <w:r w:rsidR="00823D31">
              <w:t>to the second interim decision.</w:t>
            </w:r>
          </w:p>
          <w:p w14:paraId="04986375" w14:textId="024FD225" w:rsidR="00CE49CB" w:rsidRPr="0066636B" w:rsidRDefault="00CE49CB" w:rsidP="00190515">
            <w:pPr>
              <w:pStyle w:val="Heading4"/>
            </w:pPr>
            <w:r w:rsidRPr="0066636B">
              <w:t>Date of effect of the decision</w:t>
            </w:r>
          </w:p>
          <w:p w14:paraId="652C3573" w14:textId="5E84BBEA" w:rsidR="00CE49CB" w:rsidRPr="00823D31" w:rsidRDefault="00423457" w:rsidP="004474D5">
            <w:pPr>
              <w:rPr>
                <w:b/>
              </w:rPr>
            </w:pPr>
            <w:sdt>
              <w:sdtPr>
                <w:rPr>
                  <w:b/>
                </w:rPr>
                <w:id w:val="-1169010069"/>
                <w:placeholder>
                  <w:docPart w:val="D26F8A5D0B1A49A0B5E7B4D7C7A15E2F"/>
                </w:placeholder>
                <w:date w:fullDate="2020-05-07T00:00:00Z">
                  <w:dateFormat w:val="d MMMM yyyy"/>
                  <w:lid w:val="en-AU"/>
                  <w:storeMappedDataAs w:val="dateTime"/>
                  <w:calendar w:val="gregorian"/>
                </w:date>
              </w:sdtPr>
              <w:sdtEndPr/>
              <w:sdtContent>
                <w:r w:rsidR="00221945" w:rsidRPr="00221945">
                  <w:rPr>
                    <w:b/>
                  </w:rPr>
                  <w:t>7 May 2020</w:t>
                </w:r>
              </w:sdtContent>
            </w:sdt>
          </w:p>
        </w:tc>
      </w:tr>
    </w:tbl>
    <w:p w14:paraId="3D5DCFD2" w14:textId="2531A0A7" w:rsidR="000E79FA" w:rsidRPr="000E79FA" w:rsidRDefault="000E79FA" w:rsidP="00B64412">
      <w:pPr>
        <w:pStyle w:val="Heading2"/>
        <w:pageBreakBefore/>
        <w:spacing w:before="0"/>
        <w:ind w:left="357" w:hanging="357"/>
      </w:pPr>
      <w:bookmarkStart w:id="18" w:name="_Toc39587414"/>
      <w:r w:rsidRPr="000E79FA">
        <w:lastRenderedPageBreak/>
        <w:t>Final decisions mad</w:t>
      </w:r>
      <w:r w:rsidR="00823D31">
        <w:t>e pursuant to regulation 42ZCZR</w:t>
      </w:r>
      <w:r w:rsidRPr="000E79FA">
        <w:t xml:space="preserve"> – proposals</w:t>
      </w:r>
      <w:r w:rsidR="00823D31">
        <w:t xml:space="preserve"> referred to the November 2019 </w:t>
      </w:r>
      <w:r w:rsidRPr="000E79FA">
        <w:t xml:space="preserve">Advisory Committee on </w:t>
      </w:r>
      <w:r w:rsidR="00823D31">
        <w:t>Chemicals Scheduling (ACCS #26)</w:t>
      </w:r>
      <w:bookmarkEnd w:id="18"/>
    </w:p>
    <w:p w14:paraId="5D8B7466" w14:textId="717E4595" w:rsidR="00B666D2" w:rsidRPr="00EE463E" w:rsidRDefault="00F11257" w:rsidP="00E325D5">
      <w:pPr>
        <w:pStyle w:val="Heading3"/>
      </w:pPr>
      <w:bookmarkStart w:id="19" w:name="_Toc39587415"/>
      <w:r>
        <w:t xml:space="preserve">Final </w:t>
      </w:r>
      <w:r w:rsidR="00B666D2" w:rsidRPr="00EE463E">
        <w:t>decision in relation to</w:t>
      </w:r>
      <w:r w:rsidR="002A50A3">
        <w:t xml:space="preserve"> Carbon m</w:t>
      </w:r>
      <w:r w:rsidR="00B44863">
        <w:t>onoxide</w:t>
      </w:r>
      <w:bookmarkEnd w:id="19"/>
    </w:p>
    <w:tbl>
      <w:tblPr>
        <w:tblStyle w:val="TableGrid"/>
        <w:tblW w:w="0" w:type="auto"/>
        <w:tblLook w:val="04A0" w:firstRow="1" w:lastRow="0" w:firstColumn="1" w:lastColumn="0" w:noHBand="0" w:noVBand="1"/>
      </w:tblPr>
      <w:tblGrid>
        <w:gridCol w:w="9628"/>
      </w:tblGrid>
      <w:tr w:rsidR="00B666D2" w14:paraId="63742148" w14:textId="77777777" w:rsidTr="004474D5">
        <w:tc>
          <w:tcPr>
            <w:tcW w:w="9854" w:type="dxa"/>
          </w:tcPr>
          <w:p w14:paraId="49FD549B" w14:textId="77777777" w:rsidR="00B666D2" w:rsidRPr="008036B7" w:rsidRDefault="00B666D2" w:rsidP="00190515">
            <w:pPr>
              <w:pStyle w:val="Heading4"/>
            </w:pPr>
            <w:r w:rsidRPr="008036B7">
              <w:t>Final decision</w:t>
            </w:r>
          </w:p>
          <w:p w14:paraId="16A39933" w14:textId="677B2E83" w:rsidR="00B666D2" w:rsidRDefault="00B666D2" w:rsidP="00823D31">
            <w:r>
              <w:t xml:space="preserve">Pursuant to regulation 42ZCZR of the Regulations, a Delegate of the Secretary has made a final decision to </w:t>
            </w:r>
            <w:r w:rsidR="00B44863">
              <w:t>affirm</w:t>
            </w:r>
            <w:r>
              <w:t xml:space="preserve"> </w:t>
            </w:r>
            <w:r w:rsidRPr="005203C8">
              <w:t>the interim decision</w:t>
            </w:r>
            <w:r>
              <w:t xml:space="preserve"> and </w:t>
            </w:r>
            <w:sdt>
              <w:sdtPr>
                <w:id w:val="-1529100300"/>
                <w:placeholder>
                  <w:docPart w:val="F6B9B5FEFEA6497E89DE270467B0C811"/>
                </w:placeholder>
                <w:comboBox>
                  <w:listItem w:displayText="amend the current Poisons Standard in relation to [insert name of substance] as follows: [insert amendments]" w:value="amend the current Poisons Standard in relation to [insert name of substance] as follows: [insert amendments]"/>
                  <w:listItem w:displayText="not amend the current Poisons Standard in relation to [insert name of substance]" w:value="not amend the current Poisons Standard in relation to [insert name of substance]"/>
                </w:comboBox>
              </w:sdtPr>
              <w:sdtEndPr/>
              <w:sdtContent>
                <w:r w:rsidR="00B44863">
                  <w:t>not amend the current Poisons Standard in relation to carbon monoxide</w:t>
                </w:r>
              </w:sdtContent>
            </w:sdt>
            <w:r>
              <w:t>.</w:t>
            </w:r>
          </w:p>
          <w:p w14:paraId="1D38F9AB" w14:textId="5FB73640" w:rsidR="00B666D2" w:rsidRDefault="00B666D2" w:rsidP="00190515">
            <w:pPr>
              <w:pStyle w:val="Heading4"/>
            </w:pPr>
            <w:r>
              <w:t>Reasons for the f</w:t>
            </w:r>
            <w:r w:rsidR="00B44863">
              <w:t xml:space="preserve">inal decision </w:t>
            </w:r>
            <w:r w:rsidR="003B768D">
              <w:t>(including findings on material questions of fact)</w:t>
            </w:r>
          </w:p>
          <w:p w14:paraId="5132E2AB" w14:textId="6901E779" w:rsidR="00B44863" w:rsidRDefault="002A50A3" w:rsidP="00920D4C">
            <w:r>
              <w:t xml:space="preserve">I confirm the reasons for my final decision not to amend the Poisons Standard with respect to carbon monoxide are as detailed in my </w:t>
            </w:r>
            <w:hyperlink r:id="rId40" w:history="1">
              <w:r w:rsidR="00B44863" w:rsidRPr="00156981">
                <w:rPr>
                  <w:rStyle w:val="Hyperlink"/>
                </w:rPr>
                <w:t>interim decision</w:t>
              </w:r>
            </w:hyperlink>
            <w:r>
              <w:t xml:space="preserve">. </w:t>
            </w:r>
            <w:r w:rsidR="00B44863" w:rsidRPr="00156981">
              <w:t xml:space="preserve">In making my final decision, I have taken into account the </w:t>
            </w:r>
            <w:r>
              <w:t xml:space="preserve">material detailed in the interim decision and the </w:t>
            </w:r>
            <w:r w:rsidR="00B44863" w:rsidRPr="00156981">
              <w:t xml:space="preserve">public submission received before the </w:t>
            </w:r>
            <w:hyperlink r:id="rId41" w:history="1">
              <w:r w:rsidR="00B44863" w:rsidRPr="00156981">
                <w:rPr>
                  <w:rStyle w:val="Hyperlink"/>
                </w:rPr>
                <w:t>second closing date</w:t>
              </w:r>
            </w:hyperlink>
            <w:r w:rsidR="00920D4C" w:rsidRPr="00920D4C">
              <w:rPr>
                <w:rStyle w:val="Hyperlink"/>
                <w:u w:val="none"/>
              </w:rPr>
              <w:t xml:space="preserve"> </w:t>
            </w:r>
            <w:r w:rsidR="00B44863" w:rsidRPr="00156981">
              <w:t>in response to the call for further submissions published on 6 February 2020 under regulation 42ZCZP of the Regulations.</w:t>
            </w:r>
          </w:p>
          <w:p w14:paraId="282E8EB8" w14:textId="73C8051D" w:rsidR="00B44863" w:rsidRDefault="00B44863" w:rsidP="00920D4C">
            <w:r>
              <w:t>Statements made in the public submission that industry is currently implementing further controls aimed at preventing public access to carbon monoxide products have not been material to my decision as these reiterate views I have previously taken into consideration.</w:t>
            </w:r>
            <w:r w:rsidRPr="00156981">
              <w:t xml:space="preserve"> I am satisfied that at this time, carb</w:t>
            </w:r>
            <w:r>
              <w:t>on</w:t>
            </w:r>
            <w:r w:rsidRPr="00156981">
              <w:t xml:space="preserve"> monoxide does not meet the requirements for inclusion in the Poisons Standard. The risk profile of carbon monoxide is largely mitigated by other regulations in industry and on balance, as carbon monoxide containing-products are not supplied to the public in the domestic market, public risk exposure is low.</w:t>
            </w:r>
          </w:p>
          <w:p w14:paraId="73BB472E" w14:textId="77777777" w:rsidR="00B666D2" w:rsidRDefault="00B666D2" w:rsidP="00190515">
            <w:pPr>
              <w:pStyle w:val="Heading4"/>
            </w:pPr>
            <w:r>
              <w:t>Summary of p</w:t>
            </w:r>
            <w:r w:rsidRPr="001A1B0E">
              <w:t>ublic submissions on the interim decision</w:t>
            </w:r>
          </w:p>
          <w:p w14:paraId="630BE13E" w14:textId="60A13F96" w:rsidR="00B44863" w:rsidRPr="00EB6ED7" w:rsidRDefault="00B44863" w:rsidP="00920D4C">
            <w:pPr>
              <w:rPr>
                <w:b/>
              </w:rPr>
            </w:pPr>
            <w:r w:rsidRPr="008D41FC">
              <w:t xml:space="preserve">In response to </w:t>
            </w:r>
            <w:r>
              <w:t>the interim decision,</w:t>
            </w:r>
            <w:r w:rsidRPr="008D41FC">
              <w:t xml:space="preserve"> </w:t>
            </w:r>
            <w:r w:rsidRPr="00EB6ED7">
              <w:t xml:space="preserve">one </w:t>
            </w:r>
            <w:r>
              <w:t>submission was</w:t>
            </w:r>
            <w:r w:rsidR="00920D4C">
              <w:t xml:space="preserve"> received. </w:t>
            </w:r>
            <w:r w:rsidRPr="00EB6ED7">
              <w:t>The s</w:t>
            </w:r>
            <w:r>
              <w:t>ubmission</w:t>
            </w:r>
            <w:r w:rsidRPr="004026EF">
              <w:t xml:space="preserve"> supported the </w:t>
            </w:r>
            <w:r>
              <w:t>interim decision</w:t>
            </w:r>
            <w:r w:rsidRPr="004026EF">
              <w:t xml:space="preserve"> and</w:t>
            </w:r>
            <w:r>
              <w:t xml:space="preserve"> no</w:t>
            </w:r>
            <w:r w:rsidRPr="004026EF">
              <w:t xml:space="preserve"> submissions</w:t>
            </w:r>
            <w:r>
              <w:t xml:space="preserve"> were received that</w:t>
            </w:r>
            <w:r w:rsidRPr="004026EF">
              <w:t xml:space="preserve"> opposed the </w:t>
            </w:r>
            <w:r>
              <w:t>interim decision</w:t>
            </w:r>
            <w:r w:rsidRPr="004026EF">
              <w:t>.</w:t>
            </w:r>
          </w:p>
          <w:p w14:paraId="59CCEB1A" w14:textId="77777777" w:rsidR="00B44863" w:rsidRPr="00EB6ED7" w:rsidRDefault="00B44863" w:rsidP="00920D4C">
            <w:r w:rsidRPr="00EB6ED7">
              <w:t>The main points provided in support of the interim decision were:</w:t>
            </w:r>
          </w:p>
          <w:p w14:paraId="25642DA6" w14:textId="77777777" w:rsidR="00B44863" w:rsidRDefault="00B44863" w:rsidP="00920D4C">
            <w:pPr>
              <w:pStyle w:val="ListBullet"/>
            </w:pPr>
            <w:r>
              <w:t>The submission supported the interim decision as a sensible and pragmatic decision not to schedule carbon monoxide.</w:t>
            </w:r>
          </w:p>
          <w:p w14:paraId="0F37EDAF" w14:textId="77777777" w:rsidR="00B44863" w:rsidRDefault="00B44863" w:rsidP="00920D4C">
            <w:pPr>
              <w:pStyle w:val="ListBullet"/>
            </w:pPr>
            <w:r>
              <w:t>Industry has developed, through a member based working group, product stewardship guidelines for carbon monoxide and these have been recommended to members for implementation. The guidelines include barriers to obtaining the product using end user declarations.</w:t>
            </w:r>
          </w:p>
          <w:p w14:paraId="6FA604C6" w14:textId="77777777" w:rsidR="00B44863" w:rsidRPr="00BD2CF5" w:rsidRDefault="00B44863" w:rsidP="00920D4C">
            <w:pPr>
              <w:pStyle w:val="ListBullet"/>
            </w:pPr>
            <w:r>
              <w:t>Training and support to customer service staff within industry is being provided to identify when a sale may be suspicious and if the declared use is not legitimate</w:t>
            </w:r>
          </w:p>
          <w:p w14:paraId="7BF760F2" w14:textId="77777777" w:rsidR="00B666D2" w:rsidRDefault="00B666D2" w:rsidP="00190515">
            <w:pPr>
              <w:pStyle w:val="Heading4"/>
            </w:pPr>
            <w:r>
              <w:t>D</w:t>
            </w:r>
            <w:r w:rsidRPr="002E13B1">
              <w:t xml:space="preserve">ate of effect of the </w:t>
            </w:r>
            <w:r>
              <w:t>decision</w:t>
            </w:r>
          </w:p>
          <w:p w14:paraId="5C4F2610" w14:textId="3ADA2C02" w:rsidR="00B666D2" w:rsidRPr="00920D4C" w:rsidRDefault="00423457" w:rsidP="00F829C3">
            <w:sdt>
              <w:sdtPr>
                <w:rPr>
                  <w:b/>
                </w:rPr>
                <w:id w:val="1080563707"/>
                <w:placeholder>
                  <w:docPart w:val="E89C0DA117734F338E4CA553F091811D"/>
                </w:placeholder>
                <w:date w:fullDate="2020-05-07T00:00:00Z">
                  <w:dateFormat w:val="d MMMM yyyy"/>
                  <w:lid w:val="en-AU"/>
                  <w:storeMappedDataAs w:val="dateTime"/>
                  <w:calendar w:val="gregorian"/>
                </w:date>
              </w:sdtPr>
              <w:sdtEndPr/>
              <w:sdtContent>
                <w:r w:rsidR="00C66ED5">
                  <w:rPr>
                    <w:b/>
                  </w:rPr>
                  <w:t>7 May 2020</w:t>
                </w:r>
              </w:sdtContent>
            </w:sdt>
          </w:p>
        </w:tc>
      </w:tr>
    </w:tbl>
    <w:p w14:paraId="33E1BBF4" w14:textId="2C4512C0" w:rsidR="00B77D6C" w:rsidRPr="00EE463E" w:rsidRDefault="00B77D6C" w:rsidP="00B64412">
      <w:pPr>
        <w:pStyle w:val="Heading3"/>
        <w:pageBreakBefore/>
        <w:spacing w:before="0"/>
      </w:pPr>
      <w:bookmarkStart w:id="20" w:name="_Toc39587416"/>
      <w:r>
        <w:lastRenderedPageBreak/>
        <w:t>Final</w:t>
      </w:r>
      <w:r w:rsidRPr="00EE463E">
        <w:t xml:space="preserve"> decision in relation to </w:t>
      </w:r>
      <w:sdt>
        <w:sdtPr>
          <w:id w:val="-1354964396"/>
          <w:placeholder>
            <w:docPart w:val="1340488E2A5340F884A602F4627D6B8B"/>
          </w:placeholder>
        </w:sdtPr>
        <w:sdtEndPr/>
        <w:sdtContent>
          <w:r>
            <w:t>Momfluorothrin</w:t>
          </w:r>
        </w:sdtContent>
      </w:sdt>
      <w:bookmarkEnd w:id="20"/>
    </w:p>
    <w:tbl>
      <w:tblPr>
        <w:tblStyle w:val="TableGrid"/>
        <w:tblW w:w="0" w:type="auto"/>
        <w:tblLook w:val="04A0" w:firstRow="1" w:lastRow="0" w:firstColumn="1" w:lastColumn="0" w:noHBand="0" w:noVBand="1"/>
      </w:tblPr>
      <w:tblGrid>
        <w:gridCol w:w="9628"/>
      </w:tblGrid>
      <w:tr w:rsidR="00B77D6C" w14:paraId="7841D103" w14:textId="77777777" w:rsidTr="00640A74">
        <w:tc>
          <w:tcPr>
            <w:tcW w:w="9854" w:type="dxa"/>
          </w:tcPr>
          <w:p w14:paraId="75F4483E" w14:textId="77777777" w:rsidR="00B77D6C" w:rsidRPr="008036B7" w:rsidRDefault="00B77D6C" w:rsidP="00190515">
            <w:pPr>
              <w:pStyle w:val="Heading4"/>
            </w:pPr>
            <w:r w:rsidRPr="008036B7">
              <w:t>Final decision</w:t>
            </w:r>
          </w:p>
          <w:p w14:paraId="3784731A" w14:textId="77777777" w:rsidR="00B77D6C" w:rsidRDefault="00B77D6C" w:rsidP="00920D4C">
            <w:r>
              <w:t xml:space="preserve">Pursuant to regulation 42ZCZR of the Regulations, a Delegate of the Secretary has made a final decision to affirm </w:t>
            </w:r>
            <w:r w:rsidRPr="005203C8">
              <w:t>the interim decision</w:t>
            </w:r>
            <w:r>
              <w:t xml:space="preserve"> and </w:t>
            </w:r>
            <w:r w:rsidRPr="00C83CE8">
              <w:t>to amend the current Poisons Standard in relation to momfluorothrin as follows:</w:t>
            </w:r>
          </w:p>
          <w:p w14:paraId="6F407A98" w14:textId="0DD5BE60" w:rsidR="00B77D6C" w:rsidRPr="006165F6" w:rsidRDefault="00920D4C" w:rsidP="00920D4C">
            <w:pPr>
              <w:ind w:left="426"/>
            </w:pPr>
            <w:r>
              <w:rPr>
                <w:b/>
                <w:bCs/>
              </w:rPr>
              <w:t>Schedule 6 – Amend Entry</w:t>
            </w:r>
          </w:p>
          <w:p w14:paraId="17AC045E" w14:textId="4BAB9FCF" w:rsidR="00B77D6C" w:rsidRPr="006165F6" w:rsidRDefault="00B77D6C" w:rsidP="00920D4C">
            <w:pPr>
              <w:ind w:left="426"/>
            </w:pPr>
            <w:r w:rsidRPr="006165F6">
              <w:t xml:space="preserve">MOMFLUOROTHRIN </w:t>
            </w:r>
            <w:r w:rsidRPr="006165F6">
              <w:rPr>
                <w:b/>
                <w:bCs/>
                <w:color w:val="FF0000"/>
              </w:rPr>
              <w:t xml:space="preserve">except </w:t>
            </w:r>
            <w:r w:rsidRPr="006165F6">
              <w:rPr>
                <w:color w:val="FF0000"/>
              </w:rPr>
              <w:t>in preparations containing 0.2 per cent or less of momfluorothrin.</w:t>
            </w:r>
          </w:p>
          <w:p w14:paraId="3D305A66" w14:textId="5012C48C" w:rsidR="00B77D6C" w:rsidRPr="006165F6" w:rsidRDefault="00920D4C" w:rsidP="00920D4C">
            <w:pPr>
              <w:ind w:left="426"/>
            </w:pPr>
            <w:r>
              <w:rPr>
                <w:b/>
                <w:bCs/>
              </w:rPr>
              <w:t>Index</w:t>
            </w:r>
          </w:p>
          <w:p w14:paraId="0308C324" w14:textId="26D30B71" w:rsidR="00B77D6C" w:rsidRPr="006165F6" w:rsidRDefault="00920D4C" w:rsidP="00920D4C">
            <w:pPr>
              <w:ind w:left="426"/>
            </w:pPr>
            <w:r>
              <w:rPr>
                <w:b/>
                <w:bCs/>
              </w:rPr>
              <w:t>MOMFLUOROTHRIN</w:t>
            </w:r>
          </w:p>
          <w:p w14:paraId="0232E584" w14:textId="77777777" w:rsidR="00B77D6C" w:rsidRDefault="00B77D6C" w:rsidP="00920D4C">
            <w:pPr>
              <w:ind w:left="426"/>
            </w:pPr>
            <w:r w:rsidRPr="006165F6">
              <w:t>Schedule 6</w:t>
            </w:r>
          </w:p>
          <w:p w14:paraId="759BBD96" w14:textId="77777777" w:rsidR="00B77D6C" w:rsidRDefault="00B77D6C" w:rsidP="00190515">
            <w:pPr>
              <w:pStyle w:val="Heading4"/>
            </w:pPr>
            <w:r>
              <w:t>Reasons for the final decision (including findings on material questions of fact)</w:t>
            </w:r>
          </w:p>
          <w:p w14:paraId="72C52303" w14:textId="3869FB90" w:rsidR="00B77D6C" w:rsidRPr="00F46D3F" w:rsidRDefault="00B77D6C" w:rsidP="00920D4C">
            <w:r w:rsidRPr="00F46D3F">
              <w:t>I</w:t>
            </w:r>
            <w:r w:rsidR="00B87813">
              <w:t xml:space="preserve"> confirm the reasons for my final decision to</w:t>
            </w:r>
            <w:r w:rsidR="00B87813" w:rsidRPr="00F46D3F">
              <w:t xml:space="preserve"> amend the Schedule</w:t>
            </w:r>
            <w:r w:rsidR="00B87813">
              <w:t xml:space="preserve"> 6</w:t>
            </w:r>
            <w:r w:rsidR="00B87813" w:rsidRPr="00F46D3F">
              <w:t xml:space="preserve"> entry for momfluorothrin to exclude </w:t>
            </w:r>
            <w:r w:rsidR="00C05A66">
              <w:t xml:space="preserve">from scheduling, </w:t>
            </w:r>
            <w:r w:rsidR="00B87813" w:rsidRPr="00F46D3F">
              <w:t>momfluorothrin in conce</w:t>
            </w:r>
            <w:r w:rsidR="00C05A66">
              <w:t xml:space="preserve">ntrations of up to 0.2 per cent, </w:t>
            </w:r>
            <w:r w:rsidR="006E74D5">
              <w:t xml:space="preserve">are as detailed in my </w:t>
            </w:r>
            <w:hyperlink r:id="rId42" w:history="1">
              <w:r w:rsidR="006E74D5" w:rsidRPr="00156981">
                <w:rPr>
                  <w:rStyle w:val="Hyperlink"/>
                </w:rPr>
                <w:t>interim decision</w:t>
              </w:r>
            </w:hyperlink>
            <w:r w:rsidR="006E74D5" w:rsidRPr="00920D4C">
              <w:rPr>
                <w:rStyle w:val="Hyperlink"/>
                <w:color w:val="auto"/>
                <w:u w:val="none"/>
              </w:rPr>
              <w:t>.</w:t>
            </w:r>
            <w:r w:rsidR="006E74D5">
              <w:t xml:space="preserve"> In making my final decision, I have taken into account the material detailed in the interim decision and</w:t>
            </w:r>
            <w:r w:rsidRPr="00F46D3F">
              <w:t xml:space="preserve"> </w:t>
            </w:r>
            <w:r w:rsidR="002470AD">
              <w:t xml:space="preserve">have </w:t>
            </w:r>
            <w:r w:rsidRPr="00F46D3F">
              <w:t>note</w:t>
            </w:r>
            <w:r w:rsidR="002470AD">
              <w:t>d</w:t>
            </w:r>
            <w:r w:rsidRPr="00F46D3F">
              <w:t xml:space="preserve"> that no public submissions were received before the</w:t>
            </w:r>
            <w:r w:rsidRPr="00156981">
              <w:t xml:space="preserve"> </w:t>
            </w:r>
            <w:hyperlink r:id="rId43" w:history="1">
              <w:r w:rsidRPr="00156981">
                <w:rPr>
                  <w:rStyle w:val="Hyperlink"/>
                </w:rPr>
                <w:t>second closing date</w:t>
              </w:r>
            </w:hyperlink>
            <w:r w:rsidRPr="00F46D3F">
              <w:t xml:space="preserve"> in response to the call for further submissions published on 6 February 2020 under regulation 42ZCZP of the Regulations.</w:t>
            </w:r>
          </w:p>
          <w:p w14:paraId="0FDD28A6" w14:textId="77777777" w:rsidR="00B77D6C" w:rsidRDefault="00B77D6C" w:rsidP="00190515">
            <w:pPr>
              <w:pStyle w:val="Heading4"/>
            </w:pPr>
            <w:r>
              <w:t>Summary of p</w:t>
            </w:r>
            <w:r w:rsidRPr="001A1B0E">
              <w:t>ublic submissions on the interim decision</w:t>
            </w:r>
          </w:p>
          <w:p w14:paraId="326D13D7" w14:textId="3D7C24D8" w:rsidR="00B77D6C" w:rsidRPr="00920D4C" w:rsidRDefault="00B77D6C" w:rsidP="00640A74">
            <w:pPr>
              <w:rPr>
                <w:b/>
                <w:bCs/>
              </w:rPr>
            </w:pPr>
            <w:r w:rsidRPr="00F46D3F">
              <w:t>No public submissions were received in resp</w:t>
            </w:r>
            <w:r w:rsidR="00920D4C">
              <w:t>onse to the interim decision.</w:t>
            </w:r>
          </w:p>
          <w:p w14:paraId="1D9EE70A" w14:textId="77777777" w:rsidR="00B77D6C" w:rsidRDefault="00B77D6C" w:rsidP="00190515">
            <w:pPr>
              <w:pStyle w:val="Heading4"/>
            </w:pPr>
            <w:r>
              <w:t>D</w:t>
            </w:r>
            <w:r w:rsidRPr="002E13B1">
              <w:t xml:space="preserve">ate of effect of the </w:t>
            </w:r>
            <w:r>
              <w:t>decision</w:t>
            </w:r>
          </w:p>
          <w:p w14:paraId="74122C7E" w14:textId="5B55879B" w:rsidR="00B77D6C" w:rsidRPr="00920D4C" w:rsidRDefault="00423457" w:rsidP="00640A74">
            <w:sdt>
              <w:sdtPr>
                <w:rPr>
                  <w:b/>
                </w:rPr>
                <w:id w:val="288088831"/>
                <w:placeholder>
                  <w:docPart w:val="7D163C2E748743D3A1DA58EF6A324E2E"/>
                </w:placeholder>
                <w:date w:fullDate="2020-06-01T00:00:00Z">
                  <w:dateFormat w:val="d MMMM yyyy"/>
                  <w:lid w:val="en-AU"/>
                  <w:storeMappedDataAs w:val="dateTime"/>
                  <w:calendar w:val="gregorian"/>
                </w:date>
              </w:sdtPr>
              <w:sdtEndPr/>
              <w:sdtContent>
                <w:r w:rsidR="00B77D6C" w:rsidRPr="003B768D">
                  <w:rPr>
                    <w:b/>
                  </w:rPr>
                  <w:t>1 June 2020</w:t>
                </w:r>
              </w:sdtContent>
            </w:sdt>
          </w:p>
        </w:tc>
      </w:tr>
    </w:tbl>
    <w:p w14:paraId="792DAF74" w14:textId="130251F3" w:rsidR="00B666D2" w:rsidRPr="00EE463E" w:rsidRDefault="00B666D2" w:rsidP="00B64412">
      <w:pPr>
        <w:pStyle w:val="Heading3"/>
        <w:pageBreakBefore/>
      </w:pPr>
      <w:bookmarkStart w:id="21" w:name="_Toc39587417"/>
      <w:r>
        <w:lastRenderedPageBreak/>
        <w:t>Final</w:t>
      </w:r>
      <w:r w:rsidRPr="00EE463E">
        <w:t xml:space="preserve"> decision in relation to </w:t>
      </w:r>
      <w:sdt>
        <w:sdtPr>
          <w:id w:val="1188483776"/>
          <w:placeholder>
            <w:docPart w:val="55E95A44172D49DA8A2AD9B4209243F2"/>
          </w:placeholder>
        </w:sdtPr>
        <w:sdtEndPr/>
        <w:sdtContent>
          <w:r w:rsidR="00AB7647">
            <w:t>Tetraniliprole</w:t>
          </w:r>
        </w:sdtContent>
      </w:sdt>
      <w:bookmarkEnd w:id="21"/>
    </w:p>
    <w:tbl>
      <w:tblPr>
        <w:tblStyle w:val="TableGrid"/>
        <w:tblW w:w="0" w:type="auto"/>
        <w:tblLook w:val="04A0" w:firstRow="1" w:lastRow="0" w:firstColumn="1" w:lastColumn="0" w:noHBand="0" w:noVBand="1"/>
      </w:tblPr>
      <w:tblGrid>
        <w:gridCol w:w="9628"/>
      </w:tblGrid>
      <w:tr w:rsidR="00B666D2" w14:paraId="3C98053C" w14:textId="77777777" w:rsidTr="004474D5">
        <w:tc>
          <w:tcPr>
            <w:tcW w:w="9854" w:type="dxa"/>
          </w:tcPr>
          <w:p w14:paraId="68B0EF59" w14:textId="77777777" w:rsidR="00B666D2" w:rsidRPr="008036B7" w:rsidRDefault="00B666D2" w:rsidP="00190515">
            <w:pPr>
              <w:pStyle w:val="Heading4"/>
            </w:pPr>
            <w:r w:rsidRPr="008036B7">
              <w:t>Final decision</w:t>
            </w:r>
          </w:p>
          <w:p w14:paraId="40C73550" w14:textId="58028DF8" w:rsidR="00B44863" w:rsidRDefault="00B666D2" w:rsidP="00920D4C">
            <w:r>
              <w:t xml:space="preserve">Pursuant to regulation 42ZCZR of the Regulations, a Delegate of the Secretary has made a final decision to </w:t>
            </w:r>
            <w:r w:rsidR="00B44863">
              <w:t>affirm</w:t>
            </w:r>
            <w:r>
              <w:t xml:space="preserve"> </w:t>
            </w:r>
            <w:r w:rsidRPr="005203C8">
              <w:t>the interim decision</w:t>
            </w:r>
            <w:r>
              <w:t xml:space="preserve"> and </w:t>
            </w:r>
            <w:r w:rsidR="00B44863" w:rsidRPr="00C83CE8">
              <w:t xml:space="preserve">to amend the current Poisons Standard in relation to </w:t>
            </w:r>
            <w:r w:rsidR="00AB7647">
              <w:t>tetraniliprole</w:t>
            </w:r>
            <w:r w:rsidR="00B44863" w:rsidRPr="00C83CE8">
              <w:t xml:space="preserve"> as follows:</w:t>
            </w:r>
          </w:p>
          <w:p w14:paraId="042ADE45" w14:textId="2A11BBE9" w:rsidR="00AB7647" w:rsidRPr="00B3118D" w:rsidRDefault="00920D4C" w:rsidP="00920D4C">
            <w:pPr>
              <w:ind w:left="426"/>
            </w:pPr>
            <w:r>
              <w:rPr>
                <w:b/>
                <w:bCs/>
              </w:rPr>
              <w:t>Schedule 5 – New Entry</w:t>
            </w:r>
          </w:p>
          <w:p w14:paraId="7B9DAF44" w14:textId="237EBE8D" w:rsidR="00AB7647" w:rsidRPr="00B3118D" w:rsidRDefault="00AB7647" w:rsidP="00920D4C">
            <w:pPr>
              <w:ind w:left="426"/>
              <w:rPr>
                <w:color w:val="FF0000"/>
              </w:rPr>
            </w:pPr>
            <w:r w:rsidRPr="00B3118D">
              <w:rPr>
                <w:color w:val="FF0000"/>
              </w:rPr>
              <w:t xml:space="preserve">TETRANILIPROLE </w:t>
            </w:r>
            <w:r w:rsidRPr="00B3118D">
              <w:rPr>
                <w:b/>
                <w:bCs/>
                <w:color w:val="FF0000"/>
              </w:rPr>
              <w:t xml:space="preserve">except </w:t>
            </w:r>
            <w:r w:rsidRPr="00B3118D">
              <w:rPr>
                <w:color w:val="FF0000"/>
              </w:rPr>
              <w:t>in preparations containing 20 p</w:t>
            </w:r>
            <w:r w:rsidR="00920D4C">
              <w:rPr>
                <w:color w:val="FF0000"/>
              </w:rPr>
              <w:t>er cent or less tetraniliprole.</w:t>
            </w:r>
          </w:p>
          <w:p w14:paraId="6B59B85D" w14:textId="30A11617" w:rsidR="00AB7647" w:rsidRPr="00B3118D" w:rsidRDefault="00920D4C" w:rsidP="00920D4C">
            <w:pPr>
              <w:ind w:left="426"/>
            </w:pPr>
            <w:r>
              <w:rPr>
                <w:b/>
                <w:bCs/>
              </w:rPr>
              <w:t>INDEX – New Entry</w:t>
            </w:r>
          </w:p>
          <w:p w14:paraId="6C02C0F1" w14:textId="16B54296" w:rsidR="00AB7647" w:rsidRPr="00B3118D" w:rsidRDefault="00920D4C" w:rsidP="00920D4C">
            <w:pPr>
              <w:ind w:left="426"/>
              <w:rPr>
                <w:color w:val="FF0000"/>
              </w:rPr>
            </w:pPr>
            <w:r>
              <w:rPr>
                <w:b/>
                <w:bCs/>
                <w:color w:val="FF0000"/>
              </w:rPr>
              <w:t>TETRANIPROLE</w:t>
            </w:r>
          </w:p>
          <w:p w14:paraId="40B0D2D0" w14:textId="77777777" w:rsidR="00AB7647" w:rsidRPr="00B3118D" w:rsidRDefault="00AB7647" w:rsidP="00920D4C">
            <w:pPr>
              <w:ind w:left="426"/>
              <w:rPr>
                <w:color w:val="FF0000"/>
              </w:rPr>
            </w:pPr>
            <w:r w:rsidRPr="00B3118D">
              <w:rPr>
                <w:color w:val="FF0000"/>
              </w:rPr>
              <w:t>Schedule 5</w:t>
            </w:r>
          </w:p>
          <w:p w14:paraId="7C90EF95" w14:textId="3911246F" w:rsidR="00B666D2" w:rsidRDefault="00B666D2" w:rsidP="00190515">
            <w:pPr>
              <w:pStyle w:val="Heading4"/>
            </w:pPr>
            <w:r>
              <w:t>Reasons fo</w:t>
            </w:r>
            <w:r w:rsidR="00AB7647">
              <w:t xml:space="preserve">r the final decision </w:t>
            </w:r>
            <w:r w:rsidR="003B768D">
              <w:t>(including findings on material questions of fact)</w:t>
            </w:r>
          </w:p>
          <w:p w14:paraId="4ACA7881" w14:textId="630C8D5F" w:rsidR="00AB7647" w:rsidRPr="00F46D3F" w:rsidRDefault="002470AD" w:rsidP="00920D4C">
            <w:r>
              <w:t xml:space="preserve">I confirm the reasons for my final decision to </w:t>
            </w:r>
            <w:r w:rsidRPr="00CA2B6F">
              <w:t xml:space="preserve">include tetraniliprole at concentrations </w:t>
            </w:r>
            <w:r w:rsidR="00C05A66">
              <w:t xml:space="preserve">greater than </w:t>
            </w:r>
            <w:r w:rsidR="00C07B3B">
              <w:t>20 per</w:t>
            </w:r>
            <w:r w:rsidRPr="00CA2B6F">
              <w:t xml:space="preserve">cent </w:t>
            </w:r>
            <w:r>
              <w:t>in Schedule 5 of the P</w:t>
            </w:r>
            <w:r w:rsidRPr="00CA2B6F">
              <w:t>oisons Standard</w:t>
            </w:r>
            <w:r>
              <w:t xml:space="preserve"> are as detailed in my </w:t>
            </w:r>
            <w:hyperlink r:id="rId44" w:history="1">
              <w:r w:rsidRPr="00156981">
                <w:rPr>
                  <w:rStyle w:val="Hyperlink"/>
                </w:rPr>
                <w:t>interim decision</w:t>
              </w:r>
            </w:hyperlink>
            <w:r>
              <w:rPr>
                <w:rStyle w:val="Hyperlink"/>
                <w:color w:val="auto"/>
                <w:u w:val="none"/>
              </w:rPr>
              <w:t>.</w:t>
            </w:r>
            <w:r w:rsidRPr="008C31F9">
              <w:rPr>
                <w:rStyle w:val="Hyperlink"/>
                <w:color w:val="auto"/>
                <w:u w:val="none"/>
              </w:rPr>
              <w:t xml:space="preserve"> I</w:t>
            </w:r>
            <w:r>
              <w:rPr>
                <w:rStyle w:val="Hyperlink"/>
                <w:color w:val="auto"/>
                <w:u w:val="none"/>
              </w:rPr>
              <w:t xml:space="preserve">n making my final decision, I have taken into account the material detailed in the interim decision and have noted </w:t>
            </w:r>
            <w:r w:rsidR="00AB7647" w:rsidRPr="00F46D3F">
              <w:t>that no public submissions were received before the</w:t>
            </w:r>
            <w:r w:rsidR="00AB7647" w:rsidRPr="00156981">
              <w:t xml:space="preserve"> </w:t>
            </w:r>
            <w:hyperlink r:id="rId45" w:history="1">
              <w:r w:rsidR="00AB7647" w:rsidRPr="00156981">
                <w:rPr>
                  <w:rStyle w:val="Hyperlink"/>
                </w:rPr>
                <w:t>second closing date</w:t>
              </w:r>
            </w:hyperlink>
            <w:r w:rsidR="00AB7647" w:rsidRPr="00F46D3F">
              <w:t xml:space="preserve"> in response to the call for fur</w:t>
            </w:r>
            <w:r w:rsidR="00AB7647">
              <w:t>ther submissions published on 6 February </w:t>
            </w:r>
            <w:r w:rsidR="00AB7647" w:rsidRPr="00F46D3F">
              <w:t>2020 under regulation 42ZCZP of the Regulations.</w:t>
            </w:r>
          </w:p>
          <w:p w14:paraId="538C064C" w14:textId="77777777" w:rsidR="00B666D2" w:rsidRDefault="00B666D2" w:rsidP="00190515">
            <w:pPr>
              <w:pStyle w:val="Heading4"/>
            </w:pPr>
            <w:r>
              <w:t>Summary of p</w:t>
            </w:r>
            <w:r w:rsidRPr="001A1B0E">
              <w:t>ublic submissions on the interim decision</w:t>
            </w:r>
          </w:p>
          <w:p w14:paraId="76971C43" w14:textId="6F3D63B1" w:rsidR="00B44863" w:rsidRPr="00920D4C" w:rsidRDefault="00B44863" w:rsidP="00920D4C">
            <w:pPr>
              <w:rPr>
                <w:b/>
                <w:bCs/>
              </w:rPr>
            </w:pPr>
            <w:r w:rsidRPr="00F46D3F">
              <w:t>No public submissions were received in response to the interim decision.</w:t>
            </w:r>
          </w:p>
          <w:p w14:paraId="035B1E49" w14:textId="77777777" w:rsidR="00B666D2" w:rsidRDefault="00B666D2" w:rsidP="00190515">
            <w:pPr>
              <w:pStyle w:val="Heading4"/>
            </w:pPr>
            <w:r>
              <w:t>D</w:t>
            </w:r>
            <w:r w:rsidRPr="002E13B1">
              <w:t xml:space="preserve">ate of effect of the </w:t>
            </w:r>
            <w:r>
              <w:t>decision</w:t>
            </w:r>
          </w:p>
          <w:p w14:paraId="59A57C22" w14:textId="2274D31C" w:rsidR="00B666D2" w:rsidRPr="00B64412" w:rsidRDefault="00423457" w:rsidP="00B64412">
            <w:pPr>
              <w:rPr>
                <w:i/>
              </w:rPr>
            </w:pPr>
            <w:sdt>
              <w:sdtPr>
                <w:rPr>
                  <w:b/>
                </w:rPr>
                <w:id w:val="649176440"/>
                <w:placeholder>
                  <w:docPart w:val="35B72A5B41B64EF89C841BDDE559A3DF"/>
                </w:placeholder>
                <w:date w:fullDate="2020-06-01T00:00:00Z">
                  <w:dateFormat w:val="d MMMM yyyy"/>
                  <w:lid w:val="en-AU"/>
                  <w:storeMappedDataAs w:val="dateTime"/>
                  <w:calendar w:val="gregorian"/>
                </w:date>
              </w:sdtPr>
              <w:sdtEndPr/>
              <w:sdtContent>
                <w:r w:rsidR="00554859" w:rsidRPr="00B64412">
                  <w:rPr>
                    <w:b/>
                  </w:rPr>
                  <w:t>1 June 2020</w:t>
                </w:r>
              </w:sdtContent>
            </w:sdt>
          </w:p>
        </w:tc>
      </w:tr>
    </w:tbl>
    <w:p w14:paraId="543D90D0" w14:textId="11462C07" w:rsidR="00AB7647" w:rsidRPr="00EE463E" w:rsidRDefault="00AB7647" w:rsidP="00CC70C1">
      <w:pPr>
        <w:pStyle w:val="Heading3"/>
        <w:pageBreakBefore/>
        <w:spacing w:before="0"/>
      </w:pPr>
      <w:bookmarkStart w:id="22" w:name="_Toc39587418"/>
      <w:r>
        <w:lastRenderedPageBreak/>
        <w:t>Final</w:t>
      </w:r>
      <w:r w:rsidRPr="00EE463E">
        <w:t xml:space="preserve"> decision in relation to </w:t>
      </w:r>
      <w:sdt>
        <w:sdtPr>
          <w:id w:val="-919639969"/>
          <w:placeholder>
            <w:docPart w:val="3F8D343DDCDA4DFB9B70388676A51631"/>
          </w:placeholder>
        </w:sdtPr>
        <w:sdtEndPr/>
        <w:sdtContent>
          <w:r>
            <w:t>Methiozolin</w:t>
          </w:r>
        </w:sdtContent>
      </w:sdt>
      <w:bookmarkEnd w:id="22"/>
    </w:p>
    <w:tbl>
      <w:tblPr>
        <w:tblStyle w:val="TableGrid"/>
        <w:tblW w:w="0" w:type="auto"/>
        <w:tblLook w:val="04A0" w:firstRow="1" w:lastRow="0" w:firstColumn="1" w:lastColumn="0" w:noHBand="0" w:noVBand="1"/>
      </w:tblPr>
      <w:tblGrid>
        <w:gridCol w:w="9628"/>
      </w:tblGrid>
      <w:tr w:rsidR="00AB7647" w14:paraId="43A3B98C" w14:textId="77777777" w:rsidTr="00AB7647">
        <w:tc>
          <w:tcPr>
            <w:tcW w:w="9854" w:type="dxa"/>
          </w:tcPr>
          <w:p w14:paraId="58E94ECE" w14:textId="77777777" w:rsidR="00AB7647" w:rsidRPr="008036B7" w:rsidRDefault="00AB7647" w:rsidP="00190515">
            <w:pPr>
              <w:pStyle w:val="Heading4"/>
            </w:pPr>
            <w:r w:rsidRPr="008036B7">
              <w:t>Final decision</w:t>
            </w:r>
          </w:p>
          <w:p w14:paraId="09812D79" w14:textId="75BC259C" w:rsidR="00AB7647" w:rsidRDefault="00AB7647" w:rsidP="00920D4C">
            <w:r>
              <w:t xml:space="preserve">Pursuant to regulation 42ZCZR of the Regulations, a Delegate of the Secretary has made a final decision to affirm </w:t>
            </w:r>
            <w:r w:rsidRPr="005203C8">
              <w:t>the interim decision</w:t>
            </w:r>
            <w:r>
              <w:t xml:space="preserve"> and </w:t>
            </w:r>
            <w:r w:rsidRPr="00C83CE8">
              <w:t xml:space="preserve">to amend the current Poisons Standard in relation to </w:t>
            </w:r>
            <w:r>
              <w:t>methiozolin</w:t>
            </w:r>
            <w:r w:rsidRPr="00C83CE8">
              <w:t xml:space="preserve"> as follows:</w:t>
            </w:r>
          </w:p>
          <w:p w14:paraId="3B6BAC38" w14:textId="7C10968A" w:rsidR="00AB7647" w:rsidRPr="00C67CEC" w:rsidRDefault="00920D4C" w:rsidP="00CC70C1">
            <w:pPr>
              <w:ind w:left="426"/>
            </w:pPr>
            <w:r>
              <w:rPr>
                <w:b/>
                <w:bCs/>
              </w:rPr>
              <w:t>Schedule 5 – New Entry</w:t>
            </w:r>
          </w:p>
          <w:p w14:paraId="2CBAC007" w14:textId="4BAB9048" w:rsidR="00AB7647" w:rsidRPr="00C67CEC" w:rsidRDefault="00920D4C" w:rsidP="00CC70C1">
            <w:pPr>
              <w:ind w:left="426"/>
              <w:rPr>
                <w:color w:val="FF0000"/>
              </w:rPr>
            </w:pPr>
            <w:r>
              <w:rPr>
                <w:color w:val="FF0000"/>
              </w:rPr>
              <w:t>METHIOZOLIN.</w:t>
            </w:r>
          </w:p>
          <w:p w14:paraId="1365A4A9" w14:textId="01EB0AE6" w:rsidR="00AB7647" w:rsidRPr="00C67CEC" w:rsidRDefault="00920D4C" w:rsidP="00CC70C1">
            <w:pPr>
              <w:ind w:left="426"/>
            </w:pPr>
            <w:r>
              <w:rPr>
                <w:b/>
                <w:bCs/>
              </w:rPr>
              <w:t>Index – New Entry</w:t>
            </w:r>
          </w:p>
          <w:p w14:paraId="3D6AB240" w14:textId="5E6FE36F" w:rsidR="00AB7647" w:rsidRPr="00C67CEC" w:rsidRDefault="00920D4C" w:rsidP="00CC70C1">
            <w:pPr>
              <w:ind w:left="426"/>
              <w:rPr>
                <w:color w:val="FF0000"/>
              </w:rPr>
            </w:pPr>
            <w:r>
              <w:rPr>
                <w:b/>
                <w:bCs/>
                <w:color w:val="FF0000"/>
              </w:rPr>
              <w:t>METHIOZOLIN</w:t>
            </w:r>
          </w:p>
          <w:p w14:paraId="41450656" w14:textId="77777777" w:rsidR="00AB7647" w:rsidRPr="00C67CEC" w:rsidRDefault="00AB7647" w:rsidP="00CC70C1">
            <w:pPr>
              <w:ind w:left="426"/>
              <w:rPr>
                <w:color w:val="FF0000"/>
              </w:rPr>
            </w:pPr>
            <w:r w:rsidRPr="00C67CEC">
              <w:rPr>
                <w:color w:val="FF0000"/>
              </w:rPr>
              <w:t>Schedule 5</w:t>
            </w:r>
          </w:p>
          <w:p w14:paraId="79D1F082" w14:textId="3121A53A" w:rsidR="00AB7647" w:rsidRDefault="00AB7647" w:rsidP="00190515">
            <w:pPr>
              <w:pStyle w:val="Heading4"/>
            </w:pPr>
            <w:r>
              <w:t xml:space="preserve">Reasons for the final decision </w:t>
            </w:r>
            <w:r w:rsidR="003B768D">
              <w:t>(including findings on material questions of fact)</w:t>
            </w:r>
          </w:p>
          <w:p w14:paraId="0604B433" w14:textId="37788B83" w:rsidR="00AB7647" w:rsidRPr="00F46D3F" w:rsidRDefault="00554859" w:rsidP="00920D4C">
            <w:r>
              <w:t>I confirm</w:t>
            </w:r>
            <w:r w:rsidR="00A64909">
              <w:t xml:space="preserve"> the reasons for my final decision to </w:t>
            </w:r>
            <w:r>
              <w:t>include methiozolin in Schedule 5</w:t>
            </w:r>
            <w:r w:rsidR="00A64909">
              <w:t xml:space="preserve"> are as detailed in the </w:t>
            </w:r>
            <w:hyperlink r:id="rId46" w:history="1">
              <w:r w:rsidR="00A64909" w:rsidRPr="00156981">
                <w:rPr>
                  <w:rStyle w:val="Hyperlink"/>
                </w:rPr>
                <w:t>interim decision</w:t>
              </w:r>
            </w:hyperlink>
            <w:r w:rsidR="00A64909">
              <w:t>. In making my final decision, I have taken into account the material detailed in the interim decision</w:t>
            </w:r>
            <w:r w:rsidR="00CA7E11">
              <w:t xml:space="preserve"> and have noted that no </w:t>
            </w:r>
            <w:r w:rsidR="00AB7647" w:rsidRPr="00F46D3F">
              <w:t>submissions were received before the</w:t>
            </w:r>
            <w:r w:rsidR="00AB7647" w:rsidRPr="00156981">
              <w:t xml:space="preserve"> </w:t>
            </w:r>
            <w:hyperlink r:id="rId47" w:history="1">
              <w:r w:rsidR="00AB7647" w:rsidRPr="00156981">
                <w:rPr>
                  <w:rStyle w:val="Hyperlink"/>
                </w:rPr>
                <w:t>second closing date</w:t>
              </w:r>
            </w:hyperlink>
            <w:r w:rsidR="00AB7647" w:rsidRPr="00F46D3F">
              <w:t xml:space="preserve"> in response to the call for further submissions published on 6 February 2020 under regulation 42ZCZP of the Regulations.</w:t>
            </w:r>
          </w:p>
          <w:p w14:paraId="7D81BD80" w14:textId="77777777" w:rsidR="00AB7647" w:rsidRDefault="00AB7647" w:rsidP="00190515">
            <w:pPr>
              <w:pStyle w:val="Heading4"/>
            </w:pPr>
            <w:r>
              <w:t>Summary of p</w:t>
            </w:r>
            <w:r w:rsidRPr="001A1B0E">
              <w:t>ublic submissions on the interim decision</w:t>
            </w:r>
          </w:p>
          <w:p w14:paraId="754FC172" w14:textId="110E862A" w:rsidR="00AB7647" w:rsidRPr="00920D4C" w:rsidRDefault="00AB7647" w:rsidP="00AB7647">
            <w:pPr>
              <w:rPr>
                <w:b/>
                <w:bCs/>
              </w:rPr>
            </w:pPr>
            <w:r w:rsidRPr="00F46D3F">
              <w:t>No public submissions were received in response to the interim decision.</w:t>
            </w:r>
          </w:p>
          <w:p w14:paraId="0FBD2CA0" w14:textId="77777777" w:rsidR="00AB7647" w:rsidRDefault="00AB7647" w:rsidP="00190515">
            <w:pPr>
              <w:pStyle w:val="Heading4"/>
            </w:pPr>
            <w:r>
              <w:t>D</w:t>
            </w:r>
            <w:r w:rsidRPr="002E13B1">
              <w:t xml:space="preserve">ate of effect of the </w:t>
            </w:r>
            <w:r>
              <w:t>decision</w:t>
            </w:r>
          </w:p>
          <w:p w14:paraId="6765B37D" w14:textId="67DBD075" w:rsidR="00AB7647" w:rsidRPr="00920D4C" w:rsidRDefault="00423457" w:rsidP="00920D4C">
            <w:sdt>
              <w:sdtPr>
                <w:rPr>
                  <w:b/>
                </w:rPr>
                <w:id w:val="1842733843"/>
                <w:placeholder>
                  <w:docPart w:val="C93EE9C0CD3B48E2A794F4E3ABCF4456"/>
                </w:placeholder>
                <w:date w:fullDate="2020-06-01T00:00:00Z">
                  <w:dateFormat w:val="d MMMM yyyy"/>
                  <w:lid w:val="en-AU"/>
                  <w:storeMappedDataAs w:val="dateTime"/>
                  <w:calendar w:val="gregorian"/>
                </w:date>
              </w:sdtPr>
              <w:sdtEndPr/>
              <w:sdtContent>
                <w:r w:rsidR="00554859" w:rsidRPr="00920D4C">
                  <w:rPr>
                    <w:b/>
                  </w:rPr>
                  <w:t>1 June 2020</w:t>
                </w:r>
              </w:sdtContent>
            </w:sdt>
          </w:p>
        </w:tc>
      </w:tr>
    </w:tbl>
    <w:p w14:paraId="675144D5" w14:textId="25BC4008" w:rsidR="00AB7647" w:rsidRPr="00EE463E" w:rsidRDefault="00920D4C" w:rsidP="00222802">
      <w:pPr>
        <w:pStyle w:val="Heading3"/>
        <w:pageBreakBefore/>
        <w:spacing w:before="0"/>
      </w:pPr>
      <w:bookmarkStart w:id="23" w:name="_Toc39587419"/>
      <w:r>
        <w:lastRenderedPageBreak/>
        <w:t>F</w:t>
      </w:r>
      <w:r w:rsidR="00AB7647">
        <w:t>inal</w:t>
      </w:r>
      <w:r w:rsidR="00AB7647" w:rsidRPr="00EE463E">
        <w:t xml:space="preserve"> decision in relation to </w:t>
      </w:r>
      <w:sdt>
        <w:sdtPr>
          <w:id w:val="-1873219775"/>
          <w:placeholder>
            <w:docPart w:val="BBE90445FC8146C885160508202846E3"/>
          </w:placeholder>
        </w:sdtPr>
        <w:sdtEndPr/>
        <w:sdtContent>
          <w:r w:rsidR="00AB7647">
            <w:t>Lambda-cyhalothrin</w:t>
          </w:r>
        </w:sdtContent>
      </w:sdt>
      <w:bookmarkEnd w:id="23"/>
    </w:p>
    <w:tbl>
      <w:tblPr>
        <w:tblStyle w:val="TableGrid"/>
        <w:tblW w:w="0" w:type="auto"/>
        <w:tblLook w:val="04A0" w:firstRow="1" w:lastRow="0" w:firstColumn="1" w:lastColumn="0" w:noHBand="0" w:noVBand="1"/>
      </w:tblPr>
      <w:tblGrid>
        <w:gridCol w:w="9628"/>
      </w:tblGrid>
      <w:tr w:rsidR="00AB7647" w14:paraId="4EFA0147" w14:textId="77777777" w:rsidTr="00AB7647">
        <w:tc>
          <w:tcPr>
            <w:tcW w:w="9854" w:type="dxa"/>
          </w:tcPr>
          <w:p w14:paraId="33CA938E" w14:textId="77777777" w:rsidR="00AB7647" w:rsidRPr="008036B7" w:rsidRDefault="00AB7647" w:rsidP="00190515">
            <w:pPr>
              <w:pStyle w:val="Heading4"/>
            </w:pPr>
            <w:r w:rsidRPr="008036B7">
              <w:t>Final decision</w:t>
            </w:r>
          </w:p>
          <w:p w14:paraId="7D8B8D97" w14:textId="506D6EB4" w:rsidR="00AB7647" w:rsidRDefault="00AB7647" w:rsidP="00920D4C">
            <w:r>
              <w:t xml:space="preserve">Pursuant to regulation 42ZCZR of the Regulations, a Delegate of the Secretary has made a final decision to affirm </w:t>
            </w:r>
            <w:r w:rsidRPr="005203C8">
              <w:t>the interim decision</w:t>
            </w:r>
            <w:r>
              <w:t xml:space="preserve"> and </w:t>
            </w:r>
            <w:r w:rsidRPr="00C83CE8">
              <w:t xml:space="preserve">to amend the current Poisons Standard in relation to </w:t>
            </w:r>
            <w:r>
              <w:t>lambda-cyhalothrin</w:t>
            </w:r>
            <w:r w:rsidRPr="00C83CE8">
              <w:t xml:space="preserve"> as follows:</w:t>
            </w:r>
          </w:p>
          <w:p w14:paraId="674E5131" w14:textId="188E22BD" w:rsidR="00AB7647" w:rsidRPr="00920D4C" w:rsidRDefault="00920D4C" w:rsidP="00920D4C">
            <w:pPr>
              <w:ind w:left="426"/>
              <w:rPr>
                <w:b/>
              </w:rPr>
            </w:pPr>
            <w:r w:rsidRPr="00920D4C">
              <w:rPr>
                <w:b/>
              </w:rPr>
              <w:t>Schedule 7</w:t>
            </w:r>
          </w:p>
          <w:p w14:paraId="428DB0B3" w14:textId="5824C57F" w:rsidR="00AB7647" w:rsidRPr="0076123A" w:rsidRDefault="00AB7647" w:rsidP="00920D4C">
            <w:pPr>
              <w:ind w:left="426"/>
            </w:pPr>
            <w:r w:rsidRPr="0076123A">
              <w:t xml:space="preserve">LAMBDA-CYHALOTHRIN </w:t>
            </w:r>
            <w:r w:rsidRPr="0076123A">
              <w:rPr>
                <w:b/>
                <w:bCs/>
              </w:rPr>
              <w:t xml:space="preserve">except </w:t>
            </w:r>
            <w:r w:rsidRPr="0076123A">
              <w:t>wh</w:t>
            </w:r>
            <w:r w:rsidR="00920D4C">
              <w:t>en included in Schedule 5 or 6.</w:t>
            </w:r>
          </w:p>
          <w:p w14:paraId="05CADF4B" w14:textId="6C139F02" w:rsidR="00AB7647" w:rsidRPr="0076123A" w:rsidRDefault="00920D4C" w:rsidP="00920D4C">
            <w:pPr>
              <w:ind w:left="426"/>
            </w:pPr>
            <w:r>
              <w:rPr>
                <w:b/>
                <w:bCs/>
              </w:rPr>
              <w:t>Schedule 6</w:t>
            </w:r>
          </w:p>
          <w:p w14:paraId="52E4F5AB" w14:textId="747BA742" w:rsidR="00AB7647" w:rsidRPr="0076123A" w:rsidRDefault="00920D4C" w:rsidP="00920D4C">
            <w:pPr>
              <w:ind w:left="426"/>
            </w:pPr>
            <w:r>
              <w:t>LAMBDA-CYHALOTHRIN:</w:t>
            </w:r>
          </w:p>
          <w:p w14:paraId="34B18E84" w14:textId="23CF6E72" w:rsidR="00AB7647" w:rsidRPr="00536FE7" w:rsidRDefault="00AB7647" w:rsidP="008276C7">
            <w:pPr>
              <w:pStyle w:val="Numberbullet2"/>
              <w:numPr>
                <w:ilvl w:val="0"/>
                <w:numId w:val="23"/>
              </w:numPr>
              <w:ind w:left="851" w:hanging="425"/>
            </w:pPr>
            <w:r w:rsidRPr="007857DC">
              <w:t>in aqueous preparations containing 25 per cent or less of microenca</w:t>
            </w:r>
            <w:r w:rsidR="00536FE7" w:rsidRPr="007857DC">
              <w:t>psulated lambda-cy</w:t>
            </w:r>
            <w:r w:rsidR="00536FE7">
              <w:t>halothrin; or</w:t>
            </w:r>
          </w:p>
          <w:p w14:paraId="1AB53F4A" w14:textId="662C609E" w:rsidR="00AB7647" w:rsidRPr="00536FE7" w:rsidRDefault="00AB7647" w:rsidP="007857DC">
            <w:pPr>
              <w:pStyle w:val="Numberbullet2"/>
              <w:numPr>
                <w:ilvl w:val="0"/>
                <w:numId w:val="23"/>
              </w:numPr>
              <w:ind w:left="877" w:hanging="426"/>
            </w:pPr>
            <w:r w:rsidRPr="00536FE7">
              <w:t>in emulsifiable granule formulations containing 25 per cent or less lambda-</w:t>
            </w:r>
            <w:r w:rsidR="00536FE7">
              <w:t>cyhalothrin; or</w:t>
            </w:r>
          </w:p>
          <w:p w14:paraId="396E3ED8" w14:textId="34AA72E5" w:rsidR="00AB7647" w:rsidRPr="00536FE7" w:rsidRDefault="00AB7647" w:rsidP="007857DC">
            <w:pPr>
              <w:pStyle w:val="Numberbullet2"/>
              <w:numPr>
                <w:ilvl w:val="0"/>
                <w:numId w:val="23"/>
              </w:numPr>
              <w:ind w:left="877" w:hanging="426"/>
            </w:pPr>
            <w:r w:rsidRPr="00536FE7">
              <w:t>in other preparations con</w:t>
            </w:r>
            <w:r w:rsidR="001C5FF5" w:rsidRPr="00536FE7">
              <w:t>taining 1.6 per cent or less of</w:t>
            </w:r>
            <w:r w:rsidRPr="00536FE7">
              <w:t xml:space="preserve"> lambda-cyhalothrin except</w:t>
            </w:r>
            <w:r w:rsidR="00536FE7">
              <w:t xml:space="preserve"> when included in Schedule 5.</w:t>
            </w:r>
          </w:p>
          <w:p w14:paraId="6B05D294" w14:textId="42F7B987" w:rsidR="00AB7647" w:rsidRPr="00536FE7" w:rsidRDefault="00536FE7" w:rsidP="00536FE7">
            <w:pPr>
              <w:ind w:left="426"/>
              <w:rPr>
                <w:b/>
              </w:rPr>
            </w:pPr>
            <w:r>
              <w:rPr>
                <w:b/>
              </w:rPr>
              <w:t>Schedule 5 – Amend Entry</w:t>
            </w:r>
          </w:p>
          <w:p w14:paraId="596C7A84" w14:textId="5AD558D6" w:rsidR="00AB7647" w:rsidRPr="0076123A" w:rsidRDefault="007857DC" w:rsidP="00536FE7">
            <w:pPr>
              <w:ind w:left="426"/>
            </w:pPr>
            <w:r>
              <w:t>LAMBDA-CYHALOTHRIN:</w:t>
            </w:r>
          </w:p>
          <w:p w14:paraId="31A4F272" w14:textId="6D2BCBDC" w:rsidR="00AB7647" w:rsidRPr="0076123A" w:rsidRDefault="00AB7647" w:rsidP="008276C7">
            <w:pPr>
              <w:pStyle w:val="Numberbullet2"/>
              <w:numPr>
                <w:ilvl w:val="0"/>
                <w:numId w:val="24"/>
              </w:numPr>
              <w:ind w:left="851" w:hanging="425"/>
            </w:pPr>
            <w:r w:rsidRPr="0076123A">
              <w:t>in aqueous preparations containing 1 per cent or less of lambda-cyhalothrin; or</w:t>
            </w:r>
          </w:p>
          <w:p w14:paraId="1FF5C6C0" w14:textId="7001F892" w:rsidR="00AB7647" w:rsidRPr="0076123A" w:rsidRDefault="00AB7647" w:rsidP="00922836">
            <w:pPr>
              <w:pStyle w:val="Numberbullet2"/>
              <w:ind w:left="877" w:hanging="426"/>
            </w:pPr>
            <w:r w:rsidRPr="0076123A">
              <w:t xml:space="preserve">in aqueous preparations containing </w:t>
            </w:r>
            <w:r w:rsidRPr="0076123A">
              <w:rPr>
                <w:strike/>
              </w:rPr>
              <w:t>2.5</w:t>
            </w:r>
            <w:r w:rsidRPr="0076123A">
              <w:rPr>
                <w:color w:val="FF0000"/>
              </w:rPr>
              <w:t>10</w:t>
            </w:r>
            <w:r w:rsidRPr="0076123A">
              <w:t xml:space="preserve"> per cent or less of microe</w:t>
            </w:r>
            <w:r w:rsidR="00536FE7">
              <w:t>ncapsulated lambda-cyhalothrin.</w:t>
            </w:r>
          </w:p>
          <w:p w14:paraId="65CFF2EA" w14:textId="355839AE" w:rsidR="00AB7647" w:rsidRPr="0076123A" w:rsidRDefault="00536FE7" w:rsidP="00536FE7">
            <w:pPr>
              <w:ind w:left="426"/>
            </w:pPr>
            <w:r>
              <w:rPr>
                <w:b/>
                <w:bCs/>
              </w:rPr>
              <w:t>Index</w:t>
            </w:r>
          </w:p>
          <w:p w14:paraId="75A6DFC9" w14:textId="2FF83D3C" w:rsidR="00AB7647" w:rsidRPr="0076123A" w:rsidRDefault="00536FE7" w:rsidP="00536FE7">
            <w:pPr>
              <w:ind w:left="426"/>
            </w:pPr>
            <w:r>
              <w:t>LAMBDA-CYHALOTHRIN</w:t>
            </w:r>
          </w:p>
          <w:p w14:paraId="748636BA" w14:textId="5850973F" w:rsidR="00AB7647" w:rsidRDefault="00AB7647" w:rsidP="00536FE7">
            <w:pPr>
              <w:ind w:left="426"/>
            </w:pPr>
            <w:r w:rsidRPr="0076123A">
              <w:t>Schedule 7</w:t>
            </w:r>
            <w:r w:rsidR="00536FE7">
              <w:br/>
              <w:t>Schedule 6</w:t>
            </w:r>
            <w:r w:rsidR="00536FE7">
              <w:br/>
            </w:r>
            <w:r w:rsidRPr="0076123A">
              <w:t>Schedule 5</w:t>
            </w:r>
          </w:p>
          <w:p w14:paraId="4071DD32" w14:textId="34F2E00C" w:rsidR="00AB7647" w:rsidRDefault="00AB7647" w:rsidP="00190515">
            <w:pPr>
              <w:pStyle w:val="Heading4"/>
            </w:pPr>
            <w:r>
              <w:t xml:space="preserve">Reasons for the final decision </w:t>
            </w:r>
            <w:r w:rsidR="003B768D">
              <w:t>(including findings on material questions of fact)</w:t>
            </w:r>
          </w:p>
          <w:p w14:paraId="495236F9" w14:textId="025655AE" w:rsidR="00AB7647" w:rsidRPr="00040842" w:rsidRDefault="00C550E8" w:rsidP="00536FE7">
            <w:r>
              <w:t>I confirm the reasons for my final decision to</w:t>
            </w:r>
            <w:r w:rsidRPr="00040842">
              <w:t xml:space="preserve"> amend the Schedule </w:t>
            </w:r>
            <w:r>
              <w:t>5</w:t>
            </w:r>
            <w:r w:rsidRPr="00040842">
              <w:t xml:space="preserve"> entry for </w:t>
            </w:r>
            <w:r>
              <w:t>lambda-cyhalothrin</w:t>
            </w:r>
            <w:r w:rsidRPr="00040842">
              <w:t xml:space="preserve"> to exclude </w:t>
            </w:r>
            <w:r w:rsidRPr="00E82394">
              <w:t>aqu</w:t>
            </w:r>
            <w:r>
              <w:t xml:space="preserve">eous preparations containing </w:t>
            </w:r>
            <w:r w:rsidRPr="00E82394">
              <w:t>10 per cent or less of microencapsulated lambda-cyhalothrin</w:t>
            </w:r>
            <w:r w:rsidRPr="00040842">
              <w:t xml:space="preserve"> from scheduling</w:t>
            </w:r>
            <w:r>
              <w:t xml:space="preserve"> are as detailed in my </w:t>
            </w:r>
            <w:hyperlink r:id="rId48" w:history="1">
              <w:r w:rsidRPr="00040842">
                <w:rPr>
                  <w:rStyle w:val="Hyperlink"/>
                </w:rPr>
                <w:t>interim decision</w:t>
              </w:r>
            </w:hyperlink>
            <w:r>
              <w:rPr>
                <w:rStyle w:val="Hyperlink"/>
                <w:color w:val="auto"/>
                <w:u w:val="none"/>
              </w:rPr>
              <w:t>. In making my final decision, I have taken into account the material detailed in the interim decision and have</w:t>
            </w:r>
            <w:r w:rsidR="00AB7647" w:rsidRPr="00040842">
              <w:t xml:space="preserve"> note</w:t>
            </w:r>
            <w:r w:rsidR="00FE710C">
              <w:t>d</w:t>
            </w:r>
            <w:r w:rsidR="00AB7647" w:rsidRPr="00040842">
              <w:t xml:space="preserve"> that no public submissions were received before the </w:t>
            </w:r>
            <w:hyperlink r:id="rId49" w:history="1">
              <w:r w:rsidR="00AB7647" w:rsidRPr="00040842">
                <w:rPr>
                  <w:rStyle w:val="Hyperlink"/>
                </w:rPr>
                <w:t>second closing date</w:t>
              </w:r>
            </w:hyperlink>
            <w:r w:rsidR="00AB7647" w:rsidRPr="00040842">
              <w:t xml:space="preserve"> in response to the call for further submissions published on 6 February 2020 under regulation 42ZCZP of the Regulations.</w:t>
            </w:r>
          </w:p>
          <w:p w14:paraId="019AC5DA" w14:textId="77777777" w:rsidR="00AB7647" w:rsidRDefault="00AB7647" w:rsidP="00190515">
            <w:pPr>
              <w:pStyle w:val="Heading4"/>
            </w:pPr>
            <w:r>
              <w:t>Summary of p</w:t>
            </w:r>
            <w:r w:rsidRPr="001A1B0E">
              <w:t>ublic submissions on the interim decision</w:t>
            </w:r>
          </w:p>
          <w:p w14:paraId="29A4EDE0" w14:textId="1D2E1B8A" w:rsidR="00AB7647" w:rsidRPr="00536FE7" w:rsidRDefault="00AB7647" w:rsidP="00536FE7">
            <w:pPr>
              <w:rPr>
                <w:rFonts w:eastAsia="Times New Roman"/>
                <w:bCs/>
                <w:szCs w:val="24"/>
              </w:rPr>
            </w:pPr>
            <w:r w:rsidRPr="00F46D3F">
              <w:t>No public submissions were received in response to the interim decision.</w:t>
            </w:r>
          </w:p>
          <w:p w14:paraId="37466E43" w14:textId="77777777" w:rsidR="00AB7647" w:rsidRDefault="00AB7647" w:rsidP="00190515">
            <w:pPr>
              <w:pStyle w:val="Heading4"/>
            </w:pPr>
            <w:r>
              <w:t>D</w:t>
            </w:r>
            <w:r w:rsidRPr="002E13B1">
              <w:t xml:space="preserve">ate of effect of the </w:t>
            </w:r>
            <w:r>
              <w:t>decision</w:t>
            </w:r>
          </w:p>
          <w:p w14:paraId="2400D50C" w14:textId="7F2B2A1E" w:rsidR="00AB7647" w:rsidRPr="00536FE7" w:rsidRDefault="00423457" w:rsidP="00221945">
            <w:pPr>
              <w:rPr>
                <w:b/>
              </w:rPr>
            </w:pPr>
            <w:sdt>
              <w:sdtPr>
                <w:rPr>
                  <w:b/>
                </w:rPr>
                <w:id w:val="23148738"/>
                <w:placeholder>
                  <w:docPart w:val="6BE994E608B44878AAF7891AAB785A7E"/>
                </w:placeholder>
                <w:date w:fullDate="2020-06-01T00:00:00Z">
                  <w:dateFormat w:val="d MMMM yyyy"/>
                  <w:lid w:val="en-AU"/>
                  <w:storeMappedDataAs w:val="dateTime"/>
                  <w:calendar w:val="gregorian"/>
                </w:date>
              </w:sdtPr>
              <w:sdtEndPr/>
              <w:sdtContent>
                <w:r w:rsidR="003B768D" w:rsidRPr="00221945">
                  <w:rPr>
                    <w:b/>
                  </w:rPr>
                  <w:t>1 June 2020</w:t>
                </w:r>
              </w:sdtContent>
            </w:sdt>
          </w:p>
        </w:tc>
      </w:tr>
    </w:tbl>
    <w:p w14:paraId="25FB1763" w14:textId="0B5C4DCF" w:rsidR="004E0CE7" w:rsidRPr="008036B7" w:rsidRDefault="007770D2" w:rsidP="00222802">
      <w:pPr>
        <w:pStyle w:val="Heading2"/>
        <w:pageBreakBefore/>
        <w:ind w:left="357" w:hanging="357"/>
      </w:pPr>
      <w:bookmarkStart w:id="24" w:name="_Toc39587420"/>
      <w:r w:rsidRPr="008036B7">
        <w:lastRenderedPageBreak/>
        <w:t xml:space="preserve">Final decision(s) </w:t>
      </w:r>
      <w:r w:rsidR="00F6096F" w:rsidRPr="008036B7">
        <w:t xml:space="preserve">(without interim decision) </w:t>
      </w:r>
      <w:r w:rsidRPr="008036B7">
        <w:t>made pursuant to regulation 42ZCZU</w:t>
      </w:r>
      <w:bookmarkEnd w:id="24"/>
    </w:p>
    <w:p w14:paraId="52B6AFEA" w14:textId="509103CD" w:rsidR="007770D2" w:rsidRDefault="007770D2" w:rsidP="008276C7">
      <w:pPr>
        <w:pStyle w:val="Heading3"/>
        <w:numPr>
          <w:ilvl w:val="1"/>
          <w:numId w:val="10"/>
        </w:numPr>
      </w:pPr>
      <w:bookmarkStart w:id="25" w:name="_Toc39587421"/>
      <w:r>
        <w:t>Final</w:t>
      </w:r>
      <w:r w:rsidRPr="00EE463E">
        <w:t xml:space="preserve"> decision in relation to </w:t>
      </w:r>
      <w:sdt>
        <w:sdtPr>
          <w:id w:val="-537282970"/>
          <w:placeholder>
            <w:docPart w:val="D596712D75F34643B8DE2E3B09944DEC"/>
          </w:placeholder>
        </w:sdtPr>
        <w:sdtEndPr/>
        <w:sdtContent>
          <w:r w:rsidR="00F033DB">
            <w:t>Acequinocyl</w:t>
          </w:r>
        </w:sdtContent>
      </w:sdt>
      <w:bookmarkEnd w:id="25"/>
    </w:p>
    <w:tbl>
      <w:tblPr>
        <w:tblStyle w:val="TableGrid"/>
        <w:tblW w:w="0" w:type="auto"/>
        <w:tblLook w:val="04A0" w:firstRow="1" w:lastRow="0" w:firstColumn="1" w:lastColumn="0" w:noHBand="0" w:noVBand="1"/>
      </w:tblPr>
      <w:tblGrid>
        <w:gridCol w:w="9628"/>
      </w:tblGrid>
      <w:tr w:rsidR="007770D2" w14:paraId="5814E420" w14:textId="77777777" w:rsidTr="004474D5">
        <w:tc>
          <w:tcPr>
            <w:tcW w:w="9854" w:type="dxa"/>
          </w:tcPr>
          <w:p w14:paraId="78CBACD2" w14:textId="1F2B42C8" w:rsidR="007770D2" w:rsidRPr="009600E9" w:rsidRDefault="008036B7" w:rsidP="008C31F9">
            <w:pPr>
              <w:pStyle w:val="Heading4"/>
              <w:keepNext w:val="0"/>
              <w:keepLines w:val="0"/>
              <w:widowControl w:val="0"/>
            </w:pPr>
            <w:r>
              <w:t>Final decision</w:t>
            </w:r>
          </w:p>
          <w:p w14:paraId="38B1F684" w14:textId="353C933A" w:rsidR="007770D2" w:rsidRDefault="00AB7800" w:rsidP="004474D5">
            <w:r>
              <w:t>Pursuant to regulation 42ZCZU of the Regulations</w:t>
            </w:r>
            <w:r w:rsidR="007770D2">
              <w:t xml:space="preserve">, a </w:t>
            </w:r>
            <w:r w:rsidR="008036B7">
              <w:t>D</w:t>
            </w:r>
            <w:r w:rsidR="007770D2">
              <w:t xml:space="preserve">elegate of the Secretary has made a final decision </w:t>
            </w:r>
            <w:r w:rsidR="00F033DB">
              <w:t>to amend the current Poisons Standard in rela</w:t>
            </w:r>
            <w:r w:rsidR="00FE3DC2">
              <w:t>tion to acequinocyl as follows:</w:t>
            </w:r>
          </w:p>
          <w:p w14:paraId="442A02C7" w14:textId="77777777" w:rsidR="00F033DB" w:rsidRPr="00A014D8" w:rsidRDefault="00F033DB" w:rsidP="00F033DB">
            <w:pPr>
              <w:ind w:left="426"/>
              <w:rPr>
                <w:b/>
              </w:rPr>
            </w:pPr>
            <w:r w:rsidRPr="00A014D8">
              <w:rPr>
                <w:b/>
              </w:rPr>
              <w:t>Schedule 5 – New Entry</w:t>
            </w:r>
          </w:p>
          <w:p w14:paraId="1AB9659C" w14:textId="77777777" w:rsidR="00F033DB" w:rsidRPr="00A014D8" w:rsidRDefault="00F033DB" w:rsidP="00F033DB">
            <w:pPr>
              <w:ind w:left="426"/>
              <w:rPr>
                <w:rFonts w:asciiTheme="minorHAnsi" w:hAnsiTheme="minorHAnsi" w:cstheme="minorHAnsi"/>
                <w:color w:val="FF0000"/>
                <w:szCs w:val="22"/>
              </w:rPr>
            </w:pPr>
            <w:r w:rsidRPr="00A014D8">
              <w:rPr>
                <w:rFonts w:asciiTheme="minorHAnsi" w:hAnsiTheme="minorHAnsi" w:cstheme="minorHAnsi"/>
                <w:color w:val="FF0000"/>
                <w:szCs w:val="22"/>
              </w:rPr>
              <w:t>ACEQUINOCYL</w:t>
            </w:r>
          </w:p>
          <w:p w14:paraId="557BD8ED" w14:textId="77777777" w:rsidR="00F033DB" w:rsidRPr="00A014D8" w:rsidRDefault="00F033DB" w:rsidP="00F033DB">
            <w:pPr>
              <w:ind w:left="426"/>
              <w:rPr>
                <w:b/>
              </w:rPr>
            </w:pPr>
            <w:r w:rsidRPr="00A014D8">
              <w:rPr>
                <w:b/>
              </w:rPr>
              <w:t>Index – New Entry</w:t>
            </w:r>
          </w:p>
          <w:p w14:paraId="0B3DF257" w14:textId="77777777" w:rsidR="00F033DB" w:rsidRPr="00A014D8" w:rsidRDefault="00F033DB" w:rsidP="00F033DB">
            <w:pPr>
              <w:ind w:left="426"/>
              <w:rPr>
                <w:rFonts w:asciiTheme="minorHAnsi" w:hAnsiTheme="minorHAnsi" w:cstheme="minorHAnsi"/>
                <w:b/>
                <w:color w:val="FF0000"/>
                <w:szCs w:val="22"/>
              </w:rPr>
            </w:pPr>
            <w:r w:rsidRPr="00A014D8">
              <w:rPr>
                <w:rFonts w:asciiTheme="minorHAnsi" w:hAnsiTheme="minorHAnsi" w:cstheme="minorHAnsi"/>
                <w:b/>
                <w:color w:val="FF0000"/>
                <w:szCs w:val="22"/>
              </w:rPr>
              <w:t>ACEQUINOCYL</w:t>
            </w:r>
          </w:p>
          <w:p w14:paraId="3EFF2E08" w14:textId="5450A623" w:rsidR="00F033DB" w:rsidRPr="00F033DB" w:rsidRDefault="00F033DB" w:rsidP="00F033DB">
            <w:pPr>
              <w:ind w:left="426"/>
              <w:rPr>
                <w:rFonts w:asciiTheme="minorHAnsi" w:hAnsiTheme="minorHAnsi" w:cstheme="minorHAnsi"/>
                <w:color w:val="FF0000"/>
                <w:szCs w:val="22"/>
              </w:rPr>
            </w:pPr>
            <w:r w:rsidRPr="00A014D8">
              <w:rPr>
                <w:rFonts w:asciiTheme="minorHAnsi" w:hAnsiTheme="minorHAnsi" w:cstheme="minorHAnsi"/>
                <w:color w:val="FF0000"/>
                <w:szCs w:val="22"/>
              </w:rPr>
              <w:t>Schedule 5</w:t>
            </w:r>
          </w:p>
          <w:p w14:paraId="3C7DB4DA" w14:textId="7A68A2DE" w:rsidR="007770D2" w:rsidRDefault="007770D2" w:rsidP="00190515">
            <w:pPr>
              <w:pStyle w:val="Heading4"/>
            </w:pPr>
            <w:r>
              <w:t>Reasons for the final decision (including findings on material que</w:t>
            </w:r>
            <w:r w:rsidR="008036B7">
              <w:t>stions of fact)</w:t>
            </w:r>
          </w:p>
          <w:p w14:paraId="3D8FE789" w14:textId="29D47B75" w:rsidR="007770D2" w:rsidRPr="00C07B3B" w:rsidRDefault="00F033DB" w:rsidP="00396360">
            <w:pPr>
              <w:pStyle w:val="Heading5"/>
            </w:pPr>
            <w:r w:rsidRPr="00C07B3B">
              <w:t>Materials considered</w:t>
            </w:r>
          </w:p>
          <w:p w14:paraId="6E00ABF0" w14:textId="25636A0A" w:rsidR="00F033DB" w:rsidRDefault="00F033DB" w:rsidP="00F033DB">
            <w:pPr>
              <w:rPr>
                <w:rFonts w:asciiTheme="minorHAnsi" w:hAnsiTheme="minorHAnsi"/>
              </w:rPr>
            </w:pPr>
            <w:r>
              <w:rPr>
                <w:rFonts w:asciiTheme="minorHAnsi" w:hAnsiTheme="minorHAnsi"/>
              </w:rPr>
              <w:t>In making this final decision, I</w:t>
            </w:r>
            <w:r w:rsidR="00FE3DC2">
              <w:rPr>
                <w:rFonts w:asciiTheme="minorHAnsi" w:hAnsiTheme="minorHAnsi"/>
              </w:rPr>
              <w:t xml:space="preserve"> have considered the following:</w:t>
            </w:r>
          </w:p>
          <w:p w14:paraId="2AD112CB" w14:textId="77777777" w:rsidR="00F033DB" w:rsidRDefault="00F033DB" w:rsidP="00FE3DC2">
            <w:pPr>
              <w:pStyle w:val="ListBullet"/>
            </w:pPr>
            <w:r>
              <w:t>The Applicant’s application to amend the current Poisons Standard with respect to</w:t>
            </w:r>
            <w:r w:rsidRPr="001F04EF">
              <w:t xml:space="preserve"> acequinocyle</w:t>
            </w:r>
            <w:r>
              <w:t>;</w:t>
            </w:r>
          </w:p>
          <w:p w14:paraId="31CAD249" w14:textId="77777777" w:rsidR="00F033DB" w:rsidRPr="00565166" w:rsidRDefault="00F033DB" w:rsidP="00FE3DC2">
            <w:pPr>
              <w:pStyle w:val="ListBullet"/>
            </w:pPr>
            <w:r w:rsidRPr="00565166">
              <w:t xml:space="preserve">Subsection 52E(1) of the </w:t>
            </w:r>
            <w:r w:rsidRPr="00565166">
              <w:rPr>
                <w:i/>
              </w:rPr>
              <w:t>Therapeutic Goods Act 1989</w:t>
            </w:r>
            <w:r w:rsidRPr="00565166">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r>
              <w:t>;</w:t>
            </w:r>
          </w:p>
          <w:p w14:paraId="4CF1FA82" w14:textId="77777777" w:rsidR="00F033DB" w:rsidRDefault="00F033DB" w:rsidP="00FE3DC2">
            <w:pPr>
              <w:pStyle w:val="ListBullet"/>
            </w:pPr>
            <w:r w:rsidRPr="00565166">
              <w:t xml:space="preserve">The Australian Health Ministers’ Advisory Council’s </w:t>
            </w:r>
            <w:hyperlink r:id="rId50" w:history="1">
              <w:r w:rsidRPr="00565166">
                <w:rPr>
                  <w:rStyle w:val="Hyperlink"/>
                  <w:rFonts w:asciiTheme="minorHAnsi" w:hAnsiTheme="minorHAnsi"/>
                </w:rPr>
                <w:t>Scheduling Policy Framework</w:t>
              </w:r>
            </w:hyperlink>
            <w:r w:rsidRPr="00565166">
              <w:t xml:space="preserve"> (SPF 2018)</w:t>
            </w:r>
            <w:r>
              <w:t>; and</w:t>
            </w:r>
          </w:p>
          <w:p w14:paraId="7A242BB5" w14:textId="77777777" w:rsidR="00F033DB" w:rsidRPr="000C67EE" w:rsidRDefault="00423457" w:rsidP="00F033DB">
            <w:pPr>
              <w:pStyle w:val="ListBullet"/>
            </w:pPr>
            <w:hyperlink r:id="rId51" w:history="1">
              <w:r w:rsidR="00F033DB">
                <w:rPr>
                  <w:rStyle w:val="Hyperlink"/>
                </w:rPr>
                <w:t>Scheduling Handbook</w:t>
              </w:r>
            </w:hyperlink>
            <w:r w:rsidR="00F033DB">
              <w:t xml:space="preserve"> (V 1.0, January 2018).</w:t>
            </w:r>
          </w:p>
          <w:p w14:paraId="7A0A93F7" w14:textId="77777777" w:rsidR="00F033DB" w:rsidRPr="00C07B3B" w:rsidRDefault="00F033DB" w:rsidP="00190515">
            <w:pPr>
              <w:pStyle w:val="Heading6"/>
              <w:rPr>
                <w:i/>
              </w:rPr>
            </w:pPr>
            <w:r w:rsidRPr="00C07B3B">
              <w:rPr>
                <w:i/>
              </w:rPr>
              <w:t>Findings on material questions of fact</w:t>
            </w:r>
          </w:p>
          <w:p w14:paraId="02DB62C5" w14:textId="10DB3CAF" w:rsidR="00F033DB" w:rsidRPr="00A014D8" w:rsidRDefault="00F033DB" w:rsidP="00F033DB">
            <w:r>
              <w:t>An application</w:t>
            </w:r>
            <w:r w:rsidRPr="00A014D8">
              <w:t xml:space="preserve"> was submitted by the Australian Pesticides and Veterinary Medicines Authority (APVMA) to amend the Poisons Standard with respect to </w:t>
            </w:r>
            <w:r w:rsidRPr="00A014D8">
              <w:rPr>
                <w:rFonts w:asciiTheme="minorHAnsi" w:hAnsiTheme="minorHAnsi" w:cstheme="majorHAnsi"/>
              </w:rPr>
              <w:t>acequinocyl</w:t>
            </w:r>
            <w:r w:rsidRPr="00A014D8">
              <w:t xml:space="preserve">. The application proposes to create a new Schedule 5 entry for </w:t>
            </w:r>
            <w:r w:rsidRPr="00A014D8">
              <w:rPr>
                <w:rFonts w:asciiTheme="minorHAnsi" w:hAnsiTheme="minorHAnsi" w:cstheme="majorHAnsi"/>
              </w:rPr>
              <w:t>acequinocyl in the Poisons Standard</w:t>
            </w:r>
            <w:r w:rsidRPr="00A014D8">
              <w:t>.</w:t>
            </w:r>
          </w:p>
          <w:p w14:paraId="3568D2BE" w14:textId="77777777" w:rsidR="00F033DB" w:rsidRPr="00A014D8" w:rsidRDefault="00F033DB" w:rsidP="00FE3DC2">
            <w:r w:rsidRPr="00A014D8">
              <w:t>The Applicant’s proposed amendments to the Poisons Standard are:</w:t>
            </w:r>
          </w:p>
          <w:p w14:paraId="11699F31" w14:textId="77777777" w:rsidR="00F033DB" w:rsidRPr="00A014D8" w:rsidRDefault="00F033DB" w:rsidP="00F033DB">
            <w:pPr>
              <w:ind w:left="426"/>
              <w:rPr>
                <w:b/>
              </w:rPr>
            </w:pPr>
            <w:r w:rsidRPr="00A014D8">
              <w:rPr>
                <w:b/>
              </w:rPr>
              <w:t>Schedule 5 – New Entry</w:t>
            </w:r>
          </w:p>
          <w:p w14:paraId="1C0CCEF4" w14:textId="77777777" w:rsidR="00F033DB" w:rsidRPr="00A014D8" w:rsidRDefault="00F033DB" w:rsidP="00F033DB">
            <w:pPr>
              <w:ind w:left="426"/>
              <w:rPr>
                <w:rFonts w:asciiTheme="minorHAnsi" w:hAnsiTheme="minorHAnsi" w:cstheme="minorHAnsi"/>
                <w:color w:val="FF0000"/>
                <w:szCs w:val="22"/>
              </w:rPr>
            </w:pPr>
            <w:r w:rsidRPr="00A014D8">
              <w:rPr>
                <w:rFonts w:asciiTheme="minorHAnsi" w:hAnsiTheme="minorHAnsi" w:cstheme="minorHAnsi"/>
                <w:color w:val="FF0000"/>
                <w:szCs w:val="22"/>
              </w:rPr>
              <w:t>ACEQUINOCYL</w:t>
            </w:r>
          </w:p>
          <w:p w14:paraId="326C2A4D" w14:textId="77777777" w:rsidR="00F033DB" w:rsidRPr="00A014D8" w:rsidRDefault="00F033DB" w:rsidP="00F033DB">
            <w:pPr>
              <w:ind w:left="426"/>
              <w:rPr>
                <w:b/>
              </w:rPr>
            </w:pPr>
            <w:r w:rsidRPr="00A014D8">
              <w:rPr>
                <w:b/>
              </w:rPr>
              <w:t>Index – New Entry</w:t>
            </w:r>
          </w:p>
          <w:p w14:paraId="7A9FA6A2" w14:textId="77777777" w:rsidR="00F033DB" w:rsidRPr="00A014D8" w:rsidRDefault="00F033DB" w:rsidP="00F033DB">
            <w:pPr>
              <w:ind w:left="426"/>
              <w:rPr>
                <w:rFonts w:asciiTheme="minorHAnsi" w:hAnsiTheme="minorHAnsi" w:cstheme="minorHAnsi"/>
                <w:b/>
                <w:color w:val="FF0000"/>
                <w:szCs w:val="22"/>
              </w:rPr>
            </w:pPr>
            <w:r w:rsidRPr="00A014D8">
              <w:rPr>
                <w:rFonts w:asciiTheme="minorHAnsi" w:hAnsiTheme="minorHAnsi" w:cstheme="minorHAnsi"/>
                <w:b/>
                <w:color w:val="FF0000"/>
                <w:szCs w:val="22"/>
              </w:rPr>
              <w:t>ACEQUINOCYL</w:t>
            </w:r>
          </w:p>
          <w:p w14:paraId="59C88CCF" w14:textId="77777777" w:rsidR="00F033DB" w:rsidRPr="00A014D8" w:rsidRDefault="00F033DB" w:rsidP="00F033DB">
            <w:pPr>
              <w:ind w:left="426"/>
              <w:rPr>
                <w:rFonts w:asciiTheme="minorHAnsi" w:hAnsiTheme="minorHAnsi" w:cstheme="minorHAnsi"/>
                <w:color w:val="FF0000"/>
                <w:szCs w:val="22"/>
              </w:rPr>
            </w:pPr>
            <w:r w:rsidRPr="00A014D8">
              <w:rPr>
                <w:rFonts w:asciiTheme="minorHAnsi" w:hAnsiTheme="minorHAnsi" w:cstheme="minorHAnsi"/>
                <w:color w:val="FF0000"/>
                <w:szCs w:val="22"/>
              </w:rPr>
              <w:t>Schedule 5</w:t>
            </w:r>
          </w:p>
          <w:p w14:paraId="7DCEDA0E" w14:textId="77777777" w:rsidR="00F033DB" w:rsidRPr="00A014D8" w:rsidRDefault="00F033DB" w:rsidP="00F033DB">
            <w:r w:rsidRPr="00A014D8">
              <w:t>The Applicant’s reasons for the proposal are:</w:t>
            </w:r>
          </w:p>
          <w:p w14:paraId="03904AC5" w14:textId="77777777" w:rsidR="00F033DB" w:rsidRPr="00FE3DC2" w:rsidRDefault="00F033DB" w:rsidP="00C07B3B">
            <w:pPr>
              <w:pStyle w:val="ListBullet"/>
              <w:spacing w:after="120"/>
              <w:ind w:left="357" w:hanging="357"/>
            </w:pPr>
            <w:r w:rsidRPr="00A014D8">
              <w:t>T</w:t>
            </w:r>
            <w:r w:rsidRPr="00FE3DC2">
              <w:t>he proposal is to consider a new substance, acequinocyl, which it is considered appropriate for inclusion in Schedule 5 of the Poisons Standard, based on sufficient toxicological data being available to recommend a scheduling decision.</w:t>
            </w:r>
          </w:p>
          <w:p w14:paraId="51910876" w14:textId="77777777" w:rsidR="00F033DB" w:rsidRPr="00A014D8" w:rsidRDefault="00F033DB" w:rsidP="00FE3DC2">
            <w:pPr>
              <w:pStyle w:val="ListBullet"/>
            </w:pPr>
            <w:r w:rsidRPr="00FE3DC2">
              <w:lastRenderedPageBreak/>
              <w:t>Acequino</w:t>
            </w:r>
            <w:r w:rsidRPr="00A014D8">
              <w:t>cyl belongs to the quinoline class of miticides and the mode of action is binding to the Qo centre of Complex III in the mitochondria of the mite cells and inhibiting electron transfer. Acequinocyl is a known Vitamin K antagonist and thereby is thought to disrupt blood coagulation.</w:t>
            </w:r>
          </w:p>
          <w:p w14:paraId="43FE66BE" w14:textId="77777777" w:rsidR="00F033DB" w:rsidRPr="00A014D8" w:rsidRDefault="00F033DB" w:rsidP="00FE3DC2">
            <w:pPr>
              <w:pStyle w:val="ListBullet"/>
            </w:pPr>
            <w:r w:rsidRPr="00A014D8">
              <w:t>Acequinocyl has low acute toxicity by oral, dermal and inhalational routes, although it resulted in evidence of significant respiratory irritation. It is a slight skin and eye irritant and although it was a skin sensitiser in the guinea pig via the Guinea Pig Maximisation Test (GPMT), it was not under the Buehler method, a method considered more relevant for occupational exposure.</w:t>
            </w:r>
          </w:p>
          <w:p w14:paraId="11B852A1" w14:textId="77777777" w:rsidR="00F033DB" w:rsidRPr="00A014D8" w:rsidRDefault="00F033DB" w:rsidP="00FE3DC2">
            <w:pPr>
              <w:pStyle w:val="ListBullet"/>
            </w:pPr>
            <w:r w:rsidRPr="00A014D8">
              <w:t xml:space="preserve">The active is not a developmental or reproductive toxicant, is not genotoxic in a battery of </w:t>
            </w:r>
            <w:r w:rsidRPr="00A014D8">
              <w:rPr>
                <w:i/>
              </w:rPr>
              <w:t>in vivo</w:t>
            </w:r>
            <w:r w:rsidRPr="00A014D8">
              <w:t xml:space="preserve"> and </w:t>
            </w:r>
            <w:r w:rsidRPr="00A014D8">
              <w:rPr>
                <w:i/>
              </w:rPr>
              <w:t>in vitro</w:t>
            </w:r>
            <w:r w:rsidRPr="00A014D8">
              <w:t xml:space="preserve"> assays and was not carcinogenic in life time studies in mice and rats. In repeat-dose studies in laboratory animals, </w:t>
            </w:r>
            <w:r w:rsidRPr="00A014D8">
              <w:rPr>
                <w:rFonts w:cs="TimesNewRoman"/>
              </w:rPr>
              <w:t>the primary target was the coagulation system, characterised by increased prothrombin time (PT), increased activated partial thromboplastin time (APTT) and internal haemorrhage.</w:t>
            </w:r>
          </w:p>
          <w:p w14:paraId="6746A887" w14:textId="6C6FAE52" w:rsidR="00F033DB" w:rsidRPr="00A014D8" w:rsidRDefault="00F033DB" w:rsidP="00FE3DC2">
            <w:pPr>
              <w:pStyle w:val="ListBullet"/>
            </w:pPr>
            <w:r w:rsidRPr="00A014D8">
              <w:t>Such effects were seen across the database which was largely administered by the oral route, but also following repeat dermal application in rats. Mechanistic studies showed prolonged PT and APTT in rats following a single dose, and the reversibility of these effects.</w:t>
            </w:r>
          </w:p>
          <w:p w14:paraId="1CBC2C2B" w14:textId="074E8662" w:rsidR="00F033DB" w:rsidRPr="00A014D8" w:rsidRDefault="00F033DB" w:rsidP="00FE3DC2">
            <w:pPr>
              <w:pStyle w:val="ListBullet"/>
            </w:pPr>
            <w:r w:rsidRPr="00A014D8">
              <w:t xml:space="preserve">The product, </w:t>
            </w:r>
            <w:r w:rsidRPr="00F033DB">
              <w:rPr>
                <w:highlight w:val="black"/>
              </w:rPr>
              <w:t>XXXXXXXX</w:t>
            </w:r>
            <w:r w:rsidRPr="00F033DB">
              <w:t xml:space="preserve"> </w:t>
            </w:r>
            <w:r w:rsidRPr="00F033DB">
              <w:rPr>
                <w:highlight w:val="black"/>
              </w:rPr>
              <w:t>XXXXXXXX</w:t>
            </w:r>
            <w:r w:rsidRPr="00A014D8">
              <w:t xml:space="preserve"> containing 156 g/L of acequinocyl has low acute toxicity by the oral, dermal and inhalational routes, is not a skin irritant, is slightly irritating to the eyes and is not a skin sensitiser in guinea pigs (Buehler method).</w:t>
            </w:r>
          </w:p>
          <w:p w14:paraId="79F74163" w14:textId="77777777" w:rsidR="00F033DB" w:rsidRPr="00880D04" w:rsidRDefault="00F033DB" w:rsidP="00FE3DC2">
            <w:pPr>
              <w:pStyle w:val="ListBullet"/>
            </w:pPr>
            <w:r w:rsidRPr="00A014D8">
              <w:t>The management of acequinocyl toxicological risks would be adequately achieved through a listing in Schedule 5 of the Poisons Standard with no cut-off or exemptions.</w:t>
            </w:r>
          </w:p>
          <w:p w14:paraId="1D947604" w14:textId="77777777" w:rsidR="00F033DB" w:rsidRPr="00C07B3B" w:rsidRDefault="00F033DB" w:rsidP="00FE3DC2">
            <w:pPr>
              <w:pStyle w:val="Heading6"/>
              <w:rPr>
                <w:i/>
              </w:rPr>
            </w:pPr>
            <w:r w:rsidRPr="00C07B3B">
              <w:rPr>
                <w:i/>
              </w:rPr>
              <w:t>Current scheduling status and scheduling history</w:t>
            </w:r>
          </w:p>
          <w:p w14:paraId="63804574" w14:textId="77777777" w:rsidR="00F033DB" w:rsidRPr="00A014D8" w:rsidRDefault="00F033DB" w:rsidP="00F033DB">
            <w:r w:rsidRPr="00A014D8">
              <w:rPr>
                <w:rFonts w:asciiTheme="minorHAnsi" w:hAnsiTheme="minorHAnsi" w:cstheme="minorHAnsi"/>
                <w:szCs w:val="22"/>
              </w:rPr>
              <w:t xml:space="preserve">Acequinocyl is not specifically scheduled </w:t>
            </w:r>
            <w:r>
              <w:rPr>
                <w:rFonts w:asciiTheme="minorHAnsi" w:hAnsiTheme="minorHAnsi" w:cstheme="minorHAnsi"/>
                <w:szCs w:val="22"/>
              </w:rPr>
              <w:t xml:space="preserve">in the current Poisons Standard and </w:t>
            </w:r>
            <w:r w:rsidRPr="00A014D8">
              <w:t>has not been previously considered for scheduling. Therefore, a scheduling history is not available.</w:t>
            </w:r>
          </w:p>
          <w:p w14:paraId="02E8EA08" w14:textId="0D18E0E2" w:rsidR="00F033DB" w:rsidRPr="00C07B3B" w:rsidRDefault="00FE3DC2" w:rsidP="00FE3DC2">
            <w:pPr>
              <w:pStyle w:val="Heading6"/>
              <w:rPr>
                <w:i/>
              </w:rPr>
            </w:pPr>
            <w:r w:rsidRPr="00C07B3B">
              <w:rPr>
                <w:i/>
              </w:rPr>
              <w:t>Australian regulations</w:t>
            </w:r>
          </w:p>
          <w:p w14:paraId="3C66EDA1" w14:textId="031A5F50" w:rsidR="00F033DB" w:rsidRPr="00A014D8" w:rsidRDefault="00F033DB" w:rsidP="00FE3DC2">
            <w:pPr>
              <w:pStyle w:val="ListBullet"/>
            </w:pPr>
            <w:r w:rsidRPr="00A014D8">
              <w:t xml:space="preserve">Acequinocyl is not available for use as an active ingredient in human therapeutic products as it is not listed in the </w:t>
            </w:r>
            <w:hyperlink r:id="rId52" w:history="1">
              <w:r w:rsidRPr="00A014D8">
                <w:rPr>
                  <w:rStyle w:val="Hyperlink"/>
                </w:rPr>
                <w:t>TGA Ingredient Database</w:t>
              </w:r>
            </w:hyperlink>
            <w:r w:rsidRPr="00A014D8">
              <w:t>.</w:t>
            </w:r>
            <w:r w:rsidRPr="00A014D8">
              <w:rPr>
                <w:rStyle w:val="FootnoteReference"/>
              </w:rPr>
              <w:footnoteReference w:id="16"/>
            </w:r>
          </w:p>
          <w:p w14:paraId="53B70039" w14:textId="4B925A61" w:rsidR="00F033DB" w:rsidRPr="00FE3DC2" w:rsidRDefault="00F033DB" w:rsidP="00FE3DC2">
            <w:pPr>
              <w:pStyle w:val="ListBullet"/>
            </w:pPr>
            <w:r w:rsidRPr="00A014D8">
              <w:t xml:space="preserve">There are currently no medicines active on the </w:t>
            </w:r>
            <w:hyperlink r:id="rId53" w:history="1">
              <w:r w:rsidRPr="00A014D8">
                <w:rPr>
                  <w:rStyle w:val="Hyperlink"/>
                </w:rPr>
                <w:t>Australian Register of Therapeutic Goods (ARTG)</w:t>
              </w:r>
            </w:hyperlink>
            <w:r w:rsidRPr="00A014D8">
              <w:rPr>
                <w:rStyle w:val="FootnoteReference"/>
              </w:rPr>
              <w:footnoteReference w:id="17"/>
            </w:r>
            <w:r w:rsidRPr="00A014D8">
              <w:t xml:space="preserve"> that contain acequinoc</w:t>
            </w:r>
            <w:r w:rsidR="00FE3DC2">
              <w:t>yl as an active ingredient.</w:t>
            </w:r>
          </w:p>
          <w:p w14:paraId="2E90672C" w14:textId="23E2666B" w:rsidR="00F033DB" w:rsidRPr="00A014D8" w:rsidRDefault="00F033DB" w:rsidP="00FE3DC2">
            <w:pPr>
              <w:pStyle w:val="ListBullet"/>
            </w:pPr>
            <w:r w:rsidRPr="00A014D8">
              <w:t xml:space="preserve">Acequinocyl is not permitted to be included in listed medicines as it is not included in the </w:t>
            </w:r>
            <w:hyperlink r:id="rId54" w:history="1">
              <w:r w:rsidRPr="00A014D8">
                <w:rPr>
                  <w:rStyle w:val="Hyperlink"/>
                </w:rPr>
                <w:t>Therapeutic Goods (Permissible Ingredients) Determination</w:t>
              </w:r>
            </w:hyperlink>
            <w:r w:rsidRPr="00A014D8">
              <w:rPr>
                <w:rStyle w:val="FootnoteReference"/>
              </w:rPr>
              <w:footnoteReference w:id="18"/>
            </w:r>
            <w:r w:rsidRPr="00A014D8">
              <w:t xml:space="preserve"> No.</w:t>
            </w:r>
            <w:r w:rsidR="00B64423">
              <w:t>1</w:t>
            </w:r>
            <w:r w:rsidRPr="00A014D8">
              <w:t xml:space="preserve"> of 20</w:t>
            </w:r>
            <w:r w:rsidR="00B64423">
              <w:t>20</w:t>
            </w:r>
            <w:r w:rsidR="00FE3DC2">
              <w:t>.</w:t>
            </w:r>
          </w:p>
          <w:p w14:paraId="74D2BC00" w14:textId="77777777" w:rsidR="00F033DB" w:rsidRPr="00A014D8" w:rsidRDefault="00F033DB" w:rsidP="00FE3DC2">
            <w:pPr>
              <w:pStyle w:val="ListBullet"/>
            </w:pPr>
            <w:r w:rsidRPr="00A014D8">
              <w:t xml:space="preserve">Acequinocyl is not listed on the </w:t>
            </w:r>
            <w:hyperlink r:id="rId55" w:history="1">
              <w:r w:rsidRPr="00A014D8">
                <w:rPr>
                  <w:rStyle w:val="Hyperlink"/>
                </w:rPr>
                <w:t>TGA prescribing medicines in pregnancy database</w:t>
              </w:r>
            </w:hyperlink>
            <w:r w:rsidRPr="007A7362">
              <w:t>.</w:t>
            </w:r>
            <w:r w:rsidRPr="00A014D8">
              <w:rPr>
                <w:rStyle w:val="FootnoteReference"/>
              </w:rPr>
              <w:footnoteReference w:id="19"/>
            </w:r>
          </w:p>
          <w:p w14:paraId="538354F8" w14:textId="77777777" w:rsidR="00F033DB" w:rsidRPr="00A014D8" w:rsidRDefault="00F033DB" w:rsidP="00FE3DC2">
            <w:pPr>
              <w:pStyle w:val="ListBullet"/>
            </w:pPr>
            <w:r w:rsidRPr="00A014D8">
              <w:t xml:space="preserve">The </w:t>
            </w:r>
            <w:hyperlink r:id="rId56" w:history="1">
              <w:r w:rsidRPr="00A014D8">
                <w:rPr>
                  <w:rStyle w:val="Hyperlink"/>
                </w:rPr>
                <w:t>Therapeutic Goods (Medicines Advisory Statements) Specification 2019</w:t>
              </w:r>
            </w:hyperlink>
            <w:r w:rsidRPr="00A014D8">
              <w:rPr>
                <w:rStyle w:val="FootnoteReference"/>
              </w:rPr>
              <w:footnoteReference w:id="20"/>
            </w:r>
            <w:r w:rsidRPr="00A014D8">
              <w:t xml:space="preserve"> does not contain warning statements pertaining to acequinocyl.</w:t>
            </w:r>
          </w:p>
          <w:p w14:paraId="705F896E" w14:textId="77777777" w:rsidR="00F033DB" w:rsidRPr="00FE3DC2" w:rsidRDefault="00F033DB" w:rsidP="00FE3DC2">
            <w:pPr>
              <w:pStyle w:val="ListBullet"/>
              <w:jc w:val="both"/>
            </w:pPr>
            <w:r w:rsidRPr="00A014D8">
              <w:t xml:space="preserve">There are no adverse events reported for acequinocyl on the </w:t>
            </w:r>
            <w:hyperlink r:id="rId57" w:history="1">
              <w:r w:rsidRPr="00A014D8">
                <w:rPr>
                  <w:rStyle w:val="Hyperlink"/>
                </w:rPr>
                <w:t>Database of Adverse Event Notifications (DAEN)</w:t>
              </w:r>
            </w:hyperlink>
            <w:r w:rsidRPr="007A7362">
              <w:t>.</w:t>
            </w:r>
            <w:r w:rsidRPr="00A014D8">
              <w:rPr>
                <w:rStyle w:val="FootnoteReference"/>
              </w:rPr>
              <w:footnoteReference w:id="21"/>
            </w:r>
          </w:p>
          <w:p w14:paraId="1C282AE9" w14:textId="6678698F" w:rsidR="00F033DB" w:rsidRPr="007E234E" w:rsidRDefault="00F033DB" w:rsidP="00FE3DC2">
            <w:pPr>
              <w:pStyle w:val="ListBullet"/>
            </w:pPr>
            <w:r w:rsidRPr="00A014D8">
              <w:t xml:space="preserve">There are no products containing acequinocyl as an active ingredient that are listed on the </w:t>
            </w:r>
            <w:hyperlink r:id="rId58" w:history="1">
              <w:r w:rsidRPr="00A014D8">
                <w:rPr>
                  <w:rStyle w:val="Hyperlink"/>
                </w:rPr>
                <w:t>Public Chemical Registration Information System Search (PubCRIS)</w:t>
              </w:r>
            </w:hyperlink>
            <w:r w:rsidRPr="00A014D8">
              <w:t>.</w:t>
            </w:r>
            <w:r w:rsidRPr="00A014D8">
              <w:rPr>
                <w:rStyle w:val="FootnoteReference"/>
              </w:rPr>
              <w:footnoteReference w:id="22"/>
            </w:r>
          </w:p>
          <w:p w14:paraId="4C03007D" w14:textId="77777777" w:rsidR="00F033DB" w:rsidRPr="00C07B3B" w:rsidRDefault="00F033DB" w:rsidP="00FE3DC2">
            <w:pPr>
              <w:pStyle w:val="Heading6"/>
              <w:rPr>
                <w:i/>
              </w:rPr>
            </w:pPr>
            <w:bookmarkStart w:id="26" w:name="_Toc468284153"/>
            <w:bookmarkStart w:id="27" w:name="_Toc486934451"/>
            <w:r w:rsidRPr="00C07B3B">
              <w:rPr>
                <w:i/>
              </w:rPr>
              <w:lastRenderedPageBreak/>
              <w:t>International regulations</w:t>
            </w:r>
            <w:bookmarkEnd w:id="26"/>
            <w:bookmarkEnd w:id="27"/>
          </w:p>
          <w:p w14:paraId="2A369F11" w14:textId="77777777" w:rsidR="00F033DB" w:rsidRPr="00A014D8" w:rsidRDefault="00F033DB" w:rsidP="00FE3DC2">
            <w:pPr>
              <w:pStyle w:val="ListBullet"/>
            </w:pPr>
            <w:r w:rsidRPr="00A014D8">
              <w:t xml:space="preserve">Acequinocyl is classified as </w:t>
            </w:r>
            <w:hyperlink r:id="rId59" w:history="1">
              <w:r w:rsidRPr="0023234F">
                <w:rPr>
                  <w:rStyle w:val="Hyperlink"/>
                  <w:szCs w:val="22"/>
                </w:rPr>
                <w:t>Group 20B Miticide</w:t>
              </w:r>
            </w:hyperlink>
            <w:r>
              <w:rPr>
                <w:rStyle w:val="FootnoteReference"/>
                <w:szCs w:val="22"/>
              </w:rPr>
              <w:footnoteReference w:id="23"/>
            </w:r>
            <w:r w:rsidRPr="00A014D8">
              <w:t xml:space="preserve"> (Insecticide Resistance Action Committee, 2005).</w:t>
            </w:r>
          </w:p>
          <w:p w14:paraId="0C8118FC" w14:textId="55E47B5A" w:rsidR="00F033DB" w:rsidRPr="00A014D8" w:rsidRDefault="00F033DB" w:rsidP="00FE3DC2">
            <w:pPr>
              <w:pStyle w:val="ListBullet"/>
            </w:pPr>
            <w:r w:rsidRPr="00A014D8">
              <w:t xml:space="preserve">As of September 2003, acequinocyl is registered as an active ingredient for use in pesticides in the United States according to the </w:t>
            </w:r>
            <w:hyperlink r:id="rId60" w:history="1">
              <w:r w:rsidRPr="00A014D8">
                <w:rPr>
                  <w:rStyle w:val="Hyperlink"/>
                  <w:szCs w:val="22"/>
                </w:rPr>
                <w:t>United States (U.S) Environmental Protection Agency</w:t>
              </w:r>
            </w:hyperlink>
            <w:r w:rsidRPr="00A014D8">
              <w:rPr>
                <w:rStyle w:val="FootnoteReference"/>
                <w:szCs w:val="22"/>
              </w:rPr>
              <w:footnoteReference w:id="24"/>
            </w:r>
            <w:r w:rsidR="00FE3DC2">
              <w:t>.</w:t>
            </w:r>
          </w:p>
          <w:p w14:paraId="4FA82BCD" w14:textId="41F4B9A9" w:rsidR="00F033DB" w:rsidRPr="00FE3DC2" w:rsidRDefault="00F033DB" w:rsidP="00FE3DC2">
            <w:pPr>
              <w:pStyle w:val="ListBullet"/>
            </w:pPr>
            <w:r w:rsidRPr="00A014D8">
              <w:t xml:space="preserve">Acequinocyl is currently registered to </w:t>
            </w:r>
            <w:r w:rsidRPr="00F033DB">
              <w:rPr>
                <w:highlight w:val="black"/>
              </w:rPr>
              <w:t>XXXXXX</w:t>
            </w:r>
            <w:r>
              <w:t xml:space="preserve"> </w:t>
            </w:r>
            <w:r w:rsidRPr="00F033DB">
              <w:rPr>
                <w:highlight w:val="black"/>
              </w:rPr>
              <w:t>XXXXXXXXXXX</w:t>
            </w:r>
            <w:r>
              <w:t xml:space="preserve"> </w:t>
            </w:r>
            <w:r w:rsidRPr="00F033DB">
              <w:rPr>
                <w:highlight w:val="black"/>
              </w:rPr>
              <w:t>XXXXX</w:t>
            </w:r>
            <w:r>
              <w:t xml:space="preserve"> </w:t>
            </w:r>
            <w:r w:rsidRPr="00F033DB">
              <w:rPr>
                <w:highlight w:val="black"/>
              </w:rPr>
              <w:t>XXXXXXX</w:t>
            </w:r>
            <w:r>
              <w:t xml:space="preserve"> </w:t>
            </w:r>
            <w:r w:rsidRPr="00F033DB">
              <w:rPr>
                <w:highlight w:val="black"/>
              </w:rPr>
              <w:t>XXXXXXXXXXXX</w:t>
            </w:r>
            <w:r w:rsidRPr="00A014D8">
              <w:t xml:space="preserve"> as a 15% soluble-concentrate (SC) formulation.</w:t>
            </w:r>
          </w:p>
          <w:p w14:paraId="01A5306B" w14:textId="77777777" w:rsidR="00F033DB" w:rsidRPr="00FE3DC2" w:rsidRDefault="00F033DB" w:rsidP="00FE3DC2">
            <w:pPr>
              <w:pStyle w:val="ListBullet"/>
            </w:pPr>
            <w:r w:rsidRPr="00FE3DC2">
              <w:t>Th</w:t>
            </w:r>
            <w:r w:rsidRPr="00A014D8">
              <w:t xml:space="preserve">e </w:t>
            </w:r>
            <w:hyperlink r:id="rId61" w:history="1">
              <w:r w:rsidRPr="00A014D8">
                <w:rPr>
                  <w:rStyle w:val="Hyperlink"/>
                  <w:szCs w:val="22"/>
                </w:rPr>
                <w:t>European Chemicals Agency (ECHA)</w:t>
              </w:r>
            </w:hyperlink>
            <w:r w:rsidRPr="00FE3DC2">
              <w:rPr>
                <w:rStyle w:val="FootnoteReference"/>
                <w:szCs w:val="22"/>
              </w:rPr>
              <w:footnoteReference w:id="25"/>
            </w:r>
            <w:r w:rsidRPr="00FE3DC2">
              <w:t xml:space="preserve"> </w:t>
            </w:r>
            <w:r w:rsidRPr="00A014D8">
              <w:t xml:space="preserve">hazard </w:t>
            </w:r>
            <w:r w:rsidRPr="00FE3DC2">
              <w:t>cl</w:t>
            </w:r>
            <w:r w:rsidRPr="00A014D8">
              <w:t>assification and labelling for acequinocyl identifies it as ‘</w:t>
            </w:r>
            <w:r w:rsidRPr="00A014D8">
              <w:rPr>
                <w:i/>
              </w:rPr>
              <w:t>Danger! According to the harmonised classification and labelling (ATP03) approved by the European Union, this substance causes damage to organs, is very toxic to aquatic life, is very toxic to aquatic life with long lasting effects and may cause an allergic skin reaction</w:t>
            </w:r>
            <w:r w:rsidRPr="00A014D8">
              <w:t>’.</w:t>
            </w:r>
          </w:p>
          <w:p w14:paraId="393F1D49" w14:textId="77777777" w:rsidR="00F033DB" w:rsidRPr="00A014D8" w:rsidRDefault="00F033DB" w:rsidP="00FE3DC2">
            <w:pPr>
              <w:pStyle w:val="ListBullet"/>
              <w:rPr>
                <w:szCs w:val="22"/>
              </w:rPr>
            </w:pPr>
            <w:r w:rsidRPr="00FE3DC2">
              <w:t>In New Zealand, there are no registered products cont</w:t>
            </w:r>
            <w:r w:rsidRPr="00A014D8">
              <w:t xml:space="preserve">aining acequinocyl according to the </w:t>
            </w:r>
            <w:hyperlink r:id="rId62" w:history="1">
              <w:r w:rsidRPr="00A014D8">
                <w:rPr>
                  <w:rStyle w:val="Hyperlink"/>
                </w:rPr>
                <w:t>New Zealand Medicines and Medical Devices Safety Authority (</w:t>
              </w:r>
              <w:r w:rsidRPr="00A014D8">
                <w:rPr>
                  <w:rStyle w:val="Hyperlink"/>
                  <w:szCs w:val="22"/>
                </w:rPr>
                <w:t>MedSafe)</w:t>
              </w:r>
            </w:hyperlink>
            <w:r w:rsidRPr="00A014D8">
              <w:rPr>
                <w:rStyle w:val="FootnoteReference"/>
                <w:szCs w:val="22"/>
              </w:rPr>
              <w:footnoteReference w:id="26"/>
            </w:r>
            <w:r w:rsidRPr="00A014D8">
              <w:t xml:space="preserve"> and the </w:t>
            </w:r>
            <w:hyperlink r:id="rId63" w:history="1">
              <w:r w:rsidRPr="00A014D8">
                <w:rPr>
                  <w:rStyle w:val="Hyperlink"/>
                </w:rPr>
                <w:t>New Zealand Inventory of Chemicals (NZIoC)</w:t>
              </w:r>
            </w:hyperlink>
            <w:r w:rsidRPr="00AE300B">
              <w:t>.</w:t>
            </w:r>
            <w:r w:rsidRPr="00A014D8">
              <w:rPr>
                <w:rStyle w:val="FootnoteReference"/>
              </w:rPr>
              <w:footnoteReference w:id="27"/>
            </w:r>
          </w:p>
          <w:p w14:paraId="45535E00" w14:textId="089C7187" w:rsidR="00F033DB" w:rsidRPr="007E234E" w:rsidRDefault="00F033DB" w:rsidP="00FE3DC2">
            <w:pPr>
              <w:pStyle w:val="ListBullet"/>
              <w:rPr>
                <w:szCs w:val="22"/>
              </w:rPr>
            </w:pPr>
            <w:r w:rsidRPr="00A014D8">
              <w:rPr>
                <w:szCs w:val="22"/>
              </w:rPr>
              <w:t xml:space="preserve">In Canada, acequinocyl is registered as an active ingredient in 3 registered products on </w:t>
            </w:r>
            <w:hyperlink r:id="rId64" w:history="1">
              <w:r w:rsidRPr="00A014D8">
                <w:rPr>
                  <w:rStyle w:val="Hyperlink"/>
                </w:rPr>
                <w:t>Canada’s Pest Management Regulation Agency</w:t>
              </w:r>
            </w:hyperlink>
            <w:r w:rsidRPr="00AE300B">
              <w:t>.</w:t>
            </w:r>
            <w:r w:rsidRPr="00A014D8">
              <w:rPr>
                <w:rStyle w:val="FootnoteReference"/>
              </w:rPr>
              <w:footnoteReference w:id="28"/>
            </w:r>
            <w:r w:rsidRPr="00A014D8">
              <w:rPr>
                <w:szCs w:val="22"/>
              </w:rPr>
              <w:t xml:space="preserve"> There are no registered medicines containing </w:t>
            </w:r>
            <w:r w:rsidRPr="00A014D8">
              <w:t>acequinocyl according to the</w:t>
            </w:r>
            <w:r w:rsidRPr="00A014D8">
              <w:rPr>
                <w:szCs w:val="22"/>
              </w:rPr>
              <w:t xml:space="preserve"> </w:t>
            </w:r>
            <w:hyperlink r:id="rId65" w:history="1">
              <w:r w:rsidRPr="00A014D8">
                <w:rPr>
                  <w:rStyle w:val="Hyperlink"/>
                </w:rPr>
                <w:t>Canadian (Health Canada) Drug Product Database</w:t>
              </w:r>
            </w:hyperlink>
            <w:r w:rsidRPr="00AE300B">
              <w:t>.</w:t>
            </w:r>
            <w:r w:rsidRPr="00A014D8">
              <w:rPr>
                <w:rStyle w:val="FootnoteReference"/>
              </w:rPr>
              <w:footnoteReference w:id="29"/>
            </w:r>
          </w:p>
          <w:p w14:paraId="2A49FB32" w14:textId="77777777" w:rsidR="00F033DB" w:rsidRPr="00C07B3B" w:rsidRDefault="00F033DB" w:rsidP="00FE3DC2">
            <w:pPr>
              <w:pStyle w:val="Heading6"/>
              <w:rPr>
                <w:i/>
              </w:rPr>
            </w:pPr>
            <w:r w:rsidRPr="00C07B3B">
              <w:rPr>
                <w:i/>
              </w:rPr>
              <w:t>Substance summary</w:t>
            </w:r>
          </w:p>
          <w:p w14:paraId="733674CB" w14:textId="77777777" w:rsidR="00F033DB" w:rsidRPr="00A014D8" w:rsidRDefault="00F033DB" w:rsidP="00F033DB">
            <w:pPr>
              <w:keepNext/>
              <w:keepLines/>
            </w:pPr>
            <w:r w:rsidRPr="00A014D8">
              <w:t>Acequinocyl is a new active constituent which is not currently scheduled in the Poisons Standard. Acequinocyl is in the quinoline class of miticides and is for the control of certain mites in pome and stone fruits. Toxicity studies on acequinocyl and its product have been submitted to the APVMA in support of the active approval and product registration.</w:t>
            </w:r>
          </w:p>
          <w:p w14:paraId="0B2B8277" w14:textId="77777777" w:rsidR="00F033DB" w:rsidRPr="00A014D8" w:rsidRDefault="00F033DB" w:rsidP="00F033DB">
            <w:pPr>
              <w:pStyle w:val="TableTitle"/>
              <w:keepNext/>
              <w:keepLines/>
            </w:pPr>
            <w:r w:rsidRPr="00A014D8">
              <w:t>Table 1: Chemical information for acequinocyl</w:t>
            </w:r>
          </w:p>
          <w:tbl>
            <w:tblPr>
              <w:tblStyle w:val="TableTGAblue"/>
              <w:tblW w:w="9639" w:type="dxa"/>
              <w:tblInd w:w="108" w:type="dxa"/>
              <w:tblLook w:val="04A0" w:firstRow="1" w:lastRow="0" w:firstColumn="1" w:lastColumn="0" w:noHBand="0" w:noVBand="1"/>
            </w:tblPr>
            <w:tblGrid>
              <w:gridCol w:w="3402"/>
              <w:gridCol w:w="6237"/>
            </w:tblGrid>
            <w:tr w:rsidR="00F033DB" w:rsidRPr="00A014D8" w14:paraId="3C63E8BD" w14:textId="77777777" w:rsidTr="00F3404B">
              <w:trPr>
                <w:cnfStyle w:val="100000000000" w:firstRow="1" w:lastRow="0" w:firstColumn="0" w:lastColumn="0" w:oddVBand="0" w:evenVBand="0" w:oddHBand="0" w:evenHBand="0" w:firstRowFirstColumn="0" w:firstRowLastColumn="0" w:lastRowFirstColumn="0" w:lastRowLastColumn="0"/>
              </w:trPr>
              <w:tc>
                <w:tcPr>
                  <w:tcW w:w="3402" w:type="dxa"/>
                  <w:vAlign w:val="center"/>
                </w:tcPr>
                <w:p w14:paraId="1F38C64E" w14:textId="77777777" w:rsidR="00F033DB" w:rsidRPr="00A014D8" w:rsidRDefault="00F033DB" w:rsidP="00F033DB">
                  <w:pPr>
                    <w:rPr>
                      <w:sz w:val="20"/>
                      <w:szCs w:val="20"/>
                    </w:rPr>
                  </w:pPr>
                  <w:r w:rsidRPr="00A014D8">
                    <w:rPr>
                      <w:sz w:val="20"/>
                      <w:szCs w:val="20"/>
                    </w:rPr>
                    <w:t>Property</w:t>
                  </w:r>
                </w:p>
              </w:tc>
              <w:tc>
                <w:tcPr>
                  <w:tcW w:w="6237" w:type="dxa"/>
                  <w:vAlign w:val="center"/>
                </w:tcPr>
                <w:p w14:paraId="601C6537" w14:textId="77777777" w:rsidR="00F033DB" w:rsidRPr="00A014D8" w:rsidRDefault="00F033DB" w:rsidP="00F033DB">
                  <w:pPr>
                    <w:keepNext/>
                    <w:keepLines/>
                    <w:rPr>
                      <w:sz w:val="20"/>
                      <w:szCs w:val="20"/>
                      <w:lang w:eastAsia="en-US"/>
                    </w:rPr>
                  </w:pPr>
                  <w:r w:rsidRPr="00A014D8">
                    <w:rPr>
                      <w:sz w:val="20"/>
                      <w:szCs w:val="20"/>
                    </w:rPr>
                    <w:t>Acequinocyl</w:t>
                  </w:r>
                </w:p>
              </w:tc>
            </w:tr>
            <w:tr w:rsidR="00F033DB" w:rsidRPr="00A014D8" w14:paraId="5317AE14" w14:textId="77777777" w:rsidTr="00F3404B">
              <w:tc>
                <w:tcPr>
                  <w:tcW w:w="3402" w:type="dxa"/>
                </w:tcPr>
                <w:p w14:paraId="5FE47ADE" w14:textId="77777777" w:rsidR="00F033DB" w:rsidRPr="00A014D8" w:rsidRDefault="00F033DB" w:rsidP="00F033DB">
                  <w:pPr>
                    <w:rPr>
                      <w:sz w:val="20"/>
                      <w:szCs w:val="20"/>
                    </w:rPr>
                  </w:pPr>
                  <w:r w:rsidRPr="00A014D8">
                    <w:rPr>
                      <w:sz w:val="20"/>
                      <w:szCs w:val="20"/>
                    </w:rPr>
                    <w:t>Chemical structure</w:t>
                  </w:r>
                </w:p>
              </w:tc>
              <w:tc>
                <w:tcPr>
                  <w:tcW w:w="6237" w:type="dxa"/>
                </w:tcPr>
                <w:p w14:paraId="5B4A792E" w14:textId="77777777" w:rsidR="00F033DB" w:rsidRPr="00A014D8" w:rsidRDefault="00F033DB" w:rsidP="00F033DB">
                  <w:pPr>
                    <w:keepNext/>
                    <w:keepLines/>
                    <w:rPr>
                      <w:sz w:val="20"/>
                      <w:szCs w:val="20"/>
                    </w:rPr>
                  </w:pPr>
                  <w:r>
                    <w:rPr>
                      <w:noProof/>
                    </w:rPr>
                    <w:drawing>
                      <wp:inline distT="0" distB="0" distL="0" distR="0" wp14:anchorId="2843ABF4" wp14:editId="472867D6">
                        <wp:extent cx="1438578" cy="960307"/>
                        <wp:effectExtent l="0" t="0" r="9525" b="0"/>
                        <wp:docPr id="2" name="Picture 2" title="Chemical structure of acequinoc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equinocyl structure from EFSA 2013.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452319" cy="969480"/>
                                </a:xfrm>
                                <a:prstGeom prst="rect">
                                  <a:avLst/>
                                </a:prstGeom>
                              </pic:spPr>
                            </pic:pic>
                          </a:graphicData>
                        </a:graphic>
                      </wp:inline>
                    </w:drawing>
                  </w:r>
                </w:p>
              </w:tc>
            </w:tr>
            <w:tr w:rsidR="00F033DB" w:rsidRPr="00A014D8" w14:paraId="225E068E" w14:textId="77777777" w:rsidTr="00F3404B">
              <w:tc>
                <w:tcPr>
                  <w:tcW w:w="3402" w:type="dxa"/>
                </w:tcPr>
                <w:p w14:paraId="4E7E2356" w14:textId="77777777" w:rsidR="00F033DB" w:rsidRPr="00A014D8" w:rsidRDefault="00F033DB" w:rsidP="00F033DB">
                  <w:pPr>
                    <w:rPr>
                      <w:sz w:val="20"/>
                      <w:szCs w:val="20"/>
                    </w:rPr>
                  </w:pPr>
                  <w:r w:rsidRPr="00A014D8">
                    <w:rPr>
                      <w:sz w:val="20"/>
                      <w:szCs w:val="20"/>
                    </w:rPr>
                    <w:t>Molecular formula</w:t>
                  </w:r>
                </w:p>
              </w:tc>
              <w:tc>
                <w:tcPr>
                  <w:tcW w:w="6237" w:type="dxa"/>
                </w:tcPr>
                <w:p w14:paraId="581E6D90" w14:textId="77777777" w:rsidR="00F033DB" w:rsidRPr="00A014D8" w:rsidRDefault="00F033DB" w:rsidP="00F033DB">
                  <w:pPr>
                    <w:keepNext/>
                    <w:keepLines/>
                    <w:rPr>
                      <w:noProof/>
                      <w:sz w:val="20"/>
                      <w:szCs w:val="20"/>
                    </w:rPr>
                  </w:pPr>
                  <w:r w:rsidRPr="00A014D8">
                    <w:rPr>
                      <w:noProof/>
                      <w:sz w:val="20"/>
                      <w:szCs w:val="20"/>
                    </w:rPr>
                    <w:t>C</w:t>
                  </w:r>
                  <w:r w:rsidRPr="00A014D8">
                    <w:rPr>
                      <w:noProof/>
                      <w:sz w:val="20"/>
                      <w:szCs w:val="20"/>
                      <w:vertAlign w:val="subscript"/>
                    </w:rPr>
                    <w:t>24</w:t>
                  </w:r>
                  <w:r w:rsidRPr="00A014D8">
                    <w:rPr>
                      <w:noProof/>
                      <w:sz w:val="20"/>
                      <w:szCs w:val="20"/>
                    </w:rPr>
                    <w:t>H</w:t>
                  </w:r>
                  <w:r w:rsidRPr="00A014D8">
                    <w:rPr>
                      <w:noProof/>
                      <w:sz w:val="20"/>
                      <w:szCs w:val="20"/>
                      <w:vertAlign w:val="subscript"/>
                    </w:rPr>
                    <w:t>32</w:t>
                  </w:r>
                  <w:r w:rsidRPr="00A014D8">
                    <w:rPr>
                      <w:noProof/>
                      <w:sz w:val="20"/>
                      <w:szCs w:val="20"/>
                    </w:rPr>
                    <w:t>O</w:t>
                  </w:r>
                  <w:r w:rsidRPr="00A014D8">
                    <w:rPr>
                      <w:noProof/>
                      <w:sz w:val="20"/>
                      <w:szCs w:val="20"/>
                      <w:vertAlign w:val="subscript"/>
                    </w:rPr>
                    <w:t>4</w:t>
                  </w:r>
                </w:p>
              </w:tc>
            </w:tr>
            <w:tr w:rsidR="00F033DB" w:rsidRPr="00A014D8" w14:paraId="165C55BE" w14:textId="77777777" w:rsidTr="00F3404B">
              <w:tc>
                <w:tcPr>
                  <w:tcW w:w="3402" w:type="dxa"/>
                </w:tcPr>
                <w:p w14:paraId="0C2E35E1" w14:textId="77777777" w:rsidR="00F033DB" w:rsidRPr="00A014D8" w:rsidRDefault="00F033DB" w:rsidP="00F033DB">
                  <w:pPr>
                    <w:rPr>
                      <w:sz w:val="20"/>
                    </w:rPr>
                  </w:pPr>
                  <w:r w:rsidRPr="00A014D8">
                    <w:rPr>
                      <w:sz w:val="20"/>
                    </w:rPr>
                    <w:t>Molecular weight</w:t>
                  </w:r>
                </w:p>
              </w:tc>
              <w:tc>
                <w:tcPr>
                  <w:tcW w:w="6237" w:type="dxa"/>
                </w:tcPr>
                <w:p w14:paraId="63D5A65E" w14:textId="77777777" w:rsidR="00F033DB" w:rsidRPr="00A014D8" w:rsidRDefault="00F033DB" w:rsidP="00F033DB">
                  <w:pPr>
                    <w:keepNext/>
                    <w:keepLines/>
                    <w:rPr>
                      <w:sz w:val="20"/>
                    </w:rPr>
                  </w:pPr>
                  <w:r w:rsidRPr="00A014D8">
                    <w:rPr>
                      <w:sz w:val="20"/>
                    </w:rPr>
                    <w:t>384.5 g/mol</w:t>
                  </w:r>
                </w:p>
              </w:tc>
            </w:tr>
            <w:tr w:rsidR="00F033DB" w:rsidRPr="00A014D8" w14:paraId="5F6E69F7" w14:textId="77777777" w:rsidTr="00F3404B">
              <w:tc>
                <w:tcPr>
                  <w:tcW w:w="3402" w:type="dxa"/>
                </w:tcPr>
                <w:p w14:paraId="6F521B95" w14:textId="77777777" w:rsidR="00F033DB" w:rsidRPr="00A014D8" w:rsidRDefault="00F033DB" w:rsidP="00F033DB">
                  <w:pPr>
                    <w:rPr>
                      <w:sz w:val="20"/>
                      <w:szCs w:val="20"/>
                    </w:rPr>
                  </w:pPr>
                  <w:r w:rsidRPr="00A014D8">
                    <w:rPr>
                      <w:sz w:val="20"/>
                      <w:szCs w:val="20"/>
                    </w:rPr>
                    <w:t>CAS numbers</w:t>
                  </w:r>
                </w:p>
              </w:tc>
              <w:tc>
                <w:tcPr>
                  <w:tcW w:w="6237" w:type="dxa"/>
                </w:tcPr>
                <w:p w14:paraId="3BF920DC" w14:textId="77777777" w:rsidR="00F033DB" w:rsidRPr="00A014D8" w:rsidRDefault="00F033DB" w:rsidP="00F033DB">
                  <w:pPr>
                    <w:keepNext/>
                    <w:keepLines/>
                    <w:spacing w:after="0" w:line="240" w:lineRule="auto"/>
                    <w:rPr>
                      <w:sz w:val="20"/>
                      <w:szCs w:val="20"/>
                    </w:rPr>
                  </w:pPr>
                  <w:r w:rsidRPr="00A014D8">
                    <w:rPr>
                      <w:sz w:val="20"/>
                      <w:szCs w:val="20"/>
                    </w:rPr>
                    <w:t>57960-19-7</w:t>
                  </w:r>
                </w:p>
              </w:tc>
            </w:tr>
            <w:tr w:rsidR="00F033DB" w:rsidRPr="00A014D8" w14:paraId="3E254C43" w14:textId="77777777" w:rsidTr="00F3404B">
              <w:tc>
                <w:tcPr>
                  <w:tcW w:w="3402" w:type="dxa"/>
                </w:tcPr>
                <w:p w14:paraId="29E424F7" w14:textId="77777777" w:rsidR="00F033DB" w:rsidRPr="00A014D8" w:rsidRDefault="00F033DB" w:rsidP="00F033DB">
                  <w:pPr>
                    <w:rPr>
                      <w:sz w:val="20"/>
                      <w:szCs w:val="20"/>
                    </w:rPr>
                  </w:pPr>
                  <w:r w:rsidRPr="00A014D8">
                    <w:rPr>
                      <w:sz w:val="20"/>
                      <w:szCs w:val="20"/>
                    </w:rPr>
                    <w:t>IUPAC and/or common and/or other names</w:t>
                  </w:r>
                </w:p>
              </w:tc>
              <w:tc>
                <w:tcPr>
                  <w:tcW w:w="6237" w:type="dxa"/>
                </w:tcPr>
                <w:p w14:paraId="306AD15A" w14:textId="77777777" w:rsidR="00F033DB" w:rsidRPr="00C07B3B" w:rsidRDefault="00F033DB" w:rsidP="00C07B3B">
                  <w:pPr>
                    <w:rPr>
                      <w:sz w:val="20"/>
                      <w:szCs w:val="20"/>
                    </w:rPr>
                  </w:pPr>
                  <w:r w:rsidRPr="00C07B3B">
                    <w:rPr>
                      <w:sz w:val="20"/>
                      <w:szCs w:val="20"/>
                    </w:rPr>
                    <w:t>IUPAC: 3-dodecyl-1,4-dihydro-1,4-dioxo-2-naphthyl acetate</w:t>
                  </w:r>
                </w:p>
                <w:p w14:paraId="0CEE3753" w14:textId="77777777" w:rsidR="00F033DB" w:rsidRPr="00C07B3B" w:rsidRDefault="00F033DB" w:rsidP="00C07B3B">
                  <w:pPr>
                    <w:rPr>
                      <w:sz w:val="20"/>
                      <w:szCs w:val="20"/>
                    </w:rPr>
                  </w:pPr>
                  <w:r w:rsidRPr="00C07B3B">
                    <w:rPr>
                      <w:sz w:val="20"/>
                      <w:szCs w:val="20"/>
                    </w:rPr>
                    <w:t>Common name: Acequinocyl</w:t>
                  </w:r>
                </w:p>
                <w:p w14:paraId="29CD2586" w14:textId="77777777" w:rsidR="00F033DB" w:rsidRPr="00A014D8" w:rsidRDefault="00F033DB" w:rsidP="00C07B3B">
                  <w:r w:rsidRPr="00C07B3B">
                    <w:rPr>
                      <w:sz w:val="20"/>
                      <w:szCs w:val="20"/>
                    </w:rPr>
                    <w:t>Other names: 3-dodecyl-1,4-dioxo-1,4-dihydronaphthalen-2-yl acetate</w:t>
                  </w:r>
                </w:p>
              </w:tc>
            </w:tr>
          </w:tbl>
          <w:p w14:paraId="613C6F66" w14:textId="591D4656" w:rsidR="00F033DB" w:rsidRDefault="00F033DB" w:rsidP="00B36FB3">
            <w:pPr>
              <w:spacing w:after="840" w:line="240" w:lineRule="auto"/>
              <w:rPr>
                <w:b/>
              </w:rPr>
            </w:pPr>
          </w:p>
          <w:p w14:paraId="668A7D16" w14:textId="77777777" w:rsidR="00F033DB" w:rsidRPr="00A014D8" w:rsidRDefault="00F033DB" w:rsidP="00B36FB3">
            <w:pPr>
              <w:pStyle w:val="TableTitle"/>
              <w:widowControl w:val="0"/>
            </w:pPr>
            <w:r w:rsidRPr="00A014D8">
              <w:lastRenderedPageBreak/>
              <w:t>Table 2: Acute toxicity end-points for acequinocyl</w:t>
            </w:r>
          </w:p>
          <w:tbl>
            <w:tblPr>
              <w:tblStyle w:val="TableTGAblue"/>
              <w:tblW w:w="9930" w:type="dxa"/>
              <w:tblLook w:val="04A0" w:firstRow="1" w:lastRow="0" w:firstColumn="1" w:lastColumn="0" w:noHBand="0" w:noVBand="1"/>
            </w:tblPr>
            <w:tblGrid>
              <w:gridCol w:w="1492"/>
              <w:gridCol w:w="970"/>
              <w:gridCol w:w="1799"/>
              <w:gridCol w:w="1660"/>
              <w:gridCol w:w="2073"/>
              <w:gridCol w:w="1936"/>
            </w:tblGrid>
            <w:tr w:rsidR="00F033DB" w:rsidRPr="00B17D15" w14:paraId="430E5CCF" w14:textId="77777777" w:rsidTr="00A96DBB">
              <w:trPr>
                <w:cnfStyle w:val="100000000000" w:firstRow="1" w:lastRow="0" w:firstColumn="0" w:lastColumn="0" w:oddVBand="0" w:evenVBand="0" w:oddHBand="0" w:evenHBand="0" w:firstRowFirstColumn="0" w:firstRowLastColumn="0" w:lastRowFirstColumn="0" w:lastRowLastColumn="0"/>
              </w:trPr>
              <w:tc>
                <w:tcPr>
                  <w:tcW w:w="751" w:type="pct"/>
                </w:tcPr>
                <w:p w14:paraId="69ED9772" w14:textId="77777777" w:rsidR="00F033DB" w:rsidRPr="00B17D15" w:rsidRDefault="00F033DB" w:rsidP="00F033DB">
                  <w:pPr>
                    <w:rPr>
                      <w:b w:val="0"/>
                      <w:sz w:val="20"/>
                      <w:szCs w:val="20"/>
                    </w:rPr>
                  </w:pPr>
                  <w:r w:rsidRPr="00B17D15">
                    <w:rPr>
                      <w:sz w:val="20"/>
                      <w:szCs w:val="20"/>
                    </w:rPr>
                    <w:t>Toxicity</w:t>
                  </w:r>
                </w:p>
              </w:tc>
              <w:tc>
                <w:tcPr>
                  <w:tcW w:w="488" w:type="pct"/>
                </w:tcPr>
                <w:p w14:paraId="5AD7E42D" w14:textId="77777777" w:rsidR="00F033DB" w:rsidRPr="00B17D15" w:rsidRDefault="00F033DB" w:rsidP="00F033DB">
                  <w:pPr>
                    <w:rPr>
                      <w:b w:val="0"/>
                      <w:sz w:val="20"/>
                      <w:szCs w:val="20"/>
                    </w:rPr>
                  </w:pPr>
                  <w:r w:rsidRPr="00B17D15">
                    <w:rPr>
                      <w:sz w:val="20"/>
                      <w:szCs w:val="20"/>
                    </w:rPr>
                    <w:t>Species</w:t>
                  </w:r>
                </w:p>
              </w:tc>
              <w:tc>
                <w:tcPr>
                  <w:tcW w:w="906" w:type="pct"/>
                </w:tcPr>
                <w:p w14:paraId="2759848A" w14:textId="77777777" w:rsidR="00F033DB" w:rsidRPr="00B17D15" w:rsidRDefault="00F033DB" w:rsidP="00F033DB">
                  <w:pPr>
                    <w:rPr>
                      <w:b w:val="0"/>
                      <w:sz w:val="20"/>
                      <w:szCs w:val="20"/>
                    </w:rPr>
                  </w:pPr>
                  <w:r w:rsidRPr="00B17D15">
                    <w:rPr>
                      <w:sz w:val="20"/>
                      <w:szCs w:val="20"/>
                    </w:rPr>
                    <w:t>Endpoint</w:t>
                  </w:r>
                </w:p>
              </w:tc>
              <w:tc>
                <w:tcPr>
                  <w:tcW w:w="836" w:type="pct"/>
                </w:tcPr>
                <w:p w14:paraId="303E7514" w14:textId="77777777" w:rsidR="00F033DB" w:rsidRPr="00B17D15" w:rsidRDefault="00F033DB" w:rsidP="00F033DB">
                  <w:pPr>
                    <w:rPr>
                      <w:b w:val="0"/>
                      <w:sz w:val="20"/>
                      <w:szCs w:val="20"/>
                    </w:rPr>
                  </w:pPr>
                  <w:r w:rsidRPr="00B17D15">
                    <w:rPr>
                      <w:sz w:val="20"/>
                      <w:szCs w:val="20"/>
                    </w:rPr>
                    <w:t>SPF (2018) Classification for acequinocyl</w:t>
                  </w:r>
                </w:p>
              </w:tc>
              <w:tc>
                <w:tcPr>
                  <w:tcW w:w="1044" w:type="pct"/>
                </w:tcPr>
                <w:p w14:paraId="671E5D06" w14:textId="4FCAB08D" w:rsidR="00F033DB" w:rsidRPr="00B17D15" w:rsidRDefault="00F033DB" w:rsidP="00F033DB">
                  <w:pPr>
                    <w:rPr>
                      <w:b w:val="0"/>
                      <w:sz w:val="20"/>
                      <w:szCs w:val="20"/>
                    </w:rPr>
                  </w:pPr>
                  <w:r w:rsidRPr="00F033DB">
                    <w:rPr>
                      <w:color w:val="auto"/>
                      <w:sz w:val="20"/>
                      <w:szCs w:val="20"/>
                      <w:highlight w:val="black"/>
                    </w:rPr>
                    <w:t>XXXXXXXX</w:t>
                  </w:r>
                  <w:r>
                    <w:rPr>
                      <w:color w:val="auto"/>
                      <w:sz w:val="20"/>
                      <w:szCs w:val="20"/>
                      <w:highlight w:val="yellow"/>
                    </w:rPr>
                    <w:t xml:space="preserve"> </w:t>
                  </w:r>
                  <w:r w:rsidRPr="00F033DB">
                    <w:rPr>
                      <w:color w:val="auto"/>
                      <w:sz w:val="20"/>
                      <w:szCs w:val="20"/>
                      <w:highlight w:val="black"/>
                    </w:rPr>
                    <w:t>XXXXXXXX</w:t>
                  </w:r>
                </w:p>
              </w:tc>
              <w:tc>
                <w:tcPr>
                  <w:tcW w:w="975" w:type="pct"/>
                </w:tcPr>
                <w:p w14:paraId="12E3AA71" w14:textId="7D259DC3" w:rsidR="00F033DB" w:rsidRPr="00B17D15" w:rsidRDefault="00F033DB" w:rsidP="00F033DB">
                  <w:pPr>
                    <w:rPr>
                      <w:b w:val="0"/>
                      <w:sz w:val="20"/>
                      <w:szCs w:val="20"/>
                    </w:rPr>
                  </w:pPr>
                  <w:r w:rsidRPr="00B17D15">
                    <w:rPr>
                      <w:sz w:val="20"/>
                      <w:szCs w:val="20"/>
                    </w:rPr>
                    <w:t xml:space="preserve">SPF (2018) Classification for </w:t>
                  </w:r>
                  <w:r w:rsidRPr="005B7704">
                    <w:rPr>
                      <w:color w:val="auto"/>
                      <w:sz w:val="20"/>
                      <w:szCs w:val="20"/>
                      <w:highlight w:val="black"/>
                    </w:rPr>
                    <w:t>XXXXXXXX XXXXXXXX</w:t>
                  </w:r>
                </w:p>
              </w:tc>
            </w:tr>
            <w:tr w:rsidR="00A96DBB" w:rsidRPr="00B17D15" w14:paraId="7A586258" w14:textId="77777777" w:rsidTr="00A96DBB">
              <w:tc>
                <w:tcPr>
                  <w:tcW w:w="751" w:type="pct"/>
                  <w:vMerge w:val="restart"/>
                </w:tcPr>
                <w:p w14:paraId="190B4E0A" w14:textId="77777777" w:rsidR="00A96DBB" w:rsidRPr="00B17D15" w:rsidRDefault="00A96DBB" w:rsidP="00F033DB">
                  <w:pPr>
                    <w:rPr>
                      <w:sz w:val="20"/>
                      <w:szCs w:val="20"/>
                    </w:rPr>
                  </w:pPr>
                  <w:r w:rsidRPr="00B17D15">
                    <w:rPr>
                      <w:sz w:val="20"/>
                      <w:szCs w:val="20"/>
                    </w:rPr>
                    <w:t>Acute oral toxicity</w:t>
                  </w:r>
                </w:p>
              </w:tc>
              <w:tc>
                <w:tcPr>
                  <w:tcW w:w="488" w:type="pct"/>
                  <w:tcBorders>
                    <w:bottom w:val="dashed" w:sz="4" w:space="0" w:color="auto"/>
                  </w:tcBorders>
                </w:tcPr>
                <w:p w14:paraId="61BD8B21" w14:textId="77777777" w:rsidR="00A96DBB" w:rsidRPr="00B17D15" w:rsidRDefault="00A96DBB" w:rsidP="00F033DB">
                  <w:pPr>
                    <w:rPr>
                      <w:sz w:val="20"/>
                      <w:szCs w:val="20"/>
                      <w:lang w:eastAsia="en-US"/>
                    </w:rPr>
                  </w:pPr>
                  <w:r w:rsidRPr="00B17D15">
                    <w:rPr>
                      <w:sz w:val="20"/>
                      <w:szCs w:val="20"/>
                      <w:lang w:eastAsia="en-US"/>
                    </w:rPr>
                    <w:t>Mice</w:t>
                  </w:r>
                </w:p>
              </w:tc>
              <w:tc>
                <w:tcPr>
                  <w:tcW w:w="906" w:type="pct"/>
                  <w:tcBorders>
                    <w:bottom w:val="dashed" w:sz="4" w:space="0" w:color="auto"/>
                  </w:tcBorders>
                </w:tcPr>
                <w:p w14:paraId="3F8F655A" w14:textId="77777777" w:rsidR="00A96DBB" w:rsidRPr="00B17D15" w:rsidRDefault="00A96DBB" w:rsidP="00F033DB">
                  <w:pPr>
                    <w:rPr>
                      <w:sz w:val="20"/>
                      <w:szCs w:val="20"/>
                    </w:rPr>
                  </w:pPr>
                  <w:r w:rsidRPr="00B17D15">
                    <w:rPr>
                      <w:rFonts w:eastAsia="Times New Roman"/>
                      <w:sz w:val="20"/>
                      <w:szCs w:val="20"/>
                    </w:rPr>
                    <w:t>LD</w:t>
                  </w:r>
                  <w:r w:rsidRPr="00B17D15">
                    <w:rPr>
                      <w:rFonts w:eastAsia="Times New Roman"/>
                      <w:sz w:val="20"/>
                      <w:szCs w:val="20"/>
                      <w:vertAlign w:val="subscript"/>
                    </w:rPr>
                    <w:t xml:space="preserve">50 </w:t>
                  </w:r>
                  <w:r w:rsidRPr="00B17D15">
                    <w:rPr>
                      <w:rFonts w:eastAsia="Times New Roman"/>
                      <w:sz w:val="20"/>
                      <w:szCs w:val="20"/>
                    </w:rPr>
                    <w:t>&gt;5000 mg/kg bw</w:t>
                  </w:r>
                  <w:r w:rsidRPr="00B17D15">
                    <w:rPr>
                      <w:sz w:val="20"/>
                      <w:szCs w:val="20"/>
                      <w:vertAlign w:val="superscript"/>
                    </w:rPr>
                    <w:t>1</w:t>
                  </w:r>
                </w:p>
              </w:tc>
              <w:tc>
                <w:tcPr>
                  <w:tcW w:w="836" w:type="pct"/>
                  <w:tcBorders>
                    <w:bottom w:val="dashed" w:sz="4" w:space="0" w:color="auto"/>
                  </w:tcBorders>
                </w:tcPr>
                <w:p w14:paraId="7B300AE7" w14:textId="77777777" w:rsidR="00A96DBB" w:rsidRPr="00B17D15" w:rsidRDefault="00A96DBB" w:rsidP="00F033DB">
                  <w:pPr>
                    <w:rPr>
                      <w:sz w:val="20"/>
                      <w:szCs w:val="20"/>
                    </w:rPr>
                  </w:pPr>
                  <w:r w:rsidRPr="00B17D15">
                    <w:rPr>
                      <w:sz w:val="20"/>
                      <w:szCs w:val="20"/>
                    </w:rPr>
                    <w:t>-</w:t>
                  </w:r>
                </w:p>
              </w:tc>
              <w:tc>
                <w:tcPr>
                  <w:tcW w:w="1044" w:type="pct"/>
                  <w:tcBorders>
                    <w:bottom w:val="dashed" w:sz="4" w:space="0" w:color="auto"/>
                  </w:tcBorders>
                </w:tcPr>
                <w:p w14:paraId="7D1F3E9E" w14:textId="77777777" w:rsidR="00A96DBB" w:rsidRPr="00B17D15" w:rsidRDefault="00A96DBB" w:rsidP="00F033DB">
                  <w:pPr>
                    <w:rPr>
                      <w:sz w:val="20"/>
                      <w:szCs w:val="20"/>
                    </w:rPr>
                  </w:pPr>
                  <w:r w:rsidRPr="00B17D15">
                    <w:rPr>
                      <w:rFonts w:eastAsia="Times New Roman"/>
                      <w:sz w:val="20"/>
                      <w:szCs w:val="20"/>
                    </w:rPr>
                    <w:t>LD</w:t>
                  </w:r>
                  <w:r w:rsidRPr="00B17D15">
                    <w:rPr>
                      <w:rFonts w:eastAsia="Times New Roman"/>
                      <w:sz w:val="20"/>
                      <w:szCs w:val="20"/>
                      <w:vertAlign w:val="subscript"/>
                    </w:rPr>
                    <w:t xml:space="preserve">50 </w:t>
                  </w:r>
                  <w:r w:rsidRPr="00B17D15">
                    <w:rPr>
                      <w:rFonts w:eastAsia="Times New Roman"/>
                      <w:sz w:val="20"/>
                      <w:szCs w:val="20"/>
                    </w:rPr>
                    <w:t>&gt;5000 mg/kg bw</w:t>
                  </w:r>
                </w:p>
              </w:tc>
              <w:tc>
                <w:tcPr>
                  <w:tcW w:w="975" w:type="pct"/>
                  <w:tcBorders>
                    <w:bottom w:val="dashed" w:sz="4" w:space="0" w:color="auto"/>
                  </w:tcBorders>
                </w:tcPr>
                <w:p w14:paraId="32B23999" w14:textId="77777777" w:rsidR="00A96DBB" w:rsidRPr="00B17D15" w:rsidRDefault="00A96DBB" w:rsidP="00F033DB">
                  <w:pPr>
                    <w:rPr>
                      <w:sz w:val="20"/>
                      <w:szCs w:val="20"/>
                    </w:rPr>
                  </w:pPr>
                  <w:r w:rsidRPr="00B17D15">
                    <w:rPr>
                      <w:sz w:val="20"/>
                      <w:szCs w:val="20"/>
                    </w:rPr>
                    <w:t>-</w:t>
                  </w:r>
                </w:p>
              </w:tc>
            </w:tr>
            <w:tr w:rsidR="00A96DBB" w:rsidRPr="00B17D15" w14:paraId="6C53994F" w14:textId="77777777" w:rsidTr="00A96DBB">
              <w:tc>
                <w:tcPr>
                  <w:tcW w:w="751" w:type="pct"/>
                  <w:vMerge/>
                </w:tcPr>
                <w:p w14:paraId="43113AAA" w14:textId="77777777" w:rsidR="00A96DBB" w:rsidRPr="00B17D15" w:rsidRDefault="00A96DBB" w:rsidP="00F033DB">
                  <w:pPr>
                    <w:rPr>
                      <w:sz w:val="20"/>
                    </w:rPr>
                  </w:pPr>
                </w:p>
              </w:tc>
              <w:tc>
                <w:tcPr>
                  <w:tcW w:w="488" w:type="pct"/>
                  <w:tcBorders>
                    <w:bottom w:val="dashed" w:sz="4" w:space="0" w:color="auto"/>
                  </w:tcBorders>
                </w:tcPr>
                <w:p w14:paraId="07047449" w14:textId="5F264CBB" w:rsidR="00A96DBB" w:rsidRPr="00B17D15" w:rsidRDefault="00A96DBB" w:rsidP="00F033DB">
                  <w:pPr>
                    <w:rPr>
                      <w:sz w:val="20"/>
                    </w:rPr>
                  </w:pPr>
                  <w:r w:rsidRPr="00B17D15">
                    <w:rPr>
                      <w:sz w:val="20"/>
                      <w:szCs w:val="20"/>
                      <w:lang w:eastAsia="en-US"/>
                    </w:rPr>
                    <w:t>Rat</w:t>
                  </w:r>
                </w:p>
              </w:tc>
              <w:tc>
                <w:tcPr>
                  <w:tcW w:w="906" w:type="pct"/>
                  <w:tcBorders>
                    <w:bottom w:val="dashed" w:sz="4" w:space="0" w:color="auto"/>
                  </w:tcBorders>
                </w:tcPr>
                <w:p w14:paraId="50EDD6E8" w14:textId="235827D3" w:rsidR="00A96DBB" w:rsidRPr="00B17D15" w:rsidRDefault="00A96DBB" w:rsidP="00F033DB">
                  <w:pPr>
                    <w:rPr>
                      <w:rFonts w:eastAsia="Times New Roman"/>
                      <w:sz w:val="20"/>
                    </w:rPr>
                  </w:pPr>
                  <w:r w:rsidRPr="00B17D15">
                    <w:rPr>
                      <w:rFonts w:eastAsia="Times New Roman"/>
                      <w:sz w:val="20"/>
                      <w:szCs w:val="20"/>
                    </w:rPr>
                    <w:t>LD</w:t>
                  </w:r>
                  <w:r w:rsidRPr="00B17D15">
                    <w:rPr>
                      <w:rFonts w:eastAsia="Times New Roman"/>
                      <w:sz w:val="20"/>
                      <w:szCs w:val="20"/>
                      <w:vertAlign w:val="subscript"/>
                    </w:rPr>
                    <w:t xml:space="preserve">50 </w:t>
                  </w:r>
                  <w:r w:rsidRPr="00B17D15">
                    <w:rPr>
                      <w:rFonts w:eastAsia="Times New Roman"/>
                      <w:sz w:val="20"/>
                      <w:szCs w:val="20"/>
                    </w:rPr>
                    <w:t>&gt;5000 mg/kg bw</w:t>
                  </w:r>
                  <w:r w:rsidRPr="00B17D15">
                    <w:rPr>
                      <w:sz w:val="20"/>
                      <w:szCs w:val="20"/>
                      <w:vertAlign w:val="superscript"/>
                    </w:rPr>
                    <w:t>1</w:t>
                  </w:r>
                </w:p>
              </w:tc>
              <w:tc>
                <w:tcPr>
                  <w:tcW w:w="836" w:type="pct"/>
                  <w:tcBorders>
                    <w:bottom w:val="dashed" w:sz="4" w:space="0" w:color="auto"/>
                  </w:tcBorders>
                </w:tcPr>
                <w:p w14:paraId="4F5A5992" w14:textId="2EEAA3B3" w:rsidR="00A96DBB" w:rsidRPr="00B17D15" w:rsidRDefault="00A96DBB" w:rsidP="00F033DB">
                  <w:pPr>
                    <w:rPr>
                      <w:sz w:val="20"/>
                    </w:rPr>
                  </w:pPr>
                  <w:r w:rsidRPr="00B17D15">
                    <w:rPr>
                      <w:sz w:val="20"/>
                      <w:szCs w:val="20"/>
                    </w:rPr>
                    <w:t>-</w:t>
                  </w:r>
                </w:p>
              </w:tc>
              <w:tc>
                <w:tcPr>
                  <w:tcW w:w="1044" w:type="pct"/>
                  <w:tcBorders>
                    <w:bottom w:val="dashed" w:sz="4" w:space="0" w:color="auto"/>
                  </w:tcBorders>
                </w:tcPr>
                <w:p w14:paraId="582B2754" w14:textId="0CCFD51A" w:rsidR="00A96DBB" w:rsidRPr="00B17D15" w:rsidRDefault="00A96DBB" w:rsidP="00F033DB">
                  <w:pPr>
                    <w:rPr>
                      <w:rFonts w:eastAsia="Times New Roman"/>
                      <w:sz w:val="20"/>
                    </w:rPr>
                  </w:pPr>
                  <w:r w:rsidRPr="00B17D15">
                    <w:rPr>
                      <w:rFonts w:eastAsia="Times New Roman"/>
                      <w:sz w:val="20"/>
                      <w:szCs w:val="20"/>
                    </w:rPr>
                    <w:t>LD</w:t>
                  </w:r>
                  <w:r w:rsidRPr="00B17D15">
                    <w:rPr>
                      <w:rFonts w:eastAsia="Times New Roman"/>
                      <w:sz w:val="20"/>
                      <w:szCs w:val="20"/>
                      <w:vertAlign w:val="subscript"/>
                    </w:rPr>
                    <w:t xml:space="preserve">50 </w:t>
                  </w:r>
                  <w:r w:rsidRPr="00B17D15">
                    <w:rPr>
                      <w:rFonts w:eastAsia="Times New Roman"/>
                      <w:sz w:val="20"/>
                      <w:szCs w:val="20"/>
                    </w:rPr>
                    <w:t>&gt;5000 mg/kg bw</w:t>
                  </w:r>
                </w:p>
              </w:tc>
              <w:tc>
                <w:tcPr>
                  <w:tcW w:w="975" w:type="pct"/>
                  <w:tcBorders>
                    <w:bottom w:val="dashed" w:sz="4" w:space="0" w:color="auto"/>
                  </w:tcBorders>
                </w:tcPr>
                <w:p w14:paraId="0A90B3EF" w14:textId="5E19B6DE" w:rsidR="00A96DBB" w:rsidRPr="00B17D15" w:rsidRDefault="00A96DBB" w:rsidP="00F033DB">
                  <w:pPr>
                    <w:rPr>
                      <w:sz w:val="20"/>
                    </w:rPr>
                  </w:pPr>
                  <w:r w:rsidRPr="00B17D15">
                    <w:rPr>
                      <w:sz w:val="20"/>
                      <w:szCs w:val="20"/>
                    </w:rPr>
                    <w:t>-</w:t>
                  </w:r>
                </w:p>
              </w:tc>
            </w:tr>
            <w:tr w:rsidR="00F033DB" w:rsidRPr="00B17D15" w14:paraId="73D9C499" w14:textId="77777777" w:rsidTr="00A96DBB">
              <w:tc>
                <w:tcPr>
                  <w:tcW w:w="751" w:type="pct"/>
                </w:tcPr>
                <w:p w14:paraId="3965934A" w14:textId="77777777" w:rsidR="00F033DB" w:rsidRPr="00B17D15" w:rsidRDefault="00F033DB" w:rsidP="00F033DB">
                  <w:pPr>
                    <w:rPr>
                      <w:sz w:val="20"/>
                      <w:szCs w:val="20"/>
                    </w:rPr>
                  </w:pPr>
                  <w:r w:rsidRPr="00B17D15">
                    <w:rPr>
                      <w:sz w:val="20"/>
                      <w:szCs w:val="20"/>
                    </w:rPr>
                    <w:t xml:space="preserve">Acute dermal toxicity </w:t>
                  </w:r>
                </w:p>
              </w:tc>
              <w:tc>
                <w:tcPr>
                  <w:tcW w:w="488" w:type="pct"/>
                </w:tcPr>
                <w:p w14:paraId="08D0510F" w14:textId="77777777" w:rsidR="00F033DB" w:rsidRPr="00B17D15" w:rsidRDefault="00F033DB" w:rsidP="00F033DB">
                  <w:pPr>
                    <w:rPr>
                      <w:sz w:val="20"/>
                      <w:szCs w:val="20"/>
                    </w:rPr>
                  </w:pPr>
                  <w:r w:rsidRPr="00B17D15">
                    <w:rPr>
                      <w:sz w:val="20"/>
                      <w:szCs w:val="20"/>
                    </w:rPr>
                    <w:t>Rat</w:t>
                  </w:r>
                </w:p>
              </w:tc>
              <w:tc>
                <w:tcPr>
                  <w:tcW w:w="906" w:type="pct"/>
                </w:tcPr>
                <w:p w14:paraId="3AC25164" w14:textId="77777777" w:rsidR="00F033DB" w:rsidRPr="00B17D15" w:rsidRDefault="00F033DB" w:rsidP="00F033DB">
                  <w:pPr>
                    <w:rPr>
                      <w:sz w:val="20"/>
                      <w:szCs w:val="20"/>
                    </w:rPr>
                  </w:pPr>
                  <w:r w:rsidRPr="00B17D15">
                    <w:rPr>
                      <w:rFonts w:eastAsia="Times New Roman"/>
                      <w:sz w:val="20"/>
                      <w:szCs w:val="20"/>
                    </w:rPr>
                    <w:t>LD</w:t>
                  </w:r>
                  <w:r w:rsidRPr="00B17D15">
                    <w:rPr>
                      <w:rFonts w:eastAsia="Times New Roman"/>
                      <w:sz w:val="20"/>
                      <w:szCs w:val="20"/>
                      <w:vertAlign w:val="subscript"/>
                    </w:rPr>
                    <w:t xml:space="preserve">50 </w:t>
                  </w:r>
                  <w:r w:rsidRPr="00B17D15">
                    <w:rPr>
                      <w:rFonts w:eastAsia="Times New Roman"/>
                      <w:sz w:val="20"/>
                      <w:szCs w:val="20"/>
                    </w:rPr>
                    <w:t>&gt;2000 mg/kg bw</w:t>
                  </w:r>
                </w:p>
              </w:tc>
              <w:tc>
                <w:tcPr>
                  <w:tcW w:w="836" w:type="pct"/>
                </w:tcPr>
                <w:p w14:paraId="4BB931DC" w14:textId="77777777" w:rsidR="00F033DB" w:rsidRPr="00B17D15" w:rsidRDefault="00F033DB" w:rsidP="00F033DB">
                  <w:pPr>
                    <w:rPr>
                      <w:sz w:val="20"/>
                      <w:szCs w:val="20"/>
                    </w:rPr>
                  </w:pPr>
                  <w:r w:rsidRPr="00B17D15">
                    <w:rPr>
                      <w:sz w:val="20"/>
                      <w:szCs w:val="20"/>
                    </w:rPr>
                    <w:t>Schedule 5</w:t>
                  </w:r>
                  <w:r w:rsidRPr="00B17D15">
                    <w:rPr>
                      <w:sz w:val="20"/>
                      <w:szCs w:val="20"/>
                      <w:vertAlign w:val="superscript"/>
                    </w:rPr>
                    <w:t>2</w:t>
                  </w:r>
                </w:p>
              </w:tc>
              <w:tc>
                <w:tcPr>
                  <w:tcW w:w="1044" w:type="pct"/>
                </w:tcPr>
                <w:p w14:paraId="1ABA982B" w14:textId="77777777" w:rsidR="00F033DB" w:rsidRPr="00B17D15" w:rsidRDefault="00F033DB" w:rsidP="00F033DB">
                  <w:pPr>
                    <w:rPr>
                      <w:sz w:val="20"/>
                      <w:szCs w:val="20"/>
                    </w:rPr>
                  </w:pPr>
                  <w:r w:rsidRPr="00B17D15">
                    <w:rPr>
                      <w:rFonts w:eastAsia="Times New Roman"/>
                      <w:sz w:val="20"/>
                      <w:szCs w:val="20"/>
                    </w:rPr>
                    <w:t>LD</w:t>
                  </w:r>
                  <w:r w:rsidRPr="00B17D15">
                    <w:rPr>
                      <w:rFonts w:eastAsia="Times New Roman"/>
                      <w:sz w:val="20"/>
                      <w:szCs w:val="20"/>
                      <w:vertAlign w:val="subscript"/>
                    </w:rPr>
                    <w:t xml:space="preserve">50 </w:t>
                  </w:r>
                  <w:r w:rsidRPr="00B17D15">
                    <w:rPr>
                      <w:rFonts w:eastAsia="Times New Roman"/>
                      <w:sz w:val="20"/>
                      <w:szCs w:val="20"/>
                    </w:rPr>
                    <w:t>&gt;2000 mg/kg bw</w:t>
                  </w:r>
                </w:p>
              </w:tc>
              <w:tc>
                <w:tcPr>
                  <w:tcW w:w="975" w:type="pct"/>
                </w:tcPr>
                <w:p w14:paraId="036C7BE5" w14:textId="77777777" w:rsidR="00F033DB" w:rsidRPr="00B17D15" w:rsidRDefault="00F033DB" w:rsidP="00F033DB">
                  <w:pPr>
                    <w:rPr>
                      <w:sz w:val="20"/>
                      <w:szCs w:val="20"/>
                    </w:rPr>
                  </w:pPr>
                  <w:r w:rsidRPr="00B17D15">
                    <w:rPr>
                      <w:sz w:val="20"/>
                      <w:szCs w:val="20"/>
                    </w:rPr>
                    <w:t>Schedule 5</w:t>
                  </w:r>
                  <w:r w:rsidRPr="00B17D15">
                    <w:rPr>
                      <w:sz w:val="20"/>
                      <w:szCs w:val="20"/>
                      <w:vertAlign w:val="superscript"/>
                    </w:rPr>
                    <w:t>2</w:t>
                  </w:r>
                </w:p>
              </w:tc>
            </w:tr>
            <w:tr w:rsidR="00F033DB" w:rsidRPr="00B17D15" w14:paraId="2705C926" w14:textId="77777777" w:rsidTr="00A96DBB">
              <w:tc>
                <w:tcPr>
                  <w:tcW w:w="751" w:type="pct"/>
                </w:tcPr>
                <w:p w14:paraId="04581B92" w14:textId="7288A84D" w:rsidR="00F033DB" w:rsidRPr="00B17D15" w:rsidRDefault="00A96DBB" w:rsidP="00F033DB">
                  <w:pPr>
                    <w:rPr>
                      <w:sz w:val="20"/>
                      <w:szCs w:val="20"/>
                    </w:rPr>
                  </w:pPr>
                  <w:r>
                    <w:rPr>
                      <w:sz w:val="20"/>
                      <w:szCs w:val="20"/>
                    </w:rPr>
                    <w:t>Acute inhalational toxicity</w:t>
                  </w:r>
                </w:p>
              </w:tc>
              <w:tc>
                <w:tcPr>
                  <w:tcW w:w="488" w:type="pct"/>
                </w:tcPr>
                <w:p w14:paraId="4326586D" w14:textId="77777777" w:rsidR="00F033DB" w:rsidRPr="00B17D15" w:rsidRDefault="00F033DB" w:rsidP="00F033DB">
                  <w:pPr>
                    <w:rPr>
                      <w:sz w:val="20"/>
                      <w:szCs w:val="20"/>
                    </w:rPr>
                  </w:pPr>
                  <w:r w:rsidRPr="00B17D15">
                    <w:rPr>
                      <w:sz w:val="20"/>
                      <w:szCs w:val="20"/>
                    </w:rPr>
                    <w:t>Rat</w:t>
                  </w:r>
                </w:p>
              </w:tc>
              <w:tc>
                <w:tcPr>
                  <w:tcW w:w="906" w:type="pct"/>
                </w:tcPr>
                <w:p w14:paraId="311B23C4" w14:textId="77777777" w:rsidR="00F033DB" w:rsidRPr="00B17D15" w:rsidRDefault="00F033DB" w:rsidP="00F033DB">
                  <w:pPr>
                    <w:rPr>
                      <w:sz w:val="20"/>
                      <w:szCs w:val="20"/>
                    </w:rPr>
                  </w:pPr>
                  <w:r w:rsidRPr="00B17D15">
                    <w:rPr>
                      <w:rFonts w:eastAsia="Times New Roman"/>
                      <w:sz w:val="20"/>
                      <w:szCs w:val="20"/>
                    </w:rPr>
                    <w:t>LC</w:t>
                  </w:r>
                  <w:r w:rsidRPr="00B17D15">
                    <w:rPr>
                      <w:rFonts w:eastAsia="Times New Roman"/>
                      <w:sz w:val="20"/>
                      <w:szCs w:val="20"/>
                      <w:vertAlign w:val="subscript"/>
                    </w:rPr>
                    <w:t xml:space="preserve">50 </w:t>
                  </w:r>
                  <w:r w:rsidRPr="00B17D15">
                    <w:rPr>
                      <w:rFonts w:eastAsia="Times New Roman"/>
                      <w:sz w:val="20"/>
                      <w:szCs w:val="20"/>
                    </w:rPr>
                    <w:t>&gt;840 mg/m</w:t>
                  </w:r>
                  <w:r w:rsidRPr="00B17D15">
                    <w:rPr>
                      <w:rFonts w:eastAsia="Times New Roman"/>
                      <w:sz w:val="20"/>
                      <w:szCs w:val="20"/>
                      <w:vertAlign w:val="superscript"/>
                    </w:rPr>
                    <w:t xml:space="preserve">3 </w:t>
                  </w:r>
                  <w:r w:rsidRPr="00B17D15">
                    <w:rPr>
                      <w:rFonts w:eastAsia="Times New Roman"/>
                      <w:sz w:val="20"/>
                      <w:szCs w:val="20"/>
                    </w:rPr>
                    <w:t>(whole body; 4-h)</w:t>
                  </w:r>
                </w:p>
              </w:tc>
              <w:tc>
                <w:tcPr>
                  <w:tcW w:w="836" w:type="pct"/>
                </w:tcPr>
                <w:p w14:paraId="7937EBB1" w14:textId="77777777" w:rsidR="00F033DB" w:rsidRDefault="00F033DB" w:rsidP="00F033DB">
                  <w:pPr>
                    <w:rPr>
                      <w:sz w:val="20"/>
                      <w:szCs w:val="20"/>
                      <w:vertAlign w:val="superscript"/>
                    </w:rPr>
                  </w:pPr>
                  <w:r w:rsidRPr="00B17D15">
                    <w:rPr>
                      <w:sz w:val="20"/>
                      <w:szCs w:val="20"/>
                    </w:rPr>
                    <w:t>Schedule 5</w:t>
                  </w:r>
                  <w:r w:rsidRPr="00B17D15">
                    <w:rPr>
                      <w:sz w:val="20"/>
                      <w:szCs w:val="20"/>
                      <w:vertAlign w:val="superscript"/>
                    </w:rPr>
                    <w:t>3</w:t>
                  </w:r>
                </w:p>
                <w:p w14:paraId="7159EF2B" w14:textId="231843A3" w:rsidR="00F033DB" w:rsidRPr="00B17D15" w:rsidRDefault="00F033DB" w:rsidP="00F033DB">
                  <w:pPr>
                    <w:rPr>
                      <w:sz w:val="16"/>
                      <w:szCs w:val="16"/>
                    </w:rPr>
                  </w:pPr>
                </w:p>
              </w:tc>
              <w:tc>
                <w:tcPr>
                  <w:tcW w:w="1044" w:type="pct"/>
                </w:tcPr>
                <w:p w14:paraId="223926DB" w14:textId="77777777" w:rsidR="00F033DB" w:rsidRPr="00B17D15" w:rsidRDefault="00F033DB" w:rsidP="00F033DB">
                  <w:pPr>
                    <w:rPr>
                      <w:sz w:val="20"/>
                      <w:szCs w:val="20"/>
                    </w:rPr>
                  </w:pPr>
                  <w:r w:rsidRPr="00B17D15">
                    <w:rPr>
                      <w:rFonts w:eastAsia="Times New Roman"/>
                      <w:sz w:val="20"/>
                      <w:szCs w:val="20"/>
                    </w:rPr>
                    <w:t>LC</w:t>
                  </w:r>
                  <w:r w:rsidRPr="00B17D15">
                    <w:rPr>
                      <w:rFonts w:eastAsia="Times New Roman"/>
                      <w:sz w:val="20"/>
                      <w:szCs w:val="20"/>
                      <w:vertAlign w:val="subscript"/>
                    </w:rPr>
                    <w:t xml:space="preserve">50 </w:t>
                  </w:r>
                  <w:r w:rsidRPr="00B17D15">
                    <w:rPr>
                      <w:rFonts w:eastAsia="Times New Roman"/>
                      <w:sz w:val="20"/>
                      <w:szCs w:val="20"/>
                    </w:rPr>
                    <w:t>&gt;4560 mg/m</w:t>
                  </w:r>
                  <w:r w:rsidRPr="00B17D15">
                    <w:rPr>
                      <w:rFonts w:eastAsia="Times New Roman"/>
                      <w:sz w:val="20"/>
                      <w:szCs w:val="20"/>
                      <w:vertAlign w:val="superscript"/>
                    </w:rPr>
                    <w:t>3</w:t>
                  </w:r>
                  <w:r w:rsidRPr="00B17D15">
                    <w:rPr>
                      <w:rFonts w:eastAsia="Times New Roman"/>
                      <w:sz w:val="20"/>
                      <w:szCs w:val="20"/>
                    </w:rPr>
                    <w:t>(whole body; 4-h)</w:t>
                  </w:r>
                </w:p>
              </w:tc>
              <w:tc>
                <w:tcPr>
                  <w:tcW w:w="975" w:type="pct"/>
                </w:tcPr>
                <w:p w14:paraId="05945822" w14:textId="77777777" w:rsidR="00F033DB" w:rsidRPr="00B17D15" w:rsidRDefault="00F033DB" w:rsidP="00F033DB">
                  <w:pPr>
                    <w:rPr>
                      <w:sz w:val="20"/>
                      <w:szCs w:val="20"/>
                    </w:rPr>
                  </w:pPr>
                  <w:r w:rsidRPr="00B17D15">
                    <w:rPr>
                      <w:sz w:val="20"/>
                      <w:szCs w:val="20"/>
                    </w:rPr>
                    <w:t>Schedule 5</w:t>
                  </w:r>
                  <w:r w:rsidRPr="00B17D15">
                    <w:rPr>
                      <w:sz w:val="20"/>
                      <w:szCs w:val="20"/>
                      <w:vertAlign w:val="superscript"/>
                    </w:rPr>
                    <w:t>4</w:t>
                  </w:r>
                </w:p>
              </w:tc>
            </w:tr>
            <w:tr w:rsidR="00F033DB" w:rsidRPr="00B17D15" w14:paraId="04309F57" w14:textId="77777777" w:rsidTr="00A96DBB">
              <w:tc>
                <w:tcPr>
                  <w:tcW w:w="751" w:type="pct"/>
                </w:tcPr>
                <w:p w14:paraId="24028482" w14:textId="77777777" w:rsidR="00F033DB" w:rsidRPr="00B17D15" w:rsidRDefault="00F033DB" w:rsidP="00F033DB">
                  <w:pPr>
                    <w:rPr>
                      <w:sz w:val="20"/>
                      <w:szCs w:val="20"/>
                    </w:rPr>
                  </w:pPr>
                  <w:r w:rsidRPr="00B17D15">
                    <w:rPr>
                      <w:sz w:val="20"/>
                      <w:szCs w:val="20"/>
                    </w:rPr>
                    <w:t>Skin irritation</w:t>
                  </w:r>
                </w:p>
              </w:tc>
              <w:tc>
                <w:tcPr>
                  <w:tcW w:w="488" w:type="pct"/>
                </w:tcPr>
                <w:p w14:paraId="0FA23091" w14:textId="77777777" w:rsidR="00F033DB" w:rsidRPr="00B17D15" w:rsidRDefault="00F033DB" w:rsidP="00F033DB">
                  <w:pPr>
                    <w:rPr>
                      <w:sz w:val="20"/>
                      <w:szCs w:val="20"/>
                    </w:rPr>
                  </w:pPr>
                  <w:r w:rsidRPr="00B17D15">
                    <w:rPr>
                      <w:sz w:val="20"/>
                      <w:szCs w:val="20"/>
                    </w:rPr>
                    <w:t>Rabbit</w:t>
                  </w:r>
                </w:p>
              </w:tc>
              <w:tc>
                <w:tcPr>
                  <w:tcW w:w="906" w:type="pct"/>
                </w:tcPr>
                <w:p w14:paraId="5C2DED23" w14:textId="77777777" w:rsidR="00F033DB" w:rsidRPr="00B17D15" w:rsidRDefault="00F033DB" w:rsidP="00F033DB">
                  <w:pPr>
                    <w:rPr>
                      <w:sz w:val="20"/>
                      <w:szCs w:val="20"/>
                    </w:rPr>
                  </w:pPr>
                  <w:r w:rsidRPr="00B17D15">
                    <w:rPr>
                      <w:sz w:val="20"/>
                      <w:szCs w:val="20"/>
                    </w:rPr>
                    <w:t>Slightly irritating</w:t>
                  </w:r>
                </w:p>
              </w:tc>
              <w:tc>
                <w:tcPr>
                  <w:tcW w:w="836" w:type="pct"/>
                </w:tcPr>
                <w:p w14:paraId="68EF35F9" w14:textId="77777777" w:rsidR="00F033DB" w:rsidRPr="00B17D15" w:rsidRDefault="00F033DB" w:rsidP="00F033DB">
                  <w:pPr>
                    <w:rPr>
                      <w:sz w:val="20"/>
                      <w:szCs w:val="20"/>
                    </w:rPr>
                  </w:pPr>
                  <w:r w:rsidRPr="00B17D15">
                    <w:rPr>
                      <w:sz w:val="20"/>
                      <w:szCs w:val="20"/>
                    </w:rPr>
                    <w:t>Schedule 5</w:t>
                  </w:r>
                </w:p>
              </w:tc>
              <w:tc>
                <w:tcPr>
                  <w:tcW w:w="1044" w:type="pct"/>
                </w:tcPr>
                <w:p w14:paraId="3BF67EA1" w14:textId="77777777" w:rsidR="00F033DB" w:rsidRPr="00B17D15" w:rsidRDefault="00F033DB" w:rsidP="00F033DB">
                  <w:pPr>
                    <w:rPr>
                      <w:sz w:val="20"/>
                      <w:szCs w:val="20"/>
                    </w:rPr>
                  </w:pPr>
                  <w:r w:rsidRPr="00B17D15">
                    <w:rPr>
                      <w:sz w:val="20"/>
                      <w:szCs w:val="20"/>
                    </w:rPr>
                    <w:t>Non-irritating</w:t>
                  </w:r>
                </w:p>
              </w:tc>
              <w:tc>
                <w:tcPr>
                  <w:tcW w:w="975" w:type="pct"/>
                </w:tcPr>
                <w:p w14:paraId="7A64B2E9" w14:textId="77777777" w:rsidR="00F033DB" w:rsidRPr="00B17D15" w:rsidRDefault="00F033DB" w:rsidP="00F033DB">
                  <w:pPr>
                    <w:rPr>
                      <w:sz w:val="20"/>
                      <w:szCs w:val="20"/>
                    </w:rPr>
                  </w:pPr>
                  <w:r w:rsidRPr="00B17D15">
                    <w:rPr>
                      <w:sz w:val="20"/>
                      <w:szCs w:val="20"/>
                    </w:rPr>
                    <w:t>-</w:t>
                  </w:r>
                </w:p>
              </w:tc>
            </w:tr>
            <w:tr w:rsidR="00F033DB" w:rsidRPr="00B17D15" w14:paraId="6502AB98" w14:textId="77777777" w:rsidTr="00A96DBB">
              <w:tc>
                <w:tcPr>
                  <w:tcW w:w="751" w:type="pct"/>
                </w:tcPr>
                <w:p w14:paraId="585D8879" w14:textId="77777777" w:rsidR="00F033DB" w:rsidRPr="00B17D15" w:rsidRDefault="00F033DB" w:rsidP="00F033DB">
                  <w:pPr>
                    <w:rPr>
                      <w:sz w:val="20"/>
                      <w:szCs w:val="20"/>
                    </w:rPr>
                  </w:pPr>
                  <w:r w:rsidRPr="00B17D15">
                    <w:rPr>
                      <w:sz w:val="20"/>
                      <w:szCs w:val="20"/>
                    </w:rPr>
                    <w:t xml:space="preserve">Eye irritation </w:t>
                  </w:r>
                </w:p>
              </w:tc>
              <w:tc>
                <w:tcPr>
                  <w:tcW w:w="488" w:type="pct"/>
                </w:tcPr>
                <w:p w14:paraId="174968D2" w14:textId="77777777" w:rsidR="00F033DB" w:rsidRPr="00B17D15" w:rsidRDefault="00F033DB" w:rsidP="00F033DB">
                  <w:pPr>
                    <w:rPr>
                      <w:sz w:val="20"/>
                      <w:szCs w:val="20"/>
                    </w:rPr>
                  </w:pPr>
                  <w:r w:rsidRPr="00B17D15">
                    <w:rPr>
                      <w:sz w:val="20"/>
                      <w:szCs w:val="20"/>
                    </w:rPr>
                    <w:t>Rabbit</w:t>
                  </w:r>
                </w:p>
              </w:tc>
              <w:tc>
                <w:tcPr>
                  <w:tcW w:w="906" w:type="pct"/>
                </w:tcPr>
                <w:p w14:paraId="7646F21D" w14:textId="77777777" w:rsidR="00F033DB" w:rsidRPr="00B17D15" w:rsidRDefault="00F033DB" w:rsidP="00F033DB">
                  <w:pPr>
                    <w:rPr>
                      <w:sz w:val="20"/>
                      <w:szCs w:val="20"/>
                    </w:rPr>
                  </w:pPr>
                  <w:r w:rsidRPr="00B17D15">
                    <w:rPr>
                      <w:sz w:val="20"/>
                      <w:szCs w:val="20"/>
                    </w:rPr>
                    <w:t>Slightly irritating</w:t>
                  </w:r>
                </w:p>
              </w:tc>
              <w:tc>
                <w:tcPr>
                  <w:tcW w:w="836" w:type="pct"/>
                </w:tcPr>
                <w:p w14:paraId="1AC33AB9" w14:textId="77777777" w:rsidR="00F033DB" w:rsidRPr="00B17D15" w:rsidRDefault="00F033DB" w:rsidP="00F033DB">
                  <w:pPr>
                    <w:rPr>
                      <w:sz w:val="20"/>
                      <w:szCs w:val="20"/>
                    </w:rPr>
                  </w:pPr>
                  <w:r w:rsidRPr="00B17D15">
                    <w:rPr>
                      <w:sz w:val="20"/>
                      <w:szCs w:val="20"/>
                    </w:rPr>
                    <w:t>Schedule 5</w:t>
                  </w:r>
                </w:p>
              </w:tc>
              <w:tc>
                <w:tcPr>
                  <w:tcW w:w="1044" w:type="pct"/>
                </w:tcPr>
                <w:p w14:paraId="4EB08C2B" w14:textId="77777777" w:rsidR="00F033DB" w:rsidRPr="00B17D15" w:rsidRDefault="00F033DB" w:rsidP="00F033DB">
                  <w:pPr>
                    <w:rPr>
                      <w:sz w:val="20"/>
                      <w:szCs w:val="20"/>
                    </w:rPr>
                  </w:pPr>
                  <w:r w:rsidRPr="00B17D15">
                    <w:rPr>
                      <w:sz w:val="20"/>
                      <w:szCs w:val="20"/>
                    </w:rPr>
                    <w:t>Slightly irritating</w:t>
                  </w:r>
                </w:p>
              </w:tc>
              <w:tc>
                <w:tcPr>
                  <w:tcW w:w="975" w:type="pct"/>
                </w:tcPr>
                <w:p w14:paraId="65FE39F7" w14:textId="77777777" w:rsidR="00F033DB" w:rsidRPr="00B17D15" w:rsidRDefault="00F033DB" w:rsidP="00F033DB">
                  <w:pPr>
                    <w:rPr>
                      <w:sz w:val="20"/>
                      <w:szCs w:val="20"/>
                    </w:rPr>
                  </w:pPr>
                  <w:r w:rsidRPr="00B17D15">
                    <w:rPr>
                      <w:sz w:val="20"/>
                      <w:szCs w:val="20"/>
                    </w:rPr>
                    <w:t>Schedule 5</w:t>
                  </w:r>
                </w:p>
              </w:tc>
            </w:tr>
            <w:tr w:rsidR="00F033DB" w:rsidRPr="00B17D15" w14:paraId="07D4DDC7" w14:textId="77777777" w:rsidTr="00A96DBB">
              <w:tc>
                <w:tcPr>
                  <w:tcW w:w="751" w:type="pct"/>
                </w:tcPr>
                <w:p w14:paraId="327DD184" w14:textId="57DCA502" w:rsidR="00F033DB" w:rsidRPr="00B17D15" w:rsidRDefault="00182976" w:rsidP="00F033DB">
                  <w:pPr>
                    <w:rPr>
                      <w:sz w:val="20"/>
                      <w:szCs w:val="20"/>
                    </w:rPr>
                  </w:pPr>
                  <w:r>
                    <w:rPr>
                      <w:sz w:val="20"/>
                      <w:szCs w:val="20"/>
                    </w:rPr>
                    <w:t>Skin sensitisation (Buehler)</w:t>
                  </w:r>
                </w:p>
              </w:tc>
              <w:tc>
                <w:tcPr>
                  <w:tcW w:w="488" w:type="pct"/>
                </w:tcPr>
                <w:p w14:paraId="1FDB92FE" w14:textId="66DE72FC" w:rsidR="00F033DB" w:rsidRPr="00B17D15" w:rsidRDefault="00A96DBB" w:rsidP="00F033DB">
                  <w:pPr>
                    <w:rPr>
                      <w:sz w:val="20"/>
                      <w:szCs w:val="20"/>
                    </w:rPr>
                  </w:pPr>
                  <w:r>
                    <w:rPr>
                      <w:sz w:val="20"/>
                      <w:szCs w:val="20"/>
                    </w:rPr>
                    <w:t>Guinea pig</w:t>
                  </w:r>
                </w:p>
              </w:tc>
              <w:tc>
                <w:tcPr>
                  <w:tcW w:w="906" w:type="pct"/>
                </w:tcPr>
                <w:p w14:paraId="45A2CC2D" w14:textId="77777777" w:rsidR="00F033DB" w:rsidRPr="00B17D15" w:rsidRDefault="00F033DB" w:rsidP="00F033DB">
                  <w:pPr>
                    <w:rPr>
                      <w:sz w:val="20"/>
                      <w:szCs w:val="20"/>
                    </w:rPr>
                  </w:pPr>
                  <w:r w:rsidRPr="00B17D15">
                    <w:rPr>
                      <w:sz w:val="20"/>
                      <w:szCs w:val="20"/>
                    </w:rPr>
                    <w:t>Non-sensitiser</w:t>
                  </w:r>
                  <w:r w:rsidRPr="00B17D15">
                    <w:rPr>
                      <w:sz w:val="20"/>
                      <w:szCs w:val="20"/>
                      <w:vertAlign w:val="superscript"/>
                    </w:rPr>
                    <w:t>5</w:t>
                  </w:r>
                </w:p>
              </w:tc>
              <w:tc>
                <w:tcPr>
                  <w:tcW w:w="836" w:type="pct"/>
                </w:tcPr>
                <w:p w14:paraId="117FB324" w14:textId="77777777" w:rsidR="00F033DB" w:rsidRPr="00B17D15" w:rsidRDefault="00F033DB" w:rsidP="00F033DB">
                  <w:pPr>
                    <w:rPr>
                      <w:sz w:val="20"/>
                      <w:szCs w:val="20"/>
                    </w:rPr>
                  </w:pPr>
                  <w:r w:rsidRPr="00B17D15">
                    <w:rPr>
                      <w:sz w:val="20"/>
                      <w:szCs w:val="20"/>
                    </w:rPr>
                    <w:t>-</w:t>
                  </w:r>
                </w:p>
              </w:tc>
              <w:tc>
                <w:tcPr>
                  <w:tcW w:w="1044" w:type="pct"/>
                </w:tcPr>
                <w:p w14:paraId="6B0828EB" w14:textId="77777777" w:rsidR="00F033DB" w:rsidRPr="00B17D15" w:rsidRDefault="00F033DB" w:rsidP="00F033DB">
                  <w:pPr>
                    <w:rPr>
                      <w:sz w:val="20"/>
                      <w:szCs w:val="20"/>
                    </w:rPr>
                  </w:pPr>
                  <w:r w:rsidRPr="00B17D15">
                    <w:rPr>
                      <w:sz w:val="20"/>
                      <w:szCs w:val="20"/>
                    </w:rPr>
                    <w:t>Non-sensitiser</w:t>
                  </w:r>
                </w:p>
              </w:tc>
              <w:tc>
                <w:tcPr>
                  <w:tcW w:w="975" w:type="pct"/>
                </w:tcPr>
                <w:p w14:paraId="3316AC18" w14:textId="77777777" w:rsidR="00F033DB" w:rsidRPr="00B17D15" w:rsidRDefault="00F033DB" w:rsidP="00F033DB">
                  <w:pPr>
                    <w:rPr>
                      <w:sz w:val="20"/>
                      <w:szCs w:val="20"/>
                    </w:rPr>
                  </w:pPr>
                  <w:r w:rsidRPr="00B17D15">
                    <w:rPr>
                      <w:sz w:val="20"/>
                      <w:szCs w:val="20"/>
                    </w:rPr>
                    <w:t>-</w:t>
                  </w:r>
                </w:p>
              </w:tc>
            </w:tr>
          </w:tbl>
          <w:p w14:paraId="0C4CD298" w14:textId="77777777" w:rsidR="00F033DB" w:rsidRPr="00FC1B7F" w:rsidRDefault="00F033DB" w:rsidP="00FC1B7F">
            <w:pPr>
              <w:pStyle w:val="Numberbullet0"/>
              <w:numPr>
                <w:ilvl w:val="0"/>
                <w:numId w:val="31"/>
              </w:numPr>
              <w:spacing w:before="0" w:after="0" w:line="240" w:lineRule="auto"/>
              <w:ind w:left="284" w:hanging="283"/>
              <w:rPr>
                <w:sz w:val="16"/>
                <w:szCs w:val="16"/>
              </w:rPr>
            </w:pPr>
            <w:r w:rsidRPr="00FC1B7F">
              <w:rPr>
                <w:sz w:val="16"/>
                <w:szCs w:val="16"/>
              </w:rPr>
              <w:t>Note that this was the only dose tested, with no deaths and no clinical signs of toxicity (other than watery faeces up to 2 h after administration) for either acequinocyl or the product tested.</w:t>
            </w:r>
          </w:p>
          <w:p w14:paraId="7A37C6A4" w14:textId="77777777" w:rsidR="00F033DB" w:rsidRPr="00190515" w:rsidRDefault="00F033DB" w:rsidP="00190515">
            <w:pPr>
              <w:pStyle w:val="Numberbullet0"/>
              <w:spacing w:before="0" w:after="0" w:line="240" w:lineRule="auto"/>
              <w:rPr>
                <w:sz w:val="16"/>
                <w:szCs w:val="16"/>
              </w:rPr>
            </w:pPr>
            <w:r w:rsidRPr="00190515">
              <w:rPr>
                <w:sz w:val="16"/>
                <w:szCs w:val="16"/>
              </w:rPr>
              <w:t>Note that this was the only dose tested, with no deaths and no clinical signs of toxicity for either acequinocyl or the product tested.</w:t>
            </w:r>
          </w:p>
          <w:p w14:paraId="48CC6EF9" w14:textId="77777777" w:rsidR="00F033DB" w:rsidRPr="00190515" w:rsidRDefault="00F033DB" w:rsidP="00190515">
            <w:pPr>
              <w:pStyle w:val="Numberbullet0"/>
              <w:spacing w:before="0" w:after="0" w:line="240" w:lineRule="auto"/>
              <w:rPr>
                <w:sz w:val="16"/>
                <w:szCs w:val="16"/>
              </w:rPr>
            </w:pPr>
            <w:r w:rsidRPr="00190515">
              <w:rPr>
                <w:sz w:val="16"/>
                <w:szCs w:val="16"/>
              </w:rPr>
              <w:t>1/10 deaths at 840 mg/m</w:t>
            </w:r>
            <w:r w:rsidRPr="00190515">
              <w:rPr>
                <w:sz w:val="16"/>
                <w:szCs w:val="16"/>
                <w:vertAlign w:val="superscript"/>
              </w:rPr>
              <w:t>3</w:t>
            </w:r>
            <w:r w:rsidRPr="00190515">
              <w:rPr>
                <w:sz w:val="16"/>
                <w:szCs w:val="16"/>
              </w:rPr>
              <w:t xml:space="preserve"> and 1/10 deaths at 690 mg/m</w:t>
            </w:r>
            <w:r w:rsidRPr="00190515">
              <w:rPr>
                <w:sz w:val="16"/>
                <w:szCs w:val="16"/>
                <w:vertAlign w:val="superscript"/>
              </w:rPr>
              <w:t>3</w:t>
            </w:r>
            <w:r w:rsidRPr="00190515">
              <w:rPr>
                <w:sz w:val="16"/>
                <w:szCs w:val="16"/>
              </w:rPr>
              <w:t>. This was reported to be the maximal attainable concentration achievable under the test conditions, and particle size was of adequate respirability. There was clinical signs and histopathology indicative of severe pulmonary inflammatory reactions.</w:t>
            </w:r>
          </w:p>
          <w:p w14:paraId="65CA27C9" w14:textId="51195A89" w:rsidR="00F033DB" w:rsidRPr="00190515" w:rsidRDefault="00F033DB" w:rsidP="00190515">
            <w:pPr>
              <w:pStyle w:val="Numberbullet0"/>
              <w:spacing w:before="0" w:after="0" w:line="240" w:lineRule="auto"/>
              <w:rPr>
                <w:sz w:val="16"/>
                <w:szCs w:val="16"/>
              </w:rPr>
            </w:pPr>
            <w:r w:rsidRPr="00190515">
              <w:rPr>
                <w:sz w:val="16"/>
                <w:szCs w:val="16"/>
              </w:rPr>
              <w:t>There were no deaths and clinical signs during exposure were considered consistent with exposure to a high concentration of aer</w:t>
            </w:r>
            <w:r w:rsidR="00465684">
              <w:rPr>
                <w:sz w:val="16"/>
                <w:szCs w:val="16"/>
              </w:rPr>
              <w:t>osol and not specific toxicity.</w:t>
            </w:r>
          </w:p>
          <w:p w14:paraId="1765485A" w14:textId="77777777" w:rsidR="00F033DB" w:rsidRPr="00190515" w:rsidRDefault="00F033DB" w:rsidP="00190515">
            <w:pPr>
              <w:pStyle w:val="Numberbullet0"/>
              <w:spacing w:before="0" w:after="0" w:line="240" w:lineRule="auto"/>
              <w:rPr>
                <w:sz w:val="16"/>
                <w:szCs w:val="16"/>
              </w:rPr>
            </w:pPr>
            <w:r w:rsidRPr="00190515">
              <w:rPr>
                <w:sz w:val="16"/>
                <w:szCs w:val="16"/>
              </w:rPr>
              <w:t>Skin sensitisation via GPMT was positive, but Buehler is considered more representative of occupational exposure.</w:t>
            </w:r>
          </w:p>
          <w:p w14:paraId="2395619D" w14:textId="2715DA17" w:rsidR="00F033DB" w:rsidRPr="00190515" w:rsidRDefault="00190515" w:rsidP="00190515">
            <w:pPr>
              <w:pStyle w:val="Heading4"/>
            </w:pPr>
            <w:r w:rsidRPr="00190515">
              <w:t>Reasons for final decision</w:t>
            </w:r>
          </w:p>
          <w:p w14:paraId="34CE915D" w14:textId="77777777" w:rsidR="00F033DB" w:rsidRPr="00243DB7" w:rsidRDefault="00F033DB" w:rsidP="00F033DB">
            <w:pPr>
              <w:spacing w:before="0" w:after="0" w:line="240" w:lineRule="auto"/>
              <w:rPr>
                <w:rFonts w:asciiTheme="minorHAnsi" w:hAnsiTheme="minorHAnsi"/>
              </w:rPr>
            </w:pPr>
            <w:r w:rsidRPr="00480169">
              <w:rPr>
                <w:rFonts w:asciiTheme="minorHAnsi" w:hAnsiTheme="minorHAnsi"/>
              </w:rPr>
              <w:t>In determining that this matter will be a delegate-only decision I have taken into account the information provided in the application from the Applicant</w:t>
            </w:r>
            <w:r>
              <w:rPr>
                <w:rFonts w:asciiTheme="minorHAnsi" w:hAnsiTheme="minorHAnsi"/>
              </w:rPr>
              <w:t xml:space="preserve"> (APVMA</w:t>
            </w:r>
            <w:r w:rsidRPr="00480169">
              <w:rPr>
                <w:rFonts w:asciiTheme="minorHAnsi" w:hAnsiTheme="minorHAnsi"/>
              </w:rPr>
              <w:t xml:space="preserve">), and the matters outlined under Section 52E of the </w:t>
            </w:r>
            <w:r w:rsidRPr="007E234E">
              <w:rPr>
                <w:rFonts w:asciiTheme="minorHAnsi" w:hAnsiTheme="minorHAnsi"/>
                <w:i/>
              </w:rPr>
              <w:t xml:space="preserve">Therapeutic Goods </w:t>
            </w:r>
            <w:r>
              <w:rPr>
                <w:rFonts w:asciiTheme="minorHAnsi" w:hAnsiTheme="minorHAnsi"/>
              </w:rPr>
              <w:t xml:space="preserve">Act </w:t>
            </w:r>
            <w:r w:rsidRPr="007E234E">
              <w:rPr>
                <w:rFonts w:asciiTheme="minorHAnsi" w:hAnsiTheme="minorHAnsi"/>
                <w:i/>
              </w:rPr>
              <w:t>1989</w:t>
            </w:r>
            <w:r w:rsidRPr="00480169">
              <w:rPr>
                <w:rFonts w:asciiTheme="minorHAnsi" w:hAnsiTheme="minorHAnsi"/>
              </w:rPr>
              <w:t xml:space="preserve"> and the Scheduling Policy Framework (</w:t>
            </w:r>
            <w:r>
              <w:rPr>
                <w:rFonts w:asciiTheme="minorHAnsi" w:hAnsiTheme="minorHAnsi"/>
              </w:rPr>
              <w:t xml:space="preserve">SPF, </w:t>
            </w:r>
            <w:r w:rsidRPr="00480169">
              <w:rPr>
                <w:rFonts w:asciiTheme="minorHAnsi" w:hAnsiTheme="minorHAnsi"/>
              </w:rPr>
              <w:t>2018). In particular, I note that:</w:t>
            </w:r>
          </w:p>
          <w:p w14:paraId="73AB61A4" w14:textId="3B3E8947" w:rsidR="00F033DB" w:rsidRDefault="00F033DB" w:rsidP="00190515">
            <w:pPr>
              <w:pStyle w:val="ListBullet"/>
            </w:pPr>
            <w:r w:rsidRPr="00DA4672">
              <w:t>The proposed change to the Poisons Standard to include a new entry for acequinocyl, indicates that there are benefits to the agricultural industry from the introduction of this new pesticide (miticide), to control for the two-spotted mite (</w:t>
            </w:r>
            <w:r w:rsidRPr="00DA4672">
              <w:rPr>
                <w:i/>
              </w:rPr>
              <w:t>Tetranychus urticae</w:t>
            </w:r>
            <w:r w:rsidRPr="00DA4672">
              <w:t>) in pome an</w:t>
            </w:r>
            <w:r>
              <w:t>d</w:t>
            </w:r>
            <w:r w:rsidRPr="00DA4672">
              <w:t xml:space="preserve"> stone fruit.</w:t>
            </w:r>
            <w:r>
              <w:t xml:space="preserve"> The product containing the new substance (acequinocyl) is intended for professional use in orchards, with limited potential for exposure to the general public. The risks associated with </w:t>
            </w:r>
            <w:r>
              <w:lastRenderedPageBreak/>
              <w:t>human exposure to the substance have been adequately addressed by the pesticide regulator (APVMA) in its application (52E(1)(a)).</w:t>
            </w:r>
          </w:p>
          <w:p w14:paraId="10CDCE03" w14:textId="77777777" w:rsidR="00F033DB" w:rsidRDefault="00F033DB" w:rsidP="00190515">
            <w:pPr>
              <w:pStyle w:val="ListBullet"/>
            </w:pPr>
            <w:r>
              <w:t>The purpose and extent for which the substance is to be used has been adequately outlined by the Applicant. I have also noted the current registration of similar products for use in a range of fruit and vegetable crops, and ornamental plants in the USA, Canada and Europe (52E(1)(b)).</w:t>
            </w:r>
          </w:p>
          <w:p w14:paraId="4264FF43" w14:textId="33A23105" w:rsidR="00F033DB" w:rsidRDefault="00F033DB" w:rsidP="00190515">
            <w:pPr>
              <w:pStyle w:val="ListBullet"/>
            </w:pPr>
            <w:r>
              <w:t xml:space="preserve">The data indicate that acequinocyl has a low acute toxicity by the oral, dermal and inhalational routes of administration, although the undiluted substance is expected to be a respiratory irritant. It is slightly irritating to the eyes and skin, but is not expected to be a skin sensitiser. Acequinocyl was not genotoxic in a battery of </w:t>
            </w:r>
            <w:r w:rsidRPr="00876DFF">
              <w:rPr>
                <w:i/>
              </w:rPr>
              <w:t>in vitro</w:t>
            </w:r>
            <w:r>
              <w:t xml:space="preserve"> and </w:t>
            </w:r>
            <w:r w:rsidRPr="00876DFF">
              <w:rPr>
                <w:i/>
              </w:rPr>
              <w:t>in vivo</w:t>
            </w:r>
            <w:r>
              <w:t xml:space="preserve"> assays and was not considered carcinogenic in chronic/lifetimes studies in mice and rats. Acequinocyl was not a reproductive toxicant in rats or a developmental toxicant in rats and rabbits. There was no evidence of teratogenicity in either species, and any embryotoxicity occurred at maternotoxic doses. The potential for inhalational toxicity/irritation due to acequinocyl was considered on the whole to be a limited driver to place the substance in Schedule 6, according to the criteria set out in the SPF (2018). Moreover, the inhalation toxicity of a product containing 15.6% acequinocyl was shown to be low (</w:t>
            </w:r>
            <w:r w:rsidRPr="00876DFF">
              <w:t>LC</w:t>
            </w:r>
            <w:r w:rsidRPr="00876DFF">
              <w:rPr>
                <w:vertAlign w:val="subscript"/>
              </w:rPr>
              <w:t>50</w:t>
            </w:r>
            <w:r w:rsidRPr="00876DFF">
              <w:t xml:space="preserve"> &gt;4560 mg/m</w:t>
            </w:r>
            <w:r w:rsidRPr="00876DFF">
              <w:rPr>
                <w:vertAlign w:val="superscript"/>
              </w:rPr>
              <w:t>3</w:t>
            </w:r>
            <w:r w:rsidRPr="00876DFF">
              <w:t>(whole body; 4-h)</w:t>
            </w:r>
            <w:r>
              <w:t>), lending further support to the classification of the substan</w:t>
            </w:r>
            <w:r w:rsidR="00190515">
              <w:t>ce into Schedule 5 (52E(1)(c)).</w:t>
            </w:r>
          </w:p>
          <w:p w14:paraId="37A193B1" w14:textId="77777777" w:rsidR="00F033DB" w:rsidRDefault="00F033DB" w:rsidP="00190515">
            <w:pPr>
              <w:pStyle w:val="ListBullet"/>
            </w:pPr>
            <w:r>
              <w:t>The Applicant has demonstrated that appropriate risk mitigation measures will be put in place for the proposed product containing the substance that may be registered for use in Australia, and that account for the dosage (application rate), formulation, labelling, packaging and presentation of the substance. As a result, no additional measures are required in the Poisons Standard. Further use of the substance in other pesticide products will be addressed by the pesticide regulator (APVMA) in any future applications to the regulator (52E(1)(d)).</w:t>
            </w:r>
          </w:p>
          <w:p w14:paraId="4CABCBC9" w14:textId="77777777" w:rsidR="00F033DB" w:rsidRDefault="00F033DB" w:rsidP="00190515">
            <w:pPr>
              <w:pStyle w:val="ListBullet"/>
            </w:pPr>
            <w:r>
              <w:t>There is no information to indicate that products containing the substance could pose a risk to humans from abuse of the substance (52E(1)(e)).</w:t>
            </w:r>
          </w:p>
          <w:p w14:paraId="75B5B9BB" w14:textId="77777777" w:rsidR="00F033DB" w:rsidRDefault="00F033DB" w:rsidP="00190515">
            <w:pPr>
              <w:pStyle w:val="ListBullet"/>
            </w:pPr>
            <w:r>
              <w:t>National and International Health Based Guidance Values have been or will be established for the substance that will protect consumers from residues of the substance in food (52E(1)(f)).</w:t>
            </w:r>
          </w:p>
          <w:p w14:paraId="5790EDD3" w14:textId="6FCAA8C1" w:rsidR="00F033DB" w:rsidRPr="00F033DB" w:rsidRDefault="00F033DB" w:rsidP="00190515">
            <w:r>
              <w:t xml:space="preserve">Therefore, I have decided to amend the current Poisons Standard in the manner set out in the application. The proposed amendment was not referred to an expert advisory committee. </w:t>
            </w:r>
          </w:p>
          <w:p w14:paraId="32692508" w14:textId="77777777" w:rsidR="008036B7" w:rsidRDefault="00AD70FE" w:rsidP="00190515">
            <w:pPr>
              <w:pStyle w:val="Heading4"/>
            </w:pPr>
            <w:r>
              <w:t>D</w:t>
            </w:r>
            <w:r w:rsidRPr="002E13B1">
              <w:t xml:space="preserve">ate of effect of the </w:t>
            </w:r>
            <w:r>
              <w:t>decision</w:t>
            </w:r>
          </w:p>
          <w:p w14:paraId="54B25287" w14:textId="4653988F" w:rsidR="00AD70FE" w:rsidRPr="00190515" w:rsidRDefault="00423457" w:rsidP="008B01E5">
            <w:pPr>
              <w:rPr>
                <w:b/>
              </w:rPr>
            </w:pPr>
            <w:sdt>
              <w:sdtPr>
                <w:rPr>
                  <w:b/>
                </w:rPr>
                <w:id w:val="-1441906049"/>
                <w:placeholder>
                  <w:docPart w:val="5A69B49747674D8DAEC3F75B9721E9B8"/>
                </w:placeholder>
                <w:date w:fullDate="2020-06-01T00:00:00Z">
                  <w:dateFormat w:val="d MMMM yyyy"/>
                  <w:lid w:val="en-AU"/>
                  <w:storeMappedDataAs w:val="dateTime"/>
                  <w:calendar w:val="gregorian"/>
                </w:date>
              </w:sdtPr>
              <w:sdtEndPr/>
              <w:sdtContent>
                <w:r w:rsidR="003B768D" w:rsidRPr="008B01E5">
                  <w:rPr>
                    <w:b/>
                  </w:rPr>
                  <w:t>1 June 2020</w:t>
                </w:r>
              </w:sdtContent>
            </w:sdt>
          </w:p>
        </w:tc>
      </w:tr>
    </w:tbl>
    <w:p w14:paraId="08AE972B" w14:textId="5B7B8940" w:rsidR="005B7704" w:rsidRDefault="005B7704" w:rsidP="008276C7">
      <w:pPr>
        <w:pStyle w:val="Heading3"/>
        <w:pageBreakBefore/>
        <w:numPr>
          <w:ilvl w:val="1"/>
          <w:numId w:val="10"/>
        </w:numPr>
        <w:ind w:left="1077"/>
      </w:pPr>
      <w:bookmarkStart w:id="28" w:name="_Toc39587422"/>
      <w:r>
        <w:lastRenderedPageBreak/>
        <w:t>Final</w:t>
      </w:r>
      <w:r w:rsidRPr="00EE463E">
        <w:t xml:space="preserve"> decision in relation to </w:t>
      </w:r>
      <w:sdt>
        <w:sdtPr>
          <w:id w:val="-1261602560"/>
          <w:placeholder>
            <w:docPart w:val="3F254279052847F0ADDB9C687E11D1BD"/>
          </w:placeholder>
        </w:sdtPr>
        <w:sdtEndPr/>
        <w:sdtContent>
          <w:r w:rsidRPr="00B64423">
            <w:t>Agrobacterium radiobacter</w:t>
          </w:r>
          <w:r>
            <w:t xml:space="preserve"> (</w:t>
          </w:r>
          <w:r w:rsidRPr="005B7704">
            <w:t>Rhizobium rhizogenes</w:t>
          </w:r>
          <w:r>
            <w:t>)</w:t>
          </w:r>
        </w:sdtContent>
      </w:sdt>
      <w:bookmarkEnd w:id="28"/>
    </w:p>
    <w:tbl>
      <w:tblPr>
        <w:tblStyle w:val="TableGrid"/>
        <w:tblW w:w="0" w:type="auto"/>
        <w:tblLook w:val="04A0" w:firstRow="1" w:lastRow="0" w:firstColumn="1" w:lastColumn="0" w:noHBand="0" w:noVBand="1"/>
      </w:tblPr>
      <w:tblGrid>
        <w:gridCol w:w="9628"/>
      </w:tblGrid>
      <w:tr w:rsidR="005B7704" w14:paraId="30D56591" w14:textId="77777777" w:rsidTr="00F3404B">
        <w:tc>
          <w:tcPr>
            <w:tcW w:w="9854" w:type="dxa"/>
          </w:tcPr>
          <w:p w14:paraId="2CE9FD8D" w14:textId="77777777" w:rsidR="005B7704" w:rsidRPr="009600E9" w:rsidRDefault="005B7704" w:rsidP="00B36FB3">
            <w:pPr>
              <w:pStyle w:val="Heading4"/>
              <w:keepNext w:val="0"/>
              <w:keepLines w:val="0"/>
              <w:widowControl w:val="0"/>
            </w:pPr>
            <w:r>
              <w:t>Final decision</w:t>
            </w:r>
          </w:p>
          <w:p w14:paraId="27B0D527" w14:textId="7C73538D" w:rsidR="005B7704" w:rsidRDefault="005B7704" w:rsidP="00190515">
            <w:r>
              <w:t>Pursuant to regulation 42ZCZU of the Regulations, a Delegate of the Secretary has made a final decision to amend the current P</w:t>
            </w:r>
            <w:r w:rsidR="00D331E8">
              <w:t xml:space="preserve">oisons Standard in relation to </w:t>
            </w:r>
            <w:r w:rsidR="00D331E8" w:rsidRPr="00D331E8">
              <w:rPr>
                <w:i/>
              </w:rPr>
              <w:t>A</w:t>
            </w:r>
            <w:r w:rsidRPr="00D331E8">
              <w:rPr>
                <w:i/>
              </w:rPr>
              <w:t>grobacterium radiobacter</w:t>
            </w:r>
            <w:r>
              <w:t xml:space="preserve"> (</w:t>
            </w:r>
            <w:r w:rsidRPr="005B7704">
              <w:rPr>
                <w:i/>
              </w:rPr>
              <w:t>Rhizobium rhizogenes</w:t>
            </w:r>
            <w:r w:rsidRPr="00E82BF7">
              <w:t>)</w:t>
            </w:r>
            <w:r w:rsidR="00190515">
              <w:t xml:space="preserve"> as follows:</w:t>
            </w:r>
          </w:p>
          <w:p w14:paraId="2510FCA6" w14:textId="351BDE75" w:rsidR="005B7704" w:rsidRPr="00E35677" w:rsidRDefault="005B7704" w:rsidP="005B7704">
            <w:pPr>
              <w:ind w:left="426"/>
              <w:rPr>
                <w:b/>
              </w:rPr>
            </w:pPr>
            <w:r w:rsidRPr="00E35677">
              <w:rPr>
                <w:b/>
              </w:rPr>
              <w:t>A</w:t>
            </w:r>
            <w:r w:rsidR="00190515">
              <w:rPr>
                <w:b/>
              </w:rPr>
              <w:t>ppendix B, Part 3 – Amend Entry</w:t>
            </w:r>
          </w:p>
          <w:tbl>
            <w:tblPr>
              <w:tblStyle w:val="TableTGAblue"/>
              <w:tblW w:w="0" w:type="auto"/>
              <w:tblInd w:w="534" w:type="dxa"/>
              <w:tblLook w:val="04A0" w:firstRow="1" w:lastRow="0" w:firstColumn="1" w:lastColumn="0" w:noHBand="0" w:noVBand="1"/>
            </w:tblPr>
            <w:tblGrid>
              <w:gridCol w:w="3136"/>
              <w:gridCol w:w="1527"/>
              <w:gridCol w:w="1986"/>
              <w:gridCol w:w="1354"/>
            </w:tblGrid>
            <w:tr w:rsidR="005B7704" w:rsidRPr="001E3D20" w14:paraId="75120BF7" w14:textId="77777777" w:rsidTr="00F3404B">
              <w:trPr>
                <w:cnfStyle w:val="100000000000" w:firstRow="1" w:lastRow="0" w:firstColumn="0" w:lastColumn="0" w:oddVBand="0" w:evenVBand="0" w:oddHBand="0" w:evenHBand="0" w:firstRowFirstColumn="0" w:firstRowLastColumn="0" w:lastRowFirstColumn="0" w:lastRowLastColumn="0"/>
                <w:trHeight w:val="667"/>
              </w:trPr>
              <w:tc>
                <w:tcPr>
                  <w:tcW w:w="3136" w:type="dxa"/>
                </w:tcPr>
                <w:p w14:paraId="17B940AD" w14:textId="55FDC55E" w:rsidR="005B7704" w:rsidRPr="001E3D20" w:rsidRDefault="00190515" w:rsidP="005B7704">
                  <w:pPr>
                    <w:rPr>
                      <w:sz w:val="20"/>
                      <w:szCs w:val="20"/>
                    </w:rPr>
                  </w:pPr>
                  <w:r>
                    <w:rPr>
                      <w:sz w:val="20"/>
                      <w:szCs w:val="20"/>
                    </w:rPr>
                    <w:t>Substance</w:t>
                  </w:r>
                </w:p>
              </w:tc>
              <w:tc>
                <w:tcPr>
                  <w:tcW w:w="1527" w:type="dxa"/>
                </w:tcPr>
                <w:p w14:paraId="38F2F48E" w14:textId="77777777" w:rsidR="005B7704" w:rsidRPr="001E3D20" w:rsidRDefault="005B7704" w:rsidP="005B7704">
                  <w:pPr>
                    <w:rPr>
                      <w:sz w:val="20"/>
                      <w:szCs w:val="20"/>
                    </w:rPr>
                  </w:pPr>
                  <w:r w:rsidRPr="001E3D20">
                    <w:rPr>
                      <w:sz w:val="20"/>
                      <w:szCs w:val="20"/>
                    </w:rPr>
                    <w:t>Date of entry</w:t>
                  </w:r>
                </w:p>
              </w:tc>
              <w:tc>
                <w:tcPr>
                  <w:tcW w:w="1986" w:type="dxa"/>
                </w:tcPr>
                <w:p w14:paraId="5B9CBEE8" w14:textId="77777777" w:rsidR="005B7704" w:rsidRPr="001E3D20" w:rsidRDefault="005B7704" w:rsidP="005B7704">
                  <w:pPr>
                    <w:rPr>
                      <w:sz w:val="20"/>
                      <w:szCs w:val="20"/>
                    </w:rPr>
                  </w:pPr>
                  <w:r w:rsidRPr="001E3D20">
                    <w:rPr>
                      <w:sz w:val="20"/>
                      <w:szCs w:val="20"/>
                    </w:rPr>
                    <w:t xml:space="preserve">Reason for listing </w:t>
                  </w:r>
                </w:p>
              </w:tc>
              <w:tc>
                <w:tcPr>
                  <w:tcW w:w="1354" w:type="dxa"/>
                </w:tcPr>
                <w:p w14:paraId="2754A386" w14:textId="77777777" w:rsidR="005B7704" w:rsidRPr="001E3D20" w:rsidRDefault="005B7704" w:rsidP="005B7704">
                  <w:pPr>
                    <w:rPr>
                      <w:sz w:val="20"/>
                      <w:szCs w:val="20"/>
                    </w:rPr>
                  </w:pPr>
                  <w:r w:rsidRPr="001E3D20">
                    <w:rPr>
                      <w:sz w:val="20"/>
                      <w:szCs w:val="20"/>
                    </w:rPr>
                    <w:t>Area of use</w:t>
                  </w:r>
                </w:p>
              </w:tc>
            </w:tr>
            <w:tr w:rsidR="005B7704" w:rsidRPr="001E3D20" w14:paraId="672AA4EE" w14:textId="77777777" w:rsidTr="00F3404B">
              <w:trPr>
                <w:trHeight w:val="846"/>
              </w:trPr>
              <w:tc>
                <w:tcPr>
                  <w:tcW w:w="3136" w:type="dxa"/>
                </w:tcPr>
                <w:p w14:paraId="5061FD16" w14:textId="77777777" w:rsidR="005B7704" w:rsidRPr="001E3D20" w:rsidRDefault="005B7704" w:rsidP="005B7704">
                  <w:pPr>
                    <w:rPr>
                      <w:i/>
                      <w:strike/>
                      <w:sz w:val="20"/>
                      <w:szCs w:val="20"/>
                    </w:rPr>
                  </w:pPr>
                  <w:r w:rsidRPr="001E3D20">
                    <w:rPr>
                      <w:i/>
                      <w:strike/>
                      <w:sz w:val="20"/>
                      <w:szCs w:val="20"/>
                    </w:rPr>
                    <w:t>AGROBACTERIUM RADIOBACTER</w:t>
                  </w:r>
                </w:p>
                <w:p w14:paraId="5A3726A8" w14:textId="77777777" w:rsidR="005B7704" w:rsidRPr="001E3D20" w:rsidRDefault="005B7704" w:rsidP="005B7704">
                  <w:pPr>
                    <w:rPr>
                      <w:sz w:val="20"/>
                      <w:szCs w:val="20"/>
                    </w:rPr>
                  </w:pPr>
                  <w:r w:rsidRPr="000814B8">
                    <w:rPr>
                      <w:i/>
                      <w:color w:val="FF0000"/>
                    </w:rPr>
                    <w:t>RHIZOBIUM</w:t>
                  </w:r>
                  <w:r w:rsidRPr="00216618">
                    <w:t xml:space="preserve"> </w:t>
                  </w:r>
                  <w:r w:rsidRPr="001E3D20">
                    <w:rPr>
                      <w:i/>
                      <w:color w:val="FF0000"/>
                      <w:sz w:val="20"/>
                      <w:szCs w:val="20"/>
                    </w:rPr>
                    <w:t>RHIZOGENES</w:t>
                  </w:r>
                </w:p>
              </w:tc>
              <w:tc>
                <w:tcPr>
                  <w:tcW w:w="1527" w:type="dxa"/>
                </w:tcPr>
                <w:p w14:paraId="10D2E9EE" w14:textId="77777777" w:rsidR="005B7704" w:rsidRPr="00E82361" w:rsidRDefault="005B7704" w:rsidP="005B7704">
                  <w:pPr>
                    <w:rPr>
                      <w:sz w:val="20"/>
                      <w:szCs w:val="20"/>
                    </w:rPr>
                  </w:pPr>
                  <w:r w:rsidRPr="00E82361">
                    <w:rPr>
                      <w:sz w:val="20"/>
                      <w:szCs w:val="20"/>
                    </w:rPr>
                    <w:t>Nov 1989</w:t>
                  </w:r>
                </w:p>
              </w:tc>
              <w:tc>
                <w:tcPr>
                  <w:tcW w:w="1986" w:type="dxa"/>
                </w:tcPr>
                <w:p w14:paraId="0664FC59" w14:textId="77777777" w:rsidR="005B7704" w:rsidRPr="001E3D20" w:rsidRDefault="005B7704" w:rsidP="005B7704">
                  <w:pPr>
                    <w:rPr>
                      <w:sz w:val="20"/>
                      <w:szCs w:val="20"/>
                    </w:rPr>
                  </w:pPr>
                  <w:r w:rsidRPr="001E3D20">
                    <w:rPr>
                      <w:sz w:val="20"/>
                      <w:szCs w:val="20"/>
                    </w:rPr>
                    <w:t>b</w:t>
                  </w:r>
                </w:p>
              </w:tc>
              <w:tc>
                <w:tcPr>
                  <w:tcW w:w="1354" w:type="dxa"/>
                </w:tcPr>
                <w:p w14:paraId="6B318E3D" w14:textId="77777777" w:rsidR="005B7704" w:rsidRPr="001E3D20" w:rsidRDefault="005B7704" w:rsidP="005B7704">
                  <w:pPr>
                    <w:rPr>
                      <w:sz w:val="20"/>
                      <w:szCs w:val="20"/>
                    </w:rPr>
                  </w:pPr>
                  <w:r w:rsidRPr="001E3D20">
                    <w:rPr>
                      <w:sz w:val="20"/>
                      <w:szCs w:val="20"/>
                    </w:rPr>
                    <w:t>1</w:t>
                  </w:r>
                </w:p>
              </w:tc>
            </w:tr>
            <w:tr w:rsidR="005B7704" w:rsidRPr="001E3D20" w14:paraId="0BB31C0A" w14:textId="77777777" w:rsidTr="00F3404B">
              <w:trPr>
                <w:trHeight w:val="769"/>
              </w:trPr>
              <w:tc>
                <w:tcPr>
                  <w:tcW w:w="8002" w:type="dxa"/>
                  <w:gridSpan w:val="4"/>
                </w:tcPr>
                <w:p w14:paraId="6A063884" w14:textId="77777777" w:rsidR="005B7704" w:rsidRPr="001E3D20" w:rsidRDefault="005B7704" w:rsidP="005B7704">
                  <w:pPr>
                    <w:rPr>
                      <w:sz w:val="16"/>
                      <w:szCs w:val="16"/>
                    </w:rPr>
                  </w:pPr>
                  <w:r w:rsidRPr="001E3D20">
                    <w:rPr>
                      <w:sz w:val="16"/>
                      <w:szCs w:val="16"/>
                    </w:rPr>
                    <w:t>b= Use pattern restricts hazard</w:t>
                  </w:r>
                  <w:r>
                    <w:rPr>
                      <w:sz w:val="16"/>
                      <w:szCs w:val="16"/>
                    </w:rPr>
                    <w:br/>
                  </w:r>
                  <w:r w:rsidRPr="001E3D20">
                    <w:rPr>
                      <w:sz w:val="16"/>
                      <w:szCs w:val="16"/>
                    </w:rPr>
                    <w:t xml:space="preserve">1= Agriculture </w:t>
                  </w:r>
                </w:p>
              </w:tc>
            </w:tr>
          </w:tbl>
          <w:p w14:paraId="71475750" w14:textId="77777777" w:rsidR="005B7704" w:rsidRDefault="005B7704" w:rsidP="005B7704">
            <w:pPr>
              <w:ind w:left="426"/>
              <w:rPr>
                <w:b/>
                <w:bCs/>
                <w:szCs w:val="22"/>
              </w:rPr>
            </w:pPr>
            <w:r>
              <w:rPr>
                <w:b/>
                <w:bCs/>
                <w:szCs w:val="22"/>
              </w:rPr>
              <w:t>INDEX – Amend Entry</w:t>
            </w:r>
          </w:p>
          <w:p w14:paraId="58ED944B" w14:textId="77777777" w:rsidR="005B7704" w:rsidRPr="00C52C2A" w:rsidRDefault="005B7704" w:rsidP="005B7704">
            <w:pPr>
              <w:ind w:left="426"/>
              <w:rPr>
                <w:strike/>
                <w:szCs w:val="22"/>
              </w:rPr>
            </w:pPr>
            <w:r w:rsidRPr="001E3D20">
              <w:rPr>
                <w:b/>
                <w:bCs/>
                <w:strike/>
                <w:szCs w:val="22"/>
              </w:rPr>
              <w:t>AGROBACTERIUM RADIOBACTER</w:t>
            </w:r>
            <w:r w:rsidRPr="001E3D20">
              <w:rPr>
                <w:b/>
                <w:bCs/>
                <w:szCs w:val="22"/>
              </w:rPr>
              <w:t xml:space="preserve"> </w:t>
            </w:r>
            <w:r w:rsidRPr="000814B8">
              <w:rPr>
                <w:b/>
                <w:color w:val="FF0000"/>
              </w:rPr>
              <w:t>RHIZOBIUM</w:t>
            </w:r>
            <w:r w:rsidRPr="00216618">
              <w:t xml:space="preserve"> </w:t>
            </w:r>
            <w:r w:rsidRPr="00C52C2A">
              <w:rPr>
                <w:b/>
                <w:bCs/>
                <w:color w:val="FF0000"/>
                <w:szCs w:val="22"/>
              </w:rPr>
              <w:t>RHIZOGENES</w:t>
            </w:r>
          </w:p>
          <w:p w14:paraId="2D5EE161" w14:textId="77777777" w:rsidR="005B7704" w:rsidRDefault="005B7704" w:rsidP="005B7704">
            <w:pPr>
              <w:ind w:left="426"/>
            </w:pPr>
            <w:r>
              <w:t>Appendix B, Part 3</w:t>
            </w:r>
          </w:p>
          <w:p w14:paraId="5494EF12" w14:textId="77777777" w:rsidR="005B7704" w:rsidRDefault="005B7704" w:rsidP="00190515">
            <w:pPr>
              <w:pStyle w:val="Heading4"/>
            </w:pPr>
            <w:r>
              <w:t>Reasons for the final decision (including findings on material questions of fact)</w:t>
            </w:r>
          </w:p>
          <w:p w14:paraId="70A46705" w14:textId="45E8829B" w:rsidR="005B7704" w:rsidRPr="00396360" w:rsidRDefault="005B7704" w:rsidP="00396360">
            <w:pPr>
              <w:pStyle w:val="Heading5"/>
            </w:pPr>
            <w:r w:rsidRPr="00396360">
              <w:t>Materials considered</w:t>
            </w:r>
          </w:p>
          <w:p w14:paraId="590777FF" w14:textId="739B8825" w:rsidR="00F3404B" w:rsidRDefault="00F3404B" w:rsidP="00F3404B">
            <w:pPr>
              <w:rPr>
                <w:rFonts w:asciiTheme="minorHAnsi" w:hAnsiTheme="minorHAnsi"/>
              </w:rPr>
            </w:pPr>
            <w:r>
              <w:rPr>
                <w:rFonts w:asciiTheme="minorHAnsi" w:hAnsiTheme="minorHAnsi"/>
              </w:rPr>
              <w:t>In making this final decision, I</w:t>
            </w:r>
            <w:r w:rsidR="00190515">
              <w:rPr>
                <w:rFonts w:asciiTheme="minorHAnsi" w:hAnsiTheme="minorHAnsi"/>
              </w:rPr>
              <w:t xml:space="preserve"> have considered the following:</w:t>
            </w:r>
          </w:p>
          <w:p w14:paraId="0E935884" w14:textId="2381F507" w:rsidR="00F3404B" w:rsidRDefault="00F3404B" w:rsidP="00190515">
            <w:pPr>
              <w:pStyle w:val="ListBullet"/>
            </w:pPr>
            <w:r>
              <w:t xml:space="preserve">The Applicant’s application to amend the current Poisons Standard </w:t>
            </w:r>
            <w:r w:rsidR="00D331E8">
              <w:t xml:space="preserve">with respect to </w:t>
            </w:r>
            <w:r w:rsidR="00D331E8" w:rsidRPr="00D331E8">
              <w:rPr>
                <w:i/>
              </w:rPr>
              <w:t>A</w:t>
            </w:r>
            <w:r w:rsidRPr="00D331E8">
              <w:rPr>
                <w:i/>
              </w:rPr>
              <w:t>grobacterium radiobacter</w:t>
            </w:r>
            <w:r>
              <w:t xml:space="preserve"> (</w:t>
            </w:r>
            <w:r w:rsidRPr="00D331E8">
              <w:rPr>
                <w:i/>
              </w:rPr>
              <w:t>Rhizobium rhizogenes</w:t>
            </w:r>
            <w:r w:rsidRPr="00E82BF7">
              <w:t>)</w:t>
            </w:r>
            <w:r>
              <w:t>;</w:t>
            </w:r>
          </w:p>
          <w:p w14:paraId="45B7827D" w14:textId="34A9370D" w:rsidR="00F3404B" w:rsidRPr="00565166" w:rsidRDefault="00F3404B" w:rsidP="00F3404B">
            <w:pPr>
              <w:pStyle w:val="ListBullet"/>
              <w:rPr>
                <w:szCs w:val="22"/>
              </w:rPr>
            </w:pPr>
            <w:r w:rsidRPr="00565166">
              <w:t xml:space="preserve">Subsection 52E(1) of the </w:t>
            </w:r>
            <w:r w:rsidRPr="00565166">
              <w:rPr>
                <w:i/>
              </w:rPr>
              <w:t>Therapeutic Goods Act 1989</w:t>
            </w:r>
            <w:r w:rsidRPr="00565166">
              <w:t xml:space="preserve">, in particular </w:t>
            </w:r>
            <w:r w:rsidRPr="00565166">
              <w:rPr>
                <w:szCs w:val="22"/>
              </w:rPr>
              <w:t xml:space="preserve">(a) the risks and benefits of the use of a substance; (b) the purposes for which a substance is to be used and the extent of use of a substance; (c) the toxicity of a substance; (d) the dosage, formulation, labelling, packaging and presentation of a substance; </w:t>
            </w:r>
            <w:r>
              <w:rPr>
                <w:szCs w:val="22"/>
              </w:rPr>
              <w:t xml:space="preserve">and </w:t>
            </w:r>
            <w:r w:rsidRPr="00565166">
              <w:rPr>
                <w:szCs w:val="22"/>
              </w:rPr>
              <w:t>(e) the potential for abuse of a substance</w:t>
            </w:r>
            <w:r w:rsidR="00CB370F">
              <w:rPr>
                <w:szCs w:val="22"/>
              </w:rPr>
              <w:t>;</w:t>
            </w:r>
          </w:p>
          <w:p w14:paraId="2C15DAA4" w14:textId="77777777" w:rsidR="00F3404B" w:rsidRDefault="00F3404B" w:rsidP="00F3404B">
            <w:pPr>
              <w:pStyle w:val="ListBullet"/>
            </w:pPr>
            <w:r w:rsidRPr="00565166">
              <w:t xml:space="preserve">The Australian Health Ministers’ Advisory Council’s </w:t>
            </w:r>
            <w:hyperlink r:id="rId67" w:history="1">
              <w:r w:rsidRPr="00565166">
                <w:rPr>
                  <w:rStyle w:val="Hyperlink"/>
                  <w:rFonts w:asciiTheme="minorHAnsi" w:hAnsiTheme="minorHAnsi"/>
                </w:rPr>
                <w:t>Scheduling Policy Framework</w:t>
              </w:r>
            </w:hyperlink>
            <w:r w:rsidRPr="00565166">
              <w:t xml:space="preserve"> (SPF 2018)</w:t>
            </w:r>
            <w:r>
              <w:t>; and</w:t>
            </w:r>
          </w:p>
          <w:p w14:paraId="5D718843" w14:textId="77777777" w:rsidR="00F3404B" w:rsidRPr="00565166" w:rsidRDefault="00423457" w:rsidP="00F3404B">
            <w:pPr>
              <w:pStyle w:val="ListBullet"/>
            </w:pPr>
            <w:hyperlink r:id="rId68" w:history="1">
              <w:r w:rsidR="00F3404B">
                <w:rPr>
                  <w:rStyle w:val="Hyperlink"/>
                </w:rPr>
                <w:t>Scheduling Handbook</w:t>
              </w:r>
            </w:hyperlink>
            <w:r w:rsidR="00F3404B">
              <w:t xml:space="preserve"> (V 1.0, January 2018).</w:t>
            </w:r>
          </w:p>
          <w:p w14:paraId="205AC86B" w14:textId="780BFAF9" w:rsidR="005B7704" w:rsidRPr="00396360" w:rsidRDefault="005B7704" w:rsidP="00396360">
            <w:pPr>
              <w:pStyle w:val="Heading5"/>
            </w:pPr>
            <w:r w:rsidRPr="00396360">
              <w:t>Findings on material questions of fact</w:t>
            </w:r>
          </w:p>
          <w:p w14:paraId="10A5DD68" w14:textId="70EE84FB" w:rsidR="001E258A" w:rsidRDefault="001E258A" w:rsidP="00CB370F">
            <w:pPr>
              <w:spacing w:after="1840"/>
            </w:pPr>
            <w:r w:rsidRPr="00E35677">
              <w:t>An</w:t>
            </w:r>
            <w:r w:rsidRPr="007D182C">
              <w:t xml:space="preserve"> application was submitted by </w:t>
            </w:r>
            <w:r>
              <w:t>th</w:t>
            </w:r>
            <w:r w:rsidRPr="00C30225">
              <w:t>e Australian Pesticides and Veterinary Medicines Authority (APVMA) to amend the Poisons Standard with respect to</w:t>
            </w:r>
            <w:r>
              <w:t xml:space="preserve"> the Appendix B entry for</w:t>
            </w:r>
            <w:r w:rsidRPr="00C30225">
              <w:t xml:space="preserve"> </w:t>
            </w:r>
            <w:r w:rsidRPr="00E35677">
              <w:rPr>
                <w:i/>
              </w:rPr>
              <w:t>Agrobacterium radiobacter</w:t>
            </w:r>
            <w:r w:rsidRPr="00C30225">
              <w:t>. The application</w:t>
            </w:r>
            <w:r>
              <w:t xml:space="preserve"> proposes to amend the Appendix B entry for</w:t>
            </w:r>
            <w:r w:rsidRPr="008F7767">
              <w:t xml:space="preserve"> </w:t>
            </w:r>
            <w:r w:rsidRPr="00E35677">
              <w:rPr>
                <w:i/>
              </w:rPr>
              <w:t>Agrobacterium radiobacter</w:t>
            </w:r>
            <w:r w:rsidRPr="00E35677">
              <w:t xml:space="preserve"> </w:t>
            </w:r>
            <w:r>
              <w:t xml:space="preserve">and rename it to </w:t>
            </w:r>
            <w:r w:rsidRPr="001E3D20">
              <w:rPr>
                <w:i/>
              </w:rPr>
              <w:t>Rhizobia rhizogenes</w:t>
            </w:r>
            <w:r w:rsidRPr="008F7767">
              <w:t xml:space="preserve"> </w:t>
            </w:r>
            <w:r>
              <w:t>to reflect the</w:t>
            </w:r>
            <w:r w:rsidRPr="008F7767">
              <w:t xml:space="preserve"> reclassification in the scientific nomenclature o</w:t>
            </w:r>
            <w:r>
              <w:t>f this organism.</w:t>
            </w:r>
          </w:p>
          <w:p w14:paraId="462B9E18" w14:textId="77777777" w:rsidR="001E258A" w:rsidRPr="00F672FE" w:rsidRDefault="001E258A" w:rsidP="00CB370F">
            <w:pPr>
              <w:pageBreakBefore/>
            </w:pPr>
            <w:r w:rsidRPr="00F672FE">
              <w:lastRenderedPageBreak/>
              <w:t>The Applicant’s proposed amendments to the Poisons Standard are:</w:t>
            </w:r>
          </w:p>
          <w:p w14:paraId="125CEB38" w14:textId="74F09B43" w:rsidR="001E258A" w:rsidRPr="00E35677" w:rsidRDefault="001E258A" w:rsidP="001E258A">
            <w:pPr>
              <w:ind w:left="426"/>
              <w:rPr>
                <w:b/>
              </w:rPr>
            </w:pPr>
            <w:r w:rsidRPr="00E35677">
              <w:rPr>
                <w:b/>
              </w:rPr>
              <w:t>A</w:t>
            </w:r>
            <w:r w:rsidR="00B36FB3">
              <w:rPr>
                <w:b/>
              </w:rPr>
              <w:t>ppendix B, Part 3 – Amend Entry</w:t>
            </w:r>
          </w:p>
          <w:tbl>
            <w:tblPr>
              <w:tblStyle w:val="TableTGAblue"/>
              <w:tblW w:w="0" w:type="auto"/>
              <w:tblInd w:w="534" w:type="dxa"/>
              <w:tblLook w:val="04A0" w:firstRow="1" w:lastRow="0" w:firstColumn="1" w:lastColumn="0" w:noHBand="0" w:noVBand="1"/>
            </w:tblPr>
            <w:tblGrid>
              <w:gridCol w:w="3136"/>
              <w:gridCol w:w="1527"/>
              <w:gridCol w:w="1986"/>
              <w:gridCol w:w="1354"/>
            </w:tblGrid>
            <w:tr w:rsidR="001E258A" w:rsidRPr="001E3D20" w14:paraId="780568F6" w14:textId="77777777" w:rsidTr="003B768D">
              <w:trPr>
                <w:cnfStyle w:val="100000000000" w:firstRow="1" w:lastRow="0" w:firstColumn="0" w:lastColumn="0" w:oddVBand="0" w:evenVBand="0" w:oddHBand="0" w:evenHBand="0" w:firstRowFirstColumn="0" w:firstRowLastColumn="0" w:lastRowFirstColumn="0" w:lastRowLastColumn="0"/>
                <w:trHeight w:val="667"/>
              </w:trPr>
              <w:tc>
                <w:tcPr>
                  <w:tcW w:w="3136" w:type="dxa"/>
                </w:tcPr>
                <w:p w14:paraId="11B8776C" w14:textId="77777777" w:rsidR="001E258A" w:rsidRPr="001E3D20" w:rsidRDefault="001E258A" w:rsidP="001E258A">
                  <w:pPr>
                    <w:rPr>
                      <w:sz w:val="20"/>
                      <w:szCs w:val="20"/>
                    </w:rPr>
                  </w:pPr>
                  <w:r w:rsidRPr="001E3D20">
                    <w:rPr>
                      <w:sz w:val="20"/>
                      <w:szCs w:val="20"/>
                    </w:rPr>
                    <w:t xml:space="preserve">Substance </w:t>
                  </w:r>
                </w:p>
              </w:tc>
              <w:tc>
                <w:tcPr>
                  <w:tcW w:w="1527" w:type="dxa"/>
                </w:tcPr>
                <w:p w14:paraId="6CCA26ED" w14:textId="77777777" w:rsidR="001E258A" w:rsidRPr="001E3D20" w:rsidRDefault="001E258A" w:rsidP="001E258A">
                  <w:pPr>
                    <w:rPr>
                      <w:sz w:val="20"/>
                      <w:szCs w:val="20"/>
                    </w:rPr>
                  </w:pPr>
                  <w:r w:rsidRPr="001E3D20">
                    <w:rPr>
                      <w:sz w:val="20"/>
                      <w:szCs w:val="20"/>
                    </w:rPr>
                    <w:t>Date of entry</w:t>
                  </w:r>
                </w:p>
              </w:tc>
              <w:tc>
                <w:tcPr>
                  <w:tcW w:w="1986" w:type="dxa"/>
                </w:tcPr>
                <w:p w14:paraId="224430E2" w14:textId="77777777" w:rsidR="001E258A" w:rsidRPr="001E3D20" w:rsidRDefault="001E258A" w:rsidP="001E258A">
                  <w:pPr>
                    <w:rPr>
                      <w:sz w:val="20"/>
                      <w:szCs w:val="20"/>
                    </w:rPr>
                  </w:pPr>
                  <w:r w:rsidRPr="001E3D20">
                    <w:rPr>
                      <w:sz w:val="20"/>
                      <w:szCs w:val="20"/>
                    </w:rPr>
                    <w:t xml:space="preserve">Reason for listing </w:t>
                  </w:r>
                </w:p>
              </w:tc>
              <w:tc>
                <w:tcPr>
                  <w:tcW w:w="1354" w:type="dxa"/>
                </w:tcPr>
                <w:p w14:paraId="2D141F66" w14:textId="77777777" w:rsidR="001E258A" w:rsidRPr="001E3D20" w:rsidRDefault="001E258A" w:rsidP="001E258A">
                  <w:pPr>
                    <w:rPr>
                      <w:sz w:val="20"/>
                      <w:szCs w:val="20"/>
                    </w:rPr>
                  </w:pPr>
                  <w:r w:rsidRPr="001E3D20">
                    <w:rPr>
                      <w:sz w:val="20"/>
                      <w:szCs w:val="20"/>
                    </w:rPr>
                    <w:t>Area of use</w:t>
                  </w:r>
                </w:p>
              </w:tc>
            </w:tr>
            <w:tr w:rsidR="001E258A" w:rsidRPr="001E3D20" w14:paraId="2E81A5D2" w14:textId="77777777" w:rsidTr="003B768D">
              <w:trPr>
                <w:trHeight w:val="846"/>
              </w:trPr>
              <w:tc>
                <w:tcPr>
                  <w:tcW w:w="3136" w:type="dxa"/>
                </w:tcPr>
                <w:p w14:paraId="0298AE91" w14:textId="77777777" w:rsidR="001E258A" w:rsidRPr="001E3D20" w:rsidRDefault="001E258A" w:rsidP="001E258A">
                  <w:pPr>
                    <w:rPr>
                      <w:i/>
                      <w:strike/>
                      <w:sz w:val="20"/>
                      <w:szCs w:val="20"/>
                    </w:rPr>
                  </w:pPr>
                  <w:r w:rsidRPr="001E3D20">
                    <w:rPr>
                      <w:i/>
                      <w:strike/>
                      <w:sz w:val="20"/>
                      <w:szCs w:val="20"/>
                    </w:rPr>
                    <w:t>AGROBACTERIUM RADIOBACTER</w:t>
                  </w:r>
                </w:p>
                <w:p w14:paraId="366D9445" w14:textId="77777777" w:rsidR="001E258A" w:rsidRPr="001E3D20" w:rsidRDefault="001E258A" w:rsidP="001E258A">
                  <w:pPr>
                    <w:rPr>
                      <w:sz w:val="20"/>
                      <w:szCs w:val="20"/>
                    </w:rPr>
                  </w:pPr>
                  <w:r w:rsidRPr="001E3D20">
                    <w:rPr>
                      <w:i/>
                      <w:color w:val="FF0000"/>
                      <w:sz w:val="20"/>
                      <w:szCs w:val="20"/>
                    </w:rPr>
                    <w:t>RHIZOBIA RHIZOGENES</w:t>
                  </w:r>
                </w:p>
              </w:tc>
              <w:tc>
                <w:tcPr>
                  <w:tcW w:w="1527" w:type="dxa"/>
                </w:tcPr>
                <w:p w14:paraId="24DDD943" w14:textId="77777777" w:rsidR="001E258A" w:rsidRPr="00E82361" w:rsidRDefault="001E258A" w:rsidP="001E258A">
                  <w:pPr>
                    <w:rPr>
                      <w:sz w:val="20"/>
                      <w:szCs w:val="20"/>
                    </w:rPr>
                  </w:pPr>
                  <w:r w:rsidRPr="00E82361">
                    <w:rPr>
                      <w:sz w:val="20"/>
                      <w:szCs w:val="20"/>
                    </w:rPr>
                    <w:t>Nov 1989</w:t>
                  </w:r>
                </w:p>
              </w:tc>
              <w:tc>
                <w:tcPr>
                  <w:tcW w:w="1986" w:type="dxa"/>
                </w:tcPr>
                <w:p w14:paraId="6DE4A0AD" w14:textId="77777777" w:rsidR="001E258A" w:rsidRPr="001E3D20" w:rsidRDefault="001E258A" w:rsidP="001E258A">
                  <w:pPr>
                    <w:rPr>
                      <w:sz w:val="20"/>
                      <w:szCs w:val="20"/>
                    </w:rPr>
                  </w:pPr>
                  <w:r w:rsidRPr="001E3D20">
                    <w:rPr>
                      <w:sz w:val="20"/>
                      <w:szCs w:val="20"/>
                    </w:rPr>
                    <w:t>b</w:t>
                  </w:r>
                </w:p>
              </w:tc>
              <w:tc>
                <w:tcPr>
                  <w:tcW w:w="1354" w:type="dxa"/>
                </w:tcPr>
                <w:p w14:paraId="76F4F5AB" w14:textId="77777777" w:rsidR="001E258A" w:rsidRPr="001E3D20" w:rsidRDefault="001E258A" w:rsidP="001E258A">
                  <w:pPr>
                    <w:rPr>
                      <w:sz w:val="20"/>
                      <w:szCs w:val="20"/>
                    </w:rPr>
                  </w:pPr>
                  <w:r w:rsidRPr="001E3D20">
                    <w:rPr>
                      <w:sz w:val="20"/>
                      <w:szCs w:val="20"/>
                    </w:rPr>
                    <w:t>1</w:t>
                  </w:r>
                </w:p>
              </w:tc>
            </w:tr>
            <w:tr w:rsidR="001E258A" w:rsidRPr="001E3D20" w14:paraId="62272F5A" w14:textId="77777777" w:rsidTr="003B768D">
              <w:trPr>
                <w:trHeight w:val="769"/>
              </w:trPr>
              <w:tc>
                <w:tcPr>
                  <w:tcW w:w="8002" w:type="dxa"/>
                  <w:gridSpan w:val="4"/>
                </w:tcPr>
                <w:p w14:paraId="3EC33724" w14:textId="77777777" w:rsidR="001E258A" w:rsidRPr="001E3D20" w:rsidRDefault="001E258A" w:rsidP="001E258A">
                  <w:pPr>
                    <w:rPr>
                      <w:sz w:val="16"/>
                      <w:szCs w:val="16"/>
                    </w:rPr>
                  </w:pPr>
                  <w:r w:rsidRPr="001E3D20">
                    <w:rPr>
                      <w:sz w:val="16"/>
                      <w:szCs w:val="16"/>
                    </w:rPr>
                    <w:t>b= Use pattern restricts hazard</w:t>
                  </w:r>
                  <w:r>
                    <w:rPr>
                      <w:sz w:val="16"/>
                      <w:szCs w:val="16"/>
                    </w:rPr>
                    <w:br/>
                  </w:r>
                  <w:r w:rsidRPr="001E3D20">
                    <w:rPr>
                      <w:sz w:val="16"/>
                      <w:szCs w:val="16"/>
                    </w:rPr>
                    <w:t xml:space="preserve">1= Agriculture </w:t>
                  </w:r>
                </w:p>
              </w:tc>
            </w:tr>
          </w:tbl>
          <w:p w14:paraId="14507048" w14:textId="77777777" w:rsidR="001E258A" w:rsidRDefault="001E258A" w:rsidP="001E258A">
            <w:pPr>
              <w:ind w:left="426"/>
              <w:rPr>
                <w:b/>
                <w:bCs/>
                <w:szCs w:val="22"/>
              </w:rPr>
            </w:pPr>
            <w:r>
              <w:rPr>
                <w:b/>
                <w:bCs/>
                <w:szCs w:val="22"/>
              </w:rPr>
              <w:t>INDEX – Amend Entry</w:t>
            </w:r>
          </w:p>
          <w:p w14:paraId="6CF032CD" w14:textId="77777777" w:rsidR="001E258A" w:rsidRPr="00C52C2A" w:rsidRDefault="001E258A" w:rsidP="001E258A">
            <w:pPr>
              <w:ind w:left="426"/>
              <w:rPr>
                <w:strike/>
                <w:szCs w:val="22"/>
              </w:rPr>
            </w:pPr>
            <w:r w:rsidRPr="001E3D20">
              <w:rPr>
                <w:b/>
                <w:bCs/>
                <w:strike/>
                <w:szCs w:val="22"/>
              </w:rPr>
              <w:t>AGROBACTERIUM RADIOBACTER</w:t>
            </w:r>
            <w:r w:rsidRPr="001E3D20">
              <w:rPr>
                <w:b/>
                <w:bCs/>
                <w:szCs w:val="22"/>
              </w:rPr>
              <w:t xml:space="preserve"> </w:t>
            </w:r>
            <w:r w:rsidRPr="00C52C2A">
              <w:rPr>
                <w:b/>
                <w:bCs/>
                <w:color w:val="FF0000"/>
                <w:szCs w:val="22"/>
              </w:rPr>
              <w:t>RHIZOBIA RHIZOGENES</w:t>
            </w:r>
          </w:p>
          <w:p w14:paraId="55D9C899" w14:textId="77777777" w:rsidR="001E258A" w:rsidRDefault="001E258A" w:rsidP="001E258A">
            <w:pPr>
              <w:ind w:left="426"/>
            </w:pPr>
            <w:r>
              <w:t>Appendix B, Part 3</w:t>
            </w:r>
          </w:p>
          <w:p w14:paraId="329F2DA0" w14:textId="77777777" w:rsidR="001E258A" w:rsidRPr="008F7767" w:rsidRDefault="001E258A" w:rsidP="001E258A">
            <w:pPr>
              <w:rPr>
                <w:b/>
              </w:rPr>
            </w:pPr>
            <w:r>
              <w:t>The Applicant’s reasons for the proposal are:</w:t>
            </w:r>
          </w:p>
          <w:p w14:paraId="1FA6344F" w14:textId="77777777" w:rsidR="001E258A" w:rsidRDefault="001E258A" w:rsidP="00176594">
            <w:pPr>
              <w:pStyle w:val="ListBullet"/>
              <w:spacing w:after="120"/>
              <w:ind w:left="357" w:hanging="357"/>
            </w:pPr>
            <w:r w:rsidRPr="009C3B5B">
              <w:t>The proposed change is purely an amendment to the entry in Appendix B to reflect the correct phylogenetic i</w:t>
            </w:r>
            <w:r>
              <w:t>dentification of this species.</w:t>
            </w:r>
          </w:p>
          <w:p w14:paraId="463184BA" w14:textId="77777777" w:rsidR="001E258A" w:rsidRDefault="001E258A" w:rsidP="00176594">
            <w:pPr>
              <w:pStyle w:val="ListBullet"/>
              <w:spacing w:after="120"/>
              <w:ind w:left="357" w:hanging="357"/>
            </w:pPr>
            <w:r w:rsidRPr="009C3B5B">
              <w:t>No public health impact is anticipated from this change, as it will not result in any change of the quantity of the substance available in the market, and will not c</w:t>
            </w:r>
            <w:r>
              <w:t>hange the current use pattern.</w:t>
            </w:r>
          </w:p>
          <w:p w14:paraId="2E58C84C" w14:textId="6A89691D" w:rsidR="001E258A" w:rsidRPr="001E258A" w:rsidRDefault="001E258A" w:rsidP="00176594">
            <w:pPr>
              <w:pStyle w:val="ListBullet"/>
              <w:spacing w:after="120"/>
              <w:ind w:left="357" w:hanging="357"/>
            </w:pPr>
            <w:r w:rsidRPr="00E35677">
              <w:rPr>
                <w:i/>
              </w:rPr>
              <w:t xml:space="preserve">Agrobacterium </w:t>
            </w:r>
            <w:r w:rsidRPr="009C3B5B">
              <w:t>was originally included in Appendix B in 1989 based on very low oral toxicity, no skin or eye irritation and no evidence of sensitisation.</w:t>
            </w:r>
          </w:p>
          <w:p w14:paraId="1F08D7AA" w14:textId="77777777" w:rsidR="001E258A" w:rsidRPr="00396360" w:rsidRDefault="001E258A" w:rsidP="00396360">
            <w:pPr>
              <w:pStyle w:val="Heading5"/>
            </w:pPr>
            <w:r w:rsidRPr="00396360">
              <w:t>Current scheduling status</w:t>
            </w:r>
          </w:p>
          <w:p w14:paraId="3146563F" w14:textId="77777777" w:rsidR="001E258A" w:rsidRDefault="001E258A" w:rsidP="00CB370F">
            <w:r w:rsidRPr="005C4B20">
              <w:rPr>
                <w:i/>
              </w:rPr>
              <w:t>Agrobacterium radiobacter</w:t>
            </w:r>
            <w:r w:rsidRPr="005C4B20">
              <w:t xml:space="preserve"> </w:t>
            </w:r>
            <w:r w:rsidRPr="00AF12F6">
              <w:t xml:space="preserve">is currently </w:t>
            </w:r>
            <w:r>
              <w:t>included</w:t>
            </w:r>
            <w:r w:rsidRPr="00AF12F6">
              <w:t xml:space="preserve"> in Appendix </w:t>
            </w:r>
            <w:r w:rsidRPr="005C4B20">
              <w:t>B</w:t>
            </w:r>
            <w:r>
              <w:t>, Part 3</w:t>
            </w:r>
            <w:r w:rsidRPr="005C4B20">
              <w:t xml:space="preserve"> of the Poisons Standard as</w:t>
            </w:r>
            <w:r>
              <w:t xml:space="preserve"> follows</w:t>
            </w:r>
            <w:r w:rsidRPr="00AF12F6">
              <w:t>:</w:t>
            </w:r>
          </w:p>
          <w:p w14:paraId="72677F48" w14:textId="0EC402AA" w:rsidR="001E258A" w:rsidRPr="007A5E49" w:rsidRDefault="001E258A" w:rsidP="001E258A">
            <w:pPr>
              <w:ind w:left="426"/>
              <w:rPr>
                <w:b/>
              </w:rPr>
            </w:pPr>
            <w:r w:rsidRPr="007A5E49">
              <w:rPr>
                <w:b/>
              </w:rPr>
              <w:t xml:space="preserve">Appendix B, </w:t>
            </w:r>
            <w:r w:rsidR="00CB370F">
              <w:rPr>
                <w:b/>
              </w:rPr>
              <w:t>Part 3 – Amend Entry</w:t>
            </w:r>
          </w:p>
          <w:tbl>
            <w:tblPr>
              <w:tblStyle w:val="TableTGAblue"/>
              <w:tblW w:w="7411" w:type="dxa"/>
              <w:tblInd w:w="534" w:type="dxa"/>
              <w:tblLook w:val="04A0" w:firstRow="1" w:lastRow="0" w:firstColumn="1" w:lastColumn="0" w:noHBand="0" w:noVBand="1"/>
            </w:tblPr>
            <w:tblGrid>
              <w:gridCol w:w="2657"/>
              <w:gridCol w:w="1492"/>
              <w:gridCol w:w="1938"/>
              <w:gridCol w:w="1324"/>
            </w:tblGrid>
            <w:tr w:rsidR="001E258A" w:rsidRPr="007A5E49" w14:paraId="55BAF2BB" w14:textId="77777777" w:rsidTr="003B768D">
              <w:trPr>
                <w:cnfStyle w:val="100000000000" w:firstRow="1" w:lastRow="0" w:firstColumn="0" w:lastColumn="0" w:oddVBand="0" w:evenVBand="0" w:oddHBand="0" w:evenHBand="0" w:firstRowFirstColumn="0" w:firstRowLastColumn="0" w:lastRowFirstColumn="0" w:lastRowLastColumn="0"/>
                <w:trHeight w:val="667"/>
              </w:trPr>
              <w:tc>
                <w:tcPr>
                  <w:tcW w:w="2657" w:type="dxa"/>
                </w:tcPr>
                <w:p w14:paraId="078AE98A" w14:textId="77777777" w:rsidR="001E258A" w:rsidRPr="007A5E49" w:rsidRDefault="001E258A" w:rsidP="001E258A">
                  <w:pPr>
                    <w:rPr>
                      <w:sz w:val="20"/>
                      <w:szCs w:val="20"/>
                    </w:rPr>
                  </w:pPr>
                  <w:r w:rsidRPr="007A5E49">
                    <w:rPr>
                      <w:sz w:val="20"/>
                      <w:szCs w:val="20"/>
                    </w:rPr>
                    <w:t xml:space="preserve">Substance </w:t>
                  </w:r>
                </w:p>
              </w:tc>
              <w:tc>
                <w:tcPr>
                  <w:tcW w:w="1492" w:type="dxa"/>
                </w:tcPr>
                <w:p w14:paraId="772E1AB0" w14:textId="77777777" w:rsidR="001E258A" w:rsidRPr="007A5E49" w:rsidRDefault="001E258A" w:rsidP="001E258A">
                  <w:pPr>
                    <w:rPr>
                      <w:sz w:val="20"/>
                      <w:szCs w:val="20"/>
                    </w:rPr>
                  </w:pPr>
                  <w:r w:rsidRPr="007A5E49">
                    <w:rPr>
                      <w:sz w:val="20"/>
                      <w:szCs w:val="20"/>
                    </w:rPr>
                    <w:t>Date of entry</w:t>
                  </w:r>
                </w:p>
              </w:tc>
              <w:tc>
                <w:tcPr>
                  <w:tcW w:w="1938" w:type="dxa"/>
                </w:tcPr>
                <w:p w14:paraId="3EC2BDAF" w14:textId="77777777" w:rsidR="001E258A" w:rsidRPr="007A5E49" w:rsidRDefault="001E258A" w:rsidP="001E258A">
                  <w:pPr>
                    <w:rPr>
                      <w:sz w:val="20"/>
                      <w:szCs w:val="20"/>
                    </w:rPr>
                  </w:pPr>
                  <w:r w:rsidRPr="007A5E49">
                    <w:rPr>
                      <w:sz w:val="20"/>
                      <w:szCs w:val="20"/>
                    </w:rPr>
                    <w:t xml:space="preserve">Reason for listing </w:t>
                  </w:r>
                </w:p>
              </w:tc>
              <w:tc>
                <w:tcPr>
                  <w:tcW w:w="1324" w:type="dxa"/>
                </w:tcPr>
                <w:p w14:paraId="4FF3C435" w14:textId="77777777" w:rsidR="001E258A" w:rsidRPr="007A5E49" w:rsidRDefault="001E258A" w:rsidP="001E258A">
                  <w:pPr>
                    <w:rPr>
                      <w:sz w:val="20"/>
                      <w:szCs w:val="20"/>
                    </w:rPr>
                  </w:pPr>
                  <w:r w:rsidRPr="007A5E49">
                    <w:rPr>
                      <w:sz w:val="20"/>
                      <w:szCs w:val="20"/>
                    </w:rPr>
                    <w:t>Area of use</w:t>
                  </w:r>
                </w:p>
              </w:tc>
            </w:tr>
            <w:tr w:rsidR="001E258A" w:rsidRPr="007A5E49" w14:paraId="5F397E88" w14:textId="77777777" w:rsidTr="003B768D">
              <w:trPr>
                <w:trHeight w:val="846"/>
              </w:trPr>
              <w:tc>
                <w:tcPr>
                  <w:tcW w:w="2657" w:type="dxa"/>
                </w:tcPr>
                <w:p w14:paraId="7FFEC2BA" w14:textId="77777777" w:rsidR="001E258A" w:rsidRPr="00DB7519" w:rsidRDefault="001E258A" w:rsidP="001E258A">
                  <w:pPr>
                    <w:rPr>
                      <w:i/>
                      <w:sz w:val="20"/>
                      <w:szCs w:val="20"/>
                    </w:rPr>
                  </w:pPr>
                  <w:r w:rsidRPr="00DB7519">
                    <w:rPr>
                      <w:i/>
                      <w:sz w:val="20"/>
                      <w:szCs w:val="20"/>
                    </w:rPr>
                    <w:t>AGROBACTERIUM RADIOBACTER</w:t>
                  </w:r>
                </w:p>
              </w:tc>
              <w:tc>
                <w:tcPr>
                  <w:tcW w:w="1492" w:type="dxa"/>
                </w:tcPr>
                <w:p w14:paraId="6B814EC1" w14:textId="77777777" w:rsidR="001E258A" w:rsidRPr="007A5E49" w:rsidRDefault="001E258A" w:rsidP="001E258A">
                  <w:pPr>
                    <w:rPr>
                      <w:sz w:val="20"/>
                      <w:szCs w:val="20"/>
                    </w:rPr>
                  </w:pPr>
                  <w:r w:rsidRPr="007A5E49">
                    <w:rPr>
                      <w:sz w:val="20"/>
                      <w:szCs w:val="20"/>
                    </w:rPr>
                    <w:t>Nov 1989</w:t>
                  </w:r>
                </w:p>
              </w:tc>
              <w:tc>
                <w:tcPr>
                  <w:tcW w:w="1938" w:type="dxa"/>
                </w:tcPr>
                <w:p w14:paraId="5AB7459C" w14:textId="77777777" w:rsidR="001E258A" w:rsidRPr="007A5E49" w:rsidRDefault="001E258A" w:rsidP="001E258A">
                  <w:pPr>
                    <w:rPr>
                      <w:sz w:val="20"/>
                      <w:szCs w:val="20"/>
                    </w:rPr>
                  </w:pPr>
                  <w:r w:rsidRPr="007A5E49">
                    <w:rPr>
                      <w:sz w:val="20"/>
                      <w:szCs w:val="20"/>
                    </w:rPr>
                    <w:t>b</w:t>
                  </w:r>
                </w:p>
              </w:tc>
              <w:tc>
                <w:tcPr>
                  <w:tcW w:w="1324" w:type="dxa"/>
                </w:tcPr>
                <w:p w14:paraId="43F6697B" w14:textId="77777777" w:rsidR="001E258A" w:rsidRPr="007A5E49" w:rsidRDefault="001E258A" w:rsidP="001E258A">
                  <w:pPr>
                    <w:rPr>
                      <w:sz w:val="20"/>
                      <w:szCs w:val="20"/>
                    </w:rPr>
                  </w:pPr>
                  <w:r w:rsidRPr="007A5E49">
                    <w:rPr>
                      <w:sz w:val="20"/>
                      <w:szCs w:val="20"/>
                    </w:rPr>
                    <w:t>1</w:t>
                  </w:r>
                </w:p>
              </w:tc>
            </w:tr>
            <w:tr w:rsidR="001E258A" w:rsidRPr="007A5E49" w14:paraId="1D315E45" w14:textId="77777777" w:rsidTr="003B768D">
              <w:trPr>
                <w:trHeight w:val="769"/>
              </w:trPr>
              <w:tc>
                <w:tcPr>
                  <w:tcW w:w="7411" w:type="dxa"/>
                  <w:gridSpan w:val="4"/>
                </w:tcPr>
                <w:p w14:paraId="3BB801FF" w14:textId="77777777" w:rsidR="001E258A" w:rsidRPr="007A5E49" w:rsidRDefault="001E258A" w:rsidP="001E258A">
                  <w:pPr>
                    <w:rPr>
                      <w:b/>
                      <w:sz w:val="16"/>
                      <w:szCs w:val="16"/>
                    </w:rPr>
                  </w:pPr>
                  <w:r w:rsidRPr="007A5E49">
                    <w:rPr>
                      <w:sz w:val="16"/>
                      <w:szCs w:val="16"/>
                    </w:rPr>
                    <w:t>b= Use pattern restricts hazard</w:t>
                  </w:r>
                  <w:r>
                    <w:rPr>
                      <w:sz w:val="16"/>
                      <w:szCs w:val="16"/>
                    </w:rPr>
                    <w:br/>
                  </w:r>
                  <w:r w:rsidRPr="007A5E49">
                    <w:rPr>
                      <w:sz w:val="16"/>
                      <w:szCs w:val="16"/>
                    </w:rPr>
                    <w:t xml:space="preserve">1= Agriculture </w:t>
                  </w:r>
                </w:p>
              </w:tc>
            </w:tr>
          </w:tbl>
          <w:p w14:paraId="09FA2D40" w14:textId="77777777" w:rsidR="001E258A" w:rsidRPr="007A5E49" w:rsidRDefault="001E258A" w:rsidP="00176594">
            <w:pPr>
              <w:spacing w:after="120"/>
              <w:ind w:left="425"/>
              <w:rPr>
                <w:b/>
              </w:rPr>
            </w:pPr>
            <w:r w:rsidRPr="007A5E49">
              <w:rPr>
                <w:b/>
              </w:rPr>
              <w:t>INDEX</w:t>
            </w:r>
          </w:p>
          <w:p w14:paraId="5DA69BDB" w14:textId="2D013B2B" w:rsidR="001E258A" w:rsidRPr="007A5E49" w:rsidRDefault="00CB370F" w:rsidP="00176594">
            <w:pPr>
              <w:spacing w:after="120"/>
              <w:ind w:left="425"/>
              <w:rPr>
                <w:b/>
              </w:rPr>
            </w:pPr>
            <w:r>
              <w:rPr>
                <w:b/>
              </w:rPr>
              <w:t>AGROBACTERIUM RADIOBACTER</w:t>
            </w:r>
          </w:p>
          <w:p w14:paraId="5BB615D2" w14:textId="77777777" w:rsidR="001E258A" w:rsidRPr="008B6FBB" w:rsidRDefault="001E258A" w:rsidP="001E258A">
            <w:pPr>
              <w:ind w:left="426"/>
              <w:rPr>
                <w:rFonts w:asciiTheme="minorHAnsi" w:hAnsiTheme="minorHAnsi" w:cstheme="minorHAnsi"/>
              </w:rPr>
            </w:pPr>
            <w:r>
              <w:t>Appendix B, Part 3</w:t>
            </w:r>
          </w:p>
          <w:p w14:paraId="0DBE5D40" w14:textId="6CC03734" w:rsidR="001E258A" w:rsidRPr="00396360" w:rsidRDefault="001E258A" w:rsidP="00396360">
            <w:pPr>
              <w:pStyle w:val="Heading5"/>
            </w:pPr>
            <w:r w:rsidRPr="00396360">
              <w:t>Scheduling history</w:t>
            </w:r>
          </w:p>
          <w:p w14:paraId="2512B995" w14:textId="266AC702" w:rsidR="001E258A" w:rsidRPr="001E258A" w:rsidRDefault="001E258A" w:rsidP="00176594">
            <w:r>
              <w:t xml:space="preserve">In November 1989, the Drugs and Poisons Schedule Committee considered a proposal to exempt </w:t>
            </w:r>
            <w:r w:rsidRPr="00E464D7">
              <w:rPr>
                <w:i/>
              </w:rPr>
              <w:t>Agrobacterium radiobacter</w:t>
            </w:r>
            <w:r>
              <w:t xml:space="preserve"> (var. Radiobacter strain K1026) from scheduling. The bacterium was noted to be developed by genetic manipulation and had been cleared for use by the Genetic Manipulation Advisory Committee. The Committee noted that no toxicological studies were available for strain K1026 but accepted that the toxicological profile of the related K84 strain which </w:t>
            </w:r>
            <w:r>
              <w:lastRenderedPageBreak/>
              <w:t xml:space="preserve">had demonstrated low toxicology. The Committee recommended an exemption from scheduling through the inclusion of </w:t>
            </w:r>
            <w:r w:rsidRPr="00E464D7">
              <w:rPr>
                <w:i/>
              </w:rPr>
              <w:t>Agrobacterium radiobacter</w:t>
            </w:r>
            <w:r>
              <w:t xml:space="preserve"> in Appe</w:t>
            </w:r>
            <w:r w:rsidR="00176594">
              <w:t>ndix B of the Poisons Standard.</w:t>
            </w:r>
          </w:p>
          <w:p w14:paraId="369FFA05" w14:textId="1FEC0AB7" w:rsidR="005B7704" w:rsidRPr="00396360" w:rsidRDefault="00176594" w:rsidP="00396360">
            <w:pPr>
              <w:pStyle w:val="Heading5"/>
            </w:pPr>
            <w:r w:rsidRPr="00396360">
              <w:t>Australian regulations</w:t>
            </w:r>
          </w:p>
          <w:p w14:paraId="729A3003" w14:textId="77777777" w:rsidR="001E258A" w:rsidRPr="00AD4147" w:rsidRDefault="001E258A" w:rsidP="00176594">
            <w:pPr>
              <w:pStyle w:val="ListBullet"/>
            </w:pPr>
            <w:r w:rsidRPr="00F0449C">
              <w:t>T</w:t>
            </w:r>
            <w:r>
              <w:t>here is one (1) registered</w:t>
            </w:r>
            <w:r w:rsidRPr="00F0449C">
              <w:t xml:space="preserve"> </w:t>
            </w:r>
            <w:r>
              <w:t>fungicide product</w:t>
            </w:r>
            <w:r w:rsidRPr="00F0449C">
              <w:t xml:space="preserve"> containing </w:t>
            </w:r>
            <w:r w:rsidRPr="00E35677">
              <w:rPr>
                <w:i/>
              </w:rPr>
              <w:t>Agrobacterium radiobacter</w:t>
            </w:r>
            <w:r w:rsidRPr="00AD4147">
              <w:t xml:space="preserve"> </w:t>
            </w:r>
            <w:r w:rsidRPr="00F0449C">
              <w:t xml:space="preserve">listed on the </w:t>
            </w:r>
            <w:hyperlink r:id="rId69"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30"/>
            </w:r>
            <w:r>
              <w:t xml:space="preserve"> </w:t>
            </w:r>
            <w:r w:rsidRPr="00E35677">
              <w:rPr>
                <w:i/>
              </w:rPr>
              <w:t>Agrobacterium radiobacter</w:t>
            </w:r>
            <w:r>
              <w:t xml:space="preserve"> is also listed as an approved active constituent on PubCRIS. In both listings, </w:t>
            </w:r>
            <w:r w:rsidRPr="00E35677">
              <w:rPr>
                <w:i/>
              </w:rPr>
              <w:t xml:space="preserve">Agrobacterium radiobacter </w:t>
            </w:r>
            <w:r w:rsidRPr="00AD4147">
              <w:t>var</w:t>
            </w:r>
            <w:r w:rsidRPr="00E35677">
              <w:rPr>
                <w:i/>
              </w:rPr>
              <w:t xml:space="preserve"> radiobacter</w:t>
            </w:r>
            <w:r>
              <w:t xml:space="preserve"> strain K</w:t>
            </w:r>
            <w:r w:rsidRPr="00AD4147">
              <w:t>1026</w:t>
            </w:r>
            <w:r>
              <w:t xml:space="preserve">, is specifically named as the active. </w:t>
            </w:r>
          </w:p>
          <w:p w14:paraId="2030DDE6" w14:textId="77777777" w:rsidR="001E258A" w:rsidRDefault="001E258A" w:rsidP="00176594">
            <w:pPr>
              <w:pStyle w:val="ListBullet"/>
            </w:pPr>
            <w:r>
              <w:t xml:space="preserve">There have been no adverse experiences reported between 2009-2019 for </w:t>
            </w:r>
            <w:r w:rsidRPr="00E35677">
              <w:rPr>
                <w:i/>
              </w:rPr>
              <w:t>Agrobacterium radiobacter</w:t>
            </w:r>
            <w:r w:rsidRPr="00AD4147">
              <w:t xml:space="preserve"> </w:t>
            </w:r>
            <w:r>
              <w:t xml:space="preserve">in the </w:t>
            </w:r>
            <w:hyperlink r:id="rId70" w:history="1">
              <w:r w:rsidRPr="006B6023">
                <w:rPr>
                  <w:rStyle w:val="Hyperlink"/>
                </w:rPr>
                <w:t>A</w:t>
              </w:r>
              <w:r>
                <w:rPr>
                  <w:rStyle w:val="Hyperlink"/>
                </w:rPr>
                <w:t>PVMA A</w:t>
              </w:r>
              <w:r w:rsidRPr="006B6023">
                <w:rPr>
                  <w:rStyle w:val="Hyperlink"/>
                </w:rPr>
                <w:t>dverse Experience Reporting Program</w:t>
              </w:r>
            </w:hyperlink>
            <w:r>
              <w:rPr>
                <w:rStyle w:val="Hyperlink"/>
              </w:rPr>
              <w:t xml:space="preserve"> database (AERP).</w:t>
            </w:r>
            <w:r>
              <w:rPr>
                <w:rStyle w:val="FootnoteReference"/>
              </w:rPr>
              <w:footnoteReference w:id="31"/>
            </w:r>
          </w:p>
          <w:p w14:paraId="0DBD8F4F" w14:textId="77777777" w:rsidR="001E258A" w:rsidRDefault="001E258A" w:rsidP="00176594">
            <w:pPr>
              <w:pStyle w:val="ListBullet"/>
            </w:pPr>
            <w:r w:rsidRPr="00592BCF">
              <w:rPr>
                <w:i/>
              </w:rPr>
              <w:t xml:space="preserve">Agrobacterium radiobacter </w:t>
            </w:r>
            <w:r>
              <w:t>is not identified in the following databases:</w:t>
            </w:r>
          </w:p>
          <w:p w14:paraId="3C2F7981" w14:textId="4C464F3D" w:rsidR="001E258A" w:rsidRDefault="00423457" w:rsidP="00176594">
            <w:pPr>
              <w:pStyle w:val="ListBullet2"/>
            </w:pPr>
            <w:hyperlink r:id="rId71" w:history="1">
              <w:r w:rsidR="001E258A" w:rsidRPr="00C66C5E">
                <w:rPr>
                  <w:rStyle w:val="Hyperlink"/>
                </w:rPr>
                <w:t xml:space="preserve">TGA </w:t>
              </w:r>
              <w:r w:rsidR="001E258A">
                <w:rPr>
                  <w:rStyle w:val="Hyperlink"/>
                </w:rPr>
                <w:t xml:space="preserve">Ingredient </w:t>
              </w:r>
              <w:r w:rsidR="001E258A" w:rsidRPr="00C66C5E">
                <w:rPr>
                  <w:rStyle w:val="Hyperlink"/>
                </w:rPr>
                <w:t>Database</w:t>
              </w:r>
            </w:hyperlink>
            <w:r w:rsidR="001E258A">
              <w:rPr>
                <w:rStyle w:val="FootnoteReference"/>
              </w:rPr>
              <w:footnoteReference w:id="32"/>
            </w:r>
          </w:p>
          <w:p w14:paraId="04551F5C" w14:textId="48F9434A" w:rsidR="001E258A" w:rsidRPr="00176594" w:rsidRDefault="00423457" w:rsidP="008276C7">
            <w:pPr>
              <w:pStyle w:val="ListBullet2"/>
              <w:numPr>
                <w:ilvl w:val="1"/>
                <w:numId w:val="9"/>
              </w:numPr>
            </w:pPr>
            <w:hyperlink r:id="rId72" w:history="1">
              <w:r w:rsidR="001E258A" w:rsidRPr="00293CCA">
                <w:rPr>
                  <w:rStyle w:val="Hyperlink"/>
                </w:rPr>
                <w:t>Australian Register of Therapeutic Goods (ARTG)</w:t>
              </w:r>
            </w:hyperlink>
            <w:r w:rsidR="001E258A">
              <w:rPr>
                <w:rStyle w:val="FootnoteReference"/>
              </w:rPr>
              <w:footnoteReference w:id="33"/>
            </w:r>
          </w:p>
          <w:p w14:paraId="50A0C990" w14:textId="6F00F74D" w:rsidR="001E258A" w:rsidRDefault="00423457" w:rsidP="008276C7">
            <w:pPr>
              <w:pStyle w:val="ListBullet2"/>
              <w:numPr>
                <w:ilvl w:val="1"/>
                <w:numId w:val="9"/>
              </w:numPr>
            </w:pPr>
            <w:hyperlink r:id="rId73" w:history="1">
              <w:r w:rsidR="001E258A" w:rsidRPr="00824CAC">
                <w:rPr>
                  <w:rStyle w:val="Hyperlink"/>
                </w:rPr>
                <w:t>Therapeutic Goods (Permissible Ingredients) Determination</w:t>
              </w:r>
            </w:hyperlink>
            <w:r w:rsidR="001E258A">
              <w:rPr>
                <w:rStyle w:val="FootnoteReference"/>
              </w:rPr>
              <w:footnoteReference w:id="34"/>
            </w:r>
            <w:r w:rsidR="001E258A" w:rsidRPr="009C55D5">
              <w:t xml:space="preserve"> No.</w:t>
            </w:r>
            <w:r w:rsidR="00EF549B">
              <w:t>1</w:t>
            </w:r>
            <w:r w:rsidR="001E258A" w:rsidRPr="006D5767">
              <w:t xml:space="preserve"> of 20</w:t>
            </w:r>
            <w:r w:rsidR="00EF549B">
              <w:t>20</w:t>
            </w:r>
          </w:p>
          <w:p w14:paraId="43617B8B" w14:textId="1D5226A2" w:rsidR="001E258A" w:rsidRDefault="00423457" w:rsidP="008276C7">
            <w:pPr>
              <w:pStyle w:val="ListBullet2"/>
              <w:numPr>
                <w:ilvl w:val="1"/>
                <w:numId w:val="9"/>
              </w:numPr>
            </w:pPr>
            <w:hyperlink r:id="rId74" w:history="1">
              <w:r w:rsidR="001E258A" w:rsidRPr="00C81411">
                <w:rPr>
                  <w:rStyle w:val="Hyperlink"/>
                </w:rPr>
                <w:t xml:space="preserve">TGA </w:t>
              </w:r>
              <w:r w:rsidR="001E258A">
                <w:rPr>
                  <w:rStyle w:val="Hyperlink"/>
                </w:rPr>
                <w:t>p</w:t>
              </w:r>
              <w:r w:rsidR="001E258A" w:rsidRPr="00C81411">
                <w:rPr>
                  <w:rStyle w:val="Hyperlink"/>
                </w:rPr>
                <w:t>rescribing medicines in pregnancy database</w:t>
              </w:r>
            </w:hyperlink>
            <w:r w:rsidR="001E258A">
              <w:rPr>
                <w:rStyle w:val="FootnoteReference"/>
              </w:rPr>
              <w:footnoteReference w:id="35"/>
            </w:r>
          </w:p>
          <w:p w14:paraId="0DCD625C" w14:textId="3D2E494A" w:rsidR="001E258A" w:rsidRDefault="00423457" w:rsidP="008276C7">
            <w:pPr>
              <w:pStyle w:val="ListBullet2"/>
              <w:numPr>
                <w:ilvl w:val="1"/>
                <w:numId w:val="9"/>
              </w:numPr>
            </w:pPr>
            <w:hyperlink r:id="rId75" w:history="1">
              <w:r w:rsidR="001E258A" w:rsidRPr="00AB7BF5">
                <w:rPr>
                  <w:rStyle w:val="Hyperlink"/>
                </w:rPr>
                <w:t>Therapeutic Goods (Medicines Advisory Statements) Specification 2019</w:t>
              </w:r>
            </w:hyperlink>
            <w:r w:rsidR="001E258A">
              <w:rPr>
                <w:rStyle w:val="FootnoteReference"/>
              </w:rPr>
              <w:footnoteReference w:id="36"/>
            </w:r>
          </w:p>
          <w:p w14:paraId="1B431540" w14:textId="77777777" w:rsidR="001E258A" w:rsidRPr="00176594" w:rsidRDefault="00423457" w:rsidP="008276C7">
            <w:pPr>
              <w:pStyle w:val="ListBullet2"/>
              <w:numPr>
                <w:ilvl w:val="1"/>
                <w:numId w:val="9"/>
              </w:numPr>
              <w:rPr>
                <w:rStyle w:val="Hyperlink"/>
                <w:color w:val="auto"/>
                <w:u w:val="none"/>
              </w:rPr>
            </w:pPr>
            <w:hyperlink r:id="rId76" w:history="1">
              <w:r w:rsidR="001E258A" w:rsidRPr="00F0449C">
                <w:rPr>
                  <w:rStyle w:val="Hyperlink"/>
                </w:rPr>
                <w:t>Database of Adverse Event Notifications (DAEN)</w:t>
              </w:r>
            </w:hyperlink>
            <w:r w:rsidR="001E258A" w:rsidRPr="00F0449C">
              <w:rPr>
                <w:rStyle w:val="FootnoteReference"/>
              </w:rPr>
              <w:footnoteReference w:id="37"/>
            </w:r>
          </w:p>
          <w:p w14:paraId="77930A12" w14:textId="0014122D" w:rsidR="001E258A" w:rsidRPr="00176594" w:rsidRDefault="00423457" w:rsidP="008276C7">
            <w:pPr>
              <w:pStyle w:val="ListBullet2"/>
              <w:numPr>
                <w:ilvl w:val="1"/>
                <w:numId w:val="9"/>
              </w:numPr>
            </w:pPr>
            <w:hyperlink r:id="rId77" w:history="1">
              <w:r w:rsidR="001E258A">
                <w:rPr>
                  <w:rStyle w:val="Hyperlink"/>
                </w:rPr>
                <w:t>NICNAS A</w:t>
              </w:r>
              <w:r w:rsidR="001E258A" w:rsidRPr="00F13F32">
                <w:rPr>
                  <w:rStyle w:val="Hyperlink"/>
                </w:rPr>
                <w:t>ustralian Inventory of Chemical Substances (AICS)</w:t>
              </w:r>
            </w:hyperlink>
            <w:r w:rsidR="001E258A" w:rsidRPr="00592BCF">
              <w:t>.</w:t>
            </w:r>
            <w:r w:rsidR="001E258A" w:rsidRPr="00DF4F33">
              <w:rPr>
                <w:rStyle w:val="FootnoteReference"/>
              </w:rPr>
              <w:footnoteReference w:id="38"/>
            </w:r>
          </w:p>
          <w:p w14:paraId="67CA6F18" w14:textId="77777777" w:rsidR="005B7704" w:rsidRPr="00396360" w:rsidRDefault="005B7704" w:rsidP="00396360">
            <w:pPr>
              <w:pStyle w:val="Heading5"/>
            </w:pPr>
            <w:r w:rsidRPr="00396360">
              <w:t>International regulations</w:t>
            </w:r>
          </w:p>
          <w:p w14:paraId="56491F1D" w14:textId="77777777" w:rsidR="001E258A" w:rsidRDefault="001E258A" w:rsidP="00176594">
            <w:pPr>
              <w:pStyle w:val="ListBullet"/>
            </w:pPr>
            <w:r>
              <w:t xml:space="preserve">In the USA, </w:t>
            </w:r>
            <w:r w:rsidRPr="00E35677">
              <w:rPr>
                <w:i/>
              </w:rPr>
              <w:t>Agrobacterium radiobacter</w:t>
            </w:r>
            <w:r w:rsidRPr="00CA10D6">
              <w:t xml:space="preserve"> </w:t>
            </w:r>
            <w:r>
              <w:t>strain K1026 is registered</w:t>
            </w:r>
            <w:r>
              <w:rPr>
                <w:rStyle w:val="FootnoteReference"/>
              </w:rPr>
              <w:footnoteReference w:id="39"/>
            </w:r>
            <w:r>
              <w:t xml:space="preserve"> as an active ingredient in pesticide products registered with the </w:t>
            </w:r>
            <w:hyperlink r:id="rId78" w:history="1">
              <w:r w:rsidRPr="00A62F1C">
                <w:rPr>
                  <w:rStyle w:val="Hyperlink"/>
                </w:rPr>
                <w:t>United States Environmental Protection Agency’s (US EPA) Office of Pesticides Programs</w:t>
              </w:r>
            </w:hyperlink>
            <w:r>
              <w:rPr>
                <w:rStyle w:val="Hyperlink"/>
              </w:rPr>
              <w:t>.</w:t>
            </w:r>
            <w:r w:rsidRPr="00417519">
              <w:rPr>
                <w:rStyle w:val="FootnoteReference"/>
              </w:rPr>
              <w:footnoteReference w:id="40"/>
            </w:r>
          </w:p>
          <w:p w14:paraId="4E3B760D" w14:textId="77777777" w:rsidR="001E258A" w:rsidRPr="00E35677" w:rsidRDefault="001E258A" w:rsidP="00176594">
            <w:pPr>
              <w:pStyle w:val="ListBullet"/>
              <w:rPr>
                <w:rStyle w:val="Hyperlink"/>
                <w:color w:val="auto"/>
                <w:u w:val="none"/>
              </w:rPr>
            </w:pPr>
            <w:r>
              <w:t xml:space="preserve">It is not listed on the </w:t>
            </w:r>
            <w:r>
              <w:fldChar w:fldCharType="begin"/>
            </w:r>
            <w:r>
              <w:instrText xml:space="preserve"> HYPERLINK "https://www.accessdata.fda.gov/scripts/cder/daf/" </w:instrText>
            </w:r>
            <w:r>
              <w:fldChar w:fldCharType="separate"/>
            </w:r>
            <w:r w:rsidRPr="002A4D44">
              <w:rPr>
                <w:rStyle w:val="Hyperlink"/>
              </w:rPr>
              <w:t>United States Food and Drug Administration Approved Drug Products Database (</w:t>
            </w:r>
            <w:r w:rsidRPr="00E35677">
              <w:rPr>
                <w:rStyle w:val="Hyperlink"/>
                <w:szCs w:val="22"/>
              </w:rPr>
              <w:t>Drugs@FDA).</w:t>
            </w:r>
            <w:r w:rsidRPr="00417519">
              <w:rPr>
                <w:rStyle w:val="FootnoteReference"/>
                <w:szCs w:val="22"/>
              </w:rPr>
              <w:footnoteReference w:id="41"/>
            </w:r>
          </w:p>
          <w:p w14:paraId="5A2CAB62" w14:textId="77777777" w:rsidR="001E258A" w:rsidRPr="00951C97" w:rsidRDefault="001E258A" w:rsidP="00176594">
            <w:pPr>
              <w:pStyle w:val="ListBullet"/>
            </w:pPr>
            <w:r>
              <w:fldChar w:fldCharType="end"/>
            </w:r>
            <w:r>
              <w:rPr>
                <w:i/>
              </w:rPr>
              <w:t>A</w:t>
            </w:r>
            <w:r w:rsidRPr="00CA10D6">
              <w:rPr>
                <w:i/>
              </w:rPr>
              <w:t>grobacterium radiobacter</w:t>
            </w:r>
            <w:r>
              <w:rPr>
                <w:i/>
              </w:rPr>
              <w:t xml:space="preserve"> </w:t>
            </w:r>
            <w:r>
              <w:t xml:space="preserve">was not identified in the </w:t>
            </w:r>
            <w:hyperlink r:id="rId79" w:history="1">
              <w:r w:rsidRPr="00567F79">
                <w:rPr>
                  <w:rStyle w:val="Hyperlink"/>
                </w:rPr>
                <w:t>European Chemicals Agency (ECHA)</w:t>
              </w:r>
            </w:hyperlink>
            <w:r w:rsidRPr="00567F79">
              <w:rPr>
                <w:vertAlign w:val="superscript"/>
              </w:rPr>
              <w:footnoteReference w:id="42"/>
            </w:r>
            <w:r>
              <w:t xml:space="preserve"> or the </w:t>
            </w:r>
            <w:hyperlink r:id="rId80" w:history="1">
              <w:r w:rsidRPr="00951C97">
                <w:rPr>
                  <w:rStyle w:val="Hyperlink"/>
                </w:rPr>
                <w:t>European Commission database for information on cosmetic substances and ingredients database</w:t>
              </w:r>
            </w:hyperlink>
            <w:r>
              <w:t>.</w:t>
            </w:r>
            <w:r w:rsidRPr="00951C97">
              <w:rPr>
                <w:vertAlign w:val="superscript"/>
              </w:rPr>
              <w:footnoteReference w:id="43"/>
            </w:r>
          </w:p>
          <w:p w14:paraId="7EB7C68F" w14:textId="77777777" w:rsidR="001E258A" w:rsidRDefault="001E258A" w:rsidP="00176594">
            <w:pPr>
              <w:pStyle w:val="ListBullet"/>
            </w:pPr>
            <w:r>
              <w:t xml:space="preserve">While </w:t>
            </w:r>
            <w:r w:rsidRPr="00E35677">
              <w:rPr>
                <w:i/>
              </w:rPr>
              <w:t xml:space="preserve">Agrobacterium radiobacter </w:t>
            </w:r>
            <w:r>
              <w:t xml:space="preserve">strain K1026 is not specifically listed in the </w:t>
            </w:r>
            <w:hyperlink r:id="rId81" w:history="1">
              <w:r w:rsidRPr="00C81411">
                <w:rPr>
                  <w:rStyle w:val="Hyperlink"/>
                </w:rPr>
                <w:t>European Union Pesticides Database</w:t>
              </w:r>
            </w:hyperlink>
            <w:r>
              <w:rPr>
                <w:rStyle w:val="Hyperlink"/>
              </w:rPr>
              <w:t>,</w:t>
            </w:r>
            <w:r w:rsidRPr="00417519">
              <w:rPr>
                <w:rStyle w:val="FootnoteReference"/>
              </w:rPr>
              <w:footnoteReference w:id="44"/>
            </w:r>
            <w:r>
              <w:t xml:space="preserve"> the related strain K84, is identified in this database although it is currently not approved.</w:t>
            </w:r>
          </w:p>
          <w:p w14:paraId="6B4954BB" w14:textId="2B5116A3" w:rsidR="001E258A" w:rsidRPr="00E35677" w:rsidRDefault="001E258A" w:rsidP="00176594">
            <w:pPr>
              <w:pStyle w:val="ListBullet"/>
              <w:rPr>
                <w:szCs w:val="22"/>
              </w:rPr>
            </w:pPr>
            <w:r>
              <w:lastRenderedPageBreak/>
              <w:t xml:space="preserve">In New Zealand, </w:t>
            </w:r>
            <w:r w:rsidRPr="00E35677">
              <w:rPr>
                <w:i/>
              </w:rPr>
              <w:t xml:space="preserve">Agrobacterium radiobacter </w:t>
            </w:r>
            <w:r>
              <w:t xml:space="preserve">is not registered for use as a pesticide or as an active in medicines according the </w:t>
            </w:r>
            <w:hyperlink r:id="rId82" w:history="1">
              <w:r w:rsidRPr="00682120">
                <w:rPr>
                  <w:rStyle w:val="Hyperlink"/>
                </w:rPr>
                <w:t>New Zealand Inventory of Chemicals (NZIoC)</w:t>
              </w:r>
            </w:hyperlink>
            <w:r w:rsidRPr="00417519">
              <w:rPr>
                <w:rStyle w:val="FootnoteReference"/>
              </w:rPr>
              <w:footnoteReference w:id="45"/>
            </w:r>
            <w:r w:rsidRPr="00F425B4">
              <w:t xml:space="preserve"> </w:t>
            </w:r>
            <w:r>
              <w:t xml:space="preserve">and </w:t>
            </w:r>
            <w:hyperlink r:id="rId83" w:history="1">
              <w:r w:rsidRPr="000B75D5">
                <w:rPr>
                  <w:rStyle w:val="Hyperlink"/>
                </w:rPr>
                <w:t>New Zealand</w:t>
              </w:r>
              <w:r>
                <w:rPr>
                  <w:rStyle w:val="Hyperlink"/>
                </w:rPr>
                <w:t xml:space="preserve"> Medicines and Medical Devices Safety Authority</w:t>
              </w:r>
              <w:r w:rsidRPr="000B75D5">
                <w:rPr>
                  <w:rStyle w:val="Hyperlink"/>
                </w:rPr>
                <w:t xml:space="preserve"> </w:t>
              </w:r>
              <w:r>
                <w:rPr>
                  <w:rStyle w:val="Hyperlink"/>
                </w:rPr>
                <w:t>(</w:t>
              </w:r>
              <w:r w:rsidRPr="00E35677">
                <w:rPr>
                  <w:rStyle w:val="Hyperlink"/>
                  <w:szCs w:val="22"/>
                </w:rPr>
                <w:t>MedSafe</w:t>
              </w:r>
            </w:hyperlink>
            <w:r>
              <w:t>),</w:t>
            </w:r>
            <w:r>
              <w:rPr>
                <w:rStyle w:val="FootnoteReference"/>
              </w:rPr>
              <w:footnoteReference w:id="46"/>
            </w:r>
            <w:r w:rsidR="00176594">
              <w:t xml:space="preserve"> respectively.</w:t>
            </w:r>
          </w:p>
          <w:p w14:paraId="774482A4" w14:textId="7797CC63" w:rsidR="001E258A" w:rsidRPr="001E4042" w:rsidRDefault="001E258A" w:rsidP="00725C06">
            <w:pPr>
              <w:pStyle w:val="ListBullet"/>
              <w:rPr>
                <w:szCs w:val="22"/>
              </w:rPr>
            </w:pPr>
            <w:r w:rsidRPr="00E35677">
              <w:rPr>
                <w:rStyle w:val="Hyperlink"/>
                <w:color w:val="auto"/>
                <w:szCs w:val="22"/>
                <w:u w:val="none"/>
              </w:rPr>
              <w:t xml:space="preserve">In Canada, </w:t>
            </w:r>
            <w:r w:rsidRPr="00E35677">
              <w:rPr>
                <w:i/>
              </w:rPr>
              <w:t xml:space="preserve">Agrobacterium radiobacter </w:t>
            </w:r>
            <w:r>
              <w:t xml:space="preserve">is not registered for use as a pesticide or as an active medicines according to </w:t>
            </w:r>
            <w:hyperlink r:id="rId84" w:history="1">
              <w:r w:rsidRPr="003E0934">
                <w:rPr>
                  <w:rStyle w:val="Hyperlink"/>
                </w:rPr>
                <w:t>Canada’s Pest Management Regulation Agency</w:t>
              </w:r>
            </w:hyperlink>
            <w:r w:rsidRPr="00417519">
              <w:rPr>
                <w:rStyle w:val="FootnoteReference"/>
              </w:rPr>
              <w:footnoteReference w:id="47"/>
            </w:r>
            <w:r>
              <w:t xml:space="preserve"> and the </w:t>
            </w:r>
            <w:hyperlink r:id="rId85" w:history="1">
              <w:r w:rsidRPr="000B75D5">
                <w:rPr>
                  <w:rStyle w:val="Hyperlink"/>
                </w:rPr>
                <w:t>Canadian (Health Canada) Drug Product Database</w:t>
              </w:r>
            </w:hyperlink>
            <w:r>
              <w:rPr>
                <w:rStyle w:val="Hyperlink"/>
              </w:rPr>
              <w:t>,</w:t>
            </w:r>
            <w:r w:rsidRPr="00417519">
              <w:rPr>
                <w:rStyle w:val="FootnoteReference"/>
              </w:rPr>
              <w:footnoteReference w:id="48"/>
            </w:r>
            <w:r w:rsidRPr="00C91B92">
              <w:t xml:space="preserve"> </w:t>
            </w:r>
            <w:r w:rsidR="00725C06">
              <w:t>respectively.</w:t>
            </w:r>
          </w:p>
          <w:p w14:paraId="02CDC9AD" w14:textId="77777777" w:rsidR="005B7704" w:rsidRPr="000C67EE" w:rsidRDefault="005B7704" w:rsidP="00396360">
            <w:pPr>
              <w:pStyle w:val="Heading5"/>
            </w:pPr>
            <w:r w:rsidRPr="000C67EE">
              <w:t>Substance summary</w:t>
            </w:r>
          </w:p>
          <w:p w14:paraId="7563A752" w14:textId="43962A2A" w:rsidR="001E258A" w:rsidRPr="0074393A" w:rsidRDefault="001E258A" w:rsidP="00725C06">
            <w:r w:rsidRPr="0074393A">
              <w:rPr>
                <w:i/>
                <w:iCs/>
              </w:rPr>
              <w:t xml:space="preserve">Agrobacterium radiobacter </w:t>
            </w:r>
            <w:r w:rsidRPr="0074393A">
              <w:t>strain K1026 is a microbial pesticide that can be used to treat</w:t>
            </w:r>
            <w:r>
              <w:t xml:space="preserve"> </w:t>
            </w:r>
            <w:r w:rsidRPr="0074393A">
              <w:t>germinating seeds or roots and stems of certain stone fruit and nut trees and ornamentals to</w:t>
            </w:r>
            <w:r>
              <w:t xml:space="preserve"> </w:t>
            </w:r>
            <w:r w:rsidRPr="0074393A">
              <w:t>protect them from crown gall disease.</w:t>
            </w:r>
            <w:r>
              <w:rPr>
                <w:rStyle w:val="FootnoteReference"/>
              </w:rPr>
              <w:footnoteReference w:id="49"/>
            </w:r>
            <w:r w:rsidRPr="0074393A">
              <w:t xml:space="preserve"> Products are intended for use in the greenhouse or in</w:t>
            </w:r>
            <w:r>
              <w:t xml:space="preserve"> </w:t>
            </w:r>
            <w:r w:rsidR="00725C06">
              <w:t>nurseries.</w:t>
            </w:r>
          </w:p>
          <w:p w14:paraId="0B16EF13" w14:textId="77777777" w:rsidR="001E258A" w:rsidRPr="0074393A" w:rsidRDefault="001E258A" w:rsidP="001E258A">
            <w:r w:rsidRPr="0074393A">
              <w:rPr>
                <w:i/>
              </w:rPr>
              <w:t xml:space="preserve">Agrobacterium radiobacter </w:t>
            </w:r>
            <w:r w:rsidRPr="0074393A">
              <w:t>strain K1026</w:t>
            </w:r>
            <w:r w:rsidRPr="0074393A">
              <w:rPr>
                <w:i/>
              </w:rPr>
              <w:t xml:space="preserve"> </w:t>
            </w:r>
            <w:r w:rsidRPr="0074393A">
              <w:t>is a derivative (deletion of specific genetic</w:t>
            </w:r>
            <w:r>
              <w:t xml:space="preserve"> </w:t>
            </w:r>
            <w:r w:rsidRPr="0074393A">
              <w:rPr>
                <w:iCs/>
              </w:rPr>
              <w:t>material) of</w:t>
            </w:r>
            <w:r w:rsidRPr="0074393A">
              <w:rPr>
                <w:i/>
                <w:iCs/>
              </w:rPr>
              <w:t xml:space="preserve"> Agrobacterium radiobacter </w:t>
            </w:r>
            <w:r w:rsidRPr="0074393A">
              <w:rPr>
                <w:iCs/>
              </w:rPr>
              <w:t>strain K84</w:t>
            </w:r>
            <w:r w:rsidRPr="0074393A">
              <w:rPr>
                <w:i/>
                <w:iCs/>
              </w:rPr>
              <w:t xml:space="preserve">. </w:t>
            </w:r>
            <w:r w:rsidRPr="0074393A">
              <w:t>Removal of this genetic material prev</w:t>
            </w:r>
            <w:r>
              <w:t xml:space="preserve">ents the transfer of resistance </w:t>
            </w:r>
            <w:r w:rsidRPr="0074393A">
              <w:t>from strain K1026 to other strains.</w:t>
            </w:r>
            <w:r>
              <w:t xml:space="preserve"> </w:t>
            </w:r>
            <w:r w:rsidRPr="0074393A">
              <w:t xml:space="preserve">Except for the deletion of a small portion of DNA removed in K84, the two strains are essentially identical and have the same characteristics. The naturally occurring bacterium </w:t>
            </w:r>
            <w:r w:rsidRPr="0074393A">
              <w:rPr>
                <w:i/>
              </w:rPr>
              <w:t>Agrobacterium</w:t>
            </w:r>
            <w:r>
              <w:t xml:space="preserve"> </w:t>
            </w:r>
            <w:r w:rsidRPr="0074393A">
              <w:rPr>
                <w:i/>
              </w:rPr>
              <w:t xml:space="preserve">radiobacter </w:t>
            </w:r>
            <w:r w:rsidRPr="0074393A">
              <w:t>strain K84 is widespread in soil and found nea</w:t>
            </w:r>
            <w:r>
              <w:t xml:space="preserve">r plant roots. A toxic compound </w:t>
            </w:r>
            <w:r w:rsidRPr="0074393A">
              <w:t xml:space="preserve">produced by both K1026 and K84 controls certain other </w:t>
            </w:r>
            <w:r w:rsidRPr="0074393A">
              <w:rPr>
                <w:i/>
              </w:rPr>
              <w:t>Agrobacterium spp</w:t>
            </w:r>
            <w:r>
              <w:t xml:space="preserve">. that cause </w:t>
            </w:r>
            <w:r w:rsidRPr="0074393A">
              <w:t>crown gall disease.</w:t>
            </w:r>
          </w:p>
          <w:p w14:paraId="09DE702A" w14:textId="77777777" w:rsidR="001E258A" w:rsidRDefault="001E258A" w:rsidP="00725C06">
            <w:r>
              <w:t>An EPA assessment</w:t>
            </w:r>
            <w:r>
              <w:rPr>
                <w:rStyle w:val="FootnoteReference"/>
              </w:rPr>
              <w:footnoteReference w:id="50"/>
            </w:r>
            <w:r w:rsidRPr="0074393A">
              <w:t xml:space="preserve"> </w:t>
            </w:r>
            <w:r>
              <w:t xml:space="preserve">found </w:t>
            </w:r>
            <w:r w:rsidRPr="0074393A">
              <w:rPr>
                <w:i/>
                <w:iCs/>
              </w:rPr>
              <w:t xml:space="preserve">Agrobacterium radiobacter </w:t>
            </w:r>
            <w:r w:rsidRPr="0074393A">
              <w:rPr>
                <w:iCs/>
              </w:rPr>
              <w:t>strain K1026</w:t>
            </w:r>
            <w:r w:rsidRPr="0074393A">
              <w:rPr>
                <w:i/>
                <w:iCs/>
              </w:rPr>
              <w:t xml:space="preserve"> </w:t>
            </w:r>
            <w:r>
              <w:t xml:space="preserve">microbe is not likely </w:t>
            </w:r>
            <w:r w:rsidRPr="0074393A">
              <w:t>to prod</w:t>
            </w:r>
            <w:r>
              <w:t>uce adverse effects in humans. The</w:t>
            </w:r>
            <w:r w:rsidRPr="0074393A">
              <w:t xml:space="preserve"> very similar orga</w:t>
            </w:r>
            <w:r>
              <w:t xml:space="preserve">nism, </w:t>
            </w:r>
            <w:r w:rsidRPr="0074393A">
              <w:rPr>
                <w:i/>
              </w:rPr>
              <w:t>Agrobacterium radiobacter</w:t>
            </w:r>
            <w:r>
              <w:t xml:space="preserve"> </w:t>
            </w:r>
            <w:r w:rsidRPr="0074393A">
              <w:t xml:space="preserve">strain K84, has been used for </w:t>
            </w:r>
            <w:r>
              <w:t xml:space="preserve">decades without any reports of adverse </w:t>
            </w:r>
            <w:r w:rsidRPr="0074393A">
              <w:t xml:space="preserve">effects or reactions. </w:t>
            </w:r>
            <w:r w:rsidRPr="0074393A">
              <w:rPr>
                <w:i/>
              </w:rPr>
              <w:t>Agrobacterium radiobacter</w:t>
            </w:r>
            <w:r w:rsidRPr="0074393A">
              <w:t xml:space="preserve"> strains K1026 and K84 are not kno</w:t>
            </w:r>
            <w:r>
              <w:t xml:space="preserve">wn to </w:t>
            </w:r>
            <w:r w:rsidRPr="0074393A">
              <w:t>cause any infectious diseases in humans. This microbial pesti</w:t>
            </w:r>
            <w:r>
              <w:t xml:space="preserve">cide is not intended for use on </w:t>
            </w:r>
            <w:r w:rsidRPr="0074393A">
              <w:t>food crops. Consequently, it is not likely to pose a hazard to h</w:t>
            </w:r>
            <w:r>
              <w:t xml:space="preserve">uman adults, infants, children, </w:t>
            </w:r>
            <w:r w:rsidRPr="0074393A">
              <w:t>or other sensitive subpopulations via the dietary route of ex</w:t>
            </w:r>
            <w:r>
              <w:t xml:space="preserve">posure. The potential aggregate </w:t>
            </w:r>
            <w:r w:rsidRPr="0074393A">
              <w:t>exposure, derived from non-dietary and non-occupational</w:t>
            </w:r>
            <w:r>
              <w:t xml:space="preserve"> exposure, should be minimal or </w:t>
            </w:r>
            <w:r w:rsidRPr="0074393A">
              <w:t xml:space="preserve">non-existent. Tier 1 ecotoxicology studies were waived based on </w:t>
            </w:r>
            <w:r>
              <w:t xml:space="preserve">the derivation of </w:t>
            </w:r>
            <w:r w:rsidRPr="001E258A">
              <w:rPr>
                <w:i/>
              </w:rPr>
              <w:t>Agrobacterium radiobacter</w:t>
            </w:r>
            <w:r w:rsidRPr="0074393A">
              <w:t xml:space="preserve"> strain K1026 from strain K84, minimal exposure </w:t>
            </w:r>
            <w:r>
              <w:t xml:space="preserve">to non-target organisms, and no </w:t>
            </w:r>
            <w:r w:rsidRPr="0074393A">
              <w:t>evidence of any unintended effects on non-target species by strain K84. Based upon this</w:t>
            </w:r>
            <w:r>
              <w:t xml:space="preserve"> evaluation, the EPA</w:t>
            </w:r>
            <w:r w:rsidRPr="0074393A">
              <w:t xml:space="preserve"> determined that </w:t>
            </w:r>
            <w:r w:rsidRPr="00FD7234">
              <w:rPr>
                <w:i/>
              </w:rPr>
              <w:t>Agrobacterium radiobacter</w:t>
            </w:r>
            <w:r w:rsidRPr="0074393A">
              <w:t xml:space="preserve"> strain K1026 is likely to</w:t>
            </w:r>
            <w:r>
              <w:t xml:space="preserve"> </w:t>
            </w:r>
            <w:r w:rsidRPr="0074393A">
              <w:t>pose only a minimal risk to the envi</w:t>
            </w:r>
            <w:r>
              <w:t>ronment or non-target organisms.</w:t>
            </w:r>
          </w:p>
          <w:p w14:paraId="0E653E34" w14:textId="32BCCC67" w:rsidR="005B7704" w:rsidRDefault="00725C06" w:rsidP="00396360">
            <w:pPr>
              <w:pStyle w:val="Heading4"/>
            </w:pPr>
            <w:r>
              <w:t>Reasons for final decision</w:t>
            </w:r>
          </w:p>
          <w:p w14:paraId="24B35F20" w14:textId="77777777" w:rsidR="001E258A" w:rsidRPr="00480169" w:rsidRDefault="001E258A" w:rsidP="00725C06">
            <w:r w:rsidRPr="00480169">
              <w:t>In determining that this matter will be a delegate-only decision I have taken into account the information provided in the application from the Applicant</w:t>
            </w:r>
            <w:r>
              <w:t xml:space="preserve"> (APVMA</w:t>
            </w:r>
            <w:r w:rsidRPr="00480169">
              <w:t xml:space="preserve">), and the matters outlined under Section 52E of the </w:t>
            </w:r>
            <w:r w:rsidRPr="00BE6A0A">
              <w:rPr>
                <w:i/>
              </w:rPr>
              <w:t>Therapeutic Goods Act 1989</w:t>
            </w:r>
            <w:r w:rsidRPr="00480169">
              <w:t xml:space="preserve"> and the Scheduling Policy Framework (</w:t>
            </w:r>
            <w:r>
              <w:t xml:space="preserve">SPF, </w:t>
            </w:r>
            <w:r w:rsidRPr="00480169">
              <w:t>2018). In particular, I note that:</w:t>
            </w:r>
          </w:p>
          <w:p w14:paraId="10552578" w14:textId="77777777" w:rsidR="001E258A" w:rsidRPr="008D0EE4" w:rsidRDefault="001E258A" w:rsidP="00725C06">
            <w:pPr>
              <w:pStyle w:val="ListBullet"/>
              <w:spacing w:after="120"/>
              <w:ind w:left="357" w:hanging="357"/>
            </w:pPr>
            <w:r w:rsidRPr="008D0EE4">
              <w:t xml:space="preserve">The proposed change to the Poisons Standard to update the scientific name of the organism will not affect the risk or benefits from the use of products containing this </w:t>
            </w:r>
            <w:r>
              <w:t>substance (</w:t>
            </w:r>
            <w:r w:rsidRPr="008D0EE4">
              <w:t>organism</w:t>
            </w:r>
            <w:r>
              <w:t>)</w:t>
            </w:r>
            <w:r w:rsidRPr="008D0EE4">
              <w:t xml:space="preserve">. </w:t>
            </w:r>
            <w:r w:rsidRPr="008D0EE4">
              <w:rPr>
                <w:i/>
              </w:rPr>
              <w:t>Agrobacterium radiobacter</w:t>
            </w:r>
            <w:r w:rsidRPr="008D0EE4">
              <w:t xml:space="preserve"> var </w:t>
            </w:r>
            <w:r w:rsidRPr="008D0EE4">
              <w:rPr>
                <w:i/>
              </w:rPr>
              <w:t>radiobacter</w:t>
            </w:r>
            <w:r w:rsidRPr="008D0EE4">
              <w:t xml:space="preserve"> has been used in Australia for more than 40 years for the control of crown gall in a range of crops. It has been included in Appendix B of the SUSMP since November 1989, based on its low toxicity via the oral route</w:t>
            </w:r>
            <w:r>
              <w:t>,</w:t>
            </w:r>
            <w:r w:rsidRPr="008D0EE4">
              <w:t xml:space="preserve"> and no evidence of skin or eye irritation or skin sensitisation. No additional risks are anticipated with the change in name to</w:t>
            </w:r>
            <w:r>
              <w:t xml:space="preserve"> the substance (organism) to</w:t>
            </w:r>
            <w:r w:rsidRPr="008D0EE4">
              <w:t xml:space="preserve"> read </w:t>
            </w:r>
            <w:r>
              <w:rPr>
                <w:i/>
              </w:rPr>
              <w:t>Rhizobiu</w:t>
            </w:r>
            <w:r w:rsidRPr="008D0EE4">
              <w:rPr>
                <w:i/>
              </w:rPr>
              <w:t>m rhizogenes</w:t>
            </w:r>
            <w:r w:rsidRPr="008D0EE4" w:rsidDel="006333B9">
              <w:t xml:space="preserve"> </w:t>
            </w:r>
            <w:r w:rsidRPr="008D0EE4">
              <w:t>(52E(1)(a)).</w:t>
            </w:r>
          </w:p>
          <w:p w14:paraId="2D8B3414" w14:textId="77777777" w:rsidR="001E258A" w:rsidRPr="008D0EE4" w:rsidRDefault="001E258A" w:rsidP="00725C06">
            <w:pPr>
              <w:pStyle w:val="ListBullet"/>
              <w:spacing w:after="120"/>
              <w:ind w:left="357" w:hanging="357"/>
            </w:pPr>
            <w:r>
              <w:t>The pattern and extent of use is not expected to change following the change in the name of the substance (organism) to reflect current scientific nomenclature (52E(1)(b)).</w:t>
            </w:r>
          </w:p>
          <w:p w14:paraId="5059A1AE" w14:textId="77777777" w:rsidR="001E258A" w:rsidRPr="008D0EE4" w:rsidRDefault="001E258A" w:rsidP="00725C06">
            <w:pPr>
              <w:pStyle w:val="ListBullet"/>
              <w:spacing w:after="120"/>
              <w:ind w:left="357" w:hanging="357"/>
            </w:pPr>
            <w:r>
              <w:lastRenderedPageBreak/>
              <w:t>There has been no substantive change in the information available regarding the toxicity of the substance (organism) since it was last considered for Scheduling, which would warrant a change to its current exemption (Appendix B) in the Poisons Standard based on the criteria set out in SPF (2018) (52E(1)(c).</w:t>
            </w:r>
          </w:p>
          <w:p w14:paraId="199C75D1" w14:textId="77777777" w:rsidR="001E258A" w:rsidRPr="00725C06" w:rsidRDefault="001E258A" w:rsidP="00725C06">
            <w:pPr>
              <w:pStyle w:val="ListBullet"/>
            </w:pPr>
            <w:r>
              <w:t>The dosage (application rate), formulation, labelling, packaging and presentation of the substance (organism) will not change as a result of the name change, other than to provide a correction to the name of the active c</w:t>
            </w:r>
            <w:r w:rsidRPr="00725C06">
              <w:t>onstituent on products containing the substance (organism) (52E(1)(d)).</w:t>
            </w:r>
          </w:p>
          <w:p w14:paraId="22609218" w14:textId="77777777" w:rsidR="001E258A" w:rsidRPr="00725C06" w:rsidRDefault="001E258A" w:rsidP="00725C06">
            <w:pPr>
              <w:pStyle w:val="ListBullet"/>
            </w:pPr>
            <w:r w:rsidRPr="00725C06">
              <w:t>There is no information to indicate that products containing the substance (organism) could pose a risk to humans from abuse of the substance (organism). Furthermore, the change in name of the substance (organism) will not affect the potential for abuse (52E(1)(e).</w:t>
            </w:r>
          </w:p>
          <w:p w14:paraId="6DD15AEA" w14:textId="77777777" w:rsidR="001E258A" w:rsidRDefault="001E258A" w:rsidP="00725C06">
            <w:pPr>
              <w:pStyle w:val="ListBullet"/>
            </w:pPr>
            <w:r w:rsidRPr="00725C06">
              <w:t>There were no other matter</w:t>
            </w:r>
            <w:r>
              <w:t>s that were considered necessary to protect human health (52E(1)(f)).</w:t>
            </w:r>
          </w:p>
          <w:p w14:paraId="47E48446" w14:textId="6A14B8C7" w:rsidR="001E258A" w:rsidRPr="001E258A" w:rsidRDefault="001E258A" w:rsidP="00EB55F9">
            <w:pPr>
              <w:rPr>
                <w:rFonts w:ascii="Calibri" w:hAnsi="Calibri"/>
              </w:rPr>
            </w:pPr>
            <w:r w:rsidRPr="006333B9">
              <w:t>Therefore, I have decided to amend the current Poisons Standard in the manner set out in the application</w:t>
            </w:r>
            <w:r>
              <w:t xml:space="preserve"> with the minor change to the name of the genus. The name of the substance (organism) will be changed to </w:t>
            </w:r>
            <w:r w:rsidRPr="00714EE4">
              <w:rPr>
                <w:rFonts w:cstheme="minorHAnsi"/>
                <w:i/>
                <w:szCs w:val="22"/>
              </w:rPr>
              <w:t>Rhizobium rhizogenes</w:t>
            </w:r>
            <w:r w:rsidRPr="006333B9">
              <w:t xml:space="preserve">. The proposed amendment was not referred </w:t>
            </w:r>
            <w:r>
              <w:t>to an expert advisory committee.</w:t>
            </w:r>
          </w:p>
          <w:p w14:paraId="44DCC803" w14:textId="77777777" w:rsidR="005B7704" w:rsidRDefault="005B7704" w:rsidP="00EB55F9">
            <w:pPr>
              <w:pStyle w:val="Heading4"/>
            </w:pPr>
            <w:r>
              <w:t>D</w:t>
            </w:r>
            <w:r w:rsidRPr="002E13B1">
              <w:t xml:space="preserve">ate of effect of the </w:t>
            </w:r>
            <w:r>
              <w:t>decision</w:t>
            </w:r>
          </w:p>
          <w:p w14:paraId="64F1F1C8" w14:textId="02031388" w:rsidR="005B7704" w:rsidRPr="00EB55F9" w:rsidRDefault="00423457" w:rsidP="00D51187">
            <w:sdt>
              <w:sdtPr>
                <w:rPr>
                  <w:b/>
                </w:rPr>
                <w:id w:val="1178161390"/>
                <w:placeholder>
                  <w:docPart w:val="83509A90B1B745E0B4A79D1C7FE12874"/>
                </w:placeholder>
                <w:date w:fullDate="2020-06-01T00:00:00Z">
                  <w:dateFormat w:val="d MMMM yyyy"/>
                  <w:lid w:val="en-AU"/>
                  <w:storeMappedDataAs w:val="dateTime"/>
                  <w:calendar w:val="gregorian"/>
                </w:date>
              </w:sdtPr>
              <w:sdtEndPr/>
              <w:sdtContent>
                <w:r w:rsidR="003B768D" w:rsidRPr="00D51187">
                  <w:rPr>
                    <w:b/>
                  </w:rPr>
                  <w:t>1 June 2020</w:t>
                </w:r>
              </w:sdtContent>
            </w:sdt>
          </w:p>
        </w:tc>
      </w:tr>
    </w:tbl>
    <w:p w14:paraId="78A87228" w14:textId="4AAE0396" w:rsidR="005B7704" w:rsidRDefault="005B7704" w:rsidP="008276C7">
      <w:pPr>
        <w:pStyle w:val="Heading3"/>
        <w:pageBreakBefore/>
        <w:numPr>
          <w:ilvl w:val="1"/>
          <w:numId w:val="10"/>
        </w:numPr>
        <w:spacing w:before="0"/>
        <w:ind w:left="1077"/>
      </w:pPr>
      <w:bookmarkStart w:id="29" w:name="_Toc39587423"/>
      <w:r>
        <w:lastRenderedPageBreak/>
        <w:t>Final</w:t>
      </w:r>
      <w:r w:rsidRPr="00EE463E">
        <w:t xml:space="preserve"> decision in relation to </w:t>
      </w:r>
      <w:sdt>
        <w:sdtPr>
          <w:id w:val="-1577895576"/>
          <w:placeholder>
            <w:docPart w:val="EBFE8874C2CD4A62992E1E405F395132"/>
          </w:placeholder>
        </w:sdtPr>
        <w:sdtEndPr/>
        <w:sdtContent>
          <w:r w:rsidR="001E258A">
            <w:t>Nonanoic acid</w:t>
          </w:r>
        </w:sdtContent>
      </w:sdt>
      <w:bookmarkEnd w:id="29"/>
    </w:p>
    <w:tbl>
      <w:tblPr>
        <w:tblStyle w:val="TableGrid"/>
        <w:tblW w:w="0" w:type="auto"/>
        <w:tblLook w:val="04A0" w:firstRow="1" w:lastRow="0" w:firstColumn="1" w:lastColumn="0" w:noHBand="0" w:noVBand="1"/>
      </w:tblPr>
      <w:tblGrid>
        <w:gridCol w:w="9628"/>
      </w:tblGrid>
      <w:tr w:rsidR="005B7704" w14:paraId="5527652E" w14:textId="77777777" w:rsidTr="00F3404B">
        <w:tc>
          <w:tcPr>
            <w:tcW w:w="9854" w:type="dxa"/>
          </w:tcPr>
          <w:p w14:paraId="7130521A" w14:textId="77777777" w:rsidR="005B7704" w:rsidRPr="009600E9" w:rsidRDefault="005B7704" w:rsidP="0045166B">
            <w:pPr>
              <w:pStyle w:val="Heading4"/>
              <w:keepNext w:val="0"/>
              <w:keepLines w:val="0"/>
              <w:widowControl w:val="0"/>
            </w:pPr>
            <w:r>
              <w:t>Final decision</w:t>
            </w:r>
          </w:p>
          <w:p w14:paraId="65CAAD19" w14:textId="33461D8A" w:rsidR="005B7704" w:rsidRDefault="005B7704" w:rsidP="00EB55F9">
            <w:r>
              <w:t xml:space="preserve">Pursuant to regulation 42ZCZU of the Regulations, a Delegate of the Secretary has made a final decision to amend the current Poisons Standard in relation to </w:t>
            </w:r>
            <w:r w:rsidR="001E258A">
              <w:t>nonanoic acid</w:t>
            </w:r>
            <w:r w:rsidR="00EB55F9">
              <w:t xml:space="preserve"> as follows:</w:t>
            </w:r>
          </w:p>
          <w:p w14:paraId="0B82DC52" w14:textId="77777777" w:rsidR="001E258A" w:rsidRPr="00CD40FB" w:rsidRDefault="001E258A" w:rsidP="00EB55F9">
            <w:pPr>
              <w:spacing w:after="120"/>
              <w:ind w:left="426"/>
              <w:rPr>
                <w:b/>
              </w:rPr>
            </w:pPr>
            <w:r w:rsidRPr="00756755">
              <w:rPr>
                <w:b/>
              </w:rPr>
              <w:t>Schedule 5 – Amend Entry</w:t>
            </w:r>
          </w:p>
          <w:p w14:paraId="364AF747" w14:textId="77777777" w:rsidR="001E258A" w:rsidRPr="003843D3" w:rsidRDefault="001E258A" w:rsidP="00EB55F9">
            <w:pPr>
              <w:spacing w:after="120"/>
              <w:ind w:firstLine="426"/>
              <w:rPr>
                <w:color w:val="FF0000"/>
              </w:rPr>
            </w:pPr>
            <w:r>
              <w:t>NONANOIC ACID</w:t>
            </w:r>
            <w:r w:rsidRPr="002808BE">
              <w:rPr>
                <w:color w:val="FF0000"/>
              </w:rPr>
              <w:t>:</w:t>
            </w:r>
          </w:p>
          <w:p w14:paraId="74FD2F30" w14:textId="77777777" w:rsidR="001E258A" w:rsidRPr="003843D3" w:rsidRDefault="001E258A" w:rsidP="00FC4564">
            <w:pPr>
              <w:pStyle w:val="Numberbullet2red"/>
              <w:numPr>
                <w:ilvl w:val="0"/>
                <w:numId w:val="38"/>
              </w:numPr>
              <w:ind w:left="877" w:hanging="426"/>
            </w:pPr>
            <w:r w:rsidRPr="003843D3">
              <w:t>when used as a pesticide; or</w:t>
            </w:r>
          </w:p>
          <w:p w14:paraId="300840D2" w14:textId="77777777" w:rsidR="001E258A" w:rsidRPr="00FC4564" w:rsidRDefault="001E258A" w:rsidP="00FC4564">
            <w:pPr>
              <w:pStyle w:val="Numberbullet2red"/>
              <w:rPr>
                <w:color w:val="auto"/>
              </w:rPr>
            </w:pPr>
            <w:r w:rsidRPr="00F310BC">
              <w:t>in other preparations</w:t>
            </w:r>
            <w:r w:rsidRPr="00125F0F">
              <w:t>,</w:t>
            </w:r>
            <w:r w:rsidRPr="00FC4564">
              <w:rPr>
                <w:color w:val="auto"/>
              </w:rPr>
              <w:t xml:space="preserve"> </w:t>
            </w:r>
            <w:r w:rsidRPr="00FC4564">
              <w:rPr>
                <w:b/>
                <w:color w:val="auto"/>
              </w:rPr>
              <w:t>except</w:t>
            </w:r>
            <w:r w:rsidRPr="00FC4564">
              <w:rPr>
                <w:color w:val="auto"/>
              </w:rPr>
              <w:t xml:space="preserve"> in preparations containing 10 per cent or less of nonanoic acid.</w:t>
            </w:r>
          </w:p>
          <w:p w14:paraId="47AB7FD8" w14:textId="77777777" w:rsidR="001E258A" w:rsidRPr="005E4BC4" w:rsidRDefault="001E258A" w:rsidP="00EB55F9">
            <w:pPr>
              <w:spacing w:after="120"/>
              <w:ind w:left="426"/>
              <w:rPr>
                <w:b/>
              </w:rPr>
            </w:pPr>
            <w:r>
              <w:rPr>
                <w:b/>
              </w:rPr>
              <w:t>Index</w:t>
            </w:r>
          </w:p>
          <w:p w14:paraId="19546D38" w14:textId="77777777" w:rsidR="001E258A" w:rsidRPr="00BE419F" w:rsidRDefault="001E258A" w:rsidP="00EB55F9">
            <w:pPr>
              <w:spacing w:after="120"/>
              <w:ind w:left="426"/>
              <w:rPr>
                <w:rFonts w:asciiTheme="minorHAnsi" w:hAnsiTheme="minorHAnsi" w:cstheme="minorHAnsi"/>
                <w:b/>
                <w:szCs w:val="22"/>
              </w:rPr>
            </w:pPr>
            <w:r w:rsidRPr="00BE419F">
              <w:rPr>
                <w:rFonts w:asciiTheme="minorHAnsi" w:hAnsiTheme="minorHAnsi" w:cstheme="minorHAnsi"/>
                <w:b/>
                <w:szCs w:val="22"/>
              </w:rPr>
              <w:t>NONANOIC ACID</w:t>
            </w:r>
          </w:p>
          <w:p w14:paraId="56EEB876" w14:textId="77777777" w:rsidR="001E258A" w:rsidRPr="00D205D7" w:rsidRDefault="001E258A" w:rsidP="00EB55F9">
            <w:pPr>
              <w:spacing w:after="120"/>
              <w:ind w:left="426"/>
              <w:rPr>
                <w:rFonts w:asciiTheme="minorHAnsi" w:hAnsiTheme="minorHAnsi" w:cstheme="minorHAnsi"/>
                <w:szCs w:val="22"/>
              </w:rPr>
            </w:pPr>
            <w:r w:rsidRPr="005E4BC4">
              <w:rPr>
                <w:rFonts w:asciiTheme="minorHAnsi" w:hAnsiTheme="minorHAnsi" w:cstheme="minorHAnsi"/>
                <w:szCs w:val="22"/>
              </w:rPr>
              <w:t>Schedule 5</w:t>
            </w:r>
          </w:p>
          <w:p w14:paraId="4437CD1D" w14:textId="77777777" w:rsidR="005B7704" w:rsidRDefault="005B7704" w:rsidP="00EB55F9">
            <w:pPr>
              <w:pStyle w:val="Heading4"/>
            </w:pPr>
            <w:r>
              <w:t>Reasons for the final decision (including findings on material questions of fact)</w:t>
            </w:r>
          </w:p>
          <w:p w14:paraId="2BC498CB" w14:textId="77777777" w:rsidR="005B7704" w:rsidRDefault="005B7704" w:rsidP="00396360">
            <w:pPr>
              <w:pStyle w:val="Heading5"/>
            </w:pPr>
            <w:r>
              <w:t>Materials considered</w:t>
            </w:r>
          </w:p>
          <w:p w14:paraId="3026739F" w14:textId="37B79203" w:rsidR="005B7704" w:rsidRDefault="005B7704" w:rsidP="00EB55F9">
            <w:r>
              <w:t>In making this final decision, I</w:t>
            </w:r>
            <w:r w:rsidR="00EB55F9">
              <w:t xml:space="preserve"> have considered the following:</w:t>
            </w:r>
          </w:p>
          <w:p w14:paraId="446C3694" w14:textId="77777777" w:rsidR="001E258A" w:rsidRDefault="001E258A" w:rsidP="00EB55F9">
            <w:pPr>
              <w:pStyle w:val="ListBullet"/>
              <w:spacing w:after="120"/>
              <w:ind w:left="357" w:hanging="357"/>
            </w:pPr>
            <w:r>
              <w:t>The Applicant’s application to amend the current Poisons Standard with respect to nonanoic acid;</w:t>
            </w:r>
          </w:p>
          <w:p w14:paraId="06769E3A" w14:textId="5E094DB1" w:rsidR="001E258A" w:rsidRPr="00565166" w:rsidRDefault="001E258A" w:rsidP="00EB55F9">
            <w:pPr>
              <w:pStyle w:val="ListBullet"/>
              <w:spacing w:after="120"/>
              <w:ind w:left="357" w:hanging="357"/>
              <w:rPr>
                <w:szCs w:val="22"/>
              </w:rPr>
            </w:pPr>
            <w:r w:rsidRPr="00565166">
              <w:t xml:space="preserve">Subsection 52E(1) of the </w:t>
            </w:r>
            <w:r w:rsidRPr="00565166">
              <w:rPr>
                <w:i/>
              </w:rPr>
              <w:t>Therapeutic Goods Act 1989</w:t>
            </w:r>
            <w:r w:rsidRPr="00565166">
              <w:t xml:space="preserve">, in particular </w:t>
            </w:r>
            <w:r w:rsidRPr="00565166">
              <w:rPr>
                <w:szCs w:val="22"/>
              </w:rPr>
              <w:t xml:space="preserve">(a) the risks and benefits of the use of a substance; (b) the purposes for which a substance is to be used and the extent of use of a substance; (c) the toxicity of a substance; (d) the dosage, formulation, labelling, packaging and presentation of a substance; </w:t>
            </w:r>
            <w:r>
              <w:rPr>
                <w:szCs w:val="22"/>
              </w:rPr>
              <w:t xml:space="preserve">and </w:t>
            </w:r>
            <w:r w:rsidRPr="00565166">
              <w:rPr>
                <w:szCs w:val="22"/>
              </w:rPr>
              <w:t>(e) the pote</w:t>
            </w:r>
            <w:r w:rsidR="00EB55F9">
              <w:rPr>
                <w:szCs w:val="22"/>
              </w:rPr>
              <w:t>ntial for abuse of a substance;</w:t>
            </w:r>
          </w:p>
          <w:p w14:paraId="0FA0D9C3" w14:textId="77777777" w:rsidR="001E258A" w:rsidRDefault="001E258A" w:rsidP="00EB55F9">
            <w:pPr>
              <w:pStyle w:val="ListBullet"/>
              <w:spacing w:after="120"/>
              <w:ind w:left="357" w:hanging="357"/>
            </w:pPr>
            <w:r w:rsidRPr="00565166">
              <w:t xml:space="preserve">The Australian Health Ministers’ Advisory Council’s </w:t>
            </w:r>
            <w:hyperlink r:id="rId86" w:history="1">
              <w:r w:rsidRPr="00565166">
                <w:rPr>
                  <w:rStyle w:val="Hyperlink"/>
                  <w:rFonts w:asciiTheme="minorHAnsi" w:hAnsiTheme="minorHAnsi"/>
                </w:rPr>
                <w:t>Scheduling Policy Framework</w:t>
              </w:r>
            </w:hyperlink>
            <w:r w:rsidRPr="00565166">
              <w:t xml:space="preserve"> (SPF 2018)</w:t>
            </w:r>
            <w:r>
              <w:t>; and</w:t>
            </w:r>
          </w:p>
          <w:p w14:paraId="28CEB448" w14:textId="77777777" w:rsidR="001E258A" w:rsidRPr="00565166" w:rsidRDefault="00423457" w:rsidP="00EB55F9">
            <w:pPr>
              <w:pStyle w:val="ListBullet"/>
              <w:spacing w:after="120"/>
              <w:ind w:left="357" w:hanging="357"/>
            </w:pPr>
            <w:hyperlink r:id="rId87" w:history="1">
              <w:r w:rsidR="001E258A">
                <w:rPr>
                  <w:rStyle w:val="Hyperlink"/>
                </w:rPr>
                <w:t>Scheduling Handbook</w:t>
              </w:r>
            </w:hyperlink>
            <w:r w:rsidR="001E258A">
              <w:t xml:space="preserve"> (V 1.0, January 2018).</w:t>
            </w:r>
          </w:p>
          <w:p w14:paraId="0A0B9E52" w14:textId="77777777" w:rsidR="005B7704" w:rsidRPr="000C67EE" w:rsidRDefault="005B7704" w:rsidP="00396360">
            <w:pPr>
              <w:pStyle w:val="Heading5"/>
            </w:pPr>
            <w:r>
              <w:t>Findings on material questions of fact</w:t>
            </w:r>
          </w:p>
          <w:p w14:paraId="759F4AA2" w14:textId="27AAEF32" w:rsidR="001E258A" w:rsidRDefault="001E258A" w:rsidP="00EB55F9">
            <w:r w:rsidRPr="007D182C">
              <w:t xml:space="preserve">An application was submitted by </w:t>
            </w:r>
            <w:r w:rsidRPr="005E4BC4">
              <w:t>the Australian Pesticides and Veterinary Medicines Authority (APVMA) to amend the Poisons Standard with respect to nonanoic acid</w:t>
            </w:r>
            <w:r>
              <w:t>. The application proposes</w:t>
            </w:r>
            <w:r w:rsidRPr="00890FB3">
              <w:t xml:space="preserve"> to</w:t>
            </w:r>
            <w:r>
              <w:t xml:space="preserve"> </w:t>
            </w:r>
            <w:r w:rsidRPr="00583539">
              <w:t>amend the current Schedule 5</w:t>
            </w:r>
            <w:r>
              <w:t xml:space="preserve"> entry for </w:t>
            </w:r>
            <w:r w:rsidRPr="00756755">
              <w:t>nonanoic acid</w:t>
            </w:r>
            <w:r>
              <w:t xml:space="preserve"> to </w:t>
            </w:r>
            <w:r w:rsidRPr="00080550">
              <w:t xml:space="preserve">include all pesticide uses of </w:t>
            </w:r>
            <w:r w:rsidRPr="00756755">
              <w:t>nonanoic acid</w:t>
            </w:r>
            <w:r w:rsidRPr="00080550">
              <w:t xml:space="preserve"> in Schedule 5, with the previous cut off being limited to o</w:t>
            </w:r>
            <w:r>
              <w:t>ther preparations containing 10%</w:t>
            </w:r>
            <w:r w:rsidRPr="00080550">
              <w:t xml:space="preserve"> </w:t>
            </w:r>
            <w:r>
              <w:t>or</w:t>
            </w:r>
            <w:r w:rsidRPr="00080550">
              <w:t xml:space="preserve"> less of </w:t>
            </w:r>
            <w:r w:rsidRPr="005E4BC4">
              <w:t>nonanoic acid</w:t>
            </w:r>
            <w:r>
              <w:t>.</w:t>
            </w:r>
          </w:p>
          <w:p w14:paraId="7AFF21DC" w14:textId="77777777" w:rsidR="001E258A" w:rsidRDefault="001E258A" w:rsidP="00EB55F9">
            <w:r w:rsidRPr="00286224">
              <w:t xml:space="preserve">The applicant’s proposed amendments to the </w:t>
            </w:r>
            <w:r w:rsidRPr="00F54B87">
              <w:t>Poisons Standard</w:t>
            </w:r>
            <w:r w:rsidRPr="00286224">
              <w:t xml:space="preserve"> are:</w:t>
            </w:r>
          </w:p>
          <w:p w14:paraId="28C2DC40" w14:textId="77777777" w:rsidR="001E258A" w:rsidRPr="00CD40FB" w:rsidRDefault="001E258A" w:rsidP="00EB55F9">
            <w:pPr>
              <w:spacing w:after="120"/>
              <w:ind w:left="426"/>
              <w:rPr>
                <w:b/>
              </w:rPr>
            </w:pPr>
            <w:r w:rsidRPr="00756755">
              <w:rPr>
                <w:b/>
              </w:rPr>
              <w:t>Schedule 5 – Amend Entry</w:t>
            </w:r>
          </w:p>
          <w:p w14:paraId="5688494F" w14:textId="77777777" w:rsidR="001E258A" w:rsidRPr="003843D3" w:rsidRDefault="001E258A" w:rsidP="00EB55F9">
            <w:pPr>
              <w:spacing w:after="120"/>
              <w:ind w:firstLine="426"/>
              <w:rPr>
                <w:color w:val="FF0000"/>
              </w:rPr>
            </w:pPr>
            <w:r>
              <w:t>NONANOIC ACID</w:t>
            </w:r>
            <w:r w:rsidRPr="002808BE">
              <w:rPr>
                <w:color w:val="FF0000"/>
              </w:rPr>
              <w:t>:</w:t>
            </w:r>
          </w:p>
          <w:p w14:paraId="45712F2B" w14:textId="77777777" w:rsidR="001E258A" w:rsidRPr="003843D3" w:rsidRDefault="001E258A" w:rsidP="00FC4564">
            <w:pPr>
              <w:pStyle w:val="Numberbullet2red"/>
              <w:numPr>
                <w:ilvl w:val="0"/>
                <w:numId w:val="39"/>
              </w:numPr>
              <w:ind w:left="877" w:hanging="426"/>
            </w:pPr>
            <w:r w:rsidRPr="003843D3">
              <w:t>when used as a pesticide; or</w:t>
            </w:r>
          </w:p>
          <w:p w14:paraId="222B6BCD" w14:textId="77777777" w:rsidR="001E258A" w:rsidRPr="00FC4564" w:rsidRDefault="001E258A" w:rsidP="00FC4564">
            <w:pPr>
              <w:pStyle w:val="Numberbullet2red"/>
              <w:rPr>
                <w:color w:val="auto"/>
              </w:rPr>
            </w:pPr>
            <w:r w:rsidRPr="00F310BC">
              <w:t>in other preparations</w:t>
            </w:r>
            <w:r w:rsidRPr="00125F0F">
              <w:t>,</w:t>
            </w:r>
            <w:r w:rsidRPr="00FC4564">
              <w:rPr>
                <w:color w:val="auto"/>
              </w:rPr>
              <w:t xml:space="preserve"> </w:t>
            </w:r>
            <w:r w:rsidRPr="00FC4564">
              <w:rPr>
                <w:b/>
                <w:color w:val="auto"/>
              </w:rPr>
              <w:t>except</w:t>
            </w:r>
            <w:r w:rsidRPr="00FC4564">
              <w:rPr>
                <w:color w:val="auto"/>
              </w:rPr>
              <w:t xml:space="preserve"> in preparations containing 10 per cent or less of nonanoic acid.</w:t>
            </w:r>
          </w:p>
          <w:p w14:paraId="76D34F84" w14:textId="77777777" w:rsidR="001E258A" w:rsidRPr="005E4BC4" w:rsidRDefault="001E258A" w:rsidP="00EB55F9">
            <w:pPr>
              <w:spacing w:after="120"/>
              <w:ind w:left="426"/>
              <w:rPr>
                <w:b/>
              </w:rPr>
            </w:pPr>
            <w:r>
              <w:rPr>
                <w:b/>
              </w:rPr>
              <w:t>Index</w:t>
            </w:r>
          </w:p>
          <w:p w14:paraId="239E7610" w14:textId="77777777" w:rsidR="001E258A" w:rsidRPr="00BE419F" w:rsidRDefault="001E258A" w:rsidP="00EB55F9">
            <w:pPr>
              <w:spacing w:after="120"/>
              <w:ind w:left="426"/>
              <w:rPr>
                <w:rFonts w:asciiTheme="minorHAnsi" w:hAnsiTheme="minorHAnsi" w:cstheme="minorHAnsi"/>
                <w:b/>
                <w:szCs w:val="22"/>
              </w:rPr>
            </w:pPr>
            <w:r w:rsidRPr="00BE419F">
              <w:rPr>
                <w:rFonts w:asciiTheme="minorHAnsi" w:hAnsiTheme="minorHAnsi" w:cstheme="minorHAnsi"/>
                <w:b/>
                <w:szCs w:val="22"/>
              </w:rPr>
              <w:t>NONANOIC ACID</w:t>
            </w:r>
          </w:p>
          <w:p w14:paraId="11240813" w14:textId="77777777" w:rsidR="001E258A" w:rsidRPr="00125F0F" w:rsidRDefault="001E258A" w:rsidP="00EB55F9">
            <w:pPr>
              <w:spacing w:after="120"/>
              <w:ind w:left="426"/>
              <w:rPr>
                <w:rFonts w:asciiTheme="minorHAnsi" w:hAnsiTheme="minorHAnsi" w:cstheme="minorHAnsi"/>
                <w:szCs w:val="22"/>
              </w:rPr>
            </w:pPr>
            <w:r w:rsidRPr="005E4BC4">
              <w:rPr>
                <w:rFonts w:asciiTheme="minorHAnsi" w:hAnsiTheme="minorHAnsi" w:cstheme="minorHAnsi"/>
                <w:szCs w:val="22"/>
              </w:rPr>
              <w:t>Schedule 5</w:t>
            </w:r>
          </w:p>
          <w:p w14:paraId="2E568696" w14:textId="77777777" w:rsidR="001E258A" w:rsidRDefault="001E258A" w:rsidP="00EB55F9">
            <w:r>
              <w:lastRenderedPageBreak/>
              <w:t>The applicant’s reasons for the proposal are:</w:t>
            </w:r>
          </w:p>
          <w:p w14:paraId="4875FF7C" w14:textId="77777777" w:rsidR="001E258A" w:rsidRDefault="001E258A" w:rsidP="00EB55F9">
            <w:pPr>
              <w:pStyle w:val="ListBullet"/>
            </w:pPr>
            <w:r>
              <w:t>N</w:t>
            </w:r>
            <w:r w:rsidRPr="00D717F2">
              <w:t xml:space="preserve">onanoic acid </w:t>
            </w:r>
            <w:r>
              <w:t>(</w:t>
            </w:r>
            <w:r w:rsidRPr="00817ACC">
              <w:t>NNA</w:t>
            </w:r>
            <w:r>
              <w:t>)</w:t>
            </w:r>
            <w:r w:rsidRPr="00817ACC">
              <w:t xml:space="preserve"> is a medium chain fatty acid, and is a naturally occurring carboxylic acid with </w:t>
            </w:r>
            <w:r>
              <w:t xml:space="preserve">a carbon chain length of nine. </w:t>
            </w:r>
            <w:r w:rsidRPr="00817ACC">
              <w:t xml:space="preserve">It is used in </w:t>
            </w:r>
            <w:r w:rsidRPr="00D717F2">
              <w:t xml:space="preserve">agricultural and veterinary </w:t>
            </w:r>
            <w:r>
              <w:t>(AgV</w:t>
            </w:r>
            <w:r w:rsidRPr="00817ACC">
              <w:t>et</w:t>
            </w:r>
            <w:r>
              <w:t>)</w:t>
            </w:r>
            <w:r w:rsidRPr="00817ACC">
              <w:t xml:space="preserve"> chemical products as an herbicide, and may have other uses in therapeutic goods or fragrances.</w:t>
            </w:r>
          </w:p>
          <w:p w14:paraId="71D70D76" w14:textId="77777777" w:rsidR="001E258A" w:rsidRDefault="001E258A" w:rsidP="00EB55F9">
            <w:pPr>
              <w:pStyle w:val="ListBullet"/>
              <w:spacing w:after="120" w:line="240" w:lineRule="auto"/>
              <w:ind w:left="357" w:hanging="357"/>
            </w:pPr>
            <w:r w:rsidRPr="001C7FBA">
              <w:t>NNA has previously been considered for incl</w:t>
            </w:r>
            <w:r>
              <w:t xml:space="preserve">usion in the Poisons Standard. </w:t>
            </w:r>
            <w:r w:rsidRPr="001C7FBA">
              <w:t xml:space="preserve">During the initial consideration, a range of cut-offs were considered, with the original </w:t>
            </w:r>
            <w:r>
              <w:t xml:space="preserve">APVMA proposal being for a 3% </w:t>
            </w:r>
            <w:r w:rsidRPr="001C7FBA">
              <w:t>cut-off, a</w:t>
            </w:r>
            <w:r>
              <w:t xml:space="preserve"> public submission cut-off of 4% </w:t>
            </w:r>
            <w:r w:rsidRPr="001C7FBA">
              <w:t>being proposed, and an exemption for the use of the substance as an excipient in therapeutic goods being proposed.</w:t>
            </w:r>
            <w:r>
              <w:t xml:space="preserve"> </w:t>
            </w:r>
            <w:r w:rsidRPr="001C7FBA">
              <w:t xml:space="preserve">The Committee recommended inclusion of </w:t>
            </w:r>
            <w:r>
              <w:t>NNA</w:t>
            </w:r>
            <w:r w:rsidRPr="001C7FBA">
              <w:t xml:space="preserve"> in Schedule 6 rather than Schedule 5, wit</w:t>
            </w:r>
            <w:r>
              <w:t>h a cut-off to unscheduled of 10%</w:t>
            </w:r>
            <w:r w:rsidRPr="001C7FBA">
              <w:t>. The delegate’s final decision was to include NNA in Schedule 5 with a cut-off to unscheduled</w:t>
            </w:r>
            <w:r>
              <w:t xml:space="preserve"> for preparations containing 10% </w:t>
            </w:r>
            <w:r w:rsidRPr="001C7FBA">
              <w:t>or less of NNA</w:t>
            </w:r>
            <w:r>
              <w:t>.</w:t>
            </w:r>
          </w:p>
          <w:p w14:paraId="622C6AC4" w14:textId="7B73CAF3" w:rsidR="001E258A" w:rsidRPr="001C7FBA" w:rsidRDefault="001E258A" w:rsidP="00EB55F9">
            <w:pPr>
              <w:pStyle w:val="ListBullet"/>
              <w:spacing w:after="120" w:line="240" w:lineRule="auto"/>
              <w:ind w:left="357" w:hanging="357"/>
            </w:pPr>
            <w:r w:rsidRPr="001C7FBA">
              <w:t>NNA has been used in a range of agricultural chemicals as an herbicide, both in combination with other actives (particularly glyphosate), but also as a s</w:t>
            </w:r>
            <w:r>
              <w:t xml:space="preserve">tand-alone active constituent. </w:t>
            </w:r>
            <w:r w:rsidRPr="001C7FBA">
              <w:t>Commercial products are available with high concentrations of NNA. It is available as products for use in the home garden, both in ready to use formulations and also as concentrated formulations which</w:t>
            </w:r>
            <w:r w:rsidR="00EB55F9">
              <w:t xml:space="preserve"> require dilution prior to use.</w:t>
            </w:r>
          </w:p>
          <w:p w14:paraId="5D08C7A1" w14:textId="77777777" w:rsidR="001E258A" w:rsidRPr="001C7FBA" w:rsidRDefault="001E258A" w:rsidP="00EB55F9">
            <w:pPr>
              <w:pStyle w:val="ListBullet"/>
              <w:spacing w:after="120" w:line="240" w:lineRule="auto"/>
              <w:ind w:left="357" w:hanging="357"/>
            </w:pPr>
            <w:r w:rsidRPr="001C7FBA">
              <w:t>A recent evaluation has indicated moderate eye irritancy r</w:t>
            </w:r>
            <w:r>
              <w:t>esulting from exposure to a 1.8%</w:t>
            </w:r>
            <w:r w:rsidRPr="001C7FBA">
              <w:t xml:space="preserve"> for</w:t>
            </w:r>
            <w:r>
              <w:t xml:space="preserve">mulation. </w:t>
            </w:r>
            <w:r w:rsidRPr="001C7FBA">
              <w:t>Effects included reversible corneal opacity. The potential for eye irritation with these products is recognised, and can be mitigated with a combination of label warnings and personal protective equipment. However, the additional control of inclusion in Schedule 5 with the requirement for the appropriate signal heading would increase the level of protection.</w:t>
            </w:r>
          </w:p>
          <w:p w14:paraId="34DF50F1" w14:textId="77777777" w:rsidR="001E258A" w:rsidRPr="009513C7" w:rsidRDefault="001E258A" w:rsidP="00EB55F9">
            <w:pPr>
              <w:pStyle w:val="ListBullet"/>
              <w:spacing w:after="120" w:line="240" w:lineRule="auto"/>
              <w:ind w:left="357" w:hanging="357"/>
            </w:pPr>
            <w:r w:rsidRPr="001C7FBA">
              <w:t xml:space="preserve">Noting the previous consideration for scheduling of NNA, and reflecting that there are other uses of NNA (for example it is included in the Australian Register of Therapeutic Goods </w:t>
            </w:r>
            <w:r>
              <w:t>(</w:t>
            </w:r>
            <w:r w:rsidRPr="001C7FBA">
              <w:t>ARTG</w:t>
            </w:r>
            <w:r>
              <w:t>)</w:t>
            </w:r>
            <w:r w:rsidRPr="001C7FBA">
              <w:t xml:space="preserve"> ingredient list and may have uses as an excipient in fragrances), the proposed entry includes separate consideration for the pesticid</w:t>
            </w:r>
            <w:r>
              <w:t>e use of NNA and other uses.</w:t>
            </w:r>
          </w:p>
          <w:p w14:paraId="76310524" w14:textId="77777777" w:rsidR="001E258A" w:rsidRPr="00AC15D8" w:rsidRDefault="001E258A" w:rsidP="00396360">
            <w:pPr>
              <w:pStyle w:val="Heading5"/>
            </w:pPr>
            <w:r w:rsidRPr="00AC15D8">
              <w:t>Current scheduling status</w:t>
            </w:r>
          </w:p>
          <w:p w14:paraId="519F1CE1" w14:textId="77777777" w:rsidR="001E258A" w:rsidRDefault="001E258A" w:rsidP="00EB55F9">
            <w:pPr>
              <w:spacing w:before="120" w:after="120"/>
              <w:rPr>
                <w:rFonts w:asciiTheme="minorHAnsi" w:hAnsiTheme="minorHAnsi" w:cstheme="minorHAnsi"/>
                <w:szCs w:val="22"/>
              </w:rPr>
            </w:pPr>
            <w:r w:rsidRPr="005E4BC4">
              <w:rPr>
                <w:rFonts w:asciiTheme="minorHAnsi" w:hAnsiTheme="minorHAnsi" w:cstheme="minorHAnsi"/>
                <w:szCs w:val="22"/>
              </w:rPr>
              <w:t>Nonanoic acid</w:t>
            </w:r>
            <w:r w:rsidRPr="00AF12F6">
              <w:rPr>
                <w:rFonts w:asciiTheme="minorHAnsi" w:hAnsiTheme="minorHAnsi" w:cstheme="minorHAnsi"/>
                <w:szCs w:val="22"/>
              </w:rPr>
              <w:t xml:space="preserve"> is currently listed in </w:t>
            </w:r>
            <w:r w:rsidRPr="005E4BC4">
              <w:rPr>
                <w:rFonts w:asciiTheme="minorHAnsi" w:hAnsiTheme="minorHAnsi" w:cstheme="minorHAnsi"/>
                <w:szCs w:val="22"/>
              </w:rPr>
              <w:t>Schedules 5 of the Poisons</w:t>
            </w:r>
            <w:r>
              <w:rPr>
                <w:rFonts w:asciiTheme="minorHAnsi" w:hAnsiTheme="minorHAnsi" w:cstheme="minorHAnsi"/>
                <w:szCs w:val="22"/>
              </w:rPr>
              <w:t xml:space="preserve"> Standard as follows:</w:t>
            </w:r>
          </w:p>
          <w:p w14:paraId="6023C5AB" w14:textId="77777777" w:rsidR="001E258A" w:rsidRPr="006D5C84" w:rsidRDefault="001E258A" w:rsidP="00396360">
            <w:pPr>
              <w:spacing w:before="120" w:after="120"/>
              <w:ind w:left="425"/>
              <w:rPr>
                <w:b/>
              </w:rPr>
            </w:pPr>
            <w:r w:rsidRPr="006D5C84">
              <w:rPr>
                <w:b/>
              </w:rPr>
              <w:t>Schedul</w:t>
            </w:r>
            <w:r w:rsidRPr="005E4BC4">
              <w:rPr>
                <w:b/>
              </w:rPr>
              <w:t>e 5</w:t>
            </w:r>
          </w:p>
          <w:p w14:paraId="57631A78" w14:textId="77777777" w:rsidR="001E258A" w:rsidRDefault="001E258A" w:rsidP="00396360">
            <w:pPr>
              <w:spacing w:before="120" w:after="120"/>
              <w:ind w:left="425"/>
              <w:rPr>
                <w:rFonts w:asciiTheme="minorHAnsi" w:hAnsiTheme="minorHAnsi" w:cstheme="minorHAnsi"/>
                <w:szCs w:val="22"/>
              </w:rPr>
            </w:pPr>
            <w:r w:rsidRPr="005E4BC4">
              <w:rPr>
                <w:rFonts w:asciiTheme="minorHAnsi" w:hAnsiTheme="minorHAnsi" w:cstheme="minorHAnsi"/>
                <w:szCs w:val="22"/>
              </w:rPr>
              <w:t xml:space="preserve">NONANOIC ACID </w:t>
            </w:r>
            <w:r w:rsidRPr="00F9008A">
              <w:rPr>
                <w:rFonts w:asciiTheme="minorHAnsi" w:hAnsiTheme="minorHAnsi" w:cstheme="minorHAnsi"/>
                <w:b/>
                <w:szCs w:val="22"/>
              </w:rPr>
              <w:t>except</w:t>
            </w:r>
            <w:r w:rsidRPr="005E4BC4">
              <w:rPr>
                <w:rFonts w:asciiTheme="minorHAnsi" w:hAnsiTheme="minorHAnsi" w:cstheme="minorHAnsi"/>
                <w:szCs w:val="22"/>
              </w:rPr>
              <w:t xml:space="preserve"> in preparations containing 10 per cent or less of nonanoic acid.</w:t>
            </w:r>
          </w:p>
          <w:p w14:paraId="0FFB5646" w14:textId="77777777" w:rsidR="001E258A" w:rsidRPr="005E4BC4" w:rsidRDefault="001E258A" w:rsidP="00396360">
            <w:pPr>
              <w:spacing w:before="120" w:after="120"/>
              <w:ind w:left="425"/>
              <w:rPr>
                <w:b/>
              </w:rPr>
            </w:pPr>
            <w:r>
              <w:rPr>
                <w:b/>
              </w:rPr>
              <w:t>Index</w:t>
            </w:r>
          </w:p>
          <w:p w14:paraId="38296564" w14:textId="77777777" w:rsidR="001E258A" w:rsidRPr="00F9008A" w:rsidRDefault="001E258A" w:rsidP="00396360">
            <w:pPr>
              <w:spacing w:before="120" w:after="120"/>
              <w:ind w:left="425"/>
              <w:rPr>
                <w:rFonts w:asciiTheme="minorHAnsi" w:hAnsiTheme="minorHAnsi" w:cstheme="minorHAnsi"/>
                <w:b/>
                <w:szCs w:val="22"/>
              </w:rPr>
            </w:pPr>
            <w:r w:rsidRPr="00F9008A">
              <w:rPr>
                <w:rFonts w:asciiTheme="minorHAnsi" w:hAnsiTheme="minorHAnsi" w:cstheme="minorHAnsi"/>
                <w:b/>
                <w:szCs w:val="22"/>
              </w:rPr>
              <w:t>NONANOIC ACID</w:t>
            </w:r>
          </w:p>
          <w:p w14:paraId="27237C61" w14:textId="77777777" w:rsidR="001E258A" w:rsidRPr="009513C7" w:rsidRDefault="001E258A" w:rsidP="00396360">
            <w:pPr>
              <w:spacing w:before="120" w:after="120"/>
              <w:ind w:left="425"/>
              <w:rPr>
                <w:rFonts w:asciiTheme="minorHAnsi" w:hAnsiTheme="minorHAnsi" w:cstheme="minorHAnsi"/>
                <w:szCs w:val="22"/>
              </w:rPr>
            </w:pPr>
            <w:r w:rsidRPr="005E4BC4">
              <w:rPr>
                <w:rFonts w:asciiTheme="minorHAnsi" w:hAnsiTheme="minorHAnsi" w:cstheme="minorHAnsi"/>
                <w:szCs w:val="22"/>
              </w:rPr>
              <w:t>Schedule 5</w:t>
            </w:r>
          </w:p>
          <w:p w14:paraId="176760EB" w14:textId="77777777" w:rsidR="001E258A" w:rsidRPr="00AC15D8" w:rsidRDefault="001E258A" w:rsidP="00396360">
            <w:pPr>
              <w:pStyle w:val="Heading5"/>
            </w:pPr>
            <w:r w:rsidRPr="00AC15D8">
              <w:t>Scheduling history</w:t>
            </w:r>
          </w:p>
          <w:p w14:paraId="73FDDC61" w14:textId="77777777" w:rsidR="001E258A" w:rsidRDefault="001E258A" w:rsidP="00EB55F9">
            <w:r>
              <w:t xml:space="preserve">In March 2016, the </w:t>
            </w:r>
            <w:r w:rsidRPr="00716055">
              <w:t>Advisory Co</w:t>
            </w:r>
            <w:r>
              <w:t>mmittee on Chemicals Scheduling (ACCS #16) considered a proposal to</w:t>
            </w:r>
            <w:r w:rsidRPr="00716055">
              <w:t xml:space="preserve"> create a new Schedule 5 entry for the use of nonanoic acid in agricultural preparations with a proposed exemp</w:t>
            </w:r>
            <w:r>
              <w:t>tion concentration cut-off at 3%. The ACCS recommended a Schedule 6 listing for NNA, noting the broad use pattern of NNA and given its irritancy, the schedule entry should not be restricted to agricultural uses only to capture other areas of potential public exposure.</w:t>
            </w:r>
          </w:p>
          <w:p w14:paraId="6CFC5A3D" w14:textId="77777777" w:rsidR="001E258A" w:rsidRDefault="001E258A" w:rsidP="001E258A">
            <w:r>
              <w:t>The Committee advised that a 10% cut off for the substance was appropriate, below which the substance would not be scheduled. This cut off concentration was considered appropriate to avoid capturing its use in food additives and cosmetics.</w:t>
            </w:r>
          </w:p>
          <w:p w14:paraId="281ED0AB" w14:textId="2F66F2CB" w:rsidR="001E258A" w:rsidRDefault="001E258A" w:rsidP="001E258A">
            <w:r>
              <w:t>The Delegate noted the advice from the ACCS that a new Schedule 6 entry be created for nonanoic acid with a cut-off to exempt in preparations containing 10% or less. The advice for a primary listing in Schedule 6 was based primarily on the potential for severe eye damage associated with exposure to this fatty acid, while most of the other toxicological criteria are consistent with SPF criteria for listing in Schedule 5. The Delegate noted comments made by the ACCS that the evaluation of the eye irritancy studies presented lacked rigour and that there is some uncertainty about the severity and reversibility of the lesions associated with conc</w:t>
            </w:r>
            <w:r w:rsidR="00EB55F9">
              <w:t>entrated solutions of the acid.</w:t>
            </w:r>
          </w:p>
          <w:p w14:paraId="4138095C" w14:textId="77777777" w:rsidR="001E258A" w:rsidRPr="009513C7" w:rsidRDefault="001E258A" w:rsidP="001E258A">
            <w:r>
              <w:lastRenderedPageBreak/>
              <w:t>The Delegate decided to create a primary listing for NNA in Schedule 5, with an exemption for products containing 10% or less and was satisfied that there was sufficient evidence at the time that concentrations below 10% should cover most uses and natural occurrences of nonanoic acid in products available to the public, the risks of eye damage are sufficiently ameliorated to warrant scheduling controls unnecessary.</w:t>
            </w:r>
          </w:p>
          <w:p w14:paraId="1DCBF513" w14:textId="0F518400" w:rsidR="001E258A" w:rsidRPr="00EB55F9" w:rsidRDefault="00EB55F9" w:rsidP="00465684">
            <w:pPr>
              <w:pStyle w:val="Heading5"/>
            </w:pPr>
            <w:r>
              <w:t>Australian regulations</w:t>
            </w:r>
          </w:p>
          <w:p w14:paraId="3485ADE6" w14:textId="77777777" w:rsidR="001E258A" w:rsidRDefault="001E258A" w:rsidP="001012A2">
            <w:pPr>
              <w:pStyle w:val="ListBullet"/>
              <w:spacing w:after="120"/>
              <w:ind w:hanging="357"/>
            </w:pPr>
            <w:r>
              <w:t xml:space="preserve">According to the </w:t>
            </w:r>
            <w:hyperlink r:id="rId88" w:history="1">
              <w:r w:rsidRPr="00C66C5E">
                <w:rPr>
                  <w:rStyle w:val="Hyperlink"/>
                </w:rPr>
                <w:t xml:space="preserve">TGA </w:t>
              </w:r>
              <w:r>
                <w:rPr>
                  <w:rStyle w:val="Hyperlink"/>
                </w:rPr>
                <w:t xml:space="preserve">Ingredient </w:t>
              </w:r>
              <w:r w:rsidRPr="00C66C5E">
                <w:rPr>
                  <w:rStyle w:val="Hyperlink"/>
                </w:rPr>
                <w:t>Database</w:t>
              </w:r>
            </w:hyperlink>
            <w:r>
              <w:t>,</w:t>
            </w:r>
            <w:r>
              <w:rPr>
                <w:rStyle w:val="FootnoteReference"/>
              </w:rPr>
              <w:footnoteReference w:id="51"/>
            </w:r>
            <w:r>
              <w:t xml:space="preserve"> </w:t>
            </w:r>
            <w:r w:rsidRPr="00923BE8">
              <w:t>nonanoic acid</w:t>
            </w:r>
            <w:r>
              <w:t xml:space="preserve"> is:</w:t>
            </w:r>
          </w:p>
          <w:p w14:paraId="076D1BC9" w14:textId="77777777" w:rsidR="001E258A" w:rsidRDefault="001E258A" w:rsidP="000D784C">
            <w:pPr>
              <w:pStyle w:val="ListBullet2"/>
              <w:spacing w:after="60" w:line="240" w:lineRule="auto"/>
              <w:ind w:hanging="357"/>
            </w:pPr>
            <w:r>
              <w:t>Available for use as an active ingredient in biologicals and prescription medicines;</w:t>
            </w:r>
          </w:p>
          <w:p w14:paraId="7FCFAF94" w14:textId="77777777" w:rsidR="001E258A" w:rsidRDefault="001E258A" w:rsidP="000D784C">
            <w:pPr>
              <w:pStyle w:val="ListBullet2"/>
              <w:numPr>
                <w:ilvl w:val="1"/>
                <w:numId w:val="8"/>
              </w:numPr>
              <w:spacing w:after="60" w:line="240" w:lineRule="auto"/>
              <w:ind w:hanging="357"/>
            </w:pPr>
            <w:r>
              <w:t>Available for use as an excipient ingredient in biologicals, devices, listed medicines and prescription medicines; and</w:t>
            </w:r>
          </w:p>
          <w:p w14:paraId="5D8FBE7E" w14:textId="77777777" w:rsidR="001E258A" w:rsidRDefault="001E258A" w:rsidP="000D784C">
            <w:pPr>
              <w:pStyle w:val="ListBullet2"/>
              <w:numPr>
                <w:ilvl w:val="1"/>
                <w:numId w:val="8"/>
              </w:numPr>
              <w:spacing w:before="60" w:after="60" w:line="240" w:lineRule="auto"/>
              <w:ind w:hanging="357"/>
            </w:pPr>
            <w:r w:rsidRPr="00FA008E">
              <w:t>Not available as an equivalent ingredient in any application</w:t>
            </w:r>
            <w:r>
              <w:t>.</w:t>
            </w:r>
          </w:p>
          <w:p w14:paraId="6E8BE02E" w14:textId="77777777" w:rsidR="001E258A" w:rsidRDefault="001E258A" w:rsidP="001012A2">
            <w:pPr>
              <w:pStyle w:val="ListBullet"/>
              <w:spacing w:after="120"/>
              <w:ind w:hanging="357"/>
            </w:pPr>
            <w:r>
              <w:t>The related substance, c</w:t>
            </w:r>
            <w:r w:rsidRPr="00923BE8">
              <w:t xml:space="preserve">etearyl nonanoate </w:t>
            </w:r>
            <w:r>
              <w:t>(also known as nonanoic acid cetearyl ester nonanoic acid cetyl/stearyl ester) is not available as an active i</w:t>
            </w:r>
            <w:r w:rsidRPr="00923BE8">
              <w:t>ngredient in any application</w:t>
            </w:r>
            <w:r>
              <w:t>. However, it is available for use as excipient ingredient in export only, listed medicines, over the counter and prescription medicines.</w:t>
            </w:r>
          </w:p>
          <w:p w14:paraId="072440F2" w14:textId="77777777" w:rsidR="001E258A" w:rsidRDefault="001E258A" w:rsidP="001012A2">
            <w:pPr>
              <w:pStyle w:val="ListBullet"/>
              <w:spacing w:after="120"/>
              <w:ind w:hanging="357"/>
            </w:pPr>
            <w:r>
              <w:t>T</w:t>
            </w:r>
            <w:r w:rsidRPr="00881DFE">
              <w:t xml:space="preserve">here are </w:t>
            </w:r>
            <w:r>
              <w:t>27</w:t>
            </w:r>
            <w:r w:rsidRPr="004806A3">
              <w:t xml:space="preserve"> </w:t>
            </w:r>
            <w:r>
              <w:t>products</w:t>
            </w:r>
            <w:r w:rsidRPr="004806A3">
              <w:t xml:space="preserve"> currently active on the </w:t>
            </w:r>
            <w:hyperlink r:id="rId89" w:history="1">
              <w:r w:rsidRPr="004806A3">
                <w:rPr>
                  <w:rStyle w:val="Hyperlink"/>
                </w:rPr>
                <w:t>Australian Register of Therapeutic Goods (ARTG)</w:t>
              </w:r>
            </w:hyperlink>
            <w:r w:rsidRPr="004806A3">
              <w:rPr>
                <w:rStyle w:val="FootnoteReference"/>
              </w:rPr>
              <w:footnoteReference w:id="52"/>
            </w:r>
            <w:r w:rsidRPr="004806A3">
              <w:t xml:space="preserve"> that contain nonanoic acid as an active ingredient. These include</w:t>
            </w:r>
            <w:r>
              <w:t xml:space="preserve">; </w:t>
            </w:r>
            <w:r w:rsidRPr="004806A3">
              <w:t>14</w:t>
            </w:r>
            <w:r>
              <w:t xml:space="preserve"> prescription medicines, 4</w:t>
            </w:r>
            <w:r w:rsidRPr="004806A3">
              <w:t xml:space="preserve"> non-prescription medicines</w:t>
            </w:r>
            <w:r>
              <w:t>, 6 listed medicines, 1 medical device and 2 other therapeutic good (OTG) devices</w:t>
            </w:r>
            <w:r w:rsidRPr="004806A3">
              <w:t>.</w:t>
            </w:r>
          </w:p>
          <w:p w14:paraId="14DC3DB0" w14:textId="3335CCA4" w:rsidR="001E258A" w:rsidRDefault="001E258A" w:rsidP="001012A2">
            <w:pPr>
              <w:pStyle w:val="ListBullet"/>
              <w:spacing w:after="120"/>
              <w:ind w:hanging="357"/>
            </w:pPr>
            <w:r>
              <w:t xml:space="preserve">According to the </w:t>
            </w:r>
            <w:hyperlink r:id="rId90" w:history="1">
              <w:r w:rsidRPr="00824CAC">
                <w:rPr>
                  <w:rStyle w:val="Hyperlink"/>
                </w:rPr>
                <w:t>Therapeutic Goods (Permissible Ingredients) Determination</w:t>
              </w:r>
            </w:hyperlink>
            <w:r w:rsidRPr="009A6265">
              <w:rPr>
                <w:rStyle w:val="FootnoteReference"/>
              </w:rPr>
              <w:footnoteReference w:id="53"/>
            </w:r>
            <w:r w:rsidRPr="009A6265">
              <w:t xml:space="preserve"> No.</w:t>
            </w:r>
            <w:r w:rsidR="00EF549B">
              <w:t>1</w:t>
            </w:r>
            <w:r w:rsidRPr="009A6265">
              <w:t xml:space="preserve"> of 20</w:t>
            </w:r>
            <w:r w:rsidR="00EF549B">
              <w:t>20</w:t>
            </w:r>
            <w:r w:rsidRPr="009A6265">
              <w:t>,</w:t>
            </w:r>
            <w:r w:rsidRPr="009C55D5">
              <w:t xml:space="preserve"> </w:t>
            </w:r>
            <w:r w:rsidRPr="009A6265">
              <w:t xml:space="preserve">nonanoic acid </w:t>
            </w:r>
            <w:r>
              <w:t>is permitted to be included in listed medicines as follows:</w:t>
            </w:r>
          </w:p>
          <w:tbl>
            <w:tblPr>
              <w:tblStyle w:val="TableTGAblue"/>
              <w:tblW w:w="0" w:type="auto"/>
              <w:tblInd w:w="360" w:type="dxa"/>
              <w:tblLook w:val="04A0" w:firstRow="1" w:lastRow="0" w:firstColumn="1" w:lastColumn="0" w:noHBand="0" w:noVBand="1"/>
            </w:tblPr>
            <w:tblGrid>
              <w:gridCol w:w="757"/>
              <w:gridCol w:w="1815"/>
              <w:gridCol w:w="1127"/>
              <w:gridCol w:w="5333"/>
            </w:tblGrid>
            <w:tr w:rsidR="001E258A" w:rsidRPr="006112EA" w14:paraId="316EA0BA" w14:textId="77777777" w:rsidTr="008276C7">
              <w:trPr>
                <w:cnfStyle w:val="100000000000" w:firstRow="1" w:lastRow="0" w:firstColumn="0" w:lastColumn="0" w:oddVBand="0" w:evenVBand="0" w:oddHBand="0" w:evenHBand="0" w:firstRowFirstColumn="0" w:firstRowLastColumn="0" w:lastRowFirstColumn="0" w:lastRowLastColumn="0"/>
              </w:trPr>
              <w:tc>
                <w:tcPr>
                  <w:tcW w:w="762" w:type="dxa"/>
                </w:tcPr>
                <w:p w14:paraId="60373E23" w14:textId="77777777" w:rsidR="001E258A" w:rsidRPr="006112EA" w:rsidRDefault="001E258A" w:rsidP="001E258A">
                  <w:pPr>
                    <w:pStyle w:val="ListBullet"/>
                    <w:numPr>
                      <w:ilvl w:val="0"/>
                      <w:numId w:val="0"/>
                    </w:numPr>
                    <w:rPr>
                      <w:sz w:val="20"/>
                      <w:szCs w:val="20"/>
                    </w:rPr>
                  </w:pPr>
                  <w:r w:rsidRPr="006112EA">
                    <w:rPr>
                      <w:sz w:val="20"/>
                      <w:szCs w:val="20"/>
                    </w:rPr>
                    <w:t>Item</w:t>
                  </w:r>
                </w:p>
              </w:tc>
              <w:tc>
                <w:tcPr>
                  <w:tcW w:w="1845" w:type="dxa"/>
                </w:tcPr>
                <w:p w14:paraId="42579D35" w14:textId="77777777" w:rsidR="001E258A" w:rsidRPr="006112EA" w:rsidRDefault="001E258A" w:rsidP="001E258A">
                  <w:pPr>
                    <w:pStyle w:val="ListBullet"/>
                    <w:numPr>
                      <w:ilvl w:val="0"/>
                      <w:numId w:val="0"/>
                    </w:numPr>
                    <w:rPr>
                      <w:sz w:val="20"/>
                      <w:szCs w:val="20"/>
                    </w:rPr>
                  </w:pPr>
                  <w:r w:rsidRPr="006112EA">
                    <w:rPr>
                      <w:sz w:val="20"/>
                      <w:szCs w:val="20"/>
                    </w:rPr>
                    <w:t>Ingredient name</w:t>
                  </w:r>
                </w:p>
              </w:tc>
              <w:tc>
                <w:tcPr>
                  <w:tcW w:w="1134" w:type="dxa"/>
                </w:tcPr>
                <w:p w14:paraId="3636C196" w14:textId="77777777" w:rsidR="001E258A" w:rsidRPr="006112EA" w:rsidRDefault="001E258A" w:rsidP="001E258A">
                  <w:pPr>
                    <w:pStyle w:val="ListBullet"/>
                    <w:numPr>
                      <w:ilvl w:val="0"/>
                      <w:numId w:val="0"/>
                    </w:numPr>
                    <w:rPr>
                      <w:sz w:val="20"/>
                      <w:szCs w:val="20"/>
                    </w:rPr>
                  </w:pPr>
                  <w:r w:rsidRPr="006112EA">
                    <w:rPr>
                      <w:sz w:val="20"/>
                      <w:szCs w:val="20"/>
                    </w:rPr>
                    <w:t>Purpose</w:t>
                  </w:r>
                </w:p>
              </w:tc>
              <w:tc>
                <w:tcPr>
                  <w:tcW w:w="5517" w:type="dxa"/>
                </w:tcPr>
                <w:p w14:paraId="6DAD6E55" w14:textId="77777777" w:rsidR="001E258A" w:rsidRPr="006112EA" w:rsidRDefault="001E258A" w:rsidP="001E258A">
                  <w:pPr>
                    <w:pStyle w:val="ListBullet"/>
                    <w:numPr>
                      <w:ilvl w:val="0"/>
                      <w:numId w:val="0"/>
                    </w:numPr>
                    <w:rPr>
                      <w:sz w:val="20"/>
                      <w:szCs w:val="20"/>
                    </w:rPr>
                  </w:pPr>
                  <w:r w:rsidRPr="006112EA">
                    <w:rPr>
                      <w:sz w:val="20"/>
                      <w:szCs w:val="20"/>
                    </w:rPr>
                    <w:t>Specific requirements</w:t>
                  </w:r>
                </w:p>
              </w:tc>
            </w:tr>
            <w:tr w:rsidR="001E258A" w:rsidRPr="006112EA" w14:paraId="26330A04" w14:textId="77777777" w:rsidTr="008276C7">
              <w:tc>
                <w:tcPr>
                  <w:tcW w:w="762" w:type="dxa"/>
                </w:tcPr>
                <w:p w14:paraId="7C18BE22" w14:textId="77777777" w:rsidR="001E258A" w:rsidRPr="006112EA" w:rsidRDefault="001E258A" w:rsidP="001E258A">
                  <w:pPr>
                    <w:rPr>
                      <w:sz w:val="20"/>
                      <w:szCs w:val="20"/>
                    </w:rPr>
                  </w:pPr>
                  <w:r w:rsidRPr="00B21F6E">
                    <w:rPr>
                      <w:sz w:val="20"/>
                      <w:szCs w:val="20"/>
                    </w:rPr>
                    <w:t>3465</w:t>
                  </w:r>
                </w:p>
              </w:tc>
              <w:tc>
                <w:tcPr>
                  <w:tcW w:w="1845" w:type="dxa"/>
                </w:tcPr>
                <w:p w14:paraId="5C4311E4" w14:textId="77777777" w:rsidR="001E258A" w:rsidRPr="006112EA" w:rsidRDefault="001E258A" w:rsidP="001E258A">
                  <w:pPr>
                    <w:rPr>
                      <w:sz w:val="20"/>
                      <w:szCs w:val="20"/>
                    </w:rPr>
                  </w:pPr>
                  <w:r w:rsidRPr="00B21F6E">
                    <w:rPr>
                      <w:sz w:val="20"/>
                      <w:szCs w:val="20"/>
                    </w:rPr>
                    <w:t>NONANOIC ACID</w:t>
                  </w:r>
                </w:p>
              </w:tc>
              <w:tc>
                <w:tcPr>
                  <w:tcW w:w="1134" w:type="dxa"/>
                </w:tcPr>
                <w:p w14:paraId="14123544" w14:textId="77777777" w:rsidR="001E258A" w:rsidRPr="006112EA" w:rsidRDefault="001E258A" w:rsidP="001E258A">
                  <w:pPr>
                    <w:rPr>
                      <w:sz w:val="20"/>
                      <w:szCs w:val="20"/>
                    </w:rPr>
                  </w:pPr>
                  <w:r>
                    <w:rPr>
                      <w:sz w:val="20"/>
                      <w:szCs w:val="20"/>
                    </w:rPr>
                    <w:t>E</w:t>
                  </w:r>
                </w:p>
              </w:tc>
              <w:tc>
                <w:tcPr>
                  <w:tcW w:w="5517" w:type="dxa"/>
                </w:tcPr>
                <w:p w14:paraId="19923897" w14:textId="290AC0DD" w:rsidR="001E258A" w:rsidRPr="00B21F6E" w:rsidRDefault="001E258A" w:rsidP="001E258A">
                  <w:pPr>
                    <w:rPr>
                      <w:sz w:val="20"/>
                      <w:szCs w:val="20"/>
                    </w:rPr>
                  </w:pPr>
                  <w:r w:rsidRPr="00B21F6E">
                    <w:rPr>
                      <w:sz w:val="20"/>
                      <w:szCs w:val="20"/>
                    </w:rPr>
                    <w:t>Permitted for use only in combination with other permitted ingredient</w:t>
                  </w:r>
                  <w:r w:rsidR="00EB55F9">
                    <w:rPr>
                      <w:sz w:val="20"/>
                      <w:szCs w:val="20"/>
                    </w:rPr>
                    <w:t>s as a flavour or a fragrance.</w:t>
                  </w:r>
                </w:p>
                <w:p w14:paraId="1991A5E4" w14:textId="082A88A3" w:rsidR="001E258A" w:rsidRPr="00B21F6E" w:rsidRDefault="001E258A" w:rsidP="001E258A">
                  <w:pPr>
                    <w:rPr>
                      <w:sz w:val="20"/>
                      <w:szCs w:val="20"/>
                    </w:rPr>
                  </w:pPr>
                  <w:r w:rsidRPr="00B21F6E">
                    <w:rPr>
                      <w:sz w:val="20"/>
                      <w:szCs w:val="20"/>
                    </w:rPr>
                    <w:t>If used in a flavour the total flavour concentration in a med</w:t>
                  </w:r>
                  <w:r w:rsidR="00EB55F9">
                    <w:rPr>
                      <w:sz w:val="20"/>
                      <w:szCs w:val="20"/>
                    </w:rPr>
                    <w:t>icine must be no more than 5%.</w:t>
                  </w:r>
                </w:p>
                <w:p w14:paraId="0395D5AD" w14:textId="25284E32" w:rsidR="001E258A" w:rsidRPr="006112EA" w:rsidRDefault="001E258A" w:rsidP="001E258A">
                  <w:pPr>
                    <w:rPr>
                      <w:sz w:val="20"/>
                      <w:szCs w:val="20"/>
                    </w:rPr>
                  </w:pPr>
                  <w:r w:rsidRPr="00B21F6E">
                    <w:rPr>
                      <w:sz w:val="20"/>
                      <w:szCs w:val="20"/>
                    </w:rPr>
                    <w:t>If used in a fragrance the total fragrance concentration in a medicine must be no more 1%</w:t>
                  </w:r>
                  <w:r w:rsidR="00EB55F9">
                    <w:rPr>
                      <w:sz w:val="20"/>
                      <w:szCs w:val="20"/>
                    </w:rPr>
                    <w:t>.</w:t>
                  </w:r>
                </w:p>
              </w:tc>
            </w:tr>
            <w:tr w:rsidR="001E258A" w:rsidRPr="006112EA" w14:paraId="0FAFD95D" w14:textId="77777777" w:rsidTr="008276C7">
              <w:tc>
                <w:tcPr>
                  <w:tcW w:w="9258" w:type="dxa"/>
                  <w:gridSpan w:val="4"/>
                </w:tcPr>
                <w:p w14:paraId="0F140FD3" w14:textId="77777777" w:rsidR="001E258A" w:rsidRDefault="001E258A" w:rsidP="001E258A">
                  <w:pPr>
                    <w:rPr>
                      <w:sz w:val="20"/>
                    </w:rPr>
                  </w:pPr>
                  <w:r w:rsidRPr="00DA08B0">
                    <w:rPr>
                      <w:sz w:val="16"/>
                      <w:szCs w:val="16"/>
                    </w:rPr>
                    <w:t>E = excipient for a medicine meaning an ingredient that is not an active ingredient or a homoeopathic preparation ingredient</w:t>
                  </w:r>
                </w:p>
              </w:tc>
            </w:tr>
          </w:tbl>
          <w:p w14:paraId="683271BD" w14:textId="4EAE3D7A" w:rsidR="001E258A" w:rsidRDefault="001E258A" w:rsidP="000D784C">
            <w:pPr>
              <w:pStyle w:val="ListBullet"/>
              <w:spacing w:after="60" w:line="240" w:lineRule="auto"/>
              <w:ind w:left="357" w:hanging="357"/>
            </w:pPr>
            <w:r>
              <w:t>N</w:t>
            </w:r>
            <w:r w:rsidRPr="00423531">
              <w:t>onanoic acid</w:t>
            </w:r>
            <w:r>
              <w:t xml:space="preserve"> is not listed on the</w:t>
            </w:r>
            <w:r w:rsidRPr="00423531">
              <w:t xml:space="preserve"> </w:t>
            </w:r>
            <w:hyperlink r:id="rId91" w:history="1">
              <w:r w:rsidRPr="00C81411">
                <w:rPr>
                  <w:rStyle w:val="Hyperlink"/>
                </w:rPr>
                <w:t xml:space="preserve">TGA </w:t>
              </w:r>
              <w:r>
                <w:rPr>
                  <w:rStyle w:val="Hyperlink"/>
                </w:rPr>
                <w:t>p</w:t>
              </w:r>
              <w:r w:rsidRPr="00C81411">
                <w:rPr>
                  <w:rStyle w:val="Hyperlink"/>
                </w:rPr>
                <w:t>rescribing medicines in pregnancy database</w:t>
              </w:r>
            </w:hyperlink>
            <w:r w:rsidRPr="00F310BC">
              <w:t>.</w:t>
            </w:r>
            <w:r>
              <w:rPr>
                <w:rStyle w:val="FootnoteReference"/>
              </w:rPr>
              <w:footnoteReference w:id="54"/>
            </w:r>
          </w:p>
          <w:p w14:paraId="72425F43" w14:textId="77777777" w:rsidR="001E258A" w:rsidRDefault="001E258A" w:rsidP="000D784C">
            <w:pPr>
              <w:pStyle w:val="ListBullet"/>
              <w:spacing w:after="60" w:line="240" w:lineRule="auto"/>
              <w:ind w:left="357" w:hanging="357"/>
            </w:pPr>
            <w:r>
              <w:t xml:space="preserve">There are no </w:t>
            </w:r>
            <w:r w:rsidRPr="00A30084">
              <w:t xml:space="preserve">warning statements pertaining </w:t>
            </w:r>
            <w:r>
              <w:t xml:space="preserve">to </w:t>
            </w:r>
            <w:r w:rsidRPr="00BC731C">
              <w:t xml:space="preserve">nonanoic acid </w:t>
            </w:r>
            <w:r>
              <w:t xml:space="preserve">in the </w:t>
            </w:r>
            <w:hyperlink r:id="rId92" w:history="1">
              <w:r w:rsidRPr="00AB7BF5">
                <w:rPr>
                  <w:rStyle w:val="Hyperlink"/>
                </w:rPr>
                <w:t>Therapeutic Goods (Medicines Advisory Statements) Specification 2019</w:t>
              </w:r>
            </w:hyperlink>
            <w:r w:rsidRPr="00F310BC">
              <w:t>.</w:t>
            </w:r>
            <w:r>
              <w:rPr>
                <w:rStyle w:val="FootnoteReference"/>
              </w:rPr>
              <w:footnoteReference w:id="55"/>
            </w:r>
          </w:p>
          <w:p w14:paraId="774D73FD" w14:textId="77777777" w:rsidR="001E258A" w:rsidRPr="009C55D5" w:rsidRDefault="001E258A" w:rsidP="000D784C">
            <w:pPr>
              <w:pStyle w:val="ListBullet"/>
              <w:spacing w:after="60" w:line="240" w:lineRule="auto"/>
              <w:ind w:left="357" w:hanging="357"/>
            </w:pPr>
            <w:r>
              <w:t>There have been no reported adverse event for n</w:t>
            </w:r>
            <w:r w:rsidRPr="00BC731C">
              <w:t xml:space="preserve">onanoic acid </w:t>
            </w:r>
            <w:r>
              <w:t>recorded on the</w:t>
            </w:r>
            <w:r w:rsidRPr="009C55D5">
              <w:t xml:space="preserve"> </w:t>
            </w:r>
            <w:hyperlink r:id="rId93" w:history="1">
              <w:r w:rsidRPr="00F0449C">
                <w:rPr>
                  <w:rStyle w:val="Hyperlink"/>
                </w:rPr>
                <w:t>Database of Adverse Event Notifications (DAEN)</w:t>
              </w:r>
            </w:hyperlink>
            <w:r w:rsidRPr="00F310BC">
              <w:t>.</w:t>
            </w:r>
            <w:r w:rsidRPr="00F0449C">
              <w:rPr>
                <w:rStyle w:val="FootnoteReference"/>
              </w:rPr>
              <w:footnoteReference w:id="56"/>
            </w:r>
          </w:p>
          <w:p w14:paraId="7167AB6A" w14:textId="0BAEDEF7" w:rsidR="001E258A" w:rsidRDefault="001E258A" w:rsidP="000D784C">
            <w:pPr>
              <w:pStyle w:val="ListBullet"/>
              <w:spacing w:after="60" w:line="240" w:lineRule="auto"/>
              <w:ind w:left="357" w:hanging="357"/>
            </w:pPr>
            <w:r w:rsidRPr="00F0449C">
              <w:t xml:space="preserve">There are </w:t>
            </w:r>
            <w:r>
              <w:t>20</w:t>
            </w:r>
            <w:r w:rsidRPr="00D71223">
              <w:t xml:space="preserve"> </w:t>
            </w:r>
            <w:r>
              <w:t xml:space="preserve">registered herbicide </w:t>
            </w:r>
            <w:r w:rsidRPr="00D71223">
              <w:t>p</w:t>
            </w:r>
            <w:r w:rsidRPr="00F0449C">
              <w:t xml:space="preserve">roducts </w:t>
            </w:r>
            <w:r>
              <w:t>with n</w:t>
            </w:r>
            <w:r w:rsidRPr="00401C06">
              <w:t>onanoic acid</w:t>
            </w:r>
            <w:r>
              <w:t xml:space="preserve"> listed as an active ingredient </w:t>
            </w:r>
            <w:r w:rsidRPr="00F0449C">
              <w:t xml:space="preserve">on the </w:t>
            </w:r>
            <w:hyperlink r:id="rId94" w:history="1">
              <w:r w:rsidRPr="00F0449C">
                <w:rPr>
                  <w:rStyle w:val="Hyperlink"/>
                </w:rPr>
                <w:t>Public Chemical Registration Information System Search (P</w:t>
              </w:r>
              <w:r>
                <w:rPr>
                  <w:rStyle w:val="Hyperlink"/>
                </w:rPr>
                <w:t>ub</w:t>
              </w:r>
              <w:r w:rsidRPr="00F0449C">
                <w:rPr>
                  <w:rStyle w:val="Hyperlink"/>
                </w:rPr>
                <w:t>CRIS)</w:t>
              </w:r>
            </w:hyperlink>
            <w:r w:rsidRPr="00F0449C">
              <w:t>.</w:t>
            </w:r>
            <w:r>
              <w:rPr>
                <w:rStyle w:val="FootnoteReference"/>
              </w:rPr>
              <w:footnoteReference w:id="57"/>
            </w:r>
          </w:p>
          <w:p w14:paraId="3128011D" w14:textId="77777777" w:rsidR="001E258A" w:rsidRPr="00D71223" w:rsidRDefault="001E258A" w:rsidP="000D784C">
            <w:pPr>
              <w:pStyle w:val="ListBullet"/>
              <w:spacing w:after="60" w:line="240" w:lineRule="auto"/>
              <w:ind w:left="357" w:hanging="357"/>
              <w:rPr>
                <w:rStyle w:val="Hyperlink"/>
                <w:color w:val="auto"/>
                <w:u w:val="none"/>
              </w:rPr>
            </w:pPr>
            <w:r>
              <w:lastRenderedPageBreak/>
              <w:t xml:space="preserve">Between 2009-2019 the following adverse experiences were recorded for </w:t>
            </w:r>
            <w:r w:rsidRPr="00D71223">
              <w:t xml:space="preserve">nonanoic acid </w:t>
            </w:r>
            <w:r>
              <w:t xml:space="preserve">in the </w:t>
            </w:r>
            <w:hyperlink r:id="rId95" w:history="1">
              <w:r w:rsidRPr="006B6023">
                <w:rPr>
                  <w:rStyle w:val="Hyperlink"/>
                </w:rPr>
                <w:t>A</w:t>
              </w:r>
              <w:r>
                <w:rPr>
                  <w:rStyle w:val="Hyperlink"/>
                </w:rPr>
                <w:t>PVMA A</w:t>
              </w:r>
              <w:r w:rsidRPr="006B6023">
                <w:rPr>
                  <w:rStyle w:val="Hyperlink"/>
                </w:rPr>
                <w:t>dverse Experience Reporting Program</w:t>
              </w:r>
            </w:hyperlink>
            <w:r>
              <w:rPr>
                <w:rStyle w:val="Hyperlink"/>
              </w:rPr>
              <w:t xml:space="preserve"> database (AERP)</w:t>
            </w:r>
            <w:r w:rsidRPr="00B90AF5">
              <w:t>:</w:t>
            </w:r>
            <w:r>
              <w:rPr>
                <w:rStyle w:val="FootnoteReference"/>
              </w:rPr>
              <w:footnoteReference w:id="58"/>
            </w:r>
          </w:p>
          <w:p w14:paraId="66BF75E6" w14:textId="41588315" w:rsidR="001E258A" w:rsidRDefault="001E258A" w:rsidP="000D784C">
            <w:pPr>
              <w:pStyle w:val="ListBullet2"/>
              <w:spacing w:before="60" w:after="60" w:line="240" w:lineRule="auto"/>
              <w:ind w:left="714" w:hanging="357"/>
            </w:pPr>
            <w:r>
              <w:t>1 report of a serious incident classified as related to human health r</w:t>
            </w:r>
            <w:r w:rsidR="00EB55F9">
              <w:t>eported occurring in 2017-2018.</w:t>
            </w:r>
          </w:p>
          <w:p w14:paraId="5A1AD384" w14:textId="77777777" w:rsidR="001E258A" w:rsidRPr="009513C7" w:rsidRDefault="001E258A" w:rsidP="00396360">
            <w:pPr>
              <w:pStyle w:val="ListBullet"/>
              <w:spacing w:after="120" w:line="240" w:lineRule="auto"/>
            </w:pPr>
            <w:r>
              <w:t xml:space="preserve">Nonanoic acid is </w:t>
            </w:r>
            <w:r w:rsidRPr="007D54BC">
              <w:t>included</w:t>
            </w:r>
            <w:r>
              <w:t xml:space="preserve"> in the </w:t>
            </w:r>
            <w:hyperlink r:id="rId96" w:history="1">
              <w:r>
                <w:rPr>
                  <w:rStyle w:val="Hyperlink"/>
                </w:rPr>
                <w:t>National Industrial Chemicals Notification and Assessment Scheme (NICNAS) A</w:t>
              </w:r>
              <w:r w:rsidRPr="00F13F32">
                <w:rPr>
                  <w:rStyle w:val="Hyperlink"/>
                </w:rPr>
                <w:t>ustralian Inventory of Chemical Substances (AICS)</w:t>
              </w:r>
            </w:hyperlink>
            <w:r w:rsidRPr="00B90AF5">
              <w:t>.</w:t>
            </w:r>
            <w:r w:rsidRPr="00DF4F33">
              <w:rPr>
                <w:rStyle w:val="FootnoteReference"/>
              </w:rPr>
              <w:footnoteReference w:id="59"/>
            </w:r>
            <w:r w:rsidRPr="00DF4F33">
              <w:t xml:space="preserve"> </w:t>
            </w:r>
            <w:r>
              <w:t>However, there have been no assessments conducted by NICNAS on n</w:t>
            </w:r>
            <w:r w:rsidRPr="007D54BC">
              <w:t xml:space="preserve">onanoic acid </w:t>
            </w:r>
            <w:r>
              <w:t>that are publically available.</w:t>
            </w:r>
          </w:p>
          <w:p w14:paraId="52315C6C" w14:textId="77777777" w:rsidR="001E258A" w:rsidRPr="00AC15D8" w:rsidRDefault="001E258A" w:rsidP="00396360">
            <w:pPr>
              <w:pStyle w:val="Heading5"/>
            </w:pPr>
            <w:r w:rsidRPr="00AC15D8">
              <w:t>International regulations</w:t>
            </w:r>
          </w:p>
          <w:p w14:paraId="4AB38389" w14:textId="7EE4768D" w:rsidR="001E258A" w:rsidRPr="001012A2" w:rsidRDefault="001E258A" w:rsidP="001012A2">
            <w:pPr>
              <w:pStyle w:val="ListBullet"/>
              <w:spacing w:after="120"/>
              <w:ind w:left="357" w:hanging="357"/>
            </w:pPr>
            <w:r>
              <w:t>On 30 September 1974 n</w:t>
            </w:r>
            <w:r w:rsidRPr="00BE5339">
              <w:t>onanoic acid</w:t>
            </w:r>
            <w:r>
              <w:t xml:space="preserve"> was registered with the </w:t>
            </w:r>
            <w:hyperlink r:id="rId97" w:history="1">
              <w:r w:rsidRPr="00A62F1C">
                <w:rPr>
                  <w:rStyle w:val="Hyperlink"/>
                </w:rPr>
                <w:t>United States Environmental Protection Agency’s (US EPA) Office of Pesticides Programs</w:t>
              </w:r>
            </w:hyperlink>
            <w:r w:rsidRPr="00F310BC">
              <w:t>.</w:t>
            </w:r>
            <w:r w:rsidRPr="00417519">
              <w:rPr>
                <w:rStyle w:val="FootnoteReference"/>
              </w:rPr>
              <w:footnoteReference w:id="60"/>
            </w:r>
            <w:r w:rsidRPr="00BE5339">
              <w:t xml:space="preserve"> </w:t>
            </w:r>
            <w:r>
              <w:t>It is</w:t>
            </w:r>
            <w:r w:rsidRPr="00BE5339">
              <w:t xml:space="preserve"> registered </w:t>
            </w:r>
            <w:r>
              <w:t>for use as a</w:t>
            </w:r>
            <w:r w:rsidRPr="00BE5339">
              <w:t xml:space="preserve"> </w:t>
            </w:r>
            <w:r>
              <w:t>antimicrobial, b</w:t>
            </w:r>
            <w:r w:rsidRPr="00BE5339">
              <w:t>iochemical</w:t>
            </w:r>
            <w:r>
              <w:t xml:space="preserve"> use and conventional c</w:t>
            </w:r>
            <w:r w:rsidRPr="00BE5339">
              <w:t>hemical</w:t>
            </w:r>
            <w:r>
              <w:t xml:space="preserve">. </w:t>
            </w:r>
            <w:r w:rsidRPr="00BE5339">
              <w:t xml:space="preserve">Through the </w:t>
            </w:r>
            <w:hyperlink r:id="rId98" w:history="1">
              <w:r w:rsidRPr="00BE5339">
                <w:rPr>
                  <w:rStyle w:val="Hyperlink"/>
                </w:rPr>
                <w:t>Pesticide Registration Review program</w:t>
              </w:r>
            </w:hyperlink>
            <w:r w:rsidRPr="00BE5339">
              <w:t>,</w:t>
            </w:r>
            <w:r>
              <w:rPr>
                <w:rStyle w:val="FootnoteReference"/>
              </w:rPr>
              <w:footnoteReference w:id="61"/>
            </w:r>
            <w:r w:rsidRPr="00BE5339">
              <w:t xml:space="preserve"> </w:t>
            </w:r>
            <w:r>
              <w:t xml:space="preserve">the </w:t>
            </w:r>
            <w:r w:rsidRPr="00BE5339">
              <w:t xml:space="preserve">EPA reviews all registered pesticides at least every 15 years, as mandated by the </w:t>
            </w:r>
            <w:r w:rsidRPr="001510A8">
              <w:rPr>
                <w:i/>
              </w:rPr>
              <w:t>Federal Insecticide, Fungicide, and Rodenticide Act</w:t>
            </w:r>
            <w:r w:rsidRPr="00BE5339">
              <w:t>.</w:t>
            </w:r>
            <w:r>
              <w:t xml:space="preserve"> The registration status of </w:t>
            </w:r>
            <w:r w:rsidRPr="00AF34CA">
              <w:t xml:space="preserve">nonanoic acid </w:t>
            </w:r>
            <w:r>
              <w:t>currently being reviewed unde</w:t>
            </w:r>
            <w:r w:rsidR="001012A2">
              <w:t>r this mandated review process.</w:t>
            </w:r>
          </w:p>
          <w:p w14:paraId="63C9F29D" w14:textId="77777777" w:rsidR="001E258A" w:rsidRPr="001012A2" w:rsidRDefault="001E258A" w:rsidP="001012A2">
            <w:pPr>
              <w:pStyle w:val="ListBullet"/>
              <w:spacing w:after="120"/>
              <w:ind w:left="357" w:hanging="357"/>
              <w:rPr>
                <w:rStyle w:val="Hyperlink"/>
                <w:color w:val="auto"/>
              </w:rPr>
            </w:pPr>
            <w:r w:rsidRPr="001012A2">
              <w:t>Nonanoic acid is not an approve</w:t>
            </w:r>
            <w:r>
              <w:t xml:space="preserve">d drug product in the United States according to the </w:t>
            </w:r>
            <w:r w:rsidRPr="00AF34CA">
              <w:fldChar w:fldCharType="begin"/>
            </w:r>
            <w:r w:rsidRPr="00AF34CA">
              <w:instrText xml:space="preserve"> HYPERLINK "https://www.accessdata.fda.gov/scripts/cder/daf/" </w:instrText>
            </w:r>
            <w:r w:rsidRPr="00AF34CA">
              <w:fldChar w:fldCharType="separate"/>
            </w:r>
            <w:r w:rsidRPr="00AF34CA">
              <w:rPr>
                <w:rStyle w:val="Hyperlink"/>
              </w:rPr>
              <w:t>United States Food and Drug Administration Approved Drug Products Database (Drugs@FDA)</w:t>
            </w:r>
            <w:r w:rsidRPr="001A7C44">
              <w:t>.</w:t>
            </w:r>
            <w:r w:rsidRPr="00BD7E8B">
              <w:rPr>
                <w:rStyle w:val="Hyperlink"/>
                <w:color w:val="auto"/>
                <w:u w:val="none"/>
                <w:vertAlign w:val="superscript"/>
              </w:rPr>
              <w:footnoteReference w:id="62"/>
            </w:r>
          </w:p>
          <w:p w14:paraId="556D54B0" w14:textId="77777777" w:rsidR="001E258A" w:rsidRPr="009F136B" w:rsidRDefault="001E258A" w:rsidP="001012A2">
            <w:pPr>
              <w:pStyle w:val="ListBullet"/>
              <w:spacing w:after="120"/>
              <w:ind w:left="357" w:hanging="357"/>
              <w:rPr>
                <w:szCs w:val="22"/>
              </w:rPr>
            </w:pPr>
            <w:r w:rsidRPr="00AF34CA">
              <w:fldChar w:fldCharType="end"/>
            </w:r>
            <w:r>
              <w:t xml:space="preserve">The </w:t>
            </w:r>
            <w:hyperlink r:id="rId99" w:history="1">
              <w:r w:rsidRPr="005B7E56">
                <w:rPr>
                  <w:rStyle w:val="Hyperlink"/>
                  <w:szCs w:val="22"/>
                </w:rPr>
                <w:t>European Chemicals Agency (ECHA)</w:t>
              </w:r>
            </w:hyperlink>
            <w:r w:rsidRPr="005173C4">
              <w:rPr>
                <w:rStyle w:val="FootnoteReference"/>
                <w:color w:val="4D2779" w:themeColor="text2"/>
                <w:szCs w:val="22"/>
              </w:rPr>
              <w:footnoteReference w:id="63"/>
            </w:r>
            <w:r w:rsidRPr="005B7E56">
              <w:rPr>
                <w:color w:val="4D2779" w:themeColor="text2"/>
              </w:rPr>
              <w:t xml:space="preserve"> </w:t>
            </w:r>
            <w:r>
              <w:t>h</w:t>
            </w:r>
            <w:r w:rsidRPr="005B7E56">
              <w:t>azard classification &amp; labelling</w:t>
            </w:r>
            <w:r>
              <w:t xml:space="preserve"> for </w:t>
            </w:r>
            <w:r w:rsidRPr="000B6C73">
              <w:t xml:space="preserve">nonanoic acid </w:t>
            </w:r>
            <w:r>
              <w:t>identifies it as ‘</w:t>
            </w:r>
            <w:r w:rsidRPr="000B6C73">
              <w:rPr>
                <w:i/>
              </w:rPr>
              <w:t>Warning! According to the harmonised classification and labelling (ATP07) approved by the European Union, this substance causes serious eye irritation, is harmful to aquatic life with long lasting effects and causes skin irritation</w:t>
            </w:r>
            <w:r w:rsidRPr="000B6C73">
              <w:t>.</w:t>
            </w:r>
            <w:r>
              <w:t>’ It</w:t>
            </w:r>
            <w:r w:rsidRPr="000B6C73">
              <w:t xml:space="preserve"> is approved for use as a biocide in the </w:t>
            </w:r>
            <w:r>
              <w:t>European Economic Area</w:t>
            </w:r>
            <w:r w:rsidRPr="005B7E56">
              <w:t xml:space="preserve"> </w:t>
            </w:r>
            <w:r>
              <w:t>(</w:t>
            </w:r>
            <w:r w:rsidRPr="000B6C73">
              <w:t>EEA</w:t>
            </w:r>
            <w:r>
              <w:t>)</w:t>
            </w:r>
            <w:r w:rsidRPr="000B6C73">
              <w:t xml:space="preserve"> and/or Switzerland, for: disinfection, repelling or attracting pests</w:t>
            </w:r>
            <w:r>
              <w:t>.</w:t>
            </w:r>
            <w:r w:rsidRPr="009F136B">
              <w:t xml:space="preserve"> </w:t>
            </w:r>
            <w:r>
              <w:t xml:space="preserve">It was granted approval for use in plant protection products in 2009 according to the </w:t>
            </w:r>
            <w:hyperlink r:id="rId100" w:history="1">
              <w:r w:rsidRPr="00C81411">
                <w:rPr>
                  <w:rStyle w:val="Hyperlink"/>
                </w:rPr>
                <w:t>European Union Pesticides Database</w:t>
              </w:r>
            </w:hyperlink>
            <w:r w:rsidRPr="00F310BC">
              <w:t>.</w:t>
            </w:r>
            <w:r w:rsidRPr="00417519">
              <w:rPr>
                <w:rStyle w:val="FootnoteReference"/>
              </w:rPr>
              <w:footnoteReference w:id="64"/>
            </w:r>
          </w:p>
          <w:p w14:paraId="5E56D41B" w14:textId="77777777" w:rsidR="001E258A" w:rsidRPr="000B6C73" w:rsidRDefault="001E258A" w:rsidP="001012A2">
            <w:pPr>
              <w:pStyle w:val="ListBullet"/>
              <w:spacing w:after="120"/>
              <w:ind w:left="357" w:hanging="357"/>
              <w:rPr>
                <w:szCs w:val="22"/>
              </w:rPr>
            </w:pPr>
            <w:r>
              <w:t xml:space="preserve">According to the </w:t>
            </w:r>
            <w:hyperlink r:id="rId101" w:history="1">
              <w:r w:rsidRPr="00C81411">
                <w:rPr>
                  <w:rStyle w:val="Hyperlink"/>
                </w:rPr>
                <w:t>European Commission database for information on cosmetic substances and ingredients database</w:t>
              </w:r>
            </w:hyperlink>
            <w:r w:rsidRPr="00417519">
              <w:rPr>
                <w:rStyle w:val="FootnoteReference"/>
              </w:rPr>
              <w:footnoteReference w:id="65"/>
            </w:r>
            <w:r>
              <w:t xml:space="preserve"> no</w:t>
            </w:r>
            <w:r w:rsidRPr="00BD7E8B">
              <w:t>nanoic acid</w:t>
            </w:r>
            <w:r>
              <w:t xml:space="preserve"> is used in cosmetics in Europe, specifically it is used in cleansing, emulsifying, masking and perfume products.</w:t>
            </w:r>
          </w:p>
          <w:p w14:paraId="4413E66D" w14:textId="77777777" w:rsidR="001E258A" w:rsidRDefault="001E258A" w:rsidP="001012A2">
            <w:pPr>
              <w:pStyle w:val="ListBullet"/>
              <w:spacing w:after="120"/>
              <w:ind w:left="357" w:hanging="357"/>
              <w:rPr>
                <w:szCs w:val="22"/>
              </w:rPr>
            </w:pPr>
            <w:r>
              <w:rPr>
                <w:szCs w:val="22"/>
              </w:rPr>
              <w:t>In New Zealand, n</w:t>
            </w:r>
            <w:r w:rsidRPr="00B533B2">
              <w:rPr>
                <w:szCs w:val="22"/>
              </w:rPr>
              <w:t>onanoic acid is classified as a</w:t>
            </w:r>
            <w:r>
              <w:rPr>
                <w:szCs w:val="22"/>
              </w:rPr>
              <w:t xml:space="preserve">n approved hazardous substance </w:t>
            </w:r>
            <w:r w:rsidRPr="00B533B2">
              <w:rPr>
                <w:szCs w:val="22"/>
              </w:rPr>
              <w:t xml:space="preserve">according to the </w:t>
            </w:r>
            <w:hyperlink r:id="rId102" w:history="1">
              <w:r w:rsidRPr="00682120">
                <w:rPr>
                  <w:rStyle w:val="Hyperlink"/>
                </w:rPr>
                <w:t>New Zealand Inventory of Chemicals (NZIoC)</w:t>
              </w:r>
            </w:hyperlink>
            <w:r w:rsidRPr="00F310BC">
              <w:t>.</w:t>
            </w:r>
            <w:r w:rsidRPr="00417519">
              <w:rPr>
                <w:rStyle w:val="FootnoteReference"/>
              </w:rPr>
              <w:footnoteReference w:id="66"/>
            </w:r>
            <w:r w:rsidRPr="00B533B2">
              <w:rPr>
                <w:szCs w:val="22"/>
              </w:rPr>
              <w:t xml:space="preserve"> There are no </w:t>
            </w:r>
            <w:r>
              <w:rPr>
                <w:szCs w:val="22"/>
              </w:rPr>
              <w:t>approved medicines containing n</w:t>
            </w:r>
            <w:r w:rsidRPr="00B533B2">
              <w:rPr>
                <w:szCs w:val="22"/>
              </w:rPr>
              <w:t>onanoic acid</w:t>
            </w:r>
            <w:r>
              <w:rPr>
                <w:szCs w:val="22"/>
              </w:rPr>
              <w:t xml:space="preserve"> that are registered with the </w:t>
            </w:r>
            <w:hyperlink r:id="rId103" w:history="1">
              <w:r w:rsidRPr="000B75D5">
                <w:rPr>
                  <w:rStyle w:val="Hyperlink"/>
                </w:rPr>
                <w:t>New Zealand</w:t>
              </w:r>
              <w:r>
                <w:rPr>
                  <w:rStyle w:val="Hyperlink"/>
                </w:rPr>
                <w:t xml:space="preserve"> Medicines and Medical Devices Safety Authority</w:t>
              </w:r>
              <w:r w:rsidRPr="000B75D5">
                <w:rPr>
                  <w:rStyle w:val="Hyperlink"/>
                </w:rPr>
                <w:t xml:space="preserve"> </w:t>
              </w:r>
              <w:r>
                <w:rPr>
                  <w:rStyle w:val="Hyperlink"/>
                </w:rPr>
                <w:t>(</w:t>
              </w:r>
              <w:r w:rsidRPr="000B75D5">
                <w:rPr>
                  <w:rStyle w:val="Hyperlink"/>
                  <w:szCs w:val="22"/>
                </w:rPr>
                <w:t>MedSaf</w:t>
              </w:r>
              <w:r>
                <w:rPr>
                  <w:rStyle w:val="Hyperlink"/>
                  <w:szCs w:val="22"/>
                </w:rPr>
                <w:t>e)</w:t>
              </w:r>
            </w:hyperlink>
            <w:r>
              <w:t>.</w:t>
            </w:r>
            <w:r>
              <w:rPr>
                <w:rStyle w:val="FootnoteReference"/>
              </w:rPr>
              <w:footnoteReference w:id="67"/>
            </w:r>
            <w:r>
              <w:rPr>
                <w:szCs w:val="22"/>
              </w:rPr>
              <w:t xml:space="preserve"> </w:t>
            </w:r>
          </w:p>
          <w:p w14:paraId="4A7BBC8A" w14:textId="77777777" w:rsidR="001E258A" w:rsidRPr="009513C7" w:rsidRDefault="001E258A" w:rsidP="001012A2">
            <w:pPr>
              <w:pStyle w:val="ListBullet"/>
              <w:spacing w:after="120"/>
              <w:ind w:left="357" w:hanging="357"/>
              <w:rPr>
                <w:szCs w:val="22"/>
              </w:rPr>
            </w:pPr>
            <w:r w:rsidRPr="009F136B">
              <w:rPr>
                <w:szCs w:val="22"/>
              </w:rPr>
              <w:t>In Canada, there are currently 3 herbicide products containing nonanoic acid</w:t>
            </w:r>
            <w:r>
              <w:rPr>
                <w:szCs w:val="22"/>
              </w:rPr>
              <w:t xml:space="preserve"> under review according to</w:t>
            </w:r>
            <w:r w:rsidRPr="009F136B">
              <w:rPr>
                <w:szCs w:val="22"/>
              </w:rPr>
              <w:t xml:space="preserve"> </w:t>
            </w:r>
            <w:hyperlink r:id="rId104" w:history="1">
              <w:r w:rsidRPr="003E0934">
                <w:rPr>
                  <w:rStyle w:val="Hyperlink"/>
                </w:rPr>
                <w:t>Canada’s Pest Management Regulation Agency</w:t>
              </w:r>
            </w:hyperlink>
            <w:r w:rsidRPr="001A7C44">
              <w:t>.</w:t>
            </w:r>
            <w:r w:rsidRPr="00417519">
              <w:rPr>
                <w:rStyle w:val="FootnoteReference"/>
              </w:rPr>
              <w:footnoteReference w:id="68"/>
            </w:r>
            <w:r w:rsidRPr="009F136B">
              <w:rPr>
                <w:szCs w:val="22"/>
              </w:rPr>
              <w:t xml:space="preserve"> </w:t>
            </w:r>
            <w:r>
              <w:rPr>
                <w:szCs w:val="22"/>
              </w:rPr>
              <w:t>N</w:t>
            </w:r>
            <w:r w:rsidRPr="009F136B">
              <w:rPr>
                <w:szCs w:val="22"/>
              </w:rPr>
              <w:t xml:space="preserve">onanoic acid is not registered as an active ingredient </w:t>
            </w:r>
            <w:r>
              <w:rPr>
                <w:szCs w:val="22"/>
              </w:rPr>
              <w:t xml:space="preserve">for use </w:t>
            </w:r>
            <w:r w:rsidRPr="009F136B">
              <w:rPr>
                <w:szCs w:val="22"/>
              </w:rPr>
              <w:t xml:space="preserve">in medicines according to the </w:t>
            </w:r>
            <w:hyperlink r:id="rId105" w:history="1">
              <w:r w:rsidRPr="000B75D5">
                <w:rPr>
                  <w:rStyle w:val="Hyperlink"/>
                </w:rPr>
                <w:t>Canadian (Health Canada) Drug Product Database</w:t>
              </w:r>
            </w:hyperlink>
            <w:r w:rsidRPr="001A7C44">
              <w:t>.</w:t>
            </w:r>
            <w:r w:rsidRPr="00417519">
              <w:rPr>
                <w:rStyle w:val="FootnoteReference"/>
              </w:rPr>
              <w:footnoteReference w:id="69"/>
            </w:r>
          </w:p>
          <w:p w14:paraId="07FCC4EA" w14:textId="77777777" w:rsidR="001E258A" w:rsidRPr="00AC15D8" w:rsidRDefault="001E258A" w:rsidP="00396360">
            <w:pPr>
              <w:pStyle w:val="Heading5"/>
            </w:pPr>
            <w:r w:rsidRPr="00AC15D8">
              <w:t>Substance summary</w:t>
            </w:r>
          </w:p>
          <w:p w14:paraId="071B0321" w14:textId="77777777" w:rsidR="001E258A" w:rsidRDefault="001E258A" w:rsidP="00396360">
            <w:r>
              <w:t>Nonanoic acid (</w:t>
            </w:r>
            <w:r w:rsidRPr="009626C5">
              <w:t>frequently referred to as pelargonic acid</w:t>
            </w:r>
            <w:r>
              <w:t>)</w:t>
            </w:r>
            <w:r w:rsidRPr="009626C5">
              <w:t xml:space="preserve"> is a naturally occurring carboxylic acid with a carbon chain-length of nine, belonging to the chemical class</w:t>
            </w:r>
            <w:r>
              <w:t xml:space="preserve"> of</w:t>
            </w:r>
            <w:r w:rsidRPr="009626C5">
              <w:t xml:space="preserve"> saturated fatty acids commonly referred to as medium chain fatty acids (C8 to C12).</w:t>
            </w:r>
            <w:r>
              <w:t xml:space="preserve"> </w:t>
            </w:r>
            <w:r w:rsidRPr="009626C5">
              <w:t xml:space="preserve">It is a clear, colourless liquid with a </w:t>
            </w:r>
            <w:r w:rsidRPr="009626C5">
              <w:lastRenderedPageBreak/>
              <w:t xml:space="preserve">weak odour. </w:t>
            </w:r>
            <w:r w:rsidRPr="00B814FD">
              <w:t>Nonanoic acid</w:t>
            </w:r>
            <w:r w:rsidRPr="009626C5">
              <w:t xml:space="preserve"> is soluble in aqueous solution</w:t>
            </w:r>
            <w:r>
              <w:t>s</w:t>
            </w:r>
            <w:r w:rsidRPr="009626C5">
              <w:t xml:space="preserve"> however it can readily form esters and partially dissociate into the pelargonate anion (CH</w:t>
            </w:r>
            <w:r w:rsidRPr="00B7259F">
              <w:rPr>
                <w:vertAlign w:val="subscript"/>
              </w:rPr>
              <w:t>3</w:t>
            </w:r>
            <w:r w:rsidRPr="009626C5">
              <w:t>(CH</w:t>
            </w:r>
            <w:r w:rsidRPr="00B7259F">
              <w:rPr>
                <w:vertAlign w:val="subscript"/>
              </w:rPr>
              <w:t>2</w:t>
            </w:r>
            <w:r w:rsidRPr="009626C5">
              <w:t>)</w:t>
            </w:r>
            <w:r w:rsidRPr="00B7259F">
              <w:rPr>
                <w:vertAlign w:val="subscript"/>
              </w:rPr>
              <w:t>7</w:t>
            </w:r>
            <w:r w:rsidRPr="009626C5">
              <w:t>COO</w:t>
            </w:r>
            <w:r w:rsidRPr="00EA5C4C">
              <w:rPr>
                <w:vertAlign w:val="superscript"/>
              </w:rPr>
              <w:t>-</w:t>
            </w:r>
            <w:r w:rsidRPr="009626C5">
              <w:t>) and the hydronium cation (H</w:t>
            </w:r>
            <w:r w:rsidRPr="00B7259F">
              <w:rPr>
                <w:vertAlign w:val="subscript"/>
              </w:rPr>
              <w:t>3</w:t>
            </w:r>
            <w:r w:rsidRPr="009626C5">
              <w:t>O</w:t>
            </w:r>
            <w:r w:rsidRPr="00EA5C4C">
              <w:rPr>
                <w:vertAlign w:val="superscript"/>
              </w:rPr>
              <w:t>+</w:t>
            </w:r>
            <w:r w:rsidRPr="009626C5">
              <w:t xml:space="preserve">) in an aqueous solution. The molecular weight (158.24 g/mol) and octanol-water partition coefficient (3.4 logPow) of </w:t>
            </w:r>
            <w:r>
              <w:t>nonanoic acid</w:t>
            </w:r>
            <w:r w:rsidRPr="009626C5">
              <w:t xml:space="preserve"> suggest that dermal penetration is possible.</w:t>
            </w:r>
            <w:r>
              <w:t xml:space="preserve"> The structure of n</w:t>
            </w:r>
            <w:r w:rsidRPr="00D717F2">
              <w:t>onanoic acid</w:t>
            </w:r>
            <w:r>
              <w:t xml:space="preserve"> is shown in </w:t>
            </w:r>
            <w:r w:rsidRPr="00B814FD">
              <w:rPr>
                <w:b/>
              </w:rPr>
              <w:t>Table 1</w:t>
            </w:r>
            <w:r>
              <w:t>.</w:t>
            </w:r>
          </w:p>
          <w:p w14:paraId="3253AC5B" w14:textId="027DE6FF" w:rsidR="001E258A" w:rsidRDefault="001E258A" w:rsidP="005A0F71">
            <w:r>
              <w:t>Previous consideration of n</w:t>
            </w:r>
            <w:r w:rsidRPr="00D717F2">
              <w:t>onanoic acid</w:t>
            </w:r>
            <w:r>
              <w:t xml:space="preserve"> by the ACCS in March 2016</w:t>
            </w:r>
            <w:r>
              <w:rPr>
                <w:rStyle w:val="FootnoteReference"/>
              </w:rPr>
              <w:footnoteReference w:id="70"/>
            </w:r>
            <w:r>
              <w:t xml:space="preserve"> considered that n</w:t>
            </w:r>
            <w:r w:rsidRPr="00D717F2">
              <w:t>onanoic acid</w:t>
            </w:r>
            <w:r>
              <w:t xml:space="preserve"> has low systemic toxicity and is not corrosive. The acute oral and dermal toxicity in the rat is greater than 2000 mg/kg bw. It was noted that human clinical data indicates reversible moderate irritation, and eye irritation was considered to be slight to moderate. The evaluation considered at the time whether </w:t>
            </w:r>
            <w:r w:rsidRPr="00620D66">
              <w:t xml:space="preserve">the eye irritation observed and the uncertainty in the data available was sufficient to classify </w:t>
            </w:r>
            <w:r>
              <w:t>n</w:t>
            </w:r>
            <w:r w:rsidRPr="00D717F2">
              <w:t>onanoic acid</w:t>
            </w:r>
            <w:r w:rsidRPr="00620D66">
              <w:t xml:space="preserve"> as an irreversible eye irritant (Schedule 6). Recent studies for octanoic acid and decanoic acid (</w:t>
            </w:r>
            <w:r w:rsidRPr="00C13B1E">
              <w:rPr>
                <w:i/>
              </w:rPr>
              <w:t>in vivo</w:t>
            </w:r>
            <w:r w:rsidRPr="00620D66">
              <w:t xml:space="preserve"> eye irritation </w:t>
            </w:r>
            <w:r>
              <w:t>Good Laboratory Practice (</w:t>
            </w:r>
            <w:r w:rsidRPr="00620D66">
              <w:t>GLP</w:t>
            </w:r>
            <w:r>
              <w:t>)</w:t>
            </w:r>
            <w:r w:rsidRPr="00620D66">
              <w:t xml:space="preserve"> test according to OECD TG 403</w:t>
            </w:r>
            <w:r>
              <w:rPr>
                <w:rStyle w:val="FootnoteReference"/>
              </w:rPr>
              <w:footnoteReference w:id="71"/>
            </w:r>
            <w:r w:rsidRPr="00620D66">
              <w:t xml:space="preserve"> and a Bovine Corneal Opacity and Permeability (BCOP) test respectively) showed evidence for reversible eye irritation. On this basis Schedule 5 was recommended.</w:t>
            </w:r>
          </w:p>
          <w:p w14:paraId="4F07EEB5" w14:textId="77777777" w:rsidR="001E258A" w:rsidRPr="00817ACC" w:rsidRDefault="001E258A" w:rsidP="00396360">
            <w:pPr>
              <w:spacing w:after="240"/>
            </w:pPr>
            <w:r>
              <w:t>N</w:t>
            </w:r>
            <w:r w:rsidRPr="00D717F2">
              <w:t>onanoic acid</w:t>
            </w:r>
            <w:r>
              <w:t xml:space="preserve"> is now used relatively extensively as an herbicide in the home garden. A recent evaluation of an acute eye irritation study indicated moderate eye irritation following exposure to a product formulation containing 1.8% n</w:t>
            </w:r>
            <w:r w:rsidRPr="00D717F2">
              <w:t>onanoic acid</w:t>
            </w:r>
            <w:r>
              <w:t>.</w:t>
            </w:r>
          </w:p>
          <w:p w14:paraId="7E5D72D0" w14:textId="77777777" w:rsidR="001E258A" w:rsidRPr="00715977" w:rsidRDefault="001E258A" w:rsidP="00396360">
            <w:pPr>
              <w:pStyle w:val="TableTitle"/>
              <w:keepNext/>
              <w:keepLines/>
              <w:spacing w:before="240"/>
            </w:pPr>
            <w:r>
              <w:t>Table 1: Chemical information for n</w:t>
            </w:r>
            <w:r w:rsidRPr="00030766">
              <w:t>onanoic acid</w:t>
            </w:r>
          </w:p>
          <w:tbl>
            <w:tblPr>
              <w:tblStyle w:val="TableTGAblue"/>
              <w:tblW w:w="9639" w:type="dxa"/>
              <w:tblLook w:val="04A0" w:firstRow="1" w:lastRow="0" w:firstColumn="1" w:lastColumn="0" w:noHBand="0" w:noVBand="1"/>
            </w:tblPr>
            <w:tblGrid>
              <w:gridCol w:w="4101"/>
              <w:gridCol w:w="5538"/>
            </w:tblGrid>
            <w:tr w:rsidR="001E258A" w:rsidRPr="00F97954" w14:paraId="754B8228" w14:textId="77777777" w:rsidTr="001012A2">
              <w:trPr>
                <w:cnfStyle w:val="100000000000" w:firstRow="1" w:lastRow="0" w:firstColumn="0" w:lastColumn="0" w:oddVBand="0" w:evenVBand="0" w:oddHBand="0" w:evenHBand="0" w:firstRowFirstColumn="0" w:firstRowLastColumn="0" w:lastRowFirstColumn="0" w:lastRowLastColumn="0"/>
              </w:trPr>
              <w:tc>
                <w:tcPr>
                  <w:tcW w:w="4101" w:type="dxa"/>
                  <w:vAlign w:val="center"/>
                </w:tcPr>
                <w:p w14:paraId="620A8654" w14:textId="77777777" w:rsidR="001E258A" w:rsidRPr="00F97954" w:rsidRDefault="001E258A" w:rsidP="001E258A">
                  <w:pPr>
                    <w:rPr>
                      <w:sz w:val="20"/>
                      <w:szCs w:val="20"/>
                    </w:rPr>
                  </w:pPr>
                  <w:r w:rsidRPr="00F97954">
                    <w:rPr>
                      <w:sz w:val="20"/>
                      <w:szCs w:val="20"/>
                    </w:rPr>
                    <w:t>Property</w:t>
                  </w:r>
                </w:p>
              </w:tc>
              <w:tc>
                <w:tcPr>
                  <w:tcW w:w="5538" w:type="dxa"/>
                  <w:vAlign w:val="center"/>
                </w:tcPr>
                <w:p w14:paraId="48D02C97" w14:textId="77777777" w:rsidR="001E258A" w:rsidRPr="00F97954" w:rsidRDefault="001E258A" w:rsidP="001E258A">
                  <w:pPr>
                    <w:rPr>
                      <w:sz w:val="20"/>
                      <w:szCs w:val="20"/>
                      <w:lang w:eastAsia="en-US"/>
                    </w:rPr>
                  </w:pPr>
                  <w:r w:rsidRPr="00F97954">
                    <w:rPr>
                      <w:sz w:val="20"/>
                      <w:szCs w:val="20"/>
                    </w:rPr>
                    <w:t>Nonanoic acid</w:t>
                  </w:r>
                </w:p>
              </w:tc>
            </w:tr>
            <w:tr w:rsidR="001E258A" w:rsidRPr="00F97954" w14:paraId="3AB66C0C" w14:textId="77777777" w:rsidTr="001012A2">
              <w:tc>
                <w:tcPr>
                  <w:tcW w:w="4101" w:type="dxa"/>
                </w:tcPr>
                <w:p w14:paraId="6CCD288C" w14:textId="77777777" w:rsidR="001E258A" w:rsidRPr="00F97954" w:rsidRDefault="001E258A" w:rsidP="001E258A">
                  <w:pPr>
                    <w:rPr>
                      <w:sz w:val="20"/>
                      <w:szCs w:val="20"/>
                    </w:rPr>
                  </w:pPr>
                  <w:r w:rsidRPr="00F97954">
                    <w:rPr>
                      <w:sz w:val="20"/>
                      <w:szCs w:val="20"/>
                    </w:rPr>
                    <w:t>Chemical structure</w:t>
                  </w:r>
                </w:p>
              </w:tc>
              <w:tc>
                <w:tcPr>
                  <w:tcW w:w="5538" w:type="dxa"/>
                </w:tcPr>
                <w:p w14:paraId="159971FB" w14:textId="77777777" w:rsidR="001E258A" w:rsidRPr="00F97954" w:rsidRDefault="001E258A" w:rsidP="001E258A">
                  <w:pPr>
                    <w:rPr>
                      <w:iCs/>
                      <w:sz w:val="20"/>
                      <w:szCs w:val="20"/>
                    </w:rPr>
                  </w:pPr>
                  <w:r w:rsidRPr="00F97954">
                    <w:rPr>
                      <w:noProof/>
                      <w:sz w:val="20"/>
                    </w:rPr>
                    <w:drawing>
                      <wp:inline distT="0" distB="0" distL="0" distR="0" wp14:anchorId="590A5DC3" wp14:editId="7DBBE20B">
                        <wp:extent cx="1493520" cy="397069"/>
                        <wp:effectExtent l="0" t="0" r="0" b="3175"/>
                        <wp:docPr id="7" name="Picture 7" title="Chemical structure of non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516197" cy="403098"/>
                                </a:xfrm>
                                <a:prstGeom prst="rect">
                                  <a:avLst/>
                                </a:prstGeom>
                                <a:noFill/>
                                <a:ln>
                                  <a:noFill/>
                                </a:ln>
                              </pic:spPr>
                            </pic:pic>
                          </a:graphicData>
                        </a:graphic>
                      </wp:inline>
                    </w:drawing>
                  </w:r>
                </w:p>
              </w:tc>
            </w:tr>
            <w:tr w:rsidR="001E258A" w:rsidRPr="00F97954" w14:paraId="0C703ED6" w14:textId="77777777" w:rsidTr="001012A2">
              <w:tc>
                <w:tcPr>
                  <w:tcW w:w="4101" w:type="dxa"/>
                </w:tcPr>
                <w:p w14:paraId="035BD53D" w14:textId="77777777" w:rsidR="001E258A" w:rsidRPr="00F97954" w:rsidRDefault="001E258A" w:rsidP="001E258A">
                  <w:pPr>
                    <w:rPr>
                      <w:sz w:val="20"/>
                      <w:szCs w:val="20"/>
                    </w:rPr>
                  </w:pPr>
                  <w:r w:rsidRPr="00F97954">
                    <w:rPr>
                      <w:sz w:val="20"/>
                      <w:szCs w:val="20"/>
                    </w:rPr>
                    <w:t>Molecular formula</w:t>
                  </w:r>
                </w:p>
              </w:tc>
              <w:tc>
                <w:tcPr>
                  <w:tcW w:w="5538" w:type="dxa"/>
                </w:tcPr>
                <w:p w14:paraId="75104692" w14:textId="77777777" w:rsidR="001E258A" w:rsidRPr="00F97954" w:rsidRDefault="001E258A" w:rsidP="001E258A">
                  <w:pPr>
                    <w:rPr>
                      <w:noProof/>
                      <w:sz w:val="20"/>
                      <w:szCs w:val="20"/>
                    </w:rPr>
                  </w:pPr>
                  <w:r w:rsidRPr="00F97954">
                    <w:rPr>
                      <w:noProof/>
                      <w:sz w:val="20"/>
                      <w:szCs w:val="20"/>
                    </w:rPr>
                    <w:t>C</w:t>
                  </w:r>
                  <w:r w:rsidRPr="00F97954">
                    <w:rPr>
                      <w:noProof/>
                      <w:sz w:val="20"/>
                      <w:szCs w:val="20"/>
                      <w:vertAlign w:val="subscript"/>
                    </w:rPr>
                    <w:t>9</w:t>
                  </w:r>
                  <w:r w:rsidRPr="00F97954">
                    <w:rPr>
                      <w:noProof/>
                      <w:sz w:val="20"/>
                      <w:szCs w:val="20"/>
                    </w:rPr>
                    <w:t>H</w:t>
                  </w:r>
                  <w:r w:rsidRPr="00F97954">
                    <w:rPr>
                      <w:noProof/>
                      <w:sz w:val="20"/>
                      <w:szCs w:val="20"/>
                      <w:vertAlign w:val="subscript"/>
                    </w:rPr>
                    <w:t>18</w:t>
                  </w:r>
                  <w:r w:rsidRPr="00F97954">
                    <w:rPr>
                      <w:noProof/>
                      <w:sz w:val="20"/>
                      <w:szCs w:val="20"/>
                    </w:rPr>
                    <w:t>O</w:t>
                  </w:r>
                  <w:r w:rsidRPr="00F97954">
                    <w:rPr>
                      <w:noProof/>
                      <w:sz w:val="20"/>
                      <w:szCs w:val="20"/>
                      <w:vertAlign w:val="subscript"/>
                    </w:rPr>
                    <w:t>2</w:t>
                  </w:r>
                </w:p>
              </w:tc>
            </w:tr>
            <w:tr w:rsidR="001E258A" w:rsidRPr="00F97954" w14:paraId="38189B68" w14:textId="77777777" w:rsidTr="001012A2">
              <w:tc>
                <w:tcPr>
                  <w:tcW w:w="4101" w:type="dxa"/>
                </w:tcPr>
                <w:p w14:paraId="49274B84" w14:textId="77777777" w:rsidR="001E258A" w:rsidRPr="00F97954" w:rsidRDefault="001E258A" w:rsidP="001E258A">
                  <w:pPr>
                    <w:rPr>
                      <w:sz w:val="20"/>
                      <w:szCs w:val="20"/>
                    </w:rPr>
                  </w:pPr>
                  <w:r w:rsidRPr="00F97954">
                    <w:rPr>
                      <w:sz w:val="20"/>
                      <w:szCs w:val="20"/>
                    </w:rPr>
                    <w:t>CAS numbers</w:t>
                  </w:r>
                </w:p>
              </w:tc>
              <w:tc>
                <w:tcPr>
                  <w:tcW w:w="5538" w:type="dxa"/>
                </w:tcPr>
                <w:p w14:paraId="0388F481" w14:textId="77777777" w:rsidR="001E258A" w:rsidRPr="00F97954" w:rsidRDefault="001E258A" w:rsidP="001E258A">
                  <w:pPr>
                    <w:rPr>
                      <w:sz w:val="20"/>
                      <w:szCs w:val="20"/>
                    </w:rPr>
                  </w:pPr>
                  <w:r w:rsidRPr="00F97954">
                    <w:rPr>
                      <w:sz w:val="20"/>
                      <w:szCs w:val="20"/>
                    </w:rPr>
                    <w:t>112-05-0</w:t>
                  </w:r>
                </w:p>
              </w:tc>
            </w:tr>
            <w:tr w:rsidR="001E258A" w:rsidRPr="00F97954" w14:paraId="5E31E155" w14:textId="77777777" w:rsidTr="001012A2">
              <w:tc>
                <w:tcPr>
                  <w:tcW w:w="4101" w:type="dxa"/>
                </w:tcPr>
                <w:p w14:paraId="230EB482" w14:textId="77777777" w:rsidR="001E258A" w:rsidRPr="00F97954" w:rsidRDefault="001E258A" w:rsidP="001E258A">
                  <w:pPr>
                    <w:rPr>
                      <w:sz w:val="20"/>
                      <w:szCs w:val="20"/>
                    </w:rPr>
                  </w:pPr>
                  <w:r w:rsidRPr="00F97954">
                    <w:rPr>
                      <w:sz w:val="20"/>
                      <w:szCs w:val="20"/>
                    </w:rPr>
                    <w:t>IUPAC and/or common and/or other names</w:t>
                  </w:r>
                </w:p>
              </w:tc>
              <w:tc>
                <w:tcPr>
                  <w:tcW w:w="5538" w:type="dxa"/>
                </w:tcPr>
                <w:p w14:paraId="062F9CE5" w14:textId="77777777" w:rsidR="001E258A" w:rsidRPr="00F97954" w:rsidRDefault="001E258A" w:rsidP="001E258A">
                  <w:pPr>
                    <w:rPr>
                      <w:sz w:val="20"/>
                      <w:szCs w:val="20"/>
                    </w:rPr>
                  </w:pPr>
                  <w:r w:rsidRPr="00F97954">
                    <w:rPr>
                      <w:sz w:val="20"/>
                      <w:szCs w:val="20"/>
                    </w:rPr>
                    <w:t>Pelargonic acid (INCI)</w:t>
                  </w:r>
                </w:p>
                <w:p w14:paraId="6BA2C379" w14:textId="77777777" w:rsidR="001E258A" w:rsidRPr="00F97954" w:rsidRDefault="001E258A" w:rsidP="001E258A">
                  <w:pPr>
                    <w:rPr>
                      <w:sz w:val="20"/>
                      <w:szCs w:val="20"/>
                    </w:rPr>
                  </w:pPr>
                  <w:r w:rsidRPr="00F97954">
                    <w:rPr>
                      <w:sz w:val="20"/>
                      <w:szCs w:val="20"/>
                    </w:rPr>
                    <w:t>Nonoic acid</w:t>
                  </w:r>
                </w:p>
              </w:tc>
            </w:tr>
          </w:tbl>
          <w:p w14:paraId="3A9E54C5" w14:textId="76BE6475" w:rsidR="001E258A" w:rsidRDefault="001E258A" w:rsidP="00396360">
            <w:pPr>
              <w:pStyle w:val="TableTitle"/>
              <w:keepNext/>
              <w:keepLines/>
              <w:spacing w:before="240"/>
            </w:pPr>
            <w:r w:rsidRPr="00817ACC">
              <w:t>Table 2: Acute toxicity end-points for nonanoic</w:t>
            </w:r>
            <w:r w:rsidRPr="00030766">
              <w:t xml:space="preserve"> acid</w:t>
            </w:r>
          </w:p>
          <w:tbl>
            <w:tblPr>
              <w:tblStyle w:val="TableTGAblue"/>
              <w:tblW w:w="0" w:type="auto"/>
              <w:tblLook w:val="04A0" w:firstRow="1" w:lastRow="0" w:firstColumn="1" w:lastColumn="0" w:noHBand="0" w:noVBand="1"/>
            </w:tblPr>
            <w:tblGrid>
              <w:gridCol w:w="2144"/>
              <w:gridCol w:w="1296"/>
              <w:gridCol w:w="2332"/>
              <w:gridCol w:w="2093"/>
              <w:gridCol w:w="1527"/>
            </w:tblGrid>
            <w:tr w:rsidR="001012A2" w14:paraId="04E38CCB" w14:textId="77777777" w:rsidTr="001012A2">
              <w:trPr>
                <w:cnfStyle w:val="100000000000" w:firstRow="1" w:lastRow="0" w:firstColumn="0" w:lastColumn="0" w:oddVBand="0" w:evenVBand="0" w:oddHBand="0" w:evenHBand="0" w:firstRowFirstColumn="0" w:firstRowLastColumn="0" w:lastRowFirstColumn="0" w:lastRowLastColumn="0"/>
                <w:tblHeader/>
              </w:trPr>
              <w:tc>
                <w:tcPr>
                  <w:tcW w:w="2208" w:type="dxa"/>
                </w:tcPr>
                <w:p w14:paraId="53A73186" w14:textId="7FE33386" w:rsidR="001012A2" w:rsidRPr="001012A2" w:rsidRDefault="001012A2" w:rsidP="001012A2">
                  <w:pPr>
                    <w:keepNext/>
                    <w:keepLines/>
                    <w:rPr>
                      <w:sz w:val="20"/>
                      <w:szCs w:val="20"/>
                    </w:rPr>
                  </w:pPr>
                  <w:r w:rsidRPr="001012A2">
                    <w:rPr>
                      <w:sz w:val="20"/>
                      <w:szCs w:val="20"/>
                    </w:rPr>
                    <w:t>Toxicity</w:t>
                  </w:r>
                </w:p>
              </w:tc>
              <w:tc>
                <w:tcPr>
                  <w:tcW w:w="1326" w:type="dxa"/>
                </w:tcPr>
                <w:p w14:paraId="5023CE1A" w14:textId="14BCC11F" w:rsidR="001012A2" w:rsidRPr="001012A2" w:rsidRDefault="001012A2" w:rsidP="001012A2">
                  <w:pPr>
                    <w:rPr>
                      <w:sz w:val="20"/>
                      <w:szCs w:val="20"/>
                    </w:rPr>
                  </w:pPr>
                  <w:r w:rsidRPr="001012A2">
                    <w:rPr>
                      <w:sz w:val="20"/>
                      <w:szCs w:val="20"/>
                    </w:rPr>
                    <w:t>Species</w:t>
                  </w:r>
                </w:p>
              </w:tc>
              <w:tc>
                <w:tcPr>
                  <w:tcW w:w="2410" w:type="dxa"/>
                </w:tcPr>
                <w:p w14:paraId="08A68EEB" w14:textId="4B7B4643" w:rsidR="001012A2" w:rsidRPr="001012A2" w:rsidRDefault="001012A2" w:rsidP="001012A2">
                  <w:pPr>
                    <w:rPr>
                      <w:sz w:val="20"/>
                      <w:szCs w:val="20"/>
                    </w:rPr>
                  </w:pPr>
                  <w:r w:rsidRPr="001012A2">
                    <w:rPr>
                      <w:sz w:val="20"/>
                      <w:szCs w:val="20"/>
                    </w:rPr>
                    <w:t>Previous Endpoint conclusions for nonanoic acid</w:t>
                  </w:r>
                </w:p>
              </w:tc>
              <w:tc>
                <w:tcPr>
                  <w:tcW w:w="2141" w:type="dxa"/>
                </w:tcPr>
                <w:p w14:paraId="78C58E2E" w14:textId="0BCB7BD3" w:rsidR="001012A2" w:rsidRPr="001012A2" w:rsidRDefault="001012A2" w:rsidP="001012A2">
                  <w:pPr>
                    <w:rPr>
                      <w:color w:val="EFF4DF" w:themeColor="background1" w:themeTint="33"/>
                      <w:sz w:val="20"/>
                      <w:szCs w:val="20"/>
                    </w:rPr>
                  </w:pPr>
                  <w:r w:rsidRPr="001012A2">
                    <w:rPr>
                      <w:rFonts w:asciiTheme="minorHAnsi" w:hAnsiTheme="minorHAnsi"/>
                      <w:color w:val="auto"/>
                      <w:sz w:val="20"/>
                      <w:szCs w:val="20"/>
                      <w:highlight w:val="black"/>
                    </w:rPr>
                    <w:t>XXXXXXX XXXXXXX</w:t>
                  </w:r>
                  <w:r w:rsidRPr="001012A2">
                    <w:rPr>
                      <w:rFonts w:asciiTheme="minorHAnsi" w:hAnsiTheme="minorHAnsi"/>
                      <w:color w:val="EFF4DF" w:themeColor="background1" w:themeTint="33"/>
                      <w:sz w:val="20"/>
                      <w:szCs w:val="20"/>
                      <w:highlight w:val="black"/>
                    </w:rPr>
                    <w:t xml:space="preserve"> </w:t>
                  </w:r>
                  <w:r w:rsidRPr="001012A2">
                    <w:rPr>
                      <w:rFonts w:asciiTheme="minorHAnsi" w:hAnsiTheme="minorHAnsi"/>
                      <w:color w:val="EFF4DF" w:themeColor="background1" w:themeTint="33"/>
                      <w:sz w:val="20"/>
                      <w:szCs w:val="20"/>
                    </w:rPr>
                    <w:t>Herbicide</w:t>
                  </w:r>
                </w:p>
              </w:tc>
              <w:tc>
                <w:tcPr>
                  <w:tcW w:w="1533" w:type="dxa"/>
                </w:tcPr>
                <w:p w14:paraId="4DEC7F7C" w14:textId="6DE39781" w:rsidR="001012A2" w:rsidRPr="001012A2" w:rsidRDefault="001012A2" w:rsidP="001012A2">
                  <w:pPr>
                    <w:rPr>
                      <w:color w:val="EFF4DF" w:themeColor="background1" w:themeTint="33"/>
                      <w:sz w:val="20"/>
                      <w:szCs w:val="20"/>
                    </w:rPr>
                  </w:pPr>
                  <w:r w:rsidRPr="001012A2">
                    <w:rPr>
                      <w:rFonts w:asciiTheme="minorHAnsi" w:hAnsiTheme="minorHAnsi"/>
                      <w:color w:val="EFF4DF" w:themeColor="background1" w:themeTint="33"/>
                      <w:sz w:val="20"/>
                      <w:szCs w:val="20"/>
                    </w:rPr>
                    <w:t xml:space="preserve">SPF (2018) Classification for </w:t>
                  </w:r>
                  <w:r w:rsidRPr="001012A2">
                    <w:rPr>
                      <w:rFonts w:asciiTheme="minorHAnsi" w:hAnsiTheme="minorHAnsi"/>
                      <w:color w:val="auto"/>
                      <w:sz w:val="20"/>
                      <w:szCs w:val="20"/>
                      <w:highlight w:val="black"/>
                    </w:rPr>
                    <w:t xml:space="preserve">XXXXXXX XXXXXXX </w:t>
                  </w:r>
                  <w:r w:rsidRPr="001012A2">
                    <w:rPr>
                      <w:rFonts w:asciiTheme="minorHAnsi" w:hAnsiTheme="minorHAnsi"/>
                      <w:color w:val="EFF4DF" w:themeColor="background1" w:themeTint="33"/>
                      <w:sz w:val="20"/>
                      <w:szCs w:val="20"/>
                    </w:rPr>
                    <w:t>Herbicide</w:t>
                  </w:r>
                </w:p>
              </w:tc>
            </w:tr>
            <w:tr w:rsidR="001012A2" w14:paraId="0A00ACEA" w14:textId="77777777" w:rsidTr="001012A2">
              <w:tc>
                <w:tcPr>
                  <w:tcW w:w="2208" w:type="dxa"/>
                </w:tcPr>
                <w:p w14:paraId="289D0BEF" w14:textId="666C7CE2" w:rsidR="001012A2" w:rsidRPr="001012A2" w:rsidRDefault="001012A2" w:rsidP="001012A2">
                  <w:pPr>
                    <w:keepNext/>
                    <w:keepLines/>
                    <w:rPr>
                      <w:sz w:val="20"/>
                      <w:szCs w:val="20"/>
                    </w:rPr>
                  </w:pPr>
                  <w:r w:rsidRPr="001012A2">
                    <w:rPr>
                      <w:sz w:val="20"/>
                      <w:szCs w:val="20"/>
                    </w:rPr>
                    <w:t>Acute oral toxicity</w:t>
                  </w:r>
                </w:p>
              </w:tc>
              <w:tc>
                <w:tcPr>
                  <w:tcW w:w="1326" w:type="dxa"/>
                </w:tcPr>
                <w:p w14:paraId="2BDF8E8A" w14:textId="6AFFD878" w:rsidR="001012A2" w:rsidRPr="001012A2" w:rsidRDefault="001012A2" w:rsidP="001012A2">
                  <w:pPr>
                    <w:rPr>
                      <w:sz w:val="20"/>
                      <w:szCs w:val="20"/>
                    </w:rPr>
                  </w:pPr>
                  <w:r w:rsidRPr="001012A2">
                    <w:rPr>
                      <w:sz w:val="20"/>
                      <w:szCs w:val="20"/>
                    </w:rPr>
                    <w:t>Rat</w:t>
                  </w:r>
                </w:p>
              </w:tc>
              <w:tc>
                <w:tcPr>
                  <w:tcW w:w="2410" w:type="dxa"/>
                </w:tcPr>
                <w:p w14:paraId="3A6C1F3F" w14:textId="742062C9" w:rsidR="001012A2" w:rsidRPr="001012A2" w:rsidRDefault="001012A2" w:rsidP="001012A2">
                  <w:pPr>
                    <w:rPr>
                      <w:sz w:val="20"/>
                      <w:szCs w:val="20"/>
                    </w:rPr>
                  </w:pPr>
                  <w:r w:rsidRPr="001012A2">
                    <w:rPr>
                      <w:sz w:val="20"/>
                      <w:szCs w:val="20"/>
                    </w:rPr>
                    <w:t>LD50 &gt;2000 mg/kg bw</w:t>
                  </w:r>
                </w:p>
              </w:tc>
              <w:tc>
                <w:tcPr>
                  <w:tcW w:w="2141" w:type="dxa"/>
                </w:tcPr>
                <w:p w14:paraId="60F788EE" w14:textId="197AA824" w:rsidR="001012A2" w:rsidRPr="001012A2" w:rsidRDefault="001012A2" w:rsidP="001012A2">
                  <w:pPr>
                    <w:rPr>
                      <w:sz w:val="20"/>
                      <w:szCs w:val="20"/>
                    </w:rPr>
                  </w:pPr>
                  <w:r w:rsidRPr="001012A2">
                    <w:rPr>
                      <w:sz w:val="20"/>
                      <w:szCs w:val="20"/>
                    </w:rPr>
                    <w:t>LD50 &gt;2000 mg/kg bw (estimated)</w:t>
                  </w:r>
                </w:p>
              </w:tc>
              <w:tc>
                <w:tcPr>
                  <w:tcW w:w="1533" w:type="dxa"/>
                </w:tcPr>
                <w:p w14:paraId="134CF286" w14:textId="11912EF1" w:rsidR="001012A2" w:rsidRPr="001012A2" w:rsidRDefault="001012A2" w:rsidP="001012A2">
                  <w:pPr>
                    <w:rPr>
                      <w:sz w:val="20"/>
                      <w:szCs w:val="20"/>
                    </w:rPr>
                  </w:pPr>
                  <w:r w:rsidRPr="001012A2">
                    <w:rPr>
                      <w:sz w:val="20"/>
                      <w:szCs w:val="20"/>
                    </w:rPr>
                    <w:t>-</w:t>
                  </w:r>
                </w:p>
              </w:tc>
            </w:tr>
            <w:tr w:rsidR="001012A2" w14:paraId="7DC06356" w14:textId="77777777" w:rsidTr="001012A2">
              <w:tc>
                <w:tcPr>
                  <w:tcW w:w="2208" w:type="dxa"/>
                </w:tcPr>
                <w:p w14:paraId="56F64341" w14:textId="3CABE818" w:rsidR="001012A2" w:rsidRPr="001012A2" w:rsidRDefault="001012A2" w:rsidP="001012A2">
                  <w:pPr>
                    <w:keepNext/>
                    <w:keepLines/>
                    <w:rPr>
                      <w:sz w:val="20"/>
                      <w:szCs w:val="20"/>
                    </w:rPr>
                  </w:pPr>
                  <w:r w:rsidRPr="001012A2">
                    <w:rPr>
                      <w:sz w:val="20"/>
                      <w:szCs w:val="20"/>
                    </w:rPr>
                    <w:t>Acute dermal toxicity</w:t>
                  </w:r>
                </w:p>
              </w:tc>
              <w:tc>
                <w:tcPr>
                  <w:tcW w:w="1326" w:type="dxa"/>
                </w:tcPr>
                <w:p w14:paraId="407F01EF" w14:textId="51B46B15" w:rsidR="001012A2" w:rsidRPr="001012A2" w:rsidRDefault="001012A2" w:rsidP="001012A2">
                  <w:pPr>
                    <w:rPr>
                      <w:sz w:val="20"/>
                      <w:szCs w:val="20"/>
                    </w:rPr>
                  </w:pPr>
                  <w:r w:rsidRPr="001012A2">
                    <w:rPr>
                      <w:sz w:val="20"/>
                      <w:szCs w:val="20"/>
                    </w:rPr>
                    <w:t>Rat</w:t>
                  </w:r>
                </w:p>
              </w:tc>
              <w:tc>
                <w:tcPr>
                  <w:tcW w:w="2410" w:type="dxa"/>
                </w:tcPr>
                <w:p w14:paraId="637A0830" w14:textId="117CDD33" w:rsidR="001012A2" w:rsidRPr="001012A2" w:rsidRDefault="001012A2" w:rsidP="001012A2">
                  <w:pPr>
                    <w:rPr>
                      <w:sz w:val="20"/>
                      <w:szCs w:val="20"/>
                    </w:rPr>
                  </w:pPr>
                  <w:r w:rsidRPr="001012A2">
                    <w:rPr>
                      <w:sz w:val="20"/>
                      <w:szCs w:val="20"/>
                    </w:rPr>
                    <w:t>LD50 &gt;2000 mg/kg bw</w:t>
                  </w:r>
                </w:p>
              </w:tc>
              <w:tc>
                <w:tcPr>
                  <w:tcW w:w="2141" w:type="dxa"/>
                </w:tcPr>
                <w:p w14:paraId="5B98F586" w14:textId="7E3E9576" w:rsidR="001012A2" w:rsidRPr="001012A2" w:rsidRDefault="001012A2" w:rsidP="001012A2">
                  <w:pPr>
                    <w:rPr>
                      <w:sz w:val="20"/>
                      <w:szCs w:val="20"/>
                    </w:rPr>
                  </w:pPr>
                  <w:r w:rsidRPr="001012A2">
                    <w:rPr>
                      <w:sz w:val="20"/>
                      <w:szCs w:val="20"/>
                    </w:rPr>
                    <w:t>LD50 &gt;2000 mg/kg bw (estimated)</w:t>
                  </w:r>
                </w:p>
              </w:tc>
              <w:tc>
                <w:tcPr>
                  <w:tcW w:w="1533" w:type="dxa"/>
                </w:tcPr>
                <w:p w14:paraId="160FF897" w14:textId="41F8C8F4" w:rsidR="001012A2" w:rsidRPr="001012A2" w:rsidRDefault="001012A2" w:rsidP="001012A2">
                  <w:pPr>
                    <w:rPr>
                      <w:sz w:val="20"/>
                      <w:szCs w:val="20"/>
                    </w:rPr>
                  </w:pPr>
                  <w:r w:rsidRPr="001012A2">
                    <w:rPr>
                      <w:sz w:val="20"/>
                      <w:szCs w:val="20"/>
                    </w:rPr>
                    <w:t>Schedule 5</w:t>
                  </w:r>
                </w:p>
              </w:tc>
            </w:tr>
            <w:tr w:rsidR="001012A2" w14:paraId="07E01C89" w14:textId="77777777" w:rsidTr="001012A2">
              <w:tc>
                <w:tcPr>
                  <w:tcW w:w="2208" w:type="dxa"/>
                </w:tcPr>
                <w:p w14:paraId="58AFDA12" w14:textId="4A58D748" w:rsidR="001012A2" w:rsidRPr="001012A2" w:rsidRDefault="001012A2" w:rsidP="001012A2">
                  <w:pPr>
                    <w:keepNext/>
                    <w:keepLines/>
                    <w:rPr>
                      <w:sz w:val="20"/>
                      <w:szCs w:val="20"/>
                    </w:rPr>
                  </w:pPr>
                  <w:r w:rsidRPr="001012A2">
                    <w:rPr>
                      <w:sz w:val="20"/>
                      <w:szCs w:val="20"/>
                    </w:rPr>
                    <w:lastRenderedPageBreak/>
                    <w:t>Acute inhalational toxicity</w:t>
                  </w:r>
                </w:p>
              </w:tc>
              <w:tc>
                <w:tcPr>
                  <w:tcW w:w="1326" w:type="dxa"/>
                </w:tcPr>
                <w:p w14:paraId="6D4DB9E1" w14:textId="522C2ED3" w:rsidR="001012A2" w:rsidRPr="001012A2" w:rsidRDefault="001012A2" w:rsidP="001012A2">
                  <w:pPr>
                    <w:rPr>
                      <w:sz w:val="20"/>
                      <w:szCs w:val="20"/>
                    </w:rPr>
                  </w:pPr>
                  <w:r w:rsidRPr="001012A2">
                    <w:rPr>
                      <w:sz w:val="20"/>
                      <w:szCs w:val="20"/>
                    </w:rPr>
                    <w:t>Rat</w:t>
                  </w:r>
                </w:p>
              </w:tc>
              <w:tc>
                <w:tcPr>
                  <w:tcW w:w="2410" w:type="dxa"/>
                </w:tcPr>
                <w:p w14:paraId="59E0E8AB" w14:textId="040D2E6C" w:rsidR="001012A2" w:rsidRPr="001012A2" w:rsidRDefault="001012A2" w:rsidP="001012A2">
                  <w:pPr>
                    <w:rPr>
                      <w:sz w:val="20"/>
                      <w:szCs w:val="20"/>
                    </w:rPr>
                  </w:pPr>
                  <w:r w:rsidRPr="001012A2">
                    <w:rPr>
                      <w:sz w:val="20"/>
                      <w:szCs w:val="20"/>
                    </w:rPr>
                    <w:t>LC50 &gt;5300 mg/m3 (whole body; 4-h)</w:t>
                  </w:r>
                </w:p>
              </w:tc>
              <w:tc>
                <w:tcPr>
                  <w:tcW w:w="2141" w:type="dxa"/>
                </w:tcPr>
                <w:p w14:paraId="244AD2BF" w14:textId="08BA8994" w:rsidR="001012A2" w:rsidRPr="001012A2" w:rsidRDefault="001012A2" w:rsidP="001012A2">
                  <w:pPr>
                    <w:rPr>
                      <w:sz w:val="20"/>
                      <w:szCs w:val="20"/>
                    </w:rPr>
                  </w:pPr>
                  <w:r w:rsidRPr="001012A2">
                    <w:rPr>
                      <w:sz w:val="20"/>
                      <w:szCs w:val="20"/>
                    </w:rPr>
                    <w:t>LC50 &gt;5000 mg/m3(whole body; 4-h) (estimated)</w:t>
                  </w:r>
                </w:p>
              </w:tc>
              <w:tc>
                <w:tcPr>
                  <w:tcW w:w="1533" w:type="dxa"/>
                </w:tcPr>
                <w:p w14:paraId="6583AF11" w14:textId="773CA9E9" w:rsidR="001012A2" w:rsidRPr="001012A2" w:rsidRDefault="001012A2" w:rsidP="001012A2">
                  <w:pPr>
                    <w:rPr>
                      <w:sz w:val="20"/>
                      <w:szCs w:val="20"/>
                    </w:rPr>
                  </w:pPr>
                  <w:r w:rsidRPr="001012A2">
                    <w:rPr>
                      <w:sz w:val="20"/>
                      <w:szCs w:val="20"/>
                    </w:rPr>
                    <w:t>-</w:t>
                  </w:r>
                </w:p>
              </w:tc>
            </w:tr>
            <w:tr w:rsidR="001012A2" w14:paraId="3B124DB5" w14:textId="77777777" w:rsidTr="001012A2">
              <w:tc>
                <w:tcPr>
                  <w:tcW w:w="2208" w:type="dxa"/>
                </w:tcPr>
                <w:p w14:paraId="3BB362D3" w14:textId="6D4405DB" w:rsidR="001012A2" w:rsidRPr="001012A2" w:rsidRDefault="001012A2" w:rsidP="001012A2">
                  <w:pPr>
                    <w:keepNext/>
                    <w:keepLines/>
                    <w:rPr>
                      <w:sz w:val="20"/>
                      <w:szCs w:val="20"/>
                    </w:rPr>
                  </w:pPr>
                  <w:r w:rsidRPr="001012A2">
                    <w:rPr>
                      <w:sz w:val="20"/>
                      <w:szCs w:val="20"/>
                    </w:rPr>
                    <w:t>Skin irritation</w:t>
                  </w:r>
                </w:p>
              </w:tc>
              <w:tc>
                <w:tcPr>
                  <w:tcW w:w="1326" w:type="dxa"/>
                </w:tcPr>
                <w:p w14:paraId="6BE31530" w14:textId="65A1A502" w:rsidR="001012A2" w:rsidRPr="001012A2" w:rsidRDefault="001012A2" w:rsidP="001012A2">
                  <w:pPr>
                    <w:rPr>
                      <w:sz w:val="20"/>
                      <w:szCs w:val="20"/>
                    </w:rPr>
                  </w:pPr>
                  <w:r w:rsidRPr="001012A2">
                    <w:rPr>
                      <w:sz w:val="20"/>
                      <w:szCs w:val="20"/>
                    </w:rPr>
                    <w:t>Rabbit</w:t>
                  </w:r>
                </w:p>
              </w:tc>
              <w:tc>
                <w:tcPr>
                  <w:tcW w:w="2410" w:type="dxa"/>
                </w:tcPr>
                <w:p w14:paraId="01B0B8CB" w14:textId="054420B6" w:rsidR="001012A2" w:rsidRPr="001012A2" w:rsidRDefault="001012A2" w:rsidP="001012A2">
                  <w:pPr>
                    <w:rPr>
                      <w:sz w:val="20"/>
                      <w:szCs w:val="20"/>
                    </w:rPr>
                  </w:pPr>
                  <w:r w:rsidRPr="001012A2">
                    <w:rPr>
                      <w:sz w:val="20"/>
                      <w:szCs w:val="20"/>
                    </w:rPr>
                    <w:t>Irritating</w:t>
                  </w:r>
                </w:p>
              </w:tc>
              <w:tc>
                <w:tcPr>
                  <w:tcW w:w="2141" w:type="dxa"/>
                </w:tcPr>
                <w:p w14:paraId="73ADFC04" w14:textId="21A79792" w:rsidR="001012A2" w:rsidRPr="001012A2" w:rsidRDefault="001012A2" w:rsidP="001012A2">
                  <w:pPr>
                    <w:rPr>
                      <w:sz w:val="20"/>
                      <w:szCs w:val="20"/>
                    </w:rPr>
                  </w:pPr>
                  <w:r w:rsidRPr="001012A2">
                    <w:rPr>
                      <w:sz w:val="20"/>
                      <w:szCs w:val="20"/>
                    </w:rPr>
                    <w:t>Slight (estimated)</w:t>
                  </w:r>
                </w:p>
              </w:tc>
              <w:tc>
                <w:tcPr>
                  <w:tcW w:w="1533" w:type="dxa"/>
                </w:tcPr>
                <w:p w14:paraId="74AA0F1A" w14:textId="00DA5C10" w:rsidR="001012A2" w:rsidRPr="001012A2" w:rsidRDefault="001012A2" w:rsidP="001012A2">
                  <w:pPr>
                    <w:rPr>
                      <w:sz w:val="20"/>
                      <w:szCs w:val="20"/>
                    </w:rPr>
                  </w:pPr>
                  <w:r w:rsidRPr="001012A2">
                    <w:rPr>
                      <w:sz w:val="20"/>
                      <w:szCs w:val="20"/>
                    </w:rPr>
                    <w:t>-</w:t>
                  </w:r>
                </w:p>
              </w:tc>
            </w:tr>
            <w:tr w:rsidR="001012A2" w14:paraId="45733CE3" w14:textId="77777777" w:rsidTr="001012A2">
              <w:tc>
                <w:tcPr>
                  <w:tcW w:w="2208" w:type="dxa"/>
                </w:tcPr>
                <w:p w14:paraId="483BFCEF" w14:textId="549816AF" w:rsidR="001012A2" w:rsidRPr="001012A2" w:rsidRDefault="001012A2" w:rsidP="001012A2">
                  <w:pPr>
                    <w:keepNext/>
                    <w:keepLines/>
                    <w:rPr>
                      <w:sz w:val="20"/>
                      <w:szCs w:val="20"/>
                    </w:rPr>
                  </w:pPr>
                  <w:r w:rsidRPr="001012A2">
                    <w:rPr>
                      <w:sz w:val="20"/>
                      <w:szCs w:val="20"/>
                    </w:rPr>
                    <w:t>Eye irritation</w:t>
                  </w:r>
                </w:p>
              </w:tc>
              <w:tc>
                <w:tcPr>
                  <w:tcW w:w="1326" w:type="dxa"/>
                </w:tcPr>
                <w:p w14:paraId="4063310B" w14:textId="25447CBD" w:rsidR="001012A2" w:rsidRPr="001012A2" w:rsidRDefault="001012A2" w:rsidP="001012A2">
                  <w:pPr>
                    <w:rPr>
                      <w:sz w:val="20"/>
                      <w:szCs w:val="20"/>
                    </w:rPr>
                  </w:pPr>
                  <w:r w:rsidRPr="001012A2">
                    <w:rPr>
                      <w:sz w:val="20"/>
                      <w:szCs w:val="20"/>
                    </w:rPr>
                    <w:t>Rabbit</w:t>
                  </w:r>
                </w:p>
              </w:tc>
              <w:tc>
                <w:tcPr>
                  <w:tcW w:w="2410" w:type="dxa"/>
                </w:tcPr>
                <w:p w14:paraId="385D5321" w14:textId="4F7217E8" w:rsidR="001012A2" w:rsidRPr="001012A2" w:rsidRDefault="001012A2" w:rsidP="001012A2">
                  <w:pPr>
                    <w:rPr>
                      <w:sz w:val="20"/>
                      <w:szCs w:val="20"/>
                    </w:rPr>
                  </w:pPr>
                  <w:r w:rsidRPr="001012A2">
                    <w:rPr>
                      <w:sz w:val="20"/>
                      <w:szCs w:val="20"/>
                    </w:rPr>
                    <w:t>Irritating</w:t>
                  </w:r>
                </w:p>
              </w:tc>
              <w:tc>
                <w:tcPr>
                  <w:tcW w:w="2141" w:type="dxa"/>
                </w:tcPr>
                <w:p w14:paraId="6F4AF48C" w14:textId="670BF06D" w:rsidR="001012A2" w:rsidRPr="001012A2" w:rsidRDefault="001012A2" w:rsidP="001012A2">
                  <w:pPr>
                    <w:rPr>
                      <w:sz w:val="20"/>
                      <w:szCs w:val="20"/>
                    </w:rPr>
                  </w:pPr>
                  <w:r w:rsidRPr="001012A2">
                    <w:rPr>
                      <w:sz w:val="20"/>
                      <w:szCs w:val="20"/>
                    </w:rPr>
                    <w:t>Moderately irritating</w:t>
                  </w:r>
                </w:p>
              </w:tc>
              <w:tc>
                <w:tcPr>
                  <w:tcW w:w="1533" w:type="dxa"/>
                </w:tcPr>
                <w:p w14:paraId="29949DB7" w14:textId="50137AEF" w:rsidR="001012A2" w:rsidRPr="001012A2" w:rsidRDefault="001012A2" w:rsidP="001012A2">
                  <w:pPr>
                    <w:rPr>
                      <w:sz w:val="20"/>
                      <w:szCs w:val="20"/>
                    </w:rPr>
                  </w:pPr>
                  <w:r w:rsidRPr="001012A2">
                    <w:rPr>
                      <w:sz w:val="20"/>
                      <w:szCs w:val="20"/>
                    </w:rPr>
                    <w:t>Schedule 6</w:t>
                  </w:r>
                </w:p>
              </w:tc>
            </w:tr>
            <w:tr w:rsidR="001012A2" w14:paraId="6B91C42D" w14:textId="77777777" w:rsidTr="001012A2">
              <w:tc>
                <w:tcPr>
                  <w:tcW w:w="2208" w:type="dxa"/>
                </w:tcPr>
                <w:p w14:paraId="5B81F0ED" w14:textId="37CB9CAB" w:rsidR="001012A2" w:rsidRPr="001012A2" w:rsidRDefault="001012A2" w:rsidP="001012A2">
                  <w:pPr>
                    <w:keepNext/>
                    <w:keepLines/>
                    <w:rPr>
                      <w:sz w:val="20"/>
                      <w:szCs w:val="20"/>
                    </w:rPr>
                  </w:pPr>
                  <w:r w:rsidRPr="001012A2">
                    <w:rPr>
                      <w:sz w:val="20"/>
                      <w:szCs w:val="20"/>
                    </w:rPr>
                    <w:t>Skin sensitisation (Buehler)</w:t>
                  </w:r>
                </w:p>
              </w:tc>
              <w:tc>
                <w:tcPr>
                  <w:tcW w:w="1326" w:type="dxa"/>
                </w:tcPr>
                <w:p w14:paraId="2304889E" w14:textId="22BB4BDF" w:rsidR="001012A2" w:rsidRPr="001012A2" w:rsidRDefault="001012A2" w:rsidP="001012A2">
                  <w:pPr>
                    <w:rPr>
                      <w:sz w:val="20"/>
                      <w:szCs w:val="20"/>
                    </w:rPr>
                  </w:pPr>
                  <w:r w:rsidRPr="001012A2">
                    <w:rPr>
                      <w:sz w:val="20"/>
                      <w:szCs w:val="20"/>
                    </w:rPr>
                    <w:t xml:space="preserve">Guinea pig </w:t>
                  </w:r>
                </w:p>
              </w:tc>
              <w:tc>
                <w:tcPr>
                  <w:tcW w:w="2410" w:type="dxa"/>
                </w:tcPr>
                <w:p w14:paraId="7FF9EB0A" w14:textId="065A5E3E" w:rsidR="001012A2" w:rsidRPr="001012A2" w:rsidRDefault="001012A2" w:rsidP="001012A2">
                  <w:pPr>
                    <w:rPr>
                      <w:sz w:val="20"/>
                      <w:szCs w:val="20"/>
                    </w:rPr>
                  </w:pPr>
                  <w:r w:rsidRPr="001012A2">
                    <w:rPr>
                      <w:sz w:val="20"/>
                      <w:szCs w:val="20"/>
                    </w:rPr>
                    <w:t>Non-sensitiser5</w:t>
                  </w:r>
                </w:p>
              </w:tc>
              <w:tc>
                <w:tcPr>
                  <w:tcW w:w="2141" w:type="dxa"/>
                </w:tcPr>
                <w:p w14:paraId="31BAD013" w14:textId="53DE14CA" w:rsidR="001012A2" w:rsidRPr="001012A2" w:rsidRDefault="001012A2" w:rsidP="001012A2">
                  <w:pPr>
                    <w:rPr>
                      <w:sz w:val="20"/>
                      <w:szCs w:val="20"/>
                    </w:rPr>
                  </w:pPr>
                  <w:r w:rsidRPr="001012A2">
                    <w:rPr>
                      <w:sz w:val="20"/>
                      <w:szCs w:val="20"/>
                    </w:rPr>
                    <w:t>Non-sensitiser (estimated)</w:t>
                  </w:r>
                </w:p>
              </w:tc>
              <w:tc>
                <w:tcPr>
                  <w:tcW w:w="1533" w:type="dxa"/>
                </w:tcPr>
                <w:p w14:paraId="66CD430A" w14:textId="09D05FEE" w:rsidR="001012A2" w:rsidRPr="001012A2" w:rsidRDefault="001012A2" w:rsidP="001012A2">
                  <w:pPr>
                    <w:rPr>
                      <w:sz w:val="20"/>
                      <w:szCs w:val="20"/>
                    </w:rPr>
                  </w:pPr>
                  <w:r w:rsidRPr="001012A2">
                    <w:rPr>
                      <w:sz w:val="20"/>
                      <w:szCs w:val="20"/>
                    </w:rPr>
                    <w:t>-</w:t>
                  </w:r>
                </w:p>
              </w:tc>
            </w:tr>
          </w:tbl>
          <w:p w14:paraId="55173923" w14:textId="6DFFD7EC" w:rsidR="001E258A" w:rsidRPr="00AC15D8" w:rsidRDefault="001E258A" w:rsidP="00396360">
            <w:pPr>
              <w:pStyle w:val="Heading4"/>
            </w:pPr>
            <w:r w:rsidRPr="00AC15D8">
              <w:t>Reasons for final decisi</w:t>
            </w:r>
            <w:r w:rsidR="001012A2">
              <w:t>on</w:t>
            </w:r>
          </w:p>
          <w:p w14:paraId="76F7E2C1" w14:textId="77777777" w:rsidR="001E258A" w:rsidRDefault="001E258A" w:rsidP="001012A2">
            <w:r w:rsidRPr="00480169">
              <w:t>In determining that this matter will be a delegate-only decision I have taken into account the information provided in the application from the Applicant</w:t>
            </w:r>
            <w:r>
              <w:t xml:space="preserve"> (APVMA</w:t>
            </w:r>
            <w:r w:rsidRPr="00480169">
              <w:t xml:space="preserve">), and the matters outlined under Section 52E of the </w:t>
            </w:r>
            <w:r>
              <w:rPr>
                <w:i/>
              </w:rPr>
              <w:t>Therapeutic Goods Act 1989</w:t>
            </w:r>
            <w:r w:rsidRPr="00480169">
              <w:t xml:space="preserve"> and the Scheduling Policy Framework (</w:t>
            </w:r>
            <w:r>
              <w:t xml:space="preserve">SPF, </w:t>
            </w:r>
            <w:r w:rsidRPr="00480169">
              <w:t>20</w:t>
            </w:r>
            <w:r>
              <w:t>18). In particular, I note that:</w:t>
            </w:r>
          </w:p>
          <w:p w14:paraId="1EC30DA9" w14:textId="77777777" w:rsidR="001E258A" w:rsidRDefault="001E258A" w:rsidP="001012A2">
            <w:pPr>
              <w:pStyle w:val="ListBullet"/>
            </w:pPr>
            <w:r w:rsidRPr="00230CF7">
              <w:t>The proposed change to the Poisons Standard for the Schedule 5 entry for nonanoic acid is in response to new toxicity data. These data indicate that there is a risk to human health and safety from the use of this substance in pesticides (herbicides) that is not adequately mitigated by the current exemption in Schedule 5. The new information demonstrates that even low concentrations (ca 1.8%) of nonanoic acid are irritating to the eye and therefore, together with the overall toxicity profile of nonanoic acid, meets the criteria laid out in the SPF (2018) for a Schedule 5 entry without a concentration cut-off. The Applicant (APVMA) has indicated that various agricultural (pesticide) products containing nonanoic acid are currently available for use both commercially and in the home garden, thus highlighting its continued benefit for the agricultural industry. The proposed change is not expected to affect the benefits obtained from the use of agricultural products containing nonanoic acid or in other preparations that contain nonanoic acid (52E(1)(a)).</w:t>
            </w:r>
          </w:p>
          <w:p w14:paraId="3BEFD680" w14:textId="77777777" w:rsidR="001E258A" w:rsidRDefault="001E258A" w:rsidP="001012A2">
            <w:pPr>
              <w:pStyle w:val="ListBullet"/>
            </w:pPr>
            <w:r>
              <w:t>The purpose and extent for which the substance is to be used has been adequately outlined by the Applicant. It has a demonstrable use as a herbicide both alone and in combination with other active constituents (ingredients) in commercial settings and in the home garden. The proposed change to the Schedule 5 entry for nonanoic acid is not expected to significantly alter the registered uses of the substance (52E(1)(b)).</w:t>
            </w:r>
          </w:p>
          <w:p w14:paraId="7B04B8A0" w14:textId="77777777" w:rsidR="001E258A" w:rsidRDefault="001E258A" w:rsidP="001012A2">
            <w:pPr>
              <w:pStyle w:val="ListBullet"/>
            </w:pPr>
            <w:r>
              <w:t>The toxicity of nonanoic acid has been previously considered by a Delegate of the Secretary of the Department of Health (</w:t>
            </w:r>
            <w:hyperlink r:id="rId107" w:history="1">
              <w:r w:rsidRPr="00A03082">
                <w:rPr>
                  <w:rStyle w:val="Hyperlink"/>
                </w:rPr>
                <w:t>Final decision published in June 2016</w:t>
              </w:r>
            </w:hyperlink>
            <w:r>
              <w:t>) in response to an application prepared by the APVMA. Overall, nonanoic acid was found to be of low acute oral, dermal and inhalational toxicity and not a skin sensitiser, but was considered irritating to the eyes and skin. In addition, nonanoic acid was not genotoxic, did not show evidence for carcinogenicity, and was not a reproductive or developmental toxicant. Nonanoic acid has also be found to be irritating to epithelial and mucosal membranes. The current application by the APVMA, provides new information about the potential eye irritation of the substance, via the extrapolation from an eye irritation toxicity study in which a product containing a low concentration of nonanoic acid (ca 1.8%), was shown to be ‘moderately’ irritating to the eyes.  The new data supports the Applicant’s contention that the existing Schedule 5 exemption of 10%, does not adequately protect users of products that produce aerosols. This is particularly important for agricultural products that are routinely applied by spraying. Moreover, the data do not provide an alternative concentration cut-off that could see a lower exemption from Scheduling for agricultural products (52E(1)(c)).</w:t>
            </w:r>
          </w:p>
          <w:p w14:paraId="7F2BC0F1" w14:textId="77777777" w:rsidR="001E258A" w:rsidRDefault="001E258A" w:rsidP="001012A2">
            <w:pPr>
              <w:pStyle w:val="ListBullet"/>
            </w:pPr>
            <w:r>
              <w:t xml:space="preserve">The dosage (application rate), formulation, labelling, packaging and presentation of the substance in agricultural products will largely be unaffected by the proposed change. The only exception would be for products that currently contain 10% or less of nonanoic acid and that do not have any other scheduled substance (active or non-active ingredient/constituent), that </w:t>
            </w:r>
            <w:r>
              <w:lastRenderedPageBreak/>
              <w:t>would now require an applicable Schedule 5 signal heading on its label. The proposed change to the Schedule 5 entry in the Poisons Standard will not affect nonanoic acid-containing products listed under the ARTG (52E(1)(d)).</w:t>
            </w:r>
          </w:p>
          <w:p w14:paraId="4C95D044" w14:textId="77777777" w:rsidR="001E258A" w:rsidRDefault="001E258A" w:rsidP="001012A2">
            <w:pPr>
              <w:pStyle w:val="ListBullet"/>
            </w:pPr>
            <w:r>
              <w:t>There is no information to indicate that the substance could pose a risk to human from abuse of the substance (52E(1)(e)).</w:t>
            </w:r>
          </w:p>
          <w:p w14:paraId="2A639E24" w14:textId="77777777" w:rsidR="001E258A" w:rsidRPr="00F349CB" w:rsidRDefault="001E258A" w:rsidP="001012A2">
            <w:pPr>
              <w:pStyle w:val="ListBullet"/>
            </w:pPr>
            <w:r>
              <w:t>There were no other matters that were considered necessary to protect human health (52E(1)(f)).</w:t>
            </w:r>
          </w:p>
          <w:p w14:paraId="4AB691F6" w14:textId="70E3F988" w:rsidR="001E258A" w:rsidRPr="00AC15D8" w:rsidRDefault="001E258A" w:rsidP="001012A2">
            <w:r w:rsidRPr="002A03D6">
              <w:t xml:space="preserve">Therefore, </w:t>
            </w:r>
            <w:r>
              <w:t>based on the information provided in the application, I have decided to amend the Poisons Standard in the manner set out in the application. The proposed amendment was not referred t</w:t>
            </w:r>
            <w:r w:rsidR="001012A2">
              <w:t>o an expert advisory committee.</w:t>
            </w:r>
          </w:p>
          <w:p w14:paraId="1CDF1BC7" w14:textId="77777777" w:rsidR="005B7704" w:rsidRDefault="005B7704" w:rsidP="001012A2">
            <w:pPr>
              <w:pStyle w:val="Heading4"/>
            </w:pPr>
            <w:r>
              <w:t>D</w:t>
            </w:r>
            <w:r w:rsidRPr="002E13B1">
              <w:t xml:space="preserve">ate of effect of the </w:t>
            </w:r>
            <w:r>
              <w:t>decision</w:t>
            </w:r>
          </w:p>
          <w:p w14:paraId="36397417" w14:textId="3FA86493" w:rsidR="005B7704" w:rsidRPr="001012A2" w:rsidRDefault="00423457" w:rsidP="00FB4ADB">
            <w:sdt>
              <w:sdtPr>
                <w:rPr>
                  <w:b/>
                </w:rPr>
                <w:id w:val="-1450395723"/>
                <w:placeholder>
                  <w:docPart w:val="2B047670FC1A4A5C88863F861EC017A4"/>
                </w:placeholder>
                <w:date w:fullDate="2020-06-01T00:00:00Z">
                  <w:dateFormat w:val="d MMMM yyyy"/>
                  <w:lid w:val="en-AU"/>
                  <w:storeMappedDataAs w:val="dateTime"/>
                  <w:calendar w:val="gregorian"/>
                </w:date>
              </w:sdtPr>
              <w:sdtEndPr/>
              <w:sdtContent>
                <w:r w:rsidR="00E56311" w:rsidRPr="00FB4ADB">
                  <w:rPr>
                    <w:b/>
                  </w:rPr>
                  <w:t>1 June 2020</w:t>
                </w:r>
              </w:sdtContent>
            </w:sdt>
          </w:p>
        </w:tc>
      </w:tr>
    </w:tbl>
    <w:p w14:paraId="0EC4E9DF" w14:textId="371A212D" w:rsidR="00E56311" w:rsidRPr="008036B7" w:rsidRDefault="00E56311" w:rsidP="00BC1FA5">
      <w:pPr>
        <w:pStyle w:val="Heading2"/>
        <w:pageBreakBefore/>
        <w:spacing w:before="0"/>
        <w:ind w:left="357" w:hanging="357"/>
      </w:pPr>
      <w:bookmarkStart w:id="30" w:name="_Toc39587424"/>
      <w:r>
        <w:lastRenderedPageBreak/>
        <w:t xml:space="preserve">Notice of an amendment </w:t>
      </w:r>
      <w:r w:rsidR="00F43AB1">
        <w:t>to</w:t>
      </w:r>
      <w:r>
        <w:t xml:space="preserve"> the current Poisons Standard in relation to Modified-release (MR) paracetamol</w:t>
      </w:r>
      <w:bookmarkEnd w:id="30"/>
    </w:p>
    <w:p w14:paraId="334CC7C2" w14:textId="740FB0E8" w:rsidR="00E56311" w:rsidRDefault="00E56311" w:rsidP="008276C7">
      <w:pPr>
        <w:pStyle w:val="Heading3"/>
      </w:pPr>
      <w:bookmarkStart w:id="31" w:name="_Toc39587425"/>
      <w:r>
        <w:t>D</w:t>
      </w:r>
      <w:r w:rsidRPr="00EE463E">
        <w:t xml:space="preserve">ecision in relation to </w:t>
      </w:r>
      <w:sdt>
        <w:sdtPr>
          <w:id w:val="2023741180"/>
          <w:placeholder>
            <w:docPart w:val="FDBEF64EADA7458799243CB26B94338B"/>
          </w:placeholder>
        </w:sdtPr>
        <w:sdtEndPr/>
        <w:sdtContent>
          <w:r>
            <w:t>modified-release (MR) paracetamol</w:t>
          </w:r>
        </w:sdtContent>
      </w:sdt>
      <w:bookmarkEnd w:id="31"/>
    </w:p>
    <w:tbl>
      <w:tblPr>
        <w:tblStyle w:val="TableGrid"/>
        <w:tblW w:w="0" w:type="auto"/>
        <w:tblLook w:val="04A0" w:firstRow="1" w:lastRow="0" w:firstColumn="1" w:lastColumn="0" w:noHBand="0" w:noVBand="1"/>
      </w:tblPr>
      <w:tblGrid>
        <w:gridCol w:w="9628"/>
      </w:tblGrid>
      <w:tr w:rsidR="00E56311" w14:paraId="2CA2DA6C" w14:textId="77777777" w:rsidTr="00E56311">
        <w:tc>
          <w:tcPr>
            <w:tcW w:w="9854" w:type="dxa"/>
          </w:tcPr>
          <w:p w14:paraId="2FAC8659" w14:textId="28A92E8B" w:rsidR="00E56311" w:rsidRPr="00262FB4" w:rsidRDefault="00E56311" w:rsidP="008276C7">
            <w:r>
              <w:t>A decision has been made to</w:t>
            </w:r>
            <w:r w:rsidRPr="00262FB4">
              <w:t xml:space="preserve"> </w:t>
            </w:r>
            <w:r w:rsidR="00FB4ADB">
              <w:t>amend</w:t>
            </w:r>
            <w:r>
              <w:t xml:space="preserve"> the Schedule 3 and Schedule 4 entries for paracetamol</w:t>
            </w:r>
            <w:r w:rsidR="00C655F9">
              <w:t xml:space="preserve"> in regards to bulk packs of modified release dosage forms</w:t>
            </w:r>
            <w:r>
              <w:t xml:space="preserve">. These changes will come into effect </w:t>
            </w:r>
            <w:r w:rsidR="00C655F9">
              <w:t xml:space="preserve">at the same time as </w:t>
            </w:r>
            <w:r>
              <w:t xml:space="preserve">the </w:t>
            </w:r>
            <w:hyperlink r:id="rId108" w:history="1">
              <w:r w:rsidRPr="007D7B5C">
                <w:rPr>
                  <w:rStyle w:val="Hyperlink"/>
                </w:rPr>
                <w:t>final decision</w:t>
              </w:r>
            </w:hyperlink>
            <w:r>
              <w:t xml:space="preserve"> on </w:t>
            </w:r>
            <w:r w:rsidR="00FB4ADB">
              <w:t>paracetamol (modified release</w:t>
            </w:r>
            <w:r>
              <w:t>)</w:t>
            </w:r>
            <w:r w:rsidR="00C655F9">
              <w:t xml:space="preserve"> published in August 2019</w:t>
            </w:r>
            <w:r>
              <w:t>.</w:t>
            </w:r>
          </w:p>
          <w:p w14:paraId="08AAD45C" w14:textId="43B4918A" w:rsidR="00E56311" w:rsidRPr="009973C8" w:rsidRDefault="00E56311" w:rsidP="00E56311">
            <w:pPr>
              <w:ind w:left="426"/>
              <w:rPr>
                <w:rFonts w:cs="Cambria"/>
                <w:b/>
                <w:szCs w:val="22"/>
              </w:rPr>
            </w:pPr>
            <w:r w:rsidRPr="009973C8">
              <w:rPr>
                <w:rFonts w:cs="Cambria"/>
                <w:b/>
                <w:szCs w:val="22"/>
              </w:rPr>
              <w:t>Schedule 4 –Amend Entry</w:t>
            </w:r>
            <w:r w:rsidR="00A504C7">
              <w:rPr>
                <w:rFonts w:cs="Cambria"/>
                <w:b/>
                <w:szCs w:val="22"/>
              </w:rPr>
              <w:t>*</w:t>
            </w:r>
          </w:p>
          <w:p w14:paraId="1CA1809A" w14:textId="77777777" w:rsidR="00E56311" w:rsidRPr="009973C8" w:rsidRDefault="00E56311" w:rsidP="00E56311">
            <w:pPr>
              <w:ind w:left="426"/>
              <w:rPr>
                <w:szCs w:val="22"/>
              </w:rPr>
            </w:pPr>
            <w:r w:rsidRPr="009973C8">
              <w:rPr>
                <w:szCs w:val="22"/>
              </w:rPr>
              <w:t>PARACETAMOL:</w:t>
            </w:r>
          </w:p>
          <w:p w14:paraId="7ACF49BE" w14:textId="77777777" w:rsidR="00E56311" w:rsidRPr="009973C8" w:rsidRDefault="00E56311" w:rsidP="008276C7">
            <w:pPr>
              <w:pStyle w:val="Numberbullet2"/>
              <w:numPr>
                <w:ilvl w:val="0"/>
                <w:numId w:val="27"/>
              </w:numPr>
              <w:ind w:left="851" w:hanging="425"/>
            </w:pPr>
            <w:r w:rsidRPr="009973C8">
              <w:t xml:space="preserve">when combined with aspirin or salicylamide or any derivative of these substances </w:t>
            </w:r>
            <w:r w:rsidRPr="008276C7">
              <w:rPr>
                <w:b/>
              </w:rPr>
              <w:t>except</w:t>
            </w:r>
            <w:r w:rsidRPr="009973C8">
              <w:t xml:space="preserve"> when separately specified in these Schedules;</w:t>
            </w:r>
          </w:p>
          <w:p w14:paraId="7D4CE7E5" w14:textId="77777777" w:rsidR="00E56311" w:rsidRPr="009973C8" w:rsidRDefault="00E56311" w:rsidP="008276C7">
            <w:pPr>
              <w:pStyle w:val="Numberbullet2"/>
              <w:numPr>
                <w:ilvl w:val="0"/>
                <w:numId w:val="27"/>
              </w:numPr>
              <w:ind w:left="851" w:hanging="425"/>
            </w:pPr>
            <w:r w:rsidRPr="009973C8">
              <w:t>when combined with ibuprofen in a primary pack containing more than 30 dosage units;</w:t>
            </w:r>
          </w:p>
          <w:p w14:paraId="0A692F5C" w14:textId="77777777" w:rsidR="00E56311" w:rsidRPr="00571EC4" w:rsidRDefault="00E56311" w:rsidP="008276C7">
            <w:pPr>
              <w:pStyle w:val="Numberbullet2"/>
              <w:numPr>
                <w:ilvl w:val="0"/>
                <w:numId w:val="27"/>
              </w:numPr>
              <w:ind w:left="851" w:hanging="425"/>
            </w:pPr>
            <w:r w:rsidRPr="00F173D0">
              <w:t xml:space="preserve">in modified release tablets </w:t>
            </w:r>
            <w:r w:rsidRPr="00571EC4">
              <w:t>or capsules containing more than 665 mg paracetamol;</w:t>
            </w:r>
          </w:p>
          <w:p w14:paraId="004A96F2" w14:textId="77777777" w:rsidR="00E56311" w:rsidRPr="00571EC4" w:rsidRDefault="00E56311" w:rsidP="008276C7">
            <w:pPr>
              <w:pStyle w:val="Numberbullet2"/>
              <w:numPr>
                <w:ilvl w:val="0"/>
                <w:numId w:val="27"/>
              </w:numPr>
              <w:ind w:left="851" w:hanging="425"/>
            </w:pPr>
            <w:r w:rsidRPr="00571EC4">
              <w:t xml:space="preserve">in </w:t>
            </w:r>
            <w:r w:rsidRPr="00F173D0">
              <w:t xml:space="preserve">non modified release </w:t>
            </w:r>
            <w:r w:rsidRPr="00571EC4">
              <w:t>tablets or capsules containing more than 500 mg paracetamol;</w:t>
            </w:r>
          </w:p>
          <w:p w14:paraId="488D7012" w14:textId="77777777" w:rsidR="00E56311" w:rsidRPr="009973C8" w:rsidRDefault="00E56311" w:rsidP="008276C7">
            <w:pPr>
              <w:pStyle w:val="Numberbullet2"/>
              <w:numPr>
                <w:ilvl w:val="0"/>
                <w:numId w:val="27"/>
              </w:numPr>
              <w:ind w:left="851" w:hanging="425"/>
            </w:pPr>
            <w:r w:rsidRPr="009973C8">
              <w:t>in individually wrapped powders or sachets of granules each containing more than 1000 mg paracetamol;</w:t>
            </w:r>
          </w:p>
          <w:p w14:paraId="7511382E" w14:textId="77777777" w:rsidR="00E56311" w:rsidRPr="009973C8" w:rsidRDefault="00E56311" w:rsidP="008276C7">
            <w:pPr>
              <w:pStyle w:val="Numberbullet2"/>
              <w:numPr>
                <w:ilvl w:val="0"/>
                <w:numId w:val="27"/>
              </w:numPr>
              <w:ind w:left="851" w:hanging="425"/>
            </w:pPr>
            <w:r w:rsidRPr="009973C8">
              <w:t xml:space="preserve">in tablets or capsules enclosed in a primary pack containing more than 100 tablets or capsules </w:t>
            </w:r>
            <w:r w:rsidRPr="008276C7">
              <w:rPr>
                <w:b/>
              </w:rPr>
              <w:t>except</w:t>
            </w:r>
            <w:r>
              <w:t xml:space="preserve"> in S</w:t>
            </w:r>
            <w:r w:rsidRPr="009973C8">
              <w:t>chedule 2</w:t>
            </w:r>
            <w:r>
              <w:t xml:space="preserve"> </w:t>
            </w:r>
            <w:r w:rsidRPr="008276C7">
              <w:rPr>
                <w:color w:val="FF0000"/>
              </w:rPr>
              <w:t>or 3</w:t>
            </w:r>
            <w:r w:rsidRPr="00F173D0">
              <w:t>;</w:t>
            </w:r>
          </w:p>
          <w:p w14:paraId="30A53C8A" w14:textId="77777777" w:rsidR="00E56311" w:rsidRPr="009973C8" w:rsidRDefault="00E56311" w:rsidP="008276C7">
            <w:pPr>
              <w:pStyle w:val="Numberbullet2"/>
              <w:numPr>
                <w:ilvl w:val="0"/>
                <w:numId w:val="27"/>
              </w:numPr>
              <w:ind w:left="851" w:hanging="425"/>
            </w:pPr>
            <w:r w:rsidRPr="009973C8">
              <w:t xml:space="preserve">in individually wrapped powders or sachets of granules enclosed in a primary pack containing more than 50 wrapped powders or sachets of granules </w:t>
            </w:r>
            <w:r w:rsidRPr="008276C7">
              <w:rPr>
                <w:b/>
              </w:rPr>
              <w:t>except</w:t>
            </w:r>
            <w:r w:rsidRPr="009973C8">
              <w:t xml:space="preserve"> when included in Schedule 2;</w:t>
            </w:r>
          </w:p>
          <w:p w14:paraId="4E104F7A" w14:textId="61B69A20" w:rsidR="00E56311" w:rsidRPr="00FC4564" w:rsidRDefault="00FC4564" w:rsidP="008276C7">
            <w:pPr>
              <w:pStyle w:val="Numberbullet2"/>
              <w:numPr>
                <w:ilvl w:val="0"/>
                <w:numId w:val="27"/>
              </w:numPr>
              <w:ind w:left="851" w:hanging="425"/>
              <w:rPr>
                <w:rFonts w:cs="Cambria"/>
              </w:rPr>
            </w:pPr>
            <w:r>
              <w:t>for injection;</w:t>
            </w:r>
          </w:p>
          <w:p w14:paraId="79C02E8A" w14:textId="58B19273" w:rsidR="00FC4564" w:rsidRPr="00FC4564" w:rsidRDefault="00FC4564" w:rsidP="00FC4564">
            <w:pPr>
              <w:pStyle w:val="Numberbullet2"/>
              <w:numPr>
                <w:ilvl w:val="0"/>
                <w:numId w:val="27"/>
              </w:numPr>
              <w:ind w:left="851" w:hanging="425"/>
              <w:rPr>
                <w:rFonts w:cs="Cambria"/>
              </w:rPr>
            </w:pPr>
            <w:r w:rsidRPr="00FC4564">
              <w:rPr>
                <w:rFonts w:cs="Cambria"/>
              </w:rPr>
              <w:t>for the treatment of animals.</w:t>
            </w:r>
          </w:p>
          <w:p w14:paraId="62C5D0E3" w14:textId="564B2392" w:rsidR="00E56311" w:rsidRPr="009973C8" w:rsidRDefault="00E56311" w:rsidP="00E56311">
            <w:pPr>
              <w:ind w:left="426"/>
              <w:rPr>
                <w:b/>
                <w:szCs w:val="22"/>
              </w:rPr>
            </w:pPr>
            <w:r w:rsidRPr="009973C8">
              <w:rPr>
                <w:b/>
                <w:szCs w:val="22"/>
              </w:rPr>
              <w:t xml:space="preserve">Schedule 3 </w:t>
            </w:r>
            <w:r w:rsidRPr="009973C8">
              <w:rPr>
                <w:rFonts w:cs="Cambria"/>
                <w:b/>
                <w:szCs w:val="22"/>
              </w:rPr>
              <w:t>–Amend Entry</w:t>
            </w:r>
            <w:r w:rsidR="000E79FA">
              <w:rPr>
                <w:rFonts w:cs="Cambria"/>
                <w:b/>
                <w:szCs w:val="22"/>
              </w:rPr>
              <w:t>*</w:t>
            </w:r>
          </w:p>
          <w:p w14:paraId="59EB7EF0" w14:textId="77777777" w:rsidR="00E56311" w:rsidRPr="009973C8" w:rsidRDefault="00E56311" w:rsidP="00E56311">
            <w:pPr>
              <w:ind w:left="426"/>
              <w:rPr>
                <w:szCs w:val="22"/>
              </w:rPr>
            </w:pPr>
            <w:r w:rsidRPr="009973C8">
              <w:rPr>
                <w:szCs w:val="22"/>
              </w:rPr>
              <w:t>PARACETAMOL:</w:t>
            </w:r>
          </w:p>
          <w:p w14:paraId="3A719B4C" w14:textId="21787A48" w:rsidR="00E56311" w:rsidRPr="00FC4564" w:rsidRDefault="00E56311" w:rsidP="00AF329B">
            <w:pPr>
              <w:pStyle w:val="Numberbullet2"/>
              <w:numPr>
                <w:ilvl w:val="0"/>
                <w:numId w:val="30"/>
              </w:numPr>
              <w:ind w:left="851" w:hanging="425"/>
            </w:pPr>
            <w:r w:rsidRPr="00A36C20">
              <w:t xml:space="preserve">when combined with ibuprofen in a primary pack containing 30 dosage units or less </w:t>
            </w:r>
            <w:r w:rsidRPr="00AF329B">
              <w:rPr>
                <w:b/>
              </w:rPr>
              <w:t>except</w:t>
            </w:r>
            <w:r w:rsidRPr="00A36C20">
              <w:t xml:space="preserve"> when included in Schedule 2; </w:t>
            </w:r>
            <w:r w:rsidRPr="00AF329B">
              <w:rPr>
                <w:color w:val="FF0000"/>
              </w:rPr>
              <w:t>or</w:t>
            </w:r>
          </w:p>
          <w:p w14:paraId="335F91D8" w14:textId="2FDD63E6" w:rsidR="00E56311" w:rsidRDefault="00FC4564" w:rsidP="00FC4564">
            <w:pPr>
              <w:pStyle w:val="Numberbullet2red"/>
              <w:numPr>
                <w:ilvl w:val="0"/>
                <w:numId w:val="0"/>
              </w:numPr>
              <w:ind w:left="877" w:hanging="426"/>
            </w:pPr>
            <w:r>
              <w:t xml:space="preserve">(b)  </w:t>
            </w:r>
            <w:r w:rsidR="00E56311" w:rsidRPr="00AF329B">
              <w:t>in modified release tablets or capsules containing 665 mg or less paracetamol enclosed in a primary pack containing not more than 100 tablets or capsules; or</w:t>
            </w:r>
          </w:p>
          <w:p w14:paraId="39B7DCA4" w14:textId="362B33F2" w:rsidR="00FC4564" w:rsidRPr="00AF329B" w:rsidRDefault="00FC4564" w:rsidP="00FC4564">
            <w:pPr>
              <w:pStyle w:val="Numberbullet2red"/>
            </w:pPr>
            <w:r w:rsidRPr="00AF329B">
              <w:t>in modified release tablets or capsules containing 665 mg or less paracetamol enclosed in a primary pack containing more than 100 tablets or capsules intended only as a bulk medicine and labelled 'For dispensing only' and 'This pack is not to be supplied to a patient'.</w:t>
            </w:r>
          </w:p>
          <w:p w14:paraId="5B36C89E" w14:textId="2147A5E2" w:rsidR="000E79FA" w:rsidRPr="00916937" w:rsidRDefault="000E79FA" w:rsidP="000E79FA">
            <w:pPr>
              <w:ind w:left="426"/>
            </w:pPr>
            <w:r>
              <w:t xml:space="preserve">*The proposed amended Schedule 4 and Schedule 3 entries for paracetamol as written includes the </w:t>
            </w:r>
            <w:hyperlink r:id="rId109" w:history="1">
              <w:r w:rsidRPr="00916937">
                <w:rPr>
                  <w:rStyle w:val="Hyperlink"/>
                </w:rPr>
                <w:t>final decision</w:t>
              </w:r>
            </w:hyperlink>
            <w:r>
              <w:rPr>
                <w:rStyle w:val="FootnoteReference"/>
              </w:rPr>
              <w:footnoteReference w:id="72"/>
            </w:r>
            <w:r>
              <w:t xml:space="preserve"> for modified paracetamol that will be implemented 1 June 2020.</w:t>
            </w:r>
          </w:p>
          <w:p w14:paraId="6FF7B005" w14:textId="1BA089C8" w:rsidR="00E56311" w:rsidRPr="00E56311" w:rsidRDefault="00E56311" w:rsidP="008276C7">
            <w:pPr>
              <w:pStyle w:val="Heading4"/>
            </w:pPr>
            <w:r w:rsidRPr="00E56311">
              <w:t xml:space="preserve">Reasons </w:t>
            </w:r>
            <w:r w:rsidR="0073082A">
              <w:t>for the decision</w:t>
            </w:r>
          </w:p>
          <w:p w14:paraId="0C28AAA1" w14:textId="77777777" w:rsidR="00E56311" w:rsidRDefault="00E56311" w:rsidP="008276C7">
            <w:pPr>
              <w:pStyle w:val="ListBullet"/>
            </w:pPr>
            <w:r>
              <w:t xml:space="preserve">Paracetamol, both in immediate and modified released forms, in a primary pack containing more than 100 tablets or capsules is currently captured under Schedule 2 of the Poisons Standard and are required to be labelled </w:t>
            </w:r>
            <w:r w:rsidRPr="00AB125F">
              <w:t>‘For dispensing only’ and ‘This pack is not to be supplied to a patient’</w:t>
            </w:r>
            <w:r>
              <w:t>.</w:t>
            </w:r>
          </w:p>
          <w:p w14:paraId="0F268AE1" w14:textId="77777777" w:rsidR="00E56311" w:rsidRDefault="00E56311" w:rsidP="008276C7">
            <w:pPr>
              <w:pStyle w:val="ListBullet"/>
            </w:pPr>
            <w:r>
              <w:lastRenderedPageBreak/>
              <w:t>Paracetamol, both in immediate and modified released forms, in primary pack containing more than 100 tablets or capsules are used in pharmacies for packing medicine packs and are not directly supplied to patients.</w:t>
            </w:r>
          </w:p>
          <w:p w14:paraId="54AA898B" w14:textId="77777777" w:rsidR="00E56311" w:rsidRDefault="00E56311" w:rsidP="008276C7">
            <w:pPr>
              <w:pStyle w:val="ListBullet"/>
            </w:pPr>
            <w:r>
              <w:t xml:space="preserve">In August 2019, a </w:t>
            </w:r>
            <w:hyperlink r:id="rId110" w:history="1">
              <w:r w:rsidRPr="00FB34CB">
                <w:rPr>
                  <w:rStyle w:val="Hyperlink"/>
                  <w:szCs w:val="22"/>
                </w:rPr>
                <w:t>final decision</w:t>
              </w:r>
            </w:hyperlink>
            <w:r w:rsidRPr="00FB34CB">
              <w:t xml:space="preserve"> </w:t>
            </w:r>
            <w:r>
              <w:t xml:space="preserve">was published that made MR paracetamol a Schedule 3 medicine with an implementation date of 1 June 2020. As written, </w:t>
            </w:r>
            <w:r w:rsidRPr="00AC5560">
              <w:t xml:space="preserve">the </w:t>
            </w:r>
            <w:r w:rsidRPr="00FB34CB">
              <w:rPr>
                <w:szCs w:val="22"/>
              </w:rPr>
              <w:t xml:space="preserve">final decision makes MR paracetamol </w:t>
            </w:r>
            <w:r>
              <w:t xml:space="preserve">in a primary pack containing more than 100 tablets or capsules a Schedule 4 medicine. </w:t>
            </w:r>
            <w:r w:rsidRPr="00AC5560">
              <w:t xml:space="preserve">It was not the intention </w:t>
            </w:r>
            <w:r>
              <w:t>of the final decision t</w:t>
            </w:r>
            <w:r w:rsidRPr="00AC5560">
              <w:t>o make bulk pack</w:t>
            </w:r>
            <w:r>
              <w:t>s</w:t>
            </w:r>
            <w:r w:rsidRPr="00AC5560">
              <w:t xml:space="preserve"> of MR paracetamol a Schedule 4 medicine. </w:t>
            </w:r>
          </w:p>
          <w:p w14:paraId="2D6B6EFE" w14:textId="77777777" w:rsidR="00E56311" w:rsidRDefault="00E56311" w:rsidP="008276C7">
            <w:pPr>
              <w:pStyle w:val="ListBullet"/>
            </w:pPr>
            <w:r>
              <w:t>This decision to make the above technical amendments would appear, in accordance with the Scheduling Policy Framework (SPF), to be sufficiently straightforward as to not require consultation;</w:t>
            </w:r>
          </w:p>
          <w:p w14:paraId="0D8DC36B" w14:textId="77777777" w:rsidR="00E56311" w:rsidRPr="008276C7" w:rsidRDefault="00E56311" w:rsidP="008276C7">
            <w:pPr>
              <w:pStyle w:val="ListBullet"/>
            </w:pPr>
            <w:r>
              <w:t>The amendment provides further clarity on different pack sizes of MR paracetamol in Schedule 3 and the r</w:t>
            </w:r>
            <w:r w:rsidRPr="008276C7">
              <w:t>equirements for primary packs containing more than 100 tablets or capsules to be labelled ‘For dispensing only’ and ‘This pack is not to be supplied to a patient’.</w:t>
            </w:r>
          </w:p>
          <w:p w14:paraId="128E9BBE" w14:textId="77777777" w:rsidR="00E56311" w:rsidRDefault="00E56311" w:rsidP="008276C7">
            <w:pPr>
              <w:pStyle w:val="ListBullet"/>
            </w:pPr>
            <w:r w:rsidRPr="008276C7">
              <w:t>In making this deci</w:t>
            </w:r>
            <w:r>
              <w:t>sion 52E(1)(a)-(f) has been taken into account as follows:</w:t>
            </w:r>
          </w:p>
          <w:p w14:paraId="03F98086" w14:textId="77777777" w:rsidR="00E56311" w:rsidRPr="00396360" w:rsidRDefault="00E56311" w:rsidP="008276C7">
            <w:pPr>
              <w:pStyle w:val="Numberbullet2"/>
              <w:numPr>
                <w:ilvl w:val="0"/>
                <w:numId w:val="29"/>
              </w:numPr>
              <w:rPr>
                <w:i/>
              </w:rPr>
            </w:pPr>
            <w:r w:rsidRPr="00396360">
              <w:rPr>
                <w:i/>
              </w:rPr>
              <w:t>the risks and benefits of the use of a substance</w:t>
            </w:r>
          </w:p>
          <w:p w14:paraId="15C44683" w14:textId="0A4B43E6" w:rsidR="00E56311" w:rsidRPr="00BD11EB" w:rsidRDefault="00C655F9" w:rsidP="008276C7">
            <w:pPr>
              <w:pStyle w:val="ListBullet2"/>
              <w:numPr>
                <w:ilvl w:val="1"/>
                <w:numId w:val="1"/>
              </w:numPr>
              <w:ind w:left="1134"/>
            </w:pPr>
            <w:r>
              <w:t>N/A</w:t>
            </w:r>
          </w:p>
          <w:p w14:paraId="25D1BB0D" w14:textId="77777777" w:rsidR="00E56311" w:rsidRPr="00396360" w:rsidRDefault="00E56311" w:rsidP="003C5ADD">
            <w:pPr>
              <w:pStyle w:val="Numberbullet2"/>
              <w:rPr>
                <w:i/>
              </w:rPr>
            </w:pPr>
            <w:r w:rsidRPr="00396360">
              <w:rPr>
                <w:i/>
              </w:rPr>
              <w:t>the purposes for which a substance is to be used and the extent of use of a substance</w:t>
            </w:r>
          </w:p>
          <w:p w14:paraId="7A01A2AF" w14:textId="77777777" w:rsidR="00E56311" w:rsidRDefault="00E56311" w:rsidP="008276C7">
            <w:pPr>
              <w:pStyle w:val="ListBullet2"/>
              <w:ind w:left="1134"/>
            </w:pPr>
            <w:r>
              <w:t>Paracetamol, both in immediate and modified released forms, in bulk packs are used in pharmacies for packing medicine packs and are not directly supplied to patients.</w:t>
            </w:r>
          </w:p>
          <w:p w14:paraId="2BCAFFEC" w14:textId="77777777" w:rsidR="00E56311" w:rsidRPr="00396360" w:rsidRDefault="00E56311" w:rsidP="003C5ADD">
            <w:pPr>
              <w:pStyle w:val="Numberbullet2"/>
              <w:rPr>
                <w:i/>
              </w:rPr>
            </w:pPr>
            <w:r w:rsidRPr="00396360">
              <w:rPr>
                <w:i/>
              </w:rPr>
              <w:t>the toxicity of a substance</w:t>
            </w:r>
          </w:p>
          <w:p w14:paraId="25C8CD63" w14:textId="047895D1" w:rsidR="00E56311" w:rsidRPr="007B6FD1" w:rsidRDefault="00C655F9" w:rsidP="008276C7">
            <w:pPr>
              <w:pStyle w:val="ListBullet2"/>
              <w:numPr>
                <w:ilvl w:val="1"/>
                <w:numId w:val="1"/>
              </w:numPr>
              <w:ind w:left="1134"/>
            </w:pPr>
            <w:r>
              <w:t>N/A</w:t>
            </w:r>
          </w:p>
          <w:p w14:paraId="237C21D6" w14:textId="77777777" w:rsidR="00E56311" w:rsidRPr="00396360" w:rsidRDefault="00E56311" w:rsidP="003C5ADD">
            <w:pPr>
              <w:pStyle w:val="Numberbullet2"/>
              <w:rPr>
                <w:i/>
              </w:rPr>
            </w:pPr>
            <w:r w:rsidRPr="00396360">
              <w:rPr>
                <w:i/>
              </w:rPr>
              <w:t>the dosage, formulation, labelling, packaging and presentation of a substance</w:t>
            </w:r>
          </w:p>
          <w:p w14:paraId="6C2AE488" w14:textId="77777777" w:rsidR="00E56311" w:rsidRDefault="00E56311" w:rsidP="008276C7">
            <w:pPr>
              <w:pStyle w:val="ListBullet2"/>
              <w:numPr>
                <w:ilvl w:val="1"/>
                <w:numId w:val="1"/>
              </w:numPr>
              <w:ind w:left="1134"/>
            </w:pPr>
            <w:r>
              <w:t>Paracetamol, both in immediate and modified released forms, in bulk packs are used in pharmacies for packing medicine packs and are not directly supplied to patients.</w:t>
            </w:r>
          </w:p>
          <w:p w14:paraId="448E34C9" w14:textId="77777777" w:rsidR="00E56311" w:rsidRDefault="00E56311" w:rsidP="008276C7">
            <w:pPr>
              <w:pStyle w:val="ListBullet2"/>
              <w:numPr>
                <w:ilvl w:val="1"/>
                <w:numId w:val="1"/>
              </w:numPr>
              <w:ind w:left="1134"/>
            </w:pPr>
            <w:r>
              <w:t xml:space="preserve">Paracetamol, both in immediate and modified released forms, in bulk packs is currently captured under Schedule 2 of the Poisons Standard and are required to be labelled </w:t>
            </w:r>
            <w:r w:rsidRPr="00AB125F">
              <w:t>‘For dispensing only’ and ‘This pack is not to be supplied to a patient’</w:t>
            </w:r>
            <w:r>
              <w:t>.</w:t>
            </w:r>
          </w:p>
          <w:p w14:paraId="1E8BD4C5" w14:textId="77777777" w:rsidR="00E56311" w:rsidRDefault="00E56311" w:rsidP="008276C7">
            <w:pPr>
              <w:pStyle w:val="ListBullet2"/>
              <w:numPr>
                <w:ilvl w:val="1"/>
                <w:numId w:val="1"/>
              </w:numPr>
              <w:ind w:left="1134"/>
            </w:pPr>
            <w:r>
              <w:t xml:space="preserve">The final decision for MR paracetamol published on the TGA website in August 2019 inadvertently made MR paracetamol in bulk packs a Schedule 4 medicine. This recommended amendment will make bulk packs of MR paracetamol a Schedule 3 medicines and will prevent them from being captured as a Schedule 4 medicine. Further, bulk packs of MR paracetamol will be required to be labelled </w:t>
            </w:r>
            <w:r w:rsidRPr="00AB125F">
              <w:t>‘For dispensing only’ and ‘This pack is not to be supplied to a patient’</w:t>
            </w:r>
            <w:r>
              <w:t>.</w:t>
            </w:r>
          </w:p>
          <w:p w14:paraId="756E438F" w14:textId="77777777" w:rsidR="00E56311" w:rsidRPr="00396360" w:rsidRDefault="00E56311" w:rsidP="003C5ADD">
            <w:pPr>
              <w:pStyle w:val="Numberbullet2"/>
              <w:rPr>
                <w:i/>
              </w:rPr>
            </w:pPr>
            <w:r w:rsidRPr="00396360">
              <w:rPr>
                <w:i/>
              </w:rPr>
              <w:t>the potential for abuse of a substance</w:t>
            </w:r>
          </w:p>
          <w:p w14:paraId="2222B56B" w14:textId="34CC6851" w:rsidR="00E56311" w:rsidRPr="007B6FD1" w:rsidRDefault="008276C7" w:rsidP="008276C7">
            <w:pPr>
              <w:pStyle w:val="ListBullet2"/>
              <w:numPr>
                <w:ilvl w:val="1"/>
                <w:numId w:val="1"/>
              </w:numPr>
              <w:ind w:left="1134"/>
            </w:pPr>
            <w:r>
              <w:t>N/A</w:t>
            </w:r>
          </w:p>
          <w:p w14:paraId="28969613" w14:textId="77777777" w:rsidR="00E56311" w:rsidRPr="00396360" w:rsidRDefault="00E56311" w:rsidP="003C5ADD">
            <w:pPr>
              <w:pStyle w:val="Numberbullet2"/>
              <w:rPr>
                <w:i/>
              </w:rPr>
            </w:pPr>
            <w:r w:rsidRPr="00396360">
              <w:rPr>
                <w:i/>
              </w:rPr>
              <w:t>any other matters that the Secretary considers necessary to protect public health</w:t>
            </w:r>
          </w:p>
          <w:p w14:paraId="1973860C" w14:textId="3507C04B" w:rsidR="00E56311" w:rsidRDefault="00C655F9" w:rsidP="008276C7">
            <w:pPr>
              <w:pStyle w:val="ListBullet2"/>
              <w:ind w:left="1134"/>
            </w:pPr>
            <w:r>
              <w:t>N/A</w:t>
            </w:r>
          </w:p>
          <w:p w14:paraId="287080E0" w14:textId="4C48A1C9" w:rsidR="00E56311" w:rsidRDefault="00E56311" w:rsidP="008276C7">
            <w:pPr>
              <w:pStyle w:val="Heading4"/>
            </w:pPr>
            <w:r>
              <w:t>D</w:t>
            </w:r>
            <w:r w:rsidRPr="002E13B1">
              <w:t xml:space="preserve">ate of effect of the </w:t>
            </w:r>
            <w:r>
              <w:t>decision</w:t>
            </w:r>
          </w:p>
          <w:p w14:paraId="7F0CE464" w14:textId="5E753678" w:rsidR="00E56311" w:rsidRPr="008276C7" w:rsidRDefault="00423457" w:rsidP="00E56311">
            <w:pPr>
              <w:rPr>
                <w:b/>
              </w:rPr>
            </w:pPr>
            <w:sdt>
              <w:sdtPr>
                <w:rPr>
                  <w:b/>
                </w:rPr>
                <w:id w:val="-456025428"/>
                <w:placeholder>
                  <w:docPart w:val="B5535650495944DA8D1329307CF21282"/>
                </w:placeholder>
                <w:date w:fullDate="2020-06-01T00:00:00Z">
                  <w:dateFormat w:val="d MMMM yyyy"/>
                  <w:lid w:val="en-AU"/>
                  <w:storeMappedDataAs w:val="dateTime"/>
                  <w:calendar w:val="gregorian"/>
                </w:date>
              </w:sdtPr>
              <w:sdtEndPr/>
              <w:sdtContent>
                <w:r w:rsidR="00E56311" w:rsidRPr="008B01E5">
                  <w:rPr>
                    <w:b/>
                  </w:rPr>
                  <w:t>1 June 2020</w:t>
                </w:r>
              </w:sdtContent>
            </w:sdt>
          </w:p>
        </w:tc>
      </w:tr>
    </w:tbl>
    <w:p w14:paraId="524FFDBF" w14:textId="77777777" w:rsidR="00EE19EF" w:rsidRPr="00EE19EF" w:rsidRDefault="00EE19EF" w:rsidP="00AF329B"/>
    <w:sectPr w:rsidR="00EE19EF" w:rsidRPr="00EE19EF" w:rsidSect="001E3B99">
      <w:headerReference w:type="default" r:id="rId111"/>
      <w:footerReference w:type="default" r:id="rId112"/>
      <w:headerReference w:type="first" r:id="rId113"/>
      <w:footerReference w:type="first" r:id="rId114"/>
      <w:type w:val="continuous"/>
      <w:pgSz w:w="11906" w:h="16838" w:code="9"/>
      <w:pgMar w:top="676" w:right="1134" w:bottom="567" w:left="1134" w:header="568"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4D236" w14:textId="77777777" w:rsidR="003B5C35" w:rsidRDefault="003B5C35" w:rsidP="00C40A36">
      <w:pPr>
        <w:spacing w:after="0"/>
      </w:pPr>
      <w:r>
        <w:separator/>
      </w:r>
    </w:p>
  </w:endnote>
  <w:endnote w:type="continuationSeparator" w:id="0">
    <w:p w14:paraId="6FD8DFEF" w14:textId="77777777" w:rsidR="003B5C35" w:rsidRDefault="003B5C3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2368"/>
    </w:tblGrid>
    <w:tr w:rsidR="003B5C35" w14:paraId="456E24CB" w14:textId="77777777" w:rsidTr="00A96DBB">
      <w:trPr>
        <w:trHeight w:val="339"/>
      </w:trPr>
      <w:tc>
        <w:tcPr>
          <w:tcW w:w="7413" w:type="dxa"/>
          <w:tcMar>
            <w:top w:w="142" w:type="dxa"/>
            <w:bottom w:w="0" w:type="dxa"/>
          </w:tcMar>
        </w:tcPr>
        <w:p w14:paraId="42BBF758" w14:textId="77777777" w:rsidR="003B5C35" w:rsidRDefault="003B5C35" w:rsidP="001E3B99">
          <w:pPr>
            <w:pStyle w:val="Footer"/>
          </w:pPr>
          <w:r w:rsidRPr="005B20F9">
            <w:t>Notice of final decisions to amend (or not amend) the current Poisons Standard, May 2020</w:t>
          </w:r>
        </w:p>
      </w:tc>
      <w:tc>
        <w:tcPr>
          <w:tcW w:w="2368" w:type="dxa"/>
          <w:tcMar>
            <w:top w:w="142" w:type="dxa"/>
            <w:bottom w:w="0" w:type="dxa"/>
          </w:tcMar>
        </w:tcPr>
        <w:p w14:paraId="400CC854" w14:textId="5ACD29B3" w:rsidR="003B5C35" w:rsidRDefault="003B5C35" w:rsidP="001E3B99">
          <w:pPr>
            <w:pStyle w:val="Footer"/>
            <w:jc w:val="right"/>
          </w:pPr>
          <w:r>
            <w:t xml:space="preserve">Page </w:t>
          </w:r>
          <w:r>
            <w:fldChar w:fldCharType="begin"/>
          </w:r>
          <w:r>
            <w:instrText xml:space="preserve"> PAGE   \* MERGEFORMAT </w:instrText>
          </w:r>
          <w:r>
            <w:fldChar w:fldCharType="separate"/>
          </w:r>
          <w:r w:rsidR="00423457">
            <w:rPr>
              <w:noProof/>
            </w:rPr>
            <w:t>20</w:t>
          </w:r>
          <w:r>
            <w:rPr>
              <w:noProof/>
            </w:rPr>
            <w:fldChar w:fldCharType="end"/>
          </w:r>
          <w:r>
            <w:t xml:space="preserve"> of </w:t>
          </w:r>
          <w:fldSimple w:instr=" NUMPAGES  \* Arabic ">
            <w:r w:rsidR="00423457">
              <w:rPr>
                <w:noProof/>
              </w:rPr>
              <w:t>47</w:t>
            </w:r>
          </w:fldSimple>
        </w:p>
      </w:tc>
    </w:tr>
  </w:tbl>
  <w:p w14:paraId="54F4B622" w14:textId="77777777" w:rsidR="003B5C35" w:rsidRDefault="003B5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2368"/>
    </w:tblGrid>
    <w:tr w:rsidR="003B5C35" w14:paraId="25FB1B72" w14:textId="77777777" w:rsidTr="005B20F9">
      <w:trPr>
        <w:trHeight w:val="339"/>
      </w:trPr>
      <w:tc>
        <w:tcPr>
          <w:tcW w:w="7413" w:type="dxa"/>
          <w:tcMar>
            <w:top w:w="142" w:type="dxa"/>
            <w:bottom w:w="0" w:type="dxa"/>
          </w:tcMar>
        </w:tcPr>
        <w:p w14:paraId="25FB1B70" w14:textId="35509659" w:rsidR="003B5C35" w:rsidRDefault="003B5C35" w:rsidP="003507A6">
          <w:pPr>
            <w:pStyle w:val="Footer"/>
          </w:pPr>
          <w:r w:rsidRPr="005B20F9">
            <w:t>Notice of final decisions to amend (or not amend) the current Poisons Standard, May 2020</w:t>
          </w:r>
        </w:p>
      </w:tc>
      <w:tc>
        <w:tcPr>
          <w:tcW w:w="2368" w:type="dxa"/>
          <w:tcMar>
            <w:top w:w="142" w:type="dxa"/>
            <w:bottom w:w="0" w:type="dxa"/>
          </w:tcMar>
        </w:tcPr>
        <w:p w14:paraId="25FB1B71" w14:textId="053CBDE8" w:rsidR="003B5C35" w:rsidRDefault="003B5C35" w:rsidP="003507A6">
          <w:pPr>
            <w:pStyle w:val="Footer"/>
            <w:jc w:val="right"/>
          </w:pPr>
          <w:r>
            <w:t xml:space="preserve">Page </w:t>
          </w:r>
          <w:r>
            <w:fldChar w:fldCharType="begin"/>
          </w:r>
          <w:r>
            <w:instrText xml:space="preserve"> PAGE   \* MERGEFORMAT </w:instrText>
          </w:r>
          <w:r>
            <w:fldChar w:fldCharType="separate"/>
          </w:r>
          <w:r w:rsidR="00423457">
            <w:rPr>
              <w:noProof/>
            </w:rPr>
            <w:t>1</w:t>
          </w:r>
          <w:r>
            <w:rPr>
              <w:noProof/>
            </w:rPr>
            <w:fldChar w:fldCharType="end"/>
          </w:r>
          <w:r>
            <w:t xml:space="preserve"> of </w:t>
          </w:r>
          <w:fldSimple w:instr=" NUMPAGES  \* Arabic ">
            <w:r w:rsidR="00423457">
              <w:rPr>
                <w:noProof/>
              </w:rPr>
              <w:t>47</w:t>
            </w:r>
          </w:fldSimple>
        </w:p>
      </w:tc>
    </w:tr>
  </w:tbl>
  <w:p w14:paraId="25FB1B73" w14:textId="77777777" w:rsidR="003B5C35" w:rsidRDefault="003B5C35" w:rsidP="00AE3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32E00" w14:textId="77777777" w:rsidR="003B5C35" w:rsidRDefault="003B5C35" w:rsidP="00C40A36">
      <w:pPr>
        <w:spacing w:after="0"/>
      </w:pPr>
      <w:r>
        <w:separator/>
      </w:r>
    </w:p>
  </w:footnote>
  <w:footnote w:type="continuationSeparator" w:id="0">
    <w:p w14:paraId="20CD72F3" w14:textId="77777777" w:rsidR="003B5C35" w:rsidRDefault="003B5C35" w:rsidP="00C40A36">
      <w:pPr>
        <w:spacing w:after="0"/>
      </w:pPr>
      <w:r>
        <w:continuationSeparator/>
      </w:r>
    </w:p>
  </w:footnote>
  <w:footnote w:id="1">
    <w:p w14:paraId="527C3567" w14:textId="77777777" w:rsidR="003B5C35" w:rsidRPr="001D4D00" w:rsidRDefault="003B5C35" w:rsidP="0083444E">
      <w:pPr>
        <w:pStyle w:val="FootnoteText"/>
        <w:rPr>
          <w:sz w:val="16"/>
          <w:szCs w:val="16"/>
        </w:rPr>
      </w:pPr>
      <w:r w:rsidRPr="001D4D00">
        <w:rPr>
          <w:rStyle w:val="FootnoteReference"/>
          <w:sz w:val="16"/>
          <w:szCs w:val="16"/>
        </w:rPr>
        <w:footnoteRef/>
      </w:r>
      <w:r w:rsidRPr="001D4D00">
        <w:rPr>
          <w:sz w:val="16"/>
          <w:szCs w:val="16"/>
        </w:rPr>
        <w:t xml:space="preserve"> </w:t>
      </w:r>
      <w:hyperlink r:id="rId1" w:history="1">
        <w:r w:rsidRPr="001D4D00">
          <w:rPr>
            <w:rStyle w:val="Hyperlink"/>
          </w:rPr>
          <w:t>https://www.tga.gov.au/consultation-invitation/consultation-proposed-amendments-poisons-standard-accs-acms-and-joint-accsacms-meetings-march-2019</w:t>
        </w:r>
      </w:hyperlink>
    </w:p>
  </w:footnote>
  <w:footnote w:id="2">
    <w:p w14:paraId="02198E28" w14:textId="77777777" w:rsidR="003B5C35" w:rsidRPr="00AA0BA8" w:rsidRDefault="003B5C35" w:rsidP="0083444E">
      <w:pPr>
        <w:pStyle w:val="FootnoteText"/>
        <w:rPr>
          <w:sz w:val="16"/>
          <w:szCs w:val="16"/>
        </w:rPr>
      </w:pPr>
      <w:r w:rsidRPr="001D4D00">
        <w:rPr>
          <w:rStyle w:val="FootnoteReference"/>
          <w:sz w:val="16"/>
          <w:szCs w:val="16"/>
        </w:rPr>
        <w:footnoteRef/>
      </w:r>
      <w:r w:rsidRPr="001D4D00">
        <w:rPr>
          <w:sz w:val="16"/>
          <w:szCs w:val="16"/>
        </w:rPr>
        <w:t xml:space="preserve"> </w:t>
      </w:r>
      <w:hyperlink r:id="rId2" w:history="1">
        <w:r w:rsidRPr="001D4D00">
          <w:rPr>
            <w:rStyle w:val="Hyperlink"/>
          </w:rPr>
          <w:t>https://www.tga.gov.au/publication/scheduling-handbook-guidance-amending-poisons-standard</w:t>
        </w:r>
      </w:hyperlink>
    </w:p>
  </w:footnote>
  <w:footnote w:id="3">
    <w:p w14:paraId="296F50ED" w14:textId="77777777" w:rsidR="003B5C35" w:rsidRPr="008F5278" w:rsidRDefault="003B5C35" w:rsidP="0083444E">
      <w:pPr>
        <w:pStyle w:val="FootnoteText"/>
        <w:rPr>
          <w:sz w:val="16"/>
          <w:szCs w:val="16"/>
        </w:rPr>
      </w:pPr>
      <w:r w:rsidRPr="008F5278">
        <w:rPr>
          <w:rStyle w:val="FootnoteReference"/>
          <w:sz w:val="16"/>
          <w:szCs w:val="16"/>
        </w:rPr>
        <w:footnoteRef/>
      </w:r>
      <w:r w:rsidRPr="008F5278">
        <w:rPr>
          <w:sz w:val="16"/>
          <w:szCs w:val="16"/>
        </w:rPr>
        <w:t xml:space="preserve"> </w:t>
      </w:r>
      <w:hyperlink r:id="rId3" w:history="1">
        <w:r w:rsidRPr="008F5278">
          <w:rPr>
            <w:rStyle w:val="Hyperlink"/>
          </w:rPr>
          <w:t>https://www.tga.gov.au/sites/default/files/scheduling-handbook-guidance-amending-poisons-standard.pdf</w:t>
        </w:r>
      </w:hyperlink>
    </w:p>
  </w:footnote>
  <w:footnote w:id="4">
    <w:p w14:paraId="2E805703" w14:textId="77777777" w:rsidR="003B5C35" w:rsidRPr="008F5278" w:rsidRDefault="003B5C35" w:rsidP="0083444E">
      <w:pPr>
        <w:pStyle w:val="FootnoteText"/>
        <w:rPr>
          <w:sz w:val="16"/>
          <w:szCs w:val="16"/>
        </w:rPr>
      </w:pPr>
      <w:r w:rsidRPr="008F5278">
        <w:rPr>
          <w:rStyle w:val="FootnoteReference"/>
          <w:sz w:val="16"/>
          <w:szCs w:val="16"/>
        </w:rPr>
        <w:footnoteRef/>
      </w:r>
      <w:r w:rsidRPr="008F5278">
        <w:rPr>
          <w:sz w:val="16"/>
          <w:szCs w:val="16"/>
        </w:rPr>
        <w:t xml:space="preserve"> </w:t>
      </w:r>
      <w:hyperlink r:id="rId4" w:history="1">
        <w:r w:rsidRPr="008F5278">
          <w:rPr>
            <w:rStyle w:val="Hyperlink"/>
          </w:rPr>
          <w:t>https://www.tga.gov.au/sites/default/files/guidelines-advertisements-medicines-containing-schedule-3-substances.pdf</w:t>
        </w:r>
      </w:hyperlink>
    </w:p>
  </w:footnote>
  <w:footnote w:id="5">
    <w:p w14:paraId="0C96E071" w14:textId="77777777" w:rsidR="003B5C35" w:rsidRPr="008F5278" w:rsidRDefault="003B5C35" w:rsidP="0083444E">
      <w:pPr>
        <w:pStyle w:val="FootnoteText"/>
        <w:rPr>
          <w:sz w:val="16"/>
          <w:szCs w:val="16"/>
        </w:rPr>
      </w:pPr>
      <w:r w:rsidRPr="008F5278">
        <w:rPr>
          <w:rStyle w:val="FootnoteReference"/>
          <w:sz w:val="16"/>
          <w:szCs w:val="16"/>
        </w:rPr>
        <w:footnoteRef/>
      </w:r>
      <w:r w:rsidRPr="008F5278">
        <w:rPr>
          <w:sz w:val="16"/>
          <w:szCs w:val="16"/>
        </w:rPr>
        <w:t xml:space="preserve"> </w:t>
      </w:r>
      <w:hyperlink r:id="rId5" w:history="1">
        <w:r w:rsidRPr="008F5278">
          <w:rPr>
            <w:rStyle w:val="Hyperlink"/>
          </w:rPr>
          <w:t>https://www.tga.gov.au/book-page/13-fluticasone-0</w:t>
        </w:r>
      </w:hyperlink>
    </w:p>
  </w:footnote>
  <w:footnote w:id="6">
    <w:p w14:paraId="132CF412" w14:textId="77777777" w:rsidR="003B5C35" w:rsidRPr="008F5278" w:rsidRDefault="003B5C35" w:rsidP="0083444E">
      <w:pPr>
        <w:pStyle w:val="FootnoteText"/>
        <w:rPr>
          <w:sz w:val="16"/>
          <w:szCs w:val="16"/>
        </w:rPr>
      </w:pPr>
      <w:r w:rsidRPr="008F5278">
        <w:rPr>
          <w:rStyle w:val="FootnoteReference"/>
          <w:sz w:val="16"/>
          <w:szCs w:val="16"/>
        </w:rPr>
        <w:footnoteRef/>
      </w:r>
      <w:r w:rsidRPr="008F5278">
        <w:rPr>
          <w:sz w:val="16"/>
          <w:szCs w:val="16"/>
        </w:rPr>
        <w:t xml:space="preserve"> </w:t>
      </w:r>
      <w:hyperlink r:id="rId6" w:history="1">
        <w:r w:rsidRPr="008F5278">
          <w:rPr>
            <w:rStyle w:val="Hyperlink"/>
          </w:rPr>
          <w:t>https://www.tga.gov.au/book-page/12-budesonide-0</w:t>
        </w:r>
      </w:hyperlink>
    </w:p>
  </w:footnote>
  <w:footnote w:id="7">
    <w:p w14:paraId="3E9BFFAD" w14:textId="77777777" w:rsidR="003B5C35" w:rsidRPr="008F5278" w:rsidRDefault="003B5C35" w:rsidP="0083444E">
      <w:pPr>
        <w:pStyle w:val="FootnoteText"/>
        <w:rPr>
          <w:sz w:val="16"/>
          <w:szCs w:val="16"/>
        </w:rPr>
      </w:pPr>
      <w:r w:rsidRPr="008F5278">
        <w:rPr>
          <w:rStyle w:val="FootnoteReference"/>
          <w:sz w:val="16"/>
          <w:szCs w:val="16"/>
        </w:rPr>
        <w:footnoteRef/>
      </w:r>
      <w:r w:rsidRPr="008F5278">
        <w:rPr>
          <w:sz w:val="16"/>
          <w:szCs w:val="16"/>
        </w:rPr>
        <w:t xml:space="preserve"> </w:t>
      </w:r>
      <w:hyperlink r:id="rId7" w:history="1">
        <w:r w:rsidRPr="008F5278">
          <w:rPr>
            <w:rStyle w:val="Hyperlink"/>
          </w:rPr>
          <w:t>https://www.tga.gov.au/book-page/13-fluticasone</w:t>
        </w:r>
      </w:hyperlink>
    </w:p>
  </w:footnote>
  <w:footnote w:id="8">
    <w:p w14:paraId="01AC5EFA" w14:textId="77777777" w:rsidR="003B5C35" w:rsidRPr="008F5278" w:rsidRDefault="003B5C35" w:rsidP="0083444E">
      <w:pPr>
        <w:pStyle w:val="FootnoteText"/>
        <w:rPr>
          <w:sz w:val="16"/>
          <w:szCs w:val="16"/>
        </w:rPr>
      </w:pPr>
      <w:r w:rsidRPr="008F5278">
        <w:rPr>
          <w:rStyle w:val="FootnoteReference"/>
          <w:sz w:val="16"/>
          <w:szCs w:val="16"/>
        </w:rPr>
        <w:footnoteRef/>
      </w:r>
      <w:r w:rsidRPr="008F5278">
        <w:rPr>
          <w:sz w:val="16"/>
          <w:szCs w:val="16"/>
        </w:rPr>
        <w:t xml:space="preserve"> </w:t>
      </w:r>
      <w:hyperlink r:id="rId8" w:history="1">
        <w:r w:rsidRPr="008F5278">
          <w:rPr>
            <w:rStyle w:val="Hyperlink"/>
          </w:rPr>
          <w:t>https://www.tga.gov.au/book-page/12-budesonide-0</w:t>
        </w:r>
      </w:hyperlink>
    </w:p>
  </w:footnote>
  <w:footnote w:id="9">
    <w:p w14:paraId="6A1C85BC" w14:textId="77777777" w:rsidR="003B5C35" w:rsidRPr="00FC015F" w:rsidRDefault="003B5C35" w:rsidP="001C7F5A">
      <w:pPr>
        <w:pStyle w:val="FootnoteText"/>
        <w:rPr>
          <w:sz w:val="16"/>
          <w:szCs w:val="16"/>
        </w:rPr>
      </w:pPr>
      <w:r w:rsidRPr="00FC015F">
        <w:rPr>
          <w:rStyle w:val="FootnoteReference"/>
          <w:sz w:val="16"/>
          <w:szCs w:val="16"/>
        </w:rPr>
        <w:footnoteRef/>
      </w:r>
      <w:r w:rsidRPr="00FC015F">
        <w:rPr>
          <w:sz w:val="16"/>
          <w:szCs w:val="16"/>
        </w:rPr>
        <w:t xml:space="preserve"> </w:t>
      </w:r>
      <w:hyperlink r:id="rId9" w:history="1">
        <w:r w:rsidRPr="00FC015F">
          <w:rPr>
            <w:rStyle w:val="Hyperlink"/>
          </w:rPr>
          <w:t>https://www.tga.gov.au/scheduling-decision-interim/interim-decisions-and-invitation-further-comment-substances-referred-march-2019-acmsaccs-meetings</w:t>
        </w:r>
      </w:hyperlink>
    </w:p>
  </w:footnote>
  <w:footnote w:id="10">
    <w:p w14:paraId="7EE31751" w14:textId="77777777" w:rsidR="003B5C35" w:rsidRPr="00B91B3E" w:rsidRDefault="003B5C35" w:rsidP="007C3182">
      <w:pPr>
        <w:pStyle w:val="FootnoteText"/>
        <w:rPr>
          <w:rFonts w:cstheme="minorHAnsi"/>
          <w:sz w:val="16"/>
          <w:szCs w:val="16"/>
        </w:rPr>
      </w:pPr>
      <w:r w:rsidRPr="00B91B3E">
        <w:rPr>
          <w:rStyle w:val="FootnoteReference"/>
          <w:rFonts w:cstheme="minorHAnsi"/>
          <w:sz w:val="16"/>
          <w:szCs w:val="16"/>
        </w:rPr>
        <w:footnoteRef/>
      </w:r>
      <w:r w:rsidRPr="00B91B3E">
        <w:rPr>
          <w:rFonts w:cstheme="minorHAnsi"/>
          <w:sz w:val="16"/>
          <w:szCs w:val="16"/>
        </w:rPr>
        <w:t xml:space="preserve"> </w:t>
      </w:r>
      <w:r w:rsidRPr="00B91B3E">
        <w:rPr>
          <w:rFonts w:eastAsiaTheme="minorHAnsi" w:cstheme="minorHAnsi"/>
          <w:sz w:val="16"/>
          <w:szCs w:val="16"/>
        </w:rPr>
        <w:t xml:space="preserve">Australasian College of Dermatologists (2019): </w:t>
      </w:r>
      <w:hyperlink r:id="rId10" w:history="1">
        <w:r w:rsidRPr="00B91B3E">
          <w:rPr>
            <w:rStyle w:val="Hyperlink"/>
            <w:rFonts w:eastAsiaTheme="minorHAnsi" w:cstheme="minorHAnsi"/>
          </w:rPr>
          <w:t>https://www.dermcoll.edu.au/wp-content/uploads/190121-ACD-submission-to-TGA-Proposed-mometasone-rescheduling-Jan-21-2019.pdf</w:t>
        </w:r>
      </w:hyperlink>
    </w:p>
  </w:footnote>
  <w:footnote w:id="11">
    <w:p w14:paraId="69028272" w14:textId="77777777" w:rsidR="003B5C35" w:rsidRPr="00B91B3E" w:rsidRDefault="003B5C35" w:rsidP="001C7F5A">
      <w:pPr>
        <w:pStyle w:val="FootnoteText"/>
        <w:rPr>
          <w:rFonts w:cstheme="minorHAnsi"/>
          <w:sz w:val="16"/>
          <w:szCs w:val="16"/>
        </w:rPr>
      </w:pPr>
      <w:r w:rsidRPr="00B91B3E">
        <w:rPr>
          <w:rStyle w:val="FootnoteReference"/>
          <w:rFonts w:cstheme="minorHAnsi"/>
          <w:sz w:val="16"/>
          <w:szCs w:val="16"/>
        </w:rPr>
        <w:footnoteRef/>
      </w:r>
      <w:r w:rsidRPr="00B91B3E">
        <w:rPr>
          <w:rFonts w:cstheme="minorHAnsi"/>
          <w:sz w:val="16"/>
          <w:szCs w:val="16"/>
        </w:rPr>
        <w:t xml:space="preserve"> </w:t>
      </w:r>
      <w:r w:rsidRPr="00B91B3E">
        <w:rPr>
          <w:rFonts w:eastAsiaTheme="minorHAnsi" w:cstheme="minorHAnsi"/>
          <w:sz w:val="16"/>
          <w:szCs w:val="16"/>
        </w:rPr>
        <w:t xml:space="preserve">Australian Medical Association (2019): </w:t>
      </w:r>
      <w:hyperlink r:id="rId11" w:history="1">
        <w:r w:rsidRPr="00B91B3E">
          <w:rPr>
            <w:rStyle w:val="Hyperlink"/>
            <w:rFonts w:eastAsiaTheme="minorHAnsi" w:cstheme="minorHAnsi"/>
          </w:rPr>
          <w:t>https://ama.com.au/system/tdf/documents/AMA%20submission%20-%20glyceryl%20trinitrate%20%26%20mometasone%20furoate%20scheduling%20proposals%20-%20Jan19.pdf?file=1&amp;type=node&amp;id=49973</w:t>
        </w:r>
      </w:hyperlink>
    </w:p>
  </w:footnote>
  <w:footnote w:id="12">
    <w:p w14:paraId="205351B7" w14:textId="77777777" w:rsidR="003B5C35" w:rsidRDefault="003B5C35" w:rsidP="007C3182">
      <w:pPr>
        <w:pStyle w:val="FootnoteText"/>
      </w:pPr>
      <w:r w:rsidRPr="00B91B3E">
        <w:rPr>
          <w:rStyle w:val="FootnoteReference"/>
          <w:rFonts w:cstheme="minorHAnsi"/>
          <w:sz w:val="16"/>
          <w:szCs w:val="16"/>
        </w:rPr>
        <w:footnoteRef/>
      </w:r>
      <w:r w:rsidRPr="00B91B3E">
        <w:rPr>
          <w:rFonts w:cstheme="minorHAnsi"/>
          <w:sz w:val="16"/>
          <w:szCs w:val="16"/>
        </w:rPr>
        <w:t xml:space="preserve"> </w:t>
      </w:r>
      <w:r w:rsidRPr="00B91B3E">
        <w:rPr>
          <w:rFonts w:eastAsiaTheme="minorHAnsi" w:cstheme="minorHAnsi"/>
          <w:color w:val="000000"/>
          <w:sz w:val="16"/>
          <w:szCs w:val="16"/>
        </w:rPr>
        <w:t xml:space="preserve">Australasian College of Dermatologists (2019) </w:t>
      </w:r>
      <w:hyperlink r:id="rId12" w:history="1">
        <w:r w:rsidRPr="00B91B3E">
          <w:rPr>
            <w:rStyle w:val="Hyperlink"/>
            <w:rFonts w:eastAsiaTheme="minorHAnsi" w:cstheme="minorHAnsi"/>
            <w:i/>
            <w:iCs/>
          </w:rPr>
          <w:t>https://www.dermcoll.edu.au/wp-content/uploads/190121-ACD-submission-to-TGA-Proposed-mometasone-rescheduling-Jan-21-2019.pdf</w:t>
        </w:r>
      </w:hyperlink>
    </w:p>
  </w:footnote>
  <w:footnote w:id="13">
    <w:p w14:paraId="3772AE73" w14:textId="77777777" w:rsidR="003B5C35" w:rsidRPr="00652CF2" w:rsidRDefault="003B5C35" w:rsidP="001C7F5A">
      <w:pPr>
        <w:pStyle w:val="FootnoteText"/>
        <w:rPr>
          <w:sz w:val="16"/>
        </w:rPr>
      </w:pPr>
      <w:r w:rsidRPr="00652CF2">
        <w:rPr>
          <w:rStyle w:val="FootnoteReference"/>
          <w:sz w:val="16"/>
        </w:rPr>
        <w:footnoteRef/>
      </w:r>
      <w:r w:rsidRPr="00652CF2">
        <w:rPr>
          <w:sz w:val="16"/>
        </w:rPr>
        <w:t xml:space="preserve"> </w:t>
      </w:r>
      <w:hyperlink r:id="rId13" w:history="1">
        <w:r w:rsidRPr="00652CF2">
          <w:rPr>
            <w:rStyle w:val="Hyperlink"/>
          </w:rPr>
          <w:t>https://www.tga.gov.au/book-page/13-fluticasone</w:t>
        </w:r>
      </w:hyperlink>
    </w:p>
  </w:footnote>
  <w:footnote w:id="14">
    <w:p w14:paraId="459B4ADE" w14:textId="77777777" w:rsidR="003B5C35" w:rsidRDefault="003B5C35" w:rsidP="001C7F5A">
      <w:pPr>
        <w:pStyle w:val="FootnoteText"/>
      </w:pPr>
      <w:r w:rsidRPr="00652CF2">
        <w:rPr>
          <w:rStyle w:val="FootnoteReference"/>
          <w:sz w:val="16"/>
        </w:rPr>
        <w:footnoteRef/>
      </w:r>
      <w:r w:rsidRPr="00652CF2">
        <w:rPr>
          <w:sz w:val="16"/>
        </w:rPr>
        <w:t xml:space="preserve"> </w:t>
      </w:r>
      <w:hyperlink r:id="rId14" w:history="1">
        <w:r w:rsidRPr="00652CF2">
          <w:rPr>
            <w:rStyle w:val="Hyperlink"/>
          </w:rPr>
          <w:t>https://www.tga.gov.au/book-page/12-budesonide</w:t>
        </w:r>
      </w:hyperlink>
    </w:p>
  </w:footnote>
  <w:footnote w:id="15">
    <w:p w14:paraId="28040A46" w14:textId="58A3B480" w:rsidR="003B5C35" w:rsidRPr="00916937" w:rsidRDefault="003B5C35" w:rsidP="00687D9A">
      <w:pPr>
        <w:pStyle w:val="FootnoteText"/>
        <w:rPr>
          <w:sz w:val="16"/>
          <w:szCs w:val="16"/>
        </w:rPr>
      </w:pPr>
      <w:r w:rsidRPr="00916937">
        <w:rPr>
          <w:rStyle w:val="FootnoteReference"/>
          <w:sz w:val="16"/>
          <w:szCs w:val="16"/>
        </w:rPr>
        <w:footnoteRef/>
      </w:r>
      <w:r w:rsidRPr="00916937">
        <w:rPr>
          <w:sz w:val="16"/>
          <w:szCs w:val="16"/>
        </w:rPr>
        <w:t xml:space="preserve"> </w:t>
      </w:r>
      <w:hyperlink r:id="rId15" w:history="1">
        <w:r w:rsidRPr="00916937">
          <w:rPr>
            <w:rStyle w:val="Hyperlink"/>
            <w:sz w:val="16"/>
            <w:szCs w:val="16"/>
          </w:rPr>
          <w:t>https://www.tga.gov.au/book-page/14-final-decision-relation-paracetamol-modified-release</w:t>
        </w:r>
      </w:hyperlink>
    </w:p>
  </w:footnote>
  <w:footnote w:id="16">
    <w:p w14:paraId="74245F6B" w14:textId="13D7FD7B" w:rsidR="003B5C35" w:rsidRDefault="003B5C35" w:rsidP="00F033DB">
      <w:pPr>
        <w:pStyle w:val="FootnoteText"/>
      </w:pPr>
      <w:r>
        <w:rPr>
          <w:rStyle w:val="FootnoteReference"/>
        </w:rPr>
        <w:footnoteRef/>
      </w:r>
      <w:r>
        <w:t xml:space="preserve"> </w:t>
      </w:r>
      <w:r w:rsidRPr="00494CC6">
        <w:t>TGA Ingredient Database</w:t>
      </w:r>
      <w:r>
        <w:t xml:space="preserve"> </w:t>
      </w:r>
      <w:hyperlink r:id="rId16" w:history="1">
        <w:r w:rsidRPr="00FE3DC2">
          <w:rPr>
            <w:rStyle w:val="Hyperlink"/>
          </w:rPr>
          <w:t>https://www.ebs.tga.gov.au/</w:t>
        </w:r>
      </w:hyperlink>
    </w:p>
  </w:footnote>
  <w:footnote w:id="17">
    <w:p w14:paraId="326D948B" w14:textId="424D5215" w:rsidR="003B5C35" w:rsidRDefault="003B5C35" w:rsidP="00F033DB">
      <w:pPr>
        <w:pStyle w:val="FootnoteText"/>
      </w:pPr>
      <w:r>
        <w:rPr>
          <w:rStyle w:val="FootnoteReference"/>
        </w:rPr>
        <w:footnoteRef/>
      </w:r>
      <w:r>
        <w:t xml:space="preserve"> </w:t>
      </w:r>
      <w:r w:rsidRPr="00494CC6">
        <w:t>Australian Register of Therapeutic Goods (ARTG)</w:t>
      </w:r>
      <w:r>
        <w:t xml:space="preserve"> </w:t>
      </w:r>
      <w:hyperlink r:id="rId17" w:history="1">
        <w:r w:rsidRPr="008B78E3">
          <w:rPr>
            <w:rStyle w:val="Hyperlink"/>
          </w:rPr>
          <w:t>https://www.tga.gov.au/artg</w:t>
        </w:r>
      </w:hyperlink>
    </w:p>
  </w:footnote>
  <w:footnote w:id="18">
    <w:p w14:paraId="30E857F6" w14:textId="78850529" w:rsidR="003B5C35" w:rsidRDefault="003B5C35" w:rsidP="00F033DB">
      <w:pPr>
        <w:pStyle w:val="FootnoteText"/>
      </w:pPr>
      <w:r>
        <w:rPr>
          <w:rStyle w:val="FootnoteReference"/>
        </w:rPr>
        <w:footnoteRef/>
      </w:r>
      <w:r>
        <w:t xml:space="preserve"> </w:t>
      </w:r>
      <w:r w:rsidRPr="00494CC6">
        <w:t>Therapeutic Goods (Permissible Ingredients) Determination</w:t>
      </w:r>
      <w:r>
        <w:t xml:space="preserve"> </w:t>
      </w:r>
      <w:hyperlink r:id="rId18" w:history="1">
        <w:r w:rsidRPr="00C51833">
          <w:rPr>
            <w:rStyle w:val="Hyperlink"/>
          </w:rPr>
          <w:t>https://www.legislation.gov.au/Search/Therapeutic%20Goods%20$LB$Permissible%20Ingredients$RB$%20Determination</w:t>
        </w:r>
      </w:hyperlink>
    </w:p>
  </w:footnote>
  <w:footnote w:id="19">
    <w:p w14:paraId="5C834C6F" w14:textId="60E30916" w:rsidR="003B5C35" w:rsidRPr="002F1C5C" w:rsidRDefault="003B5C35" w:rsidP="00F033DB">
      <w:pPr>
        <w:pStyle w:val="FootnoteText"/>
        <w:rPr>
          <w:szCs w:val="16"/>
        </w:rPr>
      </w:pPr>
      <w:r w:rsidRPr="002F1C5C">
        <w:rPr>
          <w:rStyle w:val="FootnoteReference"/>
          <w:szCs w:val="16"/>
        </w:rPr>
        <w:footnoteRef/>
      </w:r>
      <w:r>
        <w:rPr>
          <w:szCs w:val="16"/>
        </w:rPr>
        <w:t xml:space="preserve"> </w:t>
      </w:r>
      <w:r w:rsidRPr="00494CC6">
        <w:t>TGA prescribing medicines in pregnancy database</w:t>
      </w:r>
      <w:r w:rsidRPr="002F1C5C">
        <w:rPr>
          <w:szCs w:val="16"/>
        </w:rPr>
        <w:t xml:space="preserve"> </w:t>
      </w:r>
      <w:hyperlink r:id="rId19" w:history="1">
        <w:r w:rsidRPr="00E974A4">
          <w:rPr>
            <w:rStyle w:val="Hyperlink"/>
            <w:szCs w:val="16"/>
          </w:rPr>
          <w:t>https://www.tga.gov.au/prescribing-medicines-pregnancy-database</w:t>
        </w:r>
      </w:hyperlink>
    </w:p>
  </w:footnote>
  <w:footnote w:id="20">
    <w:p w14:paraId="341836E3" w14:textId="26E94CD8" w:rsidR="003B5C35" w:rsidRDefault="003B5C35" w:rsidP="00F033DB">
      <w:pPr>
        <w:pStyle w:val="FootnoteText"/>
      </w:pPr>
      <w:r>
        <w:rPr>
          <w:rStyle w:val="FootnoteReference"/>
        </w:rPr>
        <w:footnoteRef/>
      </w:r>
      <w:r>
        <w:t xml:space="preserve"> </w:t>
      </w:r>
      <w:r w:rsidRPr="00494CC6">
        <w:t>Therapeutic Goods (Medicines Advisory Statements) Specification 2019</w:t>
      </w:r>
      <w:r>
        <w:t xml:space="preserve"> </w:t>
      </w:r>
      <w:hyperlink r:id="rId20" w:history="1">
        <w:r w:rsidRPr="00FC5165">
          <w:rPr>
            <w:rStyle w:val="Hyperlink"/>
          </w:rPr>
          <w:t>https://www.legislation.gov.au/Details/F2019L00213</w:t>
        </w:r>
      </w:hyperlink>
    </w:p>
  </w:footnote>
  <w:footnote w:id="21">
    <w:p w14:paraId="1FFE5FE9" w14:textId="3AEF0A62" w:rsidR="003B5C35" w:rsidRDefault="003B5C35" w:rsidP="00F033DB">
      <w:pPr>
        <w:pStyle w:val="FootnoteText"/>
      </w:pPr>
      <w:r>
        <w:rPr>
          <w:rStyle w:val="FootnoteReference"/>
        </w:rPr>
        <w:footnoteRef/>
      </w:r>
      <w:r>
        <w:t xml:space="preserve"> </w:t>
      </w:r>
      <w:r w:rsidRPr="00494CC6">
        <w:t>Database of Adverse Event Notifications (DAEN)</w:t>
      </w:r>
      <w:r>
        <w:t xml:space="preserve"> </w:t>
      </w:r>
      <w:hyperlink r:id="rId21" w:history="1">
        <w:r w:rsidRPr="007C3A78">
          <w:rPr>
            <w:rStyle w:val="Hyperlink"/>
          </w:rPr>
          <w:t>https://apps.tga.gov.au/Prod/daen/daen-entry.aspx</w:t>
        </w:r>
      </w:hyperlink>
    </w:p>
  </w:footnote>
  <w:footnote w:id="22">
    <w:p w14:paraId="7CB21F05" w14:textId="1C0E09A1" w:rsidR="003B5C35" w:rsidRDefault="003B5C35" w:rsidP="00F033DB">
      <w:pPr>
        <w:pStyle w:val="FootnoteText"/>
      </w:pPr>
      <w:r>
        <w:rPr>
          <w:rStyle w:val="FootnoteReference"/>
        </w:rPr>
        <w:footnoteRef/>
      </w:r>
      <w:r>
        <w:t xml:space="preserve"> </w:t>
      </w:r>
      <w:r w:rsidRPr="00494CC6">
        <w:t>Public Chemical Registration Information System Search (PubCRIS)</w:t>
      </w:r>
      <w:r>
        <w:t xml:space="preserve"> </w:t>
      </w:r>
      <w:hyperlink r:id="rId22" w:history="1">
        <w:r w:rsidRPr="007C3A78">
          <w:rPr>
            <w:rStyle w:val="Hyperlink"/>
          </w:rPr>
          <w:t>https://portal.apvma.gov.au/pubcris</w:t>
        </w:r>
      </w:hyperlink>
    </w:p>
  </w:footnote>
  <w:footnote w:id="23">
    <w:p w14:paraId="585CF78E" w14:textId="3D5A103C" w:rsidR="003B5C35" w:rsidRDefault="003B5C35" w:rsidP="00F033DB">
      <w:pPr>
        <w:pStyle w:val="FootnoteText"/>
      </w:pPr>
      <w:r>
        <w:rPr>
          <w:rStyle w:val="FootnoteReference"/>
        </w:rPr>
        <w:footnoteRef/>
      </w:r>
      <w:r>
        <w:t xml:space="preserve"> </w:t>
      </w:r>
      <w:hyperlink r:id="rId23" w:history="1">
        <w:r w:rsidRPr="00792EA4">
          <w:rPr>
            <w:rStyle w:val="Hyperlink"/>
          </w:rPr>
          <w:t>https://www.irac-online.org/modes-of-action/</w:t>
        </w:r>
      </w:hyperlink>
    </w:p>
  </w:footnote>
  <w:footnote w:id="24">
    <w:p w14:paraId="0191DC6E" w14:textId="57A3EC97" w:rsidR="003B5C35" w:rsidRDefault="003B5C35" w:rsidP="00F033DB">
      <w:pPr>
        <w:pStyle w:val="FootnoteText"/>
      </w:pPr>
      <w:r>
        <w:rPr>
          <w:rStyle w:val="FootnoteReference"/>
        </w:rPr>
        <w:footnoteRef/>
      </w:r>
      <w:r>
        <w:t xml:space="preserve"> </w:t>
      </w:r>
      <w:r w:rsidRPr="00494CC6">
        <w:rPr>
          <w:szCs w:val="22"/>
        </w:rPr>
        <w:t>United States (U.S) Environmental Protection Agency</w:t>
      </w:r>
      <w:r>
        <w:t xml:space="preserve"> </w:t>
      </w:r>
      <w:hyperlink r:id="rId24" w:history="1">
        <w:r w:rsidRPr="008B78E3">
          <w:rPr>
            <w:rStyle w:val="Hyperlink"/>
          </w:rPr>
          <w:t>https://www3.epa.gov/pesticides/chem_search/reg_actions/registration/fs_PC-006329_26-Sep-03.pdf</w:t>
        </w:r>
      </w:hyperlink>
    </w:p>
  </w:footnote>
  <w:footnote w:id="25">
    <w:p w14:paraId="53C21345" w14:textId="6F64DE2D" w:rsidR="003B5C35" w:rsidRDefault="003B5C35" w:rsidP="00F033DB">
      <w:pPr>
        <w:pStyle w:val="FootnoteText"/>
      </w:pPr>
      <w:r>
        <w:rPr>
          <w:rStyle w:val="FootnoteReference"/>
        </w:rPr>
        <w:footnoteRef/>
      </w:r>
      <w:r>
        <w:t xml:space="preserve"> </w:t>
      </w:r>
      <w:r w:rsidRPr="00494CC6">
        <w:rPr>
          <w:szCs w:val="22"/>
        </w:rPr>
        <w:t>European Chemicals Agency (ECHA)</w:t>
      </w:r>
      <w:r>
        <w:t xml:space="preserve"> </w:t>
      </w:r>
      <w:hyperlink r:id="rId25" w:history="1">
        <w:r w:rsidRPr="00FA080E">
          <w:rPr>
            <w:rStyle w:val="Hyperlink"/>
          </w:rPr>
          <w:t>https://echa.europa.eu/search-for-chemicals</w:t>
        </w:r>
      </w:hyperlink>
    </w:p>
  </w:footnote>
  <w:footnote w:id="26">
    <w:p w14:paraId="576A1775" w14:textId="4F04D2DF" w:rsidR="003B5C35" w:rsidRDefault="003B5C35" w:rsidP="00F033DB">
      <w:pPr>
        <w:pStyle w:val="FootnoteText"/>
      </w:pPr>
      <w:r>
        <w:rPr>
          <w:rStyle w:val="FootnoteReference"/>
        </w:rPr>
        <w:footnoteRef/>
      </w:r>
      <w:r>
        <w:t xml:space="preserve"> </w:t>
      </w:r>
      <w:r w:rsidRPr="00557222">
        <w:t>New Zealand Medicines and Medical Devices Safety Authority (</w:t>
      </w:r>
      <w:r w:rsidRPr="00557222">
        <w:rPr>
          <w:szCs w:val="22"/>
        </w:rPr>
        <w:t>MedSafe)</w:t>
      </w:r>
      <w:r>
        <w:t xml:space="preserve"> </w:t>
      </w:r>
      <w:hyperlink r:id="rId26" w:history="1">
        <w:r w:rsidRPr="00FA080E">
          <w:rPr>
            <w:rStyle w:val="Hyperlink"/>
          </w:rPr>
          <w:t>https://www.medsafe.govt.nz/profs/class/classintro.asp</w:t>
        </w:r>
      </w:hyperlink>
    </w:p>
  </w:footnote>
  <w:footnote w:id="27">
    <w:p w14:paraId="1C12BD32" w14:textId="3342355A" w:rsidR="003B5C35" w:rsidRDefault="003B5C35" w:rsidP="00F033DB">
      <w:pPr>
        <w:pStyle w:val="FootnoteText"/>
      </w:pPr>
      <w:r>
        <w:rPr>
          <w:rStyle w:val="FootnoteReference"/>
        </w:rPr>
        <w:footnoteRef/>
      </w:r>
      <w:r>
        <w:t xml:space="preserve"> </w:t>
      </w:r>
      <w:r w:rsidRPr="00557222">
        <w:t>New Zealand Inventory of Chemicals (NZIoC)</w:t>
      </w:r>
      <w:r>
        <w:t xml:space="preserve"> </w:t>
      </w:r>
      <w:hyperlink r:id="rId27" w:history="1">
        <w:r w:rsidRPr="008B78E3">
          <w:rPr>
            <w:rStyle w:val="Hyperlink"/>
          </w:rPr>
          <w:t>https://www.epa.govt.nz/database-search/new-zealand-inventory-of-chemicals-nzioc/DatabaseSearchForm/?SiteDatabaseSearchFilters=36&amp;Keyword=acequinocyl&amp;DatabaseType=NZIOC</w:t>
        </w:r>
      </w:hyperlink>
    </w:p>
  </w:footnote>
  <w:footnote w:id="28">
    <w:p w14:paraId="15F0EAE7" w14:textId="147C97A6" w:rsidR="003B5C35" w:rsidRDefault="003B5C35" w:rsidP="00F033DB">
      <w:pPr>
        <w:pStyle w:val="FootnoteText"/>
      </w:pPr>
      <w:r>
        <w:rPr>
          <w:rStyle w:val="FootnoteReference"/>
        </w:rPr>
        <w:footnoteRef/>
      </w:r>
      <w:r>
        <w:t xml:space="preserve"> </w:t>
      </w:r>
      <w:r w:rsidRPr="00B47755">
        <w:t>Canada’s Pest Management Regulation Agency</w:t>
      </w:r>
      <w:r>
        <w:t xml:space="preserve"> </w:t>
      </w:r>
      <w:hyperlink r:id="rId28" w:history="1">
        <w:r w:rsidRPr="00FC7DB7">
          <w:rPr>
            <w:rStyle w:val="Hyperlink"/>
          </w:rPr>
          <w:t>https://pesticide-registry.canada.ca/en/active-ingredient-search.html</w:t>
        </w:r>
      </w:hyperlink>
    </w:p>
  </w:footnote>
  <w:footnote w:id="29">
    <w:p w14:paraId="56705B2F" w14:textId="0395B177" w:rsidR="003B5C35" w:rsidRDefault="003B5C35" w:rsidP="00F033DB">
      <w:pPr>
        <w:pStyle w:val="FootnoteText"/>
      </w:pPr>
      <w:r>
        <w:rPr>
          <w:rStyle w:val="FootnoteReference"/>
        </w:rPr>
        <w:footnoteRef/>
      </w:r>
      <w:r>
        <w:t xml:space="preserve"> </w:t>
      </w:r>
      <w:r w:rsidRPr="00B120B6">
        <w:t>Canadian (Health Canada) Drug Product Database</w:t>
      </w:r>
      <w:r>
        <w:t xml:space="preserve"> </w:t>
      </w:r>
      <w:hyperlink r:id="rId29" w:history="1">
        <w:r w:rsidRPr="00025BAA">
          <w:rPr>
            <w:rStyle w:val="Hyperlink"/>
          </w:rPr>
          <w:t>https://health-products.canada.ca/dpd-bdpp/index-eng.jsp</w:t>
        </w:r>
      </w:hyperlink>
    </w:p>
  </w:footnote>
  <w:footnote w:id="30">
    <w:p w14:paraId="5EF63BDD" w14:textId="4A8B1485" w:rsidR="003B5C35" w:rsidRDefault="003B5C35" w:rsidP="001E258A">
      <w:pPr>
        <w:pStyle w:val="FootnoteText"/>
      </w:pPr>
      <w:r>
        <w:rPr>
          <w:rStyle w:val="FootnoteReference"/>
        </w:rPr>
        <w:footnoteRef/>
      </w:r>
      <w:r>
        <w:t xml:space="preserve"> </w:t>
      </w:r>
      <w:r w:rsidRPr="00F53A0E">
        <w:t>Public Chemical Registration Information System Search (PubCRIS)</w:t>
      </w:r>
      <w:r>
        <w:t xml:space="preserve"> </w:t>
      </w:r>
      <w:hyperlink r:id="rId30" w:history="1">
        <w:r w:rsidRPr="007C3A78">
          <w:rPr>
            <w:rStyle w:val="Hyperlink"/>
          </w:rPr>
          <w:t>https://portal.apvma.gov.au/pubcris</w:t>
        </w:r>
      </w:hyperlink>
    </w:p>
  </w:footnote>
  <w:footnote w:id="31">
    <w:p w14:paraId="276379B5" w14:textId="3ECB70CE" w:rsidR="003B5C35" w:rsidRDefault="003B5C35" w:rsidP="001E258A">
      <w:pPr>
        <w:pStyle w:val="FootnoteText"/>
      </w:pPr>
      <w:r>
        <w:rPr>
          <w:rStyle w:val="FootnoteReference"/>
        </w:rPr>
        <w:footnoteRef/>
      </w:r>
      <w:r>
        <w:t xml:space="preserve"> </w:t>
      </w:r>
      <w:r w:rsidRPr="00361C74">
        <w:t>APVMA Adverse Experience Reporting Program</w:t>
      </w:r>
      <w:r>
        <w:rPr>
          <w:rStyle w:val="Hyperlink"/>
        </w:rPr>
        <w:t xml:space="preserve"> database (AERP)</w:t>
      </w:r>
      <w:r>
        <w:t xml:space="preserve"> </w:t>
      </w:r>
      <w:hyperlink r:id="rId31" w:history="1">
        <w:r w:rsidRPr="00417A9C">
          <w:rPr>
            <w:rStyle w:val="Hyperlink"/>
          </w:rPr>
          <w:t>https://apvma.gov.au/node/10946</w:t>
        </w:r>
      </w:hyperlink>
    </w:p>
  </w:footnote>
  <w:footnote w:id="32">
    <w:p w14:paraId="2E40E83A" w14:textId="77777777" w:rsidR="003B5C35" w:rsidRDefault="003B5C35" w:rsidP="001E258A">
      <w:pPr>
        <w:pStyle w:val="FootnoteText"/>
      </w:pPr>
      <w:r>
        <w:rPr>
          <w:rStyle w:val="FootnoteReference"/>
        </w:rPr>
        <w:footnoteRef/>
      </w:r>
      <w:r>
        <w:t xml:space="preserve"> </w:t>
      </w:r>
      <w:r w:rsidRPr="00C81411">
        <w:t>TGA Ingredient Database</w:t>
      </w:r>
      <w:r>
        <w:t xml:space="preserve"> </w:t>
      </w:r>
      <w:hyperlink r:id="rId32" w:history="1">
        <w:r w:rsidRPr="00725C06">
          <w:rPr>
            <w:rStyle w:val="Hyperlink"/>
          </w:rPr>
          <w:t>https://www.ebs.tga.gov.au/</w:t>
        </w:r>
      </w:hyperlink>
    </w:p>
  </w:footnote>
  <w:footnote w:id="33">
    <w:p w14:paraId="0B19B9E3" w14:textId="0F6C0150" w:rsidR="003B5C35" w:rsidRDefault="003B5C35" w:rsidP="001E258A">
      <w:pPr>
        <w:pStyle w:val="FootnoteText"/>
      </w:pPr>
      <w:r>
        <w:rPr>
          <w:rStyle w:val="FootnoteReference"/>
        </w:rPr>
        <w:footnoteRef/>
      </w:r>
      <w:r>
        <w:t xml:space="preserve"> ARTG database </w:t>
      </w:r>
      <w:hyperlink r:id="rId33" w:history="1">
        <w:r w:rsidRPr="00025BAA">
          <w:rPr>
            <w:rStyle w:val="Hyperlink"/>
          </w:rPr>
          <w:t>https://www.tga.gov.au/artg</w:t>
        </w:r>
      </w:hyperlink>
    </w:p>
  </w:footnote>
  <w:footnote w:id="34">
    <w:p w14:paraId="74FCF182" w14:textId="5B28F53A" w:rsidR="003B5C35" w:rsidRDefault="003B5C35" w:rsidP="001E258A">
      <w:pPr>
        <w:pStyle w:val="FootnoteText"/>
      </w:pPr>
      <w:r>
        <w:rPr>
          <w:rStyle w:val="FootnoteReference"/>
        </w:rPr>
        <w:footnoteRef/>
      </w:r>
      <w:r>
        <w:t xml:space="preserve"> </w:t>
      </w:r>
      <w:r w:rsidRPr="007F3638">
        <w:t>Therapeutic Goods (Permissible Ingredients) Determination</w:t>
      </w:r>
      <w:r>
        <w:t xml:space="preserve"> </w:t>
      </w:r>
      <w:hyperlink r:id="rId34" w:history="1">
        <w:r w:rsidRPr="00FE379B">
          <w:rPr>
            <w:rStyle w:val="Hyperlink"/>
          </w:rPr>
          <w:t>https://www.legislation.gov.au/Search/Therapeutic%20Goods%20$LB$Permissible%20Ingredients$RB$%20Determination</w:t>
        </w:r>
      </w:hyperlink>
    </w:p>
  </w:footnote>
  <w:footnote w:id="35">
    <w:p w14:paraId="26CA0356" w14:textId="470BF4E1" w:rsidR="003B5C35" w:rsidRPr="002F1C5C" w:rsidRDefault="003B5C35" w:rsidP="001E258A">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35" w:history="1">
        <w:r w:rsidRPr="00E974A4">
          <w:rPr>
            <w:rStyle w:val="Hyperlink"/>
            <w:szCs w:val="16"/>
          </w:rPr>
          <w:t>https://www.tga.gov.au/prescribing-medicines-pregnancy-database</w:t>
        </w:r>
      </w:hyperlink>
    </w:p>
  </w:footnote>
  <w:footnote w:id="36">
    <w:p w14:paraId="2EEEBE81" w14:textId="0F12A7F1" w:rsidR="003B5C35" w:rsidRDefault="003B5C35" w:rsidP="001E258A">
      <w:pPr>
        <w:pStyle w:val="FootnoteText"/>
      </w:pPr>
      <w:r>
        <w:rPr>
          <w:rStyle w:val="FootnoteReference"/>
        </w:rPr>
        <w:footnoteRef/>
      </w:r>
      <w:r>
        <w:t xml:space="preserve"> </w:t>
      </w:r>
      <w:r w:rsidRPr="007F3638">
        <w:t>Therapeutic Goods (Medicines Advisory Statements) Specification 2019</w:t>
      </w:r>
      <w:r>
        <w:t xml:space="preserve"> </w:t>
      </w:r>
      <w:hyperlink r:id="rId36" w:history="1">
        <w:r w:rsidRPr="00FC5165">
          <w:rPr>
            <w:rStyle w:val="Hyperlink"/>
          </w:rPr>
          <w:t>https://www.legislation.gov.au/Details/F2019L00213</w:t>
        </w:r>
      </w:hyperlink>
    </w:p>
  </w:footnote>
  <w:footnote w:id="37">
    <w:p w14:paraId="180F208D" w14:textId="4AD09830" w:rsidR="003B5C35" w:rsidRDefault="003B5C35" w:rsidP="001E258A">
      <w:pPr>
        <w:pStyle w:val="FootnoteText"/>
      </w:pPr>
      <w:r>
        <w:rPr>
          <w:rStyle w:val="FootnoteReference"/>
        </w:rPr>
        <w:footnoteRef/>
      </w:r>
      <w:r>
        <w:t xml:space="preserve"> </w:t>
      </w:r>
      <w:r w:rsidRPr="00C81411">
        <w:t>Database of Adverse Event Notifications (DAEN)</w:t>
      </w:r>
      <w:r>
        <w:t xml:space="preserve"> </w:t>
      </w:r>
      <w:hyperlink r:id="rId37" w:history="1">
        <w:r w:rsidRPr="007C3A78">
          <w:rPr>
            <w:rStyle w:val="Hyperlink"/>
          </w:rPr>
          <w:t>https://apps.tga.gov.au/Prod/daen/daen-entry.aspx</w:t>
        </w:r>
      </w:hyperlink>
    </w:p>
  </w:footnote>
  <w:footnote w:id="38">
    <w:p w14:paraId="176071DB" w14:textId="0D30E042" w:rsidR="003B5C35" w:rsidRDefault="003B5C35" w:rsidP="001E258A">
      <w:pPr>
        <w:pStyle w:val="FootnoteText"/>
      </w:pPr>
      <w:r>
        <w:rPr>
          <w:rStyle w:val="FootnoteReference"/>
        </w:rPr>
        <w:footnoteRef/>
      </w:r>
      <w:r>
        <w:t xml:space="preserve"> </w:t>
      </w:r>
      <w:r w:rsidRPr="00361C74">
        <w:t>Australian Inventory of Chemical Substances (AICS)</w:t>
      </w:r>
      <w:r>
        <w:t xml:space="preserve"> </w:t>
      </w:r>
      <w:hyperlink r:id="rId38" w:history="1">
        <w:r w:rsidRPr="00FC7DB7">
          <w:rPr>
            <w:rStyle w:val="Hyperlink"/>
          </w:rPr>
          <w:t>https://www.nicnas.gov.au/chemical-inventory</w:t>
        </w:r>
      </w:hyperlink>
    </w:p>
  </w:footnote>
  <w:footnote w:id="39">
    <w:p w14:paraId="1A54BF66" w14:textId="77777777" w:rsidR="003B5C35" w:rsidRPr="00FD7234" w:rsidRDefault="003B5C35" w:rsidP="001E258A">
      <w:pPr>
        <w:pStyle w:val="FootnoteText"/>
      </w:pPr>
      <w:r>
        <w:rPr>
          <w:rStyle w:val="FootnoteReference"/>
        </w:rPr>
        <w:footnoteRef/>
      </w:r>
      <w:r>
        <w:t xml:space="preserve"> </w:t>
      </w:r>
      <w:r w:rsidRPr="00FD7234">
        <w:t>Agrobacterium radiobacter strain K1026</w:t>
      </w:r>
    </w:p>
    <w:p w14:paraId="403F5C3C" w14:textId="74EA5A26" w:rsidR="003B5C35" w:rsidRDefault="003B5C35" w:rsidP="001E258A">
      <w:pPr>
        <w:pStyle w:val="FootnoteText"/>
      </w:pPr>
      <w:r w:rsidRPr="00FD7234">
        <w:t>(006474) Fact Sheet</w:t>
      </w:r>
      <w:r>
        <w:t xml:space="preserve"> </w:t>
      </w:r>
      <w:hyperlink r:id="rId39" w:history="1">
        <w:r w:rsidRPr="008D4623">
          <w:rPr>
            <w:rStyle w:val="Hyperlink"/>
          </w:rPr>
          <w:t>https://www3.epa.gov/pesticides/chem_search/reg_actions/registration/fs_PC-006474_25-Nov-09.pdf</w:t>
        </w:r>
      </w:hyperlink>
    </w:p>
  </w:footnote>
  <w:footnote w:id="40">
    <w:p w14:paraId="59C23BC4" w14:textId="3D7EAB55" w:rsidR="003B5C35" w:rsidRDefault="003B5C35" w:rsidP="001E258A">
      <w:pPr>
        <w:pStyle w:val="FootnoteText"/>
      </w:pPr>
      <w:r>
        <w:rPr>
          <w:rStyle w:val="FootnoteReference"/>
        </w:rPr>
        <w:footnoteRef/>
      </w:r>
      <w:r>
        <w:t xml:space="preserve"> </w:t>
      </w:r>
      <w:r w:rsidRPr="002A4D44">
        <w:t xml:space="preserve">United States Environmental Protection Agency’s (US EPA) Office of Pesticides Programs </w:t>
      </w:r>
      <w:hyperlink r:id="rId40" w:history="1">
        <w:r w:rsidRPr="002A4D44">
          <w:rPr>
            <w:rStyle w:val="Hyperlink"/>
            <w:szCs w:val="16"/>
          </w:rPr>
          <w:t>https://iaspub.epa.gov/apex/pesticides/f?p=CHEMICALSEARCH:1</w:t>
        </w:r>
      </w:hyperlink>
    </w:p>
  </w:footnote>
  <w:footnote w:id="41">
    <w:p w14:paraId="0B7BC378" w14:textId="77777777" w:rsidR="003B5C35" w:rsidRDefault="003B5C35" w:rsidP="001E258A">
      <w:pPr>
        <w:pStyle w:val="FootnoteText"/>
      </w:pPr>
      <w:r>
        <w:rPr>
          <w:rStyle w:val="FootnoteReference"/>
        </w:rPr>
        <w:footnoteRef/>
      </w:r>
      <w:r>
        <w:t xml:space="preserve"> </w:t>
      </w:r>
      <w:r w:rsidRPr="002A4D44">
        <w:t>FDA Approved Drug Products</w:t>
      </w:r>
      <w:r>
        <w:t xml:space="preserve"> Database </w:t>
      </w:r>
      <w:hyperlink r:id="rId41" w:history="1">
        <w:r w:rsidRPr="00FC7DB7">
          <w:rPr>
            <w:rStyle w:val="Hyperlink"/>
          </w:rPr>
          <w:t>https://www.accessdata.fda.gov/scripts/cder/daf/</w:t>
        </w:r>
      </w:hyperlink>
    </w:p>
  </w:footnote>
  <w:footnote w:id="42">
    <w:p w14:paraId="26069056" w14:textId="4BC968E3" w:rsidR="003B5C35" w:rsidRDefault="003B5C35" w:rsidP="001E258A">
      <w:pPr>
        <w:pStyle w:val="FootnoteText"/>
      </w:pPr>
      <w:r>
        <w:rPr>
          <w:rStyle w:val="FootnoteReference"/>
        </w:rPr>
        <w:footnoteRef/>
      </w:r>
      <w:r>
        <w:t xml:space="preserve"> </w:t>
      </w:r>
      <w:r w:rsidRPr="002A4D44">
        <w:rPr>
          <w:szCs w:val="22"/>
        </w:rPr>
        <w:t>European Chemicals Agency (ECHA)</w:t>
      </w:r>
      <w:r>
        <w:t xml:space="preserve"> </w:t>
      </w:r>
      <w:hyperlink r:id="rId42" w:history="1">
        <w:r w:rsidRPr="00FC7DB7">
          <w:rPr>
            <w:rStyle w:val="Hyperlink"/>
          </w:rPr>
          <w:t>https://echa.europa.eu/search-for-chemicals</w:t>
        </w:r>
      </w:hyperlink>
    </w:p>
  </w:footnote>
  <w:footnote w:id="43">
    <w:p w14:paraId="64DC007E" w14:textId="77777777" w:rsidR="003B5C35" w:rsidRDefault="003B5C35" w:rsidP="001E258A">
      <w:pPr>
        <w:pStyle w:val="FootnoteText"/>
      </w:pPr>
      <w:r>
        <w:rPr>
          <w:rStyle w:val="FootnoteReference"/>
        </w:rPr>
        <w:footnoteRef/>
      </w:r>
      <w:r>
        <w:t xml:space="preserve"> </w:t>
      </w:r>
      <w:hyperlink r:id="rId43" w:history="1">
        <w:r w:rsidRPr="00C81411">
          <w:rPr>
            <w:rStyle w:val="Hyperlink"/>
          </w:rPr>
          <w:t>European Commission database for information on cosmetic substances and ingredients database</w:t>
        </w:r>
      </w:hyperlink>
      <w:r>
        <w:rPr>
          <w:rStyle w:val="Hyperlink"/>
        </w:rPr>
        <w:t xml:space="preserve"> </w:t>
      </w:r>
      <w:r w:rsidRPr="002A4D44">
        <w:t>https://ec.europa.eu/growth/tools-databases/cosing/</w:t>
      </w:r>
    </w:p>
  </w:footnote>
  <w:footnote w:id="44">
    <w:p w14:paraId="670BC607" w14:textId="41EEC293" w:rsidR="003B5C35" w:rsidRDefault="003B5C35" w:rsidP="001E258A">
      <w:pPr>
        <w:pStyle w:val="FootnoteText"/>
      </w:pPr>
      <w:r>
        <w:rPr>
          <w:rStyle w:val="FootnoteReference"/>
        </w:rPr>
        <w:footnoteRef/>
      </w:r>
      <w:r>
        <w:t xml:space="preserve"> </w:t>
      </w:r>
      <w:r w:rsidRPr="00B47755">
        <w:t>European Union Pesticides Database</w:t>
      </w:r>
      <w:r>
        <w:t xml:space="preserve"> </w:t>
      </w:r>
      <w:hyperlink r:id="rId44" w:history="1">
        <w:r w:rsidRPr="00FC7DB7">
          <w:rPr>
            <w:rStyle w:val="Hyperlink"/>
          </w:rPr>
          <w:t>https://ec.europa.eu/food/plant/pesticides/eu-pesticides-database/public/?event=activesubstance.selection&amp;language=EN</w:t>
        </w:r>
      </w:hyperlink>
    </w:p>
  </w:footnote>
  <w:footnote w:id="45">
    <w:p w14:paraId="49B8D5BB" w14:textId="79687519" w:rsidR="003B5C35" w:rsidRDefault="003B5C35" w:rsidP="001E258A">
      <w:pPr>
        <w:pStyle w:val="FootnoteText"/>
      </w:pPr>
      <w:r>
        <w:rPr>
          <w:rStyle w:val="FootnoteReference"/>
        </w:rPr>
        <w:footnoteRef/>
      </w:r>
      <w:r>
        <w:t xml:space="preserve"> </w:t>
      </w:r>
      <w:r w:rsidRPr="00B47755">
        <w:t>New Zealand Inventory of Chemicals (NZIoC)</w:t>
      </w:r>
      <w:r>
        <w:t xml:space="preserve"> </w:t>
      </w:r>
      <w:hyperlink r:id="rId45" w:history="1">
        <w:r w:rsidRPr="00FC7DB7">
          <w:rPr>
            <w:rStyle w:val="Hyperlink"/>
          </w:rPr>
          <w:t>https://www.epa.govt.nz/database-search/new-zealand-inventory-of-chemicals-nzioc/DatabaseSearchForm/?SiteDatabaseSearchFilters=36&amp;Keyword=acequinocyl&amp;DatabaseType=NZIOC</w:t>
        </w:r>
      </w:hyperlink>
    </w:p>
  </w:footnote>
  <w:footnote w:id="46">
    <w:p w14:paraId="52EC42F2" w14:textId="77777777" w:rsidR="003B5C35" w:rsidRDefault="003B5C35" w:rsidP="001E258A">
      <w:pPr>
        <w:pStyle w:val="FootnoteText"/>
      </w:pPr>
      <w:r>
        <w:rPr>
          <w:rStyle w:val="FootnoteReference"/>
        </w:rPr>
        <w:footnoteRef/>
      </w:r>
      <w:r>
        <w:t xml:space="preserve"> </w:t>
      </w:r>
      <w:r w:rsidRPr="00B47755">
        <w:t>New Zealand Medicines and Medical Devices Safety Authority (MedSafe)</w:t>
      </w:r>
      <w:r>
        <w:t xml:space="preserve"> </w:t>
      </w:r>
      <w:hyperlink r:id="rId46" w:history="1">
        <w:r w:rsidRPr="00FC7DB7">
          <w:rPr>
            <w:rStyle w:val="Hyperlink"/>
          </w:rPr>
          <w:t>https://www.medsafe.govt.nz/profs/class/classintro.asp</w:t>
        </w:r>
      </w:hyperlink>
    </w:p>
  </w:footnote>
  <w:footnote w:id="47">
    <w:p w14:paraId="4CD119DA" w14:textId="34EBFB65" w:rsidR="003B5C35" w:rsidRDefault="003B5C35" w:rsidP="001E258A">
      <w:pPr>
        <w:pStyle w:val="FootnoteText"/>
      </w:pPr>
      <w:r>
        <w:rPr>
          <w:rStyle w:val="FootnoteReference"/>
        </w:rPr>
        <w:footnoteRef/>
      </w:r>
      <w:r>
        <w:t xml:space="preserve"> </w:t>
      </w:r>
      <w:r w:rsidRPr="00B47755">
        <w:t>Canada’s Pest Management Regulation Agency</w:t>
      </w:r>
      <w:r>
        <w:t xml:space="preserve"> </w:t>
      </w:r>
      <w:hyperlink r:id="rId47" w:history="1">
        <w:r w:rsidRPr="00FC7DB7">
          <w:rPr>
            <w:rStyle w:val="Hyperlink"/>
          </w:rPr>
          <w:t>https://pesticide-registry.canada.ca/en/active-ingredient-search.html</w:t>
        </w:r>
      </w:hyperlink>
    </w:p>
  </w:footnote>
  <w:footnote w:id="48">
    <w:p w14:paraId="0CD9952B" w14:textId="08B29E71" w:rsidR="003B5C35" w:rsidRDefault="003B5C35" w:rsidP="001E258A">
      <w:pPr>
        <w:pStyle w:val="FootnoteText"/>
      </w:pPr>
      <w:r>
        <w:rPr>
          <w:rStyle w:val="FootnoteReference"/>
        </w:rPr>
        <w:footnoteRef/>
      </w:r>
      <w:r>
        <w:t xml:space="preserve"> </w:t>
      </w:r>
      <w:r w:rsidRPr="00B47755">
        <w:t>Canadian (Health Canada) Drug Product Database</w:t>
      </w:r>
      <w:r>
        <w:t xml:space="preserve"> </w:t>
      </w:r>
      <w:hyperlink r:id="rId48" w:history="1">
        <w:r w:rsidRPr="00FC7DB7">
          <w:rPr>
            <w:rStyle w:val="Hyperlink"/>
          </w:rPr>
          <w:t>https://health-products.canada.ca/dpd-bdpp/index-eng.jsp</w:t>
        </w:r>
      </w:hyperlink>
    </w:p>
  </w:footnote>
  <w:footnote w:id="49">
    <w:p w14:paraId="3581C0F1" w14:textId="489A96AD" w:rsidR="003B5C35" w:rsidRDefault="003B5C35" w:rsidP="001E258A">
      <w:pPr>
        <w:pStyle w:val="FootnoteText"/>
      </w:pPr>
      <w:r>
        <w:rPr>
          <w:rStyle w:val="FootnoteReference"/>
        </w:rPr>
        <w:footnoteRef/>
      </w:r>
      <w:r>
        <w:t xml:space="preserve"> </w:t>
      </w:r>
      <w:r w:rsidRPr="00FD7234">
        <w:rPr>
          <w:i/>
        </w:rPr>
        <w:t>Agrobacterium radiobacter</w:t>
      </w:r>
      <w:r w:rsidRPr="00FD7234">
        <w:t xml:space="preserve"> strain K1026(006474) Fact Sheet</w:t>
      </w:r>
      <w:r>
        <w:t xml:space="preserve"> </w:t>
      </w:r>
      <w:hyperlink r:id="rId49" w:history="1">
        <w:r w:rsidRPr="008D4623">
          <w:rPr>
            <w:rStyle w:val="Hyperlink"/>
          </w:rPr>
          <w:t>https://www3.epa.gov/pesticides/chem_search/reg_actions/registration/fs_PC-006474_25-Nov-09.pdf</w:t>
        </w:r>
      </w:hyperlink>
    </w:p>
  </w:footnote>
  <w:footnote w:id="50">
    <w:p w14:paraId="4DD3B48B" w14:textId="6975C60E" w:rsidR="003B5C35" w:rsidRDefault="003B5C35" w:rsidP="001E258A">
      <w:pPr>
        <w:pStyle w:val="FootnoteText"/>
      </w:pPr>
      <w:r>
        <w:rPr>
          <w:rStyle w:val="FootnoteReference"/>
        </w:rPr>
        <w:footnoteRef/>
      </w:r>
      <w:r>
        <w:t xml:space="preserve"> </w:t>
      </w:r>
      <w:r w:rsidRPr="00FD7234">
        <w:rPr>
          <w:i/>
        </w:rPr>
        <w:t>Agrobacterium radiobacter</w:t>
      </w:r>
      <w:r w:rsidRPr="00FD7234">
        <w:t xml:space="preserve"> strain K1026</w:t>
      </w:r>
      <w:r>
        <w:t xml:space="preserve"> </w:t>
      </w:r>
      <w:r w:rsidRPr="00FD7234">
        <w:t>(006474) Fact Sheet</w:t>
      </w:r>
      <w:r>
        <w:t xml:space="preserve"> </w:t>
      </w:r>
      <w:hyperlink r:id="rId50" w:history="1">
        <w:r w:rsidRPr="008D4623">
          <w:rPr>
            <w:rStyle w:val="Hyperlink"/>
          </w:rPr>
          <w:t>https://www3.epa.gov/pesticides/chem_search/reg_actions/registration/fs_PC-006474_25-Nov-09.pdf</w:t>
        </w:r>
      </w:hyperlink>
    </w:p>
  </w:footnote>
  <w:footnote w:id="51">
    <w:p w14:paraId="2BDBC8E4" w14:textId="77777777" w:rsidR="003B5C35" w:rsidRDefault="003B5C35" w:rsidP="001E258A">
      <w:pPr>
        <w:pStyle w:val="FootnoteText"/>
      </w:pPr>
      <w:r>
        <w:rPr>
          <w:rStyle w:val="FootnoteReference"/>
        </w:rPr>
        <w:footnoteRef/>
      </w:r>
      <w:r>
        <w:t xml:space="preserve"> </w:t>
      </w:r>
      <w:r w:rsidRPr="00C81411">
        <w:t>TGA Ingredient Database</w:t>
      </w:r>
      <w:r>
        <w:t xml:space="preserve"> </w:t>
      </w:r>
      <w:hyperlink r:id="rId51" w:history="1">
        <w:r w:rsidRPr="00EB55F9">
          <w:rPr>
            <w:rStyle w:val="Hyperlink"/>
          </w:rPr>
          <w:t>https://www.ebs.tga.gov.au/</w:t>
        </w:r>
      </w:hyperlink>
    </w:p>
  </w:footnote>
  <w:footnote w:id="52">
    <w:p w14:paraId="29B6A746" w14:textId="591B9FA7" w:rsidR="003B5C35" w:rsidRDefault="003B5C35" w:rsidP="001E258A">
      <w:pPr>
        <w:pStyle w:val="FootnoteText"/>
      </w:pPr>
      <w:r>
        <w:rPr>
          <w:rStyle w:val="FootnoteReference"/>
        </w:rPr>
        <w:footnoteRef/>
      </w:r>
      <w:r>
        <w:t xml:space="preserve"> ARTG database </w:t>
      </w:r>
      <w:hyperlink r:id="rId52" w:history="1">
        <w:r w:rsidRPr="00025BAA">
          <w:rPr>
            <w:rStyle w:val="Hyperlink"/>
          </w:rPr>
          <w:t>https://www.tga.gov.au/artg</w:t>
        </w:r>
      </w:hyperlink>
    </w:p>
  </w:footnote>
  <w:footnote w:id="53">
    <w:p w14:paraId="5F3BF71A" w14:textId="77777777" w:rsidR="003B5C35" w:rsidRDefault="003B5C35" w:rsidP="001E258A">
      <w:pPr>
        <w:pStyle w:val="FootnoteText"/>
      </w:pPr>
      <w:r>
        <w:rPr>
          <w:rStyle w:val="FootnoteReference"/>
        </w:rPr>
        <w:footnoteRef/>
      </w:r>
      <w:r>
        <w:t xml:space="preserve"> </w:t>
      </w:r>
      <w:r w:rsidRPr="007F3638">
        <w:t>Therapeutic Goods (Permissi</w:t>
      </w:r>
      <w:r>
        <w:t xml:space="preserve">ble Ingredients) Determination </w:t>
      </w:r>
      <w:hyperlink r:id="rId53" w:history="1">
        <w:r w:rsidRPr="00FD55C3">
          <w:rPr>
            <w:rStyle w:val="Hyperlink"/>
          </w:rPr>
          <w:t>https://www.legislation.gov.au/Details/F2019L01472/Html/Volume_4</w:t>
        </w:r>
      </w:hyperlink>
    </w:p>
  </w:footnote>
  <w:footnote w:id="54">
    <w:p w14:paraId="1A839603" w14:textId="362FF805" w:rsidR="003B5C35" w:rsidRPr="002F1C5C" w:rsidRDefault="003B5C35" w:rsidP="001E258A">
      <w:pPr>
        <w:pStyle w:val="FootnoteText"/>
        <w:rPr>
          <w:szCs w:val="16"/>
        </w:rPr>
      </w:pPr>
      <w:r w:rsidRPr="002F1C5C">
        <w:rPr>
          <w:rStyle w:val="FootnoteReference"/>
          <w:szCs w:val="16"/>
        </w:rPr>
        <w:footnoteRef/>
      </w:r>
      <w:r>
        <w:rPr>
          <w:szCs w:val="16"/>
        </w:rPr>
        <w:t xml:space="preserve"> </w:t>
      </w:r>
      <w:r w:rsidRPr="00C81411">
        <w:t>TGA prescribing medicines in pregnancy database</w:t>
      </w:r>
      <w:r>
        <w:t xml:space="preserve"> </w:t>
      </w:r>
      <w:hyperlink r:id="rId54" w:history="1">
        <w:r w:rsidRPr="00E974A4">
          <w:rPr>
            <w:rStyle w:val="Hyperlink"/>
            <w:szCs w:val="16"/>
          </w:rPr>
          <w:t>https://www.tga.gov.au/prescribing-medicines-pregnancy-database</w:t>
        </w:r>
      </w:hyperlink>
    </w:p>
  </w:footnote>
  <w:footnote w:id="55">
    <w:p w14:paraId="451EA457" w14:textId="3CD57180" w:rsidR="003B5C35" w:rsidRDefault="003B5C35" w:rsidP="001E258A">
      <w:pPr>
        <w:pStyle w:val="FootnoteText"/>
      </w:pPr>
      <w:r>
        <w:rPr>
          <w:rStyle w:val="FootnoteReference"/>
        </w:rPr>
        <w:footnoteRef/>
      </w:r>
      <w:r>
        <w:t xml:space="preserve"> </w:t>
      </w:r>
      <w:r w:rsidRPr="007F3638">
        <w:t>Therapeutic Goods (Medicines Advisory Statements) Specification 2019</w:t>
      </w:r>
      <w:r>
        <w:t xml:space="preserve"> </w:t>
      </w:r>
      <w:hyperlink r:id="rId55" w:history="1">
        <w:r w:rsidRPr="00FC5165">
          <w:rPr>
            <w:rStyle w:val="Hyperlink"/>
          </w:rPr>
          <w:t>https://www.legislation.gov.au/Details/F2019L00213</w:t>
        </w:r>
      </w:hyperlink>
    </w:p>
  </w:footnote>
  <w:footnote w:id="56">
    <w:p w14:paraId="439380BC" w14:textId="6DEF8622" w:rsidR="003B5C35" w:rsidRDefault="003B5C35" w:rsidP="001E258A">
      <w:pPr>
        <w:pStyle w:val="FootnoteText"/>
      </w:pPr>
      <w:r>
        <w:rPr>
          <w:rStyle w:val="FootnoteReference"/>
        </w:rPr>
        <w:footnoteRef/>
      </w:r>
      <w:r>
        <w:t xml:space="preserve"> </w:t>
      </w:r>
      <w:r w:rsidRPr="00C81411">
        <w:t>Database of Adverse Event Notifications (DAEN)</w:t>
      </w:r>
      <w:r>
        <w:t xml:space="preserve"> </w:t>
      </w:r>
      <w:hyperlink r:id="rId56" w:history="1">
        <w:r w:rsidRPr="007C3A78">
          <w:rPr>
            <w:rStyle w:val="Hyperlink"/>
          </w:rPr>
          <w:t>https://apps.tga.gov.au/Prod/daen/daen-entry.aspx</w:t>
        </w:r>
      </w:hyperlink>
    </w:p>
  </w:footnote>
  <w:footnote w:id="57">
    <w:p w14:paraId="0CBE920E" w14:textId="616D5665" w:rsidR="003B5C35" w:rsidRDefault="003B5C35" w:rsidP="001E258A">
      <w:pPr>
        <w:pStyle w:val="FootnoteText"/>
      </w:pPr>
      <w:r>
        <w:rPr>
          <w:rStyle w:val="FootnoteReference"/>
        </w:rPr>
        <w:footnoteRef/>
      </w:r>
      <w:r>
        <w:t xml:space="preserve"> </w:t>
      </w:r>
      <w:r w:rsidRPr="00F53A0E">
        <w:t>Public Chemical Registration Information System Search (PubCRIS)</w:t>
      </w:r>
      <w:r>
        <w:t xml:space="preserve"> </w:t>
      </w:r>
      <w:hyperlink r:id="rId57" w:history="1">
        <w:r w:rsidRPr="007C3A78">
          <w:rPr>
            <w:rStyle w:val="Hyperlink"/>
          </w:rPr>
          <w:t>https://portal.apvma.gov.au/pubcris</w:t>
        </w:r>
      </w:hyperlink>
    </w:p>
  </w:footnote>
  <w:footnote w:id="58">
    <w:p w14:paraId="05F5C9D4" w14:textId="09DBD1B0" w:rsidR="003B5C35" w:rsidRDefault="003B5C35" w:rsidP="001E258A">
      <w:pPr>
        <w:pStyle w:val="FootnoteText"/>
      </w:pPr>
      <w:r>
        <w:rPr>
          <w:rStyle w:val="FootnoteReference"/>
        </w:rPr>
        <w:footnoteRef/>
      </w:r>
      <w:r>
        <w:t xml:space="preserve"> </w:t>
      </w:r>
      <w:r w:rsidRPr="00361C74">
        <w:t>APVMA Adverse Experience Reporting Program</w:t>
      </w:r>
      <w:r w:rsidRPr="00EB55F9">
        <w:rPr>
          <w:rStyle w:val="Hyperlink"/>
          <w:color w:val="auto"/>
          <w:u w:val="none"/>
        </w:rPr>
        <w:t xml:space="preserve"> </w:t>
      </w:r>
      <w:r>
        <w:rPr>
          <w:rStyle w:val="Hyperlink"/>
        </w:rPr>
        <w:t>database (AERP)</w:t>
      </w:r>
      <w:r>
        <w:t xml:space="preserve"> </w:t>
      </w:r>
      <w:hyperlink r:id="rId58" w:history="1">
        <w:r w:rsidRPr="00417A9C">
          <w:rPr>
            <w:rStyle w:val="Hyperlink"/>
          </w:rPr>
          <w:t>https://apvma.gov.au/node/10946</w:t>
        </w:r>
      </w:hyperlink>
    </w:p>
  </w:footnote>
  <w:footnote w:id="59">
    <w:p w14:paraId="414C79F8" w14:textId="13EF1052" w:rsidR="003B5C35" w:rsidRDefault="003B5C35" w:rsidP="001E258A">
      <w:pPr>
        <w:pStyle w:val="FootnoteText"/>
      </w:pPr>
      <w:r>
        <w:rPr>
          <w:rStyle w:val="FootnoteReference"/>
        </w:rPr>
        <w:footnoteRef/>
      </w:r>
      <w:r>
        <w:t xml:space="preserve"> </w:t>
      </w:r>
      <w:r w:rsidRPr="00361C74">
        <w:t>Australian Inventory of Chemical Substances (AICS)</w:t>
      </w:r>
      <w:r>
        <w:t xml:space="preserve"> </w:t>
      </w:r>
      <w:hyperlink r:id="rId59" w:history="1">
        <w:r w:rsidRPr="00FC7DB7">
          <w:rPr>
            <w:rStyle w:val="Hyperlink"/>
          </w:rPr>
          <w:t>https://www.nicnas.gov.au/chemical-inventory</w:t>
        </w:r>
      </w:hyperlink>
    </w:p>
  </w:footnote>
  <w:footnote w:id="60">
    <w:p w14:paraId="2DF00286" w14:textId="62D38B52" w:rsidR="003B5C35" w:rsidRDefault="003B5C35" w:rsidP="001E258A">
      <w:pPr>
        <w:pStyle w:val="FootnoteText"/>
      </w:pPr>
      <w:r>
        <w:rPr>
          <w:rStyle w:val="FootnoteReference"/>
        </w:rPr>
        <w:footnoteRef/>
      </w:r>
      <w:r>
        <w:t xml:space="preserve"> </w:t>
      </w:r>
      <w:r w:rsidRPr="002A4D44">
        <w:rPr>
          <w:szCs w:val="16"/>
        </w:rPr>
        <w:t xml:space="preserve">United States Environmental Protection Agency’s (US EPA) Office of Pesticides Programs </w:t>
      </w:r>
      <w:hyperlink r:id="rId60" w:history="1">
        <w:r w:rsidRPr="002A4D44">
          <w:rPr>
            <w:rStyle w:val="Hyperlink"/>
            <w:szCs w:val="16"/>
          </w:rPr>
          <w:t>https://iaspub.epa.gov/apex/pesticides/f?p=CHEMICALSEARCH:1</w:t>
        </w:r>
      </w:hyperlink>
    </w:p>
  </w:footnote>
  <w:footnote w:id="61">
    <w:p w14:paraId="6B9DA9F1" w14:textId="4F3DE81D" w:rsidR="003B5C35" w:rsidRDefault="003B5C35" w:rsidP="001E258A">
      <w:pPr>
        <w:pStyle w:val="FootnoteText"/>
      </w:pPr>
      <w:r>
        <w:rPr>
          <w:rStyle w:val="FootnoteReference"/>
        </w:rPr>
        <w:footnoteRef/>
      </w:r>
      <w:r>
        <w:t xml:space="preserve"> EPA </w:t>
      </w:r>
      <w:r>
        <w:rPr>
          <w:lang w:val="en"/>
        </w:rPr>
        <w:t>Registration Review Schedules</w:t>
      </w:r>
      <w:r>
        <w:t xml:space="preserve"> </w:t>
      </w:r>
      <w:hyperlink r:id="rId61" w:history="1">
        <w:r w:rsidRPr="00C9631F">
          <w:rPr>
            <w:rStyle w:val="Hyperlink"/>
          </w:rPr>
          <w:t>https://www.epa.gov/pesticide-reevaluation/registration-review-schedules</w:t>
        </w:r>
      </w:hyperlink>
    </w:p>
  </w:footnote>
  <w:footnote w:id="62">
    <w:p w14:paraId="1A8D6589" w14:textId="77777777" w:rsidR="003B5C35" w:rsidRDefault="003B5C35" w:rsidP="001E258A">
      <w:pPr>
        <w:pStyle w:val="FootnoteText"/>
      </w:pPr>
      <w:r>
        <w:rPr>
          <w:rStyle w:val="FootnoteReference"/>
        </w:rPr>
        <w:footnoteRef/>
      </w:r>
      <w:r>
        <w:t xml:space="preserve"> </w:t>
      </w:r>
      <w:r w:rsidRPr="002A4D44">
        <w:t>FDA Approved Drug Products</w:t>
      </w:r>
      <w:r>
        <w:t xml:space="preserve"> Database </w:t>
      </w:r>
      <w:hyperlink r:id="rId62" w:history="1">
        <w:r w:rsidRPr="00FC7DB7">
          <w:rPr>
            <w:rStyle w:val="Hyperlink"/>
          </w:rPr>
          <w:t>https://www.accessdata.fda.gov/scripts/cder/daf/</w:t>
        </w:r>
      </w:hyperlink>
    </w:p>
  </w:footnote>
  <w:footnote w:id="63">
    <w:p w14:paraId="3D7CEA4C" w14:textId="20F31B5B" w:rsidR="003B5C35" w:rsidRPr="002674F2" w:rsidRDefault="003B5C35" w:rsidP="001E258A">
      <w:pPr>
        <w:pStyle w:val="FootnoteText"/>
      </w:pPr>
      <w:r>
        <w:rPr>
          <w:rStyle w:val="FootnoteReference"/>
        </w:rPr>
        <w:footnoteRef/>
      </w:r>
      <w:r>
        <w:t xml:space="preserve"> </w:t>
      </w:r>
      <w:r w:rsidRPr="008521D9">
        <w:t>European Chemicals Agency (ECHA)</w:t>
      </w:r>
      <w:r>
        <w:t xml:space="preserve"> </w:t>
      </w:r>
      <w:hyperlink r:id="rId63" w:history="1">
        <w:r w:rsidRPr="00FA080E">
          <w:rPr>
            <w:rStyle w:val="Hyperlink"/>
          </w:rPr>
          <w:t>https://echa.europa.eu/search-for-chemicals</w:t>
        </w:r>
      </w:hyperlink>
    </w:p>
  </w:footnote>
  <w:footnote w:id="64">
    <w:p w14:paraId="7C3541EB" w14:textId="17BDEA1D" w:rsidR="003B5C35" w:rsidRDefault="003B5C35" w:rsidP="001E258A">
      <w:pPr>
        <w:pStyle w:val="FootnoteText"/>
      </w:pPr>
      <w:r>
        <w:rPr>
          <w:rStyle w:val="FootnoteReference"/>
        </w:rPr>
        <w:footnoteRef/>
      </w:r>
      <w:r>
        <w:t xml:space="preserve"> </w:t>
      </w:r>
      <w:r w:rsidRPr="00B47755">
        <w:t>European Union Pesticides Database</w:t>
      </w:r>
      <w:r>
        <w:t xml:space="preserve"> </w:t>
      </w:r>
      <w:hyperlink r:id="rId64" w:history="1">
        <w:r w:rsidRPr="00FC7DB7">
          <w:rPr>
            <w:rStyle w:val="Hyperlink"/>
          </w:rPr>
          <w:t>https://ec.europa.eu/food/plant/pesticides/eu-pesticides-database/public/?event=activesubstance.selection&amp;language=EN</w:t>
        </w:r>
      </w:hyperlink>
    </w:p>
  </w:footnote>
  <w:footnote w:id="65">
    <w:p w14:paraId="222ECC2F" w14:textId="4C8F3D38" w:rsidR="003B5C35" w:rsidRDefault="003B5C35" w:rsidP="001E258A">
      <w:pPr>
        <w:pStyle w:val="FootnoteText"/>
      </w:pPr>
      <w:r>
        <w:rPr>
          <w:rStyle w:val="FootnoteReference"/>
        </w:rPr>
        <w:footnoteRef/>
      </w:r>
      <w:r>
        <w:t xml:space="preserve"> </w:t>
      </w:r>
      <w:r w:rsidRPr="008109AF">
        <w:t>European Commission database for information on cosmetic substances and ingredients database</w:t>
      </w:r>
      <w:r>
        <w:rPr>
          <w:rStyle w:val="Hyperlink"/>
        </w:rPr>
        <w:t xml:space="preserve"> </w:t>
      </w:r>
      <w:hyperlink r:id="rId65" w:history="1">
        <w:r w:rsidRPr="00FD55C3">
          <w:rPr>
            <w:rStyle w:val="Hyperlink"/>
          </w:rPr>
          <w:t>https://ec.europa.eu/growth/tools-databases/cosing/</w:t>
        </w:r>
      </w:hyperlink>
    </w:p>
  </w:footnote>
  <w:footnote w:id="66">
    <w:p w14:paraId="785BEBA1" w14:textId="515ADD44" w:rsidR="003B5C35" w:rsidRDefault="003B5C35" w:rsidP="001E258A">
      <w:pPr>
        <w:pStyle w:val="FootnoteText"/>
      </w:pPr>
      <w:r>
        <w:rPr>
          <w:rStyle w:val="FootnoteReference"/>
        </w:rPr>
        <w:footnoteRef/>
      </w:r>
      <w:r>
        <w:t xml:space="preserve"> </w:t>
      </w:r>
      <w:r w:rsidRPr="00B47755">
        <w:t>New Zealand Inventory of Chemicals (NZIoC)</w:t>
      </w:r>
      <w:r>
        <w:t xml:space="preserve"> </w:t>
      </w:r>
      <w:hyperlink r:id="rId66" w:history="1">
        <w:r w:rsidRPr="00FC7DB7">
          <w:rPr>
            <w:rStyle w:val="Hyperlink"/>
          </w:rPr>
          <w:t>https://www.epa.govt.nz/database-search/new-zealand-inventory-of-chemicals-nzioc/DatabaseSearchForm/?SiteDatabaseSearchFilters=36&amp;Keyword=acequinocyl&amp;DatabaseType=NZIOC</w:t>
        </w:r>
      </w:hyperlink>
    </w:p>
  </w:footnote>
  <w:footnote w:id="67">
    <w:p w14:paraId="796B8768" w14:textId="77777777" w:rsidR="003B5C35" w:rsidRDefault="003B5C35" w:rsidP="001E258A">
      <w:pPr>
        <w:pStyle w:val="FootnoteText"/>
      </w:pPr>
      <w:r>
        <w:rPr>
          <w:rStyle w:val="FootnoteReference"/>
        </w:rPr>
        <w:footnoteRef/>
      </w:r>
      <w:r>
        <w:t xml:space="preserve"> </w:t>
      </w:r>
      <w:r w:rsidRPr="00B47755">
        <w:t>New Zealand Medicines and Medical Devices Safety Authority (MedSafe)</w:t>
      </w:r>
      <w:r>
        <w:t xml:space="preserve"> </w:t>
      </w:r>
      <w:hyperlink r:id="rId67" w:history="1">
        <w:r w:rsidRPr="00FC7DB7">
          <w:rPr>
            <w:rStyle w:val="Hyperlink"/>
          </w:rPr>
          <w:t>https://www.medsafe.govt.nz/profs/class/classintro.asp</w:t>
        </w:r>
      </w:hyperlink>
    </w:p>
  </w:footnote>
  <w:footnote w:id="68">
    <w:p w14:paraId="2D368DCE" w14:textId="48AC6AD2" w:rsidR="003B5C35" w:rsidRDefault="003B5C35" w:rsidP="001E258A">
      <w:pPr>
        <w:pStyle w:val="FootnoteText"/>
      </w:pPr>
      <w:r>
        <w:rPr>
          <w:rStyle w:val="FootnoteReference"/>
        </w:rPr>
        <w:footnoteRef/>
      </w:r>
      <w:r>
        <w:t xml:space="preserve"> </w:t>
      </w:r>
      <w:r w:rsidRPr="00B47755">
        <w:t>Canada’s Pest Management Regulation Agency</w:t>
      </w:r>
      <w:r>
        <w:t xml:space="preserve"> </w:t>
      </w:r>
      <w:hyperlink r:id="rId68" w:history="1">
        <w:r w:rsidRPr="00FC7DB7">
          <w:rPr>
            <w:rStyle w:val="Hyperlink"/>
          </w:rPr>
          <w:t>https://pesticide-registry.canada.ca/en/active-ingredient-search.html</w:t>
        </w:r>
      </w:hyperlink>
    </w:p>
  </w:footnote>
  <w:footnote w:id="69">
    <w:p w14:paraId="20EAD667" w14:textId="22CD5528" w:rsidR="003B5C35" w:rsidRDefault="003B5C35" w:rsidP="001E258A">
      <w:pPr>
        <w:pStyle w:val="FootnoteText"/>
      </w:pPr>
      <w:r>
        <w:rPr>
          <w:rStyle w:val="FootnoteReference"/>
        </w:rPr>
        <w:footnoteRef/>
      </w:r>
      <w:r>
        <w:t xml:space="preserve"> </w:t>
      </w:r>
      <w:r w:rsidRPr="00B47755">
        <w:t>Canadian (Health Canada) Drug Product Database</w:t>
      </w:r>
      <w:r>
        <w:t xml:space="preserve"> </w:t>
      </w:r>
      <w:hyperlink r:id="rId69" w:history="1">
        <w:r w:rsidRPr="00FC7DB7">
          <w:rPr>
            <w:rStyle w:val="Hyperlink"/>
          </w:rPr>
          <w:t>https://health-products.canada.ca/dpd-bdpp/index-eng.jsp</w:t>
        </w:r>
      </w:hyperlink>
    </w:p>
  </w:footnote>
  <w:footnote w:id="70">
    <w:p w14:paraId="6C2FFA97" w14:textId="032CAE7B" w:rsidR="003B5C35" w:rsidRDefault="003B5C35" w:rsidP="001E258A">
      <w:pPr>
        <w:pStyle w:val="FootnoteText"/>
      </w:pPr>
      <w:r>
        <w:rPr>
          <w:rStyle w:val="FootnoteReference"/>
        </w:rPr>
        <w:footnoteRef/>
      </w:r>
      <w:r>
        <w:t xml:space="preserve"> </w:t>
      </w:r>
      <w:r w:rsidRPr="00817ACC">
        <w:t>Nonanoic acid</w:t>
      </w:r>
      <w:r>
        <w:t xml:space="preserve"> Final Decision, June 2016 </w:t>
      </w:r>
      <w:hyperlink r:id="rId70" w:history="1">
        <w:r w:rsidRPr="00FD55C3">
          <w:rPr>
            <w:rStyle w:val="Hyperlink"/>
          </w:rPr>
          <w:t>https://www.tga.gov.au/book-page/111-nonanoic-acid-0</w:t>
        </w:r>
      </w:hyperlink>
    </w:p>
  </w:footnote>
  <w:footnote w:id="71">
    <w:p w14:paraId="07AD7682" w14:textId="6ECA92BF" w:rsidR="003B5C35" w:rsidRDefault="003B5C35" w:rsidP="001E258A">
      <w:pPr>
        <w:pStyle w:val="FootnoteText"/>
      </w:pPr>
      <w:r>
        <w:rPr>
          <w:rStyle w:val="FootnoteReference"/>
        </w:rPr>
        <w:footnoteRef/>
      </w:r>
      <w:r>
        <w:t xml:space="preserve"> </w:t>
      </w:r>
      <w:r>
        <w:rPr>
          <w:lang w:val="en"/>
        </w:rPr>
        <w:t xml:space="preserve">Test No. 403: Acute Inhalation Toxicity </w:t>
      </w:r>
      <w:hyperlink r:id="rId71" w:history="1">
        <w:r w:rsidRPr="003062BA">
          <w:rPr>
            <w:rStyle w:val="Hyperlink"/>
          </w:rPr>
          <w:t>https://www.oecd.org/env/test-no-403-acute-inhalation-toxicity-9789264070608-en.htm</w:t>
        </w:r>
      </w:hyperlink>
    </w:p>
  </w:footnote>
  <w:footnote w:id="72">
    <w:p w14:paraId="5FBB493C" w14:textId="165D0D13" w:rsidR="003B5C35" w:rsidRPr="00916937" w:rsidRDefault="003B5C35" w:rsidP="000E79FA">
      <w:pPr>
        <w:pStyle w:val="FootnoteText"/>
        <w:rPr>
          <w:sz w:val="16"/>
          <w:szCs w:val="16"/>
        </w:rPr>
      </w:pPr>
      <w:r w:rsidRPr="00916937">
        <w:rPr>
          <w:rStyle w:val="FootnoteReference"/>
          <w:sz w:val="16"/>
          <w:szCs w:val="16"/>
        </w:rPr>
        <w:footnoteRef/>
      </w:r>
      <w:r w:rsidRPr="00916937">
        <w:rPr>
          <w:sz w:val="16"/>
          <w:szCs w:val="16"/>
        </w:rPr>
        <w:t xml:space="preserve"> </w:t>
      </w:r>
      <w:hyperlink r:id="rId72" w:history="1">
        <w:r w:rsidRPr="00916937">
          <w:rPr>
            <w:rStyle w:val="Hyperlink"/>
            <w:sz w:val="16"/>
            <w:szCs w:val="16"/>
          </w:rPr>
          <w:t>https://www.tga.gov.au/book-page/14-final-decision-relation-paracetamol-modified-release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1B69" w14:textId="77777777" w:rsidR="003B5C35" w:rsidRDefault="003B5C35" w:rsidP="0003336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B1B6F" w14:textId="15408849" w:rsidR="003B5C35" w:rsidRPr="00AE32A9" w:rsidRDefault="003B5C35" w:rsidP="00AE32A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D938CEAA"/>
    <w:styleLink w:val="NumberBullet"/>
    <w:lvl w:ilvl="0">
      <w:start w:val="1"/>
      <w:numFmt w:val="decimal"/>
      <w:pStyle w:val="Numberbullet0"/>
      <w:lvlText w:val="%1."/>
      <w:lvlJc w:val="left"/>
      <w:pPr>
        <w:ind w:left="1145" w:hanging="425"/>
      </w:pPr>
      <w:rPr>
        <w:rFonts w:ascii="Cambria" w:hAnsi="Cambria" w:hint="default"/>
      </w:rPr>
    </w:lvl>
    <w:lvl w:ilvl="1">
      <w:start w:val="1"/>
      <w:numFmt w:val="lowerLetter"/>
      <w:lvlText w:val="%2)"/>
      <w:lvlJc w:val="left"/>
      <w:pPr>
        <w:ind w:left="1571" w:hanging="426"/>
      </w:pPr>
      <w:rPr>
        <w:rFonts w:hint="default"/>
      </w:rPr>
    </w:lvl>
    <w:lvl w:ilvl="2">
      <w:start w:val="1"/>
      <w:numFmt w:val="lowerRoman"/>
      <w:lvlText w:val="%3."/>
      <w:lvlJc w:val="left"/>
      <w:pPr>
        <w:ind w:left="1996" w:hanging="425"/>
      </w:pPr>
      <w:rPr>
        <w:rFonts w:hint="default"/>
      </w:rPr>
    </w:lvl>
    <w:lvl w:ilvl="3">
      <w:start w:val="1"/>
      <w:numFmt w:val="none"/>
      <w:lvlText w:val=""/>
      <w:lvlJc w:val="left"/>
      <w:pPr>
        <w:ind w:left="1996" w:hanging="425"/>
      </w:pPr>
      <w:rPr>
        <w:rFonts w:hint="default"/>
      </w:rPr>
    </w:lvl>
    <w:lvl w:ilvl="4">
      <w:start w:val="1"/>
      <w:numFmt w:val="none"/>
      <w:lvlText w:val=""/>
      <w:lvlJc w:val="left"/>
      <w:pPr>
        <w:ind w:left="1996" w:hanging="425"/>
      </w:pPr>
      <w:rPr>
        <w:rFonts w:hint="default"/>
      </w:rPr>
    </w:lvl>
    <w:lvl w:ilvl="5">
      <w:start w:val="1"/>
      <w:numFmt w:val="none"/>
      <w:lvlText w:val=""/>
      <w:lvlJc w:val="left"/>
      <w:pPr>
        <w:ind w:left="1996" w:hanging="425"/>
      </w:pPr>
      <w:rPr>
        <w:rFonts w:hint="default"/>
      </w:rPr>
    </w:lvl>
    <w:lvl w:ilvl="6">
      <w:start w:val="1"/>
      <w:numFmt w:val="none"/>
      <w:lvlText w:val="%7"/>
      <w:lvlJc w:val="left"/>
      <w:pPr>
        <w:ind w:left="1996" w:hanging="425"/>
      </w:pPr>
      <w:rPr>
        <w:rFonts w:hint="default"/>
      </w:rPr>
    </w:lvl>
    <w:lvl w:ilvl="7">
      <w:start w:val="1"/>
      <w:numFmt w:val="none"/>
      <w:lvlText w:val=""/>
      <w:lvlJc w:val="left"/>
      <w:pPr>
        <w:ind w:left="1996" w:hanging="425"/>
      </w:pPr>
      <w:rPr>
        <w:rFonts w:hint="default"/>
      </w:rPr>
    </w:lvl>
    <w:lvl w:ilvl="8">
      <w:start w:val="1"/>
      <w:numFmt w:val="none"/>
      <w:lvlText w:val=""/>
      <w:lvlJc w:val="left"/>
      <w:pPr>
        <w:ind w:left="1996" w:hanging="425"/>
      </w:pPr>
      <w:rPr>
        <w:rFonts w:hint="default"/>
      </w:rPr>
    </w:lvl>
  </w:abstractNum>
  <w:abstractNum w:abstractNumId="1" w15:restartNumberingAfterBreak="0">
    <w:nsid w:val="12655ECE"/>
    <w:multiLevelType w:val="hybridMultilevel"/>
    <w:tmpl w:val="4476CBB2"/>
    <w:lvl w:ilvl="0" w:tplc="F4027D24">
      <w:start w:val="1"/>
      <w:numFmt w:val="lowerLetter"/>
      <w:pStyle w:val="Numberbullet2"/>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8F13E9"/>
    <w:multiLevelType w:val="multilevel"/>
    <w:tmpl w:val="63588C3E"/>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CAF2189"/>
    <w:multiLevelType w:val="multilevel"/>
    <w:tmpl w:val="9FA651A8"/>
    <w:lvl w:ilvl="0">
      <w:start w:val="1"/>
      <w:numFmt w:val="decimal"/>
      <w:lvlText w:val="%1."/>
      <w:lvlJc w:val="left"/>
      <w:pPr>
        <w:ind w:left="425" w:hanging="425"/>
      </w:pPr>
      <w:rPr>
        <w:rFonts w:ascii="Cambria" w:hAnsi="Cambria" w:hint="default"/>
      </w:rPr>
    </w:lvl>
    <w:lvl w:ilvl="1">
      <w:start w:val="1"/>
      <w:numFmt w:val="upperLetter"/>
      <w:lvlText w:val="(%2)"/>
      <w:lvlJc w:val="left"/>
      <w:pPr>
        <w:ind w:left="2978"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48274C70"/>
    <w:multiLevelType w:val="multilevel"/>
    <w:tmpl w:val="762E6454"/>
    <w:lvl w:ilvl="0">
      <w:start w:val="1"/>
      <w:numFmt w:val="decimal"/>
      <w:lvlText w:val="%1."/>
      <w:lvlJc w:val="left"/>
      <w:pPr>
        <w:ind w:left="425" w:hanging="425"/>
      </w:pPr>
      <w:rPr>
        <w:rFonts w:ascii="Cambria" w:hAnsi="Cambria" w:hint="default"/>
      </w:rPr>
    </w:lvl>
    <w:lvl w:ilvl="1">
      <w:start w:val="1"/>
      <w:numFmt w:val="upp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528E57F5"/>
    <w:multiLevelType w:val="multilevel"/>
    <w:tmpl w:val="7DC21AFA"/>
    <w:lvl w:ilvl="0">
      <w:start w:val="1"/>
      <w:numFmt w:val="decimal"/>
      <w:pStyle w:val="Heading2"/>
      <w:lvlText w:val="%1"/>
      <w:lvlJc w:val="left"/>
      <w:pPr>
        <w:ind w:left="360" w:hanging="360"/>
      </w:pPr>
      <w:rPr>
        <w:rFonts w:asciiTheme="minorHAnsi" w:hAnsiTheme="minorHAnsi" w:hint="default"/>
      </w:r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E9446B"/>
    <w:multiLevelType w:val="hybridMultilevel"/>
    <w:tmpl w:val="FAD8D198"/>
    <w:lvl w:ilvl="0" w:tplc="3A809540">
      <w:start w:val="1"/>
      <w:numFmt w:val="lowerLetter"/>
      <w:pStyle w:val="Numberbullet2red"/>
      <w:lvlText w:val="(%1)"/>
      <w:lvlJc w:val="left"/>
      <w:pPr>
        <w:ind w:left="1146" w:hanging="360"/>
      </w:pPr>
      <w:rPr>
        <w:rFonts w:ascii="Cambria" w:hAnsi="Cambria" w:cs="Times New Roman" w:hint="default"/>
        <w:b w:val="0"/>
        <w:bCs w:val="0"/>
        <w:i w:val="0"/>
        <w:iCs w:val="0"/>
        <w:caps w:val="0"/>
        <w:strike w:val="0"/>
        <w:dstrike w:val="0"/>
        <w:vanish w:val="0"/>
        <w:color w:val="FF0000"/>
        <w:spacing w:val="0"/>
        <w:kern w:val="0"/>
        <w:position w:val="0"/>
        <w:sz w:val="22"/>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7" w15:restartNumberingAfterBreak="0">
    <w:nsid w:val="5EAC34F7"/>
    <w:multiLevelType w:val="hybridMultilevel"/>
    <w:tmpl w:val="3D984266"/>
    <w:lvl w:ilvl="0" w:tplc="772436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64A0029"/>
    <w:multiLevelType w:val="multilevel"/>
    <w:tmpl w:val="95521814"/>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72C95FE9"/>
    <w:multiLevelType w:val="multilevel"/>
    <w:tmpl w:val="F88E007E"/>
    <w:lvl w:ilvl="0">
      <w:start w:val="1"/>
      <w:numFmt w:val="decimal"/>
      <w:lvlText w:val="%1."/>
      <w:lvlJc w:val="left"/>
      <w:pPr>
        <w:ind w:left="1145" w:hanging="425"/>
      </w:pPr>
      <w:rPr>
        <w:rFonts w:ascii="Cambria" w:hAnsi="Cambria" w:hint="default"/>
      </w:rPr>
    </w:lvl>
    <w:lvl w:ilvl="1">
      <w:start w:val="1"/>
      <w:numFmt w:val="lowerLetter"/>
      <w:lvlText w:val="%2)"/>
      <w:lvlJc w:val="left"/>
      <w:pPr>
        <w:ind w:left="1571" w:hanging="426"/>
      </w:pPr>
      <w:rPr>
        <w:rFonts w:hint="default"/>
      </w:rPr>
    </w:lvl>
    <w:lvl w:ilvl="2">
      <w:start w:val="1"/>
      <w:numFmt w:val="lowerRoman"/>
      <w:pStyle w:val="Numberbullet3"/>
      <w:lvlText w:val="%3)"/>
      <w:lvlJc w:val="left"/>
      <w:pPr>
        <w:ind w:left="1996" w:hanging="425"/>
      </w:pPr>
      <w:rPr>
        <w:rFonts w:hint="default"/>
      </w:rPr>
    </w:lvl>
    <w:lvl w:ilvl="3">
      <w:start w:val="1"/>
      <w:numFmt w:val="none"/>
      <w:lvlText w:val=""/>
      <w:lvlJc w:val="left"/>
      <w:pPr>
        <w:ind w:left="1996" w:hanging="425"/>
      </w:pPr>
      <w:rPr>
        <w:rFonts w:hint="default"/>
      </w:rPr>
    </w:lvl>
    <w:lvl w:ilvl="4">
      <w:start w:val="1"/>
      <w:numFmt w:val="none"/>
      <w:lvlText w:val=""/>
      <w:lvlJc w:val="left"/>
      <w:pPr>
        <w:ind w:left="1996" w:hanging="425"/>
      </w:pPr>
      <w:rPr>
        <w:rFonts w:hint="default"/>
      </w:rPr>
    </w:lvl>
    <w:lvl w:ilvl="5">
      <w:start w:val="1"/>
      <w:numFmt w:val="none"/>
      <w:lvlText w:val=""/>
      <w:lvlJc w:val="left"/>
      <w:pPr>
        <w:ind w:left="1996" w:hanging="425"/>
      </w:pPr>
      <w:rPr>
        <w:rFonts w:hint="default"/>
      </w:rPr>
    </w:lvl>
    <w:lvl w:ilvl="6">
      <w:start w:val="1"/>
      <w:numFmt w:val="none"/>
      <w:lvlText w:val="%7"/>
      <w:lvlJc w:val="left"/>
      <w:pPr>
        <w:ind w:left="1996" w:hanging="425"/>
      </w:pPr>
      <w:rPr>
        <w:rFonts w:hint="default"/>
      </w:rPr>
    </w:lvl>
    <w:lvl w:ilvl="7">
      <w:start w:val="1"/>
      <w:numFmt w:val="none"/>
      <w:lvlText w:val=""/>
      <w:lvlJc w:val="left"/>
      <w:pPr>
        <w:ind w:left="1996" w:hanging="425"/>
      </w:pPr>
      <w:rPr>
        <w:rFonts w:hint="default"/>
      </w:rPr>
    </w:lvl>
    <w:lvl w:ilvl="8">
      <w:start w:val="1"/>
      <w:numFmt w:val="none"/>
      <w:lvlText w:val=""/>
      <w:lvlJc w:val="left"/>
      <w:pPr>
        <w:ind w:left="1996" w:hanging="425"/>
      </w:pPr>
      <w:rPr>
        <w:rFonts w:hint="default"/>
      </w:rPr>
    </w:lvl>
  </w:abstractNum>
  <w:abstractNum w:abstractNumId="10" w15:restartNumberingAfterBreak="0">
    <w:nsid w:val="73363426"/>
    <w:multiLevelType w:val="multilevel"/>
    <w:tmpl w:val="963C25C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0"/>
    <w:lvlOverride w:ilvl="0">
      <w:lvl w:ilvl="0">
        <w:start w:val="1"/>
        <w:numFmt w:val="decimal"/>
        <w:pStyle w:val="Numberbullet0"/>
        <w:lvlText w:val="%1."/>
        <w:lvlJc w:val="left"/>
        <w:pPr>
          <w:ind w:left="1145" w:hanging="425"/>
        </w:pPr>
        <w:rPr>
          <w:rFonts w:ascii="Cambria" w:hAnsi="Cambria" w:hint="default"/>
        </w:rPr>
      </w:lvl>
    </w:lvlOverride>
    <w:lvlOverride w:ilvl="1">
      <w:lvl w:ilvl="1">
        <w:start w:val="1"/>
        <w:numFmt w:val="lowerLetter"/>
        <w:lvlText w:val="%2)"/>
        <w:lvlJc w:val="left"/>
        <w:pPr>
          <w:ind w:left="1571" w:hanging="426"/>
        </w:pPr>
        <w:rPr>
          <w:rFonts w:hint="default"/>
        </w:rPr>
      </w:lvl>
    </w:lvlOverride>
    <w:lvlOverride w:ilvl="2">
      <w:lvl w:ilvl="2">
        <w:start w:val="1"/>
        <w:numFmt w:val="lowerRoman"/>
        <w:lvlText w:val="%3."/>
        <w:lvlJc w:val="left"/>
        <w:pPr>
          <w:ind w:left="1996" w:hanging="425"/>
        </w:pPr>
        <w:rPr>
          <w:rFonts w:hint="default"/>
        </w:rPr>
      </w:lvl>
    </w:lvlOverride>
    <w:lvlOverride w:ilvl="3">
      <w:lvl w:ilvl="3">
        <w:start w:val="1"/>
        <w:numFmt w:val="none"/>
        <w:lvlText w:val=""/>
        <w:lvlJc w:val="left"/>
        <w:pPr>
          <w:ind w:left="1996" w:hanging="425"/>
        </w:pPr>
        <w:rPr>
          <w:rFonts w:hint="default"/>
        </w:rPr>
      </w:lvl>
    </w:lvlOverride>
    <w:lvlOverride w:ilvl="4">
      <w:lvl w:ilvl="4">
        <w:start w:val="1"/>
        <w:numFmt w:val="none"/>
        <w:lvlText w:val=""/>
        <w:lvlJc w:val="left"/>
        <w:pPr>
          <w:ind w:left="1996" w:hanging="425"/>
        </w:pPr>
        <w:rPr>
          <w:rFonts w:hint="default"/>
        </w:rPr>
      </w:lvl>
    </w:lvlOverride>
    <w:lvlOverride w:ilvl="5">
      <w:lvl w:ilvl="5">
        <w:start w:val="1"/>
        <w:numFmt w:val="none"/>
        <w:lvlText w:val=""/>
        <w:lvlJc w:val="left"/>
        <w:pPr>
          <w:ind w:left="1996" w:hanging="425"/>
        </w:pPr>
        <w:rPr>
          <w:rFonts w:hint="default"/>
        </w:rPr>
      </w:lvl>
    </w:lvlOverride>
    <w:lvlOverride w:ilvl="6">
      <w:lvl w:ilvl="6">
        <w:start w:val="1"/>
        <w:numFmt w:val="none"/>
        <w:lvlText w:val="%7"/>
        <w:lvlJc w:val="left"/>
        <w:pPr>
          <w:ind w:left="1996" w:hanging="425"/>
        </w:pPr>
        <w:rPr>
          <w:rFonts w:hint="default"/>
        </w:rPr>
      </w:lvl>
    </w:lvlOverride>
    <w:lvlOverride w:ilvl="7">
      <w:lvl w:ilvl="7">
        <w:start w:val="1"/>
        <w:numFmt w:val="none"/>
        <w:lvlText w:val=""/>
        <w:lvlJc w:val="left"/>
        <w:pPr>
          <w:ind w:left="1996" w:hanging="425"/>
        </w:pPr>
        <w:rPr>
          <w:rFonts w:hint="default"/>
        </w:rPr>
      </w:lvl>
    </w:lvlOverride>
    <w:lvlOverride w:ilvl="8">
      <w:lvl w:ilvl="8">
        <w:start w:val="1"/>
        <w:numFmt w:val="none"/>
        <w:lvlText w:val=""/>
        <w:lvlJc w:val="left"/>
        <w:pPr>
          <w:ind w:left="1996" w:hanging="425"/>
        </w:pPr>
        <w:rPr>
          <w:rFonts w:hint="default"/>
        </w:rPr>
      </w:lvl>
    </w:lvlOverride>
  </w:num>
  <w:num w:numId="4">
    <w:abstractNumId w:val="2"/>
  </w:num>
  <w:num w:numId="5">
    <w:abstractNumId w:val="10"/>
  </w:num>
  <w:num w:numId="6">
    <w:abstractNumId w:val="5"/>
  </w:num>
  <w:num w:numId="7">
    <w:abstractNumId w:val="2"/>
    <w:lvlOverride w:ilvl="1">
      <w:lvl w:ilvl="1">
        <w:start w:val="1"/>
        <w:numFmt w:val="bullet"/>
        <w:pStyle w:val="ListBullet2"/>
        <w:lvlText w:val="–"/>
        <w:lvlJc w:val="left"/>
        <w:pPr>
          <w:ind w:left="720" w:hanging="360"/>
        </w:pPr>
        <w:rPr>
          <w:rFonts w:ascii="Arial" w:hAnsi="Arial" w:hint="default"/>
        </w:rPr>
      </w:lvl>
    </w:lvlOverride>
  </w:num>
  <w:num w:numId="8">
    <w:abstractNumId w:val="2"/>
    <w:lvlOverride w:ilvl="0">
      <w:lvl w:ilvl="0">
        <w:start w:val="1"/>
        <w:numFmt w:val="bullet"/>
        <w:pStyle w:val="ListBullet"/>
        <w:lvlText w:val=""/>
        <w:lvlJc w:val="left"/>
        <w:pPr>
          <w:ind w:left="360" w:hanging="360"/>
        </w:pPr>
        <w:rPr>
          <w:rFonts w:ascii="Symbol" w:hAnsi="Symbol" w:hint="default"/>
          <w:color w:val="auto"/>
        </w:rPr>
      </w:lvl>
    </w:lvlOverride>
  </w:num>
  <w:num w:numId="9">
    <w:abstractNumId w:val="2"/>
    <w:lvlOverride w:ilvl="0">
      <w:lvl w:ilvl="0">
        <w:start w:val="1"/>
        <w:numFmt w:val="bullet"/>
        <w:pStyle w:val="ListBullet"/>
        <w:lvlText w:val=""/>
        <w:lvlJc w:val="left"/>
        <w:pPr>
          <w:ind w:left="360" w:hanging="360"/>
        </w:pPr>
        <w:rPr>
          <w:rFonts w:ascii="Symbol" w:hAnsi="Symbol" w:hint="default"/>
          <w:color w:val="auto"/>
        </w:rPr>
      </w:lvl>
    </w:lvlOverride>
    <w:lvlOverride w:ilvl="1">
      <w:lvl w:ilvl="1">
        <w:start w:val="1"/>
        <w:numFmt w:val="bullet"/>
        <w:pStyle w:val="ListBullet2"/>
        <w:lvlText w:val="–"/>
        <w:lvlJc w:val="left"/>
        <w:pPr>
          <w:ind w:left="720" w:hanging="360"/>
        </w:pPr>
        <w:rPr>
          <w:rFonts w:ascii="Arial" w:hAnsi="Arial" w:hint="default"/>
          <w:color w:val="002C47" w:themeColor="text1"/>
        </w:rPr>
      </w:lvl>
    </w:lvlOverride>
    <w:lvlOverride w:ilvl="2">
      <w:lvl w:ilvl="2">
        <w:start w:val="1"/>
        <w:numFmt w:val="bullet"/>
        <w:pStyle w:val="ListBullet3"/>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10">
    <w:abstractNumId w:val="8"/>
  </w:num>
  <w:num w:numId="11">
    <w:abstractNumId w:val="3"/>
  </w:num>
  <w:num w:numId="12">
    <w:abstractNumId w:val="4"/>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num>
  <w:num w:numId="29">
    <w:abstractNumId w:val="1"/>
    <w:lvlOverride w:ilvl="0">
      <w:startOverride w:val="1"/>
    </w:lvlOverride>
  </w:num>
  <w:num w:numId="30">
    <w:abstractNumId w:val="1"/>
    <w:lvlOverride w:ilvl="0">
      <w:startOverride w:val="1"/>
    </w:lvlOverride>
  </w:num>
  <w:num w:numId="31">
    <w:abstractNumId w:val="0"/>
    <w:lvlOverride w:ilvl="0">
      <w:startOverride w:val="1"/>
      <w:lvl w:ilvl="0">
        <w:start w:val="1"/>
        <w:numFmt w:val="decimal"/>
        <w:pStyle w:val="Numberbullet0"/>
        <w:lvlText w:val="%1."/>
        <w:lvlJc w:val="left"/>
        <w:pPr>
          <w:ind w:left="1145" w:hanging="425"/>
        </w:pPr>
        <w:rPr>
          <w:rFonts w:ascii="Cambria" w:hAnsi="Cambria" w:hint="default"/>
        </w:rPr>
      </w:lvl>
    </w:lvlOverride>
    <w:lvlOverride w:ilvl="1">
      <w:startOverride w:val="1"/>
      <w:lvl w:ilvl="1">
        <w:start w:val="1"/>
        <w:numFmt w:val="lowerLetter"/>
        <w:lvlText w:val="%2)"/>
        <w:lvlJc w:val="left"/>
        <w:pPr>
          <w:ind w:left="1571" w:hanging="426"/>
        </w:pPr>
        <w:rPr>
          <w:rFonts w:hint="default"/>
        </w:rPr>
      </w:lvl>
    </w:lvlOverride>
    <w:lvlOverride w:ilvl="2">
      <w:startOverride w:val="1"/>
      <w:lvl w:ilvl="2">
        <w:start w:val="1"/>
        <w:numFmt w:val="lowerRoman"/>
        <w:lvlText w:val="%3."/>
        <w:lvlJc w:val="left"/>
        <w:pPr>
          <w:ind w:left="1996" w:hanging="425"/>
        </w:pPr>
        <w:rPr>
          <w:rFonts w:hint="default"/>
        </w:rPr>
      </w:lvl>
    </w:lvlOverride>
    <w:lvlOverride w:ilvl="3">
      <w:startOverride w:val="1"/>
      <w:lvl w:ilvl="3">
        <w:start w:val="1"/>
        <w:numFmt w:val="none"/>
        <w:lvlText w:val=""/>
        <w:lvlJc w:val="left"/>
        <w:pPr>
          <w:ind w:left="1996" w:hanging="425"/>
        </w:pPr>
        <w:rPr>
          <w:rFonts w:hint="default"/>
        </w:rPr>
      </w:lvl>
    </w:lvlOverride>
    <w:lvlOverride w:ilvl="4">
      <w:startOverride w:val="1"/>
      <w:lvl w:ilvl="4">
        <w:start w:val="1"/>
        <w:numFmt w:val="none"/>
        <w:lvlText w:val=""/>
        <w:lvlJc w:val="left"/>
        <w:pPr>
          <w:ind w:left="1996" w:hanging="425"/>
        </w:pPr>
        <w:rPr>
          <w:rFonts w:hint="default"/>
        </w:rPr>
      </w:lvl>
    </w:lvlOverride>
    <w:lvlOverride w:ilvl="5">
      <w:startOverride w:val="1"/>
      <w:lvl w:ilvl="5">
        <w:start w:val="1"/>
        <w:numFmt w:val="none"/>
        <w:lvlText w:val=""/>
        <w:lvlJc w:val="left"/>
        <w:pPr>
          <w:ind w:left="1996" w:hanging="425"/>
        </w:pPr>
        <w:rPr>
          <w:rFonts w:hint="default"/>
        </w:rPr>
      </w:lvl>
    </w:lvlOverride>
    <w:lvlOverride w:ilvl="6">
      <w:startOverride w:val="1"/>
      <w:lvl w:ilvl="6">
        <w:start w:val="1"/>
        <w:numFmt w:val="none"/>
        <w:lvlText w:val="%7"/>
        <w:lvlJc w:val="left"/>
        <w:pPr>
          <w:ind w:left="1996" w:hanging="425"/>
        </w:pPr>
        <w:rPr>
          <w:rFonts w:hint="default"/>
        </w:rPr>
      </w:lvl>
    </w:lvlOverride>
    <w:lvlOverride w:ilvl="7">
      <w:startOverride w:val="1"/>
      <w:lvl w:ilvl="7">
        <w:start w:val="1"/>
        <w:numFmt w:val="none"/>
        <w:lvlText w:val=""/>
        <w:lvlJc w:val="left"/>
        <w:pPr>
          <w:ind w:left="1996" w:hanging="425"/>
        </w:pPr>
        <w:rPr>
          <w:rFonts w:hint="default"/>
        </w:rPr>
      </w:lvl>
    </w:lvlOverride>
    <w:lvlOverride w:ilvl="8">
      <w:startOverride w:val="1"/>
      <w:lvl w:ilvl="8">
        <w:start w:val="1"/>
        <w:numFmt w:val="none"/>
        <w:lvlText w:val=""/>
        <w:lvlJc w:val="left"/>
        <w:pPr>
          <w:ind w:left="1996" w:hanging="425"/>
        </w:pPr>
        <w:rPr>
          <w:rFonts w:hint="default"/>
        </w:rPr>
      </w:lvl>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7"/>
  </w:num>
  <w:num w:numId="36">
    <w:abstractNumId w:val="6"/>
  </w:num>
  <w:num w:numId="37">
    <w:abstractNumId w:val="6"/>
    <w:lvlOverride w:ilvl="0">
      <w:startOverride w:val="1"/>
    </w:lvlOverride>
  </w:num>
  <w:num w:numId="38">
    <w:abstractNumId w:val="6"/>
    <w:lvlOverride w:ilvl="0">
      <w:startOverride w:val="1"/>
    </w:lvlOverride>
  </w:num>
  <w:num w:numId="39">
    <w:abstractNumId w:val="6"/>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D1"/>
    <w:rsid w:val="00002031"/>
    <w:rsid w:val="00004734"/>
    <w:rsid w:val="00004BDD"/>
    <w:rsid w:val="00006B22"/>
    <w:rsid w:val="00010001"/>
    <w:rsid w:val="00011E79"/>
    <w:rsid w:val="00012373"/>
    <w:rsid w:val="0001276A"/>
    <w:rsid w:val="0001338F"/>
    <w:rsid w:val="00013762"/>
    <w:rsid w:val="00013EBE"/>
    <w:rsid w:val="00016A1A"/>
    <w:rsid w:val="000201DA"/>
    <w:rsid w:val="00022BCD"/>
    <w:rsid w:val="00023208"/>
    <w:rsid w:val="000246AE"/>
    <w:rsid w:val="000246DA"/>
    <w:rsid w:val="00025C00"/>
    <w:rsid w:val="00025C67"/>
    <w:rsid w:val="00026E89"/>
    <w:rsid w:val="000314F5"/>
    <w:rsid w:val="0003336C"/>
    <w:rsid w:val="000336D0"/>
    <w:rsid w:val="00034D41"/>
    <w:rsid w:val="00037680"/>
    <w:rsid w:val="00040247"/>
    <w:rsid w:val="000403BE"/>
    <w:rsid w:val="0004090D"/>
    <w:rsid w:val="00042362"/>
    <w:rsid w:val="00042E4B"/>
    <w:rsid w:val="00044988"/>
    <w:rsid w:val="00046630"/>
    <w:rsid w:val="000478D5"/>
    <w:rsid w:val="00047DAB"/>
    <w:rsid w:val="0005019F"/>
    <w:rsid w:val="0005064A"/>
    <w:rsid w:val="00052EA8"/>
    <w:rsid w:val="0005559E"/>
    <w:rsid w:val="000570A5"/>
    <w:rsid w:val="00062202"/>
    <w:rsid w:val="00062C53"/>
    <w:rsid w:val="00064C94"/>
    <w:rsid w:val="00065051"/>
    <w:rsid w:val="00065067"/>
    <w:rsid w:val="00065657"/>
    <w:rsid w:val="00065E1D"/>
    <w:rsid w:val="00072D84"/>
    <w:rsid w:val="0007394C"/>
    <w:rsid w:val="00077775"/>
    <w:rsid w:val="00077CCB"/>
    <w:rsid w:val="0008267B"/>
    <w:rsid w:val="00082A10"/>
    <w:rsid w:val="00083B24"/>
    <w:rsid w:val="000866A7"/>
    <w:rsid w:val="000872AA"/>
    <w:rsid w:val="00087B53"/>
    <w:rsid w:val="00090471"/>
    <w:rsid w:val="000926EA"/>
    <w:rsid w:val="00094758"/>
    <w:rsid w:val="000962BE"/>
    <w:rsid w:val="000A1F98"/>
    <w:rsid w:val="000A20BF"/>
    <w:rsid w:val="000A40C7"/>
    <w:rsid w:val="000A4A74"/>
    <w:rsid w:val="000A506F"/>
    <w:rsid w:val="000A5D0B"/>
    <w:rsid w:val="000A70E0"/>
    <w:rsid w:val="000B1EBF"/>
    <w:rsid w:val="000B3532"/>
    <w:rsid w:val="000B3A75"/>
    <w:rsid w:val="000B543C"/>
    <w:rsid w:val="000B6962"/>
    <w:rsid w:val="000B7084"/>
    <w:rsid w:val="000B70EE"/>
    <w:rsid w:val="000B74B7"/>
    <w:rsid w:val="000C2955"/>
    <w:rsid w:val="000C2E53"/>
    <w:rsid w:val="000C36C3"/>
    <w:rsid w:val="000C39E3"/>
    <w:rsid w:val="000C4728"/>
    <w:rsid w:val="000C5FBF"/>
    <w:rsid w:val="000C61C1"/>
    <w:rsid w:val="000C65BA"/>
    <w:rsid w:val="000D0460"/>
    <w:rsid w:val="000D283A"/>
    <w:rsid w:val="000D2B95"/>
    <w:rsid w:val="000D2BD8"/>
    <w:rsid w:val="000D391B"/>
    <w:rsid w:val="000D3D6D"/>
    <w:rsid w:val="000D4FC7"/>
    <w:rsid w:val="000D68D1"/>
    <w:rsid w:val="000D784C"/>
    <w:rsid w:val="000E130A"/>
    <w:rsid w:val="000E1B9B"/>
    <w:rsid w:val="000E1DAA"/>
    <w:rsid w:val="000E2AE8"/>
    <w:rsid w:val="000E321D"/>
    <w:rsid w:val="000E5148"/>
    <w:rsid w:val="000E6ED0"/>
    <w:rsid w:val="000E79FA"/>
    <w:rsid w:val="000E7EAF"/>
    <w:rsid w:val="000F16BC"/>
    <w:rsid w:val="000F28BA"/>
    <w:rsid w:val="000F3252"/>
    <w:rsid w:val="000F4489"/>
    <w:rsid w:val="000F4869"/>
    <w:rsid w:val="000F4E33"/>
    <w:rsid w:val="000F5B42"/>
    <w:rsid w:val="000F5CEF"/>
    <w:rsid w:val="000F5E1B"/>
    <w:rsid w:val="000F6E6F"/>
    <w:rsid w:val="001003F2"/>
    <w:rsid w:val="001012A2"/>
    <w:rsid w:val="00102E4B"/>
    <w:rsid w:val="0010503B"/>
    <w:rsid w:val="0010548E"/>
    <w:rsid w:val="00105FF6"/>
    <w:rsid w:val="0010601F"/>
    <w:rsid w:val="00106954"/>
    <w:rsid w:val="00110EA5"/>
    <w:rsid w:val="0011266E"/>
    <w:rsid w:val="00112C1C"/>
    <w:rsid w:val="00115240"/>
    <w:rsid w:val="0012066C"/>
    <w:rsid w:val="00120CD3"/>
    <w:rsid w:val="00123C59"/>
    <w:rsid w:val="00124A3C"/>
    <w:rsid w:val="00125318"/>
    <w:rsid w:val="00125399"/>
    <w:rsid w:val="00125E60"/>
    <w:rsid w:val="00126764"/>
    <w:rsid w:val="0012774C"/>
    <w:rsid w:val="001305A2"/>
    <w:rsid w:val="001313DD"/>
    <w:rsid w:val="00131476"/>
    <w:rsid w:val="001316DF"/>
    <w:rsid w:val="00133238"/>
    <w:rsid w:val="00133E11"/>
    <w:rsid w:val="001355A0"/>
    <w:rsid w:val="00141806"/>
    <w:rsid w:val="0014197B"/>
    <w:rsid w:val="00141B46"/>
    <w:rsid w:val="00141D08"/>
    <w:rsid w:val="001434DF"/>
    <w:rsid w:val="001447CD"/>
    <w:rsid w:val="00144C49"/>
    <w:rsid w:val="0014503C"/>
    <w:rsid w:val="001467B9"/>
    <w:rsid w:val="0014755D"/>
    <w:rsid w:val="001478C2"/>
    <w:rsid w:val="00147C9F"/>
    <w:rsid w:val="00150BF8"/>
    <w:rsid w:val="001516B1"/>
    <w:rsid w:val="0015177A"/>
    <w:rsid w:val="001518CE"/>
    <w:rsid w:val="00151C04"/>
    <w:rsid w:val="001523FC"/>
    <w:rsid w:val="00152E3D"/>
    <w:rsid w:val="00153129"/>
    <w:rsid w:val="001548C0"/>
    <w:rsid w:val="001560EF"/>
    <w:rsid w:val="00156316"/>
    <w:rsid w:val="00156653"/>
    <w:rsid w:val="001566AF"/>
    <w:rsid w:val="00157048"/>
    <w:rsid w:val="001578C2"/>
    <w:rsid w:val="001579D5"/>
    <w:rsid w:val="00160C06"/>
    <w:rsid w:val="00160FA8"/>
    <w:rsid w:val="00161417"/>
    <w:rsid w:val="00163ABA"/>
    <w:rsid w:val="00163CE6"/>
    <w:rsid w:val="00163F41"/>
    <w:rsid w:val="00164813"/>
    <w:rsid w:val="00165389"/>
    <w:rsid w:val="0016554A"/>
    <w:rsid w:val="0016647E"/>
    <w:rsid w:val="00170265"/>
    <w:rsid w:val="0017061D"/>
    <w:rsid w:val="00172B6D"/>
    <w:rsid w:val="00172C2B"/>
    <w:rsid w:val="001749BD"/>
    <w:rsid w:val="00175717"/>
    <w:rsid w:val="00176383"/>
    <w:rsid w:val="00176594"/>
    <w:rsid w:val="0017693F"/>
    <w:rsid w:val="0017714F"/>
    <w:rsid w:val="0018110E"/>
    <w:rsid w:val="00181684"/>
    <w:rsid w:val="00182419"/>
    <w:rsid w:val="001824E5"/>
    <w:rsid w:val="00182976"/>
    <w:rsid w:val="00183BFB"/>
    <w:rsid w:val="001843C6"/>
    <w:rsid w:val="001850E0"/>
    <w:rsid w:val="00185875"/>
    <w:rsid w:val="00186076"/>
    <w:rsid w:val="00186573"/>
    <w:rsid w:val="001867C1"/>
    <w:rsid w:val="00190515"/>
    <w:rsid w:val="00192FD0"/>
    <w:rsid w:val="001939C4"/>
    <w:rsid w:val="001969AB"/>
    <w:rsid w:val="001A0DEF"/>
    <w:rsid w:val="001A0FC8"/>
    <w:rsid w:val="001A1B0E"/>
    <w:rsid w:val="001A1B90"/>
    <w:rsid w:val="001A4952"/>
    <w:rsid w:val="001A525F"/>
    <w:rsid w:val="001A5CA3"/>
    <w:rsid w:val="001A7657"/>
    <w:rsid w:val="001A7B15"/>
    <w:rsid w:val="001B07F8"/>
    <w:rsid w:val="001B09F9"/>
    <w:rsid w:val="001B14FE"/>
    <w:rsid w:val="001B4391"/>
    <w:rsid w:val="001B6448"/>
    <w:rsid w:val="001B6670"/>
    <w:rsid w:val="001B6E73"/>
    <w:rsid w:val="001C2429"/>
    <w:rsid w:val="001C29F0"/>
    <w:rsid w:val="001C4365"/>
    <w:rsid w:val="001C4E0C"/>
    <w:rsid w:val="001C5FF5"/>
    <w:rsid w:val="001C6CF1"/>
    <w:rsid w:val="001C7F5A"/>
    <w:rsid w:val="001D0748"/>
    <w:rsid w:val="001D1664"/>
    <w:rsid w:val="001D2B11"/>
    <w:rsid w:val="001D2C59"/>
    <w:rsid w:val="001D5BC6"/>
    <w:rsid w:val="001D6689"/>
    <w:rsid w:val="001D7B8C"/>
    <w:rsid w:val="001E07CF"/>
    <w:rsid w:val="001E104C"/>
    <w:rsid w:val="001E1F74"/>
    <w:rsid w:val="001E2210"/>
    <w:rsid w:val="001E258A"/>
    <w:rsid w:val="001E3B99"/>
    <w:rsid w:val="001E425B"/>
    <w:rsid w:val="001E59F1"/>
    <w:rsid w:val="001E604E"/>
    <w:rsid w:val="001E7CA3"/>
    <w:rsid w:val="001E7DA2"/>
    <w:rsid w:val="001E7FF9"/>
    <w:rsid w:val="001F28A2"/>
    <w:rsid w:val="001F49EB"/>
    <w:rsid w:val="001F554C"/>
    <w:rsid w:val="001F5A5D"/>
    <w:rsid w:val="001F6CBA"/>
    <w:rsid w:val="0020007E"/>
    <w:rsid w:val="00201D4E"/>
    <w:rsid w:val="00202326"/>
    <w:rsid w:val="0020571C"/>
    <w:rsid w:val="0021040A"/>
    <w:rsid w:val="00210AD7"/>
    <w:rsid w:val="002123AE"/>
    <w:rsid w:val="00212482"/>
    <w:rsid w:val="002125F6"/>
    <w:rsid w:val="00212B19"/>
    <w:rsid w:val="0021402A"/>
    <w:rsid w:val="0021499B"/>
    <w:rsid w:val="002152BD"/>
    <w:rsid w:val="00215F9F"/>
    <w:rsid w:val="002165A4"/>
    <w:rsid w:val="002167FC"/>
    <w:rsid w:val="002171D6"/>
    <w:rsid w:val="00217D05"/>
    <w:rsid w:val="00220A01"/>
    <w:rsid w:val="00220B8A"/>
    <w:rsid w:val="00221464"/>
    <w:rsid w:val="00221945"/>
    <w:rsid w:val="002219DD"/>
    <w:rsid w:val="00222402"/>
    <w:rsid w:val="00222802"/>
    <w:rsid w:val="00222B45"/>
    <w:rsid w:val="0022347D"/>
    <w:rsid w:val="00223F87"/>
    <w:rsid w:val="0022530A"/>
    <w:rsid w:val="002257F3"/>
    <w:rsid w:val="002266BA"/>
    <w:rsid w:val="0022716B"/>
    <w:rsid w:val="00227CF4"/>
    <w:rsid w:val="0023048E"/>
    <w:rsid w:val="00231D82"/>
    <w:rsid w:val="00231F2A"/>
    <w:rsid w:val="00233456"/>
    <w:rsid w:val="002339A5"/>
    <w:rsid w:val="002346E6"/>
    <w:rsid w:val="002353B0"/>
    <w:rsid w:val="00237B89"/>
    <w:rsid w:val="0024231E"/>
    <w:rsid w:val="002423C0"/>
    <w:rsid w:val="00242725"/>
    <w:rsid w:val="00243423"/>
    <w:rsid w:val="00245B6E"/>
    <w:rsid w:val="00245CB9"/>
    <w:rsid w:val="0024612E"/>
    <w:rsid w:val="002461C0"/>
    <w:rsid w:val="00246A83"/>
    <w:rsid w:val="002470AD"/>
    <w:rsid w:val="00247106"/>
    <w:rsid w:val="00247D22"/>
    <w:rsid w:val="002501BF"/>
    <w:rsid w:val="002508A5"/>
    <w:rsid w:val="002509D2"/>
    <w:rsid w:val="00251523"/>
    <w:rsid w:val="002526D7"/>
    <w:rsid w:val="00252B69"/>
    <w:rsid w:val="00252DD7"/>
    <w:rsid w:val="00254EA3"/>
    <w:rsid w:val="00256D62"/>
    <w:rsid w:val="00257848"/>
    <w:rsid w:val="00257C5D"/>
    <w:rsid w:val="00261088"/>
    <w:rsid w:val="002618D5"/>
    <w:rsid w:val="002653D0"/>
    <w:rsid w:val="002674F2"/>
    <w:rsid w:val="0027084A"/>
    <w:rsid w:val="002709A0"/>
    <w:rsid w:val="00272C33"/>
    <w:rsid w:val="0027319A"/>
    <w:rsid w:val="00274112"/>
    <w:rsid w:val="00276D75"/>
    <w:rsid w:val="00277920"/>
    <w:rsid w:val="00280633"/>
    <w:rsid w:val="00281AD9"/>
    <w:rsid w:val="00281B77"/>
    <w:rsid w:val="00284C95"/>
    <w:rsid w:val="00286132"/>
    <w:rsid w:val="00286434"/>
    <w:rsid w:val="00286C59"/>
    <w:rsid w:val="002911B6"/>
    <w:rsid w:val="00292795"/>
    <w:rsid w:val="002942D1"/>
    <w:rsid w:val="0029531E"/>
    <w:rsid w:val="002A0556"/>
    <w:rsid w:val="002A1676"/>
    <w:rsid w:val="002A1A23"/>
    <w:rsid w:val="002A32FA"/>
    <w:rsid w:val="002A50A3"/>
    <w:rsid w:val="002A7183"/>
    <w:rsid w:val="002B1023"/>
    <w:rsid w:val="002B1218"/>
    <w:rsid w:val="002B1638"/>
    <w:rsid w:val="002B785C"/>
    <w:rsid w:val="002B7FE9"/>
    <w:rsid w:val="002C1728"/>
    <w:rsid w:val="002C1E39"/>
    <w:rsid w:val="002C2A01"/>
    <w:rsid w:val="002C2C45"/>
    <w:rsid w:val="002C5E77"/>
    <w:rsid w:val="002D371E"/>
    <w:rsid w:val="002D3D18"/>
    <w:rsid w:val="002D637F"/>
    <w:rsid w:val="002D676D"/>
    <w:rsid w:val="002D7BA2"/>
    <w:rsid w:val="002E1298"/>
    <w:rsid w:val="002E13B1"/>
    <w:rsid w:val="002E1D61"/>
    <w:rsid w:val="002E2E6B"/>
    <w:rsid w:val="002E4C9A"/>
    <w:rsid w:val="002E5E3F"/>
    <w:rsid w:val="002E7416"/>
    <w:rsid w:val="002E7F05"/>
    <w:rsid w:val="002F11F8"/>
    <w:rsid w:val="002F288F"/>
    <w:rsid w:val="002F32B3"/>
    <w:rsid w:val="002F3AAB"/>
    <w:rsid w:val="002F3F56"/>
    <w:rsid w:val="002F44B5"/>
    <w:rsid w:val="002F4903"/>
    <w:rsid w:val="002F563C"/>
    <w:rsid w:val="002F61FC"/>
    <w:rsid w:val="003002A9"/>
    <w:rsid w:val="00300C37"/>
    <w:rsid w:val="00301BFD"/>
    <w:rsid w:val="00302455"/>
    <w:rsid w:val="00302933"/>
    <w:rsid w:val="00303A0A"/>
    <w:rsid w:val="0031034C"/>
    <w:rsid w:val="00310F2A"/>
    <w:rsid w:val="00311446"/>
    <w:rsid w:val="003118C3"/>
    <w:rsid w:val="00311AC0"/>
    <w:rsid w:val="003127F5"/>
    <w:rsid w:val="0031344C"/>
    <w:rsid w:val="003144A2"/>
    <w:rsid w:val="00315890"/>
    <w:rsid w:val="00315A77"/>
    <w:rsid w:val="0031636B"/>
    <w:rsid w:val="003170C5"/>
    <w:rsid w:val="003177D7"/>
    <w:rsid w:val="00322C5A"/>
    <w:rsid w:val="003246C8"/>
    <w:rsid w:val="00326A5D"/>
    <w:rsid w:val="00334C18"/>
    <w:rsid w:val="00334C39"/>
    <w:rsid w:val="003360EA"/>
    <w:rsid w:val="00343798"/>
    <w:rsid w:val="003439CD"/>
    <w:rsid w:val="003442DD"/>
    <w:rsid w:val="003463FA"/>
    <w:rsid w:val="003500D8"/>
    <w:rsid w:val="003507A6"/>
    <w:rsid w:val="003521E8"/>
    <w:rsid w:val="0035403E"/>
    <w:rsid w:val="00354B56"/>
    <w:rsid w:val="00355C15"/>
    <w:rsid w:val="00356585"/>
    <w:rsid w:val="003577EC"/>
    <w:rsid w:val="003604F2"/>
    <w:rsid w:val="00360683"/>
    <w:rsid w:val="003606FD"/>
    <w:rsid w:val="0036150F"/>
    <w:rsid w:val="00363FB3"/>
    <w:rsid w:val="00364213"/>
    <w:rsid w:val="0036427B"/>
    <w:rsid w:val="003655EC"/>
    <w:rsid w:val="00365F92"/>
    <w:rsid w:val="003664BF"/>
    <w:rsid w:val="00366870"/>
    <w:rsid w:val="003669EE"/>
    <w:rsid w:val="00366A55"/>
    <w:rsid w:val="00366CA7"/>
    <w:rsid w:val="00367B72"/>
    <w:rsid w:val="00370092"/>
    <w:rsid w:val="00371228"/>
    <w:rsid w:val="00372416"/>
    <w:rsid w:val="003728F3"/>
    <w:rsid w:val="00373880"/>
    <w:rsid w:val="00373A0C"/>
    <w:rsid w:val="003745AD"/>
    <w:rsid w:val="003779FA"/>
    <w:rsid w:val="0038211D"/>
    <w:rsid w:val="00383578"/>
    <w:rsid w:val="00383681"/>
    <w:rsid w:val="003843D3"/>
    <w:rsid w:val="0038521D"/>
    <w:rsid w:val="00385A1F"/>
    <w:rsid w:val="00386A15"/>
    <w:rsid w:val="00387A98"/>
    <w:rsid w:val="00390900"/>
    <w:rsid w:val="00391B8B"/>
    <w:rsid w:val="0039223A"/>
    <w:rsid w:val="00395864"/>
    <w:rsid w:val="00396360"/>
    <w:rsid w:val="003A03FE"/>
    <w:rsid w:val="003A2A20"/>
    <w:rsid w:val="003A3CED"/>
    <w:rsid w:val="003A4C05"/>
    <w:rsid w:val="003A52B2"/>
    <w:rsid w:val="003A6C91"/>
    <w:rsid w:val="003A74C6"/>
    <w:rsid w:val="003A78ED"/>
    <w:rsid w:val="003B0B9A"/>
    <w:rsid w:val="003B1789"/>
    <w:rsid w:val="003B21A4"/>
    <w:rsid w:val="003B5C35"/>
    <w:rsid w:val="003B768D"/>
    <w:rsid w:val="003B7E39"/>
    <w:rsid w:val="003C12EF"/>
    <w:rsid w:val="003C15A8"/>
    <w:rsid w:val="003C2305"/>
    <w:rsid w:val="003C27EB"/>
    <w:rsid w:val="003C33BE"/>
    <w:rsid w:val="003C4D6D"/>
    <w:rsid w:val="003C58DC"/>
    <w:rsid w:val="003C5ADD"/>
    <w:rsid w:val="003C75EB"/>
    <w:rsid w:val="003D1170"/>
    <w:rsid w:val="003D4652"/>
    <w:rsid w:val="003D4BB4"/>
    <w:rsid w:val="003D5415"/>
    <w:rsid w:val="003D6C66"/>
    <w:rsid w:val="003E0195"/>
    <w:rsid w:val="003E0F5D"/>
    <w:rsid w:val="003E3208"/>
    <w:rsid w:val="003E33DE"/>
    <w:rsid w:val="003E417A"/>
    <w:rsid w:val="003E4C13"/>
    <w:rsid w:val="003E6F41"/>
    <w:rsid w:val="003E74D1"/>
    <w:rsid w:val="003E79A6"/>
    <w:rsid w:val="003F0199"/>
    <w:rsid w:val="003F0B04"/>
    <w:rsid w:val="003F0D29"/>
    <w:rsid w:val="003F129A"/>
    <w:rsid w:val="003F144B"/>
    <w:rsid w:val="003F1B0F"/>
    <w:rsid w:val="003F1B1B"/>
    <w:rsid w:val="003F2475"/>
    <w:rsid w:val="003F612D"/>
    <w:rsid w:val="003F79A1"/>
    <w:rsid w:val="003F7EFE"/>
    <w:rsid w:val="0040134E"/>
    <w:rsid w:val="004024D7"/>
    <w:rsid w:val="0040373F"/>
    <w:rsid w:val="0040377F"/>
    <w:rsid w:val="00410EAC"/>
    <w:rsid w:val="00413EB3"/>
    <w:rsid w:val="00414561"/>
    <w:rsid w:val="00414ABE"/>
    <w:rsid w:val="00414AD9"/>
    <w:rsid w:val="00415024"/>
    <w:rsid w:val="00415D8D"/>
    <w:rsid w:val="004169B7"/>
    <w:rsid w:val="00416EAC"/>
    <w:rsid w:val="00417BF4"/>
    <w:rsid w:val="004233EC"/>
    <w:rsid w:val="00423457"/>
    <w:rsid w:val="00425FA0"/>
    <w:rsid w:val="004269D1"/>
    <w:rsid w:val="0043011E"/>
    <w:rsid w:val="00432ADD"/>
    <w:rsid w:val="00432BCE"/>
    <w:rsid w:val="00435661"/>
    <w:rsid w:val="004360FB"/>
    <w:rsid w:val="00436763"/>
    <w:rsid w:val="00440A2D"/>
    <w:rsid w:val="00440DAF"/>
    <w:rsid w:val="00441F1B"/>
    <w:rsid w:val="004420E1"/>
    <w:rsid w:val="004462F2"/>
    <w:rsid w:val="004474D5"/>
    <w:rsid w:val="004474F1"/>
    <w:rsid w:val="00447D13"/>
    <w:rsid w:val="0045166B"/>
    <w:rsid w:val="004533B2"/>
    <w:rsid w:val="00453EB6"/>
    <w:rsid w:val="004564A7"/>
    <w:rsid w:val="00456C5B"/>
    <w:rsid w:val="004601F9"/>
    <w:rsid w:val="00460319"/>
    <w:rsid w:val="004617BF"/>
    <w:rsid w:val="00465684"/>
    <w:rsid w:val="004662EA"/>
    <w:rsid w:val="00470D73"/>
    <w:rsid w:val="00472DAC"/>
    <w:rsid w:val="004755DC"/>
    <w:rsid w:val="00476336"/>
    <w:rsid w:val="00477045"/>
    <w:rsid w:val="00481156"/>
    <w:rsid w:val="00481784"/>
    <w:rsid w:val="00481B8C"/>
    <w:rsid w:val="004820AC"/>
    <w:rsid w:val="0048413E"/>
    <w:rsid w:val="00485308"/>
    <w:rsid w:val="00486027"/>
    <w:rsid w:val="00486341"/>
    <w:rsid w:val="00487D78"/>
    <w:rsid w:val="004902CD"/>
    <w:rsid w:val="00491760"/>
    <w:rsid w:val="00491C11"/>
    <w:rsid w:val="004921A5"/>
    <w:rsid w:val="004923FF"/>
    <w:rsid w:val="004932E3"/>
    <w:rsid w:val="00494876"/>
    <w:rsid w:val="00494E60"/>
    <w:rsid w:val="00494EF7"/>
    <w:rsid w:val="0049547C"/>
    <w:rsid w:val="004A1E2D"/>
    <w:rsid w:val="004A25CA"/>
    <w:rsid w:val="004A28D8"/>
    <w:rsid w:val="004A38EE"/>
    <w:rsid w:val="004A3E7E"/>
    <w:rsid w:val="004A4795"/>
    <w:rsid w:val="004B0B76"/>
    <w:rsid w:val="004B1F41"/>
    <w:rsid w:val="004B78E1"/>
    <w:rsid w:val="004B7B76"/>
    <w:rsid w:val="004C03EA"/>
    <w:rsid w:val="004C08C2"/>
    <w:rsid w:val="004C08EC"/>
    <w:rsid w:val="004C184D"/>
    <w:rsid w:val="004C18F2"/>
    <w:rsid w:val="004C2568"/>
    <w:rsid w:val="004C2708"/>
    <w:rsid w:val="004C2BF6"/>
    <w:rsid w:val="004C2C13"/>
    <w:rsid w:val="004C64AE"/>
    <w:rsid w:val="004D043E"/>
    <w:rsid w:val="004D11A7"/>
    <w:rsid w:val="004D16CA"/>
    <w:rsid w:val="004D327A"/>
    <w:rsid w:val="004D5844"/>
    <w:rsid w:val="004D5F7D"/>
    <w:rsid w:val="004E025E"/>
    <w:rsid w:val="004E0CE7"/>
    <w:rsid w:val="004E1078"/>
    <w:rsid w:val="004E1563"/>
    <w:rsid w:val="004E44BD"/>
    <w:rsid w:val="004E4A19"/>
    <w:rsid w:val="004F0B6C"/>
    <w:rsid w:val="004F0F38"/>
    <w:rsid w:val="004F292D"/>
    <w:rsid w:val="004F2A49"/>
    <w:rsid w:val="004F2D9F"/>
    <w:rsid w:val="004F3452"/>
    <w:rsid w:val="004F3E7C"/>
    <w:rsid w:val="004F3F5C"/>
    <w:rsid w:val="004F5E4F"/>
    <w:rsid w:val="005002BA"/>
    <w:rsid w:val="00501921"/>
    <w:rsid w:val="0050260C"/>
    <w:rsid w:val="00512F35"/>
    <w:rsid w:val="00515DA6"/>
    <w:rsid w:val="00515E58"/>
    <w:rsid w:val="0051600A"/>
    <w:rsid w:val="00517F7C"/>
    <w:rsid w:val="005203C8"/>
    <w:rsid w:val="00530354"/>
    <w:rsid w:val="00532C96"/>
    <w:rsid w:val="00536E30"/>
    <w:rsid w:val="00536FE7"/>
    <w:rsid w:val="005372F3"/>
    <w:rsid w:val="00541553"/>
    <w:rsid w:val="00541571"/>
    <w:rsid w:val="005433F7"/>
    <w:rsid w:val="005434C6"/>
    <w:rsid w:val="00543B39"/>
    <w:rsid w:val="0054427D"/>
    <w:rsid w:val="005448BE"/>
    <w:rsid w:val="00545F70"/>
    <w:rsid w:val="00550096"/>
    <w:rsid w:val="005527DB"/>
    <w:rsid w:val="00554859"/>
    <w:rsid w:val="00554BA0"/>
    <w:rsid w:val="005567BC"/>
    <w:rsid w:val="00557FF9"/>
    <w:rsid w:val="005614D2"/>
    <w:rsid w:val="00562E75"/>
    <w:rsid w:val="00562F16"/>
    <w:rsid w:val="00563B64"/>
    <w:rsid w:val="00564666"/>
    <w:rsid w:val="00571115"/>
    <w:rsid w:val="0057193F"/>
    <w:rsid w:val="00575BCF"/>
    <w:rsid w:val="00576378"/>
    <w:rsid w:val="005775DA"/>
    <w:rsid w:val="00577E38"/>
    <w:rsid w:val="00582453"/>
    <w:rsid w:val="005834DC"/>
    <w:rsid w:val="0058359A"/>
    <w:rsid w:val="00583D08"/>
    <w:rsid w:val="00584C76"/>
    <w:rsid w:val="00584FF8"/>
    <w:rsid w:val="00585140"/>
    <w:rsid w:val="00585322"/>
    <w:rsid w:val="00585453"/>
    <w:rsid w:val="005855E1"/>
    <w:rsid w:val="00585CD6"/>
    <w:rsid w:val="00586091"/>
    <w:rsid w:val="005869C9"/>
    <w:rsid w:val="00586B5D"/>
    <w:rsid w:val="005872D7"/>
    <w:rsid w:val="00592AD8"/>
    <w:rsid w:val="00593743"/>
    <w:rsid w:val="00593AD1"/>
    <w:rsid w:val="0059407B"/>
    <w:rsid w:val="00595891"/>
    <w:rsid w:val="005965E0"/>
    <w:rsid w:val="00596831"/>
    <w:rsid w:val="005A06C6"/>
    <w:rsid w:val="005A0753"/>
    <w:rsid w:val="005A0F71"/>
    <w:rsid w:val="005A1131"/>
    <w:rsid w:val="005A1E9A"/>
    <w:rsid w:val="005A24DD"/>
    <w:rsid w:val="005A3D06"/>
    <w:rsid w:val="005A3D7A"/>
    <w:rsid w:val="005A449F"/>
    <w:rsid w:val="005A5A68"/>
    <w:rsid w:val="005A68BF"/>
    <w:rsid w:val="005A7F90"/>
    <w:rsid w:val="005A7FAD"/>
    <w:rsid w:val="005B0207"/>
    <w:rsid w:val="005B20F9"/>
    <w:rsid w:val="005B4B56"/>
    <w:rsid w:val="005B58D1"/>
    <w:rsid w:val="005B7704"/>
    <w:rsid w:val="005B7BBE"/>
    <w:rsid w:val="005B7BF1"/>
    <w:rsid w:val="005C2ABA"/>
    <w:rsid w:val="005C5570"/>
    <w:rsid w:val="005C779B"/>
    <w:rsid w:val="005C79A4"/>
    <w:rsid w:val="005D13FC"/>
    <w:rsid w:val="005D3033"/>
    <w:rsid w:val="005D339B"/>
    <w:rsid w:val="005D5442"/>
    <w:rsid w:val="005D6DCD"/>
    <w:rsid w:val="005E621D"/>
    <w:rsid w:val="005E6358"/>
    <w:rsid w:val="005F5026"/>
    <w:rsid w:val="005F5580"/>
    <w:rsid w:val="005F5924"/>
    <w:rsid w:val="005F60DC"/>
    <w:rsid w:val="005F65AF"/>
    <w:rsid w:val="006004B4"/>
    <w:rsid w:val="00600C86"/>
    <w:rsid w:val="00600D8C"/>
    <w:rsid w:val="00602938"/>
    <w:rsid w:val="006055A6"/>
    <w:rsid w:val="006066E6"/>
    <w:rsid w:val="00613396"/>
    <w:rsid w:val="00616BDA"/>
    <w:rsid w:val="00621607"/>
    <w:rsid w:val="00621CC5"/>
    <w:rsid w:val="00623738"/>
    <w:rsid w:val="006243C7"/>
    <w:rsid w:val="006244D6"/>
    <w:rsid w:val="00625F84"/>
    <w:rsid w:val="0062798E"/>
    <w:rsid w:val="00630942"/>
    <w:rsid w:val="00631AE5"/>
    <w:rsid w:val="006328F6"/>
    <w:rsid w:val="00632992"/>
    <w:rsid w:val="00633F3B"/>
    <w:rsid w:val="006357BC"/>
    <w:rsid w:val="00635ECF"/>
    <w:rsid w:val="00637B57"/>
    <w:rsid w:val="00640A74"/>
    <w:rsid w:val="00640FC3"/>
    <w:rsid w:val="00642020"/>
    <w:rsid w:val="006500FD"/>
    <w:rsid w:val="00651A8A"/>
    <w:rsid w:val="00652A7D"/>
    <w:rsid w:val="0065337B"/>
    <w:rsid w:val="0065419D"/>
    <w:rsid w:val="006548F3"/>
    <w:rsid w:val="00655AA7"/>
    <w:rsid w:val="00655D48"/>
    <w:rsid w:val="00656C3D"/>
    <w:rsid w:val="006604D8"/>
    <w:rsid w:val="00660EAB"/>
    <w:rsid w:val="006615AE"/>
    <w:rsid w:val="006615DC"/>
    <w:rsid w:val="00662F53"/>
    <w:rsid w:val="0066331A"/>
    <w:rsid w:val="00663394"/>
    <w:rsid w:val="00664A5B"/>
    <w:rsid w:val="00665542"/>
    <w:rsid w:val="0066633B"/>
    <w:rsid w:val="0066636B"/>
    <w:rsid w:val="00667375"/>
    <w:rsid w:val="00667942"/>
    <w:rsid w:val="00670C1D"/>
    <w:rsid w:val="00671408"/>
    <w:rsid w:val="006714B8"/>
    <w:rsid w:val="006714F2"/>
    <w:rsid w:val="00671E62"/>
    <w:rsid w:val="00672B1B"/>
    <w:rsid w:val="0067357E"/>
    <w:rsid w:val="00673A6D"/>
    <w:rsid w:val="00674035"/>
    <w:rsid w:val="00674474"/>
    <w:rsid w:val="00675345"/>
    <w:rsid w:val="00675868"/>
    <w:rsid w:val="00676C67"/>
    <w:rsid w:val="00677790"/>
    <w:rsid w:val="00680C08"/>
    <w:rsid w:val="00680C81"/>
    <w:rsid w:val="00681684"/>
    <w:rsid w:val="0068284F"/>
    <w:rsid w:val="006842BE"/>
    <w:rsid w:val="0068741A"/>
    <w:rsid w:val="00687D9A"/>
    <w:rsid w:val="006900A2"/>
    <w:rsid w:val="00692132"/>
    <w:rsid w:val="006931B1"/>
    <w:rsid w:val="006A15C0"/>
    <w:rsid w:val="006A1D01"/>
    <w:rsid w:val="006A2800"/>
    <w:rsid w:val="006A2A4D"/>
    <w:rsid w:val="006A399C"/>
    <w:rsid w:val="006A781A"/>
    <w:rsid w:val="006B1F3E"/>
    <w:rsid w:val="006B39EA"/>
    <w:rsid w:val="006B50A2"/>
    <w:rsid w:val="006B652C"/>
    <w:rsid w:val="006B6D89"/>
    <w:rsid w:val="006C1F3B"/>
    <w:rsid w:val="006C2164"/>
    <w:rsid w:val="006C319B"/>
    <w:rsid w:val="006C3E2A"/>
    <w:rsid w:val="006C5754"/>
    <w:rsid w:val="006C642F"/>
    <w:rsid w:val="006D0146"/>
    <w:rsid w:val="006D03B5"/>
    <w:rsid w:val="006D03E5"/>
    <w:rsid w:val="006D2248"/>
    <w:rsid w:val="006D3540"/>
    <w:rsid w:val="006D4FC3"/>
    <w:rsid w:val="006D5D3E"/>
    <w:rsid w:val="006D6E89"/>
    <w:rsid w:val="006D7E9D"/>
    <w:rsid w:val="006E08B3"/>
    <w:rsid w:val="006E1980"/>
    <w:rsid w:val="006E2256"/>
    <w:rsid w:val="006E242E"/>
    <w:rsid w:val="006E7086"/>
    <w:rsid w:val="006E74D5"/>
    <w:rsid w:val="006F02AC"/>
    <w:rsid w:val="006F1196"/>
    <w:rsid w:val="006F13B5"/>
    <w:rsid w:val="006F17F2"/>
    <w:rsid w:val="006F2563"/>
    <w:rsid w:val="006F3902"/>
    <w:rsid w:val="006F572E"/>
    <w:rsid w:val="00701696"/>
    <w:rsid w:val="00702E98"/>
    <w:rsid w:val="007039AB"/>
    <w:rsid w:val="00703CD8"/>
    <w:rsid w:val="00704180"/>
    <w:rsid w:val="007046D6"/>
    <w:rsid w:val="007056F0"/>
    <w:rsid w:val="00705DB0"/>
    <w:rsid w:val="0070628B"/>
    <w:rsid w:val="00706AFE"/>
    <w:rsid w:val="00706F53"/>
    <w:rsid w:val="00710B19"/>
    <w:rsid w:val="0071224C"/>
    <w:rsid w:val="0071292C"/>
    <w:rsid w:val="00712A69"/>
    <w:rsid w:val="00712AD5"/>
    <w:rsid w:val="00712EE4"/>
    <w:rsid w:val="00714CB5"/>
    <w:rsid w:val="00714FB5"/>
    <w:rsid w:val="00715E43"/>
    <w:rsid w:val="007168E4"/>
    <w:rsid w:val="007204DD"/>
    <w:rsid w:val="00720EFC"/>
    <w:rsid w:val="0072262A"/>
    <w:rsid w:val="00722C4E"/>
    <w:rsid w:val="00722F69"/>
    <w:rsid w:val="00723681"/>
    <w:rsid w:val="00723F60"/>
    <w:rsid w:val="00725C06"/>
    <w:rsid w:val="007302C0"/>
    <w:rsid w:val="007302FA"/>
    <w:rsid w:val="0073082A"/>
    <w:rsid w:val="007320DD"/>
    <w:rsid w:val="00732AB9"/>
    <w:rsid w:val="00735ECC"/>
    <w:rsid w:val="007364B4"/>
    <w:rsid w:val="0073664D"/>
    <w:rsid w:val="0074074E"/>
    <w:rsid w:val="00740A7F"/>
    <w:rsid w:val="007416FA"/>
    <w:rsid w:val="00741813"/>
    <w:rsid w:val="0074253D"/>
    <w:rsid w:val="00742B25"/>
    <w:rsid w:val="00742F79"/>
    <w:rsid w:val="00743241"/>
    <w:rsid w:val="0074420F"/>
    <w:rsid w:val="0074429B"/>
    <w:rsid w:val="00745D5F"/>
    <w:rsid w:val="00745E36"/>
    <w:rsid w:val="00746136"/>
    <w:rsid w:val="007466F7"/>
    <w:rsid w:val="00746ED8"/>
    <w:rsid w:val="007477F8"/>
    <w:rsid w:val="00751D82"/>
    <w:rsid w:val="00752177"/>
    <w:rsid w:val="00753301"/>
    <w:rsid w:val="007549FB"/>
    <w:rsid w:val="00755755"/>
    <w:rsid w:val="00755C33"/>
    <w:rsid w:val="007565AE"/>
    <w:rsid w:val="007615BC"/>
    <w:rsid w:val="00762F05"/>
    <w:rsid w:val="00764EA9"/>
    <w:rsid w:val="007652FF"/>
    <w:rsid w:val="00765AB3"/>
    <w:rsid w:val="00766B12"/>
    <w:rsid w:val="00770C88"/>
    <w:rsid w:val="00770D09"/>
    <w:rsid w:val="00771329"/>
    <w:rsid w:val="007720CD"/>
    <w:rsid w:val="00772CEF"/>
    <w:rsid w:val="00773EF7"/>
    <w:rsid w:val="00774E1D"/>
    <w:rsid w:val="00775512"/>
    <w:rsid w:val="0077675A"/>
    <w:rsid w:val="007770D2"/>
    <w:rsid w:val="007774A1"/>
    <w:rsid w:val="00780355"/>
    <w:rsid w:val="00780ADB"/>
    <w:rsid w:val="00781031"/>
    <w:rsid w:val="007812F7"/>
    <w:rsid w:val="00781735"/>
    <w:rsid w:val="00782DC2"/>
    <w:rsid w:val="007834F5"/>
    <w:rsid w:val="00785721"/>
    <w:rsid w:val="007857DC"/>
    <w:rsid w:val="007859A8"/>
    <w:rsid w:val="00790612"/>
    <w:rsid w:val="00790FA3"/>
    <w:rsid w:val="00793A59"/>
    <w:rsid w:val="007A0810"/>
    <w:rsid w:val="007A2162"/>
    <w:rsid w:val="007A45A0"/>
    <w:rsid w:val="007B09D1"/>
    <w:rsid w:val="007B2309"/>
    <w:rsid w:val="007B3AD8"/>
    <w:rsid w:val="007B795A"/>
    <w:rsid w:val="007B7D8A"/>
    <w:rsid w:val="007C0F3D"/>
    <w:rsid w:val="007C1543"/>
    <w:rsid w:val="007C1AF7"/>
    <w:rsid w:val="007C2350"/>
    <w:rsid w:val="007C2A1C"/>
    <w:rsid w:val="007C3182"/>
    <w:rsid w:val="007C3D46"/>
    <w:rsid w:val="007C44CB"/>
    <w:rsid w:val="007C4790"/>
    <w:rsid w:val="007C7C48"/>
    <w:rsid w:val="007D3FDF"/>
    <w:rsid w:val="007D4697"/>
    <w:rsid w:val="007E138E"/>
    <w:rsid w:val="007E1D03"/>
    <w:rsid w:val="007E290E"/>
    <w:rsid w:val="007E39A9"/>
    <w:rsid w:val="007E3ED7"/>
    <w:rsid w:val="007E462A"/>
    <w:rsid w:val="007E4A2B"/>
    <w:rsid w:val="007E619E"/>
    <w:rsid w:val="007F0968"/>
    <w:rsid w:val="007F1F42"/>
    <w:rsid w:val="007F3C85"/>
    <w:rsid w:val="007F4B2D"/>
    <w:rsid w:val="007F602B"/>
    <w:rsid w:val="007F6933"/>
    <w:rsid w:val="007F6BBB"/>
    <w:rsid w:val="00800638"/>
    <w:rsid w:val="00801747"/>
    <w:rsid w:val="00801E0E"/>
    <w:rsid w:val="008036B7"/>
    <w:rsid w:val="00803F3A"/>
    <w:rsid w:val="00804E61"/>
    <w:rsid w:val="008100B6"/>
    <w:rsid w:val="00812283"/>
    <w:rsid w:val="00813F56"/>
    <w:rsid w:val="0081429A"/>
    <w:rsid w:val="00814CE3"/>
    <w:rsid w:val="00814D0D"/>
    <w:rsid w:val="00815662"/>
    <w:rsid w:val="008166FB"/>
    <w:rsid w:val="0081730B"/>
    <w:rsid w:val="008174D7"/>
    <w:rsid w:val="00817DEB"/>
    <w:rsid w:val="00821776"/>
    <w:rsid w:val="00822E8A"/>
    <w:rsid w:val="008233C0"/>
    <w:rsid w:val="00823D31"/>
    <w:rsid w:val="00823E58"/>
    <w:rsid w:val="00824D0F"/>
    <w:rsid w:val="008259D5"/>
    <w:rsid w:val="00826007"/>
    <w:rsid w:val="008276C7"/>
    <w:rsid w:val="0082792D"/>
    <w:rsid w:val="00827F41"/>
    <w:rsid w:val="008321F5"/>
    <w:rsid w:val="00832369"/>
    <w:rsid w:val="00832D9F"/>
    <w:rsid w:val="00834049"/>
    <w:rsid w:val="0083444E"/>
    <w:rsid w:val="00834660"/>
    <w:rsid w:val="00834D93"/>
    <w:rsid w:val="00835D16"/>
    <w:rsid w:val="00835EE2"/>
    <w:rsid w:val="0083644E"/>
    <w:rsid w:val="00836BC2"/>
    <w:rsid w:val="00837DE7"/>
    <w:rsid w:val="0084204C"/>
    <w:rsid w:val="00842080"/>
    <w:rsid w:val="00842585"/>
    <w:rsid w:val="00842BE0"/>
    <w:rsid w:val="00845892"/>
    <w:rsid w:val="00846469"/>
    <w:rsid w:val="00846C99"/>
    <w:rsid w:val="00847B2E"/>
    <w:rsid w:val="0085159D"/>
    <w:rsid w:val="00854541"/>
    <w:rsid w:val="00856296"/>
    <w:rsid w:val="0085641B"/>
    <w:rsid w:val="00856C15"/>
    <w:rsid w:val="00857136"/>
    <w:rsid w:val="00860E0C"/>
    <w:rsid w:val="00862AE9"/>
    <w:rsid w:val="00862E66"/>
    <w:rsid w:val="00863B1D"/>
    <w:rsid w:val="008651F8"/>
    <w:rsid w:val="00866529"/>
    <w:rsid w:val="00866CF3"/>
    <w:rsid w:val="00867C8F"/>
    <w:rsid w:val="00871161"/>
    <w:rsid w:val="008719B1"/>
    <w:rsid w:val="0087416B"/>
    <w:rsid w:val="00874775"/>
    <w:rsid w:val="008748AE"/>
    <w:rsid w:val="00874B33"/>
    <w:rsid w:val="00875A19"/>
    <w:rsid w:val="00877066"/>
    <w:rsid w:val="00877F5C"/>
    <w:rsid w:val="00881C8C"/>
    <w:rsid w:val="00881FD8"/>
    <w:rsid w:val="008854E1"/>
    <w:rsid w:val="00885930"/>
    <w:rsid w:val="008872A9"/>
    <w:rsid w:val="00887D37"/>
    <w:rsid w:val="00890754"/>
    <w:rsid w:val="008908C0"/>
    <w:rsid w:val="00890E8F"/>
    <w:rsid w:val="00892E19"/>
    <w:rsid w:val="00894D2B"/>
    <w:rsid w:val="00895A07"/>
    <w:rsid w:val="00896018"/>
    <w:rsid w:val="008975F2"/>
    <w:rsid w:val="0089764E"/>
    <w:rsid w:val="00897E0F"/>
    <w:rsid w:val="008A0550"/>
    <w:rsid w:val="008A1CEE"/>
    <w:rsid w:val="008A2B9D"/>
    <w:rsid w:val="008A582B"/>
    <w:rsid w:val="008A5E0B"/>
    <w:rsid w:val="008A5FB6"/>
    <w:rsid w:val="008A6299"/>
    <w:rsid w:val="008A6B42"/>
    <w:rsid w:val="008A6D59"/>
    <w:rsid w:val="008A7F9B"/>
    <w:rsid w:val="008B005B"/>
    <w:rsid w:val="008B01E5"/>
    <w:rsid w:val="008B1FE8"/>
    <w:rsid w:val="008B2110"/>
    <w:rsid w:val="008B3E49"/>
    <w:rsid w:val="008B4A37"/>
    <w:rsid w:val="008B4B03"/>
    <w:rsid w:val="008B4E8B"/>
    <w:rsid w:val="008B596F"/>
    <w:rsid w:val="008B65A9"/>
    <w:rsid w:val="008B799B"/>
    <w:rsid w:val="008C159F"/>
    <w:rsid w:val="008C1623"/>
    <w:rsid w:val="008C1BE2"/>
    <w:rsid w:val="008C31F9"/>
    <w:rsid w:val="008C3A45"/>
    <w:rsid w:val="008C4E34"/>
    <w:rsid w:val="008C51A9"/>
    <w:rsid w:val="008C6267"/>
    <w:rsid w:val="008C6BF0"/>
    <w:rsid w:val="008C6E5B"/>
    <w:rsid w:val="008D005A"/>
    <w:rsid w:val="008D18FD"/>
    <w:rsid w:val="008D2816"/>
    <w:rsid w:val="008D32B9"/>
    <w:rsid w:val="008D50AE"/>
    <w:rsid w:val="008D6390"/>
    <w:rsid w:val="008D687D"/>
    <w:rsid w:val="008E16FD"/>
    <w:rsid w:val="008E6F53"/>
    <w:rsid w:val="008E7524"/>
    <w:rsid w:val="008E784D"/>
    <w:rsid w:val="008E79E8"/>
    <w:rsid w:val="008F1CCC"/>
    <w:rsid w:val="008F26E2"/>
    <w:rsid w:val="008F2967"/>
    <w:rsid w:val="008F4FA4"/>
    <w:rsid w:val="008F5BB2"/>
    <w:rsid w:val="008F6CE0"/>
    <w:rsid w:val="008F7052"/>
    <w:rsid w:val="008F75CF"/>
    <w:rsid w:val="008F7DC7"/>
    <w:rsid w:val="00901492"/>
    <w:rsid w:val="009018DD"/>
    <w:rsid w:val="00901C1F"/>
    <w:rsid w:val="00903BE9"/>
    <w:rsid w:val="00904FE3"/>
    <w:rsid w:val="009065CD"/>
    <w:rsid w:val="0091325E"/>
    <w:rsid w:val="009134BD"/>
    <w:rsid w:val="0091391C"/>
    <w:rsid w:val="00914E59"/>
    <w:rsid w:val="00920330"/>
    <w:rsid w:val="00920A37"/>
    <w:rsid w:val="00920D4C"/>
    <w:rsid w:val="009219D7"/>
    <w:rsid w:val="00922830"/>
    <w:rsid w:val="00922836"/>
    <w:rsid w:val="00922D53"/>
    <w:rsid w:val="00923B70"/>
    <w:rsid w:val="0092424D"/>
    <w:rsid w:val="00925F52"/>
    <w:rsid w:val="0092600B"/>
    <w:rsid w:val="00926EC2"/>
    <w:rsid w:val="00930237"/>
    <w:rsid w:val="0093050B"/>
    <w:rsid w:val="009332BC"/>
    <w:rsid w:val="00935F5D"/>
    <w:rsid w:val="009412A2"/>
    <w:rsid w:val="00943021"/>
    <w:rsid w:val="009438F8"/>
    <w:rsid w:val="009464C8"/>
    <w:rsid w:val="009478BA"/>
    <w:rsid w:val="009478C5"/>
    <w:rsid w:val="0095048D"/>
    <w:rsid w:val="00951BFF"/>
    <w:rsid w:val="00956275"/>
    <w:rsid w:val="0095661C"/>
    <w:rsid w:val="00956D21"/>
    <w:rsid w:val="009600E9"/>
    <w:rsid w:val="009614C4"/>
    <w:rsid w:val="0096342B"/>
    <w:rsid w:val="009637A4"/>
    <w:rsid w:val="00963C08"/>
    <w:rsid w:val="009670F2"/>
    <w:rsid w:val="00967342"/>
    <w:rsid w:val="009676C7"/>
    <w:rsid w:val="00967B4E"/>
    <w:rsid w:val="009702AC"/>
    <w:rsid w:val="0097127D"/>
    <w:rsid w:val="0097239B"/>
    <w:rsid w:val="00972F81"/>
    <w:rsid w:val="009739D0"/>
    <w:rsid w:val="009749AA"/>
    <w:rsid w:val="009749DF"/>
    <w:rsid w:val="00975270"/>
    <w:rsid w:val="0097528D"/>
    <w:rsid w:val="0098068F"/>
    <w:rsid w:val="00982678"/>
    <w:rsid w:val="0098481E"/>
    <w:rsid w:val="00986605"/>
    <w:rsid w:val="00986AB3"/>
    <w:rsid w:val="0099253F"/>
    <w:rsid w:val="0099264E"/>
    <w:rsid w:val="00993B51"/>
    <w:rsid w:val="00993ED7"/>
    <w:rsid w:val="00993F55"/>
    <w:rsid w:val="0099670E"/>
    <w:rsid w:val="00997A1A"/>
    <w:rsid w:val="00997E98"/>
    <w:rsid w:val="009A1DA0"/>
    <w:rsid w:val="009A21BD"/>
    <w:rsid w:val="009A22D0"/>
    <w:rsid w:val="009A4CED"/>
    <w:rsid w:val="009A6616"/>
    <w:rsid w:val="009A6EC1"/>
    <w:rsid w:val="009A721C"/>
    <w:rsid w:val="009A7351"/>
    <w:rsid w:val="009B0CF4"/>
    <w:rsid w:val="009B15E8"/>
    <w:rsid w:val="009B1D12"/>
    <w:rsid w:val="009B1F06"/>
    <w:rsid w:val="009B416B"/>
    <w:rsid w:val="009B484E"/>
    <w:rsid w:val="009B53DC"/>
    <w:rsid w:val="009B5886"/>
    <w:rsid w:val="009B5930"/>
    <w:rsid w:val="009B59F3"/>
    <w:rsid w:val="009B5F4A"/>
    <w:rsid w:val="009B6EC1"/>
    <w:rsid w:val="009C2A54"/>
    <w:rsid w:val="009C4BD5"/>
    <w:rsid w:val="009C5ECF"/>
    <w:rsid w:val="009C65A4"/>
    <w:rsid w:val="009D170D"/>
    <w:rsid w:val="009D2CA5"/>
    <w:rsid w:val="009D44B5"/>
    <w:rsid w:val="009D4592"/>
    <w:rsid w:val="009D54C0"/>
    <w:rsid w:val="009D5B1C"/>
    <w:rsid w:val="009D5B5A"/>
    <w:rsid w:val="009D7B77"/>
    <w:rsid w:val="009E0BB0"/>
    <w:rsid w:val="009E3AE5"/>
    <w:rsid w:val="009E3FBB"/>
    <w:rsid w:val="009E43EE"/>
    <w:rsid w:val="009E722B"/>
    <w:rsid w:val="009F06F6"/>
    <w:rsid w:val="009F1E7C"/>
    <w:rsid w:val="009F30FD"/>
    <w:rsid w:val="009F3338"/>
    <w:rsid w:val="009F5F9B"/>
    <w:rsid w:val="009F7285"/>
    <w:rsid w:val="009F72C9"/>
    <w:rsid w:val="009F7867"/>
    <w:rsid w:val="009F7B97"/>
    <w:rsid w:val="00A00257"/>
    <w:rsid w:val="00A00DB2"/>
    <w:rsid w:val="00A01885"/>
    <w:rsid w:val="00A01B9C"/>
    <w:rsid w:val="00A02E9C"/>
    <w:rsid w:val="00A04B48"/>
    <w:rsid w:val="00A04B51"/>
    <w:rsid w:val="00A056A0"/>
    <w:rsid w:val="00A05731"/>
    <w:rsid w:val="00A062C0"/>
    <w:rsid w:val="00A0726A"/>
    <w:rsid w:val="00A1051C"/>
    <w:rsid w:val="00A1470B"/>
    <w:rsid w:val="00A14DF7"/>
    <w:rsid w:val="00A161B7"/>
    <w:rsid w:val="00A16255"/>
    <w:rsid w:val="00A2003A"/>
    <w:rsid w:val="00A20ED9"/>
    <w:rsid w:val="00A22952"/>
    <w:rsid w:val="00A23851"/>
    <w:rsid w:val="00A242D7"/>
    <w:rsid w:val="00A24A9F"/>
    <w:rsid w:val="00A253A5"/>
    <w:rsid w:val="00A2698A"/>
    <w:rsid w:val="00A271EF"/>
    <w:rsid w:val="00A27293"/>
    <w:rsid w:val="00A2740F"/>
    <w:rsid w:val="00A30DE4"/>
    <w:rsid w:val="00A31152"/>
    <w:rsid w:val="00A3246D"/>
    <w:rsid w:val="00A32DB3"/>
    <w:rsid w:val="00A33C17"/>
    <w:rsid w:val="00A3512D"/>
    <w:rsid w:val="00A35E34"/>
    <w:rsid w:val="00A36836"/>
    <w:rsid w:val="00A36FA7"/>
    <w:rsid w:val="00A3765C"/>
    <w:rsid w:val="00A410BF"/>
    <w:rsid w:val="00A41D08"/>
    <w:rsid w:val="00A43378"/>
    <w:rsid w:val="00A4383E"/>
    <w:rsid w:val="00A45EE0"/>
    <w:rsid w:val="00A475B7"/>
    <w:rsid w:val="00A47AF7"/>
    <w:rsid w:val="00A47C3E"/>
    <w:rsid w:val="00A50226"/>
    <w:rsid w:val="00A504C7"/>
    <w:rsid w:val="00A513F2"/>
    <w:rsid w:val="00A5543D"/>
    <w:rsid w:val="00A56994"/>
    <w:rsid w:val="00A56DDE"/>
    <w:rsid w:val="00A57BE7"/>
    <w:rsid w:val="00A606D5"/>
    <w:rsid w:val="00A60BAD"/>
    <w:rsid w:val="00A614D8"/>
    <w:rsid w:val="00A6191C"/>
    <w:rsid w:val="00A61B30"/>
    <w:rsid w:val="00A63407"/>
    <w:rsid w:val="00A63E30"/>
    <w:rsid w:val="00A64909"/>
    <w:rsid w:val="00A67820"/>
    <w:rsid w:val="00A67965"/>
    <w:rsid w:val="00A7024F"/>
    <w:rsid w:val="00A71885"/>
    <w:rsid w:val="00A71ADB"/>
    <w:rsid w:val="00A73A8D"/>
    <w:rsid w:val="00A73D47"/>
    <w:rsid w:val="00A754B8"/>
    <w:rsid w:val="00A75755"/>
    <w:rsid w:val="00A77137"/>
    <w:rsid w:val="00A8167E"/>
    <w:rsid w:val="00A8518B"/>
    <w:rsid w:val="00A858D4"/>
    <w:rsid w:val="00A86CC1"/>
    <w:rsid w:val="00A874AA"/>
    <w:rsid w:val="00A87E87"/>
    <w:rsid w:val="00A912F6"/>
    <w:rsid w:val="00A94D1B"/>
    <w:rsid w:val="00A96DBB"/>
    <w:rsid w:val="00A971A1"/>
    <w:rsid w:val="00AA03D6"/>
    <w:rsid w:val="00AA0718"/>
    <w:rsid w:val="00AA0FA1"/>
    <w:rsid w:val="00AA44B6"/>
    <w:rsid w:val="00AA49A2"/>
    <w:rsid w:val="00AA5CB2"/>
    <w:rsid w:val="00AA6A5B"/>
    <w:rsid w:val="00AA77AF"/>
    <w:rsid w:val="00AB274A"/>
    <w:rsid w:val="00AB2ED5"/>
    <w:rsid w:val="00AB338F"/>
    <w:rsid w:val="00AB3841"/>
    <w:rsid w:val="00AB3F63"/>
    <w:rsid w:val="00AB4026"/>
    <w:rsid w:val="00AB5228"/>
    <w:rsid w:val="00AB566D"/>
    <w:rsid w:val="00AB5E44"/>
    <w:rsid w:val="00AB7647"/>
    <w:rsid w:val="00AB7800"/>
    <w:rsid w:val="00AC1167"/>
    <w:rsid w:val="00AC1565"/>
    <w:rsid w:val="00AC1BFC"/>
    <w:rsid w:val="00AC2B40"/>
    <w:rsid w:val="00AC2BB2"/>
    <w:rsid w:val="00AC2C3C"/>
    <w:rsid w:val="00AC37AF"/>
    <w:rsid w:val="00AC5EFA"/>
    <w:rsid w:val="00AD38E1"/>
    <w:rsid w:val="00AD542B"/>
    <w:rsid w:val="00AD5545"/>
    <w:rsid w:val="00AD7025"/>
    <w:rsid w:val="00AD70FE"/>
    <w:rsid w:val="00AE12B4"/>
    <w:rsid w:val="00AE1619"/>
    <w:rsid w:val="00AE2305"/>
    <w:rsid w:val="00AE2733"/>
    <w:rsid w:val="00AE30D4"/>
    <w:rsid w:val="00AE32A9"/>
    <w:rsid w:val="00AE32F3"/>
    <w:rsid w:val="00AE65EB"/>
    <w:rsid w:val="00AF158A"/>
    <w:rsid w:val="00AF1D94"/>
    <w:rsid w:val="00AF213E"/>
    <w:rsid w:val="00AF329B"/>
    <w:rsid w:val="00AF3846"/>
    <w:rsid w:val="00AF38CA"/>
    <w:rsid w:val="00AF4FB1"/>
    <w:rsid w:val="00AF5B77"/>
    <w:rsid w:val="00AF60C5"/>
    <w:rsid w:val="00AF6D93"/>
    <w:rsid w:val="00B003ED"/>
    <w:rsid w:val="00B009C6"/>
    <w:rsid w:val="00B01548"/>
    <w:rsid w:val="00B0277C"/>
    <w:rsid w:val="00B0701C"/>
    <w:rsid w:val="00B1021A"/>
    <w:rsid w:val="00B114FE"/>
    <w:rsid w:val="00B12E3B"/>
    <w:rsid w:val="00B132DE"/>
    <w:rsid w:val="00B13F56"/>
    <w:rsid w:val="00B14C99"/>
    <w:rsid w:val="00B15E5C"/>
    <w:rsid w:val="00B17E8D"/>
    <w:rsid w:val="00B21D29"/>
    <w:rsid w:val="00B2379D"/>
    <w:rsid w:val="00B25034"/>
    <w:rsid w:val="00B26258"/>
    <w:rsid w:val="00B27FCE"/>
    <w:rsid w:val="00B31208"/>
    <w:rsid w:val="00B32A3E"/>
    <w:rsid w:val="00B33863"/>
    <w:rsid w:val="00B34026"/>
    <w:rsid w:val="00B3564B"/>
    <w:rsid w:val="00B35C18"/>
    <w:rsid w:val="00B35E03"/>
    <w:rsid w:val="00B36061"/>
    <w:rsid w:val="00B36792"/>
    <w:rsid w:val="00B36865"/>
    <w:rsid w:val="00B36FB3"/>
    <w:rsid w:val="00B37812"/>
    <w:rsid w:val="00B37D17"/>
    <w:rsid w:val="00B4175E"/>
    <w:rsid w:val="00B43F04"/>
    <w:rsid w:val="00B44863"/>
    <w:rsid w:val="00B4661B"/>
    <w:rsid w:val="00B472F2"/>
    <w:rsid w:val="00B47E21"/>
    <w:rsid w:val="00B508B7"/>
    <w:rsid w:val="00B51CBA"/>
    <w:rsid w:val="00B52355"/>
    <w:rsid w:val="00B52586"/>
    <w:rsid w:val="00B54ABF"/>
    <w:rsid w:val="00B54C25"/>
    <w:rsid w:val="00B55A2B"/>
    <w:rsid w:val="00B56277"/>
    <w:rsid w:val="00B56EAE"/>
    <w:rsid w:val="00B57E68"/>
    <w:rsid w:val="00B61DF8"/>
    <w:rsid w:val="00B635E6"/>
    <w:rsid w:val="00B64412"/>
    <w:rsid w:val="00B64423"/>
    <w:rsid w:val="00B646C0"/>
    <w:rsid w:val="00B666D2"/>
    <w:rsid w:val="00B6734E"/>
    <w:rsid w:val="00B702E3"/>
    <w:rsid w:val="00B76B91"/>
    <w:rsid w:val="00B77D6C"/>
    <w:rsid w:val="00B77E95"/>
    <w:rsid w:val="00B8149D"/>
    <w:rsid w:val="00B8519C"/>
    <w:rsid w:val="00B85B79"/>
    <w:rsid w:val="00B85F52"/>
    <w:rsid w:val="00B871D5"/>
    <w:rsid w:val="00B87813"/>
    <w:rsid w:val="00B910C4"/>
    <w:rsid w:val="00B91275"/>
    <w:rsid w:val="00B91D79"/>
    <w:rsid w:val="00B92B10"/>
    <w:rsid w:val="00B94131"/>
    <w:rsid w:val="00B96878"/>
    <w:rsid w:val="00B973C4"/>
    <w:rsid w:val="00BA2378"/>
    <w:rsid w:val="00BA31C5"/>
    <w:rsid w:val="00BA3C21"/>
    <w:rsid w:val="00BA5BB9"/>
    <w:rsid w:val="00BA5D1E"/>
    <w:rsid w:val="00BA6957"/>
    <w:rsid w:val="00BA6D56"/>
    <w:rsid w:val="00BB163A"/>
    <w:rsid w:val="00BB1D6F"/>
    <w:rsid w:val="00BB531A"/>
    <w:rsid w:val="00BC1A70"/>
    <w:rsid w:val="00BC1FA5"/>
    <w:rsid w:val="00BC22D9"/>
    <w:rsid w:val="00BC2D00"/>
    <w:rsid w:val="00BC4DA2"/>
    <w:rsid w:val="00BC622A"/>
    <w:rsid w:val="00BC67B5"/>
    <w:rsid w:val="00BC7C98"/>
    <w:rsid w:val="00BD2959"/>
    <w:rsid w:val="00BD316F"/>
    <w:rsid w:val="00BD4ACF"/>
    <w:rsid w:val="00BD5AC0"/>
    <w:rsid w:val="00BD6C0C"/>
    <w:rsid w:val="00BE0967"/>
    <w:rsid w:val="00BE0A78"/>
    <w:rsid w:val="00BE3DDF"/>
    <w:rsid w:val="00BE3FA3"/>
    <w:rsid w:val="00BE4E4B"/>
    <w:rsid w:val="00BE55E9"/>
    <w:rsid w:val="00BE68B7"/>
    <w:rsid w:val="00BE695E"/>
    <w:rsid w:val="00BE79F0"/>
    <w:rsid w:val="00BF046D"/>
    <w:rsid w:val="00BF2836"/>
    <w:rsid w:val="00BF33E8"/>
    <w:rsid w:val="00BF3401"/>
    <w:rsid w:val="00BF5CEF"/>
    <w:rsid w:val="00BF5D04"/>
    <w:rsid w:val="00C02031"/>
    <w:rsid w:val="00C03178"/>
    <w:rsid w:val="00C0325F"/>
    <w:rsid w:val="00C04093"/>
    <w:rsid w:val="00C0506A"/>
    <w:rsid w:val="00C05A66"/>
    <w:rsid w:val="00C06A51"/>
    <w:rsid w:val="00C06B58"/>
    <w:rsid w:val="00C07B3B"/>
    <w:rsid w:val="00C103EC"/>
    <w:rsid w:val="00C10DFA"/>
    <w:rsid w:val="00C11AE2"/>
    <w:rsid w:val="00C12646"/>
    <w:rsid w:val="00C12A33"/>
    <w:rsid w:val="00C13563"/>
    <w:rsid w:val="00C17A40"/>
    <w:rsid w:val="00C17C7D"/>
    <w:rsid w:val="00C17FD8"/>
    <w:rsid w:val="00C214AD"/>
    <w:rsid w:val="00C22F48"/>
    <w:rsid w:val="00C24E9A"/>
    <w:rsid w:val="00C24ECD"/>
    <w:rsid w:val="00C24F46"/>
    <w:rsid w:val="00C25B84"/>
    <w:rsid w:val="00C268C4"/>
    <w:rsid w:val="00C31B4F"/>
    <w:rsid w:val="00C32F58"/>
    <w:rsid w:val="00C34A49"/>
    <w:rsid w:val="00C34A54"/>
    <w:rsid w:val="00C35AEB"/>
    <w:rsid w:val="00C36EC5"/>
    <w:rsid w:val="00C370F3"/>
    <w:rsid w:val="00C3764B"/>
    <w:rsid w:val="00C404A6"/>
    <w:rsid w:val="00C40A36"/>
    <w:rsid w:val="00C427B7"/>
    <w:rsid w:val="00C44335"/>
    <w:rsid w:val="00C44419"/>
    <w:rsid w:val="00C452D5"/>
    <w:rsid w:val="00C45E7B"/>
    <w:rsid w:val="00C46A2F"/>
    <w:rsid w:val="00C471B1"/>
    <w:rsid w:val="00C47FD9"/>
    <w:rsid w:val="00C513AA"/>
    <w:rsid w:val="00C51ABA"/>
    <w:rsid w:val="00C53D7B"/>
    <w:rsid w:val="00C54E0F"/>
    <w:rsid w:val="00C550E8"/>
    <w:rsid w:val="00C5680D"/>
    <w:rsid w:val="00C56B1F"/>
    <w:rsid w:val="00C57111"/>
    <w:rsid w:val="00C61587"/>
    <w:rsid w:val="00C627C3"/>
    <w:rsid w:val="00C6316B"/>
    <w:rsid w:val="00C634A9"/>
    <w:rsid w:val="00C6394C"/>
    <w:rsid w:val="00C652F3"/>
    <w:rsid w:val="00C655F9"/>
    <w:rsid w:val="00C659CE"/>
    <w:rsid w:val="00C661EE"/>
    <w:rsid w:val="00C66910"/>
    <w:rsid w:val="00C66ED5"/>
    <w:rsid w:val="00C71225"/>
    <w:rsid w:val="00C712DE"/>
    <w:rsid w:val="00C72261"/>
    <w:rsid w:val="00C7317C"/>
    <w:rsid w:val="00C731EA"/>
    <w:rsid w:val="00C74AAC"/>
    <w:rsid w:val="00C75BB9"/>
    <w:rsid w:val="00C76275"/>
    <w:rsid w:val="00C772FF"/>
    <w:rsid w:val="00C801AF"/>
    <w:rsid w:val="00C80256"/>
    <w:rsid w:val="00C8061B"/>
    <w:rsid w:val="00C81637"/>
    <w:rsid w:val="00C81C2A"/>
    <w:rsid w:val="00C82B87"/>
    <w:rsid w:val="00C8509F"/>
    <w:rsid w:val="00C85D49"/>
    <w:rsid w:val="00C86420"/>
    <w:rsid w:val="00C8656F"/>
    <w:rsid w:val="00C870E8"/>
    <w:rsid w:val="00C92F9C"/>
    <w:rsid w:val="00C964DE"/>
    <w:rsid w:val="00C966D9"/>
    <w:rsid w:val="00C97624"/>
    <w:rsid w:val="00CA1218"/>
    <w:rsid w:val="00CA3BC1"/>
    <w:rsid w:val="00CA3FA7"/>
    <w:rsid w:val="00CA50C4"/>
    <w:rsid w:val="00CA5C63"/>
    <w:rsid w:val="00CA6AC6"/>
    <w:rsid w:val="00CA7E11"/>
    <w:rsid w:val="00CB1FC2"/>
    <w:rsid w:val="00CB2441"/>
    <w:rsid w:val="00CB36E4"/>
    <w:rsid w:val="00CB370F"/>
    <w:rsid w:val="00CB37F2"/>
    <w:rsid w:val="00CB3D03"/>
    <w:rsid w:val="00CB3D25"/>
    <w:rsid w:val="00CB3D44"/>
    <w:rsid w:val="00CB62DB"/>
    <w:rsid w:val="00CB6BC0"/>
    <w:rsid w:val="00CC0D32"/>
    <w:rsid w:val="00CC1B7C"/>
    <w:rsid w:val="00CC25EB"/>
    <w:rsid w:val="00CC2E65"/>
    <w:rsid w:val="00CC3A24"/>
    <w:rsid w:val="00CC5130"/>
    <w:rsid w:val="00CC70C1"/>
    <w:rsid w:val="00CC727F"/>
    <w:rsid w:val="00CD07C8"/>
    <w:rsid w:val="00CD0815"/>
    <w:rsid w:val="00CD5EB7"/>
    <w:rsid w:val="00CD706A"/>
    <w:rsid w:val="00CE0285"/>
    <w:rsid w:val="00CE460C"/>
    <w:rsid w:val="00CE49CB"/>
    <w:rsid w:val="00CE5BB0"/>
    <w:rsid w:val="00CE62C3"/>
    <w:rsid w:val="00CF08A6"/>
    <w:rsid w:val="00CF137D"/>
    <w:rsid w:val="00CF14D1"/>
    <w:rsid w:val="00CF15B4"/>
    <w:rsid w:val="00CF15C3"/>
    <w:rsid w:val="00CF250D"/>
    <w:rsid w:val="00CF2B6F"/>
    <w:rsid w:val="00CF4C6D"/>
    <w:rsid w:val="00CF5495"/>
    <w:rsid w:val="00CF583E"/>
    <w:rsid w:val="00CF6B0C"/>
    <w:rsid w:val="00CF7F5A"/>
    <w:rsid w:val="00D017ED"/>
    <w:rsid w:val="00D04B91"/>
    <w:rsid w:val="00D04CCA"/>
    <w:rsid w:val="00D0555B"/>
    <w:rsid w:val="00D0673D"/>
    <w:rsid w:val="00D06BC9"/>
    <w:rsid w:val="00D07185"/>
    <w:rsid w:val="00D079A7"/>
    <w:rsid w:val="00D1034A"/>
    <w:rsid w:val="00D114A3"/>
    <w:rsid w:val="00D1302E"/>
    <w:rsid w:val="00D133FB"/>
    <w:rsid w:val="00D1358D"/>
    <w:rsid w:val="00D13ED2"/>
    <w:rsid w:val="00D153B1"/>
    <w:rsid w:val="00D166B8"/>
    <w:rsid w:val="00D2008E"/>
    <w:rsid w:val="00D21337"/>
    <w:rsid w:val="00D224FE"/>
    <w:rsid w:val="00D2358F"/>
    <w:rsid w:val="00D23789"/>
    <w:rsid w:val="00D242AC"/>
    <w:rsid w:val="00D25FF9"/>
    <w:rsid w:val="00D27592"/>
    <w:rsid w:val="00D331E8"/>
    <w:rsid w:val="00D34571"/>
    <w:rsid w:val="00D3491C"/>
    <w:rsid w:val="00D362BB"/>
    <w:rsid w:val="00D41E18"/>
    <w:rsid w:val="00D42A4C"/>
    <w:rsid w:val="00D42ECB"/>
    <w:rsid w:val="00D43B7A"/>
    <w:rsid w:val="00D43D11"/>
    <w:rsid w:val="00D4497F"/>
    <w:rsid w:val="00D45FA3"/>
    <w:rsid w:val="00D46335"/>
    <w:rsid w:val="00D51187"/>
    <w:rsid w:val="00D51DB2"/>
    <w:rsid w:val="00D5325E"/>
    <w:rsid w:val="00D546AC"/>
    <w:rsid w:val="00D54785"/>
    <w:rsid w:val="00D54C36"/>
    <w:rsid w:val="00D54F6B"/>
    <w:rsid w:val="00D5543F"/>
    <w:rsid w:val="00D56142"/>
    <w:rsid w:val="00D60F04"/>
    <w:rsid w:val="00D62D2B"/>
    <w:rsid w:val="00D6493E"/>
    <w:rsid w:val="00D64D42"/>
    <w:rsid w:val="00D65973"/>
    <w:rsid w:val="00D66C86"/>
    <w:rsid w:val="00D6773D"/>
    <w:rsid w:val="00D67E38"/>
    <w:rsid w:val="00D67E95"/>
    <w:rsid w:val="00D73E42"/>
    <w:rsid w:val="00D73E47"/>
    <w:rsid w:val="00D742B0"/>
    <w:rsid w:val="00D743BD"/>
    <w:rsid w:val="00D8030E"/>
    <w:rsid w:val="00D80B96"/>
    <w:rsid w:val="00D8298A"/>
    <w:rsid w:val="00D8432A"/>
    <w:rsid w:val="00D85F12"/>
    <w:rsid w:val="00D86FB7"/>
    <w:rsid w:val="00D87B15"/>
    <w:rsid w:val="00D91EB9"/>
    <w:rsid w:val="00D9259F"/>
    <w:rsid w:val="00D92D8D"/>
    <w:rsid w:val="00D92E79"/>
    <w:rsid w:val="00D94F54"/>
    <w:rsid w:val="00D9564D"/>
    <w:rsid w:val="00DA1124"/>
    <w:rsid w:val="00DA1AFE"/>
    <w:rsid w:val="00DA2A4A"/>
    <w:rsid w:val="00DA50FD"/>
    <w:rsid w:val="00DA5F84"/>
    <w:rsid w:val="00DA6E7D"/>
    <w:rsid w:val="00DA720C"/>
    <w:rsid w:val="00DB1AE0"/>
    <w:rsid w:val="00DB2ED5"/>
    <w:rsid w:val="00DB3186"/>
    <w:rsid w:val="00DB3B4B"/>
    <w:rsid w:val="00DB3C34"/>
    <w:rsid w:val="00DB44AA"/>
    <w:rsid w:val="00DB5B7E"/>
    <w:rsid w:val="00DB5F6D"/>
    <w:rsid w:val="00DB72B4"/>
    <w:rsid w:val="00DB7FFC"/>
    <w:rsid w:val="00DC133D"/>
    <w:rsid w:val="00DC252F"/>
    <w:rsid w:val="00DC2644"/>
    <w:rsid w:val="00DC64B4"/>
    <w:rsid w:val="00DC6F0A"/>
    <w:rsid w:val="00DC72A7"/>
    <w:rsid w:val="00DC7D20"/>
    <w:rsid w:val="00DD1285"/>
    <w:rsid w:val="00DD23BB"/>
    <w:rsid w:val="00DD2605"/>
    <w:rsid w:val="00DD2957"/>
    <w:rsid w:val="00DD2C2B"/>
    <w:rsid w:val="00DD75A3"/>
    <w:rsid w:val="00DE02AE"/>
    <w:rsid w:val="00DE1760"/>
    <w:rsid w:val="00DE2A3D"/>
    <w:rsid w:val="00DE431A"/>
    <w:rsid w:val="00DE51D1"/>
    <w:rsid w:val="00DE6A0C"/>
    <w:rsid w:val="00DE6B18"/>
    <w:rsid w:val="00DE6DFE"/>
    <w:rsid w:val="00DE7CBC"/>
    <w:rsid w:val="00DF1834"/>
    <w:rsid w:val="00DF1AC9"/>
    <w:rsid w:val="00DF1AF5"/>
    <w:rsid w:val="00DF1B2F"/>
    <w:rsid w:val="00DF1D7F"/>
    <w:rsid w:val="00DF6680"/>
    <w:rsid w:val="00DF6826"/>
    <w:rsid w:val="00DF6D19"/>
    <w:rsid w:val="00E0046F"/>
    <w:rsid w:val="00E00551"/>
    <w:rsid w:val="00E00C73"/>
    <w:rsid w:val="00E01816"/>
    <w:rsid w:val="00E0280D"/>
    <w:rsid w:val="00E02FB4"/>
    <w:rsid w:val="00E06B36"/>
    <w:rsid w:val="00E07874"/>
    <w:rsid w:val="00E10BD9"/>
    <w:rsid w:val="00E11798"/>
    <w:rsid w:val="00E11D1D"/>
    <w:rsid w:val="00E12E65"/>
    <w:rsid w:val="00E13285"/>
    <w:rsid w:val="00E155F4"/>
    <w:rsid w:val="00E15B70"/>
    <w:rsid w:val="00E20571"/>
    <w:rsid w:val="00E2091F"/>
    <w:rsid w:val="00E21651"/>
    <w:rsid w:val="00E225FD"/>
    <w:rsid w:val="00E22FDD"/>
    <w:rsid w:val="00E233DD"/>
    <w:rsid w:val="00E235F7"/>
    <w:rsid w:val="00E239D4"/>
    <w:rsid w:val="00E25AB8"/>
    <w:rsid w:val="00E3010A"/>
    <w:rsid w:val="00E3096A"/>
    <w:rsid w:val="00E325D5"/>
    <w:rsid w:val="00E32F39"/>
    <w:rsid w:val="00E34A13"/>
    <w:rsid w:val="00E34C68"/>
    <w:rsid w:val="00E40B22"/>
    <w:rsid w:val="00E40F33"/>
    <w:rsid w:val="00E41D6A"/>
    <w:rsid w:val="00E4588F"/>
    <w:rsid w:val="00E45EA5"/>
    <w:rsid w:val="00E46DA3"/>
    <w:rsid w:val="00E47673"/>
    <w:rsid w:val="00E521DE"/>
    <w:rsid w:val="00E52B7C"/>
    <w:rsid w:val="00E53EE9"/>
    <w:rsid w:val="00E54512"/>
    <w:rsid w:val="00E5559F"/>
    <w:rsid w:val="00E55814"/>
    <w:rsid w:val="00E55EF4"/>
    <w:rsid w:val="00E560A6"/>
    <w:rsid w:val="00E56311"/>
    <w:rsid w:val="00E578AE"/>
    <w:rsid w:val="00E60656"/>
    <w:rsid w:val="00E624C9"/>
    <w:rsid w:val="00E62700"/>
    <w:rsid w:val="00E665AF"/>
    <w:rsid w:val="00E67EDC"/>
    <w:rsid w:val="00E73952"/>
    <w:rsid w:val="00E7506B"/>
    <w:rsid w:val="00E751D1"/>
    <w:rsid w:val="00E75967"/>
    <w:rsid w:val="00E774CC"/>
    <w:rsid w:val="00E80A53"/>
    <w:rsid w:val="00E82E65"/>
    <w:rsid w:val="00E87500"/>
    <w:rsid w:val="00E912A2"/>
    <w:rsid w:val="00E94030"/>
    <w:rsid w:val="00EA22B3"/>
    <w:rsid w:val="00EA3AAB"/>
    <w:rsid w:val="00EA406B"/>
    <w:rsid w:val="00EA789F"/>
    <w:rsid w:val="00EA7BFB"/>
    <w:rsid w:val="00EB0798"/>
    <w:rsid w:val="00EB0E54"/>
    <w:rsid w:val="00EB4071"/>
    <w:rsid w:val="00EB40AD"/>
    <w:rsid w:val="00EB496F"/>
    <w:rsid w:val="00EB52E5"/>
    <w:rsid w:val="00EB55F9"/>
    <w:rsid w:val="00EB586E"/>
    <w:rsid w:val="00EB5ECC"/>
    <w:rsid w:val="00EB5FC8"/>
    <w:rsid w:val="00EC0E2E"/>
    <w:rsid w:val="00EC1BDD"/>
    <w:rsid w:val="00EC2CEE"/>
    <w:rsid w:val="00EC38BF"/>
    <w:rsid w:val="00EC5C76"/>
    <w:rsid w:val="00EC6FA5"/>
    <w:rsid w:val="00EC7992"/>
    <w:rsid w:val="00ED0150"/>
    <w:rsid w:val="00ED2502"/>
    <w:rsid w:val="00ED2859"/>
    <w:rsid w:val="00ED2E4D"/>
    <w:rsid w:val="00ED5A41"/>
    <w:rsid w:val="00ED79E4"/>
    <w:rsid w:val="00EE001C"/>
    <w:rsid w:val="00EE19EF"/>
    <w:rsid w:val="00EE1D5C"/>
    <w:rsid w:val="00EE3694"/>
    <w:rsid w:val="00EE463E"/>
    <w:rsid w:val="00EE7571"/>
    <w:rsid w:val="00EF0773"/>
    <w:rsid w:val="00EF1531"/>
    <w:rsid w:val="00EF1666"/>
    <w:rsid w:val="00EF21EA"/>
    <w:rsid w:val="00EF3598"/>
    <w:rsid w:val="00EF549B"/>
    <w:rsid w:val="00EF578B"/>
    <w:rsid w:val="00EF6E20"/>
    <w:rsid w:val="00EF738D"/>
    <w:rsid w:val="00F00A04"/>
    <w:rsid w:val="00F033DB"/>
    <w:rsid w:val="00F033EC"/>
    <w:rsid w:val="00F044B6"/>
    <w:rsid w:val="00F04624"/>
    <w:rsid w:val="00F04F19"/>
    <w:rsid w:val="00F04F68"/>
    <w:rsid w:val="00F063EE"/>
    <w:rsid w:val="00F06EE0"/>
    <w:rsid w:val="00F11257"/>
    <w:rsid w:val="00F1144D"/>
    <w:rsid w:val="00F11465"/>
    <w:rsid w:val="00F11F99"/>
    <w:rsid w:val="00F12670"/>
    <w:rsid w:val="00F1384D"/>
    <w:rsid w:val="00F145DD"/>
    <w:rsid w:val="00F14B27"/>
    <w:rsid w:val="00F15A57"/>
    <w:rsid w:val="00F16337"/>
    <w:rsid w:val="00F20808"/>
    <w:rsid w:val="00F220CB"/>
    <w:rsid w:val="00F22D91"/>
    <w:rsid w:val="00F3148D"/>
    <w:rsid w:val="00F3404B"/>
    <w:rsid w:val="00F35298"/>
    <w:rsid w:val="00F3563C"/>
    <w:rsid w:val="00F35E35"/>
    <w:rsid w:val="00F376D8"/>
    <w:rsid w:val="00F400E4"/>
    <w:rsid w:val="00F42080"/>
    <w:rsid w:val="00F43AB1"/>
    <w:rsid w:val="00F46645"/>
    <w:rsid w:val="00F47E37"/>
    <w:rsid w:val="00F55856"/>
    <w:rsid w:val="00F565FA"/>
    <w:rsid w:val="00F576E3"/>
    <w:rsid w:val="00F5798A"/>
    <w:rsid w:val="00F6096F"/>
    <w:rsid w:val="00F62BF2"/>
    <w:rsid w:val="00F640B6"/>
    <w:rsid w:val="00F71638"/>
    <w:rsid w:val="00F72886"/>
    <w:rsid w:val="00F73214"/>
    <w:rsid w:val="00F737B6"/>
    <w:rsid w:val="00F74CF1"/>
    <w:rsid w:val="00F763EE"/>
    <w:rsid w:val="00F80B16"/>
    <w:rsid w:val="00F80E40"/>
    <w:rsid w:val="00F829C3"/>
    <w:rsid w:val="00F85397"/>
    <w:rsid w:val="00F85A17"/>
    <w:rsid w:val="00F875C3"/>
    <w:rsid w:val="00F90378"/>
    <w:rsid w:val="00F909CC"/>
    <w:rsid w:val="00F912C9"/>
    <w:rsid w:val="00F91A5D"/>
    <w:rsid w:val="00F9215A"/>
    <w:rsid w:val="00F928B2"/>
    <w:rsid w:val="00F93D68"/>
    <w:rsid w:val="00FA0A98"/>
    <w:rsid w:val="00FA3024"/>
    <w:rsid w:val="00FA4626"/>
    <w:rsid w:val="00FA5B82"/>
    <w:rsid w:val="00FA639E"/>
    <w:rsid w:val="00FA7158"/>
    <w:rsid w:val="00FB0C44"/>
    <w:rsid w:val="00FB11FB"/>
    <w:rsid w:val="00FB4ADB"/>
    <w:rsid w:val="00FB5660"/>
    <w:rsid w:val="00FB6A28"/>
    <w:rsid w:val="00FB794D"/>
    <w:rsid w:val="00FC03AE"/>
    <w:rsid w:val="00FC1825"/>
    <w:rsid w:val="00FC1B7F"/>
    <w:rsid w:val="00FC25E4"/>
    <w:rsid w:val="00FC2B32"/>
    <w:rsid w:val="00FC2FAC"/>
    <w:rsid w:val="00FC4564"/>
    <w:rsid w:val="00FC4EF7"/>
    <w:rsid w:val="00FC55C0"/>
    <w:rsid w:val="00FC66C8"/>
    <w:rsid w:val="00FD1311"/>
    <w:rsid w:val="00FD4FA3"/>
    <w:rsid w:val="00FD628D"/>
    <w:rsid w:val="00FD6F57"/>
    <w:rsid w:val="00FE0A46"/>
    <w:rsid w:val="00FE0F9C"/>
    <w:rsid w:val="00FE1CAA"/>
    <w:rsid w:val="00FE1DEE"/>
    <w:rsid w:val="00FE25DF"/>
    <w:rsid w:val="00FE2EDD"/>
    <w:rsid w:val="00FE30B3"/>
    <w:rsid w:val="00FE3478"/>
    <w:rsid w:val="00FE38DE"/>
    <w:rsid w:val="00FE3DC2"/>
    <w:rsid w:val="00FE45F3"/>
    <w:rsid w:val="00FE710C"/>
    <w:rsid w:val="00FE7353"/>
    <w:rsid w:val="00FF039B"/>
    <w:rsid w:val="00FF0631"/>
    <w:rsid w:val="00FF161D"/>
    <w:rsid w:val="00FF2126"/>
    <w:rsid w:val="00FF2D13"/>
    <w:rsid w:val="00FF3551"/>
    <w:rsid w:val="00FF4E82"/>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5FB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mbria"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515"/>
    <w:pPr>
      <w:spacing w:before="180" w:after="180" w:line="240" w:lineRule="atLeast"/>
    </w:pPr>
    <w:rPr>
      <w:rFonts w:ascii="Cambria" w:hAnsi="Cambria"/>
      <w:sz w:val="22"/>
    </w:rPr>
  </w:style>
  <w:style w:type="paragraph" w:styleId="Heading1">
    <w:name w:val="heading 1"/>
    <w:basedOn w:val="Normal"/>
    <w:next w:val="Normal"/>
    <w:link w:val="Heading1Char"/>
    <w:qFormat/>
    <w:rsid w:val="00ED0150"/>
    <w:pPr>
      <w:keepNext/>
      <w:keepLines/>
      <w:spacing w:before="360"/>
      <w:outlineLvl w:val="0"/>
    </w:pPr>
    <w:rPr>
      <w:rFonts w:asciiTheme="minorHAnsi" w:eastAsia="Times New Roman" w:hAnsiTheme="minorHAnsi"/>
      <w:b/>
      <w:bCs/>
      <w:sz w:val="48"/>
      <w:szCs w:val="64"/>
    </w:rPr>
  </w:style>
  <w:style w:type="paragraph" w:styleId="Heading2">
    <w:name w:val="heading 2"/>
    <w:basedOn w:val="Heading3"/>
    <w:next w:val="Normal"/>
    <w:link w:val="Heading2Char"/>
    <w:qFormat/>
    <w:rsid w:val="005B20F9"/>
    <w:pPr>
      <w:numPr>
        <w:ilvl w:val="0"/>
      </w:numPr>
      <w:outlineLvl w:val="1"/>
    </w:pPr>
  </w:style>
  <w:style w:type="paragraph" w:styleId="Heading3">
    <w:name w:val="heading 3"/>
    <w:basedOn w:val="Normal"/>
    <w:next w:val="Normal"/>
    <w:link w:val="Heading3Char"/>
    <w:qFormat/>
    <w:rsid w:val="008F7052"/>
    <w:pPr>
      <w:keepNext/>
      <w:keepLines/>
      <w:numPr>
        <w:ilvl w:val="1"/>
        <w:numId w:val="6"/>
      </w:numPr>
      <w:spacing w:before="240" w:line="220" w:lineRule="atLeast"/>
      <w:ind w:left="1134" w:hanging="777"/>
      <w:outlineLvl w:val="2"/>
    </w:pPr>
    <w:rPr>
      <w:rFonts w:asciiTheme="minorHAnsi" w:hAnsiTheme="minorHAnsi"/>
      <w:b/>
      <w:bCs/>
      <w:sz w:val="28"/>
      <w:szCs w:val="28"/>
    </w:rPr>
  </w:style>
  <w:style w:type="paragraph" w:styleId="Heading4">
    <w:name w:val="heading 4"/>
    <w:basedOn w:val="Heading6"/>
    <w:next w:val="Normal"/>
    <w:link w:val="Heading4Char"/>
    <w:qFormat/>
    <w:rsid w:val="00190515"/>
    <w:pPr>
      <w:outlineLvl w:val="3"/>
    </w:pPr>
    <w:rPr>
      <w:b w:val="0"/>
      <w:i/>
      <w:sz w:val="22"/>
      <w:szCs w:val="22"/>
    </w:rPr>
  </w:style>
  <w:style w:type="paragraph" w:styleId="Heading5">
    <w:name w:val="heading 5"/>
    <w:basedOn w:val="Normal"/>
    <w:next w:val="Normal"/>
    <w:link w:val="Heading5Char"/>
    <w:uiPriority w:val="9"/>
    <w:rsid w:val="00396360"/>
    <w:pPr>
      <w:keepNext/>
      <w:keepLines/>
      <w:spacing w:line="220" w:lineRule="atLeast"/>
      <w:outlineLvl w:val="4"/>
    </w:pPr>
    <w:rPr>
      <w:rFonts w:eastAsia="Times New Roman"/>
      <w:b/>
      <w:bCs/>
      <w:i/>
      <w:sz w:val="20"/>
      <w:szCs w:val="21"/>
    </w:rPr>
  </w:style>
  <w:style w:type="paragraph" w:styleId="Heading6">
    <w:name w:val="heading 6"/>
    <w:basedOn w:val="Normal"/>
    <w:next w:val="Normal"/>
    <w:link w:val="Heading6Char"/>
    <w:uiPriority w:val="9"/>
    <w:unhideWhenUsed/>
    <w:rsid w:val="00FE3DC2"/>
    <w:pPr>
      <w:keepNext/>
      <w:keepLines/>
      <w:spacing w:after="60" w:line="180" w:lineRule="atLeast"/>
      <w:outlineLvl w:val="5"/>
    </w:pPr>
    <w:rPr>
      <w:rFonts w:eastAsia="Times New Roman"/>
      <w:b/>
      <w:bCs/>
      <w:sz w:val="20"/>
    </w:rPr>
  </w:style>
  <w:style w:type="paragraph" w:styleId="Heading7">
    <w:name w:val="heading 7"/>
    <w:basedOn w:val="Heading6"/>
    <w:next w:val="Normal"/>
    <w:link w:val="Heading7Char"/>
    <w:uiPriority w:val="9"/>
    <w:unhideWhenUsed/>
    <w:rsid w:val="00DF6D19"/>
    <w:pPr>
      <w:outlineLvl w:val="6"/>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150"/>
    <w:rPr>
      <w:rFonts w:asciiTheme="minorHAnsi" w:eastAsia="Times New Roman" w:hAnsiTheme="minorHAnsi"/>
      <w:b/>
      <w:bCs/>
      <w:sz w:val="48"/>
      <w:szCs w:val="64"/>
    </w:rPr>
  </w:style>
  <w:style w:type="character" w:customStyle="1" w:styleId="Heading2Char">
    <w:name w:val="Heading 2 Char"/>
    <w:basedOn w:val="DefaultParagraphFont"/>
    <w:link w:val="Heading2"/>
    <w:rsid w:val="005B20F9"/>
    <w:rPr>
      <w:rFonts w:asciiTheme="minorHAnsi" w:hAnsiTheme="minorHAnsi"/>
      <w:b/>
      <w:bCs/>
      <w:sz w:val="28"/>
      <w:szCs w:val="28"/>
    </w:rPr>
  </w:style>
  <w:style w:type="character" w:customStyle="1" w:styleId="Heading3Char">
    <w:name w:val="Heading 3 Char"/>
    <w:basedOn w:val="DefaultParagraphFont"/>
    <w:link w:val="Heading3"/>
    <w:rsid w:val="008F7052"/>
    <w:rPr>
      <w:rFonts w:asciiTheme="minorHAnsi" w:hAnsiTheme="minorHAnsi"/>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190515"/>
    <w:rPr>
      <w:rFonts w:ascii="Cambria" w:eastAsia="Times New Roman" w:hAnsi="Cambria"/>
      <w:bCs/>
      <w:i/>
      <w:sz w:val="22"/>
      <w:szCs w:val="22"/>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after="24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396360"/>
    <w:rPr>
      <w:rFonts w:ascii="Cambria" w:eastAsia="Times New Roman" w:hAnsi="Cambria"/>
      <w:b/>
      <w:bCs/>
      <w:i/>
      <w:szCs w:val="21"/>
    </w:rPr>
  </w:style>
  <w:style w:type="character" w:customStyle="1" w:styleId="Heading6Char">
    <w:name w:val="Heading 6 Char"/>
    <w:basedOn w:val="DefaultParagraphFont"/>
    <w:link w:val="Heading6"/>
    <w:uiPriority w:val="9"/>
    <w:rsid w:val="00FE3DC2"/>
    <w:rPr>
      <w:rFonts w:ascii="Cambria" w:eastAsia="Times New Roman" w:hAnsi="Cambria"/>
      <w:b/>
      <w:bCs/>
    </w:rPr>
  </w:style>
  <w:style w:type="character" w:customStyle="1" w:styleId="Heading7Char">
    <w:name w:val="Heading 7 Char"/>
    <w:basedOn w:val="DefaultParagraphFont"/>
    <w:link w:val="Heading7"/>
    <w:uiPriority w:val="9"/>
    <w:rsid w:val="00DF6D19"/>
    <w:rPr>
      <w:rFonts w:ascii="Cambria" w:eastAsia="Times New Roman" w:hAnsi="Cambria"/>
      <w:b/>
      <w:bCs/>
    </w:rPr>
  </w:style>
  <w:style w:type="character" w:styleId="Hyperlink">
    <w:name w:val="Hyperlink"/>
    <w:aliases w:val="OECD 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5B20F9"/>
    <w:pPr>
      <w:numPr>
        <w:numId w:val="1"/>
      </w:numPr>
      <w:spacing w:before="120"/>
    </w:pPr>
  </w:style>
  <w:style w:type="paragraph" w:styleId="ListBullet2">
    <w:name w:val="List Bullet 2"/>
    <w:basedOn w:val="Normal"/>
    <w:uiPriority w:val="2"/>
    <w:qFormat/>
    <w:rsid w:val="00C964DE"/>
    <w:pPr>
      <w:numPr>
        <w:ilvl w:val="1"/>
        <w:numId w:val="4"/>
      </w:numPr>
      <w:spacing w:before="120"/>
    </w:pPr>
  </w:style>
  <w:style w:type="paragraph" w:styleId="ListBullet3">
    <w:name w:val="List Bullet 3"/>
    <w:basedOn w:val="Normal"/>
    <w:uiPriority w:val="2"/>
    <w:qFormat/>
    <w:rsid w:val="00C964DE"/>
    <w:pPr>
      <w:numPr>
        <w:ilvl w:val="2"/>
        <w:numId w:val="4"/>
      </w:numPr>
      <w:spacing w:before="120"/>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4F2A49"/>
    <w:pPr>
      <w:keepNext/>
      <w:keepLines/>
      <w:spacing w:before="360" w:after="0"/>
    </w:pPr>
    <w:rPr>
      <w:rFonts w:ascii="Arial" w:hAnsi="Arial"/>
      <w:b/>
      <w:sz w:val="36"/>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C964DE"/>
    <w:pPr>
      <w:numPr>
        <w:numId w:val="3"/>
      </w:numPr>
      <w:ind w:left="284" w:hanging="284"/>
    </w:pPr>
  </w:style>
  <w:style w:type="paragraph" w:customStyle="1" w:styleId="Numberbullet2">
    <w:name w:val="Number bullet 2"/>
    <w:basedOn w:val="ListBullet"/>
    <w:qFormat/>
    <w:rsid w:val="00823D31"/>
    <w:pPr>
      <w:numPr>
        <w:numId w:val="28"/>
      </w:numPr>
    </w:pPr>
  </w:style>
  <w:style w:type="paragraph" w:customStyle="1" w:styleId="Numberbullet3">
    <w:name w:val="Number bullet 3"/>
    <w:basedOn w:val="ListBullet3"/>
    <w:qFormat/>
    <w:rsid w:val="00D25FF9"/>
    <w:pPr>
      <w:numPr>
        <w:numId w:val="13"/>
      </w:numPr>
      <w:spacing w:after="120"/>
      <w:ind w:left="1276"/>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qFormat/>
    <w:rsid w:val="00E10BD9"/>
    <w:pPr>
      <w:tabs>
        <w:tab w:val="right" w:pos="8505"/>
      </w:tabs>
      <w:spacing w:after="200"/>
    </w:pPr>
    <w:rPr>
      <w:rFonts w:ascii="Arial" w:hAnsi="Arial"/>
      <w:b/>
      <w:sz w:val="24"/>
    </w:rPr>
  </w:style>
  <w:style w:type="paragraph" w:styleId="TOC2">
    <w:name w:val="toc 2"/>
    <w:basedOn w:val="Normal"/>
    <w:next w:val="Normal"/>
    <w:uiPriority w:val="39"/>
    <w:qFormat/>
    <w:rsid w:val="00E10BD9"/>
    <w:pPr>
      <w:tabs>
        <w:tab w:val="right" w:leader="underscore" w:pos="8505"/>
      </w:tabs>
      <w:spacing w:after="100"/>
      <w:ind w:left="624"/>
    </w:pPr>
    <w:rPr>
      <w:b/>
    </w:rPr>
  </w:style>
  <w:style w:type="paragraph" w:styleId="TOC3">
    <w:name w:val="toc 3"/>
    <w:basedOn w:val="Normal"/>
    <w:next w:val="Normal"/>
    <w:uiPriority w:val="39"/>
    <w:qFormat/>
    <w:rsid w:val="00E10BD9"/>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F6D19"/>
    <w:rPr>
      <w:rFonts w:ascii="Cambria" w:hAnsi="Cambria"/>
      <w:sz w:val="17"/>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customStyle="1" w:styleId="Default">
    <w:name w:val="Default"/>
    <w:rsid w:val="009C5ECF"/>
    <w:pPr>
      <w:autoSpaceDE w:val="0"/>
      <w:autoSpaceDN w:val="0"/>
      <w:adjustRightInd w:val="0"/>
    </w:pPr>
    <w:rPr>
      <w:color w:val="000000"/>
      <w:sz w:val="24"/>
      <w:szCs w:val="24"/>
      <w:lang w:eastAsia="en-AU"/>
    </w:rPr>
  </w:style>
  <w:style w:type="character" w:styleId="FootnoteReference">
    <w:name w:val="footnote reference"/>
    <w:basedOn w:val="DefaultParagraphFont"/>
    <w:uiPriority w:val="99"/>
    <w:unhideWhenUsed/>
    <w:rsid w:val="00DF6D19"/>
    <w:rPr>
      <w:sz w:val="17"/>
      <w:vertAlign w:val="superscript"/>
    </w:rPr>
  </w:style>
  <w:style w:type="paragraph" w:styleId="TOC4">
    <w:name w:val="toc 4"/>
    <w:basedOn w:val="Normal"/>
    <w:next w:val="Normal"/>
    <w:autoRedefine/>
    <w:uiPriority w:val="39"/>
    <w:unhideWhenUsed/>
    <w:rsid w:val="00741813"/>
    <w:pPr>
      <w:spacing w:after="100"/>
      <w:ind w:left="1134"/>
    </w:pPr>
  </w:style>
  <w:style w:type="paragraph" w:customStyle="1" w:styleId="NonTOCHeading3">
    <w:name w:val="Non TOC Heading 3"/>
    <w:basedOn w:val="Normal"/>
    <w:next w:val="Normal"/>
    <w:link w:val="NonTOCHeading3Char"/>
    <w:qFormat/>
    <w:rsid w:val="00CF15B4"/>
    <w:rPr>
      <w:sz w:val="28"/>
      <w:szCs w:val="28"/>
    </w:rPr>
  </w:style>
  <w:style w:type="character" w:customStyle="1" w:styleId="NonTOCHeading3Char">
    <w:name w:val="Non TOC Heading 3 Char"/>
    <w:basedOn w:val="Heading3Char"/>
    <w:link w:val="NonTOCHeading3"/>
    <w:rsid w:val="00CF15B4"/>
    <w:rPr>
      <w:rFonts w:ascii="Cambria" w:hAnsi="Cambria"/>
      <w:b w:val="0"/>
      <w:bCs w:val="0"/>
      <w:sz w:val="28"/>
      <w:szCs w:val="28"/>
    </w:rPr>
  </w:style>
  <w:style w:type="paragraph" w:customStyle="1" w:styleId="NonTOCheading20">
    <w:name w:val="Non TOC heading 2"/>
    <w:basedOn w:val="Normal"/>
    <w:next w:val="Normal"/>
    <w:rsid w:val="00065067"/>
    <w:pPr>
      <w:keepNext/>
      <w:keepLines/>
      <w:spacing w:before="360"/>
    </w:pPr>
    <w:rPr>
      <w:rFonts w:ascii="Arial" w:hAnsi="Arial" w:cstheme="minorBidi"/>
      <w:b/>
      <w:sz w:val="36"/>
      <w:szCs w:val="22"/>
    </w:rPr>
  </w:style>
  <w:style w:type="paragraph" w:customStyle="1" w:styleId="TableHeading">
    <w:name w:val="Table Heading"/>
    <w:basedOn w:val="Normal"/>
    <w:link w:val="TableHeadingChar"/>
    <w:qFormat/>
    <w:rsid w:val="00DC252F"/>
    <w:rPr>
      <w:b/>
      <w:color w:val="FFFFFF"/>
      <w:szCs w:val="22"/>
    </w:rPr>
  </w:style>
  <w:style w:type="character" w:customStyle="1" w:styleId="TableHeadingChar">
    <w:name w:val="Table Heading Char"/>
    <w:basedOn w:val="DefaultParagraphFont"/>
    <w:link w:val="TableHeading"/>
    <w:rsid w:val="00DC252F"/>
    <w:rPr>
      <w:rFonts w:ascii="Cambria" w:hAnsi="Cambria"/>
      <w:b/>
      <w:color w:val="FFFFFF"/>
      <w:sz w:val="22"/>
      <w:szCs w:val="22"/>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locked/>
    <w:rsid w:val="00C81C2A"/>
    <w:pPr>
      <w:ind w:left="720"/>
      <w:contextualSpacing/>
    </w:pPr>
  </w:style>
  <w:style w:type="character" w:styleId="CommentReference">
    <w:name w:val="annotation reference"/>
    <w:basedOn w:val="DefaultParagraphFont"/>
    <w:uiPriority w:val="99"/>
    <w:semiHidden/>
    <w:unhideWhenUsed/>
    <w:rsid w:val="004D043E"/>
    <w:rPr>
      <w:sz w:val="16"/>
      <w:szCs w:val="16"/>
    </w:rPr>
  </w:style>
  <w:style w:type="paragraph" w:styleId="CommentText">
    <w:name w:val="annotation text"/>
    <w:basedOn w:val="Normal"/>
    <w:link w:val="CommentTextChar"/>
    <w:uiPriority w:val="99"/>
    <w:unhideWhenUsed/>
    <w:rsid w:val="004D043E"/>
    <w:pPr>
      <w:spacing w:before="200" w:after="200" w:line="240" w:lineRule="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rsid w:val="004D043E"/>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A20ED9"/>
    <w:pPr>
      <w:spacing w:before="180" w:after="180"/>
    </w:pPr>
    <w:rPr>
      <w:rFonts w:ascii="Cambria" w:eastAsia="Cambria" w:hAnsi="Cambria" w:cs="Times New Roman"/>
      <w:b/>
      <w:bCs/>
    </w:rPr>
  </w:style>
  <w:style w:type="character" w:customStyle="1" w:styleId="CommentSubjectChar">
    <w:name w:val="Comment Subject Char"/>
    <w:basedOn w:val="CommentTextChar"/>
    <w:link w:val="CommentSubject"/>
    <w:uiPriority w:val="99"/>
    <w:semiHidden/>
    <w:rsid w:val="00A20ED9"/>
    <w:rPr>
      <w:rFonts w:ascii="Cambria" w:eastAsiaTheme="minorEastAsia" w:hAnsi="Cambria" w:cstheme="minorBidi"/>
      <w:b/>
      <w:bCs/>
    </w:rPr>
  </w:style>
  <w:style w:type="paragraph" w:styleId="FootnoteText">
    <w:name w:val="footnote text"/>
    <w:basedOn w:val="Normal"/>
    <w:link w:val="FootnoteTextChar"/>
    <w:uiPriority w:val="99"/>
    <w:unhideWhenUsed/>
    <w:rsid w:val="00DF6D19"/>
    <w:pPr>
      <w:spacing w:before="0" w:after="0" w:line="240" w:lineRule="auto"/>
    </w:pPr>
    <w:rPr>
      <w:sz w:val="17"/>
    </w:rPr>
  </w:style>
  <w:style w:type="character" w:customStyle="1" w:styleId="FootnoteTextChar">
    <w:name w:val="Footnote Text Char"/>
    <w:basedOn w:val="DefaultParagraphFont"/>
    <w:link w:val="FootnoteText"/>
    <w:uiPriority w:val="99"/>
    <w:rsid w:val="00DF6D19"/>
    <w:rPr>
      <w:rFonts w:ascii="Cambria" w:hAnsi="Cambria"/>
      <w:sz w:val="17"/>
    </w:rPr>
  </w:style>
  <w:style w:type="table" w:styleId="LightList-Accent1">
    <w:name w:val="Light List Accent 1"/>
    <w:basedOn w:val="TableNormal"/>
    <w:uiPriority w:val="61"/>
    <w:rsid w:val="00FE0F9C"/>
    <w:rPr>
      <w:rFonts w:asciiTheme="minorHAnsi" w:eastAsiaTheme="minorEastAsia" w:hAnsiTheme="minorHAnsi" w:cstheme="minorBidi"/>
      <w:sz w:val="22"/>
      <w:szCs w:val="22"/>
    </w:rPr>
    <w:tblPr>
      <w:tblStyleRowBandSize w:val="1"/>
      <w:tblStyleColBandSize w:val="1"/>
      <w:tblBorders>
        <w:top w:val="single" w:sz="8" w:space="0" w:color="25451C" w:themeColor="accent1"/>
        <w:left w:val="single" w:sz="8" w:space="0" w:color="25451C" w:themeColor="accent1"/>
        <w:bottom w:val="single" w:sz="8" w:space="0" w:color="25451C" w:themeColor="accent1"/>
        <w:right w:val="single" w:sz="8" w:space="0" w:color="25451C" w:themeColor="accent1"/>
      </w:tblBorders>
    </w:tblPr>
    <w:tblStylePr w:type="firstRow">
      <w:pPr>
        <w:spacing w:before="0" w:after="0" w:line="240" w:lineRule="auto"/>
      </w:pPr>
      <w:rPr>
        <w:b/>
        <w:bCs/>
        <w:color w:val="B3C960" w:themeColor="background1"/>
      </w:rPr>
      <w:tblPr/>
      <w:tcPr>
        <w:shd w:val="clear" w:color="auto" w:fill="25451C" w:themeFill="accent1"/>
      </w:tcPr>
    </w:tblStylePr>
    <w:tblStylePr w:type="lastRow">
      <w:pPr>
        <w:spacing w:before="0" w:after="0" w:line="240" w:lineRule="auto"/>
      </w:pPr>
      <w:rPr>
        <w:b/>
        <w:bCs/>
      </w:rPr>
      <w:tblPr/>
      <w:tcPr>
        <w:tcBorders>
          <w:top w:val="double" w:sz="6" w:space="0" w:color="25451C" w:themeColor="accent1"/>
          <w:left w:val="single" w:sz="8" w:space="0" w:color="25451C" w:themeColor="accent1"/>
          <w:bottom w:val="single" w:sz="8" w:space="0" w:color="25451C" w:themeColor="accent1"/>
          <w:right w:val="single" w:sz="8" w:space="0" w:color="25451C" w:themeColor="accent1"/>
        </w:tcBorders>
      </w:tcPr>
    </w:tblStylePr>
    <w:tblStylePr w:type="firstCol">
      <w:rPr>
        <w:b/>
        <w:bCs/>
      </w:rPr>
    </w:tblStylePr>
    <w:tblStylePr w:type="lastCol">
      <w:rPr>
        <w:b/>
        <w:bCs/>
      </w:rPr>
    </w:tblStylePr>
    <w:tblStylePr w:type="band1Vert">
      <w:tblPr/>
      <w:tcPr>
        <w:tcBorders>
          <w:top w:val="single" w:sz="8" w:space="0" w:color="25451C" w:themeColor="accent1"/>
          <w:left w:val="single" w:sz="8" w:space="0" w:color="25451C" w:themeColor="accent1"/>
          <w:bottom w:val="single" w:sz="8" w:space="0" w:color="25451C" w:themeColor="accent1"/>
          <w:right w:val="single" w:sz="8" w:space="0" w:color="25451C" w:themeColor="accent1"/>
        </w:tcBorders>
      </w:tcPr>
    </w:tblStylePr>
    <w:tblStylePr w:type="band1Horz">
      <w:tblPr/>
      <w:tcPr>
        <w:tcBorders>
          <w:top w:val="single" w:sz="8" w:space="0" w:color="25451C" w:themeColor="accent1"/>
          <w:left w:val="single" w:sz="8" w:space="0" w:color="25451C" w:themeColor="accent1"/>
          <w:bottom w:val="single" w:sz="8" w:space="0" w:color="25451C" w:themeColor="accent1"/>
          <w:right w:val="single" w:sz="8" w:space="0" w:color="25451C" w:themeColor="accent1"/>
        </w:tcBorders>
      </w:tcPr>
    </w:tblStylePr>
  </w:style>
  <w:style w:type="paragraph" w:styleId="Caption">
    <w:name w:val="caption"/>
    <w:aliases w:val="o,Beschriftung Char,Beschriftung Char1 Char,Beschriftung Char Char Char,Char,Bayer Caption,o + Links,! Q, Char"/>
    <w:basedOn w:val="Normal"/>
    <w:next w:val="Normal"/>
    <w:link w:val="CaptionChar"/>
    <w:unhideWhenUsed/>
    <w:qFormat/>
    <w:rsid w:val="00C44335"/>
    <w:pPr>
      <w:spacing w:before="200" w:after="200" w:line="276" w:lineRule="auto"/>
    </w:pPr>
    <w:rPr>
      <w:rFonts w:ascii="Times New Roman" w:eastAsiaTheme="minorEastAsia" w:hAnsi="Times New Roman" w:cstheme="minorBidi"/>
      <w:b/>
      <w:bCs/>
      <w:color w:val="1B3315" w:themeColor="accent1" w:themeShade="BF"/>
      <w:sz w:val="16"/>
      <w:szCs w:val="16"/>
    </w:rPr>
  </w:style>
  <w:style w:type="character" w:customStyle="1" w:styleId="CaptionChar">
    <w:name w:val="Caption Char"/>
    <w:aliases w:val="o Char,Beschriftung Char Char,Beschriftung Char1 Char Char,Beschriftung Char Char Char Char,Char Char,Bayer Caption Char,o + Links Char,! Q Char, Char Char"/>
    <w:basedOn w:val="DefaultParagraphFont"/>
    <w:link w:val="Caption"/>
    <w:locked/>
    <w:rsid w:val="00C44335"/>
    <w:rPr>
      <w:rFonts w:eastAsiaTheme="minorEastAsia" w:cstheme="minorBidi"/>
      <w:b/>
      <w:bCs/>
      <w:color w:val="1B3315" w:themeColor="accent1" w:themeShade="BF"/>
      <w:sz w:val="16"/>
      <w:szCs w:val="16"/>
    </w:rPr>
  </w:style>
  <w:style w:type="paragraph" w:styleId="Revision">
    <w:name w:val="Revision"/>
    <w:hidden/>
    <w:uiPriority w:val="99"/>
    <w:semiHidden/>
    <w:rsid w:val="00F15A57"/>
    <w:rPr>
      <w:rFonts w:ascii="Cambria" w:hAnsi="Cambria"/>
      <w:sz w:val="22"/>
    </w:rPr>
  </w:style>
  <w:style w:type="paragraph" w:styleId="ListNumber">
    <w:name w:val="List Number"/>
    <w:basedOn w:val="Normal"/>
    <w:uiPriority w:val="99"/>
    <w:unhideWhenUsed/>
    <w:rsid w:val="00277920"/>
    <w:pPr>
      <w:tabs>
        <w:tab w:val="num" w:pos="432"/>
        <w:tab w:val="num" w:pos="720"/>
        <w:tab w:val="left" w:pos="1440"/>
      </w:tabs>
      <w:spacing w:before="0" w:line="240" w:lineRule="auto"/>
      <w:ind w:left="360" w:hanging="360"/>
      <w:contextualSpacing/>
    </w:pPr>
    <w:rPr>
      <w:rFonts w:ascii="Times New Roman" w:eastAsia="Times New Roman" w:hAnsi="Times New Roman"/>
      <w:sz w:val="24"/>
      <w:szCs w:val="24"/>
      <w:lang w:eastAsia="en-AU"/>
    </w:rPr>
  </w:style>
  <w:style w:type="paragraph" w:customStyle="1" w:styleId="Figuretitle0">
    <w:name w:val="Figure title"/>
    <w:basedOn w:val="Normal"/>
    <w:next w:val="Normal"/>
    <w:rsid w:val="00803F3A"/>
    <w:pPr>
      <w:outlineLvl w:val="4"/>
    </w:pPr>
    <w:rPr>
      <w:b/>
    </w:rPr>
  </w:style>
  <w:style w:type="paragraph" w:customStyle="1" w:styleId="TableNormal1">
    <w:name w:val="Table Normal1"/>
    <w:unhideWhenUsed/>
    <w:rsid w:val="00803F3A"/>
    <w:rPr>
      <w:rFonts w:eastAsia="Times New Roman"/>
      <w:lang w:eastAsia="en-AU"/>
    </w:rPr>
  </w:style>
  <w:style w:type="character" w:customStyle="1" w:styleId="element-invisible">
    <w:name w:val="element-invisible"/>
    <w:basedOn w:val="DefaultParagraphFont"/>
    <w:rsid w:val="0091325E"/>
  </w:style>
  <w:style w:type="paragraph" w:styleId="NormalWeb">
    <w:name w:val="Normal (Web)"/>
    <w:basedOn w:val="Normal"/>
    <w:uiPriority w:val="99"/>
    <w:semiHidden/>
    <w:unhideWhenUsed/>
    <w:rsid w:val="00EE463E"/>
    <w:pPr>
      <w:spacing w:before="100" w:beforeAutospacing="1" w:after="100" w:afterAutospacing="1"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EE463E"/>
    <w:rPr>
      <w:i/>
      <w:iCs/>
    </w:r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rsid w:val="0067357E"/>
    <w:rPr>
      <w:rFonts w:ascii="Cambria" w:hAnsi="Cambria"/>
      <w:sz w:val="22"/>
    </w:rPr>
  </w:style>
  <w:style w:type="paragraph" w:styleId="NoteHeading">
    <w:name w:val="Note Heading"/>
    <w:basedOn w:val="Normal"/>
    <w:next w:val="Normal"/>
    <w:link w:val="NoteHeadingChar"/>
    <w:uiPriority w:val="99"/>
    <w:unhideWhenUsed/>
    <w:rsid w:val="00190515"/>
    <w:pPr>
      <w:spacing w:before="0" w:after="0" w:line="240" w:lineRule="auto"/>
    </w:pPr>
  </w:style>
  <w:style w:type="character" w:customStyle="1" w:styleId="NoteHeadingChar">
    <w:name w:val="Note Heading Char"/>
    <w:basedOn w:val="DefaultParagraphFont"/>
    <w:link w:val="NoteHeading"/>
    <w:uiPriority w:val="99"/>
    <w:rsid w:val="00190515"/>
    <w:rPr>
      <w:rFonts w:ascii="Cambria" w:hAnsi="Cambria"/>
      <w:sz w:val="22"/>
    </w:rPr>
  </w:style>
  <w:style w:type="paragraph" w:customStyle="1" w:styleId="Numberbullet2red">
    <w:name w:val="Number bullet 2 red"/>
    <w:basedOn w:val="Numberbullet2"/>
    <w:qFormat/>
    <w:rsid w:val="002353B0"/>
    <w:pPr>
      <w:numPr>
        <w:numId w:val="36"/>
      </w:numPr>
      <w:ind w:left="877" w:hanging="426"/>
    </w:pPr>
    <w:rPr>
      <w:color w:val="FF0000"/>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048">
      <w:bodyDiv w:val="1"/>
      <w:marLeft w:val="0"/>
      <w:marRight w:val="0"/>
      <w:marTop w:val="0"/>
      <w:marBottom w:val="0"/>
      <w:divBdr>
        <w:top w:val="none" w:sz="0" w:space="0" w:color="auto"/>
        <w:left w:val="none" w:sz="0" w:space="0" w:color="auto"/>
        <w:bottom w:val="none" w:sz="0" w:space="0" w:color="auto"/>
        <w:right w:val="none" w:sz="0" w:space="0" w:color="auto"/>
      </w:divBdr>
    </w:div>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64410222">
      <w:bodyDiv w:val="1"/>
      <w:marLeft w:val="0"/>
      <w:marRight w:val="0"/>
      <w:marTop w:val="0"/>
      <w:marBottom w:val="0"/>
      <w:divBdr>
        <w:top w:val="none" w:sz="0" w:space="0" w:color="auto"/>
        <w:left w:val="none" w:sz="0" w:space="0" w:color="auto"/>
        <w:bottom w:val="none" w:sz="0" w:space="0" w:color="auto"/>
        <w:right w:val="none" w:sz="0" w:space="0" w:color="auto"/>
      </w:divBdr>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547836581">
      <w:bodyDiv w:val="1"/>
      <w:marLeft w:val="0"/>
      <w:marRight w:val="0"/>
      <w:marTop w:val="0"/>
      <w:marBottom w:val="0"/>
      <w:divBdr>
        <w:top w:val="none" w:sz="0" w:space="0" w:color="auto"/>
        <w:left w:val="none" w:sz="0" w:space="0" w:color="auto"/>
        <w:bottom w:val="none" w:sz="0" w:space="0" w:color="auto"/>
        <w:right w:val="none" w:sz="0" w:space="0" w:color="auto"/>
      </w:divBdr>
      <w:divsChild>
        <w:div w:id="334888967">
          <w:marLeft w:val="0"/>
          <w:marRight w:val="0"/>
          <w:marTop w:val="0"/>
          <w:marBottom w:val="0"/>
          <w:divBdr>
            <w:top w:val="none" w:sz="0" w:space="0" w:color="auto"/>
            <w:left w:val="none" w:sz="0" w:space="0" w:color="auto"/>
            <w:bottom w:val="none" w:sz="0" w:space="0" w:color="auto"/>
            <w:right w:val="none" w:sz="0" w:space="0" w:color="auto"/>
          </w:divBdr>
          <w:divsChild>
            <w:div w:id="1951665046">
              <w:marLeft w:val="0"/>
              <w:marRight w:val="0"/>
              <w:marTop w:val="0"/>
              <w:marBottom w:val="0"/>
              <w:divBdr>
                <w:top w:val="none" w:sz="0" w:space="0" w:color="auto"/>
                <w:left w:val="none" w:sz="0" w:space="0" w:color="auto"/>
                <w:bottom w:val="none" w:sz="0" w:space="0" w:color="auto"/>
                <w:right w:val="none" w:sz="0" w:space="0" w:color="auto"/>
              </w:divBdr>
              <w:divsChild>
                <w:div w:id="1519926276">
                  <w:marLeft w:val="0"/>
                  <w:marRight w:val="0"/>
                  <w:marTop w:val="0"/>
                  <w:marBottom w:val="0"/>
                  <w:divBdr>
                    <w:top w:val="none" w:sz="0" w:space="0" w:color="auto"/>
                    <w:left w:val="none" w:sz="0" w:space="0" w:color="auto"/>
                    <w:bottom w:val="none" w:sz="0" w:space="0" w:color="auto"/>
                    <w:right w:val="none" w:sz="0" w:space="0" w:color="auto"/>
                  </w:divBdr>
                  <w:divsChild>
                    <w:div w:id="587814790">
                      <w:marLeft w:val="0"/>
                      <w:marRight w:val="0"/>
                      <w:marTop w:val="0"/>
                      <w:marBottom w:val="0"/>
                      <w:divBdr>
                        <w:top w:val="none" w:sz="0" w:space="0" w:color="auto"/>
                        <w:left w:val="none" w:sz="0" w:space="0" w:color="auto"/>
                        <w:bottom w:val="none" w:sz="0" w:space="0" w:color="auto"/>
                        <w:right w:val="none" w:sz="0" w:space="0" w:color="auto"/>
                      </w:divBdr>
                      <w:divsChild>
                        <w:div w:id="801003293">
                          <w:marLeft w:val="0"/>
                          <w:marRight w:val="0"/>
                          <w:marTop w:val="0"/>
                          <w:marBottom w:val="0"/>
                          <w:divBdr>
                            <w:top w:val="none" w:sz="0" w:space="0" w:color="auto"/>
                            <w:left w:val="none" w:sz="0" w:space="0" w:color="auto"/>
                            <w:bottom w:val="none" w:sz="0" w:space="0" w:color="auto"/>
                            <w:right w:val="none" w:sz="0" w:space="0" w:color="auto"/>
                          </w:divBdr>
                          <w:divsChild>
                            <w:div w:id="1324044615">
                              <w:marLeft w:val="0"/>
                              <w:marRight w:val="0"/>
                              <w:marTop w:val="0"/>
                              <w:marBottom w:val="0"/>
                              <w:divBdr>
                                <w:top w:val="none" w:sz="0" w:space="0" w:color="auto"/>
                                <w:left w:val="none" w:sz="0" w:space="0" w:color="auto"/>
                                <w:bottom w:val="none" w:sz="0" w:space="0" w:color="auto"/>
                                <w:right w:val="none" w:sz="0" w:space="0" w:color="auto"/>
                              </w:divBdr>
                              <w:divsChild>
                                <w:div w:id="1540585592">
                                  <w:marLeft w:val="0"/>
                                  <w:marRight w:val="0"/>
                                  <w:marTop w:val="0"/>
                                  <w:marBottom w:val="0"/>
                                  <w:divBdr>
                                    <w:top w:val="none" w:sz="0" w:space="0" w:color="auto"/>
                                    <w:left w:val="none" w:sz="0" w:space="0" w:color="auto"/>
                                    <w:bottom w:val="none" w:sz="0" w:space="0" w:color="auto"/>
                                    <w:right w:val="none" w:sz="0" w:space="0" w:color="auto"/>
                                  </w:divBdr>
                                  <w:divsChild>
                                    <w:div w:id="1920944476">
                                      <w:marLeft w:val="0"/>
                                      <w:marRight w:val="0"/>
                                      <w:marTop w:val="0"/>
                                      <w:marBottom w:val="0"/>
                                      <w:divBdr>
                                        <w:top w:val="none" w:sz="0" w:space="0" w:color="auto"/>
                                        <w:left w:val="none" w:sz="0" w:space="0" w:color="auto"/>
                                        <w:bottom w:val="none" w:sz="0" w:space="0" w:color="auto"/>
                                        <w:right w:val="none" w:sz="0" w:space="0" w:color="auto"/>
                                      </w:divBdr>
                                      <w:divsChild>
                                        <w:div w:id="17736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466978">
      <w:bodyDiv w:val="1"/>
      <w:marLeft w:val="0"/>
      <w:marRight w:val="0"/>
      <w:marTop w:val="0"/>
      <w:marBottom w:val="0"/>
      <w:divBdr>
        <w:top w:val="none" w:sz="0" w:space="0" w:color="auto"/>
        <w:left w:val="none" w:sz="0" w:space="0" w:color="auto"/>
        <w:bottom w:val="none" w:sz="0" w:space="0" w:color="auto"/>
        <w:right w:val="none" w:sz="0" w:space="0" w:color="auto"/>
      </w:divBdr>
      <w:divsChild>
        <w:div w:id="1600485599">
          <w:marLeft w:val="0"/>
          <w:marRight w:val="0"/>
          <w:marTop w:val="0"/>
          <w:marBottom w:val="0"/>
          <w:divBdr>
            <w:top w:val="none" w:sz="0" w:space="0" w:color="auto"/>
            <w:left w:val="none" w:sz="0" w:space="0" w:color="auto"/>
            <w:bottom w:val="none" w:sz="0" w:space="0" w:color="auto"/>
            <w:right w:val="none" w:sz="0" w:space="0" w:color="auto"/>
          </w:divBdr>
          <w:divsChild>
            <w:div w:id="1669208358">
              <w:marLeft w:val="0"/>
              <w:marRight w:val="0"/>
              <w:marTop w:val="0"/>
              <w:marBottom w:val="0"/>
              <w:divBdr>
                <w:top w:val="none" w:sz="0" w:space="0" w:color="auto"/>
                <w:left w:val="none" w:sz="0" w:space="0" w:color="auto"/>
                <w:bottom w:val="none" w:sz="0" w:space="0" w:color="auto"/>
                <w:right w:val="none" w:sz="0" w:space="0" w:color="auto"/>
              </w:divBdr>
              <w:divsChild>
                <w:div w:id="2035374352">
                  <w:marLeft w:val="0"/>
                  <w:marRight w:val="0"/>
                  <w:marTop w:val="0"/>
                  <w:marBottom w:val="0"/>
                  <w:divBdr>
                    <w:top w:val="none" w:sz="0" w:space="0" w:color="auto"/>
                    <w:left w:val="none" w:sz="0" w:space="0" w:color="auto"/>
                    <w:bottom w:val="none" w:sz="0" w:space="0" w:color="auto"/>
                    <w:right w:val="none" w:sz="0" w:space="0" w:color="auto"/>
                  </w:divBdr>
                  <w:divsChild>
                    <w:div w:id="824592389">
                      <w:marLeft w:val="0"/>
                      <w:marRight w:val="0"/>
                      <w:marTop w:val="0"/>
                      <w:marBottom w:val="0"/>
                      <w:divBdr>
                        <w:top w:val="none" w:sz="0" w:space="0" w:color="auto"/>
                        <w:left w:val="none" w:sz="0" w:space="0" w:color="auto"/>
                        <w:bottom w:val="none" w:sz="0" w:space="0" w:color="auto"/>
                        <w:right w:val="none" w:sz="0" w:space="0" w:color="auto"/>
                      </w:divBdr>
                      <w:divsChild>
                        <w:div w:id="397476819">
                          <w:marLeft w:val="0"/>
                          <w:marRight w:val="0"/>
                          <w:marTop w:val="0"/>
                          <w:marBottom w:val="0"/>
                          <w:divBdr>
                            <w:top w:val="none" w:sz="0" w:space="0" w:color="auto"/>
                            <w:left w:val="none" w:sz="0" w:space="0" w:color="auto"/>
                            <w:bottom w:val="none" w:sz="0" w:space="0" w:color="auto"/>
                            <w:right w:val="none" w:sz="0" w:space="0" w:color="auto"/>
                          </w:divBdr>
                          <w:divsChild>
                            <w:div w:id="1732537806">
                              <w:marLeft w:val="0"/>
                              <w:marRight w:val="0"/>
                              <w:marTop w:val="0"/>
                              <w:marBottom w:val="0"/>
                              <w:divBdr>
                                <w:top w:val="none" w:sz="0" w:space="0" w:color="auto"/>
                                <w:left w:val="none" w:sz="0" w:space="0" w:color="auto"/>
                                <w:bottom w:val="none" w:sz="0" w:space="0" w:color="auto"/>
                                <w:right w:val="none" w:sz="0" w:space="0" w:color="auto"/>
                              </w:divBdr>
                              <w:divsChild>
                                <w:div w:id="553808486">
                                  <w:marLeft w:val="0"/>
                                  <w:marRight w:val="0"/>
                                  <w:marTop w:val="0"/>
                                  <w:marBottom w:val="0"/>
                                  <w:divBdr>
                                    <w:top w:val="none" w:sz="0" w:space="0" w:color="auto"/>
                                    <w:left w:val="none" w:sz="0" w:space="0" w:color="auto"/>
                                    <w:bottom w:val="none" w:sz="0" w:space="0" w:color="auto"/>
                                    <w:right w:val="none" w:sz="0" w:space="0" w:color="auto"/>
                                  </w:divBdr>
                                  <w:divsChild>
                                    <w:div w:id="1399786544">
                                      <w:marLeft w:val="0"/>
                                      <w:marRight w:val="0"/>
                                      <w:marTop w:val="0"/>
                                      <w:marBottom w:val="0"/>
                                      <w:divBdr>
                                        <w:top w:val="none" w:sz="0" w:space="0" w:color="auto"/>
                                        <w:left w:val="none" w:sz="0" w:space="0" w:color="auto"/>
                                        <w:bottom w:val="none" w:sz="0" w:space="0" w:color="auto"/>
                                        <w:right w:val="none" w:sz="0" w:space="0" w:color="auto"/>
                                      </w:divBdr>
                                      <w:divsChild>
                                        <w:div w:id="4293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493903">
      <w:bodyDiv w:val="1"/>
      <w:marLeft w:val="0"/>
      <w:marRight w:val="0"/>
      <w:marTop w:val="0"/>
      <w:marBottom w:val="0"/>
      <w:divBdr>
        <w:top w:val="none" w:sz="0" w:space="0" w:color="auto"/>
        <w:left w:val="none" w:sz="0" w:space="0" w:color="auto"/>
        <w:bottom w:val="none" w:sz="0" w:space="0" w:color="auto"/>
        <w:right w:val="none" w:sz="0" w:space="0" w:color="auto"/>
      </w:divBdr>
    </w:div>
    <w:div w:id="905844270">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 w:id="1552614294">
      <w:bodyDiv w:val="1"/>
      <w:marLeft w:val="0"/>
      <w:marRight w:val="0"/>
      <w:marTop w:val="0"/>
      <w:marBottom w:val="0"/>
      <w:divBdr>
        <w:top w:val="none" w:sz="0" w:space="0" w:color="auto"/>
        <w:left w:val="none" w:sz="0" w:space="0" w:color="auto"/>
        <w:bottom w:val="none" w:sz="0" w:space="0" w:color="auto"/>
        <w:right w:val="none" w:sz="0" w:space="0" w:color="auto"/>
      </w:divBdr>
    </w:div>
    <w:div w:id="1560554268">
      <w:bodyDiv w:val="1"/>
      <w:marLeft w:val="0"/>
      <w:marRight w:val="0"/>
      <w:marTop w:val="0"/>
      <w:marBottom w:val="0"/>
      <w:divBdr>
        <w:top w:val="none" w:sz="0" w:space="0" w:color="auto"/>
        <w:left w:val="none" w:sz="0" w:space="0" w:color="auto"/>
        <w:bottom w:val="none" w:sz="0" w:space="0" w:color="auto"/>
        <w:right w:val="none" w:sz="0" w:space="0" w:color="auto"/>
      </w:divBdr>
    </w:div>
    <w:div w:id="1827474043">
      <w:bodyDiv w:val="1"/>
      <w:marLeft w:val="0"/>
      <w:marRight w:val="0"/>
      <w:marTop w:val="0"/>
      <w:marBottom w:val="0"/>
      <w:divBdr>
        <w:top w:val="none" w:sz="0" w:space="0" w:color="auto"/>
        <w:left w:val="none" w:sz="0" w:space="0" w:color="auto"/>
        <w:bottom w:val="none" w:sz="0" w:space="0" w:color="auto"/>
        <w:right w:val="none" w:sz="0" w:space="0" w:color="auto"/>
      </w:divBdr>
    </w:div>
    <w:div w:id="198577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ga.gov.au/scheduling-decision-interim/interim-decisions-and-invitation-further-comment-substances-referred-november-2019-acmsaccs-meetings" TargetMode="External"/><Relationship Id="rId117" Type="http://schemas.openxmlformats.org/officeDocument/2006/relationships/theme" Target="theme/theme1.xml"/><Relationship Id="rId21" Type="http://schemas.openxmlformats.org/officeDocument/2006/relationships/hyperlink" Target="https://www.tga.gov.au/scheduling-decision-interim/interim-decisions-and-invitation-further-comment-substances-referred-march-2019-acmsaccs-meetings" TargetMode="External"/><Relationship Id="rId42" Type="http://schemas.openxmlformats.org/officeDocument/2006/relationships/hyperlink" Target="https://www.tga.gov.au/scheduling-decision-interim/interim-decisions-and-invitation-further-comment-substances-referred-november-2019-acmsaccs-meetings" TargetMode="External"/><Relationship Id="rId47" Type="http://schemas.openxmlformats.org/officeDocument/2006/relationships/hyperlink" Target="https://www.tga.gov.au/scheduling-decision-interim/interim-decisions-and-invitation-further-comment-substances-referred-november-2019-acmsaccs-meetings" TargetMode="External"/><Relationship Id="rId63" Type="http://schemas.openxmlformats.org/officeDocument/2006/relationships/hyperlink" Target="https://www.epa.govt.nz/database-search/new-zealand-inventory-of-chemicals-nzioc/DatabaseSearchForm/?SiteDatabaseSearchFilters=36&amp;Keyword=acequinocyl&amp;DatabaseType=NZIOC" TargetMode="External"/><Relationship Id="rId68" Type="http://schemas.openxmlformats.org/officeDocument/2006/relationships/hyperlink" Target="https://www.tga.gov.au/publication/scheduling-handbook-guidance-amending-poisons-standard" TargetMode="External"/><Relationship Id="rId84" Type="http://schemas.openxmlformats.org/officeDocument/2006/relationships/hyperlink" Target="https://pesticide-registry.canada.ca/en/active-ingredient-search.html" TargetMode="External"/><Relationship Id="rId89" Type="http://schemas.openxmlformats.org/officeDocument/2006/relationships/hyperlink" Target="https://www.tga.gov.au/artg" TargetMode="External"/><Relationship Id="rId112" Type="http://schemas.openxmlformats.org/officeDocument/2006/relationships/footer" Target="footer1.xml"/><Relationship Id="rId16" Type="http://schemas.openxmlformats.org/officeDocument/2006/relationships/hyperlink" Target="https://www.tga.gov.au/scheduling-decision-interim/interim-decisions-and-invitation-further-comment-substances-referred-march-2019-acmsaccs-meetings" TargetMode="External"/><Relationship Id="rId107" Type="http://schemas.openxmlformats.org/officeDocument/2006/relationships/hyperlink" Target="https://www.tga.gov.au/book-page/111-nonanoic-acid-0" TargetMode="External"/><Relationship Id="rId11" Type="http://schemas.openxmlformats.org/officeDocument/2006/relationships/hyperlink" Target="https://www.tga.gov.au/scheduling-decision-interim/interim-decisions-and-invitation-further-comment-substances-referred-november-2019-acmsaccs-meetings" TargetMode="External"/><Relationship Id="rId24" Type="http://schemas.openxmlformats.org/officeDocument/2006/relationships/hyperlink" Target="https://www.tga.gov.au/book-page/13-fluticasone-0" TargetMode="External"/><Relationship Id="rId32" Type="http://schemas.openxmlformats.org/officeDocument/2006/relationships/hyperlink" Target="https://www.tga.gov.au/scheduling-decision-interim/interim-decisions-and-invitation-further-comment-substances-referred-november-2019-acmsaccs-meetings" TargetMode="External"/><Relationship Id="rId37" Type="http://schemas.openxmlformats.org/officeDocument/2006/relationships/hyperlink" Target="https://www.tga.gov.au/scheduling-decision-interim/interim-decisions-and-invitation-further-comment-substances-referred-november-2019-acmsaccs-meetings" TargetMode="External"/><Relationship Id="rId40" Type="http://schemas.openxmlformats.org/officeDocument/2006/relationships/hyperlink" Target="https://www.tga.gov.au/scheduling-decision-interim/interim-decisions-and-invitation-further-comment-substances-referred-november-2019-acmsaccs-meetings" TargetMode="External"/><Relationship Id="rId45" Type="http://schemas.openxmlformats.org/officeDocument/2006/relationships/hyperlink" Target="https://www.tga.gov.au/scheduling-decision-interim/interim-decisions-and-invitation-further-comment-substances-referred-november-2019-acmsaccs-meetings" TargetMode="External"/><Relationship Id="rId53" Type="http://schemas.openxmlformats.org/officeDocument/2006/relationships/hyperlink" Target="https://www.tga.gov.au/artg" TargetMode="External"/><Relationship Id="rId58" Type="http://schemas.openxmlformats.org/officeDocument/2006/relationships/hyperlink" Target="https://portal.apvma.gov.au/pubcris" TargetMode="External"/><Relationship Id="rId66" Type="http://schemas.openxmlformats.org/officeDocument/2006/relationships/image" Target="media/image2.png"/><Relationship Id="rId74" Type="http://schemas.openxmlformats.org/officeDocument/2006/relationships/hyperlink" Target="https://www.tga.gov.au/prescribing-medicines-pregnancy-database" TargetMode="External"/><Relationship Id="rId79" Type="http://schemas.openxmlformats.org/officeDocument/2006/relationships/hyperlink" Target="https://echa.europa.eu/search-for-chemicals" TargetMode="External"/><Relationship Id="rId87" Type="http://schemas.openxmlformats.org/officeDocument/2006/relationships/hyperlink" Target="https://www.tga.gov.au/publication/scheduling-handbook-guidance-amending-poisons-standard" TargetMode="External"/><Relationship Id="rId102" Type="http://schemas.openxmlformats.org/officeDocument/2006/relationships/hyperlink" Target="https://www.epa.govt.nz/database-search/new-zealand-inventory-of-chemicals-nzioc/DatabaseSearchForm/?SiteDatabaseSearchFilters=36&amp;Keyword=acequinocyl&amp;DatabaseType=NZIOC" TargetMode="External"/><Relationship Id="rId110" Type="http://schemas.openxmlformats.org/officeDocument/2006/relationships/hyperlink" Target="https://www.tga.gov.au/book-page/14-final-decision-relation-paracetamol-modified-release"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cha.europa.eu/search-for-chemicals" TargetMode="External"/><Relationship Id="rId82" Type="http://schemas.openxmlformats.org/officeDocument/2006/relationships/hyperlink" Target="https://www.epa.govt.nz/database-search/new-zealand-inventory-of-chemicals-nzioc/DatabaseSearchForm/?SiteDatabaseSearchFilters=36&amp;Keyword=acequinocyl&amp;DatabaseType=NZIOC" TargetMode="External"/><Relationship Id="rId90" Type="http://schemas.openxmlformats.org/officeDocument/2006/relationships/hyperlink" Target="https://www.legislation.gov.au/Search/Therapeutic%20Goods%20$LB$Permissible%20Ingredients$RB$%20Determination" TargetMode="External"/><Relationship Id="rId95" Type="http://schemas.openxmlformats.org/officeDocument/2006/relationships/hyperlink" Target="https://apvma.gov.au/node/10946" TargetMode="External"/><Relationship Id="rId19" Type="http://schemas.openxmlformats.org/officeDocument/2006/relationships/hyperlink" Target="https://www.tga.gov.au/publication/scheduling-handbook-guidance-amending-poisons-standard" TargetMode="External"/><Relationship Id="rId14" Type="http://schemas.openxmlformats.org/officeDocument/2006/relationships/hyperlink" Target="https://www.tga.gov.au/scheduling-decision-interim/interim-decisions-and-invitation-further-comment-substances-referred-november-2019-acmsaccs-meetings" TargetMode="External"/><Relationship Id="rId22" Type="http://schemas.openxmlformats.org/officeDocument/2006/relationships/hyperlink" Target="https://www.tga.gov.au/consultation-invitation/consultation-proposed-amendments-poisons-standard-acms-and-joint-accsacms-meetings-november-2019" TargetMode="External"/><Relationship Id="rId27" Type="http://schemas.openxmlformats.org/officeDocument/2006/relationships/hyperlink" Target="https://www.tga.gov.au/book-page/14-final-decision-relation-paracetamol-modified-release" TargetMode="External"/><Relationship Id="rId30" Type="http://schemas.openxmlformats.org/officeDocument/2006/relationships/hyperlink" Target="https://www.tga.gov.au/scheduling-decision-interim/interim-decisions-and-invitation-further-comment-substances-referred-november-2019-acmsaccs-meetings" TargetMode="External"/><Relationship Id="rId35" Type="http://schemas.openxmlformats.org/officeDocument/2006/relationships/hyperlink" Target="https://www.tga.gov.au/scheduling-decision-interim/interim-decisions-and-invitation-further-comment-substances-referred-november-2019-acmsaccs-meetings" TargetMode="External"/><Relationship Id="rId43" Type="http://schemas.openxmlformats.org/officeDocument/2006/relationships/hyperlink" Target="https://www.tga.gov.au/scheduling-decision-interim/interim-decisions-and-invitation-further-comment-substances-referred-november-2019-acmsaccs-meetings" TargetMode="External"/><Relationship Id="rId48" Type="http://schemas.openxmlformats.org/officeDocument/2006/relationships/hyperlink" Target="https://www.tga.gov.au/scheduling-decision-interim/interim-decisions-and-invitation-further-comment-substances-referred-november-2019-acmsaccs-meetings" TargetMode="External"/><Relationship Id="rId56" Type="http://schemas.openxmlformats.org/officeDocument/2006/relationships/hyperlink" Target="https://www.legislation.gov.au/Details/F2019L00213" TargetMode="External"/><Relationship Id="rId64" Type="http://schemas.openxmlformats.org/officeDocument/2006/relationships/hyperlink" Target="https://pesticide-registry.canada.ca/en/active-ingredient-search.html" TargetMode="External"/><Relationship Id="rId69" Type="http://schemas.openxmlformats.org/officeDocument/2006/relationships/hyperlink" Target="https://portal.apvma.gov.au/pubcris" TargetMode="External"/><Relationship Id="rId77" Type="http://schemas.openxmlformats.org/officeDocument/2006/relationships/hyperlink" Target="https://www.nicnas.gov.au/chemical-inventory" TargetMode="External"/><Relationship Id="rId100" Type="http://schemas.openxmlformats.org/officeDocument/2006/relationships/hyperlink" Target="https://ec.europa.eu/food/plant/pesticides/eu-pesticides-database/public/?event=activesubstance.selection&amp;language=EN" TargetMode="External"/><Relationship Id="rId105" Type="http://schemas.openxmlformats.org/officeDocument/2006/relationships/hyperlink" Target="https://health-products.canada.ca/dpd-bdpp/index-eng.jsp" TargetMode="External"/><Relationship Id="rId113" Type="http://schemas.openxmlformats.org/officeDocument/2006/relationships/header" Target="header2.xml"/><Relationship Id="rId8" Type="http://schemas.openxmlformats.org/officeDocument/2006/relationships/image" Target="media/image1.gif"/><Relationship Id="rId51" Type="http://schemas.openxmlformats.org/officeDocument/2006/relationships/hyperlink" Target="https://www.tga.gov.au/publication/scheduling-handbook-guidance-amending-poisons-standard" TargetMode="External"/><Relationship Id="rId72" Type="http://schemas.openxmlformats.org/officeDocument/2006/relationships/hyperlink" Target="https://www.tga.gov.au/artg" TargetMode="External"/><Relationship Id="rId80" Type="http://schemas.openxmlformats.org/officeDocument/2006/relationships/hyperlink" Target="https://ec.europa.eu/growth/tools-databases/cosing/" TargetMode="External"/><Relationship Id="rId85" Type="http://schemas.openxmlformats.org/officeDocument/2006/relationships/hyperlink" Target="https://health-products.canada.ca/dpd-bdpp/index-eng.jsp" TargetMode="External"/><Relationship Id="rId93" Type="http://schemas.openxmlformats.org/officeDocument/2006/relationships/hyperlink" Target="https://apps.tga.gov.au/Prod/daen/daen-entry.aspx" TargetMode="External"/><Relationship Id="rId98" Type="http://schemas.openxmlformats.org/officeDocument/2006/relationships/hyperlink" Target="https://www.epa.gov/pesticide-reevaluation/registration-review-schedules" TargetMode="External"/><Relationship Id="rId3" Type="http://schemas.openxmlformats.org/officeDocument/2006/relationships/styles" Target="styles.xml"/><Relationship Id="rId12" Type="http://schemas.openxmlformats.org/officeDocument/2006/relationships/hyperlink" Target="https://www.tga.gov.au/scheduling-decision-interim/interim-decisions-and-invitation-further-comment-substances-referred-november-2019-acmsaccs-meetings" TargetMode="External"/><Relationship Id="rId17" Type="http://schemas.openxmlformats.org/officeDocument/2006/relationships/hyperlink" Target="https://www.tga.gov.au/consultation-invitation/consultation-proposed-amendments-poisons-standard-acms-and-joint-accsacms-meetings-november-2019" TargetMode="External"/><Relationship Id="rId25" Type="http://schemas.openxmlformats.org/officeDocument/2006/relationships/hyperlink" Target="https://www.tga.gov.au/scheduling-decision-interim/interim-decisions-and-invitation-further-comment-substances-referred-november-2019-acmsaccs-meetings" TargetMode="External"/><Relationship Id="rId33" Type="http://schemas.openxmlformats.org/officeDocument/2006/relationships/hyperlink" Target="https://www.tga.gov.au/scheduling-decision-interim/interim-decisions-and-invitation-further-comment-substances-referred-november-2019-acmsaccs-meetings" TargetMode="External"/><Relationship Id="rId38" Type="http://schemas.openxmlformats.org/officeDocument/2006/relationships/hyperlink" Target="https://www.tga.gov.au/scheduling-decision-interim/interim-decisions-and-invitation-further-comment-substances-referred-november-2019-acmsaccs-meetings" TargetMode="External"/><Relationship Id="rId46" Type="http://schemas.openxmlformats.org/officeDocument/2006/relationships/hyperlink" Target="https://www.tga.gov.au/scheduling-decision-interim/interim-decisions-and-invitation-further-comment-substances-referred-november-2019-acmsaccs-meetings" TargetMode="External"/><Relationship Id="rId59" Type="http://schemas.openxmlformats.org/officeDocument/2006/relationships/hyperlink" Target="https://www.irac-online.org/modes-of-action/" TargetMode="External"/><Relationship Id="rId67" Type="http://schemas.openxmlformats.org/officeDocument/2006/relationships/hyperlink" Target="https://www.tga.gov.au/publication/ahmac-scheduling-policy-framework-medicines-and-chemicals" TargetMode="External"/><Relationship Id="rId103" Type="http://schemas.openxmlformats.org/officeDocument/2006/relationships/hyperlink" Target="https://www.medsafe.govt.nz/profs/class/classintro.asp" TargetMode="External"/><Relationship Id="rId108" Type="http://schemas.openxmlformats.org/officeDocument/2006/relationships/hyperlink" Target="https://www.tga.gov.au/book-page/14-final-decision-relation-paracetamol-modified-release" TargetMode="External"/><Relationship Id="rId116" Type="http://schemas.openxmlformats.org/officeDocument/2006/relationships/glossaryDocument" Target="glossary/document.xml"/><Relationship Id="rId20" Type="http://schemas.openxmlformats.org/officeDocument/2006/relationships/hyperlink" Target="https://www.tga.gov.au/sites/default/files/guidelines-advertisements-medicines-containing-schedule-3-substances.pdf" TargetMode="External"/><Relationship Id="rId41" Type="http://schemas.openxmlformats.org/officeDocument/2006/relationships/hyperlink" Target="https://www.tga.gov.au/scheduling-decision-interim/interim-decisions-and-invitation-further-comment-substances-referred-november-2019-acmsaccs-meetings" TargetMode="External"/><Relationship Id="rId54" Type="http://schemas.openxmlformats.org/officeDocument/2006/relationships/hyperlink" Target="https://www.legislation.gov.au/Search/Therapeutic%20Goods%20$LB$Permissible%20Ingredients$RB$%20Determination" TargetMode="External"/><Relationship Id="rId62" Type="http://schemas.openxmlformats.org/officeDocument/2006/relationships/hyperlink" Target="https://www.medsafe.govt.nz/profs/class/classintro.asp" TargetMode="External"/><Relationship Id="rId70" Type="http://schemas.openxmlformats.org/officeDocument/2006/relationships/hyperlink" Target="https://apvma.gov.au/node/10946" TargetMode="External"/><Relationship Id="rId75" Type="http://schemas.openxmlformats.org/officeDocument/2006/relationships/hyperlink" Target="https://www.legislation.gov.au/Details/F2019L00213" TargetMode="External"/><Relationship Id="rId83" Type="http://schemas.openxmlformats.org/officeDocument/2006/relationships/hyperlink" Target="https://www.medsafe.govt.nz/profs/class/classintro.asp" TargetMode="External"/><Relationship Id="rId88" Type="http://schemas.openxmlformats.org/officeDocument/2006/relationships/hyperlink" Target="https://www.ebs.tga.gov.au/" TargetMode="External"/><Relationship Id="rId91" Type="http://schemas.openxmlformats.org/officeDocument/2006/relationships/hyperlink" Target="https://www.tga.gov.au/prescribing-medicines-pregnancy-database" TargetMode="External"/><Relationship Id="rId96" Type="http://schemas.openxmlformats.org/officeDocument/2006/relationships/hyperlink" Target="https://www.nicnas.gov.au/chemical-inventory"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book-page/14-interim-decision-relation-mometasone" TargetMode="External"/><Relationship Id="rId23" Type="http://schemas.openxmlformats.org/officeDocument/2006/relationships/hyperlink" Target="https://www.tga.gov.au/book-page/12-budesonide-0" TargetMode="External"/><Relationship Id="rId28" Type="http://schemas.openxmlformats.org/officeDocument/2006/relationships/hyperlink" Target="https://www.tga.gov.au/scheduling-decision-interim/interim-decisions-and-invitation-further-comment-substances-referred-november-2019-acmsaccs-meetings" TargetMode="External"/><Relationship Id="rId36" Type="http://schemas.openxmlformats.org/officeDocument/2006/relationships/hyperlink" Target="https://www.tga.gov.au/scheduling-decision-interim/interim-decisions-and-invitation-further-comment-substances-referred-november-2019-acmsaccs-meetings" TargetMode="External"/><Relationship Id="rId49" Type="http://schemas.openxmlformats.org/officeDocument/2006/relationships/hyperlink" Target="https://www.tga.gov.au/scheduling-decision-interim/interim-decisions-and-invitation-further-comment-substances-referred-november-2019-acmsaccs-meetings" TargetMode="External"/><Relationship Id="rId57" Type="http://schemas.openxmlformats.org/officeDocument/2006/relationships/hyperlink" Target="https://apps.tga.gov.au/Prod/daen/daen-entry.aspx" TargetMode="External"/><Relationship Id="rId106" Type="http://schemas.openxmlformats.org/officeDocument/2006/relationships/image" Target="media/image3.emf"/><Relationship Id="rId114" Type="http://schemas.openxmlformats.org/officeDocument/2006/relationships/footer" Target="footer2.xml"/><Relationship Id="rId10" Type="http://schemas.openxmlformats.org/officeDocument/2006/relationships/hyperlink" Target="https://www.tga.gov.au/scheduling-decision-interim/interim-decisions-and-invitation-further-comment-substances-referred-november-2019-acmsaccs-meetings" TargetMode="External"/><Relationship Id="rId31" Type="http://schemas.openxmlformats.org/officeDocument/2006/relationships/hyperlink" Target="https://www.tga.gov.au/scheduling-decision-interim/interim-decisions-and-invitation-further-comment-substances-referred-november-2019-acmsaccs-meetings" TargetMode="External"/><Relationship Id="rId44" Type="http://schemas.openxmlformats.org/officeDocument/2006/relationships/hyperlink" Target="https://www.tga.gov.au/scheduling-decision-interim/interim-decisions-and-invitation-further-comment-substances-referred-november-2019-acmsaccs-meetings" TargetMode="External"/><Relationship Id="rId52" Type="http://schemas.openxmlformats.org/officeDocument/2006/relationships/hyperlink" Target="https://www.ebs.tga.gov.au/" TargetMode="External"/><Relationship Id="rId60" Type="http://schemas.openxmlformats.org/officeDocument/2006/relationships/hyperlink" Target="https://www3.epa.gov/pesticides/chem_search/reg_actions/registration/fs_PC-006329_26-Sep-03.pdf" TargetMode="External"/><Relationship Id="rId65" Type="http://schemas.openxmlformats.org/officeDocument/2006/relationships/hyperlink" Target="https://health-products.canada.ca/dpd-bdpp/index-eng.jsp" TargetMode="External"/><Relationship Id="rId73" Type="http://schemas.openxmlformats.org/officeDocument/2006/relationships/hyperlink" Target="https://www.legislation.gov.au/Search/Therapeutic%20Goods%20$LB$Permissible%20Ingredients$RB$%20Determination" TargetMode="External"/><Relationship Id="rId78" Type="http://schemas.openxmlformats.org/officeDocument/2006/relationships/hyperlink" Target="https://iaspub.epa.gov/apex/pesticides/f?p=CHEMICALSEARCH:1:" TargetMode="External"/><Relationship Id="rId81" Type="http://schemas.openxmlformats.org/officeDocument/2006/relationships/hyperlink" Target="https://ec.europa.eu/food/plant/pesticides/eu-pesticides-database/public/?event=activesubstance.selection&amp;language=EN" TargetMode="External"/><Relationship Id="rId86" Type="http://schemas.openxmlformats.org/officeDocument/2006/relationships/hyperlink" Target="https://www.tga.gov.au/publication/ahmac-scheduling-policy-framework-medicines-and-chemicals" TargetMode="External"/><Relationship Id="rId94" Type="http://schemas.openxmlformats.org/officeDocument/2006/relationships/hyperlink" Target="https://portal.apvma.gov.au/pubcris" TargetMode="External"/><Relationship Id="rId99" Type="http://schemas.openxmlformats.org/officeDocument/2006/relationships/hyperlink" Target="https://echa.europa.eu/search-for-chemicals" TargetMode="External"/><Relationship Id="rId101" Type="http://schemas.openxmlformats.org/officeDocument/2006/relationships/hyperlink" Target="https://ec.europa.eu/growth/tools-databases/cosing/" TargetMode="External"/><Relationship Id="rId4" Type="http://schemas.openxmlformats.org/officeDocument/2006/relationships/settings" Target="settings.xml"/><Relationship Id="rId9" Type="http://schemas.openxmlformats.org/officeDocument/2006/relationships/hyperlink" Target="https://www.tga.gov.au/scheduling-decision-interim/interim-decisions-and-invitation-further-comment-substances-referred-november-2019-acmsaccs-meetings" TargetMode="External"/><Relationship Id="rId13" Type="http://schemas.openxmlformats.org/officeDocument/2006/relationships/hyperlink" Target="https://www.tga.gov.au/scheduling-decision-interim/interim-decisions-and-invitation-further-comment-substances-referred-november-2019-acmsaccs-meetings" TargetMode="External"/><Relationship Id="rId18" Type="http://schemas.openxmlformats.org/officeDocument/2006/relationships/hyperlink" Target="https://www.tga.gov.au/publication/ahmac-scheduling-policy-framework-medicines-and-chemicals" TargetMode="External"/><Relationship Id="rId39" Type="http://schemas.openxmlformats.org/officeDocument/2006/relationships/hyperlink" Target="https://www.tga.gov.au/scheduling-decision-interim/interim-decisions-and-invitation-further-comment-substances-referred-november-2019-acmsaccs-meetings" TargetMode="External"/><Relationship Id="rId109" Type="http://schemas.openxmlformats.org/officeDocument/2006/relationships/hyperlink" Target="https://www.tga.gov.au/book-page/14-final-decision-relation-paracetamol-modified-release" TargetMode="External"/><Relationship Id="rId34" Type="http://schemas.openxmlformats.org/officeDocument/2006/relationships/hyperlink" Target="https://www.tga.gov.au/scheduling-decision-interim/interim-decisions-and-invitation-further-comment-substances-referred-november-2019-acmsaccs-meetings" TargetMode="External"/><Relationship Id="rId50" Type="http://schemas.openxmlformats.org/officeDocument/2006/relationships/hyperlink" Target="https://www.tga.gov.au/publication/ahmac-scheduling-policy-framework-medicines-and-chemicals" TargetMode="External"/><Relationship Id="rId55" Type="http://schemas.openxmlformats.org/officeDocument/2006/relationships/hyperlink" Target="https://www.tga.gov.au/prescribing-medicines-pregnancy-database" TargetMode="External"/><Relationship Id="rId76" Type="http://schemas.openxmlformats.org/officeDocument/2006/relationships/hyperlink" Target="https://apps.tga.gov.au/Prod/daen/daen-entry.aspx" TargetMode="External"/><Relationship Id="rId97" Type="http://schemas.openxmlformats.org/officeDocument/2006/relationships/hyperlink" Target="https://iaspub.epa.gov/apex/pesticides/f?p=CHEMICALSEARCH:1:" TargetMode="External"/><Relationship Id="rId104" Type="http://schemas.openxmlformats.org/officeDocument/2006/relationships/hyperlink" Target="https://pesticide-registry.canada.ca/en/active-ingredient-search.html" TargetMode="External"/><Relationship Id="rId7" Type="http://schemas.openxmlformats.org/officeDocument/2006/relationships/endnotes" Target="endnotes.xml"/><Relationship Id="rId71" Type="http://schemas.openxmlformats.org/officeDocument/2006/relationships/hyperlink" Target="https://www.ebs.tga.gov.au/" TargetMode="External"/><Relationship Id="rId92" Type="http://schemas.openxmlformats.org/officeDocument/2006/relationships/hyperlink" Target="https://www.legislation.gov.au/Details/F2019L00213" TargetMode="External"/><Relationship Id="rId2" Type="http://schemas.openxmlformats.org/officeDocument/2006/relationships/numbering" Target="numbering.xml"/><Relationship Id="rId29" Type="http://schemas.openxmlformats.org/officeDocument/2006/relationships/hyperlink" Target="https://www.tga.gov.au/scheduling-decision-interim/interim-decisions-and-invitation-further-comment-substances-referred-november-2019-acmsaccs-meeting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tga.gov.au/book-page/13-fluticasone" TargetMode="External"/><Relationship Id="rId18" Type="http://schemas.openxmlformats.org/officeDocument/2006/relationships/hyperlink" Target="https://www.legislation.gov.au/Search/Therapeutic%20Goods%20$LB$Permissible%20Ingredients$RB$%20Determination" TargetMode="External"/><Relationship Id="rId26" Type="http://schemas.openxmlformats.org/officeDocument/2006/relationships/hyperlink" Target="https://www.medsafe.govt.nz/profs/class/classintro.asp" TargetMode="External"/><Relationship Id="rId39" Type="http://schemas.openxmlformats.org/officeDocument/2006/relationships/hyperlink" Target="https://www3.epa.gov/pesticides/chem_search/reg_actions/registration/fs_PC-006474_25-Nov-09.pdf" TargetMode="External"/><Relationship Id="rId21" Type="http://schemas.openxmlformats.org/officeDocument/2006/relationships/hyperlink" Target="https://apps.tga.gov.au/Prod/daen/daen-entry.aspx" TargetMode="External"/><Relationship Id="rId34" Type="http://schemas.openxmlformats.org/officeDocument/2006/relationships/hyperlink" Target="https://www.legislation.gov.au/Search/Therapeutic%20Goods%20$LB$Permissible%20Ingredients$RB$%20Determination" TargetMode="External"/><Relationship Id="rId42" Type="http://schemas.openxmlformats.org/officeDocument/2006/relationships/hyperlink" Target="https://echa.europa.eu/search-for-chemicals" TargetMode="External"/><Relationship Id="rId47" Type="http://schemas.openxmlformats.org/officeDocument/2006/relationships/hyperlink" Target="https://pesticide-registry.canada.ca/en/active-ingredient-search.html" TargetMode="External"/><Relationship Id="rId50" Type="http://schemas.openxmlformats.org/officeDocument/2006/relationships/hyperlink" Target="https://www3.epa.gov/pesticides/chem_search/reg_actions/registration/fs_PC-006474_25-Nov-09.pdf" TargetMode="External"/><Relationship Id="rId55" Type="http://schemas.openxmlformats.org/officeDocument/2006/relationships/hyperlink" Target="https://www.legislation.gov.au/Details/F2019L00213" TargetMode="External"/><Relationship Id="rId63" Type="http://schemas.openxmlformats.org/officeDocument/2006/relationships/hyperlink" Target="https://echa.europa.eu/search-for-chemicals" TargetMode="External"/><Relationship Id="rId68" Type="http://schemas.openxmlformats.org/officeDocument/2006/relationships/hyperlink" Target="https://pesticide-registry.canada.ca/en/active-ingredient-search.html" TargetMode="External"/><Relationship Id="rId7" Type="http://schemas.openxmlformats.org/officeDocument/2006/relationships/hyperlink" Target="https://www.tga.gov.au/book-page/13-fluticasone" TargetMode="External"/><Relationship Id="rId71" Type="http://schemas.openxmlformats.org/officeDocument/2006/relationships/hyperlink" Target="https://www.oecd.org/env/test-no-403-acute-inhalation-toxicity-9789264070608-en.htm" TargetMode="External"/><Relationship Id="rId2" Type="http://schemas.openxmlformats.org/officeDocument/2006/relationships/hyperlink" Target="https://www.tga.gov.au/publication/scheduling-handbook-guidance-amending-poisons-standard" TargetMode="External"/><Relationship Id="rId16" Type="http://schemas.openxmlformats.org/officeDocument/2006/relationships/hyperlink" Target="https://www.ebs.tga.gov.au/" TargetMode="External"/><Relationship Id="rId29" Type="http://schemas.openxmlformats.org/officeDocument/2006/relationships/hyperlink" Target="https://health-products.canada.ca/dpd-bdpp/index-eng.jsp" TargetMode="External"/><Relationship Id="rId1" Type="http://schemas.openxmlformats.org/officeDocument/2006/relationships/hyperlink" Target="https://www.tga.gov.au/consultation-invitation/consultation-proposed-amendments-poisons-standard-accs-acms-and-joint-accsacms-meetings-march-2019" TargetMode="External"/><Relationship Id="rId6" Type="http://schemas.openxmlformats.org/officeDocument/2006/relationships/hyperlink" Target="https://www.tga.gov.au/book-page/12-budesonide-0" TargetMode="External"/><Relationship Id="rId11" Type="http://schemas.openxmlformats.org/officeDocument/2006/relationships/hyperlink" Target="https://ama.com.au/system/tdf/documents/AMA%20submission%20-%20glyceryl%20trinitrate%20%26%20mometasone%20furoate%20scheduling%20proposals%20-%20Jan19.pdf?file=1&amp;type=node&amp;id=49973" TargetMode="External"/><Relationship Id="rId24" Type="http://schemas.openxmlformats.org/officeDocument/2006/relationships/hyperlink" Target="https://www3.epa.gov/pesticides/chem_search/reg_actions/registration/fs_PC-006329_26-Sep-03.pdf" TargetMode="External"/><Relationship Id="rId32" Type="http://schemas.openxmlformats.org/officeDocument/2006/relationships/hyperlink" Target="https://www.ebs.tga.gov.au/" TargetMode="External"/><Relationship Id="rId37" Type="http://schemas.openxmlformats.org/officeDocument/2006/relationships/hyperlink" Target="https://apps.tga.gov.au/Prod/daen/daen-entry.aspx" TargetMode="External"/><Relationship Id="rId40" Type="http://schemas.openxmlformats.org/officeDocument/2006/relationships/hyperlink" Target="https://iaspub.epa.gov/apex/pesticides/f?p=CHEMICALSEARCH:1" TargetMode="External"/><Relationship Id="rId45" Type="http://schemas.openxmlformats.org/officeDocument/2006/relationships/hyperlink" Target="https://www.epa.govt.nz/database-search/new-zealand-inventory-of-chemicals-nzioc/DatabaseSearchForm/?SiteDatabaseSearchFilters=36&amp;Keyword=acequinocyl&amp;DatabaseType=NZIOC" TargetMode="External"/><Relationship Id="rId53" Type="http://schemas.openxmlformats.org/officeDocument/2006/relationships/hyperlink" Target="https://www.legislation.gov.au/Details/F2019L01472/Html/Volume_4" TargetMode="External"/><Relationship Id="rId58" Type="http://schemas.openxmlformats.org/officeDocument/2006/relationships/hyperlink" Target="https://apvma.gov.au/node/10946" TargetMode="External"/><Relationship Id="rId66" Type="http://schemas.openxmlformats.org/officeDocument/2006/relationships/hyperlink" Target="https://www.epa.govt.nz/database-search/new-zealand-inventory-of-chemicals-nzioc/DatabaseSearchForm/?SiteDatabaseSearchFilters=36&amp;Keyword=acequinocyl&amp;DatabaseType=NZIOC" TargetMode="External"/><Relationship Id="rId5" Type="http://schemas.openxmlformats.org/officeDocument/2006/relationships/hyperlink" Target="https://www.tga.gov.au/book-page/13-fluticasone-0" TargetMode="External"/><Relationship Id="rId15" Type="http://schemas.openxmlformats.org/officeDocument/2006/relationships/hyperlink" Target="https://www.tga.gov.au/book-page/14-final-decision-relation-paracetamol-modified-release" TargetMode="External"/><Relationship Id="rId23" Type="http://schemas.openxmlformats.org/officeDocument/2006/relationships/hyperlink" Target="https://www.irac-online.org/modes-of-action/" TargetMode="External"/><Relationship Id="rId28" Type="http://schemas.openxmlformats.org/officeDocument/2006/relationships/hyperlink" Target="https://pesticide-registry.canada.ca/en/active-ingredient-search.html" TargetMode="External"/><Relationship Id="rId36" Type="http://schemas.openxmlformats.org/officeDocument/2006/relationships/hyperlink" Target="https://www.legislation.gov.au/Details/F2019L00213" TargetMode="External"/><Relationship Id="rId49" Type="http://schemas.openxmlformats.org/officeDocument/2006/relationships/hyperlink" Target="https://www3.epa.gov/pesticides/chem_search/reg_actions/registration/fs_PC-006474_25-Nov-09.pdf" TargetMode="External"/><Relationship Id="rId57" Type="http://schemas.openxmlformats.org/officeDocument/2006/relationships/hyperlink" Target="https://portal.apvma.gov.au/pubcris" TargetMode="External"/><Relationship Id="rId61" Type="http://schemas.openxmlformats.org/officeDocument/2006/relationships/hyperlink" Target="https://www.epa.gov/pesticide-reevaluation/registration-review-schedules" TargetMode="External"/><Relationship Id="rId10" Type="http://schemas.openxmlformats.org/officeDocument/2006/relationships/hyperlink" Target="https://www.dermcoll.edu.au/wp-content/uploads/190121-ACD-submission-to-TGA-Proposed-mometasone-rescheduling-Jan-21-2019.pdf" TargetMode="External"/><Relationship Id="rId19" Type="http://schemas.openxmlformats.org/officeDocument/2006/relationships/hyperlink" Target="https://www.tga.gov.au/prescribing-medicines-pregnancy-database" TargetMode="External"/><Relationship Id="rId31" Type="http://schemas.openxmlformats.org/officeDocument/2006/relationships/hyperlink" Target="https://apvma.gov.au/node/10946" TargetMode="External"/><Relationship Id="rId44" Type="http://schemas.openxmlformats.org/officeDocument/2006/relationships/hyperlink" Target="https://ec.europa.eu/food/plant/pesticides/eu-pesticides-database/public/?event=activesubstance.selection&amp;language=EN" TargetMode="External"/><Relationship Id="rId52" Type="http://schemas.openxmlformats.org/officeDocument/2006/relationships/hyperlink" Target="https://www.tga.gov.au/artg" TargetMode="External"/><Relationship Id="rId60" Type="http://schemas.openxmlformats.org/officeDocument/2006/relationships/hyperlink" Target="https://iaspub.epa.gov/apex/pesticides/f?p=CHEMICALSEARCH:1" TargetMode="External"/><Relationship Id="rId65" Type="http://schemas.openxmlformats.org/officeDocument/2006/relationships/hyperlink" Target="https://ec.europa.eu/growth/tools-databases/cosing/" TargetMode="External"/><Relationship Id="rId4" Type="http://schemas.openxmlformats.org/officeDocument/2006/relationships/hyperlink" Target="https://www.tga.gov.au/sites/default/files/guidelines-advertisements-medicines-containing-schedule-3-substances.pdf" TargetMode="External"/><Relationship Id="rId9" Type="http://schemas.openxmlformats.org/officeDocument/2006/relationships/hyperlink" Target="https://www.tga.gov.au/scheduling-decision-interim/interim-decisions-and-invitation-further-comment-substances-referred-march-2019-acmsaccs-meetings" TargetMode="External"/><Relationship Id="rId14" Type="http://schemas.openxmlformats.org/officeDocument/2006/relationships/hyperlink" Target="https://www.tga.gov.au/book-page/12-budesonide" TargetMode="External"/><Relationship Id="rId22" Type="http://schemas.openxmlformats.org/officeDocument/2006/relationships/hyperlink" Target="https://portal.apvma.gov.au/pubcris" TargetMode="External"/><Relationship Id="rId27" Type="http://schemas.openxmlformats.org/officeDocument/2006/relationships/hyperlink" Target="https://www.epa.govt.nz/database-search/new-zealand-inventory-of-chemicals-nzioc/DatabaseSearchForm/?SiteDatabaseSearchFilters=36&amp;Keyword=acequinocyl&amp;DatabaseType=NZIOC" TargetMode="External"/><Relationship Id="rId30" Type="http://schemas.openxmlformats.org/officeDocument/2006/relationships/hyperlink" Target="https://portal.apvma.gov.au/pubcris" TargetMode="External"/><Relationship Id="rId35" Type="http://schemas.openxmlformats.org/officeDocument/2006/relationships/hyperlink" Target="https://www.tga.gov.au/prescribing-medicines-pregnancy-database" TargetMode="External"/><Relationship Id="rId43" Type="http://schemas.openxmlformats.org/officeDocument/2006/relationships/hyperlink" Target="https://ec.europa.eu/growth/tools-databases/cosing/" TargetMode="External"/><Relationship Id="rId48" Type="http://schemas.openxmlformats.org/officeDocument/2006/relationships/hyperlink" Target="https://health-products.canada.ca/dpd-bdpp/index-eng.jsp" TargetMode="External"/><Relationship Id="rId56" Type="http://schemas.openxmlformats.org/officeDocument/2006/relationships/hyperlink" Target="https://apps.tga.gov.au/Prod/daen/daen-entry.aspx" TargetMode="External"/><Relationship Id="rId64" Type="http://schemas.openxmlformats.org/officeDocument/2006/relationships/hyperlink" Target="https://ec.europa.eu/food/plant/pesticides/eu-pesticides-database/public/?event=activesubstance.selection&amp;language=EN" TargetMode="External"/><Relationship Id="rId69" Type="http://schemas.openxmlformats.org/officeDocument/2006/relationships/hyperlink" Target="https://health-products.canada.ca/dpd-bdpp/index-eng.jsp" TargetMode="External"/><Relationship Id="rId8" Type="http://schemas.openxmlformats.org/officeDocument/2006/relationships/hyperlink" Target="https://www.tga.gov.au/book-page/12-budesonide-0" TargetMode="External"/><Relationship Id="rId51" Type="http://schemas.openxmlformats.org/officeDocument/2006/relationships/hyperlink" Target="https://www.ebs.tga.gov.au/" TargetMode="External"/><Relationship Id="rId72" Type="http://schemas.openxmlformats.org/officeDocument/2006/relationships/hyperlink" Target="https://www.tga.gov.au/book-page/14-final-decision-relation-paracetamol-modified-release" TargetMode="External"/><Relationship Id="rId3" Type="http://schemas.openxmlformats.org/officeDocument/2006/relationships/hyperlink" Target="https://www.tga.gov.au/sites/default/files/scheduling-handbook-guidance-amending-poisons-standard.pdf" TargetMode="External"/><Relationship Id="rId12" Type="http://schemas.openxmlformats.org/officeDocument/2006/relationships/hyperlink" Target="https://www.dermcoll.edu.au/wp-content/uploads/190121-ACD-submission-to-TGA-Proposed-mometasone-rescheduling-Jan-21-2019.pdf" TargetMode="External"/><Relationship Id="rId17" Type="http://schemas.openxmlformats.org/officeDocument/2006/relationships/hyperlink" Target="https://www.tga.gov.au/artg" TargetMode="External"/><Relationship Id="rId25" Type="http://schemas.openxmlformats.org/officeDocument/2006/relationships/hyperlink" Target="https://echa.europa.eu/search-for-chemicals" TargetMode="External"/><Relationship Id="rId33" Type="http://schemas.openxmlformats.org/officeDocument/2006/relationships/hyperlink" Target="https://www.tga.gov.au/artg" TargetMode="External"/><Relationship Id="rId38" Type="http://schemas.openxmlformats.org/officeDocument/2006/relationships/hyperlink" Target="https://www.nicnas.gov.au/chemical-inventory" TargetMode="External"/><Relationship Id="rId46" Type="http://schemas.openxmlformats.org/officeDocument/2006/relationships/hyperlink" Target="https://www.medsafe.govt.nz/profs/class/classintro.asp" TargetMode="External"/><Relationship Id="rId59" Type="http://schemas.openxmlformats.org/officeDocument/2006/relationships/hyperlink" Target="https://www.nicnas.gov.au/chemical-inventory" TargetMode="External"/><Relationship Id="rId67" Type="http://schemas.openxmlformats.org/officeDocument/2006/relationships/hyperlink" Target="https://www.medsafe.govt.nz/profs/class/classintro.asp" TargetMode="External"/><Relationship Id="rId20" Type="http://schemas.openxmlformats.org/officeDocument/2006/relationships/hyperlink" Target="https://www.legislation.gov.au/Details/F2019L00213" TargetMode="External"/><Relationship Id="rId41" Type="http://schemas.openxmlformats.org/officeDocument/2006/relationships/hyperlink" Target="https://www.accessdata.fda.gov/scripts/cder/daf/" TargetMode="External"/><Relationship Id="rId54" Type="http://schemas.openxmlformats.org/officeDocument/2006/relationships/hyperlink" Target="https://www.tga.gov.au/prescribing-medicines-pregnancy-database" TargetMode="External"/><Relationship Id="rId62" Type="http://schemas.openxmlformats.org/officeDocument/2006/relationships/hyperlink" Target="https://www.accessdata.fda.gov/scripts/cder/daf/" TargetMode="External"/><Relationship Id="rId70" Type="http://schemas.openxmlformats.org/officeDocument/2006/relationships/hyperlink" Target="https://www.tga.gov.au/book-page/111-nonanoic-aci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0"/>
        <w:category>
          <w:name w:val="General"/>
          <w:gallery w:val="placeholder"/>
        </w:category>
        <w:types>
          <w:type w:val="bbPlcHdr"/>
        </w:types>
        <w:behaviors>
          <w:behavior w:val="content"/>
        </w:behaviors>
        <w:guid w:val="{AAFE1623-6B24-4371-907D-5DF915D0BE08}"/>
      </w:docPartPr>
      <w:docPartBody>
        <w:p w:rsidR="003869AF" w:rsidRDefault="003869AF">
          <w:r w:rsidRPr="009F476B">
            <w:rPr>
              <w:rStyle w:val="PlaceholderText"/>
            </w:rPr>
            <w:t>Click here to enter a date.</w:t>
          </w:r>
        </w:p>
      </w:docPartBody>
    </w:docPart>
    <w:docPart>
      <w:docPartPr>
        <w:name w:val="D596712D75F34643B8DE2E3B09944DEC"/>
        <w:category>
          <w:name w:val="General"/>
          <w:gallery w:val="placeholder"/>
        </w:category>
        <w:types>
          <w:type w:val="bbPlcHdr"/>
        </w:types>
        <w:behaviors>
          <w:behavior w:val="content"/>
        </w:behaviors>
        <w:guid w:val="{F9D8F87C-1E51-491A-ADAD-577CFB187EB1}"/>
      </w:docPartPr>
      <w:docPartBody>
        <w:p w:rsidR="00564D00" w:rsidRDefault="00CD5820" w:rsidP="00CD5820">
          <w:pPr>
            <w:pStyle w:val="D596712D75F34643B8DE2E3B09944DEC"/>
          </w:pPr>
          <w:r w:rsidRPr="009F476B">
            <w:rPr>
              <w:rStyle w:val="PlaceholderText"/>
            </w:rPr>
            <w:t>Click here to enter text.</w:t>
          </w:r>
        </w:p>
      </w:docPartBody>
    </w:docPart>
    <w:docPart>
      <w:docPartPr>
        <w:name w:val="5A69B49747674D8DAEC3F75B9721E9B8"/>
        <w:category>
          <w:name w:val="General"/>
          <w:gallery w:val="placeholder"/>
        </w:category>
        <w:types>
          <w:type w:val="bbPlcHdr"/>
        </w:types>
        <w:behaviors>
          <w:behavior w:val="content"/>
        </w:behaviors>
        <w:guid w:val="{36E9D7F9-7176-4A4A-8CF6-94BB2D1EAA08}"/>
      </w:docPartPr>
      <w:docPartBody>
        <w:p w:rsidR="00F73C71" w:rsidRDefault="00462B99" w:rsidP="00462B99">
          <w:pPr>
            <w:pStyle w:val="5A69B49747674D8DAEC3F75B9721E9B8"/>
          </w:pPr>
          <w:r w:rsidRPr="009F476B">
            <w:rPr>
              <w:rStyle w:val="PlaceholderText"/>
            </w:rPr>
            <w:t>Click here to enter a date.</w:t>
          </w:r>
        </w:p>
      </w:docPartBody>
    </w:docPart>
    <w:docPart>
      <w:docPartPr>
        <w:name w:val="0DA390F9407A40EC9B29EEA90DE607EE"/>
        <w:category>
          <w:name w:val="General"/>
          <w:gallery w:val="placeholder"/>
        </w:category>
        <w:types>
          <w:type w:val="bbPlcHdr"/>
        </w:types>
        <w:behaviors>
          <w:behavior w:val="content"/>
        </w:behaviors>
        <w:guid w:val="{5D8AC91D-9210-435C-BD41-FDF5F27B1C67}"/>
      </w:docPartPr>
      <w:docPartBody>
        <w:p w:rsidR="00283151" w:rsidRDefault="00D37D07" w:rsidP="00D37D07">
          <w:pPr>
            <w:pStyle w:val="0DA390F9407A40EC9B29EEA90DE607EE"/>
          </w:pPr>
          <w:r w:rsidRPr="00556BCF">
            <w:rPr>
              <w:rStyle w:val="PlaceholderText"/>
            </w:rPr>
            <w:t>Choose an item.</w:t>
          </w:r>
        </w:p>
      </w:docPartBody>
    </w:docPart>
    <w:docPart>
      <w:docPartPr>
        <w:name w:val="FDF71CEA34C848F1AB08E2620D1CD428"/>
        <w:category>
          <w:name w:val="General"/>
          <w:gallery w:val="placeholder"/>
        </w:category>
        <w:types>
          <w:type w:val="bbPlcHdr"/>
        </w:types>
        <w:behaviors>
          <w:behavior w:val="content"/>
        </w:behaviors>
        <w:guid w:val="{18EB7826-0D63-4D17-AD0D-4202883EE00C}"/>
      </w:docPartPr>
      <w:docPartBody>
        <w:p w:rsidR="00283151" w:rsidRDefault="00D37D07" w:rsidP="00D37D07">
          <w:pPr>
            <w:pStyle w:val="FDF71CEA34C848F1AB08E2620D1CD428"/>
          </w:pPr>
          <w:r w:rsidRPr="009F476B">
            <w:rPr>
              <w:rStyle w:val="PlaceholderText"/>
            </w:rPr>
            <w:t>Click here to enter text.</w:t>
          </w:r>
        </w:p>
      </w:docPartBody>
    </w:docPart>
    <w:docPart>
      <w:docPartPr>
        <w:name w:val="95DB0FE2BD7D4AAEA031C079E045CD9D"/>
        <w:category>
          <w:name w:val="General"/>
          <w:gallery w:val="placeholder"/>
        </w:category>
        <w:types>
          <w:type w:val="bbPlcHdr"/>
        </w:types>
        <w:behaviors>
          <w:behavior w:val="content"/>
        </w:behaviors>
        <w:guid w:val="{391D91D7-3EF4-44EF-B978-CBCC1DA234BB}"/>
      </w:docPartPr>
      <w:docPartBody>
        <w:p w:rsidR="00283151" w:rsidRDefault="00D37D07" w:rsidP="00D37D07">
          <w:pPr>
            <w:pStyle w:val="95DB0FE2BD7D4AAEA031C079E045CD9D"/>
          </w:pPr>
          <w:r w:rsidRPr="009F476B">
            <w:rPr>
              <w:rStyle w:val="PlaceholderText"/>
            </w:rPr>
            <w:t>Click here to enter a date.</w:t>
          </w:r>
        </w:p>
      </w:docPartBody>
    </w:docPart>
    <w:docPart>
      <w:docPartPr>
        <w:name w:val="7D3FC0EAA576400CA0B9BC2B3E1D8B3D"/>
        <w:category>
          <w:name w:val="General"/>
          <w:gallery w:val="placeholder"/>
        </w:category>
        <w:types>
          <w:type w:val="bbPlcHdr"/>
        </w:types>
        <w:behaviors>
          <w:behavior w:val="content"/>
        </w:behaviors>
        <w:guid w:val="{E0FF62D0-6A8B-4999-AAFD-DB2CDB3DEE7F}"/>
      </w:docPartPr>
      <w:docPartBody>
        <w:p w:rsidR="00283151" w:rsidRDefault="00D37D07" w:rsidP="00D37D07">
          <w:pPr>
            <w:pStyle w:val="7D3FC0EAA576400CA0B9BC2B3E1D8B3D"/>
          </w:pPr>
          <w:r w:rsidRPr="009F476B">
            <w:rPr>
              <w:rStyle w:val="PlaceholderText"/>
            </w:rPr>
            <w:t>Click here to enter text.</w:t>
          </w:r>
        </w:p>
      </w:docPartBody>
    </w:docPart>
    <w:docPart>
      <w:docPartPr>
        <w:name w:val="0773AF80396D4BD2B9857948EE8EAEF5"/>
        <w:category>
          <w:name w:val="General"/>
          <w:gallery w:val="placeholder"/>
        </w:category>
        <w:types>
          <w:type w:val="bbPlcHdr"/>
        </w:types>
        <w:behaviors>
          <w:behavior w:val="content"/>
        </w:behaviors>
        <w:guid w:val="{1A547ECD-32A4-4DE1-BCCB-C4B9C64F77B4}"/>
      </w:docPartPr>
      <w:docPartBody>
        <w:p w:rsidR="00283151" w:rsidRDefault="00D37D07" w:rsidP="00D37D07">
          <w:pPr>
            <w:pStyle w:val="0773AF80396D4BD2B9857948EE8EAEF5"/>
          </w:pPr>
          <w:r w:rsidRPr="005A68BF">
            <w:rPr>
              <w:b/>
              <w:highlight w:val="yellow"/>
            </w:rPr>
            <w:t>[CHOOSE AS APPLICABLE]</w:t>
          </w:r>
        </w:p>
      </w:docPartBody>
    </w:docPart>
    <w:docPart>
      <w:docPartPr>
        <w:name w:val="41857D61E18744F7913F8470CF15691E"/>
        <w:category>
          <w:name w:val="General"/>
          <w:gallery w:val="placeholder"/>
        </w:category>
        <w:types>
          <w:type w:val="bbPlcHdr"/>
        </w:types>
        <w:behaviors>
          <w:behavior w:val="content"/>
        </w:behaviors>
        <w:guid w:val="{D5E9C13F-DC7A-4894-BC36-58CE487D0FE0}"/>
      </w:docPartPr>
      <w:docPartBody>
        <w:p w:rsidR="00283151" w:rsidRDefault="00D37D07" w:rsidP="00D37D07">
          <w:pPr>
            <w:pStyle w:val="41857D61E18744F7913F8470CF15691E"/>
          </w:pPr>
          <w:r>
            <w:rPr>
              <w:highlight w:val="yellow"/>
            </w:rPr>
            <w:t>[insert from drop-down menu and amend as appropriate</w:t>
          </w:r>
          <w:r w:rsidRPr="00F5798A">
            <w:rPr>
              <w:rStyle w:val="PlaceholderText"/>
              <w:highlight w:val="yellow"/>
            </w:rPr>
            <w:t>]</w:t>
          </w:r>
        </w:p>
      </w:docPartBody>
    </w:docPart>
    <w:docPart>
      <w:docPartPr>
        <w:name w:val="B891ABB43B934A97A215FE7D18EC52AD"/>
        <w:category>
          <w:name w:val="General"/>
          <w:gallery w:val="placeholder"/>
        </w:category>
        <w:types>
          <w:type w:val="bbPlcHdr"/>
        </w:types>
        <w:behaviors>
          <w:behavior w:val="content"/>
        </w:behaviors>
        <w:guid w:val="{80ED0635-901C-4F28-82A6-7358655BFA0D}"/>
      </w:docPartPr>
      <w:docPartBody>
        <w:p w:rsidR="00283151" w:rsidRDefault="00D37D07" w:rsidP="00D37D07">
          <w:pPr>
            <w:pStyle w:val="B891ABB43B934A97A215FE7D18EC52AD"/>
          </w:pPr>
          <w:r w:rsidRPr="009F476B">
            <w:rPr>
              <w:rStyle w:val="PlaceholderText"/>
            </w:rPr>
            <w:t>Click here to enter text.</w:t>
          </w:r>
        </w:p>
      </w:docPartBody>
    </w:docPart>
    <w:docPart>
      <w:docPartPr>
        <w:name w:val="4FF836746FC742868D6C0E98F88EF539"/>
        <w:category>
          <w:name w:val="General"/>
          <w:gallery w:val="placeholder"/>
        </w:category>
        <w:types>
          <w:type w:val="bbPlcHdr"/>
        </w:types>
        <w:behaviors>
          <w:behavior w:val="content"/>
        </w:behaviors>
        <w:guid w:val="{AF41F15B-7738-4A15-B107-865DFC15996B}"/>
      </w:docPartPr>
      <w:docPartBody>
        <w:p w:rsidR="00283151" w:rsidRDefault="00D37D07" w:rsidP="00D37D07">
          <w:pPr>
            <w:pStyle w:val="4FF836746FC742868D6C0E98F88EF539"/>
          </w:pPr>
          <w:r w:rsidRPr="005A68BF">
            <w:rPr>
              <w:b/>
              <w:highlight w:val="yellow"/>
            </w:rPr>
            <w:t>[CHOOSE AS APPLICABLE]</w:t>
          </w:r>
        </w:p>
      </w:docPartBody>
    </w:docPart>
    <w:docPart>
      <w:docPartPr>
        <w:name w:val="B2180E0559324CB4997A29BC3BC59B8D"/>
        <w:category>
          <w:name w:val="General"/>
          <w:gallery w:val="placeholder"/>
        </w:category>
        <w:types>
          <w:type w:val="bbPlcHdr"/>
        </w:types>
        <w:behaviors>
          <w:behavior w:val="content"/>
        </w:behaviors>
        <w:guid w:val="{093B4DBC-1464-48C6-9BB3-0779CB2EC87A}"/>
      </w:docPartPr>
      <w:docPartBody>
        <w:p w:rsidR="00283151" w:rsidRDefault="00D37D07" w:rsidP="00D37D07">
          <w:pPr>
            <w:pStyle w:val="B2180E0559324CB4997A29BC3BC59B8D"/>
          </w:pPr>
          <w:r w:rsidRPr="009F476B">
            <w:rPr>
              <w:rStyle w:val="PlaceholderText"/>
            </w:rPr>
            <w:t>Click here to enter a date.</w:t>
          </w:r>
        </w:p>
      </w:docPartBody>
    </w:docPart>
    <w:docPart>
      <w:docPartPr>
        <w:name w:val="EBD9A050E06F452F87389E4661A93168"/>
        <w:category>
          <w:name w:val="General"/>
          <w:gallery w:val="placeholder"/>
        </w:category>
        <w:types>
          <w:type w:val="bbPlcHdr"/>
        </w:types>
        <w:behaviors>
          <w:behavior w:val="content"/>
        </w:behaviors>
        <w:guid w:val="{E0B8CDDE-1D1C-4664-908F-CBDFBF5D378A}"/>
      </w:docPartPr>
      <w:docPartBody>
        <w:p w:rsidR="00283151" w:rsidRDefault="00D37D07" w:rsidP="00D37D07">
          <w:pPr>
            <w:pStyle w:val="EBD9A050E06F452F87389E4661A93168"/>
          </w:pPr>
          <w:r w:rsidRPr="009F476B">
            <w:rPr>
              <w:rStyle w:val="PlaceholderText"/>
            </w:rPr>
            <w:t>Click here to enter a date.</w:t>
          </w:r>
        </w:p>
      </w:docPartBody>
    </w:docPart>
    <w:docPart>
      <w:docPartPr>
        <w:name w:val="D998771EA7434B5EA8501B3DD2947A33"/>
        <w:category>
          <w:name w:val="General"/>
          <w:gallery w:val="placeholder"/>
        </w:category>
        <w:types>
          <w:type w:val="bbPlcHdr"/>
        </w:types>
        <w:behaviors>
          <w:behavior w:val="content"/>
        </w:behaviors>
        <w:guid w:val="{34E50EEA-BBCF-4DAA-A9C3-C406F50631DE}"/>
      </w:docPartPr>
      <w:docPartBody>
        <w:p w:rsidR="00283151" w:rsidRDefault="00D37D07" w:rsidP="00D37D07">
          <w:pPr>
            <w:pStyle w:val="D998771EA7434B5EA8501B3DD2947A33"/>
          </w:pPr>
          <w:r>
            <w:rPr>
              <w:highlight w:val="yellow"/>
            </w:rPr>
            <w:t>[insert from drop-down menu and amend as appropriate</w:t>
          </w:r>
          <w:r w:rsidRPr="00F5798A">
            <w:rPr>
              <w:rStyle w:val="PlaceholderText"/>
              <w:highlight w:val="yellow"/>
            </w:rPr>
            <w:t>]</w:t>
          </w:r>
        </w:p>
      </w:docPartBody>
    </w:docPart>
    <w:docPart>
      <w:docPartPr>
        <w:name w:val="8FC5F7110F144FDFB204899C5816F7FA"/>
        <w:category>
          <w:name w:val="General"/>
          <w:gallery w:val="placeholder"/>
        </w:category>
        <w:types>
          <w:type w:val="bbPlcHdr"/>
        </w:types>
        <w:behaviors>
          <w:behavior w:val="content"/>
        </w:behaviors>
        <w:guid w:val="{43E2A506-0FEC-42AB-A313-ACA714C25E46}"/>
      </w:docPartPr>
      <w:docPartBody>
        <w:p w:rsidR="00283151" w:rsidRDefault="00D37D07" w:rsidP="00D37D07">
          <w:pPr>
            <w:pStyle w:val="8FC5F7110F144FDFB204899C5816F7FA"/>
          </w:pPr>
          <w:r w:rsidRPr="009F476B">
            <w:rPr>
              <w:rStyle w:val="PlaceholderText"/>
            </w:rPr>
            <w:t>Click here to enter a date.</w:t>
          </w:r>
        </w:p>
      </w:docPartBody>
    </w:docPart>
    <w:docPart>
      <w:docPartPr>
        <w:name w:val="EE07C732F9BE43CB99308E63B0DE7CED"/>
        <w:category>
          <w:name w:val="General"/>
          <w:gallery w:val="placeholder"/>
        </w:category>
        <w:types>
          <w:type w:val="bbPlcHdr"/>
        </w:types>
        <w:behaviors>
          <w:behavior w:val="content"/>
        </w:behaviors>
        <w:guid w:val="{CBF91142-5CAC-47BE-AECB-46811BB5D064}"/>
      </w:docPartPr>
      <w:docPartBody>
        <w:p w:rsidR="00283151" w:rsidRDefault="00D37D07" w:rsidP="00D37D07">
          <w:pPr>
            <w:pStyle w:val="EE07C732F9BE43CB99308E63B0DE7CED"/>
          </w:pPr>
          <w:r>
            <w:rPr>
              <w:highlight w:val="yellow"/>
            </w:rPr>
            <w:t>[insert from drop-down menu and amend as appropriate</w:t>
          </w:r>
          <w:r w:rsidRPr="00F5798A">
            <w:rPr>
              <w:rStyle w:val="PlaceholderText"/>
              <w:highlight w:val="yellow"/>
            </w:rPr>
            <w:t>]</w:t>
          </w:r>
        </w:p>
      </w:docPartBody>
    </w:docPart>
    <w:docPart>
      <w:docPartPr>
        <w:name w:val="8FD664EFD4734321AAE5948A830A53B7"/>
        <w:category>
          <w:name w:val="General"/>
          <w:gallery w:val="placeholder"/>
        </w:category>
        <w:types>
          <w:type w:val="bbPlcHdr"/>
        </w:types>
        <w:behaviors>
          <w:behavior w:val="content"/>
        </w:behaviors>
        <w:guid w:val="{9C3EC534-9100-45F2-817B-E968C279AF44}"/>
      </w:docPartPr>
      <w:docPartBody>
        <w:p w:rsidR="00283151" w:rsidRDefault="00D37D07" w:rsidP="00D37D07">
          <w:pPr>
            <w:pStyle w:val="8FD664EFD4734321AAE5948A830A53B7"/>
          </w:pPr>
          <w:r w:rsidRPr="009F476B">
            <w:rPr>
              <w:rStyle w:val="PlaceholderText"/>
            </w:rPr>
            <w:t>Click here to enter a date.</w:t>
          </w:r>
        </w:p>
      </w:docPartBody>
    </w:docPart>
    <w:docPart>
      <w:docPartPr>
        <w:name w:val="E62B22DDD95A4DB2A5EFB57EB3913F0B"/>
        <w:category>
          <w:name w:val="General"/>
          <w:gallery w:val="placeholder"/>
        </w:category>
        <w:types>
          <w:type w:val="bbPlcHdr"/>
        </w:types>
        <w:behaviors>
          <w:behavior w:val="content"/>
        </w:behaviors>
        <w:guid w:val="{159AA8EC-6C99-4108-9E35-989FE8407B49}"/>
      </w:docPartPr>
      <w:docPartBody>
        <w:p w:rsidR="00283151" w:rsidRDefault="00D37D07" w:rsidP="00D37D07">
          <w:pPr>
            <w:pStyle w:val="E62B22DDD95A4DB2A5EFB57EB3913F0B"/>
          </w:pPr>
          <w:r w:rsidRPr="009F476B">
            <w:rPr>
              <w:rStyle w:val="PlaceholderText"/>
            </w:rPr>
            <w:t>Click here to enter text.</w:t>
          </w:r>
        </w:p>
      </w:docPartBody>
    </w:docPart>
    <w:docPart>
      <w:docPartPr>
        <w:name w:val="6956D64FD3964DA581F79A093A13D1C3"/>
        <w:category>
          <w:name w:val="General"/>
          <w:gallery w:val="placeholder"/>
        </w:category>
        <w:types>
          <w:type w:val="bbPlcHdr"/>
        </w:types>
        <w:behaviors>
          <w:behavior w:val="content"/>
        </w:behaviors>
        <w:guid w:val="{339B86D9-9DB6-4565-857F-ED702471BC06}"/>
      </w:docPartPr>
      <w:docPartBody>
        <w:p w:rsidR="00283151" w:rsidRDefault="00D37D07" w:rsidP="00D37D07">
          <w:pPr>
            <w:pStyle w:val="6956D64FD3964DA581F79A093A13D1C3"/>
          </w:pPr>
          <w:r w:rsidRPr="009F476B">
            <w:rPr>
              <w:rStyle w:val="PlaceholderText"/>
            </w:rPr>
            <w:t>Click here to enter a date.</w:t>
          </w:r>
        </w:p>
      </w:docPartBody>
    </w:docPart>
    <w:docPart>
      <w:docPartPr>
        <w:name w:val="8525F00BC2B54678AFD89072918AD348"/>
        <w:category>
          <w:name w:val="General"/>
          <w:gallery w:val="placeholder"/>
        </w:category>
        <w:types>
          <w:type w:val="bbPlcHdr"/>
        </w:types>
        <w:behaviors>
          <w:behavior w:val="content"/>
        </w:behaviors>
        <w:guid w:val="{9E9E25AA-857A-442D-A657-51F26FE2E8C2}"/>
      </w:docPartPr>
      <w:docPartBody>
        <w:p w:rsidR="00283151" w:rsidRDefault="00D37D07" w:rsidP="00D37D07">
          <w:pPr>
            <w:pStyle w:val="8525F00BC2B54678AFD89072918AD348"/>
          </w:pPr>
          <w:r w:rsidRPr="009F476B">
            <w:rPr>
              <w:rStyle w:val="PlaceholderText"/>
            </w:rPr>
            <w:t>Click here to enter text.</w:t>
          </w:r>
        </w:p>
      </w:docPartBody>
    </w:docPart>
    <w:docPart>
      <w:docPartPr>
        <w:name w:val="534B4F07D5A04C669ABACBAF6ABF9F7E"/>
        <w:category>
          <w:name w:val="General"/>
          <w:gallery w:val="placeholder"/>
        </w:category>
        <w:types>
          <w:type w:val="bbPlcHdr"/>
        </w:types>
        <w:behaviors>
          <w:behavior w:val="content"/>
        </w:behaviors>
        <w:guid w:val="{494A1E58-ED30-43AB-B9EC-FB27186FE257}"/>
      </w:docPartPr>
      <w:docPartBody>
        <w:p w:rsidR="00283151" w:rsidRDefault="00D37D07" w:rsidP="00D37D07">
          <w:pPr>
            <w:pStyle w:val="534B4F07D5A04C669ABACBAF6ABF9F7E"/>
          </w:pPr>
          <w:r w:rsidRPr="009F476B">
            <w:rPr>
              <w:rStyle w:val="PlaceholderText"/>
            </w:rPr>
            <w:t>Click here to enter text.</w:t>
          </w:r>
        </w:p>
      </w:docPartBody>
    </w:docPart>
    <w:docPart>
      <w:docPartPr>
        <w:name w:val="6CB29CE9DFC94F7683ABE206B14C00F3"/>
        <w:category>
          <w:name w:val="General"/>
          <w:gallery w:val="placeholder"/>
        </w:category>
        <w:types>
          <w:type w:val="bbPlcHdr"/>
        </w:types>
        <w:behaviors>
          <w:behavior w:val="content"/>
        </w:behaviors>
        <w:guid w:val="{8F3807D6-4766-47D9-91FF-AA2EA0B64AEC}"/>
      </w:docPartPr>
      <w:docPartBody>
        <w:p w:rsidR="00283151" w:rsidRDefault="00D37D07" w:rsidP="00D37D07">
          <w:pPr>
            <w:pStyle w:val="6CB29CE9DFC94F7683ABE206B14C00F3"/>
          </w:pPr>
          <w:r w:rsidRPr="009F476B">
            <w:rPr>
              <w:rStyle w:val="PlaceholderText"/>
            </w:rPr>
            <w:t>Click here to enter a date.</w:t>
          </w:r>
        </w:p>
      </w:docPartBody>
    </w:docPart>
    <w:docPart>
      <w:docPartPr>
        <w:name w:val="BCBD85C1F0474E14BA11762BF782BC25"/>
        <w:category>
          <w:name w:val="General"/>
          <w:gallery w:val="placeholder"/>
        </w:category>
        <w:types>
          <w:type w:val="bbPlcHdr"/>
        </w:types>
        <w:behaviors>
          <w:behavior w:val="content"/>
        </w:behaviors>
        <w:guid w:val="{48E10E11-3456-4CEE-9656-5C740296522C}"/>
      </w:docPartPr>
      <w:docPartBody>
        <w:p w:rsidR="00283151" w:rsidRDefault="00D37D07" w:rsidP="00D37D07">
          <w:pPr>
            <w:pStyle w:val="BCBD85C1F0474E14BA11762BF782BC25"/>
          </w:pPr>
          <w:r w:rsidRPr="009F476B">
            <w:rPr>
              <w:rStyle w:val="PlaceholderText"/>
            </w:rPr>
            <w:t>Click here to enter text.</w:t>
          </w:r>
        </w:p>
      </w:docPartBody>
    </w:docPart>
    <w:docPart>
      <w:docPartPr>
        <w:name w:val="D26F8A5D0B1A49A0B5E7B4D7C7A15E2F"/>
        <w:category>
          <w:name w:val="General"/>
          <w:gallery w:val="placeholder"/>
        </w:category>
        <w:types>
          <w:type w:val="bbPlcHdr"/>
        </w:types>
        <w:behaviors>
          <w:behavior w:val="content"/>
        </w:behaviors>
        <w:guid w:val="{BA30D892-3D92-4859-A0D6-930C183A478F}"/>
      </w:docPartPr>
      <w:docPartBody>
        <w:p w:rsidR="00283151" w:rsidRDefault="00D37D07" w:rsidP="00D37D07">
          <w:pPr>
            <w:pStyle w:val="D26F8A5D0B1A49A0B5E7B4D7C7A15E2F"/>
          </w:pPr>
          <w:r w:rsidRPr="009F476B">
            <w:rPr>
              <w:rStyle w:val="PlaceholderText"/>
            </w:rPr>
            <w:t>Click here to enter a date.</w:t>
          </w:r>
        </w:p>
      </w:docPartBody>
    </w:docPart>
    <w:docPart>
      <w:docPartPr>
        <w:name w:val="F6B9B5FEFEA6497E89DE270467B0C811"/>
        <w:category>
          <w:name w:val="General"/>
          <w:gallery w:val="placeholder"/>
        </w:category>
        <w:types>
          <w:type w:val="bbPlcHdr"/>
        </w:types>
        <w:behaviors>
          <w:behavior w:val="content"/>
        </w:behaviors>
        <w:guid w:val="{3E7BA476-64EB-44F0-8954-98BCA866404F}"/>
      </w:docPartPr>
      <w:docPartBody>
        <w:p w:rsidR="00721738" w:rsidRDefault="00283151" w:rsidP="00283151">
          <w:pPr>
            <w:pStyle w:val="F6B9B5FEFEA6497E89DE270467B0C811"/>
          </w:pPr>
          <w:r>
            <w:rPr>
              <w:highlight w:val="yellow"/>
            </w:rPr>
            <w:t>[insert from drop-down menu and amend as appropriate</w:t>
          </w:r>
          <w:r w:rsidRPr="00F5798A">
            <w:rPr>
              <w:rStyle w:val="PlaceholderText"/>
              <w:highlight w:val="yellow"/>
            </w:rPr>
            <w:t>]</w:t>
          </w:r>
        </w:p>
      </w:docPartBody>
    </w:docPart>
    <w:docPart>
      <w:docPartPr>
        <w:name w:val="E89C0DA117734F338E4CA553F091811D"/>
        <w:category>
          <w:name w:val="General"/>
          <w:gallery w:val="placeholder"/>
        </w:category>
        <w:types>
          <w:type w:val="bbPlcHdr"/>
        </w:types>
        <w:behaviors>
          <w:behavior w:val="content"/>
        </w:behaviors>
        <w:guid w:val="{B8F664E7-0930-49B4-9D03-1AF9F8DFF764}"/>
      </w:docPartPr>
      <w:docPartBody>
        <w:p w:rsidR="00721738" w:rsidRDefault="00283151" w:rsidP="00283151">
          <w:pPr>
            <w:pStyle w:val="E89C0DA117734F338E4CA553F091811D"/>
          </w:pPr>
          <w:r w:rsidRPr="009F476B">
            <w:rPr>
              <w:rStyle w:val="PlaceholderText"/>
            </w:rPr>
            <w:t>Click here to enter a date.</w:t>
          </w:r>
        </w:p>
      </w:docPartBody>
    </w:docPart>
    <w:docPart>
      <w:docPartPr>
        <w:name w:val="55E95A44172D49DA8A2AD9B4209243F2"/>
        <w:category>
          <w:name w:val="General"/>
          <w:gallery w:val="placeholder"/>
        </w:category>
        <w:types>
          <w:type w:val="bbPlcHdr"/>
        </w:types>
        <w:behaviors>
          <w:behavior w:val="content"/>
        </w:behaviors>
        <w:guid w:val="{CC0F3EC0-0F7E-4C1B-8B40-873418278E89}"/>
      </w:docPartPr>
      <w:docPartBody>
        <w:p w:rsidR="00721738" w:rsidRDefault="00283151" w:rsidP="00283151">
          <w:pPr>
            <w:pStyle w:val="55E95A44172D49DA8A2AD9B4209243F2"/>
          </w:pPr>
          <w:r w:rsidRPr="009F476B">
            <w:rPr>
              <w:rStyle w:val="PlaceholderText"/>
            </w:rPr>
            <w:t>Click here to enter text.</w:t>
          </w:r>
        </w:p>
      </w:docPartBody>
    </w:docPart>
    <w:docPart>
      <w:docPartPr>
        <w:name w:val="35B72A5B41B64EF89C841BDDE559A3DF"/>
        <w:category>
          <w:name w:val="General"/>
          <w:gallery w:val="placeholder"/>
        </w:category>
        <w:types>
          <w:type w:val="bbPlcHdr"/>
        </w:types>
        <w:behaviors>
          <w:behavior w:val="content"/>
        </w:behaviors>
        <w:guid w:val="{76756464-567D-4AE9-9934-FE44EEC53CCF}"/>
      </w:docPartPr>
      <w:docPartBody>
        <w:p w:rsidR="00721738" w:rsidRDefault="00283151" w:rsidP="00283151">
          <w:pPr>
            <w:pStyle w:val="35B72A5B41B64EF89C841BDDE559A3DF"/>
          </w:pPr>
          <w:r w:rsidRPr="009F476B">
            <w:rPr>
              <w:rStyle w:val="PlaceholderText"/>
            </w:rPr>
            <w:t>Click here to enter a date.</w:t>
          </w:r>
        </w:p>
      </w:docPartBody>
    </w:docPart>
    <w:docPart>
      <w:docPartPr>
        <w:name w:val="3F8D343DDCDA4DFB9B70388676A51631"/>
        <w:category>
          <w:name w:val="General"/>
          <w:gallery w:val="placeholder"/>
        </w:category>
        <w:types>
          <w:type w:val="bbPlcHdr"/>
        </w:types>
        <w:behaviors>
          <w:behavior w:val="content"/>
        </w:behaviors>
        <w:guid w:val="{F17111FF-1021-4FD2-9B4D-E67A6E05EA4F}"/>
      </w:docPartPr>
      <w:docPartBody>
        <w:p w:rsidR="002855DA" w:rsidRDefault="002855DA" w:rsidP="002855DA">
          <w:pPr>
            <w:pStyle w:val="3F8D343DDCDA4DFB9B70388676A51631"/>
          </w:pPr>
          <w:r w:rsidRPr="009F476B">
            <w:rPr>
              <w:rStyle w:val="PlaceholderText"/>
            </w:rPr>
            <w:t>Click here to enter text.</w:t>
          </w:r>
        </w:p>
      </w:docPartBody>
    </w:docPart>
    <w:docPart>
      <w:docPartPr>
        <w:name w:val="C93EE9C0CD3B48E2A794F4E3ABCF4456"/>
        <w:category>
          <w:name w:val="General"/>
          <w:gallery w:val="placeholder"/>
        </w:category>
        <w:types>
          <w:type w:val="bbPlcHdr"/>
        </w:types>
        <w:behaviors>
          <w:behavior w:val="content"/>
        </w:behaviors>
        <w:guid w:val="{D9C86200-A23B-495F-8E77-34CB25482939}"/>
      </w:docPartPr>
      <w:docPartBody>
        <w:p w:rsidR="002855DA" w:rsidRDefault="002855DA" w:rsidP="002855DA">
          <w:pPr>
            <w:pStyle w:val="C93EE9C0CD3B48E2A794F4E3ABCF4456"/>
          </w:pPr>
          <w:r w:rsidRPr="009F476B">
            <w:rPr>
              <w:rStyle w:val="PlaceholderText"/>
            </w:rPr>
            <w:t>Click here to enter a date.</w:t>
          </w:r>
        </w:p>
      </w:docPartBody>
    </w:docPart>
    <w:docPart>
      <w:docPartPr>
        <w:name w:val="BBE90445FC8146C885160508202846E3"/>
        <w:category>
          <w:name w:val="General"/>
          <w:gallery w:val="placeholder"/>
        </w:category>
        <w:types>
          <w:type w:val="bbPlcHdr"/>
        </w:types>
        <w:behaviors>
          <w:behavior w:val="content"/>
        </w:behaviors>
        <w:guid w:val="{5B7E0B69-92DA-43FB-BBF9-9466D8420843}"/>
      </w:docPartPr>
      <w:docPartBody>
        <w:p w:rsidR="002855DA" w:rsidRDefault="002855DA" w:rsidP="002855DA">
          <w:pPr>
            <w:pStyle w:val="BBE90445FC8146C885160508202846E3"/>
          </w:pPr>
          <w:r w:rsidRPr="009F476B">
            <w:rPr>
              <w:rStyle w:val="PlaceholderText"/>
            </w:rPr>
            <w:t>Click here to enter text.</w:t>
          </w:r>
        </w:p>
      </w:docPartBody>
    </w:docPart>
    <w:docPart>
      <w:docPartPr>
        <w:name w:val="6BE994E608B44878AAF7891AAB785A7E"/>
        <w:category>
          <w:name w:val="General"/>
          <w:gallery w:val="placeholder"/>
        </w:category>
        <w:types>
          <w:type w:val="bbPlcHdr"/>
        </w:types>
        <w:behaviors>
          <w:behavior w:val="content"/>
        </w:behaviors>
        <w:guid w:val="{D0D453BD-2FC3-4D67-896E-D98241747E77}"/>
      </w:docPartPr>
      <w:docPartBody>
        <w:p w:rsidR="002855DA" w:rsidRDefault="002855DA" w:rsidP="002855DA">
          <w:pPr>
            <w:pStyle w:val="6BE994E608B44878AAF7891AAB785A7E"/>
          </w:pPr>
          <w:r w:rsidRPr="009F476B">
            <w:rPr>
              <w:rStyle w:val="PlaceholderText"/>
            </w:rPr>
            <w:t>Click here to enter a date.</w:t>
          </w:r>
        </w:p>
      </w:docPartBody>
    </w:docPart>
    <w:docPart>
      <w:docPartPr>
        <w:name w:val="3F254279052847F0ADDB9C687E11D1BD"/>
        <w:category>
          <w:name w:val="General"/>
          <w:gallery w:val="placeholder"/>
        </w:category>
        <w:types>
          <w:type w:val="bbPlcHdr"/>
        </w:types>
        <w:behaviors>
          <w:behavior w:val="content"/>
        </w:behaviors>
        <w:guid w:val="{EBC50335-D1B0-48E2-9ADA-0B5AC8AB7F38}"/>
      </w:docPartPr>
      <w:docPartBody>
        <w:p w:rsidR="002855DA" w:rsidRDefault="002855DA" w:rsidP="002855DA">
          <w:pPr>
            <w:pStyle w:val="3F254279052847F0ADDB9C687E11D1BD"/>
          </w:pPr>
          <w:r w:rsidRPr="009F476B">
            <w:rPr>
              <w:rStyle w:val="PlaceholderText"/>
            </w:rPr>
            <w:t>Click here to enter text.</w:t>
          </w:r>
        </w:p>
      </w:docPartBody>
    </w:docPart>
    <w:docPart>
      <w:docPartPr>
        <w:name w:val="83509A90B1B745E0B4A79D1C7FE12874"/>
        <w:category>
          <w:name w:val="General"/>
          <w:gallery w:val="placeholder"/>
        </w:category>
        <w:types>
          <w:type w:val="bbPlcHdr"/>
        </w:types>
        <w:behaviors>
          <w:behavior w:val="content"/>
        </w:behaviors>
        <w:guid w:val="{A37A155B-A98B-4C50-810C-8D52FE937511}"/>
      </w:docPartPr>
      <w:docPartBody>
        <w:p w:rsidR="002855DA" w:rsidRDefault="002855DA" w:rsidP="002855DA">
          <w:pPr>
            <w:pStyle w:val="83509A90B1B745E0B4A79D1C7FE12874"/>
          </w:pPr>
          <w:r w:rsidRPr="009F476B">
            <w:rPr>
              <w:rStyle w:val="PlaceholderText"/>
            </w:rPr>
            <w:t>Click here to enter a date.</w:t>
          </w:r>
        </w:p>
      </w:docPartBody>
    </w:docPart>
    <w:docPart>
      <w:docPartPr>
        <w:name w:val="EBFE8874C2CD4A62992E1E405F395132"/>
        <w:category>
          <w:name w:val="General"/>
          <w:gallery w:val="placeholder"/>
        </w:category>
        <w:types>
          <w:type w:val="bbPlcHdr"/>
        </w:types>
        <w:behaviors>
          <w:behavior w:val="content"/>
        </w:behaviors>
        <w:guid w:val="{24158650-4EBC-46AA-8AE0-F7193059A205}"/>
      </w:docPartPr>
      <w:docPartBody>
        <w:p w:rsidR="002855DA" w:rsidRDefault="002855DA" w:rsidP="002855DA">
          <w:pPr>
            <w:pStyle w:val="EBFE8874C2CD4A62992E1E405F395132"/>
          </w:pPr>
          <w:r w:rsidRPr="009F476B">
            <w:rPr>
              <w:rStyle w:val="PlaceholderText"/>
            </w:rPr>
            <w:t>Click here to enter text.</w:t>
          </w:r>
        </w:p>
      </w:docPartBody>
    </w:docPart>
    <w:docPart>
      <w:docPartPr>
        <w:name w:val="2B047670FC1A4A5C88863F861EC017A4"/>
        <w:category>
          <w:name w:val="General"/>
          <w:gallery w:val="placeholder"/>
        </w:category>
        <w:types>
          <w:type w:val="bbPlcHdr"/>
        </w:types>
        <w:behaviors>
          <w:behavior w:val="content"/>
        </w:behaviors>
        <w:guid w:val="{166A9F48-950C-4AC5-9371-B4E9F787DF40}"/>
      </w:docPartPr>
      <w:docPartBody>
        <w:p w:rsidR="002855DA" w:rsidRDefault="002855DA" w:rsidP="002855DA">
          <w:pPr>
            <w:pStyle w:val="2B047670FC1A4A5C88863F861EC017A4"/>
          </w:pPr>
          <w:r w:rsidRPr="009F476B">
            <w:rPr>
              <w:rStyle w:val="PlaceholderText"/>
            </w:rPr>
            <w:t>Click here to enter a date.</w:t>
          </w:r>
        </w:p>
      </w:docPartBody>
    </w:docPart>
    <w:docPart>
      <w:docPartPr>
        <w:name w:val="FDBEF64EADA7458799243CB26B94338B"/>
        <w:category>
          <w:name w:val="General"/>
          <w:gallery w:val="placeholder"/>
        </w:category>
        <w:types>
          <w:type w:val="bbPlcHdr"/>
        </w:types>
        <w:behaviors>
          <w:behavior w:val="content"/>
        </w:behaviors>
        <w:guid w:val="{A749F632-876A-4486-AE95-1F8B2D3BAEA7}"/>
      </w:docPartPr>
      <w:docPartBody>
        <w:p w:rsidR="000A2A3F" w:rsidRDefault="000A2A3F" w:rsidP="000A2A3F">
          <w:pPr>
            <w:pStyle w:val="FDBEF64EADA7458799243CB26B94338B"/>
          </w:pPr>
          <w:r w:rsidRPr="009F476B">
            <w:rPr>
              <w:rStyle w:val="PlaceholderText"/>
            </w:rPr>
            <w:t>Click here to enter text.</w:t>
          </w:r>
        </w:p>
      </w:docPartBody>
    </w:docPart>
    <w:docPart>
      <w:docPartPr>
        <w:name w:val="B5535650495944DA8D1329307CF21282"/>
        <w:category>
          <w:name w:val="General"/>
          <w:gallery w:val="placeholder"/>
        </w:category>
        <w:types>
          <w:type w:val="bbPlcHdr"/>
        </w:types>
        <w:behaviors>
          <w:behavior w:val="content"/>
        </w:behaviors>
        <w:guid w:val="{EF433FF1-71FA-456D-8E29-3895A0CF1087}"/>
      </w:docPartPr>
      <w:docPartBody>
        <w:p w:rsidR="000A2A3F" w:rsidRDefault="000A2A3F" w:rsidP="000A2A3F">
          <w:pPr>
            <w:pStyle w:val="B5535650495944DA8D1329307CF21282"/>
          </w:pPr>
          <w:r w:rsidRPr="009F476B">
            <w:rPr>
              <w:rStyle w:val="PlaceholderText"/>
            </w:rPr>
            <w:t>Click here to enter a date.</w:t>
          </w:r>
        </w:p>
      </w:docPartBody>
    </w:docPart>
    <w:docPart>
      <w:docPartPr>
        <w:name w:val="1340488E2A5340F884A602F4627D6B8B"/>
        <w:category>
          <w:name w:val="General"/>
          <w:gallery w:val="placeholder"/>
        </w:category>
        <w:types>
          <w:type w:val="bbPlcHdr"/>
        </w:types>
        <w:behaviors>
          <w:behavior w:val="content"/>
        </w:behaviors>
        <w:guid w:val="{33B69301-24A2-4D2A-840A-5A971C7D04C6}"/>
      </w:docPartPr>
      <w:docPartBody>
        <w:p w:rsidR="00B14E28" w:rsidRDefault="000A2A3F" w:rsidP="000A2A3F">
          <w:pPr>
            <w:pStyle w:val="1340488E2A5340F884A602F4627D6B8B"/>
          </w:pPr>
          <w:r w:rsidRPr="009F476B">
            <w:rPr>
              <w:rStyle w:val="PlaceholderText"/>
            </w:rPr>
            <w:t>Click here to enter text.</w:t>
          </w:r>
        </w:p>
      </w:docPartBody>
    </w:docPart>
    <w:docPart>
      <w:docPartPr>
        <w:name w:val="7D163C2E748743D3A1DA58EF6A324E2E"/>
        <w:category>
          <w:name w:val="General"/>
          <w:gallery w:val="placeholder"/>
        </w:category>
        <w:types>
          <w:type w:val="bbPlcHdr"/>
        </w:types>
        <w:behaviors>
          <w:behavior w:val="content"/>
        </w:behaviors>
        <w:guid w:val="{68397BE5-0679-4068-8DA6-930930AA7197}"/>
      </w:docPartPr>
      <w:docPartBody>
        <w:p w:rsidR="00B14E28" w:rsidRDefault="000A2A3F" w:rsidP="000A2A3F">
          <w:pPr>
            <w:pStyle w:val="7D163C2E748743D3A1DA58EF6A324E2E"/>
          </w:pPr>
          <w:r w:rsidRPr="009F476B">
            <w:rPr>
              <w:rStyle w:val="PlaceholderText"/>
            </w:rPr>
            <w:t>Click here to enter a date.</w:t>
          </w:r>
        </w:p>
      </w:docPartBody>
    </w:docPart>
    <w:docPart>
      <w:docPartPr>
        <w:name w:val="4E7D159825984C1491E80EA0C4B3B7E3"/>
        <w:category>
          <w:name w:val="General"/>
          <w:gallery w:val="placeholder"/>
        </w:category>
        <w:types>
          <w:type w:val="bbPlcHdr"/>
        </w:types>
        <w:behaviors>
          <w:behavior w:val="content"/>
        </w:behaviors>
        <w:guid w:val="{92A421CE-8065-40D7-8643-C822D6EA2EF0}"/>
      </w:docPartPr>
      <w:docPartBody>
        <w:p w:rsidR="003639CE" w:rsidRDefault="003639CE" w:rsidP="003639CE">
          <w:pPr>
            <w:pStyle w:val="4E7D159825984C1491E80EA0C4B3B7E3"/>
          </w:pPr>
          <w:r w:rsidRPr="009F476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AF"/>
    <w:rsid w:val="000A2A3F"/>
    <w:rsid w:val="000F5100"/>
    <w:rsid w:val="001E784F"/>
    <w:rsid w:val="00223E9E"/>
    <w:rsid w:val="00283151"/>
    <w:rsid w:val="002855DA"/>
    <w:rsid w:val="00350209"/>
    <w:rsid w:val="003639CE"/>
    <w:rsid w:val="003758BB"/>
    <w:rsid w:val="003869AF"/>
    <w:rsid w:val="00401836"/>
    <w:rsid w:val="00455B3A"/>
    <w:rsid w:val="00462B99"/>
    <w:rsid w:val="00462C4E"/>
    <w:rsid w:val="00564D00"/>
    <w:rsid w:val="00574EFC"/>
    <w:rsid w:val="006969F2"/>
    <w:rsid w:val="006A4C50"/>
    <w:rsid w:val="00721738"/>
    <w:rsid w:val="008C172F"/>
    <w:rsid w:val="00965FFB"/>
    <w:rsid w:val="00A769CC"/>
    <w:rsid w:val="00B14E28"/>
    <w:rsid w:val="00B240C8"/>
    <w:rsid w:val="00CD5820"/>
    <w:rsid w:val="00D37D07"/>
    <w:rsid w:val="00DA2EA7"/>
    <w:rsid w:val="00F73C71"/>
    <w:rsid w:val="00F84E33"/>
    <w:rsid w:val="00FE37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9CE"/>
    <w:rPr>
      <w:color w:val="808080"/>
    </w:rPr>
  </w:style>
  <w:style w:type="paragraph" w:customStyle="1" w:styleId="D99F0F3710AC4DCB993CF81D26F375AE">
    <w:name w:val="D99F0F3710AC4DCB993CF81D26F375AE"/>
    <w:rsid w:val="003869AF"/>
    <w:pPr>
      <w:spacing w:before="180" w:after="180" w:line="240" w:lineRule="atLeast"/>
    </w:pPr>
    <w:rPr>
      <w:rFonts w:ascii="Cambria" w:eastAsia="Cambria" w:hAnsi="Cambria" w:cs="Times New Roman"/>
      <w:szCs w:val="20"/>
      <w:lang w:eastAsia="en-US"/>
    </w:rPr>
  </w:style>
  <w:style w:type="paragraph" w:customStyle="1" w:styleId="D99F0F3710AC4DCB993CF81D26F375AE1">
    <w:name w:val="D99F0F3710AC4DCB993CF81D26F375AE1"/>
    <w:rsid w:val="003869AF"/>
    <w:pPr>
      <w:spacing w:before="180" w:after="180" w:line="240" w:lineRule="atLeast"/>
    </w:pPr>
    <w:rPr>
      <w:rFonts w:ascii="Cambria" w:eastAsia="Cambria" w:hAnsi="Cambria" w:cs="Times New Roman"/>
      <w:szCs w:val="20"/>
      <w:lang w:eastAsia="en-US"/>
    </w:rPr>
  </w:style>
  <w:style w:type="paragraph" w:customStyle="1" w:styleId="D99F0F3710AC4DCB993CF81D26F375AE2">
    <w:name w:val="D99F0F3710AC4DCB993CF81D26F375AE2"/>
    <w:rsid w:val="003869AF"/>
    <w:pPr>
      <w:spacing w:before="180" w:after="180" w:line="240" w:lineRule="atLeast"/>
    </w:pPr>
    <w:rPr>
      <w:rFonts w:ascii="Cambria" w:eastAsia="Cambria" w:hAnsi="Cambria" w:cs="Times New Roman"/>
      <w:szCs w:val="20"/>
      <w:lang w:eastAsia="en-US"/>
    </w:rPr>
  </w:style>
  <w:style w:type="paragraph" w:customStyle="1" w:styleId="D99F0F3710AC4DCB993CF81D26F375AE3">
    <w:name w:val="D99F0F3710AC4DCB993CF81D26F375AE3"/>
    <w:rsid w:val="003869AF"/>
    <w:pPr>
      <w:spacing w:before="180" w:after="180" w:line="240" w:lineRule="atLeast"/>
    </w:pPr>
    <w:rPr>
      <w:rFonts w:ascii="Cambria" w:eastAsia="Cambria" w:hAnsi="Cambria" w:cs="Times New Roman"/>
      <w:szCs w:val="20"/>
      <w:lang w:eastAsia="en-US"/>
    </w:rPr>
  </w:style>
  <w:style w:type="paragraph" w:customStyle="1" w:styleId="D99F0F3710AC4DCB993CF81D26F375AE4">
    <w:name w:val="D99F0F3710AC4DCB993CF81D26F375AE4"/>
    <w:rsid w:val="003869AF"/>
    <w:pPr>
      <w:spacing w:before="180" w:after="180" w:line="240" w:lineRule="atLeast"/>
    </w:pPr>
    <w:rPr>
      <w:rFonts w:ascii="Cambria" w:eastAsia="Cambria" w:hAnsi="Cambria" w:cs="Times New Roman"/>
      <w:szCs w:val="20"/>
      <w:lang w:eastAsia="en-US"/>
    </w:rPr>
  </w:style>
  <w:style w:type="paragraph" w:customStyle="1" w:styleId="D99F0F3710AC4DCB993CF81D26F375AE5">
    <w:name w:val="D99F0F3710AC4DCB993CF81D26F375AE5"/>
    <w:rsid w:val="003869AF"/>
    <w:pPr>
      <w:spacing w:before="180" w:after="180" w:line="240" w:lineRule="atLeast"/>
    </w:pPr>
    <w:rPr>
      <w:rFonts w:ascii="Cambria" w:eastAsia="Cambria" w:hAnsi="Cambria" w:cs="Times New Roman"/>
      <w:szCs w:val="20"/>
      <w:lang w:eastAsia="en-US"/>
    </w:rPr>
  </w:style>
  <w:style w:type="paragraph" w:customStyle="1" w:styleId="D99F0F3710AC4DCB993CF81D26F375AE6">
    <w:name w:val="D99F0F3710AC4DCB993CF81D26F375AE6"/>
    <w:rsid w:val="003869AF"/>
    <w:pPr>
      <w:spacing w:before="180" w:after="180" w:line="240" w:lineRule="atLeast"/>
    </w:pPr>
    <w:rPr>
      <w:rFonts w:ascii="Cambria" w:eastAsia="Cambria" w:hAnsi="Cambria" w:cs="Times New Roman"/>
      <w:szCs w:val="20"/>
      <w:lang w:eastAsia="en-US"/>
    </w:rPr>
  </w:style>
  <w:style w:type="paragraph" w:customStyle="1" w:styleId="016FE1AF5FEE4E1E8C319F735AFC4275">
    <w:name w:val="016FE1AF5FEE4E1E8C319F735AFC4275"/>
    <w:rsid w:val="003869AF"/>
  </w:style>
  <w:style w:type="paragraph" w:customStyle="1" w:styleId="B12E54F20C634B9E9BD7C2C8E6E205B2">
    <w:name w:val="B12E54F20C634B9E9BD7C2C8E6E205B2"/>
    <w:rsid w:val="003869AF"/>
  </w:style>
  <w:style w:type="paragraph" w:customStyle="1" w:styleId="765D6CF765D14D46BC51B631BE53C07A">
    <w:name w:val="765D6CF765D14D46BC51B631BE53C07A"/>
    <w:rsid w:val="003869AF"/>
  </w:style>
  <w:style w:type="paragraph" w:customStyle="1" w:styleId="7E909DEE262A447D9B2E09925CFDC809">
    <w:name w:val="7E909DEE262A447D9B2E09925CFDC809"/>
    <w:rsid w:val="003869AF"/>
  </w:style>
  <w:style w:type="paragraph" w:customStyle="1" w:styleId="D99F0F3710AC4DCB993CF81D26F375AE7">
    <w:name w:val="D99F0F3710AC4DCB993CF81D26F375AE7"/>
    <w:rsid w:val="003869AF"/>
    <w:pPr>
      <w:spacing w:before="180" w:after="180" w:line="240" w:lineRule="atLeast"/>
    </w:pPr>
    <w:rPr>
      <w:rFonts w:ascii="Cambria" w:eastAsia="Cambria" w:hAnsi="Cambria" w:cs="Times New Roman"/>
      <w:szCs w:val="20"/>
      <w:lang w:eastAsia="en-US"/>
    </w:rPr>
  </w:style>
  <w:style w:type="paragraph" w:customStyle="1" w:styleId="765D6CF765D14D46BC51B631BE53C07A1">
    <w:name w:val="765D6CF765D14D46BC51B631BE53C07A1"/>
    <w:rsid w:val="003869AF"/>
    <w:pPr>
      <w:spacing w:before="180" w:after="180" w:line="240" w:lineRule="atLeast"/>
    </w:pPr>
    <w:rPr>
      <w:rFonts w:ascii="Cambria" w:eastAsia="Cambria" w:hAnsi="Cambria" w:cs="Times New Roman"/>
      <w:szCs w:val="20"/>
      <w:lang w:eastAsia="en-US"/>
    </w:rPr>
  </w:style>
  <w:style w:type="paragraph" w:customStyle="1" w:styleId="BB638C61F8C1453AA8C5A641F65748B9">
    <w:name w:val="BB638C61F8C1453AA8C5A641F65748B9"/>
    <w:rsid w:val="00F84E33"/>
  </w:style>
  <w:style w:type="paragraph" w:customStyle="1" w:styleId="D99F0F3710AC4DCB993CF81D26F375AE8">
    <w:name w:val="D99F0F3710AC4DCB993CF81D26F375AE8"/>
    <w:rsid w:val="00CD5820"/>
    <w:pPr>
      <w:spacing w:before="180" w:after="180" w:line="240" w:lineRule="atLeast"/>
    </w:pPr>
    <w:rPr>
      <w:rFonts w:ascii="Cambria" w:eastAsia="Cambria" w:hAnsi="Cambria" w:cs="Times New Roman"/>
      <w:szCs w:val="20"/>
      <w:lang w:eastAsia="en-US"/>
    </w:rPr>
  </w:style>
  <w:style w:type="paragraph" w:customStyle="1" w:styleId="765D6CF765D14D46BC51B631BE53C07A2">
    <w:name w:val="765D6CF765D14D46BC51B631BE53C07A2"/>
    <w:rsid w:val="00CD5820"/>
    <w:pPr>
      <w:spacing w:before="180" w:after="180" w:line="240" w:lineRule="atLeast"/>
    </w:pPr>
    <w:rPr>
      <w:rFonts w:ascii="Cambria" w:eastAsia="Cambria" w:hAnsi="Cambria" w:cs="Times New Roman"/>
      <w:szCs w:val="20"/>
      <w:lang w:eastAsia="en-US"/>
    </w:rPr>
  </w:style>
  <w:style w:type="paragraph" w:customStyle="1" w:styleId="D99F0F3710AC4DCB993CF81D26F375AE9">
    <w:name w:val="D99F0F3710AC4DCB993CF81D26F375AE9"/>
    <w:rsid w:val="00CD5820"/>
    <w:pPr>
      <w:spacing w:before="180" w:after="180" w:line="240" w:lineRule="atLeast"/>
    </w:pPr>
    <w:rPr>
      <w:rFonts w:ascii="Cambria" w:eastAsia="Cambria" w:hAnsi="Cambria" w:cs="Times New Roman"/>
      <w:szCs w:val="20"/>
      <w:lang w:eastAsia="en-US"/>
    </w:rPr>
  </w:style>
  <w:style w:type="paragraph" w:customStyle="1" w:styleId="765D6CF765D14D46BC51B631BE53C07A3">
    <w:name w:val="765D6CF765D14D46BC51B631BE53C07A3"/>
    <w:rsid w:val="00CD5820"/>
    <w:pPr>
      <w:spacing w:before="180" w:after="180" w:line="240" w:lineRule="atLeast"/>
    </w:pPr>
    <w:rPr>
      <w:rFonts w:ascii="Cambria" w:eastAsia="Cambria" w:hAnsi="Cambria" w:cs="Times New Roman"/>
      <w:szCs w:val="20"/>
      <w:lang w:eastAsia="en-US"/>
    </w:rPr>
  </w:style>
  <w:style w:type="paragraph" w:customStyle="1" w:styleId="81FA3139662749EA833B9F8E93703068">
    <w:name w:val="81FA3139662749EA833B9F8E93703068"/>
    <w:rsid w:val="00CD5820"/>
    <w:pPr>
      <w:spacing w:before="180" w:after="180" w:line="240" w:lineRule="atLeast"/>
    </w:pPr>
    <w:rPr>
      <w:rFonts w:ascii="Cambria" w:eastAsia="Cambria" w:hAnsi="Cambria" w:cs="Times New Roman"/>
      <w:szCs w:val="20"/>
      <w:lang w:eastAsia="en-US"/>
    </w:rPr>
  </w:style>
  <w:style w:type="paragraph" w:customStyle="1" w:styleId="D99F0F3710AC4DCB993CF81D26F375AE10">
    <w:name w:val="D99F0F3710AC4DCB993CF81D26F375AE10"/>
    <w:rsid w:val="00CD5820"/>
    <w:pPr>
      <w:spacing w:before="180" w:after="180" w:line="240" w:lineRule="atLeast"/>
    </w:pPr>
    <w:rPr>
      <w:rFonts w:ascii="Cambria" w:eastAsia="Cambria" w:hAnsi="Cambria" w:cs="Times New Roman"/>
      <w:szCs w:val="20"/>
      <w:lang w:eastAsia="en-US"/>
    </w:rPr>
  </w:style>
  <w:style w:type="paragraph" w:customStyle="1" w:styleId="765D6CF765D14D46BC51B631BE53C07A4">
    <w:name w:val="765D6CF765D14D46BC51B631BE53C07A4"/>
    <w:rsid w:val="00CD5820"/>
    <w:pPr>
      <w:spacing w:before="180" w:after="180" w:line="240" w:lineRule="atLeast"/>
    </w:pPr>
    <w:rPr>
      <w:rFonts w:ascii="Cambria" w:eastAsia="Cambria" w:hAnsi="Cambria" w:cs="Times New Roman"/>
      <w:szCs w:val="20"/>
      <w:lang w:eastAsia="en-US"/>
    </w:rPr>
  </w:style>
  <w:style w:type="paragraph" w:customStyle="1" w:styleId="7C256FA666F24AA2839F945584C08D81">
    <w:name w:val="7C256FA666F24AA2839F945584C08D81"/>
    <w:rsid w:val="00CD5820"/>
  </w:style>
  <w:style w:type="paragraph" w:customStyle="1" w:styleId="7C256FA666F24AA2839F945584C08D811">
    <w:name w:val="7C256FA666F24AA2839F945584C08D811"/>
    <w:rsid w:val="00CD5820"/>
    <w:pPr>
      <w:keepNext/>
      <w:keepLines/>
      <w:spacing w:before="360" w:after="180" w:line="240" w:lineRule="atLeast"/>
      <w:outlineLvl w:val="0"/>
    </w:pPr>
    <w:rPr>
      <w:rFonts w:eastAsia="Times New Roman" w:cs="Times New Roman"/>
      <w:b/>
      <w:bCs/>
      <w:sz w:val="48"/>
      <w:szCs w:val="64"/>
      <w:lang w:eastAsia="en-US"/>
    </w:rPr>
  </w:style>
  <w:style w:type="paragraph" w:customStyle="1" w:styleId="81FA3139662749EA833B9F8E937030681">
    <w:name w:val="81FA3139662749EA833B9F8E937030681"/>
    <w:rsid w:val="00CD5820"/>
    <w:pPr>
      <w:spacing w:before="180" w:after="180" w:line="240" w:lineRule="atLeast"/>
    </w:pPr>
    <w:rPr>
      <w:rFonts w:ascii="Cambria" w:eastAsia="Cambria" w:hAnsi="Cambria" w:cs="Times New Roman"/>
      <w:szCs w:val="20"/>
      <w:lang w:eastAsia="en-US"/>
    </w:rPr>
  </w:style>
  <w:style w:type="paragraph" w:customStyle="1" w:styleId="D99F0F3710AC4DCB993CF81D26F375AE11">
    <w:name w:val="D99F0F3710AC4DCB993CF81D26F375AE11"/>
    <w:rsid w:val="00CD5820"/>
    <w:pPr>
      <w:spacing w:before="180" w:after="180" w:line="240" w:lineRule="atLeast"/>
    </w:pPr>
    <w:rPr>
      <w:rFonts w:ascii="Cambria" w:eastAsia="Cambria" w:hAnsi="Cambria" w:cs="Times New Roman"/>
      <w:szCs w:val="20"/>
      <w:lang w:eastAsia="en-US"/>
    </w:rPr>
  </w:style>
  <w:style w:type="paragraph" w:customStyle="1" w:styleId="765D6CF765D14D46BC51B631BE53C07A5">
    <w:name w:val="765D6CF765D14D46BC51B631BE53C07A5"/>
    <w:rsid w:val="00CD5820"/>
    <w:pPr>
      <w:spacing w:before="180" w:after="180" w:line="240" w:lineRule="atLeast"/>
    </w:pPr>
    <w:rPr>
      <w:rFonts w:ascii="Cambria" w:eastAsia="Cambria" w:hAnsi="Cambria" w:cs="Times New Roman"/>
      <w:szCs w:val="20"/>
      <w:lang w:eastAsia="en-US"/>
    </w:rPr>
  </w:style>
  <w:style w:type="paragraph" w:customStyle="1" w:styleId="7C256FA666F24AA2839F945584C08D812">
    <w:name w:val="7C256FA666F24AA2839F945584C08D812"/>
    <w:rsid w:val="00CD5820"/>
    <w:pPr>
      <w:keepNext/>
      <w:keepLines/>
      <w:spacing w:before="360" w:after="180" w:line="240" w:lineRule="atLeast"/>
      <w:outlineLvl w:val="0"/>
    </w:pPr>
    <w:rPr>
      <w:rFonts w:eastAsia="Times New Roman" w:cs="Times New Roman"/>
      <w:b/>
      <w:bCs/>
      <w:sz w:val="48"/>
      <w:szCs w:val="64"/>
      <w:lang w:eastAsia="en-US"/>
    </w:rPr>
  </w:style>
  <w:style w:type="paragraph" w:customStyle="1" w:styleId="81FA3139662749EA833B9F8E937030682">
    <w:name w:val="81FA3139662749EA833B9F8E937030682"/>
    <w:rsid w:val="00CD5820"/>
    <w:pPr>
      <w:spacing w:before="180" w:after="180" w:line="240" w:lineRule="atLeast"/>
    </w:pPr>
    <w:rPr>
      <w:rFonts w:ascii="Cambria" w:eastAsia="Cambria" w:hAnsi="Cambria" w:cs="Times New Roman"/>
      <w:szCs w:val="20"/>
      <w:lang w:eastAsia="en-US"/>
    </w:rPr>
  </w:style>
  <w:style w:type="paragraph" w:customStyle="1" w:styleId="D99F0F3710AC4DCB993CF81D26F375AE12">
    <w:name w:val="D99F0F3710AC4DCB993CF81D26F375AE12"/>
    <w:rsid w:val="00CD5820"/>
    <w:pPr>
      <w:spacing w:before="180" w:after="180" w:line="240" w:lineRule="atLeast"/>
    </w:pPr>
    <w:rPr>
      <w:rFonts w:ascii="Cambria" w:eastAsia="Cambria" w:hAnsi="Cambria" w:cs="Times New Roman"/>
      <w:szCs w:val="20"/>
      <w:lang w:eastAsia="en-US"/>
    </w:rPr>
  </w:style>
  <w:style w:type="paragraph" w:customStyle="1" w:styleId="765D6CF765D14D46BC51B631BE53C07A6">
    <w:name w:val="765D6CF765D14D46BC51B631BE53C07A6"/>
    <w:rsid w:val="00CD5820"/>
    <w:pPr>
      <w:spacing w:before="180" w:after="180" w:line="240" w:lineRule="atLeast"/>
    </w:pPr>
    <w:rPr>
      <w:rFonts w:ascii="Cambria" w:eastAsia="Cambria" w:hAnsi="Cambria" w:cs="Times New Roman"/>
      <w:szCs w:val="20"/>
      <w:lang w:eastAsia="en-US"/>
    </w:rPr>
  </w:style>
  <w:style w:type="paragraph" w:customStyle="1" w:styleId="7C256FA666F24AA2839F945584C08D813">
    <w:name w:val="7C256FA666F24AA2839F945584C08D813"/>
    <w:rsid w:val="00CD5820"/>
    <w:pPr>
      <w:keepNext/>
      <w:keepLines/>
      <w:spacing w:before="360" w:after="180" w:line="240" w:lineRule="atLeast"/>
      <w:outlineLvl w:val="0"/>
    </w:pPr>
    <w:rPr>
      <w:rFonts w:eastAsia="Times New Roman" w:cs="Times New Roman"/>
      <w:b/>
      <w:bCs/>
      <w:sz w:val="48"/>
      <w:szCs w:val="64"/>
      <w:lang w:eastAsia="en-US"/>
    </w:rPr>
  </w:style>
  <w:style w:type="paragraph" w:customStyle="1" w:styleId="81FA3139662749EA833B9F8E937030683">
    <w:name w:val="81FA3139662749EA833B9F8E937030683"/>
    <w:rsid w:val="00CD5820"/>
    <w:pPr>
      <w:spacing w:before="180" w:after="180" w:line="240" w:lineRule="atLeast"/>
    </w:pPr>
    <w:rPr>
      <w:rFonts w:ascii="Cambria" w:eastAsia="Cambria" w:hAnsi="Cambria" w:cs="Times New Roman"/>
      <w:szCs w:val="20"/>
      <w:lang w:eastAsia="en-US"/>
    </w:rPr>
  </w:style>
  <w:style w:type="paragraph" w:customStyle="1" w:styleId="D99F0F3710AC4DCB993CF81D26F375AE13">
    <w:name w:val="D99F0F3710AC4DCB993CF81D26F375AE13"/>
    <w:rsid w:val="00CD5820"/>
    <w:pPr>
      <w:spacing w:before="180" w:after="180" w:line="240" w:lineRule="atLeast"/>
    </w:pPr>
    <w:rPr>
      <w:rFonts w:ascii="Cambria" w:eastAsia="Cambria" w:hAnsi="Cambria" w:cs="Times New Roman"/>
      <w:szCs w:val="20"/>
      <w:lang w:eastAsia="en-US"/>
    </w:rPr>
  </w:style>
  <w:style w:type="paragraph" w:customStyle="1" w:styleId="765D6CF765D14D46BC51B631BE53C07A7">
    <w:name w:val="765D6CF765D14D46BC51B631BE53C07A7"/>
    <w:rsid w:val="00CD5820"/>
    <w:pPr>
      <w:spacing w:before="180" w:after="180" w:line="240" w:lineRule="atLeast"/>
    </w:pPr>
    <w:rPr>
      <w:rFonts w:ascii="Cambria" w:eastAsia="Cambria" w:hAnsi="Cambria" w:cs="Times New Roman"/>
      <w:szCs w:val="20"/>
      <w:lang w:eastAsia="en-US"/>
    </w:rPr>
  </w:style>
  <w:style w:type="paragraph" w:customStyle="1" w:styleId="81FA3139662749EA833B9F8E937030684">
    <w:name w:val="81FA3139662749EA833B9F8E937030684"/>
    <w:rsid w:val="00CD5820"/>
    <w:pPr>
      <w:spacing w:before="180" w:after="180" w:line="240" w:lineRule="atLeast"/>
    </w:pPr>
    <w:rPr>
      <w:rFonts w:ascii="Cambria" w:eastAsia="Cambria" w:hAnsi="Cambria" w:cs="Times New Roman"/>
      <w:szCs w:val="20"/>
      <w:lang w:eastAsia="en-US"/>
    </w:rPr>
  </w:style>
  <w:style w:type="paragraph" w:customStyle="1" w:styleId="D99F0F3710AC4DCB993CF81D26F375AE14">
    <w:name w:val="D99F0F3710AC4DCB993CF81D26F375AE14"/>
    <w:rsid w:val="00CD5820"/>
    <w:pPr>
      <w:spacing w:before="180" w:after="180" w:line="240" w:lineRule="atLeast"/>
    </w:pPr>
    <w:rPr>
      <w:rFonts w:ascii="Cambria" w:eastAsia="Cambria" w:hAnsi="Cambria" w:cs="Times New Roman"/>
      <w:szCs w:val="20"/>
      <w:lang w:eastAsia="en-US"/>
    </w:rPr>
  </w:style>
  <w:style w:type="paragraph" w:customStyle="1" w:styleId="765D6CF765D14D46BC51B631BE53C07A8">
    <w:name w:val="765D6CF765D14D46BC51B631BE53C07A8"/>
    <w:rsid w:val="00CD5820"/>
    <w:pPr>
      <w:spacing w:before="180" w:after="180" w:line="240" w:lineRule="atLeast"/>
    </w:pPr>
    <w:rPr>
      <w:rFonts w:ascii="Cambria" w:eastAsia="Cambria" w:hAnsi="Cambria" w:cs="Times New Roman"/>
      <w:szCs w:val="20"/>
      <w:lang w:eastAsia="en-US"/>
    </w:rPr>
  </w:style>
  <w:style w:type="paragraph" w:customStyle="1" w:styleId="81FA3139662749EA833B9F8E937030685">
    <w:name w:val="81FA3139662749EA833B9F8E937030685"/>
    <w:rsid w:val="00CD5820"/>
    <w:pPr>
      <w:spacing w:before="180" w:after="180" w:line="240" w:lineRule="atLeast"/>
    </w:pPr>
    <w:rPr>
      <w:rFonts w:ascii="Cambria" w:eastAsia="Cambria" w:hAnsi="Cambria" w:cs="Times New Roman"/>
      <w:szCs w:val="20"/>
      <w:lang w:eastAsia="en-US"/>
    </w:rPr>
  </w:style>
  <w:style w:type="paragraph" w:customStyle="1" w:styleId="D99F0F3710AC4DCB993CF81D26F375AE15">
    <w:name w:val="D99F0F3710AC4DCB993CF81D26F375AE15"/>
    <w:rsid w:val="00CD5820"/>
    <w:pPr>
      <w:spacing w:before="180" w:after="180" w:line="240" w:lineRule="atLeast"/>
    </w:pPr>
    <w:rPr>
      <w:rFonts w:ascii="Cambria" w:eastAsia="Cambria" w:hAnsi="Cambria" w:cs="Times New Roman"/>
      <w:szCs w:val="20"/>
      <w:lang w:eastAsia="en-US"/>
    </w:rPr>
  </w:style>
  <w:style w:type="paragraph" w:customStyle="1" w:styleId="64540F666C72429398879CBC593D111C">
    <w:name w:val="64540F666C72429398879CBC593D111C"/>
    <w:rsid w:val="00CD5820"/>
    <w:pPr>
      <w:spacing w:before="180" w:after="180" w:line="240" w:lineRule="atLeast"/>
    </w:pPr>
    <w:rPr>
      <w:rFonts w:ascii="Cambria" w:eastAsia="Cambria" w:hAnsi="Cambria" w:cs="Times New Roman"/>
      <w:szCs w:val="20"/>
      <w:lang w:eastAsia="en-US"/>
    </w:rPr>
  </w:style>
  <w:style w:type="paragraph" w:customStyle="1" w:styleId="765D6CF765D14D46BC51B631BE53C07A9">
    <w:name w:val="765D6CF765D14D46BC51B631BE53C07A9"/>
    <w:rsid w:val="00CD5820"/>
    <w:pPr>
      <w:spacing w:before="180" w:after="180" w:line="240" w:lineRule="atLeast"/>
    </w:pPr>
    <w:rPr>
      <w:rFonts w:ascii="Cambria" w:eastAsia="Cambria" w:hAnsi="Cambria" w:cs="Times New Roman"/>
      <w:szCs w:val="20"/>
      <w:lang w:eastAsia="en-US"/>
    </w:rPr>
  </w:style>
  <w:style w:type="paragraph" w:customStyle="1" w:styleId="76AC68B291E44344AA49D4E70B9A0A07">
    <w:name w:val="76AC68B291E44344AA49D4E70B9A0A07"/>
    <w:rsid w:val="00CD5820"/>
  </w:style>
  <w:style w:type="paragraph" w:customStyle="1" w:styleId="FADC88A75A864E95984DA9410A5E863D">
    <w:name w:val="FADC88A75A864E95984DA9410A5E863D"/>
    <w:rsid w:val="00CD5820"/>
  </w:style>
  <w:style w:type="paragraph" w:customStyle="1" w:styleId="F4D5CAA729E84C8E808C3BA9D3827FFD">
    <w:name w:val="F4D5CAA729E84C8E808C3BA9D3827FFD"/>
    <w:rsid w:val="00CD5820"/>
  </w:style>
  <w:style w:type="paragraph" w:customStyle="1" w:styleId="98C69C11E6814C90AAC92A856D3136D5">
    <w:name w:val="98C69C11E6814C90AAC92A856D3136D5"/>
    <w:rsid w:val="00CD5820"/>
  </w:style>
  <w:style w:type="paragraph" w:customStyle="1" w:styleId="A55EB4C9150B4FAFB3E678BF5EC6CA9C">
    <w:name w:val="A55EB4C9150B4FAFB3E678BF5EC6CA9C"/>
    <w:rsid w:val="00CD5820"/>
  </w:style>
  <w:style w:type="paragraph" w:customStyle="1" w:styleId="D596712D75F34643B8DE2E3B09944DEC">
    <w:name w:val="D596712D75F34643B8DE2E3B09944DEC"/>
    <w:rsid w:val="00CD5820"/>
  </w:style>
  <w:style w:type="paragraph" w:customStyle="1" w:styleId="DD6FFE38CF1F402EB470D6989FE19B3F">
    <w:name w:val="DD6FFE38CF1F402EB470D6989FE19B3F"/>
    <w:rsid w:val="00CD5820"/>
  </w:style>
  <w:style w:type="paragraph" w:customStyle="1" w:styleId="BAA995CA73D64609AC782490EDAD297E">
    <w:name w:val="BAA995CA73D64609AC782490EDAD297E"/>
    <w:rsid w:val="00CD5820"/>
  </w:style>
  <w:style w:type="paragraph" w:customStyle="1" w:styleId="2993B0C3922D465DB30C2D70BE802B04">
    <w:name w:val="2993B0C3922D465DB30C2D70BE802B04"/>
    <w:rsid w:val="00CD5820"/>
  </w:style>
  <w:style w:type="paragraph" w:customStyle="1" w:styleId="94787506EEF24BD29EBB0E74E815ECDD">
    <w:name w:val="94787506EEF24BD29EBB0E74E815ECDD"/>
    <w:rsid w:val="00CD5820"/>
  </w:style>
  <w:style w:type="paragraph" w:customStyle="1" w:styleId="35FE903F43124151BEFA59B01DD2B90E">
    <w:name w:val="35FE903F43124151BEFA59B01DD2B90E"/>
    <w:rsid w:val="00CD5820"/>
  </w:style>
  <w:style w:type="paragraph" w:customStyle="1" w:styleId="527DEFA0214A487DA09C68F6F4A51BB9">
    <w:name w:val="527DEFA0214A487DA09C68F6F4A51BB9"/>
    <w:rsid w:val="00CD5820"/>
  </w:style>
  <w:style w:type="paragraph" w:customStyle="1" w:styleId="70E519425C7340DAAE1BA3CF4A4E76BC">
    <w:name w:val="70E519425C7340DAAE1BA3CF4A4E76BC"/>
    <w:rsid w:val="00CD5820"/>
  </w:style>
  <w:style w:type="paragraph" w:customStyle="1" w:styleId="D8994E440993413CBBBB2EF0C63591BA">
    <w:name w:val="D8994E440993413CBBBB2EF0C63591BA"/>
    <w:rsid w:val="00CD5820"/>
  </w:style>
  <w:style w:type="paragraph" w:customStyle="1" w:styleId="261AD4A21BFA46ECB51482FA3E4DB723">
    <w:name w:val="261AD4A21BFA46ECB51482FA3E4DB723"/>
    <w:rsid w:val="00CD5820"/>
  </w:style>
  <w:style w:type="paragraph" w:customStyle="1" w:styleId="8E127BA52ECB4889969D514A272C56F6">
    <w:name w:val="8E127BA52ECB4889969D514A272C56F6"/>
    <w:rsid w:val="00CD5820"/>
  </w:style>
  <w:style w:type="paragraph" w:customStyle="1" w:styleId="4DD34E309A5B451AB3096ADD7A1355DF">
    <w:name w:val="4DD34E309A5B451AB3096ADD7A1355DF"/>
    <w:rsid w:val="00CD5820"/>
  </w:style>
  <w:style w:type="paragraph" w:customStyle="1" w:styleId="2459F8D078E2440384A125302896BA09">
    <w:name w:val="2459F8D078E2440384A125302896BA09"/>
    <w:rsid w:val="00CD5820"/>
  </w:style>
  <w:style w:type="paragraph" w:customStyle="1" w:styleId="899708D660824C7D9A6C5C54AB9BB0A8">
    <w:name w:val="899708D660824C7D9A6C5C54AB9BB0A8"/>
    <w:rsid w:val="008C172F"/>
  </w:style>
  <w:style w:type="paragraph" w:customStyle="1" w:styleId="0BF85AFFFABE4271859FAE8A84336EE9">
    <w:name w:val="0BF85AFFFABE4271859FAE8A84336EE9"/>
    <w:rsid w:val="008C172F"/>
  </w:style>
  <w:style w:type="paragraph" w:customStyle="1" w:styleId="D2643EBA6D9C46C3800A59FE6701751A">
    <w:name w:val="D2643EBA6D9C46C3800A59FE6701751A"/>
    <w:rsid w:val="008C172F"/>
  </w:style>
  <w:style w:type="paragraph" w:customStyle="1" w:styleId="3D28A3C44FA64009A14ADD00163AAFEF">
    <w:name w:val="3D28A3C44FA64009A14ADD00163AAFEF"/>
    <w:rsid w:val="003758BB"/>
  </w:style>
  <w:style w:type="paragraph" w:customStyle="1" w:styleId="B12C4BAB1D59454299CBF63F4493F852">
    <w:name w:val="B12C4BAB1D59454299CBF63F4493F852"/>
    <w:rsid w:val="003758BB"/>
  </w:style>
  <w:style w:type="paragraph" w:customStyle="1" w:styleId="81FA3139662749EA833B9F8E937030686">
    <w:name w:val="81FA3139662749EA833B9F8E937030686"/>
    <w:rsid w:val="003758BB"/>
    <w:pPr>
      <w:spacing w:before="180" w:after="180" w:line="240" w:lineRule="atLeast"/>
    </w:pPr>
    <w:rPr>
      <w:rFonts w:ascii="Cambria" w:eastAsia="Cambria" w:hAnsi="Cambria" w:cs="Times New Roman"/>
      <w:szCs w:val="20"/>
      <w:lang w:eastAsia="en-US"/>
    </w:rPr>
  </w:style>
  <w:style w:type="paragraph" w:customStyle="1" w:styleId="D99F0F3710AC4DCB993CF81D26F375AE16">
    <w:name w:val="D99F0F3710AC4DCB993CF81D26F375AE16"/>
    <w:rsid w:val="003758BB"/>
    <w:pPr>
      <w:spacing w:before="180" w:after="180" w:line="240" w:lineRule="atLeast"/>
    </w:pPr>
    <w:rPr>
      <w:rFonts w:ascii="Cambria" w:eastAsia="Cambria" w:hAnsi="Cambria" w:cs="Times New Roman"/>
      <w:szCs w:val="20"/>
      <w:lang w:eastAsia="en-US"/>
    </w:rPr>
  </w:style>
  <w:style w:type="paragraph" w:customStyle="1" w:styleId="899708D660824C7D9A6C5C54AB9BB0A81">
    <w:name w:val="899708D660824C7D9A6C5C54AB9BB0A81"/>
    <w:rsid w:val="003758BB"/>
    <w:pPr>
      <w:spacing w:before="180" w:after="180" w:line="240" w:lineRule="atLeast"/>
    </w:pPr>
    <w:rPr>
      <w:rFonts w:ascii="Cambria" w:eastAsia="Cambria" w:hAnsi="Cambria" w:cs="Times New Roman"/>
      <w:szCs w:val="20"/>
      <w:lang w:eastAsia="en-US"/>
    </w:rPr>
  </w:style>
  <w:style w:type="paragraph" w:customStyle="1" w:styleId="765D6CF765D14D46BC51B631BE53C07A10">
    <w:name w:val="765D6CF765D14D46BC51B631BE53C07A10"/>
    <w:rsid w:val="003758BB"/>
    <w:pPr>
      <w:spacing w:before="180" w:after="180" w:line="240" w:lineRule="atLeast"/>
    </w:pPr>
    <w:rPr>
      <w:rFonts w:ascii="Cambria" w:eastAsia="Cambria" w:hAnsi="Cambria" w:cs="Times New Roman"/>
      <w:szCs w:val="20"/>
      <w:lang w:eastAsia="en-US"/>
    </w:rPr>
  </w:style>
  <w:style w:type="paragraph" w:customStyle="1" w:styleId="DD6FFE38CF1F402EB470D6989FE19B3F1">
    <w:name w:val="DD6FFE38CF1F402EB470D6989FE19B3F1"/>
    <w:rsid w:val="003758BB"/>
    <w:pPr>
      <w:spacing w:before="180" w:after="180" w:line="240" w:lineRule="atLeast"/>
    </w:pPr>
    <w:rPr>
      <w:rFonts w:ascii="Cambria" w:eastAsia="Cambria" w:hAnsi="Cambria" w:cs="Times New Roman"/>
      <w:szCs w:val="20"/>
      <w:lang w:eastAsia="en-US"/>
    </w:rPr>
  </w:style>
  <w:style w:type="paragraph" w:customStyle="1" w:styleId="0BF85AFFFABE4271859FAE8A84336EE91">
    <w:name w:val="0BF85AFFFABE4271859FAE8A84336EE91"/>
    <w:rsid w:val="003758BB"/>
    <w:pPr>
      <w:spacing w:before="180" w:after="180" w:line="240" w:lineRule="atLeast"/>
    </w:pPr>
    <w:rPr>
      <w:rFonts w:ascii="Cambria" w:eastAsia="Cambria" w:hAnsi="Cambria" w:cs="Times New Roman"/>
      <w:szCs w:val="20"/>
      <w:lang w:eastAsia="en-US"/>
    </w:rPr>
  </w:style>
  <w:style w:type="paragraph" w:customStyle="1" w:styleId="D2643EBA6D9C46C3800A59FE6701751A1">
    <w:name w:val="D2643EBA6D9C46C3800A59FE6701751A1"/>
    <w:rsid w:val="003758BB"/>
    <w:pPr>
      <w:spacing w:before="180" w:after="180" w:line="240" w:lineRule="atLeast"/>
    </w:pPr>
    <w:rPr>
      <w:rFonts w:ascii="Cambria" w:eastAsia="Cambria" w:hAnsi="Cambria" w:cs="Times New Roman"/>
      <w:szCs w:val="20"/>
      <w:lang w:eastAsia="en-US"/>
    </w:rPr>
  </w:style>
  <w:style w:type="paragraph" w:customStyle="1" w:styleId="AAE41BF41AD648628F0B241374ACF8B4">
    <w:name w:val="AAE41BF41AD648628F0B241374ACF8B4"/>
    <w:rsid w:val="003758BB"/>
    <w:pPr>
      <w:spacing w:before="180" w:after="180" w:line="240" w:lineRule="atLeast"/>
    </w:pPr>
    <w:rPr>
      <w:rFonts w:ascii="Cambria" w:eastAsia="Cambria" w:hAnsi="Cambria" w:cs="Times New Roman"/>
      <w:szCs w:val="20"/>
      <w:lang w:eastAsia="en-US"/>
    </w:rPr>
  </w:style>
  <w:style w:type="paragraph" w:customStyle="1" w:styleId="81FA3139662749EA833B9F8E937030687">
    <w:name w:val="81FA3139662749EA833B9F8E937030687"/>
    <w:rsid w:val="003758BB"/>
    <w:pPr>
      <w:spacing w:before="180" w:after="180" w:line="240" w:lineRule="atLeast"/>
    </w:pPr>
    <w:rPr>
      <w:rFonts w:ascii="Cambria" w:eastAsia="Cambria" w:hAnsi="Cambria" w:cs="Times New Roman"/>
      <w:szCs w:val="20"/>
      <w:lang w:eastAsia="en-US"/>
    </w:rPr>
  </w:style>
  <w:style w:type="paragraph" w:customStyle="1" w:styleId="D99F0F3710AC4DCB993CF81D26F375AE17">
    <w:name w:val="D99F0F3710AC4DCB993CF81D26F375AE17"/>
    <w:rsid w:val="003758BB"/>
    <w:pPr>
      <w:spacing w:before="180" w:after="180" w:line="240" w:lineRule="atLeast"/>
    </w:pPr>
    <w:rPr>
      <w:rFonts w:ascii="Cambria" w:eastAsia="Cambria" w:hAnsi="Cambria" w:cs="Times New Roman"/>
      <w:szCs w:val="20"/>
      <w:lang w:eastAsia="en-US"/>
    </w:rPr>
  </w:style>
  <w:style w:type="paragraph" w:customStyle="1" w:styleId="899708D660824C7D9A6C5C54AB9BB0A82">
    <w:name w:val="899708D660824C7D9A6C5C54AB9BB0A82"/>
    <w:rsid w:val="003758BB"/>
    <w:pPr>
      <w:spacing w:before="180" w:after="180" w:line="240" w:lineRule="atLeast"/>
    </w:pPr>
    <w:rPr>
      <w:rFonts w:ascii="Cambria" w:eastAsia="Cambria" w:hAnsi="Cambria" w:cs="Times New Roman"/>
      <w:szCs w:val="20"/>
      <w:lang w:eastAsia="en-US"/>
    </w:rPr>
  </w:style>
  <w:style w:type="paragraph" w:customStyle="1" w:styleId="765D6CF765D14D46BC51B631BE53C07A11">
    <w:name w:val="765D6CF765D14D46BC51B631BE53C07A11"/>
    <w:rsid w:val="003758BB"/>
    <w:pPr>
      <w:spacing w:before="180" w:after="180" w:line="240" w:lineRule="atLeast"/>
    </w:pPr>
    <w:rPr>
      <w:rFonts w:ascii="Cambria" w:eastAsia="Cambria" w:hAnsi="Cambria" w:cs="Times New Roman"/>
      <w:szCs w:val="20"/>
      <w:lang w:eastAsia="en-US"/>
    </w:rPr>
  </w:style>
  <w:style w:type="paragraph" w:customStyle="1" w:styleId="DD6FFE38CF1F402EB470D6989FE19B3F2">
    <w:name w:val="DD6FFE38CF1F402EB470D6989FE19B3F2"/>
    <w:rsid w:val="003758BB"/>
    <w:pPr>
      <w:spacing w:before="180" w:after="180" w:line="240" w:lineRule="atLeast"/>
    </w:pPr>
    <w:rPr>
      <w:rFonts w:ascii="Cambria" w:eastAsia="Cambria" w:hAnsi="Cambria" w:cs="Times New Roman"/>
      <w:szCs w:val="20"/>
      <w:lang w:eastAsia="en-US"/>
    </w:rPr>
  </w:style>
  <w:style w:type="paragraph" w:customStyle="1" w:styleId="0BF85AFFFABE4271859FAE8A84336EE92">
    <w:name w:val="0BF85AFFFABE4271859FAE8A84336EE92"/>
    <w:rsid w:val="003758BB"/>
    <w:pPr>
      <w:spacing w:before="180" w:after="180" w:line="240" w:lineRule="atLeast"/>
    </w:pPr>
    <w:rPr>
      <w:rFonts w:ascii="Cambria" w:eastAsia="Cambria" w:hAnsi="Cambria" w:cs="Times New Roman"/>
      <w:szCs w:val="20"/>
      <w:lang w:eastAsia="en-US"/>
    </w:rPr>
  </w:style>
  <w:style w:type="paragraph" w:customStyle="1" w:styleId="D2643EBA6D9C46C3800A59FE6701751A2">
    <w:name w:val="D2643EBA6D9C46C3800A59FE6701751A2"/>
    <w:rsid w:val="003758BB"/>
    <w:pPr>
      <w:spacing w:before="180" w:after="180" w:line="240" w:lineRule="atLeast"/>
    </w:pPr>
    <w:rPr>
      <w:rFonts w:ascii="Cambria" w:eastAsia="Cambria" w:hAnsi="Cambria" w:cs="Times New Roman"/>
      <w:szCs w:val="20"/>
      <w:lang w:eastAsia="en-US"/>
    </w:rPr>
  </w:style>
  <w:style w:type="paragraph" w:customStyle="1" w:styleId="BBDC0B82622A491CB2EFD96FD2026D43">
    <w:name w:val="BBDC0B82622A491CB2EFD96FD2026D43"/>
    <w:rsid w:val="00350209"/>
  </w:style>
  <w:style w:type="paragraph" w:customStyle="1" w:styleId="61034A2496AB472FA0E0E61DFDAA90C7">
    <w:name w:val="61034A2496AB472FA0E0E61DFDAA90C7"/>
    <w:rsid w:val="00350209"/>
  </w:style>
  <w:style w:type="paragraph" w:customStyle="1" w:styleId="39028DF89CA14B9EB3CB3ABFA1368C7F">
    <w:name w:val="39028DF89CA14B9EB3CB3ABFA1368C7F"/>
    <w:rsid w:val="00350209"/>
  </w:style>
  <w:style w:type="paragraph" w:customStyle="1" w:styleId="F26A18E62E1D49D5B620E22ECCE95F8A">
    <w:name w:val="F26A18E62E1D49D5B620E22ECCE95F8A"/>
    <w:rsid w:val="00350209"/>
  </w:style>
  <w:style w:type="paragraph" w:customStyle="1" w:styleId="EA89DC73113D4B13A582C21AD600A3D5">
    <w:name w:val="EA89DC73113D4B13A582C21AD600A3D5"/>
    <w:rsid w:val="00462B99"/>
  </w:style>
  <w:style w:type="paragraph" w:customStyle="1" w:styleId="5A69B49747674D8DAEC3F75B9721E9B8">
    <w:name w:val="5A69B49747674D8DAEC3F75B9721E9B8"/>
    <w:rsid w:val="00462B99"/>
  </w:style>
  <w:style w:type="paragraph" w:customStyle="1" w:styleId="194F1D3B6A1645D893F297F5084D8DF2">
    <w:name w:val="194F1D3B6A1645D893F297F5084D8DF2"/>
    <w:rsid w:val="00462B99"/>
  </w:style>
  <w:style w:type="paragraph" w:customStyle="1" w:styleId="0DA390F9407A40EC9B29EEA90DE607EE">
    <w:name w:val="0DA390F9407A40EC9B29EEA90DE607EE"/>
    <w:rsid w:val="00D37D07"/>
    <w:pPr>
      <w:spacing w:after="160" w:line="259" w:lineRule="auto"/>
    </w:pPr>
  </w:style>
  <w:style w:type="paragraph" w:customStyle="1" w:styleId="3ACBE952486B4E1585CCD948A4D52A99">
    <w:name w:val="3ACBE952486B4E1585CCD948A4D52A99"/>
    <w:rsid w:val="00D37D07"/>
    <w:pPr>
      <w:spacing w:after="160" w:line="259" w:lineRule="auto"/>
    </w:pPr>
  </w:style>
  <w:style w:type="paragraph" w:customStyle="1" w:styleId="125C86DACE11497984FE4BAE49CDE122">
    <w:name w:val="125C86DACE11497984FE4BAE49CDE122"/>
    <w:rsid w:val="00D37D07"/>
    <w:pPr>
      <w:spacing w:after="160" w:line="259" w:lineRule="auto"/>
    </w:pPr>
  </w:style>
  <w:style w:type="paragraph" w:customStyle="1" w:styleId="07C705C5D90B428DBF36BC01EE8D7A00">
    <w:name w:val="07C705C5D90B428DBF36BC01EE8D7A00"/>
    <w:rsid w:val="00D37D07"/>
    <w:pPr>
      <w:spacing w:after="160" w:line="259" w:lineRule="auto"/>
    </w:pPr>
  </w:style>
  <w:style w:type="paragraph" w:customStyle="1" w:styleId="31BCBC93219F4BD8854F9AD180CF7FA2">
    <w:name w:val="31BCBC93219F4BD8854F9AD180CF7FA2"/>
    <w:rsid w:val="00D37D07"/>
    <w:pPr>
      <w:spacing w:after="160" w:line="259" w:lineRule="auto"/>
    </w:pPr>
  </w:style>
  <w:style w:type="paragraph" w:customStyle="1" w:styleId="7609A63B2B4745308F48D45126A5D6AB">
    <w:name w:val="7609A63B2B4745308F48D45126A5D6AB"/>
    <w:rsid w:val="00D37D07"/>
    <w:pPr>
      <w:spacing w:after="160" w:line="259" w:lineRule="auto"/>
    </w:pPr>
  </w:style>
  <w:style w:type="paragraph" w:customStyle="1" w:styleId="57910C6CCABD4FCCBED87573158BEBC0">
    <w:name w:val="57910C6CCABD4FCCBED87573158BEBC0"/>
    <w:rsid w:val="00D37D07"/>
    <w:pPr>
      <w:spacing w:after="160" w:line="259" w:lineRule="auto"/>
    </w:pPr>
  </w:style>
  <w:style w:type="paragraph" w:customStyle="1" w:styleId="41606656F9CB47CE8D5ED798614D2432">
    <w:name w:val="41606656F9CB47CE8D5ED798614D2432"/>
    <w:rsid w:val="00D37D07"/>
    <w:pPr>
      <w:spacing w:after="160" w:line="259" w:lineRule="auto"/>
    </w:pPr>
  </w:style>
  <w:style w:type="paragraph" w:customStyle="1" w:styleId="25EB6AA6BE4B40759FA81967B1D917C1">
    <w:name w:val="25EB6AA6BE4B40759FA81967B1D917C1"/>
    <w:rsid w:val="00D37D07"/>
    <w:pPr>
      <w:spacing w:after="160" w:line="259" w:lineRule="auto"/>
    </w:pPr>
  </w:style>
  <w:style w:type="paragraph" w:customStyle="1" w:styleId="8966681EB5284AC69BB9F86A4E69CD0C">
    <w:name w:val="8966681EB5284AC69BB9F86A4E69CD0C"/>
    <w:rsid w:val="00D37D07"/>
    <w:pPr>
      <w:spacing w:after="160" w:line="259" w:lineRule="auto"/>
    </w:pPr>
  </w:style>
  <w:style w:type="paragraph" w:customStyle="1" w:styleId="AA2D09C739A94BDF9EB6D0177852CA34">
    <w:name w:val="AA2D09C739A94BDF9EB6D0177852CA34"/>
    <w:rsid w:val="00D37D07"/>
    <w:pPr>
      <w:spacing w:after="160" w:line="259" w:lineRule="auto"/>
    </w:pPr>
  </w:style>
  <w:style w:type="paragraph" w:customStyle="1" w:styleId="23D5CFB5CEA543D6A2DF391D604F7248">
    <w:name w:val="23D5CFB5CEA543D6A2DF391D604F7248"/>
    <w:rsid w:val="00D37D07"/>
    <w:pPr>
      <w:spacing w:after="160" w:line="259" w:lineRule="auto"/>
    </w:pPr>
  </w:style>
  <w:style w:type="paragraph" w:customStyle="1" w:styleId="3658707B6FD3420EB0A02F6D44259F7A">
    <w:name w:val="3658707B6FD3420EB0A02F6D44259F7A"/>
    <w:rsid w:val="00D37D07"/>
    <w:pPr>
      <w:spacing w:after="160" w:line="259" w:lineRule="auto"/>
    </w:pPr>
  </w:style>
  <w:style w:type="paragraph" w:customStyle="1" w:styleId="5CF041AFC70D4151894BCCA9BC60CE38">
    <w:name w:val="5CF041AFC70D4151894BCCA9BC60CE38"/>
    <w:rsid w:val="00D37D07"/>
    <w:pPr>
      <w:spacing w:after="160" w:line="259" w:lineRule="auto"/>
    </w:pPr>
  </w:style>
  <w:style w:type="paragraph" w:customStyle="1" w:styleId="0E2905874ACB48B1853155C75F734DBD">
    <w:name w:val="0E2905874ACB48B1853155C75F734DBD"/>
    <w:rsid w:val="00D37D07"/>
    <w:pPr>
      <w:spacing w:after="160" w:line="259" w:lineRule="auto"/>
    </w:pPr>
  </w:style>
  <w:style w:type="paragraph" w:customStyle="1" w:styleId="18F8D9101FBA458EB9B5176B6B4DE711">
    <w:name w:val="18F8D9101FBA458EB9B5176B6B4DE711"/>
    <w:rsid w:val="00D37D07"/>
    <w:pPr>
      <w:spacing w:after="160" w:line="259" w:lineRule="auto"/>
    </w:pPr>
  </w:style>
  <w:style w:type="paragraph" w:customStyle="1" w:styleId="7044EE05A4124762850031502EB982B5">
    <w:name w:val="7044EE05A4124762850031502EB982B5"/>
    <w:rsid w:val="00D37D07"/>
    <w:pPr>
      <w:spacing w:after="160" w:line="259" w:lineRule="auto"/>
    </w:pPr>
  </w:style>
  <w:style w:type="paragraph" w:customStyle="1" w:styleId="589D2D7F2AF0494A93760CAB1391DDF7">
    <w:name w:val="589D2D7F2AF0494A93760CAB1391DDF7"/>
    <w:rsid w:val="00D37D07"/>
    <w:pPr>
      <w:spacing w:after="160" w:line="259" w:lineRule="auto"/>
    </w:pPr>
  </w:style>
  <w:style w:type="paragraph" w:customStyle="1" w:styleId="102A38471AED4E5F9AF837C411A6AAB3">
    <w:name w:val="102A38471AED4E5F9AF837C411A6AAB3"/>
    <w:rsid w:val="00D37D07"/>
    <w:pPr>
      <w:spacing w:after="160" w:line="259" w:lineRule="auto"/>
    </w:pPr>
  </w:style>
  <w:style w:type="paragraph" w:customStyle="1" w:styleId="A586305331C6420692BB38EAE98DACB6">
    <w:name w:val="A586305331C6420692BB38EAE98DACB6"/>
    <w:rsid w:val="00D37D07"/>
    <w:pPr>
      <w:spacing w:after="160" w:line="259" w:lineRule="auto"/>
    </w:pPr>
  </w:style>
  <w:style w:type="paragraph" w:customStyle="1" w:styleId="A113CC6EAF4D4651AFF86E16AD64ED38">
    <w:name w:val="A113CC6EAF4D4651AFF86E16AD64ED38"/>
    <w:rsid w:val="00D37D07"/>
    <w:pPr>
      <w:spacing w:after="160" w:line="259" w:lineRule="auto"/>
    </w:pPr>
  </w:style>
  <w:style w:type="paragraph" w:customStyle="1" w:styleId="FDF71CEA34C848F1AB08E2620D1CD428">
    <w:name w:val="FDF71CEA34C848F1AB08E2620D1CD428"/>
    <w:rsid w:val="00D37D07"/>
    <w:pPr>
      <w:spacing w:after="160" w:line="259" w:lineRule="auto"/>
    </w:pPr>
  </w:style>
  <w:style w:type="paragraph" w:customStyle="1" w:styleId="EB70473272A54593AA43E85B1C0F53CD">
    <w:name w:val="EB70473272A54593AA43E85B1C0F53CD"/>
    <w:rsid w:val="00D37D07"/>
    <w:pPr>
      <w:spacing w:after="160" w:line="259" w:lineRule="auto"/>
    </w:pPr>
  </w:style>
  <w:style w:type="paragraph" w:customStyle="1" w:styleId="A2AE21EBD4C8462C9C6F172B7B46DF17">
    <w:name w:val="A2AE21EBD4C8462C9C6F172B7B46DF17"/>
    <w:rsid w:val="00D37D07"/>
    <w:pPr>
      <w:spacing w:after="160" w:line="259" w:lineRule="auto"/>
    </w:pPr>
  </w:style>
  <w:style w:type="paragraph" w:customStyle="1" w:styleId="95DB0FE2BD7D4AAEA031C079E045CD9D">
    <w:name w:val="95DB0FE2BD7D4AAEA031C079E045CD9D"/>
    <w:rsid w:val="00D37D07"/>
    <w:pPr>
      <w:spacing w:after="160" w:line="259" w:lineRule="auto"/>
    </w:pPr>
  </w:style>
  <w:style w:type="paragraph" w:customStyle="1" w:styleId="7D3FC0EAA576400CA0B9BC2B3E1D8B3D">
    <w:name w:val="7D3FC0EAA576400CA0B9BC2B3E1D8B3D"/>
    <w:rsid w:val="00D37D07"/>
    <w:pPr>
      <w:spacing w:after="160" w:line="259" w:lineRule="auto"/>
    </w:pPr>
  </w:style>
  <w:style w:type="paragraph" w:customStyle="1" w:styleId="0773AF80396D4BD2B9857948EE8EAEF5">
    <w:name w:val="0773AF80396D4BD2B9857948EE8EAEF5"/>
    <w:rsid w:val="00D37D07"/>
    <w:pPr>
      <w:spacing w:after="160" w:line="259" w:lineRule="auto"/>
    </w:pPr>
  </w:style>
  <w:style w:type="paragraph" w:customStyle="1" w:styleId="41857D61E18744F7913F8470CF15691E">
    <w:name w:val="41857D61E18744F7913F8470CF15691E"/>
    <w:rsid w:val="00D37D07"/>
    <w:pPr>
      <w:spacing w:after="160" w:line="259" w:lineRule="auto"/>
    </w:pPr>
  </w:style>
  <w:style w:type="paragraph" w:customStyle="1" w:styleId="E76E49D7A1ED47F2852DE39F97C2C24A">
    <w:name w:val="E76E49D7A1ED47F2852DE39F97C2C24A"/>
    <w:rsid w:val="00D37D07"/>
    <w:pPr>
      <w:spacing w:after="160" w:line="259" w:lineRule="auto"/>
    </w:pPr>
  </w:style>
  <w:style w:type="paragraph" w:customStyle="1" w:styleId="B891ABB43B934A97A215FE7D18EC52AD">
    <w:name w:val="B891ABB43B934A97A215FE7D18EC52AD"/>
    <w:rsid w:val="00D37D07"/>
    <w:pPr>
      <w:spacing w:after="160" w:line="259" w:lineRule="auto"/>
    </w:pPr>
  </w:style>
  <w:style w:type="paragraph" w:customStyle="1" w:styleId="4FF836746FC742868D6C0E98F88EF539">
    <w:name w:val="4FF836746FC742868D6C0E98F88EF539"/>
    <w:rsid w:val="00D37D07"/>
    <w:pPr>
      <w:spacing w:after="160" w:line="259" w:lineRule="auto"/>
    </w:pPr>
  </w:style>
  <w:style w:type="paragraph" w:customStyle="1" w:styleId="C94FDC3C9C3E455F991094A2E8E1852F">
    <w:name w:val="C94FDC3C9C3E455F991094A2E8E1852F"/>
    <w:rsid w:val="00D37D07"/>
    <w:pPr>
      <w:spacing w:after="160" w:line="259" w:lineRule="auto"/>
    </w:pPr>
  </w:style>
  <w:style w:type="paragraph" w:customStyle="1" w:styleId="B2180E0559324CB4997A29BC3BC59B8D">
    <w:name w:val="B2180E0559324CB4997A29BC3BC59B8D"/>
    <w:rsid w:val="00D37D07"/>
    <w:pPr>
      <w:spacing w:after="160" w:line="259" w:lineRule="auto"/>
    </w:pPr>
  </w:style>
  <w:style w:type="paragraph" w:customStyle="1" w:styleId="D88B9A25570E43379F4F9EDC241B02B3">
    <w:name w:val="D88B9A25570E43379F4F9EDC241B02B3"/>
    <w:rsid w:val="00D37D07"/>
    <w:pPr>
      <w:spacing w:after="160" w:line="259" w:lineRule="auto"/>
    </w:pPr>
  </w:style>
  <w:style w:type="paragraph" w:customStyle="1" w:styleId="A6CED1CF058E41DC933B6CFB5252EE62">
    <w:name w:val="A6CED1CF058E41DC933B6CFB5252EE62"/>
    <w:rsid w:val="00D37D07"/>
    <w:pPr>
      <w:spacing w:after="160" w:line="259" w:lineRule="auto"/>
    </w:pPr>
  </w:style>
  <w:style w:type="paragraph" w:customStyle="1" w:styleId="E4883A4363C844708836A6D41E39AA21">
    <w:name w:val="E4883A4363C844708836A6D41E39AA21"/>
    <w:rsid w:val="00D37D07"/>
    <w:pPr>
      <w:spacing w:after="160" w:line="259" w:lineRule="auto"/>
    </w:pPr>
  </w:style>
  <w:style w:type="paragraph" w:customStyle="1" w:styleId="EBD9A050E06F452F87389E4661A93168">
    <w:name w:val="EBD9A050E06F452F87389E4661A93168"/>
    <w:rsid w:val="00D37D07"/>
    <w:pPr>
      <w:spacing w:after="160" w:line="259" w:lineRule="auto"/>
    </w:pPr>
  </w:style>
  <w:style w:type="paragraph" w:customStyle="1" w:styleId="06F91B661843431C932872837B3B5171">
    <w:name w:val="06F91B661843431C932872837B3B5171"/>
    <w:rsid w:val="00D37D07"/>
    <w:pPr>
      <w:spacing w:after="160" w:line="259" w:lineRule="auto"/>
    </w:pPr>
  </w:style>
  <w:style w:type="paragraph" w:customStyle="1" w:styleId="983A0D52E1C344DF846E0EF0AC61CF6D">
    <w:name w:val="983A0D52E1C344DF846E0EF0AC61CF6D"/>
    <w:rsid w:val="00D37D07"/>
    <w:pPr>
      <w:spacing w:after="160" w:line="259" w:lineRule="auto"/>
    </w:pPr>
  </w:style>
  <w:style w:type="paragraph" w:customStyle="1" w:styleId="D998771EA7434B5EA8501B3DD2947A33">
    <w:name w:val="D998771EA7434B5EA8501B3DD2947A33"/>
    <w:rsid w:val="00D37D07"/>
    <w:pPr>
      <w:spacing w:after="160" w:line="259" w:lineRule="auto"/>
    </w:pPr>
  </w:style>
  <w:style w:type="paragraph" w:customStyle="1" w:styleId="8FC5F7110F144FDFB204899C5816F7FA">
    <w:name w:val="8FC5F7110F144FDFB204899C5816F7FA"/>
    <w:rsid w:val="00D37D07"/>
    <w:pPr>
      <w:spacing w:after="160" w:line="259" w:lineRule="auto"/>
    </w:pPr>
  </w:style>
  <w:style w:type="paragraph" w:customStyle="1" w:styleId="103C14008BDF46CF9B4B56D59EF62A92">
    <w:name w:val="103C14008BDF46CF9B4B56D59EF62A92"/>
    <w:rsid w:val="00D37D07"/>
    <w:pPr>
      <w:spacing w:after="160" w:line="259" w:lineRule="auto"/>
    </w:pPr>
  </w:style>
  <w:style w:type="paragraph" w:customStyle="1" w:styleId="7D3972E20AEB44E88E90FDD09ED01004">
    <w:name w:val="7D3972E20AEB44E88E90FDD09ED01004"/>
    <w:rsid w:val="00D37D07"/>
    <w:pPr>
      <w:spacing w:after="160" w:line="259" w:lineRule="auto"/>
    </w:pPr>
  </w:style>
  <w:style w:type="paragraph" w:customStyle="1" w:styleId="EE07C732F9BE43CB99308E63B0DE7CED">
    <w:name w:val="EE07C732F9BE43CB99308E63B0DE7CED"/>
    <w:rsid w:val="00D37D07"/>
    <w:pPr>
      <w:spacing w:after="160" w:line="259" w:lineRule="auto"/>
    </w:pPr>
  </w:style>
  <w:style w:type="paragraph" w:customStyle="1" w:styleId="8FD664EFD4734321AAE5948A830A53B7">
    <w:name w:val="8FD664EFD4734321AAE5948A830A53B7"/>
    <w:rsid w:val="00D37D07"/>
    <w:pPr>
      <w:spacing w:after="160" w:line="259" w:lineRule="auto"/>
    </w:pPr>
  </w:style>
  <w:style w:type="paragraph" w:customStyle="1" w:styleId="E62B22DDD95A4DB2A5EFB57EB3913F0B">
    <w:name w:val="E62B22DDD95A4DB2A5EFB57EB3913F0B"/>
    <w:rsid w:val="00D37D07"/>
    <w:pPr>
      <w:spacing w:after="160" w:line="259" w:lineRule="auto"/>
    </w:pPr>
  </w:style>
  <w:style w:type="paragraph" w:customStyle="1" w:styleId="E2CF1ED2E6E8475EB2DD7DD4E11EBD28">
    <w:name w:val="E2CF1ED2E6E8475EB2DD7DD4E11EBD28"/>
    <w:rsid w:val="00D37D07"/>
    <w:pPr>
      <w:spacing w:after="160" w:line="259" w:lineRule="auto"/>
    </w:pPr>
  </w:style>
  <w:style w:type="paragraph" w:customStyle="1" w:styleId="82438E0C3BF544C7B9EA3A68FA8CC754">
    <w:name w:val="82438E0C3BF544C7B9EA3A68FA8CC754"/>
    <w:rsid w:val="00D37D07"/>
    <w:pPr>
      <w:spacing w:after="160" w:line="259" w:lineRule="auto"/>
    </w:pPr>
  </w:style>
  <w:style w:type="paragraph" w:customStyle="1" w:styleId="6956D64FD3964DA581F79A093A13D1C3">
    <w:name w:val="6956D64FD3964DA581F79A093A13D1C3"/>
    <w:rsid w:val="00D37D07"/>
    <w:pPr>
      <w:spacing w:after="160" w:line="259" w:lineRule="auto"/>
    </w:pPr>
  </w:style>
  <w:style w:type="paragraph" w:customStyle="1" w:styleId="8525F00BC2B54678AFD89072918AD348">
    <w:name w:val="8525F00BC2B54678AFD89072918AD348"/>
    <w:rsid w:val="00D37D07"/>
    <w:pPr>
      <w:spacing w:after="160" w:line="259" w:lineRule="auto"/>
    </w:pPr>
  </w:style>
  <w:style w:type="paragraph" w:customStyle="1" w:styleId="0161E1C7E56D49B4945E020E3DE34628">
    <w:name w:val="0161E1C7E56D49B4945E020E3DE34628"/>
    <w:rsid w:val="00D37D07"/>
    <w:pPr>
      <w:spacing w:after="160" w:line="259" w:lineRule="auto"/>
    </w:pPr>
  </w:style>
  <w:style w:type="paragraph" w:customStyle="1" w:styleId="6A9DE25EACEE4727A8CA6B5BB0971083">
    <w:name w:val="6A9DE25EACEE4727A8CA6B5BB0971083"/>
    <w:rsid w:val="00D37D07"/>
    <w:pPr>
      <w:spacing w:after="160" w:line="259" w:lineRule="auto"/>
    </w:pPr>
  </w:style>
  <w:style w:type="paragraph" w:customStyle="1" w:styleId="AF7E54D66DB94BCB916215D66B223244">
    <w:name w:val="AF7E54D66DB94BCB916215D66B223244"/>
    <w:rsid w:val="00D37D07"/>
    <w:pPr>
      <w:spacing w:after="160" w:line="259" w:lineRule="auto"/>
    </w:pPr>
  </w:style>
  <w:style w:type="paragraph" w:customStyle="1" w:styleId="A9B85219991645978373AD427D6473DB">
    <w:name w:val="A9B85219991645978373AD427D6473DB"/>
    <w:rsid w:val="00D37D07"/>
    <w:pPr>
      <w:spacing w:after="160" w:line="259" w:lineRule="auto"/>
    </w:pPr>
  </w:style>
  <w:style w:type="paragraph" w:customStyle="1" w:styleId="B0C0C97422944384B6FE74C6031DB73D">
    <w:name w:val="B0C0C97422944384B6FE74C6031DB73D"/>
    <w:rsid w:val="00D37D07"/>
    <w:pPr>
      <w:spacing w:after="160" w:line="259" w:lineRule="auto"/>
    </w:pPr>
  </w:style>
  <w:style w:type="paragraph" w:customStyle="1" w:styleId="0BF617868EF44D0EB385CB351900B176">
    <w:name w:val="0BF617868EF44D0EB385CB351900B176"/>
    <w:rsid w:val="00D37D07"/>
    <w:pPr>
      <w:spacing w:after="160" w:line="259" w:lineRule="auto"/>
    </w:pPr>
  </w:style>
  <w:style w:type="paragraph" w:customStyle="1" w:styleId="B2E5F9196FC842568C37BA8DA81017E6">
    <w:name w:val="B2E5F9196FC842568C37BA8DA81017E6"/>
    <w:rsid w:val="00D37D07"/>
    <w:pPr>
      <w:spacing w:after="160" w:line="259" w:lineRule="auto"/>
    </w:pPr>
  </w:style>
  <w:style w:type="paragraph" w:customStyle="1" w:styleId="790B9E4355ED45B3B6B6B0BD51232542">
    <w:name w:val="790B9E4355ED45B3B6B6B0BD51232542"/>
    <w:rsid w:val="00D37D07"/>
    <w:pPr>
      <w:spacing w:after="160" w:line="259" w:lineRule="auto"/>
    </w:pPr>
  </w:style>
  <w:style w:type="paragraph" w:customStyle="1" w:styleId="FE690086C4B942C8B1E4031E60575AFB">
    <w:name w:val="FE690086C4B942C8B1E4031E60575AFB"/>
    <w:rsid w:val="00D37D07"/>
    <w:pPr>
      <w:spacing w:after="160" w:line="259" w:lineRule="auto"/>
    </w:pPr>
  </w:style>
  <w:style w:type="paragraph" w:customStyle="1" w:styleId="AC6317C0E6964DBCA12A5A32CB0A4FAA">
    <w:name w:val="AC6317C0E6964DBCA12A5A32CB0A4FAA"/>
    <w:rsid w:val="00D37D07"/>
    <w:pPr>
      <w:spacing w:after="160" w:line="259" w:lineRule="auto"/>
    </w:pPr>
  </w:style>
  <w:style w:type="paragraph" w:customStyle="1" w:styleId="DC3FB4C00F224209AE34568AC19E9FD2">
    <w:name w:val="DC3FB4C00F224209AE34568AC19E9FD2"/>
    <w:rsid w:val="00D37D07"/>
    <w:pPr>
      <w:spacing w:after="160" w:line="259" w:lineRule="auto"/>
    </w:pPr>
  </w:style>
  <w:style w:type="paragraph" w:customStyle="1" w:styleId="534B4F07D5A04C669ABACBAF6ABF9F7E">
    <w:name w:val="534B4F07D5A04C669ABACBAF6ABF9F7E"/>
    <w:rsid w:val="00D37D07"/>
    <w:pPr>
      <w:spacing w:after="160" w:line="259" w:lineRule="auto"/>
    </w:pPr>
  </w:style>
  <w:style w:type="paragraph" w:customStyle="1" w:styleId="074F115269A74901A8A8E8249B6B67CD">
    <w:name w:val="074F115269A74901A8A8E8249B6B67CD"/>
    <w:rsid w:val="00D37D07"/>
    <w:pPr>
      <w:spacing w:after="160" w:line="259" w:lineRule="auto"/>
    </w:pPr>
  </w:style>
  <w:style w:type="paragraph" w:customStyle="1" w:styleId="49E302E0EFE44360AB1247FFF3DF4A45">
    <w:name w:val="49E302E0EFE44360AB1247FFF3DF4A45"/>
    <w:rsid w:val="00D37D07"/>
    <w:pPr>
      <w:spacing w:after="160" w:line="259" w:lineRule="auto"/>
    </w:pPr>
  </w:style>
  <w:style w:type="paragraph" w:customStyle="1" w:styleId="6CB29CE9DFC94F7683ABE206B14C00F3">
    <w:name w:val="6CB29CE9DFC94F7683ABE206B14C00F3"/>
    <w:rsid w:val="00D37D07"/>
    <w:pPr>
      <w:spacing w:after="160" w:line="259" w:lineRule="auto"/>
    </w:pPr>
  </w:style>
  <w:style w:type="paragraph" w:customStyle="1" w:styleId="BCBD85C1F0474E14BA11762BF782BC25">
    <w:name w:val="BCBD85C1F0474E14BA11762BF782BC25"/>
    <w:rsid w:val="00D37D07"/>
    <w:pPr>
      <w:spacing w:after="160" w:line="259" w:lineRule="auto"/>
    </w:pPr>
  </w:style>
  <w:style w:type="paragraph" w:customStyle="1" w:styleId="3997A5BD07BC43D5A06367178F582A88">
    <w:name w:val="3997A5BD07BC43D5A06367178F582A88"/>
    <w:rsid w:val="00D37D07"/>
    <w:pPr>
      <w:spacing w:after="160" w:line="259" w:lineRule="auto"/>
    </w:pPr>
  </w:style>
  <w:style w:type="paragraph" w:customStyle="1" w:styleId="ACB4E2B77DFA4B67A43388091635A078">
    <w:name w:val="ACB4E2B77DFA4B67A43388091635A078"/>
    <w:rsid w:val="00D37D07"/>
    <w:pPr>
      <w:spacing w:after="160" w:line="259" w:lineRule="auto"/>
    </w:pPr>
  </w:style>
  <w:style w:type="paragraph" w:customStyle="1" w:styleId="D26F8A5D0B1A49A0B5E7B4D7C7A15E2F">
    <w:name w:val="D26F8A5D0B1A49A0B5E7B4D7C7A15E2F"/>
    <w:rsid w:val="00D37D07"/>
    <w:pPr>
      <w:spacing w:after="160" w:line="259" w:lineRule="auto"/>
    </w:pPr>
  </w:style>
  <w:style w:type="paragraph" w:customStyle="1" w:styleId="7D960906AB6542539C1EFB256C27C01D">
    <w:name w:val="7D960906AB6542539C1EFB256C27C01D"/>
    <w:rsid w:val="00D37D07"/>
    <w:pPr>
      <w:spacing w:after="160" w:line="259" w:lineRule="auto"/>
    </w:pPr>
  </w:style>
  <w:style w:type="paragraph" w:customStyle="1" w:styleId="EFEF56A63E61498F832E59C2E528ECE9">
    <w:name w:val="EFEF56A63E61498F832E59C2E528ECE9"/>
    <w:rsid w:val="00D37D07"/>
    <w:pPr>
      <w:spacing w:after="160" w:line="259" w:lineRule="auto"/>
    </w:pPr>
  </w:style>
  <w:style w:type="paragraph" w:customStyle="1" w:styleId="26B8761554A943CCA7008C0887E741F3">
    <w:name w:val="26B8761554A943CCA7008C0887E741F3"/>
    <w:rsid w:val="00D37D07"/>
    <w:pPr>
      <w:spacing w:after="160" w:line="259" w:lineRule="auto"/>
    </w:pPr>
  </w:style>
  <w:style w:type="paragraph" w:customStyle="1" w:styleId="A46085E780A84B8C89DCEA892DC15AA1">
    <w:name w:val="A46085E780A84B8C89DCEA892DC15AA1"/>
    <w:rsid w:val="00D37D07"/>
    <w:pPr>
      <w:spacing w:after="160" w:line="259" w:lineRule="auto"/>
    </w:pPr>
  </w:style>
  <w:style w:type="paragraph" w:customStyle="1" w:styleId="BEA13BCC7B3A4C91B7CEAFD5CCF2F15C">
    <w:name w:val="BEA13BCC7B3A4C91B7CEAFD5CCF2F15C"/>
    <w:rsid w:val="00D37D07"/>
    <w:pPr>
      <w:spacing w:after="160" w:line="259" w:lineRule="auto"/>
    </w:pPr>
  </w:style>
  <w:style w:type="paragraph" w:customStyle="1" w:styleId="B90C8FEBF6484E02BC1776A7F5D602A1">
    <w:name w:val="B90C8FEBF6484E02BC1776A7F5D602A1"/>
    <w:rsid w:val="00D37D07"/>
    <w:pPr>
      <w:spacing w:after="160" w:line="259" w:lineRule="auto"/>
    </w:pPr>
  </w:style>
  <w:style w:type="paragraph" w:customStyle="1" w:styleId="F4C978F5F1E544A4AF9CDCFED6A1322F">
    <w:name w:val="F4C978F5F1E544A4AF9CDCFED6A1322F"/>
    <w:rsid w:val="00D37D07"/>
    <w:pPr>
      <w:spacing w:after="160" w:line="259" w:lineRule="auto"/>
    </w:pPr>
  </w:style>
  <w:style w:type="paragraph" w:customStyle="1" w:styleId="B42B0870B75948589275EE12A228BB43">
    <w:name w:val="B42B0870B75948589275EE12A228BB43"/>
    <w:rsid w:val="00D37D07"/>
    <w:pPr>
      <w:spacing w:after="160" w:line="259" w:lineRule="auto"/>
    </w:pPr>
  </w:style>
  <w:style w:type="paragraph" w:customStyle="1" w:styleId="B85D75F9F6E14634BC24A7BF0323B344">
    <w:name w:val="B85D75F9F6E14634BC24A7BF0323B344"/>
    <w:rsid w:val="00283151"/>
    <w:pPr>
      <w:spacing w:after="160" w:line="259" w:lineRule="auto"/>
    </w:pPr>
  </w:style>
  <w:style w:type="paragraph" w:customStyle="1" w:styleId="50DA2CF673CA4AADB6C32C927E477F4A">
    <w:name w:val="50DA2CF673CA4AADB6C32C927E477F4A"/>
    <w:rsid w:val="00283151"/>
    <w:pPr>
      <w:spacing w:after="160" w:line="259" w:lineRule="auto"/>
    </w:pPr>
  </w:style>
  <w:style w:type="paragraph" w:customStyle="1" w:styleId="C0B7B06F32F143A9BE9F424C6BF31761">
    <w:name w:val="C0B7B06F32F143A9BE9F424C6BF31761"/>
    <w:rsid w:val="00283151"/>
    <w:pPr>
      <w:spacing w:after="160" w:line="259" w:lineRule="auto"/>
    </w:pPr>
  </w:style>
  <w:style w:type="paragraph" w:customStyle="1" w:styleId="B69DA650A30A439AB1A6608E0CA3D686">
    <w:name w:val="B69DA650A30A439AB1A6608E0CA3D686"/>
    <w:rsid w:val="00283151"/>
    <w:pPr>
      <w:spacing w:after="160" w:line="259" w:lineRule="auto"/>
    </w:pPr>
  </w:style>
  <w:style w:type="paragraph" w:customStyle="1" w:styleId="15C207F81BB9481E8EA25EBEDDB17179">
    <w:name w:val="15C207F81BB9481E8EA25EBEDDB17179"/>
    <w:rsid w:val="00283151"/>
    <w:pPr>
      <w:spacing w:after="160" w:line="259" w:lineRule="auto"/>
    </w:pPr>
  </w:style>
  <w:style w:type="paragraph" w:customStyle="1" w:styleId="21D37CC0280E40708A70D19EB9241A1F">
    <w:name w:val="21D37CC0280E40708A70D19EB9241A1F"/>
    <w:rsid w:val="00283151"/>
    <w:pPr>
      <w:spacing w:after="160" w:line="259" w:lineRule="auto"/>
    </w:pPr>
  </w:style>
  <w:style w:type="paragraph" w:customStyle="1" w:styleId="3E34AB1D45F0446993CD9F73FF5A34A2">
    <w:name w:val="3E34AB1D45F0446993CD9F73FF5A34A2"/>
    <w:rsid w:val="00283151"/>
    <w:pPr>
      <w:spacing w:after="160" w:line="259" w:lineRule="auto"/>
    </w:pPr>
  </w:style>
  <w:style w:type="paragraph" w:customStyle="1" w:styleId="2DAE570F98794C97B7166F24F5072564">
    <w:name w:val="2DAE570F98794C97B7166F24F5072564"/>
    <w:rsid w:val="00283151"/>
    <w:pPr>
      <w:spacing w:after="160" w:line="259" w:lineRule="auto"/>
    </w:pPr>
  </w:style>
  <w:style w:type="paragraph" w:customStyle="1" w:styleId="F6B9B5FEFEA6497E89DE270467B0C811">
    <w:name w:val="F6B9B5FEFEA6497E89DE270467B0C811"/>
    <w:rsid w:val="00283151"/>
    <w:pPr>
      <w:spacing w:after="160" w:line="259" w:lineRule="auto"/>
    </w:pPr>
  </w:style>
  <w:style w:type="paragraph" w:customStyle="1" w:styleId="E89C0DA117734F338E4CA553F091811D">
    <w:name w:val="E89C0DA117734F338E4CA553F091811D"/>
    <w:rsid w:val="00283151"/>
    <w:pPr>
      <w:spacing w:after="160" w:line="259" w:lineRule="auto"/>
    </w:pPr>
  </w:style>
  <w:style w:type="paragraph" w:customStyle="1" w:styleId="55E95A44172D49DA8A2AD9B4209243F2">
    <w:name w:val="55E95A44172D49DA8A2AD9B4209243F2"/>
    <w:rsid w:val="00283151"/>
    <w:pPr>
      <w:spacing w:after="160" w:line="259" w:lineRule="auto"/>
    </w:pPr>
  </w:style>
  <w:style w:type="paragraph" w:customStyle="1" w:styleId="D637848667984EE8B4205F90B611D450">
    <w:name w:val="D637848667984EE8B4205F90B611D450"/>
    <w:rsid w:val="00283151"/>
    <w:pPr>
      <w:spacing w:after="160" w:line="259" w:lineRule="auto"/>
    </w:pPr>
  </w:style>
  <w:style w:type="paragraph" w:customStyle="1" w:styleId="694203E0CD4D4664BD4681978ECF3966">
    <w:name w:val="694203E0CD4D4664BD4681978ECF3966"/>
    <w:rsid w:val="00283151"/>
    <w:pPr>
      <w:spacing w:after="160" w:line="259" w:lineRule="auto"/>
    </w:pPr>
  </w:style>
  <w:style w:type="paragraph" w:customStyle="1" w:styleId="35B72A5B41B64EF89C841BDDE559A3DF">
    <w:name w:val="35B72A5B41B64EF89C841BDDE559A3DF"/>
    <w:rsid w:val="00283151"/>
    <w:pPr>
      <w:spacing w:after="160" w:line="259" w:lineRule="auto"/>
    </w:pPr>
  </w:style>
  <w:style w:type="paragraph" w:customStyle="1" w:styleId="06F6EF6BF81E45FF9F53BAC786C3E5E0">
    <w:name w:val="06F6EF6BF81E45FF9F53BAC786C3E5E0"/>
    <w:rsid w:val="00721738"/>
    <w:pPr>
      <w:spacing w:after="160" w:line="259" w:lineRule="auto"/>
    </w:pPr>
  </w:style>
  <w:style w:type="paragraph" w:customStyle="1" w:styleId="EB4A8767A26047DEAF2882764F4775C4">
    <w:name w:val="EB4A8767A26047DEAF2882764F4775C4"/>
    <w:rsid w:val="00721738"/>
    <w:pPr>
      <w:spacing w:after="160" w:line="259" w:lineRule="auto"/>
    </w:pPr>
  </w:style>
  <w:style w:type="paragraph" w:customStyle="1" w:styleId="75B659964EAB4F20995EE396ED04CB10">
    <w:name w:val="75B659964EAB4F20995EE396ED04CB10"/>
    <w:rsid w:val="00721738"/>
    <w:pPr>
      <w:spacing w:after="160" w:line="259" w:lineRule="auto"/>
    </w:pPr>
  </w:style>
  <w:style w:type="paragraph" w:customStyle="1" w:styleId="F1477CA072F245018C45F87156908867">
    <w:name w:val="F1477CA072F245018C45F87156908867"/>
    <w:rsid w:val="00721738"/>
    <w:pPr>
      <w:spacing w:after="160" w:line="259" w:lineRule="auto"/>
    </w:pPr>
  </w:style>
  <w:style w:type="paragraph" w:customStyle="1" w:styleId="8BF34ABCEB724DD9AE75A8F71175C71D">
    <w:name w:val="8BF34ABCEB724DD9AE75A8F71175C71D"/>
    <w:rsid w:val="00721738"/>
    <w:pPr>
      <w:spacing w:after="160" w:line="259" w:lineRule="auto"/>
    </w:pPr>
  </w:style>
  <w:style w:type="paragraph" w:customStyle="1" w:styleId="77B01BF2FFB94002B18E8D5EA8506434">
    <w:name w:val="77B01BF2FFB94002B18E8D5EA8506434"/>
    <w:rsid w:val="00721738"/>
    <w:pPr>
      <w:spacing w:after="160" w:line="259" w:lineRule="auto"/>
    </w:pPr>
  </w:style>
  <w:style w:type="paragraph" w:customStyle="1" w:styleId="AB0316D8F3364916AD266A045561A618">
    <w:name w:val="AB0316D8F3364916AD266A045561A618"/>
    <w:rsid w:val="00721738"/>
    <w:pPr>
      <w:spacing w:after="160" w:line="259" w:lineRule="auto"/>
    </w:pPr>
  </w:style>
  <w:style w:type="paragraph" w:customStyle="1" w:styleId="513C072EB4E64210B16FEE4B6193C85D">
    <w:name w:val="513C072EB4E64210B16FEE4B6193C85D"/>
    <w:rsid w:val="00721738"/>
    <w:pPr>
      <w:spacing w:after="160" w:line="259" w:lineRule="auto"/>
    </w:pPr>
  </w:style>
  <w:style w:type="paragraph" w:customStyle="1" w:styleId="F805C36672A74F9A9864C537307B1EFC">
    <w:name w:val="F805C36672A74F9A9864C537307B1EFC"/>
    <w:rsid w:val="00721738"/>
    <w:pPr>
      <w:spacing w:after="160" w:line="259" w:lineRule="auto"/>
    </w:pPr>
  </w:style>
  <w:style w:type="paragraph" w:customStyle="1" w:styleId="FD2768BD64BC490AA02A225E0703A0CD">
    <w:name w:val="FD2768BD64BC490AA02A225E0703A0CD"/>
    <w:rsid w:val="00721738"/>
    <w:pPr>
      <w:spacing w:after="160" w:line="259" w:lineRule="auto"/>
    </w:pPr>
  </w:style>
  <w:style w:type="paragraph" w:customStyle="1" w:styleId="996F8B0956DD464BA5964DF065E127B0">
    <w:name w:val="996F8B0956DD464BA5964DF065E127B0"/>
    <w:rsid w:val="00721738"/>
    <w:pPr>
      <w:spacing w:after="160" w:line="259" w:lineRule="auto"/>
    </w:pPr>
  </w:style>
  <w:style w:type="paragraph" w:customStyle="1" w:styleId="B257673BB0714F2FA42E97BDCB584822">
    <w:name w:val="B257673BB0714F2FA42E97BDCB584822"/>
    <w:rsid w:val="00721738"/>
    <w:pPr>
      <w:spacing w:after="160" w:line="259" w:lineRule="auto"/>
    </w:pPr>
  </w:style>
  <w:style w:type="paragraph" w:customStyle="1" w:styleId="A30C11670D864DD9B5B75DD4230D7E50">
    <w:name w:val="A30C11670D864DD9B5B75DD4230D7E50"/>
    <w:rsid w:val="00721738"/>
    <w:pPr>
      <w:spacing w:after="160" w:line="259" w:lineRule="auto"/>
    </w:pPr>
  </w:style>
  <w:style w:type="paragraph" w:customStyle="1" w:styleId="F3B1C30F1D8E41B09BE5A17BACD1AC3B">
    <w:name w:val="F3B1C30F1D8E41B09BE5A17BACD1AC3B"/>
    <w:rsid w:val="00721738"/>
    <w:pPr>
      <w:spacing w:after="160" w:line="259" w:lineRule="auto"/>
    </w:pPr>
  </w:style>
  <w:style w:type="paragraph" w:customStyle="1" w:styleId="798F9DD5F2C44974A90275EE8A1010FF">
    <w:name w:val="798F9DD5F2C44974A90275EE8A1010FF"/>
    <w:rsid w:val="00721738"/>
    <w:pPr>
      <w:spacing w:after="160" w:line="259" w:lineRule="auto"/>
    </w:pPr>
  </w:style>
  <w:style w:type="paragraph" w:customStyle="1" w:styleId="A8C9E95A4C6C4130A4047043834C2AED">
    <w:name w:val="A8C9E95A4C6C4130A4047043834C2AED"/>
    <w:rsid w:val="00721738"/>
    <w:pPr>
      <w:spacing w:after="160" w:line="259" w:lineRule="auto"/>
    </w:pPr>
  </w:style>
  <w:style w:type="paragraph" w:customStyle="1" w:styleId="91436FA3E574486CB7D76EC463D8B8C6">
    <w:name w:val="91436FA3E574486CB7D76EC463D8B8C6"/>
    <w:rsid w:val="00721738"/>
    <w:pPr>
      <w:spacing w:after="160" w:line="259" w:lineRule="auto"/>
    </w:pPr>
  </w:style>
  <w:style w:type="paragraph" w:customStyle="1" w:styleId="ECB889B35BDB477BA9190B715AD1CF21">
    <w:name w:val="ECB889B35BDB477BA9190B715AD1CF21"/>
    <w:rsid w:val="00721738"/>
    <w:pPr>
      <w:spacing w:after="160" w:line="259" w:lineRule="auto"/>
    </w:pPr>
  </w:style>
  <w:style w:type="paragraph" w:customStyle="1" w:styleId="C90F4F656FEF483085720715A88B59B5">
    <w:name w:val="C90F4F656FEF483085720715A88B59B5"/>
    <w:rsid w:val="00721738"/>
    <w:pPr>
      <w:spacing w:after="160" w:line="259" w:lineRule="auto"/>
    </w:pPr>
  </w:style>
  <w:style w:type="paragraph" w:customStyle="1" w:styleId="E4E9B2C2F1A1494DA1A70DABE7E2AA71">
    <w:name w:val="E4E9B2C2F1A1494DA1A70DABE7E2AA71"/>
    <w:rsid w:val="00721738"/>
    <w:pPr>
      <w:spacing w:after="160" w:line="259" w:lineRule="auto"/>
    </w:pPr>
  </w:style>
  <w:style w:type="paragraph" w:customStyle="1" w:styleId="FE12CC4D41274B4CA1B83758816A20F0">
    <w:name w:val="FE12CC4D41274B4CA1B83758816A20F0"/>
    <w:rsid w:val="00721738"/>
    <w:pPr>
      <w:spacing w:after="160" w:line="259" w:lineRule="auto"/>
    </w:pPr>
  </w:style>
  <w:style w:type="paragraph" w:customStyle="1" w:styleId="489B21EE483C4D3E84D8F4FCB2ABB6F6">
    <w:name w:val="489B21EE483C4D3E84D8F4FCB2ABB6F6"/>
    <w:rsid w:val="00721738"/>
    <w:pPr>
      <w:spacing w:after="160" w:line="259" w:lineRule="auto"/>
    </w:pPr>
  </w:style>
  <w:style w:type="paragraph" w:customStyle="1" w:styleId="58292DE414DD437ABCBA1A2AE8D9DE7B">
    <w:name w:val="58292DE414DD437ABCBA1A2AE8D9DE7B"/>
    <w:rsid w:val="00721738"/>
    <w:pPr>
      <w:spacing w:after="160" w:line="259" w:lineRule="auto"/>
    </w:pPr>
  </w:style>
  <w:style w:type="paragraph" w:customStyle="1" w:styleId="A8109031D060453D9ABB9C33FD780931">
    <w:name w:val="A8109031D060453D9ABB9C33FD780931"/>
    <w:rsid w:val="00721738"/>
    <w:pPr>
      <w:spacing w:after="160" w:line="259" w:lineRule="auto"/>
    </w:pPr>
  </w:style>
  <w:style w:type="paragraph" w:customStyle="1" w:styleId="69753AEB5F8C4A8ABB691772241A9E45">
    <w:name w:val="69753AEB5F8C4A8ABB691772241A9E45"/>
    <w:rsid w:val="00721738"/>
    <w:pPr>
      <w:spacing w:after="160" w:line="259" w:lineRule="auto"/>
    </w:pPr>
  </w:style>
  <w:style w:type="paragraph" w:customStyle="1" w:styleId="8507A47629A649A2A97D6F9D91F1FC20">
    <w:name w:val="8507A47629A649A2A97D6F9D91F1FC20"/>
    <w:rsid w:val="00721738"/>
    <w:pPr>
      <w:spacing w:after="160" w:line="259" w:lineRule="auto"/>
    </w:pPr>
  </w:style>
  <w:style w:type="paragraph" w:customStyle="1" w:styleId="E7FA537F917B40FF8779490CC9CADD13">
    <w:name w:val="E7FA537F917B40FF8779490CC9CADD13"/>
    <w:rsid w:val="00721738"/>
    <w:pPr>
      <w:spacing w:after="160" w:line="259" w:lineRule="auto"/>
    </w:pPr>
  </w:style>
  <w:style w:type="paragraph" w:customStyle="1" w:styleId="1F4FA9DE4C634FF5ABCA44042682CCBC">
    <w:name w:val="1F4FA9DE4C634FF5ABCA44042682CCBC"/>
    <w:rsid w:val="00721738"/>
    <w:pPr>
      <w:spacing w:after="160" w:line="259" w:lineRule="auto"/>
    </w:pPr>
  </w:style>
  <w:style w:type="paragraph" w:customStyle="1" w:styleId="671E2D7887D845E388DC78EDF93DC94F">
    <w:name w:val="671E2D7887D845E388DC78EDF93DC94F"/>
    <w:rsid w:val="00721738"/>
    <w:pPr>
      <w:spacing w:after="160" w:line="259" w:lineRule="auto"/>
    </w:pPr>
  </w:style>
  <w:style w:type="paragraph" w:customStyle="1" w:styleId="0192BA94F2D34A4AB0807F671F22B64E">
    <w:name w:val="0192BA94F2D34A4AB0807F671F22B64E"/>
    <w:rsid w:val="00721738"/>
    <w:pPr>
      <w:spacing w:after="160" w:line="259" w:lineRule="auto"/>
    </w:pPr>
  </w:style>
  <w:style w:type="paragraph" w:customStyle="1" w:styleId="F371879B87A1444E99EFDC2855DE3485">
    <w:name w:val="F371879B87A1444E99EFDC2855DE3485"/>
    <w:rsid w:val="00721738"/>
    <w:pPr>
      <w:spacing w:after="160" w:line="259" w:lineRule="auto"/>
    </w:pPr>
  </w:style>
  <w:style w:type="paragraph" w:customStyle="1" w:styleId="ABBBF7E3BF4A4E878B834FCA3AEAE768">
    <w:name w:val="ABBBF7E3BF4A4E878B834FCA3AEAE768"/>
    <w:rsid w:val="00721738"/>
    <w:pPr>
      <w:spacing w:after="160" w:line="259" w:lineRule="auto"/>
    </w:pPr>
  </w:style>
  <w:style w:type="paragraph" w:customStyle="1" w:styleId="B443EB9E0A004A97A6D432A4256F45D0">
    <w:name w:val="B443EB9E0A004A97A6D432A4256F45D0"/>
    <w:rsid w:val="00721738"/>
    <w:pPr>
      <w:spacing w:after="160" w:line="259" w:lineRule="auto"/>
    </w:pPr>
  </w:style>
  <w:style w:type="paragraph" w:customStyle="1" w:styleId="B7A01F28E8E0424DB897C6C265DDD6B7">
    <w:name w:val="B7A01F28E8E0424DB897C6C265DDD6B7"/>
    <w:rsid w:val="00721738"/>
    <w:pPr>
      <w:spacing w:after="160" w:line="259" w:lineRule="auto"/>
    </w:pPr>
  </w:style>
  <w:style w:type="paragraph" w:customStyle="1" w:styleId="464DCC706704459385539CF165E89946">
    <w:name w:val="464DCC706704459385539CF165E89946"/>
    <w:rsid w:val="00721738"/>
    <w:pPr>
      <w:spacing w:after="160" w:line="259" w:lineRule="auto"/>
    </w:pPr>
  </w:style>
  <w:style w:type="paragraph" w:customStyle="1" w:styleId="C4025E0152E743779488BA0FD83BE544">
    <w:name w:val="C4025E0152E743779488BA0FD83BE544"/>
    <w:rsid w:val="00721738"/>
    <w:pPr>
      <w:spacing w:after="160" w:line="259" w:lineRule="auto"/>
    </w:pPr>
  </w:style>
  <w:style w:type="paragraph" w:customStyle="1" w:styleId="65B658AE04A1426785BC282E878F00DA">
    <w:name w:val="65B658AE04A1426785BC282E878F00DA"/>
    <w:rsid w:val="00721738"/>
    <w:pPr>
      <w:spacing w:after="160" w:line="259" w:lineRule="auto"/>
    </w:pPr>
  </w:style>
  <w:style w:type="paragraph" w:customStyle="1" w:styleId="4AA665F268834F50BDD8E19B14A73902">
    <w:name w:val="4AA665F268834F50BDD8E19B14A73902"/>
    <w:rsid w:val="00721738"/>
    <w:pPr>
      <w:spacing w:after="160" w:line="259" w:lineRule="auto"/>
    </w:pPr>
  </w:style>
  <w:style w:type="paragraph" w:customStyle="1" w:styleId="EA4AC096965A4B949217819EB4149A38">
    <w:name w:val="EA4AC096965A4B949217819EB4149A38"/>
    <w:rsid w:val="00721738"/>
    <w:pPr>
      <w:spacing w:after="160" w:line="259" w:lineRule="auto"/>
    </w:pPr>
  </w:style>
  <w:style w:type="paragraph" w:customStyle="1" w:styleId="E5F4F295195C47B48AACCBB700A639B8">
    <w:name w:val="E5F4F295195C47B48AACCBB700A639B8"/>
    <w:rsid w:val="00721738"/>
    <w:pPr>
      <w:spacing w:after="160" w:line="259" w:lineRule="auto"/>
    </w:pPr>
  </w:style>
  <w:style w:type="paragraph" w:customStyle="1" w:styleId="8CD0BCB5FFB241F99F7D27045F876AF5">
    <w:name w:val="8CD0BCB5FFB241F99F7D27045F876AF5"/>
    <w:rsid w:val="00721738"/>
    <w:pPr>
      <w:spacing w:after="160" w:line="259" w:lineRule="auto"/>
    </w:pPr>
  </w:style>
  <w:style w:type="paragraph" w:customStyle="1" w:styleId="15E8D26409294ECC966A3391AE5F60DA">
    <w:name w:val="15E8D26409294ECC966A3391AE5F60DA"/>
    <w:rsid w:val="00721738"/>
    <w:pPr>
      <w:spacing w:after="160" w:line="259" w:lineRule="auto"/>
    </w:pPr>
  </w:style>
  <w:style w:type="paragraph" w:customStyle="1" w:styleId="EBD33F80CD7443A98F54225AA9C19906">
    <w:name w:val="EBD33F80CD7443A98F54225AA9C19906"/>
    <w:rsid w:val="00721738"/>
    <w:pPr>
      <w:spacing w:after="160" w:line="259" w:lineRule="auto"/>
    </w:pPr>
  </w:style>
  <w:style w:type="paragraph" w:customStyle="1" w:styleId="EB7597F62C4346528B74E31F342F51D3">
    <w:name w:val="EB7597F62C4346528B74E31F342F51D3"/>
    <w:rsid w:val="00721738"/>
    <w:pPr>
      <w:spacing w:after="160" w:line="259" w:lineRule="auto"/>
    </w:pPr>
  </w:style>
  <w:style w:type="paragraph" w:customStyle="1" w:styleId="E8BBD3CE5960431385D236FA4D0D1D32">
    <w:name w:val="E8BBD3CE5960431385D236FA4D0D1D32"/>
    <w:rsid w:val="002855DA"/>
    <w:pPr>
      <w:spacing w:after="160" w:line="259" w:lineRule="auto"/>
    </w:pPr>
  </w:style>
  <w:style w:type="paragraph" w:customStyle="1" w:styleId="3F8D343DDCDA4DFB9B70388676A51631">
    <w:name w:val="3F8D343DDCDA4DFB9B70388676A51631"/>
    <w:rsid w:val="002855DA"/>
    <w:pPr>
      <w:spacing w:after="160" w:line="259" w:lineRule="auto"/>
    </w:pPr>
  </w:style>
  <w:style w:type="paragraph" w:customStyle="1" w:styleId="C93EE9C0CD3B48E2A794F4E3ABCF4456">
    <w:name w:val="C93EE9C0CD3B48E2A794F4E3ABCF4456"/>
    <w:rsid w:val="002855DA"/>
    <w:pPr>
      <w:spacing w:after="160" w:line="259" w:lineRule="auto"/>
    </w:pPr>
  </w:style>
  <w:style w:type="paragraph" w:customStyle="1" w:styleId="5FD3BC178ACA4A5FB91AB5DF6130DBE0">
    <w:name w:val="5FD3BC178ACA4A5FB91AB5DF6130DBE0"/>
    <w:rsid w:val="002855DA"/>
    <w:pPr>
      <w:spacing w:after="160" w:line="259" w:lineRule="auto"/>
    </w:pPr>
  </w:style>
  <w:style w:type="paragraph" w:customStyle="1" w:styleId="EE8080E8F46644B780E46D1F14C5E4EF">
    <w:name w:val="EE8080E8F46644B780E46D1F14C5E4EF"/>
    <w:rsid w:val="002855DA"/>
    <w:pPr>
      <w:spacing w:after="160" w:line="259" w:lineRule="auto"/>
    </w:pPr>
  </w:style>
  <w:style w:type="paragraph" w:customStyle="1" w:styleId="BBE90445FC8146C885160508202846E3">
    <w:name w:val="BBE90445FC8146C885160508202846E3"/>
    <w:rsid w:val="002855DA"/>
    <w:pPr>
      <w:spacing w:after="160" w:line="259" w:lineRule="auto"/>
    </w:pPr>
  </w:style>
  <w:style w:type="paragraph" w:customStyle="1" w:styleId="6BE994E608B44878AAF7891AAB785A7E">
    <w:name w:val="6BE994E608B44878AAF7891AAB785A7E"/>
    <w:rsid w:val="002855DA"/>
    <w:pPr>
      <w:spacing w:after="160" w:line="259" w:lineRule="auto"/>
    </w:pPr>
  </w:style>
  <w:style w:type="paragraph" w:customStyle="1" w:styleId="2C1159C331C04B96ABA35151DA000EA7">
    <w:name w:val="2C1159C331C04B96ABA35151DA000EA7"/>
    <w:rsid w:val="002855DA"/>
    <w:pPr>
      <w:spacing w:after="160" w:line="259" w:lineRule="auto"/>
    </w:pPr>
  </w:style>
  <w:style w:type="paragraph" w:customStyle="1" w:styleId="3CAFE40904CA4C82BCC0A57F1FB536D7">
    <w:name w:val="3CAFE40904CA4C82BCC0A57F1FB536D7"/>
    <w:rsid w:val="002855DA"/>
    <w:pPr>
      <w:spacing w:after="160" w:line="259" w:lineRule="auto"/>
    </w:pPr>
  </w:style>
  <w:style w:type="paragraph" w:customStyle="1" w:styleId="5A50F1ABC4C54B84AB1484240264B62F">
    <w:name w:val="5A50F1ABC4C54B84AB1484240264B62F"/>
    <w:rsid w:val="002855DA"/>
    <w:pPr>
      <w:spacing w:after="160" w:line="259" w:lineRule="auto"/>
    </w:pPr>
  </w:style>
  <w:style w:type="paragraph" w:customStyle="1" w:styleId="750561197DA544A8984019EB95C312A7">
    <w:name w:val="750561197DA544A8984019EB95C312A7"/>
    <w:rsid w:val="002855DA"/>
    <w:pPr>
      <w:spacing w:after="160" w:line="259" w:lineRule="auto"/>
    </w:pPr>
  </w:style>
  <w:style w:type="paragraph" w:customStyle="1" w:styleId="79ECC89CD3464B6F88D90E7276B8D08D">
    <w:name w:val="79ECC89CD3464B6F88D90E7276B8D08D"/>
    <w:rsid w:val="002855DA"/>
    <w:pPr>
      <w:spacing w:after="160" w:line="259" w:lineRule="auto"/>
    </w:pPr>
  </w:style>
  <w:style w:type="paragraph" w:customStyle="1" w:styleId="4BF983E86D074B3B9D97CA249392B31E">
    <w:name w:val="4BF983E86D074B3B9D97CA249392B31E"/>
    <w:rsid w:val="002855DA"/>
    <w:pPr>
      <w:spacing w:after="160" w:line="259" w:lineRule="auto"/>
    </w:pPr>
  </w:style>
  <w:style w:type="paragraph" w:customStyle="1" w:styleId="841B66A2508E42B69CD5F6A1277A6D5C">
    <w:name w:val="841B66A2508E42B69CD5F6A1277A6D5C"/>
    <w:rsid w:val="002855DA"/>
    <w:pPr>
      <w:spacing w:after="160" w:line="259" w:lineRule="auto"/>
    </w:pPr>
  </w:style>
  <w:style w:type="paragraph" w:customStyle="1" w:styleId="90373EE8A0BD4FEFA4C4C55F969A470C">
    <w:name w:val="90373EE8A0BD4FEFA4C4C55F969A470C"/>
    <w:rsid w:val="002855DA"/>
    <w:pPr>
      <w:spacing w:after="160" w:line="259" w:lineRule="auto"/>
    </w:pPr>
  </w:style>
  <w:style w:type="paragraph" w:customStyle="1" w:styleId="D51645CBDF4A4B90995B3F30A20FC47C">
    <w:name w:val="D51645CBDF4A4B90995B3F30A20FC47C"/>
    <w:rsid w:val="002855DA"/>
    <w:pPr>
      <w:spacing w:after="160" w:line="259" w:lineRule="auto"/>
    </w:pPr>
  </w:style>
  <w:style w:type="paragraph" w:customStyle="1" w:styleId="0F1BADE695394EF9ACCD315DE754826F">
    <w:name w:val="0F1BADE695394EF9ACCD315DE754826F"/>
    <w:rsid w:val="002855DA"/>
    <w:pPr>
      <w:spacing w:after="160" w:line="259" w:lineRule="auto"/>
    </w:pPr>
  </w:style>
  <w:style w:type="paragraph" w:customStyle="1" w:styleId="3F254279052847F0ADDB9C687E11D1BD">
    <w:name w:val="3F254279052847F0ADDB9C687E11D1BD"/>
    <w:rsid w:val="002855DA"/>
    <w:pPr>
      <w:spacing w:after="160" w:line="259" w:lineRule="auto"/>
    </w:pPr>
  </w:style>
  <w:style w:type="paragraph" w:customStyle="1" w:styleId="83509A90B1B745E0B4A79D1C7FE12874">
    <w:name w:val="83509A90B1B745E0B4A79D1C7FE12874"/>
    <w:rsid w:val="002855DA"/>
    <w:pPr>
      <w:spacing w:after="160" w:line="259" w:lineRule="auto"/>
    </w:pPr>
  </w:style>
  <w:style w:type="paragraph" w:customStyle="1" w:styleId="EBFE8874C2CD4A62992E1E405F395132">
    <w:name w:val="EBFE8874C2CD4A62992E1E405F395132"/>
    <w:rsid w:val="002855DA"/>
    <w:pPr>
      <w:spacing w:after="160" w:line="259" w:lineRule="auto"/>
    </w:pPr>
  </w:style>
  <w:style w:type="paragraph" w:customStyle="1" w:styleId="2B047670FC1A4A5C88863F861EC017A4">
    <w:name w:val="2B047670FC1A4A5C88863F861EC017A4"/>
    <w:rsid w:val="002855DA"/>
    <w:pPr>
      <w:spacing w:after="160" w:line="259" w:lineRule="auto"/>
    </w:pPr>
  </w:style>
  <w:style w:type="paragraph" w:customStyle="1" w:styleId="20560AB7BA6F421687289136C5E3E35E">
    <w:name w:val="20560AB7BA6F421687289136C5E3E35E"/>
    <w:rsid w:val="002855DA"/>
    <w:pPr>
      <w:spacing w:after="160" w:line="259" w:lineRule="auto"/>
    </w:pPr>
  </w:style>
  <w:style w:type="paragraph" w:customStyle="1" w:styleId="67E0212DFF7E4F359BB85910F245D1C3">
    <w:name w:val="67E0212DFF7E4F359BB85910F245D1C3"/>
    <w:rsid w:val="002855DA"/>
    <w:pPr>
      <w:spacing w:after="160" w:line="259" w:lineRule="auto"/>
    </w:pPr>
  </w:style>
  <w:style w:type="paragraph" w:customStyle="1" w:styleId="FDBEF64EADA7458799243CB26B94338B">
    <w:name w:val="FDBEF64EADA7458799243CB26B94338B"/>
    <w:rsid w:val="000A2A3F"/>
    <w:pPr>
      <w:spacing w:after="160" w:line="259" w:lineRule="auto"/>
    </w:pPr>
  </w:style>
  <w:style w:type="paragraph" w:customStyle="1" w:styleId="B5535650495944DA8D1329307CF21282">
    <w:name w:val="B5535650495944DA8D1329307CF21282"/>
    <w:rsid w:val="000A2A3F"/>
    <w:pPr>
      <w:spacing w:after="160" w:line="259" w:lineRule="auto"/>
    </w:pPr>
  </w:style>
  <w:style w:type="paragraph" w:customStyle="1" w:styleId="7FE6566D30034B0E990D6F26D99F5D1A">
    <w:name w:val="7FE6566D30034B0E990D6F26D99F5D1A"/>
    <w:rsid w:val="000A2A3F"/>
    <w:pPr>
      <w:spacing w:after="160" w:line="259" w:lineRule="auto"/>
    </w:pPr>
  </w:style>
  <w:style w:type="paragraph" w:customStyle="1" w:styleId="565A380612664424909E2BD72E5DAC53">
    <w:name w:val="565A380612664424909E2BD72E5DAC53"/>
    <w:rsid w:val="000A2A3F"/>
    <w:pPr>
      <w:spacing w:after="160" w:line="259" w:lineRule="auto"/>
    </w:pPr>
  </w:style>
  <w:style w:type="paragraph" w:customStyle="1" w:styleId="20A92D1E154B4496B3866919099BAB9F">
    <w:name w:val="20A92D1E154B4496B3866919099BAB9F"/>
    <w:rsid w:val="000A2A3F"/>
    <w:pPr>
      <w:spacing w:after="160" w:line="259" w:lineRule="auto"/>
    </w:pPr>
  </w:style>
  <w:style w:type="paragraph" w:customStyle="1" w:styleId="1340488E2A5340F884A602F4627D6B8B">
    <w:name w:val="1340488E2A5340F884A602F4627D6B8B"/>
    <w:rsid w:val="000A2A3F"/>
    <w:pPr>
      <w:spacing w:after="160" w:line="259" w:lineRule="auto"/>
    </w:pPr>
  </w:style>
  <w:style w:type="paragraph" w:customStyle="1" w:styleId="7D163C2E748743D3A1DA58EF6A324E2E">
    <w:name w:val="7D163C2E748743D3A1DA58EF6A324E2E"/>
    <w:rsid w:val="000A2A3F"/>
    <w:pPr>
      <w:spacing w:after="160" w:line="259" w:lineRule="auto"/>
    </w:pPr>
  </w:style>
  <w:style w:type="paragraph" w:customStyle="1" w:styleId="4E7D159825984C1491E80EA0C4B3B7E3">
    <w:name w:val="4E7D159825984C1491E80EA0C4B3B7E3"/>
    <w:rsid w:val="003639C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D3639-AE21-48ED-B76F-183BCB93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17235</Words>
  <Characters>98241</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 May 2020</dc:title>
  <dc:subject>scheduling</dc:subject>
  <dc:creator/>
  <cp:lastModifiedBy/>
  <cp:revision>1</cp:revision>
  <dcterms:created xsi:type="dcterms:W3CDTF">2020-05-06T02:01:00Z</dcterms:created>
  <dcterms:modified xsi:type="dcterms:W3CDTF">2020-05-07T02:25:00Z</dcterms:modified>
</cp:coreProperties>
</file>