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17ADA" w14:textId="77777777" w:rsidR="001E2BA6" w:rsidRDefault="001E2BA6"/>
    <w:tbl>
      <w:tblPr>
        <w:tblStyle w:val="TableGrid"/>
        <w:tblpPr w:leftFromText="180" w:rightFromText="180" w:vertAnchor="page" w:horzAnchor="margin" w:tblpY="24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4"/>
      </w:tblGrid>
      <w:tr w:rsidR="0025660C" w14:paraId="0C412F80" w14:textId="77777777" w:rsidTr="001E2BA6">
        <w:trPr>
          <w:trHeight w:val="2365"/>
        </w:trPr>
        <w:tc>
          <w:tcPr>
            <w:tcW w:w="8694" w:type="dxa"/>
          </w:tcPr>
          <w:p w14:paraId="4F8A6B3F" w14:textId="3A38C1D4" w:rsidR="005A5916" w:rsidRPr="00EB4571" w:rsidRDefault="001E2BA6" w:rsidP="001E2BA6">
            <w:pPr>
              <w:pStyle w:val="Title"/>
              <w:spacing w:before="240"/>
              <w:rPr>
                <w:rFonts w:asciiTheme="majorHAnsi" w:hAnsiTheme="majorHAnsi" w:cstheme="majorHAnsi"/>
                <w:b/>
                <w:szCs w:val="22"/>
              </w:rPr>
            </w:pPr>
            <w:r w:rsidRPr="00597B50">
              <w:t>Notice of final decisions to amend the current Poisons Standard</w:t>
            </w:r>
            <w:r>
              <w:t xml:space="preserve"> - </w:t>
            </w:r>
            <w:r w:rsidRPr="001E2BA6">
              <w:rPr>
                <w:bCs/>
              </w:rPr>
              <w:t>sodium nitrite</w:t>
            </w:r>
          </w:p>
        </w:tc>
      </w:tr>
      <w:tr w:rsidR="001E2BA6" w:rsidRPr="00077548" w14:paraId="4EBA62C2" w14:textId="77777777" w:rsidTr="001E2BA6">
        <w:trPr>
          <w:trHeight w:val="1245"/>
        </w:trPr>
        <w:tc>
          <w:tcPr>
            <w:tcW w:w="8694" w:type="dxa"/>
          </w:tcPr>
          <w:p w14:paraId="72DE218F" w14:textId="77777777" w:rsidR="001E2BA6" w:rsidRPr="00077548" w:rsidRDefault="001E2BA6" w:rsidP="001E2BA6">
            <w:pPr>
              <w:pStyle w:val="Subtitle"/>
              <w:tabs>
                <w:tab w:val="left" w:pos="5310"/>
              </w:tabs>
              <w:ind w:left="0"/>
            </w:pPr>
            <w:r>
              <w:t>19 January 2022</w:t>
            </w: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64D1A9BC" w:rsidR="007907BF" w:rsidRDefault="007907BF" w:rsidP="007907BF">
      <w:pPr>
        <w:pStyle w:val="LegalCopy"/>
      </w:pPr>
      <w:r w:rsidRPr="009401F6">
        <w:t>© Commonwealth of Australia 20</w:t>
      </w:r>
      <w:r>
        <w:t>2</w:t>
      </w:r>
      <w:r w:rsidR="00AA0F87">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p>
    <w:p w14:paraId="48F61410" w14:textId="22E93990" w:rsidR="0025660C" w:rsidRPr="00766888" w:rsidRDefault="00597B50" w:rsidP="00ED6B23">
      <w:pPr>
        <w:pStyle w:val="LegalCopy"/>
        <w:tabs>
          <w:tab w:val="clear" w:pos="4513"/>
          <w:tab w:val="clear" w:pos="9026"/>
          <w:tab w:val="left" w:pos="2027"/>
        </w:tabs>
        <w:spacing w:before="12000"/>
      </w:pPr>
      <w:r>
        <w:lastRenderedPageBreak/>
        <w:tab/>
      </w:r>
    </w:p>
    <w:bookmarkStart w:id="0" w:name="_Toc323740418" w:displacedByCustomXml="next"/>
    <w:bookmarkStart w:id="1" w:name="_Toc328388475" w:displacedByCustomXml="next"/>
    <w:bookmarkStart w:id="2" w:name="_Toc323740419" w:displacedByCustomXml="next"/>
    <w:sdt>
      <w:sdtPr>
        <w:rPr>
          <w:rFonts w:ascii="Arial" w:hAnsi="Arial"/>
          <w:b/>
        </w:rPr>
        <w:id w:val="21514559"/>
        <w:docPartObj>
          <w:docPartGallery w:val="Table of Contents"/>
          <w:docPartUnique/>
        </w:docPartObj>
      </w:sdtPr>
      <w:sdtEndPr/>
      <w:sdtContent>
        <w:p w14:paraId="0092013E" w14:textId="77777777" w:rsidR="00865ED9" w:rsidRDefault="0025660C">
          <w:pPr>
            <w:pStyle w:val="TOC2"/>
            <w:tabs>
              <w:tab w:val="left" w:pos="851"/>
            </w:tabs>
            <w:rPr>
              <w:rFonts w:asciiTheme="majorHAnsi" w:hAnsiTheme="majorHAnsi" w:cstheme="majorHAnsi"/>
              <w:sz w:val="28"/>
              <w:szCs w:val="28"/>
            </w:rPr>
          </w:pPr>
          <w:r w:rsidRPr="005D16DC">
            <w:rPr>
              <w:rFonts w:asciiTheme="majorHAnsi" w:hAnsiTheme="majorHAnsi" w:cstheme="majorHAnsi"/>
              <w:sz w:val="28"/>
              <w:szCs w:val="28"/>
            </w:rPr>
            <w:t>Contents</w:t>
          </w:r>
        </w:p>
        <w:p w14:paraId="6C7E660F" w14:textId="177A3B6A" w:rsidR="00FB596C" w:rsidRDefault="008D3724">
          <w:pPr>
            <w:pStyle w:val="TOC2"/>
            <w:tabs>
              <w:tab w:val="left" w:pos="851"/>
            </w:tabs>
            <w:rPr>
              <w:rFonts w:asciiTheme="minorHAnsi" w:eastAsiaTheme="minorEastAsia" w:hAnsiTheme="minorHAnsi" w:cstheme="minorBidi"/>
              <w:noProof/>
              <w:szCs w:val="22"/>
              <w:lang w:eastAsia="en-AU"/>
            </w:rPr>
          </w:pPr>
          <w:r>
            <w:rPr>
              <w:sz w:val="32"/>
            </w:rPr>
            <w:fldChar w:fldCharType="begin"/>
          </w:r>
          <w:r>
            <w:rPr>
              <w:sz w:val="32"/>
            </w:rPr>
            <w:instrText xml:space="preserve"> TOC \o "1-3" \h \z \u </w:instrText>
          </w:r>
          <w:r>
            <w:rPr>
              <w:sz w:val="32"/>
            </w:rPr>
            <w:fldChar w:fldCharType="separate"/>
          </w:r>
          <w:hyperlink w:anchor="_Toc92367680" w:history="1">
            <w:r w:rsidR="00FB596C" w:rsidRPr="008B6C98">
              <w:rPr>
                <w:rStyle w:val="Hyperlink"/>
                <w:noProof/>
              </w:rPr>
              <w:t>1</w:t>
            </w:r>
            <w:r w:rsidR="00FB596C">
              <w:rPr>
                <w:rFonts w:asciiTheme="minorHAnsi" w:eastAsiaTheme="minorEastAsia" w:hAnsiTheme="minorHAnsi" w:cstheme="minorBidi"/>
                <w:noProof/>
                <w:szCs w:val="22"/>
                <w:lang w:eastAsia="en-AU"/>
              </w:rPr>
              <w:tab/>
            </w:r>
            <w:r w:rsidR="00FB596C" w:rsidRPr="008B6C98">
              <w:rPr>
                <w:rStyle w:val="Hyperlink"/>
                <w:noProof/>
              </w:rPr>
              <w:t>Notice of final decisions to amend the current Poisons Standard</w:t>
            </w:r>
            <w:r w:rsidR="00FB596C">
              <w:rPr>
                <w:noProof/>
                <w:webHidden/>
              </w:rPr>
              <w:tab/>
            </w:r>
            <w:r w:rsidR="00FB596C">
              <w:rPr>
                <w:noProof/>
                <w:webHidden/>
              </w:rPr>
              <w:fldChar w:fldCharType="begin"/>
            </w:r>
            <w:r w:rsidR="00FB596C">
              <w:rPr>
                <w:noProof/>
                <w:webHidden/>
              </w:rPr>
              <w:instrText xml:space="preserve"> PAGEREF _Toc92367680 \h </w:instrText>
            </w:r>
            <w:r w:rsidR="00FB596C">
              <w:rPr>
                <w:noProof/>
                <w:webHidden/>
              </w:rPr>
            </w:r>
            <w:r w:rsidR="00FB596C">
              <w:rPr>
                <w:noProof/>
                <w:webHidden/>
              </w:rPr>
              <w:fldChar w:fldCharType="separate"/>
            </w:r>
            <w:r w:rsidR="00FB596C">
              <w:rPr>
                <w:noProof/>
                <w:webHidden/>
              </w:rPr>
              <w:t>4</w:t>
            </w:r>
            <w:r w:rsidR="00FB596C">
              <w:rPr>
                <w:noProof/>
                <w:webHidden/>
              </w:rPr>
              <w:fldChar w:fldCharType="end"/>
            </w:r>
          </w:hyperlink>
        </w:p>
        <w:p w14:paraId="481E45B5" w14:textId="0C0AAC41" w:rsidR="00FB596C" w:rsidRDefault="001E2BA6">
          <w:pPr>
            <w:pStyle w:val="TOC2"/>
            <w:tabs>
              <w:tab w:val="left" w:pos="851"/>
            </w:tabs>
            <w:rPr>
              <w:rFonts w:asciiTheme="minorHAnsi" w:eastAsiaTheme="minorEastAsia" w:hAnsiTheme="minorHAnsi" w:cstheme="minorBidi"/>
              <w:noProof/>
              <w:szCs w:val="22"/>
              <w:lang w:eastAsia="en-AU"/>
            </w:rPr>
          </w:pPr>
          <w:hyperlink w:anchor="_Toc92367681" w:history="1">
            <w:r w:rsidR="00FB596C" w:rsidRPr="008B6C98">
              <w:rPr>
                <w:rStyle w:val="Hyperlink"/>
                <w:noProof/>
              </w:rPr>
              <w:t>2</w:t>
            </w:r>
            <w:r w:rsidR="00FB596C">
              <w:rPr>
                <w:rFonts w:asciiTheme="minorHAnsi" w:eastAsiaTheme="minorEastAsia" w:hAnsiTheme="minorHAnsi" w:cstheme="minorBidi"/>
                <w:noProof/>
                <w:szCs w:val="22"/>
                <w:lang w:eastAsia="en-AU"/>
              </w:rPr>
              <w:tab/>
            </w:r>
            <w:r w:rsidR="00FB596C" w:rsidRPr="008B6C98">
              <w:rPr>
                <w:rStyle w:val="Hyperlink"/>
                <w:noProof/>
              </w:rPr>
              <w:t>Final decision on a proposed amendment referred to the Advisory Committee on Medicines and Chemicals Scheduling in joint session (Joint ACMS-ACCS #28, June 2021)</w:t>
            </w:r>
            <w:r w:rsidR="00FB596C">
              <w:rPr>
                <w:noProof/>
                <w:webHidden/>
              </w:rPr>
              <w:tab/>
            </w:r>
            <w:r w:rsidR="00FB596C">
              <w:rPr>
                <w:noProof/>
                <w:webHidden/>
              </w:rPr>
              <w:fldChar w:fldCharType="begin"/>
            </w:r>
            <w:r w:rsidR="00FB596C">
              <w:rPr>
                <w:noProof/>
                <w:webHidden/>
              </w:rPr>
              <w:instrText xml:space="preserve"> PAGEREF _Toc92367681 \h </w:instrText>
            </w:r>
            <w:r w:rsidR="00FB596C">
              <w:rPr>
                <w:noProof/>
                <w:webHidden/>
              </w:rPr>
            </w:r>
            <w:r w:rsidR="00FB596C">
              <w:rPr>
                <w:noProof/>
                <w:webHidden/>
              </w:rPr>
              <w:fldChar w:fldCharType="separate"/>
            </w:r>
            <w:r w:rsidR="00FB596C">
              <w:rPr>
                <w:noProof/>
                <w:webHidden/>
              </w:rPr>
              <w:t>5</w:t>
            </w:r>
            <w:r w:rsidR="00FB596C">
              <w:rPr>
                <w:noProof/>
                <w:webHidden/>
              </w:rPr>
              <w:fldChar w:fldCharType="end"/>
            </w:r>
          </w:hyperlink>
        </w:p>
        <w:p w14:paraId="4C651F1F" w14:textId="74C9E13B" w:rsidR="00FB596C" w:rsidRDefault="001E2BA6">
          <w:pPr>
            <w:pStyle w:val="TOC3"/>
            <w:tabs>
              <w:tab w:val="left" w:pos="1701"/>
            </w:tabs>
            <w:rPr>
              <w:rFonts w:asciiTheme="minorHAnsi" w:eastAsiaTheme="minorEastAsia" w:hAnsiTheme="minorHAnsi" w:cstheme="minorBidi"/>
              <w:noProof/>
              <w:sz w:val="22"/>
              <w:szCs w:val="22"/>
              <w:lang w:eastAsia="en-AU"/>
            </w:rPr>
          </w:pPr>
          <w:hyperlink w:anchor="_Toc92367682" w:history="1">
            <w:r w:rsidR="00FB596C" w:rsidRPr="008B6C98">
              <w:rPr>
                <w:rStyle w:val="Hyperlink"/>
                <w:noProof/>
              </w:rPr>
              <w:t>2.1</w:t>
            </w:r>
            <w:r w:rsidR="00FB596C">
              <w:rPr>
                <w:rFonts w:asciiTheme="minorHAnsi" w:eastAsiaTheme="minorEastAsia" w:hAnsiTheme="minorHAnsi" w:cstheme="minorBidi"/>
                <w:noProof/>
                <w:sz w:val="22"/>
                <w:szCs w:val="22"/>
                <w:lang w:eastAsia="en-AU"/>
              </w:rPr>
              <w:tab/>
            </w:r>
            <w:r w:rsidR="00FB596C" w:rsidRPr="008B6C98">
              <w:rPr>
                <w:rStyle w:val="Hyperlink"/>
                <w:noProof/>
              </w:rPr>
              <w:t>Final decision in relation to sodium nitrite</w:t>
            </w:r>
            <w:r w:rsidR="00FB596C">
              <w:rPr>
                <w:noProof/>
                <w:webHidden/>
              </w:rPr>
              <w:tab/>
            </w:r>
            <w:r w:rsidR="00FB596C">
              <w:rPr>
                <w:noProof/>
                <w:webHidden/>
              </w:rPr>
              <w:fldChar w:fldCharType="begin"/>
            </w:r>
            <w:r w:rsidR="00FB596C">
              <w:rPr>
                <w:noProof/>
                <w:webHidden/>
              </w:rPr>
              <w:instrText xml:space="preserve"> PAGEREF _Toc92367682 \h </w:instrText>
            </w:r>
            <w:r w:rsidR="00FB596C">
              <w:rPr>
                <w:noProof/>
                <w:webHidden/>
              </w:rPr>
            </w:r>
            <w:r w:rsidR="00FB596C">
              <w:rPr>
                <w:noProof/>
                <w:webHidden/>
              </w:rPr>
              <w:fldChar w:fldCharType="separate"/>
            </w:r>
            <w:r w:rsidR="00FB596C">
              <w:rPr>
                <w:noProof/>
                <w:webHidden/>
              </w:rPr>
              <w:t>5</w:t>
            </w:r>
            <w:r w:rsidR="00FB596C">
              <w:rPr>
                <w:noProof/>
                <w:webHidden/>
              </w:rPr>
              <w:fldChar w:fldCharType="end"/>
            </w:r>
          </w:hyperlink>
        </w:p>
        <w:p w14:paraId="7DF331EE" w14:textId="525BF562" w:rsidR="0025660C" w:rsidRDefault="008D3724" w:rsidP="008D3724">
          <w:pPr>
            <w:pStyle w:val="NonTOCheading2"/>
          </w:pPr>
          <w:r>
            <w:rPr>
              <w:sz w:val="32"/>
            </w:rPr>
            <w:fldChar w:fldCharType="end"/>
          </w:r>
        </w:p>
      </w:sdtContent>
    </w:sdt>
    <w:p w14:paraId="3445656D" w14:textId="33629CDD" w:rsidR="0025660C" w:rsidRPr="00BC2009" w:rsidRDefault="00597B50" w:rsidP="00BC2009">
      <w:pPr>
        <w:pStyle w:val="Heading2"/>
        <w:pageBreakBefore/>
        <w:ind w:left="431" w:hanging="431"/>
      </w:pPr>
      <w:bookmarkStart w:id="3" w:name="_Toc92367680"/>
      <w:bookmarkEnd w:id="2"/>
      <w:bookmarkEnd w:id="1"/>
      <w:bookmarkEnd w:id="0"/>
      <w:r w:rsidRPr="00597B50">
        <w:lastRenderedPageBreak/>
        <w:t>Notice of final decisions to amend the current Poisons Standard</w:t>
      </w:r>
      <w:bookmarkEnd w:id="3"/>
      <w:r w:rsidRPr="00597B50">
        <w:t xml:space="preserve"> </w:t>
      </w:r>
    </w:p>
    <w:p w14:paraId="6885013C" w14:textId="1D5BE423" w:rsidR="00597B50" w:rsidRDefault="00597B50">
      <w:r>
        <w:t xml:space="preserve">This web publication constitutes a notice for the purposes of </w:t>
      </w:r>
      <w:r w:rsidRPr="009277E7">
        <w:t xml:space="preserve">regulation 42ZCZS of the </w:t>
      </w:r>
      <w:r w:rsidRPr="009277E7">
        <w:rPr>
          <w:i/>
        </w:rPr>
        <w:t xml:space="preserve">Therapeutic Goods Regulations 1990 </w:t>
      </w:r>
      <w:r w:rsidRPr="009277E7">
        <w:t xml:space="preserve">(the </w:t>
      </w:r>
      <w:r w:rsidRPr="009277E7">
        <w:rPr>
          <w:b/>
        </w:rPr>
        <w:t>Regulations</w:t>
      </w:r>
      <w:r w:rsidRPr="009277E7">
        <w:t>). In accordance with regulation 42ZCZS,</w:t>
      </w:r>
      <w:r>
        <w:t xml:space="preserve"> this notice publishes:</w:t>
      </w:r>
    </w:p>
    <w:p w14:paraId="518D5BAC" w14:textId="6B775CF8" w:rsidR="00597B50" w:rsidRPr="009277E7" w:rsidRDefault="00597B50" w:rsidP="0044223F">
      <w:pPr>
        <w:pStyle w:val="ListBullet"/>
        <w:ind w:left="357" w:hanging="357"/>
      </w:pPr>
      <w:r>
        <w:t xml:space="preserve">the </w:t>
      </w:r>
      <w:r w:rsidRPr="009277E7">
        <w:t xml:space="preserve">decision made by a delegate of the Secretary pursuant to regulation </w:t>
      </w:r>
      <w:proofErr w:type="gramStart"/>
      <w:r w:rsidR="009277E7" w:rsidRPr="009277E7">
        <w:t>4</w:t>
      </w:r>
      <w:r w:rsidRPr="009277E7">
        <w:t>2ZCZR</w:t>
      </w:r>
      <w:r w:rsidR="009277E7" w:rsidRPr="009277E7">
        <w:t>;</w:t>
      </w:r>
      <w:proofErr w:type="gramEnd"/>
    </w:p>
    <w:p w14:paraId="3702BF82" w14:textId="20042D1E" w:rsidR="00597B50" w:rsidRPr="009277E7" w:rsidRDefault="00597B50">
      <w:pPr>
        <w:pStyle w:val="ListBullet"/>
      </w:pPr>
      <w:r w:rsidRPr="009277E7">
        <w:t xml:space="preserve">the reasons for the final decision; and </w:t>
      </w:r>
    </w:p>
    <w:p w14:paraId="18FD8D2C" w14:textId="288CE778" w:rsidR="00ED5D05" w:rsidRDefault="00597B50" w:rsidP="00587895">
      <w:pPr>
        <w:pStyle w:val="ListBullet"/>
      </w:pPr>
      <w:r w:rsidRPr="009277E7">
        <w:t>the date of effect of the decision.</w:t>
      </w:r>
    </w:p>
    <w:p w14:paraId="6942A79A" w14:textId="72C3697D" w:rsidR="00ED5D05" w:rsidRDefault="00ED5D05" w:rsidP="00ED5D05">
      <w:pPr>
        <w:pStyle w:val="Heading2"/>
        <w:pageBreakBefore/>
        <w:ind w:left="431" w:hanging="431"/>
      </w:pPr>
      <w:bookmarkStart w:id="4" w:name="_Toc92367681"/>
      <w:bookmarkStart w:id="5" w:name="_Toc46323639"/>
      <w:r>
        <w:lastRenderedPageBreak/>
        <w:t xml:space="preserve">Final decision on </w:t>
      </w:r>
      <w:r w:rsidR="00BE4C7F">
        <w:t xml:space="preserve">a </w:t>
      </w:r>
      <w:r w:rsidR="00FB67E9" w:rsidRPr="00FA029A">
        <w:t xml:space="preserve">proposed amendment referred to the </w:t>
      </w:r>
      <w:r w:rsidR="00FB67E9" w:rsidRPr="00F41DCE">
        <w:t>Advisory Committee on Medicines and Chemicals Scheduling in jo</w:t>
      </w:r>
      <w:r w:rsidR="00FB67E9">
        <w:t>int session (Joint ACMS-ACCS #28, June 2021</w:t>
      </w:r>
      <w:r w:rsidR="00587895">
        <w:t>)</w:t>
      </w:r>
      <w:bookmarkEnd w:id="4"/>
      <w:r w:rsidR="00FB67E9">
        <w:t xml:space="preserve"> </w:t>
      </w:r>
      <w:bookmarkEnd w:id="5"/>
    </w:p>
    <w:p w14:paraId="2AAF241D" w14:textId="77777777" w:rsidR="000C3400" w:rsidRDefault="000C3400" w:rsidP="000C3400">
      <w:pPr>
        <w:pStyle w:val="Heading4"/>
      </w:pPr>
      <w:bookmarkStart w:id="6" w:name="_Toc76981152"/>
      <w:r w:rsidRPr="0032042F">
        <w:rPr>
          <w:rFonts w:ascii="Cambria" w:eastAsia="Times New Roman" w:hAnsi="Cambria"/>
          <w:i/>
          <w:color w:val="001523"/>
          <w:sz w:val="22"/>
        </w:rPr>
        <w:t>CONTENT WARNING</w:t>
      </w:r>
      <w:bookmarkEnd w:id="6"/>
    </w:p>
    <w:p w14:paraId="1C0935D1" w14:textId="77777777" w:rsidR="000C3400" w:rsidRDefault="000C3400" w:rsidP="000C3400">
      <w:r>
        <w:t xml:space="preserve">The Department of Health (the ‘Department’) recognises that each of the numbers reported within this document represents an individual. The Department acknowledges the devastating effects associated with acts of self-harm on individuals, their families, </w:t>
      </w:r>
      <w:proofErr w:type="gramStart"/>
      <w:r>
        <w:t>friends</w:t>
      </w:r>
      <w:proofErr w:type="gramEnd"/>
      <w:r>
        <w:t xml:space="preserve"> and communities. A list of support services and information sources is provided below.</w:t>
      </w:r>
    </w:p>
    <w:p w14:paraId="28625F21" w14:textId="77777777" w:rsidR="000C3400" w:rsidRDefault="000C3400" w:rsidP="000C3400">
      <w:r>
        <w:t xml:space="preserve">The information below contains details of </w:t>
      </w:r>
      <w:r w:rsidRPr="00A423EC">
        <w:t>self-poisoning</w:t>
      </w:r>
      <w:r>
        <w:t>s</w:t>
      </w:r>
      <w:r w:rsidRPr="00A423EC">
        <w:t xml:space="preserve"> </w:t>
      </w:r>
      <w:r>
        <w:t xml:space="preserve">some people may find distressing. </w:t>
      </w:r>
      <w:r w:rsidRPr="00EB2CA1">
        <w:t>If you</w:t>
      </w:r>
      <w:r>
        <w:t xml:space="preserve"> or someone you know</w:t>
      </w:r>
      <w:r w:rsidRPr="00EB2CA1">
        <w:t xml:space="preserve"> </w:t>
      </w:r>
      <w:r>
        <w:t>needs</w:t>
      </w:r>
      <w:r w:rsidRPr="00EB2CA1">
        <w:t xml:space="preserve"> additional support, please contact any of the belo</w:t>
      </w:r>
      <w:r>
        <w:t>w crisis support helplines:</w:t>
      </w:r>
    </w:p>
    <w:p w14:paraId="60E84469" w14:textId="77777777" w:rsidR="000C3400" w:rsidRDefault="000C3400" w:rsidP="000C3400">
      <w:pPr>
        <w:pStyle w:val="Heading4"/>
      </w:pPr>
      <w:bookmarkStart w:id="7" w:name="_Toc71021839"/>
      <w:bookmarkStart w:id="8" w:name="_Toc76981153"/>
      <w:r w:rsidRPr="0032042F">
        <w:rPr>
          <w:rFonts w:ascii="Cambria" w:eastAsia="Times New Roman" w:hAnsi="Cambria"/>
          <w:i/>
          <w:color w:val="001523"/>
          <w:sz w:val="22"/>
        </w:rPr>
        <w:t>Support services and information sources</w:t>
      </w:r>
      <w:bookmarkEnd w:id="7"/>
      <w:bookmarkEnd w:id="8"/>
    </w:p>
    <w:p w14:paraId="49955EAA" w14:textId="77777777" w:rsidR="000C3400" w:rsidRPr="00472F0B" w:rsidRDefault="000C3400" w:rsidP="000C3400">
      <w:pPr>
        <w:rPr>
          <w:b/>
        </w:rPr>
      </w:pPr>
      <w:r w:rsidRPr="00472F0B">
        <w:rPr>
          <w:b/>
        </w:rPr>
        <w:t>Adult</w:t>
      </w:r>
    </w:p>
    <w:p w14:paraId="025D7687" w14:textId="77777777" w:rsidR="000C3400" w:rsidRDefault="001E2BA6" w:rsidP="000C3400">
      <w:pPr>
        <w:pStyle w:val="ListBullet"/>
        <w:numPr>
          <w:ilvl w:val="0"/>
          <w:numId w:val="1"/>
        </w:numPr>
      </w:pPr>
      <w:hyperlink r:id="rId12" w:history="1">
        <w:r w:rsidR="000C3400" w:rsidRPr="00A423EC">
          <w:rPr>
            <w:rStyle w:val="Hyperlink"/>
          </w:rPr>
          <w:t>Lifeline</w:t>
        </w:r>
      </w:hyperlink>
      <w:r w:rsidR="000C3400">
        <w:t>: 13 11 14</w:t>
      </w:r>
    </w:p>
    <w:p w14:paraId="5698D98E" w14:textId="77777777" w:rsidR="000C3400" w:rsidRDefault="001E2BA6" w:rsidP="000C3400">
      <w:pPr>
        <w:pStyle w:val="ListBullet"/>
        <w:numPr>
          <w:ilvl w:val="0"/>
          <w:numId w:val="1"/>
        </w:numPr>
      </w:pPr>
      <w:hyperlink r:id="rId13" w:history="1">
        <w:r w:rsidR="000C3400" w:rsidRPr="00472F0B">
          <w:rPr>
            <w:rStyle w:val="Hyperlink"/>
          </w:rPr>
          <w:t>Suicide Call Back Service</w:t>
        </w:r>
      </w:hyperlink>
      <w:r w:rsidR="000C3400">
        <w:t>: 1300 659 467</w:t>
      </w:r>
    </w:p>
    <w:p w14:paraId="40DF057D" w14:textId="77777777" w:rsidR="000C3400" w:rsidRDefault="001E2BA6" w:rsidP="000C3400">
      <w:pPr>
        <w:pStyle w:val="ListBullet"/>
        <w:numPr>
          <w:ilvl w:val="0"/>
          <w:numId w:val="1"/>
        </w:numPr>
      </w:pPr>
      <w:hyperlink r:id="rId14" w:history="1">
        <w:r w:rsidR="000C3400" w:rsidRPr="00A423EC">
          <w:rPr>
            <w:rStyle w:val="Hyperlink"/>
          </w:rPr>
          <w:t>Beyond Blue</w:t>
        </w:r>
      </w:hyperlink>
      <w:r w:rsidR="000C3400">
        <w:t>: 1800 512 348</w:t>
      </w:r>
    </w:p>
    <w:p w14:paraId="46E26247" w14:textId="77777777" w:rsidR="000C3400" w:rsidRDefault="001E2BA6" w:rsidP="000C3400">
      <w:pPr>
        <w:pStyle w:val="ListBullet"/>
        <w:numPr>
          <w:ilvl w:val="0"/>
          <w:numId w:val="1"/>
        </w:numPr>
      </w:pPr>
      <w:hyperlink r:id="rId15" w:history="1">
        <w:proofErr w:type="spellStart"/>
        <w:r w:rsidR="000C3400" w:rsidRPr="00A423EC">
          <w:rPr>
            <w:rStyle w:val="Hyperlink"/>
          </w:rPr>
          <w:t>MensLine</w:t>
        </w:r>
        <w:proofErr w:type="spellEnd"/>
        <w:r w:rsidR="000C3400" w:rsidRPr="00A423EC">
          <w:rPr>
            <w:rStyle w:val="Hyperlink"/>
          </w:rPr>
          <w:t xml:space="preserve"> Australia</w:t>
        </w:r>
      </w:hyperlink>
      <w:r w:rsidR="000C3400">
        <w:t>: 1300 789 978</w:t>
      </w:r>
    </w:p>
    <w:p w14:paraId="75E11DC6" w14:textId="77777777" w:rsidR="000C3400" w:rsidRDefault="000C3400" w:rsidP="000C3400">
      <w:pPr>
        <w:pStyle w:val="ListBullet"/>
        <w:numPr>
          <w:ilvl w:val="0"/>
          <w:numId w:val="0"/>
        </w:numPr>
        <w:rPr>
          <w:b/>
        </w:rPr>
      </w:pPr>
      <w:r w:rsidRPr="00472F0B">
        <w:rPr>
          <w:b/>
        </w:rPr>
        <w:t>Youth</w:t>
      </w:r>
    </w:p>
    <w:p w14:paraId="584028EB" w14:textId="77777777" w:rsidR="000C3400" w:rsidRDefault="001E2BA6" w:rsidP="000C3400">
      <w:pPr>
        <w:pStyle w:val="ListBullet"/>
        <w:numPr>
          <w:ilvl w:val="0"/>
          <w:numId w:val="1"/>
        </w:numPr>
      </w:pPr>
      <w:hyperlink r:id="rId16" w:history="1">
        <w:r w:rsidR="000C3400" w:rsidRPr="00472F0B">
          <w:rPr>
            <w:rStyle w:val="Hyperlink"/>
          </w:rPr>
          <w:t>Kids Helpline</w:t>
        </w:r>
      </w:hyperlink>
      <w:r w:rsidR="000C3400">
        <w:t xml:space="preserve"> (</w:t>
      </w:r>
      <w:r w:rsidR="000C3400" w:rsidRPr="00134C40">
        <w:t>5-25 years</w:t>
      </w:r>
      <w:r w:rsidR="000C3400">
        <w:t>): 1800 551 800</w:t>
      </w:r>
    </w:p>
    <w:p w14:paraId="306EA01B" w14:textId="77777777" w:rsidR="000C3400" w:rsidRDefault="001E2BA6" w:rsidP="000C3400">
      <w:pPr>
        <w:pStyle w:val="ListBullet"/>
        <w:numPr>
          <w:ilvl w:val="0"/>
          <w:numId w:val="1"/>
        </w:numPr>
      </w:pPr>
      <w:hyperlink r:id="rId17" w:history="1">
        <w:r w:rsidR="000C3400" w:rsidRPr="00472F0B">
          <w:rPr>
            <w:rStyle w:val="Hyperlink"/>
          </w:rPr>
          <w:t>Headspace</w:t>
        </w:r>
      </w:hyperlink>
      <w:r w:rsidR="000C3400">
        <w:t>: 1800 650 890</w:t>
      </w:r>
    </w:p>
    <w:p w14:paraId="1F00F265" w14:textId="77777777" w:rsidR="000C3400" w:rsidRPr="0032042F" w:rsidRDefault="001E2BA6" w:rsidP="000C3400">
      <w:pPr>
        <w:pStyle w:val="ListBullet"/>
        <w:numPr>
          <w:ilvl w:val="0"/>
          <w:numId w:val="1"/>
        </w:numPr>
      </w:pPr>
      <w:hyperlink r:id="rId18" w:history="1">
        <w:proofErr w:type="spellStart"/>
        <w:r w:rsidR="000C3400" w:rsidRPr="00472F0B">
          <w:rPr>
            <w:rStyle w:val="Hyperlink"/>
          </w:rPr>
          <w:t>ReachOut</w:t>
        </w:r>
        <w:proofErr w:type="spellEnd"/>
      </w:hyperlink>
    </w:p>
    <w:p w14:paraId="039C3FB9" w14:textId="77777777" w:rsidR="000C3400" w:rsidRPr="000C3400" w:rsidRDefault="000C3400" w:rsidP="000C3400"/>
    <w:p w14:paraId="5AD6C6A2" w14:textId="189A2B3C" w:rsidR="00FB67E9" w:rsidRPr="00F41DCE" w:rsidRDefault="00FB67E9" w:rsidP="00587895">
      <w:pPr>
        <w:pStyle w:val="Heading3"/>
        <w:ind w:left="578" w:hanging="578"/>
      </w:pPr>
      <w:bookmarkStart w:id="9" w:name="_Toc46325255"/>
      <w:bookmarkStart w:id="10" w:name="_Toc46325611"/>
      <w:bookmarkStart w:id="11" w:name="_Toc46327427"/>
      <w:bookmarkStart w:id="12" w:name="_Toc46412213"/>
      <w:bookmarkStart w:id="13" w:name="_Final_decision_in"/>
      <w:bookmarkStart w:id="14" w:name="_Toc46325256"/>
      <w:bookmarkStart w:id="15" w:name="_Toc46325612"/>
      <w:bookmarkStart w:id="16" w:name="_Toc46327428"/>
      <w:bookmarkStart w:id="17" w:name="_Toc46412214"/>
      <w:bookmarkStart w:id="18" w:name="_Toc46325257"/>
      <w:bookmarkStart w:id="19" w:name="_Toc46325613"/>
      <w:bookmarkStart w:id="20" w:name="_Toc46327429"/>
      <w:bookmarkStart w:id="21" w:name="_Toc46412215"/>
      <w:bookmarkStart w:id="22" w:name="_Toc46325258"/>
      <w:bookmarkStart w:id="23" w:name="_Toc46325614"/>
      <w:bookmarkStart w:id="24" w:name="_Toc46327430"/>
      <w:bookmarkStart w:id="25" w:name="_Toc46412216"/>
      <w:bookmarkStart w:id="26" w:name="_Toc46325259"/>
      <w:bookmarkStart w:id="27" w:name="_Toc46325615"/>
      <w:bookmarkStart w:id="28" w:name="_Toc46327431"/>
      <w:bookmarkStart w:id="29" w:name="_Toc46412217"/>
      <w:bookmarkStart w:id="30" w:name="_Final_decision_in_1"/>
      <w:bookmarkStart w:id="31" w:name="_Toc9236768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Final</w:t>
      </w:r>
      <w:r w:rsidRPr="00FA029A">
        <w:t xml:space="preserve"> decision</w:t>
      </w:r>
      <w:r>
        <w:t xml:space="preserve"> </w:t>
      </w:r>
      <w:r w:rsidRPr="00BE4C7F">
        <w:t>in</w:t>
      </w:r>
      <w:r>
        <w:t xml:space="preserve"> relation to sodium nitrite</w:t>
      </w:r>
      <w:bookmarkEnd w:id="31"/>
    </w:p>
    <w:p w14:paraId="0A23E2C6" w14:textId="35F8CE7F" w:rsidR="00FB67E9" w:rsidRDefault="00F37917" w:rsidP="00F41DCE">
      <w:pPr>
        <w:pStyle w:val="Heading5"/>
      </w:pPr>
      <w:r>
        <w:t>Proposal</w:t>
      </w:r>
    </w:p>
    <w:p w14:paraId="42A54612" w14:textId="77777777" w:rsidR="00F37917" w:rsidRDefault="00F37917" w:rsidP="00F37917">
      <w:r>
        <w:t>A Delegate of the Secretary of the Department of Health proposed to create a new Schedule 10 entry for sodium nitrite that would capture all products with concentrations of sodium nitrite above 15%. As part of this change, the Schedule 7 entry would be deleted and the cut-off in the Schedule 6 entry would be lowered from 40% to 15%. The proposal did not include any changes to the existing entries in Schedules 2 or 5, or exceptions for uses at low concentrations.</w:t>
      </w:r>
    </w:p>
    <w:p w14:paraId="61E0B426" w14:textId="0DFBA634" w:rsidR="00335BEC" w:rsidRPr="008036B7" w:rsidRDefault="00436C41" w:rsidP="0044223F">
      <w:pPr>
        <w:pStyle w:val="Heading5"/>
        <w:pageBreakBefore/>
        <w:ind w:left="1009" w:hanging="1009"/>
      </w:pPr>
      <w:r>
        <w:lastRenderedPageBreak/>
        <w:t xml:space="preserve">Final Decision </w:t>
      </w:r>
    </w:p>
    <w:p w14:paraId="549A1777" w14:textId="5A6972ED" w:rsidR="00335BEC" w:rsidRDefault="00335BEC" w:rsidP="00335BEC">
      <w:r>
        <w:t xml:space="preserve">Pursuant to regulation 42ZCZR of the Regulations, a Delegate of the Secretary has made a final decision to </w:t>
      </w:r>
      <w:r w:rsidR="000C3400">
        <w:t xml:space="preserve">depart from </w:t>
      </w:r>
      <w:r w:rsidRPr="005203C8">
        <w:t>the interi</w:t>
      </w:r>
      <w:r w:rsidRPr="00651FCA">
        <w:t xml:space="preserve">m decision and amend the current Poisons Standard in relation to </w:t>
      </w:r>
      <w:r w:rsidR="00F37917" w:rsidRPr="00651FCA">
        <w:t>sodium nitrite</w:t>
      </w:r>
      <w:r w:rsidR="00516E40" w:rsidRPr="00651FCA">
        <w:t xml:space="preserve"> </w:t>
      </w:r>
      <w:r w:rsidRPr="00651FCA">
        <w:t>as follows</w:t>
      </w:r>
      <w:r w:rsidR="00F37917" w:rsidRPr="00651FCA">
        <w:t>:</w:t>
      </w:r>
      <w:r w:rsidR="00516E40">
        <w:t xml:space="preserve"> </w:t>
      </w:r>
    </w:p>
    <w:p w14:paraId="491DC68B" w14:textId="77777777" w:rsidR="00836DC9" w:rsidRPr="004B579F" w:rsidRDefault="00836DC9" w:rsidP="00836DC9">
      <w:pPr>
        <w:ind w:left="709"/>
        <w:rPr>
          <w:b/>
        </w:rPr>
      </w:pPr>
      <w:r w:rsidRPr="004B579F">
        <w:rPr>
          <w:b/>
        </w:rPr>
        <w:t>Schedule 7</w:t>
      </w:r>
    </w:p>
    <w:p w14:paraId="165697FE" w14:textId="77777777" w:rsidR="00836DC9" w:rsidRPr="004B579F" w:rsidRDefault="00836DC9" w:rsidP="00AA0F87">
      <w:pPr>
        <w:ind w:left="1105"/>
      </w:pPr>
      <w:r w:rsidRPr="004B579F">
        <w:t xml:space="preserve">SODIUM NITRITE </w:t>
      </w:r>
      <w:r w:rsidRPr="004B579F">
        <w:rPr>
          <w:b/>
        </w:rPr>
        <w:t>except</w:t>
      </w:r>
      <w:r w:rsidRPr="004B579F">
        <w:t>:</w:t>
      </w:r>
    </w:p>
    <w:p w14:paraId="1311A86B" w14:textId="77777777" w:rsidR="00836DC9" w:rsidRPr="004B579F" w:rsidRDefault="00836DC9" w:rsidP="000B3129">
      <w:pPr>
        <w:pStyle w:val="ListBulleta"/>
        <w:ind w:left="1560"/>
      </w:pPr>
      <w:r w:rsidRPr="004B579F">
        <w:t xml:space="preserve">when included in Schedule 2, 5 or </w:t>
      </w:r>
      <w:proofErr w:type="gramStart"/>
      <w:r w:rsidRPr="004B579F">
        <w:t>6;</w:t>
      </w:r>
      <w:proofErr w:type="gramEnd"/>
    </w:p>
    <w:p w14:paraId="2776CCBE" w14:textId="77777777" w:rsidR="00836DC9" w:rsidRPr="004B579F" w:rsidRDefault="00836DC9" w:rsidP="000B3129">
      <w:pPr>
        <w:pStyle w:val="ListBulleta"/>
        <w:ind w:left="1560"/>
      </w:pPr>
      <w:r w:rsidRPr="004B579F">
        <w:t xml:space="preserve">in preparations containing 0.5 per cent or less of sodium </w:t>
      </w:r>
      <w:proofErr w:type="gramStart"/>
      <w:r w:rsidRPr="004B579F">
        <w:t>nitrite;</w:t>
      </w:r>
      <w:proofErr w:type="gramEnd"/>
    </w:p>
    <w:p w14:paraId="13994D86" w14:textId="77777777" w:rsidR="00836DC9" w:rsidRPr="004B579F" w:rsidRDefault="00836DC9" w:rsidP="000B3129">
      <w:pPr>
        <w:pStyle w:val="ListBulleta"/>
        <w:ind w:left="1560"/>
      </w:pPr>
      <w:r w:rsidRPr="004B579F">
        <w:t>when present as an excipient in preparations for therapeutic use; or</w:t>
      </w:r>
    </w:p>
    <w:p w14:paraId="7B3FBF81" w14:textId="77777777" w:rsidR="00836DC9" w:rsidRDefault="00836DC9" w:rsidP="000B3129">
      <w:pPr>
        <w:pStyle w:val="ListBulleta"/>
        <w:ind w:left="1560"/>
      </w:pPr>
      <w:r w:rsidRPr="004B579F">
        <w:t>in aerosols containing 2 per cent or less of sodium nitrite.</w:t>
      </w:r>
    </w:p>
    <w:p w14:paraId="57A2B00C" w14:textId="77777777" w:rsidR="00836DC9" w:rsidRDefault="00836DC9" w:rsidP="00836DC9">
      <w:pPr>
        <w:ind w:left="709"/>
        <w:rPr>
          <w:b/>
        </w:rPr>
      </w:pPr>
      <w:r w:rsidRPr="00CC0869">
        <w:rPr>
          <w:b/>
        </w:rPr>
        <w:t xml:space="preserve">Schedule 6 </w:t>
      </w:r>
      <w:r>
        <w:rPr>
          <w:b/>
        </w:rPr>
        <w:t>– Amend Entry</w:t>
      </w:r>
    </w:p>
    <w:p w14:paraId="1C6C1455" w14:textId="77777777" w:rsidR="00271C4C" w:rsidRDefault="00836DC9" w:rsidP="00AA0F87">
      <w:pPr>
        <w:ind w:left="1182"/>
      </w:pPr>
      <w:r w:rsidRPr="004B579F">
        <w:t>SODIUM NITRITE</w:t>
      </w:r>
      <w:r w:rsidR="00271C4C" w:rsidRPr="00587895">
        <w:rPr>
          <w:color w:val="00B050"/>
        </w:rPr>
        <w:t>:</w:t>
      </w:r>
    </w:p>
    <w:p w14:paraId="1748A3B0" w14:textId="73758CD8" w:rsidR="00836DC9" w:rsidRPr="00587895" w:rsidRDefault="00836DC9" w:rsidP="000B3129">
      <w:pPr>
        <w:pStyle w:val="ListBulleta"/>
        <w:numPr>
          <w:ilvl w:val="0"/>
          <w:numId w:val="47"/>
        </w:numPr>
        <w:ind w:left="1560"/>
        <w:rPr>
          <w:color w:val="00B050"/>
        </w:rPr>
      </w:pPr>
      <w:r w:rsidRPr="004B579F">
        <w:t xml:space="preserve"> in preparations containing </w:t>
      </w:r>
      <w:r w:rsidRPr="00271C4C">
        <w:rPr>
          <w:strike/>
          <w:color w:val="FF0000"/>
        </w:rPr>
        <w:t>40</w:t>
      </w:r>
      <w:r>
        <w:t xml:space="preserve"> </w:t>
      </w:r>
      <w:r w:rsidRPr="00271C4C">
        <w:rPr>
          <w:color w:val="00B050"/>
        </w:rPr>
        <w:t>15</w:t>
      </w:r>
      <w:r w:rsidRPr="004B579F">
        <w:t xml:space="preserve"> per cent or less of sodium nitrite</w:t>
      </w:r>
      <w:r>
        <w:t xml:space="preserve"> </w:t>
      </w:r>
      <w:r w:rsidRPr="00271C4C">
        <w:rPr>
          <w:b/>
        </w:rPr>
        <w:t>except</w:t>
      </w:r>
      <w:r w:rsidRPr="004B579F">
        <w:t>:</w:t>
      </w:r>
    </w:p>
    <w:p w14:paraId="58BC5CEB" w14:textId="77777777" w:rsidR="00836DC9" w:rsidRPr="004B579F" w:rsidRDefault="00836DC9" w:rsidP="00AA0F87">
      <w:pPr>
        <w:pStyle w:val="ListBulleti"/>
        <w:ind w:left="2273"/>
      </w:pPr>
      <w:r w:rsidRPr="004B579F">
        <w:t>when include</w:t>
      </w:r>
      <w:r>
        <w:t xml:space="preserve">d in Schedule 2 or </w:t>
      </w:r>
      <w:proofErr w:type="gramStart"/>
      <w:r>
        <w:t>5</w:t>
      </w:r>
      <w:r w:rsidRPr="004B579F">
        <w:t>;</w:t>
      </w:r>
      <w:proofErr w:type="gramEnd"/>
    </w:p>
    <w:p w14:paraId="4D45963C" w14:textId="77777777" w:rsidR="00836DC9" w:rsidRPr="004B579F" w:rsidRDefault="00836DC9" w:rsidP="00AA0F87">
      <w:pPr>
        <w:pStyle w:val="ListBulleti"/>
        <w:ind w:left="2273"/>
      </w:pPr>
      <w:r w:rsidRPr="004B579F">
        <w:t xml:space="preserve">in preparations containing 0.5 per cent or less of sodium </w:t>
      </w:r>
      <w:proofErr w:type="gramStart"/>
      <w:r w:rsidRPr="004B579F">
        <w:t>nitrite;</w:t>
      </w:r>
      <w:proofErr w:type="gramEnd"/>
    </w:p>
    <w:p w14:paraId="01A16719" w14:textId="77777777" w:rsidR="00836DC9" w:rsidRPr="004B579F" w:rsidRDefault="00836DC9" w:rsidP="00AA0F87">
      <w:pPr>
        <w:pStyle w:val="ListBulleti"/>
        <w:ind w:left="2273"/>
      </w:pPr>
      <w:r w:rsidRPr="004B579F">
        <w:t>when present as an excipient in preparations for therapeutic use; or</w:t>
      </w:r>
    </w:p>
    <w:p w14:paraId="3D876259" w14:textId="77777777" w:rsidR="00271C4C" w:rsidRDefault="00836DC9" w:rsidP="00AA0F87">
      <w:pPr>
        <w:pStyle w:val="ListBulleti"/>
        <w:ind w:left="2273"/>
      </w:pPr>
      <w:r w:rsidRPr="004B579F">
        <w:t>in aerosols containing 2 per cent or less of sodium nitrite.</w:t>
      </w:r>
    </w:p>
    <w:p w14:paraId="23ABE65B" w14:textId="6915AE0A" w:rsidR="00271C4C" w:rsidRPr="00587895" w:rsidRDefault="007B0295" w:rsidP="000B3129">
      <w:pPr>
        <w:pStyle w:val="ListBulleta"/>
        <w:ind w:left="1560"/>
        <w:rPr>
          <w:color w:val="00B050"/>
        </w:rPr>
      </w:pPr>
      <w:r w:rsidRPr="00587895">
        <w:rPr>
          <w:color w:val="00B050"/>
        </w:rPr>
        <w:t xml:space="preserve">for use </w:t>
      </w:r>
      <w:r w:rsidR="00271C4C" w:rsidRPr="00587895">
        <w:rPr>
          <w:color w:val="00B050"/>
        </w:rPr>
        <w:t xml:space="preserve">in </w:t>
      </w:r>
      <w:r w:rsidRPr="00587895">
        <w:rPr>
          <w:color w:val="00B050"/>
        </w:rPr>
        <w:t xml:space="preserve">closed-loop </w:t>
      </w:r>
      <w:r w:rsidR="00271C4C" w:rsidRPr="00587895">
        <w:rPr>
          <w:color w:val="00B050"/>
        </w:rPr>
        <w:t xml:space="preserve">water </w:t>
      </w:r>
      <w:r w:rsidR="0033638F">
        <w:rPr>
          <w:color w:val="00B050"/>
        </w:rPr>
        <w:t xml:space="preserve">treatment </w:t>
      </w:r>
      <w:r w:rsidRPr="00587895">
        <w:rPr>
          <w:color w:val="00B050"/>
        </w:rPr>
        <w:t>systems</w:t>
      </w:r>
      <w:r w:rsidR="00271C4C" w:rsidRPr="00587895">
        <w:rPr>
          <w:color w:val="00B050"/>
        </w:rPr>
        <w:t xml:space="preserve"> </w:t>
      </w:r>
      <w:r w:rsidR="0033638F">
        <w:rPr>
          <w:color w:val="00B050"/>
        </w:rPr>
        <w:t>(</w:t>
      </w:r>
      <w:r w:rsidR="00271C4C" w:rsidRPr="00587895">
        <w:rPr>
          <w:color w:val="00B050"/>
        </w:rPr>
        <w:t>products</w:t>
      </w:r>
      <w:r w:rsidR="0033638F">
        <w:rPr>
          <w:color w:val="00B050"/>
        </w:rPr>
        <w:t>)</w:t>
      </w:r>
      <w:r w:rsidR="00271C4C" w:rsidRPr="00587895">
        <w:rPr>
          <w:color w:val="00B050"/>
        </w:rPr>
        <w:t>.</w:t>
      </w:r>
    </w:p>
    <w:p w14:paraId="2B6D8162" w14:textId="77777777" w:rsidR="00836DC9" w:rsidRDefault="00836DC9" w:rsidP="00836DC9">
      <w:pPr>
        <w:ind w:left="709"/>
        <w:rPr>
          <w:b/>
        </w:rPr>
      </w:pPr>
      <w:r w:rsidRPr="00CC0869">
        <w:rPr>
          <w:b/>
        </w:rPr>
        <w:t xml:space="preserve">Schedule </w:t>
      </w:r>
      <w:r>
        <w:rPr>
          <w:b/>
        </w:rPr>
        <w:t>5</w:t>
      </w:r>
    </w:p>
    <w:p w14:paraId="23094A88" w14:textId="77777777" w:rsidR="00836DC9" w:rsidRDefault="00836DC9" w:rsidP="00AA0F87">
      <w:pPr>
        <w:ind w:left="1134"/>
      </w:pPr>
      <w:r>
        <w:t xml:space="preserve">SODIUM NITRITE in preparations containing 1 per cent or less of sodium nitrite </w:t>
      </w:r>
      <w:r>
        <w:rPr>
          <w:b/>
          <w:bCs/>
        </w:rPr>
        <w:t>except</w:t>
      </w:r>
      <w:r>
        <w:t xml:space="preserve">: </w:t>
      </w:r>
    </w:p>
    <w:p w14:paraId="367D0EE6" w14:textId="77777777" w:rsidR="00836DC9" w:rsidRPr="000B3129" w:rsidRDefault="00836DC9" w:rsidP="000B3129">
      <w:pPr>
        <w:pStyle w:val="ListBulleta"/>
        <w:numPr>
          <w:ilvl w:val="0"/>
          <w:numId w:val="44"/>
        </w:numPr>
        <w:ind w:left="1560"/>
      </w:pPr>
      <w:r w:rsidRPr="000B3129">
        <w:t xml:space="preserve">in preparations containing 0.5 per cent or less of sodium </w:t>
      </w:r>
      <w:proofErr w:type="gramStart"/>
      <w:r w:rsidRPr="000B3129">
        <w:t>nitrite;</w:t>
      </w:r>
      <w:proofErr w:type="gramEnd"/>
      <w:r w:rsidRPr="000B3129">
        <w:t xml:space="preserve"> </w:t>
      </w:r>
    </w:p>
    <w:p w14:paraId="76B15452" w14:textId="77777777" w:rsidR="00836DC9" w:rsidRPr="000B3129" w:rsidRDefault="00836DC9" w:rsidP="000B3129">
      <w:pPr>
        <w:pStyle w:val="ListBulleta"/>
        <w:ind w:left="1560"/>
      </w:pPr>
      <w:r w:rsidRPr="000B3129">
        <w:t xml:space="preserve">when present as an excipient in preparations for therapeutic use; or </w:t>
      </w:r>
    </w:p>
    <w:p w14:paraId="0BFCD051" w14:textId="77777777" w:rsidR="00836DC9" w:rsidRPr="000B3129" w:rsidRDefault="00836DC9" w:rsidP="000B3129">
      <w:pPr>
        <w:pStyle w:val="ListBulleta"/>
        <w:ind w:left="1560"/>
      </w:pPr>
      <w:r w:rsidRPr="000B3129">
        <w:t xml:space="preserve">in aerosols. </w:t>
      </w:r>
    </w:p>
    <w:p w14:paraId="7CD07715" w14:textId="77777777" w:rsidR="00836DC9" w:rsidRPr="00950973" w:rsidRDefault="00836DC9" w:rsidP="00836DC9">
      <w:pPr>
        <w:ind w:left="720"/>
        <w:rPr>
          <w:b/>
        </w:rPr>
      </w:pPr>
      <w:r w:rsidRPr="00950973">
        <w:rPr>
          <w:b/>
        </w:rPr>
        <w:t>Schedule 2</w:t>
      </w:r>
    </w:p>
    <w:p w14:paraId="647561A7" w14:textId="77777777" w:rsidR="00836DC9" w:rsidRDefault="00836DC9" w:rsidP="00596EF5">
      <w:pPr>
        <w:ind w:left="1134"/>
      </w:pPr>
      <w:r>
        <w:rPr>
          <w:szCs w:val="22"/>
        </w:rPr>
        <w:t>SODIUM NITRITE for therapeutic use (excluding when present as an excipient).</w:t>
      </w:r>
    </w:p>
    <w:p w14:paraId="06303BC8" w14:textId="77777777" w:rsidR="00836DC9" w:rsidRPr="00684F6E" w:rsidRDefault="00836DC9" w:rsidP="00836DC9">
      <w:pPr>
        <w:keepNext/>
        <w:keepLines/>
        <w:ind w:firstLine="720"/>
        <w:rPr>
          <w:b/>
          <w:shd w:val="clear" w:color="auto" w:fill="FFFFFF"/>
        </w:rPr>
      </w:pPr>
      <w:r w:rsidRPr="00684F6E">
        <w:rPr>
          <w:b/>
          <w:shd w:val="clear" w:color="auto" w:fill="FFFFFF"/>
        </w:rPr>
        <w:lastRenderedPageBreak/>
        <w:t>Appendix E, Part 2</w:t>
      </w:r>
    </w:p>
    <w:tbl>
      <w:tblPr>
        <w:tblStyle w:val="TableTGAblue"/>
        <w:tblW w:w="0" w:type="auto"/>
        <w:tblInd w:w="699" w:type="dxa"/>
        <w:tblLook w:val="04A0" w:firstRow="1" w:lastRow="0" w:firstColumn="1" w:lastColumn="0" w:noHBand="0" w:noVBand="1"/>
      </w:tblPr>
      <w:tblGrid>
        <w:gridCol w:w="2552"/>
        <w:gridCol w:w="5386"/>
      </w:tblGrid>
      <w:tr w:rsidR="00836DC9" w:rsidRPr="006112EA" w14:paraId="2ABFF10F" w14:textId="77777777" w:rsidTr="00596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37221A8" w14:textId="77777777" w:rsidR="00836DC9" w:rsidRPr="006112EA" w:rsidRDefault="00836DC9" w:rsidP="003E6209">
            <w:pPr>
              <w:pStyle w:val="ListBullet"/>
              <w:keepLines/>
              <w:numPr>
                <w:ilvl w:val="0"/>
                <w:numId w:val="0"/>
              </w:numPr>
              <w:rPr>
                <w:sz w:val="20"/>
                <w:szCs w:val="20"/>
              </w:rPr>
            </w:pPr>
            <w:r>
              <w:rPr>
                <w:sz w:val="20"/>
                <w:szCs w:val="20"/>
              </w:rPr>
              <w:t>POISON</w:t>
            </w:r>
          </w:p>
        </w:tc>
        <w:tc>
          <w:tcPr>
            <w:tcW w:w="5386" w:type="dxa"/>
          </w:tcPr>
          <w:p w14:paraId="4C81CDC6" w14:textId="77777777" w:rsidR="00836DC9" w:rsidRPr="006112EA" w:rsidRDefault="00836DC9" w:rsidP="003E6209">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STANDARD STATEMENTS</w:t>
            </w:r>
          </w:p>
        </w:tc>
      </w:tr>
      <w:tr w:rsidR="00836DC9" w:rsidRPr="006112EA" w14:paraId="07C8C858" w14:textId="77777777" w:rsidTr="00596EF5">
        <w:tc>
          <w:tcPr>
            <w:cnfStyle w:val="001000000000" w:firstRow="0" w:lastRow="0" w:firstColumn="1" w:lastColumn="0" w:oddVBand="0" w:evenVBand="0" w:oddHBand="0" w:evenHBand="0" w:firstRowFirstColumn="0" w:firstRowLastColumn="0" w:lastRowFirstColumn="0" w:lastRowLastColumn="0"/>
            <w:tcW w:w="2552" w:type="dxa"/>
          </w:tcPr>
          <w:p w14:paraId="208F94E8" w14:textId="77777777" w:rsidR="00836DC9" w:rsidRPr="006112EA" w:rsidRDefault="00836DC9" w:rsidP="003E6209">
            <w:pPr>
              <w:keepNext/>
              <w:keepLines/>
              <w:rPr>
                <w:sz w:val="20"/>
                <w:szCs w:val="20"/>
              </w:rPr>
            </w:pPr>
            <w:r w:rsidRPr="00684F6E">
              <w:rPr>
                <w:sz w:val="20"/>
                <w:szCs w:val="20"/>
              </w:rPr>
              <w:t>SODIUM NITRITE</w:t>
            </w:r>
          </w:p>
        </w:tc>
        <w:tc>
          <w:tcPr>
            <w:tcW w:w="5386" w:type="dxa"/>
          </w:tcPr>
          <w:p w14:paraId="3F50548F" w14:textId="296E61E1" w:rsidR="00836DC9" w:rsidRPr="006112EA" w:rsidRDefault="00836DC9" w:rsidP="003E6209">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r>
      <w:tr w:rsidR="00836DC9" w:rsidRPr="006112EA" w14:paraId="52D4F151" w14:textId="77777777" w:rsidTr="00596EF5">
        <w:tc>
          <w:tcPr>
            <w:cnfStyle w:val="001000000000" w:firstRow="0" w:lastRow="0" w:firstColumn="1" w:lastColumn="0" w:oddVBand="0" w:evenVBand="0" w:oddHBand="0" w:evenHBand="0" w:firstRowFirstColumn="0" w:firstRowLastColumn="0" w:lastRowFirstColumn="0" w:lastRowLastColumn="0"/>
            <w:tcW w:w="2552" w:type="dxa"/>
          </w:tcPr>
          <w:p w14:paraId="3CBA9C01" w14:textId="77777777" w:rsidR="00836DC9" w:rsidRPr="00684F6E" w:rsidRDefault="00836DC9" w:rsidP="00836DC9">
            <w:pPr>
              <w:pStyle w:val="ListParagraph"/>
              <w:keepNext/>
              <w:keepLines/>
              <w:numPr>
                <w:ilvl w:val="0"/>
                <w:numId w:val="45"/>
              </w:numPr>
              <w:ind w:left="315"/>
              <w:rPr>
                <w:sz w:val="20"/>
              </w:rPr>
            </w:pPr>
            <w:r w:rsidRPr="00684F6E">
              <w:rPr>
                <w:sz w:val="20"/>
              </w:rPr>
              <w:t>when included in Schedule 7</w:t>
            </w:r>
          </w:p>
        </w:tc>
        <w:tc>
          <w:tcPr>
            <w:tcW w:w="5386" w:type="dxa"/>
          </w:tcPr>
          <w:p w14:paraId="5DFFA981" w14:textId="77777777" w:rsidR="00836DC9" w:rsidRPr="00684F6E" w:rsidRDefault="00836DC9" w:rsidP="003E6209">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A</w:t>
            </w:r>
            <w:r w:rsidRPr="00684F6E">
              <w:rPr>
                <w:sz w:val="20"/>
              </w:rPr>
              <w:t xml:space="preserve"> (For advice, contact a Poisons Information Centre (e.g. phone Australia 13 11 26; New Zealand 0800 764 766) or a doctor (at once)).</w:t>
            </w:r>
          </w:p>
          <w:p w14:paraId="34169D38" w14:textId="77777777" w:rsidR="00836DC9" w:rsidRPr="00684F6E" w:rsidRDefault="00836DC9" w:rsidP="003E6209">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 xml:space="preserve">G1 </w:t>
            </w:r>
            <w:r w:rsidRPr="00684F6E">
              <w:rPr>
                <w:sz w:val="20"/>
              </w:rPr>
              <w:t>(Urgent hospital treatment is likely to be needed.)</w:t>
            </w:r>
          </w:p>
          <w:p w14:paraId="629A41A3" w14:textId="77777777" w:rsidR="00836DC9" w:rsidRDefault="00836DC9" w:rsidP="003E6209">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G3</w:t>
            </w:r>
            <w:r w:rsidRPr="00684F6E">
              <w:rPr>
                <w:sz w:val="20"/>
              </w:rPr>
              <w:t xml:space="preserve"> (If swallowed, do NOT induce vomiting.)</w:t>
            </w:r>
          </w:p>
        </w:tc>
      </w:tr>
      <w:tr w:rsidR="00836DC9" w:rsidRPr="006112EA" w14:paraId="55D90870" w14:textId="77777777" w:rsidTr="00596EF5">
        <w:tc>
          <w:tcPr>
            <w:cnfStyle w:val="001000000000" w:firstRow="0" w:lastRow="0" w:firstColumn="1" w:lastColumn="0" w:oddVBand="0" w:evenVBand="0" w:oddHBand="0" w:evenHBand="0" w:firstRowFirstColumn="0" w:firstRowLastColumn="0" w:lastRowFirstColumn="0" w:lastRowLastColumn="0"/>
            <w:tcW w:w="2552" w:type="dxa"/>
          </w:tcPr>
          <w:p w14:paraId="4E3A87DE" w14:textId="77777777" w:rsidR="00836DC9" w:rsidRPr="00684F6E" w:rsidRDefault="00836DC9" w:rsidP="00836DC9">
            <w:pPr>
              <w:pStyle w:val="ListParagraph"/>
              <w:keepNext/>
              <w:keepLines/>
              <w:numPr>
                <w:ilvl w:val="0"/>
                <w:numId w:val="45"/>
              </w:numPr>
              <w:ind w:left="315"/>
              <w:rPr>
                <w:sz w:val="20"/>
              </w:rPr>
            </w:pPr>
            <w:r>
              <w:rPr>
                <w:rFonts w:eastAsia="Times New Roman"/>
              </w:rPr>
              <w:t xml:space="preserve">when included in </w:t>
            </w:r>
            <w:r w:rsidRPr="00684F6E">
              <w:rPr>
                <w:rFonts w:eastAsia="Times New Roman"/>
              </w:rPr>
              <w:t>Schedule 5 or 6</w:t>
            </w:r>
          </w:p>
        </w:tc>
        <w:tc>
          <w:tcPr>
            <w:tcW w:w="5386" w:type="dxa"/>
          </w:tcPr>
          <w:p w14:paraId="367B2884" w14:textId="77777777" w:rsidR="00836DC9" w:rsidRPr="00684F6E" w:rsidRDefault="00836DC9" w:rsidP="003E6209">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 xml:space="preserve">A </w:t>
            </w:r>
            <w:r w:rsidRPr="00684F6E">
              <w:rPr>
                <w:sz w:val="20"/>
              </w:rPr>
              <w:t>(For advice, contact a Poisons Information Centre (e.g. phone Australia 13 11 26; New Zealand 0800 764 766) or a doctor (at once)).</w:t>
            </w:r>
          </w:p>
          <w:p w14:paraId="2DCE13C4" w14:textId="77777777" w:rsidR="00836DC9" w:rsidRDefault="00836DC9" w:rsidP="003E6209">
            <w:pPr>
              <w:keepNext/>
              <w:keepLines/>
              <w:cnfStyle w:val="000000000000" w:firstRow="0" w:lastRow="0" w:firstColumn="0" w:lastColumn="0" w:oddVBand="0" w:evenVBand="0" w:oddHBand="0" w:evenHBand="0" w:firstRowFirstColumn="0" w:firstRowLastColumn="0" w:lastRowFirstColumn="0" w:lastRowLastColumn="0"/>
              <w:rPr>
                <w:sz w:val="20"/>
              </w:rPr>
            </w:pPr>
            <w:r w:rsidRPr="00684F6E">
              <w:rPr>
                <w:b/>
                <w:sz w:val="20"/>
              </w:rPr>
              <w:t xml:space="preserve">G3 </w:t>
            </w:r>
            <w:r w:rsidRPr="00684F6E">
              <w:rPr>
                <w:sz w:val="20"/>
              </w:rPr>
              <w:t>(If swallowed, do NOT induce vomiting.)</w:t>
            </w:r>
          </w:p>
        </w:tc>
      </w:tr>
    </w:tbl>
    <w:p w14:paraId="0225A069" w14:textId="77777777" w:rsidR="00836DC9" w:rsidRPr="00684F6E" w:rsidRDefault="00836DC9" w:rsidP="00836DC9">
      <w:pPr>
        <w:keepNext/>
        <w:keepLines/>
        <w:ind w:firstLine="720"/>
        <w:rPr>
          <w:b/>
          <w:shd w:val="clear" w:color="auto" w:fill="FFFFFF"/>
        </w:rPr>
      </w:pPr>
      <w:r w:rsidRPr="00684F6E">
        <w:rPr>
          <w:b/>
          <w:shd w:val="clear" w:color="auto" w:fill="FFFFFF"/>
        </w:rPr>
        <w:t>Appendix F, Part 3</w:t>
      </w:r>
    </w:p>
    <w:tbl>
      <w:tblPr>
        <w:tblStyle w:val="TableTGAblue"/>
        <w:tblW w:w="0" w:type="auto"/>
        <w:tblInd w:w="699" w:type="dxa"/>
        <w:tblLook w:val="04A0" w:firstRow="1" w:lastRow="0" w:firstColumn="1" w:lastColumn="0" w:noHBand="0" w:noVBand="1"/>
      </w:tblPr>
      <w:tblGrid>
        <w:gridCol w:w="2552"/>
        <w:gridCol w:w="5386"/>
      </w:tblGrid>
      <w:tr w:rsidR="00836DC9" w:rsidRPr="006112EA" w14:paraId="7972FA72" w14:textId="77777777" w:rsidTr="00596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88788F3" w14:textId="77777777" w:rsidR="00836DC9" w:rsidRPr="006112EA" w:rsidRDefault="00836DC9" w:rsidP="003E6209">
            <w:pPr>
              <w:pStyle w:val="ListBullet"/>
              <w:keepLines/>
              <w:numPr>
                <w:ilvl w:val="0"/>
                <w:numId w:val="0"/>
              </w:numPr>
              <w:rPr>
                <w:sz w:val="20"/>
                <w:szCs w:val="20"/>
              </w:rPr>
            </w:pPr>
            <w:r>
              <w:rPr>
                <w:sz w:val="20"/>
                <w:szCs w:val="20"/>
              </w:rPr>
              <w:t>POISON</w:t>
            </w:r>
          </w:p>
        </w:tc>
        <w:tc>
          <w:tcPr>
            <w:tcW w:w="5386" w:type="dxa"/>
          </w:tcPr>
          <w:p w14:paraId="029DC3F3" w14:textId="77777777" w:rsidR="00836DC9" w:rsidRPr="006112EA" w:rsidRDefault="00836DC9" w:rsidP="003E6209">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WARNING STATEMENTS</w:t>
            </w:r>
          </w:p>
        </w:tc>
      </w:tr>
      <w:tr w:rsidR="00836DC9" w:rsidRPr="006112EA" w14:paraId="49D2F2F3" w14:textId="77777777" w:rsidTr="00596EF5">
        <w:tc>
          <w:tcPr>
            <w:cnfStyle w:val="001000000000" w:firstRow="0" w:lastRow="0" w:firstColumn="1" w:lastColumn="0" w:oddVBand="0" w:evenVBand="0" w:oddHBand="0" w:evenHBand="0" w:firstRowFirstColumn="0" w:firstRowLastColumn="0" w:lastRowFirstColumn="0" w:lastRowLastColumn="0"/>
            <w:tcW w:w="2552" w:type="dxa"/>
          </w:tcPr>
          <w:p w14:paraId="4AFED7F5" w14:textId="77777777" w:rsidR="00836DC9" w:rsidRPr="006112EA" w:rsidRDefault="00836DC9" w:rsidP="003E6209">
            <w:pPr>
              <w:keepNext/>
              <w:keepLines/>
              <w:rPr>
                <w:sz w:val="20"/>
                <w:szCs w:val="20"/>
              </w:rPr>
            </w:pPr>
            <w:r w:rsidRPr="00684F6E">
              <w:rPr>
                <w:sz w:val="20"/>
                <w:szCs w:val="20"/>
              </w:rPr>
              <w:t>SODIUM NITRITE in pickling or curing salts.</w:t>
            </w:r>
          </w:p>
        </w:tc>
        <w:tc>
          <w:tcPr>
            <w:tcW w:w="5386" w:type="dxa"/>
          </w:tcPr>
          <w:p w14:paraId="2DAFBC2E" w14:textId="77777777" w:rsidR="00836DC9" w:rsidRPr="006112EA" w:rsidRDefault="00836DC9" w:rsidP="003E6209">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684F6E">
              <w:rPr>
                <w:b/>
                <w:sz w:val="20"/>
                <w:szCs w:val="20"/>
              </w:rPr>
              <w:t>94</w:t>
            </w:r>
            <w:r w:rsidRPr="00684F6E">
              <w:rPr>
                <w:sz w:val="20"/>
                <w:szCs w:val="20"/>
              </w:rPr>
              <w:t xml:space="preserve"> (WARNING – Contains nitrite. Substitution for table or cooking salt may be dangerous, particularly for young children.)</w:t>
            </w:r>
          </w:p>
        </w:tc>
      </w:tr>
    </w:tbl>
    <w:p w14:paraId="3CBF1DA2" w14:textId="77777777" w:rsidR="00836DC9" w:rsidRDefault="00836DC9" w:rsidP="00836DC9">
      <w:pPr>
        <w:spacing w:before="0" w:after="0"/>
        <w:rPr>
          <w:b/>
          <w:shd w:val="clear" w:color="auto" w:fill="FFFFFF"/>
        </w:rPr>
      </w:pPr>
    </w:p>
    <w:p w14:paraId="0AE0A307" w14:textId="77777777" w:rsidR="00836DC9" w:rsidRDefault="00836DC9" w:rsidP="00836DC9">
      <w:pPr>
        <w:spacing w:before="0" w:after="0"/>
        <w:ind w:firstLine="720"/>
        <w:rPr>
          <w:b/>
          <w:shd w:val="clear" w:color="auto" w:fill="FFFFFF"/>
        </w:rPr>
      </w:pPr>
      <w:r w:rsidRPr="00054B78">
        <w:rPr>
          <w:b/>
          <w:shd w:val="clear" w:color="auto" w:fill="FFFFFF"/>
        </w:rPr>
        <w:t>Index</w:t>
      </w:r>
    </w:p>
    <w:p w14:paraId="66DAE87B" w14:textId="77777777" w:rsidR="00836DC9" w:rsidRDefault="00836DC9" w:rsidP="00836DC9">
      <w:pPr>
        <w:spacing w:before="0" w:after="0"/>
        <w:rPr>
          <w:b/>
          <w:shd w:val="clear" w:color="auto" w:fill="FFFFFF"/>
        </w:rPr>
      </w:pPr>
    </w:p>
    <w:p w14:paraId="7715A593" w14:textId="77777777" w:rsidR="00836DC9" w:rsidRPr="000841DC" w:rsidRDefault="00836DC9" w:rsidP="00CD71F4">
      <w:pPr>
        <w:spacing w:before="0" w:after="0"/>
        <w:ind w:left="1134"/>
        <w:rPr>
          <w:b/>
          <w:shd w:val="clear" w:color="auto" w:fill="FFFFFF"/>
        </w:rPr>
      </w:pPr>
      <w:r w:rsidRPr="000841DC">
        <w:rPr>
          <w:b/>
          <w:shd w:val="clear" w:color="auto" w:fill="FFFFFF"/>
        </w:rPr>
        <w:t>SODIUM NITRITE</w:t>
      </w:r>
    </w:p>
    <w:p w14:paraId="147DF204" w14:textId="0AADC06B" w:rsidR="00836DC9" w:rsidRDefault="00836DC9" w:rsidP="00CD71F4">
      <w:pPr>
        <w:spacing w:before="0" w:after="0"/>
        <w:ind w:left="1134"/>
        <w:rPr>
          <w:szCs w:val="22"/>
        </w:rPr>
      </w:pPr>
      <w:r>
        <w:rPr>
          <w:b/>
          <w:shd w:val="clear" w:color="auto" w:fill="FFFFFF"/>
        </w:rPr>
        <w:br/>
      </w:r>
      <w:r>
        <w:rPr>
          <w:szCs w:val="22"/>
        </w:rPr>
        <w:t xml:space="preserve">Schedule 7 </w:t>
      </w:r>
    </w:p>
    <w:p w14:paraId="3EBA2F70" w14:textId="77777777" w:rsidR="00836DC9" w:rsidRDefault="00836DC9" w:rsidP="00CD71F4">
      <w:pPr>
        <w:spacing w:before="0" w:after="0"/>
        <w:ind w:left="1134"/>
        <w:rPr>
          <w:szCs w:val="22"/>
        </w:rPr>
      </w:pPr>
      <w:r>
        <w:rPr>
          <w:szCs w:val="22"/>
        </w:rPr>
        <w:t xml:space="preserve">Schedule 6 </w:t>
      </w:r>
    </w:p>
    <w:p w14:paraId="07BAA712" w14:textId="77777777" w:rsidR="00836DC9" w:rsidRDefault="00836DC9" w:rsidP="00CD71F4">
      <w:pPr>
        <w:spacing w:before="0" w:after="0"/>
        <w:ind w:left="1134"/>
        <w:rPr>
          <w:szCs w:val="22"/>
        </w:rPr>
      </w:pPr>
      <w:r>
        <w:rPr>
          <w:szCs w:val="22"/>
        </w:rPr>
        <w:t xml:space="preserve">Schedule 5 </w:t>
      </w:r>
    </w:p>
    <w:p w14:paraId="1EA806AD" w14:textId="77777777" w:rsidR="00836DC9" w:rsidRDefault="00836DC9" w:rsidP="00CD71F4">
      <w:pPr>
        <w:spacing w:before="0" w:after="0"/>
        <w:ind w:left="1134"/>
        <w:rPr>
          <w:szCs w:val="22"/>
        </w:rPr>
      </w:pPr>
      <w:r>
        <w:rPr>
          <w:szCs w:val="22"/>
        </w:rPr>
        <w:t xml:space="preserve">Schedule 2 </w:t>
      </w:r>
    </w:p>
    <w:p w14:paraId="2F14E9F9" w14:textId="77777777" w:rsidR="00836DC9" w:rsidRDefault="00836DC9" w:rsidP="00CD71F4">
      <w:pPr>
        <w:spacing w:before="0" w:after="0"/>
        <w:ind w:left="1134"/>
        <w:rPr>
          <w:szCs w:val="22"/>
        </w:rPr>
      </w:pPr>
      <w:r>
        <w:rPr>
          <w:szCs w:val="22"/>
        </w:rPr>
        <w:t xml:space="preserve">Appendix E, Part 2 </w:t>
      </w:r>
    </w:p>
    <w:p w14:paraId="5060C81A" w14:textId="77777777" w:rsidR="00836DC9" w:rsidRPr="00950973" w:rsidRDefault="00836DC9" w:rsidP="00CD71F4">
      <w:pPr>
        <w:spacing w:before="0" w:after="0"/>
        <w:ind w:left="1134"/>
        <w:rPr>
          <w:szCs w:val="22"/>
        </w:rPr>
      </w:pPr>
      <w:r>
        <w:rPr>
          <w:szCs w:val="22"/>
        </w:rPr>
        <w:t>Appendix F, Part 3</w:t>
      </w:r>
    </w:p>
    <w:p w14:paraId="5D482910" w14:textId="73C349EA" w:rsidR="00436C41" w:rsidRDefault="00436C41" w:rsidP="00F41DCE">
      <w:pPr>
        <w:pStyle w:val="Heading5"/>
      </w:pPr>
      <w:r>
        <w:t xml:space="preserve">Materials considered </w:t>
      </w:r>
    </w:p>
    <w:p w14:paraId="348AF278" w14:textId="4E3E957E" w:rsidR="006A64F4" w:rsidRDefault="006A64F4" w:rsidP="006A64F4">
      <w:r>
        <w:t>In making this final decision, the Delegate considered the following material:</w:t>
      </w:r>
    </w:p>
    <w:p w14:paraId="1FFA9AC9" w14:textId="77777777" w:rsidR="002F0A92" w:rsidRDefault="002F0A92" w:rsidP="002F0A92">
      <w:pPr>
        <w:pStyle w:val="ListBullet"/>
      </w:pPr>
      <w:r>
        <w:t xml:space="preserve">A </w:t>
      </w:r>
      <w:hyperlink r:id="rId19" w:history="1">
        <w:r w:rsidRPr="00FF6417">
          <w:rPr>
            <w:rStyle w:val="Hyperlink"/>
          </w:rPr>
          <w:t>report</w:t>
        </w:r>
      </w:hyperlink>
      <w:r>
        <w:t xml:space="preserve"> on sodium nitrite and sodium nitrate-related deaths in Australia, prepared by the National Coronial Information System Unit;</w:t>
      </w:r>
    </w:p>
    <w:p w14:paraId="6C10E610" w14:textId="77777777" w:rsidR="002F0A92" w:rsidRDefault="002F0A92" w:rsidP="002F0A92">
      <w:pPr>
        <w:pStyle w:val="ListBullet"/>
      </w:pPr>
      <w:r>
        <w:t>An abstract on nitrite poisonings and deaths submitted to the Committee prior to publication;</w:t>
      </w:r>
      <w:r>
        <w:rPr>
          <w:rStyle w:val="FootnoteReference"/>
        </w:rPr>
        <w:footnoteReference w:id="1"/>
      </w:r>
    </w:p>
    <w:p w14:paraId="5F56D3DE" w14:textId="77777777" w:rsidR="002F0A92" w:rsidRPr="006367ED" w:rsidRDefault="002F0A92" w:rsidP="002F0A92">
      <w:pPr>
        <w:pStyle w:val="ListBullet"/>
      </w:pPr>
      <w:r>
        <w:lastRenderedPageBreak/>
        <w:t>The seven</w:t>
      </w:r>
      <w:r w:rsidRPr="006367ED">
        <w:t xml:space="preserve"> </w:t>
      </w:r>
      <w:hyperlink r:id="rId20" w:history="1">
        <w:r w:rsidRPr="006367ED">
          <w:rPr>
            <w:rStyle w:val="Hyperlink"/>
          </w:rPr>
          <w:t>public submissions</w:t>
        </w:r>
      </w:hyperlink>
      <w:r w:rsidRPr="006367ED">
        <w:rPr>
          <w:rStyle w:val="Hyperlink"/>
        </w:rPr>
        <w:t>,</w:t>
      </w:r>
      <w:r w:rsidRPr="006367ED">
        <w:t xml:space="preserve"> </w:t>
      </w:r>
      <w:r>
        <w:t>all</w:t>
      </w:r>
      <w:r w:rsidRPr="006367ED">
        <w:t xml:space="preserve"> including a written component, received in response to the </w:t>
      </w:r>
      <w:hyperlink r:id="rId21" w:history="1">
        <w:r w:rsidRPr="006367ED">
          <w:rPr>
            <w:rStyle w:val="Hyperlink"/>
          </w:rPr>
          <w:t>pre-meeting consultation</w:t>
        </w:r>
      </w:hyperlink>
      <w:r w:rsidRPr="006367ED">
        <w:t xml:space="preserve"> under regulation 42ZCZK of the Regulations;</w:t>
      </w:r>
    </w:p>
    <w:p w14:paraId="210AE6C2" w14:textId="77777777" w:rsidR="002F0A92" w:rsidRDefault="002F0A92" w:rsidP="002F0A92">
      <w:pPr>
        <w:pStyle w:val="ListBullet"/>
      </w:pPr>
      <w:r>
        <w:t>The advice received from the m</w:t>
      </w:r>
      <w:r w:rsidRPr="00A825A4">
        <w:t xml:space="preserve">eeting of the </w:t>
      </w:r>
      <w:r>
        <w:t>A</w:t>
      </w:r>
      <w:r w:rsidRPr="00344CA2">
        <w:t>dvisory Committee on Medicines and Chemicals Scheduling in jo</w:t>
      </w:r>
      <w:r>
        <w:t>int session (Joint ACMS-ACCS #28</w:t>
      </w:r>
      <w:proofErr w:type="gramStart"/>
      <w:r w:rsidRPr="00344CA2">
        <w:t>);</w:t>
      </w:r>
      <w:proofErr w:type="gramEnd"/>
    </w:p>
    <w:p w14:paraId="5E84F177" w14:textId="0B03CD36" w:rsidR="002F0A92" w:rsidRDefault="002F0A92" w:rsidP="002F0A92">
      <w:pPr>
        <w:pStyle w:val="ListBullet"/>
      </w:pPr>
      <w:r>
        <w:t xml:space="preserve">The </w:t>
      </w:r>
      <w:hyperlink r:id="rId22" w:history="1">
        <w:r w:rsidR="00962CF5" w:rsidRPr="00962CF5">
          <w:rPr>
            <w:rStyle w:val="Hyperlink"/>
          </w:rPr>
          <w:t>two</w:t>
        </w:r>
        <w:r w:rsidRPr="00962CF5">
          <w:rPr>
            <w:rStyle w:val="Hyperlink"/>
          </w:rPr>
          <w:t xml:space="preserve"> public submissions</w:t>
        </w:r>
      </w:hyperlink>
      <w:r>
        <w:t xml:space="preserve"> received in response to the </w:t>
      </w:r>
      <w:hyperlink r:id="rId23" w:history="1">
        <w:r w:rsidRPr="00962CF5">
          <w:rPr>
            <w:rStyle w:val="Hyperlink"/>
          </w:rPr>
          <w:t>interim decision consultation</w:t>
        </w:r>
      </w:hyperlink>
      <w:r>
        <w:t xml:space="preserve"> </w:t>
      </w:r>
      <w:r w:rsidRPr="002C1418">
        <w:t>under regulation 42ZCZP of the Regulations</w:t>
      </w:r>
      <w:r>
        <w:t>;</w:t>
      </w:r>
    </w:p>
    <w:p w14:paraId="3A4364A9" w14:textId="77777777" w:rsidR="002F0A92" w:rsidRDefault="002F0A92" w:rsidP="002F0A92">
      <w:pPr>
        <w:pStyle w:val="ListBullet"/>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w:t>
      </w:r>
      <w:r w:rsidRPr="00253950">
        <w:t xml:space="preserve"> (c) the toxicity of a substance; (d) the dosage, formulation, labelling, packaging and presentation of a substance; </w:t>
      </w:r>
      <w:r>
        <w:t>(e) the potential for abuse of a substance;</w:t>
      </w:r>
      <w:r w:rsidRPr="00253950">
        <w:t xml:space="preserve"> and (f) any other matters that the Secretary considers nec</w:t>
      </w:r>
      <w:r>
        <w:t>essary to protect public health;</w:t>
      </w:r>
    </w:p>
    <w:p w14:paraId="46798C79" w14:textId="76ACAA9F" w:rsidR="002F0A92" w:rsidRDefault="002F0A92" w:rsidP="002F0A92">
      <w:pPr>
        <w:pStyle w:val="ListBullet"/>
      </w:pPr>
      <w:r w:rsidRPr="002C1418">
        <w:t xml:space="preserve">The </w:t>
      </w:r>
      <w:hyperlink r:id="rId24" w:history="1">
        <w:r w:rsidRPr="001A7580">
          <w:rPr>
            <w:rStyle w:val="Hyperlink"/>
          </w:rPr>
          <w:t>Scheduling Policy Framework</w:t>
        </w:r>
      </w:hyperlink>
      <w:r>
        <w:t xml:space="preserve"> (SPF 2018</w:t>
      </w:r>
      <w:r w:rsidRPr="002C20AE">
        <w:t>);</w:t>
      </w:r>
      <w:r>
        <w:t xml:space="preserve"> and</w:t>
      </w:r>
    </w:p>
    <w:p w14:paraId="400ED912" w14:textId="77777777" w:rsidR="002F0A92" w:rsidRPr="006501A1" w:rsidRDefault="002F0A92" w:rsidP="002F0A92">
      <w:pPr>
        <w:pStyle w:val="ListBullet"/>
      </w:pPr>
      <w:r>
        <w:t xml:space="preserve">The </w:t>
      </w:r>
      <w:hyperlink r:id="rId25" w:history="1">
        <w:r w:rsidRPr="001A7580">
          <w:rPr>
            <w:rStyle w:val="Hyperlink"/>
          </w:rPr>
          <w:t>Scheduling handbook: Guidance for amending the Poisons Standard</w:t>
        </w:r>
      </w:hyperlink>
      <w:r>
        <w:t>.</w:t>
      </w:r>
    </w:p>
    <w:p w14:paraId="70E59020" w14:textId="6A773F7F" w:rsidR="00436C41" w:rsidRDefault="00436C41" w:rsidP="00F41DCE">
      <w:pPr>
        <w:pStyle w:val="Heading5"/>
      </w:pPr>
      <w:r w:rsidRPr="00436C41">
        <w:t>Reasons for the final decision (including findings on material questions of fact)</w:t>
      </w:r>
    </w:p>
    <w:p w14:paraId="5884445D" w14:textId="22D8B154" w:rsidR="00E52DD2" w:rsidRDefault="00E52DD2" w:rsidP="004B32D0">
      <w:r>
        <w:t xml:space="preserve">I have made a final decision to amend my </w:t>
      </w:r>
      <w:hyperlink r:id="rId26" w:history="1">
        <w:r w:rsidRPr="000841DC">
          <w:rPr>
            <w:rStyle w:val="Hyperlink"/>
          </w:rPr>
          <w:t>interim decision</w:t>
        </w:r>
      </w:hyperlink>
      <w:r>
        <w:t xml:space="preserve"> regarding the scheduling of sodium nitrite. My final decision includes a</w:t>
      </w:r>
      <w:r w:rsidR="008F29C6">
        <w:t xml:space="preserve">n </w:t>
      </w:r>
      <w:r w:rsidR="00A17B50">
        <w:t xml:space="preserve">exemption </w:t>
      </w:r>
      <w:r w:rsidR="008F29C6">
        <w:t>in the Schedule 6 entry for</w:t>
      </w:r>
      <w:r>
        <w:t xml:space="preserve"> </w:t>
      </w:r>
      <w:r w:rsidR="00D73F7E">
        <w:t>use in closed-loop water treatment systems</w:t>
      </w:r>
      <w:r>
        <w:t>. I have decided to make this change after consideration of the public submissions, and I agree that this additional amendment is required to avoid unduly hindering legitimate industrial uses of this substance</w:t>
      </w:r>
      <w:r w:rsidR="008F29C6">
        <w:t xml:space="preserve"> while still addressing the issue of misuse of the substance for self-harm.</w:t>
      </w:r>
    </w:p>
    <w:p w14:paraId="7FCA3683" w14:textId="1E5DEF5C" w:rsidR="006A77C7" w:rsidRDefault="005B344D" w:rsidP="004B32D0">
      <w:r>
        <w:t xml:space="preserve">I have </w:t>
      </w:r>
      <w:r w:rsidR="00A17B50">
        <w:t xml:space="preserve">considered </w:t>
      </w:r>
      <w:r>
        <w:t>the</w:t>
      </w:r>
      <w:r w:rsidR="00742EC9">
        <w:t xml:space="preserve"> </w:t>
      </w:r>
      <w:r>
        <w:t xml:space="preserve">written public submissions received from the NSW Poisons Information Centre </w:t>
      </w:r>
      <w:r w:rsidR="00FB596C">
        <w:t xml:space="preserve">(PIC) </w:t>
      </w:r>
      <w:r>
        <w:t>and Accord Australasia</w:t>
      </w:r>
      <w:r w:rsidR="00A17B50">
        <w:t xml:space="preserve"> after I made my interim decision</w:t>
      </w:r>
      <w:r>
        <w:t>, both of which were partially in support of the proposed changes to the scheduling of sodium nitrit</w:t>
      </w:r>
      <w:r w:rsidR="000F0EE9">
        <w:t xml:space="preserve">e, although of opposing views on the preferred course of action. </w:t>
      </w:r>
    </w:p>
    <w:p w14:paraId="645E38CF" w14:textId="0E0360D9" w:rsidR="005B344D" w:rsidRDefault="000F0EE9" w:rsidP="004B32D0">
      <w:r>
        <w:t xml:space="preserve">I note </w:t>
      </w:r>
      <w:proofErr w:type="gramStart"/>
      <w:r>
        <w:t>in particular that</w:t>
      </w:r>
      <w:proofErr w:type="gramEnd"/>
      <w:r>
        <w:t xml:space="preserve"> Accord expressed concerns regarding the effects of the interim decision on industry and </w:t>
      </w:r>
      <w:r w:rsidR="00B948A0">
        <w:t xml:space="preserve">suggested </w:t>
      </w:r>
      <w:r>
        <w:t xml:space="preserve">that </w:t>
      </w:r>
      <w:r w:rsidR="00D73F7E">
        <w:t xml:space="preserve">container </w:t>
      </w:r>
      <w:r>
        <w:t>size be considered as part of the final decision.</w:t>
      </w:r>
      <w:r w:rsidR="00742EC9">
        <w:t xml:space="preserve"> </w:t>
      </w:r>
      <w:r w:rsidR="00536CF7">
        <w:t>T</w:t>
      </w:r>
      <w:r w:rsidR="00742EC9">
        <w:t xml:space="preserve">he Accord submission specifies water treatment in closed-loop systems as the primary </w:t>
      </w:r>
      <w:r w:rsidR="00536CF7">
        <w:t>industr</w:t>
      </w:r>
      <w:r w:rsidR="004A7B6E">
        <w:t>ial</w:t>
      </w:r>
      <w:r w:rsidR="00536CF7">
        <w:t xml:space="preserve"> </w:t>
      </w:r>
      <w:r w:rsidR="00742EC9">
        <w:t>application of sodium nitrite that would be affected by the amendment proposed in the interim decision. Therefore</w:t>
      </w:r>
      <w:r w:rsidR="001B61C5">
        <w:t>,</w:t>
      </w:r>
      <w:r w:rsidR="00742EC9">
        <w:t xml:space="preserve"> I have decided to amend the interim decision by </w:t>
      </w:r>
      <w:r w:rsidR="001B61C5">
        <w:t xml:space="preserve">explicitly </w:t>
      </w:r>
      <w:r w:rsidR="00742EC9">
        <w:t xml:space="preserve">specifying the use of sodium nitrite in closed-loop water systems in the Schedule 6 entry, enabling </w:t>
      </w:r>
      <w:r w:rsidR="00A17B50">
        <w:t xml:space="preserve">this </w:t>
      </w:r>
      <w:r w:rsidR="00742EC9">
        <w:t xml:space="preserve">legitimate industrial </w:t>
      </w:r>
      <w:r w:rsidR="00A17B50">
        <w:t xml:space="preserve">use of </w:t>
      </w:r>
      <w:r w:rsidR="00742EC9">
        <w:t>the substance, while not compromising the original intent of the interim decision.</w:t>
      </w:r>
      <w:r w:rsidR="008F29C6">
        <w:t xml:space="preserve"> </w:t>
      </w:r>
      <w:r w:rsidR="00536CF7">
        <w:t xml:space="preserve">Regarding the inclusion of </w:t>
      </w:r>
      <w:r w:rsidR="001B61C5">
        <w:t xml:space="preserve">a </w:t>
      </w:r>
      <w:r w:rsidR="00536CF7">
        <w:t xml:space="preserve">container size in the Schedule 6 entry, </w:t>
      </w:r>
      <w:r w:rsidR="008F29C6">
        <w:t xml:space="preserve">I </w:t>
      </w:r>
      <w:r w:rsidR="001B61C5">
        <w:t xml:space="preserve">note </w:t>
      </w:r>
      <w:r w:rsidR="008F29C6">
        <w:t>that reports of self-harm associated with use of sodium nitrite have generally resulted from the purchase of small packages of the substance</w:t>
      </w:r>
      <w:r w:rsidR="00C06F64">
        <w:t>, and</w:t>
      </w:r>
      <w:r w:rsidR="006A77C7">
        <w:t xml:space="preserve"> that industrial quantities of sodium nitrite</w:t>
      </w:r>
      <w:r w:rsidR="001B61C5">
        <w:t xml:space="preserve"> have not been</w:t>
      </w:r>
      <w:r w:rsidR="006A77C7">
        <w:t xml:space="preserve"> implicated in </w:t>
      </w:r>
      <w:r w:rsidR="009D3971">
        <w:t>recent reports of</w:t>
      </w:r>
      <w:r w:rsidR="006A77C7">
        <w:t xml:space="preserve"> self-harm</w:t>
      </w:r>
      <w:r w:rsidR="00536CF7">
        <w:t>.</w:t>
      </w:r>
      <w:r w:rsidR="00231A3A">
        <w:t xml:space="preserve"> </w:t>
      </w:r>
      <w:r w:rsidR="009D3971">
        <w:t>Therefore</w:t>
      </w:r>
      <w:r w:rsidR="00231A3A">
        <w:t xml:space="preserve">, in making this final decision I consider that restrictions on container size </w:t>
      </w:r>
      <w:r w:rsidR="00DA6974">
        <w:t xml:space="preserve">are inappropriate </w:t>
      </w:r>
      <w:proofErr w:type="gramStart"/>
      <w:r w:rsidR="00DA6974">
        <w:t>at this time</w:t>
      </w:r>
      <w:proofErr w:type="gramEnd"/>
      <w:r w:rsidR="00DA6974">
        <w:t xml:space="preserve">. </w:t>
      </w:r>
    </w:p>
    <w:p w14:paraId="45019B21" w14:textId="63F42187" w:rsidR="003F0C0E" w:rsidRDefault="001F70C0" w:rsidP="004B32D0">
      <w:r>
        <w:t xml:space="preserve">I acknowledge the concerns raised in the submission from the NSW </w:t>
      </w:r>
      <w:r w:rsidR="000B638E">
        <w:t>PIC</w:t>
      </w:r>
      <w:r>
        <w:t xml:space="preserve">, which included recommendations for further measures to </w:t>
      </w:r>
      <w:r w:rsidR="00231A3A">
        <w:t>control</w:t>
      </w:r>
      <w:r>
        <w:t xml:space="preserve"> the misuse of sodium nitrite. </w:t>
      </w:r>
      <w:r w:rsidR="003F0C0E">
        <w:t>T</w:t>
      </w:r>
      <w:r w:rsidR="00B90214">
        <w:t xml:space="preserve">he </w:t>
      </w:r>
      <w:r w:rsidR="00AF79D1">
        <w:t>standardisation of substance handling across all jurisdictions</w:t>
      </w:r>
      <w:r w:rsidR="00B90214">
        <w:t xml:space="preserve"> </w:t>
      </w:r>
      <w:r w:rsidR="00CD71F4">
        <w:t xml:space="preserve">is at the discretion of the States and Territories given they implement and enforce </w:t>
      </w:r>
      <w:r w:rsidR="00B90214">
        <w:t xml:space="preserve">controls </w:t>
      </w:r>
      <w:r w:rsidR="00CD71F4">
        <w:t>established in the Poisons Standard</w:t>
      </w:r>
      <w:r w:rsidR="00B90214">
        <w:t xml:space="preserve">. </w:t>
      </w:r>
      <w:proofErr w:type="gramStart"/>
      <w:r w:rsidR="00B90214">
        <w:t>Generally</w:t>
      </w:r>
      <w:proofErr w:type="gramEnd"/>
      <w:r w:rsidR="00B90214">
        <w:t xml:space="preserve"> these controls flow from the schedule in which the poison has been included</w:t>
      </w:r>
      <w:r w:rsidR="009D3971">
        <w:t>. H</w:t>
      </w:r>
      <w:r w:rsidR="00B90214">
        <w:t>owever</w:t>
      </w:r>
      <w:r w:rsidR="009D3971">
        <w:t>,</w:t>
      </w:r>
      <w:r w:rsidR="00B90214">
        <w:t xml:space="preserve"> particularly in the case of Schedule 6 substances such as sodium nitrite, there can be significant differences in the </w:t>
      </w:r>
      <w:r w:rsidR="00443228">
        <w:t>controls</w:t>
      </w:r>
      <w:r w:rsidR="00B90214">
        <w:t xml:space="preserve"> </w:t>
      </w:r>
      <w:r w:rsidR="00443228">
        <w:t xml:space="preserve">on supply and distribution </w:t>
      </w:r>
      <w:r w:rsidR="00830210">
        <w:t xml:space="preserve">according to the relevant legislation in each </w:t>
      </w:r>
      <w:r w:rsidR="00B90214">
        <w:t xml:space="preserve">jurisdiction. </w:t>
      </w:r>
      <w:r w:rsidR="00CD71F4">
        <w:t>Ultimately the scheduling framework acknowledges that States and Territories have the discretion to determine what are the appropriate controls implemented in their jurisdiction.</w:t>
      </w:r>
    </w:p>
    <w:p w14:paraId="2C2D300D" w14:textId="5FFBD087" w:rsidR="001F70C0" w:rsidRDefault="00B90214" w:rsidP="004B32D0">
      <w:r>
        <w:lastRenderedPageBreak/>
        <w:t xml:space="preserve">I </w:t>
      </w:r>
      <w:r w:rsidR="003F0C0E">
        <w:t xml:space="preserve">have </w:t>
      </w:r>
      <w:r>
        <w:t>consider</w:t>
      </w:r>
      <w:r w:rsidR="003F0C0E">
        <w:t>ed</w:t>
      </w:r>
      <w:r>
        <w:t xml:space="preserve"> t</w:t>
      </w:r>
      <w:r w:rsidR="00AF79D1">
        <w:t xml:space="preserve">he </w:t>
      </w:r>
      <w:r w:rsidR="003F0C0E">
        <w:t>NSW PIC’s suggestion o</w:t>
      </w:r>
      <w:r w:rsidR="00444342">
        <w:t>f</w:t>
      </w:r>
      <w:r w:rsidR="003F0C0E">
        <w:t xml:space="preserve"> restrictions on purchaser identity, such as the </w:t>
      </w:r>
      <w:r w:rsidR="00AF79D1">
        <w:t>prevention of direct personal importation and person-to-person sales</w:t>
      </w:r>
      <w:r w:rsidR="003F0C0E">
        <w:t xml:space="preserve"> of sodium nitrite.</w:t>
      </w:r>
      <w:r>
        <w:t xml:space="preserve"> </w:t>
      </w:r>
      <w:r w:rsidR="00444342">
        <w:t xml:space="preserve">While I consider </w:t>
      </w:r>
      <w:r w:rsidR="003F0C0E">
        <w:t xml:space="preserve">these measures </w:t>
      </w:r>
      <w:r>
        <w:t xml:space="preserve">to be potentially </w:t>
      </w:r>
      <w:r w:rsidR="001F70C0">
        <w:t xml:space="preserve">effective in </w:t>
      </w:r>
      <w:r w:rsidR="00443228">
        <w:t xml:space="preserve">mitigating </w:t>
      </w:r>
      <w:r w:rsidR="001F70C0">
        <w:t xml:space="preserve">the public health risks associated with </w:t>
      </w:r>
      <w:r w:rsidR="00AF79D1">
        <w:t>sodium nitrite</w:t>
      </w:r>
      <w:r w:rsidR="003F0C0E">
        <w:t>,</w:t>
      </w:r>
      <w:r w:rsidR="00444342">
        <w:t xml:space="preserve"> </w:t>
      </w:r>
      <w:r w:rsidR="003A3827">
        <w:t xml:space="preserve">I do not consider that </w:t>
      </w:r>
      <w:r w:rsidR="00C95EC3">
        <w:t>such restrictions</w:t>
      </w:r>
      <w:r w:rsidR="00444342">
        <w:t xml:space="preserve"> are </w:t>
      </w:r>
      <w:r w:rsidR="003A3827">
        <w:t>consistent</w:t>
      </w:r>
      <w:r w:rsidR="00444342">
        <w:t xml:space="preserve"> with the Schedule </w:t>
      </w:r>
      <w:r w:rsidR="00432E1E">
        <w:t>6</w:t>
      </w:r>
      <w:r w:rsidR="00444342">
        <w:t xml:space="preserve"> scheduling factors. </w:t>
      </w:r>
      <w:r w:rsidR="00350B20">
        <w:t>Moreover</w:t>
      </w:r>
      <w:r w:rsidR="00444342">
        <w:t xml:space="preserve">, significant hurdles exist to the implementation </w:t>
      </w:r>
      <w:r w:rsidR="00830210">
        <w:t xml:space="preserve">and enforcement </w:t>
      </w:r>
      <w:r w:rsidR="00444342">
        <w:t>of such measures</w:t>
      </w:r>
      <w:r w:rsidR="00830210">
        <w:t xml:space="preserve"> by States and Territories</w:t>
      </w:r>
      <w:r w:rsidR="00443228">
        <w:t>, particular</w:t>
      </w:r>
      <w:r w:rsidR="000B3129">
        <w:t>ly</w:t>
      </w:r>
      <w:r w:rsidR="00443228">
        <w:t xml:space="preserve"> in cases involving online sales to private purchasers</w:t>
      </w:r>
      <w:r w:rsidR="00444342">
        <w:t>.</w:t>
      </w:r>
      <w:r w:rsidR="001F70C0">
        <w:t xml:space="preserve"> </w:t>
      </w:r>
      <w:r w:rsidR="00AC6EDC">
        <w:t>This may involve changes to State and Territory medicine</w:t>
      </w:r>
      <w:r w:rsidR="00CD71F4">
        <w:t>s</w:t>
      </w:r>
      <w:r w:rsidR="00AC6EDC">
        <w:t xml:space="preserve"> and poisons, and potentially other, legislation and regulatory frameworks. </w:t>
      </w:r>
      <w:r w:rsidR="00830210">
        <w:t xml:space="preserve">In view of these challenges, I am not satisfied that an amendment to the Poisons Standard is the appropriate means to introduce such controls. </w:t>
      </w:r>
      <w:r w:rsidR="000B638E">
        <w:t xml:space="preserve">I acknowledge the important work already done by </w:t>
      </w:r>
      <w:r w:rsidR="003F0C0E">
        <w:t>S</w:t>
      </w:r>
      <w:r w:rsidR="000B638E">
        <w:t xml:space="preserve">tate and </w:t>
      </w:r>
      <w:r w:rsidR="003F0C0E">
        <w:t>T</w:t>
      </w:r>
      <w:r w:rsidR="000B638E">
        <w:t xml:space="preserve">erritory authorities in </w:t>
      </w:r>
      <w:r w:rsidR="00536CF7">
        <w:t xml:space="preserve">addressing </w:t>
      </w:r>
      <w:r w:rsidR="000B638E">
        <w:t xml:space="preserve">the misuse of sodium nitrite; the scheduling of this substance in the Poisons Standard should be viewed as a supplementary measure to regulations already </w:t>
      </w:r>
      <w:r w:rsidR="00AF79D1">
        <w:t>instituted by these bodies</w:t>
      </w:r>
      <w:r w:rsidR="000B638E">
        <w:t xml:space="preserve">. </w:t>
      </w:r>
      <w:r w:rsidR="001F70C0">
        <w:t>The measures suggested in th</w:t>
      </w:r>
      <w:r w:rsidR="000B638E">
        <w:t>e NSW PIC</w:t>
      </w:r>
      <w:r w:rsidR="001F70C0">
        <w:t xml:space="preserve"> submission </w:t>
      </w:r>
      <w:r w:rsidR="00350B20">
        <w:t>could</w:t>
      </w:r>
      <w:r w:rsidR="001F70C0">
        <w:t xml:space="preserve"> be considered </w:t>
      </w:r>
      <w:r w:rsidR="00AF79D1">
        <w:t xml:space="preserve">by other </w:t>
      </w:r>
      <w:r w:rsidR="007C3B20">
        <w:t xml:space="preserve">regulatory </w:t>
      </w:r>
      <w:r w:rsidR="00AF79D1">
        <w:t xml:space="preserve">bodies </w:t>
      </w:r>
      <w:r w:rsidR="001F70C0">
        <w:t xml:space="preserve">in future </w:t>
      </w:r>
      <w:r w:rsidR="00AF79D1">
        <w:t xml:space="preserve">action </w:t>
      </w:r>
      <w:r w:rsidR="005E7BE6">
        <w:t>targeting the misuse of</w:t>
      </w:r>
      <w:r w:rsidR="001F70C0">
        <w:t xml:space="preserve"> sodium nitrite, should </w:t>
      </w:r>
      <w:r w:rsidR="0047023B">
        <w:t>this</w:t>
      </w:r>
      <w:r w:rsidR="00AF79D1">
        <w:t xml:space="preserve"> scheduling</w:t>
      </w:r>
      <w:r w:rsidR="0047023B">
        <w:t xml:space="preserve"> amendment </w:t>
      </w:r>
      <w:r w:rsidR="001F70C0">
        <w:t xml:space="preserve">prove not to be sufficiently effective in </w:t>
      </w:r>
      <w:r w:rsidR="00231A3A">
        <w:t>restricting</w:t>
      </w:r>
      <w:r w:rsidR="00AF79D1">
        <w:t xml:space="preserve"> </w:t>
      </w:r>
      <w:r w:rsidR="001F70C0">
        <w:t>the misuse of the substance.</w:t>
      </w:r>
    </w:p>
    <w:p w14:paraId="3B56B2BB" w14:textId="0A440EDA" w:rsidR="001F70C0" w:rsidRDefault="001F70C0" w:rsidP="004B32D0">
      <w:r>
        <w:t xml:space="preserve">I have </w:t>
      </w:r>
      <w:r w:rsidR="00AA728E">
        <w:t xml:space="preserve">elected </w:t>
      </w:r>
      <w:r w:rsidR="00AA728E" w:rsidRPr="00AA728E">
        <w:t xml:space="preserve">to </w:t>
      </w:r>
      <w:r w:rsidR="004734F0">
        <w:t>postpone</w:t>
      </w:r>
      <w:r w:rsidRPr="000841DC">
        <w:t xml:space="preserve"> the implementation date </w:t>
      </w:r>
      <w:r w:rsidR="004734F0">
        <w:t>proposed</w:t>
      </w:r>
      <w:r w:rsidRPr="000841DC">
        <w:t xml:space="preserve"> in the interim decision</w:t>
      </w:r>
      <w:r w:rsidR="004734F0">
        <w:t xml:space="preserve"> to ensure sufficient time is given to industry affected by the changes to the scheduling of sodium nitrite</w:t>
      </w:r>
      <w:r w:rsidRPr="00AA728E">
        <w:t>.</w:t>
      </w:r>
    </w:p>
    <w:p w14:paraId="62D1F954" w14:textId="7BFA1466" w:rsidR="00F41DCE" w:rsidRDefault="00500CA5" w:rsidP="00F41DCE">
      <w:pPr>
        <w:pStyle w:val="Heading5"/>
      </w:pPr>
      <w:r>
        <w:t>Implementation date</w:t>
      </w:r>
      <w:r w:rsidR="00F41DCE">
        <w:t xml:space="preserve"> </w:t>
      </w:r>
    </w:p>
    <w:p w14:paraId="0CFD3B62" w14:textId="5A7BAB06" w:rsidR="00500CA5" w:rsidRPr="000B1220" w:rsidRDefault="00500CA5" w:rsidP="00500CA5">
      <w:pPr>
        <w:spacing w:after="240"/>
        <w:rPr>
          <w:rFonts w:asciiTheme="minorHAnsi" w:hAnsiTheme="minorHAnsi"/>
          <w:bCs/>
          <w:szCs w:val="22"/>
        </w:rPr>
      </w:pPr>
      <w:r w:rsidRPr="00AD5029">
        <w:rPr>
          <w:b/>
        </w:rPr>
        <w:t xml:space="preserve">1 </w:t>
      </w:r>
      <w:r w:rsidR="00E646A5">
        <w:rPr>
          <w:b/>
        </w:rPr>
        <w:t xml:space="preserve">June </w:t>
      </w:r>
      <w:r>
        <w:rPr>
          <w:b/>
        </w:rPr>
        <w:t>2022</w:t>
      </w:r>
    </w:p>
    <w:p w14:paraId="29F50892" w14:textId="77777777" w:rsidR="00E06A1B" w:rsidRDefault="00E06A1B" w:rsidP="00E06A1B">
      <w:pPr>
        <w:rPr>
          <w:highlight w:val="yellow"/>
        </w:rPr>
      </w:pPr>
    </w:p>
    <w:sectPr w:rsidR="00E06A1B" w:rsidSect="003A48A2">
      <w:headerReference w:type="default" r:id="rId27"/>
      <w:footerReference w:type="default" r:id="rId28"/>
      <w:headerReference w:type="first" r:id="rId29"/>
      <w:footerReference w:type="first" r:id="rId30"/>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145AD" w14:textId="77777777" w:rsidR="00866ED5" w:rsidRDefault="00866ED5" w:rsidP="00C40A36">
      <w:pPr>
        <w:spacing w:after="0"/>
      </w:pPr>
      <w:r>
        <w:separator/>
      </w:r>
    </w:p>
  </w:endnote>
  <w:endnote w:type="continuationSeparator" w:id="0">
    <w:p w14:paraId="02D234D1" w14:textId="77777777" w:rsidR="00866ED5" w:rsidRDefault="00866ED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E40BD2" w:rsidRPr="00257138" w14:paraId="14B40608" w14:textId="77777777" w:rsidTr="009B00CC">
      <w:trPr>
        <w:trHeight w:val="423"/>
      </w:trPr>
      <w:tc>
        <w:tcPr>
          <w:tcW w:w="7338" w:type="dxa"/>
          <w:tcBorders>
            <w:top w:val="single" w:sz="4" w:space="0" w:color="auto"/>
          </w:tcBorders>
        </w:tcPr>
        <w:p w14:paraId="01C0B506" w14:textId="77777777" w:rsidR="00E40BD2" w:rsidRDefault="00E40BD2" w:rsidP="003F3095">
          <w:pPr>
            <w:pStyle w:val="Footer"/>
          </w:pPr>
          <w:r>
            <w:t>Record of the 29th meeting of the Advisory Committee on Medicines Scheduling</w:t>
          </w:r>
        </w:p>
        <w:p w14:paraId="5C7A2176" w14:textId="13ECDCE6" w:rsidR="00E40BD2" w:rsidRPr="00257138" w:rsidRDefault="00E40BD2"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E40BD2" w:rsidRDefault="00E40BD2" w:rsidP="00782870">
              <w:pPr>
                <w:pStyle w:val="Footer"/>
                <w:jc w:val="right"/>
              </w:pPr>
            </w:p>
            <w:p w14:paraId="650BE744" w14:textId="5D1E5ACA" w:rsidR="00E40BD2" w:rsidRPr="00257138" w:rsidRDefault="00E40BD2" w:rsidP="00782870">
              <w:pPr>
                <w:pStyle w:val="Footer"/>
                <w:jc w:val="right"/>
              </w:pPr>
              <w:r w:rsidRPr="00257138">
                <w:t xml:space="preserve">Page </w:t>
              </w:r>
              <w:r>
                <w:fldChar w:fldCharType="begin"/>
              </w:r>
              <w:r>
                <w:instrText xml:space="preserve"> PAGE </w:instrText>
              </w:r>
              <w:r>
                <w:fldChar w:fldCharType="separate"/>
              </w:r>
              <w:r w:rsidR="00ED6B23">
                <w:rPr>
                  <w:noProof/>
                </w:rPr>
                <w:t>2</w:t>
              </w:r>
              <w:r>
                <w:rPr>
                  <w:noProof/>
                </w:rPr>
                <w:fldChar w:fldCharType="end"/>
              </w:r>
              <w:r w:rsidRPr="00257138">
                <w:t xml:space="preserve"> of </w:t>
              </w:r>
              <w:fldSimple w:instr=" NUMPAGES  ">
                <w:r w:rsidR="00ED6B23">
                  <w:rPr>
                    <w:noProof/>
                  </w:rPr>
                  <w:t>6</w:t>
                </w:r>
              </w:fldSimple>
            </w:p>
          </w:sdtContent>
        </w:sdt>
      </w:tc>
    </w:tr>
    <w:tr w:rsidR="00E40BD2" w:rsidRPr="00257138" w14:paraId="10AB8BED" w14:textId="77777777" w:rsidTr="009B00CC">
      <w:trPr>
        <w:trHeight w:val="263"/>
      </w:trPr>
      <w:tc>
        <w:tcPr>
          <w:tcW w:w="7338" w:type="dxa"/>
        </w:tcPr>
        <w:p w14:paraId="59580AB7" w14:textId="19B73688" w:rsidR="00E40BD2" w:rsidRPr="00257138" w:rsidRDefault="00E40BD2" w:rsidP="00782870">
          <w:pPr>
            <w:pStyle w:val="Footer"/>
          </w:pPr>
        </w:p>
      </w:tc>
      <w:tc>
        <w:tcPr>
          <w:tcW w:w="1382" w:type="dxa"/>
        </w:tcPr>
        <w:p w14:paraId="219FF5F5" w14:textId="77777777" w:rsidR="00E40BD2" w:rsidRPr="00257138" w:rsidRDefault="00E40BD2" w:rsidP="00782870">
          <w:pPr>
            <w:pStyle w:val="Footer"/>
            <w:jc w:val="right"/>
          </w:pPr>
        </w:p>
      </w:tc>
    </w:tr>
  </w:tbl>
  <w:p w14:paraId="2023C75C" w14:textId="77777777" w:rsidR="00E40BD2" w:rsidRPr="00826007" w:rsidRDefault="00E40BD2"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E40BD2" w:rsidRPr="00257138" w14:paraId="11075AFF" w14:textId="77777777" w:rsidTr="009468C6">
      <w:trPr>
        <w:trHeight w:val="423"/>
      </w:trPr>
      <w:tc>
        <w:tcPr>
          <w:tcW w:w="7338" w:type="dxa"/>
        </w:tcPr>
        <w:p w14:paraId="13E7B9DF" w14:textId="6DCC47DC" w:rsidR="00E40BD2" w:rsidRPr="00257138" w:rsidRDefault="00516E40">
          <w:pPr>
            <w:pStyle w:val="Footer"/>
          </w:pPr>
          <w:r>
            <w:t>Delegate’s final decision and reasons for decision</w:t>
          </w:r>
          <w:r w:rsidR="00CD1CE5">
            <w:t xml:space="preserve"> – sodium nitrite</w:t>
          </w:r>
          <w:r>
            <w:t xml:space="preserve"> (</w:t>
          </w:r>
          <w:r w:rsidR="00E81BC9">
            <w:t>Joint ACMS-ACCS #</w:t>
          </w:r>
          <w:r w:rsidR="00CD1CE5">
            <w:t>28</w:t>
          </w:r>
          <w:r w:rsidR="00E81BC9">
            <w:t>,</w:t>
          </w:r>
          <w:r>
            <w:t xml:space="preserve"> </w:t>
          </w:r>
          <w:r w:rsidR="00CD1CE5">
            <w:t>June 2021</w:t>
          </w:r>
          <w:r>
            <w:t>)</w:t>
          </w:r>
        </w:p>
      </w:tc>
      <w:tc>
        <w:tcPr>
          <w:tcW w:w="1382" w:type="dxa"/>
        </w:tcPr>
        <w:sdt>
          <w:sdtPr>
            <w:id w:val="6788836"/>
            <w:docPartObj>
              <w:docPartGallery w:val="Page Numbers (Top of Page)"/>
              <w:docPartUnique/>
            </w:docPartObj>
          </w:sdtPr>
          <w:sdtEndPr/>
          <w:sdtContent>
            <w:p w14:paraId="3BD26206" w14:textId="6FC9739A" w:rsidR="00E40BD2" w:rsidRPr="00257138" w:rsidRDefault="00E40BD2" w:rsidP="009468C6">
              <w:pPr>
                <w:pStyle w:val="Footer"/>
                <w:jc w:val="right"/>
              </w:pPr>
              <w:r w:rsidRPr="00257138">
                <w:t xml:space="preserve">Page </w:t>
              </w:r>
              <w:r>
                <w:fldChar w:fldCharType="begin"/>
              </w:r>
              <w:r>
                <w:instrText xml:space="preserve"> PAGE </w:instrText>
              </w:r>
              <w:r>
                <w:fldChar w:fldCharType="separate"/>
              </w:r>
              <w:r w:rsidR="004B32D0">
                <w:rPr>
                  <w:noProof/>
                </w:rPr>
                <w:t>14</w:t>
              </w:r>
              <w:r>
                <w:fldChar w:fldCharType="end"/>
              </w:r>
              <w:r w:rsidRPr="00257138">
                <w:t xml:space="preserve"> of </w:t>
              </w:r>
              <w:fldSimple w:instr=" NUMPAGES  ">
                <w:r w:rsidR="004B32D0">
                  <w:rPr>
                    <w:noProof/>
                  </w:rPr>
                  <w:t>14</w:t>
                </w:r>
              </w:fldSimple>
            </w:p>
          </w:sdtContent>
        </w:sdt>
      </w:tc>
    </w:tr>
  </w:tbl>
  <w:p w14:paraId="623AA1CE" w14:textId="77777777" w:rsidR="00E40BD2" w:rsidRPr="00826007" w:rsidRDefault="00E40BD2"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E40BD2" w:rsidRPr="00257138" w14:paraId="76052F65" w14:textId="77777777" w:rsidTr="003A48A2">
      <w:trPr>
        <w:trHeight w:val="423"/>
      </w:trPr>
      <w:tc>
        <w:tcPr>
          <w:tcW w:w="7338" w:type="dxa"/>
        </w:tcPr>
        <w:p w14:paraId="6A331473" w14:textId="41A32379" w:rsidR="00E40BD2" w:rsidRPr="00257138" w:rsidRDefault="00251F87">
          <w:pPr>
            <w:pStyle w:val="Footer"/>
          </w:pPr>
          <w:r>
            <w:t>Delegate’s final decision and reasons for decision – sodium nitrite (Joint ACMS-ACCS #28, June 2021)</w:t>
          </w:r>
        </w:p>
      </w:tc>
      <w:tc>
        <w:tcPr>
          <w:tcW w:w="1382" w:type="dxa"/>
        </w:tcPr>
        <w:sdt>
          <w:sdtPr>
            <w:id w:val="5342774"/>
            <w:docPartObj>
              <w:docPartGallery w:val="Page Numbers (Top of Page)"/>
              <w:docPartUnique/>
            </w:docPartObj>
          </w:sdtPr>
          <w:sdtEndPr/>
          <w:sdtContent>
            <w:p w14:paraId="44A48167" w14:textId="61F6DDC7" w:rsidR="00E40BD2" w:rsidRPr="00257138" w:rsidRDefault="00E40BD2" w:rsidP="003A48A2">
              <w:pPr>
                <w:pStyle w:val="Footer"/>
                <w:jc w:val="right"/>
              </w:pPr>
              <w:r w:rsidRPr="00257138">
                <w:t xml:space="preserve">Page </w:t>
              </w:r>
              <w:r>
                <w:fldChar w:fldCharType="begin"/>
              </w:r>
              <w:r>
                <w:instrText xml:space="preserve"> PAGE </w:instrText>
              </w:r>
              <w:r>
                <w:fldChar w:fldCharType="separate"/>
              </w:r>
              <w:r w:rsidR="004B32D0">
                <w:rPr>
                  <w:noProof/>
                </w:rPr>
                <w:t>2</w:t>
              </w:r>
              <w:r>
                <w:rPr>
                  <w:noProof/>
                </w:rPr>
                <w:fldChar w:fldCharType="end"/>
              </w:r>
              <w:r w:rsidRPr="00257138">
                <w:t xml:space="preserve"> of </w:t>
              </w:r>
              <w:fldSimple w:instr=" NUMPAGES  ">
                <w:r w:rsidR="004B32D0">
                  <w:rPr>
                    <w:noProof/>
                  </w:rPr>
                  <w:t>14</w:t>
                </w:r>
              </w:fldSimple>
            </w:p>
          </w:sdtContent>
        </w:sdt>
      </w:tc>
    </w:tr>
  </w:tbl>
  <w:p w14:paraId="3FF833DF" w14:textId="77777777" w:rsidR="00E40BD2" w:rsidRDefault="00E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943DE" w14:textId="77777777" w:rsidR="00866ED5" w:rsidRDefault="00866ED5" w:rsidP="00C40A36">
      <w:pPr>
        <w:spacing w:after="0"/>
      </w:pPr>
      <w:r>
        <w:separator/>
      </w:r>
    </w:p>
  </w:footnote>
  <w:footnote w:type="continuationSeparator" w:id="0">
    <w:p w14:paraId="3956A877" w14:textId="77777777" w:rsidR="00866ED5" w:rsidRDefault="00866ED5" w:rsidP="00C40A36">
      <w:pPr>
        <w:spacing w:after="0"/>
      </w:pPr>
      <w:r>
        <w:continuationSeparator/>
      </w:r>
    </w:p>
  </w:footnote>
  <w:footnote w:id="1">
    <w:p w14:paraId="14AA5C96" w14:textId="77777777" w:rsidR="002F0A92" w:rsidRDefault="002F0A92" w:rsidP="002F0A92">
      <w:pPr>
        <w:pStyle w:val="FootnoteText"/>
      </w:pPr>
      <w:r>
        <w:rPr>
          <w:rStyle w:val="FootnoteReference"/>
        </w:rPr>
        <w:footnoteRef/>
      </w:r>
      <w:r>
        <w:t xml:space="preserve"> </w:t>
      </w:r>
      <w:hyperlink r:id="rId1" w:history="1">
        <w:r>
          <w:rPr>
            <w:rStyle w:val="Hyperlink"/>
          </w:rPr>
          <w:t>[PDF] 2E.005 Toxicovigilance for suicide prevention following Internet promotion of sodium nitrite | Semantic Scholar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E40BD2" w:rsidRPr="00DA24C7" w14:paraId="081A8C01" w14:textId="77777777" w:rsidTr="00F923D6">
      <w:trPr>
        <w:trHeight w:val="709"/>
      </w:trPr>
      <w:tc>
        <w:tcPr>
          <w:tcW w:w="4035" w:type="dxa"/>
        </w:tcPr>
        <w:p w14:paraId="32A34B13" w14:textId="77777777" w:rsidR="00E40BD2" w:rsidRPr="00DA24C7" w:rsidRDefault="00E40BD2"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E40BD2" w:rsidRPr="000F5176" w:rsidRDefault="00E40BD2" w:rsidP="000F5176">
          <w:pPr>
            <w:pStyle w:val="HeaderNoLine"/>
            <w:rPr>
              <w:rStyle w:val="HeaderChar"/>
            </w:rPr>
          </w:pPr>
          <w:r w:rsidRPr="000F5176">
            <w:t>Therapeutic Goods Administration</w:t>
          </w:r>
        </w:p>
      </w:tc>
    </w:tr>
  </w:tbl>
  <w:p w14:paraId="7D79B037" w14:textId="77777777" w:rsidR="00E40BD2" w:rsidRDefault="00E40BD2"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314CE" w14:textId="28BF94E3" w:rsidR="00E40BD2" w:rsidRDefault="00E40BD2" w:rsidP="006E08B3">
    <w:pPr>
      <w:rPr>
        <w:noProof/>
      </w:rPr>
    </w:pPr>
    <w:r w:rsidRPr="00E57B71">
      <w:rPr>
        <w:noProof/>
        <w:lang w:eastAsia="en-AU"/>
      </w:rPr>
      <w:drawing>
        <wp:anchor distT="0" distB="0" distL="114300" distR="114300" simplePos="0" relativeHeight="251660288" behindDoc="0" locked="0" layoutInCell="1" allowOverlap="1" wp14:anchorId="4ED3BB99" wp14:editId="491EAEE4">
          <wp:simplePos x="0" y="0"/>
          <wp:positionH relativeFrom="column">
            <wp:posOffset>-195580</wp:posOffset>
          </wp:positionH>
          <wp:positionV relativeFrom="paragraph">
            <wp:posOffset>-58420</wp:posOffset>
          </wp:positionV>
          <wp:extent cx="3524250" cy="1209675"/>
          <wp:effectExtent l="19050" t="0" r="0" b="0"/>
          <wp:wrapTopAndBottom/>
          <wp:docPr id="25" name="Picture 25"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E40BD2" w:rsidRPr="00DE02AE" w14:paraId="6C8DF45D" w14:textId="77777777" w:rsidTr="00782870">
      <w:trPr>
        <w:trHeight w:hRule="exact" w:val="8845"/>
      </w:trPr>
      <w:tc>
        <w:tcPr>
          <w:tcW w:w="11964" w:type="dxa"/>
        </w:tcPr>
        <w:p w14:paraId="1F71D1E5" w14:textId="79F6BD1B" w:rsidR="00E40BD2" w:rsidRPr="00DE02AE" w:rsidRDefault="00597B50" w:rsidP="00782870">
          <w:pPr>
            <w:pStyle w:val="Date"/>
            <w:ind w:left="-28"/>
          </w:pPr>
          <w:r w:rsidRPr="002B29B2">
            <w:rPr>
              <w:noProof/>
              <w:lang w:eastAsia="en-AU"/>
            </w:rPr>
            <w:drawing>
              <wp:anchor distT="0" distB="0" distL="114300" distR="114300" simplePos="0" relativeHeight="251662336" behindDoc="0" locked="0" layoutInCell="0" allowOverlap="1" wp14:anchorId="61F4C4D4" wp14:editId="6CE3D825">
                <wp:simplePos x="0" y="0"/>
                <wp:positionH relativeFrom="page">
                  <wp:posOffset>-22225</wp:posOffset>
                </wp:positionH>
                <wp:positionV relativeFrom="page">
                  <wp:posOffset>-44450</wp:posOffset>
                </wp:positionV>
                <wp:extent cx="7581900" cy="2447925"/>
                <wp:effectExtent l="19050" t="0" r="0" b="0"/>
                <wp:wrapNone/>
                <wp:docPr id="28" name="Picture 2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tc>
    </w:tr>
  </w:tbl>
  <w:p w14:paraId="1CE47A24" w14:textId="6D657221" w:rsidR="00E40BD2" w:rsidRDefault="00E40BD2" w:rsidP="006D03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E40BD2" w:rsidRPr="00DA24C7" w14:paraId="7C724D59" w14:textId="77777777" w:rsidTr="00C6376F">
      <w:trPr>
        <w:trHeight w:val="558"/>
      </w:trPr>
      <w:tc>
        <w:tcPr>
          <w:tcW w:w="4035" w:type="dxa"/>
          <w:vAlign w:val="center"/>
        </w:tcPr>
        <w:p w14:paraId="047292FC" w14:textId="62B95FE3" w:rsidR="00E40BD2" w:rsidRPr="00EB74A7" w:rsidRDefault="00E40BD2" w:rsidP="00C6376F">
          <w:pPr>
            <w:rPr>
              <w:rStyle w:val="HeaderChar"/>
              <w:rFonts w:ascii="Arial" w:hAnsi="Arial" w:cs="Arial"/>
              <w:b/>
              <w:sz w:val="28"/>
              <w:szCs w:val="28"/>
            </w:rPr>
          </w:pPr>
        </w:p>
      </w:tc>
      <w:tc>
        <w:tcPr>
          <w:tcW w:w="4685" w:type="dxa"/>
          <w:vAlign w:val="center"/>
        </w:tcPr>
        <w:p w14:paraId="3A7D855E" w14:textId="77777777" w:rsidR="00E40BD2" w:rsidRPr="000F5176" w:rsidRDefault="00E40BD2" w:rsidP="00C6376F">
          <w:pPr>
            <w:pStyle w:val="HeaderNoLine"/>
            <w:rPr>
              <w:rStyle w:val="HeaderChar"/>
            </w:rPr>
          </w:pPr>
          <w:r w:rsidRPr="000F5176">
            <w:t>Therapeutic Goods Administration</w:t>
          </w:r>
        </w:p>
      </w:tc>
    </w:tr>
  </w:tbl>
  <w:p w14:paraId="480E463E" w14:textId="77777777" w:rsidR="00E40BD2" w:rsidRDefault="00E40BD2" w:rsidP="001017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E40BD2" w:rsidRPr="00DA24C7" w14:paraId="28E03D4B" w14:textId="77777777" w:rsidTr="00C6376F">
      <w:trPr>
        <w:trHeight w:val="558"/>
      </w:trPr>
      <w:tc>
        <w:tcPr>
          <w:tcW w:w="4035" w:type="dxa"/>
        </w:tcPr>
        <w:p w14:paraId="02A4F856" w14:textId="69123A4C" w:rsidR="00E40BD2" w:rsidRPr="00EB74A7" w:rsidRDefault="00E40BD2" w:rsidP="00C6376F">
          <w:pPr>
            <w:pStyle w:val="HeaderNoLine"/>
            <w:jc w:val="left"/>
            <w:rPr>
              <w:rStyle w:val="HeaderChar"/>
              <w:rFonts w:ascii="Arial" w:hAnsi="Arial" w:cs="Arial"/>
              <w:b/>
              <w:sz w:val="28"/>
              <w:szCs w:val="28"/>
            </w:rPr>
          </w:pPr>
        </w:p>
      </w:tc>
      <w:tc>
        <w:tcPr>
          <w:tcW w:w="4685" w:type="dxa"/>
          <w:vAlign w:val="center"/>
        </w:tcPr>
        <w:p w14:paraId="0DD7BFA8" w14:textId="77777777" w:rsidR="00E40BD2" w:rsidRPr="000F5176" w:rsidRDefault="00E40BD2" w:rsidP="00C6376F">
          <w:pPr>
            <w:pStyle w:val="HeaderNoLine"/>
            <w:rPr>
              <w:rStyle w:val="HeaderChar"/>
            </w:rPr>
          </w:pPr>
          <w:r w:rsidRPr="000F5176">
            <w:t>Therapeutic Goods Administration</w:t>
          </w:r>
        </w:p>
      </w:tc>
    </w:tr>
  </w:tbl>
  <w:p w14:paraId="3D9C25A3" w14:textId="77777777" w:rsidR="00E40BD2" w:rsidRDefault="00E40BD2" w:rsidP="008D7B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57877E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E7AC12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92F58"/>
    <w:multiLevelType w:val="hybridMultilevel"/>
    <w:tmpl w:val="231C4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4F666D4"/>
    <w:multiLevelType w:val="hybridMultilevel"/>
    <w:tmpl w:val="5F34CF6C"/>
    <w:lvl w:ilvl="0" w:tplc="068EF09E">
      <w:start w:val="1"/>
      <w:numFmt w:val="lowerRoman"/>
      <w:lvlText w:val="%1)"/>
      <w:lvlJc w:val="left"/>
      <w:pPr>
        <w:ind w:left="1440" w:hanging="360"/>
      </w:pPr>
      <w:rPr>
        <w:rFonts w:hint="default"/>
        <w:color w:val="FF000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6DF3123"/>
    <w:multiLevelType w:val="hybridMultilevel"/>
    <w:tmpl w:val="50F2B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0034681"/>
    <w:multiLevelType w:val="hybridMultilevel"/>
    <w:tmpl w:val="FB3E1B4C"/>
    <w:lvl w:ilvl="0" w:tplc="985EB8BC">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217E0FF4"/>
    <w:multiLevelType w:val="multilevel"/>
    <w:tmpl w:val="1E4A77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C07C2A"/>
    <w:multiLevelType w:val="hybridMultilevel"/>
    <w:tmpl w:val="562E9400"/>
    <w:lvl w:ilvl="0" w:tplc="47D87E42">
      <w:start w:val="4"/>
      <w:numFmt w:val="lowerLetter"/>
      <w:lvlText w:val="%1)"/>
      <w:lvlJc w:val="left"/>
      <w:pPr>
        <w:ind w:left="108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2" w15:restartNumberingAfterBreak="0">
    <w:nsid w:val="2DA42FC5"/>
    <w:multiLevelType w:val="hybridMultilevel"/>
    <w:tmpl w:val="98D249B2"/>
    <w:lvl w:ilvl="0" w:tplc="985EB8B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924211"/>
    <w:multiLevelType w:val="hybridMultilevel"/>
    <w:tmpl w:val="8FE82C6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34625B97"/>
    <w:multiLevelType w:val="hybridMultilevel"/>
    <w:tmpl w:val="17E8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AD004C"/>
    <w:multiLevelType w:val="hybridMultilevel"/>
    <w:tmpl w:val="FD86B702"/>
    <w:lvl w:ilvl="0" w:tplc="985EB8B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93860DD"/>
    <w:multiLevelType w:val="hybridMultilevel"/>
    <w:tmpl w:val="65DE5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A31774"/>
    <w:multiLevelType w:val="multilevel"/>
    <w:tmpl w:val="CD8A9CA6"/>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color w:val="auto"/>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8" w15:restartNumberingAfterBreak="0">
    <w:nsid w:val="3EE35A0F"/>
    <w:multiLevelType w:val="hybridMultilevel"/>
    <w:tmpl w:val="72C42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177943"/>
    <w:multiLevelType w:val="hybridMultilevel"/>
    <w:tmpl w:val="B6CE8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635C35"/>
    <w:multiLevelType w:val="hybridMultilevel"/>
    <w:tmpl w:val="27A412D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1041C1"/>
    <w:multiLevelType w:val="hybridMultilevel"/>
    <w:tmpl w:val="7A14CE1A"/>
    <w:lvl w:ilvl="0" w:tplc="84D0B40A">
      <w:numFmt w:val="bullet"/>
      <w:lvlText w:val="•"/>
      <w:lvlJc w:val="left"/>
      <w:pPr>
        <w:ind w:left="1080" w:hanging="720"/>
      </w:pPr>
      <w:rPr>
        <w:rFonts w:ascii="Cambria" w:eastAsia="Times New Roman" w:hAnsi="Cambria"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262ADC"/>
    <w:multiLevelType w:val="hybridMultilevel"/>
    <w:tmpl w:val="C4AED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0C32A8"/>
    <w:multiLevelType w:val="hybridMultilevel"/>
    <w:tmpl w:val="38627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7556A0"/>
    <w:multiLevelType w:val="hybridMultilevel"/>
    <w:tmpl w:val="08388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58193B"/>
    <w:multiLevelType w:val="hybridMultilevel"/>
    <w:tmpl w:val="5CE08CFE"/>
    <w:lvl w:ilvl="0" w:tplc="76948FAC">
      <w:start w:val="1"/>
      <w:numFmt w:val="lowerLetter"/>
      <w:lvlText w:val="%1)"/>
      <w:lvlJc w:val="left"/>
      <w:pPr>
        <w:ind w:left="720" w:hanging="360"/>
      </w:pPr>
      <w:rPr>
        <w:rFonts w:ascii="Cambria" w:eastAsia="Cambria" w:hAnsi="Cambria" w:cs="Times New Roman"/>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E90EF7"/>
    <w:multiLevelType w:val="hybridMultilevel"/>
    <w:tmpl w:val="BBD4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2936B5"/>
    <w:multiLevelType w:val="hybridMultilevel"/>
    <w:tmpl w:val="F9D290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8" w15:restartNumberingAfterBreak="0">
    <w:nsid w:val="568F7B6F"/>
    <w:multiLevelType w:val="hybridMultilevel"/>
    <w:tmpl w:val="A516C19E"/>
    <w:lvl w:ilvl="0" w:tplc="722A0E08">
      <w:start w:val="1"/>
      <w:numFmt w:val="lowerRoman"/>
      <w:lvlText w:val="%1)"/>
      <w:lvlJc w:val="left"/>
      <w:pPr>
        <w:ind w:left="1800" w:hanging="360"/>
      </w:pPr>
      <w:rPr>
        <w:rFonts w:hint="default"/>
        <w:b w:val="0"/>
        <w:color w:val="FF000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5B0463CA"/>
    <w:multiLevelType w:val="hybridMultilevel"/>
    <w:tmpl w:val="04B04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F54C1F"/>
    <w:multiLevelType w:val="hybridMultilevel"/>
    <w:tmpl w:val="1728C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3566ED"/>
    <w:multiLevelType w:val="hybridMultilevel"/>
    <w:tmpl w:val="BA46C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88087E"/>
    <w:multiLevelType w:val="hybridMultilevel"/>
    <w:tmpl w:val="8AC66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D86CF1"/>
    <w:multiLevelType w:val="hybridMultilevel"/>
    <w:tmpl w:val="6AC2F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442C20"/>
    <w:multiLevelType w:val="hybridMultilevel"/>
    <w:tmpl w:val="E1680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327364"/>
    <w:multiLevelType w:val="multilevel"/>
    <w:tmpl w:val="06869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6F9C1498"/>
    <w:multiLevelType w:val="hybridMultilevel"/>
    <w:tmpl w:val="6D864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6458F6"/>
    <w:multiLevelType w:val="hybridMultilevel"/>
    <w:tmpl w:val="5CBAA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B545FB"/>
    <w:multiLevelType w:val="multilevel"/>
    <w:tmpl w:val="B9AC6BFA"/>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ascii="Cambria" w:eastAsia="Cambria" w:hAnsi="Cambria" w:cs="Times New Roman"/>
      </w:rPr>
    </w:lvl>
    <w:lvl w:ilvl="3">
      <w:start w:val="1"/>
      <w:numFmt w:val="lowerRoman"/>
      <w:lvlText w:val="%4)"/>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num w:numId="1">
    <w:abstractNumId w:val="5"/>
  </w:num>
  <w:num w:numId="2">
    <w:abstractNumId w:val="3"/>
  </w:num>
  <w:num w:numId="3">
    <w:abstractNumId w:val="5"/>
  </w:num>
  <w:num w:numId="4">
    <w:abstractNumId w:val="3"/>
  </w:num>
  <w:num w:numId="5">
    <w:abstractNumId w:val="8"/>
  </w:num>
  <w:num w:numId="6">
    <w:abstractNumId w:val="30"/>
  </w:num>
  <w:num w:numId="7">
    <w:abstractNumId w:val="21"/>
  </w:num>
  <w:num w:numId="8">
    <w:abstractNumId w:val="31"/>
  </w:num>
  <w:num w:numId="9">
    <w:abstractNumId w:val="16"/>
  </w:num>
  <w:num w:numId="10">
    <w:abstractNumId w:val="19"/>
  </w:num>
  <w:num w:numId="11">
    <w:abstractNumId w:val="6"/>
  </w:num>
  <w:num w:numId="12">
    <w:abstractNumId w:val="29"/>
  </w:num>
  <w:num w:numId="13">
    <w:abstractNumId w:val="36"/>
  </w:num>
  <w:num w:numId="14">
    <w:abstractNumId w:val="37"/>
  </w:num>
  <w:num w:numId="15">
    <w:abstractNumId w:val="25"/>
  </w:num>
  <w:num w:numId="16">
    <w:abstractNumId w:val="13"/>
  </w:num>
  <w:num w:numId="17">
    <w:abstractNumId w:val="7"/>
  </w:num>
  <w:num w:numId="18">
    <w:abstractNumId w:val="11"/>
  </w:num>
  <w:num w:numId="19">
    <w:abstractNumId w:val="12"/>
  </w:num>
  <w:num w:numId="20">
    <w:abstractNumId w:val="4"/>
  </w:num>
  <w:num w:numId="21">
    <w:abstractNumId w:val="15"/>
  </w:num>
  <w:num w:numId="22">
    <w:abstractNumId w:val="9"/>
  </w:num>
  <w:num w:numId="23">
    <w:abstractNumId w:val="28"/>
  </w:num>
  <w:num w:numId="24">
    <w:abstractNumId w:val="23"/>
  </w:num>
  <w:num w:numId="25">
    <w:abstractNumId w:val="17"/>
  </w:num>
  <w:num w:numId="26">
    <w:abstractNumId w:val="38"/>
  </w:num>
  <w:num w:numId="27">
    <w:abstractNumId w:val="24"/>
  </w:num>
  <w:num w:numId="28">
    <w:abstractNumId w:val="14"/>
  </w:num>
  <w:num w:numId="29">
    <w:abstractNumId w:val="27"/>
  </w:num>
  <w:num w:numId="30">
    <w:abstractNumId w:val="2"/>
  </w:num>
  <w:num w:numId="31">
    <w:abstractNumId w:val="34"/>
  </w:num>
  <w:num w:numId="32">
    <w:abstractNumId w:val="22"/>
  </w:num>
  <w:num w:numId="33">
    <w:abstractNumId w:val="33"/>
  </w:num>
  <w:num w:numId="34">
    <w:abstractNumId w:val="13"/>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35"/>
  </w:num>
  <w:num w:numId="39">
    <w:abstractNumId w:val="10"/>
  </w:num>
  <w:num w:numId="40">
    <w:abstractNumId w:val="1"/>
  </w:num>
  <w:num w:numId="41">
    <w:abstractNumId w:val="0"/>
  </w:num>
  <w:num w:numId="42">
    <w:abstractNumId w:val="26"/>
  </w:num>
  <w:num w:numId="43">
    <w:abstractNumId w:val="18"/>
  </w:num>
  <w:num w:numId="44">
    <w:abstractNumId w:val="13"/>
    <w:lvlOverride w:ilvl="0">
      <w:startOverride w:val="1"/>
    </w:lvlOverride>
  </w:num>
  <w:num w:numId="45">
    <w:abstractNumId w:val="32"/>
  </w:num>
  <w:num w:numId="46">
    <w:abstractNumId w:val="13"/>
  </w:num>
  <w:num w:numId="47">
    <w:abstractNumId w:val="13"/>
    <w:lvlOverride w:ilvl="0">
      <w:startOverride w:val="1"/>
    </w:lvlOverride>
  </w:num>
  <w:num w:numId="48">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1B6C"/>
    <w:rsid w:val="00001B7D"/>
    <w:rsid w:val="00002031"/>
    <w:rsid w:val="00003EE4"/>
    <w:rsid w:val="000042DA"/>
    <w:rsid w:val="00004734"/>
    <w:rsid w:val="00006AE7"/>
    <w:rsid w:val="00006B22"/>
    <w:rsid w:val="0001276A"/>
    <w:rsid w:val="00012D9E"/>
    <w:rsid w:val="00023C6E"/>
    <w:rsid w:val="000246AE"/>
    <w:rsid w:val="00025266"/>
    <w:rsid w:val="00025C67"/>
    <w:rsid w:val="000335FC"/>
    <w:rsid w:val="00033F14"/>
    <w:rsid w:val="00041297"/>
    <w:rsid w:val="00042573"/>
    <w:rsid w:val="000465B5"/>
    <w:rsid w:val="0005081A"/>
    <w:rsid w:val="00051AFD"/>
    <w:rsid w:val="00052322"/>
    <w:rsid w:val="00053C6C"/>
    <w:rsid w:val="0005559E"/>
    <w:rsid w:val="00056156"/>
    <w:rsid w:val="00057FFC"/>
    <w:rsid w:val="00061765"/>
    <w:rsid w:val="0006427F"/>
    <w:rsid w:val="00064E60"/>
    <w:rsid w:val="00065585"/>
    <w:rsid w:val="00065D1A"/>
    <w:rsid w:val="00072D02"/>
    <w:rsid w:val="00074EBD"/>
    <w:rsid w:val="000755F8"/>
    <w:rsid w:val="00077548"/>
    <w:rsid w:val="00077775"/>
    <w:rsid w:val="0008417D"/>
    <w:rsid w:val="000841DC"/>
    <w:rsid w:val="00085DD5"/>
    <w:rsid w:val="000860B4"/>
    <w:rsid w:val="00086341"/>
    <w:rsid w:val="000869F6"/>
    <w:rsid w:val="00090471"/>
    <w:rsid w:val="000A56BE"/>
    <w:rsid w:val="000B0759"/>
    <w:rsid w:val="000B3129"/>
    <w:rsid w:val="000B3532"/>
    <w:rsid w:val="000B3A75"/>
    <w:rsid w:val="000B56DE"/>
    <w:rsid w:val="000B638E"/>
    <w:rsid w:val="000B7084"/>
    <w:rsid w:val="000B7A77"/>
    <w:rsid w:val="000C31F2"/>
    <w:rsid w:val="000C3400"/>
    <w:rsid w:val="000C5D6B"/>
    <w:rsid w:val="000C5F0B"/>
    <w:rsid w:val="000C6B99"/>
    <w:rsid w:val="000D0ABB"/>
    <w:rsid w:val="000D2B49"/>
    <w:rsid w:val="000D391B"/>
    <w:rsid w:val="000D3D6D"/>
    <w:rsid w:val="000D45F7"/>
    <w:rsid w:val="000D4FC7"/>
    <w:rsid w:val="000F04C4"/>
    <w:rsid w:val="000F0EE9"/>
    <w:rsid w:val="000F3A5D"/>
    <w:rsid w:val="000F4869"/>
    <w:rsid w:val="000F5176"/>
    <w:rsid w:val="000F5B42"/>
    <w:rsid w:val="000F6E6F"/>
    <w:rsid w:val="001003F2"/>
    <w:rsid w:val="00101762"/>
    <w:rsid w:val="0010601F"/>
    <w:rsid w:val="00106BF9"/>
    <w:rsid w:val="00110AE1"/>
    <w:rsid w:val="00110EA5"/>
    <w:rsid w:val="00112440"/>
    <w:rsid w:val="00115240"/>
    <w:rsid w:val="001157F7"/>
    <w:rsid w:val="00116990"/>
    <w:rsid w:val="001169AC"/>
    <w:rsid w:val="00117127"/>
    <w:rsid w:val="00123BB2"/>
    <w:rsid w:val="00125091"/>
    <w:rsid w:val="00125148"/>
    <w:rsid w:val="00125318"/>
    <w:rsid w:val="0012669D"/>
    <w:rsid w:val="001268BE"/>
    <w:rsid w:val="001305A2"/>
    <w:rsid w:val="00130EB7"/>
    <w:rsid w:val="001327EC"/>
    <w:rsid w:val="00133238"/>
    <w:rsid w:val="00140FE3"/>
    <w:rsid w:val="0014197B"/>
    <w:rsid w:val="00143B58"/>
    <w:rsid w:val="001447CD"/>
    <w:rsid w:val="00150A66"/>
    <w:rsid w:val="001516B1"/>
    <w:rsid w:val="001525B4"/>
    <w:rsid w:val="00155651"/>
    <w:rsid w:val="00156316"/>
    <w:rsid w:val="00156847"/>
    <w:rsid w:val="00157601"/>
    <w:rsid w:val="001578C5"/>
    <w:rsid w:val="00161226"/>
    <w:rsid w:val="00165389"/>
    <w:rsid w:val="001653CE"/>
    <w:rsid w:val="00173C6A"/>
    <w:rsid w:val="0017693F"/>
    <w:rsid w:val="00176CB0"/>
    <w:rsid w:val="0018056A"/>
    <w:rsid w:val="0018110E"/>
    <w:rsid w:val="00181684"/>
    <w:rsid w:val="00182A4A"/>
    <w:rsid w:val="001843C6"/>
    <w:rsid w:val="001850A7"/>
    <w:rsid w:val="001850E0"/>
    <w:rsid w:val="00185CE9"/>
    <w:rsid w:val="00186517"/>
    <w:rsid w:val="00193183"/>
    <w:rsid w:val="001A3925"/>
    <w:rsid w:val="001A525F"/>
    <w:rsid w:val="001A5FFE"/>
    <w:rsid w:val="001B09F9"/>
    <w:rsid w:val="001B0F8B"/>
    <w:rsid w:val="001B52E3"/>
    <w:rsid w:val="001B5CE3"/>
    <w:rsid w:val="001B61C5"/>
    <w:rsid w:val="001B6448"/>
    <w:rsid w:val="001C0D8C"/>
    <w:rsid w:val="001C2A9E"/>
    <w:rsid w:val="001C2D91"/>
    <w:rsid w:val="001C5266"/>
    <w:rsid w:val="001C7F0A"/>
    <w:rsid w:val="001E07CF"/>
    <w:rsid w:val="001E2BA6"/>
    <w:rsid w:val="001E51C6"/>
    <w:rsid w:val="001E5555"/>
    <w:rsid w:val="001E59F1"/>
    <w:rsid w:val="001F04D7"/>
    <w:rsid w:val="001F32EC"/>
    <w:rsid w:val="001F49EB"/>
    <w:rsid w:val="001F606C"/>
    <w:rsid w:val="001F6CBA"/>
    <w:rsid w:val="001F70C0"/>
    <w:rsid w:val="002001F1"/>
    <w:rsid w:val="0020028B"/>
    <w:rsid w:val="00200A9C"/>
    <w:rsid w:val="00201D4E"/>
    <w:rsid w:val="00202086"/>
    <w:rsid w:val="00204DF0"/>
    <w:rsid w:val="0020793B"/>
    <w:rsid w:val="002101CA"/>
    <w:rsid w:val="002107AF"/>
    <w:rsid w:val="002147E0"/>
    <w:rsid w:val="00220B8A"/>
    <w:rsid w:val="002226DD"/>
    <w:rsid w:val="002257F3"/>
    <w:rsid w:val="00231A3A"/>
    <w:rsid w:val="0023267B"/>
    <w:rsid w:val="00233456"/>
    <w:rsid w:val="002339A5"/>
    <w:rsid w:val="00236140"/>
    <w:rsid w:val="00240781"/>
    <w:rsid w:val="00242707"/>
    <w:rsid w:val="002445F4"/>
    <w:rsid w:val="002458D4"/>
    <w:rsid w:val="00245CF3"/>
    <w:rsid w:val="00247223"/>
    <w:rsid w:val="0025120A"/>
    <w:rsid w:val="00251F87"/>
    <w:rsid w:val="0025660C"/>
    <w:rsid w:val="00257138"/>
    <w:rsid w:val="00257848"/>
    <w:rsid w:val="00265627"/>
    <w:rsid w:val="00267925"/>
    <w:rsid w:val="0027084A"/>
    <w:rsid w:val="00271C4C"/>
    <w:rsid w:val="00275590"/>
    <w:rsid w:val="00286434"/>
    <w:rsid w:val="00286C59"/>
    <w:rsid w:val="002929C2"/>
    <w:rsid w:val="00292BB3"/>
    <w:rsid w:val="002942D1"/>
    <w:rsid w:val="002A0556"/>
    <w:rsid w:val="002A11E6"/>
    <w:rsid w:val="002A3961"/>
    <w:rsid w:val="002A5857"/>
    <w:rsid w:val="002A5F56"/>
    <w:rsid w:val="002A6E38"/>
    <w:rsid w:val="002B0E0E"/>
    <w:rsid w:val="002B1638"/>
    <w:rsid w:val="002B3304"/>
    <w:rsid w:val="002C07AF"/>
    <w:rsid w:val="002C1418"/>
    <w:rsid w:val="002C383A"/>
    <w:rsid w:val="002C43C3"/>
    <w:rsid w:val="002C48BF"/>
    <w:rsid w:val="002C6D34"/>
    <w:rsid w:val="002D0B05"/>
    <w:rsid w:val="002E430E"/>
    <w:rsid w:val="002E4C9A"/>
    <w:rsid w:val="002E5C31"/>
    <w:rsid w:val="002E61C5"/>
    <w:rsid w:val="002E69BE"/>
    <w:rsid w:val="002F0A92"/>
    <w:rsid w:val="002F11F8"/>
    <w:rsid w:val="002F3F56"/>
    <w:rsid w:val="002F44B5"/>
    <w:rsid w:val="002F53E0"/>
    <w:rsid w:val="00302504"/>
    <w:rsid w:val="00303CBB"/>
    <w:rsid w:val="0030508C"/>
    <w:rsid w:val="003055BD"/>
    <w:rsid w:val="00307EC8"/>
    <w:rsid w:val="00311AC0"/>
    <w:rsid w:val="00314331"/>
    <w:rsid w:val="00316F8D"/>
    <w:rsid w:val="003208A0"/>
    <w:rsid w:val="003251D0"/>
    <w:rsid w:val="003261C8"/>
    <w:rsid w:val="00331DBB"/>
    <w:rsid w:val="00334439"/>
    <w:rsid w:val="00335BEC"/>
    <w:rsid w:val="00335FDD"/>
    <w:rsid w:val="0033638F"/>
    <w:rsid w:val="003367E4"/>
    <w:rsid w:val="00342626"/>
    <w:rsid w:val="00343736"/>
    <w:rsid w:val="0034437C"/>
    <w:rsid w:val="00350B20"/>
    <w:rsid w:val="003521E8"/>
    <w:rsid w:val="00352A2E"/>
    <w:rsid w:val="00353AC2"/>
    <w:rsid w:val="003555D7"/>
    <w:rsid w:val="00356F04"/>
    <w:rsid w:val="00360648"/>
    <w:rsid w:val="00360DFD"/>
    <w:rsid w:val="00362473"/>
    <w:rsid w:val="00362F16"/>
    <w:rsid w:val="003662D5"/>
    <w:rsid w:val="003664BF"/>
    <w:rsid w:val="0036794C"/>
    <w:rsid w:val="0037036E"/>
    <w:rsid w:val="0037215C"/>
    <w:rsid w:val="003728F3"/>
    <w:rsid w:val="00373D31"/>
    <w:rsid w:val="0038110B"/>
    <w:rsid w:val="00386152"/>
    <w:rsid w:val="00390900"/>
    <w:rsid w:val="003964E2"/>
    <w:rsid w:val="003A0110"/>
    <w:rsid w:val="003A0B29"/>
    <w:rsid w:val="003A0B68"/>
    <w:rsid w:val="003A19BA"/>
    <w:rsid w:val="003A3827"/>
    <w:rsid w:val="003A48A2"/>
    <w:rsid w:val="003B1FAD"/>
    <w:rsid w:val="003B3601"/>
    <w:rsid w:val="003B629A"/>
    <w:rsid w:val="003B6E20"/>
    <w:rsid w:val="003B7E39"/>
    <w:rsid w:val="003C04B2"/>
    <w:rsid w:val="003C1BBB"/>
    <w:rsid w:val="003C58DC"/>
    <w:rsid w:val="003C62FC"/>
    <w:rsid w:val="003C7673"/>
    <w:rsid w:val="003D1DEC"/>
    <w:rsid w:val="003D26B4"/>
    <w:rsid w:val="003D497F"/>
    <w:rsid w:val="003D5D86"/>
    <w:rsid w:val="003E0E6A"/>
    <w:rsid w:val="003E1945"/>
    <w:rsid w:val="003E2889"/>
    <w:rsid w:val="003E3208"/>
    <w:rsid w:val="003E33D4"/>
    <w:rsid w:val="003E3CA3"/>
    <w:rsid w:val="003E7390"/>
    <w:rsid w:val="003F0B04"/>
    <w:rsid w:val="003F0C0E"/>
    <w:rsid w:val="003F3092"/>
    <w:rsid w:val="003F3095"/>
    <w:rsid w:val="003F48DD"/>
    <w:rsid w:val="0040134E"/>
    <w:rsid w:val="00402EF6"/>
    <w:rsid w:val="00403ACE"/>
    <w:rsid w:val="00403D3E"/>
    <w:rsid w:val="00404AD5"/>
    <w:rsid w:val="0040598C"/>
    <w:rsid w:val="0040726C"/>
    <w:rsid w:val="004072A5"/>
    <w:rsid w:val="00411710"/>
    <w:rsid w:val="0041244F"/>
    <w:rsid w:val="00412E40"/>
    <w:rsid w:val="00414BA2"/>
    <w:rsid w:val="00421B7E"/>
    <w:rsid w:val="00423938"/>
    <w:rsid w:val="00423F10"/>
    <w:rsid w:val="004247DA"/>
    <w:rsid w:val="004302D7"/>
    <w:rsid w:val="0043074F"/>
    <w:rsid w:val="00430AAA"/>
    <w:rsid w:val="00430BD7"/>
    <w:rsid w:val="00432CDD"/>
    <w:rsid w:val="00432E1E"/>
    <w:rsid w:val="00433211"/>
    <w:rsid w:val="00435B13"/>
    <w:rsid w:val="00436C41"/>
    <w:rsid w:val="004407B2"/>
    <w:rsid w:val="00440A2D"/>
    <w:rsid w:val="0044223F"/>
    <w:rsid w:val="004422DF"/>
    <w:rsid w:val="00443228"/>
    <w:rsid w:val="004432FB"/>
    <w:rsid w:val="00444342"/>
    <w:rsid w:val="004446E3"/>
    <w:rsid w:val="004454B4"/>
    <w:rsid w:val="0044589C"/>
    <w:rsid w:val="0044722D"/>
    <w:rsid w:val="0044785B"/>
    <w:rsid w:val="00455ECA"/>
    <w:rsid w:val="004564A7"/>
    <w:rsid w:val="00457FE3"/>
    <w:rsid w:val="004617BF"/>
    <w:rsid w:val="004618AB"/>
    <w:rsid w:val="00461999"/>
    <w:rsid w:val="00464DFB"/>
    <w:rsid w:val="0046516E"/>
    <w:rsid w:val="004658BC"/>
    <w:rsid w:val="0047023B"/>
    <w:rsid w:val="00470EC2"/>
    <w:rsid w:val="00472080"/>
    <w:rsid w:val="004734F0"/>
    <w:rsid w:val="00482EC5"/>
    <w:rsid w:val="00484BAB"/>
    <w:rsid w:val="00485BFD"/>
    <w:rsid w:val="00487716"/>
    <w:rsid w:val="004923FF"/>
    <w:rsid w:val="00494E60"/>
    <w:rsid w:val="004970FD"/>
    <w:rsid w:val="004A2400"/>
    <w:rsid w:val="004A6F05"/>
    <w:rsid w:val="004A7B6E"/>
    <w:rsid w:val="004B21D7"/>
    <w:rsid w:val="004B2BD3"/>
    <w:rsid w:val="004B32D0"/>
    <w:rsid w:val="004B545E"/>
    <w:rsid w:val="004B6701"/>
    <w:rsid w:val="004B7B76"/>
    <w:rsid w:val="004C0070"/>
    <w:rsid w:val="004C241F"/>
    <w:rsid w:val="004C3BFD"/>
    <w:rsid w:val="004C4791"/>
    <w:rsid w:val="004C60B4"/>
    <w:rsid w:val="004C72D3"/>
    <w:rsid w:val="004D51A6"/>
    <w:rsid w:val="004D6739"/>
    <w:rsid w:val="004D722C"/>
    <w:rsid w:val="004E2F20"/>
    <w:rsid w:val="004E5523"/>
    <w:rsid w:val="004F0F38"/>
    <w:rsid w:val="004F4580"/>
    <w:rsid w:val="005009C0"/>
    <w:rsid w:val="00500CA5"/>
    <w:rsid w:val="00501179"/>
    <w:rsid w:val="00501921"/>
    <w:rsid w:val="00501CBA"/>
    <w:rsid w:val="005042C1"/>
    <w:rsid w:val="00515581"/>
    <w:rsid w:val="005164BD"/>
    <w:rsid w:val="005168C9"/>
    <w:rsid w:val="00516E40"/>
    <w:rsid w:val="00520F6C"/>
    <w:rsid w:val="00521BEF"/>
    <w:rsid w:val="005220E5"/>
    <w:rsid w:val="005221E1"/>
    <w:rsid w:val="005274DA"/>
    <w:rsid w:val="005302F5"/>
    <w:rsid w:val="00530354"/>
    <w:rsid w:val="00533970"/>
    <w:rsid w:val="00534871"/>
    <w:rsid w:val="0053538C"/>
    <w:rsid w:val="00536CF7"/>
    <w:rsid w:val="0053781A"/>
    <w:rsid w:val="00541352"/>
    <w:rsid w:val="0054163A"/>
    <w:rsid w:val="005434C6"/>
    <w:rsid w:val="00543B39"/>
    <w:rsid w:val="00550096"/>
    <w:rsid w:val="00551F1D"/>
    <w:rsid w:val="00552DB2"/>
    <w:rsid w:val="005540F9"/>
    <w:rsid w:val="005576C9"/>
    <w:rsid w:val="00557FF9"/>
    <w:rsid w:val="00560BAF"/>
    <w:rsid w:val="00561B1B"/>
    <w:rsid w:val="005729B0"/>
    <w:rsid w:val="00575A6D"/>
    <w:rsid w:val="00576378"/>
    <w:rsid w:val="00577E38"/>
    <w:rsid w:val="005824DB"/>
    <w:rsid w:val="00585069"/>
    <w:rsid w:val="00585322"/>
    <w:rsid w:val="0058774D"/>
    <w:rsid w:val="00587895"/>
    <w:rsid w:val="00591975"/>
    <w:rsid w:val="00593AD1"/>
    <w:rsid w:val="005955CF"/>
    <w:rsid w:val="00596EF5"/>
    <w:rsid w:val="00597B50"/>
    <w:rsid w:val="005A1131"/>
    <w:rsid w:val="005A3F2F"/>
    <w:rsid w:val="005A5916"/>
    <w:rsid w:val="005A5A5E"/>
    <w:rsid w:val="005A6611"/>
    <w:rsid w:val="005B1DEF"/>
    <w:rsid w:val="005B344D"/>
    <w:rsid w:val="005C03F2"/>
    <w:rsid w:val="005C0499"/>
    <w:rsid w:val="005C1D90"/>
    <w:rsid w:val="005C22EA"/>
    <w:rsid w:val="005C2732"/>
    <w:rsid w:val="005C2FB2"/>
    <w:rsid w:val="005C3414"/>
    <w:rsid w:val="005C5570"/>
    <w:rsid w:val="005C6864"/>
    <w:rsid w:val="005C6D87"/>
    <w:rsid w:val="005C79A4"/>
    <w:rsid w:val="005D060C"/>
    <w:rsid w:val="005D16DC"/>
    <w:rsid w:val="005D4E06"/>
    <w:rsid w:val="005D5442"/>
    <w:rsid w:val="005E1A89"/>
    <w:rsid w:val="005E3393"/>
    <w:rsid w:val="005E5885"/>
    <w:rsid w:val="005E6395"/>
    <w:rsid w:val="005E7BE6"/>
    <w:rsid w:val="005F3EA0"/>
    <w:rsid w:val="006008BF"/>
    <w:rsid w:val="00601594"/>
    <w:rsid w:val="00601FD3"/>
    <w:rsid w:val="0060581D"/>
    <w:rsid w:val="00606D8E"/>
    <w:rsid w:val="00612B30"/>
    <w:rsid w:val="006131AB"/>
    <w:rsid w:val="00613211"/>
    <w:rsid w:val="006132E8"/>
    <w:rsid w:val="006210F2"/>
    <w:rsid w:val="0062232B"/>
    <w:rsid w:val="0062266E"/>
    <w:rsid w:val="00623676"/>
    <w:rsid w:val="006238C7"/>
    <w:rsid w:val="006319D3"/>
    <w:rsid w:val="00632D4C"/>
    <w:rsid w:val="006352D8"/>
    <w:rsid w:val="006400CB"/>
    <w:rsid w:val="00640FC3"/>
    <w:rsid w:val="00642020"/>
    <w:rsid w:val="00650434"/>
    <w:rsid w:val="00651316"/>
    <w:rsid w:val="00651FCA"/>
    <w:rsid w:val="00652CEE"/>
    <w:rsid w:val="0065337B"/>
    <w:rsid w:val="0065419D"/>
    <w:rsid w:val="006604D8"/>
    <w:rsid w:val="00664A5B"/>
    <w:rsid w:val="006664CB"/>
    <w:rsid w:val="00667942"/>
    <w:rsid w:val="006733CD"/>
    <w:rsid w:val="00674BA2"/>
    <w:rsid w:val="00677050"/>
    <w:rsid w:val="006804A8"/>
    <w:rsid w:val="00680C08"/>
    <w:rsid w:val="0068407E"/>
    <w:rsid w:val="0068543D"/>
    <w:rsid w:val="00686C19"/>
    <w:rsid w:val="0068741A"/>
    <w:rsid w:val="00691DBE"/>
    <w:rsid w:val="006931B1"/>
    <w:rsid w:val="006943BC"/>
    <w:rsid w:val="0069707F"/>
    <w:rsid w:val="006A15C0"/>
    <w:rsid w:val="006A1DC0"/>
    <w:rsid w:val="006A5F14"/>
    <w:rsid w:val="006A64F4"/>
    <w:rsid w:val="006A77C7"/>
    <w:rsid w:val="006A7FD9"/>
    <w:rsid w:val="006B1BCF"/>
    <w:rsid w:val="006B3B74"/>
    <w:rsid w:val="006B3CF2"/>
    <w:rsid w:val="006C0A51"/>
    <w:rsid w:val="006C1A83"/>
    <w:rsid w:val="006C1AD9"/>
    <w:rsid w:val="006C1F3B"/>
    <w:rsid w:val="006C3E2A"/>
    <w:rsid w:val="006C450D"/>
    <w:rsid w:val="006C57B7"/>
    <w:rsid w:val="006C642F"/>
    <w:rsid w:val="006D03E5"/>
    <w:rsid w:val="006D08C1"/>
    <w:rsid w:val="006D5D3E"/>
    <w:rsid w:val="006D6A23"/>
    <w:rsid w:val="006E08B3"/>
    <w:rsid w:val="006E1287"/>
    <w:rsid w:val="006E5071"/>
    <w:rsid w:val="006E5916"/>
    <w:rsid w:val="006F01FE"/>
    <w:rsid w:val="006F1A67"/>
    <w:rsid w:val="006F572E"/>
    <w:rsid w:val="006F65A9"/>
    <w:rsid w:val="007046D6"/>
    <w:rsid w:val="00705DB0"/>
    <w:rsid w:val="00706AFE"/>
    <w:rsid w:val="007105C8"/>
    <w:rsid w:val="00711BAE"/>
    <w:rsid w:val="007127A7"/>
    <w:rsid w:val="00717545"/>
    <w:rsid w:val="00717B5D"/>
    <w:rsid w:val="007249F8"/>
    <w:rsid w:val="0073205A"/>
    <w:rsid w:val="00732B06"/>
    <w:rsid w:val="0073345D"/>
    <w:rsid w:val="00736B85"/>
    <w:rsid w:val="00736EFA"/>
    <w:rsid w:val="00737627"/>
    <w:rsid w:val="0074253D"/>
    <w:rsid w:val="00742EC9"/>
    <w:rsid w:val="0074429B"/>
    <w:rsid w:val="007477F8"/>
    <w:rsid w:val="00750368"/>
    <w:rsid w:val="007560C5"/>
    <w:rsid w:val="007615BC"/>
    <w:rsid w:val="00761AA7"/>
    <w:rsid w:val="00762F05"/>
    <w:rsid w:val="007637F0"/>
    <w:rsid w:val="00763BB7"/>
    <w:rsid w:val="007652FF"/>
    <w:rsid w:val="00765C7B"/>
    <w:rsid w:val="00766729"/>
    <w:rsid w:val="00766888"/>
    <w:rsid w:val="00771329"/>
    <w:rsid w:val="00773EF7"/>
    <w:rsid w:val="007748DC"/>
    <w:rsid w:val="00774E1D"/>
    <w:rsid w:val="0077675A"/>
    <w:rsid w:val="00780355"/>
    <w:rsid w:val="00782870"/>
    <w:rsid w:val="00783116"/>
    <w:rsid w:val="00784124"/>
    <w:rsid w:val="00785721"/>
    <w:rsid w:val="0079023E"/>
    <w:rsid w:val="007907BF"/>
    <w:rsid w:val="00793A59"/>
    <w:rsid w:val="00794519"/>
    <w:rsid w:val="007954D4"/>
    <w:rsid w:val="00797C67"/>
    <w:rsid w:val="007A2162"/>
    <w:rsid w:val="007A2B0B"/>
    <w:rsid w:val="007A58C5"/>
    <w:rsid w:val="007B0295"/>
    <w:rsid w:val="007B0412"/>
    <w:rsid w:val="007B0A15"/>
    <w:rsid w:val="007B1ED1"/>
    <w:rsid w:val="007B7F38"/>
    <w:rsid w:val="007C0F3D"/>
    <w:rsid w:val="007C1AF7"/>
    <w:rsid w:val="007C3B20"/>
    <w:rsid w:val="007C68D1"/>
    <w:rsid w:val="007D2CFA"/>
    <w:rsid w:val="007D31C7"/>
    <w:rsid w:val="007D404B"/>
    <w:rsid w:val="007D4385"/>
    <w:rsid w:val="007D7B54"/>
    <w:rsid w:val="007E29E1"/>
    <w:rsid w:val="007E3E3E"/>
    <w:rsid w:val="007E4DCE"/>
    <w:rsid w:val="007E53F6"/>
    <w:rsid w:val="007E662C"/>
    <w:rsid w:val="008030CD"/>
    <w:rsid w:val="00804357"/>
    <w:rsid w:val="0080449A"/>
    <w:rsid w:val="00811949"/>
    <w:rsid w:val="00812029"/>
    <w:rsid w:val="008122AC"/>
    <w:rsid w:val="0081381B"/>
    <w:rsid w:val="00813E46"/>
    <w:rsid w:val="00817471"/>
    <w:rsid w:val="00821776"/>
    <w:rsid w:val="00826007"/>
    <w:rsid w:val="0082653E"/>
    <w:rsid w:val="008266E2"/>
    <w:rsid w:val="00830210"/>
    <w:rsid w:val="0083209C"/>
    <w:rsid w:val="008321F5"/>
    <w:rsid w:val="00832369"/>
    <w:rsid w:val="00832486"/>
    <w:rsid w:val="0083329F"/>
    <w:rsid w:val="00834660"/>
    <w:rsid w:val="0083479F"/>
    <w:rsid w:val="008357ED"/>
    <w:rsid w:val="00836BC2"/>
    <w:rsid w:val="00836DC9"/>
    <w:rsid w:val="0084109D"/>
    <w:rsid w:val="008423DC"/>
    <w:rsid w:val="00846491"/>
    <w:rsid w:val="00846E23"/>
    <w:rsid w:val="0085641B"/>
    <w:rsid w:val="00857136"/>
    <w:rsid w:val="008617CA"/>
    <w:rsid w:val="00865ED9"/>
    <w:rsid w:val="00866ED5"/>
    <w:rsid w:val="008702B3"/>
    <w:rsid w:val="008707DF"/>
    <w:rsid w:val="00871E49"/>
    <w:rsid w:val="00872807"/>
    <w:rsid w:val="00876EAC"/>
    <w:rsid w:val="00880654"/>
    <w:rsid w:val="0088186A"/>
    <w:rsid w:val="00881EA0"/>
    <w:rsid w:val="0088496A"/>
    <w:rsid w:val="0088678E"/>
    <w:rsid w:val="0089392A"/>
    <w:rsid w:val="00893C5D"/>
    <w:rsid w:val="008954C9"/>
    <w:rsid w:val="00896018"/>
    <w:rsid w:val="00896E1F"/>
    <w:rsid w:val="008A00FE"/>
    <w:rsid w:val="008A2B9D"/>
    <w:rsid w:val="008A2D18"/>
    <w:rsid w:val="008A5E0B"/>
    <w:rsid w:val="008A69D0"/>
    <w:rsid w:val="008A6A7F"/>
    <w:rsid w:val="008A6B96"/>
    <w:rsid w:val="008A6D59"/>
    <w:rsid w:val="008B0015"/>
    <w:rsid w:val="008B2B27"/>
    <w:rsid w:val="008B4B03"/>
    <w:rsid w:val="008B596F"/>
    <w:rsid w:val="008B7C43"/>
    <w:rsid w:val="008C0C69"/>
    <w:rsid w:val="008C159F"/>
    <w:rsid w:val="008C1623"/>
    <w:rsid w:val="008C2B58"/>
    <w:rsid w:val="008C51A9"/>
    <w:rsid w:val="008C5225"/>
    <w:rsid w:val="008C7E46"/>
    <w:rsid w:val="008D0620"/>
    <w:rsid w:val="008D1287"/>
    <w:rsid w:val="008D3724"/>
    <w:rsid w:val="008D3FCE"/>
    <w:rsid w:val="008D67F7"/>
    <w:rsid w:val="008D7BD4"/>
    <w:rsid w:val="008E6463"/>
    <w:rsid w:val="008F1CCC"/>
    <w:rsid w:val="008F2967"/>
    <w:rsid w:val="008F29C6"/>
    <w:rsid w:val="008F2AD4"/>
    <w:rsid w:val="008F4A62"/>
    <w:rsid w:val="008F57B4"/>
    <w:rsid w:val="0090299E"/>
    <w:rsid w:val="00904CB5"/>
    <w:rsid w:val="0091165D"/>
    <w:rsid w:val="00915525"/>
    <w:rsid w:val="00917AB4"/>
    <w:rsid w:val="00920330"/>
    <w:rsid w:val="009207ED"/>
    <w:rsid w:val="00920FF4"/>
    <w:rsid w:val="009219D7"/>
    <w:rsid w:val="00922D53"/>
    <w:rsid w:val="00923B70"/>
    <w:rsid w:val="0092465F"/>
    <w:rsid w:val="00924FB8"/>
    <w:rsid w:val="00925333"/>
    <w:rsid w:val="0092600B"/>
    <w:rsid w:val="00926BE5"/>
    <w:rsid w:val="00926F1C"/>
    <w:rsid w:val="009277E7"/>
    <w:rsid w:val="00930237"/>
    <w:rsid w:val="009310B4"/>
    <w:rsid w:val="00935AFA"/>
    <w:rsid w:val="0093749E"/>
    <w:rsid w:val="00942751"/>
    <w:rsid w:val="00943A3F"/>
    <w:rsid w:val="00944B14"/>
    <w:rsid w:val="00945041"/>
    <w:rsid w:val="009468C6"/>
    <w:rsid w:val="00951677"/>
    <w:rsid w:val="00952C3D"/>
    <w:rsid w:val="00953EA8"/>
    <w:rsid w:val="00955A46"/>
    <w:rsid w:val="009628B7"/>
    <w:rsid w:val="00962CF5"/>
    <w:rsid w:val="00963C08"/>
    <w:rsid w:val="00963C0D"/>
    <w:rsid w:val="00966970"/>
    <w:rsid w:val="00967C5A"/>
    <w:rsid w:val="00970367"/>
    <w:rsid w:val="009741DD"/>
    <w:rsid w:val="009752DD"/>
    <w:rsid w:val="00975379"/>
    <w:rsid w:val="00981AC6"/>
    <w:rsid w:val="00981D0A"/>
    <w:rsid w:val="009835B6"/>
    <w:rsid w:val="00984CAD"/>
    <w:rsid w:val="00987D65"/>
    <w:rsid w:val="009927F3"/>
    <w:rsid w:val="00993AB0"/>
    <w:rsid w:val="009A190E"/>
    <w:rsid w:val="009A4825"/>
    <w:rsid w:val="009A4CED"/>
    <w:rsid w:val="009B00CC"/>
    <w:rsid w:val="009B1D12"/>
    <w:rsid w:val="009B20A0"/>
    <w:rsid w:val="009B2B3C"/>
    <w:rsid w:val="009B3475"/>
    <w:rsid w:val="009B416B"/>
    <w:rsid w:val="009B6348"/>
    <w:rsid w:val="009C4BD5"/>
    <w:rsid w:val="009C5F04"/>
    <w:rsid w:val="009C683C"/>
    <w:rsid w:val="009D0801"/>
    <w:rsid w:val="009D0A6D"/>
    <w:rsid w:val="009D0DC8"/>
    <w:rsid w:val="009D2144"/>
    <w:rsid w:val="009D2E04"/>
    <w:rsid w:val="009D3971"/>
    <w:rsid w:val="009D7B77"/>
    <w:rsid w:val="009E0BB0"/>
    <w:rsid w:val="009E37F8"/>
    <w:rsid w:val="009E3FBB"/>
    <w:rsid w:val="009E4C68"/>
    <w:rsid w:val="009F018D"/>
    <w:rsid w:val="009F01FD"/>
    <w:rsid w:val="009F207B"/>
    <w:rsid w:val="009F20E4"/>
    <w:rsid w:val="00A0156E"/>
    <w:rsid w:val="00A035E6"/>
    <w:rsid w:val="00A10C68"/>
    <w:rsid w:val="00A1235B"/>
    <w:rsid w:val="00A14DF7"/>
    <w:rsid w:val="00A17B50"/>
    <w:rsid w:val="00A22E19"/>
    <w:rsid w:val="00A27B10"/>
    <w:rsid w:val="00A31294"/>
    <w:rsid w:val="00A3246D"/>
    <w:rsid w:val="00A32C51"/>
    <w:rsid w:val="00A342E4"/>
    <w:rsid w:val="00A36E8D"/>
    <w:rsid w:val="00A36FA7"/>
    <w:rsid w:val="00A40944"/>
    <w:rsid w:val="00A41E88"/>
    <w:rsid w:val="00A46A96"/>
    <w:rsid w:val="00A47209"/>
    <w:rsid w:val="00A475B7"/>
    <w:rsid w:val="00A47AF7"/>
    <w:rsid w:val="00A47C3E"/>
    <w:rsid w:val="00A50226"/>
    <w:rsid w:val="00A50992"/>
    <w:rsid w:val="00A60BAD"/>
    <w:rsid w:val="00A73339"/>
    <w:rsid w:val="00A737A1"/>
    <w:rsid w:val="00A73A8D"/>
    <w:rsid w:val="00A77C79"/>
    <w:rsid w:val="00A8051A"/>
    <w:rsid w:val="00A806AE"/>
    <w:rsid w:val="00A8571D"/>
    <w:rsid w:val="00A87334"/>
    <w:rsid w:val="00A92E6D"/>
    <w:rsid w:val="00A934D5"/>
    <w:rsid w:val="00A957C4"/>
    <w:rsid w:val="00AA0F87"/>
    <w:rsid w:val="00AA34FC"/>
    <w:rsid w:val="00AA728E"/>
    <w:rsid w:val="00AB037E"/>
    <w:rsid w:val="00AB201E"/>
    <w:rsid w:val="00AB3F92"/>
    <w:rsid w:val="00AB42C4"/>
    <w:rsid w:val="00AB581C"/>
    <w:rsid w:val="00AB5C96"/>
    <w:rsid w:val="00AC262B"/>
    <w:rsid w:val="00AC2B40"/>
    <w:rsid w:val="00AC2BB2"/>
    <w:rsid w:val="00AC2C3C"/>
    <w:rsid w:val="00AC3BD9"/>
    <w:rsid w:val="00AC44FA"/>
    <w:rsid w:val="00AC54D1"/>
    <w:rsid w:val="00AC6EBE"/>
    <w:rsid w:val="00AC6EDC"/>
    <w:rsid w:val="00AD4722"/>
    <w:rsid w:val="00AD58C6"/>
    <w:rsid w:val="00AD7E78"/>
    <w:rsid w:val="00AE2270"/>
    <w:rsid w:val="00AE4205"/>
    <w:rsid w:val="00AE6155"/>
    <w:rsid w:val="00AE65EB"/>
    <w:rsid w:val="00AE670F"/>
    <w:rsid w:val="00AF1D94"/>
    <w:rsid w:val="00AF27F0"/>
    <w:rsid w:val="00AF316D"/>
    <w:rsid w:val="00AF3A8C"/>
    <w:rsid w:val="00AF60C5"/>
    <w:rsid w:val="00AF79D1"/>
    <w:rsid w:val="00B009C6"/>
    <w:rsid w:val="00B01548"/>
    <w:rsid w:val="00B138BE"/>
    <w:rsid w:val="00B15AE2"/>
    <w:rsid w:val="00B15C1C"/>
    <w:rsid w:val="00B17A0B"/>
    <w:rsid w:val="00B17CB3"/>
    <w:rsid w:val="00B21D29"/>
    <w:rsid w:val="00B21FC5"/>
    <w:rsid w:val="00B25034"/>
    <w:rsid w:val="00B27B29"/>
    <w:rsid w:val="00B27EA3"/>
    <w:rsid w:val="00B325C7"/>
    <w:rsid w:val="00B33863"/>
    <w:rsid w:val="00B34F51"/>
    <w:rsid w:val="00B37D17"/>
    <w:rsid w:val="00B4175E"/>
    <w:rsid w:val="00B4454F"/>
    <w:rsid w:val="00B50EE7"/>
    <w:rsid w:val="00B510E1"/>
    <w:rsid w:val="00B54C25"/>
    <w:rsid w:val="00B55E71"/>
    <w:rsid w:val="00B57049"/>
    <w:rsid w:val="00B572B2"/>
    <w:rsid w:val="00B60801"/>
    <w:rsid w:val="00B617EA"/>
    <w:rsid w:val="00B6409A"/>
    <w:rsid w:val="00B6677B"/>
    <w:rsid w:val="00B71B18"/>
    <w:rsid w:val="00B7359B"/>
    <w:rsid w:val="00B7672F"/>
    <w:rsid w:val="00B76B91"/>
    <w:rsid w:val="00B83FC7"/>
    <w:rsid w:val="00B8473E"/>
    <w:rsid w:val="00B86F81"/>
    <w:rsid w:val="00B90214"/>
    <w:rsid w:val="00B929EB"/>
    <w:rsid w:val="00B94276"/>
    <w:rsid w:val="00B94618"/>
    <w:rsid w:val="00B948A0"/>
    <w:rsid w:val="00B978A9"/>
    <w:rsid w:val="00BB0BD8"/>
    <w:rsid w:val="00BB538A"/>
    <w:rsid w:val="00BB6DFC"/>
    <w:rsid w:val="00BB7F56"/>
    <w:rsid w:val="00BC1CAB"/>
    <w:rsid w:val="00BC2009"/>
    <w:rsid w:val="00BC50DB"/>
    <w:rsid w:val="00BC526C"/>
    <w:rsid w:val="00BC5AC3"/>
    <w:rsid w:val="00BC5AE6"/>
    <w:rsid w:val="00BC622A"/>
    <w:rsid w:val="00BC6957"/>
    <w:rsid w:val="00BD48EC"/>
    <w:rsid w:val="00BE0A78"/>
    <w:rsid w:val="00BE4C7F"/>
    <w:rsid w:val="00BE79F0"/>
    <w:rsid w:val="00BF046D"/>
    <w:rsid w:val="00BF46E4"/>
    <w:rsid w:val="00BF5775"/>
    <w:rsid w:val="00BF5D04"/>
    <w:rsid w:val="00BF6D2F"/>
    <w:rsid w:val="00C007D3"/>
    <w:rsid w:val="00C019E6"/>
    <w:rsid w:val="00C0357E"/>
    <w:rsid w:val="00C056B9"/>
    <w:rsid w:val="00C06F64"/>
    <w:rsid w:val="00C1305B"/>
    <w:rsid w:val="00C13563"/>
    <w:rsid w:val="00C147DD"/>
    <w:rsid w:val="00C16CCE"/>
    <w:rsid w:val="00C17E00"/>
    <w:rsid w:val="00C24035"/>
    <w:rsid w:val="00C25FC2"/>
    <w:rsid w:val="00C31D44"/>
    <w:rsid w:val="00C32A88"/>
    <w:rsid w:val="00C33FDE"/>
    <w:rsid w:val="00C3534F"/>
    <w:rsid w:val="00C3536F"/>
    <w:rsid w:val="00C364D5"/>
    <w:rsid w:val="00C36810"/>
    <w:rsid w:val="00C404A6"/>
    <w:rsid w:val="00C40A36"/>
    <w:rsid w:val="00C434EA"/>
    <w:rsid w:val="00C44419"/>
    <w:rsid w:val="00C45E7B"/>
    <w:rsid w:val="00C471B1"/>
    <w:rsid w:val="00C54222"/>
    <w:rsid w:val="00C55437"/>
    <w:rsid w:val="00C55C1A"/>
    <w:rsid w:val="00C6204C"/>
    <w:rsid w:val="00C6316B"/>
    <w:rsid w:val="00C634A9"/>
    <w:rsid w:val="00C6376F"/>
    <w:rsid w:val="00C651B1"/>
    <w:rsid w:val="00C669EE"/>
    <w:rsid w:val="00C73315"/>
    <w:rsid w:val="00C741A3"/>
    <w:rsid w:val="00C74DD6"/>
    <w:rsid w:val="00C74FA8"/>
    <w:rsid w:val="00C76E42"/>
    <w:rsid w:val="00C772FF"/>
    <w:rsid w:val="00C801AF"/>
    <w:rsid w:val="00C80256"/>
    <w:rsid w:val="00C81696"/>
    <w:rsid w:val="00C87CA5"/>
    <w:rsid w:val="00C93228"/>
    <w:rsid w:val="00C94239"/>
    <w:rsid w:val="00C95D76"/>
    <w:rsid w:val="00C95EC3"/>
    <w:rsid w:val="00CA068B"/>
    <w:rsid w:val="00CA0F79"/>
    <w:rsid w:val="00CA3A38"/>
    <w:rsid w:val="00CA62E0"/>
    <w:rsid w:val="00CA7F35"/>
    <w:rsid w:val="00CB27FE"/>
    <w:rsid w:val="00CB6BC0"/>
    <w:rsid w:val="00CC1B7C"/>
    <w:rsid w:val="00CC314F"/>
    <w:rsid w:val="00CC50DE"/>
    <w:rsid w:val="00CC727F"/>
    <w:rsid w:val="00CD0793"/>
    <w:rsid w:val="00CD1CE5"/>
    <w:rsid w:val="00CD6EB8"/>
    <w:rsid w:val="00CD71F4"/>
    <w:rsid w:val="00CE5BB0"/>
    <w:rsid w:val="00CE5E4B"/>
    <w:rsid w:val="00CF15C3"/>
    <w:rsid w:val="00CF2B6F"/>
    <w:rsid w:val="00CF3BC4"/>
    <w:rsid w:val="00CF6340"/>
    <w:rsid w:val="00D017ED"/>
    <w:rsid w:val="00D02AD9"/>
    <w:rsid w:val="00D07496"/>
    <w:rsid w:val="00D07BFC"/>
    <w:rsid w:val="00D135F8"/>
    <w:rsid w:val="00D153B1"/>
    <w:rsid w:val="00D1617A"/>
    <w:rsid w:val="00D224FE"/>
    <w:rsid w:val="00D229BA"/>
    <w:rsid w:val="00D24C02"/>
    <w:rsid w:val="00D46E89"/>
    <w:rsid w:val="00D47415"/>
    <w:rsid w:val="00D51CD8"/>
    <w:rsid w:val="00D55A5F"/>
    <w:rsid w:val="00D624D6"/>
    <w:rsid w:val="00D63084"/>
    <w:rsid w:val="00D63F91"/>
    <w:rsid w:val="00D6493E"/>
    <w:rsid w:val="00D72783"/>
    <w:rsid w:val="00D73C01"/>
    <w:rsid w:val="00D73F7E"/>
    <w:rsid w:val="00D74637"/>
    <w:rsid w:val="00D763E2"/>
    <w:rsid w:val="00D80DD3"/>
    <w:rsid w:val="00D82F24"/>
    <w:rsid w:val="00D834EE"/>
    <w:rsid w:val="00D8469D"/>
    <w:rsid w:val="00D84A25"/>
    <w:rsid w:val="00D855AE"/>
    <w:rsid w:val="00D86C12"/>
    <w:rsid w:val="00D87F31"/>
    <w:rsid w:val="00D97D00"/>
    <w:rsid w:val="00DA1124"/>
    <w:rsid w:val="00DA24C7"/>
    <w:rsid w:val="00DA2BE7"/>
    <w:rsid w:val="00DA3BFE"/>
    <w:rsid w:val="00DA5B9B"/>
    <w:rsid w:val="00DA6974"/>
    <w:rsid w:val="00DA7A0C"/>
    <w:rsid w:val="00DB33CF"/>
    <w:rsid w:val="00DB34F5"/>
    <w:rsid w:val="00DB3C0B"/>
    <w:rsid w:val="00DC0FE7"/>
    <w:rsid w:val="00DC38FE"/>
    <w:rsid w:val="00DC55B7"/>
    <w:rsid w:val="00DC7746"/>
    <w:rsid w:val="00DC79D6"/>
    <w:rsid w:val="00DC7EE4"/>
    <w:rsid w:val="00DD75A3"/>
    <w:rsid w:val="00DE02AE"/>
    <w:rsid w:val="00DE6A0C"/>
    <w:rsid w:val="00DE6C04"/>
    <w:rsid w:val="00DF1D7F"/>
    <w:rsid w:val="00DF2F50"/>
    <w:rsid w:val="00E02FB4"/>
    <w:rsid w:val="00E05557"/>
    <w:rsid w:val="00E05B04"/>
    <w:rsid w:val="00E06A1B"/>
    <w:rsid w:val="00E1165A"/>
    <w:rsid w:val="00E1340C"/>
    <w:rsid w:val="00E2020C"/>
    <w:rsid w:val="00E20571"/>
    <w:rsid w:val="00E207D9"/>
    <w:rsid w:val="00E21651"/>
    <w:rsid w:val="00E235F7"/>
    <w:rsid w:val="00E239D4"/>
    <w:rsid w:val="00E313A8"/>
    <w:rsid w:val="00E40B22"/>
    <w:rsid w:val="00E40BD2"/>
    <w:rsid w:val="00E41AD2"/>
    <w:rsid w:val="00E42068"/>
    <w:rsid w:val="00E4307C"/>
    <w:rsid w:val="00E4588F"/>
    <w:rsid w:val="00E46DA3"/>
    <w:rsid w:val="00E476C8"/>
    <w:rsid w:val="00E52DD2"/>
    <w:rsid w:val="00E57B71"/>
    <w:rsid w:val="00E646A5"/>
    <w:rsid w:val="00E72FC4"/>
    <w:rsid w:val="00E81BC9"/>
    <w:rsid w:val="00E85439"/>
    <w:rsid w:val="00E85D5D"/>
    <w:rsid w:val="00E860E0"/>
    <w:rsid w:val="00E86A1F"/>
    <w:rsid w:val="00E8778C"/>
    <w:rsid w:val="00E9008E"/>
    <w:rsid w:val="00E9579B"/>
    <w:rsid w:val="00E97275"/>
    <w:rsid w:val="00EA0A0F"/>
    <w:rsid w:val="00EA16DE"/>
    <w:rsid w:val="00EA406B"/>
    <w:rsid w:val="00EA5776"/>
    <w:rsid w:val="00EB0798"/>
    <w:rsid w:val="00EB28AE"/>
    <w:rsid w:val="00EB2F97"/>
    <w:rsid w:val="00EB34F1"/>
    <w:rsid w:val="00EB40AD"/>
    <w:rsid w:val="00EB4571"/>
    <w:rsid w:val="00EB586E"/>
    <w:rsid w:val="00EB5FC8"/>
    <w:rsid w:val="00EB74A7"/>
    <w:rsid w:val="00EC384E"/>
    <w:rsid w:val="00EC4910"/>
    <w:rsid w:val="00EC580A"/>
    <w:rsid w:val="00ED5A41"/>
    <w:rsid w:val="00ED5D05"/>
    <w:rsid w:val="00ED6B23"/>
    <w:rsid w:val="00EE00CA"/>
    <w:rsid w:val="00EE2CC3"/>
    <w:rsid w:val="00EE3577"/>
    <w:rsid w:val="00EF1963"/>
    <w:rsid w:val="00EF3C6A"/>
    <w:rsid w:val="00EF578B"/>
    <w:rsid w:val="00EF7B95"/>
    <w:rsid w:val="00F033EC"/>
    <w:rsid w:val="00F0438D"/>
    <w:rsid w:val="00F049A1"/>
    <w:rsid w:val="00F04F68"/>
    <w:rsid w:val="00F10A73"/>
    <w:rsid w:val="00F10BD8"/>
    <w:rsid w:val="00F12670"/>
    <w:rsid w:val="00F14B27"/>
    <w:rsid w:val="00F20118"/>
    <w:rsid w:val="00F23105"/>
    <w:rsid w:val="00F25577"/>
    <w:rsid w:val="00F2700C"/>
    <w:rsid w:val="00F3148D"/>
    <w:rsid w:val="00F32D36"/>
    <w:rsid w:val="00F3509E"/>
    <w:rsid w:val="00F35298"/>
    <w:rsid w:val="00F3529E"/>
    <w:rsid w:val="00F37917"/>
    <w:rsid w:val="00F41DCE"/>
    <w:rsid w:val="00F443FD"/>
    <w:rsid w:val="00F46F9A"/>
    <w:rsid w:val="00F47D14"/>
    <w:rsid w:val="00F47E37"/>
    <w:rsid w:val="00F50ADC"/>
    <w:rsid w:val="00F50B5E"/>
    <w:rsid w:val="00F53E24"/>
    <w:rsid w:val="00F54A25"/>
    <w:rsid w:val="00F56D63"/>
    <w:rsid w:val="00F640B6"/>
    <w:rsid w:val="00F647EA"/>
    <w:rsid w:val="00F65B15"/>
    <w:rsid w:val="00F70540"/>
    <w:rsid w:val="00F76802"/>
    <w:rsid w:val="00F80E40"/>
    <w:rsid w:val="00F91585"/>
    <w:rsid w:val="00F923D6"/>
    <w:rsid w:val="00F942E9"/>
    <w:rsid w:val="00F95CA6"/>
    <w:rsid w:val="00F9705F"/>
    <w:rsid w:val="00FA029A"/>
    <w:rsid w:val="00FA144A"/>
    <w:rsid w:val="00FA2018"/>
    <w:rsid w:val="00FA3338"/>
    <w:rsid w:val="00FA5B82"/>
    <w:rsid w:val="00FA639E"/>
    <w:rsid w:val="00FA7DF1"/>
    <w:rsid w:val="00FB1B89"/>
    <w:rsid w:val="00FB3817"/>
    <w:rsid w:val="00FB596C"/>
    <w:rsid w:val="00FB67E9"/>
    <w:rsid w:val="00FC03C8"/>
    <w:rsid w:val="00FC25E4"/>
    <w:rsid w:val="00FC42B9"/>
    <w:rsid w:val="00FC4EF7"/>
    <w:rsid w:val="00FD56A0"/>
    <w:rsid w:val="00FD5947"/>
    <w:rsid w:val="00FD62E3"/>
    <w:rsid w:val="00FE1DEE"/>
    <w:rsid w:val="00FE458B"/>
    <w:rsid w:val="00FE705F"/>
    <w:rsid w:val="00FF01FE"/>
    <w:rsid w:val="00FF1448"/>
    <w:rsid w:val="00FF2126"/>
    <w:rsid w:val="00FF25D3"/>
    <w:rsid w:val="00FF417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2BA6"/>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E9727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E97275"/>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313A8"/>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B138BE"/>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46"/>
      </w:numPr>
    </w:pPr>
  </w:style>
  <w:style w:type="paragraph" w:customStyle="1" w:styleId="ListBulleti">
    <w:name w:val="List Bullet i)"/>
    <w:basedOn w:val="ListBullet"/>
    <w:uiPriority w:val="1"/>
    <w:qFormat/>
    <w:rsid w:val="005302F5"/>
    <w:pPr>
      <w:numPr>
        <w:numId w:val="1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962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uicidecallbackservice.org.au/" TargetMode="External"/><Relationship Id="rId18" Type="http://schemas.openxmlformats.org/officeDocument/2006/relationships/hyperlink" Target="https://au.reachout.com/" TargetMode="External"/><Relationship Id="rId26" Type="http://schemas.openxmlformats.org/officeDocument/2006/relationships/hyperlink" Target="https://www.tga.gov.au/scheduling-decision-interim/notice-interim-decisions-proposed-amendments-poisons-standard-sodium-nitrite-june-2021" TargetMode="External"/><Relationship Id="rId3" Type="http://schemas.openxmlformats.org/officeDocument/2006/relationships/styles" Target="styles.xml"/><Relationship Id="rId21" Type="http://schemas.openxmlformats.org/officeDocument/2006/relationships/hyperlink" Target="https://www.tga.gov.au/sites/default/files/consultation-proposed-amendments-poisons-standard-sodium-nitrite-joint-acmsaccs-28-june-2021.pdf" TargetMode="External"/><Relationship Id="rId7" Type="http://schemas.openxmlformats.org/officeDocument/2006/relationships/endnotes" Target="endnotes.xml"/><Relationship Id="rId12" Type="http://schemas.openxmlformats.org/officeDocument/2006/relationships/hyperlink" Target="https://www.lifeline.org.au/" TargetMode="External"/><Relationship Id="rId17" Type="http://schemas.openxmlformats.org/officeDocument/2006/relationships/hyperlink" Target="https://headspace.org.au/" TargetMode="External"/><Relationship Id="rId25" Type="http://schemas.openxmlformats.org/officeDocument/2006/relationships/hyperlink" Target="https://www.tga.gov.au/publication/scheduling-handbook-guidance-amending-poisons-standard" TargetMode="External"/><Relationship Id="rId2" Type="http://schemas.openxmlformats.org/officeDocument/2006/relationships/numbering" Target="numbering.xml"/><Relationship Id="rId16" Type="http://schemas.openxmlformats.org/officeDocument/2006/relationships/hyperlink" Target="https://kidshelpline.com.au/" TargetMode="External"/><Relationship Id="rId20" Type="http://schemas.openxmlformats.org/officeDocument/2006/relationships/hyperlink" Target="https://consultations.health.gov.au/tga/june_2021_joint_sodium_nitrit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www.tga.gov.au/publication/ahmac-scheduling-policy-framework-medicines-and-chemical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nsline.org.au/" TargetMode="External"/><Relationship Id="rId23" Type="http://schemas.openxmlformats.org/officeDocument/2006/relationships/hyperlink" Target="https://www.tga.gov.au/scheduling-decision-interim/notice-interim-decisions-proposed-amendments-poisons-standard-sodium-nitrite-june-2021" TargetMode="External"/><Relationship Id="rId28"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https://www.tga.gov.au/sites/default/files/ncis-sodium-nitrite-sodium-nitrate-related-deaths-australia-2009-2018.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eyondblue.org.au/get-support/online-forums" TargetMode="External"/><Relationship Id="rId22" Type="http://schemas.openxmlformats.org/officeDocument/2006/relationships/hyperlink" Target="https://consultations.tga.gov.au/tga/june_2021_interim_sodium_nitrite/" TargetMode="External"/><Relationship Id="rId27" Type="http://schemas.openxmlformats.org/officeDocument/2006/relationships/header" Target="header3.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emanticscholar.org/paper/2E.005%E2%80%85Toxicovigilance-for-suicide-prevention-of-Brown-Berling/3b4c4f007e895d05e424a763713bcf8620cf49f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3532-0F79-47E1-9479-D7FCFD6C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15</TotalTime>
  <Pages>9</Pages>
  <Words>2015</Words>
  <Characters>10822</Characters>
  <Application>Microsoft Office Word</Application>
  <DocSecurity>0</DocSecurity>
  <Lines>225</Lines>
  <Paragraphs>129</Paragraphs>
  <ScaleCrop>false</ScaleCrop>
  <HeadingPairs>
    <vt:vector size="2" baseType="variant">
      <vt:variant>
        <vt:lpstr>Title</vt:lpstr>
      </vt:variant>
      <vt:variant>
        <vt:i4>1</vt:i4>
      </vt:variant>
    </vt:vector>
  </HeadingPairs>
  <TitlesOfParts>
    <vt:vector size="1" baseType="lpstr">
      <vt:lpstr/>
    </vt:vector>
  </TitlesOfParts>
  <Company>Department of Health, TGA</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the current Poisons Standard - sodium nitrite</dc:title>
  <dc:subject>scheduling</dc:subject>
  <dc:creator>Therapeutic Goods Administration</dc:creator>
  <dc:description>template v1.4</dc:description>
  <cp:lastModifiedBy>LACK, Janet</cp:lastModifiedBy>
  <cp:revision>4</cp:revision>
  <cp:lastPrinted>2020-05-01T05:17:00Z</cp:lastPrinted>
  <dcterms:created xsi:type="dcterms:W3CDTF">2022-01-19T04:13:00Z</dcterms:created>
  <dcterms:modified xsi:type="dcterms:W3CDTF">2022-01-19T04:54:00Z</dcterms:modified>
</cp:coreProperties>
</file>