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4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B4571">
        <w:tc>
          <w:tcPr>
            <w:tcW w:w="8720" w:type="dxa"/>
          </w:tcPr>
          <w:p w14:paraId="158C7559" w14:textId="50EC184C" w:rsidR="0025660C" w:rsidRPr="00077548" w:rsidRDefault="00597B50" w:rsidP="00EB4571">
            <w:pPr>
              <w:pStyle w:val="Title"/>
            </w:pPr>
            <w:r w:rsidRPr="00597B50">
              <w:t>Notice of final decisions to amend (or not amend) the current Poisons Standard</w:t>
            </w:r>
          </w:p>
        </w:tc>
      </w:tr>
      <w:tr w:rsidR="0025660C" w14:paraId="3393FE2A" w14:textId="77777777" w:rsidTr="00EB4571">
        <w:trPr>
          <w:trHeight w:val="810"/>
        </w:trPr>
        <w:tc>
          <w:tcPr>
            <w:tcW w:w="8720" w:type="dxa"/>
          </w:tcPr>
          <w:p w14:paraId="38D3E20E" w14:textId="62ABC2FB" w:rsidR="0025660C" w:rsidRPr="00077548" w:rsidRDefault="001E6E2F" w:rsidP="00ED6B23">
            <w:pPr>
              <w:pStyle w:val="Subtitle"/>
              <w:tabs>
                <w:tab w:val="left" w:pos="5310"/>
              </w:tabs>
              <w:ind w:left="0"/>
            </w:pPr>
            <w:r>
              <w:t>23 May 2022</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7764FB46" w:rsidR="007907BF" w:rsidRDefault="007907BF" w:rsidP="007907BF">
      <w:pPr>
        <w:pStyle w:val="LegalCopy"/>
      </w:pPr>
      <w:r w:rsidRPr="009401F6">
        <w:t>© Commonwealth of Australia 20</w:t>
      </w:r>
      <w:r>
        <w:t>2</w:t>
      </w:r>
      <w:r w:rsidR="00F53961">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8" w:displacedByCustomXml="next"/>
    <w:bookmarkStart w:id="1" w:name="_Toc328388475" w:displacedByCustomXml="next"/>
    <w:bookmarkStart w:id="2" w:name="_Toc323740419" w:displacedByCustomXml="next"/>
    <w:sdt>
      <w:sdtPr>
        <w:rPr>
          <w:rFonts w:ascii="Arial" w:hAnsi="Arial"/>
          <w:b/>
        </w:rPr>
        <w:id w:val="21514559"/>
        <w:docPartObj>
          <w:docPartGallery w:val="Table of Contents"/>
          <w:docPartUnique/>
        </w:docPartObj>
      </w:sdtPr>
      <w:sdtEndPr/>
      <w:sdtContent>
        <w:p w14:paraId="4D7B130A" w14:textId="77777777" w:rsidR="007D4C53" w:rsidRDefault="0025660C">
          <w:pPr>
            <w:pStyle w:val="TOC2"/>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2FEEAB87" w14:textId="27688227" w:rsidR="007F24A6" w:rsidRDefault="008D3724">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103852891" w:history="1">
            <w:r w:rsidR="007F24A6" w:rsidRPr="007635B3">
              <w:rPr>
                <w:rStyle w:val="Hyperlink"/>
                <w:noProof/>
              </w:rPr>
              <w:t>1</w:t>
            </w:r>
            <w:r w:rsidR="007F24A6">
              <w:rPr>
                <w:rFonts w:asciiTheme="minorHAnsi" w:eastAsiaTheme="minorEastAsia" w:hAnsiTheme="minorHAnsi" w:cstheme="minorBidi"/>
                <w:noProof/>
                <w:szCs w:val="22"/>
                <w:lang w:eastAsia="en-AU"/>
              </w:rPr>
              <w:tab/>
            </w:r>
            <w:r w:rsidR="007F24A6" w:rsidRPr="007635B3">
              <w:rPr>
                <w:rStyle w:val="Hyperlink"/>
                <w:noProof/>
              </w:rPr>
              <w:t>Notice of final decisions to amend (or not amend) the current Poisons Standard</w:t>
            </w:r>
            <w:r w:rsidR="007F24A6">
              <w:rPr>
                <w:noProof/>
                <w:webHidden/>
              </w:rPr>
              <w:tab/>
            </w:r>
            <w:r w:rsidR="007F24A6">
              <w:rPr>
                <w:noProof/>
                <w:webHidden/>
              </w:rPr>
              <w:fldChar w:fldCharType="begin"/>
            </w:r>
            <w:r w:rsidR="007F24A6">
              <w:rPr>
                <w:noProof/>
                <w:webHidden/>
              </w:rPr>
              <w:instrText xml:space="preserve"> PAGEREF _Toc103852891 \h </w:instrText>
            </w:r>
            <w:r w:rsidR="007F24A6">
              <w:rPr>
                <w:noProof/>
                <w:webHidden/>
              </w:rPr>
            </w:r>
            <w:r w:rsidR="007F24A6">
              <w:rPr>
                <w:noProof/>
                <w:webHidden/>
              </w:rPr>
              <w:fldChar w:fldCharType="separate"/>
            </w:r>
            <w:r w:rsidR="007F24A6">
              <w:rPr>
                <w:noProof/>
                <w:webHidden/>
              </w:rPr>
              <w:t>4</w:t>
            </w:r>
            <w:r w:rsidR="007F24A6">
              <w:rPr>
                <w:noProof/>
                <w:webHidden/>
              </w:rPr>
              <w:fldChar w:fldCharType="end"/>
            </w:r>
          </w:hyperlink>
        </w:p>
        <w:p w14:paraId="72371A1B" w14:textId="5D0FFEFC" w:rsidR="007F24A6" w:rsidRDefault="00E23E3C">
          <w:pPr>
            <w:pStyle w:val="TOC2"/>
            <w:tabs>
              <w:tab w:val="left" w:pos="851"/>
            </w:tabs>
            <w:rPr>
              <w:rFonts w:asciiTheme="minorHAnsi" w:eastAsiaTheme="minorEastAsia" w:hAnsiTheme="minorHAnsi" w:cstheme="minorBidi"/>
              <w:noProof/>
              <w:szCs w:val="22"/>
              <w:lang w:eastAsia="en-AU"/>
            </w:rPr>
          </w:pPr>
          <w:hyperlink w:anchor="_Toc103852892" w:history="1">
            <w:r w:rsidR="007F24A6" w:rsidRPr="007635B3">
              <w:rPr>
                <w:rStyle w:val="Hyperlink"/>
                <w:noProof/>
              </w:rPr>
              <w:t>2</w:t>
            </w:r>
            <w:r w:rsidR="007F24A6">
              <w:rPr>
                <w:rFonts w:asciiTheme="minorHAnsi" w:eastAsiaTheme="minorEastAsia" w:hAnsiTheme="minorHAnsi" w:cstheme="minorBidi"/>
                <w:noProof/>
                <w:szCs w:val="22"/>
                <w:lang w:eastAsia="en-AU"/>
              </w:rPr>
              <w:tab/>
            </w:r>
            <w:r w:rsidR="007F24A6" w:rsidRPr="007635B3">
              <w:rPr>
                <w:rStyle w:val="Hyperlink"/>
                <w:noProof/>
              </w:rPr>
              <w:t>Final decisions on proposed amendments referred to the Advisory Committee on Medicines Scheduling (ACMS #36, November 2021)</w:t>
            </w:r>
            <w:r w:rsidR="007F24A6">
              <w:rPr>
                <w:noProof/>
                <w:webHidden/>
              </w:rPr>
              <w:tab/>
            </w:r>
            <w:r w:rsidR="007F24A6">
              <w:rPr>
                <w:noProof/>
                <w:webHidden/>
              </w:rPr>
              <w:fldChar w:fldCharType="begin"/>
            </w:r>
            <w:r w:rsidR="007F24A6">
              <w:rPr>
                <w:noProof/>
                <w:webHidden/>
              </w:rPr>
              <w:instrText xml:space="preserve"> PAGEREF _Toc103852892 \h </w:instrText>
            </w:r>
            <w:r w:rsidR="007F24A6">
              <w:rPr>
                <w:noProof/>
                <w:webHidden/>
              </w:rPr>
            </w:r>
            <w:r w:rsidR="007F24A6">
              <w:rPr>
                <w:noProof/>
                <w:webHidden/>
              </w:rPr>
              <w:fldChar w:fldCharType="separate"/>
            </w:r>
            <w:r w:rsidR="007F24A6">
              <w:rPr>
                <w:noProof/>
                <w:webHidden/>
              </w:rPr>
              <w:t>5</w:t>
            </w:r>
            <w:r w:rsidR="007F24A6">
              <w:rPr>
                <w:noProof/>
                <w:webHidden/>
              </w:rPr>
              <w:fldChar w:fldCharType="end"/>
            </w:r>
          </w:hyperlink>
        </w:p>
        <w:p w14:paraId="46F17A44" w14:textId="3A8EB054" w:rsidR="007F24A6" w:rsidRDefault="00E23E3C">
          <w:pPr>
            <w:pStyle w:val="TOC3"/>
            <w:tabs>
              <w:tab w:val="left" w:pos="1701"/>
            </w:tabs>
            <w:rPr>
              <w:rFonts w:asciiTheme="minorHAnsi" w:eastAsiaTheme="minorEastAsia" w:hAnsiTheme="minorHAnsi" w:cstheme="minorBidi"/>
              <w:noProof/>
              <w:sz w:val="22"/>
              <w:szCs w:val="22"/>
              <w:lang w:eastAsia="en-AU"/>
            </w:rPr>
          </w:pPr>
          <w:hyperlink w:anchor="_Toc103852893" w:history="1">
            <w:r w:rsidR="007F24A6" w:rsidRPr="007635B3">
              <w:rPr>
                <w:rStyle w:val="Hyperlink"/>
                <w:noProof/>
              </w:rPr>
              <w:t>2.1</w:t>
            </w:r>
            <w:r w:rsidR="007F24A6">
              <w:rPr>
                <w:rFonts w:asciiTheme="minorHAnsi" w:eastAsiaTheme="minorEastAsia" w:hAnsiTheme="minorHAnsi" w:cstheme="minorBidi"/>
                <w:noProof/>
                <w:sz w:val="22"/>
                <w:szCs w:val="22"/>
                <w:lang w:eastAsia="en-AU"/>
              </w:rPr>
              <w:tab/>
            </w:r>
            <w:r w:rsidR="007F24A6" w:rsidRPr="007635B3">
              <w:rPr>
                <w:rStyle w:val="Hyperlink"/>
                <w:noProof/>
              </w:rPr>
              <w:t>Final decision in relation to astodrimer sodium</w:t>
            </w:r>
            <w:r w:rsidR="007F24A6">
              <w:rPr>
                <w:noProof/>
                <w:webHidden/>
              </w:rPr>
              <w:tab/>
            </w:r>
            <w:r w:rsidR="007F24A6">
              <w:rPr>
                <w:noProof/>
                <w:webHidden/>
              </w:rPr>
              <w:fldChar w:fldCharType="begin"/>
            </w:r>
            <w:r w:rsidR="007F24A6">
              <w:rPr>
                <w:noProof/>
                <w:webHidden/>
              </w:rPr>
              <w:instrText xml:space="preserve"> PAGEREF _Toc103852893 \h </w:instrText>
            </w:r>
            <w:r w:rsidR="007F24A6">
              <w:rPr>
                <w:noProof/>
                <w:webHidden/>
              </w:rPr>
            </w:r>
            <w:r w:rsidR="007F24A6">
              <w:rPr>
                <w:noProof/>
                <w:webHidden/>
              </w:rPr>
              <w:fldChar w:fldCharType="separate"/>
            </w:r>
            <w:r w:rsidR="007F24A6">
              <w:rPr>
                <w:noProof/>
                <w:webHidden/>
              </w:rPr>
              <w:t>5</w:t>
            </w:r>
            <w:r w:rsidR="007F24A6">
              <w:rPr>
                <w:noProof/>
                <w:webHidden/>
              </w:rPr>
              <w:fldChar w:fldCharType="end"/>
            </w:r>
          </w:hyperlink>
        </w:p>
        <w:p w14:paraId="38EC514E" w14:textId="76992836" w:rsidR="007F24A6" w:rsidRDefault="00E23E3C">
          <w:pPr>
            <w:pStyle w:val="TOC3"/>
            <w:tabs>
              <w:tab w:val="left" w:pos="1701"/>
            </w:tabs>
            <w:rPr>
              <w:rFonts w:asciiTheme="minorHAnsi" w:eastAsiaTheme="minorEastAsia" w:hAnsiTheme="minorHAnsi" w:cstheme="minorBidi"/>
              <w:noProof/>
              <w:sz w:val="22"/>
              <w:szCs w:val="22"/>
              <w:lang w:eastAsia="en-AU"/>
            </w:rPr>
          </w:pPr>
          <w:hyperlink w:anchor="_Toc103852894" w:history="1">
            <w:r w:rsidR="007F24A6" w:rsidRPr="007635B3">
              <w:rPr>
                <w:rStyle w:val="Hyperlink"/>
                <w:noProof/>
              </w:rPr>
              <w:t>2.2</w:t>
            </w:r>
            <w:r w:rsidR="007F24A6">
              <w:rPr>
                <w:rFonts w:asciiTheme="minorHAnsi" w:eastAsiaTheme="minorEastAsia" w:hAnsiTheme="minorHAnsi" w:cstheme="minorBidi"/>
                <w:noProof/>
                <w:sz w:val="22"/>
                <w:szCs w:val="22"/>
                <w:lang w:eastAsia="en-AU"/>
              </w:rPr>
              <w:tab/>
            </w:r>
            <w:r w:rsidR="007F24A6" w:rsidRPr="007635B3">
              <w:rPr>
                <w:rStyle w:val="Hyperlink"/>
                <w:noProof/>
              </w:rPr>
              <w:t>Final decision in relation to flurbiprofen</w:t>
            </w:r>
            <w:r w:rsidR="007F24A6">
              <w:rPr>
                <w:noProof/>
                <w:webHidden/>
              </w:rPr>
              <w:tab/>
            </w:r>
            <w:r w:rsidR="007F24A6">
              <w:rPr>
                <w:noProof/>
                <w:webHidden/>
              </w:rPr>
              <w:fldChar w:fldCharType="begin"/>
            </w:r>
            <w:r w:rsidR="007F24A6">
              <w:rPr>
                <w:noProof/>
                <w:webHidden/>
              </w:rPr>
              <w:instrText xml:space="preserve"> PAGEREF _Toc103852894 \h </w:instrText>
            </w:r>
            <w:r w:rsidR="007F24A6">
              <w:rPr>
                <w:noProof/>
                <w:webHidden/>
              </w:rPr>
            </w:r>
            <w:r w:rsidR="007F24A6">
              <w:rPr>
                <w:noProof/>
                <w:webHidden/>
              </w:rPr>
              <w:fldChar w:fldCharType="separate"/>
            </w:r>
            <w:r w:rsidR="007F24A6">
              <w:rPr>
                <w:noProof/>
                <w:webHidden/>
              </w:rPr>
              <w:t>6</w:t>
            </w:r>
            <w:r w:rsidR="007F24A6">
              <w:rPr>
                <w:noProof/>
                <w:webHidden/>
              </w:rPr>
              <w:fldChar w:fldCharType="end"/>
            </w:r>
          </w:hyperlink>
        </w:p>
        <w:p w14:paraId="5CF7E591" w14:textId="4A4DD78C" w:rsidR="007F24A6" w:rsidRDefault="00E23E3C">
          <w:pPr>
            <w:pStyle w:val="TOC2"/>
            <w:tabs>
              <w:tab w:val="left" w:pos="851"/>
            </w:tabs>
            <w:rPr>
              <w:rFonts w:asciiTheme="minorHAnsi" w:eastAsiaTheme="minorEastAsia" w:hAnsiTheme="minorHAnsi" w:cstheme="minorBidi"/>
              <w:noProof/>
              <w:szCs w:val="22"/>
              <w:lang w:eastAsia="en-AU"/>
            </w:rPr>
          </w:pPr>
          <w:hyperlink w:anchor="_Toc103852895" w:history="1">
            <w:r w:rsidR="007F24A6" w:rsidRPr="007635B3">
              <w:rPr>
                <w:rStyle w:val="Hyperlink"/>
                <w:noProof/>
              </w:rPr>
              <w:t>3</w:t>
            </w:r>
            <w:r w:rsidR="007F24A6">
              <w:rPr>
                <w:rFonts w:asciiTheme="minorHAnsi" w:eastAsiaTheme="minorEastAsia" w:hAnsiTheme="minorHAnsi" w:cstheme="minorBidi"/>
                <w:noProof/>
                <w:szCs w:val="22"/>
                <w:lang w:eastAsia="en-AU"/>
              </w:rPr>
              <w:tab/>
            </w:r>
            <w:r w:rsidR="007F24A6" w:rsidRPr="007635B3">
              <w:rPr>
                <w:rStyle w:val="Hyperlink"/>
                <w:noProof/>
              </w:rPr>
              <w:t>Final decisions on proposed amendments referred to the Advisory Committees on Medicines and Chemicals Scheduling in joint session (ACMS-ACCS #29, November 2021)</w:t>
            </w:r>
            <w:r w:rsidR="007F24A6">
              <w:rPr>
                <w:noProof/>
                <w:webHidden/>
              </w:rPr>
              <w:tab/>
            </w:r>
            <w:r w:rsidR="007F24A6">
              <w:rPr>
                <w:noProof/>
                <w:webHidden/>
              </w:rPr>
              <w:fldChar w:fldCharType="begin"/>
            </w:r>
            <w:r w:rsidR="007F24A6">
              <w:rPr>
                <w:noProof/>
                <w:webHidden/>
              </w:rPr>
              <w:instrText xml:space="preserve"> PAGEREF _Toc103852895 \h </w:instrText>
            </w:r>
            <w:r w:rsidR="007F24A6">
              <w:rPr>
                <w:noProof/>
                <w:webHidden/>
              </w:rPr>
            </w:r>
            <w:r w:rsidR="007F24A6">
              <w:rPr>
                <w:noProof/>
                <w:webHidden/>
              </w:rPr>
              <w:fldChar w:fldCharType="separate"/>
            </w:r>
            <w:r w:rsidR="007F24A6">
              <w:rPr>
                <w:noProof/>
                <w:webHidden/>
              </w:rPr>
              <w:t>8</w:t>
            </w:r>
            <w:r w:rsidR="007F24A6">
              <w:rPr>
                <w:noProof/>
                <w:webHidden/>
              </w:rPr>
              <w:fldChar w:fldCharType="end"/>
            </w:r>
          </w:hyperlink>
        </w:p>
        <w:p w14:paraId="2D2EC96A" w14:textId="403BEC3C" w:rsidR="007F24A6" w:rsidRDefault="00E23E3C">
          <w:pPr>
            <w:pStyle w:val="TOC3"/>
            <w:tabs>
              <w:tab w:val="left" w:pos="1701"/>
            </w:tabs>
            <w:rPr>
              <w:rFonts w:asciiTheme="minorHAnsi" w:eastAsiaTheme="minorEastAsia" w:hAnsiTheme="minorHAnsi" w:cstheme="minorBidi"/>
              <w:noProof/>
              <w:sz w:val="22"/>
              <w:szCs w:val="22"/>
              <w:lang w:eastAsia="en-AU"/>
            </w:rPr>
          </w:pPr>
          <w:hyperlink w:anchor="_Toc103852896" w:history="1">
            <w:r w:rsidR="007F24A6" w:rsidRPr="007635B3">
              <w:rPr>
                <w:rStyle w:val="Hyperlink"/>
                <w:noProof/>
              </w:rPr>
              <w:t>3.1</w:t>
            </w:r>
            <w:r w:rsidR="007F24A6">
              <w:rPr>
                <w:rFonts w:asciiTheme="minorHAnsi" w:eastAsiaTheme="minorEastAsia" w:hAnsiTheme="minorHAnsi" w:cstheme="minorBidi"/>
                <w:noProof/>
                <w:sz w:val="22"/>
                <w:szCs w:val="22"/>
                <w:lang w:eastAsia="en-AU"/>
              </w:rPr>
              <w:tab/>
            </w:r>
            <w:r w:rsidR="007F24A6" w:rsidRPr="007635B3">
              <w:rPr>
                <w:rStyle w:val="Hyperlink"/>
                <w:noProof/>
              </w:rPr>
              <w:t>Final decision in relation to cis-jasmone</w:t>
            </w:r>
            <w:r w:rsidR="007F24A6">
              <w:rPr>
                <w:noProof/>
                <w:webHidden/>
              </w:rPr>
              <w:tab/>
            </w:r>
            <w:r w:rsidR="007F24A6">
              <w:rPr>
                <w:noProof/>
                <w:webHidden/>
              </w:rPr>
              <w:fldChar w:fldCharType="begin"/>
            </w:r>
            <w:r w:rsidR="007F24A6">
              <w:rPr>
                <w:noProof/>
                <w:webHidden/>
              </w:rPr>
              <w:instrText xml:space="preserve"> PAGEREF _Toc103852896 \h </w:instrText>
            </w:r>
            <w:r w:rsidR="007F24A6">
              <w:rPr>
                <w:noProof/>
                <w:webHidden/>
              </w:rPr>
            </w:r>
            <w:r w:rsidR="007F24A6">
              <w:rPr>
                <w:noProof/>
                <w:webHidden/>
              </w:rPr>
              <w:fldChar w:fldCharType="separate"/>
            </w:r>
            <w:r w:rsidR="007F24A6">
              <w:rPr>
                <w:noProof/>
                <w:webHidden/>
              </w:rPr>
              <w:t>8</w:t>
            </w:r>
            <w:r w:rsidR="007F24A6">
              <w:rPr>
                <w:noProof/>
                <w:webHidden/>
              </w:rPr>
              <w:fldChar w:fldCharType="end"/>
            </w:r>
          </w:hyperlink>
        </w:p>
        <w:p w14:paraId="76F1A3E6" w14:textId="54E7C212" w:rsidR="007F24A6" w:rsidRDefault="00E23E3C">
          <w:pPr>
            <w:pStyle w:val="TOC3"/>
            <w:tabs>
              <w:tab w:val="left" w:pos="1701"/>
            </w:tabs>
            <w:rPr>
              <w:rFonts w:asciiTheme="minorHAnsi" w:eastAsiaTheme="minorEastAsia" w:hAnsiTheme="minorHAnsi" w:cstheme="minorBidi"/>
              <w:noProof/>
              <w:sz w:val="22"/>
              <w:szCs w:val="22"/>
              <w:lang w:eastAsia="en-AU"/>
            </w:rPr>
          </w:pPr>
          <w:hyperlink w:anchor="_Toc103852897" w:history="1">
            <w:r w:rsidR="007F24A6" w:rsidRPr="007635B3">
              <w:rPr>
                <w:rStyle w:val="Hyperlink"/>
                <w:noProof/>
              </w:rPr>
              <w:t>3.2</w:t>
            </w:r>
            <w:r w:rsidR="007F24A6">
              <w:rPr>
                <w:rFonts w:asciiTheme="minorHAnsi" w:eastAsiaTheme="minorEastAsia" w:hAnsiTheme="minorHAnsi" w:cstheme="minorBidi"/>
                <w:noProof/>
                <w:sz w:val="22"/>
                <w:szCs w:val="22"/>
                <w:lang w:eastAsia="en-AU"/>
              </w:rPr>
              <w:tab/>
            </w:r>
            <w:r w:rsidR="007F24A6" w:rsidRPr="007635B3">
              <w:rPr>
                <w:rStyle w:val="Hyperlink"/>
                <w:noProof/>
              </w:rPr>
              <w:t>Final decision in relation to meloxicam</w:t>
            </w:r>
            <w:r w:rsidR="007F24A6">
              <w:rPr>
                <w:noProof/>
                <w:webHidden/>
              </w:rPr>
              <w:tab/>
            </w:r>
            <w:r w:rsidR="007F24A6">
              <w:rPr>
                <w:noProof/>
                <w:webHidden/>
              </w:rPr>
              <w:fldChar w:fldCharType="begin"/>
            </w:r>
            <w:r w:rsidR="007F24A6">
              <w:rPr>
                <w:noProof/>
                <w:webHidden/>
              </w:rPr>
              <w:instrText xml:space="preserve"> PAGEREF _Toc103852897 \h </w:instrText>
            </w:r>
            <w:r w:rsidR="007F24A6">
              <w:rPr>
                <w:noProof/>
                <w:webHidden/>
              </w:rPr>
            </w:r>
            <w:r w:rsidR="007F24A6">
              <w:rPr>
                <w:noProof/>
                <w:webHidden/>
              </w:rPr>
              <w:fldChar w:fldCharType="separate"/>
            </w:r>
            <w:r w:rsidR="007F24A6">
              <w:rPr>
                <w:noProof/>
                <w:webHidden/>
              </w:rPr>
              <w:t>9</w:t>
            </w:r>
            <w:r w:rsidR="007F24A6">
              <w:rPr>
                <w:noProof/>
                <w:webHidden/>
              </w:rPr>
              <w:fldChar w:fldCharType="end"/>
            </w:r>
          </w:hyperlink>
        </w:p>
        <w:p w14:paraId="2F2997D5" w14:textId="655508C5" w:rsidR="007F24A6" w:rsidRDefault="00E23E3C">
          <w:pPr>
            <w:pStyle w:val="TOC3"/>
            <w:tabs>
              <w:tab w:val="left" w:pos="1701"/>
            </w:tabs>
            <w:rPr>
              <w:rFonts w:asciiTheme="minorHAnsi" w:eastAsiaTheme="minorEastAsia" w:hAnsiTheme="minorHAnsi" w:cstheme="minorBidi"/>
              <w:noProof/>
              <w:sz w:val="22"/>
              <w:szCs w:val="22"/>
              <w:lang w:eastAsia="en-AU"/>
            </w:rPr>
          </w:pPr>
          <w:hyperlink w:anchor="_Toc103852898" w:history="1">
            <w:r w:rsidR="007F24A6" w:rsidRPr="007635B3">
              <w:rPr>
                <w:rStyle w:val="Hyperlink"/>
                <w:noProof/>
              </w:rPr>
              <w:t>3.3</w:t>
            </w:r>
            <w:r w:rsidR="007F24A6">
              <w:rPr>
                <w:rFonts w:asciiTheme="minorHAnsi" w:eastAsiaTheme="minorEastAsia" w:hAnsiTheme="minorHAnsi" w:cstheme="minorBidi"/>
                <w:noProof/>
                <w:sz w:val="22"/>
                <w:szCs w:val="22"/>
                <w:lang w:eastAsia="en-AU"/>
              </w:rPr>
              <w:tab/>
            </w:r>
            <w:r w:rsidR="007F24A6" w:rsidRPr="007635B3">
              <w:rPr>
                <w:rStyle w:val="Hyperlink"/>
                <w:noProof/>
              </w:rPr>
              <w:t>Final decision in relation to choline salicylate</w:t>
            </w:r>
            <w:r w:rsidR="007F24A6">
              <w:rPr>
                <w:noProof/>
                <w:webHidden/>
              </w:rPr>
              <w:tab/>
            </w:r>
            <w:r w:rsidR="007F24A6">
              <w:rPr>
                <w:noProof/>
                <w:webHidden/>
              </w:rPr>
              <w:fldChar w:fldCharType="begin"/>
            </w:r>
            <w:r w:rsidR="007F24A6">
              <w:rPr>
                <w:noProof/>
                <w:webHidden/>
              </w:rPr>
              <w:instrText xml:space="preserve"> PAGEREF _Toc103852898 \h </w:instrText>
            </w:r>
            <w:r w:rsidR="007F24A6">
              <w:rPr>
                <w:noProof/>
                <w:webHidden/>
              </w:rPr>
            </w:r>
            <w:r w:rsidR="007F24A6">
              <w:rPr>
                <w:noProof/>
                <w:webHidden/>
              </w:rPr>
              <w:fldChar w:fldCharType="separate"/>
            </w:r>
            <w:r w:rsidR="007F24A6">
              <w:rPr>
                <w:noProof/>
                <w:webHidden/>
              </w:rPr>
              <w:t>10</w:t>
            </w:r>
            <w:r w:rsidR="007F24A6">
              <w:rPr>
                <w:noProof/>
                <w:webHidden/>
              </w:rPr>
              <w:fldChar w:fldCharType="end"/>
            </w:r>
          </w:hyperlink>
        </w:p>
        <w:p w14:paraId="69B281CB" w14:textId="754B7794" w:rsidR="007F24A6" w:rsidRDefault="00E23E3C">
          <w:pPr>
            <w:pStyle w:val="TOC2"/>
            <w:tabs>
              <w:tab w:val="left" w:pos="851"/>
            </w:tabs>
            <w:rPr>
              <w:rFonts w:asciiTheme="minorHAnsi" w:eastAsiaTheme="minorEastAsia" w:hAnsiTheme="minorHAnsi" w:cstheme="minorBidi"/>
              <w:noProof/>
              <w:szCs w:val="22"/>
              <w:lang w:eastAsia="en-AU"/>
            </w:rPr>
          </w:pPr>
          <w:hyperlink w:anchor="_Toc103852899" w:history="1">
            <w:r w:rsidR="007F24A6" w:rsidRPr="007635B3">
              <w:rPr>
                <w:rStyle w:val="Hyperlink"/>
                <w:noProof/>
              </w:rPr>
              <w:t>4</w:t>
            </w:r>
            <w:r w:rsidR="007F24A6">
              <w:rPr>
                <w:rFonts w:asciiTheme="minorHAnsi" w:eastAsiaTheme="minorEastAsia" w:hAnsiTheme="minorHAnsi" w:cstheme="minorBidi"/>
                <w:noProof/>
                <w:szCs w:val="22"/>
                <w:lang w:eastAsia="en-AU"/>
              </w:rPr>
              <w:tab/>
            </w:r>
            <w:r w:rsidR="007F24A6" w:rsidRPr="007635B3">
              <w:rPr>
                <w:rStyle w:val="Hyperlink"/>
                <w:noProof/>
              </w:rPr>
              <w:t>Final decisions on proposed amendments referred to the Advisory Committee on Chemicals Scheduling (ACCS #32, November 2021)</w:t>
            </w:r>
            <w:r w:rsidR="007F24A6">
              <w:rPr>
                <w:noProof/>
                <w:webHidden/>
              </w:rPr>
              <w:tab/>
            </w:r>
            <w:r w:rsidR="007F24A6">
              <w:rPr>
                <w:noProof/>
                <w:webHidden/>
              </w:rPr>
              <w:fldChar w:fldCharType="begin"/>
            </w:r>
            <w:r w:rsidR="007F24A6">
              <w:rPr>
                <w:noProof/>
                <w:webHidden/>
              </w:rPr>
              <w:instrText xml:space="preserve"> PAGEREF _Toc103852899 \h </w:instrText>
            </w:r>
            <w:r w:rsidR="007F24A6">
              <w:rPr>
                <w:noProof/>
                <w:webHidden/>
              </w:rPr>
            </w:r>
            <w:r w:rsidR="007F24A6">
              <w:rPr>
                <w:noProof/>
                <w:webHidden/>
              </w:rPr>
              <w:fldChar w:fldCharType="separate"/>
            </w:r>
            <w:r w:rsidR="007F24A6">
              <w:rPr>
                <w:noProof/>
                <w:webHidden/>
              </w:rPr>
              <w:t>12</w:t>
            </w:r>
            <w:r w:rsidR="007F24A6">
              <w:rPr>
                <w:noProof/>
                <w:webHidden/>
              </w:rPr>
              <w:fldChar w:fldCharType="end"/>
            </w:r>
          </w:hyperlink>
        </w:p>
        <w:p w14:paraId="002A4A87" w14:textId="0504C753" w:rsidR="007F24A6" w:rsidRDefault="00E23E3C">
          <w:pPr>
            <w:pStyle w:val="TOC3"/>
            <w:tabs>
              <w:tab w:val="left" w:pos="1701"/>
            </w:tabs>
            <w:rPr>
              <w:rFonts w:asciiTheme="minorHAnsi" w:eastAsiaTheme="minorEastAsia" w:hAnsiTheme="minorHAnsi" w:cstheme="minorBidi"/>
              <w:noProof/>
              <w:sz w:val="22"/>
              <w:szCs w:val="22"/>
              <w:lang w:eastAsia="en-AU"/>
            </w:rPr>
          </w:pPr>
          <w:hyperlink w:anchor="_Toc103852900" w:history="1">
            <w:r w:rsidR="007F24A6" w:rsidRPr="007635B3">
              <w:rPr>
                <w:rStyle w:val="Hyperlink"/>
                <w:noProof/>
              </w:rPr>
              <w:t>4.1</w:t>
            </w:r>
            <w:r w:rsidR="007F24A6">
              <w:rPr>
                <w:rFonts w:asciiTheme="minorHAnsi" w:eastAsiaTheme="minorEastAsia" w:hAnsiTheme="minorHAnsi" w:cstheme="minorBidi"/>
                <w:noProof/>
                <w:sz w:val="22"/>
                <w:szCs w:val="22"/>
                <w:lang w:eastAsia="en-AU"/>
              </w:rPr>
              <w:tab/>
            </w:r>
            <w:r w:rsidR="007F24A6" w:rsidRPr="007635B3">
              <w:rPr>
                <w:rStyle w:val="Hyperlink"/>
                <w:noProof/>
              </w:rPr>
              <w:t>Final decision in relation to chromates and chromium trioxide</w:t>
            </w:r>
            <w:r w:rsidR="007F24A6">
              <w:rPr>
                <w:noProof/>
                <w:webHidden/>
              </w:rPr>
              <w:tab/>
            </w:r>
            <w:r w:rsidR="007F24A6">
              <w:rPr>
                <w:noProof/>
                <w:webHidden/>
              </w:rPr>
              <w:fldChar w:fldCharType="begin"/>
            </w:r>
            <w:r w:rsidR="007F24A6">
              <w:rPr>
                <w:noProof/>
                <w:webHidden/>
              </w:rPr>
              <w:instrText xml:space="preserve"> PAGEREF _Toc103852900 \h </w:instrText>
            </w:r>
            <w:r w:rsidR="007F24A6">
              <w:rPr>
                <w:noProof/>
                <w:webHidden/>
              </w:rPr>
            </w:r>
            <w:r w:rsidR="007F24A6">
              <w:rPr>
                <w:noProof/>
                <w:webHidden/>
              </w:rPr>
              <w:fldChar w:fldCharType="separate"/>
            </w:r>
            <w:r w:rsidR="007F24A6">
              <w:rPr>
                <w:noProof/>
                <w:webHidden/>
              </w:rPr>
              <w:t>12</w:t>
            </w:r>
            <w:r w:rsidR="007F24A6">
              <w:rPr>
                <w:noProof/>
                <w:webHidden/>
              </w:rPr>
              <w:fldChar w:fldCharType="end"/>
            </w:r>
          </w:hyperlink>
        </w:p>
        <w:p w14:paraId="7DF331EE" w14:textId="7179C13B" w:rsidR="0025660C" w:rsidRDefault="008D3724" w:rsidP="008D3724">
          <w:pPr>
            <w:pStyle w:val="NonTOCheading2"/>
          </w:pPr>
          <w:r>
            <w:rPr>
              <w:sz w:val="32"/>
            </w:rPr>
            <w:fldChar w:fldCharType="end"/>
          </w:r>
        </w:p>
      </w:sdtContent>
    </w:sdt>
    <w:p w14:paraId="3445656D" w14:textId="797AC412" w:rsidR="0025660C" w:rsidRPr="00BC2009" w:rsidRDefault="00597B50" w:rsidP="00BC2009">
      <w:pPr>
        <w:pStyle w:val="Heading2"/>
        <w:pageBreakBefore/>
        <w:ind w:left="431" w:hanging="431"/>
      </w:pPr>
      <w:bookmarkStart w:id="3" w:name="_Toc103852891"/>
      <w:bookmarkEnd w:id="2"/>
      <w:bookmarkEnd w:id="1"/>
      <w:bookmarkEnd w:id="0"/>
      <w:r w:rsidRPr="00597B50">
        <w:lastRenderedPageBreak/>
        <w:t>Notice of final decisions to amend (or not amend) the current Poisons Standard</w:t>
      </w:r>
      <w:bookmarkEnd w:id="3"/>
      <w:r w:rsidRPr="00597B50">
        <w:t xml:space="preserve"> </w:t>
      </w:r>
    </w:p>
    <w:p w14:paraId="6885013C" w14:textId="3DFA8EBF" w:rsidR="00597B50" w:rsidRPr="00B1100F" w:rsidRDefault="00597B50">
      <w:r>
        <w:t>This web publication constitutes a notice for t</w:t>
      </w:r>
      <w:r w:rsidRPr="00B1100F">
        <w:t xml:space="preserve">he purposes of regulation </w:t>
      </w:r>
      <w:r w:rsidRPr="00471B9C">
        <w:t>42ZCZS</w:t>
      </w:r>
      <w:r w:rsidRPr="00CA774E">
        <w:t xml:space="preserve"> </w:t>
      </w:r>
      <w:r w:rsidRPr="00B1100F">
        <w:t xml:space="preserve">of the </w:t>
      </w:r>
      <w:r w:rsidRPr="00B1100F">
        <w:rPr>
          <w:i/>
        </w:rPr>
        <w:t xml:space="preserve">Therapeutic Goods Regulations 1990 </w:t>
      </w:r>
      <w:r w:rsidRPr="00B1100F">
        <w:t xml:space="preserve">(the </w:t>
      </w:r>
      <w:r w:rsidRPr="00B1100F">
        <w:rPr>
          <w:b/>
        </w:rPr>
        <w:t>Regulations</w:t>
      </w:r>
      <w:r w:rsidRPr="00B1100F">
        <w:t>). In accordance with regulation</w:t>
      </w:r>
      <w:r w:rsidRPr="00CA774E">
        <w:t xml:space="preserve"> </w:t>
      </w:r>
      <w:r w:rsidRPr="00471B9C">
        <w:t>42ZCZS</w:t>
      </w:r>
      <w:r w:rsidRPr="00CA774E">
        <w:t>,</w:t>
      </w:r>
      <w:r w:rsidRPr="00B1100F">
        <w:t xml:space="preserve"> this notice publishes:</w:t>
      </w:r>
    </w:p>
    <w:p w14:paraId="518D5BAC" w14:textId="297F5D30" w:rsidR="00597B50" w:rsidRPr="00B1100F" w:rsidRDefault="00597B50">
      <w:pPr>
        <w:pStyle w:val="ListBullet"/>
      </w:pPr>
      <w:r w:rsidRPr="00B1100F">
        <w:t>the decision</w:t>
      </w:r>
      <w:r w:rsidRPr="00471B9C">
        <w:t>s</w:t>
      </w:r>
      <w:r w:rsidRPr="00CA774E">
        <w:t xml:space="preserve"> made by a delegate of the Secretary </w:t>
      </w:r>
      <w:r w:rsidR="0036210E">
        <w:t xml:space="preserve">of the Department of Health (the </w:t>
      </w:r>
      <w:r w:rsidR="0036210E" w:rsidRPr="00982281">
        <w:rPr>
          <w:b/>
          <w:bCs/>
        </w:rPr>
        <w:t>Delegate</w:t>
      </w:r>
      <w:r w:rsidR="0036210E">
        <w:t xml:space="preserve">) </w:t>
      </w:r>
      <w:r w:rsidRPr="00CA774E">
        <w:t>pur</w:t>
      </w:r>
      <w:r w:rsidRPr="00B1100F">
        <w:t>suant to regulation</w:t>
      </w:r>
      <w:r w:rsidRPr="00CA774E">
        <w:t xml:space="preserve"> </w:t>
      </w:r>
      <w:proofErr w:type="gramStart"/>
      <w:r w:rsidRPr="00B1100F">
        <w:t>42ZCZR;</w:t>
      </w:r>
      <w:proofErr w:type="gramEnd"/>
    </w:p>
    <w:p w14:paraId="3702BF82" w14:textId="7922E78A" w:rsidR="00597B50" w:rsidRPr="00B1100F" w:rsidRDefault="00597B50">
      <w:pPr>
        <w:pStyle w:val="ListBullet"/>
      </w:pPr>
      <w:r w:rsidRPr="00B1100F">
        <w:t xml:space="preserve">the reasons for </w:t>
      </w:r>
      <w:r w:rsidRPr="00471B9C">
        <w:t>the</w:t>
      </w:r>
      <w:r w:rsidRPr="00CA774E">
        <w:t xml:space="preserve"> final decision</w:t>
      </w:r>
      <w:r w:rsidRPr="00471B9C">
        <w:t>s</w:t>
      </w:r>
      <w:r w:rsidRPr="00CA774E">
        <w:t xml:space="preserve">; and </w:t>
      </w:r>
    </w:p>
    <w:p w14:paraId="18FD8D2C" w14:textId="76629F87" w:rsidR="00ED5D05" w:rsidRDefault="00597B50" w:rsidP="001E6E2F">
      <w:pPr>
        <w:pStyle w:val="ListBullet"/>
      </w:pPr>
      <w:r w:rsidRPr="00B1100F">
        <w:t xml:space="preserve">the date of effect of </w:t>
      </w:r>
      <w:r w:rsidRPr="00471B9C">
        <w:t>the</w:t>
      </w:r>
      <w:r w:rsidRPr="00CA774E">
        <w:t xml:space="preserve"> decision</w:t>
      </w:r>
      <w:r w:rsidRPr="00471B9C">
        <w:t>s</w:t>
      </w:r>
      <w:r w:rsidRPr="00CA774E">
        <w:t>.</w:t>
      </w:r>
    </w:p>
    <w:p w14:paraId="00905886" w14:textId="77777777" w:rsidR="00A34862" w:rsidRDefault="00A34862">
      <w:pPr>
        <w:spacing w:before="0" w:after="0" w:line="240" w:lineRule="auto"/>
        <w:rPr>
          <w:rFonts w:ascii="Arial" w:eastAsia="Times New Roman" w:hAnsi="Arial"/>
          <w:b/>
          <w:bCs/>
          <w:sz w:val="32"/>
          <w:szCs w:val="32"/>
        </w:rPr>
      </w:pPr>
      <w:r>
        <w:br w:type="page"/>
      </w:r>
    </w:p>
    <w:p w14:paraId="4214D372" w14:textId="1BAE160B" w:rsidR="00FA029A" w:rsidRPr="00FA029A" w:rsidRDefault="00F41DCE" w:rsidP="00A34862">
      <w:pPr>
        <w:pStyle w:val="Heading2"/>
      </w:pPr>
      <w:bookmarkStart w:id="4" w:name="_Toc103852892"/>
      <w:r>
        <w:lastRenderedPageBreak/>
        <w:t>Final</w:t>
      </w:r>
      <w:r w:rsidR="00FA029A" w:rsidRPr="00FA029A">
        <w:t xml:space="preserve"> decisions on proposed amendments referred to the Advisory Committee o</w:t>
      </w:r>
      <w:r w:rsidR="00FA029A">
        <w:t>n Medicines Scheduling (ACMS #</w:t>
      </w:r>
      <w:r w:rsidR="00967416">
        <w:t>3</w:t>
      </w:r>
      <w:r w:rsidR="00A84DB4">
        <w:t>6</w:t>
      </w:r>
      <w:r w:rsidR="00FA029A">
        <w:t xml:space="preserve">, </w:t>
      </w:r>
      <w:r w:rsidR="00967416">
        <w:t>November</w:t>
      </w:r>
      <w:r w:rsidR="00FA029A">
        <w:t xml:space="preserve"> 20</w:t>
      </w:r>
      <w:r w:rsidR="00967416">
        <w:t>21</w:t>
      </w:r>
      <w:r w:rsidR="00FA029A" w:rsidRPr="00FA029A">
        <w:t>)</w:t>
      </w:r>
      <w:bookmarkEnd w:id="4"/>
    </w:p>
    <w:p w14:paraId="4F24AD70" w14:textId="2E027011" w:rsidR="0025660C" w:rsidRDefault="00F56D63" w:rsidP="00A34862">
      <w:pPr>
        <w:pStyle w:val="Heading3"/>
      </w:pPr>
      <w:bookmarkStart w:id="5" w:name="_Toc46325255"/>
      <w:bookmarkStart w:id="6" w:name="_Toc46325611"/>
      <w:bookmarkStart w:id="7" w:name="_Toc46327427"/>
      <w:bookmarkStart w:id="8" w:name="_Toc46412213"/>
      <w:bookmarkStart w:id="9" w:name="_Final_decision_in"/>
      <w:bookmarkStart w:id="10" w:name="_Toc46325256"/>
      <w:bookmarkStart w:id="11" w:name="_Toc46325612"/>
      <w:bookmarkStart w:id="12" w:name="_Toc46327428"/>
      <w:bookmarkStart w:id="13" w:name="_Toc46412214"/>
      <w:bookmarkStart w:id="14" w:name="_Toc46325257"/>
      <w:bookmarkStart w:id="15" w:name="_Toc46325613"/>
      <w:bookmarkStart w:id="16" w:name="_Toc46327429"/>
      <w:bookmarkStart w:id="17" w:name="_Toc46412215"/>
      <w:bookmarkStart w:id="18" w:name="_Toc46325258"/>
      <w:bookmarkStart w:id="19" w:name="_Toc46325614"/>
      <w:bookmarkStart w:id="20" w:name="_Toc46327430"/>
      <w:bookmarkStart w:id="21" w:name="_Toc46412216"/>
      <w:bookmarkStart w:id="22" w:name="_Toc46325259"/>
      <w:bookmarkStart w:id="23" w:name="_Toc46325615"/>
      <w:bookmarkStart w:id="24" w:name="_Toc46327431"/>
      <w:bookmarkStart w:id="25" w:name="_Toc46412217"/>
      <w:bookmarkStart w:id="26" w:name="_Final_decision_in_1"/>
      <w:bookmarkStart w:id="27" w:name="_Toc10385289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 xml:space="preserve">Final decision in relation to </w:t>
      </w:r>
      <w:r w:rsidR="00967416">
        <w:t>astodrimer sodium</w:t>
      </w:r>
      <w:bookmarkEnd w:id="27"/>
    </w:p>
    <w:p w14:paraId="76CF2553" w14:textId="77777777" w:rsidR="00636BF1" w:rsidRDefault="00636BF1" w:rsidP="00F41DCE">
      <w:pPr>
        <w:pStyle w:val="Heading5"/>
      </w:pPr>
      <w:r>
        <w:t>Proposal</w:t>
      </w:r>
    </w:p>
    <w:p w14:paraId="261900A0" w14:textId="77777777" w:rsidR="00636BF1" w:rsidRPr="003D69DF" w:rsidRDefault="00636BF1" w:rsidP="00636BF1">
      <w:pPr>
        <w:spacing w:before="0" w:after="0" w:line="240" w:lineRule="auto"/>
        <w:rPr>
          <w:rFonts w:asciiTheme="minorHAnsi" w:hAnsiTheme="minorHAnsi"/>
        </w:rPr>
      </w:pPr>
      <w:r w:rsidRPr="003D69DF">
        <w:rPr>
          <w:rFonts w:asciiTheme="minorHAnsi" w:hAnsiTheme="minorHAnsi"/>
        </w:rPr>
        <w:t>The applicant proposed amendments to the existing Appendix F and Appendix H entries for</w:t>
      </w:r>
    </w:p>
    <w:p w14:paraId="2839AF8D" w14:textId="77777777" w:rsidR="00636BF1" w:rsidRPr="003D69DF" w:rsidRDefault="00636BF1" w:rsidP="00636BF1">
      <w:pPr>
        <w:spacing w:before="0" w:after="0" w:line="240" w:lineRule="auto"/>
        <w:rPr>
          <w:rFonts w:asciiTheme="minorHAnsi" w:hAnsiTheme="minorHAnsi"/>
        </w:rPr>
      </w:pPr>
      <w:r w:rsidRPr="003D69DF">
        <w:rPr>
          <w:rFonts w:asciiTheme="minorHAnsi" w:hAnsiTheme="minorHAnsi"/>
        </w:rPr>
        <w:t>astodrimer to include new warning statements for preventative use, and to remove existing</w:t>
      </w:r>
    </w:p>
    <w:p w14:paraId="0901D36F" w14:textId="48107B41" w:rsidR="00636BF1" w:rsidRDefault="00636BF1" w:rsidP="00636BF1">
      <w:pPr>
        <w:spacing w:before="0"/>
      </w:pPr>
      <w:r w:rsidRPr="003D69DF">
        <w:t>restrictions on advertising for preparations containing the substance</w:t>
      </w:r>
    </w:p>
    <w:p w14:paraId="61E0B426" w14:textId="03D7CDE1" w:rsidR="00335BEC" w:rsidRPr="008036B7" w:rsidRDefault="00436C41" w:rsidP="00F41DCE">
      <w:pPr>
        <w:pStyle w:val="Heading5"/>
      </w:pPr>
      <w:r>
        <w:t xml:space="preserve">Final Decision </w:t>
      </w:r>
    </w:p>
    <w:p w14:paraId="3ACD4852" w14:textId="66F5E424" w:rsidR="00967416" w:rsidRDefault="00335BEC" w:rsidP="00335BEC">
      <w:r>
        <w:t xml:space="preserve">Pursuant </w:t>
      </w:r>
      <w:r w:rsidRPr="00B41A79">
        <w:t xml:space="preserve">to regulation 42ZCZR of the Regulations, a </w:t>
      </w:r>
      <w:r w:rsidR="0036210E">
        <w:t>Delegate</w:t>
      </w:r>
      <w:r w:rsidRPr="00B41A79">
        <w:t xml:space="preserve"> has made a final decision to </w:t>
      </w:r>
      <w:r w:rsidR="00A15696">
        <w:t>alter</w:t>
      </w:r>
      <w:r w:rsidR="00677AFB" w:rsidRPr="00B41A79">
        <w:t xml:space="preserve"> </w:t>
      </w:r>
      <w:r w:rsidRPr="00B41A79">
        <w:t xml:space="preserve">the interim decision and amend the current Poisons Standard in relation to </w:t>
      </w:r>
      <w:r w:rsidR="00967416" w:rsidRPr="00B41A79">
        <w:t>astodrimer sodium</w:t>
      </w:r>
      <w:r w:rsidR="00516E40" w:rsidRPr="00B41A79">
        <w:t xml:space="preserve"> </w:t>
      </w:r>
      <w:r w:rsidRPr="00B41A79">
        <w:t>as follows:</w:t>
      </w:r>
    </w:p>
    <w:p w14:paraId="705C3778" w14:textId="77777777" w:rsidR="00967416" w:rsidRPr="003D69DF" w:rsidRDefault="00967416" w:rsidP="00D148B6">
      <w:pPr>
        <w:rPr>
          <w:rFonts w:asciiTheme="minorHAnsi" w:hAnsiTheme="minorHAnsi" w:cs="Cambria"/>
          <w:b/>
          <w:bCs/>
        </w:rPr>
      </w:pPr>
      <w:r w:rsidRPr="003D69DF">
        <w:rPr>
          <w:rFonts w:asciiTheme="minorHAnsi" w:hAnsiTheme="minorHAnsi" w:cs="Cambria"/>
          <w:b/>
          <w:bCs/>
        </w:rPr>
        <w:t>Appendix F, Part 3 – Amend Entry</w:t>
      </w:r>
    </w:p>
    <w:tbl>
      <w:tblPr>
        <w:tblStyle w:val="TableTGAblue1"/>
        <w:tblW w:w="0" w:type="auto"/>
        <w:tblInd w:w="709" w:type="dxa"/>
        <w:tblLook w:val="04A0" w:firstRow="1" w:lastRow="0" w:firstColumn="1" w:lastColumn="0" w:noHBand="0" w:noVBand="1"/>
      </w:tblPr>
      <w:tblGrid>
        <w:gridCol w:w="2837"/>
        <w:gridCol w:w="2772"/>
        <w:gridCol w:w="2319"/>
      </w:tblGrid>
      <w:tr w:rsidR="00967416" w:rsidRPr="003D69DF" w14:paraId="51FFEFC5" w14:textId="77777777" w:rsidTr="00982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7" w:type="dxa"/>
            <w:shd w:val="clear" w:color="auto" w:fill="006EA8"/>
          </w:tcPr>
          <w:p w14:paraId="1CC8F3F4" w14:textId="77777777" w:rsidR="00967416" w:rsidRPr="003D69DF" w:rsidRDefault="00967416" w:rsidP="0036683E">
            <w:pPr>
              <w:rPr>
                <w:rFonts w:asciiTheme="minorHAnsi" w:hAnsiTheme="minorHAnsi" w:cs="Cambria"/>
              </w:rPr>
            </w:pPr>
            <w:r w:rsidRPr="003D69DF">
              <w:rPr>
                <w:rFonts w:asciiTheme="minorHAnsi" w:hAnsiTheme="minorHAnsi" w:cs="Cambria"/>
              </w:rPr>
              <w:t>POISON</w:t>
            </w:r>
          </w:p>
        </w:tc>
        <w:tc>
          <w:tcPr>
            <w:tcW w:w="2772" w:type="dxa"/>
            <w:shd w:val="clear" w:color="auto" w:fill="006EA8"/>
          </w:tcPr>
          <w:p w14:paraId="644386C5" w14:textId="77777777" w:rsidR="00967416" w:rsidRPr="003D69DF" w:rsidRDefault="00967416" w:rsidP="0036683E">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rPr>
            </w:pPr>
            <w:r w:rsidRPr="003D69DF">
              <w:rPr>
                <w:rFonts w:asciiTheme="minorHAnsi" w:hAnsiTheme="minorHAnsi" w:cs="Cambria"/>
              </w:rPr>
              <w:t>WARNING STATEMENTS</w:t>
            </w:r>
          </w:p>
        </w:tc>
        <w:tc>
          <w:tcPr>
            <w:tcW w:w="2319" w:type="dxa"/>
            <w:shd w:val="clear" w:color="auto" w:fill="006EA8"/>
          </w:tcPr>
          <w:p w14:paraId="0D961713" w14:textId="77777777" w:rsidR="00967416" w:rsidRPr="003D69DF" w:rsidRDefault="00967416" w:rsidP="0036683E">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rPr>
            </w:pPr>
            <w:r w:rsidRPr="003D69DF">
              <w:rPr>
                <w:rFonts w:asciiTheme="minorHAnsi" w:hAnsiTheme="minorHAnsi" w:cs="Cambria"/>
              </w:rPr>
              <w:t>SAFETY DIRECTION</w:t>
            </w:r>
          </w:p>
        </w:tc>
      </w:tr>
      <w:tr w:rsidR="00967416" w:rsidRPr="003D69DF" w14:paraId="23567538" w14:textId="77777777" w:rsidTr="00982281">
        <w:tc>
          <w:tcPr>
            <w:cnfStyle w:val="001000000000" w:firstRow="0" w:lastRow="0" w:firstColumn="1" w:lastColumn="0" w:oddVBand="0" w:evenVBand="0" w:oddHBand="0" w:evenHBand="0" w:firstRowFirstColumn="0" w:firstRowLastColumn="0" w:lastRowFirstColumn="0" w:lastRowLastColumn="0"/>
            <w:tcW w:w="2837" w:type="dxa"/>
          </w:tcPr>
          <w:p w14:paraId="629E376D" w14:textId="77777777" w:rsidR="00967416" w:rsidRPr="003D69DF" w:rsidRDefault="00967416" w:rsidP="0036683E">
            <w:pPr>
              <w:rPr>
                <w:rFonts w:asciiTheme="minorHAnsi" w:hAnsiTheme="minorHAnsi" w:cs="Cambria"/>
              </w:rPr>
            </w:pPr>
            <w:r w:rsidRPr="003D69DF">
              <w:rPr>
                <w:rFonts w:asciiTheme="minorHAnsi" w:hAnsiTheme="minorHAnsi" w:cs="Cambria"/>
              </w:rPr>
              <w:t>ASTODRIMER SODIUM</w:t>
            </w:r>
          </w:p>
        </w:tc>
        <w:tc>
          <w:tcPr>
            <w:tcW w:w="2772" w:type="dxa"/>
          </w:tcPr>
          <w:p w14:paraId="6AC128C9" w14:textId="77777777" w:rsidR="00967416" w:rsidRPr="003D69DF" w:rsidRDefault="00967416" w:rsidP="0036683E">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rPr>
            </w:pPr>
          </w:p>
        </w:tc>
        <w:tc>
          <w:tcPr>
            <w:tcW w:w="2319" w:type="dxa"/>
          </w:tcPr>
          <w:p w14:paraId="0F469F35" w14:textId="77777777" w:rsidR="00967416" w:rsidRPr="003D69DF" w:rsidRDefault="00967416" w:rsidP="0036683E">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rPr>
            </w:pPr>
          </w:p>
        </w:tc>
      </w:tr>
      <w:tr w:rsidR="00967416" w:rsidRPr="003D69DF" w14:paraId="4392A9C9" w14:textId="77777777" w:rsidTr="00982281">
        <w:tc>
          <w:tcPr>
            <w:cnfStyle w:val="001000000000" w:firstRow="0" w:lastRow="0" w:firstColumn="1" w:lastColumn="0" w:oddVBand="0" w:evenVBand="0" w:oddHBand="0" w:evenHBand="0" w:firstRowFirstColumn="0" w:firstRowLastColumn="0" w:lastRowFirstColumn="0" w:lastRowLastColumn="0"/>
            <w:tcW w:w="2837" w:type="dxa"/>
          </w:tcPr>
          <w:p w14:paraId="46DBAB54" w14:textId="77777777" w:rsidR="00967416" w:rsidRPr="003D69DF" w:rsidRDefault="00967416" w:rsidP="00967416">
            <w:pPr>
              <w:numPr>
                <w:ilvl w:val="0"/>
                <w:numId w:val="44"/>
              </w:numPr>
              <w:rPr>
                <w:rFonts w:asciiTheme="minorHAnsi" w:hAnsiTheme="minorHAnsi" w:cs="Cambria"/>
                <w:bCs/>
                <w:color w:val="00B050"/>
              </w:rPr>
            </w:pPr>
            <w:r w:rsidRPr="003D69DF">
              <w:rPr>
                <w:rFonts w:asciiTheme="minorHAnsi" w:hAnsiTheme="minorHAnsi" w:cs="Cambria"/>
                <w:bCs/>
                <w:color w:val="00B050"/>
              </w:rPr>
              <w:t>For the treatment and relief of bacterial vaginosis</w:t>
            </w:r>
          </w:p>
        </w:tc>
        <w:tc>
          <w:tcPr>
            <w:tcW w:w="2772" w:type="dxa"/>
          </w:tcPr>
          <w:p w14:paraId="74488204" w14:textId="77777777" w:rsidR="00967416" w:rsidRPr="003D69DF" w:rsidRDefault="00967416" w:rsidP="0036683E">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rPr>
            </w:pPr>
            <w:r w:rsidRPr="003D69DF">
              <w:rPr>
                <w:rFonts w:asciiTheme="minorHAnsi" w:hAnsiTheme="minorHAnsi" w:cs="Cambria"/>
              </w:rPr>
              <w:t>63, 64, 69, 75, 109, 110</w:t>
            </w:r>
          </w:p>
        </w:tc>
        <w:tc>
          <w:tcPr>
            <w:tcW w:w="2319" w:type="dxa"/>
          </w:tcPr>
          <w:p w14:paraId="1CB0BEC1" w14:textId="77777777" w:rsidR="00967416" w:rsidRPr="003D69DF" w:rsidRDefault="00967416" w:rsidP="0036683E">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rPr>
            </w:pPr>
          </w:p>
        </w:tc>
      </w:tr>
      <w:tr w:rsidR="00967416" w:rsidRPr="003D69DF" w14:paraId="653F3C82" w14:textId="77777777" w:rsidTr="00982281">
        <w:tc>
          <w:tcPr>
            <w:cnfStyle w:val="001000000000" w:firstRow="0" w:lastRow="0" w:firstColumn="1" w:lastColumn="0" w:oddVBand="0" w:evenVBand="0" w:oddHBand="0" w:evenHBand="0" w:firstRowFirstColumn="0" w:firstRowLastColumn="0" w:lastRowFirstColumn="0" w:lastRowLastColumn="0"/>
            <w:tcW w:w="2837" w:type="dxa"/>
          </w:tcPr>
          <w:p w14:paraId="6C885C48" w14:textId="77777777" w:rsidR="00967416" w:rsidRPr="003D69DF" w:rsidRDefault="00967416" w:rsidP="00967416">
            <w:pPr>
              <w:numPr>
                <w:ilvl w:val="0"/>
                <w:numId w:val="44"/>
              </w:numPr>
              <w:rPr>
                <w:rFonts w:asciiTheme="minorHAnsi" w:hAnsiTheme="minorHAnsi" w:cs="Cambria"/>
                <w:bCs/>
              </w:rPr>
            </w:pPr>
            <w:r w:rsidRPr="003D69DF">
              <w:rPr>
                <w:rFonts w:asciiTheme="minorHAnsi" w:hAnsiTheme="minorHAnsi" w:cs="Cambria"/>
                <w:bCs/>
                <w:color w:val="00B050"/>
              </w:rPr>
              <w:t>For the prevention of recurrent bacterial vaginosis</w:t>
            </w:r>
          </w:p>
        </w:tc>
        <w:tc>
          <w:tcPr>
            <w:tcW w:w="2772" w:type="dxa"/>
          </w:tcPr>
          <w:p w14:paraId="4649354F" w14:textId="77777777" w:rsidR="00967416" w:rsidRPr="003D69DF" w:rsidRDefault="00967416" w:rsidP="0036683E">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color w:val="00B050"/>
              </w:rPr>
            </w:pPr>
            <w:r w:rsidRPr="003D69DF">
              <w:rPr>
                <w:rFonts w:asciiTheme="minorHAnsi" w:hAnsiTheme="minorHAnsi" w:cs="Cambria"/>
                <w:color w:val="00B050"/>
              </w:rPr>
              <w:t>63, 75, 109, 110</w:t>
            </w:r>
          </w:p>
        </w:tc>
        <w:tc>
          <w:tcPr>
            <w:tcW w:w="2319" w:type="dxa"/>
          </w:tcPr>
          <w:p w14:paraId="018EFAFC" w14:textId="77777777" w:rsidR="00967416" w:rsidRPr="003D69DF" w:rsidRDefault="00967416" w:rsidP="0036683E">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rPr>
            </w:pPr>
          </w:p>
        </w:tc>
      </w:tr>
    </w:tbl>
    <w:p w14:paraId="01A7765B" w14:textId="506661CB" w:rsidR="00677AFB" w:rsidRDefault="00677AFB" w:rsidP="00D148B6">
      <w:pPr>
        <w:rPr>
          <w:rFonts w:asciiTheme="minorHAnsi" w:hAnsiTheme="minorHAnsi" w:cs="Cambria"/>
          <w:b/>
          <w:bCs/>
        </w:rPr>
      </w:pPr>
      <w:r w:rsidRPr="003D69DF">
        <w:rPr>
          <w:rFonts w:asciiTheme="minorHAnsi" w:hAnsiTheme="minorHAnsi" w:cs="Cambria"/>
          <w:b/>
          <w:bCs/>
        </w:rPr>
        <w:t xml:space="preserve">Appendix </w:t>
      </w:r>
      <w:r>
        <w:rPr>
          <w:rFonts w:asciiTheme="minorHAnsi" w:hAnsiTheme="minorHAnsi" w:cs="Cambria"/>
          <w:b/>
          <w:bCs/>
        </w:rPr>
        <w:t>H</w:t>
      </w:r>
      <w:r w:rsidRPr="003D69DF">
        <w:rPr>
          <w:rFonts w:asciiTheme="minorHAnsi" w:hAnsiTheme="minorHAnsi" w:cs="Cambria"/>
          <w:b/>
          <w:bCs/>
        </w:rPr>
        <w:t xml:space="preserve"> – Amend Entry</w:t>
      </w:r>
    </w:p>
    <w:p w14:paraId="02C29A1E" w14:textId="1C853B41" w:rsidR="00677AFB" w:rsidRPr="00677AFB" w:rsidRDefault="00677AFB" w:rsidP="00677AFB">
      <w:pPr>
        <w:ind w:left="426"/>
        <w:rPr>
          <w:rFonts w:asciiTheme="minorHAnsi" w:hAnsiTheme="minorHAnsi" w:cs="Cambria"/>
          <w:color w:val="00B050"/>
        </w:rPr>
      </w:pPr>
      <w:r>
        <w:rPr>
          <w:rFonts w:asciiTheme="minorHAnsi" w:hAnsiTheme="minorHAnsi" w:cs="Cambria"/>
        </w:rPr>
        <w:t>ASTODRIM</w:t>
      </w:r>
      <w:r w:rsidR="00B1100F">
        <w:rPr>
          <w:rFonts w:asciiTheme="minorHAnsi" w:hAnsiTheme="minorHAnsi" w:cs="Cambria"/>
        </w:rPr>
        <w:t>E</w:t>
      </w:r>
      <w:r>
        <w:rPr>
          <w:rFonts w:asciiTheme="minorHAnsi" w:hAnsiTheme="minorHAnsi" w:cs="Cambria"/>
        </w:rPr>
        <w:t xml:space="preserve">R SODIUM for the treatment and relief of bacterial vaginosis </w:t>
      </w:r>
      <w:r>
        <w:rPr>
          <w:rFonts w:asciiTheme="minorHAnsi" w:hAnsiTheme="minorHAnsi" w:cs="Cambria"/>
          <w:color w:val="00B050"/>
        </w:rPr>
        <w:t>and for the prevention of recurrent bacterial vaginosis.</w:t>
      </w:r>
    </w:p>
    <w:p w14:paraId="5D482910" w14:textId="159148ED" w:rsidR="00436C41" w:rsidRDefault="00436C41" w:rsidP="00F41DCE">
      <w:pPr>
        <w:pStyle w:val="Heading5"/>
      </w:pPr>
      <w:r>
        <w:t xml:space="preserve">Materials considered </w:t>
      </w:r>
    </w:p>
    <w:p w14:paraId="348AF278" w14:textId="4E3E957E" w:rsidR="006A64F4" w:rsidRDefault="006A64F4" w:rsidP="006A64F4">
      <w:r>
        <w:t>In making this final decision, the Delegate considered the following material:</w:t>
      </w:r>
    </w:p>
    <w:p w14:paraId="152016BB" w14:textId="24BE38ED" w:rsidR="00D865C3" w:rsidRPr="003D69DF" w:rsidRDefault="00D865C3" w:rsidP="00D865C3">
      <w:pPr>
        <w:pStyle w:val="ListBullet"/>
        <w:rPr>
          <w:rFonts w:asciiTheme="minorHAnsi" w:hAnsiTheme="minorHAnsi"/>
        </w:rPr>
      </w:pPr>
      <w:r w:rsidRPr="003D69DF">
        <w:rPr>
          <w:rFonts w:asciiTheme="minorHAnsi" w:hAnsiTheme="minorHAnsi"/>
        </w:rPr>
        <w:t xml:space="preserve">The </w:t>
      </w:r>
      <w:hyperlink r:id="rId12" w:history="1">
        <w:r w:rsidRPr="003D69DF">
          <w:rPr>
            <w:rStyle w:val="Hyperlink"/>
            <w:rFonts w:asciiTheme="minorHAnsi" w:hAnsiTheme="minorHAnsi"/>
          </w:rPr>
          <w:t>application</w:t>
        </w:r>
      </w:hyperlink>
      <w:r w:rsidRPr="003D69DF">
        <w:rPr>
          <w:rFonts w:asciiTheme="minorHAnsi" w:hAnsiTheme="minorHAnsi"/>
        </w:rPr>
        <w:t xml:space="preserve"> to amend the current Poisons Standard with respect to astodrimer sodium</w:t>
      </w:r>
      <w:r w:rsidR="0058315B">
        <w:rPr>
          <w:rFonts w:asciiTheme="minorHAnsi" w:hAnsiTheme="minorHAnsi"/>
        </w:rPr>
        <w:t xml:space="preserve"> (the </w:t>
      </w:r>
      <w:r w:rsidR="00FD1704">
        <w:rPr>
          <w:rFonts w:asciiTheme="minorHAnsi" w:hAnsiTheme="minorHAnsi"/>
          <w:b/>
          <w:bCs/>
        </w:rPr>
        <w:t>Application</w:t>
      </w:r>
      <w:r w:rsidR="0058315B">
        <w:rPr>
          <w:rFonts w:asciiTheme="minorHAnsi" w:hAnsiTheme="minorHAnsi"/>
        </w:rPr>
        <w:t>)</w:t>
      </w:r>
      <w:r w:rsidRPr="003D69DF">
        <w:rPr>
          <w:rFonts w:asciiTheme="minorHAnsi" w:hAnsiTheme="minorHAnsi"/>
        </w:rPr>
        <w:t>;</w:t>
      </w:r>
    </w:p>
    <w:p w14:paraId="5A1020AE" w14:textId="77777777" w:rsidR="00D865C3" w:rsidRPr="003D69DF" w:rsidRDefault="00D865C3" w:rsidP="00D865C3">
      <w:pPr>
        <w:pStyle w:val="ListBullet"/>
        <w:rPr>
          <w:rFonts w:asciiTheme="minorHAnsi" w:hAnsiTheme="minorHAnsi"/>
        </w:rPr>
      </w:pPr>
      <w:r w:rsidRPr="003D69DF">
        <w:rPr>
          <w:rFonts w:asciiTheme="minorHAnsi" w:hAnsiTheme="minorHAnsi"/>
        </w:rPr>
        <w:t xml:space="preserve">The 41 </w:t>
      </w:r>
      <w:hyperlink r:id="rId13" w:history="1">
        <w:r w:rsidRPr="003D69DF">
          <w:rPr>
            <w:rStyle w:val="Hyperlink"/>
            <w:rFonts w:asciiTheme="minorHAnsi" w:hAnsiTheme="minorHAnsi"/>
          </w:rPr>
          <w:t>public submissions</w:t>
        </w:r>
      </w:hyperlink>
      <w:r w:rsidRPr="003D69DF">
        <w:rPr>
          <w:rFonts w:asciiTheme="minorHAnsi" w:hAnsiTheme="minorHAnsi"/>
        </w:rPr>
        <w:t xml:space="preserve"> received in response to the </w:t>
      </w:r>
      <w:hyperlink r:id="rId14" w:history="1">
        <w:r w:rsidRPr="00CC7A25">
          <w:rPr>
            <w:rStyle w:val="Hyperlink"/>
            <w:rFonts w:asciiTheme="minorHAnsi" w:hAnsiTheme="minorHAnsi"/>
          </w:rPr>
          <w:t>pre-meeting consultation</w:t>
        </w:r>
      </w:hyperlink>
      <w:r w:rsidRPr="003D69DF">
        <w:rPr>
          <w:rFonts w:asciiTheme="minorHAnsi" w:hAnsiTheme="minorHAnsi"/>
        </w:rPr>
        <w:t xml:space="preserve"> under regulation 42ZCZK of the Regulations. </w:t>
      </w:r>
    </w:p>
    <w:p w14:paraId="11BFC6FE" w14:textId="77777777" w:rsidR="00D865C3" w:rsidRPr="003D69DF" w:rsidRDefault="00D865C3" w:rsidP="00D865C3">
      <w:pPr>
        <w:pStyle w:val="ListBullet"/>
      </w:pPr>
      <w:r w:rsidRPr="003D69DF">
        <w:t>The advice received from the 36</w:t>
      </w:r>
      <w:r w:rsidRPr="003D69DF">
        <w:rPr>
          <w:vertAlign w:val="superscript"/>
        </w:rPr>
        <w:t>th</w:t>
      </w:r>
      <w:r w:rsidRPr="003D69DF">
        <w:t xml:space="preserve"> meeting of the Advisory Committee on Medicines Scheduling (the</w:t>
      </w:r>
      <w:r w:rsidRPr="003D69DF">
        <w:rPr>
          <w:b/>
          <w:bCs/>
        </w:rPr>
        <w:t xml:space="preserve"> Committee</w:t>
      </w:r>
      <w:proofErr w:type="gramStart"/>
      <w:r w:rsidRPr="003D69DF">
        <w:t>);</w:t>
      </w:r>
      <w:proofErr w:type="gramEnd"/>
    </w:p>
    <w:p w14:paraId="0E48746C" w14:textId="5A3D3577" w:rsidR="006A64F4" w:rsidRDefault="006A64F4" w:rsidP="002C1418">
      <w:pPr>
        <w:pStyle w:val="ListBullet"/>
      </w:pPr>
      <w:r>
        <w:t>The</w:t>
      </w:r>
      <w:r w:rsidR="002C1418">
        <w:t xml:space="preserve"> </w:t>
      </w:r>
      <w:r w:rsidR="00835953">
        <w:t>ten</w:t>
      </w:r>
      <w:r>
        <w:t xml:space="preserve"> </w:t>
      </w:r>
      <w:hyperlink r:id="rId15" w:history="1">
        <w:r w:rsidRPr="00D429C0">
          <w:rPr>
            <w:rStyle w:val="Hyperlink"/>
          </w:rPr>
          <w:t>public submissions</w:t>
        </w:r>
        <w:bookmarkStart w:id="28" w:name="_Hlk101266328"/>
      </w:hyperlink>
      <w:r w:rsidR="00835953" w:rsidRPr="00835953">
        <w:t>,</w:t>
      </w:r>
      <w:r w:rsidR="00835953">
        <w:t xml:space="preserve"> including two written submissions,</w:t>
      </w:r>
      <w:r>
        <w:t xml:space="preserve"> received in response to the </w:t>
      </w:r>
      <w:hyperlink r:id="rId16" w:history="1">
        <w:r w:rsidR="008B7C43" w:rsidRPr="00D429C0">
          <w:rPr>
            <w:rStyle w:val="Hyperlink"/>
          </w:rPr>
          <w:t>interim decision consultation</w:t>
        </w:r>
      </w:hyperlink>
      <w:r w:rsidR="008B7C43">
        <w:t xml:space="preserve"> </w:t>
      </w:r>
      <w:bookmarkEnd w:id="28"/>
      <w:r w:rsidR="002C1418" w:rsidRPr="002C1418">
        <w:t>under regulation 42ZCZP of the Regulations</w:t>
      </w:r>
      <w:r>
        <w:t>;</w:t>
      </w:r>
    </w:p>
    <w:p w14:paraId="5138E7AC" w14:textId="77777777" w:rsidR="00D865C3" w:rsidRPr="003D69DF" w:rsidRDefault="00D865C3" w:rsidP="00D865C3">
      <w:pPr>
        <w:pStyle w:val="ListBullet"/>
      </w:pPr>
      <w:r w:rsidRPr="003D69DF">
        <w:lastRenderedPageBreak/>
        <w:t>Subsection 52</w:t>
      </w:r>
      <w:proofErr w:type="gramStart"/>
      <w:r w:rsidRPr="003D69DF">
        <w:t>E(</w:t>
      </w:r>
      <w:proofErr w:type="gramEnd"/>
      <w:r w:rsidRPr="003D69DF">
        <w:t xml:space="preserve">1) of </w:t>
      </w:r>
      <w:r w:rsidRPr="003D69DF">
        <w:rPr>
          <w:i/>
        </w:rPr>
        <w:t>the Therapeutic Goods Act 1989</w:t>
      </w:r>
      <w:r w:rsidRPr="003D69DF">
        <w:rPr>
          <w:iCs/>
        </w:rPr>
        <w:t xml:space="preserve"> (</w:t>
      </w:r>
      <w:proofErr w:type="spellStart"/>
      <w:r w:rsidRPr="003D69DF">
        <w:rPr>
          <w:iCs/>
        </w:rPr>
        <w:t>Cth</w:t>
      </w:r>
      <w:proofErr w:type="spellEnd"/>
      <w:r w:rsidRPr="003D69DF">
        <w:rPr>
          <w:iCs/>
        </w:rPr>
        <w:t xml:space="preserve">) (the </w:t>
      </w:r>
      <w:r w:rsidRPr="003D69DF">
        <w:rPr>
          <w:b/>
          <w:bCs/>
          <w:iCs/>
        </w:rPr>
        <w:t>Act</w:t>
      </w:r>
      <w:r w:rsidRPr="003D69DF">
        <w:rPr>
          <w:iCs/>
        </w:rPr>
        <w:t>)</w:t>
      </w:r>
      <w:r w:rsidRPr="003D69DF">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768EA662" w14:textId="77777777" w:rsidR="00D865C3" w:rsidRPr="003D69DF" w:rsidRDefault="00D865C3" w:rsidP="00D865C3">
      <w:pPr>
        <w:pStyle w:val="ListBullet"/>
        <w:rPr>
          <w:rFonts w:asciiTheme="minorHAnsi" w:hAnsiTheme="minorHAnsi"/>
        </w:rPr>
      </w:pPr>
      <w:r w:rsidRPr="003D69DF">
        <w:rPr>
          <w:rFonts w:asciiTheme="minorHAnsi" w:hAnsiTheme="minorHAnsi"/>
        </w:rPr>
        <w:t xml:space="preserve">The </w:t>
      </w:r>
      <w:hyperlink r:id="rId17" w:history="1">
        <w:r w:rsidRPr="003D69DF">
          <w:rPr>
            <w:rStyle w:val="Hyperlink"/>
            <w:rFonts w:asciiTheme="minorHAnsi" w:hAnsiTheme="minorHAnsi"/>
          </w:rPr>
          <w:t>Scheduling Policy Framework</w:t>
        </w:r>
      </w:hyperlink>
      <w:r w:rsidRPr="003D69DF">
        <w:rPr>
          <w:rFonts w:asciiTheme="minorHAnsi" w:hAnsiTheme="minorHAnsi"/>
        </w:rPr>
        <w:t xml:space="preserve"> 2018 (the </w:t>
      </w:r>
      <w:r w:rsidRPr="003D69DF">
        <w:rPr>
          <w:rFonts w:asciiTheme="minorHAnsi" w:hAnsiTheme="minorHAnsi"/>
          <w:b/>
          <w:bCs/>
        </w:rPr>
        <w:t>SPF</w:t>
      </w:r>
      <w:r w:rsidRPr="003D69DF">
        <w:rPr>
          <w:rFonts w:asciiTheme="minorHAnsi" w:hAnsiTheme="minorHAnsi"/>
        </w:rPr>
        <w:t>), pursuant to paragraph 52E(2)(a) of the Act; and</w:t>
      </w:r>
    </w:p>
    <w:p w14:paraId="59920392" w14:textId="77777777" w:rsidR="00D865C3" w:rsidRPr="003D69DF" w:rsidRDefault="00D865C3" w:rsidP="00D865C3">
      <w:pPr>
        <w:pStyle w:val="ListBullet"/>
        <w:rPr>
          <w:rFonts w:asciiTheme="minorHAnsi" w:hAnsiTheme="minorHAnsi"/>
        </w:rPr>
      </w:pPr>
      <w:r w:rsidRPr="003D69DF">
        <w:rPr>
          <w:rFonts w:asciiTheme="minorHAnsi" w:hAnsiTheme="minorHAnsi"/>
        </w:rPr>
        <w:t xml:space="preserve">The </w:t>
      </w:r>
      <w:hyperlink r:id="rId18" w:history="1">
        <w:r w:rsidRPr="003D69DF">
          <w:rPr>
            <w:rStyle w:val="Hyperlink"/>
            <w:rFonts w:asciiTheme="minorHAnsi" w:hAnsiTheme="minorHAnsi"/>
          </w:rPr>
          <w:t>Scheduling handbook: Guidance for amending the Poisons Standard</w:t>
        </w:r>
      </w:hyperlink>
      <w:r w:rsidRPr="003D69DF">
        <w:rPr>
          <w:rFonts w:asciiTheme="minorHAnsi" w:hAnsiTheme="minorHAnsi"/>
        </w:rPr>
        <w:t>.</w:t>
      </w:r>
    </w:p>
    <w:p w14:paraId="70E59020" w14:textId="6A773F7F" w:rsidR="00436C41" w:rsidRDefault="00436C41" w:rsidP="00F41DCE">
      <w:pPr>
        <w:pStyle w:val="Heading5"/>
      </w:pPr>
      <w:r w:rsidRPr="00436C41">
        <w:t>Reasons for the final decision (including findings on material questions of fact)</w:t>
      </w:r>
    </w:p>
    <w:p w14:paraId="64E9C1AD" w14:textId="54E1F53F" w:rsidR="004B32D0" w:rsidRDefault="004B32D0" w:rsidP="004B32D0">
      <w:r w:rsidRPr="00FD1704">
        <w:t xml:space="preserve">I have made a final decision to confirm my </w:t>
      </w:r>
      <w:hyperlink r:id="rId19" w:history="1">
        <w:r w:rsidRPr="00FD1704">
          <w:rPr>
            <w:rStyle w:val="Hyperlink"/>
          </w:rPr>
          <w:t>interim decision</w:t>
        </w:r>
      </w:hyperlink>
      <w:r w:rsidRPr="00FD1704">
        <w:t xml:space="preserve"> to amend</w:t>
      </w:r>
      <w:r w:rsidR="000F01FC">
        <w:t xml:space="preserve"> Appendix </w:t>
      </w:r>
      <w:r w:rsidR="00A15696">
        <w:t>F</w:t>
      </w:r>
      <w:r w:rsidR="00376005">
        <w:t>,</w:t>
      </w:r>
      <w:r w:rsidR="000F01FC">
        <w:t xml:space="preserve"> Part 3 of</w:t>
      </w:r>
      <w:r w:rsidRPr="00FD1704">
        <w:t xml:space="preserve"> the current Poisons Standard with respect to </w:t>
      </w:r>
      <w:r w:rsidR="005E319B" w:rsidRPr="00FD1704">
        <w:t>astodrimer sodium</w:t>
      </w:r>
      <w:r w:rsidR="00376005">
        <w:t>,</w:t>
      </w:r>
      <w:r w:rsidR="000F01FC">
        <w:t xml:space="preserve"> and </w:t>
      </w:r>
      <w:r w:rsidR="00A15696">
        <w:t xml:space="preserve">in addition to alter </w:t>
      </w:r>
      <w:r w:rsidR="000F01FC">
        <w:t xml:space="preserve">my interim decision </w:t>
      </w:r>
      <w:r w:rsidR="00A15696">
        <w:t>concerning</w:t>
      </w:r>
      <w:r w:rsidR="000F01FC">
        <w:t xml:space="preserve"> Appendix H</w:t>
      </w:r>
      <w:r w:rsidRPr="00FD1704">
        <w:t xml:space="preserve">. </w:t>
      </w:r>
      <w:r w:rsidRPr="005940B2">
        <w:t xml:space="preserve">In making my final decision, I have </w:t>
      </w:r>
      <w:proofErr w:type="gramStart"/>
      <w:r w:rsidRPr="005940B2">
        <w:t>taken into account</w:t>
      </w:r>
      <w:proofErr w:type="gramEnd"/>
      <w:r w:rsidRPr="005940B2">
        <w:t xml:space="preserve"> the material detailed in the interim </w:t>
      </w:r>
      <w:r w:rsidRPr="00835953">
        <w:t xml:space="preserve">decision and the </w:t>
      </w:r>
      <w:r w:rsidR="00835953" w:rsidRPr="00835953">
        <w:t>responses</w:t>
      </w:r>
      <w:r w:rsidRPr="00835953">
        <w:t xml:space="preserve"> </w:t>
      </w:r>
      <w:r w:rsidR="00835953">
        <w:t xml:space="preserve">after </w:t>
      </w:r>
      <w:r w:rsidRPr="005940B2">
        <w:t xml:space="preserve">the second </w:t>
      </w:r>
      <w:r w:rsidR="00835953">
        <w:t>call</w:t>
      </w:r>
      <w:r w:rsidRPr="005940B2">
        <w:t xml:space="preserve"> for </w:t>
      </w:r>
      <w:r w:rsidR="00835953">
        <w:t xml:space="preserve">public </w:t>
      </w:r>
      <w:r w:rsidRPr="005940B2">
        <w:t>submissions</w:t>
      </w:r>
      <w:r w:rsidR="00835953">
        <w:t>,</w:t>
      </w:r>
      <w:r w:rsidRPr="005940B2">
        <w:t xml:space="preserve"> published on </w:t>
      </w:r>
      <w:r w:rsidR="005E319B" w:rsidRPr="005940B2">
        <w:t>11</w:t>
      </w:r>
      <w:r w:rsidRPr="005940B2">
        <w:t xml:space="preserve"> </w:t>
      </w:r>
      <w:r w:rsidR="005E319B" w:rsidRPr="005940B2">
        <w:t>March</w:t>
      </w:r>
      <w:r w:rsidRPr="005940B2">
        <w:t xml:space="preserve"> </w:t>
      </w:r>
      <w:r w:rsidR="005E319B" w:rsidRPr="005940B2">
        <w:t>2022</w:t>
      </w:r>
      <w:r w:rsidRPr="005940B2">
        <w:t xml:space="preserve"> under regulation 42ZCZP of the Regulations.</w:t>
      </w:r>
      <w:r w:rsidR="00835953">
        <w:t xml:space="preserve"> I note that two written submissions were received, one supportive and one partially</w:t>
      </w:r>
      <w:r w:rsidR="00A15696">
        <w:t xml:space="preserve"> </w:t>
      </w:r>
      <w:r w:rsidR="00835953">
        <w:t>supportive of the interim decision.</w:t>
      </w:r>
    </w:p>
    <w:p w14:paraId="197FCE7C" w14:textId="6F49D94D" w:rsidR="00064B8B" w:rsidRDefault="00763C79" w:rsidP="004B32D0">
      <w:r>
        <w:t>T</w:t>
      </w:r>
      <w:r w:rsidR="0063506D">
        <w:t>he partially supportive submission raised issue</w:t>
      </w:r>
      <w:r w:rsidR="004562FD">
        <w:t>s</w:t>
      </w:r>
      <w:r w:rsidR="0063506D">
        <w:t xml:space="preserve"> with the inclusion of warning statement 75 (“</w:t>
      </w:r>
      <w:r w:rsidR="0063506D" w:rsidRPr="0063506D">
        <w:t>Do not use for more than 7 days unless a doctor has told you to.</w:t>
      </w:r>
      <w:r w:rsidR="0063506D">
        <w:t xml:space="preserve">”) and the decision not to amend the Appendix H entry to </w:t>
      </w:r>
      <w:r w:rsidR="007524C1">
        <w:t xml:space="preserve">remove restriction by indication. </w:t>
      </w:r>
      <w:r w:rsidR="0063506D">
        <w:t xml:space="preserve"> </w:t>
      </w:r>
    </w:p>
    <w:p w14:paraId="0DC9D9FC" w14:textId="3657F8CC" w:rsidR="00064B8B" w:rsidRDefault="00064B8B" w:rsidP="00064B8B">
      <w:r>
        <w:t>I acknowledge that astodrimer is a topical treatment with a low risk of harm itself</w:t>
      </w:r>
      <w:r w:rsidR="00376005">
        <w:t>. However</w:t>
      </w:r>
      <w:r>
        <w:t>, I find the risks to individual and public health presented by the absence of a prompt to seek advice from a medical practitioner before using the substance for more than seven days outweigh the benefits at this time. I consider that medical oversight plays an essential role in the long-term use of this medicine</w:t>
      </w:r>
      <w:r w:rsidR="00376005">
        <w:t xml:space="preserve"> and the conditions that it is intended to treat</w:t>
      </w:r>
      <w:r>
        <w:t xml:space="preserve">, and seven days is a suitable period of use before consultation with a medical professional should be sought. </w:t>
      </w:r>
    </w:p>
    <w:p w14:paraId="6AE4984F" w14:textId="19AD3882" w:rsidR="000F01FC" w:rsidRDefault="0036210E" w:rsidP="004B32D0">
      <w:r>
        <w:t xml:space="preserve">The partially supportive submission also proposed an alternative Appendix H entry, which </w:t>
      </w:r>
      <w:r w:rsidR="000F01FC">
        <w:t xml:space="preserve">I have considered </w:t>
      </w:r>
      <w:r w:rsidR="00DA4C01">
        <w:t xml:space="preserve">and </w:t>
      </w:r>
      <w:r>
        <w:t xml:space="preserve">adopted in my decision </w:t>
      </w:r>
      <w:r w:rsidR="00DA4C01">
        <w:t xml:space="preserve">to amend </w:t>
      </w:r>
      <w:r w:rsidR="000F01FC">
        <w:t xml:space="preserve">Appendix </w:t>
      </w:r>
      <w:proofErr w:type="spellStart"/>
      <w:r w:rsidR="000F01FC">
        <w:t>H</w:t>
      </w:r>
      <w:r w:rsidR="00DA4C01">
        <w:t xml:space="preserve"> as</w:t>
      </w:r>
      <w:proofErr w:type="spellEnd"/>
      <w:r w:rsidR="00DA4C01">
        <w:t xml:space="preserve"> indicated above. </w:t>
      </w:r>
      <w:r w:rsidR="00A15696">
        <w:t>A</w:t>
      </w:r>
      <w:r w:rsidR="00DA4C01">
        <w:t xml:space="preserve">lthough </w:t>
      </w:r>
      <w:r w:rsidR="00A15696">
        <w:t xml:space="preserve">any </w:t>
      </w:r>
      <w:r w:rsidR="00DA4C01">
        <w:t>new warnings on the label would not undergo pre-market review</w:t>
      </w:r>
      <w:r w:rsidR="00A15696" w:rsidRPr="00A15696">
        <w:t xml:space="preserve"> </w:t>
      </w:r>
      <w:r w:rsidR="00A15696">
        <w:t>(as the product is classified as a medical device)</w:t>
      </w:r>
      <w:r w:rsidR="00DA4C01">
        <w:t xml:space="preserve">, “bacterial vaginosis” is a restricted representation and would require approval from the TGA. </w:t>
      </w:r>
      <w:r w:rsidR="007B5DF5">
        <w:t xml:space="preserve">Furthermore, the amended Appendix H entry would restrict advertising </w:t>
      </w:r>
      <w:r w:rsidR="004562FD">
        <w:t>to</w:t>
      </w:r>
      <w:r w:rsidR="007B5DF5">
        <w:t xml:space="preserve"> </w:t>
      </w:r>
      <w:r w:rsidR="007B5DF5" w:rsidRPr="00376005">
        <w:rPr>
          <w:i/>
          <w:iCs/>
        </w:rPr>
        <w:t>the treatment and relief of bacterial vaginosis and for the prevention of recurrent bacterial vaginosis</w:t>
      </w:r>
      <w:r w:rsidR="007B5DF5">
        <w:t xml:space="preserve"> only</w:t>
      </w:r>
      <w:r w:rsidR="004562FD">
        <w:t>,</w:t>
      </w:r>
      <w:r w:rsidR="007B5DF5">
        <w:t xml:space="preserve"> </w:t>
      </w:r>
      <w:r w:rsidR="004562FD">
        <w:t>t</w:t>
      </w:r>
      <w:r w:rsidR="007B5DF5">
        <w:t>here</w:t>
      </w:r>
      <w:r w:rsidR="00A15696">
        <w:t>by</w:t>
      </w:r>
      <w:r w:rsidR="007B5DF5">
        <w:t xml:space="preserve"> ensuring </w:t>
      </w:r>
      <w:r w:rsidR="00A15696">
        <w:t xml:space="preserve">that </w:t>
      </w:r>
      <w:r w:rsidR="007B5DF5">
        <w:t xml:space="preserve">there are adequate controls over advertising of astodrimer sodium as indicated in my interim decision.   </w:t>
      </w:r>
    </w:p>
    <w:p w14:paraId="62D1F954" w14:textId="49B2D289" w:rsidR="00F41DCE" w:rsidRDefault="005E319B" w:rsidP="00F41DCE">
      <w:pPr>
        <w:pStyle w:val="Heading5"/>
      </w:pPr>
      <w:bookmarkStart w:id="29" w:name="_Hlk101336187"/>
      <w:r>
        <w:t>Implementation date</w:t>
      </w:r>
      <w:r w:rsidR="00F41DCE">
        <w:t xml:space="preserve"> </w:t>
      </w:r>
    </w:p>
    <w:bookmarkEnd w:id="29"/>
    <w:p w14:paraId="2C56F6AA" w14:textId="0D9DD6CF" w:rsidR="00F41DCE" w:rsidRDefault="005E319B" w:rsidP="00F41DCE">
      <w:r w:rsidRPr="00FD1704">
        <w:rPr>
          <w:b/>
          <w:bCs/>
        </w:rPr>
        <w:t>1 June 2022</w:t>
      </w:r>
      <w:r w:rsidR="00F41DCE" w:rsidRPr="00FD1704">
        <w:t>.</w:t>
      </w:r>
      <w:r w:rsidR="00F41DCE" w:rsidRPr="004A213A">
        <w:t xml:space="preserve"> </w:t>
      </w:r>
    </w:p>
    <w:p w14:paraId="1975BB7B" w14:textId="080962FE" w:rsidR="005E319B" w:rsidRDefault="005E319B" w:rsidP="002A6836">
      <w:pPr>
        <w:pStyle w:val="Heading3"/>
      </w:pPr>
      <w:bookmarkStart w:id="30" w:name="_Toc103852894"/>
      <w:r>
        <w:t>Final decision in relation to flurbiprofen</w:t>
      </w:r>
      <w:bookmarkEnd w:id="30"/>
    </w:p>
    <w:p w14:paraId="40ADE639" w14:textId="0D1C8FE9" w:rsidR="00035472" w:rsidRDefault="00035472" w:rsidP="005E319B">
      <w:pPr>
        <w:pStyle w:val="Heading5"/>
      </w:pPr>
      <w:r>
        <w:t>Erratum</w:t>
      </w:r>
    </w:p>
    <w:p w14:paraId="46E9C31A" w14:textId="4CF4F853" w:rsidR="005153D2" w:rsidRDefault="00035472" w:rsidP="00035472">
      <w:r>
        <w:t xml:space="preserve">The </w:t>
      </w:r>
      <w:r w:rsidR="005153D2">
        <w:t>interim decision contained a transcr</w:t>
      </w:r>
      <w:r w:rsidR="00670774">
        <w:t>iption</w:t>
      </w:r>
      <w:r w:rsidR="005153D2">
        <w:t xml:space="preserve"> error regarding the matters considered by the </w:t>
      </w:r>
      <w:r w:rsidR="00982281">
        <w:t xml:space="preserve">Advisory </w:t>
      </w:r>
      <w:r w:rsidR="005153D2">
        <w:t xml:space="preserve">Committee </w:t>
      </w:r>
      <w:r w:rsidR="00982281">
        <w:t xml:space="preserve">on Medicines Scheduling </w:t>
      </w:r>
      <w:r w:rsidR="005153D2">
        <w:t xml:space="preserve">under subsection 52E(1)(d) of the Act </w:t>
      </w:r>
      <w:r w:rsidR="00BA046F">
        <w:t xml:space="preserve">that is </w:t>
      </w:r>
      <w:r w:rsidR="005153D2">
        <w:t>indicated in red</w:t>
      </w:r>
      <w:r w:rsidR="00BA046F">
        <w:t xml:space="preserve"> as follows</w:t>
      </w:r>
      <w:r w:rsidR="005153D2">
        <w:t>:</w:t>
      </w:r>
    </w:p>
    <w:p w14:paraId="706309E9" w14:textId="22803458" w:rsidR="005153D2" w:rsidRPr="005153D2" w:rsidRDefault="005153D2" w:rsidP="005153D2">
      <w:pPr>
        <w:pStyle w:val="ListParagraph"/>
        <w:numPr>
          <w:ilvl w:val="0"/>
          <w:numId w:val="49"/>
        </w:numPr>
      </w:pPr>
      <w:r w:rsidRPr="005153D2">
        <w:t xml:space="preserve">the dosage, formulation, labelling, packaging and presentation of a </w:t>
      </w:r>
      <w:proofErr w:type="gramStart"/>
      <w:r w:rsidRPr="005153D2">
        <w:t>substance;</w:t>
      </w:r>
      <w:proofErr w:type="gramEnd"/>
      <w:r w:rsidRPr="005153D2">
        <w:t xml:space="preserve"> </w:t>
      </w:r>
    </w:p>
    <w:p w14:paraId="7EF74A30" w14:textId="77777777" w:rsidR="005153D2" w:rsidRDefault="005153D2" w:rsidP="005153D2">
      <w:pPr>
        <w:ind w:left="720"/>
      </w:pPr>
      <w:r>
        <w:t xml:space="preserve">– Flurbiprofen 8.75mg/0.54mL solution pump actuated metered dose aerosol </w:t>
      </w:r>
    </w:p>
    <w:p w14:paraId="65DA6B5C" w14:textId="77777777" w:rsidR="005153D2" w:rsidRDefault="005153D2" w:rsidP="005153D2">
      <w:pPr>
        <w:ind w:left="720"/>
      </w:pPr>
      <w:r>
        <w:lastRenderedPageBreak/>
        <w:t xml:space="preserve">– Maximum 5 sprays per day </w:t>
      </w:r>
    </w:p>
    <w:p w14:paraId="2EF95E4F" w14:textId="7F29B1CF" w:rsidR="005153D2" w:rsidRDefault="005153D2" w:rsidP="005153D2">
      <w:pPr>
        <w:ind w:left="720"/>
      </w:pPr>
      <w:r>
        <w:t xml:space="preserve">– Proposal max 15mL </w:t>
      </w:r>
      <w:r w:rsidRPr="005153D2">
        <w:rPr>
          <w:color w:val="FF0000"/>
        </w:rPr>
        <w:t>as a Class IIb medical device, noting that the placement of new warnings on the labelling would not undergo pre-market review and could lead to confusion at the point-of-sale and point-of-use.</w:t>
      </w:r>
    </w:p>
    <w:p w14:paraId="1BC98FA0" w14:textId="4948F7E9" w:rsidR="00035472" w:rsidRPr="00035472" w:rsidRDefault="00C7633D" w:rsidP="00035472">
      <w:r>
        <w:t>T</w:t>
      </w:r>
      <w:r w:rsidR="005153D2">
        <w:t xml:space="preserve">his </w:t>
      </w:r>
      <w:r w:rsidR="00376005">
        <w:t xml:space="preserve">text was mistakenly included but </w:t>
      </w:r>
      <w:r w:rsidR="005153D2">
        <w:t>did not affect the Delegate’s interim decision with respect to flurbiprofen.</w:t>
      </w:r>
    </w:p>
    <w:p w14:paraId="124C1EF1" w14:textId="77777777" w:rsidR="00636BF1" w:rsidRPr="00636BF1" w:rsidRDefault="00636BF1" w:rsidP="00636BF1">
      <w:pPr>
        <w:keepNext/>
        <w:keepLines/>
        <w:spacing w:after="120"/>
        <w:outlineLvl w:val="3"/>
        <w:rPr>
          <w:rFonts w:asciiTheme="minorHAnsi" w:hAnsiTheme="minorHAnsi"/>
          <w:b/>
          <w:bCs/>
          <w:i/>
          <w:iCs/>
          <w:szCs w:val="22"/>
        </w:rPr>
      </w:pPr>
      <w:bookmarkStart w:id="31" w:name="_Toc97713487"/>
      <w:r w:rsidRPr="00636BF1">
        <w:rPr>
          <w:rFonts w:asciiTheme="minorHAnsi" w:hAnsiTheme="minorHAnsi"/>
          <w:b/>
          <w:bCs/>
          <w:i/>
          <w:iCs/>
          <w:szCs w:val="22"/>
        </w:rPr>
        <w:t>Proposal</w:t>
      </w:r>
      <w:bookmarkEnd w:id="31"/>
      <w:r w:rsidRPr="00636BF1">
        <w:rPr>
          <w:rFonts w:asciiTheme="minorHAnsi" w:hAnsiTheme="minorHAnsi"/>
          <w:b/>
          <w:bCs/>
          <w:i/>
          <w:iCs/>
          <w:szCs w:val="22"/>
        </w:rPr>
        <w:t xml:space="preserve"> </w:t>
      </w:r>
    </w:p>
    <w:p w14:paraId="0D4BBED3" w14:textId="01C154CE" w:rsidR="00636BF1" w:rsidRPr="00636BF1" w:rsidRDefault="00636BF1" w:rsidP="00636BF1">
      <w:pPr>
        <w:autoSpaceDE w:val="0"/>
        <w:autoSpaceDN w:val="0"/>
        <w:adjustRightInd w:val="0"/>
        <w:spacing w:before="0" w:after="0" w:line="240" w:lineRule="auto"/>
        <w:jc w:val="both"/>
        <w:rPr>
          <w:rFonts w:asciiTheme="minorHAnsi" w:hAnsiTheme="minorHAnsi" w:cs="Cambria"/>
          <w:color w:val="000000"/>
          <w:szCs w:val="22"/>
          <w:lang w:eastAsia="en-AU"/>
        </w:rPr>
      </w:pPr>
      <w:r w:rsidRPr="00636BF1">
        <w:rPr>
          <w:rFonts w:asciiTheme="minorHAnsi" w:hAnsiTheme="minorHAnsi" w:cs="Cambria"/>
          <w:color w:val="000000"/>
          <w:szCs w:val="22"/>
          <w:lang w:eastAsia="en-AU"/>
        </w:rPr>
        <w:t xml:space="preserve">The applicant proposed that the Schedule 2 entry for flurbiprofen be amended to </w:t>
      </w:r>
      <w:r w:rsidR="00BA046F">
        <w:rPr>
          <w:rFonts w:asciiTheme="minorHAnsi" w:hAnsiTheme="minorHAnsi" w:cs="Cambria"/>
          <w:color w:val="000000"/>
          <w:szCs w:val="22"/>
          <w:lang w:eastAsia="en-AU"/>
        </w:rPr>
        <w:t>exclude</w:t>
      </w:r>
      <w:r w:rsidR="00BA046F" w:rsidRPr="00636BF1">
        <w:rPr>
          <w:rFonts w:asciiTheme="minorHAnsi" w:hAnsiTheme="minorHAnsi" w:cs="Cambria"/>
          <w:color w:val="000000"/>
          <w:szCs w:val="22"/>
          <w:lang w:eastAsia="en-AU"/>
        </w:rPr>
        <w:t xml:space="preserve"> </w:t>
      </w:r>
      <w:r w:rsidRPr="00636BF1">
        <w:rPr>
          <w:rFonts w:asciiTheme="minorHAnsi" w:hAnsiTheme="minorHAnsi" w:cs="Cambria"/>
          <w:color w:val="000000"/>
          <w:szCs w:val="22"/>
          <w:lang w:eastAsia="en-AU"/>
        </w:rPr>
        <w:t>preparations presented in containers of 15 mL or less, that contain 0.25% or 10 mg or less per dose of flurbiprofen and are labelled for the treatment of adults over 18 years</w:t>
      </w:r>
      <w:r w:rsidR="00BA046F">
        <w:rPr>
          <w:rFonts w:asciiTheme="minorHAnsi" w:hAnsiTheme="minorHAnsi" w:cs="Cambria"/>
          <w:color w:val="000000"/>
          <w:szCs w:val="22"/>
          <w:lang w:eastAsia="en-AU"/>
        </w:rPr>
        <w:t>, so that these preparations are not scheduled</w:t>
      </w:r>
      <w:r w:rsidRPr="00636BF1">
        <w:rPr>
          <w:rFonts w:asciiTheme="minorHAnsi" w:hAnsiTheme="minorHAnsi" w:cs="Cambria"/>
          <w:color w:val="000000"/>
          <w:szCs w:val="22"/>
          <w:lang w:eastAsia="en-AU"/>
        </w:rPr>
        <w:t>.</w:t>
      </w:r>
    </w:p>
    <w:p w14:paraId="54A62FCE" w14:textId="12AE382E" w:rsidR="005E319B" w:rsidRPr="008036B7" w:rsidRDefault="005E319B" w:rsidP="005E319B">
      <w:pPr>
        <w:pStyle w:val="Heading5"/>
      </w:pPr>
      <w:r>
        <w:t xml:space="preserve">Final Decision </w:t>
      </w:r>
    </w:p>
    <w:p w14:paraId="0684CEAD" w14:textId="70DF1BDB" w:rsidR="005E319B" w:rsidRDefault="005E319B" w:rsidP="005E319B">
      <w:r>
        <w:t xml:space="preserve">Pursuant to regulation 42ZCZR of the Regulations, a Delegate has made a final decision </w:t>
      </w:r>
      <w:r w:rsidRPr="00035472">
        <w:t>to confirm the interim decision and amend the current Poisons Standard in relation to flurbiprofen as follows:</w:t>
      </w:r>
    </w:p>
    <w:p w14:paraId="1A3357CF" w14:textId="77777777" w:rsidR="005E319B" w:rsidRPr="00CC7A25" w:rsidRDefault="005E319B" w:rsidP="005E319B">
      <w:pPr>
        <w:ind w:left="426"/>
        <w:rPr>
          <w:rFonts w:asciiTheme="minorHAnsi" w:hAnsiTheme="minorHAnsi"/>
          <w:b/>
        </w:rPr>
      </w:pPr>
      <w:r w:rsidRPr="00CC7A25">
        <w:rPr>
          <w:rFonts w:asciiTheme="minorHAnsi" w:hAnsiTheme="minorHAnsi"/>
          <w:b/>
        </w:rPr>
        <w:t>Schedule 2 – Amend Entry</w:t>
      </w:r>
    </w:p>
    <w:p w14:paraId="3EBC6D00" w14:textId="77777777" w:rsidR="005E319B" w:rsidRPr="00CC7A25" w:rsidRDefault="005E319B" w:rsidP="005E319B">
      <w:pPr>
        <w:ind w:left="426" w:firstLine="294"/>
        <w:rPr>
          <w:rFonts w:asciiTheme="minorHAnsi" w:hAnsiTheme="minorHAnsi"/>
          <w:bCs/>
        </w:rPr>
      </w:pPr>
      <w:r w:rsidRPr="00CC7A25">
        <w:rPr>
          <w:rFonts w:asciiTheme="minorHAnsi" w:hAnsiTheme="minorHAnsi"/>
          <w:bCs/>
        </w:rPr>
        <w:t>FLURBIPROFEN in preparations for topical oral use when:</w:t>
      </w:r>
    </w:p>
    <w:p w14:paraId="5DAE79CE" w14:textId="77777777" w:rsidR="005E319B" w:rsidRPr="00CC7A25" w:rsidRDefault="005E319B" w:rsidP="005E319B">
      <w:pPr>
        <w:pStyle w:val="Numberbullet2a"/>
        <w:numPr>
          <w:ilvl w:val="0"/>
          <w:numId w:val="46"/>
        </w:numPr>
      </w:pPr>
      <w:r w:rsidRPr="00CC7A25">
        <w:t xml:space="preserve">in divided preparations containing 10 mg or less of flurbiprofen per dosage unit </w:t>
      </w:r>
      <w:r w:rsidRPr="00CC7A25">
        <w:rPr>
          <w:b/>
          <w:bCs/>
        </w:rPr>
        <w:t>except</w:t>
      </w:r>
      <w:r w:rsidRPr="00CC7A25">
        <w:t xml:space="preserve"> when:</w:t>
      </w:r>
    </w:p>
    <w:p w14:paraId="0983C7C1" w14:textId="77777777" w:rsidR="005E319B" w:rsidRPr="00CC7A25" w:rsidRDefault="005E319B" w:rsidP="005E319B">
      <w:pPr>
        <w:pStyle w:val="ListBulleti"/>
        <w:ind w:left="2160"/>
        <w:jc w:val="both"/>
        <w:rPr>
          <w:rFonts w:asciiTheme="minorHAnsi" w:hAnsiTheme="minorHAnsi"/>
        </w:rPr>
      </w:pPr>
      <w:r w:rsidRPr="00CC7A25">
        <w:rPr>
          <w:rFonts w:asciiTheme="minorHAnsi" w:hAnsiTheme="minorHAnsi"/>
        </w:rPr>
        <w:t>in a primary pack containing not more than 16 dosage units; and</w:t>
      </w:r>
    </w:p>
    <w:p w14:paraId="1F92EA84" w14:textId="77777777" w:rsidR="005E319B" w:rsidRPr="00CC7A25" w:rsidRDefault="005E319B" w:rsidP="005E319B">
      <w:pPr>
        <w:pStyle w:val="ListBulleti"/>
        <w:ind w:left="2160"/>
        <w:jc w:val="both"/>
        <w:rPr>
          <w:rFonts w:asciiTheme="minorHAnsi" w:hAnsiTheme="minorHAnsi"/>
        </w:rPr>
      </w:pPr>
      <w:r w:rsidRPr="00CC7A25">
        <w:rPr>
          <w:rFonts w:asciiTheme="minorHAnsi" w:hAnsiTheme="minorHAnsi"/>
        </w:rPr>
        <w:t>labelled only for the treatment of adults and children over 12 years.</w:t>
      </w:r>
    </w:p>
    <w:p w14:paraId="623B94A8" w14:textId="77777777" w:rsidR="005E319B" w:rsidRPr="00CC7A25" w:rsidRDefault="005E319B" w:rsidP="005E319B">
      <w:pPr>
        <w:pStyle w:val="Numberbullet2a"/>
        <w:rPr>
          <w:color w:val="00B050"/>
        </w:rPr>
      </w:pPr>
      <w:r w:rsidRPr="00CC7A25">
        <w:t xml:space="preserve">in undivided preparations containing 0.25 percent or less or 10 mg or less per dose of flurbiprofen </w:t>
      </w:r>
      <w:r w:rsidRPr="00CC7A25">
        <w:rPr>
          <w:b/>
          <w:bCs/>
          <w:color w:val="00B050"/>
        </w:rPr>
        <w:t>except</w:t>
      </w:r>
      <w:r w:rsidRPr="00CC7A25">
        <w:rPr>
          <w:color w:val="00B050"/>
        </w:rPr>
        <w:t xml:space="preserve"> when:</w:t>
      </w:r>
    </w:p>
    <w:p w14:paraId="22C2CE8B" w14:textId="77777777" w:rsidR="005E319B" w:rsidRPr="00CC7A25" w:rsidRDefault="005E319B" w:rsidP="005E319B">
      <w:pPr>
        <w:pStyle w:val="ListBulleti"/>
        <w:numPr>
          <w:ilvl w:val="0"/>
          <w:numId w:val="35"/>
        </w:numPr>
        <w:ind w:left="2160"/>
        <w:jc w:val="both"/>
        <w:rPr>
          <w:rFonts w:asciiTheme="minorHAnsi" w:hAnsiTheme="minorHAnsi"/>
          <w:color w:val="00B050"/>
        </w:rPr>
      </w:pPr>
      <w:r w:rsidRPr="00CC7A25">
        <w:rPr>
          <w:rFonts w:asciiTheme="minorHAnsi" w:hAnsiTheme="minorHAnsi"/>
          <w:color w:val="00B050"/>
        </w:rPr>
        <w:t>in a primary pack containing not more than 15 millilitres; and</w:t>
      </w:r>
    </w:p>
    <w:p w14:paraId="267A7859" w14:textId="77777777" w:rsidR="005E319B" w:rsidRPr="00CC7A25" w:rsidRDefault="005E319B" w:rsidP="005E319B">
      <w:pPr>
        <w:pStyle w:val="ListBulleti"/>
        <w:ind w:left="2160"/>
        <w:jc w:val="both"/>
        <w:rPr>
          <w:rFonts w:asciiTheme="minorHAnsi" w:hAnsiTheme="minorHAnsi"/>
          <w:color w:val="00B050"/>
        </w:rPr>
      </w:pPr>
      <w:r w:rsidRPr="00CC7A25">
        <w:rPr>
          <w:rFonts w:asciiTheme="minorHAnsi" w:hAnsiTheme="minorHAnsi"/>
          <w:color w:val="00B050"/>
        </w:rPr>
        <w:t>labelled only for the treatment of adults over 18 years.</w:t>
      </w:r>
    </w:p>
    <w:p w14:paraId="6F68611A" w14:textId="6DAD5A7F" w:rsidR="005E319B" w:rsidRDefault="005E319B" w:rsidP="005E319B">
      <w:pPr>
        <w:pStyle w:val="Heading5"/>
      </w:pPr>
      <w:r>
        <w:t xml:space="preserve">Materials considered </w:t>
      </w:r>
    </w:p>
    <w:p w14:paraId="12622739" w14:textId="77777777" w:rsidR="005E319B" w:rsidRDefault="005E319B" w:rsidP="005E319B">
      <w:r>
        <w:t>In making this final decision, the Delegate considered the following material:</w:t>
      </w:r>
    </w:p>
    <w:p w14:paraId="1E485BA3" w14:textId="24746893" w:rsidR="005E319B" w:rsidRPr="00CC7A25" w:rsidRDefault="005E319B" w:rsidP="005E319B">
      <w:pPr>
        <w:pStyle w:val="ListBullet"/>
        <w:rPr>
          <w:rFonts w:asciiTheme="minorHAnsi" w:hAnsiTheme="minorHAnsi"/>
        </w:rPr>
      </w:pPr>
      <w:r w:rsidRPr="00CC7A25">
        <w:rPr>
          <w:rFonts w:asciiTheme="minorHAnsi" w:hAnsiTheme="minorHAnsi"/>
        </w:rPr>
        <w:t xml:space="preserve">The </w:t>
      </w:r>
      <w:hyperlink r:id="rId20" w:history="1">
        <w:r w:rsidRPr="00CC7A25">
          <w:rPr>
            <w:rStyle w:val="Hyperlink"/>
            <w:rFonts w:asciiTheme="minorHAnsi" w:hAnsiTheme="minorHAnsi"/>
          </w:rPr>
          <w:t>application</w:t>
        </w:r>
      </w:hyperlink>
      <w:r w:rsidRPr="00CC7A25">
        <w:rPr>
          <w:rFonts w:asciiTheme="minorHAnsi" w:hAnsiTheme="minorHAnsi"/>
        </w:rPr>
        <w:t xml:space="preserve"> to amend the current Poisons Standard with respect to flurbiprofen</w:t>
      </w:r>
      <w:r w:rsidR="0058315B">
        <w:rPr>
          <w:rFonts w:asciiTheme="minorHAnsi" w:hAnsiTheme="minorHAnsi"/>
        </w:rPr>
        <w:t xml:space="preserve"> (the </w:t>
      </w:r>
      <w:r w:rsidR="00E369DD">
        <w:rPr>
          <w:rFonts w:asciiTheme="minorHAnsi" w:hAnsiTheme="minorHAnsi"/>
          <w:b/>
          <w:bCs/>
        </w:rPr>
        <w:t>Application</w:t>
      </w:r>
      <w:r w:rsidR="0058315B">
        <w:rPr>
          <w:rFonts w:asciiTheme="minorHAnsi" w:hAnsiTheme="minorHAnsi"/>
        </w:rPr>
        <w:t>)</w:t>
      </w:r>
      <w:r w:rsidRPr="00CC7A25">
        <w:rPr>
          <w:rFonts w:asciiTheme="minorHAnsi" w:hAnsiTheme="minorHAnsi"/>
        </w:rPr>
        <w:t>;</w:t>
      </w:r>
    </w:p>
    <w:p w14:paraId="58F0499D" w14:textId="336ECAEE" w:rsidR="005E319B" w:rsidRPr="00CC7A25" w:rsidRDefault="005E319B" w:rsidP="005E319B">
      <w:pPr>
        <w:pStyle w:val="ListBullet"/>
        <w:rPr>
          <w:rFonts w:asciiTheme="minorHAnsi" w:hAnsiTheme="minorHAnsi"/>
        </w:rPr>
      </w:pPr>
      <w:r w:rsidRPr="00CC7A25">
        <w:rPr>
          <w:rFonts w:asciiTheme="minorHAnsi" w:hAnsiTheme="minorHAnsi"/>
        </w:rPr>
        <w:t xml:space="preserve">The 35 </w:t>
      </w:r>
      <w:hyperlink r:id="rId21" w:history="1">
        <w:r w:rsidRPr="00CC7A25">
          <w:rPr>
            <w:rStyle w:val="Hyperlink"/>
            <w:rFonts w:asciiTheme="minorHAnsi" w:hAnsiTheme="minorHAnsi"/>
          </w:rPr>
          <w:t>public submissions</w:t>
        </w:r>
      </w:hyperlink>
      <w:r w:rsidRPr="00CC7A25">
        <w:rPr>
          <w:rFonts w:asciiTheme="minorHAnsi" w:hAnsiTheme="minorHAnsi"/>
        </w:rPr>
        <w:t xml:space="preserve">, </w:t>
      </w:r>
      <w:r w:rsidR="00E369DD">
        <w:rPr>
          <w:rFonts w:asciiTheme="minorHAnsi" w:hAnsiTheme="minorHAnsi"/>
        </w:rPr>
        <w:t>including</w:t>
      </w:r>
      <w:r w:rsidRPr="00CC7A25">
        <w:rPr>
          <w:rFonts w:asciiTheme="minorHAnsi" w:hAnsiTheme="minorHAnsi"/>
        </w:rPr>
        <w:t xml:space="preserve"> five written </w:t>
      </w:r>
      <w:r w:rsidR="00E369DD">
        <w:rPr>
          <w:rFonts w:asciiTheme="minorHAnsi" w:hAnsiTheme="minorHAnsi"/>
        </w:rPr>
        <w:t>submissions</w:t>
      </w:r>
      <w:r w:rsidRPr="00CC7A25">
        <w:rPr>
          <w:rFonts w:asciiTheme="minorHAnsi" w:hAnsiTheme="minorHAnsi"/>
        </w:rPr>
        <w:t xml:space="preserve">, received in response to the </w:t>
      </w:r>
      <w:hyperlink r:id="rId22" w:history="1">
        <w:r w:rsidRPr="00CC7A25">
          <w:rPr>
            <w:rStyle w:val="Hyperlink"/>
            <w:rFonts w:asciiTheme="minorHAnsi" w:hAnsiTheme="minorHAnsi"/>
          </w:rPr>
          <w:t>pre-meeting consultation</w:t>
        </w:r>
      </w:hyperlink>
      <w:r w:rsidRPr="00CC7A25">
        <w:rPr>
          <w:rFonts w:asciiTheme="minorHAnsi" w:hAnsiTheme="minorHAnsi"/>
        </w:rPr>
        <w:t xml:space="preserve"> under regulation 42ZCZK of the Regulations;</w:t>
      </w:r>
    </w:p>
    <w:p w14:paraId="1544FE3B" w14:textId="77777777" w:rsidR="005E319B" w:rsidRPr="00CC7A25" w:rsidRDefault="005E319B" w:rsidP="005E319B">
      <w:pPr>
        <w:pStyle w:val="ListBullet"/>
      </w:pPr>
      <w:r w:rsidRPr="00CC7A25">
        <w:t>The advice received from the 36</w:t>
      </w:r>
      <w:r w:rsidRPr="00CC7A25">
        <w:rPr>
          <w:vertAlign w:val="superscript"/>
        </w:rPr>
        <w:t>th</w:t>
      </w:r>
      <w:r w:rsidRPr="00CC7A25">
        <w:t xml:space="preserve"> meeting of the Advisory Committee on Medicines Scheduling (the </w:t>
      </w:r>
      <w:r w:rsidRPr="00CC7A25">
        <w:rPr>
          <w:b/>
          <w:bCs/>
        </w:rPr>
        <w:t>Committee</w:t>
      </w:r>
      <w:proofErr w:type="gramStart"/>
      <w:r w:rsidRPr="00CC7A25">
        <w:t>);</w:t>
      </w:r>
      <w:proofErr w:type="gramEnd"/>
    </w:p>
    <w:p w14:paraId="6A76B3BA" w14:textId="457E3539" w:rsidR="005E319B" w:rsidRDefault="005E319B" w:rsidP="005E319B">
      <w:pPr>
        <w:pStyle w:val="ListBullet"/>
      </w:pPr>
      <w:r>
        <w:t xml:space="preserve">The </w:t>
      </w:r>
      <w:r w:rsidR="00A84DB4">
        <w:t>nine</w:t>
      </w:r>
      <w:r>
        <w:t xml:space="preserve"> </w:t>
      </w:r>
      <w:hyperlink r:id="rId23" w:history="1">
        <w:r w:rsidRPr="00D429C0">
          <w:rPr>
            <w:rStyle w:val="Hyperlink"/>
          </w:rPr>
          <w:t>public submissions</w:t>
        </w:r>
        <w:r w:rsidR="00B64D4A" w:rsidRPr="00D429C0">
          <w:rPr>
            <w:rStyle w:val="Hyperlink"/>
          </w:rPr>
          <w:t>,</w:t>
        </w:r>
      </w:hyperlink>
      <w:r w:rsidR="00B64D4A">
        <w:t xml:space="preserve"> including two written submissions, received in response to the </w:t>
      </w:r>
      <w:hyperlink r:id="rId24" w:history="1">
        <w:r w:rsidR="00B64D4A" w:rsidRPr="00D429C0">
          <w:rPr>
            <w:rStyle w:val="Hyperlink"/>
          </w:rPr>
          <w:t>interim decision consultation</w:t>
        </w:r>
      </w:hyperlink>
      <w:r w:rsidR="00B64D4A">
        <w:t xml:space="preserve"> </w:t>
      </w:r>
      <w:r w:rsidRPr="002C1418">
        <w:t>under regulation 42ZCZP of the Regulations</w:t>
      </w:r>
      <w:r>
        <w:t>;</w:t>
      </w:r>
    </w:p>
    <w:p w14:paraId="371D4DDA" w14:textId="77777777" w:rsidR="005E319B" w:rsidRPr="00CC7A25" w:rsidRDefault="005E319B" w:rsidP="005E319B">
      <w:pPr>
        <w:pStyle w:val="ListBullet"/>
      </w:pPr>
      <w:r w:rsidRPr="00CC7A25">
        <w:t>Subsection 52</w:t>
      </w:r>
      <w:proofErr w:type="gramStart"/>
      <w:r w:rsidRPr="00CC7A25">
        <w:t>E(</w:t>
      </w:r>
      <w:proofErr w:type="gramEnd"/>
      <w:r w:rsidRPr="00CC7A25">
        <w:t xml:space="preserve">1) of the </w:t>
      </w:r>
      <w:r w:rsidRPr="00CC7A25">
        <w:rPr>
          <w:i/>
        </w:rPr>
        <w:t>Therapeutic Goods Act 1989</w:t>
      </w:r>
      <w:r w:rsidRPr="00CC7A25">
        <w:rPr>
          <w:iCs/>
        </w:rPr>
        <w:t xml:space="preserve"> (</w:t>
      </w:r>
      <w:proofErr w:type="spellStart"/>
      <w:r w:rsidRPr="00CC7A25">
        <w:rPr>
          <w:iCs/>
        </w:rPr>
        <w:t>Cth</w:t>
      </w:r>
      <w:proofErr w:type="spellEnd"/>
      <w:r w:rsidRPr="00CC7A25">
        <w:rPr>
          <w:iCs/>
        </w:rPr>
        <w:t xml:space="preserve">) (the </w:t>
      </w:r>
      <w:r w:rsidRPr="00CC7A25">
        <w:rPr>
          <w:b/>
          <w:bCs/>
          <w:iCs/>
        </w:rPr>
        <w:t>Act</w:t>
      </w:r>
      <w:r w:rsidRPr="00CC7A25">
        <w:rPr>
          <w:iCs/>
        </w:rPr>
        <w:t>)</w:t>
      </w:r>
      <w:r w:rsidRPr="00CC7A25">
        <w:rPr>
          <w:i/>
        </w:rPr>
        <w:t xml:space="preserve">, </w:t>
      </w:r>
      <w:r w:rsidRPr="00CC7A25">
        <w:t xml:space="preserve">in particular (a) risks and benefits of the use of a substance; (b) the purposes for which a substance is to be used and the extent of use of a substance; (c) the toxicity of a substance; (d) the dosage, </w:t>
      </w:r>
      <w:r w:rsidRPr="00CC7A25">
        <w:lastRenderedPageBreak/>
        <w:t>formulation, labelling, packaging and presentation of a substance; and (f) any other matters that the Secretary considers necessary to protect public health;</w:t>
      </w:r>
    </w:p>
    <w:p w14:paraId="469E1264" w14:textId="77777777" w:rsidR="005E319B" w:rsidRPr="00CC7A25" w:rsidRDefault="005E319B" w:rsidP="005E319B">
      <w:pPr>
        <w:pStyle w:val="ListBullet"/>
        <w:rPr>
          <w:rFonts w:asciiTheme="minorHAnsi" w:hAnsiTheme="minorHAnsi"/>
        </w:rPr>
      </w:pPr>
      <w:r w:rsidRPr="00CC7A25">
        <w:rPr>
          <w:rFonts w:asciiTheme="minorHAnsi" w:hAnsiTheme="minorHAnsi"/>
        </w:rPr>
        <w:t xml:space="preserve">The </w:t>
      </w:r>
      <w:hyperlink r:id="rId25" w:history="1">
        <w:r w:rsidRPr="00CC7A25">
          <w:rPr>
            <w:rStyle w:val="Hyperlink"/>
            <w:rFonts w:asciiTheme="minorHAnsi" w:hAnsiTheme="minorHAnsi"/>
          </w:rPr>
          <w:t>Scheduling Policy Framework</w:t>
        </w:r>
      </w:hyperlink>
      <w:r w:rsidRPr="00CC7A25">
        <w:rPr>
          <w:rFonts w:asciiTheme="minorHAnsi" w:hAnsiTheme="minorHAnsi"/>
        </w:rPr>
        <w:t xml:space="preserve"> 2018 (the </w:t>
      </w:r>
      <w:r w:rsidRPr="00CC7A25">
        <w:rPr>
          <w:rFonts w:asciiTheme="minorHAnsi" w:hAnsiTheme="minorHAnsi"/>
          <w:b/>
          <w:bCs/>
        </w:rPr>
        <w:t>SPF</w:t>
      </w:r>
      <w:r w:rsidRPr="00CC7A25">
        <w:rPr>
          <w:rFonts w:asciiTheme="minorHAnsi" w:hAnsiTheme="minorHAnsi"/>
        </w:rPr>
        <w:t>), pursuant to paragraph 52E(2)(a) of the Act; and</w:t>
      </w:r>
    </w:p>
    <w:p w14:paraId="39346CC1" w14:textId="77777777" w:rsidR="005E319B" w:rsidRPr="00CC7A25" w:rsidRDefault="005E319B" w:rsidP="005E319B">
      <w:pPr>
        <w:pStyle w:val="ListBullet"/>
        <w:rPr>
          <w:rFonts w:asciiTheme="minorHAnsi" w:hAnsiTheme="minorHAnsi"/>
        </w:rPr>
      </w:pPr>
      <w:r w:rsidRPr="00CC7A25">
        <w:rPr>
          <w:rFonts w:asciiTheme="minorHAnsi" w:hAnsiTheme="minorHAnsi"/>
        </w:rPr>
        <w:t xml:space="preserve">The </w:t>
      </w:r>
      <w:hyperlink r:id="rId26" w:history="1">
        <w:r w:rsidRPr="00CC7A25">
          <w:rPr>
            <w:rStyle w:val="Hyperlink"/>
            <w:rFonts w:asciiTheme="minorHAnsi" w:hAnsiTheme="minorHAnsi"/>
          </w:rPr>
          <w:t>Scheduling handbook: Guidance for amending the Poisons Standard</w:t>
        </w:r>
      </w:hyperlink>
      <w:r w:rsidRPr="00CC7A25">
        <w:rPr>
          <w:rFonts w:asciiTheme="minorHAnsi" w:hAnsiTheme="minorHAnsi"/>
        </w:rPr>
        <w:t>.</w:t>
      </w:r>
    </w:p>
    <w:p w14:paraId="3ED7607E" w14:textId="77777777" w:rsidR="005E319B" w:rsidRDefault="005E319B" w:rsidP="005E319B">
      <w:pPr>
        <w:pStyle w:val="Heading5"/>
      </w:pPr>
      <w:r w:rsidRPr="00436C41">
        <w:t>Reasons for the final decision (including findings on material questions of fact)</w:t>
      </w:r>
    </w:p>
    <w:p w14:paraId="679D88BA" w14:textId="0949D51B" w:rsidR="005E319B" w:rsidRPr="00186DF0" w:rsidRDefault="005E319B" w:rsidP="005E319B">
      <w:r w:rsidRPr="00186DF0">
        <w:t xml:space="preserve">I have made a final decision to confirm my interim decision to amend the current Poisons Standard with respect to flurbiprofen. My reasons for making the final decision are those set out in the interim decision. In making my final decision, I have </w:t>
      </w:r>
      <w:proofErr w:type="gramStart"/>
      <w:r w:rsidRPr="00186DF0">
        <w:t>taken into account</w:t>
      </w:r>
      <w:proofErr w:type="gramEnd"/>
      <w:r w:rsidRPr="00186DF0">
        <w:t xml:space="preserve"> the material detailed in the interim decision and the </w:t>
      </w:r>
      <w:r w:rsidR="00326D8B" w:rsidRPr="00186DF0">
        <w:t>responses after the second call for public submissions,</w:t>
      </w:r>
      <w:r w:rsidRPr="00186DF0">
        <w:t xml:space="preserve"> published on 11 March 2022 under regulation 42ZCZP of the Regulations.</w:t>
      </w:r>
      <w:r w:rsidR="00326D8B" w:rsidRPr="00186DF0">
        <w:t xml:space="preserve"> I note two written submissions were received, on</w:t>
      </w:r>
      <w:r w:rsidR="00186DF0">
        <w:t>e</w:t>
      </w:r>
      <w:r w:rsidR="00326D8B" w:rsidRPr="00186DF0">
        <w:t xml:space="preserve"> supportive and one opposing the interim decision. </w:t>
      </w:r>
    </w:p>
    <w:p w14:paraId="77ACD1C2" w14:textId="5557EFED" w:rsidR="00374812" w:rsidRDefault="00326D8B" w:rsidP="005E319B">
      <w:pPr>
        <w:rPr>
          <w:highlight w:val="yellow"/>
        </w:rPr>
      </w:pPr>
      <w:r w:rsidRPr="00186DF0">
        <w:t xml:space="preserve">I have </w:t>
      </w:r>
      <w:r w:rsidR="00186DF0" w:rsidRPr="00186DF0">
        <w:t>considered</w:t>
      </w:r>
      <w:r w:rsidRPr="00186DF0">
        <w:t xml:space="preserve"> the </w:t>
      </w:r>
      <w:r w:rsidR="00376005">
        <w:t xml:space="preserve">matters raised in the </w:t>
      </w:r>
      <w:r w:rsidRPr="00186DF0">
        <w:t xml:space="preserve">opposing submission, </w:t>
      </w:r>
      <w:proofErr w:type="gramStart"/>
      <w:r w:rsidR="00410730" w:rsidRPr="00186DF0">
        <w:t>in particular that</w:t>
      </w:r>
      <w:proofErr w:type="gramEnd"/>
      <w:r w:rsidR="00410730" w:rsidRPr="00186DF0">
        <w:t xml:space="preserve"> </w:t>
      </w:r>
      <w:r w:rsidR="00EF05A1" w:rsidRPr="00186DF0">
        <w:t>easing restrictions on the supply of flurbiprofen would enable use beyond a period that is considered reasonable for symptoms of a sore throat to resolve and would warrant review by a healthcare professional.</w:t>
      </w:r>
      <w:r w:rsidR="00410730" w:rsidRPr="00186DF0">
        <w:t xml:space="preserve"> </w:t>
      </w:r>
      <w:r w:rsidR="00376005">
        <w:t>C</w:t>
      </w:r>
      <w:r w:rsidR="00376005" w:rsidRPr="00186DF0">
        <w:t>onsistent with my interim decision</w:t>
      </w:r>
      <w:r w:rsidR="00376005">
        <w:t>,</w:t>
      </w:r>
      <w:r w:rsidR="00376005" w:rsidRPr="00186DF0">
        <w:t xml:space="preserve"> </w:t>
      </w:r>
      <w:r w:rsidR="00374812" w:rsidRPr="00186DF0">
        <w:t xml:space="preserve">I </w:t>
      </w:r>
      <w:proofErr w:type="gramStart"/>
      <w:r w:rsidR="00374812" w:rsidRPr="00186DF0">
        <w:t>am of the opinion that</w:t>
      </w:r>
      <w:proofErr w:type="gramEnd"/>
      <w:r w:rsidR="00374812" w:rsidRPr="00186DF0">
        <w:t xml:space="preserve"> </w:t>
      </w:r>
      <w:r w:rsidR="00915B4A" w:rsidRPr="00186DF0">
        <w:t>th</w:t>
      </w:r>
      <w:r w:rsidR="00374812" w:rsidRPr="00186DF0">
        <w:t xml:space="preserve">e safety profile </w:t>
      </w:r>
      <w:r w:rsidR="00915B4A" w:rsidRPr="00186DF0">
        <w:t xml:space="preserve">and risk of toxicity from low dose </w:t>
      </w:r>
      <w:r w:rsidR="00374812" w:rsidRPr="00186DF0">
        <w:t xml:space="preserve">flurbiprofen </w:t>
      </w:r>
      <w:r w:rsidR="00915B4A" w:rsidRPr="00186DF0">
        <w:t xml:space="preserve">throat </w:t>
      </w:r>
      <w:r w:rsidR="00374812" w:rsidRPr="00186DF0">
        <w:t xml:space="preserve">spray </w:t>
      </w:r>
      <w:r w:rsidR="00186DF0">
        <w:t>is</w:t>
      </w:r>
      <w:r w:rsidR="00374812" w:rsidRPr="00186DF0">
        <w:t xml:space="preserve"> comparable to that of flurbiprofen lozenges</w:t>
      </w:r>
      <w:r w:rsidR="009D3CE6">
        <w:t xml:space="preserve">, which are already </w:t>
      </w:r>
      <w:r w:rsidR="00374812" w:rsidRPr="00186DF0">
        <w:t>available for general sale</w:t>
      </w:r>
      <w:r w:rsidR="00E33EE0">
        <w:t xml:space="preserve"> and present a similar risk to the throat spray in this regard</w:t>
      </w:r>
      <w:r w:rsidR="009D3CE6">
        <w:t>.</w:t>
      </w:r>
      <w:r w:rsidR="00186DF0">
        <w:t xml:space="preserve"> </w:t>
      </w:r>
      <w:bookmarkStart w:id="32" w:name="_Hlk101952100"/>
      <w:r w:rsidR="00374812" w:rsidRPr="00186DF0">
        <w:t>Therefore, I confirm my interim decision to amend the Schedule 2 entry for flurbiprofen in the Poisons Standard.</w:t>
      </w:r>
      <w:bookmarkEnd w:id="32"/>
    </w:p>
    <w:p w14:paraId="030AC315" w14:textId="77777777" w:rsidR="005E319B" w:rsidRDefault="005E319B" w:rsidP="005E319B">
      <w:pPr>
        <w:pStyle w:val="Heading5"/>
      </w:pPr>
      <w:r>
        <w:t xml:space="preserve">Implementation date </w:t>
      </w:r>
    </w:p>
    <w:p w14:paraId="7B4677CC" w14:textId="45BFDA73" w:rsidR="005E319B" w:rsidRDefault="005E319B" w:rsidP="005E319B">
      <w:r w:rsidRPr="00186DF0">
        <w:rPr>
          <w:b/>
          <w:bCs/>
        </w:rPr>
        <w:t>1 June 2022</w:t>
      </w:r>
      <w:r w:rsidR="00383394" w:rsidRPr="00186DF0">
        <w:rPr>
          <w:b/>
          <w:bCs/>
        </w:rPr>
        <w:t>.</w:t>
      </w:r>
    </w:p>
    <w:p w14:paraId="78103DB2" w14:textId="0C1D5763" w:rsidR="00F41DCE" w:rsidRPr="00FA029A" w:rsidRDefault="00F41DCE" w:rsidP="00A34862">
      <w:pPr>
        <w:pStyle w:val="Heading2"/>
      </w:pPr>
      <w:bookmarkStart w:id="33" w:name="_Toc103852895"/>
      <w:r>
        <w:t>Final</w:t>
      </w:r>
      <w:r w:rsidRPr="00FA029A">
        <w:t xml:space="preserve"> decisions on proposed amendments referred to the </w:t>
      </w:r>
      <w:r w:rsidRPr="0065237C">
        <w:t>Advisory Committee</w:t>
      </w:r>
      <w:r w:rsidR="00910FAA">
        <w:t>s</w:t>
      </w:r>
      <w:r w:rsidRPr="0065237C">
        <w:t xml:space="preserve"> on </w:t>
      </w:r>
      <w:r w:rsidR="00910FAA">
        <w:t xml:space="preserve">Medicines and </w:t>
      </w:r>
      <w:r w:rsidRPr="0065237C">
        <w:t>Chemic</w:t>
      </w:r>
      <w:r>
        <w:t xml:space="preserve">als Scheduling </w:t>
      </w:r>
      <w:r w:rsidR="00910FAA">
        <w:t xml:space="preserve">in joint session </w:t>
      </w:r>
      <w:r>
        <w:t>(</w:t>
      </w:r>
      <w:r w:rsidR="00910FAA">
        <w:t>ACMS-</w:t>
      </w:r>
      <w:r>
        <w:t>ACCS #</w:t>
      </w:r>
      <w:r w:rsidR="00FE6710">
        <w:t>29</w:t>
      </w:r>
      <w:r>
        <w:t xml:space="preserve">, </w:t>
      </w:r>
      <w:r w:rsidR="00FE6710">
        <w:t>November</w:t>
      </w:r>
      <w:r>
        <w:t> 20</w:t>
      </w:r>
      <w:r w:rsidR="00FE6710">
        <w:t>21</w:t>
      </w:r>
      <w:r w:rsidRPr="0065237C">
        <w:t>)</w:t>
      </w:r>
      <w:bookmarkEnd w:id="33"/>
    </w:p>
    <w:p w14:paraId="221BDC9D" w14:textId="46D77D71" w:rsidR="00F41DCE" w:rsidRDefault="00F41DCE" w:rsidP="00A34862">
      <w:pPr>
        <w:pStyle w:val="Heading3"/>
      </w:pPr>
      <w:bookmarkStart w:id="34" w:name="_Toc103852896"/>
      <w:r>
        <w:t xml:space="preserve">Final decision in relation to </w:t>
      </w:r>
      <w:r w:rsidR="00FE6710">
        <w:t>cis-jasmone</w:t>
      </w:r>
      <w:bookmarkEnd w:id="34"/>
    </w:p>
    <w:p w14:paraId="2DEC52FF" w14:textId="77777777" w:rsidR="00636BF1" w:rsidRDefault="00636BF1" w:rsidP="00636BF1">
      <w:pPr>
        <w:pStyle w:val="Heading5"/>
      </w:pPr>
      <w:r>
        <w:t>Proposal</w:t>
      </w:r>
    </w:p>
    <w:p w14:paraId="7207D73F" w14:textId="691AC967" w:rsidR="00636BF1" w:rsidRPr="00636BF1" w:rsidRDefault="00636BF1" w:rsidP="00636BF1">
      <w:pPr>
        <w:pStyle w:val="Heading5"/>
        <w:spacing w:before="120"/>
        <w:ind w:left="0" w:firstLine="0"/>
        <w:rPr>
          <w:b w:val="0"/>
          <w:bCs w:val="0"/>
          <w:i w:val="0"/>
          <w:iCs/>
        </w:rPr>
      </w:pPr>
      <w:r w:rsidRPr="00636BF1">
        <w:rPr>
          <w:b w:val="0"/>
          <w:bCs w:val="0"/>
          <w:i w:val="0"/>
          <w:iCs/>
        </w:rPr>
        <w:t>The applicant proposed the creation of new entries in Schedule 5 and Schedule 6 for cis-jasmone for agricultural use.</w:t>
      </w:r>
    </w:p>
    <w:p w14:paraId="21EB2BC2" w14:textId="4439A1FA" w:rsidR="00F41DCE" w:rsidRPr="008036B7" w:rsidRDefault="00F41DCE" w:rsidP="00636BF1">
      <w:pPr>
        <w:pStyle w:val="Heading5"/>
      </w:pPr>
      <w:r>
        <w:t xml:space="preserve">Final Decision </w:t>
      </w:r>
    </w:p>
    <w:p w14:paraId="4BBBD116" w14:textId="3A3C832B" w:rsidR="0081409B" w:rsidRDefault="00F41DCE" w:rsidP="00F41DCE">
      <w:r>
        <w:t xml:space="preserve">Pursuant to regulation 42ZCZR of the Regulations, a Delegate has made a final decision to </w:t>
      </w:r>
      <w:r w:rsidRPr="00375892">
        <w:t>confirm</w:t>
      </w:r>
      <w:r>
        <w:t xml:space="preserve"> </w:t>
      </w:r>
      <w:r w:rsidRPr="005203C8">
        <w:t>the interim decision</w:t>
      </w:r>
      <w:r>
        <w:t xml:space="preserve"> and </w:t>
      </w:r>
      <w:r w:rsidRPr="00375892">
        <w:t xml:space="preserve">amend the current Poisons Standard in relation to </w:t>
      </w:r>
      <w:r w:rsidR="0081409B" w:rsidRPr="00375892">
        <w:t>cis-jasmone</w:t>
      </w:r>
      <w:r w:rsidRPr="00375892">
        <w:t xml:space="preserve"> as follows:</w:t>
      </w:r>
    </w:p>
    <w:p w14:paraId="7A4F9EA3" w14:textId="77777777" w:rsidR="0081409B" w:rsidRDefault="0081409B" w:rsidP="0081409B">
      <w:pPr>
        <w:rPr>
          <w:b/>
          <w:lang w:eastAsia="en-AU"/>
        </w:rPr>
      </w:pPr>
      <w:r>
        <w:rPr>
          <w:b/>
        </w:rPr>
        <w:t>Schedule 5 – New Entry</w:t>
      </w:r>
    </w:p>
    <w:p w14:paraId="5B85BB70" w14:textId="77777777" w:rsidR="0081409B" w:rsidRDefault="0081409B" w:rsidP="0081409B">
      <w:pPr>
        <w:ind w:left="426"/>
        <w:rPr>
          <w:color w:val="00B050"/>
        </w:rPr>
      </w:pPr>
      <w:r>
        <w:rPr>
          <w:color w:val="00B050"/>
        </w:rPr>
        <w:t xml:space="preserve">CIS-JASMONE when prepared and packaged as an agricultural chemical </w:t>
      </w:r>
      <w:r>
        <w:rPr>
          <w:b/>
          <w:bCs/>
          <w:color w:val="00B050"/>
        </w:rPr>
        <w:t>except</w:t>
      </w:r>
      <w:r>
        <w:rPr>
          <w:color w:val="00B050"/>
        </w:rPr>
        <w:t xml:space="preserve"> when present as a fragrance.</w:t>
      </w:r>
    </w:p>
    <w:p w14:paraId="3474AB01" w14:textId="77777777" w:rsidR="0081409B" w:rsidRDefault="0081409B" w:rsidP="0081409B">
      <w:pPr>
        <w:ind w:left="426"/>
        <w:rPr>
          <w:b/>
          <w:bCs/>
        </w:rPr>
      </w:pPr>
      <w:r>
        <w:rPr>
          <w:b/>
          <w:bCs/>
        </w:rPr>
        <w:t>Index – New Entry</w:t>
      </w:r>
    </w:p>
    <w:p w14:paraId="7AD10DBE" w14:textId="77777777" w:rsidR="0081409B" w:rsidRDefault="0081409B" w:rsidP="0081409B">
      <w:pPr>
        <w:ind w:left="426"/>
        <w:rPr>
          <w:color w:val="00B050"/>
        </w:rPr>
      </w:pPr>
      <w:r>
        <w:rPr>
          <w:b/>
          <w:bCs/>
          <w:color w:val="00B050"/>
        </w:rPr>
        <w:lastRenderedPageBreak/>
        <w:t>CIS-JASMONE</w:t>
      </w:r>
      <w:r>
        <w:rPr>
          <w:color w:val="00B050"/>
        </w:rPr>
        <w:br/>
        <w:t>cross reference: (Z)-JASMONE</w:t>
      </w:r>
    </w:p>
    <w:p w14:paraId="55FA7835" w14:textId="41091DB2" w:rsidR="00F41DCE" w:rsidRPr="00335BEC" w:rsidRDefault="0081409B" w:rsidP="0081409B">
      <w:pPr>
        <w:ind w:left="426"/>
      </w:pPr>
      <w:r>
        <w:rPr>
          <w:color w:val="00B050"/>
        </w:rPr>
        <w:t>Schedule 5</w:t>
      </w:r>
      <w:r w:rsidR="00F41DCE">
        <w:t xml:space="preserve"> </w:t>
      </w:r>
    </w:p>
    <w:p w14:paraId="04E27514" w14:textId="77777777" w:rsidR="00F41DCE" w:rsidRDefault="00F41DCE" w:rsidP="00F41DCE">
      <w:pPr>
        <w:pStyle w:val="Heading5"/>
      </w:pPr>
      <w:r>
        <w:t xml:space="preserve">Materials considered </w:t>
      </w:r>
    </w:p>
    <w:p w14:paraId="7EB24259" w14:textId="77777777" w:rsidR="00F41DCE" w:rsidRDefault="00F41DCE" w:rsidP="00F41DCE">
      <w:r>
        <w:t>In making this final decision, the Delegate considered the following material:</w:t>
      </w:r>
    </w:p>
    <w:p w14:paraId="3F02DF57" w14:textId="6759206B" w:rsidR="0081409B" w:rsidRDefault="0081409B" w:rsidP="0081409B">
      <w:pPr>
        <w:pStyle w:val="ListBullet"/>
      </w:pPr>
      <w:r>
        <w:t xml:space="preserve">The </w:t>
      </w:r>
      <w:hyperlink r:id="rId27" w:history="1">
        <w:r>
          <w:rPr>
            <w:rStyle w:val="Hyperlink"/>
          </w:rPr>
          <w:t>application</w:t>
        </w:r>
      </w:hyperlink>
      <w:r>
        <w:t xml:space="preserve"> to amend the current Poisons Standard with respect to cis-jasmone</w:t>
      </w:r>
      <w:r w:rsidR="0058315B">
        <w:t xml:space="preserve"> (the </w:t>
      </w:r>
      <w:r w:rsidR="00E369DD">
        <w:rPr>
          <w:b/>
          <w:bCs/>
        </w:rPr>
        <w:t>Application</w:t>
      </w:r>
      <w:r w:rsidR="0058315B">
        <w:t>)</w:t>
      </w:r>
      <w:r>
        <w:t>;</w:t>
      </w:r>
    </w:p>
    <w:p w14:paraId="6C3EF38E" w14:textId="77777777" w:rsidR="0081409B" w:rsidRDefault="0081409B" w:rsidP="0081409B">
      <w:pPr>
        <w:pStyle w:val="ListBullet"/>
      </w:pPr>
      <w:r>
        <w:t xml:space="preserve">The 23 </w:t>
      </w:r>
      <w:hyperlink r:id="rId28" w:history="1">
        <w:r>
          <w:rPr>
            <w:rStyle w:val="Hyperlink"/>
          </w:rPr>
          <w:t>public submissions</w:t>
        </w:r>
      </w:hyperlink>
      <w:r>
        <w:rPr>
          <w:rStyle w:val="Hyperlink"/>
        </w:rPr>
        <w:t xml:space="preserve"> </w:t>
      </w:r>
      <w:r>
        <w:t xml:space="preserve">received in response to the </w:t>
      </w:r>
      <w:hyperlink r:id="rId29" w:history="1">
        <w:r>
          <w:rPr>
            <w:rStyle w:val="Hyperlink"/>
          </w:rPr>
          <w:t>pre-meeting consultation</w:t>
        </w:r>
      </w:hyperlink>
      <w:r>
        <w:t xml:space="preserve"> under regulation 42ZCZK of the Regulations. </w:t>
      </w:r>
    </w:p>
    <w:p w14:paraId="46127E74" w14:textId="77777777" w:rsidR="0081409B" w:rsidRDefault="0081409B" w:rsidP="0081409B">
      <w:pPr>
        <w:pStyle w:val="ListBullet"/>
      </w:pPr>
      <w:r>
        <w:t>The advice received from the 29</w:t>
      </w:r>
      <w:r>
        <w:rPr>
          <w:vertAlign w:val="superscript"/>
        </w:rPr>
        <w:t>th</w:t>
      </w:r>
      <w:r>
        <w:t xml:space="preserve"> meeting of the Advisory Committees on Medicines and Chemicals Scheduling in joint session (the </w:t>
      </w:r>
      <w:r>
        <w:rPr>
          <w:b/>
          <w:bCs/>
        </w:rPr>
        <w:t>Committee</w:t>
      </w:r>
      <w:proofErr w:type="gramStart"/>
      <w:r>
        <w:t>);</w:t>
      </w:r>
      <w:proofErr w:type="gramEnd"/>
    </w:p>
    <w:p w14:paraId="642C75A8" w14:textId="01C1107B" w:rsidR="00F41DCE" w:rsidRDefault="00F41DCE" w:rsidP="00F41DCE">
      <w:pPr>
        <w:pStyle w:val="ListBullet"/>
      </w:pPr>
      <w:r>
        <w:t xml:space="preserve">The </w:t>
      </w:r>
      <w:r w:rsidR="00375892">
        <w:t>eight</w:t>
      </w:r>
      <w:r>
        <w:t xml:space="preserve"> </w:t>
      </w:r>
      <w:hyperlink r:id="rId30" w:history="1">
        <w:r w:rsidRPr="00D429C0">
          <w:rPr>
            <w:rStyle w:val="Hyperlink"/>
          </w:rPr>
          <w:t>public submissions</w:t>
        </w:r>
      </w:hyperlink>
      <w:r w:rsidR="00375892" w:rsidRPr="00375892">
        <w:t>,</w:t>
      </w:r>
      <w:r w:rsidR="00375892">
        <w:t xml:space="preserve"> including one written </w:t>
      </w:r>
      <w:r w:rsidR="00E369DD">
        <w:t>submission</w:t>
      </w:r>
      <w:r w:rsidR="00375892">
        <w:t>,</w:t>
      </w:r>
      <w:r>
        <w:t xml:space="preserve"> received in response to the </w:t>
      </w:r>
      <w:hyperlink r:id="rId31" w:history="1">
        <w:r w:rsidRPr="00D429C0">
          <w:rPr>
            <w:rStyle w:val="Hyperlink"/>
          </w:rPr>
          <w:t>interim decision consultation</w:t>
        </w:r>
      </w:hyperlink>
      <w:r>
        <w:t xml:space="preserve"> </w:t>
      </w:r>
      <w:r w:rsidRPr="002C1418">
        <w:t>under regulation 42ZCZP of the Regulations</w:t>
      </w:r>
      <w:r>
        <w:t>;</w:t>
      </w:r>
    </w:p>
    <w:p w14:paraId="1011515B" w14:textId="77777777" w:rsidR="0081409B" w:rsidRDefault="0081409B" w:rsidP="0081409B">
      <w:pPr>
        <w:pStyle w:val="ListBullet"/>
      </w:pPr>
      <w:r>
        <w:t>Subsection 52</w:t>
      </w:r>
      <w:proofErr w:type="gramStart"/>
      <w:r>
        <w:t>E(</w:t>
      </w:r>
      <w:proofErr w:type="gramEnd"/>
      <w:r>
        <w:t xml:space="preserve">1) of </w:t>
      </w:r>
      <w:r>
        <w:rPr>
          <w:i/>
        </w:rPr>
        <w:t xml:space="preserve">the Therapeutic Goods Act 1989 </w:t>
      </w:r>
      <w:r>
        <w:rPr>
          <w:iCs/>
        </w:rPr>
        <w:t>(</w:t>
      </w:r>
      <w:proofErr w:type="spellStart"/>
      <w:r>
        <w:rPr>
          <w:iCs/>
        </w:rPr>
        <w:t>Cth</w:t>
      </w:r>
      <w:proofErr w:type="spellEnd"/>
      <w:r>
        <w:rPr>
          <w:iCs/>
        </w:rPr>
        <w:t xml:space="preserve">) (the </w:t>
      </w:r>
      <w:r>
        <w:rPr>
          <w:b/>
          <w:bCs/>
          <w:iCs/>
        </w:rPr>
        <w:t>Act</w:t>
      </w:r>
      <w:r>
        <w:rPr>
          <w:iCs/>
        </w:rPr>
        <w:t>)</w:t>
      </w:r>
      <w:r>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15DC393C" w14:textId="77777777" w:rsidR="0081409B" w:rsidRDefault="0081409B" w:rsidP="0081409B">
      <w:pPr>
        <w:pStyle w:val="ListBullet"/>
      </w:pPr>
      <w:r>
        <w:t xml:space="preserve">The </w:t>
      </w:r>
      <w:hyperlink r:id="rId32" w:history="1">
        <w:r>
          <w:rPr>
            <w:rStyle w:val="Hyperlink"/>
          </w:rPr>
          <w:t>Scheduling Policy Framework</w:t>
        </w:r>
      </w:hyperlink>
      <w:r>
        <w:t xml:space="preserve"> 2018 (the </w:t>
      </w:r>
      <w:r>
        <w:rPr>
          <w:b/>
          <w:bCs/>
        </w:rPr>
        <w:t>SPF</w:t>
      </w:r>
      <w:r>
        <w:t>); and</w:t>
      </w:r>
    </w:p>
    <w:p w14:paraId="3C8C606E" w14:textId="77777777" w:rsidR="0081409B" w:rsidRDefault="0081409B" w:rsidP="0081409B">
      <w:pPr>
        <w:pStyle w:val="ListBullet"/>
      </w:pPr>
      <w:r>
        <w:t xml:space="preserve">The </w:t>
      </w:r>
      <w:hyperlink r:id="rId33" w:history="1">
        <w:r>
          <w:rPr>
            <w:rStyle w:val="Hyperlink"/>
          </w:rPr>
          <w:t>Scheduling handbook: Guidance for amending the Poisons Standard</w:t>
        </w:r>
      </w:hyperlink>
      <w:r>
        <w:t>.</w:t>
      </w:r>
    </w:p>
    <w:p w14:paraId="4B00D627" w14:textId="77777777" w:rsidR="00F41DCE" w:rsidRDefault="00F41DCE" w:rsidP="00F41DCE">
      <w:pPr>
        <w:pStyle w:val="Heading5"/>
      </w:pPr>
      <w:r w:rsidRPr="00436C41">
        <w:t>Reasons for the final decision (including findings on material questions of fact)</w:t>
      </w:r>
    </w:p>
    <w:p w14:paraId="5C092923" w14:textId="0087A93A" w:rsidR="00375892" w:rsidRDefault="00375892" w:rsidP="00375892">
      <w:pPr>
        <w:pStyle w:val="ListBullet"/>
        <w:numPr>
          <w:ilvl w:val="0"/>
          <w:numId w:val="0"/>
        </w:numPr>
      </w:pPr>
      <w:r w:rsidRPr="00FD1704">
        <w:t xml:space="preserve">I have made a final decision to confirm my </w:t>
      </w:r>
      <w:hyperlink r:id="rId34" w:history="1">
        <w:r w:rsidRPr="00FD1704">
          <w:rPr>
            <w:rStyle w:val="Hyperlink"/>
          </w:rPr>
          <w:t>interim decision</w:t>
        </w:r>
      </w:hyperlink>
      <w:r w:rsidRPr="00FD1704">
        <w:t xml:space="preserve"> to amend the current Poisons Standard with respect to </w:t>
      </w:r>
      <w:r>
        <w:t>cis-jasmone</w:t>
      </w:r>
      <w:r w:rsidRPr="00FD1704">
        <w:t xml:space="preserve">. My reasons for making the final decision are those set out in the interim decision. </w:t>
      </w:r>
      <w:r w:rsidRPr="005940B2">
        <w:t xml:space="preserve">In making my final decision, I have </w:t>
      </w:r>
      <w:proofErr w:type="gramStart"/>
      <w:r w:rsidRPr="005940B2">
        <w:t>taken into account</w:t>
      </w:r>
      <w:proofErr w:type="gramEnd"/>
      <w:r w:rsidRPr="005940B2">
        <w:t xml:space="preserve"> the material detailed in the interim </w:t>
      </w:r>
      <w:r w:rsidRPr="00835953">
        <w:t xml:space="preserve">decision and the responses </w:t>
      </w:r>
      <w:r>
        <w:t xml:space="preserve">after </w:t>
      </w:r>
      <w:r w:rsidRPr="005940B2">
        <w:t xml:space="preserve">the second </w:t>
      </w:r>
      <w:r>
        <w:t>call</w:t>
      </w:r>
      <w:r w:rsidRPr="005940B2">
        <w:t xml:space="preserve"> for </w:t>
      </w:r>
      <w:r>
        <w:t xml:space="preserve">public </w:t>
      </w:r>
      <w:r w:rsidRPr="005940B2">
        <w:t>submissions</w:t>
      </w:r>
      <w:r>
        <w:t>,</w:t>
      </w:r>
      <w:r w:rsidRPr="005940B2">
        <w:t xml:space="preserve"> published on 11 March 2022 under regulation 42ZCZP of the Regulations.</w:t>
      </w:r>
      <w:r>
        <w:t xml:space="preserve"> I note that the one written submission received was supportive of the interim decision.</w:t>
      </w:r>
    </w:p>
    <w:p w14:paraId="47E3E2A3" w14:textId="2F9FD482" w:rsidR="00403ACE" w:rsidRDefault="0058315B" w:rsidP="00403ACE">
      <w:pPr>
        <w:pStyle w:val="Heading5"/>
      </w:pPr>
      <w:r>
        <w:t>Implementation d</w:t>
      </w:r>
      <w:r w:rsidR="00403ACE">
        <w:t xml:space="preserve">ate </w:t>
      </w:r>
    </w:p>
    <w:p w14:paraId="0C7A6DCC" w14:textId="222E6D8A" w:rsidR="00403ACE" w:rsidRPr="004A213A" w:rsidRDefault="0058315B" w:rsidP="00403ACE">
      <w:r w:rsidRPr="003F626B">
        <w:rPr>
          <w:b/>
          <w:bCs/>
        </w:rPr>
        <w:t>1 June 2022</w:t>
      </w:r>
      <w:r w:rsidR="00403ACE" w:rsidRPr="003F626B">
        <w:t>.</w:t>
      </w:r>
      <w:r w:rsidR="00403ACE" w:rsidRPr="004A213A">
        <w:t xml:space="preserve"> </w:t>
      </w:r>
    </w:p>
    <w:p w14:paraId="0D996ABB" w14:textId="3236EF56" w:rsidR="0036683E" w:rsidRDefault="0036683E" w:rsidP="00A34862">
      <w:pPr>
        <w:pStyle w:val="Heading3"/>
      </w:pPr>
      <w:bookmarkStart w:id="35" w:name="_Toc103852897"/>
      <w:r>
        <w:t>Final decision in relation to meloxicam</w:t>
      </w:r>
      <w:bookmarkEnd w:id="35"/>
    </w:p>
    <w:p w14:paraId="4ABB622B" w14:textId="77777777" w:rsidR="00346F36" w:rsidRDefault="00346F36" w:rsidP="00346F36">
      <w:pPr>
        <w:pStyle w:val="Heading5"/>
      </w:pPr>
      <w:r>
        <w:t xml:space="preserve">Proposal </w:t>
      </w:r>
    </w:p>
    <w:p w14:paraId="3BAE5418" w14:textId="41F64F5D" w:rsidR="00346F36" w:rsidRPr="00346F36" w:rsidRDefault="00346F36" w:rsidP="00346F36">
      <w:pPr>
        <w:pStyle w:val="Heading5"/>
        <w:ind w:left="0" w:firstLine="0"/>
        <w:rPr>
          <w:b w:val="0"/>
          <w:bCs w:val="0"/>
          <w:i w:val="0"/>
          <w:iCs/>
        </w:rPr>
      </w:pPr>
      <w:r w:rsidRPr="00346F36">
        <w:rPr>
          <w:b w:val="0"/>
          <w:bCs w:val="0"/>
          <w:i w:val="0"/>
          <w:iCs/>
        </w:rPr>
        <w:t xml:space="preserve">The applicant proposed </w:t>
      </w:r>
      <w:r w:rsidR="00A175C7">
        <w:rPr>
          <w:b w:val="0"/>
          <w:bCs w:val="0"/>
          <w:i w:val="0"/>
          <w:iCs/>
        </w:rPr>
        <w:t xml:space="preserve">the creation of </w:t>
      </w:r>
      <w:r w:rsidRPr="00346F36">
        <w:rPr>
          <w:b w:val="0"/>
          <w:bCs w:val="0"/>
          <w:i w:val="0"/>
          <w:iCs/>
        </w:rPr>
        <w:t>a new Schedule 6 entry for meloxicam that captures injectable preparations, at up to 2 per cent concentration, for the pre-surgical treatment of sheep undergoing husbandry procedures.</w:t>
      </w:r>
    </w:p>
    <w:p w14:paraId="51A02E85" w14:textId="10B2F003" w:rsidR="0036683E" w:rsidRPr="008036B7" w:rsidRDefault="0036683E" w:rsidP="0036683E">
      <w:pPr>
        <w:pStyle w:val="Heading5"/>
      </w:pPr>
      <w:r>
        <w:t xml:space="preserve">Final Decision </w:t>
      </w:r>
    </w:p>
    <w:p w14:paraId="09259310" w14:textId="214F8D1C" w:rsidR="0036683E" w:rsidRPr="00335BEC" w:rsidRDefault="0036683E" w:rsidP="0036683E">
      <w:r>
        <w:t xml:space="preserve">Pursuant to regulation 42ZCZR of the Regulations, a Delegate has made a final decision </w:t>
      </w:r>
      <w:r w:rsidRPr="00BB616F">
        <w:t>to confirm the interim decision and not amend the current Poisons Standard in relation to meloxicam.</w:t>
      </w:r>
      <w:r>
        <w:t xml:space="preserve"> </w:t>
      </w:r>
    </w:p>
    <w:p w14:paraId="01879220" w14:textId="77777777" w:rsidR="0036683E" w:rsidRDefault="0036683E" w:rsidP="0036683E">
      <w:pPr>
        <w:pStyle w:val="Heading5"/>
      </w:pPr>
      <w:r>
        <w:lastRenderedPageBreak/>
        <w:t xml:space="preserve">Materials considered </w:t>
      </w:r>
    </w:p>
    <w:p w14:paraId="48FD89C6" w14:textId="77777777" w:rsidR="0036683E" w:rsidRDefault="0036683E" w:rsidP="0036683E">
      <w:r>
        <w:t>In making this final decision, the Delegate considered the following material:</w:t>
      </w:r>
    </w:p>
    <w:p w14:paraId="4C91EDAC" w14:textId="0D799007" w:rsidR="00167C7B" w:rsidRDefault="00167C7B" w:rsidP="00167C7B">
      <w:pPr>
        <w:pStyle w:val="ListBullet"/>
      </w:pPr>
      <w:r>
        <w:t xml:space="preserve">The </w:t>
      </w:r>
      <w:hyperlink r:id="rId35" w:history="1">
        <w:r w:rsidRPr="00932709">
          <w:rPr>
            <w:rStyle w:val="Hyperlink"/>
          </w:rPr>
          <w:t>application</w:t>
        </w:r>
      </w:hyperlink>
      <w:r>
        <w:t xml:space="preserve"> to amend the current Poisons Standard with respect to meloxicam</w:t>
      </w:r>
      <w:r w:rsidR="008B24F1">
        <w:t xml:space="preserve"> (the </w:t>
      </w:r>
      <w:r w:rsidR="008B24F1">
        <w:rPr>
          <w:b/>
          <w:bCs/>
        </w:rPr>
        <w:t>A</w:t>
      </w:r>
      <w:r w:rsidR="002F17A8">
        <w:rPr>
          <w:b/>
          <w:bCs/>
        </w:rPr>
        <w:t>pplication</w:t>
      </w:r>
      <w:r w:rsidR="002F17A8">
        <w:t>)</w:t>
      </w:r>
      <w:r>
        <w:t>;</w:t>
      </w:r>
    </w:p>
    <w:p w14:paraId="1557BE6C" w14:textId="11C7DAF3" w:rsidR="00167C7B" w:rsidRDefault="00167C7B" w:rsidP="00167C7B">
      <w:pPr>
        <w:pStyle w:val="ListBullet"/>
      </w:pPr>
      <w:r>
        <w:t xml:space="preserve">The 333 </w:t>
      </w:r>
      <w:hyperlink r:id="rId36" w:history="1">
        <w:r w:rsidRPr="00BD0491">
          <w:rPr>
            <w:rStyle w:val="Hyperlink"/>
          </w:rPr>
          <w:t>public submissions</w:t>
        </w:r>
      </w:hyperlink>
      <w:r>
        <w:t xml:space="preserve">, </w:t>
      </w:r>
      <w:r w:rsidR="00E369DD">
        <w:t>including</w:t>
      </w:r>
      <w:r>
        <w:t xml:space="preserve"> 232 written </w:t>
      </w:r>
      <w:r w:rsidR="00E369DD">
        <w:t>submissions</w:t>
      </w:r>
      <w:r>
        <w:t xml:space="preserve">, received in response to the </w:t>
      </w:r>
      <w:hyperlink r:id="rId37" w:history="1">
        <w:r w:rsidRPr="00BD0491">
          <w:rPr>
            <w:rStyle w:val="Hyperlink"/>
          </w:rPr>
          <w:t>pre-meeting consultation</w:t>
        </w:r>
      </w:hyperlink>
      <w:r>
        <w:t xml:space="preserve"> under regulation 42ZCZK of the Regulations; </w:t>
      </w:r>
    </w:p>
    <w:p w14:paraId="6230EE07" w14:textId="77777777" w:rsidR="00167C7B" w:rsidRDefault="00167C7B" w:rsidP="00167C7B">
      <w:pPr>
        <w:pStyle w:val="ListBullet"/>
      </w:pPr>
      <w:r>
        <w:t>The advice received from th</w:t>
      </w:r>
      <w:r w:rsidRPr="00C51001">
        <w:t>e</w:t>
      </w:r>
      <w:r>
        <w:t xml:space="preserve"> 29</w:t>
      </w:r>
      <w:r w:rsidRPr="00180FED">
        <w:rPr>
          <w:vertAlign w:val="superscript"/>
        </w:rPr>
        <w:t>th</w:t>
      </w:r>
      <w:r w:rsidRPr="00C51001">
        <w:t xml:space="preserve"> Meeting of th</w:t>
      </w:r>
      <w:r>
        <w:t xml:space="preserve">e Advisory Committees on Medicines and Chemicals Scheduling in joint session (the </w:t>
      </w:r>
      <w:r w:rsidRPr="00A90C88">
        <w:rPr>
          <w:b/>
          <w:bCs/>
        </w:rPr>
        <w:t>Committee</w:t>
      </w:r>
      <w:proofErr w:type="gramStart"/>
      <w:r w:rsidRPr="00C51001">
        <w:t>);</w:t>
      </w:r>
      <w:proofErr w:type="gramEnd"/>
    </w:p>
    <w:p w14:paraId="7D778EAA" w14:textId="30F303C3" w:rsidR="0036683E" w:rsidRDefault="0036683E" w:rsidP="0036683E">
      <w:pPr>
        <w:pStyle w:val="ListBullet"/>
      </w:pPr>
      <w:r>
        <w:t xml:space="preserve">The </w:t>
      </w:r>
      <w:r w:rsidR="00B64D4A">
        <w:t>13</w:t>
      </w:r>
      <w:r>
        <w:t xml:space="preserve"> </w:t>
      </w:r>
      <w:hyperlink r:id="rId38" w:history="1">
        <w:r w:rsidRPr="00D429C0">
          <w:rPr>
            <w:rStyle w:val="Hyperlink"/>
          </w:rPr>
          <w:t>public submission</w:t>
        </w:r>
        <w:r w:rsidR="00B64D4A" w:rsidRPr="00D429C0">
          <w:rPr>
            <w:rStyle w:val="Hyperlink"/>
          </w:rPr>
          <w:t>s</w:t>
        </w:r>
      </w:hyperlink>
      <w:r w:rsidR="00B64D4A">
        <w:t xml:space="preserve">, including </w:t>
      </w:r>
      <w:r w:rsidR="00D429C0">
        <w:t>f</w:t>
      </w:r>
      <w:r w:rsidR="00E369DD">
        <w:t xml:space="preserve">ive </w:t>
      </w:r>
      <w:r w:rsidR="00B64D4A">
        <w:t xml:space="preserve">written </w:t>
      </w:r>
      <w:r w:rsidR="00E369DD">
        <w:t>submissions</w:t>
      </w:r>
      <w:r w:rsidR="00B64D4A">
        <w:t xml:space="preserve">, </w:t>
      </w:r>
      <w:r>
        <w:t xml:space="preserve">received in response to the </w:t>
      </w:r>
      <w:hyperlink r:id="rId39" w:history="1">
        <w:r w:rsidRPr="00D429C0">
          <w:rPr>
            <w:rStyle w:val="Hyperlink"/>
          </w:rPr>
          <w:t>interim decision consultation</w:t>
        </w:r>
      </w:hyperlink>
      <w:r>
        <w:t xml:space="preserve"> </w:t>
      </w:r>
      <w:r w:rsidRPr="002C1418">
        <w:t>under regulation 42ZCZP of the Regulations</w:t>
      </w:r>
      <w:r>
        <w:t>;</w:t>
      </w:r>
    </w:p>
    <w:p w14:paraId="444642A2" w14:textId="77777777" w:rsidR="00167C7B" w:rsidRDefault="00167C7B" w:rsidP="00167C7B">
      <w:pPr>
        <w:pStyle w:val="ListBullet"/>
      </w:pPr>
      <w:r w:rsidRPr="001169AC">
        <w:t>Subsection 52</w:t>
      </w:r>
      <w:proofErr w:type="gramStart"/>
      <w:r w:rsidRPr="001169AC">
        <w:t>E(</w:t>
      </w:r>
      <w:proofErr w:type="gramEnd"/>
      <w:r w:rsidRPr="001169AC">
        <w:t xml:space="preserve">1) of </w:t>
      </w:r>
      <w:r w:rsidRPr="001169AC">
        <w:rPr>
          <w:i/>
        </w:rPr>
        <w:t>the Therapeutic Goods Act 1989</w:t>
      </w:r>
      <w:r>
        <w:rPr>
          <w:iCs/>
        </w:rPr>
        <w:t xml:space="preserve"> (</w:t>
      </w:r>
      <w:proofErr w:type="spellStart"/>
      <w:r>
        <w:rPr>
          <w:iCs/>
        </w:rPr>
        <w:t>Cth</w:t>
      </w:r>
      <w:proofErr w:type="spellEnd"/>
      <w:r>
        <w:rPr>
          <w:iCs/>
        </w:rPr>
        <w:t xml:space="preserve">) (the </w:t>
      </w:r>
      <w:r>
        <w:rPr>
          <w:b/>
          <w:bCs/>
          <w:iCs/>
        </w:rPr>
        <w:t>Act</w:t>
      </w:r>
      <w:r>
        <w:rPr>
          <w:iCs/>
        </w:rPr>
        <w: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t>;</w:t>
      </w:r>
    </w:p>
    <w:p w14:paraId="56771D3D" w14:textId="77777777" w:rsidR="00167C7B" w:rsidRDefault="00167C7B" w:rsidP="00167C7B">
      <w:pPr>
        <w:pStyle w:val="ListBullet"/>
      </w:pPr>
      <w:r w:rsidRPr="002C1418">
        <w:t xml:space="preserve">The </w:t>
      </w:r>
      <w:hyperlink r:id="rId40" w:history="1">
        <w:r w:rsidRPr="001A7580">
          <w:rPr>
            <w:rStyle w:val="Hyperlink"/>
          </w:rPr>
          <w:t>Scheduling Policy Framework</w:t>
        </w:r>
      </w:hyperlink>
      <w:r>
        <w:t xml:space="preserve"> 2018 (the </w:t>
      </w:r>
      <w:r w:rsidRPr="00180FED">
        <w:rPr>
          <w:b/>
          <w:bCs/>
        </w:rPr>
        <w:t>SPF</w:t>
      </w:r>
      <w:r>
        <w:t>); and</w:t>
      </w:r>
    </w:p>
    <w:p w14:paraId="32A98594" w14:textId="77777777" w:rsidR="00167C7B" w:rsidRDefault="00167C7B" w:rsidP="00167C7B">
      <w:pPr>
        <w:pStyle w:val="ListBullet"/>
      </w:pPr>
      <w:r>
        <w:t xml:space="preserve">The </w:t>
      </w:r>
      <w:hyperlink r:id="rId41" w:history="1">
        <w:r w:rsidRPr="001A7580">
          <w:rPr>
            <w:rStyle w:val="Hyperlink"/>
          </w:rPr>
          <w:t>Scheduling handbook: Guidance for amending the Poisons Standard</w:t>
        </w:r>
      </w:hyperlink>
      <w:r>
        <w:t>.</w:t>
      </w:r>
    </w:p>
    <w:p w14:paraId="65B23BFA" w14:textId="77777777" w:rsidR="0036683E" w:rsidRDefault="0036683E" w:rsidP="0036683E">
      <w:pPr>
        <w:pStyle w:val="Heading5"/>
      </w:pPr>
      <w:r w:rsidRPr="00436C41">
        <w:t>Reasons for the final decision (including findings on material questions of fact)</w:t>
      </w:r>
    </w:p>
    <w:p w14:paraId="72D521B8" w14:textId="007DC397" w:rsidR="00442471" w:rsidRDefault="0036683E" w:rsidP="00442471">
      <w:pPr>
        <w:pStyle w:val="ListBullet"/>
        <w:numPr>
          <w:ilvl w:val="0"/>
          <w:numId w:val="0"/>
        </w:numPr>
      </w:pPr>
      <w:r w:rsidRPr="00442471">
        <w:t xml:space="preserve">I have made a final decision to confirm my interim decision that no change be made to the current Poisons Standard with respect to </w:t>
      </w:r>
      <w:r w:rsidR="00442471" w:rsidRPr="00442471">
        <w:t>meloxicam</w:t>
      </w:r>
      <w:r w:rsidRPr="00442471">
        <w:t xml:space="preserve">. My reasons for making the final decision are those set out in the interim decision. </w:t>
      </w:r>
      <w:r w:rsidR="00442471" w:rsidRPr="005940B2">
        <w:t xml:space="preserve">In making my final decision, I have </w:t>
      </w:r>
      <w:proofErr w:type="gramStart"/>
      <w:r w:rsidR="00442471" w:rsidRPr="005940B2">
        <w:t>taken into account</w:t>
      </w:r>
      <w:proofErr w:type="gramEnd"/>
      <w:r w:rsidR="00442471" w:rsidRPr="005940B2">
        <w:t xml:space="preserve"> the material detailed in the interim </w:t>
      </w:r>
      <w:r w:rsidR="00442471" w:rsidRPr="00835953">
        <w:t xml:space="preserve">decision and the responses </w:t>
      </w:r>
      <w:r w:rsidR="00442471">
        <w:t xml:space="preserve">after </w:t>
      </w:r>
      <w:r w:rsidR="00442471" w:rsidRPr="005940B2">
        <w:t xml:space="preserve">the second </w:t>
      </w:r>
      <w:r w:rsidR="00442471">
        <w:t>call</w:t>
      </w:r>
      <w:r w:rsidR="00442471" w:rsidRPr="005940B2">
        <w:t xml:space="preserve"> for </w:t>
      </w:r>
      <w:r w:rsidR="00442471">
        <w:t xml:space="preserve">public </w:t>
      </w:r>
      <w:r w:rsidR="00442471" w:rsidRPr="005940B2">
        <w:t>submissions</w:t>
      </w:r>
      <w:r w:rsidR="00442471">
        <w:t>,</w:t>
      </w:r>
      <w:r w:rsidR="00442471" w:rsidRPr="005940B2">
        <w:t xml:space="preserve"> published on 11 March 2022 under regulation 42ZCZP of the Regulations.</w:t>
      </w:r>
      <w:r w:rsidR="00442471">
        <w:t xml:space="preserve"> I note that five written submissions were received</w:t>
      </w:r>
      <w:r w:rsidR="00A175C7">
        <w:t xml:space="preserve">: </w:t>
      </w:r>
      <w:r w:rsidR="00442471">
        <w:t xml:space="preserve">one supportive and four opposed </w:t>
      </w:r>
      <w:r w:rsidR="00670774">
        <w:t xml:space="preserve">to </w:t>
      </w:r>
      <w:r w:rsidR="00442471">
        <w:t>the interim decision.</w:t>
      </w:r>
    </w:p>
    <w:p w14:paraId="30B6A2BE" w14:textId="235924B2" w:rsidR="0072711D" w:rsidRDefault="00460CFB" w:rsidP="00442471">
      <w:pPr>
        <w:pStyle w:val="ListBullet"/>
        <w:numPr>
          <w:ilvl w:val="0"/>
          <w:numId w:val="0"/>
        </w:numPr>
      </w:pPr>
      <w:r>
        <w:t xml:space="preserve">I have considered the opposing submissions, in particular </w:t>
      </w:r>
      <w:r w:rsidR="00670774">
        <w:t xml:space="preserve">comments on </w:t>
      </w:r>
      <w:r>
        <w:t xml:space="preserve">the difficulty </w:t>
      </w:r>
      <w:r w:rsidR="00670774">
        <w:t xml:space="preserve">of </w:t>
      </w:r>
      <w:r>
        <w:t xml:space="preserve">timely access to products </w:t>
      </w:r>
      <w:r w:rsidR="00670774">
        <w:t xml:space="preserve">containing meloxicam </w:t>
      </w:r>
      <w:r>
        <w:t>and veterinarian</w:t>
      </w:r>
      <w:r w:rsidR="00BB616F">
        <w:t xml:space="preserve"> advice</w:t>
      </w:r>
      <w:r>
        <w:t xml:space="preserve">. </w:t>
      </w:r>
      <w:r w:rsidR="00925D0B">
        <w:t xml:space="preserve">However, I </w:t>
      </w:r>
      <w:r w:rsidR="00E540AF">
        <w:t>consider</w:t>
      </w:r>
      <w:r w:rsidR="00925D0B">
        <w:t xml:space="preserve"> that</w:t>
      </w:r>
      <w:r w:rsidR="0072711D">
        <w:t xml:space="preserve"> currently </w:t>
      </w:r>
      <w:r w:rsidR="00B803DC">
        <w:t xml:space="preserve">there is no evidence before me substantiating that barriers to accessing meloxicam for veterinary use are significant </w:t>
      </w:r>
      <w:proofErr w:type="gramStart"/>
      <w:r w:rsidR="00B803DC">
        <w:t>so as to</w:t>
      </w:r>
      <w:proofErr w:type="gramEnd"/>
      <w:r w:rsidR="00B803DC">
        <w:t xml:space="preserve"> outweigh the risks associated with</w:t>
      </w:r>
      <w:r w:rsidR="00B803DC" w:rsidDel="00B803DC">
        <w:t xml:space="preserve"> </w:t>
      </w:r>
      <w:r w:rsidR="00A175C7">
        <w:t>the applicant’s proposed amendment to the Poisons Standard</w:t>
      </w:r>
      <w:r w:rsidR="00670774">
        <w:t xml:space="preserve">. </w:t>
      </w:r>
      <w:r w:rsidR="0072711D">
        <w:t xml:space="preserve">Furthermore, the removal of </w:t>
      </w:r>
      <w:r w:rsidR="00A9388C">
        <w:t xml:space="preserve">the </w:t>
      </w:r>
      <w:r w:rsidR="0072711D">
        <w:t xml:space="preserve">oversight </w:t>
      </w:r>
      <w:r w:rsidR="00A9388C">
        <w:t xml:space="preserve">(including appropriate advice and counselling) </w:t>
      </w:r>
      <w:r w:rsidR="0072711D">
        <w:t xml:space="preserve">from a veterinarian has the potential to increase the number of adverse events associated with </w:t>
      </w:r>
      <w:r w:rsidR="00BB616F">
        <w:t xml:space="preserve">the use of </w:t>
      </w:r>
      <w:r w:rsidR="00670774">
        <w:t xml:space="preserve">injectable </w:t>
      </w:r>
      <w:r w:rsidR="0072711D">
        <w:t>meloxicam</w:t>
      </w:r>
      <w:r w:rsidR="00BB616F">
        <w:t xml:space="preserve"> in a veterinary setting</w:t>
      </w:r>
      <w:r w:rsidR="0072711D">
        <w:t>.</w:t>
      </w:r>
      <w:r w:rsidR="00E540AF">
        <w:t xml:space="preserve"> </w:t>
      </w:r>
      <w:r w:rsidR="0072711D" w:rsidRPr="00186DF0">
        <w:t xml:space="preserve">Therefore, I confirm my interim decision to </w:t>
      </w:r>
      <w:r w:rsidR="0072711D">
        <w:t xml:space="preserve">not </w:t>
      </w:r>
      <w:r w:rsidR="0072711D" w:rsidRPr="00186DF0">
        <w:t xml:space="preserve">amend the </w:t>
      </w:r>
      <w:r w:rsidR="0072711D">
        <w:t>Poisons Standard with respect to meloxicam.</w:t>
      </w:r>
    </w:p>
    <w:p w14:paraId="28BE3C29" w14:textId="757B8CE5" w:rsidR="00167C7B" w:rsidRDefault="00167C7B" w:rsidP="00442471">
      <w:pPr>
        <w:pStyle w:val="Heading3"/>
      </w:pPr>
      <w:bookmarkStart w:id="36" w:name="_Toc103852898"/>
      <w:r>
        <w:t>Final decision in relation to choline salicylate</w:t>
      </w:r>
      <w:bookmarkEnd w:id="36"/>
    </w:p>
    <w:p w14:paraId="6A55DAEE" w14:textId="77777777" w:rsidR="00346F36" w:rsidRPr="00346F36" w:rsidRDefault="00346F36" w:rsidP="00346F36">
      <w:pPr>
        <w:pStyle w:val="Heading5"/>
      </w:pPr>
      <w:bookmarkStart w:id="37" w:name="_Toc80898730"/>
      <w:bookmarkStart w:id="38" w:name="_Toc97713514"/>
      <w:r w:rsidRPr="00C72DAB">
        <w:t>Proposal</w:t>
      </w:r>
      <w:bookmarkEnd w:id="37"/>
      <w:bookmarkEnd w:id="38"/>
    </w:p>
    <w:p w14:paraId="7ABCBF70" w14:textId="082CCE89" w:rsidR="00346F36" w:rsidRPr="00C72DAB" w:rsidRDefault="00346F36" w:rsidP="00346F36">
      <w:r w:rsidRPr="00C72DAB">
        <w:t xml:space="preserve">The applicant proposed </w:t>
      </w:r>
      <w:r>
        <w:t xml:space="preserve">the creation of a new Schedule 3 entry for choline salicylate for human therapeutic or cosmetic use. Choline salicylate is currently captured in the Poisons Standard as a derivative of salicylic acid, </w:t>
      </w:r>
      <w:r w:rsidR="009335F2">
        <w:t xml:space="preserve">and </w:t>
      </w:r>
      <w:r>
        <w:t xml:space="preserve">dermal preparations containing greater than 40 per cent </w:t>
      </w:r>
      <w:r w:rsidR="009335F2">
        <w:t xml:space="preserve">of salicylic acid </w:t>
      </w:r>
      <w:r>
        <w:t>are captured in Schedule 3. Other dosage forms and lower concentration dermal preparations are not currently scheduled.</w:t>
      </w:r>
    </w:p>
    <w:p w14:paraId="2516B681" w14:textId="77777777" w:rsidR="00167C7B" w:rsidRPr="008036B7" w:rsidRDefault="00167C7B" w:rsidP="00167C7B">
      <w:pPr>
        <w:pStyle w:val="Heading5"/>
      </w:pPr>
      <w:r>
        <w:lastRenderedPageBreak/>
        <w:t xml:space="preserve">Final Decision </w:t>
      </w:r>
    </w:p>
    <w:p w14:paraId="3DAAEE6F" w14:textId="1822990F" w:rsidR="00167C7B" w:rsidRDefault="00167C7B" w:rsidP="00167C7B">
      <w:r>
        <w:t xml:space="preserve">Pursuant to regulation 42ZCZR of the Regulations, a Delegate has made a final decision to </w:t>
      </w:r>
      <w:r w:rsidRPr="006E7276">
        <w:t>confirm</w:t>
      </w:r>
      <w:r>
        <w:t xml:space="preserve"> </w:t>
      </w:r>
      <w:r w:rsidRPr="005203C8">
        <w:t>the interim decision</w:t>
      </w:r>
      <w:r>
        <w:t xml:space="preserve"> and </w:t>
      </w:r>
      <w:r w:rsidRPr="006E7276">
        <w:t>amend the current Poisons Standard in relation to choline salicylate as follows:</w:t>
      </w:r>
    </w:p>
    <w:p w14:paraId="6189E7BF" w14:textId="77777777" w:rsidR="00167C7B" w:rsidRPr="00C72DAB" w:rsidRDefault="00167C7B" w:rsidP="00167C7B">
      <w:pPr>
        <w:ind w:left="709"/>
        <w:rPr>
          <w:b/>
        </w:rPr>
      </w:pPr>
      <w:r w:rsidRPr="00C72DAB">
        <w:rPr>
          <w:b/>
        </w:rPr>
        <w:t xml:space="preserve">Schedule </w:t>
      </w:r>
      <w:r>
        <w:rPr>
          <w:b/>
        </w:rPr>
        <w:t>2</w:t>
      </w:r>
      <w:r w:rsidRPr="00C72DAB">
        <w:rPr>
          <w:b/>
        </w:rPr>
        <w:t xml:space="preserve"> – New Entry</w:t>
      </w:r>
    </w:p>
    <w:p w14:paraId="028C78E9" w14:textId="77777777" w:rsidR="00167C7B" w:rsidRPr="00C24E8A" w:rsidRDefault="00167C7B" w:rsidP="00167C7B">
      <w:pPr>
        <w:ind w:left="851"/>
        <w:rPr>
          <w:color w:val="00B050"/>
        </w:rPr>
      </w:pPr>
      <w:r>
        <w:rPr>
          <w:color w:val="00B050"/>
        </w:rPr>
        <w:t xml:space="preserve">CHOLINE SALICYLATE for </w:t>
      </w:r>
      <w:proofErr w:type="spellStart"/>
      <w:r>
        <w:rPr>
          <w:color w:val="00B050"/>
        </w:rPr>
        <w:t>oromucosal</w:t>
      </w:r>
      <w:proofErr w:type="spellEnd"/>
      <w:r>
        <w:rPr>
          <w:color w:val="00B050"/>
        </w:rPr>
        <w:t xml:space="preserve"> preparations.</w:t>
      </w:r>
    </w:p>
    <w:p w14:paraId="6207330C" w14:textId="77777777" w:rsidR="00167C7B" w:rsidRPr="00C72DAB" w:rsidRDefault="00167C7B" w:rsidP="00167C7B">
      <w:pPr>
        <w:ind w:left="709"/>
        <w:rPr>
          <w:b/>
        </w:rPr>
      </w:pPr>
      <w:r w:rsidRPr="00C72DAB">
        <w:rPr>
          <w:b/>
        </w:rPr>
        <w:t xml:space="preserve">Index – </w:t>
      </w:r>
      <w:r>
        <w:rPr>
          <w:b/>
        </w:rPr>
        <w:t>New</w:t>
      </w:r>
      <w:r w:rsidRPr="00C72DAB">
        <w:rPr>
          <w:b/>
        </w:rPr>
        <w:t xml:space="preserve"> Entry</w:t>
      </w:r>
    </w:p>
    <w:p w14:paraId="493E3A3D" w14:textId="77777777" w:rsidR="00167C7B" w:rsidRPr="00C72DAB" w:rsidRDefault="00167C7B" w:rsidP="00167C7B">
      <w:pPr>
        <w:ind w:left="851"/>
        <w:rPr>
          <w:b/>
        </w:rPr>
      </w:pPr>
      <w:r>
        <w:rPr>
          <w:b/>
          <w:color w:val="00B050"/>
        </w:rPr>
        <w:t>CHOLINE SALICYLATE</w:t>
      </w:r>
      <w:r w:rsidRPr="00C72DAB">
        <w:rPr>
          <w:b/>
        </w:rPr>
        <w:t xml:space="preserve"> </w:t>
      </w:r>
    </w:p>
    <w:p w14:paraId="734D0FB2" w14:textId="77777777" w:rsidR="00167C7B" w:rsidRDefault="00167C7B" w:rsidP="00167C7B">
      <w:pPr>
        <w:ind w:left="851"/>
        <w:rPr>
          <w:color w:val="00B050"/>
        </w:rPr>
      </w:pPr>
      <w:r w:rsidRPr="00C72DAB">
        <w:rPr>
          <w:color w:val="00B050"/>
        </w:rPr>
        <w:t xml:space="preserve">Schedule </w:t>
      </w:r>
      <w:r>
        <w:rPr>
          <w:color w:val="00B050"/>
        </w:rPr>
        <w:t>2</w:t>
      </w:r>
    </w:p>
    <w:p w14:paraId="6866D801" w14:textId="77777777" w:rsidR="00167C7B" w:rsidRDefault="00167C7B" w:rsidP="00167C7B">
      <w:pPr>
        <w:pStyle w:val="Heading5"/>
      </w:pPr>
      <w:r>
        <w:t xml:space="preserve">Materials considered </w:t>
      </w:r>
    </w:p>
    <w:p w14:paraId="4C797A99" w14:textId="77777777" w:rsidR="00167C7B" w:rsidRDefault="00167C7B" w:rsidP="00167C7B">
      <w:r>
        <w:t>In making this final decision, the Delegate considered the following material:</w:t>
      </w:r>
    </w:p>
    <w:p w14:paraId="73F3E0FC" w14:textId="2CA040C1" w:rsidR="00167C7B" w:rsidRPr="00C72DAB" w:rsidRDefault="00167C7B" w:rsidP="00167C7B">
      <w:pPr>
        <w:pStyle w:val="ListBullet"/>
      </w:pPr>
      <w:bookmarkStart w:id="39" w:name="_Hlk101272686"/>
      <w:r w:rsidRPr="00C72DAB">
        <w:t xml:space="preserve">The </w:t>
      </w:r>
      <w:hyperlink r:id="rId42" w:history="1">
        <w:r w:rsidRPr="00C72DAB">
          <w:rPr>
            <w:color w:val="0000FF"/>
            <w:u w:val="single"/>
          </w:rPr>
          <w:t>application</w:t>
        </w:r>
      </w:hyperlink>
      <w:r w:rsidRPr="00C72DAB">
        <w:t xml:space="preserve"> to amend the current Poisons Standard with respect to </w:t>
      </w:r>
      <w:r>
        <w:t xml:space="preserve">choline salicylate (the </w:t>
      </w:r>
      <w:r w:rsidR="00E369DD">
        <w:rPr>
          <w:b/>
          <w:bCs/>
        </w:rPr>
        <w:t>Application</w:t>
      </w:r>
      <w:r>
        <w:t>)</w:t>
      </w:r>
      <w:r w:rsidRPr="00C72DAB">
        <w:t>;</w:t>
      </w:r>
    </w:p>
    <w:p w14:paraId="6E0B2818" w14:textId="77777777" w:rsidR="00167C7B" w:rsidRPr="00C72DAB" w:rsidRDefault="00167C7B" w:rsidP="00167C7B">
      <w:pPr>
        <w:pStyle w:val="ListBullet"/>
      </w:pPr>
      <w:r w:rsidRPr="00C72DAB">
        <w:t xml:space="preserve">The </w:t>
      </w:r>
      <w:r>
        <w:t>28</w:t>
      </w:r>
      <w:r w:rsidRPr="00C72DAB">
        <w:t xml:space="preserve"> </w:t>
      </w:r>
      <w:hyperlink r:id="rId43" w:history="1">
        <w:r w:rsidRPr="00C72DAB">
          <w:rPr>
            <w:color w:val="0000FF"/>
            <w:u w:val="single"/>
          </w:rPr>
          <w:t>public submissions</w:t>
        </w:r>
      </w:hyperlink>
      <w:r>
        <w:t xml:space="preserve"> </w:t>
      </w:r>
      <w:r w:rsidRPr="00960F41">
        <w:t>received</w:t>
      </w:r>
      <w:r w:rsidRPr="00C72DAB">
        <w:t xml:space="preserve"> in response to the </w:t>
      </w:r>
      <w:hyperlink r:id="rId44" w:history="1">
        <w:r w:rsidRPr="00C72DAB">
          <w:rPr>
            <w:color w:val="0000FF"/>
            <w:u w:val="single"/>
          </w:rPr>
          <w:t>pre-meeting consultation</w:t>
        </w:r>
      </w:hyperlink>
      <w:r w:rsidRPr="00C72DAB">
        <w:t xml:space="preserve"> under regulation 42ZCZK of the Regulations;</w:t>
      </w:r>
    </w:p>
    <w:p w14:paraId="3D0E06FF" w14:textId="77777777" w:rsidR="00167C7B" w:rsidRPr="00C72DAB" w:rsidRDefault="00167C7B" w:rsidP="00167C7B">
      <w:pPr>
        <w:pStyle w:val="ListBullet"/>
      </w:pPr>
      <w:r w:rsidRPr="00C72DAB">
        <w:t xml:space="preserve">The advice received from the </w:t>
      </w:r>
      <w:r>
        <w:t>29</w:t>
      </w:r>
      <w:r w:rsidRPr="00857A97">
        <w:rPr>
          <w:vertAlign w:val="superscript"/>
        </w:rPr>
        <w:t>th</w:t>
      </w:r>
      <w:r>
        <w:t xml:space="preserve"> </w:t>
      </w:r>
      <w:r w:rsidRPr="00C72DAB">
        <w:t>meeting of the Advisory Committee on Medicines and Chemicals Scheduling in joint session (</w:t>
      </w:r>
      <w:r>
        <w:t xml:space="preserve">the </w:t>
      </w:r>
      <w:r>
        <w:rPr>
          <w:b/>
          <w:bCs/>
        </w:rPr>
        <w:t>Committee</w:t>
      </w:r>
      <w:proofErr w:type="gramStart"/>
      <w:r w:rsidRPr="00C72DAB">
        <w:t>);</w:t>
      </w:r>
      <w:proofErr w:type="gramEnd"/>
    </w:p>
    <w:bookmarkEnd w:id="39"/>
    <w:p w14:paraId="437A28D4" w14:textId="3C88E064" w:rsidR="00167C7B" w:rsidRDefault="00167C7B" w:rsidP="00167C7B">
      <w:pPr>
        <w:pStyle w:val="ListBullet"/>
      </w:pPr>
      <w:r>
        <w:t xml:space="preserve">The </w:t>
      </w:r>
      <w:r w:rsidR="00B64D4A">
        <w:t xml:space="preserve">ten </w:t>
      </w:r>
      <w:hyperlink r:id="rId45" w:history="1">
        <w:r w:rsidRPr="00D429C0">
          <w:rPr>
            <w:rStyle w:val="Hyperlink"/>
          </w:rPr>
          <w:t>public submissions</w:t>
        </w:r>
      </w:hyperlink>
      <w:r w:rsidR="00B64D4A">
        <w:t xml:space="preserve">, including four written </w:t>
      </w:r>
      <w:r w:rsidR="00E369DD">
        <w:t>submissions</w:t>
      </w:r>
      <w:r w:rsidR="00B64D4A">
        <w:t>,</w:t>
      </w:r>
      <w:r w:rsidRPr="00B64D4A">
        <w:t xml:space="preserve"> received</w:t>
      </w:r>
      <w:r>
        <w:t xml:space="preserve"> in response to the </w:t>
      </w:r>
      <w:hyperlink r:id="rId46" w:history="1">
        <w:r w:rsidRPr="00D429C0">
          <w:rPr>
            <w:rStyle w:val="Hyperlink"/>
          </w:rPr>
          <w:t>interim decision consultation</w:t>
        </w:r>
      </w:hyperlink>
      <w:r>
        <w:t xml:space="preserve"> </w:t>
      </w:r>
      <w:r w:rsidRPr="002C1418">
        <w:t>under regulation 42ZCZP of the Regulations</w:t>
      </w:r>
      <w:r>
        <w:t>;</w:t>
      </w:r>
    </w:p>
    <w:p w14:paraId="02EBE90C" w14:textId="77777777" w:rsidR="00167C7B" w:rsidRPr="00C72DAB" w:rsidRDefault="00167C7B" w:rsidP="00167C7B">
      <w:pPr>
        <w:pStyle w:val="ListBullet"/>
      </w:pPr>
      <w:r w:rsidRPr="00C72DAB">
        <w:t>Subsection 52</w:t>
      </w:r>
      <w:proofErr w:type="gramStart"/>
      <w:r w:rsidRPr="00C72DAB">
        <w:t>E(</w:t>
      </w:r>
      <w:proofErr w:type="gramEnd"/>
      <w:r w:rsidRPr="00C72DAB">
        <w:t xml:space="preserve">1) of </w:t>
      </w:r>
      <w:r w:rsidRPr="00B57044">
        <w:t xml:space="preserve">the </w:t>
      </w:r>
      <w:r w:rsidRPr="00B57044">
        <w:rPr>
          <w:i/>
        </w:rPr>
        <w:t>Therapeutic Goods Act 1989</w:t>
      </w:r>
      <w:r>
        <w:rPr>
          <w:iCs/>
        </w:rPr>
        <w:t xml:space="preserve"> (</w:t>
      </w:r>
      <w:proofErr w:type="spellStart"/>
      <w:r>
        <w:rPr>
          <w:iCs/>
        </w:rPr>
        <w:t>Cth</w:t>
      </w:r>
      <w:proofErr w:type="spellEnd"/>
      <w:r>
        <w:rPr>
          <w:iCs/>
        </w:rPr>
        <w:t xml:space="preserve">) (the </w:t>
      </w:r>
      <w:r>
        <w:rPr>
          <w:b/>
          <w:bCs/>
          <w:iCs/>
        </w:rPr>
        <w:t>Act</w:t>
      </w:r>
      <w:r>
        <w:rPr>
          <w:iCs/>
        </w:rPr>
        <w: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p>
    <w:p w14:paraId="2F581926" w14:textId="77777777" w:rsidR="00167C7B" w:rsidRPr="00C72DAB" w:rsidRDefault="00167C7B" w:rsidP="00167C7B">
      <w:pPr>
        <w:pStyle w:val="ListBullet"/>
      </w:pPr>
      <w:r w:rsidRPr="00C72DAB">
        <w:t xml:space="preserve">The </w:t>
      </w:r>
      <w:hyperlink r:id="rId47"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t>, pursuant to paragraph 52E(2)(a) of the Act</w:t>
      </w:r>
      <w:r w:rsidRPr="00C72DAB">
        <w:t>; and</w:t>
      </w:r>
    </w:p>
    <w:p w14:paraId="61C98B97" w14:textId="77777777" w:rsidR="00167C7B" w:rsidRPr="00C72DAB" w:rsidRDefault="00167C7B" w:rsidP="00167C7B">
      <w:pPr>
        <w:pStyle w:val="ListBullet"/>
      </w:pPr>
      <w:r w:rsidRPr="00C72DAB">
        <w:t xml:space="preserve">The </w:t>
      </w:r>
      <w:hyperlink r:id="rId48" w:history="1">
        <w:r w:rsidRPr="00C72DAB">
          <w:rPr>
            <w:color w:val="0000FF"/>
            <w:u w:val="single"/>
          </w:rPr>
          <w:t>Scheduling handbook: Guidance for amending the Poisons Standard</w:t>
        </w:r>
      </w:hyperlink>
      <w:r w:rsidRPr="00C72DAB">
        <w:t>.</w:t>
      </w:r>
    </w:p>
    <w:p w14:paraId="6DF23990" w14:textId="77777777" w:rsidR="00167C7B" w:rsidRDefault="00167C7B" w:rsidP="00167C7B">
      <w:pPr>
        <w:pStyle w:val="Heading5"/>
      </w:pPr>
      <w:r w:rsidRPr="00436C41">
        <w:t>Reasons for the final decision (including findings on material questions of fact)</w:t>
      </w:r>
    </w:p>
    <w:p w14:paraId="1DA047AF" w14:textId="02569351" w:rsidR="006E7276" w:rsidRDefault="00167C7B" w:rsidP="006E7276">
      <w:pPr>
        <w:pStyle w:val="ListBullet"/>
        <w:numPr>
          <w:ilvl w:val="0"/>
          <w:numId w:val="0"/>
        </w:numPr>
      </w:pPr>
      <w:r w:rsidRPr="006E7276">
        <w:t xml:space="preserve">I have made a final decision to confirm my interim decision to amend the current Poisons Standard with respect to choline salicylate. My reasons for making the final decision are those set out in the interim decision. In making my final decision, I have </w:t>
      </w:r>
      <w:proofErr w:type="gramStart"/>
      <w:r w:rsidRPr="006E7276">
        <w:t>taken into account</w:t>
      </w:r>
      <w:proofErr w:type="gramEnd"/>
      <w:r w:rsidRPr="006E7276">
        <w:t xml:space="preserve"> the material detailed in the interim decision and </w:t>
      </w:r>
      <w:r w:rsidR="006E7276" w:rsidRPr="00186DF0">
        <w:t xml:space="preserve">the responses after the second call for public submissions, published on 11 March 2022 under regulation 42ZCZP of the Regulations. I note </w:t>
      </w:r>
      <w:r w:rsidR="006E7276">
        <w:t>four</w:t>
      </w:r>
      <w:r w:rsidR="006E7276" w:rsidRPr="00186DF0">
        <w:t xml:space="preserve"> written submissions were received</w:t>
      </w:r>
      <w:r w:rsidR="009335F2">
        <w:t>:</w:t>
      </w:r>
      <w:r w:rsidR="006E7276" w:rsidRPr="00186DF0">
        <w:t xml:space="preserve"> on</w:t>
      </w:r>
      <w:r w:rsidR="006E7276">
        <w:t>e</w:t>
      </w:r>
      <w:r w:rsidR="006E7276" w:rsidRPr="00186DF0">
        <w:t xml:space="preserve"> supportive</w:t>
      </w:r>
      <w:r w:rsidR="006E7276">
        <w:t xml:space="preserve">, one partially supportive and </w:t>
      </w:r>
      <w:r w:rsidR="00670774">
        <w:t>two</w:t>
      </w:r>
      <w:r w:rsidR="006E7276" w:rsidRPr="00186DF0">
        <w:t xml:space="preserve"> opposing the interim decision. </w:t>
      </w:r>
    </w:p>
    <w:p w14:paraId="5460AF39" w14:textId="5AF98AC7" w:rsidR="002F4243" w:rsidRDefault="00BF5385" w:rsidP="00BF5385">
      <w:r w:rsidRPr="00186DF0">
        <w:t xml:space="preserve">I have considered the </w:t>
      </w:r>
      <w:r w:rsidR="00670774">
        <w:t xml:space="preserve">points raised in the </w:t>
      </w:r>
      <w:r w:rsidRPr="00186DF0">
        <w:t>opposing</w:t>
      </w:r>
      <w:r>
        <w:t xml:space="preserve"> and partially supportive</w:t>
      </w:r>
      <w:r w:rsidRPr="00186DF0">
        <w:t xml:space="preserve"> submission</w:t>
      </w:r>
      <w:r>
        <w:t>s</w:t>
      </w:r>
      <w:r w:rsidRPr="00186DF0">
        <w:t xml:space="preserve">, </w:t>
      </w:r>
      <w:proofErr w:type="gramStart"/>
      <w:r w:rsidRPr="00186DF0">
        <w:t xml:space="preserve">in particular </w:t>
      </w:r>
      <w:r w:rsidR="00376AE4">
        <w:t>that</w:t>
      </w:r>
      <w:proofErr w:type="gramEnd"/>
      <w:r w:rsidR="00376AE4">
        <w:t xml:space="preserve"> </w:t>
      </w:r>
      <w:r>
        <w:t xml:space="preserve">the scheduling </w:t>
      </w:r>
      <w:r w:rsidR="00535209">
        <w:t xml:space="preserve">of choline salicylate </w:t>
      </w:r>
      <w:r w:rsidR="00376AE4">
        <w:t xml:space="preserve">should be qualified </w:t>
      </w:r>
      <w:r w:rsidR="009335F2">
        <w:t xml:space="preserve">according </w:t>
      </w:r>
      <w:r w:rsidR="00535209">
        <w:t xml:space="preserve">to indications </w:t>
      </w:r>
      <w:r w:rsidR="009335F2">
        <w:t xml:space="preserve">for use </w:t>
      </w:r>
      <w:r w:rsidR="00535209">
        <w:t>or labelled age restrictions</w:t>
      </w:r>
      <w:r>
        <w:t xml:space="preserve">. </w:t>
      </w:r>
      <w:r w:rsidR="00F84701">
        <w:t>I note that t</w:t>
      </w:r>
      <w:r w:rsidR="00A534F1">
        <w:t xml:space="preserve">his </w:t>
      </w:r>
      <w:r w:rsidR="00F84701">
        <w:t xml:space="preserve">approach has recently </w:t>
      </w:r>
      <w:r w:rsidR="009C20AB">
        <w:t xml:space="preserve">been </w:t>
      </w:r>
      <w:r w:rsidR="00F84701">
        <w:t xml:space="preserve">considered by the regulator in New Zealand, however I maintain concerns regarding the possible risks presented by this approach. </w:t>
      </w:r>
      <w:r w:rsidR="00670774">
        <w:t xml:space="preserve">Under </w:t>
      </w:r>
      <w:r w:rsidR="00376AE4">
        <w:t xml:space="preserve">a </w:t>
      </w:r>
      <w:r w:rsidR="00670774">
        <w:t xml:space="preserve">scheduling </w:t>
      </w:r>
      <w:r w:rsidR="009335F2">
        <w:t>entry qualified by indications</w:t>
      </w:r>
      <w:r w:rsidR="00670774">
        <w:t>, a</w:t>
      </w:r>
      <w:r w:rsidR="009C0B70">
        <w:t xml:space="preserve"> product marketed for </w:t>
      </w:r>
      <w:r w:rsidR="009C0B70">
        <w:lastRenderedPageBreak/>
        <w:t xml:space="preserve">mouth ulcers would </w:t>
      </w:r>
      <w:r w:rsidR="00376AE4">
        <w:t>be available by general sale (</w:t>
      </w:r>
      <w:r w:rsidR="00F84701">
        <w:t xml:space="preserve">such as </w:t>
      </w:r>
      <w:r w:rsidR="00376AE4">
        <w:t xml:space="preserve">in supermarket and convenience stores) </w:t>
      </w:r>
      <w:r w:rsidR="009C0B70">
        <w:t>with different labelling and no instructions for use in teething</w:t>
      </w:r>
      <w:r w:rsidR="00376AE4">
        <w:t>, in contrast to an identically formulated product indicated for teething pain</w:t>
      </w:r>
      <w:r w:rsidR="00F84701">
        <w:t xml:space="preserve"> that is available for pharmacy sale only</w:t>
      </w:r>
      <w:r w:rsidR="00376AE4">
        <w:t xml:space="preserve">. </w:t>
      </w:r>
      <w:r w:rsidR="009335F2">
        <w:t xml:space="preserve">I am of the view, consistent with my interim decision, that </w:t>
      </w:r>
      <w:r w:rsidR="00376AE4">
        <w:t xml:space="preserve">this situation </w:t>
      </w:r>
      <w:r w:rsidR="009335F2">
        <w:t xml:space="preserve">would lead to consumer confusion and </w:t>
      </w:r>
      <w:r w:rsidR="00376AE4">
        <w:t xml:space="preserve">pose an </w:t>
      </w:r>
      <w:r w:rsidR="00F113CB">
        <w:t>un</w:t>
      </w:r>
      <w:r w:rsidR="00376AE4">
        <w:t xml:space="preserve">acceptable risk, due to the likelihood that the product that is not scheduled may be used for teething despite the </w:t>
      </w:r>
      <w:r w:rsidR="009335F2">
        <w:t xml:space="preserve">lack </w:t>
      </w:r>
      <w:r w:rsidR="00376AE4">
        <w:t xml:space="preserve">of corresponding </w:t>
      </w:r>
      <w:r w:rsidR="009335F2">
        <w:t xml:space="preserve">instructions. </w:t>
      </w:r>
      <w:r w:rsidR="00DF560D">
        <w:t xml:space="preserve">Therefore, </w:t>
      </w:r>
      <w:r w:rsidR="00670774">
        <w:t xml:space="preserve">I consider that </w:t>
      </w:r>
      <w:r w:rsidR="00DF560D">
        <w:t xml:space="preserve">placing </w:t>
      </w:r>
      <w:r w:rsidR="00535209">
        <w:t xml:space="preserve">all </w:t>
      </w:r>
      <w:proofErr w:type="spellStart"/>
      <w:r w:rsidR="00535209">
        <w:t>oromucosal</w:t>
      </w:r>
      <w:proofErr w:type="spellEnd"/>
      <w:r w:rsidR="00535209">
        <w:t xml:space="preserve"> preparations </w:t>
      </w:r>
      <w:r w:rsidR="00376AE4">
        <w:t xml:space="preserve">containing </w:t>
      </w:r>
      <w:r w:rsidR="00DF560D">
        <w:t xml:space="preserve">choline salicylate in Schedule 2 is </w:t>
      </w:r>
      <w:r w:rsidR="00376AE4">
        <w:t xml:space="preserve">necessary to </w:t>
      </w:r>
      <w:r w:rsidR="00EE6192">
        <w:t>protect the safety of consumers</w:t>
      </w:r>
      <w:r w:rsidR="00DF560D">
        <w:t>.</w:t>
      </w:r>
    </w:p>
    <w:p w14:paraId="0AF3C36F" w14:textId="77777777" w:rsidR="00623F1E" w:rsidRDefault="00F84701" w:rsidP="00BF5385">
      <w:r>
        <w:t>Any safety concerns regarding p</w:t>
      </w:r>
      <w:r w:rsidR="00A534F1">
        <w:t>roduct</w:t>
      </w:r>
      <w:r>
        <w:t>s containing levels of choline salicylate</w:t>
      </w:r>
      <w:r w:rsidR="00A534F1">
        <w:t xml:space="preserve"> above 10</w:t>
      </w:r>
      <w:r>
        <w:t xml:space="preserve"> per cent, which are regulated as prescription only medicines in New Zealand,</w:t>
      </w:r>
      <w:r w:rsidR="00A534F1">
        <w:t xml:space="preserve"> would be </w:t>
      </w:r>
      <w:r>
        <w:t xml:space="preserve">mitigated during the </w:t>
      </w:r>
      <w:r w:rsidR="00A534F1">
        <w:t>evaluat</w:t>
      </w:r>
      <w:r>
        <w:t>ion process</w:t>
      </w:r>
      <w:r w:rsidR="00A534F1">
        <w:t xml:space="preserve"> by the </w:t>
      </w:r>
      <w:r>
        <w:t xml:space="preserve">product </w:t>
      </w:r>
      <w:r w:rsidR="00A534F1">
        <w:t>regulator</w:t>
      </w:r>
      <w:r>
        <w:t xml:space="preserve">. I note that there are currently no registered products on the Australian market that contain these levels of choline salicylate. </w:t>
      </w:r>
    </w:p>
    <w:p w14:paraId="54D7F99F" w14:textId="190C610C" w:rsidR="002F4243" w:rsidRDefault="002F4243" w:rsidP="00BF5385">
      <w:r>
        <w:t xml:space="preserve">I agree with the submissions that </w:t>
      </w:r>
      <w:r w:rsidR="00670774">
        <w:t xml:space="preserve">suggested </w:t>
      </w:r>
      <w:r>
        <w:t xml:space="preserve">a longer </w:t>
      </w:r>
      <w:proofErr w:type="gramStart"/>
      <w:r w:rsidR="00670774">
        <w:t xml:space="preserve">time </w:t>
      </w:r>
      <w:r>
        <w:t>period</w:t>
      </w:r>
      <w:proofErr w:type="gramEnd"/>
      <w:r>
        <w:t xml:space="preserve"> is required to allow for a more orderly and cost-efficient transition, and for this reason I have changed the implementation date to 1 October 2023. </w:t>
      </w:r>
    </w:p>
    <w:p w14:paraId="01E75D82" w14:textId="6C2C3E8C" w:rsidR="00DE7E1F" w:rsidRDefault="00DE7E1F" w:rsidP="00DE7E1F">
      <w:pPr>
        <w:pStyle w:val="ListBullet"/>
        <w:numPr>
          <w:ilvl w:val="0"/>
          <w:numId w:val="0"/>
        </w:numPr>
        <w:ind w:left="360" w:hanging="360"/>
        <w:rPr>
          <w:b/>
          <w:bCs/>
          <w:i/>
          <w:iCs/>
        </w:rPr>
      </w:pPr>
      <w:r w:rsidRPr="00DE7E1F">
        <w:rPr>
          <w:b/>
          <w:bCs/>
          <w:i/>
          <w:iCs/>
        </w:rPr>
        <w:t xml:space="preserve">Implementation date </w:t>
      </w:r>
    </w:p>
    <w:p w14:paraId="786879B7" w14:textId="190C95F5" w:rsidR="00383394" w:rsidRPr="00383394" w:rsidRDefault="00383394" w:rsidP="00DE7E1F">
      <w:pPr>
        <w:pStyle w:val="ListBullet"/>
        <w:numPr>
          <w:ilvl w:val="0"/>
          <w:numId w:val="0"/>
        </w:numPr>
        <w:ind w:left="360" w:hanging="360"/>
        <w:rPr>
          <w:b/>
          <w:bCs/>
        </w:rPr>
      </w:pPr>
      <w:r>
        <w:rPr>
          <w:b/>
          <w:bCs/>
        </w:rPr>
        <w:t xml:space="preserve">1 </w:t>
      </w:r>
      <w:r w:rsidR="001D20F5">
        <w:rPr>
          <w:b/>
          <w:bCs/>
        </w:rPr>
        <w:t>October</w:t>
      </w:r>
      <w:r>
        <w:rPr>
          <w:b/>
          <w:bCs/>
        </w:rPr>
        <w:t xml:space="preserve"> 2023</w:t>
      </w:r>
    </w:p>
    <w:p w14:paraId="07CFC5F4" w14:textId="480495CA" w:rsidR="00F41DCE" w:rsidRPr="00F41DCE" w:rsidRDefault="00F41DCE" w:rsidP="00A34862">
      <w:pPr>
        <w:pStyle w:val="Heading2"/>
      </w:pPr>
      <w:bookmarkStart w:id="40" w:name="_Toc103852899"/>
      <w:r>
        <w:t>Final</w:t>
      </w:r>
      <w:r w:rsidRPr="00FA029A">
        <w:t xml:space="preserve"> decisions on proposed amendments referred to the </w:t>
      </w:r>
      <w:r w:rsidRPr="00F41DCE">
        <w:t xml:space="preserve">Advisory Committee on Chemicals Scheduling </w:t>
      </w:r>
      <w:r>
        <w:t>(ACCS #</w:t>
      </w:r>
      <w:r w:rsidR="0036683E">
        <w:t>32</w:t>
      </w:r>
      <w:r>
        <w:t xml:space="preserve">, </w:t>
      </w:r>
      <w:r w:rsidR="0036683E">
        <w:t>November</w:t>
      </w:r>
      <w:r>
        <w:t xml:space="preserve"> 20</w:t>
      </w:r>
      <w:r w:rsidR="0036683E">
        <w:t>21</w:t>
      </w:r>
      <w:r w:rsidRPr="00F41DCE">
        <w:t>)</w:t>
      </w:r>
      <w:bookmarkEnd w:id="40"/>
    </w:p>
    <w:p w14:paraId="43C59632" w14:textId="620C702E" w:rsidR="00F41DCE" w:rsidRDefault="00F41DCE" w:rsidP="00A34862">
      <w:pPr>
        <w:pStyle w:val="Heading3"/>
      </w:pPr>
      <w:bookmarkStart w:id="41" w:name="_Toc103852900"/>
      <w:r>
        <w:t xml:space="preserve">Final decision in relation to </w:t>
      </w:r>
      <w:r w:rsidR="006B6853">
        <w:t>chromates and chromium trioxide</w:t>
      </w:r>
      <w:bookmarkEnd w:id="41"/>
    </w:p>
    <w:p w14:paraId="54E1D5CE" w14:textId="77777777" w:rsidR="00346F36" w:rsidRPr="00346F36" w:rsidRDefault="00346F36" w:rsidP="00346F36">
      <w:pPr>
        <w:pStyle w:val="Heading5"/>
      </w:pPr>
      <w:bookmarkStart w:id="42" w:name="_Toc97708476"/>
      <w:bookmarkStart w:id="43" w:name="_Toc97713522"/>
      <w:r>
        <w:t>Proposal</w:t>
      </w:r>
      <w:bookmarkEnd w:id="42"/>
      <w:bookmarkEnd w:id="43"/>
      <w:r w:rsidRPr="00A2247B">
        <w:t xml:space="preserve"> </w:t>
      </w:r>
    </w:p>
    <w:p w14:paraId="76D42762" w14:textId="32023C14" w:rsidR="00346F36" w:rsidRDefault="00346F36" w:rsidP="00346F36">
      <w:r>
        <w:t xml:space="preserve">The applicant proposed that the Schedule 6 entries for chromates and chromium trioxide be amended to </w:t>
      </w:r>
      <w:r w:rsidR="00EE6192">
        <w:t xml:space="preserve">exclude </w:t>
      </w:r>
      <w:r>
        <w:t>articles where the proportion of chromates (or chromium) does not exceed 0.1% w/w of the article. In this application ‘chromates’ refers to three hexavalent chromium-containing compounds: dichromium tris (chromate), strontium chromate and chromic acid.</w:t>
      </w:r>
    </w:p>
    <w:p w14:paraId="0E1FDBA0" w14:textId="77777777" w:rsidR="00F41DCE" w:rsidRPr="008036B7" w:rsidRDefault="00F41DCE" w:rsidP="00F41DCE">
      <w:pPr>
        <w:pStyle w:val="Heading5"/>
      </w:pPr>
      <w:r>
        <w:t xml:space="preserve">Final Decision </w:t>
      </w:r>
    </w:p>
    <w:p w14:paraId="0091C0E7" w14:textId="1AC795E6" w:rsidR="006B6853" w:rsidRDefault="00F41DCE" w:rsidP="00F41DCE">
      <w:r>
        <w:t xml:space="preserve">Pursuant to regulation 42ZCZR of the Regulations, a Delegate has made a final decision to </w:t>
      </w:r>
      <w:r w:rsidR="003F626B">
        <w:t>vary</w:t>
      </w:r>
      <w:r w:rsidR="00F95BC4">
        <w:t xml:space="preserve"> the Appendix A entry from</w:t>
      </w:r>
      <w:r>
        <w:t xml:space="preserve"> </w:t>
      </w:r>
      <w:r w:rsidRPr="005203C8">
        <w:t>the interim decision</w:t>
      </w:r>
      <w:r>
        <w:t xml:space="preserve"> an</w:t>
      </w:r>
      <w:r w:rsidRPr="00442471">
        <w:t>d amend the current Poisons Standard as follows:</w:t>
      </w:r>
    </w:p>
    <w:p w14:paraId="3AE319CE" w14:textId="02B2EFE1" w:rsidR="003F626B" w:rsidRPr="003F626B" w:rsidRDefault="003F626B" w:rsidP="003F626B">
      <w:pPr>
        <w:ind w:left="709"/>
        <w:rPr>
          <w:b/>
          <w:bCs/>
        </w:rPr>
      </w:pPr>
      <w:r w:rsidRPr="003F626B">
        <w:rPr>
          <w:b/>
          <w:bCs/>
        </w:rPr>
        <w:t>Appendix A – New Entry</w:t>
      </w:r>
    </w:p>
    <w:p w14:paraId="2D6F6843" w14:textId="0D76563D" w:rsidR="003F626B" w:rsidRDefault="003F626B" w:rsidP="003F626B">
      <w:pPr>
        <w:pStyle w:val="Heading5"/>
        <w:ind w:left="709" w:firstLine="0"/>
        <w:rPr>
          <w:rFonts w:eastAsia="Cambria"/>
          <w:b w:val="0"/>
          <w:bCs w:val="0"/>
          <w:i w:val="0"/>
          <w:color w:val="auto"/>
          <w:szCs w:val="20"/>
        </w:rPr>
      </w:pPr>
      <w:r w:rsidRPr="003F626B">
        <w:rPr>
          <w:rFonts w:eastAsia="Cambria"/>
          <w:b w:val="0"/>
          <w:bCs w:val="0"/>
          <w:i w:val="0"/>
          <w:color w:val="00B050"/>
          <w:szCs w:val="20"/>
        </w:rPr>
        <w:t xml:space="preserve">TREATMENT LAYERS OF COATED METAL ARTICLES </w:t>
      </w:r>
      <w:r w:rsidRPr="003F626B">
        <w:rPr>
          <w:rFonts w:eastAsia="Cambria"/>
          <w:i w:val="0"/>
          <w:color w:val="00B050"/>
          <w:szCs w:val="20"/>
        </w:rPr>
        <w:t>except</w:t>
      </w:r>
      <w:r w:rsidRPr="003F626B">
        <w:rPr>
          <w:rFonts w:eastAsia="Cambria"/>
          <w:b w:val="0"/>
          <w:bCs w:val="0"/>
          <w:i w:val="0"/>
          <w:color w:val="00B050"/>
          <w:szCs w:val="20"/>
        </w:rPr>
        <w:t xml:space="preserve"> </w:t>
      </w:r>
      <w:r w:rsidR="0089037D">
        <w:rPr>
          <w:rFonts w:eastAsia="Cambria"/>
          <w:b w:val="0"/>
          <w:bCs w:val="0"/>
          <w:i w:val="0"/>
          <w:color w:val="00B050"/>
          <w:szCs w:val="20"/>
        </w:rPr>
        <w:t>articles intended</w:t>
      </w:r>
      <w:r w:rsidR="0089037D" w:rsidRPr="003F626B">
        <w:rPr>
          <w:rFonts w:eastAsia="Cambria"/>
          <w:b w:val="0"/>
          <w:bCs w:val="0"/>
          <w:i w:val="0"/>
          <w:color w:val="00B050"/>
          <w:szCs w:val="20"/>
        </w:rPr>
        <w:t xml:space="preserve"> </w:t>
      </w:r>
      <w:r w:rsidRPr="003F626B">
        <w:rPr>
          <w:rFonts w:eastAsia="Cambria"/>
          <w:b w:val="0"/>
          <w:bCs w:val="0"/>
          <w:i w:val="0"/>
          <w:color w:val="00B050"/>
          <w:szCs w:val="20"/>
        </w:rPr>
        <w:t xml:space="preserve">for </w:t>
      </w:r>
      <w:r w:rsidR="00670774">
        <w:rPr>
          <w:rFonts w:eastAsia="Cambria"/>
          <w:b w:val="0"/>
          <w:bCs w:val="0"/>
          <w:i w:val="0"/>
          <w:color w:val="00B050"/>
          <w:szCs w:val="20"/>
        </w:rPr>
        <w:t xml:space="preserve">use in </w:t>
      </w:r>
      <w:r w:rsidRPr="003F626B">
        <w:rPr>
          <w:rFonts w:eastAsia="Cambria"/>
          <w:b w:val="0"/>
          <w:bCs w:val="0"/>
          <w:i w:val="0"/>
          <w:color w:val="00B050"/>
          <w:szCs w:val="20"/>
        </w:rPr>
        <w:t>the collection of drinking water when not compliant with the</w:t>
      </w:r>
      <w:r w:rsidR="0089037D">
        <w:rPr>
          <w:rFonts w:eastAsia="Cambria"/>
          <w:b w:val="0"/>
          <w:bCs w:val="0"/>
          <w:i w:val="0"/>
          <w:color w:val="00B050"/>
          <w:szCs w:val="20"/>
        </w:rPr>
        <w:t xml:space="preserve"> health and safety</w:t>
      </w:r>
      <w:r w:rsidRPr="003F626B">
        <w:rPr>
          <w:rFonts w:eastAsia="Cambria"/>
          <w:b w:val="0"/>
          <w:bCs w:val="0"/>
          <w:i w:val="0"/>
          <w:color w:val="00B050"/>
          <w:szCs w:val="20"/>
        </w:rPr>
        <w:t xml:space="preserve"> requirements of the Australian Standard AS 4020:2018 </w:t>
      </w:r>
      <w:r w:rsidRPr="003F626B">
        <w:rPr>
          <w:rFonts w:eastAsia="Cambria"/>
          <w:b w:val="0"/>
          <w:bCs w:val="0"/>
          <w:iCs/>
          <w:color w:val="00B050"/>
          <w:szCs w:val="20"/>
        </w:rPr>
        <w:t>Testing of products for use in contact with drinking water.</w:t>
      </w:r>
    </w:p>
    <w:p w14:paraId="6C325675" w14:textId="2B63C453" w:rsidR="00F41DCE" w:rsidRDefault="00F41DCE" w:rsidP="00F41DCE">
      <w:pPr>
        <w:pStyle w:val="Heading5"/>
      </w:pPr>
      <w:r>
        <w:t xml:space="preserve">Materials considered </w:t>
      </w:r>
    </w:p>
    <w:p w14:paraId="622BB0D3" w14:textId="77777777" w:rsidR="00F41DCE" w:rsidRDefault="00F41DCE" w:rsidP="00F41DCE">
      <w:r>
        <w:t>In making this final decision, the Delegate considered the following material:</w:t>
      </w:r>
    </w:p>
    <w:p w14:paraId="7C981B0A" w14:textId="1601382E" w:rsidR="004E7792" w:rsidRPr="00C72DAB" w:rsidRDefault="004E7792" w:rsidP="004E7792">
      <w:pPr>
        <w:pStyle w:val="ListBullet"/>
      </w:pPr>
      <w:r w:rsidRPr="00C72DAB">
        <w:t xml:space="preserve">The </w:t>
      </w:r>
      <w:hyperlink r:id="rId49" w:history="1">
        <w:r w:rsidRPr="00C72DAB">
          <w:rPr>
            <w:color w:val="0000FF"/>
            <w:u w:val="single"/>
          </w:rPr>
          <w:t>application</w:t>
        </w:r>
      </w:hyperlink>
      <w:r w:rsidRPr="00C72DAB">
        <w:t xml:space="preserve"> to amend the current Poisons Standard with respect to </w:t>
      </w:r>
      <w:r>
        <w:t xml:space="preserve">chromates and chromium trioxide (the </w:t>
      </w:r>
      <w:r w:rsidR="00E369DD">
        <w:rPr>
          <w:b/>
          <w:bCs/>
        </w:rPr>
        <w:t>Application</w:t>
      </w:r>
      <w:r>
        <w:t>)</w:t>
      </w:r>
      <w:r w:rsidRPr="00C72DAB">
        <w:t>;</w:t>
      </w:r>
    </w:p>
    <w:p w14:paraId="72525966" w14:textId="10DB9D21" w:rsidR="004E7792" w:rsidRPr="00C72DAB" w:rsidRDefault="004E7792" w:rsidP="004E7792">
      <w:pPr>
        <w:pStyle w:val="ListBullet"/>
      </w:pPr>
      <w:r w:rsidRPr="00C72DAB">
        <w:lastRenderedPageBreak/>
        <w:t xml:space="preserve">The </w:t>
      </w:r>
      <w:r>
        <w:t>21</w:t>
      </w:r>
      <w:r w:rsidRPr="00C72DAB">
        <w:t xml:space="preserve"> </w:t>
      </w:r>
      <w:hyperlink r:id="rId50" w:history="1">
        <w:r w:rsidRPr="00C72DAB">
          <w:rPr>
            <w:color w:val="0000FF"/>
            <w:u w:val="single"/>
          </w:rPr>
          <w:t>public submissions</w:t>
        </w:r>
      </w:hyperlink>
      <w:r>
        <w:t xml:space="preserve"> </w:t>
      </w:r>
      <w:r w:rsidRPr="00960F41">
        <w:t>received</w:t>
      </w:r>
      <w:r w:rsidRPr="00C72DAB">
        <w:t xml:space="preserve"> in response to the </w:t>
      </w:r>
      <w:hyperlink r:id="rId51" w:history="1">
        <w:r w:rsidRPr="00C72DAB">
          <w:rPr>
            <w:color w:val="0000FF"/>
            <w:u w:val="single"/>
          </w:rPr>
          <w:t>pre-meeting consultation</w:t>
        </w:r>
      </w:hyperlink>
      <w:r w:rsidRPr="00C72DAB">
        <w:t xml:space="preserve"> under regulation 42ZCZK of the Regulations;</w:t>
      </w:r>
    </w:p>
    <w:p w14:paraId="5C3C872D" w14:textId="7EB092D5" w:rsidR="004E7792" w:rsidRPr="00C72DAB" w:rsidRDefault="004E7792" w:rsidP="004E7792">
      <w:pPr>
        <w:pStyle w:val="ListBullet"/>
      </w:pPr>
      <w:r w:rsidRPr="00C72DAB">
        <w:t xml:space="preserve">The advice received from the </w:t>
      </w:r>
      <w:r>
        <w:t>32</w:t>
      </w:r>
      <w:r>
        <w:rPr>
          <w:vertAlign w:val="superscript"/>
        </w:rPr>
        <w:t>nd</w:t>
      </w:r>
      <w:r>
        <w:t xml:space="preserve"> </w:t>
      </w:r>
      <w:r w:rsidRPr="00C72DAB">
        <w:t>meeting of the Advisory Committee on Chemicals Scheduling in joint session (</w:t>
      </w:r>
      <w:r>
        <w:t xml:space="preserve">the </w:t>
      </w:r>
      <w:r>
        <w:rPr>
          <w:b/>
          <w:bCs/>
        </w:rPr>
        <w:t>Committee</w:t>
      </w:r>
      <w:proofErr w:type="gramStart"/>
      <w:r w:rsidRPr="00C72DAB">
        <w:t>);</w:t>
      </w:r>
      <w:proofErr w:type="gramEnd"/>
    </w:p>
    <w:p w14:paraId="7FFB03EB" w14:textId="044D2D2C" w:rsidR="00F41DCE" w:rsidRDefault="00F41DCE" w:rsidP="00F41DCE">
      <w:pPr>
        <w:pStyle w:val="ListBullet"/>
      </w:pPr>
      <w:r>
        <w:t xml:space="preserve">The </w:t>
      </w:r>
      <w:r w:rsidR="00D429C0">
        <w:t>seven</w:t>
      </w:r>
      <w:r>
        <w:t xml:space="preserve"> </w:t>
      </w:r>
      <w:hyperlink r:id="rId52" w:history="1">
        <w:r w:rsidRPr="0044552B">
          <w:rPr>
            <w:rStyle w:val="Hyperlink"/>
          </w:rPr>
          <w:t>public submission</w:t>
        </w:r>
        <w:r w:rsidR="00D429C0" w:rsidRPr="0044552B">
          <w:rPr>
            <w:rStyle w:val="Hyperlink"/>
          </w:rPr>
          <w:t>s</w:t>
        </w:r>
      </w:hyperlink>
      <w:r w:rsidR="00D429C0">
        <w:t xml:space="preserve">, including one written </w:t>
      </w:r>
      <w:r w:rsidR="00E369DD">
        <w:t>submission</w:t>
      </w:r>
      <w:r w:rsidR="00D429C0">
        <w:t>,</w:t>
      </w:r>
      <w:r>
        <w:t xml:space="preserve"> received in response to the </w:t>
      </w:r>
      <w:hyperlink r:id="rId53" w:history="1">
        <w:r w:rsidRPr="0044552B">
          <w:rPr>
            <w:rStyle w:val="Hyperlink"/>
          </w:rPr>
          <w:t>interim decision consultation</w:t>
        </w:r>
      </w:hyperlink>
      <w:r>
        <w:t xml:space="preserve"> </w:t>
      </w:r>
      <w:r w:rsidRPr="002C1418">
        <w:t>under regulation 42ZCZP of the Regulations</w:t>
      </w:r>
      <w:r>
        <w:t>;</w:t>
      </w:r>
    </w:p>
    <w:p w14:paraId="5BD25D42" w14:textId="70BB461E" w:rsidR="00F41DCE" w:rsidRDefault="00F41DCE" w:rsidP="00F41DCE">
      <w:pPr>
        <w:pStyle w:val="ListBullet"/>
      </w:pPr>
      <w:r w:rsidRPr="001169AC">
        <w:t>Subsection 52</w:t>
      </w:r>
      <w:proofErr w:type="gramStart"/>
      <w:r w:rsidRPr="001169AC">
        <w:t>E(</w:t>
      </w:r>
      <w:proofErr w:type="gramEnd"/>
      <w:r w:rsidRPr="001169AC">
        <w:t xml:space="preserv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61E9AE32" w14:textId="77777777" w:rsidR="004E7792" w:rsidRPr="00C72DAB" w:rsidRDefault="004E7792" w:rsidP="004E7792">
      <w:pPr>
        <w:pStyle w:val="ListBullet"/>
      </w:pPr>
      <w:r w:rsidRPr="00C72DAB">
        <w:t xml:space="preserve">The </w:t>
      </w:r>
      <w:hyperlink r:id="rId54"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t>, pursuant to paragraph 52E(2)(a) of the Act</w:t>
      </w:r>
      <w:r w:rsidRPr="00C72DAB">
        <w:t>; and</w:t>
      </w:r>
    </w:p>
    <w:p w14:paraId="5CCCA35B" w14:textId="77777777" w:rsidR="004E7792" w:rsidRPr="00C72DAB" w:rsidRDefault="004E7792" w:rsidP="004E7792">
      <w:pPr>
        <w:pStyle w:val="ListBullet"/>
      </w:pPr>
      <w:r w:rsidRPr="00C72DAB">
        <w:t xml:space="preserve">The </w:t>
      </w:r>
      <w:hyperlink r:id="rId55" w:history="1">
        <w:r w:rsidRPr="00C72DAB">
          <w:rPr>
            <w:color w:val="0000FF"/>
            <w:u w:val="single"/>
          </w:rPr>
          <w:t>Scheduling handbook: Guidance for amending the Poisons Standard</w:t>
        </w:r>
      </w:hyperlink>
      <w:r w:rsidRPr="00C72DAB">
        <w:t>.</w:t>
      </w:r>
    </w:p>
    <w:p w14:paraId="14775BA7" w14:textId="5CBA1411" w:rsidR="004B32D0" w:rsidRDefault="00F41DCE" w:rsidP="004B32D0">
      <w:pPr>
        <w:pStyle w:val="Heading5"/>
      </w:pPr>
      <w:r w:rsidRPr="00436C41">
        <w:t>Reasons for the final decision (including findings on material questions of fact)</w:t>
      </w:r>
    </w:p>
    <w:p w14:paraId="22A1EAB7" w14:textId="75CE48BB" w:rsidR="00D67BEF" w:rsidRDefault="004B32D0" w:rsidP="00D67BEF">
      <w:pPr>
        <w:pStyle w:val="ListBullet"/>
        <w:numPr>
          <w:ilvl w:val="0"/>
          <w:numId w:val="0"/>
        </w:numPr>
      </w:pPr>
      <w:r w:rsidRPr="0089037D">
        <w:t>I have made a final decision to var</w:t>
      </w:r>
      <w:r w:rsidR="0089037D">
        <w:t>y</w:t>
      </w:r>
      <w:r w:rsidRPr="0089037D">
        <w:t xml:space="preserve"> </w:t>
      </w:r>
      <w:r w:rsidR="00D67BEF">
        <w:t xml:space="preserve">the Appendix A entry </w:t>
      </w:r>
      <w:r w:rsidR="00D67BEF" w:rsidRPr="0089037D">
        <w:t>with respect to</w:t>
      </w:r>
      <w:r w:rsidR="00D67BEF">
        <w:t xml:space="preserve"> </w:t>
      </w:r>
      <w:r w:rsidR="00670774">
        <w:t>treatment layers of coated metal articles</w:t>
      </w:r>
      <w:r w:rsidR="00D67BEF">
        <w:t xml:space="preserve"> </w:t>
      </w:r>
      <w:r w:rsidR="00EE6192">
        <w:t xml:space="preserve">in </w:t>
      </w:r>
      <w:r w:rsidRPr="0089037D">
        <w:t>my interim decision to amend the current Poisons Standard. My reasons for making the final decision are those set out in the interim decision</w:t>
      </w:r>
      <w:r w:rsidR="00D67BEF">
        <w:t xml:space="preserve"> and the reasons for the variation are set out below</w:t>
      </w:r>
      <w:r w:rsidRPr="0089037D">
        <w:t xml:space="preserve">. In making my final decision, I have </w:t>
      </w:r>
      <w:proofErr w:type="gramStart"/>
      <w:r w:rsidRPr="0089037D">
        <w:t>taken into account</w:t>
      </w:r>
      <w:proofErr w:type="gramEnd"/>
      <w:r w:rsidRPr="0089037D">
        <w:t xml:space="preserve"> the material detailed in the interim decision </w:t>
      </w:r>
      <w:r w:rsidR="00D67BEF" w:rsidRPr="006E7276">
        <w:t xml:space="preserve">and </w:t>
      </w:r>
      <w:r w:rsidR="00D67BEF" w:rsidRPr="00186DF0">
        <w:t xml:space="preserve">the responses after the second call for public submissions, published on 11 March 2022 under regulation 42ZCZP of the Regulations. I note </w:t>
      </w:r>
      <w:r w:rsidR="00D67BEF">
        <w:t>one</w:t>
      </w:r>
      <w:r w:rsidR="00D67BEF" w:rsidRPr="00186DF0">
        <w:t xml:space="preserve"> written submission w</w:t>
      </w:r>
      <w:r w:rsidR="00D67BEF">
        <w:t>as</w:t>
      </w:r>
      <w:r w:rsidR="00D67BEF" w:rsidRPr="00186DF0">
        <w:t xml:space="preserve"> receive</w:t>
      </w:r>
      <w:r w:rsidR="00D67BEF">
        <w:t xml:space="preserve">d </w:t>
      </w:r>
      <w:r w:rsidR="00670774">
        <w:t xml:space="preserve">from the applicant that was </w:t>
      </w:r>
      <w:r w:rsidR="00D67BEF">
        <w:t>partially supportive of</w:t>
      </w:r>
      <w:r w:rsidR="00D67BEF" w:rsidRPr="00186DF0">
        <w:t xml:space="preserve"> the interim decision. </w:t>
      </w:r>
    </w:p>
    <w:p w14:paraId="298C722C" w14:textId="481AEE93" w:rsidR="00D67BEF" w:rsidRDefault="00D67BEF" w:rsidP="00D67BEF">
      <w:pPr>
        <w:pStyle w:val="ListBullet"/>
        <w:numPr>
          <w:ilvl w:val="0"/>
          <w:numId w:val="0"/>
        </w:numPr>
      </w:pPr>
      <w:r>
        <w:t xml:space="preserve">I have considered the reasoning provided in this submission to amend the </w:t>
      </w:r>
      <w:r w:rsidR="00EE6192">
        <w:t xml:space="preserve">exceptions in </w:t>
      </w:r>
      <w:r>
        <w:t xml:space="preserve">the Appendix A entry </w:t>
      </w:r>
      <w:r w:rsidR="00EE6192">
        <w:t xml:space="preserve">in my interim decision </w:t>
      </w:r>
      <w:r>
        <w:t xml:space="preserve">and agree that the wording be amended as indicated above. </w:t>
      </w:r>
      <w:r w:rsidR="00670774">
        <w:t xml:space="preserve">As identified in the interim decision, the main health concern regarding these materials is the possible leaching of chromates into rainwater which can then be collected for drinking. </w:t>
      </w:r>
      <w:r>
        <w:t xml:space="preserve">The amended wording </w:t>
      </w:r>
      <w:r w:rsidR="00AE2576">
        <w:t>ensure</w:t>
      </w:r>
      <w:r w:rsidR="00670774">
        <w:t>s</w:t>
      </w:r>
      <w:r w:rsidR="00AE2576">
        <w:t xml:space="preserve"> that coated metal articles that are not intended for </w:t>
      </w:r>
      <w:r w:rsidR="00670774">
        <w:t xml:space="preserve">the </w:t>
      </w:r>
      <w:r w:rsidR="00AE2576">
        <w:t xml:space="preserve">collection of drinking water </w:t>
      </w:r>
      <w:r w:rsidR="00670774">
        <w:t xml:space="preserve">will </w:t>
      </w:r>
      <w:r w:rsidR="00AE2576">
        <w:t>be correctly exempted</w:t>
      </w:r>
      <w:r w:rsidR="00670774">
        <w:t xml:space="preserve"> from scheduling</w:t>
      </w:r>
      <w:r w:rsidR="007D4C53">
        <w:t xml:space="preserve"> </w:t>
      </w:r>
      <w:proofErr w:type="gramStart"/>
      <w:r w:rsidR="007D4C53">
        <w:t>considerations</w:t>
      </w:r>
      <w:r w:rsidR="00670774">
        <w:t>,</w:t>
      </w:r>
      <w:r w:rsidR="00AE2576">
        <w:t xml:space="preserve"> and</w:t>
      </w:r>
      <w:proofErr w:type="gramEnd"/>
      <w:r w:rsidR="00AE2576">
        <w:t xml:space="preserve"> ensure that articles intended for the collection of drinking water are only exempted </w:t>
      </w:r>
      <w:r w:rsidR="00670774">
        <w:t xml:space="preserve">from scheduling </w:t>
      </w:r>
      <w:r w:rsidR="00AE2576">
        <w:t xml:space="preserve">if they comply with the requirements of Australian Standard AS/NZS 40202 </w:t>
      </w:r>
      <w:r w:rsidR="00AE2576" w:rsidRPr="00AE2576">
        <w:rPr>
          <w:i/>
          <w:iCs/>
        </w:rPr>
        <w:t>Testing of products for use in contact with drinking water</w:t>
      </w:r>
      <w:r w:rsidR="00AE2576">
        <w:t xml:space="preserve">. </w:t>
      </w:r>
    </w:p>
    <w:p w14:paraId="29F50892" w14:textId="1ABA97CC" w:rsidR="00E06A1B" w:rsidRDefault="00DE7E1F" w:rsidP="00383394">
      <w:pPr>
        <w:pStyle w:val="ListBullet"/>
        <w:numPr>
          <w:ilvl w:val="0"/>
          <w:numId w:val="0"/>
        </w:numPr>
        <w:ind w:left="360" w:hanging="360"/>
        <w:rPr>
          <w:b/>
          <w:bCs/>
          <w:i/>
          <w:iCs/>
        </w:rPr>
      </w:pPr>
      <w:r w:rsidRPr="00DE7E1F">
        <w:rPr>
          <w:b/>
          <w:bCs/>
          <w:i/>
          <w:iCs/>
        </w:rPr>
        <w:t>Implementation dat</w:t>
      </w:r>
      <w:bookmarkStart w:id="44" w:name="_Final_decision_in_2"/>
      <w:bookmarkEnd w:id="44"/>
      <w:r w:rsidR="00383394">
        <w:rPr>
          <w:b/>
          <w:bCs/>
          <w:i/>
          <w:iCs/>
        </w:rPr>
        <w:t>e</w:t>
      </w:r>
    </w:p>
    <w:p w14:paraId="035E22B0" w14:textId="1DD723E1" w:rsidR="00383394" w:rsidRPr="00383394" w:rsidRDefault="00383394" w:rsidP="00383394">
      <w:pPr>
        <w:pStyle w:val="ListBullet"/>
        <w:numPr>
          <w:ilvl w:val="0"/>
          <w:numId w:val="0"/>
        </w:numPr>
        <w:ind w:left="360" w:hanging="360"/>
        <w:rPr>
          <w:b/>
          <w:bCs/>
        </w:rPr>
      </w:pPr>
      <w:r>
        <w:rPr>
          <w:b/>
          <w:bCs/>
        </w:rPr>
        <w:t>1 October 2023</w:t>
      </w:r>
    </w:p>
    <w:sectPr w:rsidR="00383394" w:rsidRPr="00383394" w:rsidSect="003A48A2">
      <w:headerReference w:type="default" r:id="rId56"/>
      <w:footerReference w:type="default" r:id="rId57"/>
      <w:headerReference w:type="first" r:id="rId58"/>
      <w:footerReference w:type="first" r:id="rId59"/>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2F4F0" w14:textId="77777777" w:rsidR="00DE73EF" w:rsidRDefault="00DE73EF" w:rsidP="00C40A36">
      <w:pPr>
        <w:spacing w:after="0"/>
      </w:pPr>
      <w:r>
        <w:separator/>
      </w:r>
    </w:p>
  </w:endnote>
  <w:endnote w:type="continuationSeparator" w:id="0">
    <w:p w14:paraId="4FC7402D" w14:textId="77777777" w:rsidR="00DE73EF" w:rsidRDefault="00DE73E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376AE4" w:rsidRPr="00257138" w14:paraId="14B40608" w14:textId="77777777" w:rsidTr="009B00CC">
      <w:trPr>
        <w:trHeight w:val="423"/>
      </w:trPr>
      <w:tc>
        <w:tcPr>
          <w:tcW w:w="7338" w:type="dxa"/>
          <w:tcBorders>
            <w:top w:val="single" w:sz="4" w:space="0" w:color="auto"/>
          </w:tcBorders>
        </w:tcPr>
        <w:p w14:paraId="01C0B506" w14:textId="77777777" w:rsidR="00376AE4" w:rsidRDefault="00376AE4" w:rsidP="003F3095">
          <w:pPr>
            <w:pStyle w:val="Footer"/>
          </w:pPr>
          <w:r>
            <w:t>Record of the 29th meeting of the Advisory Committee on Medicines Scheduling</w:t>
          </w:r>
        </w:p>
        <w:p w14:paraId="5C7A2176" w14:textId="13ECDCE6" w:rsidR="00376AE4" w:rsidRPr="00257138" w:rsidRDefault="00376AE4"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376AE4" w:rsidRDefault="00376AE4" w:rsidP="00782870">
              <w:pPr>
                <w:pStyle w:val="Footer"/>
                <w:jc w:val="right"/>
              </w:pPr>
            </w:p>
            <w:p w14:paraId="650BE744" w14:textId="16F39822" w:rsidR="00376AE4" w:rsidRPr="00257138" w:rsidRDefault="00376AE4"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E23E3C">
                <w:fldChar w:fldCharType="begin"/>
              </w:r>
              <w:r w:rsidR="00E23E3C">
                <w:instrText xml:space="preserve"> NUMPAGES  </w:instrText>
              </w:r>
              <w:r w:rsidR="00E23E3C">
                <w:fldChar w:fldCharType="separate"/>
              </w:r>
              <w:r>
                <w:rPr>
                  <w:noProof/>
                </w:rPr>
                <w:t>6</w:t>
              </w:r>
              <w:r w:rsidR="00E23E3C">
                <w:rPr>
                  <w:noProof/>
                </w:rPr>
                <w:fldChar w:fldCharType="end"/>
              </w:r>
            </w:p>
          </w:sdtContent>
        </w:sdt>
      </w:tc>
    </w:tr>
    <w:tr w:rsidR="00376AE4" w:rsidRPr="00257138" w14:paraId="10AB8BED" w14:textId="77777777" w:rsidTr="009B00CC">
      <w:trPr>
        <w:trHeight w:val="263"/>
      </w:trPr>
      <w:tc>
        <w:tcPr>
          <w:tcW w:w="7338" w:type="dxa"/>
        </w:tcPr>
        <w:p w14:paraId="59580AB7" w14:textId="19B73688" w:rsidR="00376AE4" w:rsidRPr="00257138" w:rsidRDefault="00376AE4" w:rsidP="00782870">
          <w:pPr>
            <w:pStyle w:val="Footer"/>
          </w:pPr>
        </w:p>
      </w:tc>
      <w:tc>
        <w:tcPr>
          <w:tcW w:w="1382" w:type="dxa"/>
        </w:tcPr>
        <w:p w14:paraId="219FF5F5" w14:textId="77777777" w:rsidR="00376AE4" w:rsidRPr="00257138" w:rsidRDefault="00376AE4" w:rsidP="00782870">
          <w:pPr>
            <w:pStyle w:val="Footer"/>
            <w:jc w:val="right"/>
          </w:pPr>
        </w:p>
      </w:tc>
    </w:tr>
  </w:tbl>
  <w:p w14:paraId="2023C75C" w14:textId="77777777" w:rsidR="00376AE4" w:rsidRPr="00826007" w:rsidRDefault="00376AE4"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376AE4" w:rsidRPr="00257138" w14:paraId="11075AFF" w14:textId="77777777" w:rsidTr="009468C6">
      <w:trPr>
        <w:trHeight w:val="423"/>
      </w:trPr>
      <w:tc>
        <w:tcPr>
          <w:tcW w:w="7338" w:type="dxa"/>
        </w:tcPr>
        <w:p w14:paraId="13E7B9DF" w14:textId="201AFB14" w:rsidR="00376AE4" w:rsidRPr="00257138" w:rsidRDefault="00376AE4">
          <w:pPr>
            <w:pStyle w:val="Footer"/>
          </w:pPr>
          <w:r>
            <w:t xml:space="preserve">Delegate’s final decisions and reasons for decisions (ACCS#32, ACMS#36, Joint ACMS-ACCS#29, November 2021) </w:t>
          </w:r>
          <w:r>
            <w:br/>
          </w:r>
        </w:p>
      </w:tc>
      <w:tc>
        <w:tcPr>
          <w:tcW w:w="1382" w:type="dxa"/>
        </w:tcPr>
        <w:sdt>
          <w:sdtPr>
            <w:id w:val="6788836"/>
            <w:docPartObj>
              <w:docPartGallery w:val="Page Numbers (Top of Page)"/>
              <w:docPartUnique/>
            </w:docPartObj>
          </w:sdtPr>
          <w:sdtEndPr/>
          <w:sdtContent>
            <w:p w14:paraId="3BD26206" w14:textId="7BDCABDC" w:rsidR="00376AE4" w:rsidRPr="00257138" w:rsidRDefault="00376AE4" w:rsidP="009468C6">
              <w:pPr>
                <w:pStyle w:val="Footer"/>
                <w:jc w:val="right"/>
              </w:pPr>
              <w:r w:rsidRPr="00257138">
                <w:t xml:space="preserve">Page </w:t>
              </w:r>
              <w:r>
                <w:fldChar w:fldCharType="begin"/>
              </w:r>
              <w:r>
                <w:instrText xml:space="preserve"> PAGE </w:instrText>
              </w:r>
              <w:r>
                <w:fldChar w:fldCharType="separate"/>
              </w:r>
              <w:r>
                <w:rPr>
                  <w:noProof/>
                </w:rPr>
                <w:t>14</w:t>
              </w:r>
              <w:r>
                <w:fldChar w:fldCharType="end"/>
              </w:r>
              <w:r w:rsidRPr="00257138">
                <w:t xml:space="preserve"> of </w:t>
              </w:r>
              <w:r w:rsidR="00E23E3C">
                <w:fldChar w:fldCharType="begin"/>
              </w:r>
              <w:r w:rsidR="00E23E3C">
                <w:instrText xml:space="preserve"> NUMPAGES  </w:instrText>
              </w:r>
              <w:r w:rsidR="00E23E3C">
                <w:fldChar w:fldCharType="separate"/>
              </w:r>
              <w:r>
                <w:rPr>
                  <w:noProof/>
                </w:rPr>
                <w:t>14</w:t>
              </w:r>
              <w:r w:rsidR="00E23E3C">
                <w:rPr>
                  <w:noProof/>
                </w:rPr>
                <w:fldChar w:fldCharType="end"/>
              </w:r>
            </w:p>
          </w:sdtContent>
        </w:sdt>
      </w:tc>
    </w:tr>
  </w:tbl>
  <w:p w14:paraId="623AA1CE" w14:textId="77777777" w:rsidR="00376AE4" w:rsidRPr="00826007" w:rsidRDefault="00376AE4"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376AE4" w:rsidRPr="00257138" w14:paraId="76052F65" w14:textId="77777777" w:rsidTr="003A48A2">
      <w:trPr>
        <w:trHeight w:val="423"/>
      </w:trPr>
      <w:tc>
        <w:tcPr>
          <w:tcW w:w="7338" w:type="dxa"/>
        </w:tcPr>
        <w:p w14:paraId="6A331473" w14:textId="1C188F6B" w:rsidR="00376AE4" w:rsidRPr="00257138" w:rsidRDefault="00376AE4">
          <w:pPr>
            <w:pStyle w:val="Footer"/>
          </w:pPr>
          <w:r>
            <w:t>Delegate’s final decisions and reasons for decisions (ACCS#32, ACMS#36, Joint ACMS-ACCS#29, November 2021)</w:t>
          </w:r>
          <w:r>
            <w:br/>
          </w:r>
        </w:p>
      </w:tc>
      <w:tc>
        <w:tcPr>
          <w:tcW w:w="1382" w:type="dxa"/>
        </w:tcPr>
        <w:sdt>
          <w:sdtPr>
            <w:id w:val="5342774"/>
            <w:docPartObj>
              <w:docPartGallery w:val="Page Numbers (Top of Page)"/>
              <w:docPartUnique/>
            </w:docPartObj>
          </w:sdtPr>
          <w:sdtEndPr/>
          <w:sdtContent>
            <w:p w14:paraId="44A48167" w14:textId="6E064382" w:rsidR="00376AE4" w:rsidRPr="00257138" w:rsidRDefault="00376AE4"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E23E3C">
                <w:fldChar w:fldCharType="begin"/>
              </w:r>
              <w:r w:rsidR="00E23E3C">
                <w:instrText xml:space="preserve"> NUMPAGES  </w:instrText>
              </w:r>
              <w:r w:rsidR="00E23E3C">
                <w:fldChar w:fldCharType="separate"/>
              </w:r>
              <w:r>
                <w:rPr>
                  <w:noProof/>
                </w:rPr>
                <w:t>14</w:t>
              </w:r>
              <w:r w:rsidR="00E23E3C">
                <w:rPr>
                  <w:noProof/>
                </w:rPr>
                <w:fldChar w:fldCharType="end"/>
              </w:r>
            </w:p>
          </w:sdtContent>
        </w:sdt>
      </w:tc>
    </w:tr>
  </w:tbl>
  <w:p w14:paraId="3FF833DF" w14:textId="77777777" w:rsidR="00376AE4" w:rsidRDefault="00376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55F92" w14:textId="77777777" w:rsidR="00DE73EF" w:rsidRDefault="00DE73EF" w:rsidP="00C40A36">
      <w:pPr>
        <w:spacing w:after="0"/>
      </w:pPr>
      <w:r>
        <w:separator/>
      </w:r>
    </w:p>
  </w:footnote>
  <w:footnote w:type="continuationSeparator" w:id="0">
    <w:p w14:paraId="17E93500" w14:textId="77777777" w:rsidR="00DE73EF" w:rsidRDefault="00DE73EF"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376AE4" w:rsidRPr="00DA24C7" w14:paraId="081A8C01" w14:textId="77777777" w:rsidTr="00F923D6">
      <w:trPr>
        <w:trHeight w:val="709"/>
      </w:trPr>
      <w:tc>
        <w:tcPr>
          <w:tcW w:w="4035" w:type="dxa"/>
        </w:tcPr>
        <w:p w14:paraId="32A34B13" w14:textId="77777777" w:rsidR="00376AE4" w:rsidRPr="00DA24C7" w:rsidRDefault="00376AE4"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376AE4" w:rsidRPr="000F5176" w:rsidRDefault="00376AE4" w:rsidP="000F5176">
          <w:pPr>
            <w:pStyle w:val="HeaderNoLine"/>
            <w:rPr>
              <w:rStyle w:val="HeaderChar"/>
            </w:rPr>
          </w:pPr>
          <w:r w:rsidRPr="000F5176">
            <w:t>Therapeutic Goods Administration</w:t>
          </w:r>
        </w:p>
      </w:tc>
    </w:tr>
  </w:tbl>
  <w:p w14:paraId="7D79B037" w14:textId="77777777" w:rsidR="00376AE4" w:rsidRDefault="00376AE4"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14CE" w14:textId="28BF94E3" w:rsidR="00376AE4" w:rsidRDefault="00376AE4"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25" name="Picture 25"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76AE4" w:rsidRPr="00DE02AE" w14:paraId="6C8DF45D" w14:textId="77777777" w:rsidTr="00782870">
      <w:trPr>
        <w:trHeight w:hRule="exact" w:val="8845"/>
      </w:trPr>
      <w:tc>
        <w:tcPr>
          <w:tcW w:w="11964" w:type="dxa"/>
        </w:tcPr>
        <w:p w14:paraId="1F71D1E5" w14:textId="491F8166" w:rsidR="00376AE4" w:rsidRPr="00DE02AE" w:rsidRDefault="00376AE4"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1206443C">
                <wp:simplePos x="0" y="0"/>
                <wp:positionH relativeFrom="page">
                  <wp:posOffset>-22437</wp:posOffset>
                </wp:positionH>
                <wp:positionV relativeFrom="page">
                  <wp:posOffset>-16087</wp:posOffset>
                </wp:positionV>
                <wp:extent cx="7581900" cy="2447925"/>
                <wp:effectExtent l="19050" t="0" r="0" b="0"/>
                <wp:wrapNone/>
                <wp:docPr id="28" name="Picture 2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tc>
    </w:tr>
  </w:tbl>
  <w:p w14:paraId="1CE47A24" w14:textId="6D657221" w:rsidR="00376AE4" w:rsidRDefault="00376AE4" w:rsidP="006D03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376AE4" w:rsidRPr="00DA24C7" w14:paraId="7C724D59" w14:textId="77777777" w:rsidTr="00C6376F">
      <w:trPr>
        <w:trHeight w:val="558"/>
      </w:trPr>
      <w:tc>
        <w:tcPr>
          <w:tcW w:w="4035" w:type="dxa"/>
          <w:vAlign w:val="center"/>
        </w:tcPr>
        <w:p w14:paraId="047292FC" w14:textId="62B95FE3" w:rsidR="00376AE4" w:rsidRPr="00EB74A7" w:rsidRDefault="00376AE4" w:rsidP="00C6376F">
          <w:pPr>
            <w:rPr>
              <w:rStyle w:val="HeaderChar"/>
              <w:rFonts w:ascii="Arial" w:hAnsi="Arial" w:cs="Arial"/>
              <w:b/>
              <w:sz w:val="28"/>
              <w:szCs w:val="28"/>
            </w:rPr>
          </w:pPr>
        </w:p>
      </w:tc>
      <w:tc>
        <w:tcPr>
          <w:tcW w:w="4685" w:type="dxa"/>
          <w:vAlign w:val="center"/>
        </w:tcPr>
        <w:p w14:paraId="3A7D855E" w14:textId="77777777" w:rsidR="00376AE4" w:rsidRPr="000F5176" w:rsidRDefault="00376AE4" w:rsidP="00C6376F">
          <w:pPr>
            <w:pStyle w:val="HeaderNoLine"/>
            <w:rPr>
              <w:rStyle w:val="HeaderChar"/>
            </w:rPr>
          </w:pPr>
          <w:r w:rsidRPr="000F5176">
            <w:t>Therapeutic Goods Administration</w:t>
          </w:r>
        </w:p>
      </w:tc>
    </w:tr>
  </w:tbl>
  <w:p w14:paraId="480E463E" w14:textId="77777777" w:rsidR="00376AE4" w:rsidRDefault="00376AE4"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376AE4" w:rsidRPr="00DA24C7" w14:paraId="28E03D4B" w14:textId="77777777" w:rsidTr="00C6376F">
      <w:trPr>
        <w:trHeight w:val="558"/>
      </w:trPr>
      <w:tc>
        <w:tcPr>
          <w:tcW w:w="4035" w:type="dxa"/>
        </w:tcPr>
        <w:p w14:paraId="02A4F856" w14:textId="69123A4C" w:rsidR="00376AE4" w:rsidRPr="00EB74A7" w:rsidRDefault="00376AE4" w:rsidP="00C6376F">
          <w:pPr>
            <w:pStyle w:val="HeaderNoLine"/>
            <w:jc w:val="left"/>
            <w:rPr>
              <w:rStyle w:val="HeaderChar"/>
              <w:rFonts w:ascii="Arial" w:hAnsi="Arial" w:cs="Arial"/>
              <w:b/>
              <w:sz w:val="28"/>
              <w:szCs w:val="28"/>
            </w:rPr>
          </w:pPr>
        </w:p>
      </w:tc>
      <w:tc>
        <w:tcPr>
          <w:tcW w:w="4685" w:type="dxa"/>
          <w:vAlign w:val="center"/>
        </w:tcPr>
        <w:p w14:paraId="0DD7BFA8" w14:textId="77777777" w:rsidR="00376AE4" w:rsidRPr="000F5176" w:rsidRDefault="00376AE4" w:rsidP="00C6376F">
          <w:pPr>
            <w:pStyle w:val="HeaderNoLine"/>
            <w:rPr>
              <w:rStyle w:val="HeaderChar"/>
            </w:rPr>
          </w:pPr>
          <w:r w:rsidRPr="000F5176">
            <w:t>Therapeutic Goods Administration</w:t>
          </w:r>
        </w:p>
      </w:tc>
    </w:tr>
  </w:tbl>
  <w:p w14:paraId="3D9C25A3" w14:textId="77777777" w:rsidR="00376AE4" w:rsidRDefault="00376AE4" w:rsidP="008D7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57877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86E29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92F58"/>
    <w:multiLevelType w:val="hybridMultilevel"/>
    <w:tmpl w:val="231C4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4F666D4"/>
    <w:multiLevelType w:val="hybridMultilevel"/>
    <w:tmpl w:val="5F34CF6C"/>
    <w:lvl w:ilvl="0" w:tplc="068EF09E">
      <w:start w:val="1"/>
      <w:numFmt w:val="lowerRoman"/>
      <w:lvlText w:val="%1)"/>
      <w:lvlJc w:val="left"/>
      <w:pPr>
        <w:ind w:left="1440" w:hanging="360"/>
      </w:pPr>
      <w:rPr>
        <w:rFonts w:hint="default"/>
        <w:color w:val="FF000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DF3123"/>
    <w:multiLevelType w:val="hybridMultilevel"/>
    <w:tmpl w:val="50F2B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0034681"/>
    <w:multiLevelType w:val="hybridMultilevel"/>
    <w:tmpl w:val="FB3E1B4C"/>
    <w:lvl w:ilvl="0" w:tplc="985EB8B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217E0FF4"/>
    <w:multiLevelType w:val="multilevel"/>
    <w:tmpl w:val="1E4A7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07C2A"/>
    <w:multiLevelType w:val="hybridMultilevel"/>
    <w:tmpl w:val="562E9400"/>
    <w:lvl w:ilvl="0" w:tplc="47D87E42">
      <w:start w:val="4"/>
      <w:numFmt w:val="lowerLetter"/>
      <w:lvlText w:val="%1)"/>
      <w:lvlJc w:val="left"/>
      <w:pPr>
        <w:ind w:left="108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 w15:restartNumberingAfterBreak="0">
    <w:nsid w:val="2DA42FC5"/>
    <w:multiLevelType w:val="hybridMultilevel"/>
    <w:tmpl w:val="98D249B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0486946"/>
    <w:multiLevelType w:val="hybridMultilevel"/>
    <w:tmpl w:val="9AAAEAD0"/>
    <w:lvl w:ilvl="0" w:tplc="DE4EF6A8">
      <w:start w:val="1"/>
      <w:numFmt w:val="lowerLetter"/>
      <w:lvlText w:val="%1)"/>
      <w:lvlJc w:val="left"/>
      <w:pPr>
        <w:ind w:left="720" w:hanging="360"/>
      </w:pPr>
      <w:rPr>
        <w:rFonts w:hint="default"/>
        <w:color w:val="00B05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625B97"/>
    <w:multiLevelType w:val="hybridMultilevel"/>
    <w:tmpl w:val="17E8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D004C"/>
    <w:multiLevelType w:val="hybridMultilevel"/>
    <w:tmpl w:val="FD86B70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93860DD"/>
    <w:multiLevelType w:val="hybridMultilevel"/>
    <w:tmpl w:val="65DE5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6C2C35"/>
    <w:multiLevelType w:val="hybridMultilevel"/>
    <w:tmpl w:val="F27C0F0A"/>
    <w:lvl w:ilvl="0" w:tplc="3A3A1934">
      <w:start w:val="4"/>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A31774"/>
    <w:multiLevelType w:val="multilevel"/>
    <w:tmpl w:val="CD8A9CA6"/>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color w:val="auto"/>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0"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177943"/>
    <w:multiLevelType w:val="hybridMultilevel"/>
    <w:tmpl w:val="B6CE8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1041C1"/>
    <w:multiLevelType w:val="hybridMultilevel"/>
    <w:tmpl w:val="7A14CE1A"/>
    <w:lvl w:ilvl="0" w:tplc="84D0B40A">
      <w:numFmt w:val="bullet"/>
      <w:lvlText w:val="•"/>
      <w:lvlJc w:val="left"/>
      <w:pPr>
        <w:ind w:left="1080" w:hanging="720"/>
      </w:pPr>
      <w:rPr>
        <w:rFonts w:ascii="Cambria" w:eastAsia="Times New Roman" w:hAnsi="Cambria"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62ADC"/>
    <w:multiLevelType w:val="hybridMultilevel"/>
    <w:tmpl w:val="C4AE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0C32A8"/>
    <w:multiLevelType w:val="hybridMultilevel"/>
    <w:tmpl w:val="38627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6E6499"/>
    <w:multiLevelType w:val="hybridMultilevel"/>
    <w:tmpl w:val="7400BC82"/>
    <w:lvl w:ilvl="0" w:tplc="1F849200">
      <w:start w:val="1"/>
      <w:numFmt w:val="lowerLetter"/>
      <w:pStyle w:val="Numberbullet2a"/>
      <w:lvlText w:val="%1)"/>
      <w:lvlJc w:val="left"/>
      <w:pPr>
        <w:ind w:left="1800" w:hanging="360"/>
      </w:pPr>
      <w:rPr>
        <w:rFonts w:hint="default"/>
        <w:color w:val="auto"/>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26" w15:restartNumberingAfterBreak="0">
    <w:nsid w:val="4C7556A0"/>
    <w:multiLevelType w:val="hybridMultilevel"/>
    <w:tmpl w:val="08388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58193B"/>
    <w:multiLevelType w:val="hybridMultilevel"/>
    <w:tmpl w:val="5CE08CFE"/>
    <w:lvl w:ilvl="0" w:tplc="76948FAC">
      <w:start w:val="1"/>
      <w:numFmt w:val="lowerLetter"/>
      <w:lvlText w:val="%1)"/>
      <w:lvlJc w:val="left"/>
      <w:pPr>
        <w:ind w:left="720" w:hanging="360"/>
      </w:pPr>
      <w:rPr>
        <w:rFonts w:ascii="Cambria" w:eastAsia="Cambria" w:hAnsi="Cambria" w:cs="Times New Roman"/>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E90EF7"/>
    <w:multiLevelType w:val="hybridMultilevel"/>
    <w:tmpl w:val="BBD4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2936B5"/>
    <w:multiLevelType w:val="hybridMultilevel"/>
    <w:tmpl w:val="F9D290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0" w15:restartNumberingAfterBreak="0">
    <w:nsid w:val="568F7B6F"/>
    <w:multiLevelType w:val="hybridMultilevel"/>
    <w:tmpl w:val="A516C19E"/>
    <w:lvl w:ilvl="0" w:tplc="722A0E08">
      <w:start w:val="1"/>
      <w:numFmt w:val="lowerRoman"/>
      <w:lvlText w:val="%1)"/>
      <w:lvlJc w:val="left"/>
      <w:pPr>
        <w:ind w:left="1800" w:hanging="360"/>
      </w:pPr>
      <w:rPr>
        <w:rFonts w:hint="default"/>
        <w:b w:val="0"/>
        <w:color w:val="FF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5B0463CA"/>
    <w:multiLevelType w:val="hybridMultilevel"/>
    <w:tmpl w:val="04B04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F54C1F"/>
    <w:multiLevelType w:val="hybridMultilevel"/>
    <w:tmpl w:val="1728C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3566ED"/>
    <w:multiLevelType w:val="hybridMultilevel"/>
    <w:tmpl w:val="BA46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CF4CEE"/>
    <w:multiLevelType w:val="hybridMultilevel"/>
    <w:tmpl w:val="2E7C9FBA"/>
    <w:lvl w:ilvl="0" w:tplc="4D6690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D86CF1"/>
    <w:multiLevelType w:val="hybridMultilevel"/>
    <w:tmpl w:val="6AC2F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442C20"/>
    <w:multiLevelType w:val="hybridMultilevel"/>
    <w:tmpl w:val="E168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327364"/>
    <w:multiLevelType w:val="multilevel"/>
    <w:tmpl w:val="06869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6F9C1498"/>
    <w:multiLevelType w:val="hybridMultilevel"/>
    <w:tmpl w:val="6D864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6458F6"/>
    <w:multiLevelType w:val="hybridMultilevel"/>
    <w:tmpl w:val="5CBA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B545FB"/>
    <w:multiLevelType w:val="multilevel"/>
    <w:tmpl w:val="B9AC6BFA"/>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ascii="Cambria" w:eastAsia="Cambria" w:hAnsi="Cambria" w:cs="Times New Roman"/>
      </w:rPr>
    </w:lvl>
    <w:lvl w:ilvl="3">
      <w:start w:val="1"/>
      <w:numFmt w:val="lowerRoman"/>
      <w:lvlText w:val="%4)"/>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5"/>
  </w:num>
  <w:num w:numId="2">
    <w:abstractNumId w:val="3"/>
  </w:num>
  <w:num w:numId="3">
    <w:abstractNumId w:val="5"/>
  </w:num>
  <w:num w:numId="4">
    <w:abstractNumId w:val="3"/>
  </w:num>
  <w:num w:numId="5">
    <w:abstractNumId w:val="8"/>
  </w:num>
  <w:num w:numId="6">
    <w:abstractNumId w:val="32"/>
  </w:num>
  <w:num w:numId="7">
    <w:abstractNumId w:val="22"/>
  </w:num>
  <w:num w:numId="8">
    <w:abstractNumId w:val="33"/>
  </w:num>
  <w:num w:numId="9">
    <w:abstractNumId w:val="17"/>
  </w:num>
  <w:num w:numId="10">
    <w:abstractNumId w:val="21"/>
  </w:num>
  <w:num w:numId="11">
    <w:abstractNumId w:val="6"/>
  </w:num>
  <w:num w:numId="12">
    <w:abstractNumId w:val="31"/>
  </w:num>
  <w:num w:numId="13">
    <w:abstractNumId w:val="38"/>
  </w:num>
  <w:num w:numId="14">
    <w:abstractNumId w:val="39"/>
  </w:num>
  <w:num w:numId="15">
    <w:abstractNumId w:val="27"/>
  </w:num>
  <w:num w:numId="16">
    <w:abstractNumId w:val="13"/>
  </w:num>
  <w:num w:numId="17">
    <w:abstractNumId w:val="7"/>
  </w:num>
  <w:num w:numId="18">
    <w:abstractNumId w:val="11"/>
  </w:num>
  <w:num w:numId="19">
    <w:abstractNumId w:val="12"/>
  </w:num>
  <w:num w:numId="20">
    <w:abstractNumId w:val="4"/>
  </w:num>
  <w:num w:numId="21">
    <w:abstractNumId w:val="16"/>
  </w:num>
  <w:num w:numId="22">
    <w:abstractNumId w:val="9"/>
  </w:num>
  <w:num w:numId="23">
    <w:abstractNumId w:val="30"/>
  </w:num>
  <w:num w:numId="24">
    <w:abstractNumId w:val="24"/>
  </w:num>
  <w:num w:numId="25">
    <w:abstractNumId w:val="19"/>
  </w:num>
  <w:num w:numId="26">
    <w:abstractNumId w:val="40"/>
  </w:num>
  <w:num w:numId="27">
    <w:abstractNumId w:val="26"/>
  </w:num>
  <w:num w:numId="28">
    <w:abstractNumId w:val="15"/>
  </w:num>
  <w:num w:numId="29">
    <w:abstractNumId w:val="29"/>
  </w:num>
  <w:num w:numId="30">
    <w:abstractNumId w:val="2"/>
  </w:num>
  <w:num w:numId="31">
    <w:abstractNumId w:val="36"/>
  </w:num>
  <w:num w:numId="32">
    <w:abstractNumId w:val="23"/>
  </w:num>
  <w:num w:numId="33">
    <w:abstractNumId w:val="35"/>
  </w:num>
  <w:num w:numId="34">
    <w:abstractNumId w:val="13"/>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37"/>
  </w:num>
  <w:num w:numId="39">
    <w:abstractNumId w:val="10"/>
  </w:num>
  <w:num w:numId="40">
    <w:abstractNumId w:val="1"/>
  </w:num>
  <w:num w:numId="41">
    <w:abstractNumId w:val="0"/>
  </w:num>
  <w:num w:numId="42">
    <w:abstractNumId w:val="28"/>
  </w:num>
  <w:num w:numId="43">
    <w:abstractNumId w:val="20"/>
  </w:num>
  <w:num w:numId="44">
    <w:abstractNumId w:val="14"/>
  </w:num>
  <w:num w:numId="45">
    <w:abstractNumId w:val="25"/>
  </w:num>
  <w:num w:numId="46">
    <w:abstractNumId w:val="25"/>
    <w:lvlOverride w:ilvl="0">
      <w:startOverride w:val="1"/>
    </w:lvlOverride>
  </w:num>
  <w:num w:numId="47">
    <w:abstractNumId w:val="34"/>
  </w:num>
  <w:num w:numId="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6AE7"/>
    <w:rsid w:val="00006B22"/>
    <w:rsid w:val="0001276A"/>
    <w:rsid w:val="00012D9E"/>
    <w:rsid w:val="00023C6E"/>
    <w:rsid w:val="000246AE"/>
    <w:rsid w:val="00025266"/>
    <w:rsid w:val="00025C67"/>
    <w:rsid w:val="000335FC"/>
    <w:rsid w:val="00033F14"/>
    <w:rsid w:val="00035472"/>
    <w:rsid w:val="00040478"/>
    <w:rsid w:val="00041297"/>
    <w:rsid w:val="00042573"/>
    <w:rsid w:val="000463E2"/>
    <w:rsid w:val="000465B5"/>
    <w:rsid w:val="0005081A"/>
    <w:rsid w:val="00052322"/>
    <w:rsid w:val="00053C6C"/>
    <w:rsid w:val="0005559E"/>
    <w:rsid w:val="00056156"/>
    <w:rsid w:val="00056C7E"/>
    <w:rsid w:val="00057FFC"/>
    <w:rsid w:val="00061765"/>
    <w:rsid w:val="0006427F"/>
    <w:rsid w:val="00064B8B"/>
    <w:rsid w:val="00065585"/>
    <w:rsid w:val="00065D1A"/>
    <w:rsid w:val="00072D02"/>
    <w:rsid w:val="00074EBD"/>
    <w:rsid w:val="000755F8"/>
    <w:rsid w:val="000762EF"/>
    <w:rsid w:val="00077548"/>
    <w:rsid w:val="00077775"/>
    <w:rsid w:val="0008136F"/>
    <w:rsid w:val="0008417D"/>
    <w:rsid w:val="00085DD5"/>
    <w:rsid w:val="000860B4"/>
    <w:rsid w:val="000869F6"/>
    <w:rsid w:val="00090471"/>
    <w:rsid w:val="000A56BE"/>
    <w:rsid w:val="000A702F"/>
    <w:rsid w:val="000B0759"/>
    <w:rsid w:val="000B3532"/>
    <w:rsid w:val="000B37B0"/>
    <w:rsid w:val="000B3A75"/>
    <w:rsid w:val="000B56DE"/>
    <w:rsid w:val="000B7084"/>
    <w:rsid w:val="000C31F2"/>
    <w:rsid w:val="000C5F0B"/>
    <w:rsid w:val="000C6B99"/>
    <w:rsid w:val="000D0ABB"/>
    <w:rsid w:val="000D2B49"/>
    <w:rsid w:val="000D391B"/>
    <w:rsid w:val="000D3D6D"/>
    <w:rsid w:val="000D45F7"/>
    <w:rsid w:val="000D4FC7"/>
    <w:rsid w:val="000F01FC"/>
    <w:rsid w:val="000F04C4"/>
    <w:rsid w:val="000F13EF"/>
    <w:rsid w:val="000F3A5D"/>
    <w:rsid w:val="000F4869"/>
    <w:rsid w:val="000F4B8B"/>
    <w:rsid w:val="000F5176"/>
    <w:rsid w:val="000F5B42"/>
    <w:rsid w:val="000F6E6F"/>
    <w:rsid w:val="001003F2"/>
    <w:rsid w:val="00101762"/>
    <w:rsid w:val="0010601F"/>
    <w:rsid w:val="00106BF9"/>
    <w:rsid w:val="00110AE1"/>
    <w:rsid w:val="00110EA5"/>
    <w:rsid w:val="00112440"/>
    <w:rsid w:val="00115240"/>
    <w:rsid w:val="001157F7"/>
    <w:rsid w:val="00116990"/>
    <w:rsid w:val="001169AC"/>
    <w:rsid w:val="00117127"/>
    <w:rsid w:val="001217F0"/>
    <w:rsid w:val="00123BB2"/>
    <w:rsid w:val="00125091"/>
    <w:rsid w:val="00125148"/>
    <w:rsid w:val="00125318"/>
    <w:rsid w:val="0012669D"/>
    <w:rsid w:val="001268BE"/>
    <w:rsid w:val="001305A2"/>
    <w:rsid w:val="00130EB7"/>
    <w:rsid w:val="001327EC"/>
    <w:rsid w:val="00133238"/>
    <w:rsid w:val="00140FE3"/>
    <w:rsid w:val="0014197B"/>
    <w:rsid w:val="00143B58"/>
    <w:rsid w:val="001447CD"/>
    <w:rsid w:val="00150A66"/>
    <w:rsid w:val="001516B1"/>
    <w:rsid w:val="001525B4"/>
    <w:rsid w:val="00155651"/>
    <w:rsid w:val="00156316"/>
    <w:rsid w:val="00156847"/>
    <w:rsid w:val="00157601"/>
    <w:rsid w:val="001578C5"/>
    <w:rsid w:val="00161226"/>
    <w:rsid w:val="00165389"/>
    <w:rsid w:val="001653CE"/>
    <w:rsid w:val="00167C7B"/>
    <w:rsid w:val="00173C6A"/>
    <w:rsid w:val="0017693F"/>
    <w:rsid w:val="00176CB0"/>
    <w:rsid w:val="0018056A"/>
    <w:rsid w:val="0018110E"/>
    <w:rsid w:val="00181684"/>
    <w:rsid w:val="00182A4A"/>
    <w:rsid w:val="001843C6"/>
    <w:rsid w:val="001850E0"/>
    <w:rsid w:val="00185CE9"/>
    <w:rsid w:val="00186517"/>
    <w:rsid w:val="00186DF0"/>
    <w:rsid w:val="00193183"/>
    <w:rsid w:val="001A3925"/>
    <w:rsid w:val="001A525F"/>
    <w:rsid w:val="001A5FFE"/>
    <w:rsid w:val="001A61B2"/>
    <w:rsid w:val="001B09F9"/>
    <w:rsid w:val="001B0F8B"/>
    <w:rsid w:val="001B5CE3"/>
    <w:rsid w:val="001B6448"/>
    <w:rsid w:val="001C0D8C"/>
    <w:rsid w:val="001C2A9E"/>
    <w:rsid w:val="001C2C79"/>
    <w:rsid w:val="001C2D91"/>
    <w:rsid w:val="001C5266"/>
    <w:rsid w:val="001C7F0A"/>
    <w:rsid w:val="001D20F5"/>
    <w:rsid w:val="001E07CF"/>
    <w:rsid w:val="001E51C6"/>
    <w:rsid w:val="001E5555"/>
    <w:rsid w:val="001E59F1"/>
    <w:rsid w:val="001E6E2F"/>
    <w:rsid w:val="001F04D7"/>
    <w:rsid w:val="001F32EC"/>
    <w:rsid w:val="001F49EB"/>
    <w:rsid w:val="001F6CBA"/>
    <w:rsid w:val="002001F1"/>
    <w:rsid w:val="0020028B"/>
    <w:rsid w:val="00200A9C"/>
    <w:rsid w:val="00200C4A"/>
    <w:rsid w:val="00201D4E"/>
    <w:rsid w:val="00202086"/>
    <w:rsid w:val="00204DF0"/>
    <w:rsid w:val="0020793B"/>
    <w:rsid w:val="002101CA"/>
    <w:rsid w:val="002147E0"/>
    <w:rsid w:val="00220B8A"/>
    <w:rsid w:val="002226DD"/>
    <w:rsid w:val="002257F3"/>
    <w:rsid w:val="0023267B"/>
    <w:rsid w:val="00233456"/>
    <w:rsid w:val="002339A5"/>
    <w:rsid w:val="00236140"/>
    <w:rsid w:val="00240781"/>
    <w:rsid w:val="00242707"/>
    <w:rsid w:val="0024433E"/>
    <w:rsid w:val="002445F4"/>
    <w:rsid w:val="002458D4"/>
    <w:rsid w:val="00245CF3"/>
    <w:rsid w:val="00247223"/>
    <w:rsid w:val="0025120A"/>
    <w:rsid w:val="0025660C"/>
    <w:rsid w:val="00257138"/>
    <w:rsid w:val="00257848"/>
    <w:rsid w:val="00267925"/>
    <w:rsid w:val="0027084A"/>
    <w:rsid w:val="00275590"/>
    <w:rsid w:val="00275949"/>
    <w:rsid w:val="00286434"/>
    <w:rsid w:val="00286C59"/>
    <w:rsid w:val="002929C2"/>
    <w:rsid w:val="00292BB3"/>
    <w:rsid w:val="002942D1"/>
    <w:rsid w:val="002A0556"/>
    <w:rsid w:val="002A3961"/>
    <w:rsid w:val="002A5857"/>
    <w:rsid w:val="002A5F56"/>
    <w:rsid w:val="002A6836"/>
    <w:rsid w:val="002A6E38"/>
    <w:rsid w:val="002B0E0E"/>
    <w:rsid w:val="002B1638"/>
    <w:rsid w:val="002B3304"/>
    <w:rsid w:val="002C07AF"/>
    <w:rsid w:val="002C1418"/>
    <w:rsid w:val="002C383A"/>
    <w:rsid w:val="002C43C3"/>
    <w:rsid w:val="002C48BF"/>
    <w:rsid w:val="002C6D34"/>
    <w:rsid w:val="002D0B05"/>
    <w:rsid w:val="002E430E"/>
    <w:rsid w:val="002E4C9A"/>
    <w:rsid w:val="002E5C31"/>
    <w:rsid w:val="002E69BE"/>
    <w:rsid w:val="002F11F8"/>
    <w:rsid w:val="002F17A8"/>
    <w:rsid w:val="002F3F56"/>
    <w:rsid w:val="002F4243"/>
    <w:rsid w:val="002F44B5"/>
    <w:rsid w:val="002F53E0"/>
    <w:rsid w:val="00302504"/>
    <w:rsid w:val="00303CBB"/>
    <w:rsid w:val="0030508C"/>
    <w:rsid w:val="003055BD"/>
    <w:rsid w:val="00311AC0"/>
    <w:rsid w:val="00314331"/>
    <w:rsid w:val="00316F8D"/>
    <w:rsid w:val="003208A0"/>
    <w:rsid w:val="003251D0"/>
    <w:rsid w:val="003261C8"/>
    <w:rsid w:val="00326D8B"/>
    <w:rsid w:val="00331DBB"/>
    <w:rsid w:val="00334439"/>
    <w:rsid w:val="00335BEC"/>
    <w:rsid w:val="003367E4"/>
    <w:rsid w:val="00343736"/>
    <w:rsid w:val="00346F36"/>
    <w:rsid w:val="003521E8"/>
    <w:rsid w:val="00352A2E"/>
    <w:rsid w:val="00353AC2"/>
    <w:rsid w:val="003555D7"/>
    <w:rsid w:val="00356F04"/>
    <w:rsid w:val="00360648"/>
    <w:rsid w:val="00360DFD"/>
    <w:rsid w:val="0036210E"/>
    <w:rsid w:val="00362473"/>
    <w:rsid w:val="00362F16"/>
    <w:rsid w:val="003662D5"/>
    <w:rsid w:val="003664BF"/>
    <w:rsid w:val="0036683E"/>
    <w:rsid w:val="0036794C"/>
    <w:rsid w:val="0037036E"/>
    <w:rsid w:val="0037215C"/>
    <w:rsid w:val="003728F3"/>
    <w:rsid w:val="00373D31"/>
    <w:rsid w:val="00374812"/>
    <w:rsid w:val="00375892"/>
    <w:rsid w:val="00376005"/>
    <w:rsid w:val="00376AE4"/>
    <w:rsid w:val="0038110B"/>
    <w:rsid w:val="00383394"/>
    <w:rsid w:val="00384C7C"/>
    <w:rsid w:val="00386152"/>
    <w:rsid w:val="00390900"/>
    <w:rsid w:val="003964E2"/>
    <w:rsid w:val="003A0110"/>
    <w:rsid w:val="003A0B29"/>
    <w:rsid w:val="003A0B68"/>
    <w:rsid w:val="003A19BA"/>
    <w:rsid w:val="003A48A2"/>
    <w:rsid w:val="003B1FAD"/>
    <w:rsid w:val="003B3601"/>
    <w:rsid w:val="003B629A"/>
    <w:rsid w:val="003B6E20"/>
    <w:rsid w:val="003B7E39"/>
    <w:rsid w:val="003C04B2"/>
    <w:rsid w:val="003C1BBB"/>
    <w:rsid w:val="003C58DC"/>
    <w:rsid w:val="003C62FC"/>
    <w:rsid w:val="003C7673"/>
    <w:rsid w:val="003D1DEC"/>
    <w:rsid w:val="003D26B4"/>
    <w:rsid w:val="003D497F"/>
    <w:rsid w:val="003D5D86"/>
    <w:rsid w:val="003E0E6A"/>
    <w:rsid w:val="003E1945"/>
    <w:rsid w:val="003E2889"/>
    <w:rsid w:val="003E3208"/>
    <w:rsid w:val="003E32D6"/>
    <w:rsid w:val="003E33D4"/>
    <w:rsid w:val="003E3CA3"/>
    <w:rsid w:val="003E7390"/>
    <w:rsid w:val="003F0B04"/>
    <w:rsid w:val="003F3092"/>
    <w:rsid w:val="003F3095"/>
    <w:rsid w:val="003F48DD"/>
    <w:rsid w:val="003F626B"/>
    <w:rsid w:val="0040134E"/>
    <w:rsid w:val="00402EF6"/>
    <w:rsid w:val="00403ACE"/>
    <w:rsid w:val="00403D3E"/>
    <w:rsid w:val="00404AD5"/>
    <w:rsid w:val="0040598C"/>
    <w:rsid w:val="0040726C"/>
    <w:rsid w:val="004072A5"/>
    <w:rsid w:val="00410730"/>
    <w:rsid w:val="00411710"/>
    <w:rsid w:val="0041244F"/>
    <w:rsid w:val="00412E40"/>
    <w:rsid w:val="00414BA2"/>
    <w:rsid w:val="00421B7E"/>
    <w:rsid w:val="00423F10"/>
    <w:rsid w:val="004247DA"/>
    <w:rsid w:val="004302D7"/>
    <w:rsid w:val="0043074F"/>
    <w:rsid w:val="00430AAA"/>
    <w:rsid w:val="00432CDD"/>
    <w:rsid w:val="00433211"/>
    <w:rsid w:val="00435B13"/>
    <w:rsid w:val="00436C41"/>
    <w:rsid w:val="004407B2"/>
    <w:rsid w:val="00440A2D"/>
    <w:rsid w:val="004422DF"/>
    <w:rsid w:val="00442471"/>
    <w:rsid w:val="004432FB"/>
    <w:rsid w:val="004446E3"/>
    <w:rsid w:val="004454B4"/>
    <w:rsid w:val="0044552B"/>
    <w:rsid w:val="0044589C"/>
    <w:rsid w:val="0044722D"/>
    <w:rsid w:val="0044785B"/>
    <w:rsid w:val="00455ECA"/>
    <w:rsid w:val="004562FD"/>
    <w:rsid w:val="004564A7"/>
    <w:rsid w:val="00457FE3"/>
    <w:rsid w:val="00460CFB"/>
    <w:rsid w:val="004617BF"/>
    <w:rsid w:val="004618AB"/>
    <w:rsid w:val="00461999"/>
    <w:rsid w:val="00464DFB"/>
    <w:rsid w:val="0046516E"/>
    <w:rsid w:val="004658BC"/>
    <w:rsid w:val="00470EC2"/>
    <w:rsid w:val="00471B9C"/>
    <w:rsid w:val="00472080"/>
    <w:rsid w:val="00484BAB"/>
    <w:rsid w:val="00485BFD"/>
    <w:rsid w:val="00487716"/>
    <w:rsid w:val="00491DE5"/>
    <w:rsid w:val="004923FF"/>
    <w:rsid w:val="0049395D"/>
    <w:rsid w:val="00494E60"/>
    <w:rsid w:val="004970FD"/>
    <w:rsid w:val="004A2400"/>
    <w:rsid w:val="004A6F05"/>
    <w:rsid w:val="004B21D7"/>
    <w:rsid w:val="004B2BD3"/>
    <w:rsid w:val="004B32D0"/>
    <w:rsid w:val="004B545E"/>
    <w:rsid w:val="004B6701"/>
    <w:rsid w:val="004B7B76"/>
    <w:rsid w:val="004C0070"/>
    <w:rsid w:val="004C241F"/>
    <w:rsid w:val="004C3BFD"/>
    <w:rsid w:val="004C4791"/>
    <w:rsid w:val="004C60B4"/>
    <w:rsid w:val="004D51A6"/>
    <w:rsid w:val="004D6739"/>
    <w:rsid w:val="004D722C"/>
    <w:rsid w:val="004E5523"/>
    <w:rsid w:val="004E7792"/>
    <w:rsid w:val="004F0F38"/>
    <w:rsid w:val="004F4580"/>
    <w:rsid w:val="005009C0"/>
    <w:rsid w:val="00501179"/>
    <w:rsid w:val="00501921"/>
    <w:rsid w:val="00501CBA"/>
    <w:rsid w:val="005042C1"/>
    <w:rsid w:val="005153D2"/>
    <w:rsid w:val="005164BD"/>
    <w:rsid w:val="005168C9"/>
    <w:rsid w:val="00516E40"/>
    <w:rsid w:val="00520F6C"/>
    <w:rsid w:val="00521BEF"/>
    <w:rsid w:val="005220E5"/>
    <w:rsid w:val="005221E1"/>
    <w:rsid w:val="005261E2"/>
    <w:rsid w:val="005274DA"/>
    <w:rsid w:val="005302F5"/>
    <w:rsid w:val="00530354"/>
    <w:rsid w:val="00533970"/>
    <w:rsid w:val="00534871"/>
    <w:rsid w:val="00535209"/>
    <w:rsid w:val="0053538C"/>
    <w:rsid w:val="0053781A"/>
    <w:rsid w:val="00541352"/>
    <w:rsid w:val="0054163A"/>
    <w:rsid w:val="005434C6"/>
    <w:rsid w:val="00543B39"/>
    <w:rsid w:val="00550096"/>
    <w:rsid w:val="00551F1D"/>
    <w:rsid w:val="00552DB2"/>
    <w:rsid w:val="005540F9"/>
    <w:rsid w:val="005541C0"/>
    <w:rsid w:val="005573B7"/>
    <w:rsid w:val="005576C9"/>
    <w:rsid w:val="00557FF9"/>
    <w:rsid w:val="00560BAF"/>
    <w:rsid w:val="00560DA0"/>
    <w:rsid w:val="00561B1B"/>
    <w:rsid w:val="005729B0"/>
    <w:rsid w:val="00575A6D"/>
    <w:rsid w:val="00576378"/>
    <w:rsid w:val="00577E38"/>
    <w:rsid w:val="005824DB"/>
    <w:rsid w:val="0058315B"/>
    <w:rsid w:val="00585069"/>
    <w:rsid w:val="00585322"/>
    <w:rsid w:val="0058774D"/>
    <w:rsid w:val="00591975"/>
    <w:rsid w:val="00593AD1"/>
    <w:rsid w:val="005940B2"/>
    <w:rsid w:val="005955CF"/>
    <w:rsid w:val="00597B50"/>
    <w:rsid w:val="005A1131"/>
    <w:rsid w:val="005A3F2F"/>
    <w:rsid w:val="005A5916"/>
    <w:rsid w:val="005A5A5E"/>
    <w:rsid w:val="005A6611"/>
    <w:rsid w:val="005A719E"/>
    <w:rsid w:val="005B1DEF"/>
    <w:rsid w:val="005B57F9"/>
    <w:rsid w:val="005C03F2"/>
    <w:rsid w:val="005C0499"/>
    <w:rsid w:val="005C1D90"/>
    <w:rsid w:val="005C22EA"/>
    <w:rsid w:val="005C2732"/>
    <w:rsid w:val="005C2FB2"/>
    <w:rsid w:val="005C3414"/>
    <w:rsid w:val="005C5570"/>
    <w:rsid w:val="005C6864"/>
    <w:rsid w:val="005C6D87"/>
    <w:rsid w:val="005C79A4"/>
    <w:rsid w:val="005C7B9B"/>
    <w:rsid w:val="005D060C"/>
    <w:rsid w:val="005D16DC"/>
    <w:rsid w:val="005D4E06"/>
    <w:rsid w:val="005D5442"/>
    <w:rsid w:val="005E1A89"/>
    <w:rsid w:val="005E319B"/>
    <w:rsid w:val="005E3393"/>
    <w:rsid w:val="005E5885"/>
    <w:rsid w:val="005E6395"/>
    <w:rsid w:val="005F3EA0"/>
    <w:rsid w:val="00601594"/>
    <w:rsid w:val="00601FD3"/>
    <w:rsid w:val="0060581D"/>
    <w:rsid w:val="00612B30"/>
    <w:rsid w:val="006131AB"/>
    <w:rsid w:val="00613211"/>
    <w:rsid w:val="006132E8"/>
    <w:rsid w:val="006210F2"/>
    <w:rsid w:val="0062266E"/>
    <w:rsid w:val="00623676"/>
    <w:rsid w:val="006238C7"/>
    <w:rsid w:val="00623F1E"/>
    <w:rsid w:val="00632D4C"/>
    <w:rsid w:val="0063506D"/>
    <w:rsid w:val="006352D8"/>
    <w:rsid w:val="00636BF1"/>
    <w:rsid w:val="006400CB"/>
    <w:rsid w:val="00640FC3"/>
    <w:rsid w:val="006418AF"/>
    <w:rsid w:val="00642020"/>
    <w:rsid w:val="00650434"/>
    <w:rsid w:val="00651316"/>
    <w:rsid w:val="00652CEE"/>
    <w:rsid w:val="0065337B"/>
    <w:rsid w:val="0065419D"/>
    <w:rsid w:val="006604D8"/>
    <w:rsid w:val="00664A5B"/>
    <w:rsid w:val="006664CB"/>
    <w:rsid w:val="00667942"/>
    <w:rsid w:val="00670774"/>
    <w:rsid w:val="006733CD"/>
    <w:rsid w:val="00674BA2"/>
    <w:rsid w:val="00677050"/>
    <w:rsid w:val="00677AFB"/>
    <w:rsid w:val="006804A8"/>
    <w:rsid w:val="00680C08"/>
    <w:rsid w:val="0068543D"/>
    <w:rsid w:val="00686C19"/>
    <w:rsid w:val="0068741A"/>
    <w:rsid w:val="00691DBE"/>
    <w:rsid w:val="006931B1"/>
    <w:rsid w:val="006A15C0"/>
    <w:rsid w:val="006A1DC0"/>
    <w:rsid w:val="006A4C0D"/>
    <w:rsid w:val="006A64F4"/>
    <w:rsid w:val="006A7FD9"/>
    <w:rsid w:val="006B1BCF"/>
    <w:rsid w:val="006B3B74"/>
    <w:rsid w:val="006B3CF2"/>
    <w:rsid w:val="006B6853"/>
    <w:rsid w:val="006C0A51"/>
    <w:rsid w:val="006C1A83"/>
    <w:rsid w:val="006C1AD9"/>
    <w:rsid w:val="006C1F3B"/>
    <w:rsid w:val="006C3E2A"/>
    <w:rsid w:val="006C450D"/>
    <w:rsid w:val="006C57B7"/>
    <w:rsid w:val="006C642F"/>
    <w:rsid w:val="006D03E5"/>
    <w:rsid w:val="006D08C1"/>
    <w:rsid w:val="006D5D3E"/>
    <w:rsid w:val="006D6A23"/>
    <w:rsid w:val="006D7DBC"/>
    <w:rsid w:val="006E08B3"/>
    <w:rsid w:val="006E5071"/>
    <w:rsid w:val="006E5916"/>
    <w:rsid w:val="006E7276"/>
    <w:rsid w:val="006F01FE"/>
    <w:rsid w:val="006F1A67"/>
    <w:rsid w:val="006F572E"/>
    <w:rsid w:val="006F65A9"/>
    <w:rsid w:val="007046D6"/>
    <w:rsid w:val="00705DB0"/>
    <w:rsid w:val="00706175"/>
    <w:rsid w:val="00706AFE"/>
    <w:rsid w:val="007105C8"/>
    <w:rsid w:val="00711BAE"/>
    <w:rsid w:val="007127A7"/>
    <w:rsid w:val="00717545"/>
    <w:rsid w:val="00717B5D"/>
    <w:rsid w:val="007218DC"/>
    <w:rsid w:val="007249F8"/>
    <w:rsid w:val="0072711D"/>
    <w:rsid w:val="0073205A"/>
    <w:rsid w:val="00732B06"/>
    <w:rsid w:val="0073345D"/>
    <w:rsid w:val="00736B85"/>
    <w:rsid w:val="00736EFA"/>
    <w:rsid w:val="00737627"/>
    <w:rsid w:val="0074253D"/>
    <w:rsid w:val="00742A93"/>
    <w:rsid w:val="0074429B"/>
    <w:rsid w:val="007477F8"/>
    <w:rsid w:val="00750368"/>
    <w:rsid w:val="007524C1"/>
    <w:rsid w:val="007560C5"/>
    <w:rsid w:val="007615BC"/>
    <w:rsid w:val="00761AA7"/>
    <w:rsid w:val="00762F05"/>
    <w:rsid w:val="007637F0"/>
    <w:rsid w:val="00763BB7"/>
    <w:rsid w:val="00763C79"/>
    <w:rsid w:val="007652FF"/>
    <w:rsid w:val="00765C7B"/>
    <w:rsid w:val="00766729"/>
    <w:rsid w:val="00766888"/>
    <w:rsid w:val="00771329"/>
    <w:rsid w:val="00773EF7"/>
    <w:rsid w:val="007748DC"/>
    <w:rsid w:val="00774E1D"/>
    <w:rsid w:val="0077675A"/>
    <w:rsid w:val="00780355"/>
    <w:rsid w:val="00781652"/>
    <w:rsid w:val="00782870"/>
    <w:rsid w:val="00783116"/>
    <w:rsid w:val="00784124"/>
    <w:rsid w:val="00785721"/>
    <w:rsid w:val="00786529"/>
    <w:rsid w:val="007907BF"/>
    <w:rsid w:val="00793A59"/>
    <w:rsid w:val="00794519"/>
    <w:rsid w:val="007954D4"/>
    <w:rsid w:val="00797C67"/>
    <w:rsid w:val="007A2162"/>
    <w:rsid w:val="007A2B0B"/>
    <w:rsid w:val="007A58C5"/>
    <w:rsid w:val="007B0412"/>
    <w:rsid w:val="007B0A15"/>
    <w:rsid w:val="007B1ED1"/>
    <w:rsid w:val="007B5DF5"/>
    <w:rsid w:val="007B7F38"/>
    <w:rsid w:val="007C0F3D"/>
    <w:rsid w:val="007C1AF7"/>
    <w:rsid w:val="007D2CFA"/>
    <w:rsid w:val="007D31C7"/>
    <w:rsid w:val="007D404B"/>
    <w:rsid w:val="007D4385"/>
    <w:rsid w:val="007D4C53"/>
    <w:rsid w:val="007D7B54"/>
    <w:rsid w:val="007E29E1"/>
    <w:rsid w:val="007E3E3E"/>
    <w:rsid w:val="007E4DCE"/>
    <w:rsid w:val="007E662C"/>
    <w:rsid w:val="007F0E27"/>
    <w:rsid w:val="007F24A6"/>
    <w:rsid w:val="008030CD"/>
    <w:rsid w:val="00804357"/>
    <w:rsid w:val="0080449A"/>
    <w:rsid w:val="00811949"/>
    <w:rsid w:val="00812029"/>
    <w:rsid w:val="008122AC"/>
    <w:rsid w:val="00813E46"/>
    <w:rsid w:val="0081409B"/>
    <w:rsid w:val="00817471"/>
    <w:rsid w:val="00821776"/>
    <w:rsid w:val="00826007"/>
    <w:rsid w:val="0082653E"/>
    <w:rsid w:val="008266E2"/>
    <w:rsid w:val="0083209C"/>
    <w:rsid w:val="008321F5"/>
    <w:rsid w:val="00832369"/>
    <w:rsid w:val="00832486"/>
    <w:rsid w:val="0083329F"/>
    <w:rsid w:val="00834660"/>
    <w:rsid w:val="008357ED"/>
    <w:rsid w:val="00835953"/>
    <w:rsid w:val="00836BC2"/>
    <w:rsid w:val="0084109D"/>
    <w:rsid w:val="008423DC"/>
    <w:rsid w:val="00846E23"/>
    <w:rsid w:val="0085641B"/>
    <w:rsid w:val="00857136"/>
    <w:rsid w:val="008617CA"/>
    <w:rsid w:val="008702B3"/>
    <w:rsid w:val="008707DF"/>
    <w:rsid w:val="00871E49"/>
    <w:rsid w:val="00872807"/>
    <w:rsid w:val="00876EAC"/>
    <w:rsid w:val="0088186A"/>
    <w:rsid w:val="00881EA0"/>
    <w:rsid w:val="0088496A"/>
    <w:rsid w:val="0088678E"/>
    <w:rsid w:val="0089037D"/>
    <w:rsid w:val="0089392A"/>
    <w:rsid w:val="00893C5D"/>
    <w:rsid w:val="00896018"/>
    <w:rsid w:val="00896E1F"/>
    <w:rsid w:val="008A00FE"/>
    <w:rsid w:val="008A2B9D"/>
    <w:rsid w:val="008A2D18"/>
    <w:rsid w:val="008A5E0B"/>
    <w:rsid w:val="008A69D0"/>
    <w:rsid w:val="008A6A7F"/>
    <w:rsid w:val="008A6B96"/>
    <w:rsid w:val="008A6D59"/>
    <w:rsid w:val="008B0015"/>
    <w:rsid w:val="008B24F1"/>
    <w:rsid w:val="008B2B27"/>
    <w:rsid w:val="008B4B03"/>
    <w:rsid w:val="008B596F"/>
    <w:rsid w:val="008B7C43"/>
    <w:rsid w:val="008C0C69"/>
    <w:rsid w:val="008C159F"/>
    <w:rsid w:val="008C1623"/>
    <w:rsid w:val="008C2B58"/>
    <w:rsid w:val="008C51A9"/>
    <w:rsid w:val="008C5225"/>
    <w:rsid w:val="008C5507"/>
    <w:rsid w:val="008C7E46"/>
    <w:rsid w:val="008D0620"/>
    <w:rsid w:val="008D1076"/>
    <w:rsid w:val="008D1287"/>
    <w:rsid w:val="008D3724"/>
    <w:rsid w:val="008D3FCE"/>
    <w:rsid w:val="008D67F7"/>
    <w:rsid w:val="008D7BD4"/>
    <w:rsid w:val="008E3A15"/>
    <w:rsid w:val="008E6463"/>
    <w:rsid w:val="008F1CCC"/>
    <w:rsid w:val="008F2967"/>
    <w:rsid w:val="008F2AD4"/>
    <w:rsid w:val="008F4A62"/>
    <w:rsid w:val="008F57B4"/>
    <w:rsid w:val="008F5FB9"/>
    <w:rsid w:val="00905E24"/>
    <w:rsid w:val="00910FAA"/>
    <w:rsid w:val="0091165D"/>
    <w:rsid w:val="00915525"/>
    <w:rsid w:val="00915611"/>
    <w:rsid w:val="00915B4A"/>
    <w:rsid w:val="00917AB4"/>
    <w:rsid w:val="00920330"/>
    <w:rsid w:val="009207ED"/>
    <w:rsid w:val="00920FF4"/>
    <w:rsid w:val="009219D7"/>
    <w:rsid w:val="00922D53"/>
    <w:rsid w:val="00923B70"/>
    <w:rsid w:val="0092465F"/>
    <w:rsid w:val="00924FB8"/>
    <w:rsid w:val="00925333"/>
    <w:rsid w:val="00925D0B"/>
    <w:rsid w:val="0092600B"/>
    <w:rsid w:val="00926BE5"/>
    <w:rsid w:val="00926F1C"/>
    <w:rsid w:val="00930237"/>
    <w:rsid w:val="0093026A"/>
    <w:rsid w:val="009310B4"/>
    <w:rsid w:val="009335F2"/>
    <w:rsid w:val="0093749E"/>
    <w:rsid w:val="00942751"/>
    <w:rsid w:val="00943A3F"/>
    <w:rsid w:val="00944B14"/>
    <w:rsid w:val="00945041"/>
    <w:rsid w:val="009468C6"/>
    <w:rsid w:val="00951677"/>
    <w:rsid w:val="00952C3D"/>
    <w:rsid w:val="00953EA8"/>
    <w:rsid w:val="00955A46"/>
    <w:rsid w:val="009628B7"/>
    <w:rsid w:val="0096330F"/>
    <w:rsid w:val="00963C08"/>
    <w:rsid w:val="00963C0D"/>
    <w:rsid w:val="00966970"/>
    <w:rsid w:val="00967416"/>
    <w:rsid w:val="00967C5A"/>
    <w:rsid w:val="00970367"/>
    <w:rsid w:val="009741DD"/>
    <w:rsid w:val="009752DD"/>
    <w:rsid w:val="00975379"/>
    <w:rsid w:val="00981AC6"/>
    <w:rsid w:val="00981D0A"/>
    <w:rsid w:val="00982281"/>
    <w:rsid w:val="009835B6"/>
    <w:rsid w:val="009844BA"/>
    <w:rsid w:val="00984CAD"/>
    <w:rsid w:val="00987D65"/>
    <w:rsid w:val="009927F3"/>
    <w:rsid w:val="00993AB0"/>
    <w:rsid w:val="009A190E"/>
    <w:rsid w:val="009A4825"/>
    <w:rsid w:val="009A4CED"/>
    <w:rsid w:val="009B00CC"/>
    <w:rsid w:val="009B1D12"/>
    <w:rsid w:val="009B20A0"/>
    <w:rsid w:val="009B2B3C"/>
    <w:rsid w:val="009B3475"/>
    <w:rsid w:val="009B416B"/>
    <w:rsid w:val="009B6348"/>
    <w:rsid w:val="009C0B70"/>
    <w:rsid w:val="009C20AB"/>
    <w:rsid w:val="009C25FD"/>
    <w:rsid w:val="009C4BD5"/>
    <w:rsid w:val="009C5F04"/>
    <w:rsid w:val="009C683C"/>
    <w:rsid w:val="009D0801"/>
    <w:rsid w:val="009D0A6D"/>
    <w:rsid w:val="009D0B0D"/>
    <w:rsid w:val="009D0DC8"/>
    <w:rsid w:val="009D2144"/>
    <w:rsid w:val="009D2E04"/>
    <w:rsid w:val="009D3CE6"/>
    <w:rsid w:val="009D7B77"/>
    <w:rsid w:val="009E0BB0"/>
    <w:rsid w:val="009E37F8"/>
    <w:rsid w:val="009E3FBB"/>
    <w:rsid w:val="009F018D"/>
    <w:rsid w:val="009F01FD"/>
    <w:rsid w:val="009F207B"/>
    <w:rsid w:val="009F20E4"/>
    <w:rsid w:val="00A0156E"/>
    <w:rsid w:val="00A10C68"/>
    <w:rsid w:val="00A1235B"/>
    <w:rsid w:val="00A14DF7"/>
    <w:rsid w:val="00A15696"/>
    <w:rsid w:val="00A175C7"/>
    <w:rsid w:val="00A22E19"/>
    <w:rsid w:val="00A27B10"/>
    <w:rsid w:val="00A31294"/>
    <w:rsid w:val="00A3246D"/>
    <w:rsid w:val="00A32C51"/>
    <w:rsid w:val="00A342E4"/>
    <w:rsid w:val="00A34862"/>
    <w:rsid w:val="00A36302"/>
    <w:rsid w:val="00A36E8D"/>
    <w:rsid w:val="00A36FA7"/>
    <w:rsid w:val="00A40944"/>
    <w:rsid w:val="00A41E88"/>
    <w:rsid w:val="00A432AC"/>
    <w:rsid w:val="00A46A96"/>
    <w:rsid w:val="00A47209"/>
    <w:rsid w:val="00A475B7"/>
    <w:rsid w:val="00A47AF7"/>
    <w:rsid w:val="00A47C3E"/>
    <w:rsid w:val="00A50226"/>
    <w:rsid w:val="00A50992"/>
    <w:rsid w:val="00A534F1"/>
    <w:rsid w:val="00A56755"/>
    <w:rsid w:val="00A57506"/>
    <w:rsid w:val="00A60BAD"/>
    <w:rsid w:val="00A73339"/>
    <w:rsid w:val="00A737A1"/>
    <w:rsid w:val="00A73A8D"/>
    <w:rsid w:val="00A77C79"/>
    <w:rsid w:val="00A8051A"/>
    <w:rsid w:val="00A806AE"/>
    <w:rsid w:val="00A84DB4"/>
    <w:rsid w:val="00A8571D"/>
    <w:rsid w:val="00A87334"/>
    <w:rsid w:val="00A92E6D"/>
    <w:rsid w:val="00A934D5"/>
    <w:rsid w:val="00A9388C"/>
    <w:rsid w:val="00A957C4"/>
    <w:rsid w:val="00AA34FC"/>
    <w:rsid w:val="00AB201E"/>
    <w:rsid w:val="00AB3F92"/>
    <w:rsid w:val="00AB42C4"/>
    <w:rsid w:val="00AB581C"/>
    <w:rsid w:val="00AB5C96"/>
    <w:rsid w:val="00AC262B"/>
    <w:rsid w:val="00AC2B40"/>
    <w:rsid w:val="00AC2BB2"/>
    <w:rsid w:val="00AC2C3C"/>
    <w:rsid w:val="00AC3BD9"/>
    <w:rsid w:val="00AC44FA"/>
    <w:rsid w:val="00AC54D1"/>
    <w:rsid w:val="00AC6EBE"/>
    <w:rsid w:val="00AD4722"/>
    <w:rsid w:val="00AD58C6"/>
    <w:rsid w:val="00AD7E78"/>
    <w:rsid w:val="00AE2270"/>
    <w:rsid w:val="00AE2576"/>
    <w:rsid w:val="00AE2868"/>
    <w:rsid w:val="00AE4205"/>
    <w:rsid w:val="00AE6155"/>
    <w:rsid w:val="00AE65EB"/>
    <w:rsid w:val="00AE670F"/>
    <w:rsid w:val="00AF1D94"/>
    <w:rsid w:val="00AF27F0"/>
    <w:rsid w:val="00AF316D"/>
    <w:rsid w:val="00AF3A8C"/>
    <w:rsid w:val="00AF60C5"/>
    <w:rsid w:val="00B009C6"/>
    <w:rsid w:val="00B01548"/>
    <w:rsid w:val="00B05676"/>
    <w:rsid w:val="00B1100F"/>
    <w:rsid w:val="00B138BE"/>
    <w:rsid w:val="00B1461C"/>
    <w:rsid w:val="00B15AE2"/>
    <w:rsid w:val="00B15C1C"/>
    <w:rsid w:val="00B17A0B"/>
    <w:rsid w:val="00B17CB3"/>
    <w:rsid w:val="00B21A74"/>
    <w:rsid w:val="00B21D29"/>
    <w:rsid w:val="00B21FC5"/>
    <w:rsid w:val="00B25034"/>
    <w:rsid w:val="00B27B29"/>
    <w:rsid w:val="00B27EA3"/>
    <w:rsid w:val="00B325C7"/>
    <w:rsid w:val="00B33863"/>
    <w:rsid w:val="00B34F51"/>
    <w:rsid w:val="00B37D17"/>
    <w:rsid w:val="00B4175E"/>
    <w:rsid w:val="00B41A79"/>
    <w:rsid w:val="00B4454F"/>
    <w:rsid w:val="00B50EE7"/>
    <w:rsid w:val="00B510E1"/>
    <w:rsid w:val="00B54C25"/>
    <w:rsid w:val="00B55E71"/>
    <w:rsid w:val="00B57049"/>
    <w:rsid w:val="00B572B2"/>
    <w:rsid w:val="00B60801"/>
    <w:rsid w:val="00B617EA"/>
    <w:rsid w:val="00B6409A"/>
    <w:rsid w:val="00B64D4A"/>
    <w:rsid w:val="00B665FD"/>
    <w:rsid w:val="00B6677B"/>
    <w:rsid w:val="00B71B18"/>
    <w:rsid w:val="00B7359B"/>
    <w:rsid w:val="00B7672F"/>
    <w:rsid w:val="00B76B91"/>
    <w:rsid w:val="00B803DC"/>
    <w:rsid w:val="00B83FC7"/>
    <w:rsid w:val="00B8473E"/>
    <w:rsid w:val="00B86F81"/>
    <w:rsid w:val="00B929EB"/>
    <w:rsid w:val="00B94276"/>
    <w:rsid w:val="00B94618"/>
    <w:rsid w:val="00B978A9"/>
    <w:rsid w:val="00BA046F"/>
    <w:rsid w:val="00BA1B35"/>
    <w:rsid w:val="00BB0BD8"/>
    <w:rsid w:val="00BB538A"/>
    <w:rsid w:val="00BB616F"/>
    <w:rsid w:val="00BB6DFC"/>
    <w:rsid w:val="00BB7F56"/>
    <w:rsid w:val="00BC1CAB"/>
    <w:rsid w:val="00BC2009"/>
    <w:rsid w:val="00BC50DB"/>
    <w:rsid w:val="00BC526C"/>
    <w:rsid w:val="00BC5AC3"/>
    <w:rsid w:val="00BC5AE6"/>
    <w:rsid w:val="00BC622A"/>
    <w:rsid w:val="00BD13A7"/>
    <w:rsid w:val="00BD48EC"/>
    <w:rsid w:val="00BE0A78"/>
    <w:rsid w:val="00BE79F0"/>
    <w:rsid w:val="00BF046D"/>
    <w:rsid w:val="00BF46E4"/>
    <w:rsid w:val="00BF5385"/>
    <w:rsid w:val="00BF5D04"/>
    <w:rsid w:val="00BF6D2F"/>
    <w:rsid w:val="00C007D3"/>
    <w:rsid w:val="00C019E6"/>
    <w:rsid w:val="00C0357E"/>
    <w:rsid w:val="00C1305B"/>
    <w:rsid w:val="00C13563"/>
    <w:rsid w:val="00C16CCE"/>
    <w:rsid w:val="00C17E00"/>
    <w:rsid w:val="00C24035"/>
    <w:rsid w:val="00C25FC2"/>
    <w:rsid w:val="00C31D44"/>
    <w:rsid w:val="00C32A88"/>
    <w:rsid w:val="00C33FDE"/>
    <w:rsid w:val="00C3534F"/>
    <w:rsid w:val="00C3536F"/>
    <w:rsid w:val="00C364D5"/>
    <w:rsid w:val="00C36810"/>
    <w:rsid w:val="00C404A6"/>
    <w:rsid w:val="00C40A36"/>
    <w:rsid w:val="00C434EA"/>
    <w:rsid w:val="00C44419"/>
    <w:rsid w:val="00C45E7B"/>
    <w:rsid w:val="00C471B1"/>
    <w:rsid w:val="00C54222"/>
    <w:rsid w:val="00C545D9"/>
    <w:rsid w:val="00C55437"/>
    <w:rsid w:val="00C55C1A"/>
    <w:rsid w:val="00C6204C"/>
    <w:rsid w:val="00C6316B"/>
    <w:rsid w:val="00C634A9"/>
    <w:rsid w:val="00C6376F"/>
    <w:rsid w:val="00C651B1"/>
    <w:rsid w:val="00C669EE"/>
    <w:rsid w:val="00C73315"/>
    <w:rsid w:val="00C741A3"/>
    <w:rsid w:val="00C74DD6"/>
    <w:rsid w:val="00C7633D"/>
    <w:rsid w:val="00C76E42"/>
    <w:rsid w:val="00C772FF"/>
    <w:rsid w:val="00C801AF"/>
    <w:rsid w:val="00C80256"/>
    <w:rsid w:val="00C81696"/>
    <w:rsid w:val="00C836D5"/>
    <w:rsid w:val="00C86C30"/>
    <w:rsid w:val="00C87CA5"/>
    <w:rsid w:val="00C93228"/>
    <w:rsid w:val="00C94239"/>
    <w:rsid w:val="00C952E0"/>
    <w:rsid w:val="00C95D76"/>
    <w:rsid w:val="00CA068B"/>
    <w:rsid w:val="00CA0F79"/>
    <w:rsid w:val="00CA3A38"/>
    <w:rsid w:val="00CA62E0"/>
    <w:rsid w:val="00CA774E"/>
    <w:rsid w:val="00CA7F35"/>
    <w:rsid w:val="00CA7F45"/>
    <w:rsid w:val="00CB27FE"/>
    <w:rsid w:val="00CB3FBA"/>
    <w:rsid w:val="00CB6BC0"/>
    <w:rsid w:val="00CC1B7C"/>
    <w:rsid w:val="00CC314F"/>
    <w:rsid w:val="00CC50DE"/>
    <w:rsid w:val="00CC727F"/>
    <w:rsid w:val="00CD6EB8"/>
    <w:rsid w:val="00CE5BB0"/>
    <w:rsid w:val="00CE5E4B"/>
    <w:rsid w:val="00CF15C3"/>
    <w:rsid w:val="00CF2B6F"/>
    <w:rsid w:val="00CF3BC4"/>
    <w:rsid w:val="00CF6340"/>
    <w:rsid w:val="00D017ED"/>
    <w:rsid w:val="00D02AD9"/>
    <w:rsid w:val="00D07496"/>
    <w:rsid w:val="00D07BFC"/>
    <w:rsid w:val="00D135F8"/>
    <w:rsid w:val="00D148B6"/>
    <w:rsid w:val="00D153B1"/>
    <w:rsid w:val="00D1617A"/>
    <w:rsid w:val="00D224FE"/>
    <w:rsid w:val="00D227F6"/>
    <w:rsid w:val="00D229BA"/>
    <w:rsid w:val="00D24C02"/>
    <w:rsid w:val="00D429C0"/>
    <w:rsid w:val="00D46E89"/>
    <w:rsid w:val="00D47415"/>
    <w:rsid w:val="00D51CD8"/>
    <w:rsid w:val="00D538EF"/>
    <w:rsid w:val="00D55A5F"/>
    <w:rsid w:val="00D624D6"/>
    <w:rsid w:val="00D63084"/>
    <w:rsid w:val="00D63F91"/>
    <w:rsid w:val="00D6493E"/>
    <w:rsid w:val="00D67BEF"/>
    <w:rsid w:val="00D72783"/>
    <w:rsid w:val="00D73C01"/>
    <w:rsid w:val="00D74637"/>
    <w:rsid w:val="00D763E2"/>
    <w:rsid w:val="00D80DD3"/>
    <w:rsid w:val="00D82F24"/>
    <w:rsid w:val="00D834EE"/>
    <w:rsid w:val="00D84A25"/>
    <w:rsid w:val="00D855AE"/>
    <w:rsid w:val="00D865C3"/>
    <w:rsid w:val="00D86C12"/>
    <w:rsid w:val="00D87F31"/>
    <w:rsid w:val="00D97D00"/>
    <w:rsid w:val="00DA0349"/>
    <w:rsid w:val="00DA1124"/>
    <w:rsid w:val="00DA24C7"/>
    <w:rsid w:val="00DA2BE7"/>
    <w:rsid w:val="00DA3BFE"/>
    <w:rsid w:val="00DA4C01"/>
    <w:rsid w:val="00DA5300"/>
    <w:rsid w:val="00DA5B9B"/>
    <w:rsid w:val="00DA7A0C"/>
    <w:rsid w:val="00DB33CF"/>
    <w:rsid w:val="00DB34F5"/>
    <w:rsid w:val="00DC38FE"/>
    <w:rsid w:val="00DC55B7"/>
    <w:rsid w:val="00DC7746"/>
    <w:rsid w:val="00DC79D6"/>
    <w:rsid w:val="00DC7EE4"/>
    <w:rsid w:val="00DD75A3"/>
    <w:rsid w:val="00DE02AE"/>
    <w:rsid w:val="00DE0362"/>
    <w:rsid w:val="00DE6A0C"/>
    <w:rsid w:val="00DE6C04"/>
    <w:rsid w:val="00DE73EF"/>
    <w:rsid w:val="00DE7E1F"/>
    <w:rsid w:val="00DF1D7F"/>
    <w:rsid w:val="00DF2F50"/>
    <w:rsid w:val="00DF560D"/>
    <w:rsid w:val="00E02FB4"/>
    <w:rsid w:val="00E05114"/>
    <w:rsid w:val="00E05B04"/>
    <w:rsid w:val="00E06A1B"/>
    <w:rsid w:val="00E1165A"/>
    <w:rsid w:val="00E1340C"/>
    <w:rsid w:val="00E2020C"/>
    <w:rsid w:val="00E20571"/>
    <w:rsid w:val="00E207D9"/>
    <w:rsid w:val="00E21651"/>
    <w:rsid w:val="00E235F7"/>
    <w:rsid w:val="00E239D4"/>
    <w:rsid w:val="00E23E3C"/>
    <w:rsid w:val="00E313A8"/>
    <w:rsid w:val="00E33EE0"/>
    <w:rsid w:val="00E369DD"/>
    <w:rsid w:val="00E40B22"/>
    <w:rsid w:val="00E40BD2"/>
    <w:rsid w:val="00E41AD2"/>
    <w:rsid w:val="00E42068"/>
    <w:rsid w:val="00E4307C"/>
    <w:rsid w:val="00E4588F"/>
    <w:rsid w:val="00E46DA3"/>
    <w:rsid w:val="00E476C8"/>
    <w:rsid w:val="00E540AF"/>
    <w:rsid w:val="00E57B71"/>
    <w:rsid w:val="00E61311"/>
    <w:rsid w:val="00E72FC4"/>
    <w:rsid w:val="00E738DA"/>
    <w:rsid w:val="00E81BC9"/>
    <w:rsid w:val="00E85439"/>
    <w:rsid w:val="00E85D5D"/>
    <w:rsid w:val="00E860E0"/>
    <w:rsid w:val="00E86A1F"/>
    <w:rsid w:val="00E8778C"/>
    <w:rsid w:val="00E9008E"/>
    <w:rsid w:val="00E9579B"/>
    <w:rsid w:val="00E97275"/>
    <w:rsid w:val="00EA0A0F"/>
    <w:rsid w:val="00EA16DE"/>
    <w:rsid w:val="00EA406B"/>
    <w:rsid w:val="00EA5776"/>
    <w:rsid w:val="00EB0798"/>
    <w:rsid w:val="00EB28AE"/>
    <w:rsid w:val="00EB2F97"/>
    <w:rsid w:val="00EB34F1"/>
    <w:rsid w:val="00EB40AD"/>
    <w:rsid w:val="00EB4571"/>
    <w:rsid w:val="00EB586E"/>
    <w:rsid w:val="00EB5FC8"/>
    <w:rsid w:val="00EB74A7"/>
    <w:rsid w:val="00EC384E"/>
    <w:rsid w:val="00EC4910"/>
    <w:rsid w:val="00EC580A"/>
    <w:rsid w:val="00ED5A41"/>
    <w:rsid w:val="00ED5D05"/>
    <w:rsid w:val="00ED6B23"/>
    <w:rsid w:val="00EE00CA"/>
    <w:rsid w:val="00EE2CC3"/>
    <w:rsid w:val="00EE3577"/>
    <w:rsid w:val="00EE6192"/>
    <w:rsid w:val="00EE6D74"/>
    <w:rsid w:val="00EF05A1"/>
    <w:rsid w:val="00EF1963"/>
    <w:rsid w:val="00EF3C6A"/>
    <w:rsid w:val="00EF4692"/>
    <w:rsid w:val="00EF578B"/>
    <w:rsid w:val="00EF750A"/>
    <w:rsid w:val="00EF7B95"/>
    <w:rsid w:val="00F033EC"/>
    <w:rsid w:val="00F0438D"/>
    <w:rsid w:val="00F049A1"/>
    <w:rsid w:val="00F04F68"/>
    <w:rsid w:val="00F10A73"/>
    <w:rsid w:val="00F10BD8"/>
    <w:rsid w:val="00F113CB"/>
    <w:rsid w:val="00F12670"/>
    <w:rsid w:val="00F14B27"/>
    <w:rsid w:val="00F20118"/>
    <w:rsid w:val="00F23105"/>
    <w:rsid w:val="00F25577"/>
    <w:rsid w:val="00F2700C"/>
    <w:rsid w:val="00F3148D"/>
    <w:rsid w:val="00F32D36"/>
    <w:rsid w:val="00F3509E"/>
    <w:rsid w:val="00F35298"/>
    <w:rsid w:val="00F3529E"/>
    <w:rsid w:val="00F41DCE"/>
    <w:rsid w:val="00F443FD"/>
    <w:rsid w:val="00F46F9A"/>
    <w:rsid w:val="00F47D14"/>
    <w:rsid w:val="00F47E37"/>
    <w:rsid w:val="00F50ADC"/>
    <w:rsid w:val="00F50B5E"/>
    <w:rsid w:val="00F53961"/>
    <w:rsid w:val="00F53E24"/>
    <w:rsid w:val="00F56D63"/>
    <w:rsid w:val="00F640B6"/>
    <w:rsid w:val="00F647EA"/>
    <w:rsid w:val="00F65B15"/>
    <w:rsid w:val="00F70540"/>
    <w:rsid w:val="00F76802"/>
    <w:rsid w:val="00F80E40"/>
    <w:rsid w:val="00F83EB8"/>
    <w:rsid w:val="00F84701"/>
    <w:rsid w:val="00F91585"/>
    <w:rsid w:val="00F923D6"/>
    <w:rsid w:val="00F942E9"/>
    <w:rsid w:val="00F95BC4"/>
    <w:rsid w:val="00F95CA6"/>
    <w:rsid w:val="00F9705F"/>
    <w:rsid w:val="00FA029A"/>
    <w:rsid w:val="00FA144A"/>
    <w:rsid w:val="00FA2018"/>
    <w:rsid w:val="00FA32EC"/>
    <w:rsid w:val="00FA3338"/>
    <w:rsid w:val="00FA5B82"/>
    <w:rsid w:val="00FA639E"/>
    <w:rsid w:val="00FA7DF1"/>
    <w:rsid w:val="00FB1B89"/>
    <w:rsid w:val="00FB3817"/>
    <w:rsid w:val="00FC03C8"/>
    <w:rsid w:val="00FC25E4"/>
    <w:rsid w:val="00FC42B9"/>
    <w:rsid w:val="00FC4EF7"/>
    <w:rsid w:val="00FD1704"/>
    <w:rsid w:val="00FD56A0"/>
    <w:rsid w:val="00FD5947"/>
    <w:rsid w:val="00FD62E3"/>
    <w:rsid w:val="00FE1DEE"/>
    <w:rsid w:val="00FE6710"/>
    <w:rsid w:val="00FE705F"/>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7007"/>
  <w15:docId w15:val="{220144DC-B02B-4E87-BFE6-112B4FBF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16"/>
      </w:numPr>
    </w:pPr>
  </w:style>
  <w:style w:type="paragraph" w:customStyle="1" w:styleId="ListBulleti">
    <w:name w:val="List Bullet i)"/>
    <w:basedOn w:val="ListBullet"/>
    <w:uiPriority w:val="1"/>
    <w:qFormat/>
    <w:rsid w:val="005302F5"/>
    <w:pPr>
      <w:numPr>
        <w:numId w:val="1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TableTGAblue1">
    <w:name w:val="Table TGA blue1"/>
    <w:basedOn w:val="TableNormal"/>
    <w:uiPriority w:val="99"/>
    <w:qFormat/>
    <w:rsid w:val="0096741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Numberbullet2a">
    <w:name w:val="Number bullet 2 a)"/>
    <w:basedOn w:val="Normal"/>
    <w:uiPriority w:val="1"/>
    <w:qFormat/>
    <w:rsid w:val="005E319B"/>
    <w:pPr>
      <w:numPr>
        <w:numId w:val="45"/>
      </w:numPr>
    </w:pPr>
    <w:rPr>
      <w:rFonts w:asciiTheme="minorHAnsi" w:hAnsiTheme="minorHAnsi" w:cstheme="minorHAnsi"/>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5E319B"/>
    <w:rPr>
      <w:sz w:val="22"/>
      <w:lang w:eastAsia="en-US"/>
    </w:rPr>
  </w:style>
  <w:style w:type="character" w:styleId="UnresolvedMention">
    <w:name w:val="Unresolved Mention"/>
    <w:basedOn w:val="DefaultParagraphFont"/>
    <w:uiPriority w:val="99"/>
    <w:semiHidden/>
    <w:unhideWhenUsed/>
    <w:rsid w:val="00FD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november_2021_acms_accs_joint/" TargetMode="External"/><Relationship Id="rId18" Type="http://schemas.openxmlformats.org/officeDocument/2006/relationships/hyperlink" Target="https://www.tga.gov.au/publication/scheduling-handbook-guidance-amending-poisons-standard" TargetMode="External"/><Relationship Id="rId26" Type="http://schemas.openxmlformats.org/officeDocument/2006/relationships/hyperlink" Target="https://www.tga.gov.au/publication/scheduling-handbook-guidance-amending-poisons-standard" TargetMode="External"/><Relationship Id="rId39" Type="http://schemas.openxmlformats.org/officeDocument/2006/relationships/hyperlink" Target="https://www.tga.gov.au/scheduling-decision-interim/notice-interim-decisions-proposed-amendments-poisons-standard-acms-36-accs-32-joint-acms-accs-29-november-2021" TargetMode="External"/><Relationship Id="rId21" Type="http://schemas.openxmlformats.org/officeDocument/2006/relationships/hyperlink" Target="https://consultations.tga.gov.au/tga/november_2021_acms_accs_joint/" TargetMode="External"/><Relationship Id="rId34" Type="http://schemas.openxmlformats.org/officeDocument/2006/relationships/hyperlink" Target="https://www.tga.gov.au/scheduling-decision-interim/notice-interim-decisions-proposed-amendments-poisons-standard-acms-36-accs-32-joint-acms-accs-29-november-2021" TargetMode="External"/><Relationship Id="rId42" Type="http://schemas.openxmlformats.org/officeDocument/2006/relationships/hyperlink" Target="https://www.tga.gov.au/consultation-invitation/consultation-proposed-amendments-poisons-standard-accs-acms-and-joint-accsacms-meetings-november-2021" TargetMode="External"/><Relationship Id="rId47" Type="http://schemas.openxmlformats.org/officeDocument/2006/relationships/hyperlink" Target="https://www.tga.gov.au/publication/ahmac-scheduling-policy-framework-medicines-and-chemicals" TargetMode="External"/><Relationship Id="rId50" Type="http://schemas.openxmlformats.org/officeDocument/2006/relationships/hyperlink" Target="https://consultations.tga.gov.au/tga/november_2021_acms_accs_joint/" TargetMode="External"/><Relationship Id="rId55" Type="http://schemas.openxmlformats.org/officeDocument/2006/relationships/hyperlink" Target="https://www.tga.gov.au/publication/scheduling-handbook-guidance-amending-poisons-standar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scheduling-decision-interim/notice-interim-decisions-proposed-amendments-poisons-standard-acms-36-accs-32-joint-acms-accs-29-november-2021" TargetMode="External"/><Relationship Id="rId20" Type="http://schemas.openxmlformats.org/officeDocument/2006/relationships/hyperlink" Target="https://www.tga.gov.au/sites/default/files/consultation-proposed-amendments-poisons-standard-accs-acms-joint-accs-acms-meetings-november-2021.pdf" TargetMode="External"/><Relationship Id="rId29" Type="http://schemas.openxmlformats.org/officeDocument/2006/relationships/hyperlink" Target="https://www.tga.gov.au/consultation-invitation/consultation-proposed-amendments-poisons-standard-accs-acms-and-joint-accsacms-meetings-november-2021" TargetMode="External"/><Relationship Id="rId41" Type="http://schemas.openxmlformats.org/officeDocument/2006/relationships/hyperlink" Target="https://www.tga.gov.au/publication/scheduling-handbook-guidance-amending-poisons-standard" TargetMode="External"/><Relationship Id="rId54" Type="http://schemas.openxmlformats.org/officeDocument/2006/relationships/hyperlink" Target="https://www.tga.gov.au/publication/ahmac-scheduling-policy-framework-medicines-and-chemic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tga.gov.au/scheduling-decision-interim/notice-interim-decisions-proposed-amendments-poisons-standard-acms-36-accs-32-joint-acms-accs-29-november-2021" TargetMode="External"/><Relationship Id="rId32" Type="http://schemas.openxmlformats.org/officeDocument/2006/relationships/hyperlink" Target="https://www.tga.gov.au/publication/ahmac-scheduling-policy-framework-medicines-and-chemicals" TargetMode="External"/><Relationship Id="rId37" Type="http://schemas.openxmlformats.org/officeDocument/2006/relationships/hyperlink" Target="https://www.tga.gov.au/sites/default/files/consultation-proposed-amendments-poisons-standard-accs-acms-joint-accs-acms-meetings-november-2021.pdf" TargetMode="External"/><Relationship Id="rId40" Type="http://schemas.openxmlformats.org/officeDocument/2006/relationships/hyperlink" Target="https://www.tga.gov.au/publication/ahmac-scheduling-policy-framework-medicines-and-chemicals" TargetMode="External"/><Relationship Id="rId45" Type="http://schemas.openxmlformats.org/officeDocument/2006/relationships/hyperlink" Target="https://consultations.tga.gov.au/tga/november_2021_interim/" TargetMode="External"/><Relationship Id="rId53" Type="http://schemas.openxmlformats.org/officeDocument/2006/relationships/hyperlink" Target="https://www.tga.gov.au/scheduling-decision-interim/notice-interim-decisions-proposed-amendments-poisons-standard-acms-36-accs-32-joint-acms-accs-29-november-2021"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consultations.tga.gov.au/tga/november_2021_interim/" TargetMode="External"/><Relationship Id="rId23" Type="http://schemas.openxmlformats.org/officeDocument/2006/relationships/hyperlink" Target="https://consultations.tga.gov.au/tga/november_2021_interim/" TargetMode="External"/><Relationship Id="rId28" Type="http://schemas.openxmlformats.org/officeDocument/2006/relationships/hyperlink" Target="https://consultations.tga.gov.au/tga/november_2021_acms_accs_joint/" TargetMode="External"/><Relationship Id="rId36" Type="http://schemas.openxmlformats.org/officeDocument/2006/relationships/hyperlink" Target="https://consultations.tga.gov.au/tga/november_2021_acms_accs_joint/" TargetMode="External"/><Relationship Id="rId49" Type="http://schemas.openxmlformats.org/officeDocument/2006/relationships/hyperlink" Target="https://www.tga.gov.au/consultation-invitation/consultation-proposed-amendments-poisons-standard-accs-acms-and-joint-accsacms-meetings-november-2021"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scheduling-decision-interim/notice-interim-decisions-proposed-amendments-poisons-standard-acms-36-accs-32-joint-acms-accs-29-november-2021" TargetMode="External"/><Relationship Id="rId31" Type="http://schemas.openxmlformats.org/officeDocument/2006/relationships/hyperlink" Target="https://www.tga.gov.au/scheduling-decision-interim/notice-interim-decisions-proposed-amendments-poisons-standard-acms-36-accs-32-joint-acms-accs-29-november-2021" TargetMode="External"/><Relationship Id="rId44" Type="http://schemas.openxmlformats.org/officeDocument/2006/relationships/hyperlink" Target="https://www.tga.gov.au/sites/default/files/consultation-proposed-amendments-poisons-standard-accs-acms-joint-accs-acms-meetings-november-2021.pdf" TargetMode="External"/><Relationship Id="rId52" Type="http://schemas.openxmlformats.org/officeDocument/2006/relationships/hyperlink" Target="https://consultations.tga.gov.au/tga/november_2021_interi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consultation-proposed-amendments-poisons-standard-accs-acms-joint-accs-acms-meetings-november-2021.pdf" TargetMode="External"/><Relationship Id="rId22" Type="http://schemas.openxmlformats.org/officeDocument/2006/relationships/hyperlink" Target="https://www.tga.gov.au/sites/default/files/consultation-proposed-amendments-poisons-standard-accs-acms-joint-accs-acms-meetings-november-2021.pdf" TargetMode="External"/><Relationship Id="rId27" Type="http://schemas.openxmlformats.org/officeDocument/2006/relationships/hyperlink" Target="https://www.tga.gov.au/consultation-invitation/consultation-proposed-amendments-poisons-standard-accs-acms-and-joint-accsacms-meetings-november-2021" TargetMode="External"/><Relationship Id="rId30" Type="http://schemas.openxmlformats.org/officeDocument/2006/relationships/hyperlink" Target="https://consultations.tga.gov.au/tga/november_2021_interim/" TargetMode="External"/><Relationship Id="rId35" Type="http://schemas.openxmlformats.org/officeDocument/2006/relationships/hyperlink" Target="https://www.tga.gov.au/consultation-invitation/consultation-proposed-amendments-poisons-standard-accs-acms-and-joint-accsacms-meetings-november-2021" TargetMode="External"/><Relationship Id="rId43" Type="http://schemas.openxmlformats.org/officeDocument/2006/relationships/hyperlink" Target="https://consultations.tga.gov.au/tga/november_2021_acms_accs_joint/" TargetMode="External"/><Relationship Id="rId48" Type="http://schemas.openxmlformats.org/officeDocument/2006/relationships/hyperlink" Target="https://www.tga.gov.au/publication/scheduling-handbook-guidance-amending-poisons-standard" TargetMode="External"/><Relationship Id="rId56"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www.tga.gov.au/sites/default/files/consultation-proposed-amendments-poisons-standard-accs-acms-joint-accs-acms-meetings-november-2021.pdf" TargetMode="External"/><Relationship Id="rId3" Type="http://schemas.openxmlformats.org/officeDocument/2006/relationships/styles" Target="styles.xml"/><Relationship Id="rId12" Type="http://schemas.openxmlformats.org/officeDocument/2006/relationships/hyperlink" Target="https://www.tga.gov.au/consultation-invitation/consultation-proposed-amendments-poisons-standard-accs-acms-and-joint-accsacms-meetings-november-2021" TargetMode="External"/><Relationship Id="rId17" Type="http://schemas.openxmlformats.org/officeDocument/2006/relationships/hyperlink" Target="https://www.tga.gov.au/publication/ahmac-scheduling-policy-framework-medicines-and-chemicals" TargetMode="External"/><Relationship Id="rId25" Type="http://schemas.openxmlformats.org/officeDocument/2006/relationships/hyperlink" Target="https://www.tga.gov.au/publication/ahmac-scheduling-policy-framework-medicines-and-chemicals" TargetMode="External"/><Relationship Id="rId33" Type="http://schemas.openxmlformats.org/officeDocument/2006/relationships/hyperlink" Target="https://www.tga.gov.au/publication/scheduling-handbook-guidance-amending-poisons-standard" TargetMode="External"/><Relationship Id="rId38" Type="http://schemas.openxmlformats.org/officeDocument/2006/relationships/hyperlink" Target="https://consultations.tga.gov.au/tga/november_2021_interim/" TargetMode="External"/><Relationship Id="rId46" Type="http://schemas.openxmlformats.org/officeDocument/2006/relationships/hyperlink" Target="https://www.tga.gov.au/scheduling-decision-interim/notice-interim-decisions-proposed-amendments-poisons-standard-acms-36-accs-32-joint-acms-accs-29-november-2021"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176</TotalTime>
  <Pages>13</Pages>
  <Words>3932</Words>
  <Characters>21488</Characters>
  <Application>Microsoft Office Word</Application>
  <DocSecurity>0</DocSecurity>
  <Lines>396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 ACMS #36, Joint ACMS-ACCS #29, ACCS #32</dc:title>
  <dc:subject/>
  <dc:creator>Therapeutic Goods Administration</dc:creator>
  <cp:keywords/>
  <dc:description/>
  <cp:lastModifiedBy>PITKIN, Brendan</cp:lastModifiedBy>
  <cp:revision>12</cp:revision>
  <cp:lastPrinted>2020-05-01T05:17:00Z</cp:lastPrinted>
  <dcterms:created xsi:type="dcterms:W3CDTF">2022-05-17T04:32:00Z</dcterms:created>
  <dcterms:modified xsi:type="dcterms:W3CDTF">2022-05-23T03:32:00Z</dcterms:modified>
</cp:coreProperties>
</file>