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29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5660C" w14:paraId="487E857D" w14:textId="77777777" w:rsidTr="00DC2A10">
        <w:tc>
          <w:tcPr>
            <w:tcW w:w="8720" w:type="dxa"/>
          </w:tcPr>
          <w:p w14:paraId="158C7559" w14:textId="1E0025B9" w:rsidR="0025660C" w:rsidRPr="00077548" w:rsidRDefault="00597B50" w:rsidP="00DC2A10">
            <w:pPr>
              <w:pStyle w:val="Title"/>
            </w:pPr>
            <w:r w:rsidRPr="00597B50">
              <w:t>Notice of final decisions to amend (or not amend) the current Poisons Standard</w:t>
            </w:r>
            <w:r w:rsidR="005054DF">
              <w:t xml:space="preserve"> - </w:t>
            </w:r>
            <w:r w:rsidR="002A58D7">
              <w:t>ACMS #34</w:t>
            </w:r>
            <w:r w:rsidR="00CC7C62">
              <w:t>, Joint ACMS-ACCS #28, ACCS #31</w:t>
            </w:r>
          </w:p>
        </w:tc>
      </w:tr>
      <w:tr w:rsidR="0025660C" w14:paraId="3393FE2A" w14:textId="77777777" w:rsidTr="00DC2A10">
        <w:trPr>
          <w:trHeight w:val="810"/>
        </w:trPr>
        <w:tc>
          <w:tcPr>
            <w:tcW w:w="8720" w:type="dxa"/>
          </w:tcPr>
          <w:p w14:paraId="38D3E20E" w14:textId="685D61EB" w:rsidR="0025660C" w:rsidRPr="00077548" w:rsidRDefault="00760402" w:rsidP="00DC2A10">
            <w:pPr>
              <w:pStyle w:val="Subtitle"/>
              <w:tabs>
                <w:tab w:val="left" w:pos="5310"/>
              </w:tabs>
              <w:ind w:left="0"/>
            </w:pPr>
            <w:commentRangeStart w:id="0"/>
            <w:r>
              <w:t xml:space="preserve">20 </w:t>
            </w:r>
            <w:r w:rsidR="005054DF">
              <w:t>December 2021</w:t>
            </w:r>
            <w:commentRangeEnd w:id="0"/>
            <w:r w:rsidR="005054DF">
              <w:rPr>
                <w:rStyle w:val="CommentReference"/>
                <w:rFonts w:ascii="Cambria" w:eastAsia="Cambria" w:hAnsi="Cambria"/>
                <w:bCs w:val="0"/>
                <w:iCs w:val="0"/>
                <w:color w:val="auto"/>
              </w:rPr>
              <w:commentReference w:id="0"/>
            </w:r>
          </w:p>
        </w:tc>
      </w:tr>
    </w:tbl>
    <w:p w14:paraId="3EFE38B7" w14:textId="77777777" w:rsidR="008E7E28" w:rsidRPr="005D4EA1" w:rsidRDefault="008E7E28" w:rsidP="008E7E28">
      <w:pPr>
        <w:pStyle w:val="LegalSubheading"/>
        <w:pageBreakBefore/>
      </w:pPr>
      <w:r w:rsidRPr="00691723">
        <w:lastRenderedPageBreak/>
        <w:t>Copyright</w:t>
      </w:r>
    </w:p>
    <w:p w14:paraId="6D852DDD" w14:textId="738EE61C" w:rsidR="0025660C" w:rsidRDefault="008E7E28" w:rsidP="008E7E28">
      <w:pPr>
        <w:pStyle w:val="LegalCopy"/>
        <w:sectPr w:rsidR="0025660C" w:rsidSect="00E57B71">
          <w:headerReference w:type="default" r:id="rId12"/>
          <w:footerReference w:type="default" r:id="rId13"/>
          <w:headerReference w:type="first" r:id="rId14"/>
          <w:pgSz w:w="11906" w:h="16838" w:code="9"/>
          <w:pgMar w:top="1134" w:right="1418" w:bottom="1361" w:left="1418" w:header="851" w:footer="768" w:gutter="0"/>
          <w:cols w:space="708"/>
          <w:titlePg/>
          <w:docGrid w:linePitch="360"/>
        </w:sectPr>
      </w:pPr>
      <w:r w:rsidRPr="009401F6">
        <w:t>© Commonwealth of Australia 20</w:t>
      </w:r>
      <w:r>
        <w:t>21</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5" w:history="1">
        <w:r w:rsidRPr="009401F6">
          <w:rPr>
            <w:rStyle w:val="Hyperlink"/>
            <w:rFonts w:cs="Arial"/>
          </w:rPr>
          <w:t>tga.copyright@tga.gov.au</w:t>
        </w:r>
      </w:hyperlink>
      <w:r w:rsidRPr="009401F6">
        <w:t>&gt;</w:t>
      </w:r>
    </w:p>
    <w:bookmarkStart w:id="1" w:name="_Toc323740418" w:displacedByCustomXml="next"/>
    <w:bookmarkStart w:id="2" w:name="_Toc328388475" w:displacedByCustomXml="next"/>
    <w:bookmarkStart w:id="3" w:name="_Toc323740419" w:displacedByCustomXml="next"/>
    <w:sdt>
      <w:sdtPr>
        <w:rPr>
          <w:rFonts w:ascii="Arial" w:hAnsi="Arial"/>
          <w:b/>
          <w:sz w:val="20"/>
        </w:rPr>
        <w:id w:val="21514559"/>
        <w:docPartObj>
          <w:docPartGallery w:val="Table of Contents"/>
          <w:docPartUnique/>
        </w:docPartObj>
      </w:sdtPr>
      <w:sdtEndPr>
        <w:rPr>
          <w:rFonts w:ascii="Cambria" w:hAnsi="Cambria"/>
          <w:b w:val="0"/>
        </w:rPr>
      </w:sdtEndPr>
      <w:sdtContent>
        <w:p w14:paraId="73D2DECE" w14:textId="77777777" w:rsidR="00D959FC" w:rsidRDefault="0025660C" w:rsidP="002F0113">
          <w:pPr>
            <w:pStyle w:val="TOC2"/>
            <w:pageBreakBefore/>
            <w:tabs>
              <w:tab w:val="left" w:pos="851"/>
            </w:tabs>
            <w:rPr>
              <w:rFonts w:asciiTheme="majorHAnsi" w:hAnsiTheme="majorHAnsi" w:cstheme="majorHAnsi"/>
              <w:sz w:val="28"/>
              <w:szCs w:val="28"/>
            </w:rPr>
          </w:pPr>
          <w:r w:rsidRPr="005D16DC">
            <w:rPr>
              <w:rFonts w:asciiTheme="majorHAnsi" w:hAnsiTheme="majorHAnsi" w:cstheme="majorHAnsi"/>
              <w:sz w:val="28"/>
              <w:szCs w:val="28"/>
            </w:rPr>
            <w:t>Contents</w:t>
          </w:r>
        </w:p>
        <w:p w14:paraId="08AC4940" w14:textId="58CE70A9" w:rsidR="00E054D8" w:rsidRDefault="008D3724">
          <w:pPr>
            <w:pStyle w:val="TOC2"/>
            <w:tabs>
              <w:tab w:val="left" w:pos="851"/>
            </w:tabs>
            <w:rPr>
              <w:rFonts w:asciiTheme="minorHAnsi" w:eastAsiaTheme="minorEastAsia" w:hAnsiTheme="minorHAnsi" w:cstheme="minorBidi"/>
              <w:noProof/>
              <w:szCs w:val="22"/>
              <w:lang w:eastAsia="en-AU"/>
            </w:rPr>
          </w:pPr>
          <w:r>
            <w:rPr>
              <w:sz w:val="32"/>
            </w:rPr>
            <w:fldChar w:fldCharType="begin"/>
          </w:r>
          <w:r>
            <w:rPr>
              <w:sz w:val="32"/>
            </w:rPr>
            <w:instrText xml:space="preserve"> TOC \o "1-3" \h \z \u </w:instrText>
          </w:r>
          <w:r>
            <w:rPr>
              <w:sz w:val="32"/>
            </w:rPr>
            <w:fldChar w:fldCharType="separate"/>
          </w:r>
          <w:hyperlink w:anchor="_Toc90840731" w:history="1">
            <w:r w:rsidR="00E054D8" w:rsidRPr="00844DBE">
              <w:rPr>
                <w:rStyle w:val="Hyperlink"/>
                <w:noProof/>
              </w:rPr>
              <w:t>1</w:t>
            </w:r>
            <w:r w:rsidR="00E054D8">
              <w:rPr>
                <w:rFonts w:asciiTheme="minorHAnsi" w:eastAsiaTheme="minorEastAsia" w:hAnsiTheme="minorHAnsi" w:cstheme="minorBidi"/>
                <w:noProof/>
                <w:szCs w:val="22"/>
                <w:lang w:eastAsia="en-AU"/>
              </w:rPr>
              <w:tab/>
            </w:r>
            <w:r w:rsidR="00E054D8" w:rsidRPr="00844DBE">
              <w:rPr>
                <w:rStyle w:val="Hyperlink"/>
                <w:noProof/>
              </w:rPr>
              <w:t>Notice of final decisions to amend (or not amend) the current Poisons Standard</w:t>
            </w:r>
            <w:r w:rsidR="00E054D8">
              <w:rPr>
                <w:noProof/>
                <w:webHidden/>
              </w:rPr>
              <w:tab/>
            </w:r>
            <w:r w:rsidR="00E054D8">
              <w:rPr>
                <w:noProof/>
                <w:webHidden/>
              </w:rPr>
              <w:fldChar w:fldCharType="begin"/>
            </w:r>
            <w:r w:rsidR="00E054D8">
              <w:rPr>
                <w:noProof/>
                <w:webHidden/>
              </w:rPr>
              <w:instrText xml:space="preserve"> PAGEREF _Toc90840731 \h </w:instrText>
            </w:r>
            <w:r w:rsidR="00E054D8">
              <w:rPr>
                <w:noProof/>
                <w:webHidden/>
              </w:rPr>
            </w:r>
            <w:r w:rsidR="00E054D8">
              <w:rPr>
                <w:noProof/>
                <w:webHidden/>
              </w:rPr>
              <w:fldChar w:fldCharType="separate"/>
            </w:r>
            <w:r w:rsidR="00E054D8">
              <w:rPr>
                <w:noProof/>
                <w:webHidden/>
              </w:rPr>
              <w:t>4</w:t>
            </w:r>
            <w:r w:rsidR="00E054D8">
              <w:rPr>
                <w:noProof/>
                <w:webHidden/>
              </w:rPr>
              <w:fldChar w:fldCharType="end"/>
            </w:r>
          </w:hyperlink>
        </w:p>
        <w:p w14:paraId="5482E4B4" w14:textId="060427C4" w:rsidR="00E054D8" w:rsidRDefault="00E054D8">
          <w:pPr>
            <w:pStyle w:val="TOC2"/>
            <w:tabs>
              <w:tab w:val="left" w:pos="851"/>
            </w:tabs>
            <w:rPr>
              <w:rFonts w:asciiTheme="minorHAnsi" w:eastAsiaTheme="minorEastAsia" w:hAnsiTheme="minorHAnsi" w:cstheme="minorBidi"/>
              <w:noProof/>
              <w:szCs w:val="22"/>
              <w:lang w:eastAsia="en-AU"/>
            </w:rPr>
          </w:pPr>
          <w:hyperlink w:anchor="_Toc90840732" w:history="1">
            <w:r w:rsidRPr="00844DBE">
              <w:rPr>
                <w:rStyle w:val="Hyperlink"/>
                <w:noProof/>
              </w:rPr>
              <w:t>2</w:t>
            </w:r>
            <w:r>
              <w:rPr>
                <w:rFonts w:asciiTheme="minorHAnsi" w:eastAsiaTheme="minorEastAsia" w:hAnsiTheme="minorHAnsi" w:cstheme="minorBidi"/>
                <w:noProof/>
                <w:szCs w:val="22"/>
                <w:lang w:eastAsia="en-AU"/>
              </w:rPr>
              <w:tab/>
            </w:r>
            <w:r w:rsidRPr="00844DBE">
              <w:rPr>
                <w:rStyle w:val="Hyperlink"/>
                <w:noProof/>
              </w:rPr>
              <w:t>Final decisions on proposed amendments referred to the Advisory Committee on Medicines Scheduling (ACMS #34, June 2021)</w:t>
            </w:r>
            <w:r>
              <w:rPr>
                <w:noProof/>
                <w:webHidden/>
              </w:rPr>
              <w:tab/>
            </w:r>
            <w:r>
              <w:rPr>
                <w:noProof/>
                <w:webHidden/>
              </w:rPr>
              <w:fldChar w:fldCharType="begin"/>
            </w:r>
            <w:r>
              <w:rPr>
                <w:noProof/>
                <w:webHidden/>
              </w:rPr>
              <w:instrText xml:space="preserve"> PAGEREF _Toc90840732 \h </w:instrText>
            </w:r>
            <w:r>
              <w:rPr>
                <w:noProof/>
                <w:webHidden/>
              </w:rPr>
            </w:r>
            <w:r>
              <w:rPr>
                <w:noProof/>
                <w:webHidden/>
              </w:rPr>
              <w:fldChar w:fldCharType="separate"/>
            </w:r>
            <w:r>
              <w:rPr>
                <w:noProof/>
                <w:webHidden/>
              </w:rPr>
              <w:t>5</w:t>
            </w:r>
            <w:r>
              <w:rPr>
                <w:noProof/>
                <w:webHidden/>
              </w:rPr>
              <w:fldChar w:fldCharType="end"/>
            </w:r>
          </w:hyperlink>
        </w:p>
        <w:p w14:paraId="3C8CC008" w14:textId="3D08B779" w:rsidR="00E054D8" w:rsidRDefault="00E054D8">
          <w:pPr>
            <w:pStyle w:val="TOC3"/>
            <w:tabs>
              <w:tab w:val="left" w:pos="1701"/>
            </w:tabs>
            <w:rPr>
              <w:rFonts w:asciiTheme="minorHAnsi" w:eastAsiaTheme="minorEastAsia" w:hAnsiTheme="minorHAnsi" w:cstheme="minorBidi"/>
              <w:noProof/>
              <w:sz w:val="22"/>
              <w:szCs w:val="22"/>
              <w:lang w:eastAsia="en-AU"/>
            </w:rPr>
          </w:pPr>
          <w:hyperlink w:anchor="_Toc90840733" w:history="1">
            <w:r w:rsidRPr="00844DBE">
              <w:rPr>
                <w:rStyle w:val="Hyperlink"/>
                <w:noProof/>
              </w:rPr>
              <w:t>2.1</w:t>
            </w:r>
            <w:r>
              <w:rPr>
                <w:rFonts w:asciiTheme="minorHAnsi" w:eastAsiaTheme="minorEastAsia" w:hAnsiTheme="minorHAnsi" w:cstheme="minorBidi"/>
                <w:noProof/>
                <w:sz w:val="22"/>
                <w:szCs w:val="22"/>
                <w:lang w:eastAsia="en-AU"/>
              </w:rPr>
              <w:tab/>
            </w:r>
            <w:r w:rsidRPr="00844DBE">
              <w:rPr>
                <w:rStyle w:val="Hyperlink"/>
                <w:noProof/>
              </w:rPr>
              <w:t>Final decisions in relation to amygdalin and hydrocyanic acid</w:t>
            </w:r>
            <w:r>
              <w:rPr>
                <w:noProof/>
                <w:webHidden/>
              </w:rPr>
              <w:tab/>
            </w:r>
            <w:r>
              <w:rPr>
                <w:noProof/>
                <w:webHidden/>
              </w:rPr>
              <w:fldChar w:fldCharType="begin"/>
            </w:r>
            <w:r>
              <w:rPr>
                <w:noProof/>
                <w:webHidden/>
              </w:rPr>
              <w:instrText xml:space="preserve"> PAGEREF _Toc90840733 \h </w:instrText>
            </w:r>
            <w:r>
              <w:rPr>
                <w:noProof/>
                <w:webHidden/>
              </w:rPr>
            </w:r>
            <w:r>
              <w:rPr>
                <w:noProof/>
                <w:webHidden/>
              </w:rPr>
              <w:fldChar w:fldCharType="separate"/>
            </w:r>
            <w:r>
              <w:rPr>
                <w:noProof/>
                <w:webHidden/>
              </w:rPr>
              <w:t>5</w:t>
            </w:r>
            <w:r>
              <w:rPr>
                <w:noProof/>
                <w:webHidden/>
              </w:rPr>
              <w:fldChar w:fldCharType="end"/>
            </w:r>
          </w:hyperlink>
        </w:p>
        <w:p w14:paraId="7EAFC94C" w14:textId="3C6BE9AA" w:rsidR="00E054D8" w:rsidRDefault="00E054D8">
          <w:pPr>
            <w:pStyle w:val="TOC3"/>
            <w:tabs>
              <w:tab w:val="left" w:pos="1701"/>
            </w:tabs>
            <w:rPr>
              <w:rFonts w:asciiTheme="minorHAnsi" w:eastAsiaTheme="minorEastAsia" w:hAnsiTheme="minorHAnsi" w:cstheme="minorBidi"/>
              <w:noProof/>
              <w:sz w:val="22"/>
              <w:szCs w:val="22"/>
              <w:lang w:eastAsia="en-AU"/>
            </w:rPr>
          </w:pPr>
          <w:hyperlink w:anchor="_Toc90840734" w:history="1">
            <w:r w:rsidRPr="00844DBE">
              <w:rPr>
                <w:rStyle w:val="Hyperlink"/>
                <w:noProof/>
              </w:rPr>
              <w:t>2.2</w:t>
            </w:r>
            <w:r>
              <w:rPr>
                <w:rFonts w:asciiTheme="minorHAnsi" w:eastAsiaTheme="minorEastAsia" w:hAnsiTheme="minorHAnsi" w:cstheme="minorBidi"/>
                <w:noProof/>
                <w:sz w:val="22"/>
                <w:szCs w:val="22"/>
                <w:lang w:eastAsia="en-AU"/>
              </w:rPr>
              <w:tab/>
            </w:r>
            <w:r w:rsidRPr="00844DBE">
              <w:rPr>
                <w:rStyle w:val="Hyperlink"/>
                <w:noProof/>
              </w:rPr>
              <w:t>Final decision in relation to bufexamac</w:t>
            </w:r>
            <w:r>
              <w:rPr>
                <w:noProof/>
                <w:webHidden/>
              </w:rPr>
              <w:tab/>
            </w:r>
            <w:r>
              <w:rPr>
                <w:noProof/>
                <w:webHidden/>
              </w:rPr>
              <w:fldChar w:fldCharType="begin"/>
            </w:r>
            <w:r>
              <w:rPr>
                <w:noProof/>
                <w:webHidden/>
              </w:rPr>
              <w:instrText xml:space="preserve"> PAGEREF _Toc90840734 \h </w:instrText>
            </w:r>
            <w:r>
              <w:rPr>
                <w:noProof/>
                <w:webHidden/>
              </w:rPr>
            </w:r>
            <w:r>
              <w:rPr>
                <w:noProof/>
                <w:webHidden/>
              </w:rPr>
              <w:fldChar w:fldCharType="separate"/>
            </w:r>
            <w:r>
              <w:rPr>
                <w:noProof/>
                <w:webHidden/>
              </w:rPr>
              <w:t>7</w:t>
            </w:r>
            <w:r>
              <w:rPr>
                <w:noProof/>
                <w:webHidden/>
              </w:rPr>
              <w:fldChar w:fldCharType="end"/>
            </w:r>
          </w:hyperlink>
        </w:p>
        <w:p w14:paraId="38CA5302" w14:textId="432E1AE8" w:rsidR="00E054D8" w:rsidRDefault="00E054D8">
          <w:pPr>
            <w:pStyle w:val="TOC3"/>
            <w:tabs>
              <w:tab w:val="left" w:pos="1701"/>
            </w:tabs>
            <w:rPr>
              <w:rFonts w:asciiTheme="minorHAnsi" w:eastAsiaTheme="minorEastAsia" w:hAnsiTheme="minorHAnsi" w:cstheme="minorBidi"/>
              <w:noProof/>
              <w:sz w:val="22"/>
              <w:szCs w:val="22"/>
              <w:lang w:eastAsia="en-AU"/>
            </w:rPr>
          </w:pPr>
          <w:hyperlink w:anchor="_Toc90840735" w:history="1">
            <w:r w:rsidRPr="00844DBE">
              <w:rPr>
                <w:rStyle w:val="Hyperlink"/>
                <w:noProof/>
              </w:rPr>
              <w:t>2.3</w:t>
            </w:r>
            <w:r>
              <w:rPr>
                <w:rFonts w:asciiTheme="minorHAnsi" w:eastAsiaTheme="minorEastAsia" w:hAnsiTheme="minorHAnsi" w:cstheme="minorBidi"/>
                <w:noProof/>
                <w:sz w:val="22"/>
                <w:szCs w:val="22"/>
                <w:lang w:eastAsia="en-AU"/>
              </w:rPr>
              <w:tab/>
            </w:r>
            <w:r w:rsidRPr="00844DBE">
              <w:rPr>
                <w:rStyle w:val="Hyperlink"/>
                <w:noProof/>
              </w:rPr>
              <w:t>Final decision in relation to ibuprofen</w:t>
            </w:r>
            <w:r>
              <w:rPr>
                <w:noProof/>
                <w:webHidden/>
              </w:rPr>
              <w:tab/>
            </w:r>
            <w:r>
              <w:rPr>
                <w:noProof/>
                <w:webHidden/>
              </w:rPr>
              <w:fldChar w:fldCharType="begin"/>
            </w:r>
            <w:r>
              <w:rPr>
                <w:noProof/>
                <w:webHidden/>
              </w:rPr>
              <w:instrText xml:space="preserve"> PAGEREF _Toc90840735 \h </w:instrText>
            </w:r>
            <w:r>
              <w:rPr>
                <w:noProof/>
                <w:webHidden/>
              </w:rPr>
            </w:r>
            <w:r>
              <w:rPr>
                <w:noProof/>
                <w:webHidden/>
              </w:rPr>
              <w:fldChar w:fldCharType="separate"/>
            </w:r>
            <w:r>
              <w:rPr>
                <w:noProof/>
                <w:webHidden/>
              </w:rPr>
              <w:t>8</w:t>
            </w:r>
            <w:r>
              <w:rPr>
                <w:noProof/>
                <w:webHidden/>
              </w:rPr>
              <w:fldChar w:fldCharType="end"/>
            </w:r>
          </w:hyperlink>
        </w:p>
        <w:p w14:paraId="44DF4ADE" w14:textId="6064E010" w:rsidR="00E054D8" w:rsidRDefault="00E054D8">
          <w:pPr>
            <w:pStyle w:val="TOC3"/>
            <w:tabs>
              <w:tab w:val="left" w:pos="1701"/>
            </w:tabs>
            <w:rPr>
              <w:rFonts w:asciiTheme="minorHAnsi" w:eastAsiaTheme="minorEastAsia" w:hAnsiTheme="minorHAnsi" w:cstheme="minorBidi"/>
              <w:noProof/>
              <w:sz w:val="22"/>
              <w:szCs w:val="22"/>
              <w:lang w:eastAsia="en-AU"/>
            </w:rPr>
          </w:pPr>
          <w:hyperlink w:anchor="_Toc90840736" w:history="1">
            <w:r w:rsidRPr="00844DBE">
              <w:rPr>
                <w:rStyle w:val="Hyperlink"/>
                <w:noProof/>
              </w:rPr>
              <w:t>2.4</w:t>
            </w:r>
            <w:r>
              <w:rPr>
                <w:rFonts w:asciiTheme="minorHAnsi" w:eastAsiaTheme="minorEastAsia" w:hAnsiTheme="minorHAnsi" w:cstheme="minorBidi"/>
                <w:noProof/>
                <w:sz w:val="22"/>
                <w:szCs w:val="22"/>
                <w:lang w:eastAsia="en-AU"/>
              </w:rPr>
              <w:tab/>
            </w:r>
            <w:r w:rsidRPr="00844DBE">
              <w:rPr>
                <w:rStyle w:val="Hyperlink"/>
                <w:noProof/>
              </w:rPr>
              <w:t>Final decision in relation to oral contraceptive substances</w:t>
            </w:r>
            <w:r>
              <w:rPr>
                <w:noProof/>
                <w:webHidden/>
              </w:rPr>
              <w:tab/>
            </w:r>
            <w:r>
              <w:rPr>
                <w:noProof/>
                <w:webHidden/>
              </w:rPr>
              <w:fldChar w:fldCharType="begin"/>
            </w:r>
            <w:r>
              <w:rPr>
                <w:noProof/>
                <w:webHidden/>
              </w:rPr>
              <w:instrText xml:space="preserve"> PAGEREF _Toc90840736 \h </w:instrText>
            </w:r>
            <w:r>
              <w:rPr>
                <w:noProof/>
                <w:webHidden/>
              </w:rPr>
            </w:r>
            <w:r>
              <w:rPr>
                <w:noProof/>
                <w:webHidden/>
              </w:rPr>
              <w:fldChar w:fldCharType="separate"/>
            </w:r>
            <w:r>
              <w:rPr>
                <w:noProof/>
                <w:webHidden/>
              </w:rPr>
              <w:t>9</w:t>
            </w:r>
            <w:r>
              <w:rPr>
                <w:noProof/>
                <w:webHidden/>
              </w:rPr>
              <w:fldChar w:fldCharType="end"/>
            </w:r>
          </w:hyperlink>
        </w:p>
        <w:p w14:paraId="45480A01" w14:textId="1D500825" w:rsidR="00E054D8" w:rsidRDefault="00E054D8">
          <w:pPr>
            <w:pStyle w:val="TOC2"/>
            <w:tabs>
              <w:tab w:val="left" w:pos="851"/>
            </w:tabs>
            <w:rPr>
              <w:rFonts w:asciiTheme="minorHAnsi" w:eastAsiaTheme="minorEastAsia" w:hAnsiTheme="minorHAnsi" w:cstheme="minorBidi"/>
              <w:noProof/>
              <w:szCs w:val="22"/>
              <w:lang w:eastAsia="en-AU"/>
            </w:rPr>
          </w:pPr>
          <w:hyperlink w:anchor="_Toc90840737" w:history="1">
            <w:r w:rsidRPr="00844DBE">
              <w:rPr>
                <w:rStyle w:val="Hyperlink"/>
                <w:noProof/>
              </w:rPr>
              <w:t>3</w:t>
            </w:r>
            <w:r>
              <w:rPr>
                <w:rFonts w:asciiTheme="minorHAnsi" w:eastAsiaTheme="minorEastAsia" w:hAnsiTheme="minorHAnsi" w:cstheme="minorBidi"/>
                <w:noProof/>
                <w:szCs w:val="22"/>
                <w:lang w:eastAsia="en-AU"/>
              </w:rPr>
              <w:tab/>
            </w:r>
            <w:r w:rsidRPr="00844DBE">
              <w:rPr>
                <w:rStyle w:val="Hyperlink"/>
                <w:noProof/>
              </w:rPr>
              <w:t>Final decisions on proposed amendments referred to the Advisory Committee on Medicines and Chemicals Scheduling in joint session (Joint ACMS-ACCS #28, June 2021)</w:t>
            </w:r>
            <w:r>
              <w:rPr>
                <w:noProof/>
                <w:webHidden/>
              </w:rPr>
              <w:tab/>
            </w:r>
            <w:r>
              <w:rPr>
                <w:noProof/>
                <w:webHidden/>
              </w:rPr>
              <w:fldChar w:fldCharType="begin"/>
            </w:r>
            <w:r>
              <w:rPr>
                <w:noProof/>
                <w:webHidden/>
              </w:rPr>
              <w:instrText xml:space="preserve"> PAGEREF _Toc90840737 \h </w:instrText>
            </w:r>
            <w:r>
              <w:rPr>
                <w:noProof/>
                <w:webHidden/>
              </w:rPr>
            </w:r>
            <w:r>
              <w:rPr>
                <w:noProof/>
                <w:webHidden/>
              </w:rPr>
              <w:fldChar w:fldCharType="separate"/>
            </w:r>
            <w:r>
              <w:rPr>
                <w:noProof/>
                <w:webHidden/>
              </w:rPr>
              <w:t>12</w:t>
            </w:r>
            <w:r>
              <w:rPr>
                <w:noProof/>
                <w:webHidden/>
              </w:rPr>
              <w:fldChar w:fldCharType="end"/>
            </w:r>
          </w:hyperlink>
        </w:p>
        <w:p w14:paraId="77B49CA8" w14:textId="21BC9D52" w:rsidR="00E054D8" w:rsidRDefault="00E054D8">
          <w:pPr>
            <w:pStyle w:val="TOC3"/>
            <w:tabs>
              <w:tab w:val="left" w:pos="1701"/>
            </w:tabs>
            <w:rPr>
              <w:rFonts w:asciiTheme="minorHAnsi" w:eastAsiaTheme="minorEastAsia" w:hAnsiTheme="minorHAnsi" w:cstheme="minorBidi"/>
              <w:noProof/>
              <w:sz w:val="22"/>
              <w:szCs w:val="22"/>
              <w:lang w:eastAsia="en-AU"/>
            </w:rPr>
          </w:pPr>
          <w:hyperlink w:anchor="_Toc90840738" w:history="1">
            <w:r w:rsidRPr="00844DBE">
              <w:rPr>
                <w:rStyle w:val="Hyperlink"/>
                <w:noProof/>
              </w:rPr>
              <w:t>3.1</w:t>
            </w:r>
            <w:r>
              <w:rPr>
                <w:rFonts w:asciiTheme="minorHAnsi" w:eastAsiaTheme="minorEastAsia" w:hAnsiTheme="minorHAnsi" w:cstheme="minorBidi"/>
                <w:noProof/>
                <w:sz w:val="22"/>
                <w:szCs w:val="22"/>
                <w:lang w:eastAsia="en-AU"/>
              </w:rPr>
              <w:tab/>
            </w:r>
            <w:r w:rsidRPr="00844DBE">
              <w:rPr>
                <w:rStyle w:val="Hyperlink"/>
                <w:noProof/>
              </w:rPr>
              <w:t>Final decision in relation to ethanol and isopropanol in hand sanitisers</w:t>
            </w:r>
            <w:r>
              <w:rPr>
                <w:noProof/>
                <w:webHidden/>
              </w:rPr>
              <w:tab/>
            </w:r>
            <w:r>
              <w:rPr>
                <w:noProof/>
                <w:webHidden/>
              </w:rPr>
              <w:fldChar w:fldCharType="begin"/>
            </w:r>
            <w:r>
              <w:rPr>
                <w:noProof/>
                <w:webHidden/>
              </w:rPr>
              <w:instrText xml:space="preserve"> PAGEREF _Toc90840738 \h </w:instrText>
            </w:r>
            <w:r>
              <w:rPr>
                <w:noProof/>
                <w:webHidden/>
              </w:rPr>
            </w:r>
            <w:r>
              <w:rPr>
                <w:noProof/>
                <w:webHidden/>
              </w:rPr>
              <w:fldChar w:fldCharType="separate"/>
            </w:r>
            <w:r>
              <w:rPr>
                <w:noProof/>
                <w:webHidden/>
              </w:rPr>
              <w:t>12</w:t>
            </w:r>
            <w:r>
              <w:rPr>
                <w:noProof/>
                <w:webHidden/>
              </w:rPr>
              <w:fldChar w:fldCharType="end"/>
            </w:r>
          </w:hyperlink>
        </w:p>
        <w:p w14:paraId="66EAC021" w14:textId="065FB882" w:rsidR="00E054D8" w:rsidRDefault="00E054D8">
          <w:pPr>
            <w:pStyle w:val="TOC3"/>
            <w:tabs>
              <w:tab w:val="left" w:pos="1701"/>
            </w:tabs>
            <w:rPr>
              <w:rFonts w:asciiTheme="minorHAnsi" w:eastAsiaTheme="minorEastAsia" w:hAnsiTheme="minorHAnsi" w:cstheme="minorBidi"/>
              <w:noProof/>
              <w:sz w:val="22"/>
              <w:szCs w:val="22"/>
              <w:lang w:eastAsia="en-AU"/>
            </w:rPr>
          </w:pPr>
          <w:hyperlink w:anchor="_Toc90840739" w:history="1">
            <w:r w:rsidRPr="00844DBE">
              <w:rPr>
                <w:rStyle w:val="Hyperlink"/>
                <w:noProof/>
              </w:rPr>
              <w:t>3.2</w:t>
            </w:r>
            <w:r>
              <w:rPr>
                <w:rFonts w:asciiTheme="minorHAnsi" w:eastAsiaTheme="minorEastAsia" w:hAnsiTheme="minorHAnsi" w:cstheme="minorBidi"/>
                <w:noProof/>
                <w:sz w:val="22"/>
                <w:szCs w:val="22"/>
                <w:lang w:eastAsia="en-AU"/>
              </w:rPr>
              <w:tab/>
            </w:r>
            <w:r w:rsidRPr="00844DBE">
              <w:rPr>
                <w:rStyle w:val="Hyperlink"/>
                <w:noProof/>
              </w:rPr>
              <w:t>Final decision in relation to methanol in hand sanitisers</w:t>
            </w:r>
            <w:r>
              <w:rPr>
                <w:noProof/>
                <w:webHidden/>
              </w:rPr>
              <w:tab/>
            </w:r>
            <w:r>
              <w:rPr>
                <w:noProof/>
                <w:webHidden/>
              </w:rPr>
              <w:fldChar w:fldCharType="begin"/>
            </w:r>
            <w:r>
              <w:rPr>
                <w:noProof/>
                <w:webHidden/>
              </w:rPr>
              <w:instrText xml:space="preserve"> PAGEREF _Toc90840739 \h </w:instrText>
            </w:r>
            <w:r>
              <w:rPr>
                <w:noProof/>
                <w:webHidden/>
              </w:rPr>
            </w:r>
            <w:r>
              <w:rPr>
                <w:noProof/>
                <w:webHidden/>
              </w:rPr>
              <w:fldChar w:fldCharType="separate"/>
            </w:r>
            <w:r>
              <w:rPr>
                <w:noProof/>
                <w:webHidden/>
              </w:rPr>
              <w:t>13</w:t>
            </w:r>
            <w:r>
              <w:rPr>
                <w:noProof/>
                <w:webHidden/>
              </w:rPr>
              <w:fldChar w:fldCharType="end"/>
            </w:r>
          </w:hyperlink>
        </w:p>
        <w:p w14:paraId="56D9AFCB" w14:textId="4859C9F7" w:rsidR="00E054D8" w:rsidRDefault="00E054D8">
          <w:pPr>
            <w:pStyle w:val="TOC3"/>
            <w:tabs>
              <w:tab w:val="left" w:pos="1701"/>
            </w:tabs>
            <w:rPr>
              <w:rFonts w:asciiTheme="minorHAnsi" w:eastAsiaTheme="minorEastAsia" w:hAnsiTheme="minorHAnsi" w:cstheme="minorBidi"/>
              <w:noProof/>
              <w:sz w:val="22"/>
              <w:szCs w:val="22"/>
              <w:lang w:eastAsia="en-AU"/>
            </w:rPr>
          </w:pPr>
          <w:hyperlink w:anchor="_Toc90840740" w:history="1">
            <w:r w:rsidRPr="00844DBE">
              <w:rPr>
                <w:rStyle w:val="Hyperlink"/>
                <w:noProof/>
              </w:rPr>
              <w:t>3.3</w:t>
            </w:r>
            <w:r>
              <w:rPr>
                <w:rFonts w:asciiTheme="minorHAnsi" w:eastAsiaTheme="minorEastAsia" w:hAnsiTheme="minorHAnsi" w:cstheme="minorBidi"/>
                <w:noProof/>
                <w:sz w:val="22"/>
                <w:szCs w:val="22"/>
                <w:lang w:eastAsia="en-AU"/>
              </w:rPr>
              <w:tab/>
            </w:r>
            <w:r w:rsidRPr="00844DBE">
              <w:rPr>
                <w:rStyle w:val="Hyperlink"/>
                <w:noProof/>
              </w:rPr>
              <w:t>Final decision in relation to eugenol</w:t>
            </w:r>
            <w:r>
              <w:rPr>
                <w:noProof/>
                <w:webHidden/>
              </w:rPr>
              <w:tab/>
            </w:r>
            <w:r>
              <w:rPr>
                <w:noProof/>
                <w:webHidden/>
              </w:rPr>
              <w:fldChar w:fldCharType="begin"/>
            </w:r>
            <w:r>
              <w:rPr>
                <w:noProof/>
                <w:webHidden/>
              </w:rPr>
              <w:instrText xml:space="preserve"> PAGEREF _Toc90840740 \h </w:instrText>
            </w:r>
            <w:r>
              <w:rPr>
                <w:noProof/>
                <w:webHidden/>
              </w:rPr>
            </w:r>
            <w:r>
              <w:rPr>
                <w:noProof/>
                <w:webHidden/>
              </w:rPr>
              <w:fldChar w:fldCharType="separate"/>
            </w:r>
            <w:r>
              <w:rPr>
                <w:noProof/>
                <w:webHidden/>
              </w:rPr>
              <w:t>15</w:t>
            </w:r>
            <w:r>
              <w:rPr>
                <w:noProof/>
                <w:webHidden/>
              </w:rPr>
              <w:fldChar w:fldCharType="end"/>
            </w:r>
          </w:hyperlink>
        </w:p>
        <w:p w14:paraId="7839D79C" w14:textId="1874EAF8" w:rsidR="00E054D8" w:rsidRDefault="00E054D8">
          <w:pPr>
            <w:pStyle w:val="TOC2"/>
            <w:tabs>
              <w:tab w:val="left" w:pos="851"/>
            </w:tabs>
            <w:rPr>
              <w:rFonts w:asciiTheme="minorHAnsi" w:eastAsiaTheme="minorEastAsia" w:hAnsiTheme="minorHAnsi" w:cstheme="minorBidi"/>
              <w:noProof/>
              <w:szCs w:val="22"/>
              <w:lang w:eastAsia="en-AU"/>
            </w:rPr>
          </w:pPr>
          <w:hyperlink w:anchor="_Toc90840741" w:history="1">
            <w:r w:rsidRPr="00844DBE">
              <w:rPr>
                <w:rStyle w:val="Hyperlink"/>
                <w:noProof/>
              </w:rPr>
              <w:t>4</w:t>
            </w:r>
            <w:r>
              <w:rPr>
                <w:rFonts w:asciiTheme="minorHAnsi" w:eastAsiaTheme="minorEastAsia" w:hAnsiTheme="minorHAnsi" w:cstheme="minorBidi"/>
                <w:noProof/>
                <w:szCs w:val="22"/>
                <w:lang w:eastAsia="en-AU"/>
              </w:rPr>
              <w:tab/>
            </w:r>
            <w:r w:rsidRPr="00844DBE">
              <w:rPr>
                <w:rStyle w:val="Hyperlink"/>
                <w:noProof/>
              </w:rPr>
              <w:t>Final decisions in relation to proposed amendments referred to the Advisory Committee on Chemicals Scheduling (ACCS #31, June 2021)</w:t>
            </w:r>
            <w:r>
              <w:rPr>
                <w:noProof/>
                <w:webHidden/>
              </w:rPr>
              <w:tab/>
            </w:r>
            <w:r>
              <w:rPr>
                <w:noProof/>
                <w:webHidden/>
              </w:rPr>
              <w:fldChar w:fldCharType="begin"/>
            </w:r>
            <w:r>
              <w:rPr>
                <w:noProof/>
                <w:webHidden/>
              </w:rPr>
              <w:instrText xml:space="preserve"> PAGEREF _Toc90840741 \h </w:instrText>
            </w:r>
            <w:r>
              <w:rPr>
                <w:noProof/>
                <w:webHidden/>
              </w:rPr>
            </w:r>
            <w:r>
              <w:rPr>
                <w:noProof/>
                <w:webHidden/>
              </w:rPr>
              <w:fldChar w:fldCharType="separate"/>
            </w:r>
            <w:r>
              <w:rPr>
                <w:noProof/>
                <w:webHidden/>
              </w:rPr>
              <w:t>17</w:t>
            </w:r>
            <w:r>
              <w:rPr>
                <w:noProof/>
                <w:webHidden/>
              </w:rPr>
              <w:fldChar w:fldCharType="end"/>
            </w:r>
          </w:hyperlink>
        </w:p>
        <w:p w14:paraId="5E1165D8" w14:textId="1E2962C5" w:rsidR="00E054D8" w:rsidRDefault="00E054D8">
          <w:pPr>
            <w:pStyle w:val="TOC3"/>
            <w:tabs>
              <w:tab w:val="left" w:pos="1701"/>
            </w:tabs>
            <w:rPr>
              <w:rFonts w:asciiTheme="minorHAnsi" w:eastAsiaTheme="minorEastAsia" w:hAnsiTheme="minorHAnsi" w:cstheme="minorBidi"/>
              <w:noProof/>
              <w:sz w:val="22"/>
              <w:szCs w:val="22"/>
              <w:lang w:eastAsia="en-AU"/>
            </w:rPr>
          </w:pPr>
          <w:hyperlink w:anchor="_Toc90840742" w:history="1">
            <w:r w:rsidRPr="00844DBE">
              <w:rPr>
                <w:rStyle w:val="Hyperlink"/>
                <w:noProof/>
              </w:rPr>
              <w:t>4.1</w:t>
            </w:r>
            <w:r>
              <w:rPr>
                <w:rFonts w:asciiTheme="minorHAnsi" w:eastAsiaTheme="minorEastAsia" w:hAnsiTheme="minorHAnsi" w:cstheme="minorBidi"/>
                <w:noProof/>
                <w:sz w:val="22"/>
                <w:szCs w:val="22"/>
                <w:lang w:eastAsia="en-AU"/>
              </w:rPr>
              <w:tab/>
            </w:r>
            <w:r w:rsidRPr="00844DBE">
              <w:rPr>
                <w:rStyle w:val="Hyperlink"/>
                <w:noProof/>
              </w:rPr>
              <w:t>Final decisions in relation to 2-amino-5-methylphenol</w:t>
            </w:r>
            <w:r>
              <w:rPr>
                <w:noProof/>
                <w:webHidden/>
              </w:rPr>
              <w:tab/>
            </w:r>
            <w:r>
              <w:rPr>
                <w:noProof/>
                <w:webHidden/>
              </w:rPr>
              <w:fldChar w:fldCharType="begin"/>
            </w:r>
            <w:r>
              <w:rPr>
                <w:noProof/>
                <w:webHidden/>
              </w:rPr>
              <w:instrText xml:space="preserve"> PAGEREF _Toc90840742 \h </w:instrText>
            </w:r>
            <w:r>
              <w:rPr>
                <w:noProof/>
                <w:webHidden/>
              </w:rPr>
            </w:r>
            <w:r>
              <w:rPr>
                <w:noProof/>
                <w:webHidden/>
              </w:rPr>
              <w:fldChar w:fldCharType="separate"/>
            </w:r>
            <w:r>
              <w:rPr>
                <w:noProof/>
                <w:webHidden/>
              </w:rPr>
              <w:t>17</w:t>
            </w:r>
            <w:r>
              <w:rPr>
                <w:noProof/>
                <w:webHidden/>
              </w:rPr>
              <w:fldChar w:fldCharType="end"/>
            </w:r>
          </w:hyperlink>
        </w:p>
        <w:p w14:paraId="5C7CF824" w14:textId="3BC62118" w:rsidR="00E054D8" w:rsidRDefault="00E054D8">
          <w:pPr>
            <w:pStyle w:val="TOC3"/>
            <w:tabs>
              <w:tab w:val="left" w:pos="1701"/>
            </w:tabs>
            <w:rPr>
              <w:rFonts w:asciiTheme="minorHAnsi" w:eastAsiaTheme="minorEastAsia" w:hAnsiTheme="minorHAnsi" w:cstheme="minorBidi"/>
              <w:noProof/>
              <w:sz w:val="22"/>
              <w:szCs w:val="22"/>
              <w:lang w:eastAsia="en-AU"/>
            </w:rPr>
          </w:pPr>
          <w:hyperlink w:anchor="_Toc90840743" w:history="1">
            <w:r w:rsidRPr="00844DBE">
              <w:rPr>
                <w:rStyle w:val="Hyperlink"/>
                <w:noProof/>
              </w:rPr>
              <w:t>4.2</w:t>
            </w:r>
            <w:r>
              <w:rPr>
                <w:rFonts w:asciiTheme="minorHAnsi" w:eastAsiaTheme="minorEastAsia" w:hAnsiTheme="minorHAnsi" w:cstheme="minorBidi"/>
                <w:noProof/>
                <w:sz w:val="22"/>
                <w:szCs w:val="22"/>
                <w:lang w:eastAsia="en-AU"/>
              </w:rPr>
              <w:tab/>
            </w:r>
            <w:r w:rsidRPr="00844DBE">
              <w:rPr>
                <w:rStyle w:val="Hyperlink"/>
                <w:noProof/>
              </w:rPr>
              <w:t>Final decision in relation to 6-methoxy-N2-methyl-2,3-pyridinediamine</w:t>
            </w:r>
            <w:r>
              <w:rPr>
                <w:noProof/>
                <w:webHidden/>
              </w:rPr>
              <w:tab/>
            </w:r>
            <w:r>
              <w:rPr>
                <w:noProof/>
                <w:webHidden/>
              </w:rPr>
              <w:fldChar w:fldCharType="begin"/>
            </w:r>
            <w:r>
              <w:rPr>
                <w:noProof/>
                <w:webHidden/>
              </w:rPr>
              <w:instrText xml:space="preserve"> PAGEREF _Toc90840743 \h </w:instrText>
            </w:r>
            <w:r>
              <w:rPr>
                <w:noProof/>
                <w:webHidden/>
              </w:rPr>
            </w:r>
            <w:r>
              <w:rPr>
                <w:noProof/>
                <w:webHidden/>
              </w:rPr>
              <w:fldChar w:fldCharType="separate"/>
            </w:r>
            <w:r>
              <w:rPr>
                <w:noProof/>
                <w:webHidden/>
              </w:rPr>
              <w:t>18</w:t>
            </w:r>
            <w:r>
              <w:rPr>
                <w:noProof/>
                <w:webHidden/>
              </w:rPr>
              <w:fldChar w:fldCharType="end"/>
            </w:r>
          </w:hyperlink>
        </w:p>
        <w:p w14:paraId="414873C4" w14:textId="03FDC68F" w:rsidR="00E054D8" w:rsidRDefault="00E054D8">
          <w:pPr>
            <w:pStyle w:val="TOC3"/>
            <w:tabs>
              <w:tab w:val="left" w:pos="1701"/>
            </w:tabs>
            <w:rPr>
              <w:rFonts w:asciiTheme="minorHAnsi" w:eastAsiaTheme="minorEastAsia" w:hAnsiTheme="minorHAnsi" w:cstheme="minorBidi"/>
              <w:noProof/>
              <w:sz w:val="22"/>
              <w:szCs w:val="22"/>
              <w:lang w:eastAsia="en-AU"/>
            </w:rPr>
          </w:pPr>
          <w:hyperlink w:anchor="_Toc90840744" w:history="1">
            <w:r w:rsidRPr="00844DBE">
              <w:rPr>
                <w:rStyle w:val="Hyperlink"/>
                <w:noProof/>
              </w:rPr>
              <w:t>4.3</w:t>
            </w:r>
            <w:r>
              <w:rPr>
                <w:rFonts w:asciiTheme="minorHAnsi" w:eastAsiaTheme="minorEastAsia" w:hAnsiTheme="minorHAnsi" w:cstheme="minorBidi"/>
                <w:noProof/>
                <w:sz w:val="22"/>
                <w:szCs w:val="22"/>
                <w:lang w:eastAsia="en-AU"/>
              </w:rPr>
              <w:tab/>
            </w:r>
            <w:r w:rsidRPr="00844DBE">
              <w:rPr>
                <w:rStyle w:val="Hyperlink"/>
                <w:noProof/>
              </w:rPr>
              <w:t>Final decisions in relation to lead acetates</w:t>
            </w:r>
            <w:r>
              <w:rPr>
                <w:noProof/>
                <w:webHidden/>
              </w:rPr>
              <w:tab/>
            </w:r>
            <w:r>
              <w:rPr>
                <w:noProof/>
                <w:webHidden/>
              </w:rPr>
              <w:fldChar w:fldCharType="begin"/>
            </w:r>
            <w:r>
              <w:rPr>
                <w:noProof/>
                <w:webHidden/>
              </w:rPr>
              <w:instrText xml:space="preserve"> PAGEREF _Toc90840744 \h </w:instrText>
            </w:r>
            <w:r>
              <w:rPr>
                <w:noProof/>
                <w:webHidden/>
              </w:rPr>
            </w:r>
            <w:r>
              <w:rPr>
                <w:noProof/>
                <w:webHidden/>
              </w:rPr>
              <w:fldChar w:fldCharType="separate"/>
            </w:r>
            <w:r>
              <w:rPr>
                <w:noProof/>
                <w:webHidden/>
              </w:rPr>
              <w:t>19</w:t>
            </w:r>
            <w:r>
              <w:rPr>
                <w:noProof/>
                <w:webHidden/>
              </w:rPr>
              <w:fldChar w:fldCharType="end"/>
            </w:r>
          </w:hyperlink>
        </w:p>
        <w:p w14:paraId="7DF331EE" w14:textId="138DF541" w:rsidR="0025660C" w:rsidRDefault="008D3724" w:rsidP="00CC7C62">
          <w:pPr>
            <w:pStyle w:val="TOC3"/>
            <w:tabs>
              <w:tab w:val="left" w:pos="1701"/>
            </w:tabs>
            <w:ind w:left="0"/>
          </w:pPr>
          <w:r>
            <w:rPr>
              <w:sz w:val="32"/>
            </w:rPr>
            <w:fldChar w:fldCharType="end"/>
          </w:r>
        </w:p>
      </w:sdtContent>
    </w:sdt>
    <w:p w14:paraId="3445656D" w14:textId="2936EEE9" w:rsidR="0025660C" w:rsidRPr="00BC2009" w:rsidRDefault="00597B50" w:rsidP="00BC2009">
      <w:pPr>
        <w:pStyle w:val="Heading2"/>
        <w:pageBreakBefore/>
        <w:ind w:left="431" w:hanging="431"/>
      </w:pPr>
      <w:bookmarkStart w:id="4" w:name="_Toc90840731"/>
      <w:bookmarkEnd w:id="3"/>
      <w:bookmarkEnd w:id="2"/>
      <w:bookmarkEnd w:id="1"/>
      <w:r w:rsidRPr="00597B50">
        <w:lastRenderedPageBreak/>
        <w:t>Notice of final decisions to amend (or not amend) the current Poisons Standard</w:t>
      </w:r>
      <w:bookmarkEnd w:id="4"/>
    </w:p>
    <w:p w14:paraId="6885013C" w14:textId="299CFAB0" w:rsidR="00597B50" w:rsidRPr="00A3460E" w:rsidRDefault="00597B50">
      <w:r>
        <w:t xml:space="preserve">This web publication constitutes a notice for the purposes of </w:t>
      </w:r>
      <w:r w:rsidRPr="003A1BDA">
        <w:t>regulation 42ZCZS of</w:t>
      </w:r>
      <w:r w:rsidRPr="00A24A9F">
        <w:t xml:space="preserve"> the </w:t>
      </w:r>
      <w:r w:rsidRPr="00A24A9F">
        <w:rPr>
          <w:i/>
        </w:rPr>
        <w:t>Therapeutic</w:t>
      </w:r>
      <w:r>
        <w:rPr>
          <w:i/>
        </w:rPr>
        <w:t xml:space="preserve"> </w:t>
      </w:r>
      <w:r w:rsidRPr="00E80A53">
        <w:rPr>
          <w:i/>
        </w:rPr>
        <w:t xml:space="preserve">Goods </w:t>
      </w:r>
      <w:r w:rsidRPr="00A3460E">
        <w:rPr>
          <w:i/>
        </w:rPr>
        <w:t xml:space="preserve">Regulations 1990 </w:t>
      </w:r>
      <w:r w:rsidRPr="00A3460E">
        <w:t xml:space="preserve">(the </w:t>
      </w:r>
      <w:r w:rsidRPr="00A3460E">
        <w:rPr>
          <w:b/>
        </w:rPr>
        <w:t>Regulations</w:t>
      </w:r>
      <w:r w:rsidRPr="00A3460E">
        <w:t>). In accordance with regulation 42ZCZS this notice publishes:</w:t>
      </w:r>
    </w:p>
    <w:p w14:paraId="518D5BAC" w14:textId="1671E453" w:rsidR="00597B50" w:rsidRPr="00A3460E" w:rsidRDefault="00597B50" w:rsidP="002F0113">
      <w:pPr>
        <w:pStyle w:val="ListBullet"/>
      </w:pPr>
      <w:r w:rsidRPr="00A3460E">
        <w:t>the decisions made by a delegate of the Secretary pursuant to regulation 42ZCZR;</w:t>
      </w:r>
    </w:p>
    <w:p w14:paraId="3702BF82" w14:textId="6D73BD50" w:rsidR="00597B50" w:rsidRPr="00A3460E" w:rsidRDefault="00597B50">
      <w:pPr>
        <w:pStyle w:val="ListBullet"/>
      </w:pPr>
      <w:r w:rsidRPr="00A3460E">
        <w:t>the reasons for those final decisions; and</w:t>
      </w:r>
    </w:p>
    <w:p w14:paraId="05C5E0CA" w14:textId="51357FC0" w:rsidR="00597B50" w:rsidRPr="00A3460E" w:rsidRDefault="00597B50" w:rsidP="00ED6B23">
      <w:pPr>
        <w:pStyle w:val="ListBullet"/>
      </w:pPr>
      <w:r w:rsidRPr="00A3460E">
        <w:t>the date of effect of those decisions.</w:t>
      </w:r>
    </w:p>
    <w:p w14:paraId="6942A79A" w14:textId="1CA0200A" w:rsidR="00ED5D05" w:rsidRDefault="00ED5D05" w:rsidP="00ED5D05">
      <w:pPr>
        <w:pStyle w:val="Heading2"/>
        <w:pageBreakBefore/>
        <w:ind w:left="431" w:hanging="431"/>
      </w:pPr>
      <w:bookmarkStart w:id="5" w:name="_Toc46323639"/>
      <w:bookmarkStart w:id="6" w:name="_Toc90840732"/>
      <w:r>
        <w:lastRenderedPageBreak/>
        <w:t xml:space="preserve">Final decisions on proposed </w:t>
      </w:r>
      <w:bookmarkEnd w:id="5"/>
      <w:r w:rsidR="00E67C51">
        <w:t>amendments</w:t>
      </w:r>
      <w:r w:rsidR="00E67C51" w:rsidRPr="00E67C51">
        <w:t xml:space="preserve"> referred to the Advisory Committee on Medicines Scheduling (ACMS #34, June 2021)</w:t>
      </w:r>
      <w:bookmarkEnd w:id="6"/>
    </w:p>
    <w:p w14:paraId="4214D372" w14:textId="287D017A" w:rsidR="00FA029A" w:rsidRPr="00FA029A" w:rsidRDefault="00F41DCE" w:rsidP="00FA029A">
      <w:pPr>
        <w:pStyle w:val="Heading3"/>
      </w:pPr>
      <w:bookmarkStart w:id="7" w:name="_Toc90840733"/>
      <w:r>
        <w:t>Final</w:t>
      </w:r>
      <w:r w:rsidR="00FA029A" w:rsidRPr="00FA029A">
        <w:t xml:space="preserve"> decisions </w:t>
      </w:r>
      <w:r w:rsidR="00E67C51">
        <w:t>in relation to amygdalin and hydrocyanic acid</w:t>
      </w:r>
      <w:bookmarkEnd w:id="7"/>
    </w:p>
    <w:p w14:paraId="6960AB69" w14:textId="5881AFFE" w:rsidR="009C3636" w:rsidRPr="002F0113" w:rsidRDefault="009C3636" w:rsidP="002F0113">
      <w:pPr>
        <w:pStyle w:val="Heading4"/>
      </w:pPr>
      <w:bookmarkStart w:id="8" w:name="_Toc46325255"/>
      <w:bookmarkStart w:id="9" w:name="_Toc46325611"/>
      <w:bookmarkStart w:id="10" w:name="_Toc46327427"/>
      <w:bookmarkStart w:id="11" w:name="_Toc46412213"/>
      <w:bookmarkStart w:id="12" w:name="_Final_decision_in"/>
      <w:bookmarkStart w:id="13" w:name="_Toc46325256"/>
      <w:bookmarkStart w:id="14" w:name="_Toc46325612"/>
      <w:bookmarkStart w:id="15" w:name="_Toc46327428"/>
      <w:bookmarkStart w:id="16" w:name="_Toc46412214"/>
      <w:bookmarkStart w:id="17" w:name="_Toc46325257"/>
      <w:bookmarkStart w:id="18" w:name="_Toc46325613"/>
      <w:bookmarkStart w:id="19" w:name="_Toc46327429"/>
      <w:bookmarkStart w:id="20" w:name="_Toc46412215"/>
      <w:bookmarkStart w:id="21" w:name="_Toc46325258"/>
      <w:bookmarkStart w:id="22" w:name="_Toc46325614"/>
      <w:bookmarkStart w:id="23" w:name="_Toc46327430"/>
      <w:bookmarkStart w:id="24" w:name="_Toc46412216"/>
      <w:bookmarkStart w:id="25" w:name="_Toc46325259"/>
      <w:bookmarkStart w:id="26" w:name="_Toc46325615"/>
      <w:bookmarkStart w:id="27" w:name="_Toc46327431"/>
      <w:bookmarkStart w:id="28" w:name="_Toc46412217"/>
      <w:bookmarkStart w:id="29" w:name="_Final_decision_in_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2F0113">
        <w:t>Proposal</w:t>
      </w:r>
    </w:p>
    <w:p w14:paraId="02497566" w14:textId="40FB626E" w:rsidR="009C3636" w:rsidRPr="009C3636" w:rsidRDefault="009C3636" w:rsidP="009C3636">
      <w:r>
        <w:t xml:space="preserve">The applicant proposed amygdalin </w:t>
      </w:r>
      <w:r w:rsidR="008E7E28">
        <w:t xml:space="preserve">be rescheduled </w:t>
      </w:r>
      <w:r>
        <w:t>from Schedule 10 to Schedule 4 when present in low doses as a natural component of traditional Chinese medicines, with a similar amendment for hydrocyanic acid from Schedule 7 to Schedule 4 in traditional Chinese medicines.</w:t>
      </w:r>
    </w:p>
    <w:p w14:paraId="61E0B426" w14:textId="1B2D2ADC" w:rsidR="00335BEC" w:rsidRPr="008036B7" w:rsidRDefault="00436C41" w:rsidP="002F0113">
      <w:pPr>
        <w:pStyle w:val="Heading4"/>
      </w:pPr>
      <w:r>
        <w:t xml:space="preserve">Final </w:t>
      </w:r>
      <w:r w:rsidR="009C3636">
        <w:t>d</w:t>
      </w:r>
      <w:r>
        <w:t>ecision</w:t>
      </w:r>
    </w:p>
    <w:p w14:paraId="55249A09" w14:textId="77777777" w:rsidR="009837F0" w:rsidRDefault="009837F0" w:rsidP="009837F0">
      <w:r w:rsidRPr="00691B94">
        <w:t>Pursuant to regulation 42ZCZR of the Regulations, a Delegate of the Secretary has made a final decision to confirm the interim decision and amend the current Poisons Standard in relation to amygdalin and hydrocyanic acid</w:t>
      </w:r>
      <w:r>
        <w:t xml:space="preserve"> as follows:</w:t>
      </w:r>
    </w:p>
    <w:p w14:paraId="1F13F49C" w14:textId="77777777" w:rsidR="00421B68" w:rsidRDefault="00421B68" w:rsidP="00CC7C62">
      <w:pPr>
        <w:ind w:firstLine="709"/>
        <w:rPr>
          <w:b/>
        </w:rPr>
      </w:pPr>
      <w:r>
        <w:rPr>
          <w:b/>
        </w:rPr>
        <w:t>Index – New Entry</w:t>
      </w:r>
    </w:p>
    <w:p w14:paraId="5B9BC2B6" w14:textId="77777777" w:rsidR="00421B68" w:rsidRDefault="00421B68" w:rsidP="00421B68">
      <w:pPr>
        <w:ind w:left="709"/>
        <w:rPr>
          <w:b/>
        </w:rPr>
      </w:pPr>
      <w:r w:rsidRPr="00D25C52">
        <w:rPr>
          <w:b/>
          <w:color w:val="00B050"/>
        </w:rPr>
        <w:t>APRICOT KERNELS</w:t>
      </w:r>
      <w:r w:rsidRPr="00D25C52">
        <w:rPr>
          <w:b/>
          <w:color w:val="00B050"/>
        </w:rPr>
        <w:br/>
      </w:r>
      <w:r w:rsidRPr="00D25C52">
        <w:rPr>
          <w:bCs/>
          <w:color w:val="00B050"/>
        </w:rPr>
        <w:t>cross reference: AMYGDALIN, HYDROCYANIC ACID</w:t>
      </w:r>
    </w:p>
    <w:p w14:paraId="0189A93F" w14:textId="77777777" w:rsidR="00421B68" w:rsidRPr="00360473" w:rsidRDefault="00421B68" w:rsidP="00421B68">
      <w:pPr>
        <w:ind w:left="709"/>
        <w:rPr>
          <w:b/>
        </w:rPr>
      </w:pPr>
      <w:r w:rsidRPr="00360473">
        <w:rPr>
          <w:b/>
        </w:rPr>
        <w:t>Index – Amend Entry</w:t>
      </w:r>
    </w:p>
    <w:p w14:paraId="192E834C" w14:textId="77777777" w:rsidR="00421B68" w:rsidRDefault="00421B68" w:rsidP="00421B68">
      <w:pPr>
        <w:ind w:left="709"/>
      </w:pPr>
      <w:r w:rsidRPr="00360473">
        <w:rPr>
          <w:b/>
        </w:rPr>
        <w:t>AMYGDALIN</w:t>
      </w:r>
      <w:r>
        <w:br/>
      </w:r>
      <w:r w:rsidRPr="00360473">
        <w:rPr>
          <w:color w:val="00B050"/>
        </w:rPr>
        <w:t>cross reference: APRICOT KERNELS</w:t>
      </w:r>
    </w:p>
    <w:p w14:paraId="286FB0EF" w14:textId="77777777" w:rsidR="00421B68" w:rsidRDefault="00421B68" w:rsidP="00421B68">
      <w:pPr>
        <w:ind w:left="709"/>
      </w:pPr>
      <w:r>
        <w:t>Schedule 10</w:t>
      </w:r>
    </w:p>
    <w:p w14:paraId="5FE39A40" w14:textId="77777777" w:rsidR="00421B68" w:rsidRDefault="00421B68" w:rsidP="00421B68">
      <w:pPr>
        <w:ind w:left="709"/>
      </w:pPr>
      <w:r w:rsidRPr="00360473">
        <w:rPr>
          <w:b/>
        </w:rPr>
        <w:t>HYDROCYANIC ACID</w:t>
      </w:r>
      <w:r>
        <w:br/>
      </w:r>
      <w:r w:rsidRPr="00360473">
        <w:t>cross reference: CYANIDES</w:t>
      </w:r>
      <w:r>
        <w:rPr>
          <w:color w:val="00B050"/>
        </w:rPr>
        <w:t xml:space="preserve">, </w:t>
      </w:r>
      <w:r w:rsidRPr="00360473">
        <w:rPr>
          <w:color w:val="00B050"/>
        </w:rPr>
        <w:t>APRICOT KERNELS</w:t>
      </w:r>
    </w:p>
    <w:p w14:paraId="39A16E24" w14:textId="77777777" w:rsidR="00421B68" w:rsidRDefault="00421B68" w:rsidP="00421B68">
      <w:pPr>
        <w:ind w:left="709"/>
      </w:pPr>
      <w:r>
        <w:t>Schedule 7</w:t>
      </w:r>
      <w:r>
        <w:br/>
        <w:t>Schedule 4</w:t>
      </w:r>
      <w:r>
        <w:br/>
        <w:t>Appendix F, Part 3</w:t>
      </w:r>
      <w:r>
        <w:br/>
        <w:t>Appendix G</w:t>
      </w:r>
      <w:r>
        <w:br/>
        <w:t>Appendix J, Part 2</w:t>
      </w:r>
    </w:p>
    <w:p w14:paraId="5D482910" w14:textId="2ED2012E" w:rsidR="00436C41" w:rsidRDefault="00436C41" w:rsidP="002F0113">
      <w:pPr>
        <w:pStyle w:val="Heading4"/>
      </w:pPr>
      <w:r>
        <w:t>Materials considered</w:t>
      </w:r>
    </w:p>
    <w:p w14:paraId="348AF278" w14:textId="4E3E957E" w:rsidR="006A64F4" w:rsidRDefault="006A64F4" w:rsidP="006A64F4">
      <w:r>
        <w:t>In making this final decision, the Delegate considered the following material:</w:t>
      </w:r>
    </w:p>
    <w:p w14:paraId="46E4DFF2" w14:textId="77777777" w:rsidR="00691B94" w:rsidRPr="006501A1" w:rsidRDefault="00691B94" w:rsidP="002F0113">
      <w:pPr>
        <w:pStyle w:val="ListBullet"/>
      </w:pPr>
      <w:r w:rsidRPr="006501A1">
        <w:t xml:space="preserve">The </w:t>
      </w:r>
      <w:hyperlink r:id="rId16" w:history="1">
        <w:r w:rsidRPr="006501A1">
          <w:rPr>
            <w:rStyle w:val="Hyperlink"/>
          </w:rPr>
          <w:t>application</w:t>
        </w:r>
      </w:hyperlink>
      <w:r w:rsidRPr="006501A1">
        <w:t xml:space="preserve"> to amend the current </w:t>
      </w:r>
      <w:r w:rsidRPr="002F0113">
        <w:t>Poisons</w:t>
      </w:r>
      <w:r w:rsidRPr="006501A1">
        <w:t xml:space="preserve"> Standard with respect to amygdalin and hydrocyanic acid;</w:t>
      </w:r>
    </w:p>
    <w:p w14:paraId="55701896" w14:textId="77777777" w:rsidR="00691B94" w:rsidRPr="006367ED" w:rsidRDefault="00691B94" w:rsidP="00691B94">
      <w:pPr>
        <w:pStyle w:val="ListBullet"/>
      </w:pPr>
      <w:r w:rsidRPr="006367ED">
        <w:t xml:space="preserve">The seven </w:t>
      </w:r>
      <w:hyperlink r:id="rId17" w:history="1">
        <w:r w:rsidRPr="006367ED">
          <w:rPr>
            <w:rStyle w:val="Hyperlink"/>
          </w:rPr>
          <w:t>public submissions</w:t>
        </w:r>
      </w:hyperlink>
      <w:r w:rsidRPr="006367ED">
        <w:rPr>
          <w:rStyle w:val="Hyperlink"/>
        </w:rPr>
        <w:t>,</w:t>
      </w:r>
      <w:r w:rsidRPr="006367ED">
        <w:t xml:space="preserve"> all including a written component, received in response to the </w:t>
      </w:r>
      <w:hyperlink r:id="rId18" w:history="1">
        <w:r w:rsidRPr="006367ED">
          <w:rPr>
            <w:rStyle w:val="Hyperlink"/>
          </w:rPr>
          <w:t>pre-meeting consultation</w:t>
        </w:r>
      </w:hyperlink>
      <w:r w:rsidRPr="006367ED">
        <w:t xml:space="preserve"> under regulation 42ZCZK of the Regulations;</w:t>
      </w:r>
    </w:p>
    <w:p w14:paraId="486C0BE2" w14:textId="7BBA6C75" w:rsidR="00691B94" w:rsidRDefault="00691B94" w:rsidP="00691B94">
      <w:pPr>
        <w:pStyle w:val="ListBullet"/>
      </w:pPr>
      <w:r>
        <w:t xml:space="preserve">The advice </w:t>
      </w:r>
      <w:r w:rsidRPr="00A825A4">
        <w:t>received from the Advisory Committee o</w:t>
      </w:r>
      <w:r>
        <w:t xml:space="preserve">n Medicines Scheduling (ACMS </w:t>
      </w:r>
      <w:r w:rsidR="008261A8">
        <w:t xml:space="preserve">meeting </w:t>
      </w:r>
      <w:r>
        <w:t>#34</w:t>
      </w:r>
      <w:r w:rsidRPr="00A825A4">
        <w:t>);</w:t>
      </w:r>
    </w:p>
    <w:p w14:paraId="5A07A72C" w14:textId="1710370C" w:rsidR="00691B94" w:rsidRDefault="00691B94" w:rsidP="00691B94">
      <w:pPr>
        <w:pStyle w:val="ListBullet"/>
      </w:pPr>
      <w:r>
        <w:t xml:space="preserve">The </w:t>
      </w:r>
      <w:r w:rsidR="00387C6B">
        <w:t>two</w:t>
      </w:r>
      <w:r>
        <w:t xml:space="preserve"> </w:t>
      </w:r>
      <w:hyperlink r:id="rId19" w:history="1">
        <w:r w:rsidRPr="00387C6B">
          <w:rPr>
            <w:rStyle w:val="Hyperlink"/>
          </w:rPr>
          <w:t>public submissions</w:t>
        </w:r>
      </w:hyperlink>
      <w:r>
        <w:t xml:space="preserve"> received in response to the </w:t>
      </w:r>
      <w:hyperlink r:id="rId20" w:history="1">
        <w:r w:rsidRPr="00387C6B">
          <w:rPr>
            <w:rStyle w:val="Hyperlink"/>
          </w:rPr>
          <w:t>interim decision consultation</w:t>
        </w:r>
      </w:hyperlink>
      <w:r>
        <w:t xml:space="preserve"> </w:t>
      </w:r>
      <w:r w:rsidRPr="002C1418">
        <w:t>under regulation 42ZCZP of the Regulations</w:t>
      </w:r>
      <w:r>
        <w:t>;</w:t>
      </w:r>
    </w:p>
    <w:p w14:paraId="7410AB53" w14:textId="77777777" w:rsidR="00691B94" w:rsidRDefault="00691B94" w:rsidP="00691B94">
      <w:pPr>
        <w:pStyle w:val="ListBullet"/>
      </w:pPr>
      <w:r>
        <w:lastRenderedPageBreak/>
        <w:t xml:space="preserve">Subsection 52E(1) of the </w:t>
      </w:r>
      <w:r w:rsidRPr="00FC4D25">
        <w:rPr>
          <w:i/>
        </w:rPr>
        <w:t xml:space="preserve">Therapeutic Goods Act 1989, </w:t>
      </w:r>
      <w:r w:rsidRPr="001169AC">
        <w:t xml:space="preserve">in particular </w:t>
      </w:r>
      <w:r>
        <w:t>(a)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3E898145" w14:textId="77777777" w:rsidR="00691B94" w:rsidRDefault="00691B94" w:rsidP="00691B94">
      <w:pPr>
        <w:pStyle w:val="ListBullet"/>
      </w:pPr>
      <w:r w:rsidRPr="002C1418">
        <w:t xml:space="preserve">The Australian Health Ministers’ Advisory Council’s </w:t>
      </w:r>
      <w:hyperlink r:id="rId21" w:history="1">
        <w:r w:rsidRPr="001A7580">
          <w:rPr>
            <w:rStyle w:val="Hyperlink"/>
          </w:rPr>
          <w:t>Scheduling Policy Framework</w:t>
        </w:r>
      </w:hyperlink>
      <w:r>
        <w:t xml:space="preserve"> (SPF 2018</w:t>
      </w:r>
      <w:r w:rsidRPr="002C20AE">
        <w:t>);</w:t>
      </w:r>
      <w:r>
        <w:t xml:space="preserve"> and</w:t>
      </w:r>
    </w:p>
    <w:p w14:paraId="3C31001F" w14:textId="77777777" w:rsidR="00691B94" w:rsidRPr="006501A1" w:rsidRDefault="00691B94" w:rsidP="00691B94">
      <w:pPr>
        <w:pStyle w:val="ListBullet"/>
      </w:pPr>
      <w:r>
        <w:t xml:space="preserve">The </w:t>
      </w:r>
      <w:hyperlink r:id="rId22" w:history="1">
        <w:r w:rsidRPr="001A7580">
          <w:rPr>
            <w:rStyle w:val="Hyperlink"/>
          </w:rPr>
          <w:t>Scheduling handbook: Guidance for amending the Poisons Standard</w:t>
        </w:r>
      </w:hyperlink>
      <w:r>
        <w:t>.</w:t>
      </w:r>
    </w:p>
    <w:p w14:paraId="70E59020" w14:textId="6A773F7F" w:rsidR="00436C41" w:rsidRDefault="00436C41" w:rsidP="002F0113">
      <w:pPr>
        <w:pStyle w:val="Heading4"/>
      </w:pPr>
      <w:r w:rsidRPr="00436C41">
        <w:t>Reasons for the final decision (including findings on material questions of fact)</w:t>
      </w:r>
    </w:p>
    <w:p w14:paraId="64E9C1AD" w14:textId="02771BFF" w:rsidR="004B32D0" w:rsidRDefault="004B32D0" w:rsidP="004B32D0">
      <w:r w:rsidRPr="000C7164">
        <w:t xml:space="preserve">I have made a final decision to confirm my </w:t>
      </w:r>
      <w:hyperlink r:id="rId23" w:history="1">
        <w:r w:rsidRPr="000619D3">
          <w:rPr>
            <w:rStyle w:val="Hyperlink"/>
          </w:rPr>
          <w:t>interim decision</w:t>
        </w:r>
      </w:hyperlink>
      <w:r w:rsidRPr="000C7164">
        <w:t xml:space="preserve"> </w:t>
      </w:r>
      <w:r w:rsidR="00E82136" w:rsidRPr="000C7164">
        <w:t xml:space="preserve">to </w:t>
      </w:r>
      <w:r w:rsidRPr="000C7164">
        <w:t xml:space="preserve">not amend the current Poisons Standard with respect </w:t>
      </w:r>
      <w:r w:rsidR="00E82136" w:rsidRPr="000C7164">
        <w:t>to amygdalin and hydrocyanic acid</w:t>
      </w:r>
      <w:r w:rsidRPr="000C7164">
        <w:t>. My reasons for making the final decision are those set out in the interim decision. In making my final decision, I have taken into account the material detailed in the interim decision and</w:t>
      </w:r>
      <w:r w:rsidR="00387C6B">
        <w:t xml:space="preserve"> </w:t>
      </w:r>
      <w:r w:rsidRPr="00387C6B">
        <w:t xml:space="preserve">the </w:t>
      </w:r>
      <w:r w:rsidR="00387C6B" w:rsidRPr="00387C6B">
        <w:t>two</w:t>
      </w:r>
      <w:r w:rsidRPr="00387C6B">
        <w:t xml:space="preserve"> public submissions</w:t>
      </w:r>
      <w:r w:rsidRPr="000C7164">
        <w:t xml:space="preserve"> received before the second closing date in response to the call for further submissions published on </w:t>
      </w:r>
      <w:r w:rsidR="000C7164" w:rsidRPr="000C7164">
        <w:t>30 September 2021</w:t>
      </w:r>
      <w:r w:rsidRPr="000C7164">
        <w:t xml:space="preserve"> under regulation 42ZCZP of the Regulations.</w:t>
      </w:r>
    </w:p>
    <w:p w14:paraId="1A786C3D" w14:textId="49841196" w:rsidR="003A724F" w:rsidRDefault="00387C6B" w:rsidP="004B32D0">
      <w:r>
        <w:t>I have considered the written public submission received from Complementary Medicines Australia</w:t>
      </w:r>
      <w:r w:rsidR="00A14896">
        <w:t xml:space="preserve"> (CMA)</w:t>
      </w:r>
      <w:r>
        <w:t xml:space="preserve">, which </w:t>
      </w:r>
      <w:r w:rsidR="008261A8">
        <w:t xml:space="preserve">is </w:t>
      </w:r>
      <w:r>
        <w:t>opposed to the interim decision.</w:t>
      </w:r>
      <w:r w:rsidR="00A14896">
        <w:t xml:space="preserve"> The CMA submission states that amygdalin is a naturally occurring contaminant in naturally sourced materials </w:t>
      </w:r>
      <w:r w:rsidR="006C7C98">
        <w:t>that</w:t>
      </w:r>
      <w:r w:rsidR="00A14896">
        <w:t xml:space="preserve"> are permitted for use in herbal medicines, and therefore the zero tolerance for amygdalin established by its entry in Schedule 10 of the Poisons Standard is not practicable. The CMA submission reasserts </w:t>
      </w:r>
      <w:r w:rsidR="008261A8">
        <w:t xml:space="preserve">that there are </w:t>
      </w:r>
      <w:r w:rsidR="00F41A81">
        <w:t>established safety margins for the presence of amygdalin, and that the scheduling of amygdalin (</w:t>
      </w:r>
      <w:r w:rsidR="00E05AFE">
        <w:t xml:space="preserve">which was </w:t>
      </w:r>
      <w:r w:rsidR="00F41A81">
        <w:t>established prior to the determination of these safety margins) should be updated to reflect these assessments.</w:t>
      </w:r>
      <w:r w:rsidR="0025659B">
        <w:t xml:space="preserve"> The CMA submission also refers to </w:t>
      </w:r>
      <w:r w:rsidR="000D692C">
        <w:t>European Food Safety Authority (</w:t>
      </w:r>
      <w:r w:rsidR="0025659B">
        <w:t>EFSA</w:t>
      </w:r>
      <w:r w:rsidR="000D692C">
        <w:t>)</w:t>
      </w:r>
      <w:r w:rsidR="0025659B">
        <w:t xml:space="preserve"> and WHO recommendations on the content of amygdalin in foods</w:t>
      </w:r>
      <w:r w:rsidR="003A724F">
        <w:t xml:space="preserve"> and extrapolates these to recommend amendments to the scheduling of amygdalin.</w:t>
      </w:r>
    </w:p>
    <w:p w14:paraId="3EFB3C33" w14:textId="0FCC5A55" w:rsidR="00387C6B" w:rsidRDefault="003A724F" w:rsidP="002F0113">
      <w:r>
        <w:t>I have considered the points raised in the CMA submission but, consistent with the interim decision, I remain unconvinced that the risks associated with the presence of amygdalin in traditional Chinese medicines are outweighed by any health benefits, as outlined in the scheduling factors for a Schedule 10 substance. The potential for toxic effects even at lo</w:t>
      </w:r>
      <w:r w:rsidR="00E05AFE">
        <w:t>w</w:t>
      </w:r>
      <w:r>
        <w:t xml:space="preserve"> dose</w:t>
      </w:r>
      <w:r w:rsidR="00E05AFE">
        <w:t>s</w:t>
      </w:r>
      <w:r>
        <w:t xml:space="preserve"> of amygdalin, coupled with the hazards presented to children and the evidence that this substance is misused in the treatment of cancer and other serious health conditions</w:t>
      </w:r>
      <w:r w:rsidR="00207887">
        <w:t xml:space="preserve">, </w:t>
      </w:r>
      <w:r w:rsidR="006C7C98">
        <w:t>supports the decision</w:t>
      </w:r>
      <w:r w:rsidR="00207887">
        <w:t xml:space="preserve"> that the scheduling for amygdalin and hydrocyanic acid should remain unchanged.</w:t>
      </w:r>
    </w:p>
    <w:p w14:paraId="5859C976" w14:textId="370DEAC8" w:rsidR="00387C6B" w:rsidRPr="00207887" w:rsidRDefault="00387C6B" w:rsidP="004B32D0">
      <w:r>
        <w:t>I note that the second written public submission</w:t>
      </w:r>
      <w:r w:rsidR="00207887">
        <w:t xml:space="preserve"> received in response to the interim decision</w:t>
      </w:r>
      <w:r>
        <w:t>, from the Pharma</w:t>
      </w:r>
      <w:r w:rsidRPr="00207887">
        <w:t>cy Guild</w:t>
      </w:r>
      <w:r w:rsidR="006C7C98">
        <w:t xml:space="preserve"> of Australia</w:t>
      </w:r>
      <w:r w:rsidRPr="00207887">
        <w:t xml:space="preserve">, was supportive of the decision for the reasons outlined in the </w:t>
      </w:r>
      <w:r w:rsidR="006C7C98">
        <w:t xml:space="preserve">interim </w:t>
      </w:r>
      <w:r w:rsidRPr="00207887">
        <w:t>decision.</w:t>
      </w:r>
    </w:p>
    <w:p w14:paraId="7868A2E7" w14:textId="25B5ED7A" w:rsidR="004B32D0" w:rsidRPr="00207887" w:rsidRDefault="00207887" w:rsidP="0098349C">
      <w:r w:rsidRPr="00207887">
        <w:t>For clarity, I have decided to retain the new cross reference to apricot kernels, as outli</w:t>
      </w:r>
      <w:r w:rsidR="00E05AFE">
        <w:t>n</w:t>
      </w:r>
      <w:r w:rsidRPr="00207887">
        <w:t>ed in the interim decision.</w:t>
      </w:r>
    </w:p>
    <w:p w14:paraId="62D1F954" w14:textId="53B2211F" w:rsidR="00F41DCE" w:rsidRDefault="000C7164" w:rsidP="0098349C">
      <w:pPr>
        <w:pStyle w:val="Heading4"/>
      </w:pPr>
      <w:r>
        <w:t>Implementation date</w:t>
      </w:r>
    </w:p>
    <w:p w14:paraId="2C56F6AA" w14:textId="5A1D1F53" w:rsidR="00F41DCE" w:rsidRDefault="000C7164" w:rsidP="00F41DCE">
      <w:pPr>
        <w:rPr>
          <w:b/>
          <w:bCs/>
        </w:rPr>
      </w:pPr>
      <w:r w:rsidRPr="000C7164">
        <w:rPr>
          <w:b/>
          <w:bCs/>
        </w:rPr>
        <w:t>1 February 2022</w:t>
      </w:r>
    </w:p>
    <w:p w14:paraId="1529C742" w14:textId="38E0BAED" w:rsidR="005756FA" w:rsidRPr="009C3F47" w:rsidRDefault="005756FA" w:rsidP="00D959FC">
      <w:pPr>
        <w:pStyle w:val="Heading3"/>
      </w:pPr>
      <w:bookmarkStart w:id="30" w:name="_Toc69984533"/>
      <w:bookmarkStart w:id="31" w:name="_Toc77327983"/>
      <w:bookmarkStart w:id="32" w:name="_Toc77686118"/>
      <w:bookmarkStart w:id="33" w:name="_Toc81573622"/>
      <w:bookmarkStart w:id="34" w:name="_Toc90840734"/>
      <w:r w:rsidRPr="009C3F47">
        <w:lastRenderedPageBreak/>
        <w:t xml:space="preserve">Final decision in relation to </w:t>
      </w:r>
      <w:bookmarkEnd w:id="30"/>
      <w:bookmarkEnd w:id="31"/>
      <w:bookmarkEnd w:id="32"/>
      <w:bookmarkEnd w:id="33"/>
      <w:proofErr w:type="spellStart"/>
      <w:r>
        <w:t>bufexamac</w:t>
      </w:r>
      <w:bookmarkEnd w:id="34"/>
      <w:proofErr w:type="spellEnd"/>
    </w:p>
    <w:p w14:paraId="7ECDFE2C" w14:textId="77777777" w:rsidR="005756FA" w:rsidRPr="009C3F47" w:rsidRDefault="005756FA" w:rsidP="0098349C">
      <w:pPr>
        <w:pStyle w:val="Heading4"/>
      </w:pPr>
      <w:r w:rsidRPr="009C3F47">
        <w:t>Proposal</w:t>
      </w:r>
    </w:p>
    <w:p w14:paraId="3F9CDDF6" w14:textId="77777777" w:rsidR="005756FA" w:rsidRPr="009C3F47" w:rsidRDefault="005756FA" w:rsidP="005756FA">
      <w:r w:rsidRPr="009C3F47">
        <w:t xml:space="preserve">A Delegate of the Secretary of the Commonwealth Department of Health (the Delegate) proposed </w:t>
      </w:r>
      <w:r>
        <w:t xml:space="preserve">to amend the Schedule 4 entry for </w:t>
      </w:r>
      <w:proofErr w:type="spellStart"/>
      <w:r>
        <w:t>bufexamac</w:t>
      </w:r>
      <w:proofErr w:type="spellEnd"/>
      <w:r>
        <w:t xml:space="preserve"> to remove the existing exceptions for suppositories and dermal use.</w:t>
      </w:r>
    </w:p>
    <w:p w14:paraId="7FFC097E" w14:textId="77777777" w:rsidR="005756FA" w:rsidRPr="009C3F47" w:rsidRDefault="005756FA" w:rsidP="0098349C">
      <w:pPr>
        <w:pStyle w:val="Heading4"/>
      </w:pPr>
      <w:r w:rsidRPr="009C3F47">
        <w:t>Final decision</w:t>
      </w:r>
    </w:p>
    <w:p w14:paraId="030532E5" w14:textId="7BA7D297" w:rsidR="005756FA" w:rsidRPr="009C3F47" w:rsidRDefault="005756FA" w:rsidP="005756FA">
      <w:r w:rsidRPr="009C3F47">
        <w:t>Pursuant to regulation 42ZCZ</w:t>
      </w:r>
      <w:r w:rsidR="008F10DF">
        <w:t>R</w:t>
      </w:r>
      <w:r w:rsidRPr="009C3F47">
        <w:t xml:space="preserve"> of the Regulations, a Delegate of the Secretary has, in relation to the proposed amendment, made a final decision to amend the scheduling of </w:t>
      </w:r>
      <w:proofErr w:type="spellStart"/>
      <w:r>
        <w:t>bufexamac</w:t>
      </w:r>
      <w:proofErr w:type="spellEnd"/>
      <w:r w:rsidRPr="009C3F47">
        <w:t xml:space="preserve"> in the current Poisons Standard as follows:</w:t>
      </w:r>
    </w:p>
    <w:p w14:paraId="797E2213" w14:textId="77777777" w:rsidR="005756FA" w:rsidRPr="009C3F47" w:rsidRDefault="005756FA" w:rsidP="005756FA">
      <w:pPr>
        <w:ind w:left="426"/>
        <w:rPr>
          <w:b/>
          <w:i/>
        </w:rPr>
      </w:pPr>
      <w:r w:rsidRPr="009C3F47">
        <w:rPr>
          <w:b/>
        </w:rPr>
        <w:t xml:space="preserve">Schedule </w:t>
      </w:r>
      <w:r>
        <w:rPr>
          <w:b/>
        </w:rPr>
        <w:t>4</w:t>
      </w:r>
      <w:r w:rsidRPr="009C3F47">
        <w:rPr>
          <w:b/>
        </w:rPr>
        <w:t xml:space="preserve"> – </w:t>
      </w:r>
      <w:r>
        <w:rPr>
          <w:b/>
        </w:rPr>
        <w:t>Amend</w:t>
      </w:r>
      <w:r w:rsidRPr="009C3F47">
        <w:rPr>
          <w:b/>
        </w:rPr>
        <w:t xml:space="preserve"> Entry</w:t>
      </w:r>
    </w:p>
    <w:p w14:paraId="76EE3D85" w14:textId="77777777" w:rsidR="005756FA" w:rsidRPr="009C3F47" w:rsidRDefault="005756FA" w:rsidP="005756FA">
      <w:pPr>
        <w:ind w:left="426"/>
        <w:rPr>
          <w:strike/>
          <w:color w:val="FF0000"/>
        </w:rPr>
      </w:pPr>
      <w:r>
        <w:t xml:space="preserve">BUFEXAMAC </w:t>
      </w:r>
      <w:r w:rsidRPr="009C3F47">
        <w:rPr>
          <w:b/>
          <w:bCs/>
          <w:strike/>
          <w:color w:val="FF0000"/>
        </w:rPr>
        <w:t>except</w:t>
      </w:r>
      <w:r w:rsidRPr="009C3F47">
        <w:rPr>
          <w:strike/>
          <w:color w:val="FF0000"/>
        </w:rPr>
        <w:t>:</w:t>
      </w:r>
    </w:p>
    <w:p w14:paraId="2CBB0995" w14:textId="77777777" w:rsidR="005756FA" w:rsidRPr="009C3F47" w:rsidRDefault="005756FA" w:rsidP="002A58D7">
      <w:pPr>
        <w:pStyle w:val="ListParagraph"/>
        <w:numPr>
          <w:ilvl w:val="0"/>
          <w:numId w:val="10"/>
        </w:numPr>
        <w:rPr>
          <w:bCs/>
          <w:iCs/>
          <w:strike/>
          <w:color w:val="FF0000"/>
        </w:rPr>
      </w:pPr>
      <w:r w:rsidRPr="009C3F47">
        <w:rPr>
          <w:bCs/>
          <w:iCs/>
          <w:strike/>
          <w:color w:val="FF0000"/>
        </w:rPr>
        <w:t xml:space="preserve">in preparations for dermal use containing 5 per cent or less of </w:t>
      </w:r>
      <w:proofErr w:type="spellStart"/>
      <w:r w:rsidRPr="009C3F47">
        <w:rPr>
          <w:bCs/>
          <w:iCs/>
          <w:strike/>
          <w:color w:val="FF0000"/>
        </w:rPr>
        <w:t>bufexamac</w:t>
      </w:r>
      <w:proofErr w:type="spellEnd"/>
      <w:r w:rsidRPr="009C3F47">
        <w:rPr>
          <w:bCs/>
          <w:iCs/>
          <w:strike/>
          <w:color w:val="FF0000"/>
        </w:rPr>
        <w:t>; or</w:t>
      </w:r>
    </w:p>
    <w:p w14:paraId="1E6B731F" w14:textId="77777777" w:rsidR="005756FA" w:rsidRPr="009C3F47" w:rsidRDefault="005756FA" w:rsidP="005756FA">
      <w:pPr>
        <w:pStyle w:val="ListParagraph"/>
        <w:ind w:left="1146"/>
        <w:rPr>
          <w:bCs/>
          <w:iCs/>
          <w:strike/>
          <w:color w:val="FF0000"/>
        </w:rPr>
      </w:pPr>
    </w:p>
    <w:p w14:paraId="1B2C2582" w14:textId="77777777" w:rsidR="005756FA" w:rsidRPr="009C3F47" w:rsidRDefault="005756FA" w:rsidP="002A58D7">
      <w:pPr>
        <w:pStyle w:val="ListParagraph"/>
        <w:numPr>
          <w:ilvl w:val="0"/>
          <w:numId w:val="10"/>
        </w:numPr>
        <w:rPr>
          <w:bCs/>
          <w:iCs/>
          <w:strike/>
          <w:color w:val="FF0000"/>
        </w:rPr>
      </w:pPr>
      <w:r w:rsidRPr="009C3F47">
        <w:rPr>
          <w:bCs/>
          <w:iCs/>
          <w:strike/>
          <w:color w:val="FF0000"/>
        </w:rPr>
        <w:t>in suppositories.</w:t>
      </w:r>
    </w:p>
    <w:p w14:paraId="07A7BD61" w14:textId="78FD2489" w:rsidR="005756FA" w:rsidRPr="009C3F47" w:rsidRDefault="005756FA" w:rsidP="005756FA">
      <w:pPr>
        <w:ind w:left="426"/>
        <w:rPr>
          <w:b/>
          <w:i/>
        </w:rPr>
      </w:pPr>
      <w:r w:rsidRPr="009C3F47">
        <w:rPr>
          <w:b/>
        </w:rPr>
        <w:t>Index</w:t>
      </w:r>
    </w:p>
    <w:p w14:paraId="4918DAD9" w14:textId="77777777" w:rsidR="005756FA" w:rsidRPr="009C3F47" w:rsidRDefault="005756FA" w:rsidP="005756FA">
      <w:pPr>
        <w:ind w:left="426"/>
        <w:rPr>
          <w:b/>
        </w:rPr>
      </w:pPr>
      <w:r w:rsidRPr="009C3F47">
        <w:rPr>
          <w:b/>
        </w:rPr>
        <w:t>BUFEXAMAC</w:t>
      </w:r>
    </w:p>
    <w:p w14:paraId="5990A1E7" w14:textId="77777777" w:rsidR="005756FA" w:rsidRPr="009C3F47" w:rsidRDefault="005756FA" w:rsidP="005756FA">
      <w:pPr>
        <w:ind w:left="426"/>
        <w:rPr>
          <w:bCs/>
          <w:highlight w:val="yellow"/>
        </w:rPr>
      </w:pPr>
      <w:r w:rsidRPr="009C3F47">
        <w:rPr>
          <w:bCs/>
        </w:rPr>
        <w:t>Schedule 4</w:t>
      </w:r>
    </w:p>
    <w:p w14:paraId="1CA00A6A" w14:textId="77777777" w:rsidR="005756FA" w:rsidRPr="009C3F47" w:rsidRDefault="005756FA" w:rsidP="0098349C">
      <w:pPr>
        <w:pStyle w:val="Heading4"/>
      </w:pPr>
      <w:r w:rsidRPr="009C3F47">
        <w:t>Materials considered</w:t>
      </w:r>
    </w:p>
    <w:p w14:paraId="42BC42C6" w14:textId="77777777" w:rsidR="005756FA" w:rsidRPr="009C3F47" w:rsidRDefault="005756FA" w:rsidP="005756FA">
      <w:r w:rsidRPr="009C3F47">
        <w:t>In making this final decision, the Delegate considered the following material:</w:t>
      </w:r>
    </w:p>
    <w:p w14:paraId="4B5A7D98" w14:textId="77777777" w:rsidR="005756FA" w:rsidRPr="009C3F47" w:rsidRDefault="005756FA" w:rsidP="005756FA">
      <w:pPr>
        <w:pStyle w:val="ListBullet"/>
        <w:numPr>
          <w:ilvl w:val="0"/>
          <w:numId w:val="1"/>
        </w:numPr>
        <w:spacing w:before="180"/>
      </w:pPr>
      <w:r w:rsidRPr="009C3F47">
        <w:t xml:space="preserve">The </w:t>
      </w:r>
      <w:r>
        <w:t>two</w:t>
      </w:r>
      <w:r w:rsidRPr="009C3F47">
        <w:t xml:space="preserve"> </w:t>
      </w:r>
      <w:hyperlink r:id="rId24" w:history="1">
        <w:r w:rsidRPr="00A1011F">
          <w:rPr>
            <w:rStyle w:val="Hyperlink"/>
          </w:rPr>
          <w:t>public submissions,</w:t>
        </w:r>
      </w:hyperlink>
      <w:r>
        <w:t xml:space="preserve"> both </w:t>
      </w:r>
      <w:r w:rsidRPr="009C3F47">
        <w:t xml:space="preserve">including </w:t>
      </w:r>
      <w:r>
        <w:t xml:space="preserve">a written component, received in response to the </w:t>
      </w:r>
      <w:hyperlink r:id="rId25" w:history="1">
        <w:r w:rsidRPr="00A1011F">
          <w:rPr>
            <w:color w:val="0000FF"/>
            <w:u w:val="single"/>
          </w:rPr>
          <w:t>pre-meeting consultation</w:t>
        </w:r>
      </w:hyperlink>
      <w:r w:rsidRPr="009C3F47">
        <w:t xml:space="preserve"> under regulation 42ZCZK of the Regulations;</w:t>
      </w:r>
    </w:p>
    <w:p w14:paraId="69911DFD" w14:textId="206FE586" w:rsidR="005756FA" w:rsidRPr="009C3F47" w:rsidRDefault="005756FA" w:rsidP="0098349C">
      <w:pPr>
        <w:pStyle w:val="ListBullet"/>
      </w:pPr>
      <w:r w:rsidRPr="009C3F47">
        <w:t xml:space="preserve">The advice received from the Advisory Committee on Medicines Scheduling </w:t>
      </w:r>
      <w:r>
        <w:t xml:space="preserve">(ACMS </w:t>
      </w:r>
      <w:r w:rsidR="00CC536A">
        <w:t xml:space="preserve">meeting </w:t>
      </w:r>
      <w:r>
        <w:t>#34)</w:t>
      </w:r>
      <w:r w:rsidRPr="009C3F47">
        <w:t>;</w:t>
      </w:r>
    </w:p>
    <w:p w14:paraId="7F3850B8" w14:textId="77777777" w:rsidR="005756FA" w:rsidRPr="009C3F47" w:rsidRDefault="005756FA" w:rsidP="0098349C">
      <w:pPr>
        <w:pStyle w:val="ListBullet"/>
      </w:pPr>
      <w:r w:rsidRPr="009C3F47">
        <w:t xml:space="preserve">Subsection 52E(1) of the </w:t>
      </w:r>
      <w:r w:rsidRPr="009C3F47">
        <w:rPr>
          <w:i/>
        </w:rPr>
        <w:t xml:space="preserve">Therapeutic Goods Act 1989, </w:t>
      </w:r>
      <w:r w:rsidRPr="009C3F47">
        <w:t xml:space="preserve">in particular (a) the risks and benefits of the use of a substance; (b) the purpose for which a substance is to be used and the extent of use of a substance; (c) the toxicity of a substance; </w:t>
      </w:r>
      <w:r>
        <w:t>an</w:t>
      </w:r>
      <w:r w:rsidRPr="009C3F47">
        <w:t>d (f) any other matters that the Secretary considers necessary to protect public health;</w:t>
      </w:r>
    </w:p>
    <w:p w14:paraId="2E7D8C92" w14:textId="77777777" w:rsidR="005756FA" w:rsidRPr="009C3F47" w:rsidRDefault="005756FA" w:rsidP="005756FA">
      <w:pPr>
        <w:pStyle w:val="ListBullet"/>
        <w:numPr>
          <w:ilvl w:val="0"/>
          <w:numId w:val="1"/>
        </w:numPr>
        <w:spacing w:before="180"/>
      </w:pPr>
      <w:r w:rsidRPr="009C3F47">
        <w:t xml:space="preserve">The Australian Health Ministers’ Advisory Council’s </w:t>
      </w:r>
      <w:hyperlink r:id="rId26" w:history="1">
        <w:r w:rsidRPr="009C3F47">
          <w:rPr>
            <w:color w:val="0000FF"/>
            <w:u w:val="single"/>
          </w:rPr>
          <w:t>Scheduling Policy Framework</w:t>
        </w:r>
      </w:hyperlink>
      <w:r w:rsidRPr="009C3F47">
        <w:t xml:space="preserve"> (SPF 2018);</w:t>
      </w:r>
    </w:p>
    <w:p w14:paraId="21867BE8" w14:textId="77777777" w:rsidR="005756FA" w:rsidRPr="009C3F47" w:rsidRDefault="005756FA" w:rsidP="0098349C">
      <w:pPr>
        <w:pStyle w:val="ListBullet"/>
      </w:pPr>
      <w:r w:rsidRPr="009C3F47">
        <w:t xml:space="preserve">The </w:t>
      </w:r>
      <w:hyperlink r:id="rId27" w:history="1">
        <w:r w:rsidRPr="009C3F47">
          <w:rPr>
            <w:color w:val="0000FF"/>
            <w:u w:val="single"/>
          </w:rPr>
          <w:t>Scheduling handbook: Guidance for amending the Poisons Standard</w:t>
        </w:r>
      </w:hyperlink>
      <w:r w:rsidRPr="009C3F47">
        <w:t>;</w:t>
      </w:r>
    </w:p>
    <w:p w14:paraId="3F4C35F8" w14:textId="77777777" w:rsidR="005756FA" w:rsidRPr="009C3F47" w:rsidRDefault="005756FA" w:rsidP="0098349C">
      <w:pPr>
        <w:pStyle w:val="ListBullet"/>
        <w:rPr>
          <w:rFonts w:eastAsia="Times New Roman"/>
          <w:b/>
          <w:bCs/>
          <w:i/>
          <w:color w:val="001523"/>
          <w:szCs w:val="26"/>
        </w:rPr>
      </w:pPr>
      <w:r w:rsidRPr="009C3F47">
        <w:t>A re</w:t>
      </w:r>
      <w:r>
        <w:t xml:space="preserve">cent TGA safety alert regarding first aid creams containing </w:t>
      </w:r>
      <w:proofErr w:type="spellStart"/>
      <w:r>
        <w:t>bufexamac</w:t>
      </w:r>
      <w:proofErr w:type="spellEnd"/>
      <w:r>
        <w:t>.</w:t>
      </w:r>
    </w:p>
    <w:p w14:paraId="69BF37E5" w14:textId="77777777" w:rsidR="005756FA" w:rsidRPr="009C3F47" w:rsidRDefault="005756FA" w:rsidP="0098349C">
      <w:pPr>
        <w:pStyle w:val="Heading4"/>
      </w:pPr>
      <w:r w:rsidRPr="009C3F47">
        <w:t>Reasons for the final decision (including findings on material questions of fact)</w:t>
      </w:r>
    </w:p>
    <w:p w14:paraId="67D02CFF" w14:textId="4E7D05AD" w:rsidR="005756FA" w:rsidRDefault="005756FA" w:rsidP="0098349C">
      <w:r w:rsidRPr="009C3F47">
        <w:t xml:space="preserve">I have made a final decision to confirm my </w:t>
      </w:r>
      <w:hyperlink r:id="rId28" w:history="1">
        <w:r w:rsidRPr="009C3F47">
          <w:rPr>
            <w:rStyle w:val="Hyperlink"/>
          </w:rPr>
          <w:t>interim decision</w:t>
        </w:r>
      </w:hyperlink>
      <w:r w:rsidRPr="009C3F47">
        <w:t xml:space="preserve"> to amend the current Poisons Standard with respect to </w:t>
      </w:r>
      <w:proofErr w:type="spellStart"/>
      <w:r>
        <w:t>bufexamac</w:t>
      </w:r>
      <w:proofErr w:type="spellEnd"/>
      <w:r w:rsidRPr="009C3F47">
        <w:t>. My reasons for making the final decision are those set out in the interim decision. In making my final decision, I have taken into account the material detailed in the interim decision and</w:t>
      </w:r>
      <w:r>
        <w:t xml:space="preserve"> I note that no written responses were </w:t>
      </w:r>
      <w:r w:rsidRPr="001D46D5">
        <w:t>received after the second call for public submissions, published on 20 July 2021 under regulation 42ZCZP of the Regulations.</w:t>
      </w:r>
    </w:p>
    <w:p w14:paraId="1BE2C8FD" w14:textId="77777777" w:rsidR="005756FA" w:rsidRPr="009C3F47" w:rsidRDefault="005756FA" w:rsidP="0098349C">
      <w:pPr>
        <w:pStyle w:val="Heading4"/>
      </w:pPr>
      <w:r w:rsidRPr="009C3F47">
        <w:lastRenderedPageBreak/>
        <w:t>Implementation date</w:t>
      </w:r>
    </w:p>
    <w:p w14:paraId="66455C9D" w14:textId="77777777" w:rsidR="005756FA" w:rsidRPr="009C3F47" w:rsidRDefault="005756FA" w:rsidP="005756FA">
      <w:pPr>
        <w:spacing w:after="240"/>
        <w:rPr>
          <w:b/>
        </w:rPr>
      </w:pPr>
      <w:r w:rsidRPr="009C3F47">
        <w:rPr>
          <w:b/>
        </w:rPr>
        <w:t xml:space="preserve">1 </w:t>
      </w:r>
      <w:r>
        <w:rPr>
          <w:b/>
        </w:rPr>
        <w:t>February</w:t>
      </w:r>
      <w:r w:rsidRPr="009C3F47">
        <w:rPr>
          <w:b/>
        </w:rPr>
        <w:t xml:space="preserve"> 202</w:t>
      </w:r>
      <w:r>
        <w:rPr>
          <w:b/>
        </w:rPr>
        <w:t>2</w:t>
      </w:r>
    </w:p>
    <w:p w14:paraId="0DFED08D" w14:textId="7FC50DD5" w:rsidR="005756FA" w:rsidRPr="009C3F47" w:rsidRDefault="005756FA" w:rsidP="00D959FC">
      <w:pPr>
        <w:pStyle w:val="Heading3"/>
      </w:pPr>
      <w:bookmarkStart w:id="35" w:name="_Toc90840735"/>
      <w:r w:rsidRPr="009C3F47">
        <w:t xml:space="preserve">Final decision in relation to </w:t>
      </w:r>
      <w:r>
        <w:t>ibuprofen</w:t>
      </w:r>
      <w:bookmarkEnd w:id="35"/>
    </w:p>
    <w:p w14:paraId="039358B7" w14:textId="77777777" w:rsidR="005756FA" w:rsidRPr="009C3F47" w:rsidRDefault="005756FA" w:rsidP="0098349C">
      <w:pPr>
        <w:pStyle w:val="Heading4"/>
      </w:pPr>
      <w:r w:rsidRPr="009C3F47">
        <w:t>Proposal</w:t>
      </w:r>
    </w:p>
    <w:p w14:paraId="46BF0D64" w14:textId="06FBEC48" w:rsidR="005756FA" w:rsidRDefault="005756FA" w:rsidP="0098349C">
      <w:r>
        <w:t xml:space="preserve">The applicant proposed </w:t>
      </w:r>
      <w:r w:rsidR="008E7E28">
        <w:t xml:space="preserve">that </w:t>
      </w:r>
      <w:r>
        <w:t xml:space="preserve">the Schedule 2 entry for ibuprofen </w:t>
      </w:r>
      <w:r w:rsidR="008E7E28">
        <w:t xml:space="preserve">be amended </w:t>
      </w:r>
      <w:r>
        <w:t xml:space="preserve">to include a modified release (MR) dosage form, each </w:t>
      </w:r>
      <w:r w:rsidR="00D959FC">
        <w:t xml:space="preserve">dosage unit </w:t>
      </w:r>
      <w:r>
        <w:t>containing 600 mg (specifically) of ibuprofen in a primary pack containing not more than 16 dosage units, when labelled:</w:t>
      </w:r>
    </w:p>
    <w:p w14:paraId="2A7195EA" w14:textId="77777777" w:rsidR="005756FA" w:rsidRDefault="005756FA" w:rsidP="0098349C">
      <w:pPr>
        <w:pStyle w:val="ListBullet"/>
      </w:pPr>
      <w:r>
        <w:t>with a recommended daily dose of 1200 mg or less of ibuprofen; and</w:t>
      </w:r>
    </w:p>
    <w:p w14:paraId="6290EAA7" w14:textId="6DDDD787" w:rsidR="005756FA" w:rsidRPr="00A1011F" w:rsidRDefault="005756FA" w:rsidP="0098349C">
      <w:pPr>
        <w:pStyle w:val="ListBullet"/>
      </w:pPr>
      <w:r>
        <w:t>not for the treatment of children under 12 years of age.</w:t>
      </w:r>
    </w:p>
    <w:p w14:paraId="6C86EECB" w14:textId="77777777" w:rsidR="005756FA" w:rsidRPr="009C3F47" w:rsidRDefault="005756FA" w:rsidP="0098349C">
      <w:pPr>
        <w:pStyle w:val="Heading4"/>
      </w:pPr>
      <w:r w:rsidRPr="009C3F47">
        <w:t>Final decision</w:t>
      </w:r>
    </w:p>
    <w:p w14:paraId="0F83D1B1" w14:textId="69BA86F5" w:rsidR="005756FA" w:rsidRPr="009C3F47" w:rsidRDefault="005756FA" w:rsidP="005756FA">
      <w:r w:rsidRPr="009C3F47">
        <w:t>Pursuant to regulation 42ZCZ</w:t>
      </w:r>
      <w:r w:rsidR="008F10DF">
        <w:t>R</w:t>
      </w:r>
      <w:r w:rsidRPr="009C3F47">
        <w:t xml:space="preserve"> of the Regulations, a Delegate of the Secretary has, in relation to the proposed amendment, made a final decision to </w:t>
      </w:r>
      <w:r w:rsidR="00CC536A">
        <w:t xml:space="preserve">not </w:t>
      </w:r>
      <w:r w:rsidRPr="009C3F47">
        <w:t xml:space="preserve">amend the scheduling of </w:t>
      </w:r>
      <w:r>
        <w:t xml:space="preserve">ibuprofen </w:t>
      </w:r>
      <w:r w:rsidRPr="009C3F47">
        <w:t>in the current Poisons Standard</w:t>
      </w:r>
      <w:r>
        <w:t>.</w:t>
      </w:r>
    </w:p>
    <w:p w14:paraId="4F10352A" w14:textId="77777777" w:rsidR="005756FA" w:rsidRPr="009C3F47" w:rsidRDefault="005756FA" w:rsidP="0098349C">
      <w:pPr>
        <w:pStyle w:val="Heading4"/>
      </w:pPr>
      <w:r w:rsidRPr="009C3F47">
        <w:t>Materials considered</w:t>
      </w:r>
    </w:p>
    <w:p w14:paraId="3BD45923" w14:textId="77777777" w:rsidR="005756FA" w:rsidRPr="009C3F47" w:rsidRDefault="005756FA" w:rsidP="0098349C">
      <w:r w:rsidRPr="009C3F47">
        <w:t>In making this final decision, the Delegate considered the following material:</w:t>
      </w:r>
    </w:p>
    <w:p w14:paraId="5C6C5520" w14:textId="77777777" w:rsidR="005756FA" w:rsidRDefault="005756FA" w:rsidP="0098349C">
      <w:pPr>
        <w:pStyle w:val="ListBullet"/>
      </w:pPr>
      <w:r>
        <w:t xml:space="preserve">The </w:t>
      </w:r>
      <w:hyperlink r:id="rId29" w:history="1">
        <w:r w:rsidRPr="00242D8B">
          <w:rPr>
            <w:rStyle w:val="Hyperlink"/>
          </w:rPr>
          <w:t>application</w:t>
        </w:r>
      </w:hyperlink>
      <w:r>
        <w:t xml:space="preserve"> to amend the current </w:t>
      </w:r>
      <w:r w:rsidRPr="0098349C">
        <w:t>Poisons</w:t>
      </w:r>
      <w:r>
        <w:t xml:space="preserve"> Standard with respect to ibuprofen;</w:t>
      </w:r>
    </w:p>
    <w:p w14:paraId="430A9C6B" w14:textId="77777777" w:rsidR="005756FA" w:rsidRPr="009C3F47" w:rsidRDefault="005756FA" w:rsidP="0098349C">
      <w:pPr>
        <w:pStyle w:val="ListBullet"/>
      </w:pPr>
      <w:r w:rsidRPr="009C3F47">
        <w:t xml:space="preserve">The </w:t>
      </w:r>
      <w:r>
        <w:t>six</w:t>
      </w:r>
      <w:r w:rsidRPr="009C3F47">
        <w:t xml:space="preserve"> </w:t>
      </w:r>
      <w:hyperlink r:id="rId30" w:history="1">
        <w:r w:rsidRPr="00A1011F">
          <w:rPr>
            <w:rStyle w:val="Hyperlink"/>
          </w:rPr>
          <w:t>public submissions,</w:t>
        </w:r>
      </w:hyperlink>
      <w:r>
        <w:t xml:space="preserve"> all </w:t>
      </w:r>
      <w:r w:rsidRPr="009C3F47">
        <w:t xml:space="preserve">including </w:t>
      </w:r>
      <w:r>
        <w:t xml:space="preserve">a written </w:t>
      </w:r>
      <w:r w:rsidRPr="0098349C">
        <w:t>component</w:t>
      </w:r>
      <w:r>
        <w:t xml:space="preserve">, received in response to the </w:t>
      </w:r>
      <w:hyperlink r:id="rId31" w:history="1">
        <w:r w:rsidRPr="00A1011F">
          <w:rPr>
            <w:color w:val="0000FF"/>
            <w:u w:val="single"/>
          </w:rPr>
          <w:t>pre-meeting consultation</w:t>
        </w:r>
      </w:hyperlink>
      <w:r w:rsidRPr="009C3F47">
        <w:t xml:space="preserve"> under regulation 42ZCZK of the Regulations;</w:t>
      </w:r>
    </w:p>
    <w:p w14:paraId="091F8F03" w14:textId="17D10183" w:rsidR="005756FA" w:rsidRPr="009C3F47" w:rsidRDefault="005756FA" w:rsidP="0098349C">
      <w:pPr>
        <w:pStyle w:val="ListBullet"/>
      </w:pPr>
      <w:r w:rsidRPr="009C3F47">
        <w:t xml:space="preserve">The advice received from the Advisory Committee on Medicines Scheduling </w:t>
      </w:r>
      <w:r>
        <w:t>(ACMS</w:t>
      </w:r>
      <w:r w:rsidR="00CC536A">
        <w:t xml:space="preserve"> meeting</w:t>
      </w:r>
      <w:r>
        <w:t xml:space="preserve"> #34)</w:t>
      </w:r>
      <w:r w:rsidRPr="009C3F47">
        <w:t>;</w:t>
      </w:r>
    </w:p>
    <w:p w14:paraId="1ABE2D46" w14:textId="46BCF990" w:rsidR="005756FA" w:rsidRDefault="005756FA" w:rsidP="0098349C">
      <w:pPr>
        <w:pStyle w:val="ListBullet"/>
      </w:pPr>
      <w:r>
        <w:t xml:space="preserve">The five </w:t>
      </w:r>
      <w:hyperlink r:id="rId32" w:history="1">
        <w:r w:rsidRPr="00AF0B11">
          <w:rPr>
            <w:rStyle w:val="Hyperlink"/>
          </w:rPr>
          <w:t>public submissions</w:t>
        </w:r>
      </w:hyperlink>
      <w:r>
        <w:t xml:space="preserve">, including two written submissions, received in response to the </w:t>
      </w:r>
      <w:hyperlink r:id="rId33" w:history="1">
        <w:r w:rsidRPr="00BC43AE">
          <w:rPr>
            <w:rStyle w:val="Hyperlink"/>
          </w:rPr>
          <w:t>interim decision consultation</w:t>
        </w:r>
      </w:hyperlink>
      <w:r>
        <w:t xml:space="preserve"> under regulation 42ZCZP of the Regulations;</w:t>
      </w:r>
    </w:p>
    <w:p w14:paraId="0CDB9F57" w14:textId="77777777" w:rsidR="005756FA" w:rsidRPr="009C3F47" w:rsidRDefault="005756FA" w:rsidP="0098349C">
      <w:pPr>
        <w:pStyle w:val="ListBullet"/>
      </w:pPr>
      <w:r w:rsidRPr="009C3F47">
        <w:t xml:space="preserve">Subsection 52E(1) of the </w:t>
      </w:r>
      <w:r w:rsidRPr="009C3F47">
        <w:rPr>
          <w:i/>
        </w:rPr>
        <w:t xml:space="preserve">Therapeutic Goods Act 1989, </w:t>
      </w:r>
      <w:r w:rsidRPr="009C3F47">
        <w:t xml:space="preserve">in particular (a) the risks and benefits of the use of a substance; (b) the purpose for which a substance is to be used and the extent of use of a substance; (c) the toxicity of a substance; </w:t>
      </w:r>
      <w:r>
        <w:t>(d) the dosage, formulation, labelling, packaging and presentation of a substance; (e) the potential for abuse of a substance; an</w:t>
      </w:r>
      <w:r w:rsidRPr="009C3F47">
        <w:t>d (f) any other matters that the Secretary considers necessary to protect public health;</w:t>
      </w:r>
    </w:p>
    <w:p w14:paraId="607C75F7" w14:textId="77777777" w:rsidR="005756FA" w:rsidRPr="009C3F47" w:rsidRDefault="005756FA" w:rsidP="0098349C">
      <w:pPr>
        <w:pStyle w:val="ListBullet"/>
      </w:pPr>
      <w:r w:rsidRPr="009C3F47">
        <w:t xml:space="preserve">The Australian Health </w:t>
      </w:r>
      <w:r w:rsidRPr="0098349C">
        <w:t>Ministers’</w:t>
      </w:r>
      <w:r w:rsidRPr="009C3F47">
        <w:t xml:space="preserve"> Advisory Council’s </w:t>
      </w:r>
      <w:hyperlink r:id="rId34" w:history="1">
        <w:r w:rsidRPr="009C3F47">
          <w:rPr>
            <w:color w:val="0000FF"/>
            <w:u w:val="single"/>
          </w:rPr>
          <w:t>Scheduling Policy Framework</w:t>
        </w:r>
      </w:hyperlink>
      <w:r w:rsidRPr="009C3F47">
        <w:t xml:space="preserve"> (SPF 2018);</w:t>
      </w:r>
    </w:p>
    <w:p w14:paraId="21C668C3" w14:textId="77777777" w:rsidR="005756FA" w:rsidRPr="009C3F47" w:rsidRDefault="005756FA" w:rsidP="0098349C">
      <w:pPr>
        <w:pStyle w:val="ListBullet"/>
      </w:pPr>
      <w:r w:rsidRPr="009C3F47">
        <w:t xml:space="preserve">The </w:t>
      </w:r>
      <w:hyperlink r:id="rId35" w:history="1">
        <w:r w:rsidRPr="009C3F47">
          <w:rPr>
            <w:color w:val="0000FF"/>
            <w:u w:val="single"/>
          </w:rPr>
          <w:t>Scheduling handbook: Guidance for amending the Poisons Standard</w:t>
        </w:r>
      </w:hyperlink>
      <w:r w:rsidRPr="009C3F47">
        <w:t>;</w:t>
      </w:r>
    </w:p>
    <w:p w14:paraId="53ADC71F" w14:textId="77777777" w:rsidR="005756FA" w:rsidRPr="009C3F47" w:rsidRDefault="005756FA" w:rsidP="003835BF">
      <w:pPr>
        <w:pStyle w:val="Heading4"/>
      </w:pPr>
      <w:r w:rsidRPr="009C3F47">
        <w:t>Reasons for the final decision (including findings on material questions of fact)</w:t>
      </w:r>
    </w:p>
    <w:p w14:paraId="29F50892" w14:textId="6D36D849" w:rsidR="00E06A1B" w:rsidRDefault="005756FA" w:rsidP="003835BF">
      <w:r w:rsidRPr="009C3F47">
        <w:t xml:space="preserve">I have made a final decision to confirm my </w:t>
      </w:r>
      <w:hyperlink r:id="rId36" w:history="1">
        <w:r w:rsidRPr="009C3F47">
          <w:rPr>
            <w:rStyle w:val="Hyperlink"/>
          </w:rPr>
          <w:t>interim decision</w:t>
        </w:r>
      </w:hyperlink>
      <w:r w:rsidRPr="009C3F47">
        <w:t xml:space="preserve"> </w:t>
      </w:r>
      <w:r w:rsidR="00CC536A">
        <w:t>t</w:t>
      </w:r>
      <w:r w:rsidRPr="009C3F47">
        <w:t xml:space="preserve">o </w:t>
      </w:r>
      <w:r w:rsidR="00CC536A">
        <w:t xml:space="preserve">not </w:t>
      </w:r>
      <w:r w:rsidRPr="009C3F47">
        <w:t xml:space="preserve">amend the current Poisons Standard with respect to </w:t>
      </w:r>
      <w:r>
        <w:t>ibuprofen</w:t>
      </w:r>
      <w:r w:rsidRPr="009C3F47">
        <w:t>. My reasons for making the final decision are those set out in the interim decision. In making my final decision, I have taken into account the material detailed in the interim decision and the response</w:t>
      </w:r>
      <w:r>
        <w:t>s</w:t>
      </w:r>
      <w:r w:rsidRPr="009C3F47">
        <w:t xml:space="preserve"> </w:t>
      </w:r>
      <w:r w:rsidRPr="002464CD">
        <w:t>received after the second call for public submissions, published on 20 July 2021 under regulation 42ZCZP of the Regulations. I note that</w:t>
      </w:r>
      <w:r>
        <w:t xml:space="preserve"> the</w:t>
      </w:r>
      <w:r w:rsidRPr="002464CD">
        <w:t xml:space="preserve"> written public submission</w:t>
      </w:r>
      <w:r>
        <w:t xml:space="preserve">s were weighted equally in support and </w:t>
      </w:r>
      <w:r w:rsidR="00CC536A">
        <w:t xml:space="preserve">against </w:t>
      </w:r>
      <w:r>
        <w:t>the interim decision.</w:t>
      </w:r>
      <w:r w:rsidRPr="002464CD">
        <w:t xml:space="preserve"> </w:t>
      </w:r>
      <w:r>
        <w:t xml:space="preserve">Despite the argument raised in opposition that labelling and packaging will adequately control the </w:t>
      </w:r>
      <w:r>
        <w:lastRenderedPageBreak/>
        <w:t>potential risks of misuse or overdose</w:t>
      </w:r>
      <w:r w:rsidR="00BB3BAF">
        <w:t>,</w:t>
      </w:r>
      <w:r>
        <w:t xml:space="preserve"> </w:t>
      </w:r>
      <w:r w:rsidRPr="00762308">
        <w:t>I find that</w:t>
      </w:r>
      <w:r w:rsidR="00BB3BAF">
        <w:t xml:space="preserve"> </w:t>
      </w:r>
      <w:r w:rsidRPr="00762308">
        <w:t>the risks of adverse events and concerns of inappropriate use</w:t>
      </w:r>
      <w:r>
        <w:t xml:space="preserve"> associated with the modified-release presentation </w:t>
      </w:r>
      <w:r w:rsidRPr="00E714B5">
        <w:t>require</w:t>
      </w:r>
      <w:r>
        <w:t xml:space="preserve"> the</w:t>
      </w:r>
      <w:r w:rsidRPr="00E714B5">
        <w:t xml:space="preserve"> intervention</w:t>
      </w:r>
      <w:r>
        <w:t xml:space="preserve"> of a pharmacist, </w:t>
      </w:r>
      <w:r w:rsidRPr="00E714B5">
        <w:t xml:space="preserve">consistent with the Scheduling Factors </w:t>
      </w:r>
      <w:r>
        <w:t>of</w:t>
      </w:r>
      <w:r w:rsidRPr="00E714B5">
        <w:t xml:space="preserve"> a Schedule </w:t>
      </w:r>
      <w:r>
        <w:t>3</w:t>
      </w:r>
      <w:r w:rsidRPr="00E714B5">
        <w:t xml:space="preserve"> classification</w:t>
      </w:r>
      <w:r>
        <w:t>.</w:t>
      </w:r>
      <w:bookmarkStart w:id="36" w:name="_Final_decision_in_2"/>
      <w:bookmarkEnd w:id="36"/>
    </w:p>
    <w:p w14:paraId="66B89398" w14:textId="77777777" w:rsidR="002A58D7" w:rsidRDefault="002A58D7" w:rsidP="00CC7C62">
      <w:pPr>
        <w:pStyle w:val="Heading3"/>
      </w:pPr>
      <w:bookmarkStart w:id="37" w:name="_Toc90840736"/>
      <w:r>
        <w:t xml:space="preserve">Final decision in </w:t>
      </w:r>
      <w:r w:rsidRPr="00CC7C62">
        <w:t>relation</w:t>
      </w:r>
      <w:r>
        <w:t xml:space="preserve"> to oral contraceptive substances</w:t>
      </w:r>
      <w:bookmarkEnd w:id="37"/>
    </w:p>
    <w:p w14:paraId="5203220F" w14:textId="77777777" w:rsidR="002A58D7" w:rsidRDefault="002A58D7" w:rsidP="003835BF">
      <w:pPr>
        <w:pStyle w:val="Heading4"/>
      </w:pPr>
      <w:r>
        <w:t>Proposal</w:t>
      </w:r>
    </w:p>
    <w:p w14:paraId="5D3E6C3E" w14:textId="09A4433A" w:rsidR="002A58D7" w:rsidRDefault="002A58D7" w:rsidP="002A58D7">
      <w:pPr>
        <w:pStyle w:val="ListBullet"/>
        <w:numPr>
          <w:ilvl w:val="0"/>
          <w:numId w:val="0"/>
        </w:numPr>
        <w:spacing w:before="0" w:after="160" w:line="256" w:lineRule="auto"/>
        <w:rPr>
          <w:lang w:eastAsia="en-AU"/>
        </w:rPr>
      </w:pPr>
      <w:r>
        <w:rPr>
          <w:lang w:eastAsia="en-AU"/>
        </w:rPr>
        <w:t xml:space="preserve">Two applicants proposed </w:t>
      </w:r>
      <w:r w:rsidR="00080C9D">
        <w:rPr>
          <w:lang w:eastAsia="en-AU"/>
        </w:rPr>
        <w:t xml:space="preserve">the creation of </w:t>
      </w:r>
      <w:r>
        <w:rPr>
          <w:lang w:eastAsia="en-AU"/>
        </w:rPr>
        <w:t>new Schedule 3 entries for substances used in oral contraceptive pills currently included in Schedule 4 of the Poisons Standard. A brief summary of each application is given below:</w:t>
      </w:r>
    </w:p>
    <w:p w14:paraId="3ECB7BB6" w14:textId="73655912" w:rsidR="002A58D7" w:rsidRDefault="002A58D7" w:rsidP="003835BF">
      <w:pPr>
        <w:pStyle w:val="ListBullet"/>
        <w:rPr>
          <w:lang w:eastAsia="en-AU"/>
        </w:rPr>
      </w:pPr>
      <w:r>
        <w:rPr>
          <w:lang w:eastAsia="en-AU"/>
        </w:rPr>
        <w:t xml:space="preserve">Application A: Proposal </w:t>
      </w:r>
      <w:r w:rsidR="00080C9D">
        <w:rPr>
          <w:lang w:eastAsia="en-AU"/>
        </w:rPr>
        <w:t>for the creation of</w:t>
      </w:r>
      <w:r>
        <w:rPr>
          <w:lang w:eastAsia="en-AU"/>
        </w:rPr>
        <w:t xml:space="preserve"> a new Schedule 3 entry for </w:t>
      </w:r>
      <w:proofErr w:type="spellStart"/>
      <w:r>
        <w:rPr>
          <w:lang w:eastAsia="en-AU"/>
        </w:rPr>
        <w:t>ethinylestradiol</w:t>
      </w:r>
      <w:proofErr w:type="spellEnd"/>
      <w:r>
        <w:rPr>
          <w:lang w:eastAsia="en-AU"/>
        </w:rPr>
        <w:t xml:space="preserve"> and norethisterone, and expan</w:t>
      </w:r>
      <w:r w:rsidR="00080C9D">
        <w:rPr>
          <w:lang w:eastAsia="en-AU"/>
        </w:rPr>
        <w:t>sion of</w:t>
      </w:r>
      <w:r>
        <w:rPr>
          <w:lang w:eastAsia="en-AU"/>
        </w:rPr>
        <w:t xml:space="preserve"> the current Schedule 3 entry for levonorgestrel. Under the proposal, the three substances would also be subject to requirements set out in Appendix M. Advertising would also be permitted via inclusion in Appendix H.</w:t>
      </w:r>
    </w:p>
    <w:p w14:paraId="1F55D241" w14:textId="18461923" w:rsidR="002A58D7" w:rsidRDefault="002A58D7" w:rsidP="003835BF">
      <w:pPr>
        <w:pStyle w:val="ListBullet"/>
        <w:rPr>
          <w:lang w:eastAsia="en-AU"/>
        </w:rPr>
      </w:pPr>
      <w:r>
        <w:rPr>
          <w:lang w:eastAsia="en-AU"/>
        </w:rPr>
        <w:t xml:space="preserve">Application B: Proposal </w:t>
      </w:r>
      <w:r w:rsidR="00080C9D">
        <w:rPr>
          <w:lang w:eastAsia="en-AU"/>
        </w:rPr>
        <w:t>for the creation of</w:t>
      </w:r>
      <w:r>
        <w:rPr>
          <w:lang w:eastAsia="en-AU"/>
        </w:rPr>
        <w:t xml:space="preserve"> a new Schedule 3 entry for </w:t>
      </w:r>
      <w:proofErr w:type="spellStart"/>
      <w:r>
        <w:rPr>
          <w:lang w:eastAsia="en-AU"/>
        </w:rPr>
        <w:t>ethinylestradiol</w:t>
      </w:r>
      <w:proofErr w:type="spellEnd"/>
      <w:r>
        <w:rPr>
          <w:lang w:eastAsia="en-AU"/>
        </w:rPr>
        <w:t xml:space="preserve">, norethisterone, cyproterone, </w:t>
      </w:r>
      <w:proofErr w:type="spellStart"/>
      <w:r>
        <w:rPr>
          <w:lang w:eastAsia="en-AU"/>
        </w:rPr>
        <w:t>desogestrel</w:t>
      </w:r>
      <w:proofErr w:type="spellEnd"/>
      <w:r>
        <w:rPr>
          <w:lang w:eastAsia="en-AU"/>
        </w:rPr>
        <w:t xml:space="preserve">, </w:t>
      </w:r>
      <w:proofErr w:type="spellStart"/>
      <w:r>
        <w:rPr>
          <w:lang w:eastAsia="en-AU"/>
        </w:rPr>
        <w:t>dienogest</w:t>
      </w:r>
      <w:proofErr w:type="spellEnd"/>
      <w:r>
        <w:rPr>
          <w:lang w:eastAsia="en-AU"/>
        </w:rPr>
        <w:t xml:space="preserve">, </w:t>
      </w:r>
      <w:proofErr w:type="spellStart"/>
      <w:r>
        <w:rPr>
          <w:lang w:eastAsia="en-AU"/>
        </w:rPr>
        <w:t>drospirenone</w:t>
      </w:r>
      <w:proofErr w:type="spellEnd"/>
      <w:r>
        <w:rPr>
          <w:lang w:eastAsia="en-AU"/>
        </w:rPr>
        <w:t xml:space="preserve">, </w:t>
      </w:r>
      <w:proofErr w:type="spellStart"/>
      <w:r>
        <w:rPr>
          <w:lang w:eastAsia="en-AU"/>
        </w:rPr>
        <w:t>estradiol</w:t>
      </w:r>
      <w:proofErr w:type="spellEnd"/>
      <w:r>
        <w:rPr>
          <w:lang w:eastAsia="en-AU"/>
        </w:rPr>
        <w:t xml:space="preserve">, </w:t>
      </w:r>
      <w:proofErr w:type="spellStart"/>
      <w:r>
        <w:rPr>
          <w:lang w:eastAsia="en-AU"/>
        </w:rPr>
        <w:t>gestodene</w:t>
      </w:r>
      <w:proofErr w:type="spellEnd"/>
      <w:r>
        <w:rPr>
          <w:lang w:eastAsia="en-AU"/>
        </w:rPr>
        <w:t xml:space="preserve">, mestranol and </w:t>
      </w:r>
      <w:proofErr w:type="spellStart"/>
      <w:r>
        <w:rPr>
          <w:lang w:eastAsia="en-AU"/>
        </w:rPr>
        <w:t>nomegestrol</w:t>
      </w:r>
      <w:proofErr w:type="spellEnd"/>
      <w:r>
        <w:rPr>
          <w:lang w:eastAsia="en-AU"/>
        </w:rPr>
        <w:t>, and expan</w:t>
      </w:r>
      <w:r w:rsidR="00080C9D">
        <w:rPr>
          <w:lang w:eastAsia="en-AU"/>
        </w:rPr>
        <w:t>sion of</w:t>
      </w:r>
      <w:r>
        <w:rPr>
          <w:lang w:eastAsia="en-AU"/>
        </w:rPr>
        <w:t xml:space="preserve"> the current Schedule 3 entry for levonorgestrel. Under the proposal, the eleven substances would also be subject to requirements set out in Appendix M.</w:t>
      </w:r>
    </w:p>
    <w:p w14:paraId="3A6FD8FC" w14:textId="05767A47" w:rsidR="002A58D7" w:rsidRDefault="002A58D7" w:rsidP="003835BF">
      <w:pPr>
        <w:pStyle w:val="Heading4"/>
      </w:pPr>
      <w:r>
        <w:t xml:space="preserve">Final </w:t>
      </w:r>
      <w:r w:rsidR="009C3636">
        <w:t>d</w:t>
      </w:r>
      <w:r>
        <w:t>ecision</w:t>
      </w:r>
    </w:p>
    <w:p w14:paraId="6FE41F6C" w14:textId="77777777" w:rsidR="002A58D7" w:rsidRDefault="002A58D7" w:rsidP="002A58D7">
      <w:r>
        <w:t>Pursuant to regulation 42ZCZR of the Regulations, a Delegate of the Secretary has made a final decision to confirm the interim decision and not amend the current Poisons Standard in relation to oral contraceptive substances.</w:t>
      </w:r>
    </w:p>
    <w:p w14:paraId="1D96774F" w14:textId="2D3D9710" w:rsidR="002A58D7" w:rsidRDefault="002A58D7" w:rsidP="003835BF">
      <w:pPr>
        <w:pStyle w:val="Heading4"/>
      </w:pPr>
      <w:r>
        <w:t>Materials considered</w:t>
      </w:r>
    </w:p>
    <w:p w14:paraId="306BDBF4" w14:textId="77777777" w:rsidR="002A58D7" w:rsidRDefault="002A58D7" w:rsidP="002A58D7">
      <w:r>
        <w:t>In making this final decision, the Delegate considered the following material:</w:t>
      </w:r>
    </w:p>
    <w:p w14:paraId="34E1F9B5" w14:textId="77777777" w:rsidR="002A58D7" w:rsidRDefault="002A58D7" w:rsidP="003835BF">
      <w:pPr>
        <w:pStyle w:val="ListBullet"/>
        <w:numPr>
          <w:ilvl w:val="0"/>
          <w:numId w:val="13"/>
        </w:numPr>
        <w:spacing w:after="120"/>
        <w:ind w:left="357" w:hanging="357"/>
      </w:pPr>
      <w:r>
        <w:t xml:space="preserve">The </w:t>
      </w:r>
      <w:hyperlink r:id="rId37" w:history="1">
        <w:r>
          <w:rPr>
            <w:rStyle w:val="Hyperlink"/>
          </w:rPr>
          <w:t>two applications</w:t>
        </w:r>
      </w:hyperlink>
      <w:r>
        <w:t xml:space="preserve"> to amend the current Poisons Standard with respect to oral contraceptive substances;</w:t>
      </w:r>
    </w:p>
    <w:p w14:paraId="5C3554F7" w14:textId="77777777" w:rsidR="002A58D7" w:rsidRDefault="002A58D7" w:rsidP="003835BF">
      <w:pPr>
        <w:pStyle w:val="ListBullet"/>
        <w:numPr>
          <w:ilvl w:val="0"/>
          <w:numId w:val="13"/>
        </w:numPr>
        <w:spacing w:after="120"/>
        <w:ind w:left="357" w:hanging="357"/>
      </w:pPr>
      <w:r>
        <w:t xml:space="preserve">The 27 </w:t>
      </w:r>
      <w:hyperlink r:id="rId38" w:history="1">
        <w:r>
          <w:rPr>
            <w:rStyle w:val="Hyperlink"/>
          </w:rPr>
          <w:t>public submissions</w:t>
        </w:r>
      </w:hyperlink>
      <w:r>
        <w:t xml:space="preserve">, 23 of which included a written component, received in response to the </w:t>
      </w:r>
      <w:hyperlink r:id="rId39" w:history="1">
        <w:r>
          <w:rPr>
            <w:rStyle w:val="Hyperlink"/>
          </w:rPr>
          <w:t>pre-meeting consultation</w:t>
        </w:r>
      </w:hyperlink>
      <w:r>
        <w:t xml:space="preserve"> under regulation 42ZCZK of the Regulations. </w:t>
      </w:r>
    </w:p>
    <w:p w14:paraId="05097B20" w14:textId="77777777" w:rsidR="002A58D7" w:rsidRDefault="002A58D7" w:rsidP="003835BF">
      <w:pPr>
        <w:pStyle w:val="ListBullet"/>
        <w:numPr>
          <w:ilvl w:val="0"/>
          <w:numId w:val="13"/>
        </w:numPr>
        <w:spacing w:after="120"/>
        <w:ind w:left="357" w:hanging="357"/>
      </w:pPr>
      <w:r>
        <w:t>The advice received from the Meeting of the Advisory Committee on Medicines Scheduling (ACMS #34);</w:t>
      </w:r>
    </w:p>
    <w:p w14:paraId="57C5239C" w14:textId="66FD8BFB" w:rsidR="002A58D7" w:rsidRDefault="002A58D7" w:rsidP="003835BF">
      <w:pPr>
        <w:pStyle w:val="ListBullet"/>
        <w:numPr>
          <w:ilvl w:val="0"/>
          <w:numId w:val="13"/>
        </w:numPr>
        <w:spacing w:after="120"/>
        <w:ind w:left="357" w:hanging="357"/>
      </w:pPr>
      <w:r>
        <w:t xml:space="preserve">The 24 </w:t>
      </w:r>
      <w:hyperlink r:id="rId40" w:history="1">
        <w:r>
          <w:rPr>
            <w:rStyle w:val="Hyperlink"/>
          </w:rPr>
          <w:t>public submissions</w:t>
        </w:r>
      </w:hyperlink>
      <w:r>
        <w:t xml:space="preserve">, 20 of which included a written component, received in response to the </w:t>
      </w:r>
      <w:hyperlink r:id="rId41" w:history="1">
        <w:r>
          <w:rPr>
            <w:rStyle w:val="Hyperlink"/>
          </w:rPr>
          <w:t>interim decision consultation</w:t>
        </w:r>
      </w:hyperlink>
      <w:r>
        <w:t xml:space="preserve"> under regulation 42ZCZP of the Regulations;</w:t>
      </w:r>
    </w:p>
    <w:p w14:paraId="40F3FF39" w14:textId="2FDE7C30" w:rsidR="002A58D7" w:rsidRDefault="002A58D7" w:rsidP="003835BF">
      <w:pPr>
        <w:pStyle w:val="ListBullet"/>
        <w:numPr>
          <w:ilvl w:val="0"/>
          <w:numId w:val="13"/>
        </w:numPr>
        <w:spacing w:after="120"/>
        <w:ind w:left="357" w:hanging="357"/>
      </w:pPr>
      <w:r>
        <w:t xml:space="preserve">Subsection 52E(1) of the </w:t>
      </w:r>
      <w:r>
        <w:rPr>
          <w:i/>
        </w:rPr>
        <w:t>Therapeutic Goods Act 1989</w:t>
      </w:r>
      <w:r w:rsidR="00080C9D">
        <w:rPr>
          <w:iCs/>
        </w:rPr>
        <w:t xml:space="preserve"> (the </w:t>
      </w:r>
      <w:r w:rsidR="00080C9D" w:rsidRPr="002F4D30">
        <w:rPr>
          <w:b/>
          <w:bCs/>
          <w:iCs/>
        </w:rPr>
        <w:t>Act</w:t>
      </w:r>
      <w:r w:rsidR="00080C9D">
        <w:rPr>
          <w:iCs/>
        </w:rPr>
        <w:t>)</w:t>
      </w:r>
      <w:r>
        <w:rPr>
          <w:i/>
        </w:rPr>
        <w:t xml:space="preserve">, </w:t>
      </w:r>
      <w:r>
        <w:t>in particular (a)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w:t>
      </w:r>
    </w:p>
    <w:p w14:paraId="6B930898" w14:textId="77777777" w:rsidR="002A58D7" w:rsidRDefault="002A58D7" w:rsidP="003835BF">
      <w:pPr>
        <w:pStyle w:val="ListBullet"/>
        <w:numPr>
          <w:ilvl w:val="0"/>
          <w:numId w:val="13"/>
        </w:numPr>
        <w:spacing w:after="120"/>
        <w:ind w:left="357" w:hanging="357"/>
      </w:pPr>
      <w:r>
        <w:t xml:space="preserve">The Australian Health Ministers’ Advisory Council’s </w:t>
      </w:r>
      <w:hyperlink r:id="rId42" w:history="1">
        <w:r>
          <w:rPr>
            <w:rStyle w:val="Hyperlink"/>
          </w:rPr>
          <w:t>Scheduling Policy Framework</w:t>
        </w:r>
      </w:hyperlink>
      <w:r>
        <w:t xml:space="preserve"> (SPF 2018); and</w:t>
      </w:r>
    </w:p>
    <w:p w14:paraId="02BD95BA" w14:textId="77777777" w:rsidR="002A58D7" w:rsidRDefault="002A58D7" w:rsidP="003835BF">
      <w:pPr>
        <w:pStyle w:val="ListBullet"/>
        <w:numPr>
          <w:ilvl w:val="0"/>
          <w:numId w:val="13"/>
        </w:numPr>
        <w:spacing w:after="120"/>
        <w:ind w:left="357" w:hanging="357"/>
      </w:pPr>
      <w:r>
        <w:t xml:space="preserve">The </w:t>
      </w:r>
      <w:hyperlink r:id="rId43" w:history="1">
        <w:r>
          <w:rPr>
            <w:rStyle w:val="Hyperlink"/>
          </w:rPr>
          <w:t>Scheduling handbook: Guidance for amending the Poisons Standard</w:t>
        </w:r>
      </w:hyperlink>
      <w:r>
        <w:t>; and</w:t>
      </w:r>
    </w:p>
    <w:p w14:paraId="3E25A044" w14:textId="77777777" w:rsidR="002A58D7" w:rsidRDefault="002A58D7" w:rsidP="003835BF">
      <w:pPr>
        <w:pStyle w:val="ListBullet"/>
        <w:numPr>
          <w:ilvl w:val="0"/>
          <w:numId w:val="13"/>
        </w:numPr>
        <w:spacing w:after="120"/>
        <w:ind w:left="357" w:hanging="357"/>
      </w:pPr>
      <w:r>
        <w:t xml:space="preserve">A </w:t>
      </w:r>
      <w:hyperlink r:id="rId44" w:history="1">
        <w:r>
          <w:rPr>
            <w:rStyle w:val="Hyperlink"/>
          </w:rPr>
          <w:t>medicines safety update</w:t>
        </w:r>
      </w:hyperlink>
      <w:r>
        <w:t xml:space="preserve"> on the risk of venous thromboembolism associated with oral contraceptive use.</w:t>
      </w:r>
    </w:p>
    <w:p w14:paraId="4482242D" w14:textId="77777777" w:rsidR="002A58D7" w:rsidRDefault="002A58D7" w:rsidP="003835BF">
      <w:pPr>
        <w:pStyle w:val="Heading4"/>
      </w:pPr>
      <w:r>
        <w:lastRenderedPageBreak/>
        <w:t>Reasons for the final decision (including findings on material questions of fact)</w:t>
      </w:r>
    </w:p>
    <w:p w14:paraId="4FB2AA2A" w14:textId="2ED90D2A" w:rsidR="002A58D7" w:rsidRDefault="002A58D7" w:rsidP="003835BF">
      <w:pPr>
        <w:rPr>
          <w:rFonts w:cs="Cambria"/>
          <w:color w:val="000000"/>
          <w:szCs w:val="22"/>
          <w:lang w:eastAsia="en-AU"/>
        </w:rPr>
      </w:pPr>
      <w:r>
        <w:t xml:space="preserve">I have made a final decision to confirm my </w:t>
      </w:r>
      <w:hyperlink r:id="rId45" w:history="1">
        <w:r>
          <w:rPr>
            <w:rStyle w:val="Hyperlink"/>
          </w:rPr>
          <w:t>interim decision</w:t>
        </w:r>
      </w:hyperlink>
      <w:r>
        <w:t xml:space="preserve"> to not amend the current Poisons Standard with respect to the eleven oral contraceptive substances that were the subject of the two applications. In making my final decision, I have taken into account the material detailed in the interim decision and the 24 public submissions received in response to the call for further submissions published on 30 September 2021 under regulation 42ZCZP of the Regulations. I note that the majority of written submissions were in opposition to the interim decision. T</w:t>
      </w:r>
      <w:r>
        <w:rPr>
          <w:rFonts w:cs="Cambria"/>
          <w:color w:val="000000"/>
          <w:szCs w:val="22"/>
          <w:lang w:eastAsia="en-AU"/>
        </w:rPr>
        <w:t>wenty (20) written responses were received, three supportive and 17 opposed.</w:t>
      </w:r>
    </w:p>
    <w:p w14:paraId="1436E29B" w14:textId="77777777" w:rsidR="002A58D7" w:rsidRDefault="002A58D7" w:rsidP="003835BF">
      <w:r>
        <w:t>I note that many public submissions expressed concern that the interim decision not to down-schedule these oral contraceptive substances from Schedule 4 to Schedule 3 would ban, increase restrictions, or otherwise reduce access to oral contraceptives, which would greatly impact the mental health of many women. I would like to reiterate that the decision to confirm my interim decision not to down-schedule these substances will not alter the current scheduling, restrictions or access to these substances from their current availability.</w:t>
      </w:r>
    </w:p>
    <w:p w14:paraId="18A00384" w14:textId="57DAE19E" w:rsidR="002A58D7" w:rsidRDefault="002A58D7" w:rsidP="003835BF">
      <w:r>
        <w:rPr>
          <w:lang w:eastAsia="en-AU"/>
        </w:rPr>
        <w:t>I have carefully considered the public health issues raised by professional peak bodies involved in women’s health and I agree with their view that the benefits of oral contraceptives were not fully characterised in the interim decision. I acknowledge that oral contraceptives provide additional</w:t>
      </w:r>
      <w:r>
        <w:t xml:space="preserve"> health benefits to women by lowering the risk of ovarian, endometrial and colorectal cancer</w:t>
      </w:r>
      <w:r>
        <w:rPr>
          <w:rStyle w:val="FootnoteReference"/>
        </w:rPr>
        <w:footnoteReference w:id="1"/>
      </w:r>
      <w:r>
        <w:rPr>
          <w:vertAlign w:val="superscript"/>
        </w:rPr>
        <w:t>,</w:t>
      </w:r>
      <w:r>
        <w:rPr>
          <w:rStyle w:val="FootnoteReference"/>
        </w:rPr>
        <w:footnoteReference w:id="2"/>
      </w:r>
      <w:r>
        <w:rPr>
          <w:vertAlign w:val="superscript"/>
        </w:rPr>
        <w:t>,</w:t>
      </w:r>
      <w:r>
        <w:rPr>
          <w:rStyle w:val="FootnoteReference"/>
        </w:rPr>
        <w:footnoteReference w:id="3"/>
      </w:r>
      <w:r>
        <w:t xml:space="preserve">. In my consideration of this proposal, I have taken into account </w:t>
      </w:r>
      <w:r>
        <w:rPr>
          <w:lang w:eastAsia="en-AU"/>
        </w:rPr>
        <w:t xml:space="preserve">section 52E(1)(a) and (b) of the Act, and in doing so I reaffirm my position that, on balance, </w:t>
      </w:r>
      <w:r>
        <w:t>these benefits to individual and public health do not outweigh the seriousness and frequency of adverse effects and interactions that occur with the use of the oral contraceptive substances.</w:t>
      </w:r>
    </w:p>
    <w:p w14:paraId="4DB3A310" w14:textId="54BCE113" w:rsidR="002A58D7" w:rsidRDefault="002A58D7" w:rsidP="003835BF">
      <w:r>
        <w:t>I agree that timely and appropriate access to contraception forms an integral part of a woman’s right to reproductive and sexual health. Several written responses raised concerns regarding barriers in the access of oral contraceptives at the current scheduling level, and the relationship between these barriers to access and the high rate of unplanned or unintended pregnancy in Australia. In accordance with section 52E(1)(a) of the Act, and to reiterate my statement in the interim decision, I consider that while the proposed changes would address some barriers affecting access to ongoing supply of oral contraceptives, I do not feel the benefits of supply from a pharmacist outweigh the risks to women’s health when supplied without consultation from a medical practitioner. In considering section 52E(1)(b) of the Act, I also note that timely access to emergency supply provisions of oral contraceptive substances are currently available to women in the absence of a medical practitioner or prescription via pharmacies. The National Health Continued Dispensing Determination 2012</w:t>
      </w:r>
      <w:r>
        <w:rPr>
          <w:rStyle w:val="FootnoteReference"/>
        </w:rPr>
        <w:footnoteReference w:id="4"/>
      </w:r>
      <w:r>
        <w:t xml:space="preserve"> allows for supply of oral contraceptives at a subsidised cost via the Pharmaceutical Benefits Scheme (PBS) and state and territory legislation allows for emergency ongoing supply of oral contraceptives by a pharmacist. Alternative mechanisms suggested to increase access to oral contraceptives, such as the extending of prescribing rights to nurse practitioners or prolonging the validity of prescriptions beyond 12 months, fall outside the remit of the Poisons Standard.</w:t>
      </w:r>
    </w:p>
    <w:p w14:paraId="7F837AEB" w14:textId="6D1384F2" w:rsidR="002A58D7" w:rsidRDefault="002A58D7" w:rsidP="003835BF">
      <w:r>
        <w:t>I refer to the submissions made by the Pharmacy Guild of Australia (</w:t>
      </w:r>
      <w:r w:rsidR="00080C9D">
        <w:t xml:space="preserve">the </w:t>
      </w:r>
      <w:r w:rsidRPr="002F4D30">
        <w:rPr>
          <w:b/>
          <w:bCs/>
        </w:rPr>
        <w:t>Guild</w:t>
      </w:r>
      <w:r>
        <w:t xml:space="preserve">) and Pharmaceutical Society of Australia (PSA) in which these peak bodies detailed their experience in creating national professional guidance documentation for the supply of other Schedule 3 substances. This experience was presented to address the concerns regarding a lack of clarity </w:t>
      </w:r>
      <w:r>
        <w:lastRenderedPageBreak/>
        <w:t xml:space="preserve">surrounding the implementation and enforcement of the proposed Appendix M entry outlined in the interim decision. I have carefully considered the Guild’s argument that the proposed Appendix M entry (stipulating a maximum supply of 3-4 months) would mitigate concerns about risk factors changing over time by increasing the frequency of clinical review and follow-up. I acknowledge the clinical capabilities of pharmacists, who have provided emergency progesterone-only contraception since 2004 and have performed an important role in ensuring public health through provision of vaccination services. </w:t>
      </w:r>
      <w:r w:rsidR="00080C9D">
        <w:t>However, r</w:t>
      </w:r>
      <w:r>
        <w:t xml:space="preserve">egular reassessment by a medical practitioner allows routine preventive health screening (such as cervical smears, pelvic exams, clinical breast exams and screening for sexually transmitted infections) as well as regular review of the suitability of continued oral contraception compared to other forms of long-acting reversible contraception, which are not available without a prescription. </w:t>
      </w:r>
      <w:r w:rsidR="00080C9D">
        <w:t xml:space="preserve">I have </w:t>
      </w:r>
      <w:r>
        <w:t>weigh</w:t>
      </w:r>
      <w:r w:rsidR="00080C9D">
        <w:t>ed</w:t>
      </w:r>
      <w:r>
        <w:t xml:space="preserve"> the severity and frequency of adverse effects, alongside the seriousness of potential drug-drug and drug-condition interactions without medical practitioner intervention and follow-up against the benefits of increased access</w:t>
      </w:r>
      <w:r w:rsidR="00080C9D">
        <w:t>. In doing so,</w:t>
      </w:r>
      <w:r>
        <w:t xml:space="preserve"> I remain of the firm view that medical practitioner involvement is required and the current scheduling of oral contraceptive substances under Schedule 4 remains appropriate.</w:t>
      </w:r>
    </w:p>
    <w:p w14:paraId="720F8EF7" w14:textId="0353B80F" w:rsidR="002A58D7" w:rsidRDefault="002A58D7" w:rsidP="002A58D7">
      <w:r>
        <w:t xml:space="preserve">I acknowledge the submission provided by Family Planning NSW that over-the-counter access to oral contraceptives occurs elsewhere than in New Zealand. In July 2021 </w:t>
      </w:r>
      <w:proofErr w:type="spellStart"/>
      <w:r>
        <w:t>desogestrel</w:t>
      </w:r>
      <w:proofErr w:type="spellEnd"/>
      <w:r>
        <w:t>-only containing contraceptive products were made available without a prescription in the UK</w:t>
      </w:r>
      <w:r>
        <w:rPr>
          <w:rStyle w:val="FootnoteReference"/>
        </w:rPr>
        <w:footnoteReference w:id="5"/>
      </w:r>
      <w:r>
        <w:t xml:space="preserve"> and some United States (US) jurisdictions </w:t>
      </w:r>
      <w:r w:rsidR="00176675">
        <w:t xml:space="preserve">to </w:t>
      </w:r>
      <w:r>
        <w:t>allow pharmacist-only dispensing of oral contraceptives</w:t>
      </w:r>
      <w:r>
        <w:rPr>
          <w:rStyle w:val="FootnoteReference"/>
        </w:rPr>
        <w:footnoteReference w:id="6"/>
      </w:r>
      <w:r>
        <w:t>. In most comparable overseas jurisdictions such as the UK, the US</w:t>
      </w:r>
      <w:r>
        <w:rPr>
          <w:rStyle w:val="FootnoteReference"/>
        </w:rPr>
        <w:footnoteReference w:id="7"/>
      </w:r>
      <w:r>
        <w:t>, Canada</w:t>
      </w:r>
      <w:r>
        <w:rPr>
          <w:rStyle w:val="FootnoteReference"/>
        </w:rPr>
        <w:footnoteReference w:id="8"/>
      </w:r>
      <w:r>
        <w:t>, and the EU</w:t>
      </w:r>
      <w:r>
        <w:rPr>
          <w:rStyle w:val="FootnoteReference"/>
        </w:rPr>
        <w:footnoteReference w:id="9"/>
      </w:r>
      <w:r>
        <w:t>,</w:t>
      </w:r>
      <w:r>
        <w:rPr>
          <w:rStyle w:val="FootnoteReference"/>
        </w:rPr>
        <w:footnoteReference w:id="10"/>
      </w:r>
      <w:r>
        <w:t xml:space="preserve"> </w:t>
      </w:r>
      <w:r w:rsidR="00176675">
        <w:t xml:space="preserve">all other </w:t>
      </w:r>
      <w:r>
        <w:t>oral contraceptive substances are formally designated as prescription only.</w:t>
      </w:r>
    </w:p>
    <w:p w14:paraId="59EC94D6" w14:textId="30B4C292" w:rsidR="002A58D7" w:rsidRDefault="002A58D7" w:rsidP="002A58D7">
      <w:r>
        <w:t>Creation of a Schedule 3 entry for oral contraceptive substances carries with it requirements for not only clinical screening, assessment, and follow-up, but record-keeping and information sharing between doctors and pharmacists</w:t>
      </w:r>
      <w:r w:rsidR="00080C9D">
        <w:t xml:space="preserve">. </w:t>
      </w:r>
      <w:r>
        <w:t xml:space="preserve">I </w:t>
      </w:r>
      <w:r w:rsidR="00080C9D">
        <w:t xml:space="preserve">consider that benefits are </w:t>
      </w:r>
      <w:r>
        <w:t xml:space="preserve">not available in the general community pharmacy setting. In making my final decision I must consider under section 52E(1)(f) the potential impacts to public health of the application. I reiterate that the Poisons Standard is adopted by states and territories through jurisdictional legislation, which may differ in enactment and scope. In the case of oral contraceptive substances, I feel that </w:t>
      </w:r>
      <w:r w:rsidR="00080C9D">
        <w:t xml:space="preserve">several factors </w:t>
      </w:r>
      <w:r>
        <w:t xml:space="preserve">outweigh the benefits of access to oral contraceptives without the requirement for a prescription at this time. </w:t>
      </w:r>
      <w:r w:rsidR="00080C9D">
        <w:t>These factors are the clear requirement for adequate training and accreditation programs</w:t>
      </w:r>
      <w:r w:rsidR="004F79C5">
        <w:t xml:space="preserve"> that can be accessed readily by pharmacists </w:t>
      </w:r>
      <w:r w:rsidR="00080C9D">
        <w:t>without a cost imposition, taken together with the risks to health of inconsistent communication between medical practitioners and pharmacists.</w:t>
      </w:r>
    </w:p>
    <w:p w14:paraId="56639841" w14:textId="452D77D2" w:rsidR="005B04DA" w:rsidRDefault="002A58D7">
      <w:pPr>
        <w:spacing w:before="0" w:after="0" w:line="240" w:lineRule="auto"/>
        <w:rPr>
          <w:rFonts w:ascii="Times New Roman" w:hAnsi="Times New Roman"/>
          <w:sz w:val="24"/>
          <w:szCs w:val="24"/>
          <w:lang w:eastAsia="en-AU"/>
        </w:rPr>
      </w:pPr>
      <w:r>
        <w:t xml:space="preserve">In conclusion, having taken into account the interim decision submissions, my consideration of the Scheduling Policy Framework and the matters under section 52E(1) remain unchanged from my interim decision. </w:t>
      </w:r>
      <w:bookmarkStart w:id="38" w:name="_Hlk88058820"/>
      <w:r>
        <w:t>I find that the requirement for medical practitioner intervention in the prescribing of oral contraceptive substances remains consistent with the Scheduling Factors for Schedule 4</w:t>
      </w:r>
      <w:bookmarkEnd w:id="38"/>
      <w:r>
        <w:t xml:space="preserve"> at this time.</w:t>
      </w:r>
    </w:p>
    <w:p w14:paraId="6623CF68" w14:textId="77777777" w:rsidR="002A58D7" w:rsidRDefault="002A58D7" w:rsidP="003835BF">
      <w:pPr>
        <w:pStyle w:val="Heading2"/>
        <w:pageBreakBefore/>
        <w:ind w:left="431" w:hanging="431"/>
      </w:pPr>
      <w:bookmarkStart w:id="39" w:name="_Toc89681977"/>
      <w:bookmarkStart w:id="40" w:name="_Toc90840737"/>
      <w:r>
        <w:lastRenderedPageBreak/>
        <w:t xml:space="preserve">Final </w:t>
      </w:r>
      <w:r w:rsidRPr="00371400">
        <w:t>d</w:t>
      </w:r>
      <w:r w:rsidRPr="00CD1C8D">
        <w:t>ecisions on proposed amendments referred to the</w:t>
      </w:r>
      <w:r>
        <w:t xml:space="preserve"> Advisory Committee on Medicines and Chemicals</w:t>
      </w:r>
      <w:r w:rsidRPr="00CD1C8D">
        <w:t xml:space="preserve"> Scheduling</w:t>
      </w:r>
      <w:r>
        <w:t xml:space="preserve"> in joint session</w:t>
      </w:r>
      <w:r w:rsidRPr="00CD1C8D">
        <w:t xml:space="preserve"> (</w:t>
      </w:r>
      <w:r>
        <w:t>Joint ACMS-ACCS #28</w:t>
      </w:r>
      <w:r w:rsidRPr="00CD1C8D">
        <w:t>, June 2021)</w:t>
      </w:r>
      <w:bookmarkEnd w:id="39"/>
      <w:bookmarkEnd w:id="40"/>
    </w:p>
    <w:p w14:paraId="06D8B428" w14:textId="77777777" w:rsidR="002A58D7" w:rsidRDefault="002A58D7" w:rsidP="002A58D7">
      <w:pPr>
        <w:pStyle w:val="Heading3"/>
      </w:pPr>
      <w:bookmarkStart w:id="41" w:name="_Toc89681978"/>
      <w:bookmarkStart w:id="42" w:name="_Toc90840738"/>
      <w:r>
        <w:t xml:space="preserve">Final decision in </w:t>
      </w:r>
      <w:r w:rsidRPr="001E0113">
        <w:t>relation</w:t>
      </w:r>
      <w:r>
        <w:t xml:space="preserve"> to ethanol and isopropanol in hand sanitisers</w:t>
      </w:r>
      <w:bookmarkEnd w:id="41"/>
      <w:bookmarkEnd w:id="42"/>
    </w:p>
    <w:p w14:paraId="4284212C" w14:textId="77777777" w:rsidR="002A58D7" w:rsidRPr="003C0FAC" w:rsidRDefault="002A58D7" w:rsidP="003835BF">
      <w:pPr>
        <w:pStyle w:val="Heading4"/>
      </w:pPr>
      <w:r w:rsidRPr="003C0FAC">
        <w:t>Proposal</w:t>
      </w:r>
    </w:p>
    <w:p w14:paraId="61F96921" w14:textId="0B4CA768" w:rsidR="002A58D7" w:rsidRPr="00AF7612" w:rsidRDefault="002A58D7" w:rsidP="002A58D7">
      <w:r>
        <w:t xml:space="preserve">The applicant(s) proposed </w:t>
      </w:r>
      <w:r w:rsidR="004F79C5">
        <w:t xml:space="preserve">the </w:t>
      </w:r>
      <w:r>
        <w:t>creat</w:t>
      </w:r>
      <w:r w:rsidR="004F79C5">
        <w:t>ion of</w:t>
      </w:r>
      <w:r>
        <w:t xml:space="preserve"> new Schedule 6 entries for ethanol and isopropanol when present in hand sanitiser preparations at concentrations greater than</w:t>
      </w:r>
      <w:r w:rsidRPr="00A03BF3">
        <w:t xml:space="preserve"> 50%</w:t>
      </w:r>
      <w:r>
        <w:t>, with exceptions when meeting certain requirements for packaging, labelling, formulation and physical properties.</w:t>
      </w:r>
    </w:p>
    <w:p w14:paraId="3842F027" w14:textId="2B8D91A9" w:rsidR="002A58D7" w:rsidRDefault="002A58D7" w:rsidP="002A58D7">
      <w:r>
        <w:t>Neither substance is currently captured by any Schedule entry, although ethanol is listed in Appendix B (substances considered not to require control by scheduling) under the alternative name ethyl alcohol.</w:t>
      </w:r>
    </w:p>
    <w:p w14:paraId="7B03E7D9" w14:textId="77777777" w:rsidR="002A58D7" w:rsidRPr="003C0FAC" w:rsidRDefault="002A58D7" w:rsidP="003835BF">
      <w:pPr>
        <w:pStyle w:val="Heading4"/>
      </w:pPr>
      <w:r w:rsidRPr="003C0FAC">
        <w:t>Final decision</w:t>
      </w:r>
    </w:p>
    <w:p w14:paraId="5FE26E4F" w14:textId="3A03133D" w:rsidR="002A58D7" w:rsidRDefault="002A58D7" w:rsidP="002A58D7">
      <w:r w:rsidRPr="00A05D10">
        <w:t>Pursuant to regulation 42ZCZ</w:t>
      </w:r>
      <w:r>
        <w:t>R</w:t>
      </w:r>
      <w:r w:rsidRPr="00A05D10">
        <w:t xml:space="preserve"> of the Regulations, a Delegate of the Secretary has, in relation to the proposed amendment, made a</w:t>
      </w:r>
      <w:r>
        <w:t xml:space="preserve"> final </w:t>
      </w:r>
      <w:r w:rsidRPr="00A05D10">
        <w:t xml:space="preserve">decision to </w:t>
      </w:r>
      <w:r w:rsidR="004F79C5">
        <w:t xml:space="preserve">not </w:t>
      </w:r>
      <w:r w:rsidRPr="00A05D10">
        <w:t>amend the</w:t>
      </w:r>
      <w:r>
        <w:t xml:space="preserve"> scheduling for ethanol and isopropanol in hand sanitisers in the </w:t>
      </w:r>
      <w:r w:rsidRPr="00A05D10">
        <w:t>current Poisons St</w:t>
      </w:r>
      <w:r>
        <w:t>andard.</w:t>
      </w:r>
    </w:p>
    <w:p w14:paraId="0CAEBDEB" w14:textId="77777777" w:rsidR="002A58D7" w:rsidRPr="003C0FAC" w:rsidRDefault="002A58D7" w:rsidP="003835BF">
      <w:pPr>
        <w:pStyle w:val="Heading4"/>
      </w:pPr>
      <w:r w:rsidRPr="003C0FAC">
        <w:t>Materials considered</w:t>
      </w:r>
    </w:p>
    <w:p w14:paraId="26B8A575" w14:textId="77777777" w:rsidR="002A58D7" w:rsidRDefault="002A58D7" w:rsidP="002A58D7">
      <w:r>
        <w:t>In making this final decision, the Delegate considered the following material:</w:t>
      </w:r>
    </w:p>
    <w:p w14:paraId="14B03F1E" w14:textId="77777777" w:rsidR="002A58D7" w:rsidRDefault="002A58D7" w:rsidP="003835BF">
      <w:pPr>
        <w:pStyle w:val="ListBullet"/>
      </w:pPr>
      <w:r w:rsidRPr="000E0D69">
        <w:t xml:space="preserve">The </w:t>
      </w:r>
      <w:hyperlink r:id="rId46" w:history="1">
        <w:r w:rsidRPr="00D70DC2">
          <w:rPr>
            <w:rStyle w:val="Hyperlink"/>
          </w:rPr>
          <w:t>application</w:t>
        </w:r>
      </w:hyperlink>
      <w:r>
        <w:rPr>
          <w:rStyle w:val="Hyperlink"/>
        </w:rPr>
        <w:t>s</w:t>
      </w:r>
      <w:r w:rsidRPr="000E0D69">
        <w:t xml:space="preserve"> to amend the</w:t>
      </w:r>
      <w:r>
        <w:t xml:space="preserve"> current Poisons Standard with respect to ethanol and isopropanol;</w:t>
      </w:r>
    </w:p>
    <w:p w14:paraId="48720B8F" w14:textId="77777777" w:rsidR="002A58D7" w:rsidRPr="006367ED" w:rsidRDefault="002A58D7" w:rsidP="002A58D7">
      <w:pPr>
        <w:pStyle w:val="ListBullet"/>
        <w:numPr>
          <w:ilvl w:val="0"/>
          <w:numId w:val="1"/>
        </w:numPr>
      </w:pPr>
      <w:r>
        <w:t>The six</w:t>
      </w:r>
      <w:r w:rsidRPr="006367ED">
        <w:t xml:space="preserve"> </w:t>
      </w:r>
      <w:hyperlink r:id="rId47" w:history="1">
        <w:r w:rsidRPr="006367ED">
          <w:rPr>
            <w:rStyle w:val="Hyperlink"/>
          </w:rPr>
          <w:t>public submissions</w:t>
        </w:r>
      </w:hyperlink>
      <w:r w:rsidRPr="006367ED">
        <w:rPr>
          <w:rStyle w:val="Hyperlink"/>
        </w:rPr>
        <w:t>,</w:t>
      </w:r>
      <w:r w:rsidRPr="006367ED">
        <w:t xml:space="preserve"> </w:t>
      </w:r>
      <w:r>
        <w:t>all</w:t>
      </w:r>
      <w:r w:rsidRPr="006367ED">
        <w:t xml:space="preserve"> including a written component, received in response to the </w:t>
      </w:r>
      <w:hyperlink r:id="rId48" w:history="1">
        <w:r w:rsidRPr="006367ED">
          <w:rPr>
            <w:rStyle w:val="Hyperlink"/>
          </w:rPr>
          <w:t>pre-meeting consultation</w:t>
        </w:r>
      </w:hyperlink>
      <w:r w:rsidRPr="006367ED">
        <w:t xml:space="preserve"> under regulation 42ZCZK of the Regulations;</w:t>
      </w:r>
    </w:p>
    <w:p w14:paraId="5A32467D" w14:textId="77777777" w:rsidR="002A58D7" w:rsidRDefault="002A58D7" w:rsidP="002A58D7">
      <w:pPr>
        <w:pStyle w:val="ListBullet"/>
        <w:numPr>
          <w:ilvl w:val="0"/>
          <w:numId w:val="1"/>
        </w:numPr>
      </w:pPr>
      <w:r>
        <w:t>The advice received from the m</w:t>
      </w:r>
      <w:r w:rsidRPr="00A825A4">
        <w:t xml:space="preserve">eeting of the </w:t>
      </w:r>
      <w:r>
        <w:t>A</w:t>
      </w:r>
      <w:r w:rsidRPr="00344CA2">
        <w:t>dvisory Committee on Medicines and Chemicals Scheduling in jo</w:t>
      </w:r>
      <w:r>
        <w:t>int session (Joint ACMS-ACCS #28</w:t>
      </w:r>
      <w:r w:rsidRPr="00344CA2">
        <w:t>);</w:t>
      </w:r>
    </w:p>
    <w:p w14:paraId="55C70592" w14:textId="4D819E49" w:rsidR="002A58D7" w:rsidRDefault="002A58D7" w:rsidP="002A58D7">
      <w:pPr>
        <w:pStyle w:val="ListBullet"/>
        <w:numPr>
          <w:ilvl w:val="0"/>
          <w:numId w:val="1"/>
        </w:numPr>
      </w:pPr>
      <w:r w:rsidRPr="00763875">
        <w:rPr>
          <w:rFonts w:cs="Cambria"/>
          <w:color w:val="000000"/>
          <w:szCs w:val="22"/>
          <w:lang w:eastAsia="en-AU"/>
        </w:rPr>
        <w:t>The</w:t>
      </w:r>
      <w:r>
        <w:rPr>
          <w:rFonts w:cs="Cambria"/>
          <w:color w:val="000000"/>
          <w:szCs w:val="22"/>
          <w:lang w:eastAsia="en-AU"/>
        </w:rPr>
        <w:t xml:space="preserve"> </w:t>
      </w:r>
      <w:hyperlink r:id="rId49" w:history="1">
        <w:r w:rsidRPr="00560988">
          <w:rPr>
            <w:rStyle w:val="Hyperlink"/>
            <w:rFonts w:cs="Cambria"/>
            <w:szCs w:val="22"/>
            <w:lang w:eastAsia="en-AU"/>
          </w:rPr>
          <w:t>two public submissions</w:t>
        </w:r>
      </w:hyperlink>
      <w:r w:rsidRPr="00763875">
        <w:rPr>
          <w:rFonts w:cs="Cambria"/>
          <w:color w:val="000000"/>
          <w:szCs w:val="22"/>
          <w:lang w:eastAsia="en-AU"/>
        </w:rPr>
        <w:t xml:space="preserve">, including </w:t>
      </w:r>
      <w:r>
        <w:rPr>
          <w:rFonts w:cs="Cambria"/>
          <w:color w:val="000000"/>
          <w:szCs w:val="22"/>
          <w:lang w:eastAsia="en-AU"/>
        </w:rPr>
        <w:t>one</w:t>
      </w:r>
      <w:r w:rsidRPr="00763875">
        <w:rPr>
          <w:rFonts w:cs="Cambria"/>
          <w:color w:val="000000"/>
          <w:szCs w:val="22"/>
          <w:lang w:eastAsia="en-AU"/>
        </w:rPr>
        <w:t xml:space="preserve"> written submission, received in response to the</w:t>
      </w:r>
      <w:r>
        <w:t xml:space="preserve"> </w:t>
      </w:r>
      <w:hyperlink r:id="rId50" w:history="1">
        <w:r w:rsidR="00E40D8A" w:rsidRPr="002C21C9">
          <w:rPr>
            <w:rStyle w:val="Hyperlink"/>
            <w:rFonts w:cs="Cambria"/>
            <w:szCs w:val="22"/>
            <w:lang w:eastAsia="en-AU"/>
          </w:rPr>
          <w:t>interim decision consultation</w:t>
        </w:r>
      </w:hyperlink>
      <w:r w:rsidRPr="00763875">
        <w:rPr>
          <w:rFonts w:cs="Cambria"/>
          <w:color w:val="000000"/>
          <w:szCs w:val="22"/>
          <w:lang w:eastAsia="en-AU"/>
        </w:rPr>
        <w:t xml:space="preserve"> under regulation 42ZCZP of the Regulations;</w:t>
      </w:r>
    </w:p>
    <w:p w14:paraId="4F2D9BEA" w14:textId="77777777" w:rsidR="002A58D7" w:rsidRDefault="002A58D7" w:rsidP="002A58D7">
      <w:pPr>
        <w:pStyle w:val="ListBullet"/>
        <w:numPr>
          <w:ilvl w:val="0"/>
          <w:numId w:val="1"/>
        </w:numPr>
      </w:pPr>
      <w:r>
        <w:t xml:space="preserve">Subsection 52E(1) of the </w:t>
      </w:r>
      <w:r w:rsidRPr="00FC4D25">
        <w:rPr>
          <w:i/>
        </w:rPr>
        <w:t xml:space="preserve">Therapeutic Goods Act 1989, </w:t>
      </w:r>
      <w:r w:rsidRPr="001169AC">
        <w:t xml:space="preserve">in particular </w:t>
      </w:r>
      <w:r>
        <w:t>(a) risks and benefits of the use of a substance; (b) the purposes for which a substance is to be used and the extent of use of a substance;</w:t>
      </w:r>
      <w:r w:rsidRPr="00253950">
        <w:t xml:space="preserve"> (c) the toxicity of a substance; (d) the dosage, formulation, labelling, packaging and presentation of a substance; </w:t>
      </w:r>
      <w:r>
        <w:t>(e) the potential for abuse of a substance;</w:t>
      </w:r>
      <w:r w:rsidRPr="00253950">
        <w:t xml:space="preserve"> and (f) any other matters that the Secretary considers nec</w:t>
      </w:r>
      <w:r>
        <w:t>essary to protect public health;</w:t>
      </w:r>
    </w:p>
    <w:p w14:paraId="23C32CBD" w14:textId="77777777" w:rsidR="002A58D7" w:rsidRDefault="002A58D7" w:rsidP="002A58D7">
      <w:pPr>
        <w:pStyle w:val="ListBullet"/>
        <w:numPr>
          <w:ilvl w:val="0"/>
          <w:numId w:val="1"/>
        </w:numPr>
      </w:pPr>
      <w:r w:rsidRPr="002C1418">
        <w:t xml:space="preserve">The Australian Health Ministers’ Advisory Council’s </w:t>
      </w:r>
      <w:hyperlink r:id="rId51" w:history="1">
        <w:r w:rsidRPr="001A7580">
          <w:rPr>
            <w:rStyle w:val="Hyperlink"/>
          </w:rPr>
          <w:t>Scheduling Policy Framework</w:t>
        </w:r>
      </w:hyperlink>
      <w:r>
        <w:t xml:space="preserve"> (SPF 2018</w:t>
      </w:r>
      <w:r w:rsidRPr="002C20AE">
        <w:t>);</w:t>
      </w:r>
      <w:r>
        <w:t xml:space="preserve"> and</w:t>
      </w:r>
    </w:p>
    <w:p w14:paraId="11980224" w14:textId="77777777" w:rsidR="002A58D7" w:rsidRPr="006501A1" w:rsidRDefault="002A58D7" w:rsidP="002A58D7">
      <w:pPr>
        <w:pStyle w:val="ListBullet"/>
        <w:numPr>
          <w:ilvl w:val="0"/>
          <w:numId w:val="1"/>
        </w:numPr>
      </w:pPr>
      <w:r>
        <w:t xml:space="preserve">The </w:t>
      </w:r>
      <w:hyperlink r:id="rId52" w:history="1">
        <w:r w:rsidRPr="001A7580">
          <w:rPr>
            <w:rStyle w:val="Hyperlink"/>
          </w:rPr>
          <w:t>Scheduling handbook: Guidance for amending the Poisons Standard</w:t>
        </w:r>
      </w:hyperlink>
      <w:r>
        <w:t>.</w:t>
      </w:r>
    </w:p>
    <w:p w14:paraId="0F96CA64" w14:textId="77777777" w:rsidR="002A58D7" w:rsidRPr="003C0FAC" w:rsidRDefault="002A58D7" w:rsidP="003835BF">
      <w:pPr>
        <w:pStyle w:val="Heading4"/>
      </w:pPr>
      <w:r w:rsidRPr="003C0FAC">
        <w:lastRenderedPageBreak/>
        <w:t>Reasons for the final decision (including findings on material questions of fact)</w:t>
      </w:r>
    </w:p>
    <w:p w14:paraId="56A99E48" w14:textId="07BC22A3" w:rsidR="002A58D7" w:rsidRPr="006F1F0C" w:rsidRDefault="002A58D7" w:rsidP="003835BF">
      <w:pPr>
        <w:rPr>
          <w:rFonts w:cstheme="minorBidi"/>
          <w:szCs w:val="22"/>
        </w:rPr>
      </w:pPr>
      <w:r>
        <w:rPr>
          <w:rFonts w:cs="Cambria"/>
          <w:color w:val="000000"/>
          <w:szCs w:val="22"/>
          <w:lang w:eastAsia="en-AU"/>
        </w:rPr>
        <w:t xml:space="preserve">I have made a final decision to confirm my </w:t>
      </w:r>
      <w:hyperlink r:id="rId53" w:history="1">
        <w:r w:rsidRPr="00560988">
          <w:rPr>
            <w:rStyle w:val="Hyperlink"/>
            <w:rFonts w:cs="Cambria"/>
            <w:szCs w:val="22"/>
            <w:lang w:eastAsia="en-AU"/>
          </w:rPr>
          <w:t>interim decision</w:t>
        </w:r>
      </w:hyperlink>
      <w:r w:rsidRPr="00763875">
        <w:rPr>
          <w:rFonts w:cs="Cambria"/>
          <w:szCs w:val="22"/>
          <w:lang w:eastAsia="en-AU"/>
        </w:rPr>
        <w:t xml:space="preserve"> </w:t>
      </w:r>
      <w:r>
        <w:rPr>
          <w:rFonts w:cs="Cambria"/>
          <w:szCs w:val="22"/>
          <w:lang w:eastAsia="en-AU"/>
        </w:rPr>
        <w:t xml:space="preserve">not </w:t>
      </w:r>
      <w:r>
        <w:rPr>
          <w:rFonts w:cs="Cambria"/>
          <w:color w:val="000000"/>
          <w:szCs w:val="22"/>
          <w:lang w:eastAsia="en-AU"/>
        </w:rPr>
        <w:t>to amend the current Poisons</w:t>
      </w:r>
      <w:r w:rsidR="003835BF">
        <w:rPr>
          <w:rFonts w:cs="Cambria"/>
          <w:color w:val="000000"/>
          <w:szCs w:val="22"/>
          <w:lang w:eastAsia="en-AU"/>
        </w:rPr>
        <w:t xml:space="preserve"> </w:t>
      </w:r>
      <w:r>
        <w:rPr>
          <w:rFonts w:cs="Cambria"/>
          <w:color w:val="000000"/>
          <w:szCs w:val="22"/>
          <w:lang w:eastAsia="en-AU"/>
        </w:rPr>
        <w:t xml:space="preserve">Standard </w:t>
      </w:r>
      <w:r w:rsidRPr="006F1F0C">
        <w:rPr>
          <w:rFonts w:cstheme="minorBidi"/>
          <w:szCs w:val="22"/>
        </w:rPr>
        <w:t xml:space="preserve">in relation to ethanol (ethyl alcohol) and isopropanol. </w:t>
      </w:r>
      <w:r>
        <w:rPr>
          <w:rFonts w:cs="Cambria"/>
          <w:color w:val="000000"/>
          <w:szCs w:val="22"/>
          <w:lang w:eastAsia="en-AU"/>
        </w:rPr>
        <w:t xml:space="preserve">My reasons for making the final decision are those set out in the interim decision. In making my final decision, I have taken into account the material detailed in the interim decision and the responses received after the second call for public submissions, published on 13 October 2021 under regulation 42ZCZP of the Regulations. </w:t>
      </w:r>
      <w:r w:rsidRPr="00D46B1C">
        <w:rPr>
          <w:rFonts w:cs="Cambria"/>
          <w:color w:val="000000"/>
          <w:szCs w:val="22"/>
          <w:lang w:eastAsia="en-AU"/>
        </w:rPr>
        <w:t>I note that the written public submission received during the second round of consultation was fully supportive of the interim decision.</w:t>
      </w:r>
    </w:p>
    <w:p w14:paraId="442A2246" w14:textId="77777777" w:rsidR="002A58D7" w:rsidRPr="00AC5AFE" w:rsidRDefault="002A58D7" w:rsidP="003835BF">
      <w:pPr>
        <w:pStyle w:val="Heading3"/>
      </w:pPr>
      <w:bookmarkStart w:id="43" w:name="_Toc80714283"/>
      <w:bookmarkStart w:id="44" w:name="_Toc89681979"/>
      <w:bookmarkStart w:id="45" w:name="_Toc90840739"/>
      <w:bookmarkEnd w:id="43"/>
      <w:r w:rsidRPr="00AC5AFE">
        <w:t xml:space="preserve">Final </w:t>
      </w:r>
      <w:r w:rsidRPr="003835BF">
        <w:t>decision</w:t>
      </w:r>
      <w:r w:rsidRPr="00AC5AFE">
        <w:t xml:space="preserve"> in relation to methanol in hand sanitisers</w:t>
      </w:r>
      <w:bookmarkEnd w:id="44"/>
      <w:bookmarkEnd w:id="45"/>
    </w:p>
    <w:p w14:paraId="1F71A369" w14:textId="77777777" w:rsidR="002A58D7" w:rsidRPr="003C0FAC" w:rsidRDefault="002A58D7" w:rsidP="003835BF">
      <w:pPr>
        <w:pStyle w:val="Heading4"/>
      </w:pPr>
      <w:r w:rsidRPr="003C0FAC">
        <w:t>Proposal</w:t>
      </w:r>
    </w:p>
    <w:p w14:paraId="6596ADA9" w14:textId="6D2A3321" w:rsidR="002A58D7" w:rsidRDefault="002A58D7" w:rsidP="003835BF">
      <w:r>
        <w:t xml:space="preserve">The applicant proposed </w:t>
      </w:r>
      <w:r w:rsidR="004F79C5">
        <w:t xml:space="preserve">the creation of </w:t>
      </w:r>
      <w:r>
        <w:t>a new Schedule 10 entry for methanol when used in hand sanitiser preparations at concentrations greater than 2</w:t>
      </w:r>
      <w:r w:rsidRPr="00A03BF3">
        <w:t>%</w:t>
      </w:r>
      <w:r>
        <w:t>. The substance is currently captured in Schedule 6 at concentrations greater than 10%, Schedule 5 at concentrations between 2% and 10%, and is not included in a schedule at concentrations below 2%.</w:t>
      </w:r>
    </w:p>
    <w:p w14:paraId="60912746" w14:textId="77777777" w:rsidR="002A58D7" w:rsidRPr="003C0FAC" w:rsidRDefault="002A58D7" w:rsidP="003835BF">
      <w:pPr>
        <w:pStyle w:val="Heading4"/>
      </w:pPr>
      <w:r w:rsidRPr="003C0FAC">
        <w:t>Final decision</w:t>
      </w:r>
    </w:p>
    <w:p w14:paraId="3B9CA470" w14:textId="5789790B" w:rsidR="002A58D7" w:rsidRDefault="002A58D7" w:rsidP="003835BF">
      <w:r w:rsidRPr="00A05D10">
        <w:t>Pursuant to regulation 42ZCZ</w:t>
      </w:r>
      <w:r>
        <w:t>R</w:t>
      </w:r>
      <w:r w:rsidRPr="00A05D10">
        <w:t xml:space="preserve"> of the Regulations, a Delegate of the Secretary has, in relation to the proposed amendment, made a</w:t>
      </w:r>
      <w:r>
        <w:t xml:space="preserve"> final</w:t>
      </w:r>
      <w:r w:rsidRPr="00A05D10">
        <w:t xml:space="preserve"> decision to amend the</w:t>
      </w:r>
      <w:r>
        <w:t xml:space="preserve"> scheduling for methanol and create a new definition for hand sanitisers in the </w:t>
      </w:r>
      <w:r w:rsidRPr="00A05D10">
        <w:t>current Poisons St</w:t>
      </w:r>
      <w:r>
        <w:t>andard as follows</w:t>
      </w:r>
      <w:r w:rsidRPr="00A05D10">
        <w:t>:</w:t>
      </w:r>
    </w:p>
    <w:p w14:paraId="035D27C5" w14:textId="77777777" w:rsidR="002A58D7" w:rsidRDefault="002A58D7" w:rsidP="002A58D7">
      <w:pPr>
        <w:ind w:left="709"/>
        <w:rPr>
          <w:b/>
        </w:rPr>
      </w:pPr>
      <w:r>
        <w:rPr>
          <w:b/>
        </w:rPr>
        <w:t>Schedule 10</w:t>
      </w:r>
      <w:r w:rsidRPr="003E2CAF">
        <w:rPr>
          <w:b/>
        </w:rPr>
        <w:t xml:space="preserve"> – New Entry</w:t>
      </w:r>
    </w:p>
    <w:p w14:paraId="27CB6432" w14:textId="77777777" w:rsidR="002A58D7" w:rsidRPr="00CC0869" w:rsidRDefault="002A58D7" w:rsidP="002A58D7">
      <w:pPr>
        <w:ind w:left="709"/>
        <w:rPr>
          <w:color w:val="00B050"/>
        </w:rPr>
      </w:pPr>
      <w:r w:rsidRPr="00CC0869">
        <w:rPr>
          <w:color w:val="00B050"/>
        </w:rPr>
        <w:t>METHANOL in hand sanitiser</w:t>
      </w:r>
      <w:r>
        <w:rPr>
          <w:color w:val="00B050"/>
        </w:rPr>
        <w:t xml:space="preserve"> preparation</w:t>
      </w:r>
      <w:r w:rsidRPr="00CC0869">
        <w:rPr>
          <w:color w:val="00B050"/>
        </w:rPr>
        <w:t>s containing more than 5 per cent methanol.</w:t>
      </w:r>
    </w:p>
    <w:p w14:paraId="40CF8B69" w14:textId="77777777" w:rsidR="002A58D7" w:rsidRPr="003835BF" w:rsidRDefault="002A58D7" w:rsidP="002A58D7">
      <w:pPr>
        <w:ind w:left="284" w:firstLine="436"/>
        <w:rPr>
          <w:b/>
        </w:rPr>
      </w:pPr>
      <w:r w:rsidRPr="00716CF7">
        <w:rPr>
          <w:b/>
        </w:rPr>
        <w:t>Schedule 6 – Amend Entry</w:t>
      </w:r>
    </w:p>
    <w:p w14:paraId="75240C4A" w14:textId="032DCC32" w:rsidR="002A58D7" w:rsidRPr="00716CF7" w:rsidRDefault="002A58D7" w:rsidP="002A58D7">
      <w:pPr>
        <w:ind w:left="284" w:firstLine="436"/>
        <w:rPr>
          <w:b/>
          <w:bCs/>
        </w:rPr>
      </w:pPr>
      <w:r w:rsidRPr="00716CF7">
        <w:t xml:space="preserve">METHANOL (excluding its derivatives) </w:t>
      </w:r>
      <w:r w:rsidRPr="00716CF7">
        <w:rPr>
          <w:b/>
          <w:bCs/>
        </w:rPr>
        <w:t>except:</w:t>
      </w:r>
    </w:p>
    <w:p w14:paraId="02F86839" w14:textId="77777777" w:rsidR="002A58D7" w:rsidRPr="00716CF7" w:rsidRDefault="002A58D7" w:rsidP="002A58D7">
      <w:pPr>
        <w:pStyle w:val="ListBulleta"/>
        <w:numPr>
          <w:ilvl w:val="0"/>
          <w:numId w:val="8"/>
        </w:numPr>
        <w:rPr>
          <w:color w:val="00B050"/>
        </w:rPr>
      </w:pPr>
      <w:r w:rsidRPr="00A266AB">
        <w:t>when included in Schedule 5; or</w:t>
      </w:r>
      <w:r w:rsidRPr="00716CF7">
        <w:rPr>
          <w:color w:val="00B050"/>
        </w:rPr>
        <w:t xml:space="preserve"> </w:t>
      </w:r>
    </w:p>
    <w:p w14:paraId="0EC31792" w14:textId="77777777" w:rsidR="002A58D7" w:rsidRPr="00716CF7" w:rsidRDefault="002A58D7" w:rsidP="002A58D7">
      <w:pPr>
        <w:pStyle w:val="ListBulleta"/>
        <w:rPr>
          <w:color w:val="00B050"/>
        </w:rPr>
      </w:pPr>
      <w:r w:rsidRPr="00716CF7">
        <w:rPr>
          <w:color w:val="00B050"/>
        </w:rPr>
        <w:t>when included in Schedule 10; or</w:t>
      </w:r>
    </w:p>
    <w:p w14:paraId="6D6BECBE" w14:textId="77777777" w:rsidR="002A58D7" w:rsidRPr="00A266AB" w:rsidRDefault="002A58D7" w:rsidP="002A58D7">
      <w:pPr>
        <w:pStyle w:val="ListBulleta"/>
      </w:pPr>
      <w:r w:rsidRPr="00A266AB">
        <w:t>in preparations containing 2 per cent or less of methanol.</w:t>
      </w:r>
    </w:p>
    <w:p w14:paraId="60662869" w14:textId="77777777" w:rsidR="002A58D7" w:rsidRDefault="002A58D7" w:rsidP="002A58D7">
      <w:pPr>
        <w:ind w:left="284" w:firstLine="436"/>
        <w:rPr>
          <w:b/>
        </w:rPr>
      </w:pPr>
      <w:r w:rsidRPr="00B16EF7">
        <w:rPr>
          <w:b/>
        </w:rPr>
        <w:t>Schedule 5 – Amend Entry</w:t>
      </w:r>
    </w:p>
    <w:p w14:paraId="4A2939DB" w14:textId="0EFF4540" w:rsidR="002A58D7" w:rsidRDefault="002A58D7" w:rsidP="002A58D7">
      <w:pPr>
        <w:ind w:left="720"/>
        <w:rPr>
          <w:b/>
          <w:bCs/>
          <w:szCs w:val="22"/>
        </w:rPr>
      </w:pPr>
      <w:r>
        <w:rPr>
          <w:szCs w:val="22"/>
        </w:rPr>
        <w:t xml:space="preserve">METHANOL (excluding its derivatives) in preparations containing 10 per cent or less of methanol </w:t>
      </w:r>
      <w:r>
        <w:rPr>
          <w:b/>
          <w:bCs/>
          <w:szCs w:val="22"/>
        </w:rPr>
        <w:t>except</w:t>
      </w:r>
    </w:p>
    <w:p w14:paraId="2A9D6E1C" w14:textId="77777777" w:rsidR="002A58D7" w:rsidRPr="00AC5AFE" w:rsidRDefault="002A58D7" w:rsidP="002A58D7">
      <w:pPr>
        <w:pStyle w:val="ListBulleta"/>
        <w:numPr>
          <w:ilvl w:val="0"/>
          <w:numId w:val="15"/>
        </w:numPr>
        <w:rPr>
          <w:color w:val="00B050"/>
        </w:rPr>
      </w:pPr>
      <w:r w:rsidRPr="00AC5AFE">
        <w:rPr>
          <w:color w:val="00B050"/>
        </w:rPr>
        <w:t>when included in Schedule 10</w:t>
      </w:r>
      <w:r>
        <w:rPr>
          <w:color w:val="00B050"/>
        </w:rPr>
        <w:t>;</w:t>
      </w:r>
      <w:r w:rsidRPr="00AC5AFE">
        <w:rPr>
          <w:color w:val="00B050"/>
        </w:rPr>
        <w:t xml:space="preserve"> or</w:t>
      </w:r>
    </w:p>
    <w:p w14:paraId="7496030F" w14:textId="77777777" w:rsidR="002A58D7" w:rsidRPr="009349CF" w:rsidRDefault="002A58D7" w:rsidP="002A58D7">
      <w:pPr>
        <w:pStyle w:val="ListBulleta"/>
        <w:rPr>
          <w:color w:val="00B050"/>
        </w:rPr>
      </w:pPr>
      <w:r w:rsidRPr="00344464">
        <w:t>in preparations containing 2 per cent or less of methanol</w:t>
      </w:r>
      <w:r w:rsidRPr="00AC5AFE">
        <w:rPr>
          <w:color w:val="00B050"/>
        </w:rPr>
        <w:t>; or</w:t>
      </w:r>
    </w:p>
    <w:p w14:paraId="69291552" w14:textId="29A6AB9E" w:rsidR="009C3636" w:rsidRPr="00E40D8A" w:rsidRDefault="002A58D7" w:rsidP="00EC5876">
      <w:pPr>
        <w:pStyle w:val="ListBulleta"/>
        <w:rPr>
          <w:color w:val="00B050"/>
        </w:rPr>
      </w:pPr>
      <w:r w:rsidRPr="009349CF">
        <w:rPr>
          <w:color w:val="00B050"/>
          <w:szCs w:val="22"/>
        </w:rPr>
        <w:t>when methanol is present only as a denaturant of ethanol.</w:t>
      </w:r>
    </w:p>
    <w:p w14:paraId="4953007F" w14:textId="72106CBC" w:rsidR="002A58D7" w:rsidRDefault="002A58D7" w:rsidP="003835BF">
      <w:pPr>
        <w:keepNext/>
        <w:ind w:left="709"/>
        <w:rPr>
          <w:b/>
        </w:rPr>
      </w:pPr>
      <w:r>
        <w:rPr>
          <w:b/>
        </w:rPr>
        <w:lastRenderedPageBreak/>
        <w:t>Appendix E,</w:t>
      </w:r>
      <w:r w:rsidRPr="006D5C84">
        <w:rPr>
          <w:b/>
        </w:rPr>
        <w:t xml:space="preserve"> Part </w:t>
      </w:r>
      <w:r>
        <w:rPr>
          <w:b/>
        </w:rPr>
        <w:t>2</w:t>
      </w:r>
    </w:p>
    <w:tbl>
      <w:tblPr>
        <w:tblStyle w:val="TableTGAblue"/>
        <w:tblW w:w="8080" w:type="dxa"/>
        <w:tblInd w:w="699" w:type="dxa"/>
        <w:tblLook w:val="04A0" w:firstRow="1" w:lastRow="0" w:firstColumn="1" w:lastColumn="0" w:noHBand="0" w:noVBand="1"/>
      </w:tblPr>
      <w:tblGrid>
        <w:gridCol w:w="5812"/>
        <w:gridCol w:w="2268"/>
      </w:tblGrid>
      <w:tr w:rsidR="002A58D7" w:rsidRPr="001E2829" w14:paraId="1ACD2CB4" w14:textId="77777777" w:rsidTr="008E7E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1046EF51" w14:textId="60B6C705" w:rsidR="002A58D7" w:rsidRPr="00702170" w:rsidRDefault="002A58D7" w:rsidP="00F00E99">
            <w:pPr>
              <w:rPr>
                <w:sz w:val="20"/>
                <w:szCs w:val="20"/>
              </w:rPr>
            </w:pPr>
            <w:r w:rsidRPr="00702170">
              <w:rPr>
                <w:sz w:val="20"/>
              </w:rPr>
              <w:t>P</w:t>
            </w:r>
            <w:r w:rsidR="003835BF">
              <w:rPr>
                <w:sz w:val="20"/>
              </w:rPr>
              <w:t>oison</w:t>
            </w:r>
          </w:p>
        </w:tc>
        <w:tc>
          <w:tcPr>
            <w:tcW w:w="2268" w:type="dxa"/>
          </w:tcPr>
          <w:p w14:paraId="0C57AE7A" w14:textId="5EFDF224" w:rsidR="002A58D7" w:rsidRPr="00702170" w:rsidRDefault="002A58D7" w:rsidP="00F00E99">
            <w:pPr>
              <w:cnfStyle w:val="100000000000" w:firstRow="1" w:lastRow="0" w:firstColumn="0" w:lastColumn="0" w:oddVBand="0" w:evenVBand="0" w:oddHBand="0" w:evenHBand="0" w:firstRowFirstColumn="0" w:firstRowLastColumn="0" w:lastRowFirstColumn="0" w:lastRowLastColumn="0"/>
              <w:rPr>
                <w:sz w:val="20"/>
                <w:szCs w:val="20"/>
              </w:rPr>
            </w:pPr>
            <w:r>
              <w:rPr>
                <w:sz w:val="20"/>
              </w:rPr>
              <w:t>First Aid Instructions</w:t>
            </w:r>
          </w:p>
        </w:tc>
      </w:tr>
      <w:tr w:rsidR="002A58D7" w:rsidRPr="00465E72" w14:paraId="00F94860" w14:textId="77777777" w:rsidTr="008E7E28">
        <w:tc>
          <w:tcPr>
            <w:cnfStyle w:val="001000000000" w:firstRow="0" w:lastRow="0" w:firstColumn="1" w:lastColumn="0" w:oddVBand="0" w:evenVBand="0" w:oddHBand="0" w:evenHBand="0" w:firstRowFirstColumn="0" w:firstRowLastColumn="0" w:lastRowFirstColumn="0" w:lastRowLastColumn="0"/>
            <w:tcW w:w="5812" w:type="dxa"/>
          </w:tcPr>
          <w:p w14:paraId="4C38B993" w14:textId="77777777" w:rsidR="002A58D7" w:rsidRDefault="002A58D7" w:rsidP="00F00E99">
            <w:pPr>
              <w:rPr>
                <w:sz w:val="20"/>
                <w:szCs w:val="20"/>
              </w:rPr>
            </w:pPr>
            <w:r>
              <w:rPr>
                <w:sz w:val="20"/>
                <w:szCs w:val="20"/>
              </w:rPr>
              <w:t>METHANOL</w:t>
            </w:r>
          </w:p>
          <w:p w14:paraId="3734217B" w14:textId="77777777" w:rsidR="002A58D7" w:rsidRPr="00095D56" w:rsidRDefault="002A58D7" w:rsidP="002A58D7">
            <w:pPr>
              <w:pStyle w:val="ListBullet"/>
              <w:numPr>
                <w:ilvl w:val="0"/>
                <w:numId w:val="14"/>
              </w:numPr>
              <w:rPr>
                <w:sz w:val="20"/>
                <w:szCs w:val="20"/>
              </w:rPr>
            </w:pPr>
            <w:r w:rsidRPr="00A36949">
              <w:rPr>
                <w:lang w:eastAsia="en-AU"/>
              </w:rPr>
              <w:t>above 10 per cent</w:t>
            </w:r>
          </w:p>
          <w:p w14:paraId="65F546CB" w14:textId="77777777" w:rsidR="002A58D7" w:rsidRPr="00465E72" w:rsidRDefault="002A58D7" w:rsidP="002A58D7">
            <w:pPr>
              <w:pStyle w:val="ListBullet"/>
              <w:numPr>
                <w:ilvl w:val="0"/>
                <w:numId w:val="14"/>
              </w:numPr>
              <w:rPr>
                <w:sz w:val="20"/>
                <w:szCs w:val="20"/>
              </w:rPr>
            </w:pPr>
            <w:r w:rsidRPr="00A36949">
              <w:rPr>
                <w:lang w:eastAsia="en-AU"/>
              </w:rPr>
              <w:t>10 per cent or less</w:t>
            </w:r>
          </w:p>
        </w:tc>
        <w:tc>
          <w:tcPr>
            <w:tcW w:w="2268" w:type="dxa"/>
          </w:tcPr>
          <w:p w14:paraId="0DA9D528" w14:textId="77777777" w:rsidR="002A58D7" w:rsidRDefault="002A58D7" w:rsidP="00F00E99">
            <w:pPr>
              <w:cnfStyle w:val="000000000000" w:firstRow="0" w:lastRow="0" w:firstColumn="0" w:lastColumn="0" w:oddVBand="0" w:evenVBand="0" w:oddHBand="0" w:evenHBand="0" w:firstRowFirstColumn="0" w:firstRowLastColumn="0" w:lastRowFirstColumn="0" w:lastRowLastColumn="0"/>
              <w:rPr>
                <w:sz w:val="20"/>
              </w:rPr>
            </w:pPr>
          </w:p>
          <w:p w14:paraId="4763193A" w14:textId="77777777" w:rsidR="002A58D7" w:rsidRDefault="002A58D7" w:rsidP="00F00E99">
            <w:pPr>
              <w:cnfStyle w:val="000000000000" w:firstRow="0" w:lastRow="0" w:firstColumn="0" w:lastColumn="0" w:oddVBand="0" w:evenVBand="0" w:oddHBand="0" w:evenHBand="0" w:firstRowFirstColumn="0" w:firstRowLastColumn="0" w:lastRowFirstColumn="0" w:lastRowLastColumn="0"/>
              <w:rPr>
                <w:b/>
                <w:sz w:val="20"/>
              </w:rPr>
            </w:pPr>
            <w:r w:rsidRPr="003129CE">
              <w:rPr>
                <w:b/>
                <w:sz w:val="20"/>
              </w:rPr>
              <w:t>A</w:t>
            </w:r>
            <w:r>
              <w:rPr>
                <w:b/>
                <w:sz w:val="20"/>
              </w:rPr>
              <w:t xml:space="preserve">, </w:t>
            </w:r>
            <w:r w:rsidRPr="00C076CE">
              <w:rPr>
                <w:b/>
                <w:sz w:val="20"/>
              </w:rPr>
              <w:t>G</w:t>
            </w:r>
            <w:r>
              <w:rPr>
                <w:b/>
                <w:sz w:val="20"/>
              </w:rPr>
              <w:t>3</w:t>
            </w:r>
            <w:r w:rsidRPr="00C076CE">
              <w:rPr>
                <w:b/>
                <w:sz w:val="20"/>
              </w:rPr>
              <w:t xml:space="preserve"> </w:t>
            </w:r>
          </w:p>
          <w:p w14:paraId="3FCB9AAA" w14:textId="77777777" w:rsidR="002A58D7" w:rsidRPr="00465E72" w:rsidRDefault="002A58D7" w:rsidP="00F00E99">
            <w:pPr>
              <w:cnfStyle w:val="000000000000" w:firstRow="0" w:lastRow="0" w:firstColumn="0" w:lastColumn="0" w:oddVBand="0" w:evenVBand="0" w:oddHBand="0" w:evenHBand="0" w:firstRowFirstColumn="0" w:firstRowLastColumn="0" w:lastRowFirstColumn="0" w:lastRowLastColumn="0"/>
              <w:rPr>
                <w:sz w:val="20"/>
              </w:rPr>
            </w:pPr>
            <w:r w:rsidRPr="003129CE">
              <w:rPr>
                <w:b/>
                <w:sz w:val="20"/>
              </w:rPr>
              <w:t>A</w:t>
            </w:r>
          </w:p>
        </w:tc>
      </w:tr>
      <w:tr w:rsidR="002A58D7" w:rsidRPr="00465E72" w14:paraId="1C8DC2A2" w14:textId="77777777" w:rsidTr="008E7E28">
        <w:tc>
          <w:tcPr>
            <w:cnfStyle w:val="001000000000" w:firstRow="0" w:lastRow="0" w:firstColumn="1" w:lastColumn="0" w:oddVBand="0" w:evenVBand="0" w:oddHBand="0" w:evenHBand="0" w:firstRowFirstColumn="0" w:firstRowLastColumn="0" w:lastRowFirstColumn="0" w:lastRowLastColumn="0"/>
            <w:tcW w:w="8080" w:type="dxa"/>
            <w:gridSpan w:val="2"/>
          </w:tcPr>
          <w:p w14:paraId="765A2B77" w14:textId="77777777" w:rsidR="002A58D7" w:rsidRDefault="002A58D7" w:rsidP="00F00E99">
            <w:pPr>
              <w:rPr>
                <w:sz w:val="20"/>
              </w:rPr>
            </w:pPr>
            <w:r w:rsidRPr="003129CE">
              <w:rPr>
                <w:b/>
                <w:sz w:val="20"/>
              </w:rPr>
              <w:t>A</w:t>
            </w:r>
            <w:r>
              <w:rPr>
                <w:sz w:val="20"/>
              </w:rPr>
              <w:t xml:space="preserve"> – </w:t>
            </w:r>
            <w:r w:rsidRPr="00465E72">
              <w:rPr>
                <w:sz w:val="20"/>
              </w:rPr>
              <w:t>For advice, contact a Poisons Information Centre (e.g. phone Australia 13 11 26; New Zealand 0800 764 766) or a doctor (at once)</w:t>
            </w:r>
            <w:r>
              <w:rPr>
                <w:sz w:val="20"/>
              </w:rPr>
              <w:t>.</w:t>
            </w:r>
          </w:p>
          <w:p w14:paraId="7C4274F5" w14:textId="0B9B336F" w:rsidR="002A58D7" w:rsidRDefault="002A58D7" w:rsidP="00F00E99">
            <w:pPr>
              <w:rPr>
                <w:sz w:val="20"/>
              </w:rPr>
            </w:pPr>
            <w:r w:rsidRPr="004B28E6">
              <w:rPr>
                <w:b/>
                <w:sz w:val="20"/>
              </w:rPr>
              <w:t>G</w:t>
            </w:r>
            <w:r>
              <w:rPr>
                <w:b/>
                <w:sz w:val="20"/>
              </w:rPr>
              <w:t>3</w:t>
            </w:r>
            <w:r w:rsidRPr="004B28E6">
              <w:rPr>
                <w:b/>
                <w:sz w:val="20"/>
              </w:rPr>
              <w:t xml:space="preserve"> -</w:t>
            </w:r>
            <w:r>
              <w:rPr>
                <w:sz w:val="20"/>
              </w:rPr>
              <w:t xml:space="preserve"> </w:t>
            </w:r>
            <w:r w:rsidRPr="00465E72">
              <w:rPr>
                <w:sz w:val="20"/>
              </w:rPr>
              <w:t>If swallowed, do NOT induce vomiting</w:t>
            </w:r>
            <w:r>
              <w:rPr>
                <w:sz w:val="20"/>
              </w:rPr>
              <w:t>.</w:t>
            </w:r>
          </w:p>
        </w:tc>
      </w:tr>
    </w:tbl>
    <w:p w14:paraId="05707C6C" w14:textId="77777777" w:rsidR="002A58D7" w:rsidRPr="00E638D3" w:rsidRDefault="002A58D7" w:rsidP="002A58D7">
      <w:pPr>
        <w:ind w:left="720"/>
        <w:rPr>
          <w:b/>
          <w:bCs/>
        </w:rPr>
      </w:pPr>
      <w:r w:rsidRPr="00E638D3">
        <w:rPr>
          <w:b/>
          <w:bCs/>
        </w:rPr>
        <w:t>Appendix F, Part 3</w:t>
      </w:r>
    </w:p>
    <w:tbl>
      <w:tblPr>
        <w:tblStyle w:val="TableTGAblue"/>
        <w:tblW w:w="8080" w:type="dxa"/>
        <w:tblInd w:w="699" w:type="dxa"/>
        <w:tblLook w:val="04A0" w:firstRow="1" w:lastRow="0" w:firstColumn="1" w:lastColumn="0" w:noHBand="0" w:noVBand="1"/>
      </w:tblPr>
      <w:tblGrid>
        <w:gridCol w:w="2126"/>
        <w:gridCol w:w="2127"/>
        <w:gridCol w:w="3827"/>
      </w:tblGrid>
      <w:tr w:rsidR="002A58D7" w:rsidRPr="001E2829" w14:paraId="304BEF21" w14:textId="77777777" w:rsidTr="008E7E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4761FE38" w14:textId="77777777" w:rsidR="002A58D7" w:rsidRPr="00702170" w:rsidRDefault="002A58D7" w:rsidP="00F00E99">
            <w:pPr>
              <w:rPr>
                <w:sz w:val="20"/>
                <w:szCs w:val="20"/>
              </w:rPr>
            </w:pPr>
            <w:r w:rsidRPr="00702170">
              <w:rPr>
                <w:sz w:val="20"/>
              </w:rPr>
              <w:t>P</w:t>
            </w:r>
            <w:r>
              <w:rPr>
                <w:sz w:val="20"/>
              </w:rPr>
              <w:t>oison</w:t>
            </w:r>
          </w:p>
        </w:tc>
        <w:tc>
          <w:tcPr>
            <w:tcW w:w="2127" w:type="dxa"/>
          </w:tcPr>
          <w:p w14:paraId="15629306" w14:textId="77777777" w:rsidR="002A58D7" w:rsidRPr="00702170" w:rsidRDefault="002A58D7" w:rsidP="00F00E99">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rPr>
              <w:t>Warning Statements</w:t>
            </w:r>
          </w:p>
        </w:tc>
        <w:tc>
          <w:tcPr>
            <w:tcW w:w="3827" w:type="dxa"/>
          </w:tcPr>
          <w:p w14:paraId="01AEF725" w14:textId="77777777" w:rsidR="002A58D7" w:rsidRPr="00702170" w:rsidRDefault="002A58D7" w:rsidP="00F00E99">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rPr>
              <w:t>Safety Directions</w:t>
            </w:r>
          </w:p>
        </w:tc>
      </w:tr>
      <w:tr w:rsidR="002A58D7" w:rsidRPr="001E2829" w14:paraId="5EC0BBDA" w14:textId="77777777" w:rsidTr="008E7E28">
        <w:tc>
          <w:tcPr>
            <w:cnfStyle w:val="001000000000" w:firstRow="0" w:lastRow="0" w:firstColumn="1" w:lastColumn="0" w:oddVBand="0" w:evenVBand="0" w:oddHBand="0" w:evenHBand="0" w:firstRowFirstColumn="0" w:firstRowLastColumn="0" w:lastRowFirstColumn="0" w:lastRowLastColumn="0"/>
            <w:tcW w:w="2126" w:type="dxa"/>
          </w:tcPr>
          <w:p w14:paraId="6C2190AA" w14:textId="77777777" w:rsidR="002A58D7" w:rsidRPr="00ED363D" w:rsidRDefault="002A58D7" w:rsidP="00F00E99">
            <w:pPr>
              <w:rPr>
                <w:szCs w:val="22"/>
              </w:rPr>
            </w:pPr>
            <w:r w:rsidRPr="00ED363D">
              <w:rPr>
                <w:szCs w:val="22"/>
              </w:rPr>
              <w:t xml:space="preserve">METHANOL </w:t>
            </w:r>
            <w:r w:rsidRPr="00ED363D">
              <w:rPr>
                <w:b/>
                <w:szCs w:val="22"/>
              </w:rPr>
              <w:t>except</w:t>
            </w:r>
            <w:r w:rsidRPr="00ED363D">
              <w:rPr>
                <w:szCs w:val="22"/>
              </w:rPr>
              <w:t xml:space="preserve"> in methylated spirit</w:t>
            </w:r>
          </w:p>
        </w:tc>
        <w:tc>
          <w:tcPr>
            <w:tcW w:w="2127" w:type="dxa"/>
          </w:tcPr>
          <w:p w14:paraId="5EB7CC22" w14:textId="77777777" w:rsidR="002A58D7" w:rsidRPr="00702170" w:rsidRDefault="002A58D7" w:rsidP="00F00E99">
            <w:pPr>
              <w:cnfStyle w:val="000000000000" w:firstRow="0" w:lastRow="0" w:firstColumn="0" w:lastColumn="0" w:oddVBand="0" w:evenVBand="0" w:oddHBand="0" w:evenHBand="0" w:firstRowFirstColumn="0" w:firstRowLastColumn="0" w:lastRowFirstColumn="0" w:lastRowLastColumn="0"/>
              <w:rPr>
                <w:sz w:val="20"/>
              </w:rPr>
            </w:pPr>
          </w:p>
        </w:tc>
        <w:tc>
          <w:tcPr>
            <w:tcW w:w="3827" w:type="dxa"/>
          </w:tcPr>
          <w:p w14:paraId="4C1F104A" w14:textId="77777777" w:rsidR="002A58D7" w:rsidRDefault="002A58D7" w:rsidP="00F00E99">
            <w:pPr>
              <w:cnfStyle w:val="000000000000" w:firstRow="0" w:lastRow="0" w:firstColumn="0" w:lastColumn="0" w:oddVBand="0" w:evenVBand="0" w:oddHBand="0" w:evenHBand="0" w:firstRowFirstColumn="0" w:firstRowLastColumn="0" w:lastRowFirstColumn="0" w:lastRowLastColumn="0"/>
              <w:rPr>
                <w:sz w:val="20"/>
              </w:rPr>
            </w:pPr>
            <w:r w:rsidRPr="00C1405E">
              <w:rPr>
                <w:b/>
                <w:sz w:val="20"/>
              </w:rPr>
              <w:t>1</w:t>
            </w:r>
            <w:r>
              <w:rPr>
                <w:sz w:val="20"/>
              </w:rPr>
              <w:t xml:space="preserve"> (</w:t>
            </w:r>
            <w:r>
              <w:t xml:space="preserve">Avoid contact with eyes), </w:t>
            </w:r>
            <w:r w:rsidRPr="00C1405E">
              <w:rPr>
                <w:b/>
              </w:rPr>
              <w:t>4</w:t>
            </w:r>
            <w:r>
              <w:t xml:space="preserve"> (</w:t>
            </w:r>
            <w:r>
              <w:rPr>
                <w:szCs w:val="22"/>
                <w:shd w:val="clear" w:color="auto" w:fill="FFFFFF"/>
              </w:rPr>
              <w:t xml:space="preserve">Avoid contact with skin), </w:t>
            </w:r>
            <w:r w:rsidRPr="00C1405E">
              <w:rPr>
                <w:b/>
                <w:szCs w:val="22"/>
                <w:shd w:val="clear" w:color="auto" w:fill="FFFFFF"/>
              </w:rPr>
              <w:t>8</w:t>
            </w:r>
            <w:r>
              <w:rPr>
                <w:szCs w:val="22"/>
                <w:shd w:val="clear" w:color="auto" w:fill="FFFFFF"/>
              </w:rPr>
              <w:t xml:space="preserve"> (Avoid breathing dust (or) vapour (or) spray mist)</w:t>
            </w:r>
          </w:p>
        </w:tc>
      </w:tr>
    </w:tbl>
    <w:p w14:paraId="22F3734A" w14:textId="77777777" w:rsidR="002A58D7" w:rsidRDefault="002A58D7" w:rsidP="002A58D7">
      <w:pPr>
        <w:ind w:left="709"/>
        <w:rPr>
          <w:b/>
        </w:rPr>
      </w:pPr>
      <w:r>
        <w:rPr>
          <w:b/>
        </w:rPr>
        <w:t>Index – Amend Entry</w:t>
      </w:r>
    </w:p>
    <w:p w14:paraId="709A903B" w14:textId="5C10D8E7" w:rsidR="002A58D7" w:rsidRPr="00CC0869" w:rsidRDefault="002A58D7" w:rsidP="002A58D7">
      <w:pPr>
        <w:ind w:left="709"/>
        <w:rPr>
          <w:b/>
        </w:rPr>
      </w:pPr>
      <w:r w:rsidRPr="00CC0869">
        <w:rPr>
          <w:b/>
        </w:rPr>
        <w:t>METHANOL</w:t>
      </w:r>
    </w:p>
    <w:p w14:paraId="749C2A08" w14:textId="77777777" w:rsidR="002A58D7" w:rsidRDefault="002A58D7" w:rsidP="002A58D7">
      <w:pPr>
        <w:ind w:left="709"/>
      </w:pPr>
      <w:r w:rsidRPr="00CC0869">
        <w:rPr>
          <w:color w:val="00B050"/>
        </w:rPr>
        <w:t>Schedule 10</w:t>
      </w:r>
      <w:r>
        <w:br/>
        <w:t xml:space="preserve">Schedule 6 </w:t>
      </w:r>
      <w:r>
        <w:br/>
        <w:t xml:space="preserve">Schedule 5 </w:t>
      </w:r>
      <w:r>
        <w:br/>
        <w:t xml:space="preserve">Appendix E, Part 2 </w:t>
      </w:r>
      <w:r>
        <w:br/>
        <w:t>Appendix F, Part 3</w:t>
      </w:r>
    </w:p>
    <w:p w14:paraId="260565D3" w14:textId="77777777" w:rsidR="002A58D7" w:rsidRDefault="002A58D7" w:rsidP="002A58D7">
      <w:pPr>
        <w:ind w:left="709"/>
        <w:rPr>
          <w:b/>
        </w:rPr>
      </w:pPr>
      <w:r>
        <w:rPr>
          <w:b/>
        </w:rPr>
        <w:t>PART 1 (INTERPRETATION) – New Entry</w:t>
      </w:r>
    </w:p>
    <w:p w14:paraId="38201F4D" w14:textId="77777777" w:rsidR="002A58D7" w:rsidRPr="00CC0869" w:rsidRDefault="002A58D7" w:rsidP="002A58D7">
      <w:pPr>
        <w:autoSpaceDE w:val="0"/>
        <w:autoSpaceDN w:val="0"/>
        <w:adjustRightInd w:val="0"/>
        <w:spacing w:before="0" w:after="0" w:line="240" w:lineRule="auto"/>
        <w:ind w:firstLine="709"/>
        <w:rPr>
          <w:rFonts w:cs="CIDFont+F1"/>
          <w:color w:val="00B050"/>
          <w:szCs w:val="22"/>
        </w:rPr>
      </w:pPr>
      <w:r w:rsidRPr="00CC0869">
        <w:rPr>
          <w:rFonts w:cs="CIDFont+F1"/>
          <w:color w:val="00B050"/>
          <w:szCs w:val="22"/>
        </w:rPr>
        <w:t>“</w:t>
      </w:r>
      <w:r w:rsidRPr="00CC0869">
        <w:rPr>
          <w:rFonts w:cs="CIDFont+F1"/>
          <w:b/>
          <w:color w:val="00B050"/>
          <w:szCs w:val="22"/>
        </w:rPr>
        <w:t>Hand sanitiser preparation</w:t>
      </w:r>
      <w:r w:rsidRPr="00CC0869">
        <w:rPr>
          <w:rFonts w:cs="CIDFont+F1"/>
          <w:color w:val="00B050"/>
          <w:szCs w:val="22"/>
        </w:rPr>
        <w:t>” means an antimicrobial skin care product:</w:t>
      </w:r>
    </w:p>
    <w:p w14:paraId="435DAA09" w14:textId="77777777" w:rsidR="002A58D7" w:rsidRPr="00AC5AFE" w:rsidRDefault="002A58D7" w:rsidP="002A58D7">
      <w:pPr>
        <w:pStyle w:val="ListBulleta"/>
        <w:numPr>
          <w:ilvl w:val="0"/>
          <w:numId w:val="16"/>
        </w:numPr>
        <w:rPr>
          <w:color w:val="00B050"/>
          <w:lang w:eastAsia="en-AU"/>
        </w:rPr>
      </w:pPr>
      <w:r w:rsidRPr="00AC5AFE">
        <w:rPr>
          <w:color w:val="00B050"/>
          <w:lang w:eastAsia="en-AU"/>
        </w:rPr>
        <w:t>that consists of, contains or generates one or more antimicrobial active substances; and</w:t>
      </w:r>
    </w:p>
    <w:p w14:paraId="7B50E5AC" w14:textId="77777777" w:rsidR="002A58D7" w:rsidRPr="004E3101" w:rsidRDefault="002A58D7" w:rsidP="002A58D7">
      <w:pPr>
        <w:pStyle w:val="ListBulleta"/>
        <w:rPr>
          <w:color w:val="00B050"/>
          <w:lang w:eastAsia="en-AU"/>
        </w:rPr>
      </w:pPr>
      <w:r w:rsidRPr="004E3101">
        <w:rPr>
          <w:color w:val="00B050"/>
          <w:lang w:eastAsia="en-AU"/>
        </w:rPr>
        <w:t>that is represented in any way to be, or is likely to be taken to be (whether because of the way in which it is presented or for any other reason):</w:t>
      </w:r>
    </w:p>
    <w:p w14:paraId="6987DF7C" w14:textId="77777777" w:rsidR="002A58D7" w:rsidRPr="001637B9" w:rsidRDefault="002A58D7" w:rsidP="002A58D7">
      <w:pPr>
        <w:pStyle w:val="ListBulleti"/>
        <w:numPr>
          <w:ilvl w:val="0"/>
          <w:numId w:val="9"/>
        </w:numPr>
        <w:rPr>
          <w:color w:val="00B050"/>
          <w:lang w:eastAsia="en-AU"/>
        </w:rPr>
      </w:pPr>
      <w:r w:rsidRPr="001637B9">
        <w:rPr>
          <w:color w:val="00B050"/>
          <w:lang w:eastAsia="en-AU"/>
        </w:rPr>
        <w:t>for use on hands when soap and water are not available; and</w:t>
      </w:r>
    </w:p>
    <w:p w14:paraId="1C957662" w14:textId="77777777" w:rsidR="002A58D7" w:rsidRDefault="002A58D7" w:rsidP="002A58D7">
      <w:pPr>
        <w:pStyle w:val="ListBulleti"/>
        <w:rPr>
          <w:color w:val="00B050"/>
          <w:lang w:eastAsia="en-AU"/>
        </w:rPr>
      </w:pPr>
      <w:r w:rsidRPr="004E3101">
        <w:rPr>
          <w:color w:val="00B050"/>
          <w:lang w:eastAsia="en-AU"/>
        </w:rPr>
        <w:t>applied to the hands without rinsing off; and</w:t>
      </w:r>
    </w:p>
    <w:p w14:paraId="2CEB5B61" w14:textId="77777777" w:rsidR="002A58D7" w:rsidRPr="00EB375A" w:rsidRDefault="002A58D7" w:rsidP="002A58D7">
      <w:pPr>
        <w:pStyle w:val="ListBulleti"/>
        <w:rPr>
          <w:color w:val="00B050"/>
          <w:lang w:eastAsia="en-AU"/>
        </w:rPr>
      </w:pPr>
      <w:r w:rsidRPr="00A84798">
        <w:rPr>
          <w:color w:val="00B050"/>
          <w:lang w:eastAsia="en-AU"/>
        </w:rPr>
        <w:t>intended to destroy, deter, render harmless, prevent the action of, or otherwise exert a controlling effect on any microbes on the skin.</w:t>
      </w:r>
    </w:p>
    <w:p w14:paraId="5C1D608B" w14:textId="77777777" w:rsidR="002A58D7" w:rsidRPr="003C0FAC" w:rsidRDefault="002A58D7" w:rsidP="005B7F75">
      <w:pPr>
        <w:pStyle w:val="Heading4"/>
      </w:pPr>
      <w:r w:rsidRPr="003C0FAC">
        <w:t>Materials considered</w:t>
      </w:r>
    </w:p>
    <w:p w14:paraId="6E0D9932" w14:textId="77777777" w:rsidR="002A58D7" w:rsidRDefault="002A58D7" w:rsidP="002A58D7">
      <w:r>
        <w:t>In making this final decision, the Delegate considered the following material:</w:t>
      </w:r>
    </w:p>
    <w:p w14:paraId="1ABB182A" w14:textId="77777777" w:rsidR="002A58D7" w:rsidRDefault="002A58D7" w:rsidP="005B7F75">
      <w:pPr>
        <w:pStyle w:val="ListBullet"/>
      </w:pPr>
      <w:r w:rsidRPr="000E0D69">
        <w:t xml:space="preserve">The </w:t>
      </w:r>
      <w:hyperlink r:id="rId54" w:history="1">
        <w:r w:rsidRPr="00D70DC2">
          <w:rPr>
            <w:rStyle w:val="Hyperlink"/>
          </w:rPr>
          <w:t>application</w:t>
        </w:r>
      </w:hyperlink>
      <w:r w:rsidRPr="000E0D69">
        <w:t xml:space="preserve"> to </w:t>
      </w:r>
      <w:r w:rsidRPr="005B7F75">
        <w:t>amend</w:t>
      </w:r>
      <w:r w:rsidRPr="000E0D69">
        <w:t xml:space="preserve"> the</w:t>
      </w:r>
      <w:r>
        <w:t xml:space="preserve"> current Poisons Standard with respect to methanol;</w:t>
      </w:r>
    </w:p>
    <w:p w14:paraId="169AC69F" w14:textId="77777777" w:rsidR="002A58D7" w:rsidRPr="006367ED" w:rsidRDefault="002A58D7" w:rsidP="002A58D7">
      <w:pPr>
        <w:pStyle w:val="ListBullet"/>
        <w:numPr>
          <w:ilvl w:val="0"/>
          <w:numId w:val="1"/>
        </w:numPr>
      </w:pPr>
      <w:r>
        <w:lastRenderedPageBreak/>
        <w:t>The five</w:t>
      </w:r>
      <w:r w:rsidRPr="006367ED">
        <w:t xml:space="preserve"> </w:t>
      </w:r>
      <w:hyperlink r:id="rId55" w:history="1">
        <w:r w:rsidRPr="006367ED">
          <w:rPr>
            <w:rStyle w:val="Hyperlink"/>
          </w:rPr>
          <w:t>public submissions</w:t>
        </w:r>
      </w:hyperlink>
      <w:r w:rsidRPr="006367ED">
        <w:rPr>
          <w:rStyle w:val="Hyperlink"/>
        </w:rPr>
        <w:t>,</w:t>
      </w:r>
      <w:r w:rsidRPr="006367ED">
        <w:t xml:space="preserve"> </w:t>
      </w:r>
      <w:r>
        <w:t>all</w:t>
      </w:r>
      <w:r w:rsidRPr="006367ED">
        <w:t xml:space="preserve"> including a written component, received in response to the </w:t>
      </w:r>
      <w:hyperlink r:id="rId56" w:history="1">
        <w:r w:rsidRPr="006367ED">
          <w:rPr>
            <w:rStyle w:val="Hyperlink"/>
          </w:rPr>
          <w:t>pre-meeting consultation</w:t>
        </w:r>
      </w:hyperlink>
      <w:r w:rsidRPr="006367ED">
        <w:t xml:space="preserve"> under regulation 42ZCZK of the Regulations;</w:t>
      </w:r>
    </w:p>
    <w:p w14:paraId="4AC2808D" w14:textId="77777777" w:rsidR="002A58D7" w:rsidRDefault="002A58D7" w:rsidP="002A58D7">
      <w:pPr>
        <w:pStyle w:val="ListBullet"/>
        <w:numPr>
          <w:ilvl w:val="0"/>
          <w:numId w:val="1"/>
        </w:numPr>
      </w:pPr>
      <w:r>
        <w:t>The advice received from the m</w:t>
      </w:r>
      <w:r w:rsidRPr="00A825A4">
        <w:t xml:space="preserve">eeting of the </w:t>
      </w:r>
      <w:r>
        <w:t>A</w:t>
      </w:r>
      <w:r w:rsidRPr="00344CA2">
        <w:t>dvisory Committee on Medicines and Chemicals Scheduling in jo</w:t>
      </w:r>
      <w:r>
        <w:t>int session (Joint ACMS-ACCS #28</w:t>
      </w:r>
      <w:r w:rsidRPr="00344CA2">
        <w:t>);</w:t>
      </w:r>
    </w:p>
    <w:p w14:paraId="22CA834E" w14:textId="77777777" w:rsidR="002A58D7" w:rsidRDefault="002A58D7" w:rsidP="002A58D7">
      <w:pPr>
        <w:pStyle w:val="ListBullet"/>
        <w:numPr>
          <w:ilvl w:val="0"/>
          <w:numId w:val="1"/>
        </w:numPr>
      </w:pPr>
      <w:r w:rsidRPr="00763875">
        <w:rPr>
          <w:rFonts w:cs="Cambria"/>
          <w:color w:val="000000"/>
          <w:szCs w:val="22"/>
          <w:lang w:eastAsia="en-AU"/>
        </w:rPr>
        <w:t>The</w:t>
      </w:r>
      <w:r>
        <w:rPr>
          <w:rFonts w:cs="Cambria"/>
          <w:color w:val="000000"/>
          <w:szCs w:val="22"/>
          <w:lang w:eastAsia="en-AU"/>
        </w:rPr>
        <w:t xml:space="preserve"> two</w:t>
      </w:r>
      <w:r w:rsidRPr="00763875">
        <w:rPr>
          <w:rFonts w:cs="Cambria"/>
          <w:color w:val="000000"/>
          <w:szCs w:val="22"/>
          <w:lang w:eastAsia="en-AU"/>
        </w:rPr>
        <w:t xml:space="preserve"> </w:t>
      </w:r>
      <w:hyperlink r:id="rId57" w:history="1">
        <w:r w:rsidRPr="002C21C9">
          <w:rPr>
            <w:rStyle w:val="Hyperlink"/>
            <w:rFonts w:cs="Cambria"/>
            <w:szCs w:val="22"/>
            <w:lang w:eastAsia="en-AU"/>
          </w:rPr>
          <w:t>public submissions</w:t>
        </w:r>
      </w:hyperlink>
      <w:r>
        <w:rPr>
          <w:rFonts w:cs="Cambria"/>
          <w:szCs w:val="22"/>
          <w:lang w:eastAsia="en-AU"/>
        </w:rPr>
        <w:t>,</w:t>
      </w:r>
      <w:r>
        <w:rPr>
          <w:rFonts w:cs="Cambria"/>
          <w:color w:val="000000"/>
          <w:szCs w:val="22"/>
          <w:lang w:eastAsia="en-AU"/>
        </w:rPr>
        <w:t xml:space="preserve"> including one </w:t>
      </w:r>
      <w:r w:rsidRPr="00763875">
        <w:rPr>
          <w:rFonts w:cs="Cambria"/>
          <w:color w:val="000000"/>
          <w:szCs w:val="22"/>
          <w:lang w:eastAsia="en-AU"/>
        </w:rPr>
        <w:t>written submission, received in response to the</w:t>
      </w:r>
      <w:r>
        <w:t xml:space="preserve"> </w:t>
      </w:r>
      <w:hyperlink r:id="rId58" w:history="1">
        <w:r w:rsidRPr="002C21C9">
          <w:rPr>
            <w:rStyle w:val="Hyperlink"/>
            <w:rFonts w:cs="Cambria"/>
            <w:szCs w:val="22"/>
            <w:lang w:eastAsia="en-AU"/>
          </w:rPr>
          <w:t>interim decision consultation</w:t>
        </w:r>
      </w:hyperlink>
      <w:r w:rsidRPr="00763875">
        <w:rPr>
          <w:rFonts w:cs="Cambria"/>
          <w:color w:val="000000"/>
          <w:szCs w:val="22"/>
          <w:lang w:eastAsia="en-AU"/>
        </w:rPr>
        <w:t xml:space="preserve"> under regulation 42ZCZP of the Regulations;</w:t>
      </w:r>
    </w:p>
    <w:p w14:paraId="4E1C1842" w14:textId="77777777" w:rsidR="002A58D7" w:rsidRDefault="002A58D7" w:rsidP="002A58D7">
      <w:pPr>
        <w:pStyle w:val="ListBullet"/>
        <w:numPr>
          <w:ilvl w:val="0"/>
          <w:numId w:val="1"/>
        </w:numPr>
      </w:pPr>
      <w:r>
        <w:t xml:space="preserve">Subsection 52E(1) of the </w:t>
      </w:r>
      <w:r w:rsidRPr="00FC4D25">
        <w:rPr>
          <w:i/>
        </w:rPr>
        <w:t xml:space="preserve">Therapeutic Goods Act 1989, </w:t>
      </w:r>
      <w:r w:rsidRPr="001169AC">
        <w:t xml:space="preserve">in particular </w:t>
      </w:r>
      <w:r>
        <w:t>(a) risks and benefits of the use of a substance; (b) the purposes for which a substance is to be used and the extent of use of a substance;</w:t>
      </w:r>
      <w:r w:rsidRPr="00253950">
        <w:t xml:space="preserve"> (c) the toxicity of a substance; (d) the dosage, formulation, labelling, packaging and presentation of a substance; </w:t>
      </w:r>
      <w:r>
        <w:t>(e) the potential for abuse of a substance;</w:t>
      </w:r>
      <w:r w:rsidRPr="00253950">
        <w:t xml:space="preserve"> and (f) any other matters that the Secretary considers nec</w:t>
      </w:r>
      <w:r>
        <w:t>essary to protect public health;</w:t>
      </w:r>
    </w:p>
    <w:p w14:paraId="26DB7C69" w14:textId="77777777" w:rsidR="002A58D7" w:rsidRDefault="002A58D7" w:rsidP="002A58D7">
      <w:pPr>
        <w:pStyle w:val="ListBullet"/>
        <w:numPr>
          <w:ilvl w:val="0"/>
          <w:numId w:val="1"/>
        </w:numPr>
      </w:pPr>
      <w:r w:rsidRPr="002C1418">
        <w:t xml:space="preserve">The Australian Health Ministers’ Advisory Council’s </w:t>
      </w:r>
      <w:hyperlink r:id="rId59" w:history="1">
        <w:r w:rsidRPr="001A7580">
          <w:rPr>
            <w:rStyle w:val="Hyperlink"/>
          </w:rPr>
          <w:t>Scheduling Policy Framework</w:t>
        </w:r>
      </w:hyperlink>
      <w:r>
        <w:t xml:space="preserve"> (SPF 2018</w:t>
      </w:r>
      <w:r w:rsidRPr="002C20AE">
        <w:t>);</w:t>
      </w:r>
      <w:r>
        <w:t xml:space="preserve"> and</w:t>
      </w:r>
    </w:p>
    <w:p w14:paraId="4D409937" w14:textId="77777777" w:rsidR="002A58D7" w:rsidRPr="006501A1" w:rsidRDefault="002A58D7" w:rsidP="002A58D7">
      <w:pPr>
        <w:pStyle w:val="ListBullet"/>
        <w:numPr>
          <w:ilvl w:val="0"/>
          <w:numId w:val="1"/>
        </w:numPr>
      </w:pPr>
      <w:r>
        <w:t xml:space="preserve">The </w:t>
      </w:r>
      <w:hyperlink r:id="rId60" w:history="1">
        <w:r w:rsidRPr="001A7580">
          <w:rPr>
            <w:rStyle w:val="Hyperlink"/>
          </w:rPr>
          <w:t>Scheduling handbook: Guidance for amending the Poisons Standard</w:t>
        </w:r>
      </w:hyperlink>
      <w:r>
        <w:t>.</w:t>
      </w:r>
    </w:p>
    <w:p w14:paraId="4242C15A" w14:textId="77777777" w:rsidR="002A58D7" w:rsidRPr="003C0FAC" w:rsidRDefault="002A58D7" w:rsidP="005B7F75">
      <w:pPr>
        <w:pStyle w:val="Heading4"/>
      </w:pPr>
      <w:r w:rsidRPr="003C0FAC">
        <w:t>Reasons for the final decision (including findings on material questions of fact)</w:t>
      </w:r>
    </w:p>
    <w:p w14:paraId="16006287" w14:textId="0D5DFCDF" w:rsidR="002A58D7" w:rsidRPr="00AC5AFE" w:rsidRDefault="002A58D7" w:rsidP="005B7F75">
      <w:pPr>
        <w:rPr>
          <w:lang w:eastAsia="en-AU"/>
        </w:rPr>
      </w:pPr>
      <w:r>
        <w:t xml:space="preserve">I have made a final decision to amend my </w:t>
      </w:r>
      <w:hyperlink r:id="rId61" w:history="1">
        <w:r w:rsidRPr="00E40D8A">
          <w:rPr>
            <w:rStyle w:val="Hyperlink"/>
          </w:rPr>
          <w:t>interim decision</w:t>
        </w:r>
      </w:hyperlink>
      <w:r>
        <w:t xml:space="preserve"> regarding the scheduling of methanol and the creation of a definition for hand sanitiser preparations in the Poisons Standard</w:t>
      </w:r>
      <w:r w:rsidRPr="00AC5AFE">
        <w:t xml:space="preserve">. </w:t>
      </w:r>
      <w:r w:rsidRPr="00AC5AFE">
        <w:rPr>
          <w:lang w:eastAsia="en-AU"/>
        </w:rPr>
        <w:t>In making my final decision, I have taken into account the material detailed in the interim decision and the responses received after the second call for public submissions, published on 13 October 2021 under regulation 42ZCZP of the Regulations.</w:t>
      </w:r>
    </w:p>
    <w:p w14:paraId="27D09DCD" w14:textId="69BAC084" w:rsidR="002A58D7" w:rsidRPr="00AC5AFE" w:rsidRDefault="002A58D7" w:rsidP="005B7F75">
      <w:pPr>
        <w:rPr>
          <w:rFonts w:eastAsia="Times New Roman"/>
          <w:szCs w:val="26"/>
        </w:rPr>
      </w:pPr>
      <w:r w:rsidRPr="00AC5AFE">
        <w:rPr>
          <w:rFonts w:cstheme="minorBidi"/>
        </w:rPr>
        <w:t xml:space="preserve">I note that </w:t>
      </w:r>
      <w:r>
        <w:rPr>
          <w:rFonts w:cstheme="minorBidi"/>
        </w:rPr>
        <w:t xml:space="preserve">the </w:t>
      </w:r>
      <w:r w:rsidRPr="00AC5AFE">
        <w:rPr>
          <w:rFonts w:cstheme="minorBidi"/>
        </w:rPr>
        <w:t xml:space="preserve">written </w:t>
      </w:r>
      <w:r w:rsidRPr="00AC5AFE">
        <w:rPr>
          <w:lang w:eastAsia="en-AU"/>
        </w:rPr>
        <w:t xml:space="preserve">public submission received during the second round of consultation </w:t>
      </w:r>
      <w:r w:rsidRPr="00AC5AFE">
        <w:rPr>
          <w:rFonts w:cstheme="minorBidi"/>
        </w:rPr>
        <w:t xml:space="preserve">from </w:t>
      </w:r>
      <w:r w:rsidR="00FB5B25" w:rsidRPr="00A87139">
        <w:t>Accord Australasia</w:t>
      </w:r>
      <w:r w:rsidRPr="00AC5AFE">
        <w:rPr>
          <w:rFonts w:cstheme="minorBidi"/>
        </w:rPr>
        <w:t xml:space="preserve"> was supportive </w:t>
      </w:r>
      <w:r>
        <w:rPr>
          <w:rFonts w:cstheme="minorBidi"/>
        </w:rPr>
        <w:t xml:space="preserve">of </w:t>
      </w:r>
      <w:r w:rsidRPr="00AC5AFE">
        <w:rPr>
          <w:rFonts w:cstheme="minorBidi"/>
        </w:rPr>
        <w:t xml:space="preserve">the interim decisions regarding </w:t>
      </w:r>
      <w:r w:rsidRPr="00AC5AFE">
        <w:rPr>
          <w:rFonts w:eastAsia="Times New Roman"/>
          <w:szCs w:val="26"/>
        </w:rPr>
        <w:t xml:space="preserve">a </w:t>
      </w:r>
      <w:r>
        <w:rPr>
          <w:rFonts w:eastAsia="Times New Roman"/>
          <w:szCs w:val="26"/>
        </w:rPr>
        <w:t>S</w:t>
      </w:r>
      <w:r w:rsidRPr="00AC5AFE">
        <w:rPr>
          <w:rFonts w:eastAsia="Times New Roman"/>
          <w:szCs w:val="26"/>
        </w:rPr>
        <w:t xml:space="preserve">chedule 10 entry for hand sanitiser preparations containing more than 5% methanol, as this guards against the high methanol content hand sanitisers that </w:t>
      </w:r>
      <w:r>
        <w:rPr>
          <w:rFonts w:eastAsia="Times New Roman"/>
          <w:szCs w:val="26"/>
        </w:rPr>
        <w:t>are</w:t>
      </w:r>
      <w:r w:rsidRPr="00AC5AFE">
        <w:rPr>
          <w:rFonts w:eastAsia="Times New Roman"/>
          <w:szCs w:val="26"/>
        </w:rPr>
        <w:t xml:space="preserve"> found in USA, EU and Mexico. Furthermore, </w:t>
      </w:r>
      <w:r>
        <w:rPr>
          <w:rFonts w:eastAsia="Times New Roman"/>
          <w:szCs w:val="26"/>
        </w:rPr>
        <w:t>A</w:t>
      </w:r>
      <w:r w:rsidR="00FB5B25">
        <w:rPr>
          <w:rFonts w:eastAsia="Times New Roman"/>
          <w:szCs w:val="26"/>
        </w:rPr>
        <w:t>ccord</w:t>
      </w:r>
      <w:r>
        <w:rPr>
          <w:rFonts w:eastAsia="Times New Roman"/>
          <w:szCs w:val="26"/>
        </w:rPr>
        <w:t xml:space="preserve"> was </w:t>
      </w:r>
      <w:r w:rsidRPr="00AC5AFE">
        <w:rPr>
          <w:rFonts w:eastAsia="Times New Roman"/>
          <w:szCs w:val="26"/>
        </w:rPr>
        <w:t xml:space="preserve">supportive </w:t>
      </w:r>
      <w:r>
        <w:rPr>
          <w:rFonts w:eastAsia="Times New Roman"/>
          <w:szCs w:val="26"/>
        </w:rPr>
        <w:t>of</w:t>
      </w:r>
      <w:r w:rsidRPr="00AC5AFE">
        <w:rPr>
          <w:rFonts w:eastAsia="Times New Roman"/>
          <w:szCs w:val="26"/>
        </w:rPr>
        <w:t xml:space="preserve"> the new definition for ‘Hand sanitiser preparation’.</w:t>
      </w:r>
    </w:p>
    <w:p w14:paraId="57B2673F" w14:textId="3C786910" w:rsidR="002A58D7" w:rsidRPr="00CC7C62" w:rsidRDefault="002A58D7" w:rsidP="002A58D7">
      <w:r w:rsidRPr="00FA2DD2">
        <w:t>I have considered the submission from A</w:t>
      </w:r>
      <w:r w:rsidR="00FB5B25">
        <w:t>ccord</w:t>
      </w:r>
      <w:r w:rsidRPr="00FA2DD2">
        <w:t xml:space="preserve"> to include an exception when methanol is present only as a denaturant of ethanol as an amendment to the Schedule 5 entry. As stated by the Centre for Disease Control in their first aid instructions for methanol poisoning</w:t>
      </w:r>
      <w:r>
        <w:t>,</w:t>
      </w:r>
      <w:r>
        <w:rPr>
          <w:rStyle w:val="FootnoteReference"/>
          <w:rFonts w:eastAsia="Times New Roman"/>
          <w:szCs w:val="26"/>
        </w:rPr>
        <w:footnoteReference w:id="11"/>
      </w:r>
      <w:r w:rsidRPr="00FA2DD2">
        <w:t xml:space="preserve"> ethanol can be used to limit t</w:t>
      </w:r>
      <w:r>
        <w:t>he</w:t>
      </w:r>
      <w:r w:rsidRPr="00FA2DD2">
        <w:t xml:space="preserve"> toxicity of methanol. To recognise the potential benefit, low risk and legitimate mitigation of methanol toxicity by ethanol in combination products, I have decided to implement </w:t>
      </w:r>
      <w:r>
        <w:t xml:space="preserve">an </w:t>
      </w:r>
      <w:r w:rsidRPr="00FA2DD2">
        <w:t>addition</w:t>
      </w:r>
      <w:r>
        <w:t>al</w:t>
      </w:r>
      <w:r w:rsidRPr="00FA2DD2">
        <w:t xml:space="preserve"> amendment to the Schedule 5 entry for methanol to exempt </w:t>
      </w:r>
      <w:r>
        <w:rPr>
          <w:szCs w:val="22"/>
        </w:rPr>
        <w:t>methanol from Schedule 5</w:t>
      </w:r>
      <w:r w:rsidRPr="00FA2DD2">
        <w:rPr>
          <w:szCs w:val="22"/>
        </w:rPr>
        <w:t xml:space="preserve"> </w:t>
      </w:r>
      <w:r>
        <w:rPr>
          <w:szCs w:val="22"/>
        </w:rPr>
        <w:t xml:space="preserve">when </w:t>
      </w:r>
      <w:r w:rsidRPr="00FA2DD2">
        <w:rPr>
          <w:szCs w:val="22"/>
        </w:rPr>
        <w:t xml:space="preserve">present </w:t>
      </w:r>
      <w:r>
        <w:rPr>
          <w:szCs w:val="22"/>
        </w:rPr>
        <w:t xml:space="preserve">in a preparation </w:t>
      </w:r>
      <w:r w:rsidRPr="00FA2DD2">
        <w:rPr>
          <w:szCs w:val="22"/>
        </w:rPr>
        <w:t>only as a denaturant of ethanol</w:t>
      </w:r>
      <w:r w:rsidRPr="00FA2DD2">
        <w:rPr>
          <w:rFonts w:eastAsia="Times New Roman"/>
          <w:szCs w:val="26"/>
        </w:rPr>
        <w:t>.</w:t>
      </w:r>
    </w:p>
    <w:p w14:paraId="722FC7C8" w14:textId="4F96D05B" w:rsidR="002A58D7" w:rsidRPr="008606EF" w:rsidRDefault="00CC7C62" w:rsidP="005B7F75">
      <w:pPr>
        <w:pStyle w:val="Heading4"/>
      </w:pPr>
      <w:r>
        <w:t>I</w:t>
      </w:r>
      <w:r w:rsidR="002A58D7" w:rsidRPr="008606EF">
        <w:t>mplementation date</w:t>
      </w:r>
    </w:p>
    <w:p w14:paraId="2E103313" w14:textId="77777777" w:rsidR="002A58D7" w:rsidRPr="00AC5AFE" w:rsidRDefault="002A58D7" w:rsidP="002A58D7">
      <w:pPr>
        <w:rPr>
          <w:rFonts w:eastAsia="Times New Roman"/>
          <w:b/>
          <w:bCs/>
          <w:szCs w:val="26"/>
        </w:rPr>
      </w:pPr>
      <w:r w:rsidRPr="00AC5AFE">
        <w:rPr>
          <w:rFonts w:eastAsia="Times New Roman"/>
          <w:b/>
          <w:bCs/>
          <w:szCs w:val="26"/>
        </w:rPr>
        <w:t>1 February 2022</w:t>
      </w:r>
    </w:p>
    <w:p w14:paraId="3E843DA3" w14:textId="77777777" w:rsidR="002A58D7" w:rsidRDefault="002A58D7" w:rsidP="005B7F75">
      <w:pPr>
        <w:pStyle w:val="Heading3"/>
      </w:pPr>
      <w:bookmarkStart w:id="46" w:name="_Toc89681980"/>
      <w:bookmarkStart w:id="47" w:name="_Toc90840740"/>
      <w:r>
        <w:t xml:space="preserve">Final </w:t>
      </w:r>
      <w:r w:rsidRPr="005B7F75">
        <w:t>decision</w:t>
      </w:r>
      <w:r>
        <w:t xml:space="preserve"> in </w:t>
      </w:r>
      <w:r w:rsidRPr="001E0113">
        <w:t>relation</w:t>
      </w:r>
      <w:r>
        <w:t xml:space="preserve"> to eugenol</w:t>
      </w:r>
      <w:bookmarkEnd w:id="46"/>
      <w:bookmarkEnd w:id="47"/>
    </w:p>
    <w:p w14:paraId="723D78F8" w14:textId="77777777" w:rsidR="002A58D7" w:rsidRPr="001E29E7" w:rsidRDefault="002A58D7" w:rsidP="005B7F75">
      <w:pPr>
        <w:pStyle w:val="Heading4"/>
      </w:pPr>
      <w:r w:rsidRPr="001E29E7">
        <w:t>Proposal</w:t>
      </w:r>
    </w:p>
    <w:p w14:paraId="3B56AB5E" w14:textId="77777777" w:rsidR="002A58D7" w:rsidRDefault="002A58D7" w:rsidP="005B7F75">
      <w:r>
        <w:t>A Delegate of the Secretary of the Commonwealth Department of Health (the Delegate) proposed to amend the Schedule 6 entry for eugenol to reduce concentration cut-offs for cosmetic preparations intended for skin contact.</w:t>
      </w:r>
    </w:p>
    <w:p w14:paraId="06F916EF" w14:textId="77777777" w:rsidR="002A58D7" w:rsidRPr="001E29E7" w:rsidRDefault="002A58D7" w:rsidP="005B7F75">
      <w:pPr>
        <w:pStyle w:val="Heading4"/>
      </w:pPr>
      <w:r w:rsidRPr="001E29E7">
        <w:lastRenderedPageBreak/>
        <w:t>Final decision</w:t>
      </w:r>
    </w:p>
    <w:p w14:paraId="1CF183E0" w14:textId="0345D609" w:rsidR="002A58D7" w:rsidRDefault="002A58D7" w:rsidP="002A58D7">
      <w:r w:rsidRPr="00A05D10">
        <w:t>Pursuant to regulation 42ZCZ</w:t>
      </w:r>
      <w:r>
        <w:t>R</w:t>
      </w:r>
      <w:r w:rsidRPr="00A05D10">
        <w:t xml:space="preserve"> of the Regulations, a Delegate of the Secretary has, in relation to the proposed amendment, made a</w:t>
      </w:r>
      <w:r>
        <w:t xml:space="preserve"> final </w:t>
      </w:r>
      <w:r w:rsidRPr="00A05D10">
        <w:t xml:space="preserve">decision to </w:t>
      </w:r>
      <w:r w:rsidR="004F79C5">
        <w:t xml:space="preserve">not </w:t>
      </w:r>
      <w:r w:rsidRPr="00A05D10">
        <w:t>amend the</w:t>
      </w:r>
      <w:r>
        <w:t xml:space="preserve"> scheduling for eugenol in the </w:t>
      </w:r>
      <w:r w:rsidRPr="00A05D10">
        <w:t>current Poisons St</w:t>
      </w:r>
      <w:r>
        <w:t>andard.</w:t>
      </w:r>
    </w:p>
    <w:p w14:paraId="785CF2ED" w14:textId="77777777" w:rsidR="002A58D7" w:rsidRPr="001E29E7" w:rsidRDefault="002A58D7" w:rsidP="005B7F75">
      <w:pPr>
        <w:pStyle w:val="Heading4"/>
      </w:pPr>
      <w:r w:rsidRPr="001E29E7">
        <w:t>Materials considered</w:t>
      </w:r>
    </w:p>
    <w:p w14:paraId="20E06409" w14:textId="6D4A666F" w:rsidR="002A58D7" w:rsidRDefault="002A58D7" w:rsidP="005B7F75">
      <w:r>
        <w:t xml:space="preserve">In making this </w:t>
      </w:r>
      <w:r w:rsidR="005527C6">
        <w:t>final</w:t>
      </w:r>
      <w:r>
        <w:t xml:space="preserve"> decision, the Delegate considered the following material:</w:t>
      </w:r>
    </w:p>
    <w:p w14:paraId="5B6A8383" w14:textId="77777777" w:rsidR="002A58D7" w:rsidRDefault="002A58D7" w:rsidP="002A58D7">
      <w:pPr>
        <w:pStyle w:val="ListBullet"/>
        <w:numPr>
          <w:ilvl w:val="0"/>
          <w:numId w:val="1"/>
        </w:numPr>
      </w:pPr>
      <w:r>
        <w:t xml:space="preserve">A </w:t>
      </w:r>
      <w:hyperlink r:id="rId62" w:history="1">
        <w:r w:rsidRPr="007F04D8">
          <w:rPr>
            <w:rStyle w:val="Hyperlink"/>
          </w:rPr>
          <w:t>human health tier II assessment</w:t>
        </w:r>
      </w:hyperlink>
      <w:r>
        <w:t xml:space="preserve"> for eugenol, published by AICIS (30 June 2020);</w:t>
      </w:r>
    </w:p>
    <w:p w14:paraId="2044150E" w14:textId="48D0EEE9" w:rsidR="002A58D7" w:rsidRPr="006367ED" w:rsidRDefault="002A58D7" w:rsidP="002A58D7">
      <w:pPr>
        <w:pStyle w:val="ListBullet"/>
        <w:numPr>
          <w:ilvl w:val="0"/>
          <w:numId w:val="1"/>
        </w:numPr>
      </w:pPr>
      <w:r>
        <w:t>The 11</w:t>
      </w:r>
      <w:r w:rsidRPr="006367ED">
        <w:t xml:space="preserve"> </w:t>
      </w:r>
      <w:hyperlink r:id="rId63" w:history="1">
        <w:r w:rsidRPr="006367ED">
          <w:rPr>
            <w:rStyle w:val="Hyperlink"/>
          </w:rPr>
          <w:t>public submissions</w:t>
        </w:r>
      </w:hyperlink>
      <w:r w:rsidRPr="006367ED">
        <w:rPr>
          <w:rStyle w:val="Hyperlink"/>
        </w:rPr>
        <w:t>,</w:t>
      </w:r>
      <w:r w:rsidRPr="006367ED">
        <w:t xml:space="preserve"> </w:t>
      </w:r>
      <w:r>
        <w:t>all</w:t>
      </w:r>
      <w:r w:rsidRPr="006367ED">
        <w:t xml:space="preserve"> including a written component, received in response to the </w:t>
      </w:r>
      <w:hyperlink r:id="rId64" w:history="1">
        <w:r w:rsidRPr="006367ED">
          <w:rPr>
            <w:rStyle w:val="Hyperlink"/>
          </w:rPr>
          <w:t>pre-meeting consultation</w:t>
        </w:r>
      </w:hyperlink>
      <w:r w:rsidRPr="006367ED">
        <w:t xml:space="preserve"> under regulation 42ZCZK of the Regulations;</w:t>
      </w:r>
    </w:p>
    <w:p w14:paraId="6EE8731B" w14:textId="77777777" w:rsidR="002A58D7" w:rsidRDefault="002A58D7" w:rsidP="002A58D7">
      <w:pPr>
        <w:pStyle w:val="ListBullet"/>
        <w:numPr>
          <w:ilvl w:val="0"/>
          <w:numId w:val="1"/>
        </w:numPr>
      </w:pPr>
      <w:r>
        <w:t>The advice received from the m</w:t>
      </w:r>
      <w:r w:rsidRPr="00A825A4">
        <w:t xml:space="preserve">eeting of the </w:t>
      </w:r>
      <w:r>
        <w:t>A</w:t>
      </w:r>
      <w:r w:rsidRPr="00344CA2">
        <w:t>dvisory Committee on Medicines and Chemicals Scheduling in jo</w:t>
      </w:r>
      <w:r>
        <w:t>int session (Joint ACMS-ACCS #28</w:t>
      </w:r>
      <w:r w:rsidRPr="00344CA2">
        <w:t>);</w:t>
      </w:r>
    </w:p>
    <w:p w14:paraId="6694B56A" w14:textId="77777777" w:rsidR="002A58D7" w:rsidRDefault="002A58D7" w:rsidP="002A58D7">
      <w:pPr>
        <w:pStyle w:val="ListBullet"/>
        <w:numPr>
          <w:ilvl w:val="0"/>
          <w:numId w:val="1"/>
        </w:numPr>
      </w:pPr>
      <w:r w:rsidRPr="00763875">
        <w:rPr>
          <w:rFonts w:cs="Cambria"/>
          <w:color w:val="000000"/>
          <w:szCs w:val="22"/>
          <w:lang w:eastAsia="en-AU"/>
        </w:rPr>
        <w:t xml:space="preserve">The </w:t>
      </w:r>
      <w:r>
        <w:rPr>
          <w:rFonts w:cs="Cambria"/>
          <w:color w:val="000000"/>
          <w:szCs w:val="22"/>
          <w:lang w:eastAsia="en-AU"/>
        </w:rPr>
        <w:t>two</w:t>
      </w:r>
      <w:r w:rsidRPr="00763875">
        <w:rPr>
          <w:rFonts w:cs="Cambria"/>
          <w:color w:val="000000"/>
          <w:szCs w:val="22"/>
          <w:lang w:eastAsia="en-AU"/>
        </w:rPr>
        <w:t xml:space="preserve"> </w:t>
      </w:r>
      <w:hyperlink r:id="rId65" w:history="1">
        <w:r w:rsidRPr="002C21C9">
          <w:rPr>
            <w:rStyle w:val="Hyperlink"/>
            <w:rFonts w:cs="Cambria"/>
            <w:szCs w:val="22"/>
            <w:lang w:eastAsia="en-AU"/>
          </w:rPr>
          <w:t>public submissions</w:t>
        </w:r>
      </w:hyperlink>
      <w:r w:rsidRPr="00763875">
        <w:rPr>
          <w:rFonts w:cs="Cambria"/>
          <w:color w:val="000000"/>
          <w:szCs w:val="22"/>
          <w:lang w:eastAsia="en-AU"/>
        </w:rPr>
        <w:t xml:space="preserve">, including </w:t>
      </w:r>
      <w:r>
        <w:rPr>
          <w:rFonts w:cs="Cambria"/>
          <w:color w:val="000000"/>
          <w:szCs w:val="22"/>
          <w:lang w:eastAsia="en-AU"/>
        </w:rPr>
        <w:t>one</w:t>
      </w:r>
      <w:r w:rsidRPr="00763875">
        <w:rPr>
          <w:rFonts w:cs="Cambria"/>
          <w:color w:val="000000"/>
          <w:szCs w:val="22"/>
          <w:lang w:eastAsia="en-AU"/>
        </w:rPr>
        <w:t xml:space="preserve"> written submission, received in response to the</w:t>
      </w:r>
      <w:r>
        <w:t xml:space="preserve"> </w:t>
      </w:r>
      <w:hyperlink r:id="rId66" w:history="1">
        <w:r w:rsidRPr="002C21C9">
          <w:rPr>
            <w:rStyle w:val="Hyperlink"/>
            <w:rFonts w:cs="Cambria"/>
            <w:szCs w:val="22"/>
            <w:lang w:eastAsia="en-AU"/>
          </w:rPr>
          <w:t>interim decision consultation</w:t>
        </w:r>
      </w:hyperlink>
      <w:r w:rsidRPr="00763875">
        <w:rPr>
          <w:rFonts w:cs="Cambria"/>
          <w:color w:val="000000"/>
          <w:szCs w:val="22"/>
          <w:lang w:eastAsia="en-AU"/>
        </w:rPr>
        <w:t xml:space="preserve"> under regulation 42ZCZP of the Regulations;</w:t>
      </w:r>
    </w:p>
    <w:p w14:paraId="72007ED8" w14:textId="77777777" w:rsidR="002A58D7" w:rsidRDefault="002A58D7" w:rsidP="002A58D7">
      <w:pPr>
        <w:pStyle w:val="ListBullet"/>
        <w:numPr>
          <w:ilvl w:val="0"/>
          <w:numId w:val="1"/>
        </w:numPr>
      </w:pPr>
      <w:r>
        <w:t xml:space="preserve">Subsection 52E(1) of the </w:t>
      </w:r>
      <w:r w:rsidRPr="00FC4D25">
        <w:rPr>
          <w:i/>
        </w:rPr>
        <w:t xml:space="preserve">Therapeutic Goods Act 1989, </w:t>
      </w:r>
      <w:r w:rsidRPr="001169AC">
        <w:t xml:space="preserve">in particular </w:t>
      </w:r>
      <w:r>
        <w:t>(a) risks and benefits of the use of a substance; (b) the purposes for which a substance is to be used and the extent of use of a substance;</w:t>
      </w:r>
      <w:r w:rsidRPr="00253950">
        <w:t xml:space="preserve"> (c) the toxicity of a substance; (d) the dosage, formulation, labelling, packaging and presentation of a substance; and (f) any other matters that the Secretary considers nec</w:t>
      </w:r>
      <w:r>
        <w:t>essary to protect public health;</w:t>
      </w:r>
    </w:p>
    <w:p w14:paraId="180F0E6C" w14:textId="77777777" w:rsidR="002A58D7" w:rsidRDefault="002A58D7" w:rsidP="002A58D7">
      <w:pPr>
        <w:pStyle w:val="ListBullet"/>
        <w:numPr>
          <w:ilvl w:val="0"/>
          <w:numId w:val="1"/>
        </w:numPr>
      </w:pPr>
      <w:r w:rsidRPr="002C1418">
        <w:t xml:space="preserve">The Australian Health Ministers’ Advisory Council’s </w:t>
      </w:r>
      <w:hyperlink r:id="rId67" w:history="1">
        <w:r w:rsidRPr="001A7580">
          <w:rPr>
            <w:rStyle w:val="Hyperlink"/>
          </w:rPr>
          <w:t>Scheduling Policy Framework</w:t>
        </w:r>
      </w:hyperlink>
      <w:r>
        <w:t xml:space="preserve"> (SPF 2018</w:t>
      </w:r>
      <w:r w:rsidRPr="002C20AE">
        <w:t>);</w:t>
      </w:r>
      <w:r>
        <w:t xml:space="preserve"> and</w:t>
      </w:r>
    </w:p>
    <w:p w14:paraId="14A8F2B8" w14:textId="77777777" w:rsidR="002A58D7" w:rsidRDefault="002A58D7" w:rsidP="002A58D7">
      <w:pPr>
        <w:pStyle w:val="ListBullet"/>
        <w:numPr>
          <w:ilvl w:val="0"/>
          <w:numId w:val="1"/>
        </w:numPr>
      </w:pPr>
      <w:r>
        <w:t xml:space="preserve">The </w:t>
      </w:r>
      <w:hyperlink r:id="rId68" w:history="1">
        <w:r w:rsidRPr="001A7580">
          <w:rPr>
            <w:rStyle w:val="Hyperlink"/>
          </w:rPr>
          <w:t>Scheduling handbook: Guidance for amending the Poisons Standard</w:t>
        </w:r>
      </w:hyperlink>
      <w:r>
        <w:t>.</w:t>
      </w:r>
    </w:p>
    <w:p w14:paraId="30743A23" w14:textId="77777777" w:rsidR="002A58D7" w:rsidRPr="001E29E7" w:rsidRDefault="002A58D7" w:rsidP="005B7F75">
      <w:pPr>
        <w:pStyle w:val="Heading4"/>
      </w:pPr>
      <w:r w:rsidRPr="001E29E7">
        <w:t>Reasons for the final decision (including findings on material questions of fact)</w:t>
      </w:r>
    </w:p>
    <w:p w14:paraId="75E71A84" w14:textId="2930C2E1" w:rsidR="002A58D7" w:rsidRDefault="002A58D7" w:rsidP="002A58D7">
      <w:pPr>
        <w:autoSpaceDE w:val="0"/>
        <w:autoSpaceDN w:val="0"/>
        <w:adjustRightInd w:val="0"/>
        <w:spacing w:before="0" w:after="0" w:line="240" w:lineRule="auto"/>
        <w:jc w:val="both"/>
        <w:rPr>
          <w:rFonts w:cs="Cambria"/>
          <w:color w:val="000000"/>
          <w:szCs w:val="22"/>
          <w:lang w:eastAsia="en-AU"/>
        </w:rPr>
      </w:pPr>
      <w:r>
        <w:rPr>
          <w:rFonts w:cs="Cambria"/>
          <w:color w:val="000000"/>
          <w:szCs w:val="22"/>
          <w:lang w:eastAsia="en-AU"/>
        </w:rPr>
        <w:t xml:space="preserve">I have made a final decision to confirm my </w:t>
      </w:r>
      <w:hyperlink r:id="rId69" w:history="1">
        <w:r w:rsidRPr="005527C6">
          <w:rPr>
            <w:rStyle w:val="Hyperlink"/>
            <w:rFonts w:cs="Cambria"/>
            <w:szCs w:val="22"/>
            <w:lang w:eastAsia="en-AU"/>
          </w:rPr>
          <w:t>interim decision</w:t>
        </w:r>
      </w:hyperlink>
      <w:r w:rsidRPr="00763875">
        <w:rPr>
          <w:rFonts w:cs="Cambria"/>
          <w:szCs w:val="22"/>
          <w:lang w:eastAsia="en-AU"/>
        </w:rPr>
        <w:t xml:space="preserve"> </w:t>
      </w:r>
      <w:r>
        <w:rPr>
          <w:rFonts w:cs="Cambria"/>
          <w:color w:val="000000"/>
          <w:szCs w:val="22"/>
          <w:lang w:eastAsia="en-AU"/>
        </w:rPr>
        <w:t xml:space="preserve">to </w:t>
      </w:r>
      <w:r w:rsidR="004F79C5">
        <w:rPr>
          <w:rFonts w:cs="Cambria"/>
          <w:color w:val="000000"/>
          <w:szCs w:val="22"/>
          <w:lang w:eastAsia="en-AU"/>
        </w:rPr>
        <w:t xml:space="preserve">not </w:t>
      </w:r>
      <w:r>
        <w:rPr>
          <w:rFonts w:cs="Cambria"/>
          <w:color w:val="000000"/>
          <w:szCs w:val="22"/>
          <w:lang w:eastAsia="en-AU"/>
        </w:rPr>
        <w:t>amend the current Poisons</w:t>
      </w:r>
    </w:p>
    <w:p w14:paraId="3DF136EF" w14:textId="77777777" w:rsidR="002A58D7" w:rsidRDefault="002A58D7" w:rsidP="005B7F75">
      <w:pPr>
        <w:rPr>
          <w:lang w:eastAsia="en-AU"/>
        </w:rPr>
      </w:pPr>
      <w:r>
        <w:rPr>
          <w:lang w:eastAsia="en-AU"/>
        </w:rPr>
        <w:t xml:space="preserve">Standard </w:t>
      </w:r>
      <w:r w:rsidRPr="006F1F0C">
        <w:rPr>
          <w:rFonts w:cstheme="minorBidi"/>
        </w:rPr>
        <w:t xml:space="preserve">in relation to </w:t>
      </w:r>
      <w:r>
        <w:rPr>
          <w:rFonts w:cstheme="minorBidi"/>
        </w:rPr>
        <w:t xml:space="preserve">eugenol. </w:t>
      </w:r>
      <w:r>
        <w:rPr>
          <w:lang w:eastAsia="en-AU"/>
        </w:rPr>
        <w:t xml:space="preserve">My reasons for making the final decision are those set out in the interim decision. In making my final decision, I have taken into account the material detailed in the interim decision and the responses received after the second call for public submissions, </w:t>
      </w:r>
      <w:r w:rsidRPr="00D46B1C">
        <w:rPr>
          <w:lang w:eastAsia="en-AU"/>
        </w:rPr>
        <w:t xml:space="preserve">published on </w:t>
      </w:r>
      <w:r>
        <w:rPr>
          <w:lang w:eastAsia="en-AU"/>
        </w:rPr>
        <w:t>13 October</w:t>
      </w:r>
      <w:r w:rsidRPr="00D46B1C">
        <w:rPr>
          <w:lang w:eastAsia="en-AU"/>
        </w:rPr>
        <w:t xml:space="preserve"> 2021 under regulation 42ZCZP of the Regulations. I note that the written public submission received during the second round of consultation was fully supportive of the interim decision.</w:t>
      </w:r>
    </w:p>
    <w:p w14:paraId="2A636370" w14:textId="77777777" w:rsidR="002A58D7" w:rsidRDefault="002A58D7" w:rsidP="002A58D7">
      <w:pPr>
        <w:pStyle w:val="Heading2"/>
        <w:pageBreakBefore/>
        <w:ind w:left="431" w:hanging="431"/>
      </w:pPr>
      <w:bookmarkStart w:id="48" w:name="_Toc89682890"/>
      <w:bookmarkStart w:id="49" w:name="_Toc90840741"/>
      <w:r>
        <w:lastRenderedPageBreak/>
        <w:t xml:space="preserve">Final decisions in relation to proposed amendments referred to the </w:t>
      </w:r>
      <w:r w:rsidRPr="00FA029A">
        <w:t>Advisory Committee o</w:t>
      </w:r>
      <w:r>
        <w:t>n Chemicals Scheduling (ACCS #31, June 2021)</w:t>
      </w:r>
      <w:bookmarkEnd w:id="48"/>
      <w:bookmarkEnd w:id="49"/>
      <w:r>
        <w:t xml:space="preserve"> </w:t>
      </w:r>
    </w:p>
    <w:p w14:paraId="41EA9269" w14:textId="77777777" w:rsidR="002A58D7" w:rsidRDefault="002A58D7" w:rsidP="002A58D7">
      <w:pPr>
        <w:pStyle w:val="Heading3"/>
      </w:pPr>
      <w:bookmarkStart w:id="50" w:name="_Toc89682891"/>
      <w:bookmarkStart w:id="51" w:name="_Toc90840742"/>
      <w:r>
        <w:t>Final</w:t>
      </w:r>
      <w:r w:rsidRPr="00FA029A">
        <w:t xml:space="preserve"> decisions </w:t>
      </w:r>
      <w:r>
        <w:t xml:space="preserve">in relation to </w:t>
      </w:r>
      <w:r w:rsidRPr="00A61442">
        <w:t>2-amino-5-methylphenol</w:t>
      </w:r>
      <w:bookmarkEnd w:id="50"/>
      <w:bookmarkEnd w:id="51"/>
    </w:p>
    <w:p w14:paraId="5EFF8E00" w14:textId="058F3B75" w:rsidR="002A58D7" w:rsidRPr="008036B7" w:rsidRDefault="002A58D7" w:rsidP="00550BB0">
      <w:pPr>
        <w:pStyle w:val="Heading4"/>
      </w:pPr>
      <w:r>
        <w:t xml:space="preserve">Final </w:t>
      </w:r>
      <w:r w:rsidR="00550BB0">
        <w:t>d</w:t>
      </w:r>
      <w:r>
        <w:t>ecision</w:t>
      </w:r>
    </w:p>
    <w:p w14:paraId="0CF77743" w14:textId="62E89F10" w:rsidR="002A58D7" w:rsidRDefault="002A58D7" w:rsidP="00550BB0">
      <w:r>
        <w:t xml:space="preserve">Pursuant to regulation 42ZCZR of the Regulations, a Delegate of the Secretary has made a final decision </w:t>
      </w:r>
      <w:r w:rsidRPr="00845965">
        <w:t xml:space="preserve">to confirm the </w:t>
      </w:r>
      <w:r w:rsidRPr="00563A9C">
        <w:t>interim decision</w:t>
      </w:r>
      <w:r w:rsidRPr="00845965">
        <w:t xml:space="preserve"> and amend the current Poisons Standard in relation to 2-amino-5-methylphenol as follows:</w:t>
      </w:r>
    </w:p>
    <w:p w14:paraId="0CA6EFFA" w14:textId="77777777" w:rsidR="002A58D7" w:rsidRPr="00247A61" w:rsidRDefault="002A58D7" w:rsidP="002A58D7">
      <w:pPr>
        <w:ind w:left="709"/>
        <w:rPr>
          <w:b/>
        </w:rPr>
      </w:pPr>
      <w:r w:rsidRPr="00247A61">
        <w:rPr>
          <w:b/>
        </w:rPr>
        <w:t>Schedule 10 – New Entry</w:t>
      </w:r>
    </w:p>
    <w:p w14:paraId="7B510ADB" w14:textId="77777777" w:rsidR="002A58D7" w:rsidRPr="00247A61" w:rsidRDefault="002A58D7" w:rsidP="002A58D7">
      <w:pPr>
        <w:ind w:left="709"/>
        <w:rPr>
          <w:color w:val="00B050"/>
        </w:rPr>
      </w:pPr>
      <w:r w:rsidRPr="00247A61">
        <w:rPr>
          <w:color w:val="00B050"/>
        </w:rPr>
        <w:t xml:space="preserve">2-AMINO-5-METHYLPHENOL in </w:t>
      </w:r>
      <w:r>
        <w:rPr>
          <w:color w:val="00B050"/>
        </w:rPr>
        <w:t xml:space="preserve">preparations for </w:t>
      </w:r>
      <w:r w:rsidRPr="00247A61">
        <w:rPr>
          <w:color w:val="00B050"/>
        </w:rPr>
        <w:t>cosmetic</w:t>
      </w:r>
      <w:r>
        <w:rPr>
          <w:color w:val="00B050"/>
        </w:rPr>
        <w:t xml:space="preserve"> use</w:t>
      </w:r>
      <w:r w:rsidRPr="00247A61">
        <w:rPr>
          <w:color w:val="00B050"/>
        </w:rPr>
        <w:t>.</w:t>
      </w:r>
    </w:p>
    <w:p w14:paraId="6F1A66DF" w14:textId="77777777" w:rsidR="002A58D7" w:rsidRPr="00247A61" w:rsidRDefault="002A58D7" w:rsidP="002A58D7">
      <w:pPr>
        <w:ind w:left="709"/>
        <w:rPr>
          <w:b/>
        </w:rPr>
      </w:pPr>
      <w:r w:rsidRPr="00247A61">
        <w:rPr>
          <w:b/>
        </w:rPr>
        <w:t>Schedule 7 – New Entry</w:t>
      </w:r>
    </w:p>
    <w:p w14:paraId="62E967D4" w14:textId="77777777" w:rsidR="002A58D7" w:rsidRPr="00247A61" w:rsidRDefault="002A58D7" w:rsidP="002A58D7">
      <w:pPr>
        <w:ind w:left="709"/>
        <w:rPr>
          <w:color w:val="00B050"/>
        </w:rPr>
      </w:pPr>
      <w:r w:rsidRPr="00247A61">
        <w:rPr>
          <w:color w:val="00B050"/>
        </w:rPr>
        <w:t xml:space="preserve">2-AMINO-5-METHYLPHENOL </w:t>
      </w:r>
      <w:r w:rsidRPr="00247A61">
        <w:rPr>
          <w:b/>
          <w:color w:val="00B050"/>
        </w:rPr>
        <w:t>except</w:t>
      </w:r>
      <w:r w:rsidRPr="00247A61">
        <w:rPr>
          <w:color w:val="00B050"/>
        </w:rPr>
        <w:t xml:space="preserve"> when included in Schedule 10.</w:t>
      </w:r>
    </w:p>
    <w:p w14:paraId="2F4122BB" w14:textId="77777777" w:rsidR="002A58D7" w:rsidRPr="00360473" w:rsidRDefault="002A58D7" w:rsidP="002A58D7">
      <w:pPr>
        <w:ind w:left="709"/>
        <w:rPr>
          <w:b/>
        </w:rPr>
      </w:pPr>
      <w:r>
        <w:rPr>
          <w:b/>
        </w:rPr>
        <w:t>Index – New Entry</w:t>
      </w:r>
    </w:p>
    <w:p w14:paraId="70DE3D4B" w14:textId="77777777" w:rsidR="002A58D7" w:rsidRPr="006D418E" w:rsidRDefault="002A58D7" w:rsidP="002A58D7">
      <w:pPr>
        <w:ind w:left="709"/>
        <w:rPr>
          <w:color w:val="00B050"/>
        </w:rPr>
      </w:pPr>
      <w:r w:rsidRPr="006D418E">
        <w:rPr>
          <w:b/>
          <w:color w:val="00B050"/>
        </w:rPr>
        <w:t>2-AMINO-5-METHYLPHENOL</w:t>
      </w:r>
    </w:p>
    <w:p w14:paraId="18E24C87" w14:textId="77777777" w:rsidR="002A58D7" w:rsidRPr="006D418E" w:rsidRDefault="002A58D7" w:rsidP="002A58D7">
      <w:pPr>
        <w:ind w:left="709"/>
        <w:rPr>
          <w:color w:val="00B050"/>
        </w:rPr>
      </w:pPr>
      <w:r w:rsidRPr="006D418E">
        <w:rPr>
          <w:color w:val="00B050"/>
        </w:rPr>
        <w:t>Schedule 10</w:t>
      </w:r>
      <w:r w:rsidRPr="006D418E">
        <w:rPr>
          <w:color w:val="00B050"/>
        </w:rPr>
        <w:br/>
        <w:t>Schedule 7</w:t>
      </w:r>
    </w:p>
    <w:p w14:paraId="3C9E8845" w14:textId="112B256C" w:rsidR="002A58D7" w:rsidRDefault="002A58D7" w:rsidP="00550BB0">
      <w:pPr>
        <w:pStyle w:val="Heading4"/>
      </w:pPr>
      <w:r>
        <w:t>Materials considered</w:t>
      </w:r>
    </w:p>
    <w:p w14:paraId="28DEA5DF" w14:textId="77777777" w:rsidR="002A58D7" w:rsidRDefault="002A58D7" w:rsidP="00550BB0">
      <w:r>
        <w:t>In making this final decision, the Delegate considered the following material:</w:t>
      </w:r>
    </w:p>
    <w:p w14:paraId="008E1795" w14:textId="77777777" w:rsidR="002A58D7" w:rsidRPr="006501A1" w:rsidRDefault="002A58D7" w:rsidP="002A58D7">
      <w:pPr>
        <w:pStyle w:val="ListBullet"/>
        <w:numPr>
          <w:ilvl w:val="0"/>
          <w:numId w:val="1"/>
        </w:numPr>
      </w:pPr>
      <w:r>
        <w:t xml:space="preserve">A </w:t>
      </w:r>
      <w:hyperlink r:id="rId70" w:history="1">
        <w:r w:rsidRPr="00676703">
          <w:rPr>
            <w:rStyle w:val="Hyperlink"/>
          </w:rPr>
          <w:t>human health tier II assessment</w:t>
        </w:r>
      </w:hyperlink>
      <w:r>
        <w:t xml:space="preserve"> for 2-amino-5-methylphenol, published by AICIS (26 October 2018)</w:t>
      </w:r>
      <w:r w:rsidRPr="006501A1">
        <w:t>;</w:t>
      </w:r>
    </w:p>
    <w:p w14:paraId="662B721D" w14:textId="77777777" w:rsidR="002A58D7" w:rsidRPr="006367ED" w:rsidRDefault="002A58D7" w:rsidP="002A58D7">
      <w:pPr>
        <w:pStyle w:val="ListBullet"/>
        <w:numPr>
          <w:ilvl w:val="0"/>
          <w:numId w:val="1"/>
        </w:numPr>
      </w:pPr>
      <w:r w:rsidRPr="006367ED">
        <w:t xml:space="preserve">The </w:t>
      </w:r>
      <w:r>
        <w:t>two</w:t>
      </w:r>
      <w:r w:rsidRPr="006367ED">
        <w:t xml:space="preserve"> </w:t>
      </w:r>
      <w:hyperlink r:id="rId71" w:history="1">
        <w:r w:rsidRPr="006367ED">
          <w:rPr>
            <w:rStyle w:val="Hyperlink"/>
          </w:rPr>
          <w:t>public submissions</w:t>
        </w:r>
      </w:hyperlink>
      <w:r w:rsidRPr="006367ED">
        <w:rPr>
          <w:rStyle w:val="Hyperlink"/>
        </w:rPr>
        <w:t>,</w:t>
      </w:r>
      <w:r w:rsidRPr="006367ED">
        <w:t xml:space="preserve"> </w:t>
      </w:r>
      <w:r>
        <w:t>both</w:t>
      </w:r>
      <w:r w:rsidRPr="006367ED">
        <w:t xml:space="preserve"> including a written component, received in response to the </w:t>
      </w:r>
      <w:hyperlink r:id="rId72" w:history="1">
        <w:r w:rsidRPr="006367ED">
          <w:rPr>
            <w:rStyle w:val="Hyperlink"/>
          </w:rPr>
          <w:t>pre-meeting consultation</w:t>
        </w:r>
      </w:hyperlink>
      <w:r w:rsidRPr="006367ED">
        <w:t xml:space="preserve"> under regulation 42ZCZK of the Regulations;</w:t>
      </w:r>
    </w:p>
    <w:p w14:paraId="2BC5AB36" w14:textId="77777777" w:rsidR="002A58D7" w:rsidRDefault="002A58D7" w:rsidP="002A58D7">
      <w:pPr>
        <w:pStyle w:val="ListBullet"/>
        <w:numPr>
          <w:ilvl w:val="0"/>
          <w:numId w:val="1"/>
        </w:numPr>
      </w:pPr>
      <w:r>
        <w:t xml:space="preserve">The advice </w:t>
      </w:r>
      <w:r w:rsidRPr="00A825A4">
        <w:t>received from the Meeting of the Advisory Committee o</w:t>
      </w:r>
      <w:r>
        <w:t>n Chemicals Scheduling (ACCS #31</w:t>
      </w:r>
      <w:r w:rsidRPr="00A825A4">
        <w:t>);</w:t>
      </w:r>
    </w:p>
    <w:p w14:paraId="59461267" w14:textId="77777777" w:rsidR="002A58D7" w:rsidRDefault="002A58D7" w:rsidP="002A58D7">
      <w:pPr>
        <w:pStyle w:val="ListBullet"/>
        <w:numPr>
          <w:ilvl w:val="0"/>
          <w:numId w:val="1"/>
        </w:numPr>
      </w:pPr>
      <w:r>
        <w:t xml:space="preserve">The </w:t>
      </w:r>
      <w:hyperlink r:id="rId73" w:history="1">
        <w:r w:rsidRPr="00FE0A09">
          <w:rPr>
            <w:rStyle w:val="Hyperlink"/>
          </w:rPr>
          <w:t>public submission</w:t>
        </w:r>
      </w:hyperlink>
      <w:r>
        <w:t xml:space="preserve"> received in response to the </w:t>
      </w:r>
      <w:hyperlink r:id="rId74" w:history="1">
        <w:r w:rsidRPr="00FE0A09">
          <w:rPr>
            <w:rStyle w:val="Hyperlink"/>
          </w:rPr>
          <w:t>interim decision consultation</w:t>
        </w:r>
      </w:hyperlink>
      <w:r>
        <w:t xml:space="preserve"> </w:t>
      </w:r>
      <w:r w:rsidRPr="002C1418">
        <w:t>under regulation 42ZCZP of the Regulations</w:t>
      </w:r>
      <w:r>
        <w:t>;</w:t>
      </w:r>
    </w:p>
    <w:p w14:paraId="703CE6D0" w14:textId="77777777" w:rsidR="002A58D7" w:rsidRDefault="002A58D7" w:rsidP="002A58D7">
      <w:pPr>
        <w:pStyle w:val="ListBullet"/>
        <w:numPr>
          <w:ilvl w:val="0"/>
          <w:numId w:val="1"/>
        </w:numPr>
      </w:pPr>
      <w:r>
        <w:t xml:space="preserve">Subsection 52E(1) of the </w:t>
      </w:r>
      <w:r w:rsidRPr="00FC4D25">
        <w:rPr>
          <w:i/>
        </w:rPr>
        <w:t xml:space="preserve">Therapeutic Goods Act 1989, </w:t>
      </w:r>
      <w:r w:rsidRPr="001169AC">
        <w:t xml:space="preserve">in particular </w:t>
      </w:r>
      <w:r>
        <w:t>(a) risks and benefits of the use of a substance; (b) the purposes for which a substance is to be used and the extent of use of a substance; and (c) the toxicity of a substance;</w:t>
      </w:r>
    </w:p>
    <w:p w14:paraId="6B6F9AE4" w14:textId="77777777" w:rsidR="002A58D7" w:rsidRDefault="002A58D7" w:rsidP="002A58D7">
      <w:pPr>
        <w:pStyle w:val="ListBullet"/>
        <w:numPr>
          <w:ilvl w:val="0"/>
          <w:numId w:val="1"/>
        </w:numPr>
      </w:pPr>
      <w:r w:rsidRPr="002C1418">
        <w:t xml:space="preserve">The Australian Health Ministers’ Advisory Council’s </w:t>
      </w:r>
      <w:hyperlink r:id="rId75" w:history="1">
        <w:r w:rsidRPr="001A7580">
          <w:rPr>
            <w:rStyle w:val="Hyperlink"/>
          </w:rPr>
          <w:t>Scheduling Policy Framework</w:t>
        </w:r>
      </w:hyperlink>
      <w:r>
        <w:t xml:space="preserve"> (SPF 2018</w:t>
      </w:r>
      <w:r w:rsidRPr="002C20AE">
        <w:t>);</w:t>
      </w:r>
      <w:r>
        <w:t xml:space="preserve"> and</w:t>
      </w:r>
    </w:p>
    <w:p w14:paraId="33961B3C" w14:textId="77777777" w:rsidR="002A58D7" w:rsidRPr="006501A1" w:rsidRDefault="002A58D7" w:rsidP="002A58D7">
      <w:pPr>
        <w:pStyle w:val="ListBullet"/>
        <w:numPr>
          <w:ilvl w:val="0"/>
          <w:numId w:val="1"/>
        </w:numPr>
      </w:pPr>
      <w:r>
        <w:t xml:space="preserve">The </w:t>
      </w:r>
      <w:hyperlink r:id="rId76" w:history="1">
        <w:r w:rsidRPr="001A7580">
          <w:rPr>
            <w:rStyle w:val="Hyperlink"/>
          </w:rPr>
          <w:t>Scheduling handbook: Guidance for amending the Poisons Standard</w:t>
        </w:r>
      </w:hyperlink>
      <w:r>
        <w:t>.</w:t>
      </w:r>
    </w:p>
    <w:p w14:paraId="209F90C2" w14:textId="77777777" w:rsidR="002A58D7" w:rsidRDefault="002A58D7" w:rsidP="00550BB0">
      <w:pPr>
        <w:pStyle w:val="Heading4"/>
      </w:pPr>
      <w:r w:rsidRPr="00436C41">
        <w:t>Reasons for the final decision (including findings on material questions of fact)</w:t>
      </w:r>
    </w:p>
    <w:p w14:paraId="248132A7" w14:textId="77777777" w:rsidR="002A58D7" w:rsidRPr="00A87139" w:rsidRDefault="002A58D7" w:rsidP="00550BB0">
      <w:r w:rsidRPr="00A11AEA">
        <w:t xml:space="preserve">I have made a final decision to confirm my </w:t>
      </w:r>
      <w:hyperlink r:id="rId77" w:history="1">
        <w:r w:rsidRPr="00966D29">
          <w:rPr>
            <w:rStyle w:val="Hyperlink"/>
          </w:rPr>
          <w:t>interim decision</w:t>
        </w:r>
      </w:hyperlink>
      <w:r w:rsidRPr="00A11AEA">
        <w:t xml:space="preserve"> to amend the current Poisons Standard with respect to 2-amino-5-methylphenol. My reasons for making the final decision are those set out in the interim decision. In making my final decision, I hav</w:t>
      </w:r>
      <w:r w:rsidRPr="00A87139">
        <w:t xml:space="preserve">e taken into account the </w:t>
      </w:r>
      <w:r w:rsidRPr="00A87139">
        <w:lastRenderedPageBreak/>
        <w:t xml:space="preserve">material detailed in the interim decision and the </w:t>
      </w:r>
      <w:r>
        <w:t xml:space="preserve">one </w:t>
      </w:r>
      <w:r w:rsidRPr="00A87139">
        <w:t>public submission received before the second closing date in response to the call for further submissions published on 1</w:t>
      </w:r>
      <w:r>
        <w:t>3</w:t>
      </w:r>
      <w:r w:rsidRPr="00A87139">
        <w:t xml:space="preserve"> October 2021 under regulation 42ZCZP of the Regulations.</w:t>
      </w:r>
    </w:p>
    <w:p w14:paraId="0B80F1C9" w14:textId="77777777" w:rsidR="002A58D7" w:rsidRPr="00A87139" w:rsidRDefault="002A58D7" w:rsidP="00550BB0">
      <w:r w:rsidRPr="00A87139">
        <w:t>I note that the only written public submission received in response to the interim decision was from Accord Australasia, who did not oppose the interim decision.</w:t>
      </w:r>
    </w:p>
    <w:p w14:paraId="6CC85993" w14:textId="77777777" w:rsidR="002A58D7" w:rsidRDefault="002A58D7" w:rsidP="00550BB0">
      <w:pPr>
        <w:pStyle w:val="Heading4"/>
      </w:pPr>
      <w:r>
        <w:t>Implementation date</w:t>
      </w:r>
    </w:p>
    <w:p w14:paraId="5D214706" w14:textId="77777777" w:rsidR="002A58D7" w:rsidRDefault="002A58D7" w:rsidP="002A58D7">
      <w:r w:rsidRPr="00D47415">
        <w:rPr>
          <w:b/>
        </w:rPr>
        <w:t xml:space="preserve">1 </w:t>
      </w:r>
      <w:r>
        <w:rPr>
          <w:b/>
        </w:rPr>
        <w:t>February 2022</w:t>
      </w:r>
    </w:p>
    <w:p w14:paraId="60AE9D4D" w14:textId="736D51BD" w:rsidR="002A58D7" w:rsidRPr="00FA029A" w:rsidRDefault="002A58D7" w:rsidP="002A58D7">
      <w:pPr>
        <w:pStyle w:val="Heading3"/>
      </w:pPr>
      <w:bookmarkStart w:id="52" w:name="_Toc89682892"/>
      <w:bookmarkStart w:id="53" w:name="_Toc90840743"/>
      <w:r>
        <w:t>Final</w:t>
      </w:r>
      <w:r w:rsidRPr="00FA029A">
        <w:t xml:space="preserve"> decision</w:t>
      </w:r>
      <w:r>
        <w:t xml:space="preserve"> in relation to </w:t>
      </w:r>
      <w:r w:rsidRPr="0078725C">
        <w:t>6-methoxy-N2-methyl-2,3-pyridinediamine</w:t>
      </w:r>
      <w:bookmarkEnd w:id="52"/>
      <w:bookmarkEnd w:id="53"/>
    </w:p>
    <w:p w14:paraId="25D570EF" w14:textId="440D1EF2" w:rsidR="002A58D7" w:rsidRPr="008036B7" w:rsidRDefault="002A58D7" w:rsidP="00550BB0">
      <w:pPr>
        <w:pStyle w:val="Heading4"/>
      </w:pPr>
      <w:r>
        <w:t xml:space="preserve">Final </w:t>
      </w:r>
      <w:r w:rsidR="00550BB0">
        <w:t>d</w:t>
      </w:r>
      <w:r>
        <w:t>ecision</w:t>
      </w:r>
    </w:p>
    <w:p w14:paraId="085A5220" w14:textId="65593992" w:rsidR="002A58D7" w:rsidRDefault="002A58D7" w:rsidP="004B6C99">
      <w:r w:rsidRPr="00587AE4">
        <w:t xml:space="preserve">Pursuant to regulation 42ZCZR of the Regulations, a Delegate of the Secretary has made a final decision to confirm the </w:t>
      </w:r>
      <w:r w:rsidRPr="00FB5B25">
        <w:t>interim decision</w:t>
      </w:r>
      <w:r w:rsidRPr="00587AE4">
        <w:t xml:space="preserve"> and amend the current Poisons Standard in relation to 6-methoxy-N2-methyl-2,3-pyridinediamine as follows:</w:t>
      </w:r>
    </w:p>
    <w:p w14:paraId="0C0D4C2D" w14:textId="77777777" w:rsidR="002A58D7" w:rsidRPr="003E2CAF" w:rsidRDefault="002A58D7" w:rsidP="002A58D7">
      <w:pPr>
        <w:ind w:left="709"/>
        <w:rPr>
          <w:b/>
        </w:rPr>
      </w:pPr>
      <w:r w:rsidRPr="003E2CAF">
        <w:rPr>
          <w:b/>
        </w:rPr>
        <w:t>Schedule 6 – New Entry</w:t>
      </w:r>
    </w:p>
    <w:p w14:paraId="753016D0" w14:textId="77777777" w:rsidR="002A58D7" w:rsidRDefault="002A58D7" w:rsidP="002A58D7">
      <w:pPr>
        <w:ind w:left="709"/>
        <w:rPr>
          <w:color w:val="00B050"/>
        </w:rPr>
      </w:pPr>
      <w:r w:rsidRPr="003E2CAF">
        <w:rPr>
          <w:color w:val="00B050"/>
        </w:rPr>
        <w:t xml:space="preserve">6-METHOXY-N2-METHYL-2,3-PYRIDINEDIAMINE </w:t>
      </w:r>
      <w:r w:rsidRPr="003E2CAF">
        <w:rPr>
          <w:b/>
          <w:color w:val="00B050"/>
        </w:rPr>
        <w:t>except</w:t>
      </w:r>
      <w:r w:rsidRPr="003E2CAF">
        <w:rPr>
          <w:color w:val="00B050"/>
        </w:rPr>
        <w:t xml:space="preserve"> when used in oxidative or non-oxidative hair dyes at a concentration of 1.0% or less when the immediate container and primary pack are labelled:</w:t>
      </w:r>
    </w:p>
    <w:p w14:paraId="50E819CE" w14:textId="77777777" w:rsidR="002A58D7" w:rsidRPr="00F85BA3" w:rsidRDefault="002A58D7" w:rsidP="002A58D7">
      <w:pPr>
        <w:ind w:left="1276"/>
        <w:rPr>
          <w:color w:val="00B050"/>
        </w:rPr>
      </w:pPr>
      <w:r w:rsidRPr="00F85BA3">
        <w:rPr>
          <w:color w:val="00B050"/>
        </w:rPr>
        <w:t>KEEP OUT OF REACH OF CHILDREN, and</w:t>
      </w:r>
    </w:p>
    <w:p w14:paraId="7332D192" w14:textId="77777777" w:rsidR="002A58D7" w:rsidRPr="00F85BA3" w:rsidRDefault="002A58D7" w:rsidP="002A58D7">
      <w:pPr>
        <w:ind w:left="1276"/>
        <w:rPr>
          <w:color w:val="00B050"/>
        </w:rPr>
      </w:pPr>
      <w:r w:rsidRPr="00F85BA3">
        <w:rPr>
          <w:color w:val="00B050"/>
        </w:rPr>
        <w:t>WARNING – This product contains ingredients that may cause skin sensitisation to certain individuals. A preliminary test according to the accompanying directions should be made before use.</w:t>
      </w:r>
      <w:r>
        <w:rPr>
          <w:color w:val="00B050"/>
        </w:rPr>
        <w:t xml:space="preserve"> </w:t>
      </w:r>
      <w:r w:rsidRPr="00A474EB">
        <w:rPr>
          <w:color w:val="00B050"/>
          <w:szCs w:val="22"/>
        </w:rPr>
        <w:t>This product must not be used for dyeing eyelashes or eyebrows; to do so may be injurious to the eye.</w:t>
      </w:r>
    </w:p>
    <w:p w14:paraId="7F9EB0CA" w14:textId="77777777" w:rsidR="002A58D7" w:rsidRDefault="002A58D7" w:rsidP="00F00E99">
      <w:pPr>
        <w:ind w:firstLine="709"/>
        <w:rPr>
          <w:color w:val="00B050"/>
        </w:rPr>
      </w:pPr>
      <w:r w:rsidRPr="00F85BA3">
        <w:rPr>
          <w:color w:val="00B050"/>
        </w:rPr>
        <w:t>written in letters not less than 1.5mm in height.</w:t>
      </w:r>
    </w:p>
    <w:p w14:paraId="05F1452D" w14:textId="77777777" w:rsidR="002A58D7" w:rsidRPr="00360473" w:rsidRDefault="002A58D7" w:rsidP="002A58D7">
      <w:pPr>
        <w:ind w:left="709"/>
        <w:rPr>
          <w:b/>
        </w:rPr>
      </w:pPr>
      <w:r>
        <w:rPr>
          <w:b/>
        </w:rPr>
        <w:t>Index – New Entry</w:t>
      </w:r>
    </w:p>
    <w:p w14:paraId="13F77258" w14:textId="77777777" w:rsidR="002A58D7" w:rsidRPr="003E2CAF" w:rsidRDefault="002A58D7" w:rsidP="002A58D7">
      <w:pPr>
        <w:ind w:left="709"/>
        <w:rPr>
          <w:b/>
          <w:color w:val="00B050"/>
        </w:rPr>
      </w:pPr>
      <w:r w:rsidRPr="003E2CAF">
        <w:rPr>
          <w:b/>
          <w:color w:val="00B050"/>
        </w:rPr>
        <w:t xml:space="preserve">6-METHOXY-N2-METHYL-2,3-PYRIDINEDIAMINE </w:t>
      </w:r>
    </w:p>
    <w:p w14:paraId="16EA46C7" w14:textId="77777777" w:rsidR="002A58D7" w:rsidRPr="006D418E" w:rsidRDefault="002A58D7" w:rsidP="002A58D7">
      <w:pPr>
        <w:ind w:left="709"/>
        <w:rPr>
          <w:color w:val="00B050"/>
        </w:rPr>
      </w:pPr>
      <w:r>
        <w:rPr>
          <w:color w:val="00B050"/>
        </w:rPr>
        <w:t>Schedule 6</w:t>
      </w:r>
    </w:p>
    <w:p w14:paraId="34AA0B99" w14:textId="73C0DDCF" w:rsidR="002A58D7" w:rsidRDefault="002A58D7" w:rsidP="004B6C99">
      <w:pPr>
        <w:pStyle w:val="Heading4"/>
      </w:pPr>
      <w:r>
        <w:t>Materials considered</w:t>
      </w:r>
    </w:p>
    <w:p w14:paraId="7A8BB51C" w14:textId="77777777" w:rsidR="002A58D7" w:rsidRDefault="002A58D7" w:rsidP="002A58D7">
      <w:r>
        <w:t>In making this final decision, the Delegate considered the following material:</w:t>
      </w:r>
    </w:p>
    <w:p w14:paraId="5CAFECC7" w14:textId="77777777" w:rsidR="002A58D7" w:rsidRDefault="002A58D7" w:rsidP="002A58D7">
      <w:pPr>
        <w:pStyle w:val="ListBullet"/>
        <w:numPr>
          <w:ilvl w:val="0"/>
          <w:numId w:val="1"/>
        </w:numPr>
      </w:pPr>
      <w:r>
        <w:t xml:space="preserve">A </w:t>
      </w:r>
      <w:hyperlink r:id="rId78" w:history="1">
        <w:r w:rsidRPr="00676703">
          <w:rPr>
            <w:rStyle w:val="Hyperlink"/>
          </w:rPr>
          <w:t>human health tier II assessment</w:t>
        </w:r>
      </w:hyperlink>
      <w:r>
        <w:t xml:space="preserve"> for </w:t>
      </w:r>
      <w:r w:rsidRPr="0078725C">
        <w:t>6-methoxy-N2-methyl-2,3-pyridinediamine</w:t>
      </w:r>
      <w:r>
        <w:t>, published by AICIS (8 March 2019)</w:t>
      </w:r>
      <w:r w:rsidRPr="006501A1">
        <w:t>;</w:t>
      </w:r>
    </w:p>
    <w:p w14:paraId="641B8700" w14:textId="77777777" w:rsidR="002A58D7" w:rsidRPr="006501A1" w:rsidRDefault="002A58D7" w:rsidP="002A58D7">
      <w:pPr>
        <w:pStyle w:val="ListBullet"/>
        <w:numPr>
          <w:ilvl w:val="0"/>
          <w:numId w:val="1"/>
        </w:numPr>
      </w:pPr>
      <w:r>
        <w:t xml:space="preserve">The European Chemicals Agency (ECHA) </w:t>
      </w:r>
      <w:hyperlink r:id="rId79" w:history="1">
        <w:r w:rsidRPr="00E846F1">
          <w:rPr>
            <w:rStyle w:val="Hyperlink"/>
          </w:rPr>
          <w:t xml:space="preserve">substance </w:t>
        </w:r>
        <w:proofErr w:type="spellStart"/>
        <w:r w:rsidRPr="00E846F1">
          <w:rPr>
            <w:rStyle w:val="Hyperlink"/>
          </w:rPr>
          <w:t>infocard</w:t>
        </w:r>
        <w:proofErr w:type="spellEnd"/>
      </w:hyperlink>
      <w:r>
        <w:t xml:space="preserve"> for 6-methoxy-N2-methylpyridine-2,3-diamine dihydrochloride;</w:t>
      </w:r>
    </w:p>
    <w:p w14:paraId="0F16FCBF" w14:textId="77777777" w:rsidR="002A58D7" w:rsidRPr="006367ED" w:rsidRDefault="002A58D7" w:rsidP="002A58D7">
      <w:pPr>
        <w:pStyle w:val="ListBullet"/>
        <w:numPr>
          <w:ilvl w:val="0"/>
          <w:numId w:val="1"/>
        </w:numPr>
      </w:pPr>
      <w:r w:rsidRPr="006367ED">
        <w:t xml:space="preserve">The </w:t>
      </w:r>
      <w:r>
        <w:t>two</w:t>
      </w:r>
      <w:r w:rsidRPr="006367ED">
        <w:t xml:space="preserve"> </w:t>
      </w:r>
      <w:hyperlink r:id="rId80" w:history="1">
        <w:r w:rsidRPr="006367ED">
          <w:rPr>
            <w:rStyle w:val="Hyperlink"/>
          </w:rPr>
          <w:t>public submissions</w:t>
        </w:r>
      </w:hyperlink>
      <w:r w:rsidRPr="004B6C99">
        <w:rPr>
          <w:rStyle w:val="Hyperlink"/>
          <w:color w:val="auto"/>
          <w:u w:val="none"/>
        </w:rPr>
        <w:t>,</w:t>
      </w:r>
      <w:r w:rsidRPr="006367ED">
        <w:t xml:space="preserve"> </w:t>
      </w:r>
      <w:r>
        <w:t>both</w:t>
      </w:r>
      <w:r w:rsidRPr="006367ED">
        <w:t xml:space="preserve"> including a written component, received in response to the </w:t>
      </w:r>
      <w:hyperlink r:id="rId81" w:history="1">
        <w:r w:rsidRPr="006367ED">
          <w:rPr>
            <w:rStyle w:val="Hyperlink"/>
          </w:rPr>
          <w:t>pre-meeting consultation</w:t>
        </w:r>
      </w:hyperlink>
      <w:r w:rsidRPr="006367ED">
        <w:t xml:space="preserve"> under regulation 42ZCZK of the Regulations;</w:t>
      </w:r>
    </w:p>
    <w:p w14:paraId="7FEAD485" w14:textId="4EB100A4" w:rsidR="002A58D7" w:rsidRDefault="002A58D7" w:rsidP="004B6C99">
      <w:pPr>
        <w:pStyle w:val="ListBullet"/>
      </w:pPr>
      <w:r>
        <w:t xml:space="preserve">The advice </w:t>
      </w:r>
      <w:r w:rsidRPr="00A825A4">
        <w:t xml:space="preserve">received from the </w:t>
      </w:r>
      <w:r w:rsidR="004F79C5">
        <w:t>m</w:t>
      </w:r>
      <w:r w:rsidRPr="00A825A4">
        <w:t>eeting of the Advisory Committee o</w:t>
      </w:r>
      <w:r>
        <w:t>n Chemicals Scheduling (ACCS #31</w:t>
      </w:r>
      <w:r w:rsidRPr="00A825A4">
        <w:t>);</w:t>
      </w:r>
    </w:p>
    <w:p w14:paraId="6EE7E7CD" w14:textId="77777777" w:rsidR="002A58D7" w:rsidRDefault="002A58D7" w:rsidP="002A58D7">
      <w:pPr>
        <w:pStyle w:val="ListBullet"/>
        <w:numPr>
          <w:ilvl w:val="0"/>
          <w:numId w:val="1"/>
        </w:numPr>
      </w:pPr>
      <w:r>
        <w:lastRenderedPageBreak/>
        <w:t xml:space="preserve">The </w:t>
      </w:r>
      <w:hyperlink r:id="rId82" w:history="1">
        <w:r w:rsidRPr="00206A7B">
          <w:rPr>
            <w:rStyle w:val="Hyperlink"/>
          </w:rPr>
          <w:t>public submission</w:t>
        </w:r>
      </w:hyperlink>
      <w:r>
        <w:t xml:space="preserve"> received in response to the </w:t>
      </w:r>
      <w:hyperlink r:id="rId83" w:history="1">
        <w:r w:rsidRPr="00206A7B">
          <w:rPr>
            <w:rStyle w:val="Hyperlink"/>
          </w:rPr>
          <w:t>interim decision consultation</w:t>
        </w:r>
      </w:hyperlink>
      <w:r>
        <w:t xml:space="preserve"> </w:t>
      </w:r>
      <w:r w:rsidRPr="002C1418">
        <w:t>under regulation 42ZCZP of the Regulations</w:t>
      </w:r>
      <w:r>
        <w:t>;</w:t>
      </w:r>
    </w:p>
    <w:p w14:paraId="51B49C7B" w14:textId="77777777" w:rsidR="002A58D7" w:rsidRDefault="002A58D7" w:rsidP="004B6C99">
      <w:pPr>
        <w:pStyle w:val="ListBullet"/>
      </w:pPr>
      <w:r>
        <w:t xml:space="preserve">Subsection 52E(1) of the </w:t>
      </w:r>
      <w:r w:rsidRPr="00FC4D25">
        <w:rPr>
          <w:i/>
        </w:rPr>
        <w:t xml:space="preserve">Therapeutic Goods Act 1989, </w:t>
      </w:r>
      <w:r w:rsidRPr="001169AC">
        <w:t xml:space="preserve">in particular </w:t>
      </w:r>
      <w:r>
        <w:t>(a) risks and benefits of the use of a substance; (b) the purposes for which a substance is to be used and the extent of use of a substance;</w:t>
      </w:r>
      <w:r w:rsidRPr="00253950">
        <w:t xml:space="preserve"> (c) the toxicity of a </w:t>
      </w:r>
      <w:r w:rsidRPr="004B6C99">
        <w:t>substance</w:t>
      </w:r>
      <w:r w:rsidRPr="00253950">
        <w:t>; (d) the dosage, formulation, labelling, packaging and presentation of a substance; and (f) any other matters that the Secretary considers nec</w:t>
      </w:r>
      <w:r>
        <w:t>essary to protect public health;</w:t>
      </w:r>
    </w:p>
    <w:p w14:paraId="18E40203" w14:textId="77777777" w:rsidR="002A58D7" w:rsidRDefault="002A58D7" w:rsidP="002A58D7">
      <w:pPr>
        <w:pStyle w:val="ListBullet"/>
        <w:numPr>
          <w:ilvl w:val="0"/>
          <w:numId w:val="1"/>
        </w:numPr>
      </w:pPr>
      <w:r w:rsidRPr="002C1418">
        <w:t xml:space="preserve">The Australian Health Ministers’ Advisory Council’s </w:t>
      </w:r>
      <w:hyperlink r:id="rId84" w:history="1">
        <w:r w:rsidRPr="001A7580">
          <w:rPr>
            <w:rStyle w:val="Hyperlink"/>
          </w:rPr>
          <w:t>Scheduling Policy Framework</w:t>
        </w:r>
      </w:hyperlink>
      <w:r>
        <w:t xml:space="preserve"> (SPF 2018</w:t>
      </w:r>
      <w:r w:rsidRPr="002C20AE">
        <w:t>);</w:t>
      </w:r>
      <w:r>
        <w:t xml:space="preserve"> and</w:t>
      </w:r>
    </w:p>
    <w:p w14:paraId="7E2DF312" w14:textId="77777777" w:rsidR="002A58D7" w:rsidRPr="006501A1" w:rsidRDefault="002A58D7" w:rsidP="002A58D7">
      <w:pPr>
        <w:pStyle w:val="ListBullet"/>
        <w:numPr>
          <w:ilvl w:val="0"/>
          <w:numId w:val="1"/>
        </w:numPr>
      </w:pPr>
      <w:r>
        <w:t xml:space="preserve">The </w:t>
      </w:r>
      <w:hyperlink r:id="rId85" w:history="1">
        <w:r w:rsidRPr="001A7580">
          <w:rPr>
            <w:rStyle w:val="Hyperlink"/>
          </w:rPr>
          <w:t>Scheduling handbook: Guidance for amending the Poisons Standard</w:t>
        </w:r>
      </w:hyperlink>
      <w:r>
        <w:t>.</w:t>
      </w:r>
    </w:p>
    <w:p w14:paraId="43D2EC67" w14:textId="77777777" w:rsidR="002A58D7" w:rsidRDefault="002A58D7" w:rsidP="004B6C99">
      <w:pPr>
        <w:pStyle w:val="Heading4"/>
      </w:pPr>
      <w:r w:rsidRPr="00436C41">
        <w:t>Reasons for the final decision (including findings on material questions of fact)</w:t>
      </w:r>
    </w:p>
    <w:p w14:paraId="0DC416CB" w14:textId="77777777" w:rsidR="002A58D7" w:rsidRDefault="002A58D7" w:rsidP="004B6C99">
      <w:r w:rsidRPr="009949E5">
        <w:t xml:space="preserve">I have made a final decision to confirm my </w:t>
      </w:r>
      <w:hyperlink r:id="rId86" w:history="1">
        <w:r w:rsidRPr="00966D29">
          <w:rPr>
            <w:rStyle w:val="Hyperlink"/>
          </w:rPr>
          <w:t>interim decision</w:t>
        </w:r>
      </w:hyperlink>
      <w:r w:rsidRPr="009949E5">
        <w:t xml:space="preserve"> to amend the current Poisons Standard with respect to 6-methoxy-N2-methyl-2,3-pyridinediamine. My reasons for making the final decision are those set out in the interim decision. In making my final decision, I have taken into account the material detailed in the interim decision and </w:t>
      </w:r>
      <w:r>
        <w:t xml:space="preserve">the one </w:t>
      </w:r>
      <w:r w:rsidRPr="00206A7B">
        <w:t>public submission</w:t>
      </w:r>
      <w:r>
        <w:t xml:space="preserve"> r</w:t>
      </w:r>
      <w:r w:rsidRPr="009949E5">
        <w:t>eceived before the second closing date in response to the call for further submissions published on 13 October 2021 under regulation 42ZCZP of the Regulations.</w:t>
      </w:r>
    </w:p>
    <w:p w14:paraId="36AB2863" w14:textId="77777777" w:rsidR="002A58D7" w:rsidRDefault="002A58D7" w:rsidP="002A58D7">
      <w:r w:rsidRPr="00A87139">
        <w:t>I note that the only written public submission received in response to the interim decision was from Accord Australasia, who did not oppose the interim decision.</w:t>
      </w:r>
      <w:r>
        <w:t xml:space="preserve"> A longer transition period has been implemented to allow time for reformulation and labelling changes.</w:t>
      </w:r>
    </w:p>
    <w:p w14:paraId="5F39321C" w14:textId="77777777" w:rsidR="002A58D7" w:rsidRDefault="002A58D7" w:rsidP="004B6C99">
      <w:pPr>
        <w:pStyle w:val="Heading4"/>
      </w:pPr>
      <w:r>
        <w:t>Implementation date</w:t>
      </w:r>
    </w:p>
    <w:p w14:paraId="30443556" w14:textId="490A499B" w:rsidR="002A58D7" w:rsidRPr="00D758A9" w:rsidRDefault="002A58D7" w:rsidP="002A58D7">
      <w:pPr>
        <w:rPr>
          <w:b/>
          <w:bCs/>
        </w:rPr>
      </w:pPr>
      <w:r w:rsidRPr="00D758A9">
        <w:rPr>
          <w:b/>
          <w:bCs/>
        </w:rPr>
        <w:t>1 June 2022</w:t>
      </w:r>
    </w:p>
    <w:p w14:paraId="43BF03ED" w14:textId="77777777" w:rsidR="002A58D7" w:rsidRDefault="002A58D7" w:rsidP="002A58D7">
      <w:pPr>
        <w:pStyle w:val="Heading3"/>
      </w:pPr>
      <w:bookmarkStart w:id="54" w:name="_Toc89682893"/>
      <w:bookmarkStart w:id="55" w:name="_Toc90840744"/>
      <w:r>
        <w:t>Final</w:t>
      </w:r>
      <w:r w:rsidRPr="00FA029A">
        <w:t xml:space="preserve"> decisions </w:t>
      </w:r>
      <w:r>
        <w:t>in relation to lead acetates</w:t>
      </w:r>
      <w:bookmarkEnd w:id="54"/>
      <w:bookmarkEnd w:id="55"/>
    </w:p>
    <w:p w14:paraId="12067337" w14:textId="5EB89886" w:rsidR="002A58D7" w:rsidRPr="008036B7" w:rsidRDefault="002A58D7" w:rsidP="004B6C99">
      <w:pPr>
        <w:pStyle w:val="Heading4"/>
      </w:pPr>
      <w:r>
        <w:t xml:space="preserve">Final </w:t>
      </w:r>
      <w:r w:rsidR="004B6C99">
        <w:t>d</w:t>
      </w:r>
      <w:r>
        <w:t>ecision</w:t>
      </w:r>
    </w:p>
    <w:p w14:paraId="1C7ECFD6" w14:textId="6AC03A5F" w:rsidR="002A58D7" w:rsidRDefault="002A58D7" w:rsidP="002A58D7">
      <w:r>
        <w:t xml:space="preserve">Pursuant to regulation 42ZCZR of the Regulations, a Delegate of the Secretary has made a final </w:t>
      </w:r>
      <w:r w:rsidRPr="00893E2C">
        <w:t xml:space="preserve">decision to confirm the </w:t>
      </w:r>
      <w:r w:rsidRPr="00570031">
        <w:t>interim decision</w:t>
      </w:r>
      <w:r w:rsidRPr="00893E2C">
        <w:t xml:space="preserve"> and amend the current Poisons Standard in relation to lead acetates as follows:</w:t>
      </w:r>
    </w:p>
    <w:p w14:paraId="47F809D3" w14:textId="6B8C4BB7" w:rsidR="002A58D7" w:rsidRPr="00A55896" w:rsidRDefault="002A58D7" w:rsidP="00F00E99">
      <w:pPr>
        <w:ind w:firstLine="709"/>
        <w:rPr>
          <w:b/>
        </w:rPr>
      </w:pPr>
      <w:r w:rsidRPr="00A55896">
        <w:rPr>
          <w:b/>
        </w:rPr>
        <w:t>Schedule 10</w:t>
      </w:r>
    </w:p>
    <w:p w14:paraId="119DCFA1" w14:textId="77777777" w:rsidR="002A58D7" w:rsidRDefault="002A58D7" w:rsidP="002A58D7">
      <w:pPr>
        <w:ind w:left="709"/>
        <w:rPr>
          <w:b/>
        </w:rPr>
      </w:pPr>
      <w:r>
        <w:t xml:space="preserve">LEAD COMPOUNDS in paints, tinters, inks or ink additives </w:t>
      </w:r>
      <w:r w:rsidRPr="00A55896">
        <w:rPr>
          <w:b/>
        </w:rPr>
        <w:t>except</w:t>
      </w:r>
      <w:r>
        <w:t xml:space="preserve"> in preparations containing 0.009 per cent or less of lead calculated on the non-volatile content of the paint, tinter, ink or ink additive.</w:t>
      </w:r>
    </w:p>
    <w:p w14:paraId="6E32FD25" w14:textId="77777777" w:rsidR="002A58D7" w:rsidRDefault="002A58D7" w:rsidP="002A58D7">
      <w:pPr>
        <w:ind w:left="709"/>
        <w:rPr>
          <w:b/>
        </w:rPr>
      </w:pPr>
      <w:r>
        <w:rPr>
          <w:b/>
        </w:rPr>
        <w:t>Schedule 6 – Amend Entry</w:t>
      </w:r>
    </w:p>
    <w:p w14:paraId="35267458" w14:textId="77777777" w:rsidR="002A58D7" w:rsidRPr="00D10190" w:rsidRDefault="002A58D7" w:rsidP="002A58D7">
      <w:pPr>
        <w:ind w:left="709"/>
        <w:rPr>
          <w:b/>
          <w:bCs/>
        </w:rPr>
      </w:pPr>
      <w:r w:rsidRPr="000A2097">
        <w:t xml:space="preserve">LEAD COMPOUNDS </w:t>
      </w:r>
      <w:r w:rsidRPr="001E6C79">
        <w:rPr>
          <w:b/>
          <w:bCs/>
        </w:rPr>
        <w:t>except</w:t>
      </w:r>
      <w:r w:rsidRPr="00392E85">
        <w:rPr>
          <w:bCs/>
        </w:rPr>
        <w:t>:</w:t>
      </w:r>
    </w:p>
    <w:p w14:paraId="1F4A3035" w14:textId="70E43B2D" w:rsidR="002A58D7" w:rsidRDefault="002A58D7" w:rsidP="00DC2A10">
      <w:pPr>
        <w:pStyle w:val="Numberbullet2"/>
        <w:numPr>
          <w:ilvl w:val="0"/>
          <w:numId w:val="17"/>
        </w:numPr>
        <w:ind w:left="1134" w:hanging="425"/>
        <w:rPr>
          <w:i/>
        </w:rPr>
      </w:pPr>
      <w:r w:rsidRPr="00D57819">
        <w:t xml:space="preserve">when included in Schedule 4 </w:t>
      </w:r>
      <w:r w:rsidRPr="009921D3">
        <w:rPr>
          <w:strike/>
          <w:color w:val="FF0000"/>
        </w:rPr>
        <w:t>or 5</w:t>
      </w:r>
      <w:r w:rsidRPr="00D57819">
        <w:t>;</w:t>
      </w:r>
    </w:p>
    <w:p w14:paraId="7C282BBB" w14:textId="7EBF0FE0" w:rsidR="002A58D7" w:rsidRDefault="002A58D7" w:rsidP="00DC2A10">
      <w:pPr>
        <w:pStyle w:val="Numberbullet2"/>
        <w:numPr>
          <w:ilvl w:val="0"/>
          <w:numId w:val="17"/>
        </w:numPr>
        <w:ind w:left="1134" w:hanging="425"/>
        <w:rPr>
          <w:i/>
        </w:rPr>
      </w:pPr>
      <w:r w:rsidRPr="00D10190">
        <w:t>in paints, tinters, inks or ink additives;</w:t>
      </w:r>
    </w:p>
    <w:p w14:paraId="2C2293E7" w14:textId="6BD2CD75" w:rsidR="002A58D7" w:rsidRDefault="00DC2A10" w:rsidP="00DC2A10">
      <w:pPr>
        <w:pStyle w:val="Numberbullet2"/>
        <w:numPr>
          <w:ilvl w:val="0"/>
          <w:numId w:val="17"/>
        </w:numPr>
        <w:ind w:left="1134" w:hanging="425"/>
        <w:rPr>
          <w:i/>
        </w:rPr>
      </w:pPr>
      <w:r>
        <w:rPr>
          <w:rFonts w:ascii="Arial" w:hAnsi="Arial"/>
          <w:sz w:val="20"/>
          <w:lang w:eastAsia="en-AU"/>
        </w:rPr>
        <w:t>i</w:t>
      </w:r>
      <w:r w:rsidR="002A58D7" w:rsidRPr="00D10190">
        <w:t>n preparations for cosmetic use containing 100 mg/kg or less of lead;</w:t>
      </w:r>
    </w:p>
    <w:p w14:paraId="4590DF35" w14:textId="66A1E4C8" w:rsidR="002A58D7" w:rsidRDefault="002A58D7" w:rsidP="00DC2A10">
      <w:pPr>
        <w:pStyle w:val="Numberbullet2"/>
        <w:numPr>
          <w:ilvl w:val="0"/>
          <w:numId w:val="17"/>
        </w:numPr>
        <w:ind w:left="1134" w:hanging="425"/>
        <w:rPr>
          <w:i/>
        </w:rPr>
      </w:pPr>
      <w:r>
        <w:t xml:space="preserve">in pencil cores, </w:t>
      </w:r>
      <w:r w:rsidRPr="00D10190">
        <w:t>finger colours, showcard colours, pastels, crayons, poster paints/colours or coloured chalks containing 100 mg/kg or less of lead; or</w:t>
      </w:r>
    </w:p>
    <w:p w14:paraId="61CFC95F" w14:textId="6F664974" w:rsidR="002A58D7" w:rsidRPr="00D10190" w:rsidRDefault="002A58D7" w:rsidP="00DC2A10">
      <w:pPr>
        <w:pStyle w:val="Numberbullet2"/>
        <w:numPr>
          <w:ilvl w:val="0"/>
          <w:numId w:val="17"/>
        </w:numPr>
        <w:ind w:left="1134" w:hanging="425"/>
        <w:rPr>
          <w:i/>
        </w:rPr>
      </w:pPr>
      <w:r w:rsidRPr="00D10190">
        <w:lastRenderedPageBreak/>
        <w:t>in ceramic glazes when labelled with the warning statement:</w:t>
      </w:r>
    </w:p>
    <w:p w14:paraId="7B6D2889" w14:textId="77777777" w:rsidR="002A58D7" w:rsidRPr="000A2097" w:rsidRDefault="002A58D7" w:rsidP="00DC2A10">
      <w:pPr>
        <w:ind w:left="1134"/>
      </w:pPr>
      <w:r w:rsidRPr="000A2097">
        <w:t>CAUTION – Harmful if swallowed. Do not use on surfaces which contact food or drink.</w:t>
      </w:r>
    </w:p>
    <w:p w14:paraId="25B9069C" w14:textId="77777777" w:rsidR="002A58D7" w:rsidRPr="003E2CAF" w:rsidRDefault="002A58D7" w:rsidP="00DC2A10">
      <w:pPr>
        <w:ind w:left="1134"/>
      </w:pPr>
      <w:r w:rsidRPr="000A2097">
        <w:t>written in letters not less than 1.5 mm in height.</w:t>
      </w:r>
    </w:p>
    <w:p w14:paraId="463F4572" w14:textId="77777777" w:rsidR="002A58D7" w:rsidRDefault="002A58D7" w:rsidP="002A58D7">
      <w:pPr>
        <w:ind w:left="709"/>
        <w:rPr>
          <w:b/>
        </w:rPr>
      </w:pPr>
      <w:r>
        <w:rPr>
          <w:b/>
        </w:rPr>
        <w:t>Schedule 5 – Delete Entry</w:t>
      </w:r>
    </w:p>
    <w:p w14:paraId="0457F7CA" w14:textId="77777777" w:rsidR="002A58D7" w:rsidRDefault="002A58D7" w:rsidP="002A58D7">
      <w:pPr>
        <w:ind w:firstLine="709"/>
        <w:rPr>
          <w:strike/>
          <w:color w:val="FF0000"/>
        </w:rPr>
      </w:pPr>
      <w:r w:rsidRPr="00562D8A">
        <w:rPr>
          <w:strike/>
          <w:color w:val="FF0000"/>
        </w:rPr>
        <w:t>LEAD COMPOUNDS in preparations for use as hair cosmetics.</w:t>
      </w:r>
    </w:p>
    <w:p w14:paraId="3DC9BDE6" w14:textId="77777777" w:rsidR="002A58D7" w:rsidRPr="00E37087" w:rsidRDefault="002A58D7" w:rsidP="00F00E99">
      <w:pPr>
        <w:ind w:firstLine="709"/>
        <w:rPr>
          <w:b/>
        </w:rPr>
      </w:pPr>
      <w:r w:rsidRPr="00E37087">
        <w:rPr>
          <w:b/>
        </w:rPr>
        <w:t>Appendix E, Part 2</w:t>
      </w:r>
    </w:p>
    <w:tbl>
      <w:tblPr>
        <w:tblStyle w:val="TableTGAblue"/>
        <w:tblW w:w="0" w:type="auto"/>
        <w:tblInd w:w="699" w:type="dxa"/>
        <w:tblLook w:val="04A0" w:firstRow="1" w:lastRow="0" w:firstColumn="1" w:lastColumn="0" w:noHBand="0" w:noVBand="1"/>
      </w:tblPr>
      <w:tblGrid>
        <w:gridCol w:w="4787"/>
        <w:gridCol w:w="3151"/>
      </w:tblGrid>
      <w:tr w:rsidR="002A58D7" w14:paraId="67E79A24" w14:textId="77777777" w:rsidTr="008E7E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7" w:type="dxa"/>
            <w:hideMark/>
          </w:tcPr>
          <w:p w14:paraId="7F86FF43" w14:textId="53A104DA" w:rsidR="002A58D7" w:rsidRPr="009E40EE" w:rsidRDefault="002A58D7" w:rsidP="00F00E99">
            <w:r w:rsidRPr="009E40EE">
              <w:t>P</w:t>
            </w:r>
            <w:r w:rsidR="00DC2A10">
              <w:t>oison</w:t>
            </w:r>
          </w:p>
        </w:tc>
        <w:tc>
          <w:tcPr>
            <w:tcW w:w="3151" w:type="dxa"/>
            <w:hideMark/>
          </w:tcPr>
          <w:p w14:paraId="78FB9DF4" w14:textId="2197A540" w:rsidR="002A58D7" w:rsidRPr="009E40EE" w:rsidRDefault="002A58D7" w:rsidP="00F00E99">
            <w:pPr>
              <w:cnfStyle w:val="100000000000" w:firstRow="1" w:lastRow="0" w:firstColumn="0" w:lastColumn="0" w:oddVBand="0" w:evenVBand="0" w:oddHBand="0" w:evenHBand="0" w:firstRowFirstColumn="0" w:firstRowLastColumn="0" w:lastRowFirstColumn="0" w:lastRowLastColumn="0"/>
            </w:pPr>
            <w:r w:rsidRPr="009E40EE">
              <w:t>S</w:t>
            </w:r>
            <w:r w:rsidR="00DC2A10">
              <w:t>tandard statements</w:t>
            </w:r>
          </w:p>
        </w:tc>
      </w:tr>
      <w:tr w:rsidR="002A58D7" w14:paraId="3663A786" w14:textId="77777777" w:rsidTr="008E7E28">
        <w:tc>
          <w:tcPr>
            <w:cnfStyle w:val="001000000000" w:firstRow="0" w:lastRow="0" w:firstColumn="1" w:lastColumn="0" w:oddVBand="0" w:evenVBand="0" w:oddHBand="0" w:evenHBand="0" w:firstRowFirstColumn="0" w:firstRowLastColumn="0" w:lastRowFirstColumn="0" w:lastRowLastColumn="0"/>
            <w:tcW w:w="4787" w:type="dxa"/>
            <w:hideMark/>
          </w:tcPr>
          <w:p w14:paraId="3B1144B3" w14:textId="77777777" w:rsidR="002A58D7" w:rsidRPr="00251574" w:rsidRDefault="002A58D7" w:rsidP="00F00E99">
            <w:pPr>
              <w:pStyle w:val="ListBullet"/>
              <w:numPr>
                <w:ilvl w:val="0"/>
                <w:numId w:val="0"/>
              </w:numPr>
              <w:ind w:left="360" w:hanging="360"/>
              <w:rPr>
                <w:rFonts w:asciiTheme="minorHAnsi" w:hAnsiTheme="minorHAnsi"/>
                <w:szCs w:val="22"/>
              </w:rPr>
            </w:pPr>
            <w:r w:rsidRPr="00251574">
              <w:rPr>
                <w:rFonts w:asciiTheme="minorHAnsi" w:hAnsiTheme="minorHAnsi"/>
                <w:szCs w:val="22"/>
              </w:rPr>
              <w:t>LEAD COMPOUNDS</w:t>
            </w:r>
          </w:p>
        </w:tc>
        <w:tc>
          <w:tcPr>
            <w:tcW w:w="3151" w:type="dxa"/>
            <w:hideMark/>
          </w:tcPr>
          <w:p w14:paraId="208556E7" w14:textId="77777777" w:rsidR="002A58D7" w:rsidRPr="00251574" w:rsidRDefault="002A58D7" w:rsidP="00F00E9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251574">
              <w:rPr>
                <w:rFonts w:asciiTheme="minorHAnsi" w:hAnsiTheme="minorHAnsi" w:hint="eastAsia"/>
                <w:szCs w:val="22"/>
              </w:rPr>
              <w:t> </w:t>
            </w:r>
          </w:p>
        </w:tc>
      </w:tr>
      <w:tr w:rsidR="002A58D7" w14:paraId="4061D1DD" w14:textId="77777777" w:rsidTr="008E7E28">
        <w:tc>
          <w:tcPr>
            <w:cnfStyle w:val="001000000000" w:firstRow="0" w:lastRow="0" w:firstColumn="1" w:lastColumn="0" w:oddVBand="0" w:evenVBand="0" w:oddHBand="0" w:evenHBand="0" w:firstRowFirstColumn="0" w:firstRowLastColumn="0" w:lastRowFirstColumn="0" w:lastRowLastColumn="0"/>
            <w:tcW w:w="4787" w:type="dxa"/>
          </w:tcPr>
          <w:p w14:paraId="281E7DB9" w14:textId="77777777" w:rsidR="002A58D7" w:rsidRPr="00D43617" w:rsidRDefault="002A58D7" w:rsidP="002A58D7">
            <w:pPr>
              <w:pStyle w:val="ListBullet"/>
              <w:numPr>
                <w:ilvl w:val="0"/>
                <w:numId w:val="18"/>
              </w:numPr>
            </w:pPr>
            <w:r w:rsidRPr="00251574">
              <w:rPr>
                <w:szCs w:val="20"/>
              </w:rPr>
              <w:t xml:space="preserve">in hair cosmetics </w:t>
            </w:r>
          </w:p>
        </w:tc>
        <w:tc>
          <w:tcPr>
            <w:tcW w:w="3151" w:type="dxa"/>
          </w:tcPr>
          <w:p w14:paraId="34C9E4F8" w14:textId="77777777" w:rsidR="002A58D7" w:rsidRPr="00251574" w:rsidRDefault="002A58D7" w:rsidP="00F00E9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251574">
              <w:rPr>
                <w:rFonts w:asciiTheme="minorHAnsi" w:hAnsiTheme="minorHAnsi"/>
                <w:szCs w:val="22"/>
              </w:rPr>
              <w:t>A</w:t>
            </w:r>
          </w:p>
        </w:tc>
      </w:tr>
      <w:tr w:rsidR="002A58D7" w14:paraId="2BA0CAD8" w14:textId="77777777" w:rsidTr="008E7E28">
        <w:tc>
          <w:tcPr>
            <w:cnfStyle w:val="001000000000" w:firstRow="0" w:lastRow="0" w:firstColumn="1" w:lastColumn="0" w:oddVBand="0" w:evenVBand="0" w:oddHBand="0" w:evenHBand="0" w:firstRowFirstColumn="0" w:firstRowLastColumn="0" w:lastRowFirstColumn="0" w:lastRowLastColumn="0"/>
            <w:tcW w:w="4787" w:type="dxa"/>
          </w:tcPr>
          <w:p w14:paraId="03BCE7FA" w14:textId="77777777" w:rsidR="002A58D7" w:rsidRPr="00D43617" w:rsidRDefault="002A58D7" w:rsidP="002A58D7">
            <w:pPr>
              <w:pStyle w:val="ListBullet"/>
              <w:numPr>
                <w:ilvl w:val="0"/>
                <w:numId w:val="18"/>
              </w:numPr>
            </w:pPr>
            <w:r w:rsidRPr="00251574">
              <w:rPr>
                <w:szCs w:val="20"/>
              </w:rPr>
              <w:t>in other preparations</w:t>
            </w:r>
          </w:p>
        </w:tc>
        <w:tc>
          <w:tcPr>
            <w:tcW w:w="3151" w:type="dxa"/>
          </w:tcPr>
          <w:p w14:paraId="011C0963" w14:textId="77777777" w:rsidR="002A58D7" w:rsidRPr="00251574" w:rsidRDefault="002A58D7" w:rsidP="00F00E9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251574">
              <w:rPr>
                <w:rFonts w:asciiTheme="minorHAnsi" w:hAnsiTheme="minorHAnsi"/>
                <w:szCs w:val="22"/>
              </w:rPr>
              <w:t>A,</w:t>
            </w:r>
            <w:r>
              <w:rPr>
                <w:rFonts w:asciiTheme="minorHAnsi" w:hAnsiTheme="minorHAnsi"/>
                <w:szCs w:val="22"/>
              </w:rPr>
              <w:t xml:space="preserve"> </w:t>
            </w:r>
            <w:r w:rsidRPr="00251574">
              <w:rPr>
                <w:rFonts w:asciiTheme="minorHAnsi" w:hAnsiTheme="minorHAnsi"/>
                <w:szCs w:val="22"/>
              </w:rPr>
              <w:t>S1</w:t>
            </w:r>
          </w:p>
        </w:tc>
      </w:tr>
      <w:tr w:rsidR="002A58D7" w:rsidRPr="00C57F1C" w14:paraId="2826BE43" w14:textId="77777777" w:rsidTr="008E7E28">
        <w:tc>
          <w:tcPr>
            <w:cnfStyle w:val="001000000000" w:firstRow="0" w:lastRow="0" w:firstColumn="1" w:lastColumn="0" w:oddVBand="0" w:evenVBand="0" w:oddHBand="0" w:evenHBand="0" w:firstRowFirstColumn="0" w:firstRowLastColumn="0" w:lastRowFirstColumn="0" w:lastRowLastColumn="0"/>
            <w:tcW w:w="7938" w:type="dxa"/>
            <w:gridSpan w:val="2"/>
          </w:tcPr>
          <w:p w14:paraId="52929CEE" w14:textId="77777777" w:rsidR="002A58D7" w:rsidRDefault="002A58D7" w:rsidP="00F00E99">
            <w:pPr>
              <w:rPr>
                <w:sz w:val="20"/>
              </w:rPr>
            </w:pPr>
            <w:r>
              <w:rPr>
                <w:b/>
                <w:sz w:val="20"/>
              </w:rPr>
              <w:t xml:space="preserve">A </w:t>
            </w:r>
            <w:r>
              <w:rPr>
                <w:sz w:val="20"/>
              </w:rPr>
              <w:t xml:space="preserve">– </w:t>
            </w:r>
            <w:r w:rsidRPr="00C57F1C">
              <w:rPr>
                <w:sz w:val="20"/>
              </w:rPr>
              <w:t>For advice, contact a Poisons Information Centre (e.g. phone Australia 13 11 26; New Zealand 0800 764 766) or a doctor (at once).</w:t>
            </w:r>
          </w:p>
          <w:p w14:paraId="5D9B4158" w14:textId="77777777" w:rsidR="002A58D7" w:rsidRPr="00C57F1C" w:rsidRDefault="002A58D7" w:rsidP="00F00E99">
            <w:pPr>
              <w:rPr>
                <w:sz w:val="20"/>
              </w:rPr>
            </w:pPr>
            <w:r>
              <w:rPr>
                <w:b/>
                <w:sz w:val="20"/>
              </w:rPr>
              <w:t xml:space="preserve">S1 </w:t>
            </w:r>
            <w:r>
              <w:rPr>
                <w:sz w:val="20"/>
              </w:rPr>
              <w:t xml:space="preserve">– </w:t>
            </w:r>
            <w:r w:rsidRPr="00D43617">
              <w:rPr>
                <w:sz w:val="20"/>
              </w:rPr>
              <w:t>If skin or hair contact occurs, remove contaminated clothing and flush skin and hair with running water.</w:t>
            </w:r>
          </w:p>
        </w:tc>
      </w:tr>
    </w:tbl>
    <w:p w14:paraId="715DDC64" w14:textId="77777777" w:rsidR="002A58D7" w:rsidRPr="006D5C84" w:rsidRDefault="002A58D7" w:rsidP="00F00E99">
      <w:pPr>
        <w:ind w:firstLine="720"/>
        <w:rPr>
          <w:b/>
        </w:rPr>
      </w:pPr>
      <w:r>
        <w:rPr>
          <w:b/>
        </w:rPr>
        <w:t>Appendix</w:t>
      </w:r>
      <w:r w:rsidRPr="006D5C84">
        <w:rPr>
          <w:b/>
        </w:rPr>
        <w:t xml:space="preserve"> F, Part 3</w:t>
      </w:r>
    </w:p>
    <w:tbl>
      <w:tblPr>
        <w:tblStyle w:val="TableTGAblue"/>
        <w:tblW w:w="0" w:type="auto"/>
        <w:tblInd w:w="699" w:type="dxa"/>
        <w:tblLook w:val="04A0" w:firstRow="1" w:lastRow="0" w:firstColumn="1" w:lastColumn="0" w:noHBand="0" w:noVBand="1"/>
      </w:tblPr>
      <w:tblGrid>
        <w:gridCol w:w="2213"/>
        <w:gridCol w:w="339"/>
        <w:gridCol w:w="2967"/>
        <w:gridCol w:w="2419"/>
      </w:tblGrid>
      <w:tr w:rsidR="002A58D7" w:rsidRPr="00C57F1C" w14:paraId="3CEB0824" w14:textId="77777777" w:rsidTr="008E7E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3" w:type="dxa"/>
            <w:hideMark/>
          </w:tcPr>
          <w:p w14:paraId="38DCD02E" w14:textId="5F50C084" w:rsidR="002A58D7" w:rsidRPr="009E40EE" w:rsidRDefault="002A58D7" w:rsidP="00F00E99">
            <w:r w:rsidRPr="009E40EE">
              <w:t>P</w:t>
            </w:r>
            <w:r w:rsidR="00DC2A10">
              <w:t>oison</w:t>
            </w:r>
          </w:p>
        </w:tc>
        <w:tc>
          <w:tcPr>
            <w:tcW w:w="3306" w:type="dxa"/>
            <w:gridSpan w:val="2"/>
            <w:hideMark/>
          </w:tcPr>
          <w:p w14:paraId="0A2B4543" w14:textId="41C5A6F9" w:rsidR="002A58D7" w:rsidRPr="009E40EE" w:rsidRDefault="002A58D7" w:rsidP="00F00E99">
            <w:pPr>
              <w:jc w:val="center"/>
              <w:cnfStyle w:val="100000000000" w:firstRow="1" w:lastRow="0" w:firstColumn="0" w:lastColumn="0" w:oddVBand="0" w:evenVBand="0" w:oddHBand="0" w:evenHBand="0" w:firstRowFirstColumn="0" w:firstRowLastColumn="0" w:lastRowFirstColumn="0" w:lastRowLastColumn="0"/>
            </w:pPr>
            <w:r w:rsidRPr="009E40EE">
              <w:t>W</w:t>
            </w:r>
            <w:r w:rsidR="00DC2A10">
              <w:t>arning statements</w:t>
            </w:r>
          </w:p>
        </w:tc>
        <w:tc>
          <w:tcPr>
            <w:tcW w:w="2419" w:type="dxa"/>
            <w:hideMark/>
          </w:tcPr>
          <w:p w14:paraId="390CD8EF" w14:textId="5E26B95C" w:rsidR="002A58D7" w:rsidRPr="009E40EE" w:rsidRDefault="002A58D7" w:rsidP="00F00E99">
            <w:pPr>
              <w:jc w:val="center"/>
              <w:cnfStyle w:val="100000000000" w:firstRow="1" w:lastRow="0" w:firstColumn="0" w:lastColumn="0" w:oddVBand="0" w:evenVBand="0" w:oddHBand="0" w:evenHBand="0" w:firstRowFirstColumn="0" w:firstRowLastColumn="0" w:lastRowFirstColumn="0" w:lastRowLastColumn="0"/>
            </w:pPr>
            <w:r w:rsidRPr="009E40EE">
              <w:t>S</w:t>
            </w:r>
            <w:r w:rsidR="00DC2A10">
              <w:t>afety direction</w:t>
            </w:r>
          </w:p>
        </w:tc>
      </w:tr>
      <w:tr w:rsidR="002A58D7" w:rsidRPr="00C57F1C" w14:paraId="67143103" w14:textId="77777777" w:rsidTr="00DC2A10">
        <w:tc>
          <w:tcPr>
            <w:cnfStyle w:val="001000000000" w:firstRow="0" w:lastRow="0" w:firstColumn="1" w:lastColumn="0" w:oddVBand="0" w:evenVBand="0" w:oddHBand="0" w:evenHBand="0" w:firstRowFirstColumn="0" w:firstRowLastColumn="0" w:lastRowFirstColumn="0" w:lastRowLastColumn="0"/>
            <w:tcW w:w="2552" w:type="dxa"/>
            <w:gridSpan w:val="2"/>
          </w:tcPr>
          <w:p w14:paraId="1FA41337" w14:textId="77777777" w:rsidR="002A58D7" w:rsidRPr="00AF2993" w:rsidRDefault="002A58D7" w:rsidP="00F00E99">
            <w:pPr>
              <w:spacing w:before="100" w:beforeAutospacing="1" w:after="100" w:afterAutospacing="1" w:line="240" w:lineRule="auto"/>
              <w:rPr>
                <w:rFonts w:asciiTheme="minorHAnsi" w:hAnsiTheme="minorHAnsi"/>
                <w:szCs w:val="22"/>
              </w:rPr>
            </w:pPr>
            <w:r w:rsidRPr="00AF2993">
              <w:rPr>
                <w:szCs w:val="22"/>
                <w:shd w:val="clear" w:color="auto" w:fill="FFFFFF"/>
              </w:rPr>
              <w:t>Glazing preparations containing LEAD COMPOUNDS.</w:t>
            </w:r>
          </w:p>
        </w:tc>
        <w:tc>
          <w:tcPr>
            <w:tcW w:w="2967" w:type="dxa"/>
          </w:tcPr>
          <w:p w14:paraId="7481D90E" w14:textId="77777777" w:rsidR="002A58D7" w:rsidRPr="00AF2993" w:rsidRDefault="002A58D7" w:rsidP="00F00E99">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AF2993">
              <w:rPr>
                <w:rFonts w:asciiTheme="minorHAnsi" w:hAnsiTheme="minorHAnsi"/>
                <w:b/>
                <w:szCs w:val="22"/>
              </w:rPr>
              <w:t xml:space="preserve">50 </w:t>
            </w:r>
            <w:r w:rsidRPr="00AF2993">
              <w:rPr>
                <w:rFonts w:asciiTheme="minorHAnsi" w:hAnsiTheme="minorHAnsi"/>
                <w:szCs w:val="22"/>
              </w:rPr>
              <w:t>-</w:t>
            </w:r>
            <w:r w:rsidRPr="00AF2993">
              <w:rPr>
                <w:rFonts w:asciiTheme="minorHAnsi" w:hAnsiTheme="minorHAnsi"/>
                <w:b/>
                <w:szCs w:val="22"/>
              </w:rPr>
              <w:t xml:space="preserve"> </w:t>
            </w:r>
            <w:r w:rsidRPr="00AF2993">
              <w:rPr>
                <w:szCs w:val="22"/>
                <w:shd w:val="clear" w:color="auto" w:fill="FFFFFF"/>
              </w:rPr>
              <w:t>Unless adequately fired, utensils glazed with this preparation must not be used as containers for food or beverages; to do so may cause lead poisoning.</w:t>
            </w:r>
          </w:p>
        </w:tc>
        <w:tc>
          <w:tcPr>
            <w:tcW w:w="2419" w:type="dxa"/>
          </w:tcPr>
          <w:p w14:paraId="3470D124" w14:textId="77777777" w:rsidR="002A58D7" w:rsidRPr="00AF2993" w:rsidRDefault="002A58D7" w:rsidP="00F00E99">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2A58D7" w:rsidRPr="00C57F1C" w14:paraId="2310EBA6" w14:textId="77777777" w:rsidTr="00DC2A10">
        <w:tc>
          <w:tcPr>
            <w:cnfStyle w:val="001000000000" w:firstRow="0" w:lastRow="0" w:firstColumn="1" w:lastColumn="0" w:oddVBand="0" w:evenVBand="0" w:oddHBand="0" w:evenHBand="0" w:firstRowFirstColumn="0" w:firstRowLastColumn="0" w:lastRowFirstColumn="0" w:lastRowLastColumn="0"/>
            <w:tcW w:w="2552" w:type="dxa"/>
            <w:gridSpan w:val="2"/>
            <w:hideMark/>
          </w:tcPr>
          <w:p w14:paraId="0CA91F41" w14:textId="77777777" w:rsidR="002A58D7" w:rsidRPr="00AF2993" w:rsidRDefault="002A58D7" w:rsidP="00F00E99">
            <w:pPr>
              <w:spacing w:before="100" w:beforeAutospacing="1" w:after="100" w:afterAutospacing="1" w:line="240" w:lineRule="auto"/>
              <w:rPr>
                <w:rFonts w:asciiTheme="minorHAnsi" w:eastAsia="Times New Roman" w:hAnsiTheme="minorHAnsi"/>
                <w:szCs w:val="22"/>
                <w:lang w:eastAsia="en-AU"/>
              </w:rPr>
            </w:pPr>
            <w:r w:rsidRPr="00AF2993">
              <w:rPr>
                <w:rFonts w:asciiTheme="minorHAnsi" w:hAnsiTheme="minorHAnsi"/>
                <w:szCs w:val="22"/>
              </w:rPr>
              <w:t>LEAD COMPOUNDS</w:t>
            </w:r>
          </w:p>
        </w:tc>
        <w:tc>
          <w:tcPr>
            <w:tcW w:w="2967" w:type="dxa"/>
            <w:hideMark/>
          </w:tcPr>
          <w:p w14:paraId="4F20A7F3" w14:textId="77777777" w:rsidR="002A58D7" w:rsidRPr="00AF2993" w:rsidRDefault="002A58D7" w:rsidP="00F00E99">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AF2993">
              <w:rPr>
                <w:rFonts w:asciiTheme="minorHAnsi" w:hAnsiTheme="minorHAnsi" w:hint="eastAsia"/>
                <w:szCs w:val="22"/>
              </w:rPr>
              <w:t> </w:t>
            </w:r>
          </w:p>
        </w:tc>
        <w:tc>
          <w:tcPr>
            <w:tcW w:w="2419" w:type="dxa"/>
            <w:hideMark/>
          </w:tcPr>
          <w:p w14:paraId="32D7FCFB" w14:textId="77777777" w:rsidR="002A58D7" w:rsidRPr="00AF2993" w:rsidRDefault="002A58D7" w:rsidP="00F00E99">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AF2993">
              <w:rPr>
                <w:rFonts w:asciiTheme="minorHAnsi" w:hAnsiTheme="minorHAnsi" w:hint="eastAsia"/>
                <w:szCs w:val="22"/>
              </w:rPr>
              <w:t> </w:t>
            </w:r>
          </w:p>
        </w:tc>
      </w:tr>
      <w:tr w:rsidR="002A58D7" w:rsidRPr="00C57F1C" w14:paraId="7928B577" w14:textId="77777777" w:rsidTr="00DC2A10">
        <w:trPr>
          <w:trHeight w:val="404"/>
        </w:trPr>
        <w:tc>
          <w:tcPr>
            <w:cnfStyle w:val="001000000000" w:firstRow="0" w:lastRow="0" w:firstColumn="1" w:lastColumn="0" w:oddVBand="0" w:evenVBand="0" w:oddHBand="0" w:evenHBand="0" w:firstRowFirstColumn="0" w:firstRowLastColumn="0" w:lastRowFirstColumn="0" w:lastRowLastColumn="0"/>
            <w:tcW w:w="2552" w:type="dxa"/>
            <w:gridSpan w:val="2"/>
          </w:tcPr>
          <w:p w14:paraId="5B2CF733" w14:textId="77777777" w:rsidR="002A58D7" w:rsidRPr="00AF2993" w:rsidRDefault="002A58D7" w:rsidP="00DC2A10">
            <w:pPr>
              <w:pStyle w:val="ListBulleta"/>
              <w:numPr>
                <w:ilvl w:val="0"/>
                <w:numId w:val="8"/>
              </w:numPr>
              <w:ind w:left="318"/>
              <w:rPr>
                <w:szCs w:val="22"/>
              </w:rPr>
            </w:pPr>
            <w:r w:rsidRPr="00AF2993">
              <w:rPr>
                <w:szCs w:val="22"/>
              </w:rPr>
              <w:t>in hair cosmetics.</w:t>
            </w:r>
          </w:p>
        </w:tc>
        <w:tc>
          <w:tcPr>
            <w:tcW w:w="2967" w:type="dxa"/>
          </w:tcPr>
          <w:p w14:paraId="67144CB2" w14:textId="77777777" w:rsidR="002A58D7" w:rsidRPr="00AF2993" w:rsidRDefault="002A58D7" w:rsidP="00F00E99">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AF2993">
              <w:rPr>
                <w:rFonts w:asciiTheme="minorHAnsi" w:hAnsiTheme="minorHAnsi"/>
                <w:b/>
                <w:szCs w:val="22"/>
              </w:rPr>
              <w:t>25</w:t>
            </w:r>
            <w:r w:rsidRPr="00AF2993">
              <w:rPr>
                <w:rFonts w:asciiTheme="minorHAnsi" w:hAnsiTheme="minorHAnsi"/>
                <w:szCs w:val="22"/>
              </w:rPr>
              <w:t xml:space="preserve"> - Do not use on broken skin. Wash hands thoroughly after use.</w:t>
            </w:r>
          </w:p>
        </w:tc>
        <w:tc>
          <w:tcPr>
            <w:tcW w:w="2419" w:type="dxa"/>
          </w:tcPr>
          <w:p w14:paraId="10CF3B75" w14:textId="77777777" w:rsidR="002A58D7" w:rsidRPr="00AF2993" w:rsidRDefault="002A58D7" w:rsidP="00F00E99">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AF2993">
              <w:rPr>
                <w:rFonts w:asciiTheme="minorHAnsi" w:hAnsiTheme="minorHAnsi" w:hint="eastAsia"/>
                <w:szCs w:val="22"/>
              </w:rPr>
              <w:t> </w:t>
            </w:r>
          </w:p>
        </w:tc>
      </w:tr>
      <w:tr w:rsidR="002A58D7" w:rsidRPr="00C57F1C" w14:paraId="48B57E0E" w14:textId="77777777" w:rsidTr="00DC2A10">
        <w:trPr>
          <w:trHeight w:val="1159"/>
        </w:trPr>
        <w:tc>
          <w:tcPr>
            <w:cnfStyle w:val="001000000000" w:firstRow="0" w:lastRow="0" w:firstColumn="1" w:lastColumn="0" w:oddVBand="0" w:evenVBand="0" w:oddHBand="0" w:evenHBand="0" w:firstRowFirstColumn="0" w:firstRowLastColumn="0" w:lastRowFirstColumn="0" w:lastRowLastColumn="0"/>
            <w:tcW w:w="2552" w:type="dxa"/>
            <w:gridSpan w:val="2"/>
          </w:tcPr>
          <w:p w14:paraId="29C69EC0" w14:textId="77777777" w:rsidR="002A58D7" w:rsidRPr="00AF2993" w:rsidRDefault="002A58D7" w:rsidP="00DC2A10">
            <w:pPr>
              <w:pStyle w:val="ListBulleta"/>
              <w:ind w:left="318"/>
              <w:rPr>
                <w:szCs w:val="22"/>
              </w:rPr>
            </w:pPr>
            <w:r w:rsidRPr="00AF2993">
              <w:rPr>
                <w:szCs w:val="22"/>
              </w:rPr>
              <w:t>when in Schedule 6.</w:t>
            </w:r>
          </w:p>
        </w:tc>
        <w:tc>
          <w:tcPr>
            <w:tcW w:w="2967" w:type="dxa"/>
          </w:tcPr>
          <w:p w14:paraId="43C503CA" w14:textId="77777777" w:rsidR="002A58D7" w:rsidRPr="00AF2993" w:rsidRDefault="002A58D7" w:rsidP="00F00E99">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AF2993">
              <w:rPr>
                <w:rFonts w:asciiTheme="minorHAnsi" w:hAnsiTheme="minorHAnsi" w:hint="eastAsia"/>
                <w:szCs w:val="22"/>
              </w:rPr>
              <w:t> </w:t>
            </w:r>
          </w:p>
        </w:tc>
        <w:tc>
          <w:tcPr>
            <w:tcW w:w="2419" w:type="dxa"/>
          </w:tcPr>
          <w:p w14:paraId="782F46A1" w14:textId="77777777" w:rsidR="002A58D7" w:rsidRPr="00AF2993" w:rsidRDefault="002A58D7" w:rsidP="00F00E99">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AF2993">
              <w:rPr>
                <w:rFonts w:asciiTheme="minorHAnsi" w:hAnsiTheme="minorHAnsi"/>
                <w:b/>
                <w:szCs w:val="22"/>
              </w:rPr>
              <w:t xml:space="preserve">1 </w:t>
            </w:r>
            <w:r w:rsidRPr="00AF2993">
              <w:rPr>
                <w:rFonts w:asciiTheme="minorHAnsi" w:hAnsiTheme="minorHAnsi"/>
                <w:szCs w:val="22"/>
              </w:rPr>
              <w:t>- Avoid contact with eyes.</w:t>
            </w:r>
            <w:r w:rsidRPr="00AF2993">
              <w:rPr>
                <w:rFonts w:asciiTheme="minorHAnsi" w:hAnsiTheme="minorHAnsi"/>
                <w:b/>
                <w:szCs w:val="22"/>
              </w:rPr>
              <w:br/>
              <w:t xml:space="preserve">4 </w:t>
            </w:r>
            <w:r w:rsidRPr="00AF2993">
              <w:rPr>
                <w:rFonts w:asciiTheme="minorHAnsi" w:hAnsiTheme="minorHAnsi"/>
                <w:szCs w:val="22"/>
              </w:rPr>
              <w:t>- Avoid contact with skin.</w:t>
            </w:r>
            <w:r w:rsidRPr="00AF2993">
              <w:rPr>
                <w:rFonts w:asciiTheme="minorHAnsi" w:hAnsiTheme="minorHAnsi"/>
                <w:b/>
                <w:szCs w:val="22"/>
              </w:rPr>
              <w:br/>
              <w:t xml:space="preserve">8 </w:t>
            </w:r>
            <w:r w:rsidRPr="00AF2993">
              <w:rPr>
                <w:rFonts w:asciiTheme="minorHAnsi" w:hAnsiTheme="minorHAnsi"/>
                <w:szCs w:val="22"/>
              </w:rPr>
              <w:t>- Avoid breathing dust (or) vapour (or) spray mist.</w:t>
            </w:r>
          </w:p>
        </w:tc>
      </w:tr>
    </w:tbl>
    <w:p w14:paraId="75B1CAC1" w14:textId="77777777" w:rsidR="002A58D7" w:rsidRPr="00360473" w:rsidRDefault="002A58D7" w:rsidP="002A58D7">
      <w:pPr>
        <w:ind w:left="709"/>
        <w:rPr>
          <w:b/>
        </w:rPr>
      </w:pPr>
      <w:r>
        <w:rPr>
          <w:b/>
        </w:rPr>
        <w:t>Index – Amend Entry</w:t>
      </w:r>
    </w:p>
    <w:p w14:paraId="40BC4EFD" w14:textId="77777777" w:rsidR="002A58D7" w:rsidRPr="005E471B" w:rsidRDefault="002A58D7" w:rsidP="002A58D7">
      <w:pPr>
        <w:ind w:left="709"/>
        <w:rPr>
          <w:b/>
        </w:rPr>
      </w:pPr>
      <w:r w:rsidRPr="005E471B">
        <w:rPr>
          <w:b/>
        </w:rPr>
        <w:t>LEAD COMPOUNDS</w:t>
      </w:r>
      <w:r>
        <w:rPr>
          <w:b/>
        </w:rPr>
        <w:br/>
      </w:r>
      <w:r w:rsidRPr="005E471B">
        <w:t>cross reference: GLAZING PREPARATIONS, PRINTING INKS or INK ADDITIVES, SELENIUM</w:t>
      </w:r>
    </w:p>
    <w:p w14:paraId="132F29F0" w14:textId="77777777" w:rsidR="002A58D7" w:rsidRDefault="002A58D7" w:rsidP="002A58D7">
      <w:pPr>
        <w:ind w:left="709"/>
      </w:pPr>
      <w:r w:rsidRPr="005E471B">
        <w:lastRenderedPageBreak/>
        <w:t>Schedule 10</w:t>
      </w:r>
      <w:r>
        <w:br/>
      </w:r>
      <w:r w:rsidRPr="005E471B">
        <w:t>Schedule 6</w:t>
      </w:r>
      <w:r>
        <w:br/>
      </w:r>
      <w:r w:rsidRPr="005E471B">
        <w:rPr>
          <w:strike/>
          <w:color w:val="FF0000"/>
        </w:rPr>
        <w:t>Schedule 5</w:t>
      </w:r>
      <w:r>
        <w:br/>
      </w:r>
      <w:r w:rsidRPr="005E471B">
        <w:t>Appendix E, Part 2</w:t>
      </w:r>
      <w:r>
        <w:br/>
      </w:r>
      <w:r w:rsidRPr="005E471B">
        <w:t>Appendix F, Part 3</w:t>
      </w:r>
      <w:r>
        <w:br/>
      </w:r>
      <w:r w:rsidRPr="005E471B">
        <w:t>Appendix F, Part 3</w:t>
      </w:r>
      <w:r>
        <w:t xml:space="preserve"> </w:t>
      </w:r>
      <w:r w:rsidRPr="00825A9B">
        <w:rPr>
          <w:color w:val="00B050"/>
        </w:rPr>
        <w:t>(glazing preparations)</w:t>
      </w:r>
    </w:p>
    <w:p w14:paraId="1368907E" w14:textId="2EE10D91" w:rsidR="002A58D7" w:rsidRDefault="002A58D7" w:rsidP="002A58D7">
      <w:pPr>
        <w:pStyle w:val="Heading5"/>
      </w:pPr>
      <w:r>
        <w:t>Materials considered</w:t>
      </w:r>
    </w:p>
    <w:p w14:paraId="2D7BDD02" w14:textId="77777777" w:rsidR="002A58D7" w:rsidRDefault="002A58D7" w:rsidP="002A58D7">
      <w:r>
        <w:t>In making this final decision, the Delegate considered the following material:</w:t>
      </w:r>
    </w:p>
    <w:p w14:paraId="03DA6827" w14:textId="77777777" w:rsidR="002A58D7" w:rsidRPr="006501A1" w:rsidRDefault="002A58D7" w:rsidP="00DC2A10">
      <w:pPr>
        <w:pStyle w:val="ListBullet"/>
        <w:numPr>
          <w:ilvl w:val="0"/>
          <w:numId w:val="1"/>
        </w:numPr>
        <w:spacing w:after="120"/>
        <w:ind w:left="357" w:hanging="357"/>
      </w:pPr>
      <w:r>
        <w:t xml:space="preserve">A </w:t>
      </w:r>
      <w:hyperlink r:id="rId87" w:history="1">
        <w:r w:rsidRPr="00676703">
          <w:rPr>
            <w:rStyle w:val="Hyperlink"/>
          </w:rPr>
          <w:t>human health tier II</w:t>
        </w:r>
        <w:r>
          <w:rPr>
            <w:rStyle w:val="Hyperlink"/>
          </w:rPr>
          <w:t>I</w:t>
        </w:r>
        <w:r w:rsidRPr="00676703">
          <w:rPr>
            <w:rStyle w:val="Hyperlink"/>
          </w:rPr>
          <w:t xml:space="preserve"> assessment</w:t>
        </w:r>
      </w:hyperlink>
      <w:r>
        <w:t xml:space="preserve"> for lead acetates, published by AICIS (28 June 2020)</w:t>
      </w:r>
      <w:r w:rsidRPr="006501A1">
        <w:t>;</w:t>
      </w:r>
    </w:p>
    <w:p w14:paraId="6CDA4C26" w14:textId="77777777" w:rsidR="002A58D7" w:rsidRPr="006367ED" w:rsidRDefault="002A58D7" w:rsidP="00DC2A10">
      <w:pPr>
        <w:pStyle w:val="ListBullet"/>
        <w:numPr>
          <w:ilvl w:val="0"/>
          <w:numId w:val="1"/>
        </w:numPr>
        <w:spacing w:after="120"/>
        <w:ind w:left="357" w:hanging="357"/>
      </w:pPr>
      <w:r w:rsidRPr="006367ED">
        <w:t xml:space="preserve">The </w:t>
      </w:r>
      <w:r>
        <w:t>three</w:t>
      </w:r>
      <w:r w:rsidRPr="006367ED">
        <w:t xml:space="preserve"> </w:t>
      </w:r>
      <w:hyperlink r:id="rId88" w:history="1">
        <w:r w:rsidRPr="006367ED">
          <w:rPr>
            <w:rStyle w:val="Hyperlink"/>
          </w:rPr>
          <w:t>public submissions</w:t>
        </w:r>
      </w:hyperlink>
      <w:r w:rsidRPr="006367ED">
        <w:rPr>
          <w:rStyle w:val="Hyperlink"/>
        </w:rPr>
        <w:t>,</w:t>
      </w:r>
      <w:r w:rsidRPr="006367ED">
        <w:t xml:space="preserve"> </w:t>
      </w:r>
      <w:r>
        <w:t>two</w:t>
      </w:r>
      <w:r w:rsidRPr="006367ED">
        <w:t xml:space="preserve"> including a written component, received in response to the </w:t>
      </w:r>
      <w:hyperlink r:id="rId89" w:history="1">
        <w:r w:rsidRPr="006367ED">
          <w:rPr>
            <w:rStyle w:val="Hyperlink"/>
          </w:rPr>
          <w:t>pre-meeting consultation</w:t>
        </w:r>
      </w:hyperlink>
      <w:r w:rsidRPr="006367ED">
        <w:t xml:space="preserve"> under regulation 42ZCZK of the Regulations;</w:t>
      </w:r>
    </w:p>
    <w:p w14:paraId="0DA83F8D" w14:textId="77777777" w:rsidR="002A58D7" w:rsidRDefault="002A58D7" w:rsidP="00DC2A10">
      <w:pPr>
        <w:pStyle w:val="ListBullet"/>
        <w:numPr>
          <w:ilvl w:val="0"/>
          <w:numId w:val="1"/>
        </w:numPr>
        <w:spacing w:after="120"/>
        <w:ind w:left="357" w:hanging="357"/>
      </w:pPr>
      <w:r>
        <w:t xml:space="preserve">The advice </w:t>
      </w:r>
      <w:r w:rsidRPr="00A825A4">
        <w:t>received from the Meeting of the Advisory Committee o</w:t>
      </w:r>
      <w:r>
        <w:t>n Chemicals Scheduling (ACCS #31</w:t>
      </w:r>
      <w:r w:rsidRPr="00A825A4">
        <w:t>);</w:t>
      </w:r>
    </w:p>
    <w:p w14:paraId="0A9AAD83" w14:textId="77777777" w:rsidR="002A58D7" w:rsidRDefault="002A58D7" w:rsidP="00DC2A10">
      <w:pPr>
        <w:pStyle w:val="ListBullet"/>
        <w:numPr>
          <w:ilvl w:val="0"/>
          <w:numId w:val="1"/>
        </w:numPr>
        <w:spacing w:after="120"/>
        <w:ind w:left="357" w:hanging="357"/>
      </w:pPr>
      <w:r>
        <w:t xml:space="preserve">The two </w:t>
      </w:r>
      <w:hyperlink r:id="rId90" w:history="1">
        <w:r w:rsidRPr="003F7058">
          <w:rPr>
            <w:rStyle w:val="Hyperlink"/>
          </w:rPr>
          <w:t>public submission</w:t>
        </w:r>
      </w:hyperlink>
      <w:r>
        <w:rPr>
          <w:rStyle w:val="Hyperlink"/>
        </w:rPr>
        <w:t>s</w:t>
      </w:r>
      <w:r>
        <w:t xml:space="preserve"> received in response to the </w:t>
      </w:r>
      <w:hyperlink r:id="rId91" w:history="1">
        <w:r w:rsidRPr="003F7058">
          <w:rPr>
            <w:rStyle w:val="Hyperlink"/>
          </w:rPr>
          <w:t>interim decision consultation</w:t>
        </w:r>
      </w:hyperlink>
      <w:r>
        <w:t xml:space="preserve"> </w:t>
      </w:r>
      <w:r w:rsidRPr="002C1418">
        <w:t>under regulation 42ZCZP of the Regulations</w:t>
      </w:r>
      <w:r>
        <w:t>;</w:t>
      </w:r>
    </w:p>
    <w:p w14:paraId="6AFF3149" w14:textId="77777777" w:rsidR="002A58D7" w:rsidRDefault="002A58D7" w:rsidP="00DC2A10">
      <w:pPr>
        <w:pStyle w:val="ListBullet"/>
        <w:numPr>
          <w:ilvl w:val="0"/>
          <w:numId w:val="1"/>
        </w:numPr>
        <w:spacing w:after="120"/>
        <w:ind w:left="357" w:hanging="357"/>
      </w:pPr>
      <w:r>
        <w:t xml:space="preserve">Subsection 52E(1) of the </w:t>
      </w:r>
      <w:r w:rsidRPr="00FC4D25">
        <w:rPr>
          <w:i/>
        </w:rPr>
        <w:t xml:space="preserve">Therapeutic Goods Act 1989, </w:t>
      </w:r>
      <w:r w:rsidRPr="001169AC">
        <w:t xml:space="preserve">in particular </w:t>
      </w:r>
      <w:r>
        <w:t>(a) risks and benefits of the use of a substance; (b) the purposes for which a substance is to be used and the extent of use of a substance;</w:t>
      </w:r>
      <w:r w:rsidRPr="00253950">
        <w:t xml:space="preserve"> (c) the toxicity of a substance; (d) the dosage, formulation, labelling, packaging and presentation of a substance; and (f) any other matters that the Secretary considers nec</w:t>
      </w:r>
      <w:r>
        <w:t>essary to protect public health;</w:t>
      </w:r>
    </w:p>
    <w:p w14:paraId="5B12AE49" w14:textId="77777777" w:rsidR="002A58D7" w:rsidRDefault="002A58D7" w:rsidP="00DC2A10">
      <w:pPr>
        <w:pStyle w:val="ListBullet"/>
        <w:numPr>
          <w:ilvl w:val="0"/>
          <w:numId w:val="1"/>
        </w:numPr>
        <w:spacing w:after="120"/>
        <w:ind w:left="357" w:hanging="357"/>
      </w:pPr>
      <w:r w:rsidRPr="002C1418">
        <w:t xml:space="preserve">The Australian Health Ministers’ Advisory Council’s </w:t>
      </w:r>
      <w:hyperlink r:id="rId92" w:history="1">
        <w:r w:rsidRPr="001A7580">
          <w:rPr>
            <w:rStyle w:val="Hyperlink"/>
          </w:rPr>
          <w:t>Scheduling Policy Framework</w:t>
        </w:r>
      </w:hyperlink>
      <w:r>
        <w:t xml:space="preserve"> (SPF 2018</w:t>
      </w:r>
      <w:r w:rsidRPr="002C20AE">
        <w:t>);</w:t>
      </w:r>
      <w:r>
        <w:t xml:space="preserve"> and</w:t>
      </w:r>
    </w:p>
    <w:p w14:paraId="76B50E98" w14:textId="77777777" w:rsidR="002A58D7" w:rsidRPr="006501A1" w:rsidRDefault="002A58D7" w:rsidP="00DC2A10">
      <w:pPr>
        <w:pStyle w:val="ListBullet"/>
        <w:numPr>
          <w:ilvl w:val="0"/>
          <w:numId w:val="1"/>
        </w:numPr>
        <w:spacing w:after="120"/>
        <w:ind w:left="357" w:hanging="357"/>
      </w:pPr>
      <w:r>
        <w:t xml:space="preserve">The </w:t>
      </w:r>
      <w:hyperlink r:id="rId93" w:history="1">
        <w:r w:rsidRPr="001A7580">
          <w:rPr>
            <w:rStyle w:val="Hyperlink"/>
          </w:rPr>
          <w:t>Scheduling handbook: Guidance for amending the Poisons Standard</w:t>
        </w:r>
      </w:hyperlink>
      <w:r>
        <w:t>.</w:t>
      </w:r>
    </w:p>
    <w:p w14:paraId="1AFDC286" w14:textId="77777777" w:rsidR="002A58D7" w:rsidRDefault="002A58D7" w:rsidP="00DC2A10">
      <w:pPr>
        <w:pStyle w:val="Heading4"/>
      </w:pPr>
      <w:r w:rsidRPr="00436C41">
        <w:t>Reasons for the final decision (including findings on material questions of fact)</w:t>
      </w:r>
    </w:p>
    <w:p w14:paraId="141C5856" w14:textId="74C4C83D" w:rsidR="002A58D7" w:rsidRDefault="002A58D7" w:rsidP="002A58D7">
      <w:r w:rsidRPr="00D758A9">
        <w:t xml:space="preserve">I have made a final decision to confirm my </w:t>
      </w:r>
      <w:hyperlink r:id="rId94" w:history="1">
        <w:r w:rsidRPr="001F6B8E">
          <w:rPr>
            <w:rStyle w:val="Hyperlink"/>
          </w:rPr>
          <w:t>interim decision</w:t>
        </w:r>
      </w:hyperlink>
      <w:r w:rsidRPr="00D758A9">
        <w:t xml:space="preserve"> to amend the current Poisons Standard with respect to lead acetates. My reasons for making the final decision are those set out in the interim decision. In making my final decision, I have taken into account the material detailed in the interim decision and </w:t>
      </w:r>
      <w:r w:rsidRPr="003F7058">
        <w:t>the public submission</w:t>
      </w:r>
      <w:r w:rsidR="007406E8">
        <w:t>s</w:t>
      </w:r>
      <w:r>
        <w:t xml:space="preserve"> </w:t>
      </w:r>
      <w:r w:rsidRPr="00D758A9">
        <w:t>received before the second closing date in response to the call for further submissions published on 13 October 2021 under regulation 42ZCZP of the Regulations.</w:t>
      </w:r>
    </w:p>
    <w:p w14:paraId="1E75A3ED" w14:textId="0AD25323" w:rsidR="002A58D7" w:rsidRDefault="002A58D7" w:rsidP="002A58D7">
      <w:r w:rsidRPr="00A87139">
        <w:t xml:space="preserve">I </w:t>
      </w:r>
      <w:r>
        <w:t xml:space="preserve">have </w:t>
      </w:r>
      <w:r w:rsidRPr="00A87139">
        <w:t>note</w:t>
      </w:r>
      <w:r>
        <w:t xml:space="preserve">d the submission from the Australian Competition and Consumer Commission (ACCC), who recommended that the final decision in this matter be expanded to further reduce access to, or otherwise completely eliminate the presence of, lead acetates in hair cosmetic products. I acknowledge the concerns raised in this submission, however on consideration of the balance of scheduling factors at this time I have decided to confirm the interim decision. Moreover, the use of lead in a range of products could be addressed in a future application. I have also noted the other </w:t>
      </w:r>
      <w:r w:rsidRPr="00A87139">
        <w:t xml:space="preserve">written public submission </w:t>
      </w:r>
      <w:r>
        <w:t xml:space="preserve">regarding this decision that was </w:t>
      </w:r>
      <w:r w:rsidRPr="00A87139">
        <w:t>received from Accord Australasia, who did not oppose the interim decision.</w:t>
      </w:r>
    </w:p>
    <w:p w14:paraId="221E75EB" w14:textId="41CC28ED" w:rsidR="002A58D7" w:rsidRPr="00B00A2D" w:rsidRDefault="002A58D7" w:rsidP="00DC2A10">
      <w:r>
        <w:t>I have included the term “glazing preparations” in the index entry for clarification of the two Appendix F entries. A longer transition period has been implemented to allow industry time to meet the storage and labelling requirements for a Schedule 6 poison under the Poisons Standard.</w:t>
      </w:r>
    </w:p>
    <w:p w14:paraId="059E8267" w14:textId="77777777" w:rsidR="002A58D7" w:rsidRDefault="002A58D7" w:rsidP="00DC2A10">
      <w:pPr>
        <w:pStyle w:val="Heading4"/>
      </w:pPr>
      <w:r>
        <w:t>Implementation date</w:t>
      </w:r>
    </w:p>
    <w:p w14:paraId="6C145A42" w14:textId="2CFD6E94" w:rsidR="002A58D7" w:rsidRDefault="002A58D7" w:rsidP="002A58D7">
      <w:pPr>
        <w:rPr>
          <w:highlight w:val="yellow"/>
        </w:rPr>
      </w:pPr>
      <w:r w:rsidRPr="00D758A9">
        <w:rPr>
          <w:b/>
          <w:bCs/>
        </w:rPr>
        <w:t>1 June 2022</w:t>
      </w:r>
    </w:p>
    <w:sectPr w:rsidR="002A58D7" w:rsidSect="003A48A2">
      <w:headerReference w:type="default" r:id="rId95"/>
      <w:footerReference w:type="default" r:id="rId96"/>
      <w:headerReference w:type="first" r:id="rId97"/>
      <w:footerReference w:type="first" r:id="rId98"/>
      <w:type w:val="continuous"/>
      <w:pgSz w:w="11906" w:h="16838" w:code="9"/>
      <w:pgMar w:top="1134" w:right="1418" w:bottom="1361" w:left="1418" w:header="425" w:footer="39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NDREW, Erin" w:date="2021-12-13T08:07:00Z" w:initials="AE">
    <w:p w14:paraId="3C869384" w14:textId="45F1A349" w:rsidR="00760402" w:rsidRDefault="00760402">
      <w:pPr>
        <w:pStyle w:val="CommentText"/>
      </w:pPr>
      <w:r>
        <w:rPr>
          <w:rStyle w:val="CommentReference"/>
        </w:rPr>
        <w:annotationRef/>
      </w:r>
      <w:r>
        <w:t>Web team to update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C8693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17DD9" w16cex:dateUtc="2021-12-12T2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869384" w16cid:durableId="25617D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25090" w14:textId="77777777" w:rsidR="00760402" w:rsidRDefault="00760402" w:rsidP="00C40A36">
      <w:pPr>
        <w:spacing w:after="0"/>
      </w:pPr>
      <w:r>
        <w:separator/>
      </w:r>
    </w:p>
  </w:endnote>
  <w:endnote w:type="continuationSeparator" w:id="0">
    <w:p w14:paraId="6EA67956" w14:textId="77777777" w:rsidR="00760402" w:rsidRDefault="00760402"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Bold">
    <w:altName w:val="Cambria"/>
    <w:panose1 w:val="00000000000000000000"/>
    <w:charset w:val="00"/>
    <w:family w:val="roman"/>
    <w:notTrueType/>
    <w:pitch w:val="default"/>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317"/>
      <w:gridCol w:w="1134"/>
    </w:tblGrid>
    <w:tr w:rsidR="00760402" w:rsidRPr="00257138" w14:paraId="14B40608" w14:textId="77777777" w:rsidTr="008E7E28">
      <w:trPr>
        <w:trHeight w:val="423"/>
      </w:trPr>
      <w:tc>
        <w:tcPr>
          <w:tcW w:w="7338" w:type="dxa"/>
          <w:tcBorders>
            <w:top w:val="single" w:sz="4" w:space="0" w:color="auto"/>
          </w:tcBorders>
        </w:tcPr>
        <w:p w14:paraId="2FD42451" w14:textId="4ABC465A" w:rsidR="00760402" w:rsidRDefault="00760402" w:rsidP="00CC7C62">
          <w:pPr>
            <w:pStyle w:val="Footer"/>
          </w:pPr>
          <w:r>
            <w:t>Delegate’s final decisions and reasons for decisions (ACMS #34, Joint ACMS-ACCS #28, ACCS #31 - June 2021 meetings)</w:t>
          </w:r>
        </w:p>
      </w:tc>
      <w:tc>
        <w:tcPr>
          <w:tcW w:w="317" w:type="dxa"/>
          <w:tcBorders>
            <w:top w:val="single" w:sz="4" w:space="0" w:color="auto"/>
          </w:tcBorders>
        </w:tcPr>
        <w:p w14:paraId="5C7A2176" w14:textId="677F6271" w:rsidR="00760402" w:rsidRPr="00257138" w:rsidRDefault="00760402" w:rsidP="00CC7C62">
          <w:pPr>
            <w:pStyle w:val="Footer"/>
          </w:pPr>
        </w:p>
      </w:tc>
      <w:tc>
        <w:tcPr>
          <w:tcW w:w="1134" w:type="dxa"/>
          <w:tcBorders>
            <w:top w:val="single" w:sz="4" w:space="0" w:color="auto"/>
          </w:tcBorders>
        </w:tcPr>
        <w:sdt>
          <w:sdtPr>
            <w:id w:val="21514580"/>
            <w:docPartObj>
              <w:docPartGallery w:val="Page Numbers (Top of Page)"/>
              <w:docPartUnique/>
            </w:docPartObj>
          </w:sdtPr>
          <w:sdtEndPr/>
          <w:sdtContent>
            <w:p w14:paraId="650BE744" w14:textId="0B334D8D" w:rsidR="00760402" w:rsidRPr="00257138" w:rsidRDefault="00760402" w:rsidP="002F0113">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E054D8">
                <w:fldChar w:fldCharType="begin"/>
              </w:r>
              <w:r w:rsidR="00E054D8">
                <w:instrText xml:space="preserve"> NUMPAGES  </w:instrText>
              </w:r>
              <w:r w:rsidR="00E054D8">
                <w:fldChar w:fldCharType="separate"/>
              </w:r>
              <w:r>
                <w:rPr>
                  <w:noProof/>
                </w:rPr>
                <w:t>6</w:t>
              </w:r>
              <w:r w:rsidR="00E054D8">
                <w:rPr>
                  <w:noProof/>
                </w:rPr>
                <w:fldChar w:fldCharType="end"/>
              </w:r>
            </w:p>
          </w:sdtContent>
        </w:sdt>
      </w:tc>
    </w:tr>
  </w:tbl>
  <w:p w14:paraId="2023C75C" w14:textId="77777777" w:rsidR="00760402" w:rsidRPr="00826007" w:rsidRDefault="00760402" w:rsidP="002001F1">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760402" w:rsidRPr="00257138" w14:paraId="11075AFF" w14:textId="77777777" w:rsidTr="009468C6">
      <w:trPr>
        <w:trHeight w:val="423"/>
      </w:trPr>
      <w:tc>
        <w:tcPr>
          <w:tcW w:w="7338" w:type="dxa"/>
        </w:tcPr>
        <w:p w14:paraId="13E7B9DF" w14:textId="1F70CA00" w:rsidR="00760402" w:rsidRPr="00257138" w:rsidRDefault="00760402">
          <w:pPr>
            <w:pStyle w:val="Footer"/>
          </w:pPr>
          <w:r>
            <w:t>Delegate’s final decisions and reasons for decisions (ACMS #34, Joint ACMS-ACCS #28, ACCS #31 - June 2021 meetings)</w:t>
          </w:r>
        </w:p>
      </w:tc>
      <w:tc>
        <w:tcPr>
          <w:tcW w:w="1382" w:type="dxa"/>
        </w:tcPr>
        <w:sdt>
          <w:sdtPr>
            <w:id w:val="6788836"/>
            <w:docPartObj>
              <w:docPartGallery w:val="Page Numbers (Top of Page)"/>
              <w:docPartUnique/>
            </w:docPartObj>
          </w:sdtPr>
          <w:sdtEndPr/>
          <w:sdtContent>
            <w:p w14:paraId="3BD26206" w14:textId="7BDCABDC" w:rsidR="00760402" w:rsidRPr="00257138" w:rsidRDefault="00760402" w:rsidP="009468C6">
              <w:pPr>
                <w:pStyle w:val="Footer"/>
                <w:jc w:val="right"/>
              </w:pPr>
              <w:r w:rsidRPr="00257138">
                <w:t xml:space="preserve">Page </w:t>
              </w:r>
              <w:r>
                <w:fldChar w:fldCharType="begin"/>
              </w:r>
              <w:r>
                <w:instrText xml:space="preserve"> PAGE </w:instrText>
              </w:r>
              <w:r>
                <w:fldChar w:fldCharType="separate"/>
              </w:r>
              <w:r>
                <w:rPr>
                  <w:noProof/>
                </w:rPr>
                <w:t>14</w:t>
              </w:r>
              <w:r>
                <w:fldChar w:fldCharType="end"/>
              </w:r>
              <w:r w:rsidRPr="00257138">
                <w:t xml:space="preserve"> of </w:t>
              </w:r>
              <w:r w:rsidR="00E054D8">
                <w:fldChar w:fldCharType="begin"/>
              </w:r>
              <w:r w:rsidR="00E054D8">
                <w:instrText xml:space="preserve"> NUMPAGES  </w:instrText>
              </w:r>
              <w:r w:rsidR="00E054D8">
                <w:fldChar w:fldCharType="separate"/>
              </w:r>
              <w:r>
                <w:rPr>
                  <w:noProof/>
                </w:rPr>
                <w:t>14</w:t>
              </w:r>
              <w:r w:rsidR="00E054D8">
                <w:rPr>
                  <w:noProof/>
                </w:rPr>
                <w:fldChar w:fldCharType="end"/>
              </w:r>
            </w:p>
          </w:sdtContent>
        </w:sdt>
      </w:tc>
    </w:tr>
  </w:tbl>
  <w:p w14:paraId="623AA1CE" w14:textId="77777777" w:rsidR="00760402" w:rsidRPr="00826007" w:rsidRDefault="00760402" w:rsidP="002001F1">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760402" w:rsidRPr="00257138" w14:paraId="76052F65" w14:textId="77777777" w:rsidTr="003A48A2">
      <w:trPr>
        <w:trHeight w:val="423"/>
      </w:trPr>
      <w:tc>
        <w:tcPr>
          <w:tcW w:w="7338" w:type="dxa"/>
        </w:tcPr>
        <w:p w14:paraId="6A331473" w14:textId="5AA7307C" w:rsidR="00760402" w:rsidRPr="00257138" w:rsidRDefault="00760402">
          <w:pPr>
            <w:pStyle w:val="Footer"/>
          </w:pPr>
          <w:r>
            <w:t>Delegate’s final decisions and reasons for decisions (ACMS #34, Joint ACMS-ACCS #28, ACCS #31 - June 2021 meetings)</w:t>
          </w:r>
        </w:p>
      </w:tc>
      <w:tc>
        <w:tcPr>
          <w:tcW w:w="1382" w:type="dxa"/>
        </w:tcPr>
        <w:sdt>
          <w:sdtPr>
            <w:id w:val="5342774"/>
            <w:docPartObj>
              <w:docPartGallery w:val="Page Numbers (Top of Page)"/>
              <w:docPartUnique/>
            </w:docPartObj>
          </w:sdtPr>
          <w:sdtEndPr/>
          <w:sdtContent>
            <w:p w14:paraId="44A48167" w14:textId="2B317299" w:rsidR="00760402" w:rsidRPr="00257138" w:rsidRDefault="00760402" w:rsidP="003A48A2">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E054D8">
                <w:fldChar w:fldCharType="begin"/>
              </w:r>
              <w:r w:rsidR="00E054D8">
                <w:instrText xml:space="preserve"> NUMPAGES  </w:instrText>
              </w:r>
              <w:r w:rsidR="00E054D8">
                <w:fldChar w:fldCharType="separate"/>
              </w:r>
              <w:r>
                <w:rPr>
                  <w:noProof/>
                </w:rPr>
                <w:t>14</w:t>
              </w:r>
              <w:r w:rsidR="00E054D8">
                <w:rPr>
                  <w:noProof/>
                </w:rPr>
                <w:fldChar w:fldCharType="end"/>
              </w:r>
            </w:p>
          </w:sdtContent>
        </w:sdt>
      </w:tc>
    </w:tr>
  </w:tbl>
  <w:p w14:paraId="3FF833DF" w14:textId="77777777" w:rsidR="00760402" w:rsidRDefault="00760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89C22" w14:textId="77777777" w:rsidR="00760402" w:rsidRDefault="00760402" w:rsidP="00C40A36">
      <w:pPr>
        <w:spacing w:after="0"/>
      </w:pPr>
      <w:r>
        <w:separator/>
      </w:r>
    </w:p>
  </w:footnote>
  <w:footnote w:type="continuationSeparator" w:id="0">
    <w:p w14:paraId="5E6995AE" w14:textId="77777777" w:rsidR="00760402" w:rsidRDefault="00760402" w:rsidP="00C40A36">
      <w:pPr>
        <w:spacing w:after="0"/>
      </w:pPr>
      <w:r>
        <w:continuationSeparator/>
      </w:r>
    </w:p>
  </w:footnote>
  <w:footnote w:id="1">
    <w:p w14:paraId="038E7A67" w14:textId="77777777" w:rsidR="00760402" w:rsidRPr="00CC7C62" w:rsidRDefault="00760402" w:rsidP="002A58D7">
      <w:pPr>
        <w:spacing w:before="0" w:after="0"/>
        <w:rPr>
          <w:sz w:val="16"/>
          <w:szCs w:val="16"/>
        </w:rPr>
      </w:pPr>
      <w:r w:rsidRPr="00CC7C62">
        <w:rPr>
          <w:rStyle w:val="FootnoteReference"/>
          <w:sz w:val="16"/>
          <w:szCs w:val="16"/>
        </w:rPr>
        <w:footnoteRef/>
      </w:r>
      <w:r w:rsidRPr="00CC7C62">
        <w:rPr>
          <w:sz w:val="16"/>
          <w:szCs w:val="16"/>
        </w:rPr>
        <w:t xml:space="preserve"> Wentzensen N &amp; Berrington de Gonzalez A (2015). The Pill's gestation: from birth control to cancer prevention, The Lancet Oncology, 16(9): 1004-1006</w:t>
      </w:r>
    </w:p>
  </w:footnote>
  <w:footnote w:id="2">
    <w:p w14:paraId="0BFA6277" w14:textId="77777777" w:rsidR="00760402" w:rsidRPr="00CC7C62" w:rsidRDefault="00760402" w:rsidP="002A58D7">
      <w:pPr>
        <w:spacing w:before="0" w:after="0"/>
        <w:rPr>
          <w:color w:val="0000FF"/>
          <w:sz w:val="16"/>
          <w:szCs w:val="16"/>
          <w:u w:val="single"/>
        </w:rPr>
      </w:pPr>
      <w:r w:rsidRPr="00CC7C62">
        <w:rPr>
          <w:rStyle w:val="FootnoteReference"/>
          <w:sz w:val="16"/>
          <w:szCs w:val="16"/>
        </w:rPr>
        <w:footnoteRef/>
      </w:r>
      <w:r w:rsidRPr="00CC7C62">
        <w:rPr>
          <w:sz w:val="16"/>
          <w:szCs w:val="16"/>
        </w:rPr>
        <w:t xml:space="preserve"> </w:t>
      </w:r>
      <w:hyperlink r:id="rId1" w:history="1">
        <w:r w:rsidRPr="00CC7C62">
          <w:rPr>
            <w:rStyle w:val="Hyperlink"/>
            <w:sz w:val="16"/>
            <w:szCs w:val="16"/>
          </w:rPr>
          <w:t>https://www.canceraustralia.gov.au/cancer-types/endometrial-cancer/awareness/medical-history-and-medications/oral-contraceptive-pill</w:t>
        </w:r>
      </w:hyperlink>
    </w:p>
  </w:footnote>
  <w:footnote w:id="3">
    <w:p w14:paraId="1FA026AE" w14:textId="77777777" w:rsidR="00760402" w:rsidRPr="00CC7C62" w:rsidRDefault="00760402" w:rsidP="002A58D7">
      <w:pPr>
        <w:pStyle w:val="FootnoteText"/>
        <w:rPr>
          <w:sz w:val="16"/>
          <w:szCs w:val="16"/>
        </w:rPr>
      </w:pPr>
      <w:r w:rsidRPr="00CC7C62">
        <w:rPr>
          <w:rStyle w:val="FootnoteReference"/>
          <w:sz w:val="16"/>
          <w:szCs w:val="16"/>
        </w:rPr>
        <w:footnoteRef/>
      </w:r>
      <w:r w:rsidRPr="00CC7C62">
        <w:rPr>
          <w:sz w:val="16"/>
          <w:szCs w:val="16"/>
        </w:rPr>
        <w:t xml:space="preserve"> </w:t>
      </w:r>
      <w:hyperlink r:id="rId2" w:history="1">
        <w:r w:rsidRPr="00CC7C62">
          <w:rPr>
            <w:rStyle w:val="Hyperlink"/>
            <w:sz w:val="16"/>
            <w:szCs w:val="16"/>
          </w:rPr>
          <w:t>https://www.canceraustralia.gov.au/affected-cancer/cancer-types/ovarian-cancer/what-are-risk-factors-ovarian-cancer</w:t>
        </w:r>
      </w:hyperlink>
    </w:p>
  </w:footnote>
  <w:footnote w:id="4">
    <w:p w14:paraId="5DF8A492" w14:textId="77777777" w:rsidR="00760402" w:rsidRDefault="00760402" w:rsidP="002A58D7">
      <w:pPr>
        <w:pStyle w:val="FootnoteText"/>
        <w:rPr>
          <w:sz w:val="18"/>
          <w:szCs w:val="18"/>
        </w:rPr>
      </w:pPr>
      <w:r w:rsidRPr="00CC7C62">
        <w:rPr>
          <w:rStyle w:val="FootnoteReference"/>
          <w:sz w:val="16"/>
          <w:szCs w:val="16"/>
        </w:rPr>
        <w:footnoteRef/>
      </w:r>
      <w:r w:rsidRPr="00CC7C62">
        <w:rPr>
          <w:sz w:val="16"/>
          <w:szCs w:val="16"/>
        </w:rPr>
        <w:t xml:space="preserve"> National Health (Continued Dispensing) Determination 2012 </w:t>
      </w:r>
      <w:hyperlink r:id="rId3" w:history="1">
        <w:r w:rsidRPr="00CC7C62">
          <w:rPr>
            <w:rStyle w:val="Hyperlink"/>
            <w:sz w:val="16"/>
            <w:szCs w:val="16"/>
          </w:rPr>
          <w:t>www.legislation.gov.au/Details/F2020C00918</w:t>
        </w:r>
      </w:hyperlink>
    </w:p>
  </w:footnote>
  <w:footnote w:id="5">
    <w:p w14:paraId="26CE5A32" w14:textId="77777777" w:rsidR="00760402" w:rsidRDefault="00760402" w:rsidP="002A58D7">
      <w:pPr>
        <w:pStyle w:val="FootnoteText"/>
        <w:rPr>
          <w:sz w:val="16"/>
          <w:szCs w:val="16"/>
        </w:rPr>
      </w:pPr>
      <w:r>
        <w:rPr>
          <w:rStyle w:val="FootnoteReference"/>
          <w:sz w:val="16"/>
          <w:szCs w:val="16"/>
        </w:rPr>
        <w:footnoteRef/>
      </w:r>
      <w:r>
        <w:rPr>
          <w:sz w:val="16"/>
          <w:szCs w:val="16"/>
        </w:rPr>
        <w:t xml:space="preserve"> </w:t>
      </w:r>
      <w:hyperlink r:id="rId4" w:history="1">
        <w:r w:rsidRPr="003835BF">
          <w:rPr>
            <w:rStyle w:val="Hyperlink"/>
            <w:rFonts w:cs="Arial"/>
            <w:color w:val="0000CC"/>
            <w:sz w:val="16"/>
            <w:szCs w:val="16"/>
            <w:shd w:val="clear" w:color="auto" w:fill="FFFFFF"/>
          </w:rPr>
          <w:t>Medicines and Healthcare Products Regulatory Agency</w:t>
        </w:r>
      </w:hyperlink>
      <w:r>
        <w:rPr>
          <w:sz w:val="16"/>
          <w:szCs w:val="16"/>
        </w:rPr>
        <w:t xml:space="preserve"> (MHRA), </w:t>
      </w:r>
      <w:hyperlink r:id="rId5" w:history="1">
        <w:r>
          <w:rPr>
            <w:rStyle w:val="Hyperlink"/>
            <w:sz w:val="16"/>
            <w:szCs w:val="16"/>
          </w:rPr>
          <w:t>https://www.gov.uk/government/news/first-progesterone-only-contraceptive-pills-to-be-available-to-purchase-from-pharmacies</w:t>
        </w:r>
      </w:hyperlink>
    </w:p>
  </w:footnote>
  <w:footnote w:id="6">
    <w:p w14:paraId="5566EBE2" w14:textId="77777777" w:rsidR="00760402" w:rsidRDefault="00760402" w:rsidP="002A58D7">
      <w:pPr>
        <w:pStyle w:val="FootnoteText"/>
        <w:rPr>
          <w:sz w:val="16"/>
          <w:szCs w:val="16"/>
        </w:rPr>
      </w:pPr>
      <w:r>
        <w:rPr>
          <w:rStyle w:val="FootnoteReference"/>
          <w:sz w:val="16"/>
          <w:szCs w:val="16"/>
        </w:rPr>
        <w:footnoteRef/>
      </w:r>
      <w:r>
        <w:rPr>
          <w:sz w:val="16"/>
          <w:szCs w:val="16"/>
        </w:rPr>
        <w:t xml:space="preserve"> American College of Obstetricians and Gynaecologists, https://www.acog.org/clinical/clinical-guidance/committee-opinion/articles/2019/10/over-the-counter-access-to-hormonal-contraception</w:t>
      </w:r>
    </w:p>
  </w:footnote>
  <w:footnote w:id="7">
    <w:p w14:paraId="68740E06" w14:textId="77777777" w:rsidR="00760402" w:rsidRDefault="00760402" w:rsidP="002A58D7">
      <w:pPr>
        <w:pStyle w:val="FootnoteText"/>
        <w:rPr>
          <w:sz w:val="16"/>
          <w:szCs w:val="16"/>
        </w:rPr>
      </w:pPr>
      <w:r>
        <w:rPr>
          <w:rStyle w:val="FootnoteReference"/>
          <w:sz w:val="16"/>
          <w:szCs w:val="16"/>
        </w:rPr>
        <w:footnoteRef/>
      </w:r>
      <w:r>
        <w:rPr>
          <w:sz w:val="16"/>
          <w:szCs w:val="16"/>
        </w:rPr>
        <w:t xml:space="preserve"> US Food and Drug Administration (FDA) https://www.accessdata.fda.gov/scripts/cder/daf/</w:t>
      </w:r>
    </w:p>
  </w:footnote>
  <w:footnote w:id="8">
    <w:p w14:paraId="474ADC9D" w14:textId="77777777" w:rsidR="00760402" w:rsidRDefault="00760402" w:rsidP="002A58D7">
      <w:pPr>
        <w:pStyle w:val="FootnoteText"/>
        <w:rPr>
          <w:sz w:val="16"/>
          <w:szCs w:val="16"/>
        </w:rPr>
      </w:pPr>
      <w:r>
        <w:rPr>
          <w:rStyle w:val="FootnoteReference"/>
          <w:sz w:val="16"/>
          <w:szCs w:val="16"/>
        </w:rPr>
        <w:footnoteRef/>
      </w:r>
      <w:r>
        <w:rPr>
          <w:sz w:val="16"/>
          <w:szCs w:val="16"/>
        </w:rPr>
        <w:t xml:space="preserve"> Health Canada, https://health-products.canada.ca/dpd-bdpp/index-eng.jsp</w:t>
      </w:r>
    </w:p>
  </w:footnote>
  <w:footnote w:id="9">
    <w:p w14:paraId="1DFE441C" w14:textId="77777777" w:rsidR="00760402" w:rsidRDefault="00760402" w:rsidP="002A58D7">
      <w:pPr>
        <w:pStyle w:val="FootnoteText"/>
        <w:rPr>
          <w:sz w:val="16"/>
          <w:szCs w:val="16"/>
        </w:rPr>
      </w:pPr>
      <w:r>
        <w:rPr>
          <w:rStyle w:val="FootnoteReference"/>
          <w:sz w:val="16"/>
          <w:szCs w:val="16"/>
        </w:rPr>
        <w:footnoteRef/>
      </w:r>
      <w:r>
        <w:rPr>
          <w:sz w:val="16"/>
          <w:szCs w:val="16"/>
        </w:rPr>
        <w:t xml:space="preserve"> Ibis Reproductive Health, Oral Contraceptives Over-the-Counter Working Group, https://ocsotc.org/world-map/</w:t>
      </w:r>
    </w:p>
  </w:footnote>
  <w:footnote w:id="10">
    <w:p w14:paraId="3E87AE2E" w14:textId="77777777" w:rsidR="00760402" w:rsidRDefault="00760402" w:rsidP="002A58D7">
      <w:pPr>
        <w:pStyle w:val="FootnoteText"/>
      </w:pPr>
      <w:r>
        <w:rPr>
          <w:rStyle w:val="FootnoteReference"/>
          <w:sz w:val="16"/>
          <w:szCs w:val="16"/>
        </w:rPr>
        <w:footnoteRef/>
      </w:r>
      <w:r>
        <w:rPr>
          <w:sz w:val="16"/>
          <w:szCs w:val="16"/>
        </w:rPr>
        <w:t xml:space="preserve"> </w:t>
      </w:r>
      <w:r>
        <w:rPr>
          <w:sz w:val="16"/>
          <w:szCs w:val="16"/>
        </w:rPr>
        <w:t>Grindlay K et al. (2013). Prescription requirements and over-the-counter access to oral contraceptives: a global review, Contraception, 88: 91-96</w:t>
      </w:r>
    </w:p>
  </w:footnote>
  <w:footnote w:id="11">
    <w:p w14:paraId="427925AA" w14:textId="72634DDF" w:rsidR="00760402" w:rsidRDefault="00760402" w:rsidP="002A58D7">
      <w:pPr>
        <w:pStyle w:val="FootnoteText"/>
      </w:pPr>
      <w:r>
        <w:rPr>
          <w:rStyle w:val="FootnoteReference"/>
        </w:rPr>
        <w:footnoteRef/>
      </w:r>
      <w:r>
        <w:t xml:space="preserve"> </w:t>
      </w:r>
      <w:hyperlink r:id="rId6" w:history="1">
        <w:r w:rsidRPr="00912907">
          <w:rPr>
            <w:rStyle w:val="Hyperlink"/>
          </w:rPr>
          <w:t>https://www.cdc.gov/niosh/ershdb/emergencyresponsecard_29750029.html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4035"/>
      <w:gridCol w:w="4685"/>
    </w:tblGrid>
    <w:tr w:rsidR="00760402" w:rsidRPr="00DA24C7" w14:paraId="081A8C01" w14:textId="77777777" w:rsidTr="00F923D6">
      <w:trPr>
        <w:trHeight w:val="709"/>
      </w:trPr>
      <w:tc>
        <w:tcPr>
          <w:tcW w:w="4035" w:type="dxa"/>
        </w:tcPr>
        <w:p w14:paraId="32A34B13" w14:textId="34B1FC8C" w:rsidR="00760402" w:rsidRPr="00DA24C7" w:rsidRDefault="00760402" w:rsidP="00DA24C7">
          <w:pPr>
            <w:rPr>
              <w:rStyle w:val="HeaderChar"/>
              <w:sz w:val="32"/>
            </w:rPr>
          </w:pPr>
        </w:p>
      </w:tc>
      <w:tc>
        <w:tcPr>
          <w:tcW w:w="4685" w:type="dxa"/>
          <w:tcBorders>
            <w:bottom w:val="single" w:sz="4" w:space="0" w:color="auto"/>
          </w:tcBorders>
          <w:vAlign w:val="bottom"/>
        </w:tcPr>
        <w:p w14:paraId="3D83E5FA" w14:textId="77777777" w:rsidR="00760402" w:rsidRPr="000F5176" w:rsidRDefault="00760402" w:rsidP="000F5176">
          <w:pPr>
            <w:pStyle w:val="HeaderNoLine"/>
            <w:rPr>
              <w:rStyle w:val="HeaderChar"/>
            </w:rPr>
          </w:pPr>
          <w:r w:rsidRPr="000F5176">
            <w:t>Therapeutic Goods Administration</w:t>
          </w:r>
        </w:p>
      </w:tc>
    </w:tr>
  </w:tbl>
  <w:p w14:paraId="7D79B037" w14:textId="77777777" w:rsidR="00760402" w:rsidRDefault="00760402" w:rsidP="00F923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314CE" w14:textId="28BF94E3" w:rsidR="00760402" w:rsidRDefault="00760402" w:rsidP="006E08B3">
    <w:pPr>
      <w:rPr>
        <w:noProof/>
      </w:rPr>
    </w:pPr>
    <w:r w:rsidRPr="00E57B71">
      <w:rPr>
        <w:noProof/>
        <w:lang w:eastAsia="en-AU"/>
      </w:rPr>
      <w:drawing>
        <wp:anchor distT="0" distB="0" distL="114300" distR="114300" simplePos="0" relativeHeight="251660288" behindDoc="0" locked="0" layoutInCell="1" allowOverlap="1" wp14:anchorId="4ED3BB99" wp14:editId="491EAEE4">
          <wp:simplePos x="0" y="0"/>
          <wp:positionH relativeFrom="column">
            <wp:posOffset>-195580</wp:posOffset>
          </wp:positionH>
          <wp:positionV relativeFrom="paragraph">
            <wp:posOffset>-58420</wp:posOffset>
          </wp:positionV>
          <wp:extent cx="3524250" cy="1209675"/>
          <wp:effectExtent l="19050" t="0" r="0" b="0"/>
          <wp:wrapTopAndBottom/>
          <wp:docPr id="3" name="Picture 3"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60402" w:rsidRPr="00DE02AE" w14:paraId="6C8DF45D" w14:textId="77777777" w:rsidTr="00782870">
      <w:trPr>
        <w:trHeight w:hRule="exact" w:val="8845"/>
      </w:trPr>
      <w:tc>
        <w:tcPr>
          <w:tcW w:w="11964" w:type="dxa"/>
        </w:tcPr>
        <w:p w14:paraId="1F71D1E5" w14:textId="4DADB3DE" w:rsidR="00760402" w:rsidRPr="00DE02AE" w:rsidRDefault="00760402" w:rsidP="00782870">
          <w:pPr>
            <w:pStyle w:val="Date"/>
            <w:ind w:left="-28"/>
          </w:pPr>
          <w:r w:rsidRPr="002B29B2">
            <w:rPr>
              <w:noProof/>
              <w:lang w:eastAsia="en-AU"/>
            </w:rPr>
            <w:drawing>
              <wp:anchor distT="0" distB="0" distL="114300" distR="114300" simplePos="0" relativeHeight="251662336" behindDoc="0" locked="0" layoutInCell="0" allowOverlap="1" wp14:anchorId="61F4C4D4" wp14:editId="61879FD6">
                <wp:simplePos x="0" y="0"/>
                <wp:positionH relativeFrom="page">
                  <wp:posOffset>-19685</wp:posOffset>
                </wp:positionH>
                <wp:positionV relativeFrom="page">
                  <wp:posOffset>-11641</wp:posOffset>
                </wp:positionV>
                <wp:extent cx="7581900" cy="2447925"/>
                <wp:effectExtent l="19050" t="0" r="0" b="0"/>
                <wp:wrapNone/>
                <wp:docPr id="4" name="Picture 4"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2"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tc>
    </w:tr>
  </w:tbl>
  <w:p w14:paraId="1CE47A24" w14:textId="7D9D85F8" w:rsidR="00760402" w:rsidRDefault="00760402" w:rsidP="006D03E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4035"/>
      <w:gridCol w:w="4685"/>
    </w:tblGrid>
    <w:tr w:rsidR="00760402" w:rsidRPr="00DA24C7" w14:paraId="7C724D59" w14:textId="77777777" w:rsidTr="00C6376F">
      <w:trPr>
        <w:trHeight w:val="558"/>
      </w:trPr>
      <w:tc>
        <w:tcPr>
          <w:tcW w:w="4035" w:type="dxa"/>
          <w:vAlign w:val="center"/>
        </w:tcPr>
        <w:p w14:paraId="047292FC" w14:textId="62B95FE3" w:rsidR="00760402" w:rsidRPr="00EB74A7" w:rsidRDefault="00760402" w:rsidP="00C6376F">
          <w:pPr>
            <w:rPr>
              <w:rStyle w:val="HeaderChar"/>
              <w:rFonts w:ascii="Arial" w:hAnsi="Arial" w:cs="Arial"/>
              <w:b/>
              <w:sz w:val="28"/>
              <w:szCs w:val="28"/>
            </w:rPr>
          </w:pPr>
        </w:p>
      </w:tc>
      <w:tc>
        <w:tcPr>
          <w:tcW w:w="4685" w:type="dxa"/>
          <w:vAlign w:val="center"/>
        </w:tcPr>
        <w:p w14:paraId="3A7D855E" w14:textId="77777777" w:rsidR="00760402" w:rsidRPr="000F5176" w:rsidRDefault="00760402" w:rsidP="00C6376F">
          <w:pPr>
            <w:pStyle w:val="HeaderNoLine"/>
            <w:rPr>
              <w:rStyle w:val="HeaderChar"/>
            </w:rPr>
          </w:pPr>
          <w:r w:rsidRPr="000F5176">
            <w:t>Therapeutic Goods Administration</w:t>
          </w:r>
        </w:p>
      </w:tc>
    </w:tr>
  </w:tbl>
  <w:p w14:paraId="480E463E" w14:textId="77777777" w:rsidR="00760402" w:rsidRDefault="00760402" w:rsidP="0010176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4035"/>
      <w:gridCol w:w="4685"/>
    </w:tblGrid>
    <w:tr w:rsidR="00760402" w:rsidRPr="00DA24C7" w14:paraId="28E03D4B" w14:textId="77777777" w:rsidTr="00C6376F">
      <w:trPr>
        <w:trHeight w:val="558"/>
      </w:trPr>
      <w:tc>
        <w:tcPr>
          <w:tcW w:w="4035" w:type="dxa"/>
        </w:tcPr>
        <w:p w14:paraId="02A4F856" w14:textId="69123A4C" w:rsidR="00760402" w:rsidRPr="00EB74A7" w:rsidRDefault="00760402" w:rsidP="00C6376F">
          <w:pPr>
            <w:pStyle w:val="HeaderNoLine"/>
            <w:jc w:val="left"/>
            <w:rPr>
              <w:rStyle w:val="HeaderChar"/>
              <w:rFonts w:ascii="Arial" w:hAnsi="Arial" w:cs="Arial"/>
              <w:b/>
              <w:sz w:val="28"/>
              <w:szCs w:val="28"/>
            </w:rPr>
          </w:pPr>
        </w:p>
      </w:tc>
      <w:tc>
        <w:tcPr>
          <w:tcW w:w="4685" w:type="dxa"/>
          <w:vAlign w:val="center"/>
        </w:tcPr>
        <w:p w14:paraId="0DD7BFA8" w14:textId="77777777" w:rsidR="00760402" w:rsidRPr="000F5176" w:rsidRDefault="00760402" w:rsidP="00C6376F">
          <w:pPr>
            <w:pStyle w:val="HeaderNoLine"/>
            <w:rPr>
              <w:rStyle w:val="HeaderChar"/>
            </w:rPr>
          </w:pPr>
          <w:r w:rsidRPr="000F5176">
            <w:t>Therapeutic Goods Administration</w:t>
          </w:r>
        </w:p>
      </w:tc>
    </w:tr>
  </w:tbl>
  <w:p w14:paraId="3D9C25A3" w14:textId="77777777" w:rsidR="00760402" w:rsidRDefault="00760402" w:rsidP="008D7B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A512A"/>
    <w:multiLevelType w:val="hybridMultilevel"/>
    <w:tmpl w:val="18AAA38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1CEF3ACD"/>
    <w:multiLevelType w:val="multilevel"/>
    <w:tmpl w:val="0748BD50"/>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E924211"/>
    <w:multiLevelType w:val="hybridMultilevel"/>
    <w:tmpl w:val="34C493BE"/>
    <w:lvl w:ilvl="0" w:tplc="5E685644">
      <w:start w:val="1"/>
      <w:numFmt w:val="lowerLetter"/>
      <w:pStyle w:val="ListBulleta"/>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6" w15:restartNumberingAfterBreak="0">
    <w:nsid w:val="41133EBB"/>
    <w:multiLevelType w:val="hybridMultilevel"/>
    <w:tmpl w:val="5ED69552"/>
    <w:lvl w:ilvl="0" w:tplc="47168314">
      <w:start w:val="1"/>
      <w:numFmt w:val="lowerLetter"/>
      <w:lvlText w:val="%1)"/>
      <w:lvlJc w:val="left"/>
      <w:pPr>
        <w:ind w:left="1420" w:hanging="360"/>
      </w:pPr>
      <w:rPr>
        <w:rFonts w:ascii="Cambria" w:hAnsi="Cambria" w:cs="Calibri" w:hint="default"/>
        <w:b w:val="0"/>
        <w:i w:val="0"/>
        <w:sz w:val="22"/>
        <w:szCs w:val="22"/>
      </w:rPr>
    </w:lvl>
    <w:lvl w:ilvl="1" w:tplc="0C090019">
      <w:start w:val="1"/>
      <w:numFmt w:val="lowerLetter"/>
      <w:lvlText w:val="%2."/>
      <w:lvlJc w:val="left"/>
      <w:pPr>
        <w:ind w:left="2140" w:hanging="360"/>
      </w:pPr>
    </w:lvl>
    <w:lvl w:ilvl="2" w:tplc="0C09001B">
      <w:start w:val="1"/>
      <w:numFmt w:val="lowerRoman"/>
      <w:lvlText w:val="%3."/>
      <w:lvlJc w:val="right"/>
      <w:pPr>
        <w:ind w:left="2860" w:hanging="180"/>
      </w:pPr>
    </w:lvl>
    <w:lvl w:ilvl="3" w:tplc="0C09000F" w:tentative="1">
      <w:start w:val="1"/>
      <w:numFmt w:val="decimal"/>
      <w:lvlText w:val="%4."/>
      <w:lvlJc w:val="left"/>
      <w:pPr>
        <w:ind w:left="3580" w:hanging="360"/>
      </w:pPr>
    </w:lvl>
    <w:lvl w:ilvl="4" w:tplc="0C090019" w:tentative="1">
      <w:start w:val="1"/>
      <w:numFmt w:val="lowerLetter"/>
      <w:lvlText w:val="%5."/>
      <w:lvlJc w:val="left"/>
      <w:pPr>
        <w:ind w:left="4300" w:hanging="360"/>
      </w:pPr>
    </w:lvl>
    <w:lvl w:ilvl="5" w:tplc="0C09001B" w:tentative="1">
      <w:start w:val="1"/>
      <w:numFmt w:val="lowerRoman"/>
      <w:lvlText w:val="%6."/>
      <w:lvlJc w:val="right"/>
      <w:pPr>
        <w:ind w:left="5020" w:hanging="180"/>
      </w:pPr>
    </w:lvl>
    <w:lvl w:ilvl="6" w:tplc="0C09000F" w:tentative="1">
      <w:start w:val="1"/>
      <w:numFmt w:val="decimal"/>
      <w:lvlText w:val="%7."/>
      <w:lvlJc w:val="left"/>
      <w:pPr>
        <w:ind w:left="5740" w:hanging="360"/>
      </w:pPr>
    </w:lvl>
    <w:lvl w:ilvl="7" w:tplc="0C090019" w:tentative="1">
      <w:start w:val="1"/>
      <w:numFmt w:val="lowerLetter"/>
      <w:lvlText w:val="%8."/>
      <w:lvlJc w:val="left"/>
      <w:pPr>
        <w:ind w:left="6460" w:hanging="360"/>
      </w:pPr>
    </w:lvl>
    <w:lvl w:ilvl="8" w:tplc="0C09001B" w:tentative="1">
      <w:start w:val="1"/>
      <w:numFmt w:val="lowerRoman"/>
      <w:lvlText w:val="%9."/>
      <w:lvlJc w:val="right"/>
      <w:pPr>
        <w:ind w:left="7180" w:hanging="180"/>
      </w:pPr>
    </w:lvl>
  </w:abstractNum>
  <w:abstractNum w:abstractNumId="7" w15:restartNumberingAfterBreak="0">
    <w:nsid w:val="548C3508"/>
    <w:multiLevelType w:val="hybridMultilevel"/>
    <w:tmpl w:val="5928E546"/>
    <w:lvl w:ilvl="0" w:tplc="0C090017">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abstractNumId w:val="2"/>
  </w:num>
  <w:num w:numId="2">
    <w:abstractNumId w:val="1"/>
  </w:num>
  <w:num w:numId="3">
    <w:abstractNumId w:val="2"/>
  </w:num>
  <w:num w:numId="4">
    <w:abstractNumId w:val="1"/>
  </w:num>
  <w:num w:numId="5">
    <w:abstractNumId w:val="4"/>
  </w:num>
  <w:num w:numId="6">
    <w:abstractNumId w:val="5"/>
  </w:num>
  <w:num w:numId="7">
    <w:abstractNumId w:val="3"/>
  </w:num>
  <w:num w:numId="8">
    <w:abstractNumId w:val="5"/>
    <w:lvlOverride w:ilvl="0">
      <w:startOverride w:val="1"/>
    </w:lvlOverride>
  </w:num>
  <w:num w:numId="9">
    <w:abstractNumId w:val="3"/>
    <w:lvlOverride w:ilvl="0">
      <w:startOverride w:val="1"/>
    </w:lvlOverride>
  </w:num>
  <w:num w:numId="10">
    <w:abstractNumId w:val="7"/>
  </w:num>
  <w:num w:numId="11">
    <w:abstractNumId w:val="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 w:ilvl="0">
        <w:start w:val="4"/>
        <w:numFmt w:val="bullet"/>
        <w:pStyle w:val="ListBullet"/>
        <w:lvlText w:val="•"/>
        <w:lvlJc w:val="left"/>
        <w:pPr>
          <w:ind w:left="360" w:hanging="360"/>
        </w:pPr>
        <w:rPr>
          <w:rFonts w:ascii="Arial" w:eastAsia="Cambria" w:hAnsi="Arial" w:hint="default"/>
          <w:color w:val="auto"/>
        </w:rPr>
      </w:lvl>
    </w:lvlOverride>
    <w:lvlOverride w:ilvl="1">
      <w:lvl w:ilvl="1">
        <w:start w:val="1"/>
        <w:numFmt w:val="bullet"/>
        <w:pStyle w:val="ListBullet2"/>
        <w:lvlText w:val="–"/>
        <w:lvlJc w:val="left"/>
        <w:pPr>
          <w:ind w:left="720" w:hanging="360"/>
        </w:pPr>
        <w:rPr>
          <w:rFonts w:ascii="Arial" w:hAnsi="Arial" w:hint="default"/>
        </w:rPr>
      </w:lvl>
    </w:lvlOverride>
    <w:lvlOverride w:ilvl="2">
      <w:lvl w:ilvl="2">
        <w:start w:val="1"/>
        <w:numFmt w:val="bullet"/>
        <w:pStyle w:val="ListBullet3"/>
        <w:lvlText w:val=""/>
        <w:lvlJc w:val="left"/>
        <w:pPr>
          <w:ind w:left="1080" w:hanging="360"/>
        </w:pPr>
        <w:rPr>
          <w:rFonts w:ascii="Wingdings" w:hAnsi="Wingding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15">
    <w:abstractNumId w:val="5"/>
    <w:lvlOverride w:ilvl="0">
      <w:startOverride w:val="1"/>
    </w:lvlOverride>
  </w:num>
  <w:num w:numId="16">
    <w:abstractNumId w:val="5"/>
    <w:lvlOverride w:ilvl="0">
      <w:startOverride w:val="1"/>
    </w:lvlOverride>
  </w:num>
  <w:num w:numId="17">
    <w:abstractNumId w:val="6"/>
    <w:lvlOverride w:ilvl="0">
      <w:startOverride w:val="1"/>
    </w:lvlOverride>
  </w:num>
  <w:num w:numId="18">
    <w:abstractNumId w:val="2"/>
    <w:lvlOverride w:ilvl="1">
      <w:lvl w:ilvl="1">
        <w:start w:val="1"/>
        <w:numFmt w:val="bullet"/>
        <w:pStyle w:val="ListBullet2"/>
        <w:lvlText w:val="–"/>
        <w:lvlJc w:val="left"/>
        <w:pPr>
          <w:ind w:left="720" w:hanging="360"/>
        </w:pPr>
        <w:rPr>
          <w:rFonts w:ascii="Arial" w:hAnsi="Arial" w:hint="default"/>
          <w:color w:val="auto"/>
        </w:rPr>
      </w:lvl>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DREW, Erin">
    <w15:presenceInfo w15:providerId="AD" w15:userId="S::ANDREE@health.gov.au::dd6efa0a-6bc9-422e-bf90-841f7fd4db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0"/>
  <w:displayBackgroundShape/>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648"/>
    <w:rsid w:val="00001B6C"/>
    <w:rsid w:val="00001B7D"/>
    <w:rsid w:val="00002031"/>
    <w:rsid w:val="00003EE4"/>
    <w:rsid w:val="000042DA"/>
    <w:rsid w:val="00004734"/>
    <w:rsid w:val="00006AE7"/>
    <w:rsid w:val="00006B22"/>
    <w:rsid w:val="0001276A"/>
    <w:rsid w:val="0001293A"/>
    <w:rsid w:val="00012D9E"/>
    <w:rsid w:val="000222AE"/>
    <w:rsid w:val="00023C6E"/>
    <w:rsid w:val="000246AE"/>
    <w:rsid w:val="00025266"/>
    <w:rsid w:val="00025C67"/>
    <w:rsid w:val="000335FC"/>
    <w:rsid w:val="00033F14"/>
    <w:rsid w:val="00041297"/>
    <w:rsid w:val="00042573"/>
    <w:rsid w:val="000465B5"/>
    <w:rsid w:val="0005081A"/>
    <w:rsid w:val="00052322"/>
    <w:rsid w:val="00053C6C"/>
    <w:rsid w:val="0005559E"/>
    <w:rsid w:val="00056156"/>
    <w:rsid w:val="00057FFC"/>
    <w:rsid w:val="00061765"/>
    <w:rsid w:val="000619D3"/>
    <w:rsid w:val="0006427F"/>
    <w:rsid w:val="00065585"/>
    <w:rsid w:val="00065D1A"/>
    <w:rsid w:val="00072D02"/>
    <w:rsid w:val="00074EBD"/>
    <w:rsid w:val="000755F8"/>
    <w:rsid w:val="00077548"/>
    <w:rsid w:val="00077775"/>
    <w:rsid w:val="00080C9D"/>
    <w:rsid w:val="0008417D"/>
    <w:rsid w:val="00085DD5"/>
    <w:rsid w:val="000860B4"/>
    <w:rsid w:val="000869F6"/>
    <w:rsid w:val="00090471"/>
    <w:rsid w:val="000A56BE"/>
    <w:rsid w:val="000B0759"/>
    <w:rsid w:val="000B3532"/>
    <w:rsid w:val="000B3A75"/>
    <w:rsid w:val="000B56DE"/>
    <w:rsid w:val="000B7084"/>
    <w:rsid w:val="000C31F2"/>
    <w:rsid w:val="000C5F0B"/>
    <w:rsid w:val="000C6B99"/>
    <w:rsid w:val="000C7164"/>
    <w:rsid w:val="000D0ABB"/>
    <w:rsid w:val="000D2B49"/>
    <w:rsid w:val="000D391B"/>
    <w:rsid w:val="000D3D6D"/>
    <w:rsid w:val="000D45F7"/>
    <w:rsid w:val="000D4FC7"/>
    <w:rsid w:val="000D692C"/>
    <w:rsid w:val="000F04C4"/>
    <w:rsid w:val="000F3A5D"/>
    <w:rsid w:val="000F4869"/>
    <w:rsid w:val="000F5176"/>
    <w:rsid w:val="000F5B42"/>
    <w:rsid w:val="000F6E6F"/>
    <w:rsid w:val="001003F2"/>
    <w:rsid w:val="00101496"/>
    <w:rsid w:val="00101762"/>
    <w:rsid w:val="0010601F"/>
    <w:rsid w:val="00106BF9"/>
    <w:rsid w:val="00110AE1"/>
    <w:rsid w:val="00110EA5"/>
    <w:rsid w:val="00112440"/>
    <w:rsid w:val="00112AC9"/>
    <w:rsid w:val="00115240"/>
    <w:rsid w:val="001157F7"/>
    <w:rsid w:val="00116990"/>
    <w:rsid w:val="001169AC"/>
    <w:rsid w:val="00117127"/>
    <w:rsid w:val="00123BB2"/>
    <w:rsid w:val="00125091"/>
    <w:rsid w:val="00125148"/>
    <w:rsid w:val="00125318"/>
    <w:rsid w:val="0012669D"/>
    <w:rsid w:val="001268BE"/>
    <w:rsid w:val="001305A2"/>
    <w:rsid w:val="00130EB7"/>
    <w:rsid w:val="001327EC"/>
    <w:rsid w:val="00133238"/>
    <w:rsid w:val="00140FE3"/>
    <w:rsid w:val="0014197B"/>
    <w:rsid w:val="00143B58"/>
    <w:rsid w:val="001447CD"/>
    <w:rsid w:val="00150A66"/>
    <w:rsid w:val="001516B1"/>
    <w:rsid w:val="001525B4"/>
    <w:rsid w:val="00155651"/>
    <w:rsid w:val="00156316"/>
    <w:rsid w:val="00156847"/>
    <w:rsid w:val="00157601"/>
    <w:rsid w:val="001578C5"/>
    <w:rsid w:val="00161226"/>
    <w:rsid w:val="00165389"/>
    <w:rsid w:val="001653CE"/>
    <w:rsid w:val="00173C6A"/>
    <w:rsid w:val="00176675"/>
    <w:rsid w:val="0017693F"/>
    <w:rsid w:val="00176CB0"/>
    <w:rsid w:val="0018056A"/>
    <w:rsid w:val="0018110E"/>
    <w:rsid w:val="00181684"/>
    <w:rsid w:val="00182A4A"/>
    <w:rsid w:val="001843C6"/>
    <w:rsid w:val="001850E0"/>
    <w:rsid w:val="00185CE9"/>
    <w:rsid w:val="00186517"/>
    <w:rsid w:val="00193183"/>
    <w:rsid w:val="001A3925"/>
    <w:rsid w:val="001A525F"/>
    <w:rsid w:val="001A5FFE"/>
    <w:rsid w:val="001B09F9"/>
    <w:rsid w:val="001B0F8B"/>
    <w:rsid w:val="001B5CE3"/>
    <w:rsid w:val="001B6448"/>
    <w:rsid w:val="001C0D8C"/>
    <w:rsid w:val="001C2A9E"/>
    <w:rsid w:val="001C2D91"/>
    <w:rsid w:val="001C5266"/>
    <w:rsid w:val="001C7F0A"/>
    <w:rsid w:val="001E07CF"/>
    <w:rsid w:val="001E51C6"/>
    <w:rsid w:val="001E5555"/>
    <w:rsid w:val="001E59F1"/>
    <w:rsid w:val="001F04D7"/>
    <w:rsid w:val="001F32EC"/>
    <w:rsid w:val="001F49EB"/>
    <w:rsid w:val="001F6CBA"/>
    <w:rsid w:val="002001F1"/>
    <w:rsid w:val="0020028B"/>
    <w:rsid w:val="00200A9C"/>
    <w:rsid w:val="00201D4E"/>
    <w:rsid w:val="00202086"/>
    <w:rsid w:val="00204DF0"/>
    <w:rsid w:val="00207887"/>
    <w:rsid w:val="0020793B"/>
    <w:rsid w:val="002101CA"/>
    <w:rsid w:val="002147E0"/>
    <w:rsid w:val="00220B8A"/>
    <w:rsid w:val="002226DD"/>
    <w:rsid w:val="002257F3"/>
    <w:rsid w:val="0023267B"/>
    <w:rsid w:val="00233456"/>
    <w:rsid w:val="002339A5"/>
    <w:rsid w:val="00236140"/>
    <w:rsid w:val="0024007B"/>
    <w:rsid w:val="00240781"/>
    <w:rsid w:val="00242707"/>
    <w:rsid w:val="002445F4"/>
    <w:rsid w:val="002458D4"/>
    <w:rsid w:val="00245CF3"/>
    <w:rsid w:val="00247223"/>
    <w:rsid w:val="0025120A"/>
    <w:rsid w:val="0025659B"/>
    <w:rsid w:val="0025660C"/>
    <w:rsid w:val="00257138"/>
    <w:rsid w:val="00257848"/>
    <w:rsid w:val="00262A27"/>
    <w:rsid w:val="00266695"/>
    <w:rsid w:val="00267925"/>
    <w:rsid w:val="0027084A"/>
    <w:rsid w:val="00275590"/>
    <w:rsid w:val="00286434"/>
    <w:rsid w:val="00286C59"/>
    <w:rsid w:val="002929C2"/>
    <w:rsid w:val="00292BB3"/>
    <w:rsid w:val="002942D1"/>
    <w:rsid w:val="002A0556"/>
    <w:rsid w:val="002A3961"/>
    <w:rsid w:val="002A5857"/>
    <w:rsid w:val="002A58D7"/>
    <w:rsid w:val="002A5F56"/>
    <w:rsid w:val="002A6E38"/>
    <w:rsid w:val="002B0E0E"/>
    <w:rsid w:val="002B1638"/>
    <w:rsid w:val="002B3304"/>
    <w:rsid w:val="002C07AF"/>
    <w:rsid w:val="002C1418"/>
    <w:rsid w:val="002C2980"/>
    <w:rsid w:val="002C383A"/>
    <w:rsid w:val="002C43C3"/>
    <w:rsid w:val="002C48BF"/>
    <w:rsid w:val="002C6D34"/>
    <w:rsid w:val="002D0B05"/>
    <w:rsid w:val="002E430E"/>
    <w:rsid w:val="002E4C9A"/>
    <w:rsid w:val="002E5C31"/>
    <w:rsid w:val="002E69BE"/>
    <w:rsid w:val="002F0113"/>
    <w:rsid w:val="002F11F8"/>
    <w:rsid w:val="002F3F56"/>
    <w:rsid w:val="002F44B5"/>
    <w:rsid w:val="002F4D30"/>
    <w:rsid w:val="002F53E0"/>
    <w:rsid w:val="00302504"/>
    <w:rsid w:val="00303CBB"/>
    <w:rsid w:val="0030508C"/>
    <w:rsid w:val="003055BD"/>
    <w:rsid w:val="00311AC0"/>
    <w:rsid w:val="00314331"/>
    <w:rsid w:val="00316F8D"/>
    <w:rsid w:val="003208A0"/>
    <w:rsid w:val="003251D0"/>
    <w:rsid w:val="003261C8"/>
    <w:rsid w:val="00331DBB"/>
    <w:rsid w:val="00334439"/>
    <w:rsid w:val="00335BEC"/>
    <w:rsid w:val="003367E4"/>
    <w:rsid w:val="00343736"/>
    <w:rsid w:val="003521E8"/>
    <w:rsid w:val="00352A2E"/>
    <w:rsid w:val="00353AC2"/>
    <w:rsid w:val="003555D7"/>
    <w:rsid w:val="00356F04"/>
    <w:rsid w:val="00360648"/>
    <w:rsid w:val="00360DFD"/>
    <w:rsid w:val="00362473"/>
    <w:rsid w:val="00362F16"/>
    <w:rsid w:val="003662D5"/>
    <w:rsid w:val="003664BF"/>
    <w:rsid w:val="0036794C"/>
    <w:rsid w:val="0037036E"/>
    <w:rsid w:val="0037215C"/>
    <w:rsid w:val="003728F3"/>
    <w:rsid w:val="00373D31"/>
    <w:rsid w:val="0038110B"/>
    <w:rsid w:val="003835BF"/>
    <w:rsid w:val="00386152"/>
    <w:rsid w:val="00386CD5"/>
    <w:rsid w:val="00387C6B"/>
    <w:rsid w:val="00390900"/>
    <w:rsid w:val="003964E2"/>
    <w:rsid w:val="003A0110"/>
    <w:rsid w:val="003A0B29"/>
    <w:rsid w:val="003A0B68"/>
    <w:rsid w:val="003A19BA"/>
    <w:rsid w:val="003A1BDA"/>
    <w:rsid w:val="003A48A2"/>
    <w:rsid w:val="003A724F"/>
    <w:rsid w:val="003B1FAD"/>
    <w:rsid w:val="003B3601"/>
    <w:rsid w:val="003B629A"/>
    <w:rsid w:val="003B6E20"/>
    <w:rsid w:val="003B7E39"/>
    <w:rsid w:val="003C04B2"/>
    <w:rsid w:val="003C1BBB"/>
    <w:rsid w:val="003C58DC"/>
    <w:rsid w:val="003C62FC"/>
    <w:rsid w:val="003C7673"/>
    <w:rsid w:val="003D1DEC"/>
    <w:rsid w:val="003D26B4"/>
    <w:rsid w:val="003D497F"/>
    <w:rsid w:val="003D5D86"/>
    <w:rsid w:val="003E0E6A"/>
    <w:rsid w:val="003E1945"/>
    <w:rsid w:val="003E2889"/>
    <w:rsid w:val="003E3208"/>
    <w:rsid w:val="003E33D4"/>
    <w:rsid w:val="003E3CA3"/>
    <w:rsid w:val="003E7390"/>
    <w:rsid w:val="003F0B04"/>
    <w:rsid w:val="003F3092"/>
    <w:rsid w:val="003F3095"/>
    <w:rsid w:val="003F48DD"/>
    <w:rsid w:val="0040134E"/>
    <w:rsid w:val="00402EF6"/>
    <w:rsid w:val="00403ACE"/>
    <w:rsid w:val="00403D3E"/>
    <w:rsid w:val="00404AD5"/>
    <w:rsid w:val="0040598C"/>
    <w:rsid w:val="0040726C"/>
    <w:rsid w:val="004072A5"/>
    <w:rsid w:val="00411710"/>
    <w:rsid w:val="0041244F"/>
    <w:rsid w:val="00412E40"/>
    <w:rsid w:val="00414BA2"/>
    <w:rsid w:val="00421B68"/>
    <w:rsid w:val="00421B7E"/>
    <w:rsid w:val="00423F10"/>
    <w:rsid w:val="004247DA"/>
    <w:rsid w:val="004302D7"/>
    <w:rsid w:val="0043074F"/>
    <w:rsid w:val="00430AAA"/>
    <w:rsid w:val="00432CDD"/>
    <w:rsid w:val="00433211"/>
    <w:rsid w:val="00435B13"/>
    <w:rsid w:val="00436C41"/>
    <w:rsid w:val="004407B2"/>
    <w:rsid w:val="00440A2D"/>
    <w:rsid w:val="004422DF"/>
    <w:rsid w:val="004432FB"/>
    <w:rsid w:val="004446E3"/>
    <w:rsid w:val="004454B4"/>
    <w:rsid w:val="0044589C"/>
    <w:rsid w:val="0044722D"/>
    <w:rsid w:val="0044785B"/>
    <w:rsid w:val="00455ECA"/>
    <w:rsid w:val="004564A7"/>
    <w:rsid w:val="00457FE3"/>
    <w:rsid w:val="004617BF"/>
    <w:rsid w:val="004618AB"/>
    <w:rsid w:val="00461999"/>
    <w:rsid w:val="00464DFB"/>
    <w:rsid w:val="0046516E"/>
    <w:rsid w:val="004658BC"/>
    <w:rsid w:val="00470EC2"/>
    <w:rsid w:val="00472080"/>
    <w:rsid w:val="00484BAB"/>
    <w:rsid w:val="00485BFD"/>
    <w:rsid w:val="00487716"/>
    <w:rsid w:val="004923FF"/>
    <w:rsid w:val="00494E60"/>
    <w:rsid w:val="004970FD"/>
    <w:rsid w:val="004A0D2F"/>
    <w:rsid w:val="004A2400"/>
    <w:rsid w:val="004A6F05"/>
    <w:rsid w:val="004B21D7"/>
    <w:rsid w:val="004B2BD3"/>
    <w:rsid w:val="004B32D0"/>
    <w:rsid w:val="004B545E"/>
    <w:rsid w:val="004B6701"/>
    <w:rsid w:val="004B6C99"/>
    <w:rsid w:val="004B7B76"/>
    <w:rsid w:val="004C0070"/>
    <w:rsid w:val="004C241F"/>
    <w:rsid w:val="004C3BFD"/>
    <w:rsid w:val="004C4791"/>
    <w:rsid w:val="004C60B4"/>
    <w:rsid w:val="004D51A6"/>
    <w:rsid w:val="004D6739"/>
    <w:rsid w:val="004D722C"/>
    <w:rsid w:val="004E3813"/>
    <w:rsid w:val="004E5523"/>
    <w:rsid w:val="004F0F38"/>
    <w:rsid w:val="004F4580"/>
    <w:rsid w:val="004F79C5"/>
    <w:rsid w:val="005009C0"/>
    <w:rsid w:val="00501179"/>
    <w:rsid w:val="00501921"/>
    <w:rsid w:val="00501CBA"/>
    <w:rsid w:val="005042C1"/>
    <w:rsid w:val="005054DF"/>
    <w:rsid w:val="005164BD"/>
    <w:rsid w:val="005168C9"/>
    <w:rsid w:val="00516E40"/>
    <w:rsid w:val="00520F6C"/>
    <w:rsid w:val="00521BEF"/>
    <w:rsid w:val="005220E5"/>
    <w:rsid w:val="005221E1"/>
    <w:rsid w:val="005274DA"/>
    <w:rsid w:val="005302F5"/>
    <w:rsid w:val="00530354"/>
    <w:rsid w:val="00533970"/>
    <w:rsid w:val="00534871"/>
    <w:rsid w:val="0053538C"/>
    <w:rsid w:val="0053781A"/>
    <w:rsid w:val="00541352"/>
    <w:rsid w:val="0054163A"/>
    <w:rsid w:val="005434C6"/>
    <w:rsid w:val="00543B39"/>
    <w:rsid w:val="00550096"/>
    <w:rsid w:val="00550BB0"/>
    <w:rsid w:val="00551F1D"/>
    <w:rsid w:val="005527C6"/>
    <w:rsid w:val="00552DB2"/>
    <w:rsid w:val="005540F9"/>
    <w:rsid w:val="005576C9"/>
    <w:rsid w:val="00557FF9"/>
    <w:rsid w:val="00560988"/>
    <w:rsid w:val="00560BAF"/>
    <w:rsid w:val="00561B1B"/>
    <w:rsid w:val="00563A9C"/>
    <w:rsid w:val="00570031"/>
    <w:rsid w:val="005729B0"/>
    <w:rsid w:val="005756FA"/>
    <w:rsid w:val="00575A6D"/>
    <w:rsid w:val="00576378"/>
    <w:rsid w:val="00577E38"/>
    <w:rsid w:val="005824DB"/>
    <w:rsid w:val="00585069"/>
    <w:rsid w:val="00585322"/>
    <w:rsid w:val="0058774D"/>
    <w:rsid w:val="00591975"/>
    <w:rsid w:val="00593AD1"/>
    <w:rsid w:val="00594D75"/>
    <w:rsid w:val="005955CF"/>
    <w:rsid w:val="00597B50"/>
    <w:rsid w:val="005A1131"/>
    <w:rsid w:val="005A3F2F"/>
    <w:rsid w:val="005A5916"/>
    <w:rsid w:val="005A5A5E"/>
    <w:rsid w:val="005A6611"/>
    <w:rsid w:val="005B04DA"/>
    <w:rsid w:val="005B1DEF"/>
    <w:rsid w:val="005B7F75"/>
    <w:rsid w:val="005C03F2"/>
    <w:rsid w:val="005C0499"/>
    <w:rsid w:val="005C1D90"/>
    <w:rsid w:val="005C22EA"/>
    <w:rsid w:val="005C2732"/>
    <w:rsid w:val="005C2FB2"/>
    <w:rsid w:val="005C3414"/>
    <w:rsid w:val="005C5570"/>
    <w:rsid w:val="005C6864"/>
    <w:rsid w:val="005C6D87"/>
    <w:rsid w:val="005C79A4"/>
    <w:rsid w:val="005D060C"/>
    <w:rsid w:val="005D16DC"/>
    <w:rsid w:val="005D4E06"/>
    <w:rsid w:val="005D5442"/>
    <w:rsid w:val="005E1A89"/>
    <w:rsid w:val="005E3393"/>
    <w:rsid w:val="005E5885"/>
    <w:rsid w:val="005E6395"/>
    <w:rsid w:val="005F3EA0"/>
    <w:rsid w:val="005F472F"/>
    <w:rsid w:val="00601594"/>
    <w:rsid w:val="00601FD3"/>
    <w:rsid w:val="00602EC0"/>
    <w:rsid w:val="0060581D"/>
    <w:rsid w:val="00612B30"/>
    <w:rsid w:val="006131AB"/>
    <w:rsid w:val="00613211"/>
    <w:rsid w:val="006132E8"/>
    <w:rsid w:val="006210F2"/>
    <w:rsid w:val="0062266E"/>
    <w:rsid w:val="00623676"/>
    <w:rsid w:val="006238C7"/>
    <w:rsid w:val="00632D4C"/>
    <w:rsid w:val="006352D8"/>
    <w:rsid w:val="006400CB"/>
    <w:rsid w:val="00640FC3"/>
    <w:rsid w:val="00642020"/>
    <w:rsid w:val="00650434"/>
    <w:rsid w:val="00651316"/>
    <w:rsid w:val="00652CEE"/>
    <w:rsid w:val="0065337B"/>
    <w:rsid w:val="0065419D"/>
    <w:rsid w:val="006604D8"/>
    <w:rsid w:val="00664A5B"/>
    <w:rsid w:val="006664CB"/>
    <w:rsid w:val="00667298"/>
    <w:rsid w:val="00667942"/>
    <w:rsid w:val="006733CD"/>
    <w:rsid w:val="00674BA2"/>
    <w:rsid w:val="00677050"/>
    <w:rsid w:val="006804A8"/>
    <w:rsid w:val="00680C08"/>
    <w:rsid w:val="0068543D"/>
    <w:rsid w:val="00686C19"/>
    <w:rsid w:val="0068741A"/>
    <w:rsid w:val="00691B94"/>
    <w:rsid w:val="00691DBE"/>
    <w:rsid w:val="006931B1"/>
    <w:rsid w:val="006A15C0"/>
    <w:rsid w:val="006A1DC0"/>
    <w:rsid w:val="006A35E2"/>
    <w:rsid w:val="006A64F4"/>
    <w:rsid w:val="006A7FD9"/>
    <w:rsid w:val="006B1BCF"/>
    <w:rsid w:val="006B3B74"/>
    <w:rsid w:val="006B3CF2"/>
    <w:rsid w:val="006C0A51"/>
    <w:rsid w:val="006C1A83"/>
    <w:rsid w:val="006C1AD9"/>
    <w:rsid w:val="006C1F3B"/>
    <w:rsid w:val="006C3E2A"/>
    <w:rsid w:val="006C450D"/>
    <w:rsid w:val="006C57B7"/>
    <w:rsid w:val="006C642F"/>
    <w:rsid w:val="006C7C98"/>
    <w:rsid w:val="006D03E5"/>
    <w:rsid w:val="006D08C1"/>
    <w:rsid w:val="006D16B8"/>
    <w:rsid w:val="006D5D3E"/>
    <w:rsid w:val="006D6A23"/>
    <w:rsid w:val="006E08B3"/>
    <w:rsid w:val="006E5071"/>
    <w:rsid w:val="006E5916"/>
    <w:rsid w:val="006F01FE"/>
    <w:rsid w:val="006F1A67"/>
    <w:rsid w:val="006F572E"/>
    <w:rsid w:val="006F65A9"/>
    <w:rsid w:val="007046D6"/>
    <w:rsid w:val="00705DB0"/>
    <w:rsid w:val="00706AFE"/>
    <w:rsid w:val="007105C8"/>
    <w:rsid w:val="00711BAE"/>
    <w:rsid w:val="007127A7"/>
    <w:rsid w:val="00717545"/>
    <w:rsid w:val="00717B5D"/>
    <w:rsid w:val="007249F8"/>
    <w:rsid w:val="0073205A"/>
    <w:rsid w:val="00732B06"/>
    <w:rsid w:val="0073345D"/>
    <w:rsid w:val="00736B85"/>
    <w:rsid w:val="00736EFA"/>
    <w:rsid w:val="00737627"/>
    <w:rsid w:val="007406E8"/>
    <w:rsid w:val="0074253D"/>
    <w:rsid w:val="0074429B"/>
    <w:rsid w:val="007477F8"/>
    <w:rsid w:val="00750368"/>
    <w:rsid w:val="007560C5"/>
    <w:rsid w:val="00760402"/>
    <w:rsid w:val="007615BC"/>
    <w:rsid w:val="00761AA7"/>
    <w:rsid w:val="00762F05"/>
    <w:rsid w:val="007637F0"/>
    <w:rsid w:val="00763BB7"/>
    <w:rsid w:val="007652FF"/>
    <w:rsid w:val="00765C7B"/>
    <w:rsid w:val="00766729"/>
    <w:rsid w:val="00766888"/>
    <w:rsid w:val="00771329"/>
    <w:rsid w:val="00773EF7"/>
    <w:rsid w:val="007748DC"/>
    <w:rsid w:val="00774E1D"/>
    <w:rsid w:val="0077675A"/>
    <w:rsid w:val="00780355"/>
    <w:rsid w:val="00782870"/>
    <w:rsid w:val="00783116"/>
    <w:rsid w:val="00784124"/>
    <w:rsid w:val="00785721"/>
    <w:rsid w:val="007907BF"/>
    <w:rsid w:val="00793A59"/>
    <w:rsid w:val="00794519"/>
    <w:rsid w:val="007954D4"/>
    <w:rsid w:val="00797C67"/>
    <w:rsid w:val="007A2162"/>
    <w:rsid w:val="007A2B0B"/>
    <w:rsid w:val="007A58C5"/>
    <w:rsid w:val="007B0412"/>
    <w:rsid w:val="007B0A15"/>
    <w:rsid w:val="007B1ED1"/>
    <w:rsid w:val="007B3E14"/>
    <w:rsid w:val="007B7F38"/>
    <w:rsid w:val="007C0F3D"/>
    <w:rsid w:val="007C1AF7"/>
    <w:rsid w:val="007D2CFA"/>
    <w:rsid w:val="007D31C7"/>
    <w:rsid w:val="007D404B"/>
    <w:rsid w:val="007D4385"/>
    <w:rsid w:val="007D7B54"/>
    <w:rsid w:val="007E29E1"/>
    <w:rsid w:val="007E3E3E"/>
    <w:rsid w:val="007E4DCE"/>
    <w:rsid w:val="007E662C"/>
    <w:rsid w:val="008030CD"/>
    <w:rsid w:val="00804357"/>
    <w:rsid w:val="0080449A"/>
    <w:rsid w:val="00810649"/>
    <w:rsid w:val="00811949"/>
    <w:rsid w:val="00812029"/>
    <w:rsid w:val="008122AC"/>
    <w:rsid w:val="00813E46"/>
    <w:rsid w:val="00817471"/>
    <w:rsid w:val="00821776"/>
    <w:rsid w:val="00826007"/>
    <w:rsid w:val="008261A8"/>
    <w:rsid w:val="0082653E"/>
    <w:rsid w:val="008266E2"/>
    <w:rsid w:val="0083209C"/>
    <w:rsid w:val="008321F5"/>
    <w:rsid w:val="00832369"/>
    <w:rsid w:val="00832486"/>
    <w:rsid w:val="0083329F"/>
    <w:rsid w:val="00834660"/>
    <w:rsid w:val="008357ED"/>
    <w:rsid w:val="00836BC2"/>
    <w:rsid w:val="0084109D"/>
    <w:rsid w:val="008423DC"/>
    <w:rsid w:val="00846E23"/>
    <w:rsid w:val="0084703B"/>
    <w:rsid w:val="0085641B"/>
    <w:rsid w:val="00857136"/>
    <w:rsid w:val="008617CA"/>
    <w:rsid w:val="008702B3"/>
    <w:rsid w:val="008707DF"/>
    <w:rsid w:val="00871E49"/>
    <w:rsid w:val="00872807"/>
    <w:rsid w:val="00876EAC"/>
    <w:rsid w:val="0088186A"/>
    <w:rsid w:val="00881EA0"/>
    <w:rsid w:val="0088496A"/>
    <w:rsid w:val="0088678E"/>
    <w:rsid w:val="0089392A"/>
    <w:rsid w:val="00893C5D"/>
    <w:rsid w:val="00896018"/>
    <w:rsid w:val="00896E1F"/>
    <w:rsid w:val="008A00FE"/>
    <w:rsid w:val="008A2B9D"/>
    <w:rsid w:val="008A2D18"/>
    <w:rsid w:val="008A5E0B"/>
    <w:rsid w:val="008A69D0"/>
    <w:rsid w:val="008A6A7F"/>
    <w:rsid w:val="008A6B96"/>
    <w:rsid w:val="008A6D59"/>
    <w:rsid w:val="008B0015"/>
    <w:rsid w:val="008B2B27"/>
    <w:rsid w:val="008B4B03"/>
    <w:rsid w:val="008B596F"/>
    <w:rsid w:val="008B7C43"/>
    <w:rsid w:val="008C0C69"/>
    <w:rsid w:val="008C159F"/>
    <w:rsid w:val="008C1623"/>
    <w:rsid w:val="008C2B58"/>
    <w:rsid w:val="008C51A9"/>
    <w:rsid w:val="008C5225"/>
    <w:rsid w:val="008C7E46"/>
    <w:rsid w:val="008D0620"/>
    <w:rsid w:val="008D1287"/>
    <w:rsid w:val="008D3724"/>
    <w:rsid w:val="008D3FCE"/>
    <w:rsid w:val="008D67F7"/>
    <w:rsid w:val="008D7BD4"/>
    <w:rsid w:val="008E6463"/>
    <w:rsid w:val="008E7978"/>
    <w:rsid w:val="008E7E28"/>
    <w:rsid w:val="008F10DF"/>
    <w:rsid w:val="008F1CCC"/>
    <w:rsid w:val="008F2967"/>
    <w:rsid w:val="008F2AD4"/>
    <w:rsid w:val="008F4A62"/>
    <w:rsid w:val="008F57B4"/>
    <w:rsid w:val="0091126E"/>
    <w:rsid w:val="0091165D"/>
    <w:rsid w:val="00915525"/>
    <w:rsid w:val="00917AB4"/>
    <w:rsid w:val="00920330"/>
    <w:rsid w:val="009207ED"/>
    <w:rsid w:val="00920FF4"/>
    <w:rsid w:val="009219D7"/>
    <w:rsid w:val="00922D53"/>
    <w:rsid w:val="00923B70"/>
    <w:rsid w:val="0092465F"/>
    <w:rsid w:val="00924FB8"/>
    <w:rsid w:val="00925333"/>
    <w:rsid w:val="0092600B"/>
    <w:rsid w:val="00926BE5"/>
    <w:rsid w:val="00926F1C"/>
    <w:rsid w:val="00930237"/>
    <w:rsid w:val="009310B4"/>
    <w:rsid w:val="0093749E"/>
    <w:rsid w:val="00942751"/>
    <w:rsid w:val="00943A3F"/>
    <w:rsid w:val="00944B14"/>
    <w:rsid w:val="00945041"/>
    <w:rsid w:val="009468C6"/>
    <w:rsid w:val="00951677"/>
    <w:rsid w:val="00952C3D"/>
    <w:rsid w:val="00953EA8"/>
    <w:rsid w:val="00955A46"/>
    <w:rsid w:val="009628B7"/>
    <w:rsid w:val="00963C08"/>
    <w:rsid w:val="00963C0D"/>
    <w:rsid w:val="00966970"/>
    <w:rsid w:val="00967C5A"/>
    <w:rsid w:val="00970367"/>
    <w:rsid w:val="009741DD"/>
    <w:rsid w:val="009752DD"/>
    <w:rsid w:val="00975379"/>
    <w:rsid w:val="00981AC6"/>
    <w:rsid w:val="00981D0A"/>
    <w:rsid w:val="0098349C"/>
    <w:rsid w:val="009835B6"/>
    <w:rsid w:val="009837F0"/>
    <w:rsid w:val="00984CAD"/>
    <w:rsid w:val="0098508B"/>
    <w:rsid w:val="00987D65"/>
    <w:rsid w:val="009927F3"/>
    <w:rsid w:val="00993AB0"/>
    <w:rsid w:val="009A190E"/>
    <w:rsid w:val="009A4825"/>
    <w:rsid w:val="009A4CED"/>
    <w:rsid w:val="009B00CC"/>
    <w:rsid w:val="009B1D12"/>
    <w:rsid w:val="009B20A0"/>
    <w:rsid w:val="009B2B3C"/>
    <w:rsid w:val="009B3475"/>
    <w:rsid w:val="009B416B"/>
    <w:rsid w:val="009B6348"/>
    <w:rsid w:val="009C3636"/>
    <w:rsid w:val="009C4BD5"/>
    <w:rsid w:val="009C5820"/>
    <w:rsid w:val="009C5F04"/>
    <w:rsid w:val="009C683C"/>
    <w:rsid w:val="009D0801"/>
    <w:rsid w:val="009D0A6D"/>
    <w:rsid w:val="009D0DC8"/>
    <w:rsid w:val="009D2144"/>
    <w:rsid w:val="009D2E04"/>
    <w:rsid w:val="009D7B77"/>
    <w:rsid w:val="009E0BB0"/>
    <w:rsid w:val="009E37F8"/>
    <w:rsid w:val="009E3FBB"/>
    <w:rsid w:val="009F018D"/>
    <w:rsid w:val="009F01FD"/>
    <w:rsid w:val="009F207B"/>
    <w:rsid w:val="009F20E4"/>
    <w:rsid w:val="00A0156E"/>
    <w:rsid w:val="00A10C68"/>
    <w:rsid w:val="00A1235B"/>
    <w:rsid w:val="00A14896"/>
    <w:rsid w:val="00A14DF7"/>
    <w:rsid w:val="00A22E19"/>
    <w:rsid w:val="00A27B10"/>
    <w:rsid w:val="00A31294"/>
    <w:rsid w:val="00A3246D"/>
    <w:rsid w:val="00A32C51"/>
    <w:rsid w:val="00A342E4"/>
    <w:rsid w:val="00A3460E"/>
    <w:rsid w:val="00A36E8D"/>
    <w:rsid w:val="00A36FA7"/>
    <w:rsid w:val="00A40944"/>
    <w:rsid w:val="00A41E88"/>
    <w:rsid w:val="00A46A96"/>
    <w:rsid w:val="00A47209"/>
    <w:rsid w:val="00A475B7"/>
    <w:rsid w:val="00A47AF7"/>
    <w:rsid w:val="00A47C3E"/>
    <w:rsid w:val="00A50226"/>
    <w:rsid w:val="00A50992"/>
    <w:rsid w:val="00A570D8"/>
    <w:rsid w:val="00A60BAD"/>
    <w:rsid w:val="00A655E4"/>
    <w:rsid w:val="00A73339"/>
    <w:rsid w:val="00A737A1"/>
    <w:rsid w:val="00A73A8D"/>
    <w:rsid w:val="00A77C79"/>
    <w:rsid w:val="00A8051A"/>
    <w:rsid w:val="00A806AE"/>
    <w:rsid w:val="00A8571D"/>
    <w:rsid w:val="00A87334"/>
    <w:rsid w:val="00A92E6D"/>
    <w:rsid w:val="00A934D5"/>
    <w:rsid w:val="00A957C4"/>
    <w:rsid w:val="00AA34FC"/>
    <w:rsid w:val="00AB201E"/>
    <w:rsid w:val="00AB3F92"/>
    <w:rsid w:val="00AB42C4"/>
    <w:rsid w:val="00AB581C"/>
    <w:rsid w:val="00AB5C96"/>
    <w:rsid w:val="00AC262B"/>
    <w:rsid w:val="00AC2B40"/>
    <w:rsid w:val="00AC2BB2"/>
    <w:rsid w:val="00AC2C3C"/>
    <w:rsid w:val="00AC3BD9"/>
    <w:rsid w:val="00AC44FA"/>
    <w:rsid w:val="00AC54D1"/>
    <w:rsid w:val="00AC6EBE"/>
    <w:rsid w:val="00AD4722"/>
    <w:rsid w:val="00AD58C6"/>
    <w:rsid w:val="00AD7E78"/>
    <w:rsid w:val="00AE2270"/>
    <w:rsid w:val="00AE4205"/>
    <w:rsid w:val="00AE6155"/>
    <w:rsid w:val="00AE65EB"/>
    <w:rsid w:val="00AE670F"/>
    <w:rsid w:val="00AF1D94"/>
    <w:rsid w:val="00AF27F0"/>
    <w:rsid w:val="00AF316D"/>
    <w:rsid w:val="00AF3A8C"/>
    <w:rsid w:val="00AF60C5"/>
    <w:rsid w:val="00B009C6"/>
    <w:rsid w:val="00B01548"/>
    <w:rsid w:val="00B138BE"/>
    <w:rsid w:val="00B15AE2"/>
    <w:rsid w:val="00B15C1C"/>
    <w:rsid w:val="00B17A0B"/>
    <w:rsid w:val="00B17CB3"/>
    <w:rsid w:val="00B21D29"/>
    <w:rsid w:val="00B21FC5"/>
    <w:rsid w:val="00B25034"/>
    <w:rsid w:val="00B27B29"/>
    <w:rsid w:val="00B27EA3"/>
    <w:rsid w:val="00B325C7"/>
    <w:rsid w:val="00B33863"/>
    <w:rsid w:val="00B34F51"/>
    <w:rsid w:val="00B35BA0"/>
    <w:rsid w:val="00B37D17"/>
    <w:rsid w:val="00B4175E"/>
    <w:rsid w:val="00B4454F"/>
    <w:rsid w:val="00B50EE7"/>
    <w:rsid w:val="00B510E1"/>
    <w:rsid w:val="00B54C25"/>
    <w:rsid w:val="00B55E71"/>
    <w:rsid w:val="00B57049"/>
    <w:rsid w:val="00B572B2"/>
    <w:rsid w:val="00B60801"/>
    <w:rsid w:val="00B617EA"/>
    <w:rsid w:val="00B6409A"/>
    <w:rsid w:val="00B6677B"/>
    <w:rsid w:val="00B71B18"/>
    <w:rsid w:val="00B7359B"/>
    <w:rsid w:val="00B7672F"/>
    <w:rsid w:val="00B76B91"/>
    <w:rsid w:val="00B83FC7"/>
    <w:rsid w:val="00B8473E"/>
    <w:rsid w:val="00B86F81"/>
    <w:rsid w:val="00B929EB"/>
    <w:rsid w:val="00B94276"/>
    <w:rsid w:val="00B94618"/>
    <w:rsid w:val="00B978A9"/>
    <w:rsid w:val="00BA5DD4"/>
    <w:rsid w:val="00BB0BD8"/>
    <w:rsid w:val="00BB3BAF"/>
    <w:rsid w:val="00BB538A"/>
    <w:rsid w:val="00BB6DFC"/>
    <w:rsid w:val="00BB7F56"/>
    <w:rsid w:val="00BC1CAB"/>
    <w:rsid w:val="00BC2009"/>
    <w:rsid w:val="00BC43AE"/>
    <w:rsid w:val="00BC50DB"/>
    <w:rsid w:val="00BC526C"/>
    <w:rsid w:val="00BC5AC3"/>
    <w:rsid w:val="00BC5AE6"/>
    <w:rsid w:val="00BC622A"/>
    <w:rsid w:val="00BD48EC"/>
    <w:rsid w:val="00BE0A78"/>
    <w:rsid w:val="00BE711A"/>
    <w:rsid w:val="00BE79F0"/>
    <w:rsid w:val="00BF046D"/>
    <w:rsid w:val="00BF46E4"/>
    <w:rsid w:val="00BF58B7"/>
    <w:rsid w:val="00BF5D04"/>
    <w:rsid w:val="00BF6D2F"/>
    <w:rsid w:val="00C007D3"/>
    <w:rsid w:val="00C019E6"/>
    <w:rsid w:val="00C0357E"/>
    <w:rsid w:val="00C03890"/>
    <w:rsid w:val="00C1305B"/>
    <w:rsid w:val="00C13563"/>
    <w:rsid w:val="00C1370B"/>
    <w:rsid w:val="00C16CCE"/>
    <w:rsid w:val="00C17E00"/>
    <w:rsid w:val="00C24035"/>
    <w:rsid w:val="00C25FC2"/>
    <w:rsid w:val="00C317FB"/>
    <w:rsid w:val="00C31D44"/>
    <w:rsid w:val="00C32A88"/>
    <w:rsid w:val="00C33FDE"/>
    <w:rsid w:val="00C3534F"/>
    <w:rsid w:val="00C3536F"/>
    <w:rsid w:val="00C364D5"/>
    <w:rsid w:val="00C36810"/>
    <w:rsid w:val="00C404A6"/>
    <w:rsid w:val="00C40A36"/>
    <w:rsid w:val="00C434EA"/>
    <w:rsid w:val="00C44419"/>
    <w:rsid w:val="00C45E7B"/>
    <w:rsid w:val="00C471B1"/>
    <w:rsid w:val="00C54222"/>
    <w:rsid w:val="00C55437"/>
    <w:rsid w:val="00C55C1A"/>
    <w:rsid w:val="00C6204C"/>
    <w:rsid w:val="00C6316B"/>
    <w:rsid w:val="00C634A9"/>
    <w:rsid w:val="00C6376F"/>
    <w:rsid w:val="00C651B1"/>
    <w:rsid w:val="00C669EE"/>
    <w:rsid w:val="00C73315"/>
    <w:rsid w:val="00C741A3"/>
    <w:rsid w:val="00C74DD6"/>
    <w:rsid w:val="00C7545E"/>
    <w:rsid w:val="00C76E42"/>
    <w:rsid w:val="00C772FF"/>
    <w:rsid w:val="00C801AF"/>
    <w:rsid w:val="00C80256"/>
    <w:rsid w:val="00C81696"/>
    <w:rsid w:val="00C87CA5"/>
    <w:rsid w:val="00C93228"/>
    <w:rsid w:val="00C94239"/>
    <w:rsid w:val="00C95D76"/>
    <w:rsid w:val="00CA068B"/>
    <w:rsid w:val="00CA0F79"/>
    <w:rsid w:val="00CA3A38"/>
    <w:rsid w:val="00CA62E0"/>
    <w:rsid w:val="00CA7F35"/>
    <w:rsid w:val="00CB27FE"/>
    <w:rsid w:val="00CB6BC0"/>
    <w:rsid w:val="00CC1694"/>
    <w:rsid w:val="00CC1B7C"/>
    <w:rsid w:val="00CC314F"/>
    <w:rsid w:val="00CC50DE"/>
    <w:rsid w:val="00CC536A"/>
    <w:rsid w:val="00CC727F"/>
    <w:rsid w:val="00CC7C62"/>
    <w:rsid w:val="00CD6EB8"/>
    <w:rsid w:val="00CE5BB0"/>
    <w:rsid w:val="00CE5E4B"/>
    <w:rsid w:val="00CF15C3"/>
    <w:rsid w:val="00CF2B6F"/>
    <w:rsid w:val="00CF3BC4"/>
    <w:rsid w:val="00CF6340"/>
    <w:rsid w:val="00D017ED"/>
    <w:rsid w:val="00D02AD9"/>
    <w:rsid w:val="00D07496"/>
    <w:rsid w:val="00D07BFC"/>
    <w:rsid w:val="00D118E4"/>
    <w:rsid w:val="00D135F8"/>
    <w:rsid w:val="00D153B1"/>
    <w:rsid w:val="00D1617A"/>
    <w:rsid w:val="00D224FE"/>
    <w:rsid w:val="00D229BA"/>
    <w:rsid w:val="00D24C02"/>
    <w:rsid w:val="00D31C69"/>
    <w:rsid w:val="00D46E89"/>
    <w:rsid w:val="00D47415"/>
    <w:rsid w:val="00D51CD8"/>
    <w:rsid w:val="00D55A5F"/>
    <w:rsid w:val="00D624D6"/>
    <w:rsid w:val="00D63084"/>
    <w:rsid w:val="00D63F91"/>
    <w:rsid w:val="00D6493E"/>
    <w:rsid w:val="00D72783"/>
    <w:rsid w:val="00D73C01"/>
    <w:rsid w:val="00D74637"/>
    <w:rsid w:val="00D763E2"/>
    <w:rsid w:val="00D77466"/>
    <w:rsid w:val="00D80DD3"/>
    <w:rsid w:val="00D82F24"/>
    <w:rsid w:val="00D834EE"/>
    <w:rsid w:val="00D84A25"/>
    <w:rsid w:val="00D855AE"/>
    <w:rsid w:val="00D86C12"/>
    <w:rsid w:val="00D87F31"/>
    <w:rsid w:val="00D959FC"/>
    <w:rsid w:val="00D97D00"/>
    <w:rsid w:val="00DA1124"/>
    <w:rsid w:val="00DA24C7"/>
    <w:rsid w:val="00DA2BE7"/>
    <w:rsid w:val="00DA3BFE"/>
    <w:rsid w:val="00DA4D6C"/>
    <w:rsid w:val="00DA5B9B"/>
    <w:rsid w:val="00DA7A0C"/>
    <w:rsid w:val="00DB33CF"/>
    <w:rsid w:val="00DB34F5"/>
    <w:rsid w:val="00DC2A10"/>
    <w:rsid w:val="00DC38FE"/>
    <w:rsid w:val="00DC55B7"/>
    <w:rsid w:val="00DC7746"/>
    <w:rsid w:val="00DC79D6"/>
    <w:rsid w:val="00DC7EE4"/>
    <w:rsid w:val="00DD75A3"/>
    <w:rsid w:val="00DE02AE"/>
    <w:rsid w:val="00DE6A0C"/>
    <w:rsid w:val="00DE6C04"/>
    <w:rsid w:val="00DF1D7F"/>
    <w:rsid w:val="00DF2F50"/>
    <w:rsid w:val="00DF475A"/>
    <w:rsid w:val="00E00945"/>
    <w:rsid w:val="00E02FB4"/>
    <w:rsid w:val="00E054D8"/>
    <w:rsid w:val="00E05AFE"/>
    <w:rsid w:val="00E05B04"/>
    <w:rsid w:val="00E06A1B"/>
    <w:rsid w:val="00E1165A"/>
    <w:rsid w:val="00E1340C"/>
    <w:rsid w:val="00E2020C"/>
    <w:rsid w:val="00E20571"/>
    <w:rsid w:val="00E207D9"/>
    <w:rsid w:val="00E21651"/>
    <w:rsid w:val="00E235F7"/>
    <w:rsid w:val="00E239D4"/>
    <w:rsid w:val="00E313A8"/>
    <w:rsid w:val="00E40B22"/>
    <w:rsid w:val="00E40BD2"/>
    <w:rsid w:val="00E40D8A"/>
    <w:rsid w:val="00E41AD2"/>
    <w:rsid w:val="00E42068"/>
    <w:rsid w:val="00E4307C"/>
    <w:rsid w:val="00E4588F"/>
    <w:rsid w:val="00E46DA3"/>
    <w:rsid w:val="00E476C8"/>
    <w:rsid w:val="00E54AE3"/>
    <w:rsid w:val="00E57B71"/>
    <w:rsid w:val="00E67C51"/>
    <w:rsid w:val="00E72FC4"/>
    <w:rsid w:val="00E81BC9"/>
    <w:rsid w:val="00E82136"/>
    <w:rsid w:val="00E85439"/>
    <w:rsid w:val="00E85D5D"/>
    <w:rsid w:val="00E860E0"/>
    <w:rsid w:val="00E86A1F"/>
    <w:rsid w:val="00E8778C"/>
    <w:rsid w:val="00E9008E"/>
    <w:rsid w:val="00E9579B"/>
    <w:rsid w:val="00E97275"/>
    <w:rsid w:val="00EA0A0F"/>
    <w:rsid w:val="00EA16DE"/>
    <w:rsid w:val="00EA406B"/>
    <w:rsid w:val="00EA5776"/>
    <w:rsid w:val="00EB0798"/>
    <w:rsid w:val="00EB28AE"/>
    <w:rsid w:val="00EB2F97"/>
    <w:rsid w:val="00EB34F1"/>
    <w:rsid w:val="00EB40AD"/>
    <w:rsid w:val="00EB4571"/>
    <w:rsid w:val="00EB586E"/>
    <w:rsid w:val="00EB5FC8"/>
    <w:rsid w:val="00EB74A7"/>
    <w:rsid w:val="00EC384E"/>
    <w:rsid w:val="00EC4910"/>
    <w:rsid w:val="00EC580A"/>
    <w:rsid w:val="00EC5876"/>
    <w:rsid w:val="00ED5A41"/>
    <w:rsid w:val="00ED5D05"/>
    <w:rsid w:val="00ED6B23"/>
    <w:rsid w:val="00EE00CA"/>
    <w:rsid w:val="00EE2CC3"/>
    <w:rsid w:val="00EE3577"/>
    <w:rsid w:val="00EF1963"/>
    <w:rsid w:val="00EF3C6A"/>
    <w:rsid w:val="00EF578B"/>
    <w:rsid w:val="00EF7B95"/>
    <w:rsid w:val="00F00E99"/>
    <w:rsid w:val="00F033EC"/>
    <w:rsid w:val="00F0438D"/>
    <w:rsid w:val="00F049A1"/>
    <w:rsid w:val="00F04F68"/>
    <w:rsid w:val="00F10A73"/>
    <w:rsid w:val="00F10BD8"/>
    <w:rsid w:val="00F12670"/>
    <w:rsid w:val="00F14B27"/>
    <w:rsid w:val="00F20118"/>
    <w:rsid w:val="00F23105"/>
    <w:rsid w:val="00F25577"/>
    <w:rsid w:val="00F2700C"/>
    <w:rsid w:val="00F3148D"/>
    <w:rsid w:val="00F32D36"/>
    <w:rsid w:val="00F3509E"/>
    <w:rsid w:val="00F35298"/>
    <w:rsid w:val="00F3529E"/>
    <w:rsid w:val="00F41A81"/>
    <w:rsid w:val="00F41DCE"/>
    <w:rsid w:val="00F443FD"/>
    <w:rsid w:val="00F44E21"/>
    <w:rsid w:val="00F46F9A"/>
    <w:rsid w:val="00F47D14"/>
    <w:rsid w:val="00F47E37"/>
    <w:rsid w:val="00F50ADC"/>
    <w:rsid w:val="00F50B5E"/>
    <w:rsid w:val="00F53E24"/>
    <w:rsid w:val="00F56D63"/>
    <w:rsid w:val="00F640B6"/>
    <w:rsid w:val="00F647EA"/>
    <w:rsid w:val="00F65B15"/>
    <w:rsid w:val="00F70540"/>
    <w:rsid w:val="00F76802"/>
    <w:rsid w:val="00F80E40"/>
    <w:rsid w:val="00F91585"/>
    <w:rsid w:val="00F923D6"/>
    <w:rsid w:val="00F942E9"/>
    <w:rsid w:val="00F95CA6"/>
    <w:rsid w:val="00F9705F"/>
    <w:rsid w:val="00F9710B"/>
    <w:rsid w:val="00FA029A"/>
    <w:rsid w:val="00FA144A"/>
    <w:rsid w:val="00FA2018"/>
    <w:rsid w:val="00FA3338"/>
    <w:rsid w:val="00FA5B82"/>
    <w:rsid w:val="00FA639E"/>
    <w:rsid w:val="00FA7DF1"/>
    <w:rsid w:val="00FB1B89"/>
    <w:rsid w:val="00FB3817"/>
    <w:rsid w:val="00FB5B25"/>
    <w:rsid w:val="00FC03C8"/>
    <w:rsid w:val="00FC25E4"/>
    <w:rsid w:val="00FC42B9"/>
    <w:rsid w:val="00FC4EF7"/>
    <w:rsid w:val="00FD56A0"/>
    <w:rsid w:val="00FD5947"/>
    <w:rsid w:val="00FD62E3"/>
    <w:rsid w:val="00FE1DEE"/>
    <w:rsid w:val="00FE705F"/>
    <w:rsid w:val="00FF01FE"/>
    <w:rsid w:val="00FF1448"/>
    <w:rsid w:val="00FF2126"/>
    <w:rsid w:val="00FF25D3"/>
    <w:rsid w:val="00FF4170"/>
    <w:rsid w:val="00FF59FF"/>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5E7007"/>
  <w15:docId w15:val="{9FB8A505-8DA2-46F1-8113-1A546668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32D0"/>
    <w:pPr>
      <w:spacing w:before="120" w:after="180" w:line="240" w:lineRule="atLeast"/>
    </w:pPr>
    <w:rPr>
      <w:sz w:val="22"/>
      <w:lang w:eastAsia="en-US"/>
    </w:rPr>
  </w:style>
  <w:style w:type="paragraph" w:styleId="Heading1">
    <w:name w:val="heading 1"/>
    <w:basedOn w:val="Heading2"/>
    <w:next w:val="Normal"/>
    <w:link w:val="Heading1Char"/>
    <w:rsid w:val="00D97D00"/>
    <w:pPr>
      <w:outlineLvl w:val="0"/>
    </w:pPr>
  </w:style>
  <w:style w:type="paragraph" w:styleId="Heading2">
    <w:name w:val="heading 2"/>
    <w:basedOn w:val="Normal"/>
    <w:next w:val="Normal"/>
    <w:link w:val="Heading2Char"/>
    <w:qFormat/>
    <w:rsid w:val="00BC2009"/>
    <w:pPr>
      <w:keepNext/>
      <w:keepLines/>
      <w:numPr>
        <w:numId w:val="5"/>
      </w:numPr>
      <w:spacing w:before="480" w:after="120"/>
      <w:outlineLvl w:val="1"/>
    </w:pPr>
    <w:rPr>
      <w:rFonts w:ascii="Arial" w:eastAsia="Times New Roman" w:hAnsi="Arial"/>
      <w:b/>
      <w:bCs/>
      <w:sz w:val="32"/>
      <w:szCs w:val="32"/>
    </w:rPr>
  </w:style>
  <w:style w:type="paragraph" w:styleId="Heading3">
    <w:name w:val="heading 3"/>
    <w:basedOn w:val="Normal"/>
    <w:next w:val="Normal"/>
    <w:link w:val="Heading3Char"/>
    <w:qFormat/>
    <w:rsid w:val="00BC2009"/>
    <w:pPr>
      <w:keepNext/>
      <w:keepLines/>
      <w:numPr>
        <w:ilvl w:val="1"/>
        <w:numId w:val="5"/>
      </w:numPr>
      <w:spacing w:before="480" w:after="120"/>
      <w:outlineLvl w:val="2"/>
    </w:pPr>
    <w:rPr>
      <w:rFonts w:ascii="Arial" w:eastAsia="Times New Roman" w:hAnsi="Arial"/>
      <w:b/>
      <w:bCs/>
      <w:sz w:val="28"/>
      <w:szCs w:val="32"/>
    </w:rPr>
  </w:style>
  <w:style w:type="paragraph" w:styleId="Heading4">
    <w:name w:val="heading 4"/>
    <w:basedOn w:val="Heading5"/>
    <w:next w:val="Normal"/>
    <w:link w:val="Heading4Char"/>
    <w:qFormat/>
    <w:rsid w:val="002F0113"/>
    <w:pPr>
      <w:outlineLvl w:val="3"/>
    </w:pPr>
  </w:style>
  <w:style w:type="paragraph" w:styleId="Heading5">
    <w:name w:val="heading 5"/>
    <w:basedOn w:val="Normal"/>
    <w:next w:val="Normal"/>
    <w:link w:val="Heading5Char"/>
    <w:uiPriority w:val="9"/>
    <w:qFormat/>
    <w:rsid w:val="006C57B7"/>
    <w:pPr>
      <w:keepNext/>
      <w:keepLines/>
      <w:spacing w:before="240" w:after="120"/>
      <w:ind w:left="1008" w:hanging="1008"/>
      <w:outlineLvl w:val="4"/>
    </w:pPr>
    <w:rPr>
      <w:rFonts w:eastAsia="Times New Roman"/>
      <w:b/>
      <w:bCs/>
      <w:i/>
      <w:color w:val="001523"/>
      <w:szCs w:val="26"/>
    </w:rPr>
  </w:style>
  <w:style w:type="paragraph" w:styleId="Heading6">
    <w:name w:val="heading 6"/>
    <w:basedOn w:val="Normal"/>
    <w:next w:val="Normal"/>
    <w:link w:val="Heading6Char"/>
    <w:uiPriority w:val="9"/>
    <w:qFormat/>
    <w:rsid w:val="00B138BE"/>
    <w:pPr>
      <w:keepNext/>
      <w:keepLines/>
      <w:numPr>
        <w:ilvl w:val="5"/>
        <w:numId w:val="5"/>
      </w:numPr>
      <w:spacing w:before="240" w:after="120"/>
      <w:outlineLvl w:val="5"/>
    </w:pPr>
    <w:rPr>
      <w:rFonts w:eastAsia="Times New Roman"/>
      <w:b/>
      <w:bCs/>
      <w:i/>
      <w:szCs w:val="21"/>
    </w:rPr>
  </w:style>
  <w:style w:type="paragraph" w:styleId="Heading7">
    <w:name w:val="heading 7"/>
    <w:basedOn w:val="Normal"/>
    <w:next w:val="Normal"/>
    <w:link w:val="Heading7Char"/>
    <w:uiPriority w:val="9"/>
    <w:qFormat/>
    <w:rsid w:val="00B138BE"/>
    <w:pPr>
      <w:keepNext/>
      <w:keepLines/>
      <w:numPr>
        <w:ilvl w:val="6"/>
        <w:numId w:val="5"/>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430AAA"/>
    <w:pPr>
      <w:keepNext/>
      <w:keepLines/>
      <w:numPr>
        <w:ilvl w:val="7"/>
        <w:numId w:val="5"/>
      </w:numPr>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430AAA"/>
    <w:pPr>
      <w:keepNext/>
      <w:keepLines/>
      <w:numPr>
        <w:ilvl w:val="8"/>
        <w:numId w:val="5"/>
      </w:numPr>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7D00"/>
    <w:rPr>
      <w:rFonts w:ascii="Arial" w:eastAsia="Times New Roman" w:hAnsi="Arial"/>
      <w:b/>
      <w:bCs/>
      <w:sz w:val="32"/>
      <w:szCs w:val="32"/>
      <w:lang w:eastAsia="en-US"/>
    </w:rPr>
  </w:style>
  <w:style w:type="character" w:customStyle="1" w:styleId="Heading2Char">
    <w:name w:val="Heading 2 Char"/>
    <w:basedOn w:val="DefaultParagraphFont"/>
    <w:link w:val="Heading2"/>
    <w:rsid w:val="00BC2009"/>
    <w:rPr>
      <w:rFonts w:ascii="Arial" w:eastAsia="Times New Roman" w:hAnsi="Arial"/>
      <w:b/>
      <w:bCs/>
      <w:sz w:val="32"/>
      <w:szCs w:val="32"/>
      <w:lang w:eastAsia="en-US"/>
    </w:rPr>
  </w:style>
  <w:style w:type="character" w:customStyle="1" w:styleId="Heading3Char">
    <w:name w:val="Heading 3 Char"/>
    <w:basedOn w:val="DefaultParagraphFont"/>
    <w:link w:val="Heading3"/>
    <w:rsid w:val="00BC2009"/>
    <w:rPr>
      <w:rFonts w:ascii="Arial" w:eastAsia="Times New Roman" w:hAnsi="Arial"/>
      <w:b/>
      <w:bCs/>
      <w:sz w:val="28"/>
      <w:szCs w:val="32"/>
      <w:lang w:eastAsia="en-US"/>
    </w:rPr>
  </w:style>
  <w:style w:type="paragraph" w:customStyle="1" w:styleId="Figuredescription">
    <w:name w:val="Figure description"/>
    <w:basedOn w:val="Normal"/>
    <w:next w:val="Normal"/>
    <w:rsid w:val="00CA62E0"/>
    <w:pPr>
      <w:spacing w:after="240" w:line="180" w:lineRule="atLeast"/>
    </w:pPr>
    <w:rPr>
      <w:sz w:val="18"/>
    </w:rPr>
  </w:style>
  <w:style w:type="paragraph" w:customStyle="1" w:styleId="Figuretitle">
    <w:name w:val="Figure title"/>
    <w:basedOn w:val="Normal"/>
    <w:next w:val="Normal"/>
    <w:rsid w:val="00CA62E0"/>
    <w:pPr>
      <w:outlineLvl w:val="4"/>
    </w:pPr>
    <w:rPr>
      <w:b/>
    </w:rPr>
  </w:style>
  <w:style w:type="paragraph" w:styleId="DocumentMap">
    <w:name w:val="Document Map"/>
    <w:basedOn w:val="Normal"/>
    <w:link w:val="DocumentMapChar"/>
    <w:uiPriority w:val="99"/>
    <w:semiHidden/>
    <w:unhideWhenUsed/>
    <w:rsid w:val="001B5CE3"/>
    <w:pPr>
      <w:spacing w:before="0"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DocumentMapChar">
    <w:name w:val="Document Map Char"/>
    <w:basedOn w:val="DefaultParagraphFont"/>
    <w:link w:val="DocumentMap"/>
    <w:uiPriority w:val="99"/>
    <w:semiHidden/>
    <w:rsid w:val="001B5CE3"/>
    <w:rPr>
      <w:rFonts w:ascii="Tahoma" w:hAnsi="Tahoma" w:cs="Tahoma"/>
      <w:sz w:val="16"/>
      <w:szCs w:val="16"/>
      <w:lang w:eastAsia="en-US"/>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2F0113"/>
    <w:rPr>
      <w:rFonts w:eastAsia="Times New Roman"/>
      <w:b/>
      <w:bCs/>
      <w:i/>
      <w:color w:val="001523"/>
      <w:sz w:val="22"/>
      <w:szCs w:val="26"/>
      <w:lang w:eastAsia="en-US"/>
    </w:rPr>
  </w:style>
  <w:style w:type="character" w:styleId="FollowedHyperlink">
    <w:name w:val="FollowedHyperlink"/>
    <w:basedOn w:val="DefaultParagraphFont"/>
    <w:semiHidden/>
    <w:unhideWhenUsed/>
    <w:rsid w:val="006B3CF2"/>
    <w:rPr>
      <w:color w:val="800080"/>
      <w:u w:val="single"/>
    </w:rPr>
  </w:style>
  <w:style w:type="paragraph" w:styleId="Footer">
    <w:name w:val="footer"/>
    <w:basedOn w:val="Normal"/>
    <w:link w:val="FooterChar"/>
    <w:uiPriority w:val="99"/>
    <w:rsid w:val="00B138BE"/>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B138BE"/>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EB74A7"/>
    <w:pPr>
      <w:pBdr>
        <w:bottom w:val="none" w:sz="0" w:space="0" w:color="auto"/>
      </w:pBdr>
      <w:spacing w:before="240" w:after="120"/>
    </w:pPr>
  </w:style>
  <w:style w:type="character" w:customStyle="1" w:styleId="Heading5Char">
    <w:name w:val="Heading 5 Char"/>
    <w:basedOn w:val="DefaultParagraphFont"/>
    <w:link w:val="Heading5"/>
    <w:uiPriority w:val="9"/>
    <w:rsid w:val="006C57B7"/>
    <w:rPr>
      <w:rFonts w:eastAsia="Times New Roman"/>
      <w:b/>
      <w:bCs/>
      <w:i/>
      <w:color w:val="001523"/>
      <w:sz w:val="22"/>
      <w:szCs w:val="26"/>
      <w:lang w:eastAsia="en-US"/>
    </w:rPr>
  </w:style>
  <w:style w:type="character" w:customStyle="1" w:styleId="Heading6Char">
    <w:name w:val="Heading 6 Char"/>
    <w:basedOn w:val="DefaultParagraphFont"/>
    <w:link w:val="Heading6"/>
    <w:uiPriority w:val="9"/>
    <w:rsid w:val="00F3148D"/>
    <w:rPr>
      <w:rFonts w:eastAsia="Times New Roman"/>
      <w:b/>
      <w:bCs/>
      <w:i/>
      <w:sz w:val="22"/>
      <w:szCs w:val="21"/>
      <w:lang w:eastAsia="en-US"/>
    </w:rPr>
  </w:style>
  <w:style w:type="character" w:customStyle="1" w:styleId="Heading7Char">
    <w:name w:val="Heading 7 Char"/>
    <w:basedOn w:val="DefaultParagraphFont"/>
    <w:link w:val="Heading7"/>
    <w:uiPriority w:val="9"/>
    <w:rsid w:val="00F3148D"/>
    <w:rPr>
      <w:rFonts w:eastAsia="Times New Roman"/>
      <w:bCs/>
      <w:i/>
      <w:sz w:val="22"/>
      <w:szCs w:val="22"/>
      <w:lang w:eastAsia="en-US"/>
    </w:rPr>
  </w:style>
  <w:style w:type="character" w:styleId="Hyperlink">
    <w:name w:val="Hyperlink"/>
    <w:aliases w:val="OECD Hyperlink"/>
    <w:basedOn w:val="DefaultParagraphFont"/>
    <w:uiPriority w:val="99"/>
    <w:unhideWhenUsed/>
    <w:rsid w:val="00B138BE"/>
    <w:rPr>
      <w:color w:val="0000FF"/>
      <w:u w:val="single"/>
    </w:rPr>
  </w:style>
  <w:style w:type="paragraph" w:customStyle="1" w:styleId="LegalCopy">
    <w:name w:val="Legal Copy"/>
    <w:basedOn w:val="Footer"/>
    <w:unhideWhenUsed/>
    <w:rsid w:val="006B3CF2"/>
  </w:style>
  <w:style w:type="paragraph" w:customStyle="1" w:styleId="LegalSubheading">
    <w:name w:val="Legal Subheading"/>
    <w:basedOn w:val="Footer"/>
    <w:unhideWhenUsed/>
    <w:rsid w:val="006B3CF2"/>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E313A8"/>
    <w:pPr>
      <w:numPr>
        <w:numId w:val="3"/>
      </w:numPr>
    </w:pPr>
  </w:style>
  <w:style w:type="paragraph" w:styleId="ListBullet2">
    <w:name w:val="List Bullet 2"/>
    <w:basedOn w:val="Normal"/>
    <w:uiPriority w:val="2"/>
    <w:qFormat/>
    <w:rsid w:val="00E313A8"/>
    <w:pPr>
      <w:numPr>
        <w:ilvl w:val="1"/>
        <w:numId w:val="3"/>
      </w:numPr>
    </w:pPr>
  </w:style>
  <w:style w:type="paragraph" w:styleId="ListBullet3">
    <w:name w:val="List Bullet 3"/>
    <w:basedOn w:val="Normal"/>
    <w:uiPriority w:val="2"/>
    <w:qFormat/>
    <w:rsid w:val="00E313A8"/>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313A8"/>
    <w:pPr>
      <w:numPr>
        <w:numId w:val="4"/>
      </w:numPr>
    </w:pPr>
  </w:style>
  <w:style w:type="paragraph" w:customStyle="1" w:styleId="Numberbullet2">
    <w:name w:val="Number bullet 2"/>
    <w:basedOn w:val="ListBullet2"/>
    <w:qFormat/>
    <w:rsid w:val="00E313A8"/>
    <w:pPr>
      <w:numPr>
        <w:numId w:val="4"/>
      </w:numPr>
      <w:ind w:left="850" w:hanging="425"/>
    </w:pPr>
  </w:style>
  <w:style w:type="paragraph" w:customStyle="1" w:styleId="Numberbullet3">
    <w:name w:val="Number bullet 3"/>
    <w:basedOn w:val="ListBullet3"/>
    <w:qFormat/>
    <w:rsid w:val="00E313A8"/>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B138BE"/>
    <w:pPr>
      <w:spacing w:before="40" w:after="0"/>
      <w:ind w:left="170" w:hanging="170"/>
    </w:pPr>
    <w:rPr>
      <w:sz w:val="19"/>
    </w:rPr>
  </w:style>
  <w:style w:type="paragraph" w:styleId="Subtitle">
    <w:name w:val="Subtitle"/>
    <w:basedOn w:val="Normal"/>
    <w:next w:val="Normal"/>
    <w:link w:val="SubtitleChar"/>
    <w:uiPriority w:val="11"/>
    <w:unhideWhenUsed/>
    <w:rsid w:val="001F04D7"/>
    <w:pPr>
      <w:numPr>
        <w:ilvl w:val="1"/>
      </w:numPr>
      <w:spacing w:after="12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1F04D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E860E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E860E0"/>
    <w:pPr>
      <w:keepNext/>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itle">
    <w:name w:val="Title"/>
    <w:next w:val="Normal"/>
    <w:link w:val="TitleChar"/>
    <w:uiPriority w:val="10"/>
    <w:unhideWhenUsed/>
    <w:rsid w:val="009F20E4"/>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9F20E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D3724"/>
    <w:pPr>
      <w:keepNext/>
      <w:keepLines/>
      <w:tabs>
        <w:tab w:val="right" w:leader="underscore" w:pos="8505"/>
      </w:tabs>
      <w:spacing w:after="200"/>
    </w:pPr>
    <w:rPr>
      <w:rFonts w:ascii="Arial" w:hAnsi="Arial"/>
      <w:b/>
    </w:rPr>
  </w:style>
  <w:style w:type="paragraph" w:styleId="TOC2">
    <w:name w:val="toc 2"/>
    <w:basedOn w:val="Normal"/>
    <w:next w:val="Normal"/>
    <w:uiPriority w:val="39"/>
    <w:unhideWhenUsed/>
    <w:rsid w:val="008D3724"/>
    <w:pPr>
      <w:keepNext/>
      <w:keepLines/>
      <w:tabs>
        <w:tab w:val="right" w:leader="underscore" w:pos="8505"/>
      </w:tabs>
      <w:spacing w:after="100"/>
      <w:ind w:left="425"/>
    </w:pPr>
  </w:style>
  <w:style w:type="paragraph" w:styleId="TOC3">
    <w:name w:val="toc 3"/>
    <w:basedOn w:val="Normal"/>
    <w:next w:val="Normal"/>
    <w:uiPriority w:val="39"/>
    <w:unhideWhenUsed/>
    <w:rsid w:val="008D3724"/>
    <w:pPr>
      <w:keepNext/>
      <w:keepLines/>
      <w:tabs>
        <w:tab w:val="right" w:leader="hyphen" w:pos="8505"/>
      </w:tabs>
      <w:spacing w:after="100"/>
      <w:ind w:left="851"/>
    </w:pPr>
    <w:rPr>
      <w:sz w:val="20"/>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B138BE"/>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8D3724"/>
    <w:pPr>
      <w:keepNext/>
      <w:keepLines/>
      <w:spacing w:before="360"/>
    </w:pPr>
    <w:rPr>
      <w:rFonts w:ascii="Arial" w:hAnsi="Arial"/>
      <w:b/>
    </w:rPr>
  </w:style>
  <w:style w:type="paragraph" w:customStyle="1" w:styleId="Quotation">
    <w:name w:val="Quotation"/>
    <w:basedOn w:val="Normal"/>
    <w:next w:val="Normal"/>
    <w:uiPriority w:val="4"/>
    <w:qFormat/>
    <w:rsid w:val="00B138BE"/>
    <w:pPr>
      <w:ind w:left="425"/>
    </w:pPr>
    <w:rPr>
      <w:sz w:val="20"/>
    </w:rPr>
  </w:style>
  <w:style w:type="paragraph" w:customStyle="1" w:styleId="Tabledescription">
    <w:name w:val="Table description"/>
    <w:basedOn w:val="Figuredescription"/>
    <w:next w:val="Normal"/>
    <w:rsid w:val="00CA62E0"/>
  </w:style>
  <w:style w:type="paragraph" w:customStyle="1" w:styleId="Tabletitle">
    <w:name w:val="Table title"/>
    <w:basedOn w:val="Normal"/>
    <w:next w:val="Normal"/>
    <w:rsid w:val="00041297"/>
    <w:pPr>
      <w:keepNext/>
      <w:outlineLvl w:val="4"/>
    </w:pPr>
    <w:rPr>
      <w:b/>
    </w:rPr>
  </w:style>
  <w:style w:type="paragraph" w:styleId="TOC4">
    <w:name w:val="toc 4"/>
    <w:basedOn w:val="Normal"/>
    <w:next w:val="Normal"/>
    <w:autoRedefine/>
    <w:uiPriority w:val="39"/>
    <w:semiHidden/>
    <w:unhideWhenUsed/>
    <w:rsid w:val="00B138BE"/>
    <w:pPr>
      <w:tabs>
        <w:tab w:val="right" w:leader="hyphen" w:pos="8505"/>
      </w:tabs>
      <w:spacing w:after="100"/>
      <w:ind w:left="1276"/>
    </w:pPr>
  </w:style>
  <w:style w:type="paragraph" w:styleId="TOC5">
    <w:name w:val="toc 5"/>
    <w:basedOn w:val="Normal"/>
    <w:next w:val="Normal"/>
    <w:autoRedefine/>
    <w:uiPriority w:val="39"/>
    <w:semiHidden/>
    <w:unhideWhenUsed/>
    <w:rsid w:val="00B138BE"/>
    <w:pPr>
      <w:tabs>
        <w:tab w:val="right" w:leader="dot" w:pos="8505"/>
      </w:tabs>
      <w:spacing w:after="100"/>
      <w:ind w:left="1701"/>
    </w:pPr>
    <w:rPr>
      <w:noProof/>
    </w:rPr>
  </w:style>
  <w:style w:type="paragraph" w:styleId="TOC6">
    <w:name w:val="toc 6"/>
    <w:basedOn w:val="Normal"/>
    <w:next w:val="Normal"/>
    <w:autoRedefine/>
    <w:uiPriority w:val="39"/>
    <w:semiHidden/>
    <w:unhideWhenUsed/>
    <w:rsid w:val="00B138BE"/>
    <w:pPr>
      <w:tabs>
        <w:tab w:val="right" w:pos="8505"/>
      </w:tabs>
      <w:spacing w:after="100"/>
      <w:ind w:left="2126"/>
    </w:pPr>
  </w:style>
  <w:style w:type="paragraph" w:styleId="EndnoteText">
    <w:name w:val="endnote text"/>
    <w:basedOn w:val="FootnoteText"/>
    <w:link w:val="EndnoteTextChar"/>
    <w:semiHidden/>
    <w:unhideWhenUsed/>
    <w:rsid w:val="00732B06"/>
    <w:rPr>
      <w:rFonts w:asciiTheme="minorHAnsi" w:hAnsiTheme="minorHAnsi" w:cstheme="minorBidi"/>
      <w:szCs w:val="22"/>
    </w:rPr>
  </w:style>
  <w:style w:type="character" w:customStyle="1" w:styleId="EndnoteTextChar">
    <w:name w:val="Endnote Text Char"/>
    <w:basedOn w:val="DefaultParagraphFont"/>
    <w:link w:val="EndnoteText"/>
    <w:semiHidden/>
    <w:rsid w:val="00732B06"/>
    <w:rPr>
      <w:rFonts w:asciiTheme="minorHAnsi" w:hAnsiTheme="minorHAnsi" w:cstheme="minorBidi"/>
      <w:szCs w:val="22"/>
      <w:lang w:eastAsia="en-US"/>
    </w:rPr>
  </w:style>
  <w:style w:type="paragraph" w:styleId="ListParagraph">
    <w:name w:val="List Paragraph"/>
    <w:basedOn w:val="Normal"/>
    <w:uiPriority w:val="34"/>
    <w:qFormat/>
    <w:rsid w:val="008D3FCE"/>
    <w:pPr>
      <w:ind w:left="720"/>
      <w:contextualSpacing/>
    </w:pPr>
  </w:style>
  <w:style w:type="character" w:customStyle="1" w:styleId="Heading8Char">
    <w:name w:val="Heading 8 Char"/>
    <w:basedOn w:val="DefaultParagraphFont"/>
    <w:link w:val="Heading8"/>
    <w:uiPriority w:val="9"/>
    <w:semiHidden/>
    <w:rsid w:val="00430AAA"/>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430AAA"/>
    <w:rPr>
      <w:rFonts w:asciiTheme="majorHAnsi" w:eastAsiaTheme="majorEastAsia" w:hAnsiTheme="majorHAnsi" w:cstheme="majorBidi"/>
      <w:i/>
      <w:iCs/>
      <w:color w:val="0070B5" w:themeColor="text1" w:themeTint="BF"/>
      <w:lang w:eastAsia="en-US"/>
    </w:rPr>
  </w:style>
  <w:style w:type="character" w:styleId="CommentReference">
    <w:name w:val="annotation reference"/>
    <w:basedOn w:val="DefaultParagraphFont"/>
    <w:uiPriority w:val="99"/>
    <w:semiHidden/>
    <w:unhideWhenUsed/>
    <w:rsid w:val="00A342E4"/>
    <w:rPr>
      <w:sz w:val="16"/>
      <w:szCs w:val="16"/>
    </w:rPr>
  </w:style>
  <w:style w:type="paragraph" w:styleId="CommentText">
    <w:name w:val="annotation text"/>
    <w:basedOn w:val="Normal"/>
    <w:link w:val="CommentTextChar"/>
    <w:uiPriority w:val="99"/>
    <w:unhideWhenUsed/>
    <w:rsid w:val="00A342E4"/>
    <w:pPr>
      <w:spacing w:line="240" w:lineRule="auto"/>
    </w:pPr>
    <w:rPr>
      <w:sz w:val="20"/>
    </w:rPr>
  </w:style>
  <w:style w:type="character" w:customStyle="1" w:styleId="CommentTextChar">
    <w:name w:val="Comment Text Char"/>
    <w:basedOn w:val="DefaultParagraphFont"/>
    <w:link w:val="CommentText"/>
    <w:uiPriority w:val="99"/>
    <w:rsid w:val="00A342E4"/>
    <w:rPr>
      <w:lang w:eastAsia="en-US"/>
    </w:rPr>
  </w:style>
  <w:style w:type="paragraph" w:styleId="CommentSubject">
    <w:name w:val="annotation subject"/>
    <w:basedOn w:val="CommentText"/>
    <w:next w:val="CommentText"/>
    <w:link w:val="CommentSubjectChar"/>
    <w:uiPriority w:val="99"/>
    <w:semiHidden/>
    <w:unhideWhenUsed/>
    <w:rsid w:val="00A342E4"/>
    <w:rPr>
      <w:b/>
      <w:bCs/>
    </w:rPr>
  </w:style>
  <w:style w:type="character" w:customStyle="1" w:styleId="CommentSubjectChar">
    <w:name w:val="Comment Subject Char"/>
    <w:basedOn w:val="CommentTextChar"/>
    <w:link w:val="CommentSubject"/>
    <w:uiPriority w:val="99"/>
    <w:semiHidden/>
    <w:rsid w:val="00A342E4"/>
    <w:rPr>
      <w:b/>
      <w:bCs/>
      <w:lang w:eastAsia="en-US"/>
    </w:rPr>
  </w:style>
  <w:style w:type="table" w:styleId="LightList-Accent1">
    <w:name w:val="Light List Accent 1"/>
    <w:basedOn w:val="TableNormal"/>
    <w:uiPriority w:val="61"/>
    <w:rsid w:val="00D47415"/>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semiHidden/>
    <w:unhideWhenUsed/>
    <w:rsid w:val="008D3724"/>
    <w:pPr>
      <w:spacing w:after="100"/>
      <w:ind w:left="1760"/>
    </w:pPr>
  </w:style>
  <w:style w:type="paragraph" w:customStyle="1" w:styleId="TableTitle0">
    <w:name w:val="Table Title"/>
    <w:basedOn w:val="Normal"/>
    <w:next w:val="Normal"/>
    <w:qFormat/>
    <w:rsid w:val="00FA7DF1"/>
    <w:pPr>
      <w:spacing w:before="180"/>
    </w:pPr>
    <w:rPr>
      <w:b/>
    </w:rPr>
  </w:style>
  <w:style w:type="character" w:styleId="Strong">
    <w:name w:val="Strong"/>
    <w:basedOn w:val="DefaultParagraphFont"/>
    <w:uiPriority w:val="22"/>
    <w:qFormat/>
    <w:rsid w:val="00FA7DF1"/>
    <w:rPr>
      <w:b/>
      <w:bCs/>
    </w:rPr>
  </w:style>
  <w:style w:type="paragraph" w:customStyle="1" w:styleId="Default">
    <w:name w:val="Default"/>
    <w:rsid w:val="00AE6155"/>
    <w:pPr>
      <w:autoSpaceDE w:val="0"/>
      <w:autoSpaceDN w:val="0"/>
      <w:adjustRightInd w:val="0"/>
    </w:pPr>
    <w:rPr>
      <w:rFonts w:ascii="Times New Roman" w:hAnsi="Times New Roman"/>
      <w:color w:val="000000"/>
      <w:sz w:val="24"/>
      <w:szCs w:val="24"/>
    </w:rPr>
  </w:style>
  <w:style w:type="character" w:styleId="EndnoteReference">
    <w:name w:val="endnote reference"/>
    <w:basedOn w:val="DefaultParagraphFont"/>
    <w:uiPriority w:val="99"/>
    <w:semiHidden/>
    <w:unhideWhenUsed/>
    <w:rsid w:val="00871E49"/>
    <w:rPr>
      <w:vertAlign w:val="superscript"/>
    </w:rPr>
  </w:style>
  <w:style w:type="character" w:customStyle="1" w:styleId="fontstyle01">
    <w:name w:val="fontstyle01"/>
    <w:basedOn w:val="DefaultParagraphFont"/>
    <w:rsid w:val="002B3304"/>
    <w:rPr>
      <w:rFonts w:ascii="Cambria" w:hAnsi="Cambria" w:hint="default"/>
      <w:b w:val="0"/>
      <w:bCs w:val="0"/>
      <w:i w:val="0"/>
      <w:iCs w:val="0"/>
      <w:color w:val="000000"/>
      <w:sz w:val="22"/>
      <w:szCs w:val="22"/>
    </w:rPr>
  </w:style>
  <w:style w:type="character" w:customStyle="1" w:styleId="fontstyle21">
    <w:name w:val="fontstyle21"/>
    <w:basedOn w:val="DefaultParagraphFont"/>
    <w:rsid w:val="002B3304"/>
    <w:rPr>
      <w:rFonts w:ascii="Cambria-Bold" w:hAnsi="Cambria-Bold" w:hint="default"/>
      <w:b/>
      <w:bCs/>
      <w:i w:val="0"/>
      <w:iCs w:val="0"/>
      <w:color w:val="000000"/>
      <w:sz w:val="22"/>
      <w:szCs w:val="22"/>
    </w:rPr>
  </w:style>
  <w:style w:type="paragraph" w:styleId="Revision">
    <w:name w:val="Revision"/>
    <w:hidden/>
    <w:uiPriority w:val="99"/>
    <w:semiHidden/>
    <w:rsid w:val="002C48BF"/>
    <w:rPr>
      <w:sz w:val="22"/>
      <w:lang w:eastAsia="en-US"/>
    </w:rPr>
  </w:style>
  <w:style w:type="paragraph" w:customStyle="1" w:styleId="ListBulleta">
    <w:name w:val="List Bullet a)"/>
    <w:basedOn w:val="ListBullet"/>
    <w:uiPriority w:val="1"/>
    <w:qFormat/>
    <w:rsid w:val="005302F5"/>
    <w:pPr>
      <w:numPr>
        <w:numId w:val="6"/>
      </w:numPr>
    </w:pPr>
  </w:style>
  <w:style w:type="paragraph" w:customStyle="1" w:styleId="ListBulleti">
    <w:name w:val="List Bullet i)"/>
    <w:basedOn w:val="ListBullet"/>
    <w:uiPriority w:val="1"/>
    <w:qFormat/>
    <w:rsid w:val="005302F5"/>
    <w:pPr>
      <w:numPr>
        <w:numId w:val="7"/>
      </w:numPr>
    </w:pPr>
  </w:style>
  <w:style w:type="character" w:customStyle="1" w:styleId="Style1">
    <w:name w:val="Style1"/>
    <w:basedOn w:val="DefaultParagraphFont"/>
    <w:uiPriority w:val="1"/>
    <w:rsid w:val="005A5916"/>
    <w:rPr>
      <w:rFonts w:ascii="Cambria" w:hAnsi="Cambria"/>
      <w:sz w:val="22"/>
    </w:rPr>
  </w:style>
  <w:style w:type="paragraph" w:styleId="NormalWeb">
    <w:name w:val="Normal (Web)"/>
    <w:basedOn w:val="Normal"/>
    <w:uiPriority w:val="99"/>
    <w:semiHidden/>
    <w:unhideWhenUsed/>
    <w:rsid w:val="004B545E"/>
    <w:pPr>
      <w:spacing w:before="100" w:beforeAutospacing="1" w:after="100" w:afterAutospacing="1" w:line="240" w:lineRule="auto"/>
    </w:pPr>
    <w:rPr>
      <w:rFonts w:ascii="Times New Roman" w:eastAsia="Times New Roman" w:hAnsi="Times New Roman"/>
      <w:sz w:val="24"/>
      <w:szCs w:val="24"/>
      <w:lang w:eastAsia="en-AU"/>
    </w:rPr>
  </w:style>
  <w:style w:type="character" w:styleId="UnresolvedMention">
    <w:name w:val="Unresolved Mention"/>
    <w:basedOn w:val="DefaultParagraphFont"/>
    <w:uiPriority w:val="99"/>
    <w:semiHidden/>
    <w:unhideWhenUsed/>
    <w:rsid w:val="00387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86088">
      <w:bodyDiv w:val="1"/>
      <w:marLeft w:val="0"/>
      <w:marRight w:val="0"/>
      <w:marTop w:val="0"/>
      <w:marBottom w:val="0"/>
      <w:divBdr>
        <w:top w:val="none" w:sz="0" w:space="0" w:color="auto"/>
        <w:left w:val="none" w:sz="0" w:space="0" w:color="auto"/>
        <w:bottom w:val="none" w:sz="0" w:space="0" w:color="auto"/>
        <w:right w:val="none" w:sz="0" w:space="0" w:color="auto"/>
      </w:divBdr>
    </w:div>
    <w:div w:id="45587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ga.gov.au/publication/ahmac-scheduling-policy-framework-medicines-and-chemicals" TargetMode="External"/><Relationship Id="rId21" Type="http://schemas.openxmlformats.org/officeDocument/2006/relationships/hyperlink" Target="https://www.tga.gov.au/publication/ahmac-scheduling-policy-framework-medicines-and-chemicals" TargetMode="External"/><Relationship Id="rId34" Type="http://schemas.openxmlformats.org/officeDocument/2006/relationships/hyperlink" Target="https://www.tga.gov.au/publication/ahmac-scheduling-policy-framework-medicines-and-chemicals" TargetMode="External"/><Relationship Id="rId42" Type="http://schemas.openxmlformats.org/officeDocument/2006/relationships/hyperlink" Target="https://www.tga.gov.au/publication/ahmac-scheduling-policy-framework-medicines-and-chemicals" TargetMode="External"/><Relationship Id="rId47" Type="http://schemas.openxmlformats.org/officeDocument/2006/relationships/hyperlink" Target="https://consultations.health.gov.au/tga/june_2021_joint/" TargetMode="External"/><Relationship Id="rId50" Type="http://schemas.openxmlformats.org/officeDocument/2006/relationships/hyperlink" Target="https://www.tga.gov.au/scheduling-decision-interim/notice-interim-decisions-proposed-amendments-poisons-standard-joint-acms-accs-28-june-2021" TargetMode="External"/><Relationship Id="rId55" Type="http://schemas.openxmlformats.org/officeDocument/2006/relationships/hyperlink" Target="https://consultations.health.gov.au/tga/june_2021_joint/" TargetMode="External"/><Relationship Id="rId63" Type="http://schemas.openxmlformats.org/officeDocument/2006/relationships/hyperlink" Target="https://consultations.tga.gov.au/tga/june_2021_accs/" TargetMode="External"/><Relationship Id="rId68" Type="http://schemas.openxmlformats.org/officeDocument/2006/relationships/hyperlink" Target="https://www.tga.gov.au/publication/scheduling-handbook-guidance-amending-poisons-standard" TargetMode="External"/><Relationship Id="rId76" Type="http://schemas.openxmlformats.org/officeDocument/2006/relationships/hyperlink" Target="https://www.tga.gov.au/publication/scheduling-handbook-guidance-amending-poisons-standard" TargetMode="External"/><Relationship Id="rId84" Type="http://schemas.openxmlformats.org/officeDocument/2006/relationships/hyperlink" Target="https://www.tga.gov.au/publication/ahmac-scheduling-policy-framework-medicines-and-chemicals" TargetMode="External"/><Relationship Id="rId89" Type="http://schemas.openxmlformats.org/officeDocument/2006/relationships/hyperlink" Target="https://www.tga.gov.au/sites/default/files/consultation-proposed-amendments-poisons-standard-accs-31-june-2021.pdf" TargetMode="External"/><Relationship Id="rId97"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hyperlink" Target="https://consultations.health.gov.au/tga/june_2021_accs/" TargetMode="External"/><Relationship Id="rId92" Type="http://schemas.openxmlformats.org/officeDocument/2006/relationships/hyperlink" Target="https://www.tga.gov.au/publication/ahmac-scheduling-policy-framework-medicines-and-chemicals" TargetMode="External"/><Relationship Id="rId2" Type="http://schemas.openxmlformats.org/officeDocument/2006/relationships/numbering" Target="numbering.xml"/><Relationship Id="rId16" Type="http://schemas.openxmlformats.org/officeDocument/2006/relationships/hyperlink" Target="https://www.tga.gov.au/sites/default/files/consultation-proposed-amendments-poisons-standard-acms-34-june-2021.pdf" TargetMode="External"/><Relationship Id="rId29" Type="http://schemas.openxmlformats.org/officeDocument/2006/relationships/hyperlink" Target="https://www.tga.gov.au/consultation-invitation/consultation-proposed-amendments-poisons-standard-acms-34-june-2021" TargetMode="External"/><Relationship Id="rId11" Type="http://schemas.microsoft.com/office/2018/08/relationships/commentsExtensible" Target="commentsExtensible.xml"/><Relationship Id="rId24" Type="http://schemas.openxmlformats.org/officeDocument/2006/relationships/hyperlink" Target="https://consultations.tga.gov.au/tga/june_2021_acms/" TargetMode="External"/><Relationship Id="rId32" Type="http://schemas.openxmlformats.org/officeDocument/2006/relationships/hyperlink" Target="https://consultations.tga.gov.au/tga/june_2021_acms_interim/" TargetMode="External"/><Relationship Id="rId37" Type="http://schemas.openxmlformats.org/officeDocument/2006/relationships/hyperlink" Target="https://www.tga.gov.au/sites/default/files/consultation-proposed-amendments-poisons-standard-oral-contraceptives-acms-34-june-2021.pdf" TargetMode="External"/><Relationship Id="rId40" Type="http://schemas.openxmlformats.org/officeDocument/2006/relationships/hyperlink" Target="https://consultations.tga.gov.au/tga/june_2021_interim_oral_contraceptives/" TargetMode="External"/><Relationship Id="rId45" Type="http://schemas.openxmlformats.org/officeDocument/2006/relationships/hyperlink" Target="https://www.tga.gov.au/scheduling-decision-interim/notice-interim-decisions-proposed-amendments-poisons-standard-acms-34-oral-contraceptive-substances-june-2021" TargetMode="External"/><Relationship Id="rId53" Type="http://schemas.openxmlformats.org/officeDocument/2006/relationships/hyperlink" Target="https://www.tga.gov.au/sites/default/files/notice-interim-decisions-proposed-amendments-poisons-standard-joint-acms-accs-meeting-june-2021.pdf" TargetMode="External"/><Relationship Id="rId58" Type="http://schemas.openxmlformats.org/officeDocument/2006/relationships/hyperlink" Target="https://www.tga.gov.au/scheduling-decision-interim/notice-interim-decisions-proposed-amendments-poisons-standard-joint-acms-accs-28-june-2021" TargetMode="External"/><Relationship Id="rId66" Type="http://schemas.openxmlformats.org/officeDocument/2006/relationships/hyperlink" Target="https://www.tga.gov.au/scheduling-decision-interim/notice-interim-decisions-proposed-amendments-poisons-standard-joint-acms-accs-28-june-2021" TargetMode="External"/><Relationship Id="rId74" Type="http://schemas.openxmlformats.org/officeDocument/2006/relationships/hyperlink" Target="https://www.tga.gov.au/scheduling-decision-interim/notice-interim-decisions-proposed-amendments-poisons-standard-accs-31-june-2021" TargetMode="External"/><Relationship Id="rId79" Type="http://schemas.openxmlformats.org/officeDocument/2006/relationships/hyperlink" Target="https://echa.europa.eu/de/substance-information/-/substanceinfo/100.073.272" TargetMode="External"/><Relationship Id="rId87" Type="http://schemas.openxmlformats.org/officeDocument/2006/relationships/hyperlink" Target="https://www.industrialchemicals.gov.au/sites/default/files/Lead%20acetates_%20Human%20health%20tier%20III%20assessment.pdf" TargetMode="External"/><Relationship Id="rId5" Type="http://schemas.openxmlformats.org/officeDocument/2006/relationships/webSettings" Target="webSettings.xml"/><Relationship Id="rId61" Type="http://schemas.openxmlformats.org/officeDocument/2006/relationships/hyperlink" Target="https://www.tga.gov.au/sites/default/files/notice-interim-decisions-proposed-amendments-poisons-standard-joint-acms-accs-meeting-june-2021.pdf" TargetMode="External"/><Relationship Id="rId82" Type="http://schemas.openxmlformats.org/officeDocument/2006/relationships/hyperlink" Target="https://consultations.tga.gov.au/tga/june_2021_accs_interim/" TargetMode="External"/><Relationship Id="rId90" Type="http://schemas.openxmlformats.org/officeDocument/2006/relationships/hyperlink" Target="https://consultations.tga.gov.au/tga/june_2021_accs_interim/" TargetMode="External"/><Relationship Id="rId95" Type="http://schemas.openxmlformats.org/officeDocument/2006/relationships/header" Target="header3.xml"/><Relationship Id="rId19" Type="http://schemas.openxmlformats.org/officeDocument/2006/relationships/hyperlink" Target="https://consultations.tga.gov.au/tga/june_2021_acms_interim/" TargetMode="External"/><Relationship Id="rId14" Type="http://schemas.openxmlformats.org/officeDocument/2006/relationships/header" Target="header2.xml"/><Relationship Id="rId22" Type="http://schemas.openxmlformats.org/officeDocument/2006/relationships/hyperlink" Target="https://www.tga.gov.au/publication/scheduling-handbook-guidance-amending-poisons-standard" TargetMode="External"/><Relationship Id="rId27" Type="http://schemas.openxmlformats.org/officeDocument/2006/relationships/hyperlink" Target="https://www.tga.gov.au/publication/scheduling-handbook-guidance-amending-poisons-standard" TargetMode="External"/><Relationship Id="rId30" Type="http://schemas.openxmlformats.org/officeDocument/2006/relationships/hyperlink" Target="https://consultations.tga.gov.au/tga/june_2021_acms/" TargetMode="External"/><Relationship Id="rId35" Type="http://schemas.openxmlformats.org/officeDocument/2006/relationships/hyperlink" Target="https://www.tga.gov.au/publication/scheduling-handbook-guidance-amending-poisons-standard" TargetMode="External"/><Relationship Id="rId43" Type="http://schemas.openxmlformats.org/officeDocument/2006/relationships/hyperlink" Target="https://www.tga.gov.au/publication/scheduling-handbook-guidance-amending-poisons-standard" TargetMode="External"/><Relationship Id="rId48" Type="http://schemas.openxmlformats.org/officeDocument/2006/relationships/hyperlink" Target="https://www.tga.gov.au/sites/default/files/consultation-proposed-amendments-poisons-standard-joint-acmsaccs-28-june-2021.pdf" TargetMode="External"/><Relationship Id="rId56" Type="http://schemas.openxmlformats.org/officeDocument/2006/relationships/hyperlink" Target="https://www.tga.gov.au/sites/default/files/consultation-proposed-amendments-poisons-standard-joint-acmsaccs-28-june-2021.pdf" TargetMode="External"/><Relationship Id="rId64" Type="http://schemas.openxmlformats.org/officeDocument/2006/relationships/hyperlink" Target="https://www.tga.gov.au/consultation-invitation/consultation-proposed-amendments-poisons-standard-accs-31-june-2021" TargetMode="External"/><Relationship Id="rId69" Type="http://schemas.openxmlformats.org/officeDocument/2006/relationships/hyperlink" Target="https://www.tga.gov.au/sites/default/files/notice-interim-decisions-proposed-amendments-poisons-standard-joint-acms-accs-meeting-june-2021.pdf" TargetMode="External"/><Relationship Id="rId77" Type="http://schemas.openxmlformats.org/officeDocument/2006/relationships/hyperlink" Target="https://www.tga.gov.au/scheduling-decision-interim/notice-interim-decisions-proposed-amendments-poisons-standard-accs-31-june-2021" TargetMode="External"/><Relationship Id="rId100" Type="http://schemas.microsoft.com/office/2011/relationships/people" Target="people.xml"/><Relationship Id="rId8" Type="http://schemas.openxmlformats.org/officeDocument/2006/relationships/comments" Target="comments.xml"/><Relationship Id="rId51" Type="http://schemas.openxmlformats.org/officeDocument/2006/relationships/hyperlink" Target="https://www.tga.gov.au/publication/ahmac-scheduling-policy-framework-medicines-and-chemicals" TargetMode="External"/><Relationship Id="rId72" Type="http://schemas.openxmlformats.org/officeDocument/2006/relationships/hyperlink" Target="https://www.tga.gov.au/sites/default/files/consultation-proposed-amendments-poisons-standard-accs-31-june-2021.pdf" TargetMode="External"/><Relationship Id="rId80" Type="http://schemas.openxmlformats.org/officeDocument/2006/relationships/hyperlink" Target="https://consultations.health.gov.au/tga/june_2021_accs/" TargetMode="External"/><Relationship Id="rId85" Type="http://schemas.openxmlformats.org/officeDocument/2006/relationships/hyperlink" Target="https://www.tga.gov.au/publication/scheduling-handbook-guidance-amending-poisons-standard" TargetMode="External"/><Relationship Id="rId93" Type="http://schemas.openxmlformats.org/officeDocument/2006/relationships/hyperlink" Target="https://www.tga.gov.au/publication/scheduling-handbook-guidance-amending-poisons-standard" TargetMode="External"/><Relationship Id="rId98" Type="http://schemas.openxmlformats.org/officeDocument/2006/relationships/footer" Target="footer3.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consultations.health.gov.au/tga/june_2021_acms/" TargetMode="External"/><Relationship Id="rId25" Type="http://schemas.openxmlformats.org/officeDocument/2006/relationships/hyperlink" Target="https://www.tga.gov.au/sites/default/files/consultation-proposed-amendments-poisons-standard-acms-34-june-2021.pdf" TargetMode="External"/><Relationship Id="rId33" Type="http://schemas.openxmlformats.org/officeDocument/2006/relationships/hyperlink" Target="https://www.tga.gov.au/scheduling-decision-interim/notice-interim-decisions-proposed-amendments-poisons-standard-acms-34-june-2021" TargetMode="External"/><Relationship Id="rId38" Type="http://schemas.openxmlformats.org/officeDocument/2006/relationships/hyperlink" Target="https://consultations.tga.gov.au/tga/june_2021_acms_oral_contraceptiveshttps:/consultations.tga.gov.au/tga/june_2021_acms_oral_contraceptives" TargetMode="External"/><Relationship Id="rId46" Type="http://schemas.openxmlformats.org/officeDocument/2006/relationships/hyperlink" Target="https://www.tga.gov.au/sites/default/files/consultation-proposed-amendments-poisons-standard-joint-acmsaccs-28-june-2021.pdf" TargetMode="External"/><Relationship Id="rId59" Type="http://schemas.openxmlformats.org/officeDocument/2006/relationships/hyperlink" Target="https://www.tga.gov.au/publication/ahmac-scheduling-policy-framework-medicines-and-chemicals" TargetMode="External"/><Relationship Id="rId67" Type="http://schemas.openxmlformats.org/officeDocument/2006/relationships/hyperlink" Target="https://www.tga.gov.au/publication/ahmac-scheduling-policy-framework-medicines-and-chemicals" TargetMode="External"/><Relationship Id="rId20" Type="http://schemas.openxmlformats.org/officeDocument/2006/relationships/hyperlink" Target="https://www.tga.gov.au/scheduling-decision-interim/notice-interim-decisions-proposed-amendments-poisons-standard-acms-34-june-2021" TargetMode="External"/><Relationship Id="rId41" Type="http://schemas.openxmlformats.org/officeDocument/2006/relationships/hyperlink" Target="https://www.tga.gov.au/scheduling-decision-interim/notice-interim-decisions-proposed-amendments-poisons-standard-acms-34-oral-contraceptive-substances-june-2021" TargetMode="External"/><Relationship Id="rId54" Type="http://schemas.openxmlformats.org/officeDocument/2006/relationships/hyperlink" Target="https://www.tga.gov.au/sites/default/files/consultation-proposed-amendments-poisons-standard-joint-acmsaccs-28-june-2021.pdf" TargetMode="External"/><Relationship Id="rId62" Type="http://schemas.openxmlformats.org/officeDocument/2006/relationships/hyperlink" Target="https://www.industrialchemicals.gov.au/sites/default/files/Phenol%2C%202-methoxy-4-%282-propenyl%29-_Human%20health%20tier%20II%20assessment.pdf" TargetMode="External"/><Relationship Id="rId70" Type="http://schemas.openxmlformats.org/officeDocument/2006/relationships/hyperlink" Target="https://www.industrialchemicals.gov.au/sites/default/files/Phenol%2C%202-amino-5-methyl-_Human%20health%20tier%20II%20assessment.pdf" TargetMode="External"/><Relationship Id="rId75" Type="http://schemas.openxmlformats.org/officeDocument/2006/relationships/hyperlink" Target="https://www.tga.gov.au/publication/ahmac-scheduling-policy-framework-medicines-and-chemicals" TargetMode="External"/><Relationship Id="rId83" Type="http://schemas.openxmlformats.org/officeDocument/2006/relationships/hyperlink" Target="https://www.tga.gov.au/scheduling-decision-interim/notice-interim-decisions-proposed-amendments-poisons-standard-accs-31-june-2021" TargetMode="External"/><Relationship Id="rId88" Type="http://schemas.openxmlformats.org/officeDocument/2006/relationships/hyperlink" Target="https://consultations.health.gov.au/tga/june_2021_accs/" TargetMode="External"/><Relationship Id="rId91" Type="http://schemas.openxmlformats.org/officeDocument/2006/relationships/hyperlink" Target="https://www.tga.gov.au/sites/default/files/notice-interim-decisions-proposed-amendments-poisons-standard-accs-meeting-june-2021.pdf"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tga.copyright@tga.gov.au" TargetMode="External"/><Relationship Id="rId23" Type="http://schemas.openxmlformats.org/officeDocument/2006/relationships/hyperlink" Target="https://www.tga.gov.au/sites/default/files/notice-interim-decisions-proposed-amendments-poisons-standard-acms-34-june-2021.pdf" TargetMode="External"/><Relationship Id="rId28" Type="http://schemas.openxmlformats.org/officeDocument/2006/relationships/hyperlink" Target="https://www.tga.gov.au/sites/default/files/notice-interim-decisions-proposed-amendments-poisons-standard-acms-34-june-2021.pdf" TargetMode="External"/><Relationship Id="rId36" Type="http://schemas.openxmlformats.org/officeDocument/2006/relationships/hyperlink" Target="https://www.tga.gov.au/sites/default/files/notice-interim-decisions-proposed-amendments-poisons-standard-acms-34-june-2021.pdf" TargetMode="External"/><Relationship Id="rId49" Type="http://schemas.openxmlformats.org/officeDocument/2006/relationships/hyperlink" Target="https://consultations.tga.gov.au/tga/june_2021_joint_interim/" TargetMode="External"/><Relationship Id="rId57" Type="http://schemas.openxmlformats.org/officeDocument/2006/relationships/hyperlink" Target="https://consultations.tga.gov.au/tga/june_2021_joint_interim" TargetMode="External"/><Relationship Id="rId10" Type="http://schemas.microsoft.com/office/2016/09/relationships/commentsIds" Target="commentsIds.xml"/><Relationship Id="rId31" Type="http://schemas.openxmlformats.org/officeDocument/2006/relationships/hyperlink" Target="https://www.tga.gov.au/sites/default/files/consultation-proposed-amendments-poisons-standard-acms-34-june-2021.pdf" TargetMode="External"/><Relationship Id="rId44" Type="http://schemas.openxmlformats.org/officeDocument/2006/relationships/hyperlink" Target="https://www.tga.gov.au/publication-issue/update-dienogest-and-risk-venous-thromboembolism" TargetMode="External"/><Relationship Id="rId52" Type="http://schemas.openxmlformats.org/officeDocument/2006/relationships/hyperlink" Target="https://www.tga.gov.au/publication/scheduling-handbook-guidance-amending-poisons-standard" TargetMode="External"/><Relationship Id="rId60" Type="http://schemas.openxmlformats.org/officeDocument/2006/relationships/hyperlink" Target="https://www.tga.gov.au/publication/scheduling-handbook-guidance-amending-poisons-standard" TargetMode="External"/><Relationship Id="rId65" Type="http://schemas.openxmlformats.org/officeDocument/2006/relationships/hyperlink" Target="https://consultations.tga.gov.au/tga/june_2021_joint_interim" TargetMode="External"/><Relationship Id="rId73" Type="http://schemas.openxmlformats.org/officeDocument/2006/relationships/hyperlink" Target="https://consultations.tga.gov.au/tga/june_2021_accs_interim/" TargetMode="External"/><Relationship Id="rId78" Type="http://schemas.openxmlformats.org/officeDocument/2006/relationships/hyperlink" Target="https://www.industrialchemicals.gov.au/sites/default/files/2%2C3-Pyridinediamine%2C%206-methoxy-N2-methyl-%2C%20dihydrochloride_Human%20health%20tier%20II%20assessment.pdf" TargetMode="External"/><Relationship Id="rId81" Type="http://schemas.openxmlformats.org/officeDocument/2006/relationships/hyperlink" Target="https://www.tga.gov.au/sites/default/files/consultation-proposed-amendments-poisons-standard-accs-31-june-2021.pdf" TargetMode="External"/><Relationship Id="rId86" Type="http://schemas.openxmlformats.org/officeDocument/2006/relationships/hyperlink" Target="https://www.tga.gov.au/scheduling-decision-interim/notice-interim-decisions-proposed-amendments-poisons-standard-accs-31-june-2021" TargetMode="External"/><Relationship Id="rId94" Type="http://schemas.openxmlformats.org/officeDocument/2006/relationships/hyperlink" Target="https://www.tga.gov.au/scheduling-decision-interim/notice-interim-decisions-proposed-amendments-poisons-standard-accs-31-june-2021" TargetMode="Externa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yperlink" Target="https://www.tga.gov.au/sites/default/files/consultation-proposed-amendments-poisons-standard-acms-34-june-2021.pdf" TargetMode="External"/><Relationship Id="rId39" Type="http://schemas.openxmlformats.org/officeDocument/2006/relationships/hyperlink" Target="https://www.tga.gov.au/sites/default/files/consultation-proposed-amendments-poisons-standard-oral-contraceptives-acms-34-june-202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file:///C:\Users\chilld\AppData\Local\Hewlett-Packard\HP%20TRIM\TEMP\HPTRIM.18576\www.legislation.gov.au\Details\F2020C00918" TargetMode="External"/><Relationship Id="rId2" Type="http://schemas.openxmlformats.org/officeDocument/2006/relationships/hyperlink" Target="https://www.canceraustralia.gov.au/affected-cancer/cancer-types/ovarian-cancer/what-are-risk-factors-ovarian-cancer" TargetMode="External"/><Relationship Id="rId1" Type="http://schemas.openxmlformats.org/officeDocument/2006/relationships/hyperlink" Target="https://www.canceraustralia.gov.au/cancer-types/endometrial-cancer/awareness/medical-history-and-medications/oral-contraceptive-pill" TargetMode="External"/><Relationship Id="rId6" Type="http://schemas.openxmlformats.org/officeDocument/2006/relationships/hyperlink" Target="https://www.cdc.gov/niosh/ershdb/emergencyresponsecard_29750029.html" TargetMode="External"/><Relationship Id="rId5" Type="http://schemas.openxmlformats.org/officeDocument/2006/relationships/hyperlink" Target="https://www.gov.uk/government/news/first-progesterone-only-contraceptive-pills-to-be-available-to-purchase-from-pharmacies" TargetMode="External"/><Relationship Id="rId4" Type="http://schemas.openxmlformats.org/officeDocument/2006/relationships/hyperlink" Target="https://www.gov.uk/government/organisations/medicines-and-healthcare-products-regulatory-agency"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mic\AppData\Local\Hewlett-Packard\HP%20TRIM\TEMP\HPTRIM.7372\R14%201178772%20%20Template%20%23011%20-%20Minutes%20-%20ACMS.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53532-0F79-47E1-9479-D7FCFD6C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R14 1178772  Template #011 - Minutes - ACMS.DOTX</Template>
  <TotalTime>259</TotalTime>
  <Pages>21</Pages>
  <Words>8307</Words>
  <Characters>45940</Characters>
  <Application>Microsoft Office Word</Application>
  <DocSecurity>0</DocSecurity>
  <Lines>883</Lines>
  <Paragraphs>463</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53784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decisions to amend (or not amend) the current Poisons Standard - ACMS #34, Joint ACMS-ACCS #28, ACCS #31</dc:title>
  <dc:subject>scheduling medicines and poisons</dc:subject>
  <dc:creator>Therapeutic Goods Administration</dc:creator>
  <dc:description>template v1.4</dc:description>
  <cp:lastPrinted>2020-05-01T05:17:00Z</cp:lastPrinted>
  <dcterms:created xsi:type="dcterms:W3CDTF">2021-12-10T04:01:00Z</dcterms:created>
  <dcterms:modified xsi:type="dcterms:W3CDTF">2021-12-19T10:13:00Z</dcterms:modified>
</cp:coreProperties>
</file>