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7D" w:rsidRDefault="0029347D" w:rsidP="00C914C4">
      <w:pPr>
        <w:jc w:val="center"/>
        <w:rPr>
          <w:b/>
          <w:sz w:val="28"/>
          <w:szCs w:val="28"/>
        </w:rPr>
      </w:pPr>
      <w:r w:rsidRPr="00FF2E27">
        <w:rPr>
          <w:noProof/>
          <w:sz w:val="24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745D82B8" wp14:editId="426CCB8C">
            <wp:simplePos x="0" y="0"/>
            <wp:positionH relativeFrom="column">
              <wp:posOffset>-396240</wp:posOffset>
            </wp:positionH>
            <wp:positionV relativeFrom="paragraph">
              <wp:posOffset>-579120</wp:posOffset>
            </wp:positionV>
            <wp:extent cx="2294255" cy="1009015"/>
            <wp:effectExtent l="0" t="0" r="0" b="635"/>
            <wp:wrapTight wrapText="bothSides">
              <wp:wrapPolygon edited="0">
                <wp:start x="0" y="0"/>
                <wp:lineTo x="0" y="21206"/>
                <wp:lineTo x="21343" y="21206"/>
                <wp:lineTo x="2134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CAA" w:rsidRDefault="006D2CAA" w:rsidP="00EE2A86">
      <w:pPr>
        <w:jc w:val="right"/>
        <w:rPr>
          <w:sz w:val="24"/>
          <w:szCs w:val="24"/>
          <w:highlight w:val="yellow"/>
        </w:rPr>
      </w:pPr>
    </w:p>
    <w:p w:rsidR="00EE2A86" w:rsidRPr="00EE2A86" w:rsidRDefault="006F4FD3" w:rsidP="00EE2A86">
      <w:pPr>
        <w:jc w:val="right"/>
        <w:rPr>
          <w:sz w:val="24"/>
          <w:szCs w:val="24"/>
        </w:rPr>
      </w:pPr>
      <w:r>
        <w:rPr>
          <w:sz w:val="24"/>
          <w:szCs w:val="24"/>
        </w:rPr>
        <w:t>1 September 2014</w:t>
      </w:r>
    </w:p>
    <w:p w:rsidR="00C914C4" w:rsidRPr="00C914C4" w:rsidRDefault="00053ADC" w:rsidP="00C91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First </w:t>
      </w:r>
      <w:r w:rsidR="00C914C4" w:rsidRPr="00C914C4">
        <w:rPr>
          <w:b/>
          <w:sz w:val="28"/>
          <w:szCs w:val="28"/>
        </w:rPr>
        <w:t xml:space="preserve">Expression of Interest (EOI) </w:t>
      </w:r>
      <w:r w:rsidR="0029347D">
        <w:rPr>
          <w:b/>
          <w:sz w:val="28"/>
          <w:szCs w:val="28"/>
        </w:rPr>
        <w:t xml:space="preserve">to Participate </w:t>
      </w:r>
      <w:r w:rsidR="006D2CAA">
        <w:rPr>
          <w:b/>
          <w:sz w:val="28"/>
          <w:szCs w:val="28"/>
        </w:rPr>
        <w:t xml:space="preserve">in an Information Sharing Pilot </w:t>
      </w:r>
      <w:r w:rsidR="0029347D">
        <w:rPr>
          <w:b/>
          <w:sz w:val="28"/>
          <w:szCs w:val="28"/>
        </w:rPr>
        <w:t xml:space="preserve">for the </w:t>
      </w:r>
      <w:r w:rsidR="0029347D" w:rsidRPr="00BE5EC9">
        <w:rPr>
          <w:b/>
          <w:i/>
          <w:sz w:val="28"/>
          <w:szCs w:val="28"/>
        </w:rPr>
        <w:t xml:space="preserve">Evaluation of Generic Drug Applications involving the Decentralised Procedure </w:t>
      </w:r>
      <w:r w:rsidR="006D2CAA" w:rsidRPr="00BE5EC9">
        <w:rPr>
          <w:b/>
          <w:i/>
          <w:sz w:val="28"/>
          <w:szCs w:val="28"/>
        </w:rPr>
        <w:t xml:space="preserve">(DCP) </w:t>
      </w:r>
      <w:r w:rsidR="0029347D" w:rsidRPr="00BE5EC9">
        <w:rPr>
          <w:b/>
          <w:i/>
          <w:sz w:val="28"/>
          <w:szCs w:val="28"/>
        </w:rPr>
        <w:t>of the European Union</w:t>
      </w:r>
    </w:p>
    <w:p w:rsidR="00EE2A86" w:rsidRDefault="00EE2A86" w:rsidP="009A5C3E">
      <w:pPr>
        <w:rPr>
          <w:rFonts w:cstheme="minorHAnsi"/>
          <w:sz w:val="24"/>
          <w:szCs w:val="24"/>
        </w:rPr>
      </w:pPr>
    </w:p>
    <w:p w:rsidR="00C914C4" w:rsidRPr="0029347D" w:rsidRDefault="00C914C4" w:rsidP="009A5C3E">
      <w:pPr>
        <w:rPr>
          <w:rFonts w:cstheme="minorHAnsi"/>
          <w:sz w:val="24"/>
          <w:szCs w:val="24"/>
        </w:rPr>
      </w:pPr>
      <w:r w:rsidRPr="0029347D">
        <w:rPr>
          <w:rFonts w:cstheme="minorHAnsi"/>
          <w:sz w:val="24"/>
          <w:szCs w:val="24"/>
        </w:rPr>
        <w:t xml:space="preserve">The </w:t>
      </w:r>
      <w:r w:rsidRPr="0029347D">
        <w:rPr>
          <w:rFonts w:cstheme="minorHAnsi"/>
          <w:i/>
          <w:sz w:val="24"/>
          <w:szCs w:val="24"/>
        </w:rPr>
        <w:t>International Generic Drug Regulators Pilot</w:t>
      </w:r>
      <w:r w:rsidRPr="0029347D">
        <w:rPr>
          <w:rFonts w:cstheme="minorHAnsi"/>
          <w:sz w:val="24"/>
          <w:szCs w:val="24"/>
        </w:rPr>
        <w:t xml:space="preserve"> </w:t>
      </w:r>
      <w:r w:rsidR="002E0866" w:rsidRPr="0029347D">
        <w:rPr>
          <w:rFonts w:cstheme="minorHAnsi"/>
          <w:sz w:val="24"/>
          <w:szCs w:val="24"/>
        </w:rPr>
        <w:t>(IGDRP)</w:t>
      </w:r>
      <w:r w:rsidR="001755D0">
        <w:rPr>
          <w:rStyle w:val="FootnoteReference"/>
          <w:rFonts w:cstheme="minorHAnsi"/>
          <w:sz w:val="24"/>
          <w:szCs w:val="24"/>
        </w:rPr>
        <w:footnoteReference w:id="1"/>
      </w:r>
      <w:r w:rsidR="002E0866" w:rsidRPr="0029347D">
        <w:rPr>
          <w:rFonts w:cstheme="minorHAnsi"/>
          <w:sz w:val="24"/>
          <w:szCs w:val="24"/>
        </w:rPr>
        <w:t xml:space="preserve"> </w:t>
      </w:r>
      <w:r w:rsidRPr="0029347D">
        <w:rPr>
          <w:rFonts w:cstheme="minorHAnsi"/>
          <w:sz w:val="24"/>
          <w:szCs w:val="24"/>
        </w:rPr>
        <w:t xml:space="preserve">was launched in </w:t>
      </w:r>
      <w:r w:rsidR="002E0866" w:rsidRPr="0029347D">
        <w:rPr>
          <w:rFonts w:cstheme="minorHAnsi"/>
          <w:sz w:val="24"/>
          <w:szCs w:val="24"/>
        </w:rPr>
        <w:t xml:space="preserve">April 2012 </w:t>
      </w:r>
      <w:r w:rsidR="001755D0">
        <w:rPr>
          <w:rFonts w:cstheme="minorHAnsi"/>
          <w:sz w:val="24"/>
          <w:szCs w:val="24"/>
        </w:rPr>
        <w:t xml:space="preserve">in </w:t>
      </w:r>
      <w:r w:rsidRPr="0029347D">
        <w:rPr>
          <w:rFonts w:cstheme="minorHAnsi"/>
          <w:sz w:val="24"/>
          <w:szCs w:val="24"/>
        </w:rPr>
        <w:t xml:space="preserve">the face of mounting pressures that confront generic drug review programs worldwide and </w:t>
      </w:r>
      <w:r w:rsidR="00D84F7F">
        <w:rPr>
          <w:rFonts w:cstheme="minorHAnsi"/>
          <w:sz w:val="24"/>
          <w:szCs w:val="24"/>
        </w:rPr>
        <w:t xml:space="preserve">a </w:t>
      </w:r>
      <w:r w:rsidRPr="0029347D">
        <w:rPr>
          <w:rFonts w:cstheme="minorHAnsi"/>
          <w:sz w:val="24"/>
          <w:szCs w:val="24"/>
        </w:rPr>
        <w:t xml:space="preserve">willingness </w:t>
      </w:r>
      <w:r w:rsidR="00D84F7F">
        <w:rPr>
          <w:rFonts w:cstheme="minorHAnsi"/>
          <w:sz w:val="24"/>
          <w:szCs w:val="24"/>
        </w:rPr>
        <w:t xml:space="preserve">on the part </w:t>
      </w:r>
      <w:r w:rsidRPr="0029347D">
        <w:rPr>
          <w:rFonts w:cstheme="minorHAnsi"/>
          <w:sz w:val="24"/>
          <w:szCs w:val="24"/>
        </w:rPr>
        <w:t xml:space="preserve">of </w:t>
      </w:r>
      <w:r w:rsidR="002E0866" w:rsidRPr="0029347D">
        <w:rPr>
          <w:rFonts w:cstheme="minorHAnsi"/>
          <w:sz w:val="24"/>
          <w:szCs w:val="24"/>
        </w:rPr>
        <w:t>regulatory a</w:t>
      </w:r>
      <w:r w:rsidRPr="0029347D">
        <w:rPr>
          <w:rFonts w:cstheme="minorHAnsi"/>
          <w:sz w:val="24"/>
          <w:szCs w:val="24"/>
        </w:rPr>
        <w:t xml:space="preserve">gencies to </w:t>
      </w:r>
      <w:r w:rsidR="002E0866" w:rsidRPr="0029347D">
        <w:rPr>
          <w:rFonts w:cstheme="minorHAnsi"/>
          <w:sz w:val="24"/>
          <w:szCs w:val="24"/>
        </w:rPr>
        <w:t xml:space="preserve">pursue collaboration and convergence in order to </w:t>
      </w:r>
      <w:r w:rsidRPr="0029347D">
        <w:rPr>
          <w:rFonts w:cstheme="minorHAnsi"/>
          <w:sz w:val="24"/>
          <w:szCs w:val="24"/>
        </w:rPr>
        <w:t>help mitigate these pressures.  Broadly speaking, this would be realized through:</w:t>
      </w:r>
    </w:p>
    <w:p w:rsidR="00C914C4" w:rsidRPr="0029347D" w:rsidRDefault="000312E3" w:rsidP="009A5C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C914C4" w:rsidRPr="0029347D">
        <w:rPr>
          <w:rFonts w:cstheme="minorHAnsi"/>
          <w:sz w:val="24"/>
          <w:szCs w:val="24"/>
        </w:rPr>
        <w:t xml:space="preserve">ncreasing the efficiency of review </w:t>
      </w:r>
      <w:r w:rsidR="001755D0">
        <w:rPr>
          <w:rFonts w:cstheme="minorHAnsi"/>
          <w:sz w:val="24"/>
          <w:szCs w:val="24"/>
        </w:rPr>
        <w:t>procedures;</w:t>
      </w:r>
    </w:p>
    <w:p w:rsidR="00C914C4" w:rsidRPr="0029347D" w:rsidRDefault="000312E3" w:rsidP="009A5C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C914C4" w:rsidRPr="0029347D">
        <w:rPr>
          <w:rFonts w:cstheme="minorHAnsi"/>
          <w:sz w:val="24"/>
          <w:szCs w:val="24"/>
        </w:rPr>
        <w:t>trengthening the regulatory review process and human resource capacity</w:t>
      </w:r>
      <w:r w:rsidR="001755D0">
        <w:rPr>
          <w:rFonts w:cstheme="minorHAnsi"/>
          <w:sz w:val="24"/>
          <w:szCs w:val="24"/>
        </w:rPr>
        <w:t>;</w:t>
      </w:r>
    </w:p>
    <w:p w:rsidR="00C914C4" w:rsidRPr="0029347D" w:rsidRDefault="000312E3" w:rsidP="009A5C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1755D0">
        <w:rPr>
          <w:rFonts w:cstheme="minorHAnsi"/>
          <w:sz w:val="24"/>
          <w:szCs w:val="24"/>
        </w:rPr>
        <w:t xml:space="preserve">pplying </w:t>
      </w:r>
      <w:r>
        <w:rPr>
          <w:rFonts w:cstheme="minorHAnsi"/>
          <w:sz w:val="24"/>
          <w:szCs w:val="24"/>
        </w:rPr>
        <w:t xml:space="preserve">an </w:t>
      </w:r>
      <w:r w:rsidR="001755D0">
        <w:rPr>
          <w:rFonts w:cstheme="minorHAnsi"/>
          <w:sz w:val="24"/>
          <w:szCs w:val="24"/>
        </w:rPr>
        <w:t>appropriate</w:t>
      </w:r>
      <w:r w:rsidR="001755D0" w:rsidRPr="0029347D">
        <w:rPr>
          <w:rFonts w:cstheme="minorHAnsi"/>
          <w:sz w:val="24"/>
          <w:szCs w:val="24"/>
        </w:rPr>
        <w:t xml:space="preserve"> </w:t>
      </w:r>
      <w:r w:rsidR="003316A0">
        <w:rPr>
          <w:rFonts w:cstheme="minorHAnsi"/>
          <w:sz w:val="24"/>
          <w:szCs w:val="24"/>
        </w:rPr>
        <w:t xml:space="preserve">level of </w:t>
      </w:r>
      <w:r w:rsidR="00C914C4" w:rsidRPr="0029347D">
        <w:rPr>
          <w:rFonts w:cstheme="minorHAnsi"/>
          <w:sz w:val="24"/>
          <w:szCs w:val="24"/>
        </w:rPr>
        <w:t>global regulatory oversight through information exchange and coordination</w:t>
      </w:r>
      <w:r w:rsidR="003316A0">
        <w:rPr>
          <w:rFonts w:cstheme="minorHAnsi"/>
          <w:sz w:val="24"/>
          <w:szCs w:val="24"/>
        </w:rPr>
        <w:t xml:space="preserve">, while reducing </w:t>
      </w:r>
      <w:r w:rsidR="00356557">
        <w:rPr>
          <w:rFonts w:cstheme="minorHAnsi"/>
          <w:sz w:val="24"/>
          <w:szCs w:val="24"/>
        </w:rPr>
        <w:t xml:space="preserve">unnecessary </w:t>
      </w:r>
      <w:r w:rsidR="003316A0">
        <w:rPr>
          <w:rFonts w:cstheme="minorHAnsi"/>
          <w:sz w:val="24"/>
          <w:szCs w:val="24"/>
        </w:rPr>
        <w:t>regulatory burden</w:t>
      </w:r>
      <w:r w:rsidR="001755D0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and</w:t>
      </w:r>
    </w:p>
    <w:p w:rsidR="00C914C4" w:rsidRPr="0029347D" w:rsidRDefault="000312E3" w:rsidP="009A5C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</w:t>
      </w:r>
      <w:r w:rsidR="00C914C4" w:rsidRPr="0029347D">
        <w:rPr>
          <w:rFonts w:cstheme="minorHAnsi"/>
          <w:sz w:val="24"/>
          <w:szCs w:val="24"/>
        </w:rPr>
        <w:t>romoting</w:t>
      </w:r>
      <w:proofErr w:type="gramEnd"/>
      <w:r w:rsidR="00C914C4" w:rsidRPr="0029347D">
        <w:rPr>
          <w:rFonts w:cstheme="minorHAnsi"/>
          <w:sz w:val="24"/>
          <w:szCs w:val="24"/>
        </w:rPr>
        <w:t xml:space="preserve"> the adoption of modern science and risk based approaches on the part of both industry and agencies.</w:t>
      </w:r>
    </w:p>
    <w:p w:rsidR="000366BF" w:rsidRPr="0029347D" w:rsidRDefault="00C914C4" w:rsidP="009A5C3E">
      <w:pPr>
        <w:rPr>
          <w:rFonts w:cstheme="minorHAnsi"/>
          <w:sz w:val="24"/>
          <w:szCs w:val="24"/>
        </w:rPr>
      </w:pPr>
      <w:r w:rsidRPr="0029347D">
        <w:rPr>
          <w:rFonts w:cstheme="minorHAnsi"/>
          <w:sz w:val="24"/>
          <w:szCs w:val="24"/>
        </w:rPr>
        <w:t>Information sharing mechanisms and work-sharing models offer important means of achieving these objectives.</w:t>
      </w:r>
      <w:r w:rsidR="006F5BB1" w:rsidRPr="0029347D">
        <w:rPr>
          <w:rFonts w:cstheme="minorHAnsi"/>
          <w:sz w:val="24"/>
          <w:szCs w:val="24"/>
        </w:rPr>
        <w:t xml:space="preserve">  </w:t>
      </w:r>
      <w:r w:rsidR="002E0866" w:rsidRPr="0029347D">
        <w:rPr>
          <w:rFonts w:cstheme="minorHAnsi"/>
          <w:sz w:val="24"/>
          <w:szCs w:val="24"/>
        </w:rPr>
        <w:t>One of the most significant developments in this regard involves the piloting of the European Union’s Decentralised Procedure (DCP) as a model for the sharing of information with IGDRP competent authorities external to the EU during the scientific assessment phases of the DCP</w:t>
      </w:r>
      <w:r w:rsidR="00AE48C1" w:rsidRPr="0029347D">
        <w:rPr>
          <w:rFonts w:cstheme="minorHAnsi"/>
          <w:sz w:val="24"/>
          <w:szCs w:val="24"/>
        </w:rPr>
        <w:t xml:space="preserve">. </w:t>
      </w:r>
      <w:r w:rsidR="002E0866" w:rsidRPr="0029347D">
        <w:rPr>
          <w:rFonts w:cstheme="minorHAnsi"/>
          <w:sz w:val="24"/>
          <w:szCs w:val="24"/>
        </w:rPr>
        <w:t xml:space="preserve"> </w:t>
      </w:r>
    </w:p>
    <w:p w:rsidR="00B378B4" w:rsidRPr="0029347D" w:rsidRDefault="000366BF" w:rsidP="009A5C3E">
      <w:pPr>
        <w:rPr>
          <w:rFonts w:cstheme="minorHAnsi"/>
          <w:sz w:val="24"/>
          <w:szCs w:val="24"/>
        </w:rPr>
      </w:pPr>
      <w:r w:rsidRPr="0029347D">
        <w:rPr>
          <w:rFonts w:cstheme="minorHAnsi"/>
          <w:sz w:val="24"/>
          <w:szCs w:val="24"/>
        </w:rPr>
        <w:t>A</w:t>
      </w:r>
      <w:r w:rsidR="00AE48C1" w:rsidRPr="0029347D">
        <w:rPr>
          <w:rFonts w:cstheme="minorHAnsi"/>
          <w:sz w:val="24"/>
          <w:szCs w:val="24"/>
        </w:rPr>
        <w:t xml:space="preserve"> generic drug </w:t>
      </w:r>
      <w:r w:rsidR="00E8636B">
        <w:rPr>
          <w:rFonts w:cstheme="minorHAnsi"/>
          <w:sz w:val="24"/>
          <w:szCs w:val="24"/>
        </w:rPr>
        <w:t>applicant</w:t>
      </w:r>
      <w:r w:rsidR="00AE48C1" w:rsidRPr="0029347D">
        <w:rPr>
          <w:rFonts w:cstheme="minorHAnsi"/>
          <w:sz w:val="24"/>
          <w:szCs w:val="24"/>
        </w:rPr>
        <w:t xml:space="preserve"> wishing to market </w:t>
      </w:r>
      <w:r w:rsidRPr="0029347D">
        <w:rPr>
          <w:rFonts w:cstheme="minorHAnsi"/>
          <w:sz w:val="24"/>
          <w:szCs w:val="24"/>
        </w:rPr>
        <w:t>the same</w:t>
      </w:r>
      <w:r w:rsidR="00AE48C1" w:rsidRPr="0029347D">
        <w:rPr>
          <w:rFonts w:cstheme="minorHAnsi"/>
          <w:sz w:val="24"/>
          <w:szCs w:val="24"/>
        </w:rPr>
        <w:t xml:space="preserve"> </w:t>
      </w:r>
      <w:proofErr w:type="gramStart"/>
      <w:r w:rsidR="00AE48C1" w:rsidRPr="0029347D">
        <w:rPr>
          <w:rFonts w:cstheme="minorHAnsi"/>
          <w:sz w:val="24"/>
          <w:szCs w:val="24"/>
        </w:rPr>
        <w:t>product</w:t>
      </w:r>
      <w:proofErr w:type="gramEnd"/>
      <w:r w:rsidR="00AE48C1" w:rsidRPr="0029347D">
        <w:rPr>
          <w:rFonts w:cstheme="minorHAnsi"/>
          <w:sz w:val="24"/>
          <w:szCs w:val="24"/>
        </w:rPr>
        <w:t xml:space="preserve"> </w:t>
      </w:r>
      <w:r w:rsidR="007D0C11" w:rsidRPr="0029347D">
        <w:rPr>
          <w:rFonts w:cstheme="minorHAnsi"/>
          <w:sz w:val="24"/>
          <w:szCs w:val="24"/>
        </w:rPr>
        <w:t xml:space="preserve">in the EU </w:t>
      </w:r>
      <w:r w:rsidR="00AE48C1" w:rsidRPr="0029347D">
        <w:rPr>
          <w:rFonts w:cstheme="minorHAnsi"/>
          <w:sz w:val="24"/>
          <w:szCs w:val="24"/>
        </w:rPr>
        <w:t xml:space="preserve">through the DCP and </w:t>
      </w:r>
      <w:r w:rsidR="007D0C11" w:rsidRPr="0029347D">
        <w:rPr>
          <w:rFonts w:cstheme="minorHAnsi"/>
          <w:sz w:val="24"/>
          <w:szCs w:val="24"/>
        </w:rPr>
        <w:t xml:space="preserve">in other jurisdictions that form part of IGDRP </w:t>
      </w:r>
      <w:r w:rsidR="009A27B4" w:rsidRPr="0029347D">
        <w:rPr>
          <w:rFonts w:cstheme="minorHAnsi"/>
          <w:sz w:val="24"/>
          <w:szCs w:val="24"/>
        </w:rPr>
        <w:t>are invited to participate</w:t>
      </w:r>
      <w:r w:rsidRPr="0029347D">
        <w:rPr>
          <w:rFonts w:cstheme="minorHAnsi"/>
          <w:sz w:val="24"/>
          <w:szCs w:val="24"/>
        </w:rPr>
        <w:t xml:space="preserve"> in this pilot provided </w:t>
      </w:r>
      <w:r w:rsidR="003A25E5">
        <w:rPr>
          <w:rFonts w:cstheme="minorHAnsi"/>
          <w:sz w:val="24"/>
          <w:szCs w:val="24"/>
        </w:rPr>
        <w:t xml:space="preserve">that </w:t>
      </w:r>
      <w:r w:rsidRPr="0029347D">
        <w:rPr>
          <w:rFonts w:cstheme="minorHAnsi"/>
          <w:sz w:val="24"/>
          <w:szCs w:val="24"/>
        </w:rPr>
        <w:t xml:space="preserve">the criteria for eligibility listed below </w:t>
      </w:r>
      <w:r w:rsidR="00EE2A86">
        <w:rPr>
          <w:rFonts w:cstheme="minorHAnsi"/>
          <w:sz w:val="24"/>
          <w:szCs w:val="24"/>
        </w:rPr>
        <w:t>are</w:t>
      </w:r>
      <w:r w:rsidRPr="0029347D">
        <w:rPr>
          <w:rFonts w:cstheme="minorHAnsi"/>
          <w:sz w:val="24"/>
          <w:szCs w:val="24"/>
        </w:rPr>
        <w:t xml:space="preserve"> met.  </w:t>
      </w:r>
      <w:r w:rsidR="00447DB4" w:rsidRPr="0029347D">
        <w:rPr>
          <w:rFonts w:cstheme="minorHAnsi"/>
          <w:sz w:val="24"/>
          <w:szCs w:val="24"/>
        </w:rPr>
        <w:t xml:space="preserve">This </w:t>
      </w:r>
      <w:r w:rsidR="006B2791" w:rsidRPr="0029347D">
        <w:rPr>
          <w:rFonts w:cstheme="minorHAnsi"/>
          <w:sz w:val="24"/>
          <w:szCs w:val="24"/>
        </w:rPr>
        <w:t xml:space="preserve">would include the requirement to </w:t>
      </w:r>
      <w:r w:rsidR="00447DB4" w:rsidRPr="0029347D">
        <w:rPr>
          <w:rFonts w:cstheme="minorHAnsi"/>
          <w:sz w:val="24"/>
          <w:szCs w:val="24"/>
        </w:rPr>
        <w:t>fil</w:t>
      </w:r>
      <w:r w:rsidR="006B2791" w:rsidRPr="0029347D">
        <w:rPr>
          <w:rFonts w:cstheme="minorHAnsi"/>
          <w:sz w:val="24"/>
          <w:szCs w:val="24"/>
        </w:rPr>
        <w:t>e</w:t>
      </w:r>
      <w:r w:rsidR="00447DB4" w:rsidRPr="0029347D">
        <w:rPr>
          <w:rFonts w:cstheme="minorHAnsi"/>
          <w:sz w:val="24"/>
          <w:szCs w:val="24"/>
        </w:rPr>
        <w:t xml:space="preserve"> marketing application</w:t>
      </w:r>
      <w:r w:rsidR="00EE2A86">
        <w:rPr>
          <w:rFonts w:cstheme="minorHAnsi"/>
          <w:sz w:val="24"/>
          <w:szCs w:val="24"/>
        </w:rPr>
        <w:t>s</w:t>
      </w:r>
      <w:r w:rsidR="006B2791" w:rsidRPr="0029347D">
        <w:rPr>
          <w:rFonts w:cstheme="minorHAnsi"/>
          <w:sz w:val="24"/>
          <w:szCs w:val="24"/>
        </w:rPr>
        <w:t xml:space="preserve"> </w:t>
      </w:r>
      <w:r w:rsidR="00053ADC">
        <w:rPr>
          <w:rFonts w:cstheme="minorHAnsi"/>
          <w:sz w:val="24"/>
          <w:szCs w:val="24"/>
        </w:rPr>
        <w:t xml:space="preserve">in a synchronized manner </w:t>
      </w:r>
      <w:r w:rsidR="006B2791" w:rsidRPr="0029347D">
        <w:rPr>
          <w:rFonts w:cstheme="minorHAnsi"/>
          <w:sz w:val="24"/>
          <w:szCs w:val="24"/>
        </w:rPr>
        <w:t>in</w:t>
      </w:r>
      <w:r w:rsidR="00447DB4" w:rsidRPr="0029347D">
        <w:rPr>
          <w:rFonts w:cstheme="minorHAnsi"/>
          <w:sz w:val="24"/>
          <w:szCs w:val="24"/>
        </w:rPr>
        <w:t xml:space="preserve"> </w:t>
      </w:r>
      <w:r w:rsidR="00A94638">
        <w:rPr>
          <w:rFonts w:cstheme="minorHAnsi"/>
          <w:sz w:val="24"/>
          <w:szCs w:val="24"/>
        </w:rPr>
        <w:t>at least one of the</w:t>
      </w:r>
      <w:r w:rsidR="00447DB4" w:rsidRPr="0029347D">
        <w:rPr>
          <w:rFonts w:cstheme="minorHAnsi"/>
          <w:sz w:val="24"/>
          <w:szCs w:val="24"/>
        </w:rPr>
        <w:t xml:space="preserve"> </w:t>
      </w:r>
      <w:r w:rsidR="00A94638">
        <w:rPr>
          <w:rFonts w:cstheme="minorHAnsi"/>
          <w:sz w:val="24"/>
          <w:szCs w:val="24"/>
        </w:rPr>
        <w:t xml:space="preserve">IGDRP participating </w:t>
      </w:r>
      <w:r w:rsidR="006B2791" w:rsidRPr="0029347D">
        <w:rPr>
          <w:rFonts w:cstheme="minorHAnsi"/>
          <w:sz w:val="24"/>
          <w:szCs w:val="24"/>
        </w:rPr>
        <w:t xml:space="preserve">jurisdictions.  </w:t>
      </w:r>
      <w:r w:rsidR="00B378B4" w:rsidRPr="0029347D">
        <w:rPr>
          <w:rFonts w:cstheme="minorHAnsi"/>
          <w:sz w:val="24"/>
          <w:szCs w:val="24"/>
        </w:rPr>
        <w:t xml:space="preserve">A list of regulatory agencies that </w:t>
      </w:r>
      <w:r w:rsidR="00053ADC">
        <w:rPr>
          <w:rFonts w:cstheme="minorHAnsi"/>
          <w:sz w:val="24"/>
          <w:szCs w:val="24"/>
        </w:rPr>
        <w:t xml:space="preserve">have expressed an interest to participate in the first </w:t>
      </w:r>
      <w:r w:rsidR="00FC709E">
        <w:rPr>
          <w:rFonts w:cstheme="minorHAnsi"/>
          <w:sz w:val="24"/>
          <w:szCs w:val="24"/>
        </w:rPr>
        <w:t xml:space="preserve">round </w:t>
      </w:r>
      <w:r w:rsidR="00A94638">
        <w:rPr>
          <w:rFonts w:cstheme="minorHAnsi"/>
          <w:sz w:val="24"/>
          <w:szCs w:val="24"/>
        </w:rPr>
        <w:t xml:space="preserve">of the </w:t>
      </w:r>
      <w:r w:rsidR="00FC709E">
        <w:rPr>
          <w:rFonts w:cstheme="minorHAnsi"/>
          <w:sz w:val="24"/>
          <w:szCs w:val="24"/>
        </w:rPr>
        <w:t xml:space="preserve">pilot </w:t>
      </w:r>
      <w:r w:rsidR="00B378B4" w:rsidRPr="0029347D">
        <w:rPr>
          <w:rFonts w:cstheme="minorHAnsi"/>
          <w:sz w:val="24"/>
          <w:szCs w:val="24"/>
        </w:rPr>
        <w:t xml:space="preserve">is provided in </w:t>
      </w:r>
      <w:r w:rsidR="00B378B4" w:rsidRPr="00656EFE">
        <w:rPr>
          <w:rFonts w:cstheme="minorHAnsi"/>
          <w:sz w:val="24"/>
          <w:szCs w:val="24"/>
        </w:rPr>
        <w:t>Appendix 1.</w:t>
      </w:r>
      <w:r w:rsidR="00FC709E">
        <w:rPr>
          <w:rFonts w:cstheme="minorHAnsi"/>
          <w:sz w:val="24"/>
          <w:szCs w:val="24"/>
        </w:rPr>
        <w:t xml:space="preserve">  Additional agencies may choose to participate in subsequent stages of this pilot.</w:t>
      </w:r>
    </w:p>
    <w:p w:rsidR="00447DB4" w:rsidRPr="0029347D" w:rsidRDefault="00447DB4" w:rsidP="009A5C3E">
      <w:pPr>
        <w:rPr>
          <w:rFonts w:cstheme="minorHAnsi"/>
          <w:sz w:val="24"/>
          <w:szCs w:val="24"/>
        </w:rPr>
      </w:pPr>
      <w:r w:rsidRPr="0029347D">
        <w:rPr>
          <w:rFonts w:cstheme="minorHAnsi"/>
          <w:sz w:val="24"/>
          <w:szCs w:val="24"/>
        </w:rPr>
        <w:lastRenderedPageBreak/>
        <w:t xml:space="preserve">Under the arrangements established for the pilot, </w:t>
      </w:r>
      <w:r w:rsidR="006B2791" w:rsidRPr="0029347D">
        <w:rPr>
          <w:rFonts w:cstheme="minorHAnsi"/>
          <w:sz w:val="24"/>
          <w:szCs w:val="24"/>
        </w:rPr>
        <w:t xml:space="preserve">the assessment reports generated as part of the DCP would be shared in real time with collaborating IGDRP agencies outside the EU, as illustrated in the schematic in </w:t>
      </w:r>
      <w:r w:rsidR="006B2791" w:rsidRPr="00656EFE">
        <w:rPr>
          <w:rFonts w:cstheme="minorHAnsi"/>
          <w:sz w:val="24"/>
          <w:szCs w:val="24"/>
        </w:rPr>
        <w:t>Appendix 2.</w:t>
      </w:r>
    </w:p>
    <w:p w:rsidR="007D0C11" w:rsidRPr="0029347D" w:rsidRDefault="009A27B4" w:rsidP="009A5C3E">
      <w:pPr>
        <w:rPr>
          <w:rFonts w:cstheme="minorHAnsi"/>
          <w:sz w:val="24"/>
          <w:szCs w:val="24"/>
        </w:rPr>
      </w:pPr>
      <w:r w:rsidRPr="0029347D">
        <w:rPr>
          <w:rFonts w:cstheme="minorHAnsi"/>
          <w:sz w:val="24"/>
          <w:szCs w:val="24"/>
        </w:rPr>
        <w:t xml:space="preserve">Participation in the pilot would offer </w:t>
      </w:r>
      <w:r w:rsidR="00E8636B">
        <w:rPr>
          <w:rFonts w:cstheme="minorHAnsi"/>
          <w:sz w:val="24"/>
          <w:szCs w:val="24"/>
        </w:rPr>
        <w:t>applicants</w:t>
      </w:r>
      <w:r w:rsidRPr="0029347D">
        <w:rPr>
          <w:rFonts w:cstheme="minorHAnsi"/>
          <w:sz w:val="24"/>
          <w:szCs w:val="24"/>
        </w:rPr>
        <w:t xml:space="preserve"> the potential to obtain market authorization in chosen markets as part of a coordinated process.  Experience gained by industry and regulatory agencies would help to refine the process and inform other information and work sharing models currently under consideration</w:t>
      </w:r>
      <w:r w:rsidR="00B378B4" w:rsidRPr="0029347D">
        <w:rPr>
          <w:rFonts w:cstheme="minorHAnsi"/>
          <w:sz w:val="24"/>
          <w:szCs w:val="24"/>
        </w:rPr>
        <w:t xml:space="preserve"> by </w:t>
      </w:r>
      <w:r w:rsidR="00B34351">
        <w:rPr>
          <w:rFonts w:cstheme="minorHAnsi"/>
          <w:sz w:val="24"/>
          <w:szCs w:val="24"/>
        </w:rPr>
        <w:t>regulatory agencies</w:t>
      </w:r>
      <w:r w:rsidRPr="0029347D">
        <w:rPr>
          <w:rFonts w:cstheme="minorHAnsi"/>
          <w:sz w:val="24"/>
          <w:szCs w:val="24"/>
        </w:rPr>
        <w:t xml:space="preserve">.  The objective of the pilot is to provide for a more efficient </w:t>
      </w:r>
      <w:r w:rsidR="00B378B4" w:rsidRPr="0029347D">
        <w:rPr>
          <w:rFonts w:cstheme="minorHAnsi"/>
          <w:sz w:val="24"/>
          <w:szCs w:val="24"/>
        </w:rPr>
        <w:t xml:space="preserve">and consistent </w:t>
      </w:r>
      <w:r w:rsidR="00B555AF" w:rsidRPr="0029347D">
        <w:rPr>
          <w:rFonts w:cstheme="minorHAnsi"/>
          <w:sz w:val="24"/>
          <w:szCs w:val="24"/>
        </w:rPr>
        <w:t xml:space="preserve">review </w:t>
      </w:r>
      <w:r w:rsidRPr="0029347D">
        <w:rPr>
          <w:rFonts w:cstheme="minorHAnsi"/>
          <w:sz w:val="24"/>
          <w:szCs w:val="24"/>
        </w:rPr>
        <w:t xml:space="preserve">process while at the same time </w:t>
      </w:r>
      <w:r w:rsidR="00B555AF" w:rsidRPr="0029347D">
        <w:rPr>
          <w:rFonts w:cstheme="minorHAnsi"/>
          <w:sz w:val="24"/>
          <w:szCs w:val="24"/>
        </w:rPr>
        <w:t xml:space="preserve">reducing regulatory burden and facilitating </w:t>
      </w:r>
      <w:r w:rsidR="00B378B4" w:rsidRPr="0029347D">
        <w:rPr>
          <w:rFonts w:cstheme="minorHAnsi"/>
          <w:sz w:val="24"/>
          <w:szCs w:val="24"/>
        </w:rPr>
        <w:t>the similar timing of market authorizations across jurisdictions.</w:t>
      </w:r>
    </w:p>
    <w:p w:rsidR="005A5297" w:rsidRPr="0029347D" w:rsidRDefault="00A71BE2" w:rsidP="009A5C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applicant is required to provide consent to share the DCP assessment reports (</w:t>
      </w:r>
      <w:r w:rsidR="002F0412" w:rsidRPr="002F0412">
        <w:rPr>
          <w:rFonts w:cstheme="minorHAnsi"/>
          <w:sz w:val="24"/>
          <w:szCs w:val="24"/>
        </w:rPr>
        <w:t>Preliminary, Draft and Final</w:t>
      </w:r>
      <w:r>
        <w:rPr>
          <w:rFonts w:cstheme="minorHAnsi"/>
          <w:sz w:val="24"/>
          <w:szCs w:val="24"/>
        </w:rPr>
        <w:t xml:space="preserve">) with the non-EU agencies proposed in the EOI.  </w:t>
      </w:r>
      <w:r w:rsidR="005A5297" w:rsidRPr="0029347D">
        <w:rPr>
          <w:rFonts w:cstheme="minorHAnsi"/>
          <w:sz w:val="24"/>
          <w:szCs w:val="24"/>
        </w:rPr>
        <w:t xml:space="preserve">In order to </w:t>
      </w:r>
      <w:r>
        <w:rPr>
          <w:rFonts w:cstheme="minorHAnsi"/>
          <w:sz w:val="24"/>
          <w:szCs w:val="24"/>
        </w:rPr>
        <w:t xml:space="preserve">further </w:t>
      </w:r>
      <w:r w:rsidR="005A5297" w:rsidRPr="0029347D">
        <w:rPr>
          <w:rFonts w:cstheme="minorHAnsi"/>
          <w:sz w:val="24"/>
          <w:szCs w:val="24"/>
        </w:rPr>
        <w:t xml:space="preserve">promote the value and impact of the pilot, interested </w:t>
      </w:r>
      <w:r w:rsidR="00E8636B">
        <w:rPr>
          <w:rFonts w:cstheme="minorHAnsi"/>
          <w:sz w:val="24"/>
          <w:szCs w:val="24"/>
        </w:rPr>
        <w:t>applicants</w:t>
      </w:r>
      <w:r w:rsidR="005A5297" w:rsidRPr="0029347D">
        <w:rPr>
          <w:rFonts w:cstheme="minorHAnsi"/>
          <w:sz w:val="24"/>
          <w:szCs w:val="24"/>
        </w:rPr>
        <w:t xml:space="preserve"> are </w:t>
      </w:r>
      <w:r w:rsidR="00B34351">
        <w:rPr>
          <w:rFonts w:cstheme="minorHAnsi"/>
          <w:sz w:val="24"/>
          <w:szCs w:val="24"/>
        </w:rPr>
        <w:t>requested</w:t>
      </w:r>
      <w:r w:rsidR="00B34351" w:rsidRPr="0029347D">
        <w:rPr>
          <w:rFonts w:cstheme="minorHAnsi"/>
          <w:sz w:val="24"/>
          <w:szCs w:val="24"/>
        </w:rPr>
        <w:t xml:space="preserve"> </w:t>
      </w:r>
      <w:r w:rsidR="005A5297" w:rsidRPr="0029347D">
        <w:rPr>
          <w:rFonts w:cstheme="minorHAnsi"/>
          <w:sz w:val="24"/>
          <w:szCs w:val="24"/>
        </w:rPr>
        <w:t xml:space="preserve">to provide consent for the </w:t>
      </w:r>
      <w:r w:rsidR="00C62581">
        <w:rPr>
          <w:rFonts w:cstheme="minorHAnsi"/>
          <w:sz w:val="24"/>
          <w:szCs w:val="24"/>
        </w:rPr>
        <w:t xml:space="preserve">sharing of DCP assessment reports </w:t>
      </w:r>
      <w:r w:rsidR="00B34351">
        <w:rPr>
          <w:rFonts w:cstheme="minorHAnsi"/>
          <w:sz w:val="24"/>
          <w:szCs w:val="24"/>
        </w:rPr>
        <w:t>)</w:t>
      </w:r>
      <w:r w:rsidR="005A5297" w:rsidRPr="0029347D">
        <w:rPr>
          <w:rFonts w:cstheme="minorHAnsi"/>
          <w:sz w:val="24"/>
          <w:szCs w:val="24"/>
        </w:rPr>
        <w:t xml:space="preserve"> with other regulatory agencies</w:t>
      </w:r>
      <w:r w:rsidR="00447DB4" w:rsidRPr="0029347D">
        <w:rPr>
          <w:rFonts w:cstheme="minorHAnsi"/>
          <w:sz w:val="24"/>
          <w:szCs w:val="24"/>
        </w:rPr>
        <w:t xml:space="preserve"> that form part of </w:t>
      </w:r>
      <w:r w:rsidR="00F24C8A" w:rsidRPr="0029347D">
        <w:rPr>
          <w:rFonts w:cstheme="minorHAnsi"/>
          <w:sz w:val="24"/>
          <w:szCs w:val="24"/>
        </w:rPr>
        <w:t>IGDRP or</w:t>
      </w:r>
      <w:r w:rsidR="00447DB4" w:rsidRPr="0029347D">
        <w:rPr>
          <w:rFonts w:cstheme="minorHAnsi"/>
          <w:sz w:val="24"/>
          <w:szCs w:val="24"/>
        </w:rPr>
        <w:t xml:space="preserve"> may be of interest from a marketing perspective (see EOI </w:t>
      </w:r>
      <w:r w:rsidR="00F8186E">
        <w:rPr>
          <w:rFonts w:cstheme="minorHAnsi"/>
          <w:sz w:val="24"/>
          <w:szCs w:val="24"/>
        </w:rPr>
        <w:t xml:space="preserve">Request </w:t>
      </w:r>
      <w:r w:rsidR="00447DB4" w:rsidRPr="0029347D">
        <w:rPr>
          <w:rFonts w:cstheme="minorHAnsi"/>
          <w:sz w:val="24"/>
          <w:szCs w:val="24"/>
        </w:rPr>
        <w:t>form</w:t>
      </w:r>
      <w:r w:rsidR="00F24C8A">
        <w:rPr>
          <w:rFonts w:cstheme="minorHAnsi"/>
          <w:sz w:val="24"/>
          <w:szCs w:val="24"/>
        </w:rPr>
        <w:t xml:space="preserve">, </w:t>
      </w:r>
      <w:r w:rsidR="00F24C8A" w:rsidRPr="00656EFE">
        <w:rPr>
          <w:rFonts w:cstheme="minorHAnsi"/>
          <w:sz w:val="24"/>
          <w:szCs w:val="24"/>
        </w:rPr>
        <w:t>Appendix 3</w:t>
      </w:r>
      <w:r w:rsidR="00447DB4" w:rsidRPr="00656EFE">
        <w:rPr>
          <w:rFonts w:cstheme="minorHAnsi"/>
          <w:sz w:val="24"/>
          <w:szCs w:val="24"/>
        </w:rPr>
        <w:t>).</w:t>
      </w:r>
    </w:p>
    <w:p w:rsidR="007D0C11" w:rsidRDefault="00BE18F2" w:rsidP="009A5C3E">
      <w:pPr>
        <w:rPr>
          <w:rFonts w:cstheme="minorHAnsi"/>
          <w:sz w:val="24"/>
          <w:szCs w:val="24"/>
        </w:rPr>
      </w:pPr>
      <w:r w:rsidRPr="0029347D">
        <w:rPr>
          <w:rFonts w:cstheme="minorHAnsi"/>
          <w:sz w:val="24"/>
          <w:szCs w:val="24"/>
        </w:rPr>
        <w:t>Expressions of I</w:t>
      </w:r>
      <w:r w:rsidR="000366BF" w:rsidRPr="0029347D">
        <w:rPr>
          <w:rFonts w:cstheme="minorHAnsi"/>
          <w:sz w:val="24"/>
          <w:szCs w:val="24"/>
        </w:rPr>
        <w:t>nterest related to the pilot sh</w:t>
      </w:r>
      <w:r w:rsidR="009A27B4" w:rsidRPr="0029347D">
        <w:rPr>
          <w:rFonts w:cstheme="minorHAnsi"/>
          <w:sz w:val="24"/>
          <w:szCs w:val="24"/>
        </w:rPr>
        <w:t xml:space="preserve">ould be forwarded to the </w:t>
      </w:r>
      <w:r w:rsidR="00D44664">
        <w:rPr>
          <w:rFonts w:cstheme="minorHAnsi"/>
          <w:sz w:val="24"/>
          <w:szCs w:val="24"/>
        </w:rPr>
        <w:t xml:space="preserve">contact points </w:t>
      </w:r>
      <w:r w:rsidR="00BF68A6">
        <w:rPr>
          <w:rFonts w:cstheme="minorHAnsi"/>
          <w:sz w:val="24"/>
          <w:szCs w:val="24"/>
        </w:rPr>
        <w:t>for candidate</w:t>
      </w:r>
      <w:r w:rsidR="007B638F">
        <w:rPr>
          <w:rFonts w:cstheme="minorHAnsi"/>
          <w:sz w:val="24"/>
          <w:szCs w:val="24"/>
        </w:rPr>
        <w:t xml:space="preserve"> </w:t>
      </w:r>
      <w:r w:rsidR="00D44664">
        <w:rPr>
          <w:rFonts w:cstheme="minorHAnsi"/>
          <w:sz w:val="24"/>
          <w:szCs w:val="24"/>
        </w:rPr>
        <w:t xml:space="preserve">agencies </w:t>
      </w:r>
      <w:r w:rsidR="007B638F">
        <w:rPr>
          <w:rFonts w:cstheme="minorHAnsi"/>
          <w:sz w:val="24"/>
          <w:szCs w:val="24"/>
        </w:rPr>
        <w:t xml:space="preserve">selected by the applicant </w:t>
      </w:r>
      <w:r w:rsidR="00D44664">
        <w:rPr>
          <w:rFonts w:cstheme="minorHAnsi"/>
          <w:sz w:val="24"/>
          <w:szCs w:val="24"/>
        </w:rPr>
        <w:t xml:space="preserve">(see Appendix 1) </w:t>
      </w:r>
      <w:r w:rsidR="00E43830">
        <w:rPr>
          <w:rFonts w:cstheme="minorHAnsi"/>
          <w:sz w:val="24"/>
          <w:szCs w:val="24"/>
        </w:rPr>
        <w:t xml:space="preserve">and the </w:t>
      </w:r>
      <w:proofErr w:type="spellStart"/>
      <w:r w:rsidR="00E43830">
        <w:rPr>
          <w:rFonts w:cstheme="minorHAnsi"/>
          <w:sz w:val="24"/>
          <w:szCs w:val="24"/>
        </w:rPr>
        <w:t>CMDh</w:t>
      </w:r>
      <w:proofErr w:type="spellEnd"/>
      <w:r w:rsidR="00E43830">
        <w:rPr>
          <w:rFonts w:cstheme="minorHAnsi"/>
          <w:sz w:val="24"/>
          <w:szCs w:val="24"/>
        </w:rPr>
        <w:t xml:space="preserve"> Secretariat </w:t>
      </w:r>
      <w:r w:rsidR="00CD73EB">
        <w:rPr>
          <w:rFonts w:cstheme="minorHAnsi"/>
          <w:sz w:val="24"/>
          <w:szCs w:val="24"/>
        </w:rPr>
        <w:t>(</w:t>
      </w:r>
      <w:r w:rsidR="00E43830" w:rsidRPr="00656EFE">
        <w:rPr>
          <w:rStyle w:val="rwrr"/>
          <w:sz w:val="24"/>
          <w:szCs w:val="24"/>
        </w:rPr>
        <w:t>H-CMDhSecretariat@ema.europa.eu</w:t>
      </w:r>
      <w:r w:rsidR="00CD73EB">
        <w:rPr>
          <w:rStyle w:val="rwrr"/>
          <w:sz w:val="24"/>
          <w:szCs w:val="24"/>
        </w:rPr>
        <w:t>)</w:t>
      </w:r>
      <w:r w:rsidR="00E43830">
        <w:rPr>
          <w:rStyle w:val="rwrr"/>
        </w:rPr>
        <w:t xml:space="preserve"> </w:t>
      </w:r>
      <w:r w:rsidR="00AE6112" w:rsidRPr="004D2659">
        <w:rPr>
          <w:rFonts w:cstheme="minorHAnsi"/>
          <w:b/>
          <w:sz w:val="24"/>
          <w:szCs w:val="24"/>
        </w:rPr>
        <w:t xml:space="preserve">at least </w:t>
      </w:r>
      <w:r w:rsidR="004C1E5E" w:rsidRPr="004D2659">
        <w:rPr>
          <w:rFonts w:cstheme="minorHAnsi"/>
          <w:b/>
          <w:sz w:val="24"/>
          <w:szCs w:val="24"/>
        </w:rPr>
        <w:t xml:space="preserve">8 </w:t>
      </w:r>
      <w:r w:rsidR="00AE6112" w:rsidRPr="004D2659">
        <w:rPr>
          <w:rFonts w:cstheme="minorHAnsi"/>
          <w:b/>
          <w:sz w:val="24"/>
          <w:szCs w:val="24"/>
        </w:rPr>
        <w:t>weeks prior to the intended submission</w:t>
      </w:r>
      <w:r w:rsidR="00AE6112">
        <w:rPr>
          <w:rFonts w:cstheme="minorHAnsi"/>
          <w:sz w:val="24"/>
          <w:szCs w:val="24"/>
        </w:rPr>
        <w:t xml:space="preserve"> of the application</w:t>
      </w:r>
      <w:r w:rsidRPr="009B7D36">
        <w:rPr>
          <w:rFonts w:cstheme="minorHAnsi"/>
          <w:sz w:val="24"/>
          <w:szCs w:val="24"/>
        </w:rPr>
        <w:t xml:space="preserve"> </w:t>
      </w:r>
      <w:r w:rsidRPr="00AE6112">
        <w:rPr>
          <w:rFonts w:cstheme="minorHAnsi"/>
          <w:sz w:val="24"/>
          <w:szCs w:val="24"/>
        </w:rPr>
        <w:t xml:space="preserve">using the </w:t>
      </w:r>
      <w:r w:rsidR="005A5297" w:rsidRPr="00AE6112">
        <w:rPr>
          <w:rFonts w:cstheme="minorHAnsi"/>
          <w:sz w:val="24"/>
          <w:szCs w:val="24"/>
        </w:rPr>
        <w:t xml:space="preserve">EOI </w:t>
      </w:r>
      <w:r w:rsidRPr="00AE6112">
        <w:rPr>
          <w:rFonts w:cstheme="minorHAnsi"/>
          <w:sz w:val="24"/>
          <w:szCs w:val="24"/>
        </w:rPr>
        <w:t>form</w:t>
      </w:r>
      <w:r w:rsidR="00F24C8A" w:rsidRPr="00AE6112">
        <w:rPr>
          <w:rFonts w:cstheme="minorHAnsi"/>
          <w:sz w:val="24"/>
          <w:szCs w:val="24"/>
        </w:rPr>
        <w:t>.</w:t>
      </w:r>
      <w:r w:rsidR="001A6040" w:rsidRPr="0029347D">
        <w:rPr>
          <w:rFonts w:cstheme="minorHAnsi"/>
          <w:sz w:val="24"/>
          <w:szCs w:val="24"/>
        </w:rPr>
        <w:t xml:space="preserve"> </w:t>
      </w:r>
      <w:r w:rsidR="009B7D36">
        <w:rPr>
          <w:rFonts w:cstheme="minorHAnsi"/>
          <w:sz w:val="24"/>
          <w:szCs w:val="24"/>
        </w:rPr>
        <w:t xml:space="preserve"> </w:t>
      </w:r>
      <w:r w:rsidR="003316A0">
        <w:rPr>
          <w:rFonts w:cstheme="minorHAnsi"/>
          <w:sz w:val="24"/>
          <w:szCs w:val="24"/>
        </w:rPr>
        <w:t>A</w:t>
      </w:r>
      <w:r w:rsidR="00E8636B">
        <w:rPr>
          <w:rFonts w:cstheme="minorHAnsi"/>
          <w:sz w:val="24"/>
          <w:szCs w:val="24"/>
        </w:rPr>
        <w:t>pplicants</w:t>
      </w:r>
      <w:r w:rsidR="009B7D36">
        <w:rPr>
          <w:rFonts w:cstheme="minorHAnsi"/>
          <w:sz w:val="24"/>
          <w:szCs w:val="24"/>
        </w:rPr>
        <w:t xml:space="preserve"> should also </w:t>
      </w:r>
      <w:r w:rsidR="00B34351">
        <w:rPr>
          <w:rFonts w:cstheme="minorHAnsi"/>
          <w:sz w:val="24"/>
          <w:szCs w:val="24"/>
        </w:rPr>
        <w:t xml:space="preserve">inform </w:t>
      </w:r>
      <w:r w:rsidR="00E8636B">
        <w:rPr>
          <w:rFonts w:cstheme="minorHAnsi"/>
          <w:sz w:val="24"/>
          <w:szCs w:val="24"/>
        </w:rPr>
        <w:t xml:space="preserve">the proposed </w:t>
      </w:r>
      <w:r w:rsidR="00BF68A6">
        <w:rPr>
          <w:rFonts w:cstheme="minorHAnsi"/>
          <w:sz w:val="24"/>
          <w:szCs w:val="24"/>
        </w:rPr>
        <w:t>Reference</w:t>
      </w:r>
      <w:r w:rsidR="00A01C88">
        <w:rPr>
          <w:rFonts w:cstheme="minorHAnsi"/>
          <w:sz w:val="24"/>
          <w:szCs w:val="24"/>
        </w:rPr>
        <w:t xml:space="preserve"> Member State </w:t>
      </w:r>
      <w:r w:rsidR="00B34351">
        <w:rPr>
          <w:rFonts w:cstheme="minorHAnsi"/>
          <w:sz w:val="24"/>
          <w:szCs w:val="24"/>
        </w:rPr>
        <w:t>(</w:t>
      </w:r>
      <w:r w:rsidR="00A01C88">
        <w:rPr>
          <w:rFonts w:cstheme="minorHAnsi"/>
          <w:sz w:val="24"/>
          <w:szCs w:val="24"/>
        </w:rPr>
        <w:t>R</w:t>
      </w:r>
      <w:r w:rsidR="00E8636B">
        <w:rPr>
          <w:rFonts w:cstheme="minorHAnsi"/>
          <w:sz w:val="24"/>
          <w:szCs w:val="24"/>
        </w:rPr>
        <w:t>MS</w:t>
      </w:r>
      <w:r w:rsidR="00B34351">
        <w:rPr>
          <w:rFonts w:cstheme="minorHAnsi"/>
          <w:sz w:val="24"/>
          <w:szCs w:val="24"/>
        </w:rPr>
        <w:t>)</w:t>
      </w:r>
      <w:r w:rsidR="00E8636B">
        <w:rPr>
          <w:rFonts w:cstheme="minorHAnsi"/>
          <w:sz w:val="24"/>
          <w:szCs w:val="24"/>
        </w:rPr>
        <w:t xml:space="preserve"> of the EU</w:t>
      </w:r>
      <w:r w:rsidR="00B34351">
        <w:rPr>
          <w:rFonts w:cstheme="minorHAnsi"/>
          <w:sz w:val="24"/>
          <w:szCs w:val="24"/>
        </w:rPr>
        <w:t xml:space="preserve"> </w:t>
      </w:r>
      <w:r w:rsidR="00E8636B">
        <w:rPr>
          <w:rFonts w:cstheme="minorHAnsi"/>
          <w:sz w:val="24"/>
          <w:szCs w:val="24"/>
        </w:rPr>
        <w:t>DCP</w:t>
      </w:r>
      <w:r w:rsidR="001672D3" w:rsidRPr="001672D3">
        <w:rPr>
          <w:rStyle w:val="rwrr"/>
        </w:rPr>
        <w:t xml:space="preserve"> </w:t>
      </w:r>
      <w:r w:rsidR="001672D3">
        <w:rPr>
          <w:rStyle w:val="rwrr"/>
        </w:rPr>
        <w:t xml:space="preserve">and the </w:t>
      </w:r>
      <w:proofErr w:type="spellStart"/>
      <w:r w:rsidR="001672D3">
        <w:rPr>
          <w:rStyle w:val="rwrr"/>
        </w:rPr>
        <w:t>CMDh</w:t>
      </w:r>
      <w:proofErr w:type="spellEnd"/>
      <w:r w:rsidR="001672D3">
        <w:rPr>
          <w:rStyle w:val="rwrr"/>
        </w:rPr>
        <w:t xml:space="preserve">-Member </w:t>
      </w:r>
      <w:r w:rsidR="00CD73EB">
        <w:rPr>
          <w:rStyle w:val="rwrr"/>
        </w:rPr>
        <w:t>(</w:t>
      </w:r>
      <w:hyperlink r:id="rId10" w:history="1">
        <w:r w:rsidR="00CD73EB" w:rsidRPr="002742B7">
          <w:rPr>
            <w:rStyle w:val="Hyperlink"/>
          </w:rPr>
          <w:t>http://www.hma.eu/352.html</w:t>
        </w:r>
      </w:hyperlink>
      <w:r w:rsidR="00CD73EB">
        <w:rPr>
          <w:rStyle w:val="rwrr"/>
        </w:rPr>
        <w:t xml:space="preserve">) </w:t>
      </w:r>
      <w:r w:rsidR="001672D3">
        <w:rPr>
          <w:rStyle w:val="rwrr"/>
        </w:rPr>
        <w:t xml:space="preserve">of this member state </w:t>
      </w:r>
      <w:r w:rsidR="00AF3E28">
        <w:rPr>
          <w:rStyle w:val="rwrr"/>
        </w:rPr>
        <w:t>about the intention</w:t>
      </w:r>
      <w:r w:rsidR="009B7D36">
        <w:rPr>
          <w:rFonts w:cstheme="minorHAnsi"/>
          <w:sz w:val="24"/>
          <w:szCs w:val="24"/>
        </w:rPr>
        <w:t>.</w:t>
      </w:r>
    </w:p>
    <w:p w:rsidR="00974982" w:rsidRPr="004D2659" w:rsidRDefault="00974982" w:rsidP="009A5C3E">
      <w:pPr>
        <w:rPr>
          <w:rFonts w:cstheme="minorHAnsi"/>
          <w:b/>
          <w:sz w:val="24"/>
          <w:szCs w:val="24"/>
        </w:rPr>
      </w:pPr>
      <w:r w:rsidRPr="004D2659">
        <w:rPr>
          <w:rFonts w:cstheme="minorHAnsi"/>
          <w:b/>
          <w:sz w:val="24"/>
          <w:szCs w:val="24"/>
        </w:rPr>
        <w:t xml:space="preserve">Applications to this EOI should are requested by </w:t>
      </w:r>
      <w:r w:rsidR="00640A16">
        <w:rPr>
          <w:rFonts w:cstheme="minorHAnsi"/>
          <w:b/>
          <w:sz w:val="24"/>
          <w:szCs w:val="24"/>
        </w:rPr>
        <w:t>10 October 2014</w:t>
      </w:r>
      <w:r w:rsidRPr="00294406">
        <w:rPr>
          <w:rFonts w:cstheme="minorHAnsi"/>
          <w:b/>
          <w:sz w:val="24"/>
          <w:szCs w:val="24"/>
        </w:rPr>
        <w:t>.</w:t>
      </w:r>
    </w:p>
    <w:p w:rsidR="006E3003" w:rsidRPr="00BE5EC9" w:rsidRDefault="006E3003" w:rsidP="009A5C3E">
      <w:pPr>
        <w:rPr>
          <w:rFonts w:cstheme="minorHAnsi"/>
          <w:b/>
          <w:i/>
          <w:sz w:val="24"/>
          <w:szCs w:val="24"/>
          <w:u w:val="single"/>
        </w:rPr>
      </w:pPr>
      <w:r w:rsidRPr="00BE5EC9">
        <w:rPr>
          <w:rFonts w:cstheme="minorHAnsi"/>
          <w:b/>
          <w:i/>
          <w:sz w:val="24"/>
          <w:szCs w:val="24"/>
          <w:u w:val="single"/>
        </w:rPr>
        <w:t>Criteria for Eligi</w:t>
      </w:r>
      <w:r w:rsidR="00072870" w:rsidRPr="00BE5EC9">
        <w:rPr>
          <w:rFonts w:cstheme="minorHAnsi"/>
          <w:b/>
          <w:i/>
          <w:sz w:val="24"/>
          <w:szCs w:val="24"/>
          <w:u w:val="single"/>
        </w:rPr>
        <w:t>b</w:t>
      </w:r>
      <w:r w:rsidRPr="00BE5EC9">
        <w:rPr>
          <w:rFonts w:cstheme="minorHAnsi"/>
          <w:b/>
          <w:i/>
          <w:sz w:val="24"/>
          <w:szCs w:val="24"/>
          <w:u w:val="single"/>
        </w:rPr>
        <w:t>ility</w:t>
      </w:r>
      <w:r w:rsidR="00356557">
        <w:rPr>
          <w:rFonts w:cstheme="minorHAnsi"/>
          <w:b/>
          <w:i/>
          <w:sz w:val="24"/>
          <w:szCs w:val="24"/>
          <w:u w:val="single"/>
        </w:rPr>
        <w:t xml:space="preserve"> for the Pilot</w:t>
      </w:r>
      <w:r w:rsidRPr="00BE5EC9">
        <w:rPr>
          <w:rFonts w:cstheme="minorHAnsi"/>
          <w:b/>
          <w:i/>
          <w:sz w:val="24"/>
          <w:szCs w:val="24"/>
          <w:u w:val="single"/>
        </w:rPr>
        <w:t xml:space="preserve"> </w:t>
      </w:r>
    </w:p>
    <w:p w:rsidR="00AC17BD" w:rsidRPr="0029347D" w:rsidRDefault="00AC17BD" w:rsidP="009A5C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order to qualify for consideration in the pilot, interested </w:t>
      </w:r>
      <w:r w:rsidR="003316A0">
        <w:rPr>
          <w:rFonts w:cstheme="minorHAnsi"/>
          <w:sz w:val="24"/>
          <w:szCs w:val="24"/>
        </w:rPr>
        <w:t xml:space="preserve">applicants </w:t>
      </w:r>
      <w:r>
        <w:rPr>
          <w:rFonts w:cstheme="minorHAnsi"/>
          <w:sz w:val="24"/>
          <w:szCs w:val="24"/>
        </w:rPr>
        <w:t xml:space="preserve">must comply with the </w:t>
      </w:r>
      <w:r w:rsidR="00AE6112">
        <w:rPr>
          <w:rFonts w:cstheme="minorHAnsi"/>
          <w:sz w:val="24"/>
          <w:szCs w:val="24"/>
        </w:rPr>
        <w:t>following criteria</w:t>
      </w:r>
      <w:r>
        <w:rPr>
          <w:rFonts w:cstheme="minorHAnsi"/>
          <w:sz w:val="24"/>
          <w:szCs w:val="24"/>
        </w:rPr>
        <w:t>:</w:t>
      </w:r>
    </w:p>
    <w:p w:rsidR="00890189" w:rsidRDefault="00FC709E" w:rsidP="00B34351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Synchronized </w:t>
      </w:r>
      <w:r w:rsidR="00A97927">
        <w:rPr>
          <w:rFonts w:cstheme="minorHAnsi"/>
          <w:sz w:val="24"/>
          <w:szCs w:val="24"/>
        </w:rPr>
        <w:t>filing of generic drug applications for the same product</w:t>
      </w:r>
      <w:r w:rsidR="00977A37">
        <w:rPr>
          <w:rFonts w:cstheme="minorHAnsi"/>
          <w:sz w:val="24"/>
          <w:szCs w:val="24"/>
        </w:rPr>
        <w:t xml:space="preserve"> in </w:t>
      </w:r>
      <w:r w:rsidR="00B34351" w:rsidRPr="00B34351">
        <w:rPr>
          <w:rFonts w:cstheme="minorHAnsi"/>
          <w:sz w:val="24"/>
          <w:szCs w:val="24"/>
        </w:rPr>
        <w:t xml:space="preserve">at least one of the IGDRP participating </w:t>
      </w:r>
      <w:r w:rsidR="00977A37" w:rsidRPr="00977A37">
        <w:rPr>
          <w:rFonts w:cstheme="minorHAnsi"/>
          <w:sz w:val="24"/>
          <w:szCs w:val="24"/>
        </w:rPr>
        <w:t>jurisdictions selected for the pilot</w:t>
      </w:r>
      <w:r w:rsidR="00977A37">
        <w:rPr>
          <w:rFonts w:cstheme="minorHAnsi"/>
          <w:sz w:val="24"/>
          <w:szCs w:val="24"/>
        </w:rPr>
        <w:t>.</w:t>
      </w:r>
      <w:r w:rsidR="000F09FD">
        <w:rPr>
          <w:rFonts w:cstheme="minorHAnsi"/>
          <w:sz w:val="24"/>
          <w:szCs w:val="24"/>
        </w:rPr>
        <w:t xml:space="preserve">  </w:t>
      </w:r>
      <w:r w:rsidR="00D62900">
        <w:rPr>
          <w:rFonts w:cstheme="minorHAnsi"/>
          <w:sz w:val="24"/>
          <w:szCs w:val="24"/>
        </w:rPr>
        <w:t xml:space="preserve">Synchronized filing means the applications are submitted at times defined by participating non-EU agencies in relation to the </w:t>
      </w:r>
      <w:r w:rsidR="00890189">
        <w:rPr>
          <w:rFonts w:cstheme="minorHAnsi"/>
          <w:sz w:val="24"/>
          <w:szCs w:val="24"/>
        </w:rPr>
        <w:t xml:space="preserve">time of filing of the </w:t>
      </w:r>
      <w:r w:rsidR="00D62900">
        <w:rPr>
          <w:rFonts w:cstheme="minorHAnsi"/>
          <w:sz w:val="24"/>
          <w:szCs w:val="24"/>
        </w:rPr>
        <w:t>DCP application</w:t>
      </w:r>
      <w:r w:rsidR="00890189">
        <w:rPr>
          <w:rFonts w:cstheme="minorHAnsi"/>
          <w:sz w:val="24"/>
          <w:szCs w:val="24"/>
        </w:rPr>
        <w:t xml:space="preserve">. The timing will </w:t>
      </w:r>
      <w:r w:rsidR="00B34351">
        <w:rPr>
          <w:rFonts w:cstheme="minorHAnsi"/>
          <w:sz w:val="24"/>
          <w:szCs w:val="24"/>
        </w:rPr>
        <w:t xml:space="preserve">be made available by the IGDRP participating jurisdictions and will </w:t>
      </w:r>
      <w:r w:rsidR="00C67B8B">
        <w:rPr>
          <w:rFonts w:cstheme="minorHAnsi"/>
          <w:sz w:val="24"/>
          <w:szCs w:val="24"/>
        </w:rPr>
        <w:t xml:space="preserve">be </w:t>
      </w:r>
      <w:r w:rsidR="00890189">
        <w:rPr>
          <w:rFonts w:cstheme="minorHAnsi"/>
          <w:sz w:val="24"/>
          <w:szCs w:val="24"/>
        </w:rPr>
        <w:t xml:space="preserve">defined in a manner that best aligns the review processes </w:t>
      </w:r>
      <w:r w:rsidR="00C67B8B">
        <w:rPr>
          <w:rFonts w:cstheme="minorHAnsi"/>
          <w:sz w:val="24"/>
          <w:szCs w:val="24"/>
        </w:rPr>
        <w:t xml:space="preserve">and </w:t>
      </w:r>
      <w:r w:rsidR="00890189">
        <w:rPr>
          <w:rFonts w:cstheme="minorHAnsi"/>
          <w:sz w:val="24"/>
          <w:szCs w:val="24"/>
        </w:rPr>
        <w:t xml:space="preserve">the flow of </w:t>
      </w:r>
      <w:r w:rsidR="00A01C88">
        <w:rPr>
          <w:rFonts w:cstheme="minorHAnsi"/>
          <w:sz w:val="24"/>
          <w:szCs w:val="24"/>
        </w:rPr>
        <w:t>information</w:t>
      </w:r>
      <w:r w:rsidR="00D62900">
        <w:rPr>
          <w:rFonts w:cstheme="minorHAnsi"/>
          <w:sz w:val="24"/>
          <w:szCs w:val="24"/>
        </w:rPr>
        <w:t xml:space="preserve">.  This may be </w:t>
      </w:r>
      <w:r w:rsidR="00890189">
        <w:rPr>
          <w:rFonts w:cstheme="minorHAnsi"/>
          <w:sz w:val="24"/>
          <w:szCs w:val="24"/>
        </w:rPr>
        <w:t>simultaneous or sequential, depending on the agency.</w:t>
      </w:r>
    </w:p>
    <w:p w:rsidR="00977A37" w:rsidRDefault="00025739" w:rsidP="009B7D36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Minor differences in products </w:t>
      </w:r>
      <w:r w:rsidR="009B7D36">
        <w:rPr>
          <w:rFonts w:cstheme="minorHAnsi"/>
          <w:sz w:val="24"/>
          <w:szCs w:val="24"/>
        </w:rPr>
        <w:t xml:space="preserve">from the product </w:t>
      </w:r>
      <w:r w:rsidR="00A01C88">
        <w:rPr>
          <w:rFonts w:cstheme="minorHAnsi"/>
          <w:sz w:val="24"/>
          <w:szCs w:val="24"/>
        </w:rPr>
        <w:t xml:space="preserve">that </w:t>
      </w:r>
      <w:r w:rsidR="00B34351">
        <w:rPr>
          <w:rFonts w:cstheme="minorHAnsi"/>
          <w:sz w:val="24"/>
          <w:szCs w:val="24"/>
        </w:rPr>
        <w:t xml:space="preserve">is </w:t>
      </w:r>
      <w:r w:rsidR="00A01C88">
        <w:rPr>
          <w:rFonts w:cstheme="minorHAnsi"/>
          <w:sz w:val="24"/>
          <w:szCs w:val="24"/>
        </w:rPr>
        <w:t xml:space="preserve">intended </w:t>
      </w:r>
      <w:r w:rsidR="009B7D36">
        <w:rPr>
          <w:rFonts w:cstheme="minorHAnsi"/>
          <w:sz w:val="24"/>
          <w:szCs w:val="24"/>
        </w:rPr>
        <w:t xml:space="preserve">to be </w:t>
      </w:r>
      <w:r w:rsidR="00E10E69">
        <w:rPr>
          <w:rFonts w:cstheme="minorHAnsi"/>
          <w:sz w:val="24"/>
          <w:szCs w:val="24"/>
        </w:rPr>
        <w:t xml:space="preserve">authorised </w:t>
      </w:r>
      <w:r w:rsidR="009B7D36">
        <w:rPr>
          <w:rFonts w:cstheme="minorHAnsi"/>
          <w:sz w:val="24"/>
          <w:szCs w:val="24"/>
        </w:rPr>
        <w:t xml:space="preserve">in the EU </w:t>
      </w:r>
      <w:r w:rsidR="00B34351">
        <w:rPr>
          <w:rFonts w:cstheme="minorHAnsi"/>
          <w:sz w:val="24"/>
          <w:szCs w:val="24"/>
        </w:rPr>
        <w:t xml:space="preserve">may be considered acceptable provided these differences </w:t>
      </w:r>
      <w:r w:rsidR="009B7D36">
        <w:rPr>
          <w:rFonts w:cstheme="minorHAnsi"/>
          <w:sz w:val="24"/>
          <w:szCs w:val="24"/>
        </w:rPr>
        <w:t xml:space="preserve">are </w:t>
      </w:r>
      <w:r>
        <w:rPr>
          <w:rFonts w:cstheme="minorHAnsi"/>
          <w:sz w:val="24"/>
          <w:szCs w:val="24"/>
        </w:rPr>
        <w:t xml:space="preserve">not </w:t>
      </w:r>
      <w:r w:rsidR="001244CE">
        <w:rPr>
          <w:rFonts w:cstheme="minorHAnsi"/>
          <w:sz w:val="24"/>
          <w:szCs w:val="24"/>
        </w:rPr>
        <w:t xml:space="preserve">expected </w:t>
      </w:r>
      <w:r>
        <w:rPr>
          <w:rFonts w:cstheme="minorHAnsi"/>
          <w:sz w:val="24"/>
          <w:szCs w:val="24"/>
        </w:rPr>
        <w:t xml:space="preserve">to </w:t>
      </w:r>
      <w:r>
        <w:rPr>
          <w:rFonts w:cstheme="minorHAnsi"/>
          <w:sz w:val="24"/>
          <w:szCs w:val="24"/>
        </w:rPr>
        <w:lastRenderedPageBreak/>
        <w:t xml:space="preserve">impact </w:t>
      </w:r>
      <w:r w:rsidR="001244CE">
        <w:rPr>
          <w:rFonts w:cstheme="minorHAnsi"/>
          <w:sz w:val="24"/>
          <w:szCs w:val="24"/>
        </w:rPr>
        <w:t>on the</w:t>
      </w:r>
      <w:r>
        <w:rPr>
          <w:rFonts w:cstheme="minorHAnsi"/>
          <w:sz w:val="24"/>
          <w:szCs w:val="24"/>
        </w:rPr>
        <w:t xml:space="preserve"> safety, efficacy or </w:t>
      </w:r>
      <w:r w:rsidR="00BB618A">
        <w:rPr>
          <w:rFonts w:cstheme="minorHAnsi"/>
          <w:sz w:val="24"/>
          <w:szCs w:val="24"/>
        </w:rPr>
        <w:t>quality of</w:t>
      </w:r>
      <w:r w:rsidR="001244CE">
        <w:rPr>
          <w:rFonts w:cstheme="minorHAnsi"/>
          <w:sz w:val="24"/>
          <w:szCs w:val="24"/>
        </w:rPr>
        <w:t xml:space="preserve"> the product and ensure a similarity the products/dossiers under assessment </w:t>
      </w:r>
      <w:r w:rsidR="00B34351">
        <w:rPr>
          <w:rFonts w:cstheme="minorHAnsi"/>
          <w:sz w:val="24"/>
          <w:szCs w:val="24"/>
        </w:rPr>
        <w:t>(e.g., differences in container closure system formats)</w:t>
      </w:r>
      <w:r>
        <w:rPr>
          <w:rFonts w:cstheme="minorHAnsi"/>
          <w:sz w:val="24"/>
          <w:szCs w:val="24"/>
        </w:rPr>
        <w:t>.</w:t>
      </w:r>
      <w:r w:rsidR="009B7D36">
        <w:rPr>
          <w:rFonts w:cstheme="minorHAnsi"/>
          <w:sz w:val="24"/>
          <w:szCs w:val="24"/>
        </w:rPr>
        <w:t xml:space="preserve">  Non-EU regulatory agencies identified for collaboration in the pilot will confirm the acceptability of any such differences upon review of information submitted with the EOI, including the </w:t>
      </w:r>
      <w:r w:rsidR="009B7D36" w:rsidRPr="009B7D36">
        <w:rPr>
          <w:rFonts w:cstheme="minorHAnsi"/>
          <w:sz w:val="24"/>
          <w:szCs w:val="24"/>
        </w:rPr>
        <w:t xml:space="preserve">completed </w:t>
      </w:r>
      <w:r w:rsidR="009B7D36" w:rsidRPr="00BE5EC9">
        <w:rPr>
          <w:rFonts w:cstheme="minorHAnsi"/>
          <w:i/>
          <w:sz w:val="24"/>
          <w:szCs w:val="24"/>
        </w:rPr>
        <w:t xml:space="preserve">Summary of Quality Differences </w:t>
      </w:r>
      <w:r w:rsidR="009B7D36">
        <w:rPr>
          <w:rFonts w:cstheme="minorHAnsi"/>
          <w:sz w:val="24"/>
          <w:szCs w:val="24"/>
        </w:rPr>
        <w:t>(see below).</w:t>
      </w:r>
    </w:p>
    <w:p w:rsidR="00AC17BD" w:rsidRDefault="00AC17BD" w:rsidP="00AC17B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AC17BD">
        <w:rPr>
          <w:rFonts w:cstheme="minorHAnsi"/>
          <w:sz w:val="24"/>
          <w:szCs w:val="24"/>
        </w:rPr>
        <w:t>omplete applications</w:t>
      </w:r>
      <w:r>
        <w:rPr>
          <w:rFonts w:cstheme="minorHAnsi"/>
          <w:sz w:val="24"/>
          <w:szCs w:val="24"/>
        </w:rPr>
        <w:t xml:space="preserve">, compliant with respective regulatory requirements, </w:t>
      </w:r>
      <w:r w:rsidR="00AE6112">
        <w:rPr>
          <w:rFonts w:cstheme="minorHAnsi"/>
          <w:sz w:val="24"/>
          <w:szCs w:val="24"/>
        </w:rPr>
        <w:t xml:space="preserve">will be </w:t>
      </w:r>
      <w:r w:rsidRPr="00AC17BD">
        <w:rPr>
          <w:rFonts w:cstheme="minorHAnsi"/>
          <w:sz w:val="24"/>
          <w:szCs w:val="24"/>
        </w:rPr>
        <w:t xml:space="preserve">filed </w:t>
      </w:r>
      <w:r w:rsidR="00AE6112">
        <w:rPr>
          <w:rFonts w:cstheme="minorHAnsi"/>
          <w:sz w:val="24"/>
          <w:szCs w:val="24"/>
        </w:rPr>
        <w:t xml:space="preserve">with </w:t>
      </w:r>
      <w:r w:rsidR="00B34351">
        <w:rPr>
          <w:rFonts w:cstheme="minorHAnsi"/>
          <w:sz w:val="24"/>
          <w:szCs w:val="24"/>
        </w:rPr>
        <w:t xml:space="preserve">the </w:t>
      </w:r>
      <w:r w:rsidR="000F09FD">
        <w:rPr>
          <w:rFonts w:cstheme="minorHAnsi"/>
          <w:sz w:val="24"/>
          <w:szCs w:val="24"/>
        </w:rPr>
        <w:t>jurisdictions</w:t>
      </w:r>
      <w:r w:rsidR="00B34351">
        <w:rPr>
          <w:rFonts w:cstheme="minorHAnsi"/>
          <w:sz w:val="24"/>
          <w:szCs w:val="24"/>
        </w:rPr>
        <w:t xml:space="preserve"> participating in the exercise</w:t>
      </w:r>
      <w:r w:rsidR="000F09FD">
        <w:rPr>
          <w:rFonts w:cstheme="minorHAnsi"/>
          <w:sz w:val="24"/>
          <w:szCs w:val="24"/>
        </w:rPr>
        <w:t>.</w:t>
      </w:r>
    </w:p>
    <w:p w:rsidR="00D931A0" w:rsidRPr="00D931A0" w:rsidRDefault="004C1E5E" w:rsidP="00D931A0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4C1E5E">
        <w:rPr>
          <w:rFonts w:cstheme="minorHAnsi"/>
          <w:sz w:val="24"/>
          <w:szCs w:val="24"/>
          <w:u w:val="single"/>
        </w:rPr>
        <w:t>Original</w:t>
      </w:r>
      <w:r>
        <w:rPr>
          <w:rFonts w:cstheme="minorHAnsi"/>
          <w:sz w:val="24"/>
          <w:szCs w:val="24"/>
        </w:rPr>
        <w:t xml:space="preserve"> </w:t>
      </w:r>
      <w:r w:rsidR="00A01C88">
        <w:rPr>
          <w:rFonts w:cstheme="minorHAnsi"/>
          <w:sz w:val="24"/>
          <w:szCs w:val="24"/>
        </w:rPr>
        <w:t xml:space="preserve">generic drug </w:t>
      </w:r>
      <w:r>
        <w:rPr>
          <w:rFonts w:cstheme="minorHAnsi"/>
          <w:sz w:val="24"/>
          <w:szCs w:val="24"/>
        </w:rPr>
        <w:t>a</w:t>
      </w:r>
      <w:r w:rsidR="00605EBD">
        <w:rPr>
          <w:rFonts w:cstheme="minorHAnsi"/>
          <w:sz w:val="24"/>
          <w:szCs w:val="24"/>
        </w:rPr>
        <w:t xml:space="preserve">pplications for </w:t>
      </w:r>
      <w:r w:rsidR="00D931A0" w:rsidRPr="00D931A0">
        <w:t xml:space="preserve"> </w:t>
      </w:r>
      <w:r w:rsidR="00D931A0" w:rsidRPr="00D931A0">
        <w:rPr>
          <w:rFonts w:cstheme="minorHAnsi"/>
          <w:sz w:val="24"/>
          <w:szCs w:val="24"/>
        </w:rPr>
        <w:t xml:space="preserve">the following </w:t>
      </w:r>
      <w:r w:rsidR="00A71BE2">
        <w:rPr>
          <w:rFonts w:cstheme="minorHAnsi"/>
          <w:sz w:val="24"/>
          <w:szCs w:val="24"/>
        </w:rPr>
        <w:t>pharmaceutical (</w:t>
      </w:r>
      <w:r w:rsidR="00D931A0" w:rsidRPr="00D931A0">
        <w:rPr>
          <w:rFonts w:cstheme="minorHAnsi"/>
          <w:sz w:val="24"/>
          <w:szCs w:val="24"/>
        </w:rPr>
        <w:t>dosage</w:t>
      </w:r>
      <w:r w:rsidR="00A71BE2">
        <w:rPr>
          <w:rFonts w:cstheme="minorHAnsi"/>
          <w:sz w:val="24"/>
          <w:szCs w:val="24"/>
        </w:rPr>
        <w:t>)</w:t>
      </w:r>
      <w:r w:rsidR="00D931A0" w:rsidRPr="00D931A0">
        <w:rPr>
          <w:rFonts w:cstheme="minorHAnsi"/>
          <w:sz w:val="24"/>
          <w:szCs w:val="24"/>
        </w:rPr>
        <w:t xml:space="preserve"> forms:</w:t>
      </w:r>
    </w:p>
    <w:p w:rsidR="00D931A0" w:rsidRPr="00D931A0" w:rsidRDefault="00D931A0" w:rsidP="00D931A0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 w:rsidRPr="00D931A0">
        <w:rPr>
          <w:rFonts w:cstheme="minorHAnsi"/>
          <w:sz w:val="24"/>
          <w:szCs w:val="24"/>
        </w:rPr>
        <w:t>immediate-</w:t>
      </w:r>
      <w:r>
        <w:rPr>
          <w:rFonts w:cstheme="minorHAnsi"/>
          <w:sz w:val="24"/>
          <w:szCs w:val="24"/>
        </w:rPr>
        <w:t>release, solid oral</w:t>
      </w:r>
    </w:p>
    <w:p w:rsidR="00D931A0" w:rsidRPr="00D931A0" w:rsidRDefault="00D931A0" w:rsidP="00D931A0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  <w:lang w:val="fr-CA"/>
        </w:rPr>
      </w:pPr>
      <w:r w:rsidRPr="00D931A0">
        <w:rPr>
          <w:rFonts w:cstheme="minorHAnsi"/>
          <w:sz w:val="24"/>
          <w:szCs w:val="24"/>
          <w:lang w:val="fr-CA"/>
        </w:rPr>
        <w:t>solutions (</w:t>
      </w:r>
      <w:proofErr w:type="spellStart"/>
      <w:proofErr w:type="gramStart"/>
      <w:r w:rsidRPr="00D931A0">
        <w:rPr>
          <w:rFonts w:cstheme="minorHAnsi"/>
          <w:sz w:val="24"/>
          <w:szCs w:val="24"/>
          <w:lang w:val="fr-CA"/>
        </w:rPr>
        <w:t>e.g</w:t>
      </w:r>
      <w:proofErr w:type="spellEnd"/>
      <w:r w:rsidRPr="00D931A0">
        <w:rPr>
          <w:rFonts w:cstheme="minorHAnsi"/>
          <w:sz w:val="24"/>
          <w:szCs w:val="24"/>
          <w:lang w:val="fr-CA"/>
        </w:rPr>
        <w:t>.,</w:t>
      </w:r>
      <w:proofErr w:type="gramEnd"/>
      <w:r w:rsidRPr="00D931A0">
        <w:rPr>
          <w:rFonts w:cstheme="minorHAnsi"/>
          <w:sz w:val="24"/>
          <w:szCs w:val="24"/>
          <w:lang w:val="fr-CA"/>
        </w:rPr>
        <w:t xml:space="preserve"> oral, injectable)</w:t>
      </w:r>
    </w:p>
    <w:p w:rsidR="00605EBD" w:rsidRPr="00AC17BD" w:rsidRDefault="00D931A0" w:rsidP="00D931A0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D931A0">
        <w:rPr>
          <w:rFonts w:cstheme="minorHAnsi"/>
          <w:sz w:val="24"/>
          <w:szCs w:val="24"/>
        </w:rPr>
        <w:t>When in-vitro or in-vivo comparative studies against a reference product are warranted</w:t>
      </w:r>
      <w:r w:rsidR="00294406" w:rsidRPr="00D931A0">
        <w:rPr>
          <w:rFonts w:cstheme="minorHAnsi"/>
          <w:sz w:val="24"/>
          <w:szCs w:val="24"/>
        </w:rPr>
        <w:t>, comparative</w:t>
      </w:r>
      <w:r w:rsidRPr="00D931A0">
        <w:rPr>
          <w:rFonts w:cstheme="minorHAnsi"/>
          <w:sz w:val="24"/>
          <w:szCs w:val="24"/>
        </w:rPr>
        <w:t xml:space="preserve"> studies should be against the reference product marketed in the jurisdiction of the non-EU regulatory agency participating in the pilot, or against another suitable reference product with the condition that the non-EU agency's requirements for the use of a foreign-sourced reference product are met.</w:t>
      </w:r>
    </w:p>
    <w:p w:rsidR="00AC17BD" w:rsidRPr="00AC17BD" w:rsidRDefault="00025739" w:rsidP="00AC17B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AC17BD" w:rsidRPr="00AC17BD">
        <w:rPr>
          <w:rFonts w:cstheme="minorHAnsi"/>
          <w:sz w:val="24"/>
          <w:szCs w:val="24"/>
        </w:rPr>
        <w:t xml:space="preserve"> completed </w:t>
      </w:r>
      <w:r w:rsidR="00AC17BD" w:rsidRPr="00BE5EC9">
        <w:rPr>
          <w:rFonts w:cstheme="minorHAnsi"/>
          <w:i/>
          <w:sz w:val="24"/>
          <w:szCs w:val="24"/>
        </w:rPr>
        <w:t xml:space="preserve">Summary of </w:t>
      </w:r>
      <w:r w:rsidR="00B34351" w:rsidRPr="00BE5EC9">
        <w:rPr>
          <w:rFonts w:cstheme="minorHAnsi"/>
          <w:i/>
          <w:sz w:val="24"/>
          <w:szCs w:val="24"/>
        </w:rPr>
        <w:t xml:space="preserve">Quality </w:t>
      </w:r>
      <w:r w:rsidR="00AC17BD" w:rsidRPr="00BE5EC9">
        <w:rPr>
          <w:rFonts w:cstheme="minorHAnsi"/>
          <w:i/>
          <w:sz w:val="24"/>
          <w:szCs w:val="24"/>
        </w:rPr>
        <w:t>Differences</w:t>
      </w:r>
      <w:r w:rsidR="00AC17BD" w:rsidRPr="00AC17BD">
        <w:rPr>
          <w:rFonts w:cstheme="minorHAnsi"/>
          <w:sz w:val="24"/>
          <w:szCs w:val="24"/>
        </w:rPr>
        <w:t xml:space="preserve"> </w:t>
      </w:r>
      <w:r w:rsidR="00BE1778">
        <w:rPr>
          <w:rFonts w:cstheme="minorHAnsi"/>
          <w:sz w:val="24"/>
          <w:szCs w:val="24"/>
        </w:rPr>
        <w:t xml:space="preserve">form is submitted noting the differences, if any, </w:t>
      </w:r>
      <w:r w:rsidR="00BE1778" w:rsidRPr="00BE1778">
        <w:rPr>
          <w:rFonts w:cstheme="minorHAnsi"/>
          <w:bCs/>
          <w:sz w:val="24"/>
          <w:szCs w:val="24"/>
        </w:rPr>
        <w:t xml:space="preserve">between the </w:t>
      </w:r>
      <w:r w:rsidR="00BE1778">
        <w:rPr>
          <w:rFonts w:cstheme="minorHAnsi"/>
          <w:bCs/>
          <w:sz w:val="24"/>
          <w:szCs w:val="24"/>
        </w:rPr>
        <w:t>products</w:t>
      </w:r>
      <w:r w:rsidR="00BE1778" w:rsidRPr="00BE1778">
        <w:rPr>
          <w:rFonts w:cstheme="minorHAnsi"/>
          <w:bCs/>
          <w:sz w:val="24"/>
          <w:szCs w:val="24"/>
        </w:rPr>
        <w:t xml:space="preserve"> filed with the EU DCP and the non-EU agency </w:t>
      </w:r>
      <w:r w:rsidR="00AC17BD" w:rsidRPr="00AC17BD">
        <w:rPr>
          <w:rFonts w:cstheme="minorHAnsi"/>
          <w:sz w:val="24"/>
          <w:szCs w:val="24"/>
        </w:rPr>
        <w:t>(</w:t>
      </w:r>
      <w:r w:rsidRPr="00656EFE">
        <w:rPr>
          <w:rFonts w:cstheme="minorHAnsi"/>
          <w:sz w:val="24"/>
          <w:szCs w:val="24"/>
        </w:rPr>
        <w:t>Appendix 4).</w:t>
      </w:r>
    </w:p>
    <w:p w:rsidR="00AC17BD" w:rsidRDefault="00BE5EC9" w:rsidP="00AC17B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AC17BD" w:rsidRPr="00AC17BD">
        <w:rPr>
          <w:rFonts w:cstheme="minorHAnsi"/>
          <w:sz w:val="24"/>
          <w:szCs w:val="24"/>
        </w:rPr>
        <w:t xml:space="preserve">onsent is provided granting permission for the </w:t>
      </w:r>
      <w:r w:rsidR="00F47CEF">
        <w:rPr>
          <w:rFonts w:cstheme="minorHAnsi"/>
          <w:sz w:val="24"/>
          <w:szCs w:val="24"/>
        </w:rPr>
        <w:t xml:space="preserve">sharing of DCP assessment reports with non-EU agencies </w:t>
      </w:r>
      <w:r w:rsidR="00025739">
        <w:rPr>
          <w:rFonts w:cstheme="minorHAnsi"/>
          <w:sz w:val="24"/>
          <w:szCs w:val="24"/>
        </w:rPr>
        <w:t>involved in the pilot</w:t>
      </w:r>
      <w:r w:rsidR="00B34351">
        <w:rPr>
          <w:rFonts w:cstheme="minorHAnsi"/>
          <w:sz w:val="24"/>
          <w:szCs w:val="24"/>
        </w:rPr>
        <w:t xml:space="preserve"> (Appendix 3)</w:t>
      </w:r>
      <w:r w:rsidR="00AC17BD" w:rsidRPr="00AC17BD">
        <w:rPr>
          <w:rFonts w:cstheme="minorHAnsi"/>
          <w:sz w:val="24"/>
          <w:szCs w:val="24"/>
        </w:rPr>
        <w:t xml:space="preserve">. </w:t>
      </w:r>
    </w:p>
    <w:p w:rsidR="007D07F2" w:rsidRDefault="007D07F2" w:rsidP="00AC17B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Practical knowledge on how to apply and run an EU-DCP is deemed as a prerequisite. </w:t>
      </w:r>
    </w:p>
    <w:p w:rsidR="00821B05" w:rsidRPr="00BE5EC9" w:rsidRDefault="004C1E5E">
      <w:pPr>
        <w:rPr>
          <w:rFonts w:cstheme="minorHAnsi"/>
          <w:color w:val="00B05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 w:rsidR="00356557">
        <w:rPr>
          <w:rFonts w:cstheme="minorHAnsi"/>
          <w:sz w:val="24"/>
          <w:szCs w:val="24"/>
        </w:rPr>
        <w:t>verification</w:t>
      </w:r>
      <w:r w:rsidR="00356557" w:rsidRPr="0029347D">
        <w:rPr>
          <w:rFonts w:cstheme="minorHAnsi"/>
          <w:sz w:val="24"/>
          <w:szCs w:val="24"/>
        </w:rPr>
        <w:t xml:space="preserve"> </w:t>
      </w:r>
      <w:r w:rsidR="006E3003" w:rsidRPr="0029347D">
        <w:rPr>
          <w:rFonts w:cstheme="minorHAnsi"/>
          <w:sz w:val="24"/>
          <w:szCs w:val="24"/>
        </w:rPr>
        <w:t xml:space="preserve">assessment </w:t>
      </w:r>
      <w:r>
        <w:rPr>
          <w:rFonts w:cstheme="minorHAnsi"/>
          <w:sz w:val="24"/>
          <w:szCs w:val="24"/>
        </w:rPr>
        <w:t xml:space="preserve">will be </w:t>
      </w:r>
      <w:r w:rsidR="006E3003" w:rsidRPr="0029347D">
        <w:rPr>
          <w:rFonts w:cstheme="minorHAnsi"/>
          <w:sz w:val="24"/>
          <w:szCs w:val="24"/>
        </w:rPr>
        <w:t xml:space="preserve">undertaken </w:t>
      </w:r>
      <w:r w:rsidR="00C67B8B">
        <w:rPr>
          <w:rFonts w:cstheme="minorHAnsi"/>
          <w:sz w:val="24"/>
          <w:szCs w:val="24"/>
        </w:rPr>
        <w:t xml:space="preserve">by non-EU agencies </w:t>
      </w:r>
      <w:r w:rsidR="006E3003" w:rsidRPr="0029347D">
        <w:rPr>
          <w:rFonts w:cstheme="minorHAnsi"/>
          <w:sz w:val="24"/>
          <w:szCs w:val="24"/>
        </w:rPr>
        <w:t xml:space="preserve">to </w:t>
      </w:r>
      <w:r w:rsidR="00BE5EC9">
        <w:rPr>
          <w:rFonts w:cstheme="minorHAnsi"/>
          <w:sz w:val="24"/>
          <w:szCs w:val="24"/>
        </w:rPr>
        <w:t>determine</w:t>
      </w:r>
      <w:r w:rsidR="00356557" w:rsidRPr="0029347D">
        <w:rPr>
          <w:rFonts w:cstheme="minorHAnsi"/>
          <w:sz w:val="24"/>
          <w:szCs w:val="24"/>
        </w:rPr>
        <w:t xml:space="preserve"> </w:t>
      </w:r>
      <w:r w:rsidR="006E3003" w:rsidRPr="0029347D">
        <w:rPr>
          <w:rFonts w:cstheme="minorHAnsi"/>
          <w:sz w:val="24"/>
          <w:szCs w:val="24"/>
        </w:rPr>
        <w:t xml:space="preserve">whether the product being evaluated meets </w:t>
      </w:r>
      <w:r w:rsidR="00AE6112">
        <w:rPr>
          <w:rFonts w:cstheme="minorHAnsi"/>
          <w:sz w:val="24"/>
          <w:szCs w:val="24"/>
        </w:rPr>
        <w:t>eligibility criteria.</w:t>
      </w:r>
      <w:r w:rsidR="00821B05">
        <w:rPr>
          <w:sz w:val="24"/>
          <w:szCs w:val="24"/>
        </w:rPr>
        <w:br w:type="page"/>
      </w:r>
    </w:p>
    <w:p w:rsidR="00821B05" w:rsidRPr="004C60A7" w:rsidRDefault="00821B05" w:rsidP="002410ED">
      <w:pPr>
        <w:jc w:val="center"/>
        <w:rPr>
          <w:b/>
          <w:sz w:val="24"/>
          <w:szCs w:val="24"/>
        </w:rPr>
      </w:pPr>
      <w:r w:rsidRPr="00821B05">
        <w:rPr>
          <w:b/>
          <w:sz w:val="36"/>
          <w:szCs w:val="36"/>
        </w:rPr>
        <w:lastRenderedPageBreak/>
        <w:t xml:space="preserve">Appendix </w:t>
      </w:r>
      <w:r w:rsidR="0060295A">
        <w:rPr>
          <w:b/>
          <w:sz w:val="36"/>
          <w:szCs w:val="36"/>
        </w:rPr>
        <w:t>1</w:t>
      </w:r>
      <w:r w:rsidR="002410ED">
        <w:rPr>
          <w:b/>
          <w:sz w:val="36"/>
          <w:szCs w:val="36"/>
        </w:rPr>
        <w:t xml:space="preserve"> </w:t>
      </w:r>
      <w:r w:rsidR="002410ED" w:rsidRPr="002410ED">
        <w:rPr>
          <w:b/>
          <w:sz w:val="36"/>
          <w:szCs w:val="36"/>
        </w:rPr>
        <w:t xml:space="preserve">- </w:t>
      </w:r>
      <w:r w:rsidR="004C60A7" w:rsidRPr="002410ED">
        <w:rPr>
          <w:b/>
          <w:sz w:val="36"/>
          <w:szCs w:val="36"/>
        </w:rPr>
        <w:t xml:space="preserve">List of </w:t>
      </w:r>
      <w:r w:rsidR="009F13A6">
        <w:rPr>
          <w:b/>
          <w:sz w:val="36"/>
          <w:szCs w:val="36"/>
        </w:rPr>
        <w:t xml:space="preserve">Regulatory </w:t>
      </w:r>
      <w:r w:rsidR="007B638F">
        <w:rPr>
          <w:b/>
          <w:sz w:val="36"/>
          <w:szCs w:val="36"/>
        </w:rPr>
        <w:t xml:space="preserve">Agencies </w:t>
      </w:r>
      <w:r w:rsidR="00D271EC">
        <w:rPr>
          <w:b/>
          <w:sz w:val="36"/>
          <w:szCs w:val="36"/>
        </w:rPr>
        <w:t xml:space="preserve">interested in participating in the first DCP Information </w:t>
      </w:r>
      <w:r w:rsidR="004C60A7" w:rsidRPr="002410ED">
        <w:rPr>
          <w:b/>
          <w:sz w:val="36"/>
          <w:szCs w:val="36"/>
        </w:rPr>
        <w:t>Sharing Pilot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928"/>
        <w:gridCol w:w="3914"/>
      </w:tblGrid>
      <w:tr w:rsidR="004C60A7" w:rsidTr="002F0412">
        <w:tc>
          <w:tcPr>
            <w:tcW w:w="2734" w:type="dxa"/>
            <w:shd w:val="pct10" w:color="auto" w:fill="auto"/>
          </w:tcPr>
          <w:p w:rsidR="004C60A7" w:rsidRPr="004C60A7" w:rsidRDefault="004C60A7" w:rsidP="00821B05">
            <w:pPr>
              <w:rPr>
                <w:b/>
                <w:sz w:val="24"/>
                <w:szCs w:val="24"/>
              </w:rPr>
            </w:pPr>
            <w:r w:rsidRPr="004C60A7">
              <w:rPr>
                <w:b/>
                <w:sz w:val="24"/>
                <w:szCs w:val="24"/>
              </w:rPr>
              <w:t>Jurisdiction</w:t>
            </w:r>
          </w:p>
        </w:tc>
        <w:tc>
          <w:tcPr>
            <w:tcW w:w="2928" w:type="dxa"/>
            <w:shd w:val="pct10" w:color="auto" w:fill="auto"/>
          </w:tcPr>
          <w:p w:rsidR="004C60A7" w:rsidRPr="004C60A7" w:rsidRDefault="004C60A7" w:rsidP="00B34351">
            <w:pPr>
              <w:rPr>
                <w:b/>
                <w:sz w:val="24"/>
                <w:szCs w:val="24"/>
              </w:rPr>
            </w:pPr>
            <w:r w:rsidRPr="004C60A7">
              <w:rPr>
                <w:b/>
                <w:sz w:val="24"/>
                <w:szCs w:val="24"/>
              </w:rPr>
              <w:t xml:space="preserve">Regulatory </w:t>
            </w:r>
            <w:r w:rsidR="00B34351">
              <w:rPr>
                <w:b/>
                <w:sz w:val="24"/>
                <w:szCs w:val="24"/>
              </w:rPr>
              <w:t>Agency</w:t>
            </w:r>
          </w:p>
        </w:tc>
        <w:tc>
          <w:tcPr>
            <w:tcW w:w="3914" w:type="dxa"/>
            <w:shd w:val="pct10" w:color="auto" w:fill="auto"/>
          </w:tcPr>
          <w:p w:rsidR="004C60A7" w:rsidRPr="004C60A7" w:rsidRDefault="004C60A7" w:rsidP="00821B05">
            <w:pPr>
              <w:rPr>
                <w:b/>
                <w:sz w:val="24"/>
                <w:szCs w:val="24"/>
              </w:rPr>
            </w:pPr>
            <w:r w:rsidRPr="004C60A7">
              <w:rPr>
                <w:b/>
                <w:sz w:val="24"/>
                <w:szCs w:val="24"/>
              </w:rPr>
              <w:t>Contact Information</w:t>
            </w:r>
          </w:p>
        </w:tc>
      </w:tr>
      <w:tr w:rsidR="004C60A7" w:rsidTr="002F0412">
        <w:tc>
          <w:tcPr>
            <w:tcW w:w="2734" w:type="dxa"/>
          </w:tcPr>
          <w:p w:rsidR="004C60A7" w:rsidRDefault="007C6003" w:rsidP="00821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Australia</w:t>
            </w:r>
          </w:p>
        </w:tc>
        <w:tc>
          <w:tcPr>
            <w:tcW w:w="2928" w:type="dxa"/>
          </w:tcPr>
          <w:p w:rsidR="004C60A7" w:rsidRDefault="007C6003" w:rsidP="00821B05">
            <w:pPr>
              <w:rPr>
                <w:sz w:val="24"/>
                <w:szCs w:val="24"/>
              </w:rPr>
            </w:pPr>
            <w:r w:rsidRPr="00821B05">
              <w:rPr>
                <w:sz w:val="24"/>
                <w:szCs w:val="24"/>
              </w:rPr>
              <w:t>Therapeutic Goods Administration (TGA)</w:t>
            </w:r>
          </w:p>
        </w:tc>
        <w:tc>
          <w:tcPr>
            <w:tcW w:w="3914" w:type="dxa"/>
          </w:tcPr>
          <w:p w:rsidR="004C60A7" w:rsidRDefault="00EF7D7A" w:rsidP="007C6003">
            <w:pPr>
              <w:rPr>
                <w:sz w:val="24"/>
                <w:szCs w:val="24"/>
              </w:rPr>
            </w:pPr>
            <w:r w:rsidRPr="00EF7D7A">
              <w:rPr>
                <w:sz w:val="24"/>
                <w:szCs w:val="24"/>
              </w:rPr>
              <w:t>PCSInbox@tga.gov.au</w:t>
            </w:r>
            <w:bookmarkStart w:id="0" w:name="_GoBack"/>
            <w:bookmarkEnd w:id="0"/>
          </w:p>
        </w:tc>
      </w:tr>
      <w:tr w:rsidR="007C6003" w:rsidRPr="003B063D" w:rsidTr="002F0412">
        <w:tc>
          <w:tcPr>
            <w:tcW w:w="2734" w:type="dxa"/>
          </w:tcPr>
          <w:p w:rsidR="007C6003" w:rsidRDefault="007C6003" w:rsidP="00F47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Canada</w:t>
            </w:r>
          </w:p>
        </w:tc>
        <w:tc>
          <w:tcPr>
            <w:tcW w:w="2928" w:type="dxa"/>
          </w:tcPr>
          <w:p w:rsidR="007C6003" w:rsidRDefault="007C6003" w:rsidP="00F47C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Canada</w:t>
            </w:r>
          </w:p>
        </w:tc>
        <w:tc>
          <w:tcPr>
            <w:tcW w:w="3914" w:type="dxa"/>
          </w:tcPr>
          <w:p w:rsidR="007C6003" w:rsidRDefault="00EF7D7A" w:rsidP="00821B05">
            <w:pPr>
              <w:rPr>
                <w:sz w:val="24"/>
                <w:szCs w:val="24"/>
              </w:rPr>
            </w:pPr>
            <w:hyperlink r:id="rId11" w:history="1">
              <w:r w:rsidR="003B063D" w:rsidRPr="003B063D">
                <w:rPr>
                  <w:sz w:val="24"/>
                  <w:szCs w:val="24"/>
                </w:rPr>
                <w:t>TPD-DPT.International@hc-sc.gc.ca</w:t>
              </w:r>
            </w:hyperlink>
          </w:p>
        </w:tc>
      </w:tr>
      <w:tr w:rsidR="007C6003" w:rsidTr="002F0412">
        <w:tc>
          <w:tcPr>
            <w:tcW w:w="2734" w:type="dxa"/>
          </w:tcPr>
          <w:p w:rsidR="007C6003" w:rsidRDefault="007C6003" w:rsidP="007C6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Chinese Taipei</w:t>
            </w:r>
          </w:p>
        </w:tc>
        <w:tc>
          <w:tcPr>
            <w:tcW w:w="2928" w:type="dxa"/>
          </w:tcPr>
          <w:p w:rsidR="007C6003" w:rsidRPr="00821B05" w:rsidRDefault="007C6003" w:rsidP="007C6003">
            <w:pPr>
              <w:spacing w:after="200" w:line="276" w:lineRule="auto"/>
              <w:rPr>
                <w:sz w:val="24"/>
                <w:szCs w:val="24"/>
              </w:rPr>
            </w:pPr>
            <w:r w:rsidRPr="00821B05">
              <w:rPr>
                <w:sz w:val="24"/>
                <w:szCs w:val="24"/>
              </w:rPr>
              <w:t>Taiwan Food and Drug Administration (TFDA)</w:t>
            </w:r>
          </w:p>
          <w:p w:rsidR="007C6003" w:rsidRDefault="007C6003" w:rsidP="00821B05">
            <w:pPr>
              <w:rPr>
                <w:sz w:val="24"/>
                <w:szCs w:val="24"/>
              </w:rPr>
            </w:pPr>
          </w:p>
        </w:tc>
        <w:tc>
          <w:tcPr>
            <w:tcW w:w="3914" w:type="dxa"/>
          </w:tcPr>
          <w:p w:rsidR="007C6003" w:rsidRDefault="00EF7D7A" w:rsidP="00821B05">
            <w:pPr>
              <w:rPr>
                <w:sz w:val="24"/>
                <w:szCs w:val="24"/>
              </w:rPr>
            </w:pPr>
            <w:hyperlink r:id="rId12" w:history="1">
              <w:r w:rsidR="006F4FD3" w:rsidRPr="006F4FD3">
                <w:rPr>
                  <w:sz w:val="24"/>
                  <w:szCs w:val="24"/>
                </w:rPr>
                <w:t>lin.bond@fda.gov.tw</w:t>
              </w:r>
            </w:hyperlink>
          </w:p>
        </w:tc>
      </w:tr>
      <w:tr w:rsidR="00F47CEF" w:rsidTr="002F0412">
        <w:tc>
          <w:tcPr>
            <w:tcW w:w="2734" w:type="dxa"/>
          </w:tcPr>
          <w:p w:rsidR="00F47CEF" w:rsidRDefault="00073DFF" w:rsidP="007C6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Switzerland</w:t>
            </w:r>
          </w:p>
        </w:tc>
        <w:tc>
          <w:tcPr>
            <w:tcW w:w="2928" w:type="dxa"/>
          </w:tcPr>
          <w:p w:rsidR="00F47CEF" w:rsidRPr="00821B05" w:rsidRDefault="00F47CEF" w:rsidP="007C6003">
            <w:pPr>
              <w:rPr>
                <w:sz w:val="24"/>
                <w:szCs w:val="24"/>
              </w:rPr>
            </w:pPr>
            <w:r w:rsidRPr="00F47CEF">
              <w:rPr>
                <w:sz w:val="24"/>
                <w:szCs w:val="24"/>
              </w:rPr>
              <w:t>Swissmedic – Swiss Agency for Therapeutic Products</w:t>
            </w:r>
          </w:p>
        </w:tc>
        <w:tc>
          <w:tcPr>
            <w:tcW w:w="3914" w:type="dxa"/>
          </w:tcPr>
          <w:p w:rsidR="00F47CEF" w:rsidRPr="00F47CEF" w:rsidRDefault="00F47CEF" w:rsidP="00F47CEF">
            <w:pPr>
              <w:rPr>
                <w:sz w:val="24"/>
                <w:szCs w:val="24"/>
              </w:rPr>
            </w:pPr>
            <w:r w:rsidRPr="00F47CEF">
              <w:rPr>
                <w:sz w:val="24"/>
                <w:szCs w:val="24"/>
              </w:rPr>
              <w:t>Networking@swissmedic.ch</w:t>
            </w:r>
          </w:p>
          <w:p w:rsidR="00F47CEF" w:rsidRDefault="00F47CEF" w:rsidP="00F47CEF">
            <w:pPr>
              <w:rPr>
                <w:sz w:val="24"/>
                <w:szCs w:val="24"/>
              </w:rPr>
            </w:pPr>
            <w:r w:rsidRPr="00F47CEF">
              <w:rPr>
                <w:sz w:val="24"/>
                <w:szCs w:val="24"/>
              </w:rPr>
              <w:t>gabriela.zenhaeusern@swissmedic.ch</w:t>
            </w:r>
          </w:p>
        </w:tc>
      </w:tr>
    </w:tbl>
    <w:p w:rsidR="009B78C0" w:rsidRDefault="009B78C0" w:rsidP="00821B05">
      <w:pPr>
        <w:rPr>
          <w:sz w:val="24"/>
          <w:szCs w:val="24"/>
        </w:rPr>
      </w:pPr>
    </w:p>
    <w:p w:rsidR="002410ED" w:rsidRDefault="002410E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410ED" w:rsidRDefault="002410ED">
      <w:pPr>
        <w:rPr>
          <w:b/>
          <w:sz w:val="36"/>
          <w:szCs w:val="36"/>
        </w:rPr>
      </w:pPr>
      <w:r w:rsidRPr="00821B05">
        <w:rPr>
          <w:b/>
          <w:sz w:val="36"/>
          <w:szCs w:val="36"/>
        </w:rPr>
        <w:lastRenderedPageBreak/>
        <w:t xml:space="preserve">Appendix </w:t>
      </w:r>
      <w:r w:rsidR="00842D75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–</w:t>
      </w:r>
      <w:r w:rsidRPr="002410E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Schematic of how DCP Pilot would operate</w:t>
      </w:r>
    </w:p>
    <w:p w:rsidR="002410ED" w:rsidRDefault="002410ED">
      <w:pPr>
        <w:rPr>
          <w:sz w:val="24"/>
          <w:szCs w:val="24"/>
        </w:rPr>
      </w:pPr>
    </w:p>
    <w:p w:rsidR="002410ED" w:rsidRDefault="002410ED">
      <w:pPr>
        <w:rPr>
          <w:b/>
          <w:sz w:val="36"/>
          <w:szCs w:val="36"/>
        </w:rPr>
      </w:pPr>
      <w:r>
        <w:rPr>
          <w:sz w:val="24"/>
          <w:szCs w:val="24"/>
        </w:rPr>
        <w:t xml:space="preserve">The EU has offered to pilot the </w:t>
      </w:r>
      <w:r w:rsidRPr="00032AD4">
        <w:rPr>
          <w:sz w:val="24"/>
          <w:szCs w:val="24"/>
        </w:rPr>
        <w:t>D</w:t>
      </w:r>
      <w:r>
        <w:rPr>
          <w:sz w:val="24"/>
          <w:szCs w:val="24"/>
        </w:rPr>
        <w:t>CP</w:t>
      </w:r>
      <w:r w:rsidRPr="00032AD4">
        <w:rPr>
          <w:sz w:val="24"/>
          <w:szCs w:val="24"/>
        </w:rPr>
        <w:t xml:space="preserve"> as a model for the sharing of information with IGDRP </w:t>
      </w:r>
      <w:r>
        <w:rPr>
          <w:sz w:val="24"/>
          <w:szCs w:val="24"/>
        </w:rPr>
        <w:t xml:space="preserve">regulatory agencies </w:t>
      </w:r>
      <w:r w:rsidRPr="00032AD4">
        <w:rPr>
          <w:sz w:val="24"/>
          <w:szCs w:val="24"/>
        </w:rPr>
        <w:t xml:space="preserve">external to the EU during the scientific assessment phases of the DCP.  </w:t>
      </w:r>
      <w:r>
        <w:rPr>
          <w:sz w:val="24"/>
          <w:szCs w:val="24"/>
        </w:rPr>
        <w:t>This would involve a parallel review process, with non-EU agencies continuing to conduct separate but synchronized receipt, validation/screening, assessment and market authorization (or refusal) steps, using the outputs from the Step 1 and 2 DCP to inform their scientific assessments</w:t>
      </w:r>
    </w:p>
    <w:p w:rsidR="002410ED" w:rsidRDefault="002410ED">
      <w:pPr>
        <w:rPr>
          <w:sz w:val="24"/>
          <w:szCs w:val="24"/>
        </w:rPr>
      </w:pPr>
      <w:r>
        <w:rPr>
          <w:noProof/>
          <w:sz w:val="24"/>
          <w:szCs w:val="24"/>
          <w:lang w:val="en-AU" w:eastAsia="en-AU"/>
        </w:rPr>
        <w:drawing>
          <wp:inline distT="0" distB="0" distL="0" distR="0" wp14:anchorId="40EB4E2D" wp14:editId="1E22D922">
            <wp:extent cx="5943600" cy="457786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7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27E1" w:rsidRDefault="008C27E1" w:rsidP="00821B05">
      <w:pPr>
        <w:rPr>
          <w:sz w:val="24"/>
          <w:szCs w:val="24"/>
        </w:rPr>
      </w:pPr>
    </w:p>
    <w:p w:rsidR="00842D75" w:rsidRDefault="00842D7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13341" w:rsidRDefault="00842D75" w:rsidP="00821B05">
      <w:pPr>
        <w:rPr>
          <w:b/>
          <w:sz w:val="36"/>
          <w:szCs w:val="36"/>
        </w:rPr>
      </w:pPr>
      <w:r w:rsidRPr="00821B05">
        <w:rPr>
          <w:b/>
          <w:sz w:val="36"/>
          <w:szCs w:val="36"/>
        </w:rPr>
        <w:lastRenderedPageBreak/>
        <w:t xml:space="preserve">Appendix </w:t>
      </w:r>
      <w:r>
        <w:rPr>
          <w:b/>
          <w:sz w:val="36"/>
          <w:szCs w:val="36"/>
        </w:rPr>
        <w:t xml:space="preserve">3 </w:t>
      </w:r>
    </w:p>
    <w:p w:rsidR="00842D75" w:rsidRDefault="00842D75" w:rsidP="00821B05">
      <w:pPr>
        <w:rPr>
          <w:b/>
          <w:sz w:val="36"/>
          <w:szCs w:val="36"/>
        </w:rPr>
      </w:pPr>
      <w:r>
        <w:rPr>
          <w:b/>
          <w:sz w:val="36"/>
          <w:szCs w:val="36"/>
        </w:rPr>
        <w:t>Expression of Interest</w:t>
      </w:r>
      <w:r w:rsidR="00B13341">
        <w:rPr>
          <w:b/>
          <w:sz w:val="36"/>
          <w:szCs w:val="36"/>
        </w:rPr>
        <w:t xml:space="preserve"> </w:t>
      </w:r>
      <w:r w:rsidR="00F21A36">
        <w:rPr>
          <w:b/>
          <w:sz w:val="36"/>
          <w:szCs w:val="36"/>
        </w:rPr>
        <w:t xml:space="preserve">(EOI) Request </w:t>
      </w:r>
      <w:r w:rsidR="00B13341">
        <w:rPr>
          <w:b/>
          <w:sz w:val="36"/>
          <w:szCs w:val="36"/>
        </w:rPr>
        <w:t xml:space="preserve">to </w:t>
      </w:r>
      <w:r w:rsidR="00B13341" w:rsidRPr="00B13341">
        <w:rPr>
          <w:b/>
          <w:sz w:val="36"/>
          <w:szCs w:val="36"/>
        </w:rPr>
        <w:t xml:space="preserve">Participate in </w:t>
      </w:r>
      <w:r w:rsidR="00B13341">
        <w:rPr>
          <w:b/>
          <w:sz w:val="36"/>
          <w:szCs w:val="36"/>
        </w:rPr>
        <w:t>the First</w:t>
      </w:r>
      <w:r w:rsidR="00B13341" w:rsidRPr="00B13341">
        <w:rPr>
          <w:b/>
          <w:sz w:val="36"/>
          <w:szCs w:val="36"/>
        </w:rPr>
        <w:t xml:space="preserve"> Information Sharing Pilot for the </w:t>
      </w:r>
      <w:r w:rsidR="00B13341" w:rsidRPr="00BE5EC9">
        <w:rPr>
          <w:b/>
          <w:i/>
          <w:sz w:val="36"/>
          <w:szCs w:val="36"/>
        </w:rPr>
        <w:t>Evaluation of Generic Drug Applications involving the Decentralised Procedure of the European Union</w:t>
      </w:r>
    </w:p>
    <w:p w:rsidR="007C4500" w:rsidRPr="00F21A36" w:rsidRDefault="007C4500" w:rsidP="00821B0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567"/>
        <w:gridCol w:w="1559"/>
        <w:gridCol w:w="1560"/>
        <w:gridCol w:w="708"/>
        <w:gridCol w:w="2664"/>
      </w:tblGrid>
      <w:tr w:rsidR="007C4500" w:rsidRPr="00F21A36" w:rsidTr="00656EFE">
        <w:tc>
          <w:tcPr>
            <w:tcW w:w="9576" w:type="dxa"/>
            <w:gridSpan w:val="6"/>
            <w:shd w:val="clear" w:color="auto" w:fill="D9D9D9" w:themeFill="background1" w:themeFillShade="D9"/>
          </w:tcPr>
          <w:p w:rsidR="007C4500" w:rsidRPr="00F21A36" w:rsidRDefault="007C4500" w:rsidP="00821B05">
            <w:pPr>
              <w:rPr>
                <w:rFonts w:ascii="Times New Roman" w:hAnsi="Times New Roman" w:cs="Times New Roman"/>
                <w:b/>
              </w:rPr>
            </w:pPr>
            <w:r w:rsidRPr="00F21A36">
              <w:rPr>
                <w:rFonts w:ascii="Times New Roman" w:hAnsi="Times New Roman" w:cs="Times New Roman"/>
                <w:b/>
              </w:rPr>
              <w:t>Product Information</w:t>
            </w:r>
          </w:p>
        </w:tc>
      </w:tr>
      <w:tr w:rsidR="007C4500" w:rsidRPr="00F21A36" w:rsidTr="00F47CEF">
        <w:tc>
          <w:tcPr>
            <w:tcW w:w="9576" w:type="dxa"/>
            <w:gridSpan w:val="6"/>
          </w:tcPr>
          <w:p w:rsidR="007C4500" w:rsidRPr="00F21A36" w:rsidRDefault="007C4500">
            <w:pPr>
              <w:rPr>
                <w:rFonts w:ascii="Times New Roman" w:hAnsi="Times New Roman" w:cs="Times New Roman"/>
                <w:b/>
              </w:rPr>
            </w:pPr>
            <w:r w:rsidRPr="00F21A36">
              <w:rPr>
                <w:rFonts w:ascii="Times New Roman" w:hAnsi="Times New Roman" w:cs="Times New Roman"/>
              </w:rPr>
              <w:t>Product Name</w:t>
            </w:r>
            <w:r w:rsidR="00403AA3" w:rsidRPr="00F21A36">
              <w:rPr>
                <w:rFonts w:ascii="Times New Roman" w:hAnsi="Times New Roman" w:cs="Times New Roman"/>
              </w:rPr>
              <w:t xml:space="preserve"> (should be same as on product label</w:t>
            </w:r>
            <w:r w:rsidR="006B0C0F" w:rsidRPr="00F21A36">
              <w:rPr>
                <w:rFonts w:ascii="Times New Roman" w:hAnsi="Times New Roman" w:cs="Times New Roman"/>
              </w:rPr>
              <w:t>)</w:t>
            </w:r>
            <w:r w:rsidRPr="00F21A36">
              <w:rPr>
                <w:rFonts w:ascii="Times New Roman" w:hAnsi="Times New Roman" w:cs="Times New Roman"/>
              </w:rPr>
              <w:t>:</w:t>
            </w:r>
          </w:p>
        </w:tc>
      </w:tr>
      <w:tr w:rsidR="007C4500" w:rsidRPr="00F21A36" w:rsidTr="00F47CEF">
        <w:tc>
          <w:tcPr>
            <w:tcW w:w="9576" w:type="dxa"/>
            <w:gridSpan w:val="6"/>
          </w:tcPr>
          <w:p w:rsidR="007C4500" w:rsidRPr="00F21A36" w:rsidRDefault="007C4500" w:rsidP="00821B05">
            <w:pPr>
              <w:rPr>
                <w:rFonts w:ascii="Times New Roman" w:hAnsi="Times New Roman" w:cs="Times New Roman"/>
                <w:b/>
              </w:rPr>
            </w:pPr>
            <w:r w:rsidRPr="00F21A36">
              <w:rPr>
                <w:rFonts w:ascii="Times New Roman" w:hAnsi="Times New Roman" w:cs="Times New Roman"/>
              </w:rPr>
              <w:t>Active Pharmaceutical Ingredient:</w:t>
            </w:r>
          </w:p>
        </w:tc>
      </w:tr>
      <w:tr w:rsidR="007C4500" w:rsidRPr="00F21A36" w:rsidTr="00656EFE">
        <w:tc>
          <w:tcPr>
            <w:tcW w:w="2518" w:type="dxa"/>
          </w:tcPr>
          <w:p w:rsidR="007C4500" w:rsidRPr="00F21A36" w:rsidRDefault="007C4500" w:rsidP="00656EFE">
            <w:pPr>
              <w:jc w:val="center"/>
              <w:rPr>
                <w:rFonts w:ascii="Times New Roman" w:hAnsi="Times New Roman" w:cs="Times New Roman"/>
              </w:rPr>
            </w:pPr>
            <w:r w:rsidRPr="00F21A36">
              <w:rPr>
                <w:rFonts w:ascii="Times New Roman" w:hAnsi="Times New Roman" w:cs="Times New Roman"/>
              </w:rPr>
              <w:t>Pharmaceutical Form</w:t>
            </w:r>
          </w:p>
        </w:tc>
        <w:tc>
          <w:tcPr>
            <w:tcW w:w="2126" w:type="dxa"/>
            <w:gridSpan w:val="2"/>
          </w:tcPr>
          <w:p w:rsidR="007C4500" w:rsidRPr="00F21A36" w:rsidRDefault="001959CB" w:rsidP="00656EFE">
            <w:pPr>
              <w:jc w:val="center"/>
              <w:rPr>
                <w:rFonts w:ascii="Times New Roman" w:hAnsi="Times New Roman" w:cs="Times New Roman"/>
              </w:rPr>
            </w:pPr>
            <w:r w:rsidRPr="00F21A36">
              <w:rPr>
                <w:rFonts w:ascii="Times New Roman" w:hAnsi="Times New Roman" w:cs="Times New Roman"/>
              </w:rPr>
              <w:t>Route</w:t>
            </w:r>
          </w:p>
        </w:tc>
        <w:tc>
          <w:tcPr>
            <w:tcW w:w="2268" w:type="dxa"/>
            <w:gridSpan w:val="2"/>
          </w:tcPr>
          <w:p w:rsidR="007C4500" w:rsidRPr="00F21A36" w:rsidRDefault="001959CB" w:rsidP="00656EFE">
            <w:pPr>
              <w:jc w:val="center"/>
              <w:rPr>
                <w:rFonts w:ascii="Times New Roman" w:hAnsi="Times New Roman" w:cs="Times New Roman"/>
              </w:rPr>
            </w:pPr>
            <w:r w:rsidRPr="00F21A36">
              <w:rPr>
                <w:rFonts w:ascii="Times New Roman" w:hAnsi="Times New Roman" w:cs="Times New Roman"/>
              </w:rPr>
              <w:t>Strength</w:t>
            </w:r>
          </w:p>
        </w:tc>
        <w:tc>
          <w:tcPr>
            <w:tcW w:w="2664" w:type="dxa"/>
          </w:tcPr>
          <w:p w:rsidR="007C4500" w:rsidRPr="00F21A36" w:rsidRDefault="001959CB" w:rsidP="00656EFE">
            <w:pPr>
              <w:jc w:val="center"/>
              <w:rPr>
                <w:rFonts w:ascii="Times New Roman" w:hAnsi="Times New Roman" w:cs="Times New Roman"/>
              </w:rPr>
            </w:pPr>
            <w:r w:rsidRPr="00F21A36">
              <w:rPr>
                <w:rFonts w:ascii="Times New Roman" w:hAnsi="Times New Roman" w:cs="Times New Roman"/>
              </w:rPr>
              <w:t>Conditions of Use</w:t>
            </w:r>
          </w:p>
        </w:tc>
      </w:tr>
      <w:tr w:rsidR="007C4500" w:rsidRPr="00F21A36" w:rsidTr="00656EFE">
        <w:tc>
          <w:tcPr>
            <w:tcW w:w="2518" w:type="dxa"/>
          </w:tcPr>
          <w:p w:rsidR="007C4500" w:rsidRPr="00F21A36" w:rsidRDefault="007C4500" w:rsidP="00821B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"/>
          </w:tcPr>
          <w:p w:rsidR="007C4500" w:rsidRPr="00F21A36" w:rsidRDefault="007C4500" w:rsidP="00821B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7C4500" w:rsidRPr="00F21A36" w:rsidRDefault="007C4500" w:rsidP="00821B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4" w:type="dxa"/>
          </w:tcPr>
          <w:p w:rsidR="007C4500" w:rsidRPr="00F21A36" w:rsidRDefault="007C4500" w:rsidP="00821B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4500" w:rsidRPr="00F21A36" w:rsidTr="00656EFE">
        <w:tc>
          <w:tcPr>
            <w:tcW w:w="2518" w:type="dxa"/>
          </w:tcPr>
          <w:p w:rsidR="007C4500" w:rsidRPr="00F21A36" w:rsidRDefault="007C4500" w:rsidP="00821B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"/>
          </w:tcPr>
          <w:p w:rsidR="007C4500" w:rsidRPr="00F21A36" w:rsidRDefault="007C4500" w:rsidP="00821B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7C4500" w:rsidRPr="00F21A36" w:rsidRDefault="007C4500" w:rsidP="00821B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4" w:type="dxa"/>
          </w:tcPr>
          <w:p w:rsidR="007C4500" w:rsidRPr="00F21A36" w:rsidRDefault="007C4500" w:rsidP="00821B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4500" w:rsidRPr="00F21A36" w:rsidTr="00656EFE">
        <w:tc>
          <w:tcPr>
            <w:tcW w:w="2518" w:type="dxa"/>
          </w:tcPr>
          <w:p w:rsidR="007C4500" w:rsidRPr="00F21A36" w:rsidRDefault="007C4500" w:rsidP="00821B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"/>
          </w:tcPr>
          <w:p w:rsidR="007C4500" w:rsidRPr="00F21A36" w:rsidRDefault="007C4500" w:rsidP="00821B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7C4500" w:rsidRPr="00F21A36" w:rsidRDefault="007C4500" w:rsidP="00821B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4" w:type="dxa"/>
          </w:tcPr>
          <w:p w:rsidR="007C4500" w:rsidRPr="00F21A36" w:rsidRDefault="007C4500" w:rsidP="00821B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C4500" w:rsidRPr="00F21A36" w:rsidTr="00656EFE">
        <w:tc>
          <w:tcPr>
            <w:tcW w:w="2518" w:type="dxa"/>
            <w:tcBorders>
              <w:bottom w:val="single" w:sz="4" w:space="0" w:color="auto"/>
            </w:tcBorders>
          </w:tcPr>
          <w:p w:rsidR="007C4500" w:rsidRPr="00F21A36" w:rsidRDefault="007C4500" w:rsidP="00821B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C4500" w:rsidRPr="00F21A36" w:rsidRDefault="007C4500" w:rsidP="00821B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C4500" w:rsidRPr="00F21A36" w:rsidRDefault="007C4500" w:rsidP="00821B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7C4500" w:rsidRPr="00F21A36" w:rsidRDefault="007C4500" w:rsidP="00821B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959CB" w:rsidRPr="00F21A36" w:rsidTr="00656EFE">
        <w:tc>
          <w:tcPr>
            <w:tcW w:w="9576" w:type="dxa"/>
            <w:gridSpan w:val="6"/>
            <w:shd w:val="clear" w:color="auto" w:fill="D9D9D9" w:themeFill="background1" w:themeFillShade="D9"/>
          </w:tcPr>
          <w:p w:rsidR="001959CB" w:rsidRPr="00F21A36" w:rsidRDefault="001959CB" w:rsidP="001959CB">
            <w:pPr>
              <w:rPr>
                <w:rFonts w:ascii="Times New Roman" w:hAnsi="Times New Roman" w:cs="Times New Roman"/>
                <w:b/>
              </w:rPr>
            </w:pPr>
            <w:r w:rsidRPr="00F21A36">
              <w:rPr>
                <w:rFonts w:ascii="Times New Roman" w:hAnsi="Times New Roman" w:cs="Times New Roman"/>
                <w:b/>
              </w:rPr>
              <w:t>Applicant Information</w:t>
            </w:r>
          </w:p>
        </w:tc>
      </w:tr>
      <w:tr w:rsidR="00472AF7" w:rsidRPr="00F21A36" w:rsidTr="00F47CEF">
        <w:tc>
          <w:tcPr>
            <w:tcW w:w="9576" w:type="dxa"/>
            <w:gridSpan w:val="6"/>
          </w:tcPr>
          <w:p w:rsidR="00472AF7" w:rsidRPr="00F21A36" w:rsidRDefault="00472AF7" w:rsidP="00472AF7">
            <w:pPr>
              <w:rPr>
                <w:rFonts w:ascii="Times New Roman" w:hAnsi="Times New Roman" w:cs="Times New Roman"/>
              </w:rPr>
            </w:pPr>
            <w:r w:rsidRPr="00F21A36">
              <w:rPr>
                <w:rFonts w:ascii="Times New Roman" w:hAnsi="Times New Roman" w:cs="Times New Roman"/>
              </w:rPr>
              <w:t>Name (Full legal name):</w:t>
            </w:r>
          </w:p>
        </w:tc>
      </w:tr>
      <w:tr w:rsidR="00472AF7" w:rsidRPr="00F21A36" w:rsidTr="00F47CEF">
        <w:tc>
          <w:tcPr>
            <w:tcW w:w="9576" w:type="dxa"/>
            <w:gridSpan w:val="6"/>
          </w:tcPr>
          <w:p w:rsidR="00472AF7" w:rsidRPr="00F21A36" w:rsidRDefault="00472AF7" w:rsidP="00821B05">
            <w:pPr>
              <w:rPr>
                <w:rFonts w:ascii="Times New Roman" w:hAnsi="Times New Roman" w:cs="Times New Roman"/>
              </w:rPr>
            </w:pPr>
            <w:r w:rsidRPr="00F21A36">
              <w:rPr>
                <w:rFonts w:ascii="Times New Roman" w:hAnsi="Times New Roman" w:cs="Times New Roman"/>
              </w:rPr>
              <w:t>Address:</w:t>
            </w:r>
          </w:p>
        </w:tc>
      </w:tr>
      <w:tr w:rsidR="00D52FF0" w:rsidRPr="00F21A36" w:rsidTr="00F47CEF">
        <w:tc>
          <w:tcPr>
            <w:tcW w:w="9576" w:type="dxa"/>
            <w:gridSpan w:val="6"/>
          </w:tcPr>
          <w:p w:rsidR="00D52FF0" w:rsidRPr="00F21A36" w:rsidRDefault="00D52FF0" w:rsidP="00821B05">
            <w:pPr>
              <w:rPr>
                <w:rFonts w:ascii="Times New Roman" w:hAnsi="Times New Roman" w:cs="Times New Roman"/>
              </w:rPr>
            </w:pPr>
            <w:r w:rsidRPr="00F21A36">
              <w:rPr>
                <w:rFonts w:ascii="Times New Roman" w:hAnsi="Times New Roman" w:cs="Times New Roman"/>
              </w:rPr>
              <w:t>Contact Person:</w:t>
            </w:r>
          </w:p>
        </w:tc>
      </w:tr>
      <w:tr w:rsidR="007C4500" w:rsidRPr="00F21A36" w:rsidTr="00656EFE">
        <w:tc>
          <w:tcPr>
            <w:tcW w:w="3085" w:type="dxa"/>
            <w:gridSpan w:val="2"/>
            <w:tcBorders>
              <w:bottom w:val="single" w:sz="4" w:space="0" w:color="auto"/>
            </w:tcBorders>
          </w:tcPr>
          <w:p w:rsidR="007C4500" w:rsidRPr="00F21A36" w:rsidRDefault="00D52FF0" w:rsidP="00821B05">
            <w:pPr>
              <w:rPr>
                <w:rFonts w:ascii="Times New Roman" w:hAnsi="Times New Roman" w:cs="Times New Roman"/>
              </w:rPr>
            </w:pPr>
            <w:r w:rsidRPr="00F21A36">
              <w:rPr>
                <w:rFonts w:ascii="Times New Roman" w:hAnsi="Times New Roman" w:cs="Times New Roman"/>
              </w:rPr>
              <w:t>Tel: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7C4500" w:rsidRPr="00F21A36" w:rsidRDefault="00D52FF0" w:rsidP="00821B05">
            <w:pPr>
              <w:rPr>
                <w:rFonts w:ascii="Times New Roman" w:hAnsi="Times New Roman" w:cs="Times New Roman"/>
              </w:rPr>
            </w:pPr>
            <w:r w:rsidRPr="00F21A36">
              <w:rPr>
                <w:rFonts w:ascii="Times New Roman" w:hAnsi="Times New Roman" w:cs="Times New Roman"/>
              </w:rPr>
              <w:t>Fax:</w:t>
            </w:r>
          </w:p>
        </w:tc>
        <w:tc>
          <w:tcPr>
            <w:tcW w:w="3372" w:type="dxa"/>
            <w:gridSpan w:val="2"/>
            <w:tcBorders>
              <w:bottom w:val="single" w:sz="4" w:space="0" w:color="auto"/>
            </w:tcBorders>
          </w:tcPr>
          <w:p w:rsidR="007C4500" w:rsidRPr="00F21A36" w:rsidRDefault="00D52FF0" w:rsidP="00821B05">
            <w:pPr>
              <w:rPr>
                <w:rFonts w:ascii="Times New Roman" w:hAnsi="Times New Roman" w:cs="Times New Roman"/>
              </w:rPr>
            </w:pPr>
            <w:r w:rsidRPr="00F21A36">
              <w:rPr>
                <w:rFonts w:ascii="Times New Roman" w:hAnsi="Times New Roman" w:cs="Times New Roman"/>
              </w:rPr>
              <w:t>Email:</w:t>
            </w:r>
          </w:p>
        </w:tc>
      </w:tr>
      <w:tr w:rsidR="00D52FF0" w:rsidRPr="00F21A36" w:rsidTr="00656EFE">
        <w:tc>
          <w:tcPr>
            <w:tcW w:w="9576" w:type="dxa"/>
            <w:gridSpan w:val="6"/>
            <w:shd w:val="clear" w:color="auto" w:fill="D9D9D9" w:themeFill="background1" w:themeFillShade="D9"/>
          </w:tcPr>
          <w:p w:rsidR="00D52FF0" w:rsidRPr="00F21A36" w:rsidRDefault="00D52FF0" w:rsidP="00821B05">
            <w:pPr>
              <w:rPr>
                <w:rFonts w:ascii="Times New Roman" w:hAnsi="Times New Roman" w:cs="Times New Roman"/>
                <w:b/>
              </w:rPr>
            </w:pPr>
            <w:r w:rsidRPr="00F21A36">
              <w:rPr>
                <w:rFonts w:ascii="Times New Roman" w:hAnsi="Times New Roman" w:cs="Times New Roman"/>
                <w:b/>
              </w:rPr>
              <w:t>Application/submission filing information</w:t>
            </w:r>
          </w:p>
        </w:tc>
      </w:tr>
      <w:tr w:rsidR="00D52FF0" w:rsidRPr="00F21A36" w:rsidTr="00F47CEF">
        <w:tc>
          <w:tcPr>
            <w:tcW w:w="9576" w:type="dxa"/>
            <w:gridSpan w:val="6"/>
          </w:tcPr>
          <w:p w:rsidR="00D52FF0" w:rsidRPr="00F21A36" w:rsidRDefault="00D52FF0" w:rsidP="00472AF7">
            <w:pPr>
              <w:rPr>
                <w:rFonts w:ascii="Times New Roman" w:hAnsi="Times New Roman" w:cs="Times New Roman"/>
              </w:rPr>
            </w:pPr>
            <w:r w:rsidRPr="00F21A36">
              <w:rPr>
                <w:rFonts w:ascii="Times New Roman" w:hAnsi="Times New Roman" w:cs="Times New Roman"/>
              </w:rPr>
              <w:t>Intended filing date in EU Reference Member State:</w:t>
            </w:r>
            <w:r w:rsidR="005C1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2FF0" w:rsidRPr="00F21A36" w:rsidTr="00F47CEF">
        <w:tc>
          <w:tcPr>
            <w:tcW w:w="9576" w:type="dxa"/>
            <w:gridSpan w:val="6"/>
          </w:tcPr>
          <w:p w:rsidR="00D52FF0" w:rsidRPr="00F21A36" w:rsidRDefault="00D52FF0" w:rsidP="00D52FF0">
            <w:pPr>
              <w:rPr>
                <w:rFonts w:ascii="Times New Roman" w:hAnsi="Times New Roman" w:cs="Times New Roman"/>
              </w:rPr>
            </w:pPr>
            <w:r w:rsidRPr="00F21A36">
              <w:rPr>
                <w:rFonts w:ascii="Times New Roman" w:hAnsi="Times New Roman" w:cs="Times New Roman"/>
              </w:rPr>
              <w:t>Reference Member State</w:t>
            </w:r>
            <w:r w:rsidR="00472AF7" w:rsidRPr="00F21A36">
              <w:rPr>
                <w:rFonts w:ascii="Times New Roman" w:hAnsi="Times New Roman" w:cs="Times New Roman"/>
              </w:rPr>
              <w:t xml:space="preserve"> (RMS)</w:t>
            </w:r>
            <w:r w:rsidRPr="00F21A36">
              <w:rPr>
                <w:rFonts w:ascii="Times New Roman" w:hAnsi="Times New Roman" w:cs="Times New Roman"/>
              </w:rPr>
              <w:t>:</w:t>
            </w:r>
            <w:r w:rsidR="005C1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07F2" w:rsidRPr="00F21A36" w:rsidTr="00F47CEF">
        <w:tc>
          <w:tcPr>
            <w:tcW w:w="9576" w:type="dxa"/>
            <w:gridSpan w:val="6"/>
          </w:tcPr>
          <w:p w:rsidR="007D07F2" w:rsidRPr="00F21A36" w:rsidRDefault="007D07F2" w:rsidP="00D52F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DCP-Number (if already known):</w:t>
            </w:r>
          </w:p>
        </w:tc>
      </w:tr>
      <w:tr w:rsidR="00D52FF0" w:rsidRPr="00F21A36" w:rsidTr="00F47CEF">
        <w:tc>
          <w:tcPr>
            <w:tcW w:w="9576" w:type="dxa"/>
            <w:gridSpan w:val="6"/>
          </w:tcPr>
          <w:p w:rsidR="00472AF7" w:rsidRPr="00F21A36" w:rsidRDefault="00D52FF0" w:rsidP="00821B05">
            <w:pPr>
              <w:rPr>
                <w:rFonts w:ascii="Times New Roman" w:hAnsi="Times New Roman" w:cs="Times New Roman"/>
              </w:rPr>
            </w:pPr>
            <w:r w:rsidRPr="00F21A36">
              <w:rPr>
                <w:rFonts w:ascii="Times New Roman" w:hAnsi="Times New Roman" w:cs="Times New Roman"/>
              </w:rPr>
              <w:t>Concerned Member States (CMS):</w:t>
            </w:r>
            <w:r w:rsidR="005C10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2AF7" w:rsidRPr="00F21A36" w:rsidTr="00656EFE">
        <w:tc>
          <w:tcPr>
            <w:tcW w:w="9576" w:type="dxa"/>
            <w:gridSpan w:val="6"/>
            <w:tcBorders>
              <w:bottom w:val="single" w:sz="4" w:space="0" w:color="auto"/>
            </w:tcBorders>
          </w:tcPr>
          <w:p w:rsidR="00472AF7" w:rsidRDefault="00472AF7" w:rsidP="00821B05">
            <w:pPr>
              <w:rPr>
                <w:rFonts w:ascii="Times New Roman" w:hAnsi="Times New Roman" w:cs="Times New Roman"/>
              </w:rPr>
            </w:pPr>
            <w:r w:rsidRPr="00F21A36">
              <w:rPr>
                <w:rFonts w:ascii="Times New Roman" w:hAnsi="Times New Roman" w:cs="Times New Roman"/>
              </w:rPr>
              <w:t>Non-EU agencies proposed for this pilot:</w:t>
            </w:r>
          </w:p>
          <w:p w:rsidR="005C1076" w:rsidRPr="005C1076" w:rsidRDefault="005C1076" w:rsidP="005C1076">
            <w:pPr>
              <w:ind w:left="720"/>
              <w:rPr>
                <w:rFonts w:ascii="Times New Roman" w:hAnsi="Times New Roman" w:cs="Times New Roman"/>
              </w:rPr>
            </w:pPr>
            <w:r w:rsidRPr="00F21A36">
              <w:rPr>
                <w:rFonts w:ascii="Times New Roman" w:hAnsi="Times New Roman" w:cs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A36">
              <w:rPr>
                <w:rFonts w:ascii="Times New Roman" w:hAnsi="Times New Roman" w:cs="Times New Roman"/>
              </w:rPr>
              <w:instrText xml:space="preserve"> FORMCHECKBOX </w:instrText>
            </w:r>
            <w:r w:rsidR="00EF7D7A">
              <w:rPr>
                <w:rFonts w:ascii="Times New Roman" w:hAnsi="Times New Roman" w:cs="Times New Roman"/>
              </w:rPr>
            </w:r>
            <w:r w:rsidR="00EF7D7A">
              <w:rPr>
                <w:rFonts w:ascii="Times New Roman" w:hAnsi="Times New Roman" w:cs="Times New Roman"/>
              </w:rPr>
              <w:fldChar w:fldCharType="separate"/>
            </w:r>
            <w:r w:rsidRPr="00F21A36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1076">
              <w:rPr>
                <w:rFonts w:ascii="Times New Roman" w:hAnsi="Times New Roman" w:cs="Times New Roman"/>
              </w:rPr>
              <w:t>Australia (Therapeutic Goods Administration (TGA))</w:t>
            </w:r>
          </w:p>
          <w:p w:rsidR="005C1076" w:rsidRPr="005C1076" w:rsidRDefault="005C1076" w:rsidP="005C1076">
            <w:pPr>
              <w:ind w:left="720"/>
              <w:rPr>
                <w:rFonts w:ascii="Times New Roman" w:hAnsi="Times New Roman" w:cs="Times New Roman"/>
              </w:rPr>
            </w:pPr>
            <w:r w:rsidRPr="00F21A36">
              <w:rPr>
                <w:rFonts w:ascii="Times New Roman" w:hAnsi="Times New Roman" w:cs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A36">
              <w:rPr>
                <w:rFonts w:ascii="Times New Roman" w:hAnsi="Times New Roman" w:cs="Times New Roman"/>
              </w:rPr>
              <w:instrText xml:space="preserve"> FORMCHECKBOX </w:instrText>
            </w:r>
            <w:r w:rsidR="00EF7D7A">
              <w:rPr>
                <w:rFonts w:ascii="Times New Roman" w:hAnsi="Times New Roman" w:cs="Times New Roman"/>
              </w:rPr>
            </w:r>
            <w:r w:rsidR="00EF7D7A">
              <w:rPr>
                <w:rFonts w:ascii="Times New Roman" w:hAnsi="Times New Roman" w:cs="Times New Roman"/>
              </w:rPr>
              <w:fldChar w:fldCharType="separate"/>
            </w:r>
            <w:r w:rsidRPr="00F21A36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1076">
              <w:rPr>
                <w:rFonts w:ascii="Times New Roman" w:hAnsi="Times New Roman" w:cs="Times New Roman"/>
              </w:rPr>
              <w:t>Canada (Health Canada)</w:t>
            </w:r>
          </w:p>
          <w:p w:rsidR="00492FEF" w:rsidRPr="00492FEF" w:rsidRDefault="005C1076" w:rsidP="00492FEF">
            <w:pPr>
              <w:ind w:left="720"/>
              <w:rPr>
                <w:rFonts w:ascii="Times New Roman" w:hAnsi="Times New Roman" w:cs="Times New Roman"/>
              </w:rPr>
            </w:pPr>
            <w:r w:rsidRPr="00F21A36">
              <w:rPr>
                <w:rFonts w:ascii="Times New Roman" w:hAnsi="Times New Roman" w:cs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A36">
              <w:rPr>
                <w:rFonts w:ascii="Times New Roman" w:hAnsi="Times New Roman" w:cs="Times New Roman"/>
              </w:rPr>
              <w:instrText xml:space="preserve"> FORMCHECKBOX </w:instrText>
            </w:r>
            <w:r w:rsidR="00EF7D7A">
              <w:rPr>
                <w:rFonts w:ascii="Times New Roman" w:hAnsi="Times New Roman" w:cs="Times New Roman"/>
              </w:rPr>
            </w:r>
            <w:r w:rsidR="00EF7D7A">
              <w:rPr>
                <w:rFonts w:ascii="Times New Roman" w:hAnsi="Times New Roman" w:cs="Times New Roman"/>
              </w:rPr>
              <w:fldChar w:fldCharType="separate"/>
            </w:r>
            <w:r w:rsidRPr="00F21A36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45433">
              <w:rPr>
                <w:rFonts w:ascii="Times New Roman" w:hAnsi="Times New Roman" w:cs="Times New Roman"/>
              </w:rPr>
              <w:t>Chinese Taipei</w:t>
            </w:r>
            <w:r w:rsidRPr="005C1076">
              <w:rPr>
                <w:rFonts w:ascii="Times New Roman" w:hAnsi="Times New Roman" w:cs="Times New Roman"/>
              </w:rPr>
              <w:t xml:space="preserve"> (Taiwan Food and Drug Administration (TFDA))</w:t>
            </w:r>
            <w:r w:rsidR="00492FEF" w:rsidRPr="00492FEF">
              <w:rPr>
                <w:rFonts w:ascii="Times New Roman" w:hAnsi="Times New Roman" w:cs="Times New Roman"/>
              </w:rPr>
              <w:t xml:space="preserve"> </w:t>
            </w:r>
          </w:p>
          <w:p w:rsidR="005C1076" w:rsidRPr="005C1076" w:rsidRDefault="00492FEF" w:rsidP="00492FEF">
            <w:pPr>
              <w:ind w:left="720"/>
              <w:rPr>
                <w:rFonts w:ascii="Times New Roman" w:hAnsi="Times New Roman" w:cs="Times New Roman"/>
              </w:rPr>
            </w:pPr>
            <w:r w:rsidRPr="00492FEF">
              <w:rPr>
                <w:rFonts w:ascii="Times New Roman" w:hAnsi="Times New Roman" w:cs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FEF">
              <w:rPr>
                <w:rFonts w:ascii="Times New Roman" w:hAnsi="Times New Roman" w:cs="Times New Roman"/>
              </w:rPr>
              <w:instrText xml:space="preserve"> FORMCHECKBOX </w:instrText>
            </w:r>
            <w:r w:rsidR="00EF7D7A">
              <w:rPr>
                <w:rFonts w:ascii="Times New Roman" w:hAnsi="Times New Roman" w:cs="Times New Roman"/>
              </w:rPr>
            </w:r>
            <w:r w:rsidR="00EF7D7A">
              <w:rPr>
                <w:rFonts w:ascii="Times New Roman" w:hAnsi="Times New Roman" w:cs="Times New Roman"/>
              </w:rPr>
              <w:fldChar w:fldCharType="separate"/>
            </w:r>
            <w:r w:rsidRPr="00492FEF">
              <w:rPr>
                <w:rFonts w:ascii="Times New Roman" w:hAnsi="Times New Roman" w:cs="Times New Roman"/>
              </w:rPr>
              <w:fldChar w:fldCharType="end"/>
            </w:r>
            <w:r w:rsidRPr="00492FEF">
              <w:rPr>
                <w:rFonts w:ascii="Times New Roman" w:hAnsi="Times New Roman" w:cs="Times New Roman"/>
              </w:rPr>
              <w:t xml:space="preserve"> Swi</w:t>
            </w:r>
            <w:r>
              <w:rPr>
                <w:rFonts w:ascii="Times New Roman" w:hAnsi="Times New Roman" w:cs="Times New Roman"/>
              </w:rPr>
              <w:t>tzerland</w:t>
            </w:r>
            <w:r w:rsidRPr="00492FEF">
              <w:rPr>
                <w:rFonts w:ascii="Times New Roman" w:hAnsi="Times New Roman" w:cs="Times New Roman"/>
              </w:rPr>
              <w:t xml:space="preserve"> (Swissmedic, Swiss Agency for Therapeutic Products)</w:t>
            </w:r>
          </w:p>
          <w:p w:rsidR="00472AF7" w:rsidRPr="00F21A36" w:rsidRDefault="00472AF7" w:rsidP="00BE5EC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77691" w:rsidRPr="00F21A36" w:rsidTr="00656EFE">
        <w:tc>
          <w:tcPr>
            <w:tcW w:w="9576" w:type="dxa"/>
            <w:gridSpan w:val="6"/>
            <w:shd w:val="clear" w:color="auto" w:fill="D9D9D9" w:themeFill="background1" w:themeFillShade="D9"/>
          </w:tcPr>
          <w:p w:rsidR="00777691" w:rsidRPr="00F21A36" w:rsidRDefault="00F21A36" w:rsidP="00821B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Confirmation of Meeting Eligibility Criteria for</w:t>
            </w:r>
            <w:r w:rsidR="00777691" w:rsidRPr="00F21A36">
              <w:rPr>
                <w:rFonts w:ascii="Times New Roman" w:hAnsi="Times New Roman" w:cs="Times New Roman"/>
                <w:b/>
              </w:rPr>
              <w:t xml:space="preserve"> Pilot</w:t>
            </w:r>
          </w:p>
        </w:tc>
      </w:tr>
      <w:tr w:rsidR="00777691" w:rsidRPr="00F21A36" w:rsidTr="00B34351">
        <w:tc>
          <w:tcPr>
            <w:tcW w:w="9576" w:type="dxa"/>
            <w:gridSpan w:val="6"/>
            <w:tcBorders>
              <w:bottom w:val="single" w:sz="4" w:space="0" w:color="auto"/>
            </w:tcBorders>
          </w:tcPr>
          <w:p w:rsidR="000B7215" w:rsidRPr="00F21A36" w:rsidRDefault="000B7215" w:rsidP="00777691">
            <w:pPr>
              <w:rPr>
                <w:rFonts w:ascii="Times New Roman" w:hAnsi="Times New Roman" w:cs="Times New Roman"/>
              </w:rPr>
            </w:pPr>
          </w:p>
          <w:p w:rsidR="00777691" w:rsidRPr="00F21A36" w:rsidRDefault="00777691" w:rsidP="00777691">
            <w:pPr>
              <w:rPr>
                <w:rFonts w:ascii="Times New Roman" w:hAnsi="Times New Roman" w:cs="Times New Roman"/>
              </w:rPr>
            </w:pPr>
            <w:r w:rsidRPr="00F21A36">
              <w:rPr>
                <w:rFonts w:ascii="Times New Roman" w:hAnsi="Times New Roman" w:cs="Times New Roman"/>
              </w:rPr>
              <w:t xml:space="preserve">This marketing application complies with all of the </w:t>
            </w:r>
            <w:r w:rsidR="00BA77F9" w:rsidRPr="00F21A36">
              <w:rPr>
                <w:rFonts w:ascii="Times New Roman" w:hAnsi="Times New Roman" w:cs="Times New Roman"/>
              </w:rPr>
              <w:t xml:space="preserve">eligibility </w:t>
            </w:r>
            <w:r w:rsidRPr="00F21A36">
              <w:rPr>
                <w:rFonts w:ascii="Times New Roman" w:hAnsi="Times New Roman" w:cs="Times New Roman"/>
              </w:rPr>
              <w:t>criteria listed in the Expression of Interest Notice including the following:</w:t>
            </w:r>
          </w:p>
          <w:p w:rsidR="00777691" w:rsidRPr="00F21A36" w:rsidRDefault="00777691" w:rsidP="00777691">
            <w:pPr>
              <w:rPr>
                <w:rFonts w:ascii="Times New Roman" w:hAnsi="Times New Roman" w:cs="Times New Roman"/>
              </w:rPr>
            </w:pPr>
          </w:p>
          <w:p w:rsidR="00C16832" w:rsidRPr="00C16832" w:rsidRDefault="00777691" w:rsidP="00C16832">
            <w:pPr>
              <w:rPr>
                <w:rFonts w:ascii="Times New Roman" w:hAnsi="Times New Roman" w:cs="Times New Roman"/>
              </w:rPr>
            </w:pPr>
            <w:r w:rsidRPr="00F21A36">
              <w:rPr>
                <w:rFonts w:ascii="Times New Roman" w:hAnsi="Times New Roman" w:cs="Times New Roman"/>
              </w:rPr>
              <w:t>Original generic drug application</w:t>
            </w:r>
            <w:r w:rsidR="00C16832">
              <w:rPr>
                <w:rFonts w:ascii="Times New Roman" w:hAnsi="Times New Roman" w:cs="Times New Roman"/>
              </w:rPr>
              <w:t xml:space="preserve"> for </w:t>
            </w:r>
            <w:r w:rsidR="00C16832" w:rsidRPr="00C16832">
              <w:rPr>
                <w:rFonts w:ascii="Times New Roman" w:hAnsi="Times New Roman" w:cs="Times New Roman"/>
              </w:rPr>
              <w:t>the following pharmaceutical (dosage) forms:</w:t>
            </w:r>
          </w:p>
          <w:p w:rsidR="00C16832" w:rsidRDefault="00C16832" w:rsidP="00C16832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16832">
              <w:rPr>
                <w:rFonts w:ascii="Times New Roman" w:hAnsi="Times New Roman" w:cs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832">
              <w:rPr>
                <w:rFonts w:ascii="Times New Roman" w:hAnsi="Times New Roman" w:cs="Times New Roman"/>
              </w:rPr>
              <w:instrText xml:space="preserve"> FORMCHECKBOX </w:instrText>
            </w:r>
            <w:r w:rsidR="00EF7D7A">
              <w:rPr>
                <w:rFonts w:ascii="Times New Roman" w:hAnsi="Times New Roman" w:cs="Times New Roman"/>
              </w:rPr>
            </w:r>
            <w:r w:rsidR="00EF7D7A">
              <w:rPr>
                <w:rFonts w:ascii="Times New Roman" w:hAnsi="Times New Roman" w:cs="Times New Roman"/>
              </w:rPr>
              <w:fldChar w:fldCharType="separate"/>
            </w:r>
            <w:r w:rsidRPr="00C16832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16832">
              <w:rPr>
                <w:rFonts w:ascii="Times New Roman" w:hAnsi="Times New Roman" w:cs="Times New Roman"/>
              </w:rPr>
              <w:t>immediate-release, solid oral</w:t>
            </w:r>
          </w:p>
          <w:p w:rsidR="00777691" w:rsidRDefault="00C16832" w:rsidP="00C16832">
            <w:pPr>
              <w:ind w:left="720"/>
              <w:rPr>
                <w:rFonts w:ascii="Times New Roman" w:hAnsi="Times New Roman" w:cs="Times New Roman"/>
                <w:lang w:val="fr-CA"/>
              </w:rPr>
            </w:pPr>
            <w:r w:rsidRPr="00C16832">
              <w:rPr>
                <w:rFonts w:ascii="Times New Roman" w:hAnsi="Times New Roman" w:cs="Times New Roman"/>
                <w:lang w:val="fr-CA"/>
              </w:rPr>
              <w:t xml:space="preserve"> </w:t>
            </w:r>
            <w:r w:rsidRPr="00C16832">
              <w:rPr>
                <w:rFonts w:ascii="Times New Roman" w:hAnsi="Times New Roman" w:cs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832">
              <w:rPr>
                <w:rFonts w:ascii="Times New Roman" w:hAnsi="Times New Roman" w:cs="Times New Roman"/>
                <w:lang w:val="fr-CA"/>
              </w:rPr>
              <w:instrText xml:space="preserve"> FORMCHECKBOX </w:instrText>
            </w:r>
            <w:r w:rsidR="00EF7D7A">
              <w:rPr>
                <w:rFonts w:ascii="Times New Roman" w:hAnsi="Times New Roman" w:cs="Times New Roman"/>
              </w:rPr>
            </w:r>
            <w:r w:rsidR="00EF7D7A">
              <w:rPr>
                <w:rFonts w:ascii="Times New Roman" w:hAnsi="Times New Roman" w:cs="Times New Roman"/>
              </w:rPr>
              <w:fldChar w:fldCharType="separate"/>
            </w:r>
            <w:r w:rsidRPr="00C16832">
              <w:rPr>
                <w:rFonts w:ascii="Times New Roman" w:hAnsi="Times New Roman" w:cs="Times New Roman"/>
              </w:rPr>
              <w:fldChar w:fldCharType="end"/>
            </w:r>
            <w:r w:rsidRPr="00C16832">
              <w:rPr>
                <w:rFonts w:ascii="Times New Roman" w:hAnsi="Times New Roman" w:cs="Times New Roman"/>
                <w:lang w:val="fr-CA"/>
              </w:rPr>
              <w:t xml:space="preserve">  solutions (</w:t>
            </w:r>
            <w:proofErr w:type="spellStart"/>
            <w:proofErr w:type="gramStart"/>
            <w:r w:rsidRPr="00C16832">
              <w:rPr>
                <w:rFonts w:ascii="Times New Roman" w:hAnsi="Times New Roman" w:cs="Times New Roman"/>
                <w:lang w:val="fr-CA"/>
              </w:rPr>
              <w:t>e.g</w:t>
            </w:r>
            <w:proofErr w:type="spellEnd"/>
            <w:r w:rsidRPr="00C16832">
              <w:rPr>
                <w:rFonts w:ascii="Times New Roman" w:hAnsi="Times New Roman" w:cs="Times New Roman"/>
                <w:lang w:val="fr-CA"/>
              </w:rPr>
              <w:t>.,</w:t>
            </w:r>
            <w:proofErr w:type="gramEnd"/>
            <w:r w:rsidRPr="00C16832">
              <w:rPr>
                <w:rFonts w:ascii="Times New Roman" w:hAnsi="Times New Roman" w:cs="Times New Roman"/>
                <w:lang w:val="fr-CA"/>
              </w:rPr>
              <w:t xml:space="preserve"> oral, injectable)</w:t>
            </w:r>
          </w:p>
          <w:p w:rsidR="00C16832" w:rsidRPr="00C16832" w:rsidRDefault="00C16832" w:rsidP="00C16832">
            <w:pPr>
              <w:ind w:left="720"/>
              <w:rPr>
                <w:rFonts w:ascii="Times New Roman" w:hAnsi="Times New Roman" w:cs="Times New Roman"/>
                <w:lang w:val="fr-CA"/>
              </w:rPr>
            </w:pPr>
          </w:p>
          <w:p w:rsidR="001B67C1" w:rsidRPr="001B67C1" w:rsidRDefault="001B67C1" w:rsidP="001B67C1">
            <w:pPr>
              <w:rPr>
                <w:rFonts w:ascii="Times New Roman" w:hAnsi="Times New Roman" w:cs="Times New Roman"/>
              </w:rPr>
            </w:pPr>
            <w:r w:rsidRPr="001B67C1">
              <w:rPr>
                <w:rFonts w:ascii="Times New Roman" w:hAnsi="Times New Roman" w:cs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7C1">
              <w:rPr>
                <w:rFonts w:ascii="Times New Roman" w:hAnsi="Times New Roman" w:cs="Times New Roman"/>
              </w:rPr>
              <w:instrText xml:space="preserve"> FORMCHECKBOX </w:instrText>
            </w:r>
            <w:r w:rsidR="00EF7D7A">
              <w:rPr>
                <w:rFonts w:ascii="Times New Roman" w:hAnsi="Times New Roman" w:cs="Times New Roman"/>
              </w:rPr>
            </w:r>
            <w:r w:rsidR="00EF7D7A">
              <w:rPr>
                <w:rFonts w:ascii="Times New Roman" w:hAnsi="Times New Roman" w:cs="Times New Roman"/>
              </w:rPr>
              <w:fldChar w:fldCharType="separate"/>
            </w:r>
            <w:r w:rsidRPr="001B67C1">
              <w:rPr>
                <w:rFonts w:ascii="Times New Roman" w:hAnsi="Times New Roman" w:cs="Times New Roman"/>
              </w:rPr>
              <w:fldChar w:fldCharType="end"/>
            </w:r>
            <w:r w:rsidRPr="001B67C1">
              <w:rPr>
                <w:rFonts w:ascii="Times New Roman" w:hAnsi="Times New Roman" w:cs="Times New Roman"/>
              </w:rPr>
              <w:t xml:space="preserve">  When in-vitro or in-vivo comparative studies against a reference product are warranted, comparative studies comply with the requirements of the non-EU agenc</w:t>
            </w:r>
            <w:r w:rsidR="00294406">
              <w:rPr>
                <w:rFonts w:ascii="Times New Roman" w:hAnsi="Times New Roman" w:cs="Times New Roman"/>
              </w:rPr>
              <w:t>ies proposed in this EOI request</w:t>
            </w:r>
            <w:r>
              <w:rPr>
                <w:rFonts w:ascii="Times New Roman" w:hAnsi="Times New Roman" w:cs="Times New Roman"/>
              </w:rPr>
              <w:t>,</w:t>
            </w:r>
            <w:r w:rsidRPr="001B67C1">
              <w:rPr>
                <w:rFonts w:ascii="Times New Roman" w:hAnsi="Times New Roman" w:cs="Times New Roman"/>
              </w:rPr>
              <w:t xml:space="preserve"> as substantiated by evidence appended to the completed EOI Request. </w:t>
            </w:r>
          </w:p>
          <w:p w:rsidR="001B67C1" w:rsidRPr="00F21A36" w:rsidRDefault="001B67C1">
            <w:pPr>
              <w:rPr>
                <w:rFonts w:ascii="Times New Roman" w:hAnsi="Times New Roman" w:cs="Times New Roman"/>
              </w:rPr>
            </w:pPr>
          </w:p>
          <w:p w:rsidR="00777691" w:rsidRPr="00F21A36" w:rsidRDefault="00403AA3">
            <w:pPr>
              <w:rPr>
                <w:rFonts w:ascii="Times New Roman" w:hAnsi="Times New Roman" w:cs="Times New Roman"/>
              </w:rPr>
            </w:pPr>
            <w:r w:rsidRPr="00F21A36">
              <w:rPr>
                <w:rFonts w:ascii="Times New Roman" w:hAnsi="Times New Roman" w:cs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A36">
              <w:rPr>
                <w:rFonts w:ascii="Times New Roman" w:hAnsi="Times New Roman" w:cs="Times New Roman"/>
              </w:rPr>
              <w:instrText xml:space="preserve"> FORMCHECKBOX </w:instrText>
            </w:r>
            <w:r w:rsidR="00EF7D7A">
              <w:rPr>
                <w:rFonts w:ascii="Times New Roman" w:hAnsi="Times New Roman" w:cs="Times New Roman"/>
              </w:rPr>
            </w:r>
            <w:r w:rsidR="00EF7D7A">
              <w:rPr>
                <w:rFonts w:ascii="Times New Roman" w:hAnsi="Times New Roman" w:cs="Times New Roman"/>
              </w:rPr>
              <w:fldChar w:fldCharType="separate"/>
            </w:r>
            <w:r w:rsidRPr="00F21A36">
              <w:rPr>
                <w:rFonts w:ascii="Times New Roman" w:hAnsi="Times New Roman" w:cs="Times New Roman"/>
              </w:rPr>
              <w:fldChar w:fldCharType="end"/>
            </w:r>
            <w:r w:rsidRPr="00F21A36">
              <w:rPr>
                <w:rFonts w:ascii="Times New Roman" w:hAnsi="Times New Roman" w:cs="Times New Roman"/>
              </w:rPr>
              <w:t xml:space="preserve">  </w:t>
            </w:r>
            <w:r w:rsidR="00BF68A6" w:rsidRPr="00F21A36">
              <w:rPr>
                <w:rFonts w:ascii="Times New Roman" w:hAnsi="Times New Roman" w:cs="Times New Roman"/>
              </w:rPr>
              <w:t xml:space="preserve">A completed Summary of </w:t>
            </w:r>
            <w:r w:rsidR="007769F4" w:rsidRPr="00F21A36">
              <w:rPr>
                <w:rFonts w:ascii="Times New Roman" w:hAnsi="Times New Roman" w:cs="Times New Roman"/>
              </w:rPr>
              <w:t xml:space="preserve">Quality </w:t>
            </w:r>
            <w:r w:rsidR="00BF68A6" w:rsidRPr="00F21A36">
              <w:rPr>
                <w:rFonts w:ascii="Times New Roman" w:hAnsi="Times New Roman" w:cs="Times New Roman"/>
              </w:rPr>
              <w:t xml:space="preserve">Differences form </w:t>
            </w:r>
            <w:r w:rsidR="00F8186E" w:rsidRPr="00F21A36">
              <w:rPr>
                <w:rFonts w:ascii="Times New Roman" w:hAnsi="Times New Roman" w:cs="Times New Roman"/>
              </w:rPr>
              <w:t>is included as part of th</w:t>
            </w:r>
            <w:r w:rsidR="00F21A36">
              <w:rPr>
                <w:rFonts w:ascii="Times New Roman" w:hAnsi="Times New Roman" w:cs="Times New Roman"/>
              </w:rPr>
              <w:t>is</w:t>
            </w:r>
            <w:r w:rsidR="00F8186E" w:rsidRPr="00F21A36">
              <w:rPr>
                <w:rFonts w:ascii="Times New Roman" w:hAnsi="Times New Roman" w:cs="Times New Roman"/>
              </w:rPr>
              <w:t xml:space="preserve"> EOI Request</w:t>
            </w:r>
            <w:r w:rsidR="00BF68A6" w:rsidRPr="00F21A36">
              <w:rPr>
                <w:rFonts w:ascii="Times New Roman" w:hAnsi="Times New Roman" w:cs="Times New Roman"/>
              </w:rPr>
              <w:t>.</w:t>
            </w:r>
          </w:p>
          <w:p w:rsidR="00F8186E" w:rsidRPr="00F21A36" w:rsidRDefault="00F8186E">
            <w:pPr>
              <w:rPr>
                <w:rFonts w:ascii="Times New Roman" w:hAnsi="Times New Roman" w:cs="Times New Roman"/>
              </w:rPr>
            </w:pPr>
          </w:p>
        </w:tc>
      </w:tr>
      <w:tr w:rsidR="00B34351" w:rsidRPr="00F21A36" w:rsidTr="00B34351">
        <w:tc>
          <w:tcPr>
            <w:tcW w:w="9576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B34351" w:rsidRPr="00F21A36" w:rsidRDefault="00B34351" w:rsidP="00777691">
            <w:pPr>
              <w:rPr>
                <w:rFonts w:ascii="Times New Roman" w:hAnsi="Times New Roman" w:cs="Times New Roman"/>
              </w:rPr>
            </w:pPr>
          </w:p>
        </w:tc>
      </w:tr>
      <w:tr w:rsidR="00BF68A6" w:rsidRPr="00F21A36" w:rsidTr="00656EFE">
        <w:tc>
          <w:tcPr>
            <w:tcW w:w="9576" w:type="dxa"/>
            <w:gridSpan w:val="6"/>
            <w:shd w:val="pct15" w:color="auto" w:fill="auto"/>
          </w:tcPr>
          <w:p w:rsidR="00BF68A6" w:rsidRPr="002F1A11" w:rsidRDefault="00295760" w:rsidP="002F1A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BF68A6" w:rsidRPr="002F1A11">
              <w:rPr>
                <w:rFonts w:ascii="Times New Roman" w:hAnsi="Times New Roman" w:cs="Times New Roman"/>
                <w:b/>
              </w:rPr>
              <w:t>onsent</w:t>
            </w:r>
            <w:r w:rsidR="00403AA3" w:rsidRPr="002F1A11">
              <w:rPr>
                <w:rFonts w:ascii="Times New Roman" w:hAnsi="Times New Roman" w:cs="Times New Roman"/>
                <w:b/>
              </w:rPr>
              <w:t xml:space="preserve"> </w:t>
            </w:r>
            <w:r w:rsidR="000B7215" w:rsidRPr="002F1A11">
              <w:rPr>
                <w:rFonts w:ascii="Times New Roman" w:hAnsi="Times New Roman" w:cs="Times New Roman"/>
                <w:b/>
              </w:rPr>
              <w:t xml:space="preserve">to share </w:t>
            </w:r>
            <w:r w:rsidR="00B34351" w:rsidRPr="002F1A11">
              <w:rPr>
                <w:rFonts w:ascii="Times New Roman" w:hAnsi="Times New Roman" w:cs="Times New Roman"/>
                <w:b/>
              </w:rPr>
              <w:t>regulatory information</w:t>
            </w:r>
          </w:p>
        </w:tc>
      </w:tr>
      <w:tr w:rsidR="000B7215" w:rsidRPr="00F21A36" w:rsidTr="00F47CEF">
        <w:trPr>
          <w:trHeight w:val="6081"/>
        </w:trPr>
        <w:tc>
          <w:tcPr>
            <w:tcW w:w="9576" w:type="dxa"/>
            <w:gridSpan w:val="6"/>
          </w:tcPr>
          <w:p w:rsidR="000B7215" w:rsidRPr="00F21A36" w:rsidRDefault="000B7215">
            <w:pPr>
              <w:rPr>
                <w:rFonts w:ascii="Times New Roman" w:hAnsi="Times New Roman" w:cs="Times New Roman"/>
              </w:rPr>
            </w:pPr>
          </w:p>
          <w:p w:rsidR="000B7215" w:rsidRDefault="000B7215">
            <w:pPr>
              <w:rPr>
                <w:rFonts w:ascii="Times New Roman" w:hAnsi="Times New Roman" w:cs="Times New Roman"/>
              </w:rPr>
            </w:pPr>
          </w:p>
          <w:p w:rsidR="002F1A11" w:rsidRDefault="00295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undersigned </w:t>
            </w:r>
            <w:r w:rsidR="002F1A11">
              <w:rPr>
                <w:rFonts w:ascii="Times New Roman" w:hAnsi="Times New Roman" w:cs="Times New Roman"/>
              </w:rPr>
              <w:t xml:space="preserve">hereby </w:t>
            </w:r>
            <w:r w:rsidR="00492FEF">
              <w:rPr>
                <w:rFonts w:ascii="Times New Roman" w:hAnsi="Times New Roman" w:cs="Times New Roman"/>
              </w:rPr>
              <w:t xml:space="preserve">acknowledges and </w:t>
            </w:r>
            <w:r w:rsidR="002F1A11">
              <w:rPr>
                <w:rFonts w:ascii="Times New Roman" w:hAnsi="Times New Roman" w:cs="Times New Roman"/>
              </w:rPr>
              <w:t>give</w:t>
            </w:r>
            <w:r>
              <w:rPr>
                <w:rFonts w:ascii="Times New Roman" w:hAnsi="Times New Roman" w:cs="Times New Roman"/>
              </w:rPr>
              <w:t>s</w:t>
            </w:r>
            <w:r w:rsidR="002F1A11">
              <w:rPr>
                <w:rFonts w:ascii="Times New Roman" w:hAnsi="Times New Roman" w:cs="Times New Roman"/>
              </w:rPr>
              <w:t xml:space="preserve"> consent to the sharing of </w:t>
            </w:r>
            <w:r w:rsidR="00492FEF">
              <w:rPr>
                <w:rFonts w:ascii="Times New Roman" w:hAnsi="Times New Roman" w:cs="Times New Roman"/>
              </w:rPr>
              <w:t xml:space="preserve">DCP assessment reports with </w:t>
            </w:r>
          </w:p>
          <w:p w:rsidR="00A464EF" w:rsidRDefault="00A464E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the</w:t>
            </w:r>
            <w:proofErr w:type="gramEnd"/>
            <w:r w:rsidRPr="00F21A36">
              <w:rPr>
                <w:rFonts w:ascii="Times New Roman" w:hAnsi="Times New Roman" w:cs="Times New Roman"/>
              </w:rPr>
              <w:t xml:space="preserve"> </w:t>
            </w:r>
            <w:r w:rsidR="000B7215" w:rsidRPr="00F21A36">
              <w:rPr>
                <w:rFonts w:ascii="Times New Roman" w:hAnsi="Times New Roman" w:cs="Times New Roman"/>
              </w:rPr>
              <w:t>IGDRP agencies proposed in this EOI Request</w:t>
            </w:r>
            <w:r w:rsidR="002F0412">
              <w:rPr>
                <w:rFonts w:ascii="Times New Roman" w:hAnsi="Times New Roman" w:cs="Times New Roman"/>
              </w:rPr>
              <w:t>.</w:t>
            </w:r>
          </w:p>
          <w:p w:rsidR="00A464EF" w:rsidRDefault="00A464EF">
            <w:pPr>
              <w:rPr>
                <w:rFonts w:ascii="Times New Roman" w:hAnsi="Times New Roman" w:cs="Times New Roman"/>
              </w:rPr>
            </w:pPr>
          </w:p>
          <w:p w:rsidR="00A464EF" w:rsidRDefault="00A46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addition</w:t>
            </w:r>
            <w:r>
              <w:t xml:space="preserve">, </w:t>
            </w:r>
            <w:r w:rsidRPr="00A464EF">
              <w:rPr>
                <w:rFonts w:ascii="Times New Roman" w:hAnsi="Times New Roman" w:cs="Times New Roman"/>
              </w:rPr>
              <w:t xml:space="preserve"> </w:t>
            </w:r>
            <w:r w:rsidR="00492FEF">
              <w:rPr>
                <w:rFonts w:ascii="Times New Roman" w:hAnsi="Times New Roman" w:cs="Times New Roman"/>
              </w:rPr>
              <w:t xml:space="preserve">the undersigned </w:t>
            </w:r>
            <w:r w:rsidRPr="00A464EF">
              <w:rPr>
                <w:rFonts w:ascii="Times New Roman" w:hAnsi="Times New Roman" w:cs="Times New Roman"/>
              </w:rPr>
              <w:t xml:space="preserve">hereby </w:t>
            </w:r>
            <w:r w:rsidR="00492FEF">
              <w:rPr>
                <w:rFonts w:ascii="Times New Roman" w:hAnsi="Times New Roman" w:cs="Times New Roman"/>
              </w:rPr>
              <w:t xml:space="preserve">acknowledges and </w:t>
            </w:r>
            <w:r w:rsidRPr="00A464EF">
              <w:rPr>
                <w:rFonts w:ascii="Times New Roman" w:hAnsi="Times New Roman" w:cs="Times New Roman"/>
              </w:rPr>
              <w:t>give</w:t>
            </w:r>
            <w:r w:rsidR="00492FEF">
              <w:rPr>
                <w:rFonts w:ascii="Times New Roman" w:hAnsi="Times New Roman" w:cs="Times New Roman"/>
              </w:rPr>
              <w:t>s</w:t>
            </w:r>
            <w:r w:rsidRPr="00A464EF">
              <w:rPr>
                <w:rFonts w:ascii="Times New Roman" w:hAnsi="Times New Roman" w:cs="Times New Roman"/>
              </w:rPr>
              <w:t xml:space="preserve"> consent to the sharing of </w:t>
            </w:r>
            <w:r w:rsidR="00492FEF">
              <w:rPr>
                <w:rFonts w:ascii="Times New Roman" w:hAnsi="Times New Roman" w:cs="Times New Roman"/>
              </w:rPr>
              <w:t xml:space="preserve">the same information </w:t>
            </w:r>
            <w:r w:rsidRPr="00A464EF">
              <w:rPr>
                <w:rFonts w:ascii="Times New Roman" w:hAnsi="Times New Roman" w:cs="Times New Roman"/>
              </w:rPr>
              <w:t>:</w:t>
            </w:r>
          </w:p>
          <w:p w:rsidR="000B7215" w:rsidRPr="00F21A36" w:rsidRDefault="000B7215">
            <w:pPr>
              <w:rPr>
                <w:rFonts w:ascii="Times New Roman" w:hAnsi="Times New Roman" w:cs="Times New Roman"/>
              </w:rPr>
            </w:pPr>
          </w:p>
          <w:p w:rsidR="00345433" w:rsidRDefault="000B7215">
            <w:pPr>
              <w:rPr>
                <w:rFonts w:ascii="Times New Roman" w:hAnsi="Times New Roman" w:cs="Times New Roman"/>
              </w:rPr>
            </w:pPr>
            <w:r w:rsidRPr="00F21A36">
              <w:rPr>
                <w:rFonts w:ascii="Times New Roman" w:hAnsi="Times New Roman" w:cs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A36">
              <w:rPr>
                <w:rFonts w:ascii="Times New Roman" w:hAnsi="Times New Roman" w:cs="Times New Roman"/>
              </w:rPr>
              <w:instrText xml:space="preserve"> FORMCHECKBOX </w:instrText>
            </w:r>
            <w:r w:rsidR="00EF7D7A">
              <w:rPr>
                <w:rFonts w:ascii="Times New Roman" w:hAnsi="Times New Roman" w:cs="Times New Roman"/>
              </w:rPr>
            </w:r>
            <w:r w:rsidR="00EF7D7A">
              <w:rPr>
                <w:rFonts w:ascii="Times New Roman" w:hAnsi="Times New Roman" w:cs="Times New Roman"/>
              </w:rPr>
              <w:fldChar w:fldCharType="separate"/>
            </w:r>
            <w:r w:rsidRPr="00F21A36">
              <w:rPr>
                <w:rFonts w:ascii="Times New Roman" w:hAnsi="Times New Roman" w:cs="Times New Roman"/>
              </w:rPr>
              <w:fldChar w:fldCharType="end"/>
            </w:r>
            <w:r w:rsidRPr="00F21A36">
              <w:rPr>
                <w:rFonts w:ascii="Times New Roman" w:hAnsi="Times New Roman" w:cs="Times New Roman"/>
              </w:rPr>
              <w:t xml:space="preserve">  </w:t>
            </w:r>
            <w:r w:rsidR="002F0412">
              <w:rPr>
                <w:rFonts w:ascii="Times New Roman" w:hAnsi="Times New Roman" w:cs="Times New Roman"/>
              </w:rPr>
              <w:t>w</w:t>
            </w:r>
            <w:r w:rsidRPr="00F21A36">
              <w:rPr>
                <w:rFonts w:ascii="Times New Roman" w:hAnsi="Times New Roman" w:cs="Times New Roman"/>
              </w:rPr>
              <w:t>ith all IGDRP agencies</w:t>
            </w:r>
            <w:r w:rsidR="00345433">
              <w:rPr>
                <w:rFonts w:ascii="Times New Roman" w:hAnsi="Times New Roman" w:cs="Times New Roman"/>
              </w:rPr>
              <w:t xml:space="preserve">*, or </w:t>
            </w:r>
          </w:p>
          <w:p w:rsidR="000B7215" w:rsidRPr="00F21A36" w:rsidRDefault="00345433">
            <w:pPr>
              <w:rPr>
                <w:rFonts w:ascii="Times New Roman" w:hAnsi="Times New Roman" w:cs="Times New Roman"/>
              </w:rPr>
            </w:pPr>
            <w:r w:rsidRPr="00F21A36">
              <w:rPr>
                <w:rFonts w:ascii="Times New Roman" w:hAnsi="Times New Roman" w:cs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A36">
              <w:rPr>
                <w:rFonts w:ascii="Times New Roman" w:hAnsi="Times New Roman" w:cs="Times New Roman"/>
              </w:rPr>
              <w:instrText xml:space="preserve"> FORMCHECKBOX </w:instrText>
            </w:r>
            <w:r w:rsidR="00EF7D7A">
              <w:rPr>
                <w:rFonts w:ascii="Times New Roman" w:hAnsi="Times New Roman" w:cs="Times New Roman"/>
              </w:rPr>
            </w:r>
            <w:r w:rsidR="00EF7D7A">
              <w:rPr>
                <w:rFonts w:ascii="Times New Roman" w:hAnsi="Times New Roman" w:cs="Times New Roman"/>
              </w:rPr>
              <w:fldChar w:fldCharType="separate"/>
            </w:r>
            <w:r w:rsidRPr="00F21A36">
              <w:rPr>
                <w:rFonts w:ascii="Times New Roman" w:hAnsi="Times New Roman" w:cs="Times New Roman"/>
              </w:rPr>
              <w:fldChar w:fldCharType="end"/>
            </w:r>
            <w:r w:rsidRPr="00F21A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F0412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ith the following agencies:_____________________________________________________</w:t>
            </w:r>
          </w:p>
          <w:p w:rsidR="000B7215" w:rsidRDefault="000B7215">
            <w:pPr>
              <w:rPr>
                <w:rFonts w:ascii="Times New Roman" w:hAnsi="Times New Roman" w:cs="Times New Roman"/>
              </w:rPr>
            </w:pPr>
          </w:p>
          <w:p w:rsidR="002F1A11" w:rsidRDefault="002F1A11">
            <w:pPr>
              <w:rPr>
                <w:rFonts w:ascii="Times New Roman" w:hAnsi="Times New Roman" w:cs="Times New Roman"/>
              </w:rPr>
            </w:pPr>
          </w:p>
          <w:p w:rsidR="002F1A11" w:rsidRDefault="002F1A11" w:rsidP="002F1A11">
            <w:pPr>
              <w:rPr>
                <w:rFonts w:ascii="Times New Roman" w:hAnsi="Times New Roman" w:cs="Times New Roman"/>
              </w:rPr>
            </w:pPr>
            <w:r w:rsidRPr="002F1A11">
              <w:rPr>
                <w:rFonts w:ascii="Times New Roman" w:hAnsi="Times New Roman" w:cs="Times New Roman"/>
              </w:rPr>
              <w:t>Name of Authorized Signing Official: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95760">
              <w:rPr>
                <w:rFonts w:ascii="Times New Roman" w:hAnsi="Times New Roman" w:cs="Times New Roman"/>
              </w:rPr>
              <w:t>_________________________________________________</w:t>
            </w:r>
          </w:p>
          <w:p w:rsidR="00295760" w:rsidRDefault="00295760" w:rsidP="002F1A11">
            <w:pPr>
              <w:rPr>
                <w:rFonts w:ascii="Times New Roman" w:hAnsi="Times New Roman" w:cs="Times New Roman"/>
              </w:rPr>
            </w:pPr>
          </w:p>
          <w:p w:rsidR="00295760" w:rsidRDefault="00295760" w:rsidP="002F1A11">
            <w:pPr>
              <w:rPr>
                <w:rFonts w:ascii="Times New Roman" w:hAnsi="Times New Roman" w:cs="Times New Roman"/>
              </w:rPr>
            </w:pPr>
            <w:r w:rsidRPr="00295760">
              <w:rPr>
                <w:rFonts w:ascii="Times New Roman" w:hAnsi="Times New Roman" w:cs="Times New Roman"/>
              </w:rPr>
              <w:t>Title, Company: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__________________________________________________________________</w:t>
            </w:r>
          </w:p>
          <w:p w:rsidR="00295760" w:rsidRDefault="00295760" w:rsidP="002F1A11">
            <w:pPr>
              <w:rPr>
                <w:rFonts w:ascii="Times New Roman" w:hAnsi="Times New Roman" w:cs="Times New Roman"/>
              </w:rPr>
            </w:pPr>
          </w:p>
          <w:p w:rsidR="00295760" w:rsidRPr="002F1A11" w:rsidRDefault="00295760" w:rsidP="002F1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Signature: _______________________________________________________________________</w:t>
            </w:r>
          </w:p>
          <w:p w:rsidR="00295760" w:rsidRDefault="00295760" w:rsidP="002F1A11">
            <w:pPr>
              <w:rPr>
                <w:rFonts w:ascii="Times New Roman" w:hAnsi="Times New Roman" w:cs="Times New Roman"/>
              </w:rPr>
            </w:pPr>
          </w:p>
          <w:p w:rsidR="002F1A11" w:rsidRPr="002F1A11" w:rsidRDefault="002F1A11" w:rsidP="002F1A11">
            <w:pPr>
              <w:rPr>
                <w:rFonts w:ascii="Times New Roman" w:hAnsi="Times New Roman" w:cs="Times New Roman"/>
              </w:rPr>
            </w:pPr>
            <w:r w:rsidRPr="002F1A11">
              <w:rPr>
                <w:rFonts w:ascii="Times New Roman" w:hAnsi="Times New Roman" w:cs="Times New Roman"/>
              </w:rPr>
              <w:t>Date: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95760">
              <w:rPr>
                <w:rFonts w:ascii="Times New Roman" w:hAnsi="Times New Roman" w:cs="Times New Roman"/>
              </w:rPr>
              <w:t>____________</w:t>
            </w:r>
          </w:p>
          <w:p w:rsidR="002F1A11" w:rsidRDefault="002F1A11">
            <w:pPr>
              <w:rPr>
                <w:rFonts w:ascii="Times New Roman" w:hAnsi="Times New Roman" w:cs="Times New Roman"/>
              </w:rPr>
            </w:pPr>
          </w:p>
          <w:p w:rsidR="002F1A11" w:rsidRPr="00F21A36" w:rsidRDefault="002F1A11">
            <w:pPr>
              <w:rPr>
                <w:rFonts w:ascii="Times New Roman" w:hAnsi="Times New Roman" w:cs="Times New Roman"/>
              </w:rPr>
            </w:pPr>
          </w:p>
          <w:p w:rsidR="000B7215" w:rsidRPr="00F21A36" w:rsidRDefault="000B7215" w:rsidP="00492FEF">
            <w:pPr>
              <w:rPr>
                <w:rFonts w:ascii="Times New Roman" w:hAnsi="Times New Roman" w:cs="Times New Roman"/>
              </w:rPr>
            </w:pPr>
            <w:r w:rsidRPr="00F21A36">
              <w:rPr>
                <w:rFonts w:ascii="Times New Roman" w:hAnsi="Times New Roman" w:cs="Times New Roman"/>
              </w:rPr>
              <w:t>* Agencies from the following jurisdictions form part of IGDRP: Australia, Brazil, Canada, China, Chinese Taipei, the European Union, the Republic of Korea, Japan, Mexico, New Zealand, Russia, Singapore, South Africa, Switzerland and the United States as well as the World Health Organization.</w:t>
            </w:r>
          </w:p>
        </w:tc>
      </w:tr>
    </w:tbl>
    <w:p w:rsidR="00A9339A" w:rsidRPr="00F21A36" w:rsidRDefault="00A9339A" w:rsidP="00821B05">
      <w:pPr>
        <w:rPr>
          <w:rFonts w:ascii="Times New Roman" w:hAnsi="Times New Roman" w:cs="Times New Roman"/>
          <w:b/>
        </w:rPr>
      </w:pPr>
    </w:p>
    <w:p w:rsidR="00A9339A" w:rsidRPr="00F21A36" w:rsidRDefault="00A9339A" w:rsidP="00842D75">
      <w:pPr>
        <w:jc w:val="center"/>
        <w:rPr>
          <w:rFonts w:ascii="Times New Roman" w:hAnsi="Times New Roman" w:cs="Times New Roman"/>
          <w:b/>
        </w:rPr>
      </w:pPr>
      <w:r w:rsidRPr="00F21A36" w:rsidDel="00B13341">
        <w:rPr>
          <w:rFonts w:ascii="Times New Roman" w:hAnsi="Times New Roman" w:cs="Times New Roman"/>
          <w:b/>
        </w:rPr>
        <w:t xml:space="preserve"> </w:t>
      </w:r>
    </w:p>
    <w:p w:rsidR="00A9339A" w:rsidRDefault="00A9339A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842D75" w:rsidRDefault="00842D75" w:rsidP="00842D75">
      <w:pPr>
        <w:jc w:val="center"/>
        <w:rPr>
          <w:b/>
          <w:sz w:val="36"/>
          <w:szCs w:val="36"/>
        </w:rPr>
      </w:pPr>
    </w:p>
    <w:p w:rsidR="00842D75" w:rsidRDefault="00842D75" w:rsidP="00842D75">
      <w:pPr>
        <w:rPr>
          <w:b/>
          <w:sz w:val="36"/>
          <w:szCs w:val="36"/>
        </w:rPr>
      </w:pPr>
      <w:r w:rsidRPr="00821B05">
        <w:rPr>
          <w:b/>
          <w:sz w:val="36"/>
          <w:szCs w:val="36"/>
        </w:rPr>
        <w:t xml:space="preserve">Appendix </w:t>
      </w:r>
      <w:r>
        <w:rPr>
          <w:b/>
          <w:sz w:val="36"/>
          <w:szCs w:val="36"/>
        </w:rPr>
        <w:t>4 –</w:t>
      </w:r>
      <w:r w:rsidRPr="002410E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Summary of </w:t>
      </w:r>
      <w:r w:rsidR="007769F4">
        <w:rPr>
          <w:b/>
          <w:sz w:val="36"/>
          <w:szCs w:val="36"/>
        </w:rPr>
        <w:t xml:space="preserve">Quality </w:t>
      </w:r>
      <w:r>
        <w:rPr>
          <w:b/>
          <w:sz w:val="36"/>
          <w:szCs w:val="36"/>
        </w:rPr>
        <w:t>Differences</w:t>
      </w:r>
    </w:p>
    <w:p w:rsidR="00F32E2B" w:rsidRPr="00656EFE" w:rsidRDefault="00F32E2B" w:rsidP="00656EFE">
      <w:pPr>
        <w:rPr>
          <w:rFonts w:ascii="Times New Roman" w:eastAsia="Times New Roman" w:hAnsi="Times New Roman" w:cs="Times New Roman"/>
          <w:b/>
          <w:bCs/>
        </w:rPr>
      </w:pPr>
      <w:r w:rsidRPr="00656EFE">
        <w:rPr>
          <w:sz w:val="28"/>
          <w:szCs w:val="28"/>
        </w:rPr>
        <w:t>This form must be completed and submitted to each Non-EU agency proposed in the EOI Request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8" w:type="dxa"/>
          <w:right w:w="78" w:type="dxa"/>
        </w:tblCellMar>
        <w:tblLook w:val="0000" w:firstRow="0" w:lastRow="0" w:firstColumn="0" w:lastColumn="0" w:noHBand="0" w:noVBand="0"/>
      </w:tblPr>
      <w:tblGrid>
        <w:gridCol w:w="2379"/>
        <w:gridCol w:w="2379"/>
        <w:gridCol w:w="2379"/>
        <w:gridCol w:w="2379"/>
      </w:tblGrid>
      <w:tr w:rsidR="00F32E2B" w:rsidRPr="00F32E2B" w:rsidTr="00F47CEF">
        <w:trPr>
          <w:cantSplit/>
          <w:trHeight w:val="540"/>
          <w:tblHeader/>
          <w:jc w:val="center"/>
        </w:trPr>
        <w:tc>
          <w:tcPr>
            <w:tcW w:w="5000" w:type="pct"/>
            <w:gridSpan w:val="4"/>
            <w:shd w:val="pct15" w:color="auto" w:fill="auto"/>
          </w:tcPr>
          <w:p w:rsidR="00F32E2B" w:rsidRDefault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2E2B">
              <w:rPr>
                <w:rFonts w:ascii="Times New Roman" w:eastAsia="Times New Roman" w:hAnsi="Times New Roman" w:cs="Times New Roman"/>
                <w:b/>
                <w:bCs/>
              </w:rPr>
              <w:t xml:space="preserve">Summary of Quality Differences </w:t>
            </w:r>
          </w:p>
          <w:p w:rsidR="00F32E2B" w:rsidRPr="00656EFE" w:rsidRDefault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6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Modules and numbering </w:t>
            </w:r>
            <w:r w:rsidR="00245E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reflect t</w:t>
            </w:r>
            <w:r w:rsidRPr="00656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he ICH Common Technical Document</w:t>
            </w:r>
            <w:r w:rsidR="00245E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F32E2B" w:rsidRPr="00656EFE" w:rsidRDefault="00F32E2B" w:rsidP="00BE1778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6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Modules where there are no differences between the </w:t>
            </w:r>
            <w:r w:rsidR="00BE17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products</w:t>
            </w:r>
            <w:r w:rsidR="00BE1778" w:rsidRPr="00656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56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filed with the</w:t>
            </w:r>
            <w:r w:rsidR="00245E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EU </w:t>
            </w:r>
            <w:r w:rsidR="00BE17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DCP </w:t>
            </w:r>
            <w:r w:rsidR="00245E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and </w:t>
            </w:r>
            <w:r w:rsidR="00BE17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the </w:t>
            </w:r>
            <w:r w:rsidR="00245E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non-EU agency</w:t>
            </w:r>
            <w:r w:rsidRPr="00656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should be reported as “No differences”.</w:t>
            </w:r>
            <w:r w:rsidR="002F1A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Where </w:t>
            </w:r>
            <w:r w:rsidR="005C10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minor </w:t>
            </w:r>
            <w:r w:rsidR="002F1A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differences exist for a listed module, a brief summary of the details should be described.</w:t>
            </w:r>
          </w:p>
        </w:tc>
      </w:tr>
      <w:tr w:rsidR="00F32E2B" w:rsidRPr="00F32E2B" w:rsidTr="00F47CEF">
        <w:trPr>
          <w:cantSplit/>
          <w:trHeight w:val="540"/>
          <w:tblHeader/>
          <w:jc w:val="center"/>
        </w:trPr>
        <w:tc>
          <w:tcPr>
            <w:tcW w:w="1250" w:type="pct"/>
            <w:shd w:val="pct15" w:color="auto" w:fill="auto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Module</w:t>
            </w:r>
          </w:p>
        </w:tc>
        <w:tc>
          <w:tcPr>
            <w:tcW w:w="1250" w:type="pct"/>
            <w:shd w:val="pct15" w:color="auto" w:fill="auto"/>
          </w:tcPr>
          <w:p w:rsidR="00F32E2B" w:rsidRPr="00F32E2B" w:rsidRDefault="00F32E2B" w:rsidP="002F1A11">
            <w:pPr>
              <w:tabs>
                <w:tab w:val="left" w:pos="1180"/>
              </w:tabs>
              <w:spacing w:before="102" w:after="0" w:line="17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Details in 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pplication 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 be </w:t>
            </w: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filed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with 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the EU </w:t>
            </w:r>
            <w:r w:rsidR="002F1A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DCP</w:t>
            </w:r>
          </w:p>
        </w:tc>
        <w:tc>
          <w:tcPr>
            <w:tcW w:w="1250" w:type="pct"/>
            <w:shd w:val="pct15" w:color="auto" w:fill="auto"/>
          </w:tcPr>
          <w:p w:rsidR="00F32E2B" w:rsidRPr="00F32E2B" w:rsidRDefault="00F32E2B">
            <w:pPr>
              <w:tabs>
                <w:tab w:val="left" w:pos="1180"/>
              </w:tabs>
              <w:spacing w:before="102" w:after="0" w:line="17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Details in 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pplication 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 be </w:t>
            </w: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filed with 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the non-EU agency</w:t>
            </w:r>
          </w:p>
        </w:tc>
        <w:tc>
          <w:tcPr>
            <w:tcW w:w="1250" w:type="pct"/>
            <w:shd w:val="pct15" w:color="auto" w:fill="auto"/>
          </w:tcPr>
          <w:p w:rsidR="00F32E2B" w:rsidRPr="00F32E2B" w:rsidRDefault="00F32E2B">
            <w:pPr>
              <w:tabs>
                <w:tab w:val="left" w:pos="1180"/>
              </w:tabs>
              <w:spacing w:before="102" w:after="0" w:line="17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Discussion of 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oted 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</w:t>
            </w: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ifferences</w:t>
            </w: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5000" w:type="pct"/>
            <w:gridSpan w:val="4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3.2.S Drug Substance</w:t>
            </w: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3.2.S.1 General Information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3.2.S.2 Manufacture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>3.2.S.3 Characterisation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3.2.S.4 Control of the Drug Substance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>3.2.S.5 Reference Standard or Materials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3.2.S.6 Container Closure System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>3.2.S.7 Stability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5000" w:type="pct"/>
            <w:gridSpan w:val="4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3.2.P Drug Product</w:t>
            </w: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3.2.P.1 Description and Composition of the Drug Product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3.2.P.2 Pharmaceutical Development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3.2.P.3 Manufacture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>3.2.P.4 Control of Excipients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3.2.P.5 Control of Drug Product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3.2.P.6 Reference Standard or Materials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3.2.P.7 Container Closure System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3.2.P.8 Stability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076C9" w:rsidRDefault="004076C9" w:rsidP="00842D75">
      <w:pPr>
        <w:jc w:val="center"/>
        <w:rPr>
          <w:sz w:val="24"/>
          <w:szCs w:val="24"/>
        </w:rPr>
      </w:pPr>
    </w:p>
    <w:p w:rsidR="004076C9" w:rsidRDefault="004076C9" w:rsidP="00842D75">
      <w:pPr>
        <w:jc w:val="center"/>
        <w:rPr>
          <w:sz w:val="24"/>
          <w:szCs w:val="24"/>
        </w:rPr>
      </w:pPr>
    </w:p>
    <w:sectPr w:rsidR="004076C9" w:rsidSect="001B0F3C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28E" w:rsidRDefault="005B728E" w:rsidP="00AE6112">
      <w:pPr>
        <w:spacing w:after="0" w:line="240" w:lineRule="auto"/>
      </w:pPr>
      <w:r>
        <w:separator/>
      </w:r>
    </w:p>
  </w:endnote>
  <w:endnote w:type="continuationSeparator" w:id="0">
    <w:p w:rsidR="005B728E" w:rsidRDefault="005B728E" w:rsidP="00AE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7402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7CEF" w:rsidRDefault="00F47C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D7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47CEF" w:rsidRDefault="00F47C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28E" w:rsidRDefault="005B728E" w:rsidP="00AE6112">
      <w:pPr>
        <w:spacing w:after="0" w:line="240" w:lineRule="auto"/>
      </w:pPr>
      <w:r>
        <w:separator/>
      </w:r>
    </w:p>
  </w:footnote>
  <w:footnote w:type="continuationSeparator" w:id="0">
    <w:p w:rsidR="005B728E" w:rsidRDefault="005B728E" w:rsidP="00AE6112">
      <w:pPr>
        <w:spacing w:after="0" w:line="240" w:lineRule="auto"/>
      </w:pPr>
      <w:r>
        <w:continuationSeparator/>
      </w:r>
    </w:p>
  </w:footnote>
  <w:footnote w:id="1">
    <w:p w:rsidR="00F47CEF" w:rsidRDefault="00F47CEF">
      <w:pPr>
        <w:pStyle w:val="FootnoteText"/>
      </w:pPr>
      <w:r>
        <w:rPr>
          <w:rStyle w:val="FootnoteReference"/>
        </w:rPr>
        <w:footnoteRef/>
      </w:r>
      <w:r>
        <w:t xml:space="preserve">  World Health Organization (</w:t>
      </w:r>
      <w:r w:rsidRPr="001755D0">
        <w:t>WHO</w:t>
      </w:r>
      <w:r>
        <w:t>)</w:t>
      </w:r>
      <w:r w:rsidRPr="001755D0">
        <w:t xml:space="preserve"> Drug Information Vol. 28 No. 1, 2014</w:t>
      </w:r>
    </w:p>
    <w:p w:rsidR="00F47CEF" w:rsidRDefault="00F47CEF">
      <w:pPr>
        <w:pStyle w:val="FootnoteText"/>
      </w:pPr>
      <w:r>
        <w:t>(</w:t>
      </w:r>
      <w:r w:rsidRPr="001755D0">
        <w:t>www.who.int/medicines/publications/druginformation/DI_28-1_Regulatory-Harmonization.pdf?ua=1</w:t>
      </w:r>
      <w: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CEF" w:rsidRDefault="00F47C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CEF" w:rsidRDefault="00F47C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CEF" w:rsidRDefault="00F47C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5DA"/>
    <w:multiLevelType w:val="hybridMultilevel"/>
    <w:tmpl w:val="54BAF2B2"/>
    <w:lvl w:ilvl="0" w:tplc="D616A7D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4CC37A2"/>
    <w:multiLevelType w:val="hybridMultilevel"/>
    <w:tmpl w:val="DF0692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639D4"/>
    <w:multiLevelType w:val="hybridMultilevel"/>
    <w:tmpl w:val="5B506D88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146F0E10"/>
    <w:multiLevelType w:val="hybridMultilevel"/>
    <w:tmpl w:val="74F0A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E197B"/>
    <w:multiLevelType w:val="hybridMultilevel"/>
    <w:tmpl w:val="BCFC9B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04E47"/>
    <w:multiLevelType w:val="hybridMultilevel"/>
    <w:tmpl w:val="843677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72468"/>
    <w:multiLevelType w:val="hybridMultilevel"/>
    <w:tmpl w:val="C554E05E"/>
    <w:lvl w:ilvl="0" w:tplc="288C0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9E147E">
      <w:start w:val="16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74B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164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002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66C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3CF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A2A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CD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5C402C9"/>
    <w:multiLevelType w:val="hybridMultilevel"/>
    <w:tmpl w:val="0ABAC2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5D590D"/>
    <w:multiLevelType w:val="hybridMultilevel"/>
    <w:tmpl w:val="226A98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184E3A"/>
    <w:multiLevelType w:val="hybridMultilevel"/>
    <w:tmpl w:val="82AA3C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C4171B"/>
    <w:multiLevelType w:val="hybridMultilevel"/>
    <w:tmpl w:val="5CD23D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C4"/>
    <w:rsid w:val="00024465"/>
    <w:rsid w:val="00025739"/>
    <w:rsid w:val="000312E3"/>
    <w:rsid w:val="00034CD0"/>
    <w:rsid w:val="000366BF"/>
    <w:rsid w:val="00053ADC"/>
    <w:rsid w:val="00072870"/>
    <w:rsid w:val="00073DFF"/>
    <w:rsid w:val="000B7215"/>
    <w:rsid w:val="000F09FD"/>
    <w:rsid w:val="001244CE"/>
    <w:rsid w:val="001672D3"/>
    <w:rsid w:val="001755D0"/>
    <w:rsid w:val="001959CB"/>
    <w:rsid w:val="001A6040"/>
    <w:rsid w:val="001A7288"/>
    <w:rsid w:val="001B0F3C"/>
    <w:rsid w:val="001B67C1"/>
    <w:rsid w:val="002410ED"/>
    <w:rsid w:val="00245ED6"/>
    <w:rsid w:val="0025139B"/>
    <w:rsid w:val="0029347D"/>
    <w:rsid w:val="00294406"/>
    <w:rsid w:val="00295760"/>
    <w:rsid w:val="002E0866"/>
    <w:rsid w:val="002F0412"/>
    <w:rsid w:val="002F1A11"/>
    <w:rsid w:val="00305477"/>
    <w:rsid w:val="00312201"/>
    <w:rsid w:val="003316A0"/>
    <w:rsid w:val="00343E68"/>
    <w:rsid w:val="00345433"/>
    <w:rsid w:val="003557BC"/>
    <w:rsid w:val="00356557"/>
    <w:rsid w:val="003663CF"/>
    <w:rsid w:val="00390BB0"/>
    <w:rsid w:val="003A25E5"/>
    <w:rsid w:val="003B063D"/>
    <w:rsid w:val="003D73D9"/>
    <w:rsid w:val="00403AA3"/>
    <w:rsid w:val="004076C9"/>
    <w:rsid w:val="00447DB4"/>
    <w:rsid w:val="00472956"/>
    <w:rsid w:val="00472AF7"/>
    <w:rsid w:val="004768CF"/>
    <w:rsid w:val="00492FEF"/>
    <w:rsid w:val="004C1E5E"/>
    <w:rsid w:val="004C60A7"/>
    <w:rsid w:val="004D2659"/>
    <w:rsid w:val="00504E26"/>
    <w:rsid w:val="00521B53"/>
    <w:rsid w:val="00547987"/>
    <w:rsid w:val="0056318A"/>
    <w:rsid w:val="005A5297"/>
    <w:rsid w:val="005A79B7"/>
    <w:rsid w:val="005B728E"/>
    <w:rsid w:val="005C1076"/>
    <w:rsid w:val="005E343A"/>
    <w:rsid w:val="0060295A"/>
    <w:rsid w:val="00603810"/>
    <w:rsid w:val="00605EBD"/>
    <w:rsid w:val="00640A16"/>
    <w:rsid w:val="00642C9B"/>
    <w:rsid w:val="00656EFE"/>
    <w:rsid w:val="00671109"/>
    <w:rsid w:val="006B0C0F"/>
    <w:rsid w:val="006B2791"/>
    <w:rsid w:val="006B6EC1"/>
    <w:rsid w:val="006D2CAA"/>
    <w:rsid w:val="006E3003"/>
    <w:rsid w:val="006F4FD3"/>
    <w:rsid w:val="006F5BB1"/>
    <w:rsid w:val="00700444"/>
    <w:rsid w:val="007249C9"/>
    <w:rsid w:val="00744C80"/>
    <w:rsid w:val="007769F4"/>
    <w:rsid w:val="00777691"/>
    <w:rsid w:val="007809ED"/>
    <w:rsid w:val="007B638F"/>
    <w:rsid w:val="007C4500"/>
    <w:rsid w:val="007C6003"/>
    <w:rsid w:val="007D07F2"/>
    <w:rsid w:val="007D0C11"/>
    <w:rsid w:val="007E20AF"/>
    <w:rsid w:val="00802DFA"/>
    <w:rsid w:val="00821B05"/>
    <w:rsid w:val="00842D75"/>
    <w:rsid w:val="00845080"/>
    <w:rsid w:val="008572F4"/>
    <w:rsid w:val="0088426D"/>
    <w:rsid w:val="00890189"/>
    <w:rsid w:val="008C27E1"/>
    <w:rsid w:val="0096353F"/>
    <w:rsid w:val="00974982"/>
    <w:rsid w:val="00977A37"/>
    <w:rsid w:val="009A27B4"/>
    <w:rsid w:val="009A56C2"/>
    <w:rsid w:val="009A5C3E"/>
    <w:rsid w:val="009B78C0"/>
    <w:rsid w:val="009B7D36"/>
    <w:rsid w:val="009F13A6"/>
    <w:rsid w:val="00A01C88"/>
    <w:rsid w:val="00A3379C"/>
    <w:rsid w:val="00A464EF"/>
    <w:rsid w:val="00A71BE2"/>
    <w:rsid w:val="00A9339A"/>
    <w:rsid w:val="00A94638"/>
    <w:rsid w:val="00A97927"/>
    <w:rsid w:val="00AA1CFF"/>
    <w:rsid w:val="00AC17BD"/>
    <w:rsid w:val="00AE48C1"/>
    <w:rsid w:val="00AE6112"/>
    <w:rsid w:val="00AF3E28"/>
    <w:rsid w:val="00B03456"/>
    <w:rsid w:val="00B13341"/>
    <w:rsid w:val="00B34351"/>
    <w:rsid w:val="00B34C71"/>
    <w:rsid w:val="00B378B4"/>
    <w:rsid w:val="00B555AF"/>
    <w:rsid w:val="00B56A22"/>
    <w:rsid w:val="00B57105"/>
    <w:rsid w:val="00B914D4"/>
    <w:rsid w:val="00BA77F9"/>
    <w:rsid w:val="00BB618A"/>
    <w:rsid w:val="00BC1F5B"/>
    <w:rsid w:val="00BE1778"/>
    <w:rsid w:val="00BE18F2"/>
    <w:rsid w:val="00BE5EC9"/>
    <w:rsid w:val="00BF68A6"/>
    <w:rsid w:val="00C16832"/>
    <w:rsid w:val="00C62581"/>
    <w:rsid w:val="00C67B8B"/>
    <w:rsid w:val="00C914C4"/>
    <w:rsid w:val="00C97314"/>
    <w:rsid w:val="00CC0618"/>
    <w:rsid w:val="00CD73EB"/>
    <w:rsid w:val="00CE619E"/>
    <w:rsid w:val="00D2321E"/>
    <w:rsid w:val="00D271EC"/>
    <w:rsid w:val="00D41953"/>
    <w:rsid w:val="00D44664"/>
    <w:rsid w:val="00D52FF0"/>
    <w:rsid w:val="00D62900"/>
    <w:rsid w:val="00D84F7F"/>
    <w:rsid w:val="00D931A0"/>
    <w:rsid w:val="00DA2674"/>
    <w:rsid w:val="00DC0327"/>
    <w:rsid w:val="00DD74FA"/>
    <w:rsid w:val="00E10E69"/>
    <w:rsid w:val="00E43830"/>
    <w:rsid w:val="00E8636B"/>
    <w:rsid w:val="00EE2A86"/>
    <w:rsid w:val="00EF0300"/>
    <w:rsid w:val="00EF7D7A"/>
    <w:rsid w:val="00F03EF0"/>
    <w:rsid w:val="00F04904"/>
    <w:rsid w:val="00F21A36"/>
    <w:rsid w:val="00F24C8A"/>
    <w:rsid w:val="00F272D9"/>
    <w:rsid w:val="00F32E2B"/>
    <w:rsid w:val="00F47CEF"/>
    <w:rsid w:val="00F62999"/>
    <w:rsid w:val="00F8186E"/>
    <w:rsid w:val="00FC709E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4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27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4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112"/>
  </w:style>
  <w:style w:type="paragraph" w:styleId="Footer">
    <w:name w:val="footer"/>
    <w:basedOn w:val="Normal"/>
    <w:link w:val="FooterChar"/>
    <w:uiPriority w:val="99"/>
    <w:unhideWhenUsed/>
    <w:rsid w:val="00AE6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112"/>
  </w:style>
  <w:style w:type="table" w:styleId="TableGrid">
    <w:name w:val="Table Grid"/>
    <w:basedOn w:val="TableNormal"/>
    <w:uiPriority w:val="59"/>
    <w:rsid w:val="004C6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wrr">
    <w:name w:val="rwrr"/>
    <w:basedOn w:val="DefaultParagraphFont"/>
    <w:rsid w:val="00F04904"/>
  </w:style>
  <w:style w:type="paragraph" w:styleId="Revision">
    <w:name w:val="Revision"/>
    <w:hidden/>
    <w:uiPriority w:val="99"/>
    <w:semiHidden/>
    <w:rsid w:val="003122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2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2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2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20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55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5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55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4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27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4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112"/>
  </w:style>
  <w:style w:type="paragraph" w:styleId="Footer">
    <w:name w:val="footer"/>
    <w:basedOn w:val="Normal"/>
    <w:link w:val="FooterChar"/>
    <w:uiPriority w:val="99"/>
    <w:unhideWhenUsed/>
    <w:rsid w:val="00AE6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112"/>
  </w:style>
  <w:style w:type="table" w:styleId="TableGrid">
    <w:name w:val="Table Grid"/>
    <w:basedOn w:val="TableNormal"/>
    <w:uiPriority w:val="59"/>
    <w:rsid w:val="004C6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wrr">
    <w:name w:val="rwrr"/>
    <w:basedOn w:val="DefaultParagraphFont"/>
    <w:rsid w:val="00F04904"/>
  </w:style>
  <w:style w:type="paragraph" w:styleId="Revision">
    <w:name w:val="Revision"/>
    <w:hidden/>
    <w:uiPriority w:val="99"/>
    <w:semiHidden/>
    <w:rsid w:val="003122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2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2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2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20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55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5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55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9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6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0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8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9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5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5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6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1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8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12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4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8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in.bond@fda.gov.tw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PD-DPT.International@hc-sc.gc.ca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hma.eu/352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A11F8-CBD0-47AA-92A5-32FED953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1567</Words>
  <Characters>9429</Characters>
  <Application>Microsoft Office Word</Application>
  <DocSecurity>0</DocSecurity>
  <Lines>300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First Expression of Interest (EOI) to Participate in an Information Sharing Pilot for the Evaluation of Generic Drug Applications involving the Decentralised Procedure (DCP) of the European Union</vt:lpstr>
      <vt:lpstr/>
    </vt:vector>
  </TitlesOfParts>
  <Company>Health Canada - Santé Canada</Company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Expression of Interest (EOI) to Participate in an Information Sharing Pilot for the Evaluation of Generic Drug Applications involving the Decentralised Procedure (DCP) of the European Union</dc:title>
  <dc:subject>therapeutic goods regulation</dc:subject>
  <dc:creator>Health Canada</dc:creator>
  <cp:keywords>first, expression, interest, eoi, evaluation, generic, drug, applications, decentralised , procedure, dcp, european, union</cp:keywords>
  <cp:lastModifiedBy>dixonj</cp:lastModifiedBy>
  <cp:revision>8</cp:revision>
  <dcterms:created xsi:type="dcterms:W3CDTF">2014-08-26T00:54:00Z</dcterms:created>
  <dcterms:modified xsi:type="dcterms:W3CDTF">2014-09-08T05:30:00Z</dcterms:modified>
</cp:coreProperties>
</file>