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0E519FAE" w14:textId="77777777" w:rsidTr="002B29B2">
        <w:tc>
          <w:tcPr>
            <w:tcW w:w="8720" w:type="dxa"/>
          </w:tcPr>
          <w:p w14:paraId="6F864D55" w14:textId="77777777" w:rsidR="00F401EF" w:rsidRPr="00215D48" w:rsidRDefault="005E3751" w:rsidP="002B29B2">
            <w:pPr>
              <w:pStyle w:val="Title"/>
            </w:pPr>
            <w:r w:rsidRPr="005E3751">
              <w:t>Introduction to the Poisons Standard</w:t>
            </w:r>
          </w:p>
        </w:tc>
      </w:tr>
      <w:tr w:rsidR="002B29B2" w:rsidRPr="00215D48" w14:paraId="5DD7570D" w14:textId="77777777" w:rsidTr="002B29B2">
        <w:trPr>
          <w:trHeight w:val="1916"/>
        </w:trPr>
        <w:tc>
          <w:tcPr>
            <w:tcW w:w="8720" w:type="dxa"/>
          </w:tcPr>
          <w:p w14:paraId="6C679BF7" w14:textId="77777777" w:rsidR="00F401EF" w:rsidRPr="00215D48" w:rsidRDefault="00F401EF" w:rsidP="002B29B2">
            <w:pPr>
              <w:pStyle w:val="Subtitle"/>
              <w:ind w:left="0"/>
            </w:pPr>
          </w:p>
        </w:tc>
      </w:tr>
      <w:tr w:rsidR="002B29B2" w:rsidRPr="00215D48" w14:paraId="38969D41" w14:textId="77777777" w:rsidTr="002B29B2">
        <w:tc>
          <w:tcPr>
            <w:tcW w:w="8720" w:type="dxa"/>
          </w:tcPr>
          <w:p w14:paraId="29338589" w14:textId="252E6523" w:rsidR="002B29B2" w:rsidRPr="00215D48" w:rsidRDefault="005E3751" w:rsidP="00C03502">
            <w:pPr>
              <w:pStyle w:val="Date"/>
            </w:pPr>
            <w:r>
              <w:t xml:space="preserve">Version 1.0, </w:t>
            </w:r>
            <w:r w:rsidR="00C03502">
              <w:t>December</w:t>
            </w:r>
            <w:r w:rsidR="009A19A1">
              <w:t xml:space="preserve"> </w:t>
            </w:r>
            <w:r>
              <w:t>2020</w:t>
            </w:r>
          </w:p>
        </w:tc>
      </w:tr>
    </w:tbl>
    <w:p w14:paraId="051BA135"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0041286" w14:textId="77777777" w:rsidR="005D1689" w:rsidRPr="00E1198B" w:rsidRDefault="005D1689" w:rsidP="00BA0DFC">
      <w:pPr>
        <w:pStyle w:val="LegalSubheading"/>
      </w:pPr>
      <w:r w:rsidRPr="00BA0DFC">
        <w:lastRenderedPageBreak/>
        <w:t>Copyright</w:t>
      </w:r>
    </w:p>
    <w:p w14:paraId="07474EDD" w14:textId="77777777"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55A91FE4" w14:textId="77777777" w:rsidR="00F401EF" w:rsidRPr="00215D48" w:rsidRDefault="00F401EF" w:rsidP="00637E74">
          <w:pPr>
            <w:pStyle w:val="NonTOCheading2"/>
          </w:pPr>
          <w:r w:rsidRPr="00215D48">
            <w:t>Contents</w:t>
          </w:r>
        </w:p>
        <w:p w14:paraId="51D98EDA" w14:textId="5AD19DA4" w:rsidR="006D38B8"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59528484" w:history="1">
            <w:r w:rsidR="006D38B8" w:rsidRPr="00481681">
              <w:rPr>
                <w:rStyle w:val="Hyperlink"/>
                <w:noProof/>
              </w:rPr>
              <w:t>About the Poisons Standard</w:t>
            </w:r>
            <w:r w:rsidR="006D38B8">
              <w:rPr>
                <w:noProof/>
                <w:webHidden/>
              </w:rPr>
              <w:tab/>
            </w:r>
            <w:r w:rsidR="006D38B8">
              <w:rPr>
                <w:noProof/>
                <w:webHidden/>
              </w:rPr>
              <w:fldChar w:fldCharType="begin"/>
            </w:r>
            <w:r w:rsidR="006D38B8">
              <w:rPr>
                <w:noProof/>
                <w:webHidden/>
              </w:rPr>
              <w:instrText xml:space="preserve"> PAGEREF _Toc59528484 \h </w:instrText>
            </w:r>
            <w:r w:rsidR="006D38B8">
              <w:rPr>
                <w:noProof/>
                <w:webHidden/>
              </w:rPr>
            </w:r>
            <w:r w:rsidR="006D38B8">
              <w:rPr>
                <w:noProof/>
                <w:webHidden/>
              </w:rPr>
              <w:fldChar w:fldCharType="separate"/>
            </w:r>
            <w:r w:rsidR="006D38B8">
              <w:rPr>
                <w:noProof/>
                <w:webHidden/>
              </w:rPr>
              <w:t>4</w:t>
            </w:r>
            <w:r w:rsidR="006D38B8">
              <w:rPr>
                <w:noProof/>
                <w:webHidden/>
              </w:rPr>
              <w:fldChar w:fldCharType="end"/>
            </w:r>
          </w:hyperlink>
        </w:p>
        <w:p w14:paraId="224A1677" w14:textId="3A47F2A9" w:rsidR="006D38B8" w:rsidRDefault="00FC55B6">
          <w:pPr>
            <w:pStyle w:val="TOC2"/>
            <w:rPr>
              <w:rFonts w:asciiTheme="minorHAnsi" w:eastAsiaTheme="minorEastAsia" w:hAnsiTheme="minorHAnsi" w:cstheme="minorBidi"/>
              <w:b w:val="0"/>
              <w:noProof/>
              <w:sz w:val="22"/>
              <w:szCs w:val="22"/>
              <w:lang w:eastAsia="en-AU"/>
            </w:rPr>
          </w:pPr>
          <w:hyperlink w:anchor="_Toc59528485" w:history="1">
            <w:r w:rsidR="006D38B8" w:rsidRPr="00481681">
              <w:rPr>
                <w:rStyle w:val="Hyperlink"/>
                <w:noProof/>
              </w:rPr>
              <w:t>When the Poisons Standard applies</w:t>
            </w:r>
            <w:r w:rsidR="006D38B8">
              <w:rPr>
                <w:noProof/>
                <w:webHidden/>
              </w:rPr>
              <w:tab/>
            </w:r>
            <w:r w:rsidR="006D38B8">
              <w:rPr>
                <w:noProof/>
                <w:webHidden/>
              </w:rPr>
              <w:fldChar w:fldCharType="begin"/>
            </w:r>
            <w:r w:rsidR="006D38B8">
              <w:rPr>
                <w:noProof/>
                <w:webHidden/>
              </w:rPr>
              <w:instrText xml:space="preserve"> PAGEREF _Toc59528485 \h </w:instrText>
            </w:r>
            <w:r w:rsidR="006D38B8">
              <w:rPr>
                <w:noProof/>
                <w:webHidden/>
              </w:rPr>
            </w:r>
            <w:r w:rsidR="006D38B8">
              <w:rPr>
                <w:noProof/>
                <w:webHidden/>
              </w:rPr>
              <w:fldChar w:fldCharType="separate"/>
            </w:r>
            <w:r w:rsidR="006D38B8">
              <w:rPr>
                <w:noProof/>
                <w:webHidden/>
              </w:rPr>
              <w:t>4</w:t>
            </w:r>
            <w:r w:rsidR="006D38B8">
              <w:rPr>
                <w:noProof/>
                <w:webHidden/>
              </w:rPr>
              <w:fldChar w:fldCharType="end"/>
            </w:r>
          </w:hyperlink>
        </w:p>
        <w:p w14:paraId="0F4CA1D5" w14:textId="100B7302" w:rsidR="006D38B8" w:rsidRDefault="00FC55B6">
          <w:pPr>
            <w:pStyle w:val="TOC2"/>
            <w:rPr>
              <w:rFonts w:asciiTheme="minorHAnsi" w:eastAsiaTheme="minorEastAsia" w:hAnsiTheme="minorHAnsi" w:cstheme="minorBidi"/>
              <w:b w:val="0"/>
              <w:noProof/>
              <w:sz w:val="22"/>
              <w:szCs w:val="22"/>
              <w:lang w:eastAsia="en-AU"/>
            </w:rPr>
          </w:pPr>
          <w:hyperlink w:anchor="_Toc59528486" w:history="1">
            <w:r w:rsidR="006D38B8" w:rsidRPr="00481681">
              <w:rPr>
                <w:rStyle w:val="Hyperlink"/>
                <w:noProof/>
              </w:rPr>
              <w:t>Scheduling of substances</w:t>
            </w:r>
            <w:r w:rsidR="006D38B8">
              <w:rPr>
                <w:noProof/>
                <w:webHidden/>
              </w:rPr>
              <w:tab/>
            </w:r>
            <w:r w:rsidR="006D38B8">
              <w:rPr>
                <w:noProof/>
                <w:webHidden/>
              </w:rPr>
              <w:fldChar w:fldCharType="begin"/>
            </w:r>
            <w:r w:rsidR="006D38B8">
              <w:rPr>
                <w:noProof/>
                <w:webHidden/>
              </w:rPr>
              <w:instrText xml:space="preserve"> PAGEREF _Toc59528486 \h </w:instrText>
            </w:r>
            <w:r w:rsidR="006D38B8">
              <w:rPr>
                <w:noProof/>
                <w:webHidden/>
              </w:rPr>
            </w:r>
            <w:r w:rsidR="006D38B8">
              <w:rPr>
                <w:noProof/>
                <w:webHidden/>
              </w:rPr>
              <w:fldChar w:fldCharType="separate"/>
            </w:r>
            <w:r w:rsidR="006D38B8">
              <w:rPr>
                <w:noProof/>
                <w:webHidden/>
              </w:rPr>
              <w:t>4</w:t>
            </w:r>
            <w:r w:rsidR="006D38B8">
              <w:rPr>
                <w:noProof/>
                <w:webHidden/>
              </w:rPr>
              <w:fldChar w:fldCharType="end"/>
            </w:r>
          </w:hyperlink>
        </w:p>
        <w:p w14:paraId="09E9309D" w14:textId="3724E264" w:rsidR="006D38B8" w:rsidRDefault="00FC55B6">
          <w:pPr>
            <w:pStyle w:val="TOC2"/>
            <w:rPr>
              <w:rFonts w:asciiTheme="minorHAnsi" w:eastAsiaTheme="minorEastAsia" w:hAnsiTheme="minorHAnsi" w:cstheme="minorBidi"/>
              <w:b w:val="0"/>
              <w:noProof/>
              <w:sz w:val="22"/>
              <w:szCs w:val="22"/>
              <w:lang w:eastAsia="en-AU"/>
            </w:rPr>
          </w:pPr>
          <w:hyperlink w:anchor="_Toc59528487" w:history="1">
            <w:r w:rsidR="006D38B8" w:rsidRPr="00481681">
              <w:rPr>
                <w:rStyle w:val="Hyperlink"/>
                <w:noProof/>
              </w:rPr>
              <w:t>Enforcement of the Poisons Standard</w:t>
            </w:r>
            <w:r w:rsidR="006D38B8">
              <w:rPr>
                <w:noProof/>
                <w:webHidden/>
              </w:rPr>
              <w:tab/>
            </w:r>
            <w:r w:rsidR="006D38B8">
              <w:rPr>
                <w:noProof/>
                <w:webHidden/>
              </w:rPr>
              <w:fldChar w:fldCharType="begin"/>
            </w:r>
            <w:r w:rsidR="006D38B8">
              <w:rPr>
                <w:noProof/>
                <w:webHidden/>
              </w:rPr>
              <w:instrText xml:space="preserve"> PAGEREF _Toc59528487 \h </w:instrText>
            </w:r>
            <w:r w:rsidR="006D38B8">
              <w:rPr>
                <w:noProof/>
                <w:webHidden/>
              </w:rPr>
            </w:r>
            <w:r w:rsidR="006D38B8">
              <w:rPr>
                <w:noProof/>
                <w:webHidden/>
              </w:rPr>
              <w:fldChar w:fldCharType="separate"/>
            </w:r>
            <w:r w:rsidR="006D38B8">
              <w:rPr>
                <w:noProof/>
                <w:webHidden/>
              </w:rPr>
              <w:t>5</w:t>
            </w:r>
            <w:r w:rsidR="006D38B8">
              <w:rPr>
                <w:noProof/>
                <w:webHidden/>
              </w:rPr>
              <w:fldChar w:fldCharType="end"/>
            </w:r>
          </w:hyperlink>
        </w:p>
        <w:p w14:paraId="51FAAE68" w14:textId="38FD47BA" w:rsidR="006D38B8" w:rsidRDefault="00FC55B6">
          <w:pPr>
            <w:pStyle w:val="TOC2"/>
            <w:rPr>
              <w:rFonts w:asciiTheme="minorHAnsi" w:eastAsiaTheme="minorEastAsia" w:hAnsiTheme="minorHAnsi" w:cstheme="minorBidi"/>
              <w:b w:val="0"/>
              <w:noProof/>
              <w:sz w:val="22"/>
              <w:szCs w:val="22"/>
              <w:lang w:eastAsia="en-AU"/>
            </w:rPr>
          </w:pPr>
          <w:hyperlink w:anchor="_Toc59528488" w:history="1">
            <w:r w:rsidR="006D38B8" w:rsidRPr="00481681">
              <w:rPr>
                <w:rStyle w:val="Hyperlink"/>
                <w:noProof/>
              </w:rPr>
              <w:t>Where to find the Poisons Standard</w:t>
            </w:r>
            <w:r w:rsidR="006D38B8">
              <w:rPr>
                <w:noProof/>
                <w:webHidden/>
              </w:rPr>
              <w:tab/>
            </w:r>
            <w:r w:rsidR="006D38B8">
              <w:rPr>
                <w:noProof/>
                <w:webHidden/>
              </w:rPr>
              <w:fldChar w:fldCharType="begin"/>
            </w:r>
            <w:r w:rsidR="006D38B8">
              <w:rPr>
                <w:noProof/>
                <w:webHidden/>
              </w:rPr>
              <w:instrText xml:space="preserve"> PAGEREF _Toc59528488 \h </w:instrText>
            </w:r>
            <w:r w:rsidR="006D38B8">
              <w:rPr>
                <w:noProof/>
                <w:webHidden/>
              </w:rPr>
            </w:r>
            <w:r w:rsidR="006D38B8">
              <w:rPr>
                <w:noProof/>
                <w:webHidden/>
              </w:rPr>
              <w:fldChar w:fldCharType="separate"/>
            </w:r>
            <w:r w:rsidR="006D38B8">
              <w:rPr>
                <w:noProof/>
                <w:webHidden/>
              </w:rPr>
              <w:t>5</w:t>
            </w:r>
            <w:r w:rsidR="006D38B8">
              <w:rPr>
                <w:noProof/>
                <w:webHidden/>
              </w:rPr>
              <w:fldChar w:fldCharType="end"/>
            </w:r>
          </w:hyperlink>
        </w:p>
        <w:p w14:paraId="1901AE8A" w14:textId="396C0467" w:rsidR="006D38B8" w:rsidRDefault="00FC55B6">
          <w:pPr>
            <w:pStyle w:val="TOC1"/>
            <w:rPr>
              <w:rFonts w:asciiTheme="minorHAnsi" w:eastAsiaTheme="minorEastAsia" w:hAnsiTheme="minorHAnsi" w:cstheme="minorBidi"/>
              <w:b w:val="0"/>
              <w:noProof/>
              <w:sz w:val="22"/>
              <w:szCs w:val="22"/>
              <w:lang w:eastAsia="en-AU"/>
            </w:rPr>
          </w:pPr>
          <w:hyperlink w:anchor="_Toc59528489" w:history="1">
            <w:r w:rsidR="006D38B8" w:rsidRPr="00481681">
              <w:rPr>
                <w:rStyle w:val="Hyperlink"/>
                <w:noProof/>
              </w:rPr>
              <w:t>Interpretation of the Schedules and Appendices</w:t>
            </w:r>
            <w:r w:rsidR="006D38B8">
              <w:rPr>
                <w:noProof/>
                <w:webHidden/>
              </w:rPr>
              <w:tab/>
            </w:r>
            <w:r w:rsidR="006D38B8">
              <w:rPr>
                <w:noProof/>
                <w:webHidden/>
              </w:rPr>
              <w:fldChar w:fldCharType="begin"/>
            </w:r>
            <w:r w:rsidR="006D38B8">
              <w:rPr>
                <w:noProof/>
                <w:webHidden/>
              </w:rPr>
              <w:instrText xml:space="preserve"> PAGEREF _Toc59528489 \h </w:instrText>
            </w:r>
            <w:r w:rsidR="006D38B8">
              <w:rPr>
                <w:noProof/>
                <w:webHidden/>
              </w:rPr>
            </w:r>
            <w:r w:rsidR="006D38B8">
              <w:rPr>
                <w:noProof/>
                <w:webHidden/>
              </w:rPr>
              <w:fldChar w:fldCharType="separate"/>
            </w:r>
            <w:r w:rsidR="006D38B8">
              <w:rPr>
                <w:noProof/>
                <w:webHidden/>
              </w:rPr>
              <w:t>6</w:t>
            </w:r>
            <w:r w:rsidR="006D38B8">
              <w:rPr>
                <w:noProof/>
                <w:webHidden/>
              </w:rPr>
              <w:fldChar w:fldCharType="end"/>
            </w:r>
          </w:hyperlink>
        </w:p>
        <w:p w14:paraId="7091A70B" w14:textId="78BF9598" w:rsidR="006D38B8" w:rsidRDefault="00FC55B6">
          <w:pPr>
            <w:pStyle w:val="TOC2"/>
            <w:rPr>
              <w:rFonts w:asciiTheme="minorHAnsi" w:eastAsiaTheme="minorEastAsia" w:hAnsiTheme="minorHAnsi" w:cstheme="minorBidi"/>
              <w:b w:val="0"/>
              <w:noProof/>
              <w:sz w:val="22"/>
              <w:szCs w:val="22"/>
              <w:lang w:eastAsia="en-AU"/>
            </w:rPr>
          </w:pPr>
          <w:hyperlink w:anchor="_Toc59528490" w:history="1">
            <w:r w:rsidR="006D38B8" w:rsidRPr="00481681">
              <w:rPr>
                <w:rStyle w:val="Hyperlink"/>
                <w:noProof/>
              </w:rPr>
              <w:t>Description of each Schedule</w:t>
            </w:r>
            <w:r w:rsidR="006D38B8">
              <w:rPr>
                <w:noProof/>
                <w:webHidden/>
              </w:rPr>
              <w:tab/>
            </w:r>
            <w:r w:rsidR="006D38B8">
              <w:rPr>
                <w:noProof/>
                <w:webHidden/>
              </w:rPr>
              <w:fldChar w:fldCharType="begin"/>
            </w:r>
            <w:r w:rsidR="006D38B8">
              <w:rPr>
                <w:noProof/>
                <w:webHidden/>
              </w:rPr>
              <w:instrText xml:space="preserve"> PAGEREF _Toc59528490 \h </w:instrText>
            </w:r>
            <w:r w:rsidR="006D38B8">
              <w:rPr>
                <w:noProof/>
                <w:webHidden/>
              </w:rPr>
            </w:r>
            <w:r w:rsidR="006D38B8">
              <w:rPr>
                <w:noProof/>
                <w:webHidden/>
              </w:rPr>
              <w:fldChar w:fldCharType="separate"/>
            </w:r>
            <w:r w:rsidR="006D38B8">
              <w:rPr>
                <w:noProof/>
                <w:webHidden/>
              </w:rPr>
              <w:t>6</w:t>
            </w:r>
            <w:r w:rsidR="006D38B8">
              <w:rPr>
                <w:noProof/>
                <w:webHidden/>
              </w:rPr>
              <w:fldChar w:fldCharType="end"/>
            </w:r>
          </w:hyperlink>
        </w:p>
        <w:p w14:paraId="1EC232B4" w14:textId="2E056C29" w:rsidR="006D38B8" w:rsidRDefault="00FC55B6">
          <w:pPr>
            <w:pStyle w:val="TOC2"/>
            <w:rPr>
              <w:rFonts w:asciiTheme="minorHAnsi" w:eastAsiaTheme="minorEastAsia" w:hAnsiTheme="minorHAnsi" w:cstheme="minorBidi"/>
              <w:b w:val="0"/>
              <w:noProof/>
              <w:sz w:val="22"/>
              <w:szCs w:val="22"/>
              <w:lang w:eastAsia="en-AU"/>
            </w:rPr>
          </w:pPr>
          <w:hyperlink w:anchor="_Toc59528491" w:history="1">
            <w:r w:rsidR="006D38B8" w:rsidRPr="00481681">
              <w:rPr>
                <w:rStyle w:val="Hyperlink"/>
                <w:noProof/>
              </w:rPr>
              <w:t>Further restrictions and exemptions</w:t>
            </w:r>
            <w:r w:rsidR="006D38B8">
              <w:rPr>
                <w:noProof/>
                <w:webHidden/>
              </w:rPr>
              <w:tab/>
            </w:r>
            <w:r w:rsidR="006D38B8">
              <w:rPr>
                <w:noProof/>
                <w:webHidden/>
              </w:rPr>
              <w:fldChar w:fldCharType="begin"/>
            </w:r>
            <w:r w:rsidR="006D38B8">
              <w:rPr>
                <w:noProof/>
                <w:webHidden/>
              </w:rPr>
              <w:instrText xml:space="preserve"> PAGEREF _Toc59528491 \h </w:instrText>
            </w:r>
            <w:r w:rsidR="006D38B8">
              <w:rPr>
                <w:noProof/>
                <w:webHidden/>
              </w:rPr>
            </w:r>
            <w:r w:rsidR="006D38B8">
              <w:rPr>
                <w:noProof/>
                <w:webHidden/>
              </w:rPr>
              <w:fldChar w:fldCharType="separate"/>
            </w:r>
            <w:r w:rsidR="006D38B8">
              <w:rPr>
                <w:noProof/>
                <w:webHidden/>
              </w:rPr>
              <w:t>8</w:t>
            </w:r>
            <w:r w:rsidR="006D38B8">
              <w:rPr>
                <w:noProof/>
                <w:webHidden/>
              </w:rPr>
              <w:fldChar w:fldCharType="end"/>
            </w:r>
          </w:hyperlink>
        </w:p>
        <w:p w14:paraId="1B1FF7D6" w14:textId="763D5872" w:rsidR="006D38B8" w:rsidRDefault="00FC55B6">
          <w:pPr>
            <w:pStyle w:val="TOC1"/>
            <w:rPr>
              <w:rFonts w:asciiTheme="minorHAnsi" w:eastAsiaTheme="minorEastAsia" w:hAnsiTheme="minorHAnsi" w:cstheme="minorBidi"/>
              <w:b w:val="0"/>
              <w:noProof/>
              <w:sz w:val="22"/>
              <w:szCs w:val="22"/>
              <w:lang w:eastAsia="en-AU"/>
            </w:rPr>
          </w:pPr>
          <w:hyperlink w:anchor="_Toc59528492" w:history="1">
            <w:r w:rsidR="006D38B8" w:rsidRPr="00481681">
              <w:rPr>
                <w:rStyle w:val="Hyperlink"/>
                <w:noProof/>
              </w:rPr>
              <w:t>Substances not found in the Poisons standard</w:t>
            </w:r>
            <w:r w:rsidR="006D38B8">
              <w:rPr>
                <w:noProof/>
                <w:webHidden/>
              </w:rPr>
              <w:tab/>
            </w:r>
            <w:r w:rsidR="006D38B8">
              <w:rPr>
                <w:noProof/>
                <w:webHidden/>
              </w:rPr>
              <w:fldChar w:fldCharType="begin"/>
            </w:r>
            <w:r w:rsidR="006D38B8">
              <w:rPr>
                <w:noProof/>
                <w:webHidden/>
              </w:rPr>
              <w:instrText xml:space="preserve"> PAGEREF _Toc59528492 \h </w:instrText>
            </w:r>
            <w:r w:rsidR="006D38B8">
              <w:rPr>
                <w:noProof/>
                <w:webHidden/>
              </w:rPr>
            </w:r>
            <w:r w:rsidR="006D38B8">
              <w:rPr>
                <w:noProof/>
                <w:webHidden/>
              </w:rPr>
              <w:fldChar w:fldCharType="separate"/>
            </w:r>
            <w:r w:rsidR="006D38B8">
              <w:rPr>
                <w:noProof/>
                <w:webHidden/>
              </w:rPr>
              <w:t>9</w:t>
            </w:r>
            <w:r w:rsidR="006D38B8">
              <w:rPr>
                <w:noProof/>
                <w:webHidden/>
              </w:rPr>
              <w:fldChar w:fldCharType="end"/>
            </w:r>
          </w:hyperlink>
        </w:p>
        <w:p w14:paraId="34739B6B" w14:textId="321631CF" w:rsidR="006D38B8" w:rsidRDefault="00FC55B6">
          <w:pPr>
            <w:pStyle w:val="TOC2"/>
            <w:rPr>
              <w:rFonts w:asciiTheme="minorHAnsi" w:eastAsiaTheme="minorEastAsia" w:hAnsiTheme="minorHAnsi" w:cstheme="minorBidi"/>
              <w:b w:val="0"/>
              <w:noProof/>
              <w:sz w:val="22"/>
              <w:szCs w:val="22"/>
              <w:lang w:eastAsia="en-AU"/>
            </w:rPr>
          </w:pPr>
          <w:hyperlink w:anchor="_Toc59528493" w:history="1">
            <w:r w:rsidR="006D38B8" w:rsidRPr="00481681">
              <w:rPr>
                <w:rStyle w:val="Hyperlink"/>
                <w:noProof/>
              </w:rPr>
              <w:t>Substance name is different</w:t>
            </w:r>
            <w:r w:rsidR="006D38B8">
              <w:rPr>
                <w:noProof/>
                <w:webHidden/>
              </w:rPr>
              <w:tab/>
            </w:r>
            <w:r w:rsidR="006D38B8">
              <w:rPr>
                <w:noProof/>
                <w:webHidden/>
              </w:rPr>
              <w:fldChar w:fldCharType="begin"/>
            </w:r>
            <w:r w:rsidR="006D38B8">
              <w:rPr>
                <w:noProof/>
                <w:webHidden/>
              </w:rPr>
              <w:instrText xml:space="preserve"> PAGEREF _Toc59528493 \h </w:instrText>
            </w:r>
            <w:r w:rsidR="006D38B8">
              <w:rPr>
                <w:noProof/>
                <w:webHidden/>
              </w:rPr>
            </w:r>
            <w:r w:rsidR="006D38B8">
              <w:rPr>
                <w:noProof/>
                <w:webHidden/>
              </w:rPr>
              <w:fldChar w:fldCharType="separate"/>
            </w:r>
            <w:r w:rsidR="006D38B8">
              <w:rPr>
                <w:noProof/>
                <w:webHidden/>
              </w:rPr>
              <w:t>9</w:t>
            </w:r>
            <w:r w:rsidR="006D38B8">
              <w:rPr>
                <w:noProof/>
                <w:webHidden/>
              </w:rPr>
              <w:fldChar w:fldCharType="end"/>
            </w:r>
          </w:hyperlink>
        </w:p>
        <w:p w14:paraId="521E2712" w14:textId="3E0B9756" w:rsidR="006D38B8" w:rsidRDefault="00FC55B6">
          <w:pPr>
            <w:pStyle w:val="TOC3"/>
            <w:rPr>
              <w:rFonts w:asciiTheme="minorHAnsi" w:eastAsiaTheme="minorEastAsia" w:hAnsiTheme="minorHAnsi" w:cstheme="minorBidi"/>
              <w:b w:val="0"/>
              <w:noProof/>
              <w:szCs w:val="22"/>
              <w:lang w:eastAsia="en-AU"/>
            </w:rPr>
          </w:pPr>
          <w:hyperlink w:anchor="_Toc59528494" w:history="1">
            <w:r w:rsidR="006D38B8" w:rsidRPr="00481681">
              <w:rPr>
                <w:rStyle w:val="Hyperlink"/>
                <w:noProof/>
              </w:rPr>
              <w:t>Group entry</w:t>
            </w:r>
            <w:r w:rsidR="006D38B8">
              <w:rPr>
                <w:noProof/>
                <w:webHidden/>
              </w:rPr>
              <w:tab/>
            </w:r>
            <w:r w:rsidR="006D38B8">
              <w:rPr>
                <w:noProof/>
                <w:webHidden/>
              </w:rPr>
              <w:fldChar w:fldCharType="begin"/>
            </w:r>
            <w:r w:rsidR="006D38B8">
              <w:rPr>
                <w:noProof/>
                <w:webHidden/>
              </w:rPr>
              <w:instrText xml:space="preserve"> PAGEREF _Toc59528494 \h </w:instrText>
            </w:r>
            <w:r w:rsidR="006D38B8">
              <w:rPr>
                <w:noProof/>
                <w:webHidden/>
              </w:rPr>
            </w:r>
            <w:r w:rsidR="006D38B8">
              <w:rPr>
                <w:noProof/>
                <w:webHidden/>
              </w:rPr>
              <w:fldChar w:fldCharType="separate"/>
            </w:r>
            <w:r w:rsidR="006D38B8">
              <w:rPr>
                <w:noProof/>
                <w:webHidden/>
              </w:rPr>
              <w:t>9</w:t>
            </w:r>
            <w:r w:rsidR="006D38B8">
              <w:rPr>
                <w:noProof/>
                <w:webHidden/>
              </w:rPr>
              <w:fldChar w:fldCharType="end"/>
            </w:r>
          </w:hyperlink>
        </w:p>
        <w:p w14:paraId="69CDB727" w14:textId="337995E6" w:rsidR="006D38B8" w:rsidRDefault="00FC55B6">
          <w:pPr>
            <w:pStyle w:val="TOC2"/>
            <w:rPr>
              <w:rFonts w:asciiTheme="minorHAnsi" w:eastAsiaTheme="minorEastAsia" w:hAnsiTheme="minorHAnsi" w:cstheme="minorBidi"/>
              <w:b w:val="0"/>
              <w:noProof/>
              <w:sz w:val="22"/>
              <w:szCs w:val="22"/>
              <w:lang w:eastAsia="en-AU"/>
            </w:rPr>
          </w:pPr>
          <w:hyperlink w:anchor="_Toc59528495" w:history="1">
            <w:r w:rsidR="006D38B8" w:rsidRPr="00481681">
              <w:rPr>
                <w:rStyle w:val="Hyperlink"/>
                <w:noProof/>
              </w:rPr>
              <w:t>Substances not yet scheduled</w:t>
            </w:r>
            <w:r w:rsidR="006D38B8">
              <w:rPr>
                <w:noProof/>
                <w:webHidden/>
              </w:rPr>
              <w:tab/>
            </w:r>
            <w:r w:rsidR="006D38B8">
              <w:rPr>
                <w:noProof/>
                <w:webHidden/>
              </w:rPr>
              <w:fldChar w:fldCharType="begin"/>
            </w:r>
            <w:r w:rsidR="006D38B8">
              <w:rPr>
                <w:noProof/>
                <w:webHidden/>
              </w:rPr>
              <w:instrText xml:space="preserve"> PAGEREF _Toc59528495 \h </w:instrText>
            </w:r>
            <w:r w:rsidR="006D38B8">
              <w:rPr>
                <w:noProof/>
                <w:webHidden/>
              </w:rPr>
            </w:r>
            <w:r w:rsidR="006D38B8">
              <w:rPr>
                <w:noProof/>
                <w:webHidden/>
              </w:rPr>
              <w:fldChar w:fldCharType="separate"/>
            </w:r>
            <w:r w:rsidR="006D38B8">
              <w:rPr>
                <w:noProof/>
                <w:webHidden/>
              </w:rPr>
              <w:t>10</w:t>
            </w:r>
            <w:r w:rsidR="006D38B8">
              <w:rPr>
                <w:noProof/>
                <w:webHidden/>
              </w:rPr>
              <w:fldChar w:fldCharType="end"/>
            </w:r>
          </w:hyperlink>
        </w:p>
        <w:p w14:paraId="13F8364D" w14:textId="56B8A1AB" w:rsidR="006D38B8" w:rsidRDefault="00FC55B6">
          <w:pPr>
            <w:pStyle w:val="TOC2"/>
            <w:rPr>
              <w:rFonts w:asciiTheme="minorHAnsi" w:eastAsiaTheme="minorEastAsia" w:hAnsiTheme="minorHAnsi" w:cstheme="minorBidi"/>
              <w:b w:val="0"/>
              <w:noProof/>
              <w:sz w:val="22"/>
              <w:szCs w:val="22"/>
              <w:lang w:eastAsia="en-AU"/>
            </w:rPr>
          </w:pPr>
          <w:hyperlink w:anchor="_Toc59528496" w:history="1">
            <w:r w:rsidR="006D38B8" w:rsidRPr="00481681">
              <w:rPr>
                <w:rStyle w:val="Hyperlink"/>
                <w:noProof/>
              </w:rPr>
              <w:t>Substances that don’t require scheduling</w:t>
            </w:r>
            <w:r w:rsidR="006D38B8">
              <w:rPr>
                <w:noProof/>
                <w:webHidden/>
              </w:rPr>
              <w:tab/>
            </w:r>
            <w:r w:rsidR="006D38B8">
              <w:rPr>
                <w:noProof/>
                <w:webHidden/>
              </w:rPr>
              <w:fldChar w:fldCharType="begin"/>
            </w:r>
            <w:r w:rsidR="006D38B8">
              <w:rPr>
                <w:noProof/>
                <w:webHidden/>
              </w:rPr>
              <w:instrText xml:space="preserve"> PAGEREF _Toc59528496 \h </w:instrText>
            </w:r>
            <w:r w:rsidR="006D38B8">
              <w:rPr>
                <w:noProof/>
                <w:webHidden/>
              </w:rPr>
            </w:r>
            <w:r w:rsidR="006D38B8">
              <w:rPr>
                <w:noProof/>
                <w:webHidden/>
              </w:rPr>
              <w:fldChar w:fldCharType="separate"/>
            </w:r>
            <w:r w:rsidR="006D38B8">
              <w:rPr>
                <w:noProof/>
                <w:webHidden/>
              </w:rPr>
              <w:t>10</w:t>
            </w:r>
            <w:r w:rsidR="006D38B8">
              <w:rPr>
                <w:noProof/>
                <w:webHidden/>
              </w:rPr>
              <w:fldChar w:fldCharType="end"/>
            </w:r>
          </w:hyperlink>
        </w:p>
        <w:p w14:paraId="3447E75D" w14:textId="34C3D838" w:rsidR="006D38B8" w:rsidRDefault="00FC55B6">
          <w:pPr>
            <w:pStyle w:val="TOC3"/>
            <w:rPr>
              <w:rFonts w:asciiTheme="minorHAnsi" w:eastAsiaTheme="minorEastAsia" w:hAnsiTheme="minorHAnsi" w:cstheme="minorBidi"/>
              <w:b w:val="0"/>
              <w:noProof/>
              <w:szCs w:val="22"/>
              <w:lang w:eastAsia="en-AU"/>
            </w:rPr>
          </w:pPr>
          <w:hyperlink w:anchor="_Toc59528497" w:history="1">
            <w:r w:rsidR="006D38B8" w:rsidRPr="00481681">
              <w:rPr>
                <w:rStyle w:val="Hyperlink"/>
                <w:noProof/>
              </w:rPr>
              <w:t>Appendix B substances</w:t>
            </w:r>
            <w:r w:rsidR="006D38B8">
              <w:rPr>
                <w:noProof/>
                <w:webHidden/>
              </w:rPr>
              <w:tab/>
            </w:r>
            <w:r w:rsidR="006D38B8">
              <w:rPr>
                <w:noProof/>
                <w:webHidden/>
              </w:rPr>
              <w:fldChar w:fldCharType="begin"/>
            </w:r>
            <w:r w:rsidR="006D38B8">
              <w:rPr>
                <w:noProof/>
                <w:webHidden/>
              </w:rPr>
              <w:instrText xml:space="preserve"> PAGEREF _Toc59528497 \h </w:instrText>
            </w:r>
            <w:r w:rsidR="006D38B8">
              <w:rPr>
                <w:noProof/>
                <w:webHidden/>
              </w:rPr>
            </w:r>
            <w:r w:rsidR="006D38B8">
              <w:rPr>
                <w:noProof/>
                <w:webHidden/>
              </w:rPr>
              <w:fldChar w:fldCharType="separate"/>
            </w:r>
            <w:r w:rsidR="006D38B8">
              <w:rPr>
                <w:noProof/>
                <w:webHidden/>
              </w:rPr>
              <w:t>10</w:t>
            </w:r>
            <w:r w:rsidR="006D38B8">
              <w:rPr>
                <w:noProof/>
                <w:webHidden/>
              </w:rPr>
              <w:fldChar w:fldCharType="end"/>
            </w:r>
          </w:hyperlink>
        </w:p>
        <w:p w14:paraId="4583A7E3" w14:textId="4378AF0D" w:rsidR="006D38B8" w:rsidRDefault="00FC55B6">
          <w:pPr>
            <w:pStyle w:val="TOC3"/>
            <w:rPr>
              <w:rFonts w:asciiTheme="minorHAnsi" w:eastAsiaTheme="minorEastAsia" w:hAnsiTheme="minorHAnsi" w:cstheme="minorBidi"/>
              <w:b w:val="0"/>
              <w:noProof/>
              <w:szCs w:val="22"/>
              <w:lang w:eastAsia="en-AU"/>
            </w:rPr>
          </w:pPr>
          <w:hyperlink w:anchor="_Toc59528498" w:history="1">
            <w:r w:rsidR="006D38B8" w:rsidRPr="00481681">
              <w:rPr>
                <w:rStyle w:val="Hyperlink"/>
                <w:noProof/>
              </w:rPr>
              <w:t>Substances in lower amounts</w:t>
            </w:r>
            <w:r w:rsidR="006D38B8">
              <w:rPr>
                <w:noProof/>
                <w:webHidden/>
              </w:rPr>
              <w:tab/>
            </w:r>
            <w:r w:rsidR="006D38B8">
              <w:rPr>
                <w:noProof/>
                <w:webHidden/>
              </w:rPr>
              <w:fldChar w:fldCharType="begin"/>
            </w:r>
            <w:r w:rsidR="006D38B8">
              <w:rPr>
                <w:noProof/>
                <w:webHidden/>
              </w:rPr>
              <w:instrText xml:space="preserve"> PAGEREF _Toc59528498 \h </w:instrText>
            </w:r>
            <w:r w:rsidR="006D38B8">
              <w:rPr>
                <w:noProof/>
                <w:webHidden/>
              </w:rPr>
            </w:r>
            <w:r w:rsidR="006D38B8">
              <w:rPr>
                <w:noProof/>
                <w:webHidden/>
              </w:rPr>
              <w:fldChar w:fldCharType="separate"/>
            </w:r>
            <w:r w:rsidR="006D38B8">
              <w:rPr>
                <w:noProof/>
                <w:webHidden/>
              </w:rPr>
              <w:t>10</w:t>
            </w:r>
            <w:r w:rsidR="006D38B8">
              <w:rPr>
                <w:noProof/>
                <w:webHidden/>
              </w:rPr>
              <w:fldChar w:fldCharType="end"/>
            </w:r>
          </w:hyperlink>
        </w:p>
        <w:p w14:paraId="66CC85C8" w14:textId="44E752AF" w:rsidR="006D38B8" w:rsidRDefault="00FC55B6">
          <w:pPr>
            <w:pStyle w:val="TOC1"/>
            <w:rPr>
              <w:rFonts w:asciiTheme="minorHAnsi" w:eastAsiaTheme="minorEastAsia" w:hAnsiTheme="minorHAnsi" w:cstheme="minorBidi"/>
              <w:b w:val="0"/>
              <w:noProof/>
              <w:sz w:val="22"/>
              <w:szCs w:val="22"/>
              <w:lang w:eastAsia="en-AU"/>
            </w:rPr>
          </w:pPr>
          <w:hyperlink w:anchor="_Toc59528499" w:history="1">
            <w:r w:rsidR="006D38B8" w:rsidRPr="00481681">
              <w:rPr>
                <w:rStyle w:val="Hyperlink"/>
                <w:noProof/>
              </w:rPr>
              <w:t>Changes to the Poisons Standard</w:t>
            </w:r>
            <w:r w:rsidR="006D38B8">
              <w:rPr>
                <w:noProof/>
                <w:webHidden/>
              </w:rPr>
              <w:tab/>
            </w:r>
            <w:r w:rsidR="006D38B8">
              <w:rPr>
                <w:noProof/>
                <w:webHidden/>
              </w:rPr>
              <w:fldChar w:fldCharType="begin"/>
            </w:r>
            <w:r w:rsidR="006D38B8">
              <w:rPr>
                <w:noProof/>
                <w:webHidden/>
              </w:rPr>
              <w:instrText xml:space="preserve"> PAGEREF _Toc59528499 \h </w:instrText>
            </w:r>
            <w:r w:rsidR="006D38B8">
              <w:rPr>
                <w:noProof/>
                <w:webHidden/>
              </w:rPr>
            </w:r>
            <w:r w:rsidR="006D38B8">
              <w:rPr>
                <w:noProof/>
                <w:webHidden/>
              </w:rPr>
              <w:fldChar w:fldCharType="separate"/>
            </w:r>
            <w:r w:rsidR="006D38B8">
              <w:rPr>
                <w:noProof/>
                <w:webHidden/>
              </w:rPr>
              <w:t>11</w:t>
            </w:r>
            <w:r w:rsidR="006D38B8">
              <w:rPr>
                <w:noProof/>
                <w:webHidden/>
              </w:rPr>
              <w:fldChar w:fldCharType="end"/>
            </w:r>
          </w:hyperlink>
        </w:p>
        <w:p w14:paraId="4F352D16" w14:textId="548C1A34" w:rsidR="006D38B8" w:rsidRDefault="00FC55B6">
          <w:pPr>
            <w:pStyle w:val="TOC2"/>
            <w:rPr>
              <w:rFonts w:asciiTheme="minorHAnsi" w:eastAsiaTheme="minorEastAsia" w:hAnsiTheme="minorHAnsi" w:cstheme="minorBidi"/>
              <w:b w:val="0"/>
              <w:noProof/>
              <w:sz w:val="22"/>
              <w:szCs w:val="22"/>
              <w:lang w:eastAsia="en-AU"/>
            </w:rPr>
          </w:pPr>
          <w:hyperlink w:anchor="_Toc59528500" w:history="1">
            <w:r w:rsidR="006D38B8" w:rsidRPr="00481681">
              <w:rPr>
                <w:rStyle w:val="Hyperlink"/>
                <w:noProof/>
              </w:rPr>
              <w:t>Applying for changes</w:t>
            </w:r>
            <w:r w:rsidR="006D38B8">
              <w:rPr>
                <w:noProof/>
                <w:webHidden/>
              </w:rPr>
              <w:tab/>
            </w:r>
            <w:r w:rsidR="006D38B8">
              <w:rPr>
                <w:noProof/>
                <w:webHidden/>
              </w:rPr>
              <w:fldChar w:fldCharType="begin"/>
            </w:r>
            <w:r w:rsidR="006D38B8">
              <w:rPr>
                <w:noProof/>
                <w:webHidden/>
              </w:rPr>
              <w:instrText xml:space="preserve"> PAGEREF _Toc59528500 \h </w:instrText>
            </w:r>
            <w:r w:rsidR="006D38B8">
              <w:rPr>
                <w:noProof/>
                <w:webHidden/>
              </w:rPr>
            </w:r>
            <w:r w:rsidR="006D38B8">
              <w:rPr>
                <w:noProof/>
                <w:webHidden/>
              </w:rPr>
              <w:fldChar w:fldCharType="separate"/>
            </w:r>
            <w:r w:rsidR="006D38B8">
              <w:rPr>
                <w:noProof/>
                <w:webHidden/>
              </w:rPr>
              <w:t>11</w:t>
            </w:r>
            <w:r w:rsidR="006D38B8">
              <w:rPr>
                <w:noProof/>
                <w:webHidden/>
              </w:rPr>
              <w:fldChar w:fldCharType="end"/>
            </w:r>
          </w:hyperlink>
        </w:p>
        <w:p w14:paraId="460F8041" w14:textId="3C2F7335" w:rsidR="006D38B8" w:rsidRDefault="00FC55B6">
          <w:pPr>
            <w:pStyle w:val="TOC2"/>
            <w:rPr>
              <w:rFonts w:asciiTheme="minorHAnsi" w:eastAsiaTheme="minorEastAsia" w:hAnsiTheme="minorHAnsi" w:cstheme="minorBidi"/>
              <w:b w:val="0"/>
              <w:noProof/>
              <w:sz w:val="22"/>
              <w:szCs w:val="22"/>
              <w:lang w:eastAsia="en-AU"/>
            </w:rPr>
          </w:pPr>
          <w:hyperlink w:anchor="_Toc59528501" w:history="1">
            <w:r w:rsidR="006D38B8" w:rsidRPr="00481681">
              <w:rPr>
                <w:rStyle w:val="Hyperlink"/>
                <w:noProof/>
              </w:rPr>
              <w:t>Applying for a new substance</w:t>
            </w:r>
            <w:r w:rsidR="006D38B8">
              <w:rPr>
                <w:noProof/>
                <w:webHidden/>
              </w:rPr>
              <w:tab/>
            </w:r>
            <w:r w:rsidR="006D38B8">
              <w:rPr>
                <w:noProof/>
                <w:webHidden/>
              </w:rPr>
              <w:fldChar w:fldCharType="begin"/>
            </w:r>
            <w:r w:rsidR="006D38B8">
              <w:rPr>
                <w:noProof/>
                <w:webHidden/>
              </w:rPr>
              <w:instrText xml:space="preserve"> PAGEREF _Toc59528501 \h </w:instrText>
            </w:r>
            <w:r w:rsidR="006D38B8">
              <w:rPr>
                <w:noProof/>
                <w:webHidden/>
              </w:rPr>
            </w:r>
            <w:r w:rsidR="006D38B8">
              <w:rPr>
                <w:noProof/>
                <w:webHidden/>
              </w:rPr>
              <w:fldChar w:fldCharType="separate"/>
            </w:r>
            <w:r w:rsidR="006D38B8">
              <w:rPr>
                <w:noProof/>
                <w:webHidden/>
              </w:rPr>
              <w:t>11</w:t>
            </w:r>
            <w:r w:rsidR="006D38B8">
              <w:rPr>
                <w:noProof/>
                <w:webHidden/>
              </w:rPr>
              <w:fldChar w:fldCharType="end"/>
            </w:r>
          </w:hyperlink>
        </w:p>
        <w:p w14:paraId="5BB82098" w14:textId="1A8A1B31" w:rsidR="006D38B8" w:rsidRDefault="00FC55B6">
          <w:pPr>
            <w:pStyle w:val="TOC1"/>
            <w:rPr>
              <w:rFonts w:asciiTheme="minorHAnsi" w:eastAsiaTheme="minorEastAsia" w:hAnsiTheme="minorHAnsi" w:cstheme="minorBidi"/>
              <w:b w:val="0"/>
              <w:noProof/>
              <w:sz w:val="22"/>
              <w:szCs w:val="22"/>
              <w:lang w:eastAsia="en-AU"/>
            </w:rPr>
          </w:pPr>
          <w:hyperlink w:anchor="_Toc59528502" w:history="1">
            <w:r w:rsidR="006D38B8" w:rsidRPr="00481681">
              <w:rPr>
                <w:rStyle w:val="Hyperlink"/>
                <w:noProof/>
              </w:rPr>
              <w:t>Case study: Rachel wants to supply omeprazole</w:t>
            </w:r>
            <w:r w:rsidR="006D38B8">
              <w:rPr>
                <w:noProof/>
                <w:webHidden/>
              </w:rPr>
              <w:tab/>
            </w:r>
            <w:r w:rsidR="006D38B8">
              <w:rPr>
                <w:noProof/>
                <w:webHidden/>
              </w:rPr>
              <w:fldChar w:fldCharType="begin"/>
            </w:r>
            <w:r w:rsidR="006D38B8">
              <w:rPr>
                <w:noProof/>
                <w:webHidden/>
              </w:rPr>
              <w:instrText xml:space="preserve"> PAGEREF _Toc59528502 \h </w:instrText>
            </w:r>
            <w:r w:rsidR="006D38B8">
              <w:rPr>
                <w:noProof/>
                <w:webHidden/>
              </w:rPr>
            </w:r>
            <w:r w:rsidR="006D38B8">
              <w:rPr>
                <w:noProof/>
                <w:webHidden/>
              </w:rPr>
              <w:fldChar w:fldCharType="separate"/>
            </w:r>
            <w:r w:rsidR="006D38B8">
              <w:rPr>
                <w:noProof/>
                <w:webHidden/>
              </w:rPr>
              <w:t>12</w:t>
            </w:r>
            <w:r w:rsidR="006D38B8">
              <w:rPr>
                <w:noProof/>
                <w:webHidden/>
              </w:rPr>
              <w:fldChar w:fldCharType="end"/>
            </w:r>
          </w:hyperlink>
        </w:p>
        <w:p w14:paraId="2D582EAF" w14:textId="52ACFFAE" w:rsidR="00F401EF" w:rsidRPr="00215D48" w:rsidRDefault="00F859D2" w:rsidP="00F401EF">
          <w:r w:rsidRPr="00215D48">
            <w:fldChar w:fldCharType="end"/>
          </w:r>
        </w:p>
      </w:sdtContent>
    </w:sdt>
    <w:p w14:paraId="4A1F2704" w14:textId="1A171740" w:rsidR="005E3751" w:rsidRDefault="005E3751" w:rsidP="00637E74">
      <w:pPr>
        <w:pageBreakBefore/>
      </w:pPr>
      <w:bookmarkStart w:id="0" w:name="_Toc323739589"/>
      <w:bookmarkStart w:id="1" w:name="_Toc356305216"/>
      <w:bookmarkStart w:id="2" w:name="_GoBack"/>
      <w:r>
        <w:lastRenderedPageBreak/>
        <w:t>Any substance (ingredient) can be a ‘poison’ and cause harm if used incorrectly or taken at the wrong dose. This guidance helps sponsors and manufacturers of therapeutic goods to understand and use the Poisons Standard to determine if any restrictions appl</w:t>
      </w:r>
      <w:r w:rsidR="00FC55B6">
        <w:t>y to their product.</w:t>
      </w:r>
    </w:p>
    <w:p w14:paraId="39F70AE9" w14:textId="6F91A3CE" w:rsidR="00912969" w:rsidRPr="00912969" w:rsidRDefault="005E3751" w:rsidP="0058187F">
      <w:pPr>
        <w:spacing w:after="0" w:line="240" w:lineRule="auto"/>
        <w:rPr>
          <w:rFonts w:ascii="Calibri" w:hAnsi="Calibri" w:cs="Calibri"/>
          <w:color w:val="000000"/>
          <w:sz w:val="24"/>
          <w:lang w:eastAsia="en-AU"/>
        </w:rPr>
      </w:pPr>
      <w:r w:rsidRPr="00F728D2">
        <w:t xml:space="preserve">The Poisons Standard has been developed to ensure the safe handling of substances in Australia. It provides a uniform approach to control the availability and accessibility of substances that can be used as ingredients in medicines as well as cosmetics, agricultural </w:t>
      </w:r>
      <w:r w:rsidR="00774D5E">
        <w:t xml:space="preserve">products </w:t>
      </w:r>
      <w:r w:rsidRPr="00F728D2">
        <w:t>or household cleaners.</w:t>
      </w:r>
      <w:r w:rsidR="00912969">
        <w:t xml:space="preserve"> </w:t>
      </w:r>
      <w:r w:rsidR="00912969" w:rsidRPr="0058187F">
        <w:t>The Poisons Standard is given legal effect through State and Territory legislation.</w:t>
      </w:r>
    </w:p>
    <w:p w14:paraId="2828B0CD" w14:textId="6231251E" w:rsidR="005E3751" w:rsidRDefault="005E3751" w:rsidP="002C2B67">
      <w:r w:rsidRPr="0058187F">
        <w:t>The Poisons Standard also includes provisions about containers and labels with a view to promoting uniform labelling and packaging requirements throughout Australia.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E3751" w:rsidRPr="00215D48" w14:paraId="05154D27" w14:textId="77777777" w:rsidTr="002C2B67">
        <w:tc>
          <w:tcPr>
            <w:tcW w:w="1276" w:type="dxa"/>
            <w:vAlign w:val="center"/>
          </w:tcPr>
          <w:bookmarkEnd w:id="2"/>
          <w:p w14:paraId="3C1374FA" w14:textId="77777777" w:rsidR="005E3751" w:rsidRPr="00215D48" w:rsidRDefault="005E3751" w:rsidP="002C2B67">
            <w:r w:rsidRPr="00215D48">
              <w:rPr>
                <w:noProof/>
                <w:lang w:eastAsia="en-AU"/>
              </w:rPr>
              <w:drawing>
                <wp:inline distT="0" distB="0" distL="0" distR="0" wp14:anchorId="70FC89F5" wp14:editId="23455F23">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17B5FC1" w14:textId="59D6BE77" w:rsidR="005E3751" w:rsidRPr="00215D48" w:rsidRDefault="005E3751" w:rsidP="002C2B67">
            <w:r w:rsidRPr="005E3751">
              <w:t xml:space="preserve">The Poisons Standard is also known as the </w:t>
            </w:r>
            <w:hyperlink r:id="rId14" w:history="1">
              <w:r w:rsidRPr="00637E74">
                <w:rPr>
                  <w:rStyle w:val="Hyperlink"/>
                  <w:i/>
                </w:rPr>
                <w:t>Standard for the Uniform Scheduling of Medicines and Poisons</w:t>
              </w:r>
              <w:r w:rsidRPr="00637E74">
                <w:rPr>
                  <w:rStyle w:val="Hyperlink"/>
                </w:rPr>
                <w:t xml:space="preserve"> (SUSMP)</w:t>
              </w:r>
            </w:hyperlink>
            <w:r w:rsidRPr="005E3751">
              <w:t xml:space="preserve">. It is a legislative instrument made under the </w:t>
            </w:r>
            <w:r w:rsidRPr="005E3751">
              <w:rPr>
                <w:i/>
              </w:rPr>
              <w:t>Therapeutic Goods Act 1989</w:t>
            </w:r>
            <w:r w:rsidRPr="005E3751">
              <w:t xml:space="preserve"> (paragraph </w:t>
            </w:r>
            <w:proofErr w:type="gramStart"/>
            <w:r w:rsidRPr="005E3751">
              <w:t>52D(</w:t>
            </w:r>
            <w:proofErr w:type="gramEnd"/>
            <w:r w:rsidRPr="005E3751">
              <w:t>2)(b)).</w:t>
            </w:r>
          </w:p>
        </w:tc>
      </w:tr>
    </w:tbl>
    <w:p w14:paraId="1D3D8313" w14:textId="77777777" w:rsidR="002452EF" w:rsidRPr="002C2B67" w:rsidRDefault="002452EF" w:rsidP="006D38B8">
      <w:pPr>
        <w:pStyle w:val="Heading2"/>
        <w:pageBreakBefore w:val="0"/>
        <w:spacing w:before="480"/>
      </w:pPr>
      <w:bookmarkStart w:id="3" w:name="_Toc535939927"/>
      <w:bookmarkStart w:id="4" w:name="_Toc59528484"/>
      <w:r w:rsidRPr="002C2B67">
        <w:t>About the Poisons Standard</w:t>
      </w:r>
      <w:bookmarkEnd w:id="3"/>
      <w:bookmarkEnd w:id="4"/>
    </w:p>
    <w:p w14:paraId="5BDA2254" w14:textId="2F93417A" w:rsidR="002452EF" w:rsidRPr="002C2B67" w:rsidRDefault="00B012DD" w:rsidP="002C2B67">
      <w:pPr>
        <w:pStyle w:val="Heading3"/>
      </w:pPr>
      <w:bookmarkStart w:id="5" w:name="_Toc535939928"/>
      <w:bookmarkStart w:id="6" w:name="_Toc59528485"/>
      <w:r>
        <w:t>When</w:t>
      </w:r>
      <w:r w:rsidR="008A29EE">
        <w:t xml:space="preserve"> the </w:t>
      </w:r>
      <w:r w:rsidR="002452EF" w:rsidRPr="002C2B67">
        <w:t xml:space="preserve">Poisons Standard </w:t>
      </w:r>
      <w:r w:rsidR="008A29EE">
        <w:t>applies</w:t>
      </w:r>
      <w:bookmarkEnd w:id="5"/>
      <w:bookmarkEnd w:id="6"/>
    </w:p>
    <w:p w14:paraId="5A63D3B8" w14:textId="279D40C1" w:rsidR="002452EF" w:rsidRPr="006A5CE2" w:rsidRDefault="002452EF" w:rsidP="002C2B67">
      <w:r>
        <w:t>Y</w:t>
      </w:r>
      <w:r w:rsidRPr="006A5CE2">
        <w:t>ou need to refer</w:t>
      </w:r>
      <w:r>
        <w:t xml:space="preserve"> to</w:t>
      </w:r>
      <w:r w:rsidRPr="006A5CE2">
        <w:t xml:space="preserve"> the </w:t>
      </w:r>
      <w:hyperlink r:id="rId15" w:history="1">
        <w:r w:rsidRPr="0015201F">
          <w:rPr>
            <w:rStyle w:val="Hyperlink"/>
          </w:rPr>
          <w:t>Poisons Standard</w:t>
        </w:r>
      </w:hyperlink>
      <w:r w:rsidRPr="006A5CE2">
        <w:t xml:space="preserve"> </w:t>
      </w:r>
      <w:r>
        <w:t>i</w:t>
      </w:r>
      <w:r w:rsidRPr="006A5CE2">
        <w:t>f you are a sponsor or manufacturer of</w:t>
      </w:r>
      <w:r>
        <w:t>:</w:t>
      </w:r>
    </w:p>
    <w:p w14:paraId="42BE2691" w14:textId="77777777" w:rsidR="002452EF" w:rsidRPr="002C2B67" w:rsidRDefault="002452EF" w:rsidP="002C2B67">
      <w:pPr>
        <w:pStyle w:val="ListBullet"/>
      </w:pPr>
      <w:r w:rsidRPr="002C2B67">
        <w:t>prescription medicines</w:t>
      </w:r>
    </w:p>
    <w:p w14:paraId="13DA51A9" w14:textId="77777777" w:rsidR="002452EF" w:rsidRPr="002C2B67" w:rsidRDefault="002452EF" w:rsidP="002C2B67">
      <w:pPr>
        <w:pStyle w:val="ListBullet"/>
      </w:pPr>
      <w:r w:rsidRPr="002C2B67">
        <w:t>over-the-counter medicines</w:t>
      </w:r>
    </w:p>
    <w:p w14:paraId="397B70B9" w14:textId="77777777" w:rsidR="002452EF" w:rsidRPr="002C2B67" w:rsidRDefault="002452EF" w:rsidP="002C2B67">
      <w:pPr>
        <w:pStyle w:val="ListBullet"/>
      </w:pPr>
      <w:r w:rsidRPr="002C2B67">
        <w:t>complementary medicines</w:t>
      </w:r>
    </w:p>
    <w:p w14:paraId="4FA0491D" w14:textId="77777777" w:rsidR="002452EF" w:rsidRPr="002C2B67" w:rsidRDefault="002452EF" w:rsidP="002C2B67">
      <w:pPr>
        <w:pStyle w:val="ListBullet"/>
      </w:pPr>
      <w:r w:rsidRPr="002C2B67">
        <w:t>medical devices that contain a medicine component</w:t>
      </w:r>
    </w:p>
    <w:p w14:paraId="52648E70" w14:textId="7922F343" w:rsidR="002452EF" w:rsidRDefault="002452EF" w:rsidP="002C2B67">
      <w:r w:rsidRPr="006A5CE2">
        <w:t xml:space="preserve">You </w:t>
      </w:r>
      <w:r>
        <w:t>must</w:t>
      </w:r>
      <w:r w:rsidRPr="006A5CE2">
        <w:t xml:space="preserve"> check </w:t>
      </w:r>
      <w:r>
        <w:t>the scheduling of the substances</w:t>
      </w:r>
      <w:r w:rsidRPr="006A5CE2">
        <w:t xml:space="preserve"> </w:t>
      </w:r>
      <w:r>
        <w:t>(</w:t>
      </w:r>
      <w:r w:rsidRPr="006A5CE2">
        <w:t>ingredients</w:t>
      </w:r>
      <w:r>
        <w:t>)</w:t>
      </w:r>
      <w:r w:rsidRPr="006A5CE2">
        <w:t xml:space="preserve"> contained in your therapeutic good</w:t>
      </w:r>
      <w:r>
        <w:t xml:space="preserve"> as t</w:t>
      </w:r>
      <w:r w:rsidRPr="006A5CE2">
        <w:t xml:space="preserve">his will determine </w:t>
      </w:r>
      <w:r>
        <w:t xml:space="preserve">if and </w:t>
      </w:r>
      <w:r w:rsidRPr="006A5CE2">
        <w:t xml:space="preserve">how </w:t>
      </w:r>
      <w:proofErr w:type="gramStart"/>
      <w:r>
        <w:t>your</w:t>
      </w:r>
      <w:proofErr w:type="gramEnd"/>
      <w:r w:rsidRPr="006A5CE2">
        <w:t xml:space="preserve"> therapeutic good can be supplied. </w:t>
      </w:r>
      <w:r>
        <w:t>For example, s</w:t>
      </w:r>
      <w:r w:rsidRPr="006A5CE2">
        <w:t>cheduled</w:t>
      </w:r>
      <w:r>
        <w:t xml:space="preserve"> substances</w:t>
      </w:r>
      <w:r w:rsidRPr="006A5CE2">
        <w:t xml:space="preserve"> can only be </w:t>
      </w:r>
      <w:r w:rsidRPr="0015201F">
        <w:t xml:space="preserve">used in </w:t>
      </w:r>
      <w:hyperlink r:id="rId16" w:history="1">
        <w:r w:rsidRPr="003C50F5">
          <w:rPr>
            <w:rStyle w:val="Hyperlink"/>
          </w:rPr>
          <w:t>registered medicines</w:t>
        </w:r>
      </w:hyperlink>
      <w:r w:rsidRPr="006A5CE2">
        <w:t xml:space="preserve">; they </w:t>
      </w:r>
      <w:r w:rsidRPr="0015201F">
        <w:t xml:space="preserve">cannot be </w:t>
      </w:r>
      <w:r w:rsidR="0058187F" w:rsidRPr="0058187F">
        <w:t xml:space="preserve">used in </w:t>
      </w:r>
      <w:hyperlink r:id="rId17" w:history="1">
        <w:r w:rsidR="0058187F" w:rsidRPr="0058187F">
          <w:rPr>
            <w:rStyle w:val="Hyperlink"/>
          </w:rPr>
          <w:t>listed medicines</w:t>
        </w:r>
      </w:hyperlink>
      <w:r w:rsidR="00637E74">
        <w:t>.</w:t>
      </w:r>
    </w:p>
    <w:p w14:paraId="3A0C0CC3" w14:textId="3FA56CD1" w:rsidR="00B012DD" w:rsidRDefault="004C14C2" w:rsidP="00B012DD">
      <w:r>
        <w:t>In addition to therapeutic goods,</w:t>
      </w:r>
      <w:r w:rsidR="00DB5ABA">
        <w:t xml:space="preserve"> </w:t>
      </w:r>
      <w:r w:rsidR="00B012DD" w:rsidRPr="006A5CE2">
        <w:t xml:space="preserve">the </w:t>
      </w:r>
      <w:r w:rsidR="00B012DD" w:rsidRPr="0058187F">
        <w:t>Poisons Standard</w:t>
      </w:r>
      <w:r w:rsidR="00B012DD" w:rsidRPr="006A5CE2">
        <w:t xml:space="preserve"> </w:t>
      </w:r>
      <w:r w:rsidR="00DB5ABA">
        <w:t>also applies to</w:t>
      </w:r>
      <w:r w:rsidR="00B012DD">
        <w:t>:</w:t>
      </w:r>
    </w:p>
    <w:p w14:paraId="7B526815" w14:textId="77777777" w:rsidR="00B012DD" w:rsidRPr="002C2B67" w:rsidRDefault="00B012DD" w:rsidP="00B012DD">
      <w:pPr>
        <w:pStyle w:val="ListBullet"/>
      </w:pPr>
      <w:r>
        <w:t>cosmetics</w:t>
      </w:r>
    </w:p>
    <w:p w14:paraId="36241C6A" w14:textId="77777777" w:rsidR="00B012DD" w:rsidRDefault="00B012DD" w:rsidP="00B012DD">
      <w:pPr>
        <w:pStyle w:val="ListBullet"/>
      </w:pPr>
      <w:r>
        <w:t>agricultural and veterinary medicine products</w:t>
      </w:r>
    </w:p>
    <w:p w14:paraId="38224820" w14:textId="065641B9" w:rsidR="00B012DD" w:rsidRDefault="00B012DD" w:rsidP="00B012DD">
      <w:pPr>
        <w:pStyle w:val="ListBullet"/>
      </w:pPr>
      <w:r>
        <w:t>industrial and domestic chemicals</w:t>
      </w:r>
    </w:p>
    <w:p w14:paraId="76B94B41" w14:textId="5CA36E09" w:rsidR="002452EF" w:rsidRPr="002C2B67" w:rsidRDefault="002452EF" w:rsidP="002C2B67">
      <w:pPr>
        <w:pStyle w:val="Heading3"/>
      </w:pPr>
      <w:bookmarkStart w:id="7" w:name="_Toc535939929"/>
      <w:bookmarkStart w:id="8" w:name="_Toc59528486"/>
      <w:r w:rsidRPr="002C2B67">
        <w:t>Scheduling of substances</w:t>
      </w:r>
      <w:bookmarkEnd w:id="7"/>
      <w:bookmarkEnd w:id="8"/>
    </w:p>
    <w:p w14:paraId="3D890462" w14:textId="63F84A0E" w:rsidR="002452EF" w:rsidRDefault="002452EF" w:rsidP="002C2B67">
      <w:r w:rsidRPr="006A5CE2">
        <w:t xml:space="preserve">The Poisons Standard </w:t>
      </w:r>
      <w:proofErr w:type="gramStart"/>
      <w:r w:rsidRPr="006A5CE2">
        <w:t>groups</w:t>
      </w:r>
      <w:proofErr w:type="gramEnd"/>
      <w:r w:rsidRPr="006A5CE2">
        <w:t xml:space="preserve"> substances into</w:t>
      </w:r>
      <w:r>
        <w:t xml:space="preserve"> different categories called Schedules. The</w:t>
      </w:r>
      <w:r w:rsidRPr="003D7165">
        <w:rPr>
          <w:b/>
        </w:rPr>
        <w:t xml:space="preserve"> </w:t>
      </w:r>
      <w:r>
        <w:t>ten</w:t>
      </w:r>
      <w:r w:rsidRPr="00B21D13">
        <w:t xml:space="preserve"> different </w:t>
      </w:r>
      <w:r>
        <w:t>S</w:t>
      </w:r>
      <w:r w:rsidRPr="00713F53">
        <w:t>chedules</w:t>
      </w:r>
      <w:r w:rsidRPr="00736F9D">
        <w:t xml:space="preserve"> </w:t>
      </w:r>
      <w:r>
        <w:t xml:space="preserve">are organised </w:t>
      </w:r>
      <w:r w:rsidRPr="00736F9D">
        <w:t>according</w:t>
      </w:r>
      <w:r w:rsidRPr="006A5CE2">
        <w:t xml:space="preserve"> to factors such as toxicity, intended use, potential for abuse, safety and need. </w:t>
      </w:r>
      <w:r>
        <w:t xml:space="preserve">Products </w:t>
      </w:r>
      <w:r w:rsidR="002C2E76">
        <w:t xml:space="preserve">are captured by </w:t>
      </w:r>
      <w:r>
        <w:t>the schedule of the highest risk ingredient.</w:t>
      </w:r>
    </w:p>
    <w:p w14:paraId="4C7A0289" w14:textId="4223CD02" w:rsidR="002452EF" w:rsidRDefault="002452EF" w:rsidP="002C2B67">
      <w:r>
        <w:t xml:space="preserve">The schedule </w:t>
      </w:r>
      <w:r w:rsidR="002C2E76">
        <w:t xml:space="preserve">of </w:t>
      </w:r>
      <w:r>
        <w:t>a substance determines:</w:t>
      </w:r>
    </w:p>
    <w:p w14:paraId="7FC020ED" w14:textId="77777777" w:rsidR="002452EF" w:rsidRPr="0058187F" w:rsidRDefault="002452EF" w:rsidP="002C2B67">
      <w:pPr>
        <w:pStyle w:val="ListBullet"/>
      </w:pPr>
      <w:r w:rsidRPr="0058187F">
        <w:t>how your product may be sold or supplied</w:t>
      </w:r>
    </w:p>
    <w:p w14:paraId="08BC182A" w14:textId="77777777" w:rsidR="002452EF" w:rsidRPr="0058187F" w:rsidRDefault="002452EF" w:rsidP="002C2B67">
      <w:pPr>
        <w:pStyle w:val="ListBullet"/>
      </w:pPr>
      <w:r w:rsidRPr="0058187F">
        <w:t>what information needs to be included on your product’s label</w:t>
      </w:r>
    </w:p>
    <w:p w14:paraId="32F7C4AC" w14:textId="77777777" w:rsidR="002452EF" w:rsidRPr="0058187F" w:rsidRDefault="002452EF" w:rsidP="002C2B67">
      <w:pPr>
        <w:pStyle w:val="ListBullet"/>
      </w:pPr>
      <w:r w:rsidRPr="0058187F">
        <w:t>what sort of container your product must be stored in</w:t>
      </w:r>
    </w:p>
    <w:p w14:paraId="6640C3E9" w14:textId="77777777" w:rsidR="002452EF" w:rsidRPr="002C2B67" w:rsidRDefault="002452EF" w:rsidP="002C2B67">
      <w:pPr>
        <w:pStyle w:val="ListBullet"/>
      </w:pPr>
      <w:r w:rsidRPr="0058187F">
        <w:lastRenderedPageBreak/>
        <w:t>how your product is stored and</w:t>
      </w:r>
      <w:r w:rsidRPr="002C2B67">
        <w:t xml:space="preserve"> disposed of </w:t>
      </w:r>
    </w:p>
    <w:p w14:paraId="5DA8C225" w14:textId="77777777" w:rsidR="002452EF" w:rsidRPr="002C2B67" w:rsidRDefault="002452EF" w:rsidP="002C2B67">
      <w:pPr>
        <w:pStyle w:val="ListBullet"/>
      </w:pPr>
      <w:r w:rsidRPr="002C2B67">
        <w:t>any requirements for record-keeping</w:t>
      </w:r>
    </w:p>
    <w:p w14:paraId="2E2CF2FD" w14:textId="2B4626D4" w:rsidR="002452EF" w:rsidRPr="002C2B67" w:rsidRDefault="002452EF" w:rsidP="002C2B67">
      <w:r w:rsidRPr="002C2B67">
        <w:t>Any additional unique restrictions or exemptions are covered by the 1</w:t>
      </w:r>
      <w:r w:rsidR="001827E6">
        <w:t>3</w:t>
      </w:r>
      <w:r w:rsidRPr="002C2B67">
        <w:t xml:space="preserve"> Appendices (A-</w:t>
      </w:r>
      <w:r w:rsidR="001827E6">
        <w:t>M</w:t>
      </w:r>
      <w:r w:rsidR="00637E74">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452EF" w:rsidRPr="00215D48" w14:paraId="7D09D286" w14:textId="77777777" w:rsidTr="002C2B67">
        <w:tc>
          <w:tcPr>
            <w:tcW w:w="1276" w:type="dxa"/>
            <w:vAlign w:val="center"/>
          </w:tcPr>
          <w:p w14:paraId="0D729CD2" w14:textId="77777777" w:rsidR="002452EF" w:rsidRPr="00215D48" w:rsidRDefault="002452EF" w:rsidP="002C2B67">
            <w:r w:rsidRPr="00215D48">
              <w:rPr>
                <w:noProof/>
                <w:lang w:eastAsia="en-AU"/>
              </w:rPr>
              <w:drawing>
                <wp:inline distT="0" distB="0" distL="0" distR="0" wp14:anchorId="375F812E" wp14:editId="65EB95C7">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0F6CDA7" w14:textId="77777777" w:rsidR="002452EF" w:rsidRDefault="002452EF" w:rsidP="002C2B67">
            <w:r>
              <w:t>V</w:t>
            </w:r>
            <w:r w:rsidRPr="000D2A8A">
              <w:t>arious other Commonwealth</w:t>
            </w:r>
            <w:r>
              <w:t xml:space="preserve">, </w:t>
            </w:r>
            <w:r w:rsidRPr="000D2A8A">
              <w:t>State and Territory legislation integrate with the Poisons Standard</w:t>
            </w:r>
            <w:r>
              <w:t xml:space="preserve"> </w:t>
            </w:r>
            <w:r w:rsidRPr="000D2A8A">
              <w:t>to ensure that poisons are appropriately handled.</w:t>
            </w:r>
          </w:p>
          <w:p w14:paraId="173C3D56" w14:textId="77777777" w:rsidR="002452EF" w:rsidRPr="00215D48" w:rsidRDefault="002452EF" w:rsidP="002C2B67">
            <w:r>
              <w:t>F</w:t>
            </w:r>
            <w:r w:rsidRPr="000D2A8A">
              <w:t>or example,</w:t>
            </w:r>
            <w:r>
              <w:t xml:space="preserve"> the</w:t>
            </w:r>
            <w:r w:rsidRPr="000D2A8A">
              <w:t xml:space="preserve"> </w:t>
            </w:r>
            <w:hyperlink r:id="rId18" w:history="1">
              <w:r w:rsidRPr="00495206">
                <w:rPr>
                  <w:rStyle w:val="Hyperlink"/>
                </w:rPr>
                <w:t>Therapeutic Goods Order 80 – Child-Resistant Packaging Requirements for Medicines</w:t>
              </w:r>
            </w:hyperlink>
            <w:r w:rsidRPr="000D2A8A">
              <w:t>.</w:t>
            </w:r>
          </w:p>
        </w:tc>
      </w:tr>
    </w:tbl>
    <w:p w14:paraId="7CDE528E" w14:textId="77777777" w:rsidR="002452EF" w:rsidRPr="002C2B67" w:rsidRDefault="002452EF" w:rsidP="002C2B67">
      <w:pPr>
        <w:pStyle w:val="Heading3"/>
      </w:pPr>
      <w:bookmarkStart w:id="9" w:name="_Toc535939930"/>
      <w:bookmarkStart w:id="10" w:name="_Toc59528487"/>
      <w:r w:rsidRPr="002C2B67">
        <w:t>Enforcement of the Poisons Standard</w:t>
      </w:r>
      <w:bookmarkEnd w:id="9"/>
      <w:bookmarkEnd w:id="10"/>
    </w:p>
    <w:p w14:paraId="44D97603" w14:textId="6135AE72" w:rsidR="00B222D9" w:rsidRDefault="00912969" w:rsidP="006D38B8">
      <w:pPr>
        <w:keepNext/>
      </w:pPr>
      <w:r w:rsidRPr="00912969">
        <w:t>T</w:t>
      </w:r>
      <w:r w:rsidRPr="0058187F">
        <w:t>he implementation and enforcement of the Poisons Standard is the responsibility of each State and Territory government</w:t>
      </w:r>
      <w:r w:rsidR="00637E74">
        <w:t>.</w:t>
      </w:r>
    </w:p>
    <w:p w14:paraId="64DD2B2F" w14:textId="630926CA" w:rsidR="002452EF" w:rsidRDefault="002452EF" w:rsidP="002C2B67">
      <w:r>
        <w:t xml:space="preserve">State and Territory governments can choose </w:t>
      </w:r>
      <w:r w:rsidR="00FF1AD7">
        <w:t xml:space="preserve">to </w:t>
      </w:r>
      <w:r w:rsidR="00912969">
        <w:t>vary their own legislation to classify substances differently to the Poisons Standard</w:t>
      </w:r>
      <w:r w:rsidR="00B222D9">
        <w:t>. However,</w:t>
      </w:r>
      <w:r>
        <w:t xml:space="preserve"> they classify the majority of substances in accordance with the Poisons Standard. </w:t>
      </w:r>
    </w:p>
    <w:p w14:paraId="13CE9B72" w14:textId="5DBE5BD3" w:rsidR="002452EF" w:rsidRDefault="002452EF" w:rsidP="002C2B67">
      <w:r>
        <w:t xml:space="preserve">If you need advice on the interpretation and enforcement of the Poisons Standard, please contact your </w:t>
      </w:r>
      <w:hyperlink r:id="rId19" w:history="1">
        <w:r>
          <w:rPr>
            <w:rStyle w:val="Hyperlink"/>
          </w:rPr>
          <w:t>local</w:t>
        </w:r>
        <w:r w:rsidRPr="00AD4D90">
          <w:rPr>
            <w:rStyle w:val="Hyperlink"/>
          </w:rPr>
          <w:t xml:space="preserve"> </w:t>
        </w:r>
        <w:r>
          <w:rPr>
            <w:rStyle w:val="Hyperlink"/>
          </w:rPr>
          <w:t>State or Territory Health</w:t>
        </w:r>
        <w:r w:rsidRPr="00AD4D90">
          <w:rPr>
            <w:rStyle w:val="Hyperlink"/>
          </w:rPr>
          <w:t xml:space="preserve"> Department</w:t>
        </w:r>
      </w:hyperlink>
      <w:r w:rsidR="00637E74">
        <w:t>.</w:t>
      </w:r>
    </w:p>
    <w:p w14:paraId="782E1111" w14:textId="77777777" w:rsidR="002452EF" w:rsidRPr="002C2B67" w:rsidRDefault="002452EF" w:rsidP="002C2B67">
      <w:pPr>
        <w:pStyle w:val="Heading3"/>
      </w:pPr>
      <w:bookmarkStart w:id="11" w:name="_Toc535939931"/>
      <w:bookmarkStart w:id="12" w:name="_Toc59528488"/>
      <w:r w:rsidRPr="002C2B67">
        <w:t>Where to find the Poisons Standard</w:t>
      </w:r>
      <w:bookmarkEnd w:id="11"/>
      <w:bookmarkEnd w:id="12"/>
    </w:p>
    <w:p w14:paraId="1A51C345" w14:textId="7915B028" w:rsidR="002452EF" w:rsidRPr="006A5CE2" w:rsidRDefault="002452EF" w:rsidP="002C2B67">
      <w:r w:rsidRPr="006A5CE2">
        <w:t xml:space="preserve">The </w:t>
      </w:r>
      <w:r w:rsidRPr="00637E74">
        <w:t>Poisons Standard</w:t>
      </w:r>
      <w:r w:rsidRPr="006A5CE2">
        <w:t xml:space="preserve"> is an electronic document located on the </w:t>
      </w:r>
      <w:hyperlink r:id="rId20" w:history="1">
        <w:r w:rsidRPr="00637E74">
          <w:rPr>
            <w:rStyle w:val="Hyperlink"/>
          </w:rPr>
          <w:t>Federal Register of Legislation (FRL)</w:t>
        </w:r>
      </w:hyperlink>
      <w:r w:rsidRPr="006A5CE2">
        <w:t xml:space="preserve">, which can be accessed via the </w:t>
      </w:r>
      <w:hyperlink r:id="rId21" w:history="1">
        <w:r w:rsidRPr="006A5CE2">
          <w:rPr>
            <w:rStyle w:val="Hyperlink"/>
          </w:rPr>
          <w:t>TGA website</w:t>
        </w:r>
      </w:hyperlink>
      <w:r w:rsidRPr="006A5CE2">
        <w:t>.</w:t>
      </w:r>
    </w:p>
    <w:p w14:paraId="4DBCFEEA" w14:textId="4F825950" w:rsidR="002452EF" w:rsidRDefault="002452EF" w:rsidP="002C2B67">
      <w:r w:rsidRPr="006A5CE2">
        <w:t>The Poisons Standard is</w:t>
      </w:r>
      <w:r w:rsidRPr="00D16EED">
        <w:t xml:space="preserve"> </w:t>
      </w:r>
      <w:r w:rsidRPr="00713F53">
        <w:t>updated</w:t>
      </w:r>
      <w:r w:rsidRPr="006A5CE2">
        <w:t xml:space="preserve"> at least three times a year</w:t>
      </w:r>
      <w:r>
        <w:t>, so make sure</w:t>
      </w:r>
      <w:r w:rsidRPr="006A5CE2">
        <w:t xml:space="preserve"> the version you are looking at is labelled ‘</w:t>
      </w:r>
      <w:r w:rsidRPr="00713F53">
        <w:t>In force – Latest Version</w:t>
      </w:r>
      <w:r w:rsidRPr="00D16EED">
        <w:t>’</w:t>
      </w:r>
      <w:r w:rsidR="00637E74">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452EF" w:rsidRPr="00215D48" w14:paraId="3B7126D3" w14:textId="77777777" w:rsidTr="002C2B67">
        <w:tc>
          <w:tcPr>
            <w:tcW w:w="1276" w:type="dxa"/>
            <w:vAlign w:val="center"/>
          </w:tcPr>
          <w:p w14:paraId="668C3078" w14:textId="77777777" w:rsidR="002452EF" w:rsidRPr="00215D48" w:rsidRDefault="002452EF" w:rsidP="002C2B67">
            <w:r w:rsidRPr="00215D48">
              <w:rPr>
                <w:noProof/>
                <w:lang w:eastAsia="en-AU"/>
              </w:rPr>
              <w:drawing>
                <wp:inline distT="0" distB="0" distL="0" distR="0" wp14:anchorId="19DDEBDB" wp14:editId="71ADEDFF">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B2C6727" w14:textId="1E13509F" w:rsidR="002452EF" w:rsidRDefault="002452EF" w:rsidP="002C2B67">
            <w:r w:rsidRPr="00D03AA6">
              <w:t xml:space="preserve">Downloading the Poisons </w:t>
            </w:r>
            <w:r>
              <w:t xml:space="preserve">Standard as </w:t>
            </w:r>
            <w:r w:rsidRPr="00D16EED">
              <w:t>a PDF can</w:t>
            </w:r>
            <w:r>
              <w:t xml:space="preserve"> make it</w:t>
            </w:r>
            <w:r w:rsidR="00637E74">
              <w:t xml:space="preserve"> easier to find your substance.</w:t>
            </w:r>
          </w:p>
          <w:p w14:paraId="617E0ACC" w14:textId="77777777" w:rsidR="002452EF" w:rsidRPr="00215D48" w:rsidRDefault="002452EF" w:rsidP="002C2B67">
            <w:r w:rsidRPr="00713F53">
              <w:t>CTRL+F</w:t>
            </w:r>
            <w:r>
              <w:t xml:space="preserve"> brings up the</w:t>
            </w:r>
            <w:r w:rsidRPr="00713F53">
              <w:t xml:space="preserve"> </w:t>
            </w:r>
            <w:r>
              <w:t>‘</w:t>
            </w:r>
            <w:r w:rsidRPr="00713F53">
              <w:t>Find</w:t>
            </w:r>
            <w:r>
              <w:t>’</w:t>
            </w:r>
            <w:r w:rsidRPr="00D03AA6">
              <w:rPr>
                <w:b/>
              </w:rPr>
              <w:t xml:space="preserve"> </w:t>
            </w:r>
            <w:r>
              <w:t>function, allowing you to type in your substance.</w:t>
            </w:r>
            <w:r w:rsidRPr="00216D93">
              <w:t xml:space="preserve"> </w:t>
            </w:r>
            <w:r>
              <w:t>A</w:t>
            </w:r>
            <w:r w:rsidRPr="00216D93">
              <w:t>ny instance of that term will</w:t>
            </w:r>
            <w:r>
              <w:t xml:space="preserve"> then be highlighted in the PDF</w:t>
            </w:r>
            <w:r w:rsidRPr="00216D93">
              <w:t>.</w:t>
            </w:r>
          </w:p>
        </w:tc>
      </w:tr>
    </w:tbl>
    <w:p w14:paraId="7EEB4A02" w14:textId="77777777" w:rsidR="002452EF" w:rsidRPr="002C2B67" w:rsidRDefault="002452EF" w:rsidP="00637E74">
      <w:pPr>
        <w:pStyle w:val="Heading2"/>
      </w:pPr>
      <w:bookmarkStart w:id="13" w:name="_Toc535939932"/>
      <w:bookmarkStart w:id="14" w:name="_Toc59528489"/>
      <w:r w:rsidRPr="002C2B67">
        <w:lastRenderedPageBreak/>
        <w:t>Interpretation of the Schedules and Appendices</w:t>
      </w:r>
      <w:bookmarkEnd w:id="13"/>
      <w:bookmarkEnd w:id="14"/>
    </w:p>
    <w:p w14:paraId="23833B5E" w14:textId="5BC54FFF" w:rsidR="002452EF" w:rsidRDefault="002452EF" w:rsidP="002C2B67">
      <w:r>
        <w:t>In scheduling substances, consideration is given to a standard set of factors such as proposed indications, dose, concentration, formulation type, pack size and the toxicity of the substance. A substance may therefore be included in more than one schedule.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452EF" w:rsidRPr="00215D48" w14:paraId="6C5381CC" w14:textId="77777777" w:rsidTr="002C2B67">
        <w:tc>
          <w:tcPr>
            <w:tcW w:w="1276" w:type="dxa"/>
            <w:vAlign w:val="center"/>
          </w:tcPr>
          <w:p w14:paraId="7C895CBC" w14:textId="77777777" w:rsidR="002452EF" w:rsidRPr="00215D48" w:rsidRDefault="002452EF" w:rsidP="002C2B67">
            <w:r w:rsidRPr="00215D48">
              <w:rPr>
                <w:noProof/>
                <w:lang w:eastAsia="en-AU"/>
              </w:rPr>
              <w:drawing>
                <wp:inline distT="0" distB="0" distL="0" distR="0" wp14:anchorId="38904DBE" wp14:editId="1303407A">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CB7A576" w14:textId="77777777" w:rsidR="002452EF" w:rsidRPr="00215D48" w:rsidRDefault="002452EF" w:rsidP="002C2B67">
            <w:r w:rsidRPr="002452EF">
              <w:rPr>
                <w:bCs/>
              </w:rPr>
              <w:t>For help reading the Schedules, search (</w:t>
            </w:r>
            <w:proofErr w:type="spellStart"/>
            <w:r w:rsidRPr="002452EF">
              <w:rPr>
                <w:bCs/>
              </w:rPr>
              <w:t>Ctrl+F</w:t>
            </w:r>
            <w:proofErr w:type="spellEnd"/>
            <w:r w:rsidRPr="002452EF">
              <w:rPr>
                <w:bCs/>
              </w:rPr>
              <w:t>) ‘READING THE SCHEDULES’ in the Introduction part of the Poisons Standard.</w:t>
            </w:r>
          </w:p>
        </w:tc>
      </w:tr>
    </w:tbl>
    <w:p w14:paraId="5AA75875" w14:textId="77777777" w:rsidR="002452EF" w:rsidRPr="00041C41" w:rsidRDefault="002452EF" w:rsidP="002C2B67">
      <w:r>
        <w:t>W</w:t>
      </w:r>
      <w:r w:rsidRPr="00041C41">
        <w:t>here a substance has been included in more than one schedule, the main entry is found in the most restrictive (highest) schedule. References to its entry in other s</w:t>
      </w:r>
      <w:r>
        <w:t>chedule(s) will be outlined.</w:t>
      </w:r>
    </w:p>
    <w:p w14:paraId="60F96954" w14:textId="6E2097FE" w:rsidR="002452EF" w:rsidRPr="00041C41" w:rsidRDefault="002452EF" w:rsidP="002C2B67">
      <w:r w:rsidRPr="00A83DF2">
        <w:t>The Appendices</w:t>
      </w:r>
      <w:r>
        <w:t xml:space="preserve"> </w:t>
      </w:r>
      <w:r w:rsidR="00A83DF2">
        <w:t xml:space="preserve">found in Part 5 of the </w:t>
      </w:r>
      <w:hyperlink r:id="rId22" w:history="1">
        <w:r w:rsidR="00A83DF2" w:rsidRPr="00A83DF2">
          <w:rPr>
            <w:rStyle w:val="Hyperlink"/>
          </w:rPr>
          <w:t>Poisons Standard</w:t>
        </w:r>
      </w:hyperlink>
      <w:r w:rsidR="00A83DF2">
        <w:t xml:space="preserve"> </w:t>
      </w:r>
      <w:r>
        <w:t>contain further information on exceptions and additional restrictions that may also apply.</w:t>
      </w:r>
    </w:p>
    <w:p w14:paraId="5B4A99C6" w14:textId="77777777" w:rsidR="002452EF" w:rsidRPr="002C2B67" w:rsidRDefault="002452EF" w:rsidP="002C2B67">
      <w:pPr>
        <w:pStyle w:val="Heading3"/>
      </w:pPr>
      <w:bookmarkStart w:id="15" w:name="_Toc535939933"/>
      <w:bookmarkStart w:id="16" w:name="_Toc59528490"/>
      <w:r w:rsidRPr="002C2B67">
        <w:t>Description of each Schedule</w:t>
      </w:r>
      <w:bookmarkEnd w:id="15"/>
      <w:bookmarkEnd w:id="16"/>
    </w:p>
    <w:p w14:paraId="57FA2E19" w14:textId="3444FB62" w:rsidR="002452EF" w:rsidRPr="006A5CE2" w:rsidRDefault="002452EF" w:rsidP="002C2B67">
      <w:r w:rsidRPr="00713F53">
        <w:t>Schedule 1</w:t>
      </w:r>
      <w:r w:rsidRPr="005970D1">
        <w:t xml:space="preserve"> is</w:t>
      </w:r>
      <w:r w:rsidR="00637E74">
        <w:t xml:space="preserve"> not currently in use.</w:t>
      </w:r>
    </w:p>
    <w:p w14:paraId="33C767E0" w14:textId="77777777" w:rsidR="002452EF" w:rsidRPr="006A5CE2" w:rsidRDefault="002452EF" w:rsidP="002C2B67">
      <w:r>
        <w:t>Substances</w:t>
      </w:r>
      <w:r w:rsidRPr="006A5CE2">
        <w:t xml:space="preserve"> for therapeutic use (</w:t>
      </w:r>
      <w:r>
        <w:t>ingredients in medicines</w:t>
      </w:r>
      <w:r w:rsidRPr="006A5CE2">
        <w:t>) are mostly included in</w:t>
      </w:r>
      <w:r w:rsidRPr="006A5CE2">
        <w:rPr>
          <w:b/>
        </w:rPr>
        <w:t xml:space="preserve"> </w:t>
      </w:r>
      <w:r>
        <w:t>S</w:t>
      </w:r>
      <w:r w:rsidRPr="00713F53">
        <w:t>chedules 2</w:t>
      </w:r>
      <w:r w:rsidRPr="0025354C">
        <w:t xml:space="preserve">, </w:t>
      </w:r>
      <w:r w:rsidRPr="00713F53">
        <w:t>3</w:t>
      </w:r>
      <w:r w:rsidRPr="0025354C">
        <w:t xml:space="preserve">, </w:t>
      </w:r>
      <w:r w:rsidRPr="00713F53">
        <w:t xml:space="preserve">4 </w:t>
      </w:r>
      <w:r w:rsidRPr="0025354C">
        <w:t>and</w:t>
      </w:r>
      <w:r w:rsidRPr="00713F53">
        <w:t xml:space="preserve"> 8</w:t>
      </w:r>
      <w:r w:rsidRPr="006A5CE2">
        <w:t>.</w:t>
      </w:r>
      <w:r>
        <w:t xml:space="preserve"> As you progress through these schedules, the regulatory controls become increasingly restrictive.</w:t>
      </w:r>
    </w:p>
    <w:tbl>
      <w:tblPr>
        <w:tblStyle w:val="TableTGAblue"/>
        <w:tblW w:w="9180" w:type="dxa"/>
        <w:tblCellMar>
          <w:bottom w:w="85" w:type="dxa"/>
        </w:tblCellMar>
        <w:tblLook w:val="04A0" w:firstRow="1" w:lastRow="0" w:firstColumn="1" w:lastColumn="0" w:noHBand="0" w:noVBand="1"/>
      </w:tblPr>
      <w:tblGrid>
        <w:gridCol w:w="1128"/>
        <w:gridCol w:w="1994"/>
        <w:gridCol w:w="6058"/>
      </w:tblGrid>
      <w:tr w:rsidR="002452EF" w:rsidRPr="006A5CE2" w14:paraId="2984D73F" w14:textId="77777777" w:rsidTr="00637E74">
        <w:trPr>
          <w:cnfStyle w:val="100000000000" w:firstRow="1" w:lastRow="0" w:firstColumn="0" w:lastColumn="0" w:oddVBand="0" w:evenVBand="0" w:oddHBand="0" w:evenHBand="0" w:firstRowFirstColumn="0" w:firstRowLastColumn="0" w:lastRowFirstColumn="0" w:lastRowLastColumn="0"/>
          <w:cantSplit w:val="0"/>
          <w:trHeight w:hRule="exact" w:val="454"/>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03E8BA58" w14:textId="77777777" w:rsidR="002452EF" w:rsidRPr="006A5CE2" w:rsidRDefault="002452EF" w:rsidP="00637E74">
            <w:pPr>
              <w:jc w:val="center"/>
            </w:pPr>
            <w:r w:rsidRPr="006A5CE2">
              <w:t>Schedule</w:t>
            </w:r>
          </w:p>
        </w:tc>
        <w:tc>
          <w:tcPr>
            <w:tcW w:w="1994" w:type="dxa"/>
            <w:vAlign w:val="center"/>
          </w:tcPr>
          <w:p w14:paraId="12417DC4"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Description</w:t>
            </w:r>
          </w:p>
        </w:tc>
        <w:tc>
          <w:tcPr>
            <w:tcW w:w="6058" w:type="dxa"/>
            <w:vAlign w:val="center"/>
          </w:tcPr>
          <w:p w14:paraId="758279BA"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Details</w:t>
            </w:r>
          </w:p>
        </w:tc>
      </w:tr>
      <w:tr w:rsidR="002452EF" w:rsidRPr="006A5CE2" w14:paraId="5DDD7186"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68425D55" w14:textId="77777777" w:rsidR="002452EF" w:rsidRPr="006A5CE2" w:rsidRDefault="002452EF" w:rsidP="00637E74">
            <w:pPr>
              <w:jc w:val="center"/>
            </w:pPr>
            <w:r w:rsidRPr="006A5CE2">
              <w:t>2</w:t>
            </w:r>
          </w:p>
        </w:tc>
        <w:tc>
          <w:tcPr>
            <w:tcW w:w="1994" w:type="dxa"/>
          </w:tcPr>
          <w:p w14:paraId="550370BA"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Pharmacy Medicine</w:t>
            </w:r>
          </w:p>
        </w:tc>
        <w:tc>
          <w:tcPr>
            <w:tcW w:w="6058" w:type="dxa"/>
          </w:tcPr>
          <w:p w14:paraId="00086A2A"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the safe use of which may require advice from a </w:t>
            </w:r>
            <w:r w:rsidRPr="00C23A0C">
              <w:t xml:space="preserve">pharmacist </w:t>
            </w:r>
            <w:r w:rsidRPr="006A5CE2">
              <w:t>and which should be available from a pharmacy or, where a pharmacy service is not available, from a licensed person.</w:t>
            </w:r>
          </w:p>
        </w:tc>
      </w:tr>
      <w:tr w:rsidR="002452EF" w:rsidRPr="006A5CE2" w14:paraId="1AFA8C61"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1358F83A" w14:textId="77777777" w:rsidR="002452EF" w:rsidRPr="006A5CE2" w:rsidRDefault="002452EF" w:rsidP="00637E74">
            <w:pPr>
              <w:jc w:val="center"/>
            </w:pPr>
            <w:r w:rsidRPr="006A5CE2">
              <w:t>3</w:t>
            </w:r>
          </w:p>
        </w:tc>
        <w:tc>
          <w:tcPr>
            <w:tcW w:w="1994" w:type="dxa"/>
          </w:tcPr>
          <w:p w14:paraId="57378250"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Pharmacist Only Medicine</w:t>
            </w:r>
          </w:p>
        </w:tc>
        <w:tc>
          <w:tcPr>
            <w:tcW w:w="6058" w:type="dxa"/>
          </w:tcPr>
          <w:p w14:paraId="078F2E94"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the safe use of which requires </w:t>
            </w:r>
            <w:r w:rsidRPr="00C23A0C">
              <w:t xml:space="preserve">professional advice </w:t>
            </w:r>
            <w:r w:rsidRPr="006A5CE2">
              <w:t>but which should be available to the public from a pharmacist without a prescription.</w:t>
            </w:r>
          </w:p>
        </w:tc>
      </w:tr>
      <w:tr w:rsidR="002452EF" w:rsidRPr="006A5CE2" w14:paraId="0F69BDD0"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18E829F3" w14:textId="77777777" w:rsidR="002452EF" w:rsidRPr="006A5CE2" w:rsidRDefault="002452EF" w:rsidP="00637E74">
            <w:pPr>
              <w:jc w:val="center"/>
            </w:pPr>
            <w:r w:rsidRPr="006A5CE2">
              <w:t>4</w:t>
            </w:r>
          </w:p>
        </w:tc>
        <w:tc>
          <w:tcPr>
            <w:tcW w:w="1994" w:type="dxa"/>
          </w:tcPr>
          <w:p w14:paraId="1D9E1869"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Prescription Only Medicine or Prescription Animal Remedy</w:t>
            </w:r>
          </w:p>
        </w:tc>
        <w:tc>
          <w:tcPr>
            <w:tcW w:w="6058" w:type="dxa"/>
          </w:tcPr>
          <w:p w14:paraId="551B3269"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the use or supply of which should be by or on the order of persons permitted by State or Territory legislation to prescribe and should be available from a pharmacist on </w:t>
            </w:r>
            <w:r w:rsidRPr="00C23A0C">
              <w:t>prescription.</w:t>
            </w:r>
          </w:p>
        </w:tc>
      </w:tr>
      <w:tr w:rsidR="002452EF" w:rsidRPr="006A5CE2" w14:paraId="1F3009BC"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66A39BF8" w14:textId="77777777" w:rsidR="002452EF" w:rsidRPr="006A5CE2" w:rsidRDefault="002452EF" w:rsidP="00637E74">
            <w:pPr>
              <w:jc w:val="center"/>
            </w:pPr>
            <w:r w:rsidRPr="006A5CE2">
              <w:t>8</w:t>
            </w:r>
          </w:p>
        </w:tc>
        <w:tc>
          <w:tcPr>
            <w:tcW w:w="1994" w:type="dxa"/>
          </w:tcPr>
          <w:p w14:paraId="2DA356E8"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Controlled Drug</w:t>
            </w:r>
          </w:p>
        </w:tc>
        <w:tc>
          <w:tcPr>
            <w:tcW w:w="6058" w:type="dxa"/>
          </w:tcPr>
          <w:p w14:paraId="6E49C5A4"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which should be available for use but require </w:t>
            </w:r>
            <w:r w:rsidRPr="00C23A0C">
              <w:t xml:space="preserve">restriction </w:t>
            </w:r>
            <w:r w:rsidRPr="006A5CE2">
              <w:t>of manufacture, supply, distribution, possession and use to reduce abuse, misuse and physical or psychological dependence.</w:t>
            </w:r>
          </w:p>
        </w:tc>
      </w:tr>
    </w:tbl>
    <w:p w14:paraId="10F22D2B" w14:textId="6FAF694D" w:rsidR="002452EF" w:rsidRPr="006A5CE2" w:rsidRDefault="002452EF" w:rsidP="002C2B67">
      <w:r w:rsidRPr="001C1AA5">
        <w:t>Schedules 5, 6 and 7 are typically used</w:t>
      </w:r>
      <w:r w:rsidRPr="001C1AA5">
        <w:rPr>
          <w:b/>
        </w:rPr>
        <w:t xml:space="preserve"> </w:t>
      </w:r>
      <w:r w:rsidRPr="00EC20A8">
        <w:t xml:space="preserve">for </w:t>
      </w:r>
      <w:r w:rsidRPr="00A152BE">
        <w:t>agricultural, domestic and industrial poisons</w:t>
      </w:r>
      <w:r w:rsidR="001827E6">
        <w:t xml:space="preserve"> and </w:t>
      </w:r>
      <w:r w:rsidR="001827E6" w:rsidRPr="00EC20A8">
        <w:t>some</w:t>
      </w:r>
      <w:r w:rsidR="001827E6">
        <w:t xml:space="preserve"> medicines</w:t>
      </w:r>
      <w:r w:rsidRPr="00A152BE">
        <w:t>. These schedules</w:t>
      </w:r>
      <w:r w:rsidRPr="00A152BE">
        <w:rPr>
          <w:b/>
        </w:rPr>
        <w:t xml:space="preserve"> </w:t>
      </w:r>
      <w:r w:rsidRPr="00A152BE">
        <w:t>have increasingly stricter container and labelling requirements, with special regulatory controls over the availability of the substances listed in Schedule 7.</w:t>
      </w:r>
    </w:p>
    <w:tbl>
      <w:tblPr>
        <w:tblStyle w:val="TableTGAblue"/>
        <w:tblW w:w="9180" w:type="dxa"/>
        <w:tblCellMar>
          <w:bottom w:w="85" w:type="dxa"/>
        </w:tblCellMar>
        <w:tblLook w:val="04A0" w:firstRow="1" w:lastRow="0" w:firstColumn="1" w:lastColumn="0" w:noHBand="0" w:noVBand="1"/>
      </w:tblPr>
      <w:tblGrid>
        <w:gridCol w:w="1128"/>
        <w:gridCol w:w="1994"/>
        <w:gridCol w:w="6058"/>
      </w:tblGrid>
      <w:tr w:rsidR="002452EF" w:rsidRPr="006A5CE2" w14:paraId="54EE37AC" w14:textId="77777777" w:rsidTr="002C2B67">
        <w:trPr>
          <w:cnfStyle w:val="100000000000" w:firstRow="1" w:lastRow="0" w:firstColumn="0" w:lastColumn="0" w:oddVBand="0" w:evenVBand="0" w:oddHBand="0" w:evenHBand="0" w:firstRowFirstColumn="0" w:firstRowLastColumn="0" w:lastRowFirstColumn="0" w:lastRowLastColumn="0"/>
          <w:cantSplit w:val="0"/>
          <w:trHeight w:hRule="exact" w:val="454"/>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5BB831E" w14:textId="77777777" w:rsidR="002452EF" w:rsidRPr="006A5CE2" w:rsidRDefault="002452EF" w:rsidP="002C2B67">
            <w:r w:rsidRPr="006A5CE2">
              <w:lastRenderedPageBreak/>
              <w:t>Schedule</w:t>
            </w:r>
          </w:p>
        </w:tc>
        <w:tc>
          <w:tcPr>
            <w:tcW w:w="1994" w:type="dxa"/>
            <w:vAlign w:val="center"/>
          </w:tcPr>
          <w:p w14:paraId="75A1EE16"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Description</w:t>
            </w:r>
          </w:p>
        </w:tc>
        <w:tc>
          <w:tcPr>
            <w:tcW w:w="6058" w:type="dxa"/>
            <w:vAlign w:val="center"/>
          </w:tcPr>
          <w:p w14:paraId="6037BA2D"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Details</w:t>
            </w:r>
          </w:p>
        </w:tc>
      </w:tr>
      <w:tr w:rsidR="002452EF" w:rsidRPr="006A5CE2" w14:paraId="50D57E4E"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51DAADD4" w14:textId="77777777" w:rsidR="002452EF" w:rsidRPr="006A5CE2" w:rsidRDefault="002452EF" w:rsidP="00637E74">
            <w:pPr>
              <w:jc w:val="center"/>
            </w:pPr>
            <w:r w:rsidRPr="006A5CE2">
              <w:t>5</w:t>
            </w:r>
          </w:p>
        </w:tc>
        <w:tc>
          <w:tcPr>
            <w:tcW w:w="1994" w:type="dxa"/>
          </w:tcPr>
          <w:p w14:paraId="4D4B90E1"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Caution</w:t>
            </w:r>
          </w:p>
        </w:tc>
        <w:tc>
          <w:tcPr>
            <w:tcW w:w="6058" w:type="dxa"/>
          </w:tcPr>
          <w:p w14:paraId="6701F309" w14:textId="0EC87DA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with </w:t>
            </w:r>
            <w:r w:rsidRPr="005970D1">
              <w:t>a low potential</w:t>
            </w:r>
            <w:r w:rsidRPr="006A5CE2">
              <w:t xml:space="preserve"> for causing harm, the extent of which can be reduced through the use of appropriate packaging with simple warnings and </w:t>
            </w:r>
            <w:r w:rsidR="00637E74">
              <w:t>safety directions on the label.</w:t>
            </w:r>
          </w:p>
        </w:tc>
      </w:tr>
      <w:tr w:rsidR="002452EF" w:rsidRPr="006A5CE2" w14:paraId="676D6038"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295B4E9A" w14:textId="77777777" w:rsidR="002452EF" w:rsidRPr="006A5CE2" w:rsidRDefault="002452EF" w:rsidP="00637E74">
            <w:pPr>
              <w:jc w:val="center"/>
            </w:pPr>
            <w:r w:rsidRPr="006A5CE2">
              <w:t>6</w:t>
            </w:r>
          </w:p>
        </w:tc>
        <w:tc>
          <w:tcPr>
            <w:tcW w:w="1994" w:type="dxa"/>
          </w:tcPr>
          <w:p w14:paraId="2EE342BD"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Poison</w:t>
            </w:r>
          </w:p>
        </w:tc>
        <w:tc>
          <w:tcPr>
            <w:tcW w:w="6058" w:type="dxa"/>
          </w:tcPr>
          <w:p w14:paraId="5F840980"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with </w:t>
            </w:r>
            <w:r w:rsidRPr="005970D1">
              <w:t>a moderate potential for</w:t>
            </w:r>
            <w:r w:rsidRPr="006A5CE2">
              <w:t xml:space="preserve"> causing harm, the extent of which can be reduced through the use of distinctive packaging with strong warnings and safety directions on the label.</w:t>
            </w:r>
          </w:p>
        </w:tc>
      </w:tr>
      <w:tr w:rsidR="002452EF" w:rsidRPr="006A5CE2" w14:paraId="0F6274B7"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6A1133AF" w14:textId="77777777" w:rsidR="002452EF" w:rsidRPr="006A5CE2" w:rsidRDefault="002452EF" w:rsidP="00637E74">
            <w:pPr>
              <w:jc w:val="center"/>
            </w:pPr>
            <w:r w:rsidRPr="006A5CE2">
              <w:t>7</w:t>
            </w:r>
          </w:p>
        </w:tc>
        <w:tc>
          <w:tcPr>
            <w:tcW w:w="1994" w:type="dxa"/>
          </w:tcPr>
          <w:p w14:paraId="30F8BDA1"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Dangerous Poison</w:t>
            </w:r>
          </w:p>
        </w:tc>
        <w:tc>
          <w:tcPr>
            <w:tcW w:w="6058" w:type="dxa"/>
          </w:tcPr>
          <w:p w14:paraId="518FA965"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with </w:t>
            </w:r>
            <w:r w:rsidRPr="005970D1">
              <w:t>a high potential for</w:t>
            </w:r>
            <w:r w:rsidRPr="006A5CE2">
              <w:t xml:space="preserve"> causing harm at low exposure and require special precautions during manufacture, handling or use. These poisons should be available only to specialised or authorised users who have the skills necessary to handle it safely. Special regulations restricting its availability, possession, storage or use may apply.</w:t>
            </w:r>
          </w:p>
        </w:tc>
      </w:tr>
    </w:tbl>
    <w:p w14:paraId="4F244EF8" w14:textId="77777777" w:rsidR="002452EF" w:rsidRPr="006A5CE2" w:rsidRDefault="002452EF" w:rsidP="002C2B67">
      <w:r w:rsidRPr="00713F53">
        <w:t>Schedule 9</w:t>
      </w:r>
      <w:r w:rsidRPr="006A5CE2">
        <w:rPr>
          <w:b/>
        </w:rPr>
        <w:t xml:space="preserve"> </w:t>
      </w:r>
      <w:r w:rsidRPr="006A5CE2">
        <w:t xml:space="preserve">substances are </w:t>
      </w:r>
      <w:r>
        <w:t xml:space="preserve">prohibited, but can be </w:t>
      </w:r>
      <w:r w:rsidRPr="006A5CE2">
        <w:t>used</w:t>
      </w:r>
      <w:r>
        <w:t xml:space="preserve"> in specific circumstances (like clinical trials) with Government approval. </w:t>
      </w:r>
    </w:p>
    <w:tbl>
      <w:tblPr>
        <w:tblStyle w:val="TableTGAblue"/>
        <w:tblW w:w="9180" w:type="dxa"/>
        <w:tblCellMar>
          <w:bottom w:w="85" w:type="dxa"/>
        </w:tblCellMar>
        <w:tblLook w:val="04A0" w:firstRow="1" w:lastRow="0" w:firstColumn="1" w:lastColumn="0" w:noHBand="0" w:noVBand="1"/>
      </w:tblPr>
      <w:tblGrid>
        <w:gridCol w:w="1128"/>
        <w:gridCol w:w="1994"/>
        <w:gridCol w:w="6058"/>
      </w:tblGrid>
      <w:tr w:rsidR="002452EF" w:rsidRPr="006A5CE2" w14:paraId="13C307F6" w14:textId="77777777" w:rsidTr="002C2B67">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EF66CAA" w14:textId="77777777" w:rsidR="002452EF" w:rsidRPr="006A5CE2" w:rsidRDefault="002452EF" w:rsidP="002C2B67">
            <w:r w:rsidRPr="006A5CE2">
              <w:t>Schedule</w:t>
            </w:r>
          </w:p>
        </w:tc>
        <w:tc>
          <w:tcPr>
            <w:tcW w:w="1994" w:type="dxa"/>
            <w:vAlign w:val="center"/>
          </w:tcPr>
          <w:p w14:paraId="0EB3972B"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Description</w:t>
            </w:r>
          </w:p>
        </w:tc>
        <w:tc>
          <w:tcPr>
            <w:tcW w:w="6058" w:type="dxa"/>
            <w:vAlign w:val="center"/>
          </w:tcPr>
          <w:p w14:paraId="1ABB0532" w14:textId="77777777" w:rsidR="002452EF" w:rsidRPr="006A5CE2" w:rsidRDefault="002452EF" w:rsidP="002C2B67">
            <w:pPr>
              <w:cnfStyle w:val="100000000000" w:firstRow="1" w:lastRow="0" w:firstColumn="0" w:lastColumn="0" w:oddVBand="0" w:evenVBand="0" w:oddHBand="0" w:evenHBand="0" w:firstRowFirstColumn="0" w:firstRowLastColumn="0" w:lastRowFirstColumn="0" w:lastRowLastColumn="0"/>
            </w:pPr>
            <w:r w:rsidRPr="006A5CE2">
              <w:t>Details</w:t>
            </w:r>
          </w:p>
        </w:tc>
      </w:tr>
      <w:tr w:rsidR="002452EF" w:rsidRPr="006A5CE2" w14:paraId="15B52DCA"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3C153612" w14:textId="77777777" w:rsidR="002452EF" w:rsidRPr="006A5CE2" w:rsidRDefault="002452EF" w:rsidP="00637E74">
            <w:pPr>
              <w:jc w:val="center"/>
            </w:pPr>
            <w:r w:rsidRPr="006A5CE2">
              <w:t>9</w:t>
            </w:r>
          </w:p>
        </w:tc>
        <w:tc>
          <w:tcPr>
            <w:tcW w:w="1994" w:type="dxa"/>
          </w:tcPr>
          <w:p w14:paraId="14C811E1"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Prohibited Substance</w:t>
            </w:r>
          </w:p>
        </w:tc>
        <w:tc>
          <w:tcPr>
            <w:tcW w:w="6058" w:type="dxa"/>
          </w:tcPr>
          <w:p w14:paraId="5A62A733"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which may be </w:t>
            </w:r>
            <w:r w:rsidRPr="005970D1">
              <w:t>abused or misused.</w:t>
            </w:r>
            <w:r w:rsidRPr="006A5CE2">
              <w:t xml:space="preserve"> The manufacture, possession, sale or use should be prohibited by law except when required for medical or scientific research, or for analytical, teaching or training purposes with approval of Commonwealth and/or State or Territory Health Authorities.</w:t>
            </w:r>
          </w:p>
        </w:tc>
      </w:tr>
    </w:tbl>
    <w:p w14:paraId="62AA6530" w14:textId="77777777" w:rsidR="002452EF" w:rsidRPr="005970D1" w:rsidRDefault="002452EF" w:rsidP="002C2B67">
      <w:r w:rsidRPr="00713F53">
        <w:t xml:space="preserve">Schedule 10 </w:t>
      </w:r>
      <w:r w:rsidRPr="005970D1">
        <w:t xml:space="preserve">substances are </w:t>
      </w:r>
      <w:r w:rsidRPr="00713F53">
        <w:t>prohibited</w:t>
      </w:r>
      <w:r w:rsidRPr="005970D1">
        <w:t xml:space="preserve"> from sale, supply or use due to their dangerous properties. </w:t>
      </w:r>
      <w:r>
        <w:t>They cannot be used.</w:t>
      </w:r>
    </w:p>
    <w:tbl>
      <w:tblPr>
        <w:tblStyle w:val="TableTGAblue"/>
        <w:tblW w:w="0" w:type="auto"/>
        <w:tblCellMar>
          <w:bottom w:w="85" w:type="dxa"/>
        </w:tblCellMar>
        <w:tblLook w:val="04A0" w:firstRow="1" w:lastRow="0" w:firstColumn="1" w:lastColumn="0" w:noHBand="0" w:noVBand="1"/>
      </w:tblPr>
      <w:tblGrid>
        <w:gridCol w:w="1128"/>
        <w:gridCol w:w="1981"/>
        <w:gridCol w:w="5941"/>
      </w:tblGrid>
      <w:tr w:rsidR="002452EF" w:rsidRPr="006A5CE2" w14:paraId="2BE9B482" w14:textId="77777777" w:rsidTr="00637E74">
        <w:trPr>
          <w:cnfStyle w:val="100000000000" w:firstRow="1" w:lastRow="0" w:firstColumn="0" w:lastColumn="0" w:oddVBand="0" w:evenVBand="0" w:oddHBand="0" w:evenHBand="0" w:firstRowFirstColumn="0" w:firstRowLastColumn="0" w:lastRowFirstColumn="0" w:lastRowLastColumn="0"/>
          <w:cantSplit w:val="0"/>
          <w:trHeight w:hRule="exact" w:val="454"/>
        </w:trPr>
        <w:tc>
          <w:tcPr>
            <w:cnfStyle w:val="001000000000" w:firstRow="0" w:lastRow="0" w:firstColumn="1" w:lastColumn="0" w:oddVBand="0" w:evenVBand="0" w:oddHBand="0" w:evenHBand="0" w:firstRowFirstColumn="0" w:firstRowLastColumn="0" w:lastRowFirstColumn="0" w:lastRowLastColumn="0"/>
            <w:tcW w:w="1128" w:type="dxa"/>
            <w:vAlign w:val="center"/>
          </w:tcPr>
          <w:p w14:paraId="3DF8D53A" w14:textId="77777777" w:rsidR="002452EF" w:rsidRPr="00713F53" w:rsidRDefault="002452EF" w:rsidP="002C2B67">
            <w:pPr>
              <w:keepNext w:val="0"/>
            </w:pPr>
            <w:r w:rsidRPr="007176E6">
              <w:t>Schedule</w:t>
            </w:r>
          </w:p>
        </w:tc>
        <w:tc>
          <w:tcPr>
            <w:tcW w:w="1981" w:type="dxa"/>
            <w:vAlign w:val="center"/>
          </w:tcPr>
          <w:p w14:paraId="0E18F667" w14:textId="77777777" w:rsidR="002452EF" w:rsidRPr="00713F53" w:rsidRDefault="002452EF" w:rsidP="002C2B67">
            <w:pPr>
              <w:keepNext w:val="0"/>
              <w:cnfStyle w:val="100000000000" w:firstRow="1" w:lastRow="0" w:firstColumn="0" w:lastColumn="0" w:oddVBand="0" w:evenVBand="0" w:oddHBand="0" w:evenHBand="0" w:firstRowFirstColumn="0" w:firstRowLastColumn="0" w:lastRowFirstColumn="0" w:lastRowLastColumn="0"/>
            </w:pPr>
            <w:r w:rsidRPr="007176E6">
              <w:t>Description</w:t>
            </w:r>
          </w:p>
        </w:tc>
        <w:tc>
          <w:tcPr>
            <w:tcW w:w="5941" w:type="dxa"/>
            <w:vAlign w:val="center"/>
          </w:tcPr>
          <w:p w14:paraId="6EB18935" w14:textId="77777777" w:rsidR="002452EF" w:rsidRPr="00713F53" w:rsidRDefault="002452EF" w:rsidP="002C2B67">
            <w:pPr>
              <w:keepNext w:val="0"/>
              <w:cnfStyle w:val="100000000000" w:firstRow="1" w:lastRow="0" w:firstColumn="0" w:lastColumn="0" w:oddVBand="0" w:evenVBand="0" w:oddHBand="0" w:evenHBand="0" w:firstRowFirstColumn="0" w:firstRowLastColumn="0" w:lastRowFirstColumn="0" w:lastRowLastColumn="0"/>
            </w:pPr>
            <w:r w:rsidRPr="007176E6">
              <w:t>Details</w:t>
            </w:r>
          </w:p>
        </w:tc>
      </w:tr>
      <w:tr w:rsidR="002452EF" w:rsidRPr="006A5CE2" w14:paraId="5AA1C7D3" w14:textId="77777777" w:rsidTr="00637E74">
        <w:tc>
          <w:tcPr>
            <w:cnfStyle w:val="001000000000" w:firstRow="0" w:lastRow="0" w:firstColumn="1" w:lastColumn="0" w:oddVBand="0" w:evenVBand="0" w:oddHBand="0" w:evenHBand="0" w:firstRowFirstColumn="0" w:firstRowLastColumn="0" w:lastRowFirstColumn="0" w:lastRowLastColumn="0"/>
            <w:tcW w:w="1128" w:type="dxa"/>
          </w:tcPr>
          <w:p w14:paraId="3FBEBB9D" w14:textId="77777777" w:rsidR="002452EF" w:rsidRPr="006A5CE2" w:rsidRDefault="002452EF" w:rsidP="00637E74">
            <w:pPr>
              <w:jc w:val="center"/>
            </w:pPr>
            <w:r w:rsidRPr="006A5CE2">
              <w:t>10</w:t>
            </w:r>
          </w:p>
        </w:tc>
        <w:tc>
          <w:tcPr>
            <w:tcW w:w="1981" w:type="dxa"/>
          </w:tcPr>
          <w:p w14:paraId="13304E74"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Substances of such danger to health as to warrant prohibition of sale, supply and use</w:t>
            </w:r>
          </w:p>
        </w:tc>
        <w:tc>
          <w:tcPr>
            <w:tcW w:w="5941" w:type="dxa"/>
          </w:tcPr>
          <w:p w14:paraId="3F3E7881"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 xml:space="preserve">Substances which </w:t>
            </w:r>
            <w:r w:rsidRPr="00665C1C">
              <w:t>are prohibited</w:t>
            </w:r>
            <w:r w:rsidRPr="006A5CE2">
              <w:t xml:space="preserve"> for the purpose or purposes listed for each poison.</w:t>
            </w:r>
          </w:p>
        </w:tc>
      </w:tr>
    </w:tbl>
    <w:p w14:paraId="0B7BD720" w14:textId="77777777" w:rsidR="002452EF" w:rsidRPr="002C2B67" w:rsidRDefault="002452EF" w:rsidP="002C2B67">
      <w:pPr>
        <w:pStyle w:val="Heading3"/>
      </w:pPr>
      <w:bookmarkStart w:id="17" w:name="_Toc535939934"/>
      <w:bookmarkStart w:id="18" w:name="_Toc59528491"/>
      <w:r w:rsidRPr="002C2B67">
        <w:lastRenderedPageBreak/>
        <w:t>Further restrictions and exemptions</w:t>
      </w:r>
      <w:bookmarkEnd w:id="17"/>
      <w:bookmarkEnd w:id="18"/>
    </w:p>
    <w:p w14:paraId="28F8A890" w14:textId="3B2F377F" w:rsidR="002452EF" w:rsidRPr="006A5CE2" w:rsidRDefault="002452EF" w:rsidP="00637E74">
      <w:pPr>
        <w:keepNext/>
      </w:pPr>
      <w:r w:rsidRPr="006A5CE2">
        <w:t>The</w:t>
      </w:r>
      <w:r>
        <w:t xml:space="preserve"> a</w:t>
      </w:r>
      <w:r w:rsidRPr="006A5CE2">
        <w:t xml:space="preserve">ppendices are found in </w:t>
      </w:r>
      <w:r w:rsidRPr="00A83DF2">
        <w:t>P</w:t>
      </w:r>
      <w:r w:rsidR="00A83DF2">
        <w:t xml:space="preserve">art 5 of </w:t>
      </w:r>
      <w:r w:rsidRPr="00A83DF2">
        <w:t xml:space="preserve">the </w:t>
      </w:r>
      <w:r w:rsidRPr="00094B57">
        <w:t>Poisons Standard</w:t>
      </w:r>
      <w:r w:rsidRPr="00A83DF2">
        <w:t>. T</w:t>
      </w:r>
      <w:r w:rsidRPr="006A5CE2">
        <w:t>hey give details of additional restrictions or exemptions</w:t>
      </w:r>
      <w:r w:rsidR="00746647">
        <w:t>,</w:t>
      </w:r>
      <w:r w:rsidRPr="006A5CE2">
        <w:t xml:space="preserve"> which apply to some substances under certain conditions. </w:t>
      </w:r>
      <w:r w:rsidRPr="006A5CE2">
        <w:rPr>
          <w:b/>
        </w:rPr>
        <w:t>Appendices D</w:t>
      </w:r>
      <w:r w:rsidRPr="006A5CE2">
        <w:t xml:space="preserve">, </w:t>
      </w:r>
      <w:r w:rsidRPr="006A5CE2">
        <w:rPr>
          <w:b/>
        </w:rPr>
        <w:t>H, K</w:t>
      </w:r>
      <w:r w:rsidR="001827E6">
        <w:rPr>
          <w:b/>
        </w:rPr>
        <w:t xml:space="preserve"> and M</w:t>
      </w:r>
      <w:r w:rsidRPr="006A5CE2">
        <w:rPr>
          <w:b/>
        </w:rPr>
        <w:t xml:space="preserve"> </w:t>
      </w:r>
      <w:r w:rsidRPr="006A5CE2">
        <w:t xml:space="preserve">are </w:t>
      </w:r>
      <w:r>
        <w:t xml:space="preserve">most </w:t>
      </w:r>
      <w:r w:rsidRPr="006A5CE2">
        <w:t>relevant to medicines</w:t>
      </w:r>
      <w:r>
        <w:t>.</w:t>
      </w:r>
    </w:p>
    <w:tbl>
      <w:tblPr>
        <w:tblStyle w:val="TableTGAblue"/>
        <w:tblW w:w="9464" w:type="dxa"/>
        <w:tblCellMar>
          <w:bottom w:w="85" w:type="dxa"/>
        </w:tblCellMar>
        <w:tblLook w:val="04A0" w:firstRow="1" w:lastRow="0" w:firstColumn="1" w:lastColumn="0" w:noHBand="0" w:noVBand="1"/>
      </w:tblPr>
      <w:tblGrid>
        <w:gridCol w:w="1188"/>
        <w:gridCol w:w="8276"/>
      </w:tblGrid>
      <w:tr w:rsidR="002452EF" w:rsidRPr="006A5CE2" w14:paraId="1363053F" w14:textId="77777777" w:rsidTr="00637E74">
        <w:trPr>
          <w:cnfStyle w:val="100000000000" w:firstRow="1" w:lastRow="0" w:firstColumn="0" w:lastColumn="0" w:oddVBand="0" w:evenVBand="0" w:oddHBand="0" w:evenHBand="0" w:firstRowFirstColumn="0" w:firstRowLastColumn="0" w:lastRowFirstColumn="0" w:lastRowLastColumn="0"/>
          <w:cantSplit w:val="0"/>
          <w:trHeight w:hRule="exact" w:val="454"/>
        </w:trPr>
        <w:tc>
          <w:tcPr>
            <w:cnfStyle w:val="001000000000" w:firstRow="0" w:lastRow="0" w:firstColumn="1" w:lastColumn="0" w:oddVBand="0" w:evenVBand="0" w:oddHBand="0" w:evenHBand="0" w:firstRowFirstColumn="0" w:firstRowLastColumn="0" w:lastRowFirstColumn="0" w:lastRowLastColumn="0"/>
            <w:tcW w:w="1188" w:type="dxa"/>
          </w:tcPr>
          <w:p w14:paraId="66677028" w14:textId="77777777" w:rsidR="002452EF" w:rsidRPr="006A5CE2" w:rsidRDefault="002452EF" w:rsidP="00637E74">
            <w:pPr>
              <w:keepNext w:val="0"/>
              <w:jc w:val="center"/>
              <w:rPr>
                <w:b w:val="0"/>
                <w:color w:val="auto"/>
                <w:szCs w:val="22"/>
              </w:rPr>
            </w:pPr>
            <w:r w:rsidRPr="006A5CE2">
              <w:t>Appendix</w:t>
            </w:r>
          </w:p>
        </w:tc>
        <w:tc>
          <w:tcPr>
            <w:tcW w:w="8276" w:type="dxa"/>
          </w:tcPr>
          <w:p w14:paraId="29469230" w14:textId="77777777" w:rsidR="002452EF" w:rsidRPr="006A5CE2" w:rsidRDefault="002452EF" w:rsidP="00637E74">
            <w:pPr>
              <w:keepNext w:val="0"/>
              <w:cnfStyle w:val="100000000000" w:firstRow="1" w:lastRow="0" w:firstColumn="0" w:lastColumn="0" w:oddVBand="0" w:evenVBand="0" w:oddHBand="0" w:evenHBand="0" w:firstRowFirstColumn="0" w:firstRowLastColumn="0" w:lastRowFirstColumn="0" w:lastRowLastColumn="0"/>
              <w:rPr>
                <w:b w:val="0"/>
                <w:color w:val="auto"/>
                <w:szCs w:val="22"/>
              </w:rPr>
            </w:pPr>
            <w:r w:rsidRPr="006A5CE2">
              <w:t>Description</w:t>
            </w:r>
          </w:p>
        </w:tc>
      </w:tr>
      <w:tr w:rsidR="002452EF" w:rsidRPr="006A5CE2" w14:paraId="3B761298"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58CCF224" w14:textId="77777777" w:rsidR="002452EF" w:rsidRPr="006A5CE2" w:rsidRDefault="002452EF" w:rsidP="00637E74">
            <w:pPr>
              <w:jc w:val="center"/>
            </w:pPr>
            <w:r w:rsidRPr="006A5CE2">
              <w:t>A</w:t>
            </w:r>
          </w:p>
        </w:tc>
        <w:tc>
          <w:tcPr>
            <w:tcW w:w="8276" w:type="dxa"/>
          </w:tcPr>
          <w:p w14:paraId="49722805"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General exemptions</w:t>
            </w:r>
          </w:p>
        </w:tc>
      </w:tr>
      <w:tr w:rsidR="002452EF" w:rsidRPr="006A5CE2" w14:paraId="50542B20"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3BB435B3" w14:textId="77777777" w:rsidR="002452EF" w:rsidRPr="006A5CE2" w:rsidRDefault="002452EF" w:rsidP="00637E74">
            <w:pPr>
              <w:jc w:val="center"/>
            </w:pPr>
            <w:r w:rsidRPr="006A5CE2">
              <w:t>B</w:t>
            </w:r>
          </w:p>
        </w:tc>
        <w:tc>
          <w:tcPr>
            <w:tcW w:w="8276" w:type="dxa"/>
          </w:tcPr>
          <w:p w14:paraId="0B7CDDC3"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Substances considered not to require control by scheduling</w:t>
            </w:r>
          </w:p>
        </w:tc>
      </w:tr>
      <w:tr w:rsidR="002452EF" w:rsidRPr="006A5CE2" w14:paraId="2EB1F29B"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480747B0" w14:textId="77777777" w:rsidR="002452EF" w:rsidRPr="006A5CE2" w:rsidRDefault="002452EF" w:rsidP="00637E74">
            <w:pPr>
              <w:jc w:val="center"/>
            </w:pPr>
            <w:r w:rsidRPr="006A5CE2">
              <w:t>C</w:t>
            </w:r>
          </w:p>
        </w:tc>
        <w:tc>
          <w:tcPr>
            <w:tcW w:w="8276" w:type="dxa"/>
          </w:tcPr>
          <w:p w14:paraId="5A55F557"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Superseded by Schedule 10</w:t>
            </w:r>
          </w:p>
        </w:tc>
      </w:tr>
      <w:tr w:rsidR="002452EF" w:rsidRPr="006A5CE2" w14:paraId="4B6CF84D"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7BB502A4" w14:textId="77777777" w:rsidR="002452EF" w:rsidRPr="006A5CE2" w:rsidRDefault="002452EF" w:rsidP="00637E74">
            <w:pPr>
              <w:jc w:val="center"/>
            </w:pPr>
            <w:r w:rsidRPr="006A5CE2">
              <w:t>D</w:t>
            </w:r>
          </w:p>
        </w:tc>
        <w:tc>
          <w:tcPr>
            <w:tcW w:w="8276" w:type="dxa"/>
          </w:tcPr>
          <w:p w14:paraId="6A3341B7"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Additional controls on possession or supply of poisons included in Schedules 4 or 8</w:t>
            </w:r>
          </w:p>
        </w:tc>
      </w:tr>
      <w:tr w:rsidR="002452EF" w:rsidRPr="006A5CE2" w14:paraId="30F374FA"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2E7E6E40" w14:textId="77777777" w:rsidR="002452EF" w:rsidRPr="006A5CE2" w:rsidRDefault="002452EF" w:rsidP="00637E74">
            <w:pPr>
              <w:jc w:val="center"/>
            </w:pPr>
            <w:r w:rsidRPr="006A5CE2">
              <w:t>E</w:t>
            </w:r>
          </w:p>
        </w:tc>
        <w:tc>
          <w:tcPr>
            <w:tcW w:w="8276" w:type="dxa"/>
          </w:tcPr>
          <w:p w14:paraId="435863A4"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First aid instructions for poisons</w:t>
            </w:r>
          </w:p>
        </w:tc>
      </w:tr>
      <w:tr w:rsidR="002452EF" w:rsidRPr="006A5CE2" w14:paraId="12740681"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06DB71F7" w14:textId="77777777" w:rsidR="002452EF" w:rsidRPr="006A5CE2" w:rsidRDefault="002452EF" w:rsidP="00637E74">
            <w:pPr>
              <w:jc w:val="center"/>
            </w:pPr>
            <w:r w:rsidRPr="006A5CE2">
              <w:t>F</w:t>
            </w:r>
          </w:p>
        </w:tc>
        <w:tc>
          <w:tcPr>
            <w:tcW w:w="8276" w:type="dxa"/>
          </w:tcPr>
          <w:p w14:paraId="2BAFCDB9"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Warning statements and general safety directions for poisons</w:t>
            </w:r>
          </w:p>
        </w:tc>
      </w:tr>
      <w:tr w:rsidR="002452EF" w:rsidRPr="006A5CE2" w14:paraId="65AFA8D4"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082A439B" w14:textId="77777777" w:rsidR="002452EF" w:rsidRPr="006A5CE2" w:rsidRDefault="002452EF" w:rsidP="00637E74">
            <w:pPr>
              <w:jc w:val="center"/>
            </w:pPr>
            <w:r w:rsidRPr="006A5CE2">
              <w:t>G</w:t>
            </w:r>
          </w:p>
        </w:tc>
        <w:tc>
          <w:tcPr>
            <w:tcW w:w="8276" w:type="dxa"/>
          </w:tcPr>
          <w:p w14:paraId="58704263"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Dilute preparations</w:t>
            </w:r>
          </w:p>
        </w:tc>
      </w:tr>
      <w:tr w:rsidR="002452EF" w:rsidRPr="006A5CE2" w14:paraId="012E69FE"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1EECB731" w14:textId="77777777" w:rsidR="002452EF" w:rsidRPr="006A5CE2" w:rsidRDefault="002452EF" w:rsidP="00637E74">
            <w:pPr>
              <w:jc w:val="center"/>
            </w:pPr>
            <w:r w:rsidRPr="006A5CE2">
              <w:t>H</w:t>
            </w:r>
          </w:p>
        </w:tc>
        <w:tc>
          <w:tcPr>
            <w:tcW w:w="8276" w:type="dxa"/>
          </w:tcPr>
          <w:p w14:paraId="7A3C9509"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Schedule 3 medicines permitted to be advertised</w:t>
            </w:r>
          </w:p>
        </w:tc>
      </w:tr>
      <w:tr w:rsidR="002452EF" w:rsidRPr="006A5CE2" w14:paraId="6230B0C8"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6CA4E227" w14:textId="77777777" w:rsidR="002452EF" w:rsidRPr="006A5CE2" w:rsidRDefault="002452EF" w:rsidP="00637E74">
            <w:pPr>
              <w:jc w:val="center"/>
            </w:pPr>
            <w:r w:rsidRPr="006A5CE2">
              <w:t>I</w:t>
            </w:r>
          </w:p>
        </w:tc>
        <w:tc>
          <w:tcPr>
            <w:tcW w:w="8276" w:type="dxa"/>
          </w:tcPr>
          <w:p w14:paraId="0C84EACF"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w:t>
            </w:r>
            <w:r>
              <w:t xml:space="preserve">Intentionally </w:t>
            </w:r>
            <w:r w:rsidRPr="006A5CE2">
              <w:t>Blank)</w:t>
            </w:r>
          </w:p>
        </w:tc>
      </w:tr>
      <w:tr w:rsidR="002452EF" w:rsidRPr="006A5CE2" w14:paraId="1835AE38"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00FAE198" w14:textId="77777777" w:rsidR="002452EF" w:rsidRPr="006A5CE2" w:rsidRDefault="002452EF" w:rsidP="00637E74">
            <w:pPr>
              <w:jc w:val="center"/>
            </w:pPr>
            <w:r w:rsidRPr="006A5CE2">
              <w:t>J</w:t>
            </w:r>
          </w:p>
        </w:tc>
        <w:tc>
          <w:tcPr>
            <w:tcW w:w="8276" w:type="dxa"/>
          </w:tcPr>
          <w:p w14:paraId="33AD3E24"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Conditions for availability and use of Schedule 7 poisons</w:t>
            </w:r>
          </w:p>
        </w:tc>
      </w:tr>
      <w:tr w:rsidR="002452EF" w:rsidRPr="006A5CE2" w14:paraId="5AA83CEE"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5E694FBB" w14:textId="77777777" w:rsidR="002452EF" w:rsidRPr="006A5CE2" w:rsidRDefault="002452EF" w:rsidP="00637E74">
            <w:pPr>
              <w:jc w:val="center"/>
            </w:pPr>
            <w:r w:rsidRPr="006A5CE2">
              <w:t>K</w:t>
            </w:r>
          </w:p>
        </w:tc>
        <w:tc>
          <w:tcPr>
            <w:tcW w:w="8276" w:type="dxa"/>
          </w:tcPr>
          <w:p w14:paraId="09248FAB"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Medicines required to be labelled with a sedation warning</w:t>
            </w:r>
          </w:p>
        </w:tc>
      </w:tr>
      <w:tr w:rsidR="002452EF" w:rsidRPr="006A5CE2" w14:paraId="4544BA6F"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03365DF1" w14:textId="77777777" w:rsidR="002452EF" w:rsidRPr="006A5CE2" w:rsidRDefault="002452EF" w:rsidP="00637E74">
            <w:pPr>
              <w:jc w:val="center"/>
            </w:pPr>
            <w:r w:rsidRPr="006A5CE2">
              <w:t>L</w:t>
            </w:r>
          </w:p>
        </w:tc>
        <w:tc>
          <w:tcPr>
            <w:tcW w:w="8276" w:type="dxa"/>
          </w:tcPr>
          <w:p w14:paraId="57BE941B" w14:textId="77777777" w:rsidR="002452EF" w:rsidRPr="006A5CE2" w:rsidRDefault="002452EF" w:rsidP="00637E74">
            <w:pPr>
              <w:cnfStyle w:val="000000000000" w:firstRow="0" w:lastRow="0" w:firstColumn="0" w:lastColumn="0" w:oddVBand="0" w:evenVBand="0" w:oddHBand="0" w:evenHBand="0" w:firstRowFirstColumn="0" w:firstRowLastColumn="0" w:lastRowFirstColumn="0" w:lastRowLastColumn="0"/>
            </w:pPr>
            <w:r w:rsidRPr="006A5CE2">
              <w:t>Requirements for dispensing labels for human and veterinary medicines</w:t>
            </w:r>
          </w:p>
        </w:tc>
      </w:tr>
      <w:tr w:rsidR="001827E6" w:rsidRPr="006A5CE2" w14:paraId="608F1335" w14:textId="77777777" w:rsidTr="00637E74">
        <w:tc>
          <w:tcPr>
            <w:cnfStyle w:val="001000000000" w:firstRow="0" w:lastRow="0" w:firstColumn="1" w:lastColumn="0" w:oddVBand="0" w:evenVBand="0" w:oddHBand="0" w:evenHBand="0" w:firstRowFirstColumn="0" w:firstRowLastColumn="0" w:lastRowFirstColumn="0" w:lastRowLastColumn="0"/>
            <w:tcW w:w="1188" w:type="dxa"/>
          </w:tcPr>
          <w:p w14:paraId="1D758983" w14:textId="02D01A93" w:rsidR="001827E6" w:rsidRPr="006A5CE2" w:rsidRDefault="001827E6" w:rsidP="00637E74">
            <w:pPr>
              <w:jc w:val="center"/>
            </w:pPr>
            <w:r>
              <w:t>M</w:t>
            </w:r>
          </w:p>
        </w:tc>
        <w:tc>
          <w:tcPr>
            <w:tcW w:w="8276" w:type="dxa"/>
          </w:tcPr>
          <w:p w14:paraId="4129181E" w14:textId="258984EC" w:rsidR="001827E6" w:rsidRPr="006A5CE2" w:rsidRDefault="00B47589" w:rsidP="00637E74">
            <w:pPr>
              <w:cnfStyle w:val="000000000000" w:firstRow="0" w:lastRow="0" w:firstColumn="0" w:lastColumn="0" w:oddVBand="0" w:evenVBand="0" w:oddHBand="0" w:evenHBand="0" w:firstRowFirstColumn="0" w:firstRowLastColumn="0" w:lastRowFirstColumn="0" w:lastRowLastColumn="0"/>
            </w:pPr>
            <w:r w:rsidRPr="00774D5E">
              <w:t>Additional controls or supply requirements for Schedule 3 poisons to allow them to be provided by a pharmacist</w:t>
            </w:r>
            <w:r>
              <w:rPr>
                <w:rFonts w:ascii="Arial" w:hAnsi="Arial" w:cs="Arial"/>
              </w:rPr>
              <w:t xml:space="preserve"> </w:t>
            </w:r>
          </w:p>
        </w:tc>
      </w:tr>
    </w:tbl>
    <w:p w14:paraId="78B11102" w14:textId="77777777" w:rsidR="002452EF" w:rsidRPr="002C2B67" w:rsidRDefault="002452EF" w:rsidP="00637E74">
      <w:pPr>
        <w:pStyle w:val="Heading2"/>
      </w:pPr>
      <w:bookmarkStart w:id="19" w:name="_Toc535939935"/>
      <w:bookmarkStart w:id="20" w:name="_Toc59528492"/>
      <w:r w:rsidRPr="002C2B67">
        <w:lastRenderedPageBreak/>
        <w:t>Substances not found in the Poisons standard</w:t>
      </w:r>
      <w:bookmarkEnd w:id="19"/>
      <w:bookmarkEnd w:id="20"/>
    </w:p>
    <w:p w14:paraId="3BE66E04" w14:textId="77777777" w:rsidR="002452EF" w:rsidRPr="006A5CE2" w:rsidRDefault="002452EF" w:rsidP="002C2B67">
      <w:r w:rsidRPr="006A5CE2">
        <w:t>If you can</w:t>
      </w:r>
      <w:r>
        <w:t>’t</w:t>
      </w:r>
      <w:r w:rsidRPr="006A5CE2">
        <w:t xml:space="preserve"> find a substance in the Poisons Standard, </w:t>
      </w:r>
      <w:r>
        <w:t>don’t presume</w:t>
      </w:r>
      <w:r w:rsidRPr="006A5CE2">
        <w:t xml:space="preserve"> that it is safe and can be used without restriction. </w:t>
      </w:r>
      <w:r>
        <w:t xml:space="preserve">You may not have searched the </w:t>
      </w:r>
      <w:hyperlink w:anchor="_Correct_substance_name" w:history="1">
        <w:r w:rsidRPr="007662B9">
          <w:rPr>
            <w:rStyle w:val="Hyperlink"/>
          </w:rPr>
          <w:t>correct substance name</w:t>
        </w:r>
      </w:hyperlink>
      <w:r>
        <w:t xml:space="preserve"> or the </w:t>
      </w:r>
      <w:hyperlink w:anchor="_Substances_not_yet" w:history="1">
        <w:r w:rsidRPr="007662B9">
          <w:rPr>
            <w:rStyle w:val="Hyperlink"/>
          </w:rPr>
          <w:t>substance may not yet have been considered for scheduling</w:t>
        </w:r>
      </w:hyperlink>
      <w:r>
        <w:t>.</w:t>
      </w:r>
    </w:p>
    <w:p w14:paraId="121765B3" w14:textId="77777777" w:rsidR="002452EF" w:rsidRPr="002C2B67" w:rsidRDefault="002452EF" w:rsidP="002C2B67">
      <w:pPr>
        <w:pStyle w:val="Heading3"/>
      </w:pPr>
      <w:bookmarkStart w:id="21" w:name="_Correct_substance_name"/>
      <w:bookmarkStart w:id="22" w:name="_Toc535939936"/>
      <w:bookmarkStart w:id="23" w:name="_Toc59528493"/>
      <w:bookmarkEnd w:id="21"/>
      <w:r w:rsidRPr="002C2B67">
        <w:t>Substance name is different</w:t>
      </w:r>
      <w:bookmarkEnd w:id="22"/>
      <w:bookmarkEnd w:id="23"/>
    </w:p>
    <w:p w14:paraId="26A53A21" w14:textId="01F2C85D" w:rsidR="002452EF" w:rsidRDefault="002452EF" w:rsidP="002C2B67">
      <w:r>
        <w:t>Substances</w:t>
      </w:r>
      <w:r w:rsidRPr="006A5CE2">
        <w:t xml:space="preserve"> are scheduled using their </w:t>
      </w:r>
      <w:r w:rsidRPr="00DC4BD2">
        <w:t>approved names</w:t>
      </w:r>
      <w:r w:rsidRPr="00713F53">
        <w:t xml:space="preserve"> </w:t>
      </w:r>
      <w:r w:rsidRPr="00DC4BD2">
        <w:t xml:space="preserve">wherever practicable. However, some substances may be grouped together in a </w:t>
      </w:r>
      <w:r w:rsidRPr="00713F53">
        <w:t>group entry</w:t>
      </w:r>
      <w:r w:rsidRPr="00DC4BD2">
        <w:t xml:space="preserve"> or listed under a parent substance,</w:t>
      </w:r>
      <w:r>
        <w:t xml:space="preserve"> </w:t>
      </w:r>
      <w:r w:rsidRPr="00B70220">
        <w:t>which is a</w:t>
      </w:r>
      <w:r>
        <w:t xml:space="preserve"> substance</w:t>
      </w:r>
      <w:r w:rsidRPr="00B70220">
        <w:t xml:space="preserve"> with a similar chemical structure or mode of action.</w:t>
      </w:r>
    </w:p>
    <w:p w14:paraId="2BB3BD03" w14:textId="794D5A47" w:rsidR="002452EF" w:rsidRDefault="002452EF" w:rsidP="002C2B67">
      <w:r w:rsidRPr="0020569A">
        <w:t>For more information on approved names, see</w:t>
      </w:r>
      <w:r>
        <w:t xml:space="preserve"> </w:t>
      </w:r>
      <w:r w:rsidR="00A83DF2">
        <w:t xml:space="preserve">the Interpretation in </w:t>
      </w:r>
      <w:r w:rsidRPr="00A83DF2">
        <w:t>Part 1</w:t>
      </w:r>
      <w:r w:rsidR="00A83DF2" w:rsidRPr="00A83DF2">
        <w:t xml:space="preserve"> of the </w:t>
      </w:r>
      <w:r w:rsidRPr="00094B57">
        <w:t>Poisons Standard</w:t>
      </w:r>
      <w:r w:rsidRPr="0020569A">
        <w:t>.</w:t>
      </w:r>
    </w:p>
    <w:p w14:paraId="2966D855" w14:textId="0EF45BEF" w:rsidR="002452EF" w:rsidRDefault="002452EF" w:rsidP="002C2B67">
      <w:r>
        <w:t>If you can’t find the substance you’re looking for</w:t>
      </w:r>
      <w:r w:rsidRPr="00D24BEC">
        <w:t xml:space="preserve">, </w:t>
      </w:r>
      <w:r>
        <w:t xml:space="preserve">try </w:t>
      </w:r>
      <w:r w:rsidRPr="00D24BEC">
        <w:t>other common names</w:t>
      </w:r>
      <w:r>
        <w:t xml:space="preserve">, </w:t>
      </w:r>
      <w:r w:rsidRPr="00D24BEC">
        <w:t xml:space="preserve">in particular its </w:t>
      </w:r>
      <w:hyperlink r:id="rId23" w:history="1">
        <w:r w:rsidRPr="003A3325">
          <w:rPr>
            <w:rStyle w:val="Hyperlink"/>
          </w:rPr>
          <w:t>International Nomenclature of Cosmetic Ingredients (INCI)</w:t>
        </w:r>
      </w:hyperlink>
      <w:r w:rsidRPr="00D24BEC">
        <w:t xml:space="preserve"> name. </w:t>
      </w:r>
      <w:r w:rsidR="002518A2">
        <w:t xml:space="preserve">You could also try searching the Ingredients table in </w:t>
      </w:r>
      <w:hyperlink r:id="rId24" w:history="1">
        <w:r w:rsidR="002518A2" w:rsidRPr="002518A2">
          <w:rPr>
            <w:rStyle w:val="Hyperlink"/>
          </w:rPr>
          <w:t>TGA Business services</w:t>
        </w:r>
      </w:hyperlink>
      <w:r w:rsidR="002518A2">
        <w:t>, which includes the Australian Approved Names List for Therapeutic Substances.</w:t>
      </w:r>
    </w:p>
    <w:p w14:paraId="69861037" w14:textId="77777777" w:rsidR="002452EF" w:rsidRDefault="002452EF" w:rsidP="002C2B67">
      <w:r>
        <w:t>W</w:t>
      </w:r>
      <w:r w:rsidRPr="00D24BEC">
        <w:t>ebsites</w:t>
      </w:r>
      <w:r>
        <w:t xml:space="preserve"> that will help find alternative names for a substance:</w:t>
      </w:r>
    </w:p>
    <w:p w14:paraId="5728F7EE" w14:textId="4601E210" w:rsidR="002452EF" w:rsidRPr="00637E74" w:rsidRDefault="00FC55B6" w:rsidP="002C2B67">
      <w:pPr>
        <w:pStyle w:val="ListBullet"/>
      </w:pPr>
      <w:hyperlink r:id="rId25" w:history="1">
        <w:r w:rsidR="002452EF" w:rsidRPr="0068484D">
          <w:rPr>
            <w:rStyle w:val="Hyperlink"/>
          </w:rPr>
          <w:t>PubChem</w:t>
        </w:r>
      </w:hyperlink>
    </w:p>
    <w:p w14:paraId="59BC3928" w14:textId="22839E32" w:rsidR="002452EF" w:rsidRPr="00637E74" w:rsidRDefault="00FC55B6" w:rsidP="002C2B67">
      <w:pPr>
        <w:pStyle w:val="ListBullet"/>
      </w:pPr>
      <w:hyperlink r:id="rId26" w:history="1">
        <w:proofErr w:type="spellStart"/>
        <w:r w:rsidR="002452EF" w:rsidRPr="0068484D">
          <w:rPr>
            <w:rStyle w:val="Hyperlink"/>
          </w:rPr>
          <w:t>ChemSpider</w:t>
        </w:r>
        <w:proofErr w:type="spellEnd"/>
      </w:hyperlink>
    </w:p>
    <w:p w14:paraId="24E98940" w14:textId="7FC6DE84" w:rsidR="002452EF" w:rsidRPr="002C2B67" w:rsidRDefault="00FC55B6" w:rsidP="002C2B67">
      <w:pPr>
        <w:pStyle w:val="ListBullet"/>
      </w:pPr>
      <w:hyperlink r:id="rId27" w:history="1">
        <w:r w:rsidR="008A29EE" w:rsidRPr="008A29EE">
          <w:rPr>
            <w:rStyle w:val="Hyperlink"/>
          </w:rPr>
          <w:t>The Australian Inventory of Industrial Chemicals (Inventory)</w:t>
        </w:r>
      </w:hyperlink>
    </w:p>
    <w:p w14:paraId="2E432E4C" w14:textId="77777777" w:rsidR="002452EF" w:rsidRPr="002C2B67" w:rsidRDefault="002452EF" w:rsidP="002C2B67">
      <w:pPr>
        <w:pStyle w:val="Heading4"/>
      </w:pPr>
      <w:bookmarkStart w:id="24" w:name="_Toc59528494"/>
      <w:r w:rsidRPr="002C2B67">
        <w:t>Group entry</w:t>
      </w:r>
      <w:bookmarkEnd w:id="24"/>
    </w:p>
    <w:p w14:paraId="6253EF7A" w14:textId="77777777" w:rsidR="002452EF" w:rsidRPr="00D24BEC" w:rsidRDefault="002452EF" w:rsidP="002C2B67">
      <w:r>
        <w:t>I</w:t>
      </w:r>
      <w:r w:rsidRPr="00D24BEC">
        <w:t xml:space="preserve">f </w:t>
      </w:r>
      <w:r>
        <w:t>a substance</w:t>
      </w:r>
      <w:r w:rsidRPr="00D24BEC">
        <w:t xml:space="preserve"> is not found under its </w:t>
      </w:r>
      <w:r>
        <w:t>‘</w:t>
      </w:r>
      <w:r w:rsidRPr="00D24BEC">
        <w:t>approved name</w:t>
      </w:r>
      <w:r>
        <w:t>’</w:t>
      </w:r>
      <w:r w:rsidRPr="00D24BEC">
        <w:t xml:space="preserve"> it may be </w:t>
      </w:r>
      <w:r>
        <w:t>shown under a group term</w:t>
      </w:r>
      <w:r w:rsidRPr="00D24BEC">
        <w:t>:</w:t>
      </w:r>
    </w:p>
    <w:tbl>
      <w:tblPr>
        <w:tblStyle w:val="TableTGAblue"/>
        <w:tblW w:w="0" w:type="auto"/>
        <w:tblLook w:val="04A0" w:firstRow="1" w:lastRow="0" w:firstColumn="1" w:lastColumn="0" w:noHBand="0" w:noVBand="1"/>
      </w:tblPr>
      <w:tblGrid>
        <w:gridCol w:w="3010"/>
        <w:gridCol w:w="3014"/>
        <w:gridCol w:w="3026"/>
      </w:tblGrid>
      <w:tr w:rsidR="002452EF" w14:paraId="3E64BE07" w14:textId="77777777" w:rsidTr="00ED2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Pr>
          <w:p w14:paraId="4916FB4E" w14:textId="77777777" w:rsidR="002452EF" w:rsidRPr="009B452F" w:rsidRDefault="002452EF" w:rsidP="002C2B67">
            <w:r w:rsidRPr="009B452F">
              <w:t>Substance</w:t>
            </w:r>
          </w:p>
        </w:tc>
        <w:tc>
          <w:tcPr>
            <w:tcW w:w="3014" w:type="dxa"/>
          </w:tcPr>
          <w:p w14:paraId="11B3ACF7" w14:textId="77777777" w:rsidR="002452EF" w:rsidRPr="009B452F" w:rsidRDefault="002452EF" w:rsidP="002C2B67">
            <w:pPr>
              <w:cnfStyle w:val="100000000000" w:firstRow="1" w:lastRow="0" w:firstColumn="0" w:lastColumn="0" w:oddVBand="0" w:evenVBand="0" w:oddHBand="0" w:evenHBand="0" w:firstRowFirstColumn="0" w:firstRowLastColumn="0" w:lastRowFirstColumn="0" w:lastRowLastColumn="0"/>
            </w:pPr>
            <w:r w:rsidRPr="009B452F">
              <w:t>Group term</w:t>
            </w:r>
          </w:p>
        </w:tc>
        <w:tc>
          <w:tcPr>
            <w:tcW w:w="3026" w:type="dxa"/>
          </w:tcPr>
          <w:p w14:paraId="34FF3A1A" w14:textId="77777777" w:rsidR="002452EF" w:rsidRPr="009B452F" w:rsidRDefault="002452EF" w:rsidP="002C2B67">
            <w:pPr>
              <w:cnfStyle w:val="100000000000" w:firstRow="1" w:lastRow="0" w:firstColumn="0" w:lastColumn="0" w:oddVBand="0" w:evenVBand="0" w:oddHBand="0" w:evenHBand="0" w:firstRowFirstColumn="0" w:firstRowLastColumn="0" w:lastRowFirstColumn="0" w:lastRowLastColumn="0"/>
            </w:pPr>
            <w:r w:rsidRPr="009B452F">
              <w:t>Relationship</w:t>
            </w:r>
          </w:p>
        </w:tc>
      </w:tr>
      <w:tr w:rsidR="002452EF" w14:paraId="1EFF5477" w14:textId="77777777" w:rsidTr="00ED2D16">
        <w:tc>
          <w:tcPr>
            <w:cnfStyle w:val="001000000000" w:firstRow="0" w:lastRow="0" w:firstColumn="1" w:lastColumn="0" w:oddVBand="0" w:evenVBand="0" w:oddHBand="0" w:evenHBand="0" w:firstRowFirstColumn="0" w:firstRowLastColumn="0" w:lastRowFirstColumn="0" w:lastRowLastColumn="0"/>
            <w:tcW w:w="3010" w:type="dxa"/>
          </w:tcPr>
          <w:p w14:paraId="39DAF06E" w14:textId="77777777" w:rsidR="002452EF" w:rsidRDefault="002452EF" w:rsidP="002C2B67">
            <w:r>
              <w:t>s</w:t>
            </w:r>
            <w:r w:rsidRPr="00D24BEC">
              <w:t>odium oxalate</w:t>
            </w:r>
          </w:p>
        </w:tc>
        <w:tc>
          <w:tcPr>
            <w:tcW w:w="3014" w:type="dxa"/>
          </w:tcPr>
          <w:p w14:paraId="1F46764B" w14:textId="77777777" w:rsidR="002452EF" w:rsidRDefault="002452EF" w:rsidP="002C2B67">
            <w:pPr>
              <w:cnfStyle w:val="000000000000" w:firstRow="0" w:lastRow="0" w:firstColumn="0" w:lastColumn="0" w:oddVBand="0" w:evenVBand="0" w:oddHBand="0" w:evenHBand="0" w:firstRowFirstColumn="0" w:firstRowLastColumn="0" w:lastRowFirstColumn="0" w:lastRowLastColumn="0"/>
            </w:pPr>
            <w:r w:rsidRPr="00D24BEC">
              <w:t>oxalic acid</w:t>
            </w:r>
          </w:p>
        </w:tc>
        <w:tc>
          <w:tcPr>
            <w:tcW w:w="3026" w:type="dxa"/>
          </w:tcPr>
          <w:p w14:paraId="6D34D5EA" w14:textId="77777777" w:rsidR="002452EF" w:rsidRDefault="002452EF" w:rsidP="002C2B67">
            <w:pPr>
              <w:cnfStyle w:val="000000000000" w:firstRow="0" w:lastRow="0" w:firstColumn="0" w:lastColumn="0" w:oddVBand="0" w:evenVBand="0" w:oddHBand="0" w:evenHBand="0" w:firstRowFirstColumn="0" w:firstRowLastColumn="0" w:lastRowFirstColumn="0" w:lastRowLastColumn="0"/>
            </w:pPr>
            <w:r w:rsidRPr="00D24BEC">
              <w:t>the parent acid of salts</w:t>
            </w:r>
          </w:p>
        </w:tc>
      </w:tr>
      <w:tr w:rsidR="002452EF" w14:paraId="66BEE9B2" w14:textId="77777777" w:rsidTr="00ED2D16">
        <w:tc>
          <w:tcPr>
            <w:cnfStyle w:val="001000000000" w:firstRow="0" w:lastRow="0" w:firstColumn="1" w:lastColumn="0" w:oddVBand="0" w:evenVBand="0" w:oddHBand="0" w:evenHBand="0" w:firstRowFirstColumn="0" w:firstRowLastColumn="0" w:lastRowFirstColumn="0" w:lastRowLastColumn="0"/>
            <w:tcW w:w="3010" w:type="dxa"/>
          </w:tcPr>
          <w:p w14:paraId="445826C8" w14:textId="77777777" w:rsidR="002452EF" w:rsidRPr="00D24BEC" w:rsidRDefault="002452EF" w:rsidP="002C2B67">
            <w:r>
              <w:t>potassium chromate</w:t>
            </w:r>
          </w:p>
        </w:tc>
        <w:tc>
          <w:tcPr>
            <w:tcW w:w="3014" w:type="dxa"/>
          </w:tcPr>
          <w:p w14:paraId="04D4A06D"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chromates</w:t>
            </w:r>
          </w:p>
        </w:tc>
        <w:tc>
          <w:tcPr>
            <w:tcW w:w="3026" w:type="dxa"/>
          </w:tcPr>
          <w:p w14:paraId="6C1B19EF"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 xml:space="preserve">the radical of a salt </w:t>
            </w:r>
          </w:p>
        </w:tc>
      </w:tr>
      <w:tr w:rsidR="002452EF" w14:paraId="01E4247F" w14:textId="77777777" w:rsidTr="00ED2D16">
        <w:tc>
          <w:tcPr>
            <w:cnfStyle w:val="001000000000" w:firstRow="0" w:lastRow="0" w:firstColumn="1" w:lastColumn="0" w:oddVBand="0" w:evenVBand="0" w:oddHBand="0" w:evenHBand="0" w:firstRowFirstColumn="0" w:firstRowLastColumn="0" w:lastRowFirstColumn="0" w:lastRowLastColumn="0"/>
            <w:tcW w:w="3010" w:type="dxa"/>
          </w:tcPr>
          <w:p w14:paraId="451845E1" w14:textId="77777777" w:rsidR="002452EF" w:rsidRPr="00D24BEC" w:rsidRDefault="002452EF" w:rsidP="002C2B67">
            <w:r>
              <w:t xml:space="preserve">arsenic trioxide </w:t>
            </w:r>
          </w:p>
        </w:tc>
        <w:tc>
          <w:tcPr>
            <w:tcW w:w="3014" w:type="dxa"/>
          </w:tcPr>
          <w:p w14:paraId="4F3D9803"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arsenic</w:t>
            </w:r>
          </w:p>
        </w:tc>
        <w:tc>
          <w:tcPr>
            <w:tcW w:w="3026" w:type="dxa"/>
          </w:tcPr>
          <w:p w14:paraId="08FD8BAD"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the element</w:t>
            </w:r>
          </w:p>
        </w:tc>
      </w:tr>
      <w:tr w:rsidR="002452EF" w14:paraId="1CD8CB38" w14:textId="77777777" w:rsidTr="00ED2D16">
        <w:tc>
          <w:tcPr>
            <w:cnfStyle w:val="001000000000" w:firstRow="0" w:lastRow="0" w:firstColumn="1" w:lastColumn="0" w:oddVBand="0" w:evenVBand="0" w:oddHBand="0" w:evenHBand="0" w:firstRowFirstColumn="0" w:firstRowLastColumn="0" w:lastRowFirstColumn="0" w:lastRowLastColumn="0"/>
            <w:tcW w:w="3010" w:type="dxa"/>
          </w:tcPr>
          <w:p w14:paraId="2858DBE7" w14:textId="77777777" w:rsidR="002452EF" w:rsidRPr="00D24BEC" w:rsidRDefault="002452EF" w:rsidP="002C2B67">
            <w:r>
              <w:t>kerosene</w:t>
            </w:r>
          </w:p>
        </w:tc>
        <w:tc>
          <w:tcPr>
            <w:tcW w:w="3014" w:type="dxa"/>
          </w:tcPr>
          <w:p w14:paraId="73F8F67F"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hydrocarbons, liquid</w:t>
            </w:r>
          </w:p>
        </w:tc>
        <w:tc>
          <w:tcPr>
            <w:tcW w:w="3026" w:type="dxa"/>
          </w:tcPr>
          <w:p w14:paraId="31156537"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A chemical group with similar toxicological or pharmacological activity</w:t>
            </w:r>
          </w:p>
        </w:tc>
      </w:tr>
      <w:tr w:rsidR="002452EF" w14:paraId="6D77ABF3" w14:textId="77777777" w:rsidTr="00ED2D16">
        <w:tc>
          <w:tcPr>
            <w:cnfStyle w:val="001000000000" w:firstRow="0" w:lastRow="0" w:firstColumn="1" w:lastColumn="0" w:oddVBand="0" w:evenVBand="0" w:oddHBand="0" w:evenHBand="0" w:firstRowFirstColumn="0" w:firstRowLastColumn="0" w:lastRowFirstColumn="0" w:lastRowLastColumn="0"/>
            <w:tcW w:w="3010" w:type="dxa"/>
          </w:tcPr>
          <w:p w14:paraId="43F8EDD3" w14:textId="77777777" w:rsidR="002452EF" w:rsidRPr="00D24BEC" w:rsidRDefault="002452EF" w:rsidP="002C2B67">
            <w:proofErr w:type="spellStart"/>
            <w:r>
              <w:t>androsterone</w:t>
            </w:r>
            <w:proofErr w:type="spellEnd"/>
          </w:p>
        </w:tc>
        <w:tc>
          <w:tcPr>
            <w:tcW w:w="3014" w:type="dxa"/>
          </w:tcPr>
          <w:p w14:paraId="3FC88042"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anabolic steroidal agents</w:t>
            </w:r>
          </w:p>
        </w:tc>
        <w:tc>
          <w:tcPr>
            <w:tcW w:w="3026" w:type="dxa"/>
          </w:tcPr>
          <w:p w14:paraId="09ED3E32" w14:textId="77777777" w:rsidR="002452EF" w:rsidRPr="00D24BEC" w:rsidRDefault="002452EF" w:rsidP="002C2B67">
            <w:pPr>
              <w:cnfStyle w:val="000000000000" w:firstRow="0" w:lastRow="0" w:firstColumn="0" w:lastColumn="0" w:oddVBand="0" w:evenVBand="0" w:oddHBand="0" w:evenHBand="0" w:firstRowFirstColumn="0" w:firstRowLastColumn="0" w:lastRowFirstColumn="0" w:lastRowLastColumn="0"/>
            </w:pPr>
            <w:r>
              <w:t>A pharmacological group</w:t>
            </w:r>
          </w:p>
        </w:tc>
      </w:tr>
    </w:tbl>
    <w:p w14:paraId="230C746D" w14:textId="77777777" w:rsidR="00ED2D16" w:rsidRDefault="00ED2D16" w:rsidP="002C2B67">
      <w:r>
        <w:t>A S</w:t>
      </w:r>
      <w:r w:rsidRPr="00041C41">
        <w:t xml:space="preserve">chedule entry includes preparations containing the </w:t>
      </w:r>
      <w:r>
        <w:t>substance</w:t>
      </w:r>
      <w:r w:rsidRPr="00041C41">
        <w:t xml:space="preserve"> in any concentration and all salts and derivatives of the substance unless </w:t>
      </w:r>
      <w:r>
        <w:t xml:space="preserve">it is specifically </w:t>
      </w:r>
      <w:r w:rsidRPr="00041C41">
        <w:t>stated otherwise.</w:t>
      </w:r>
      <w:r>
        <w:t xml:space="preserve"> </w:t>
      </w:r>
      <w:r w:rsidRPr="00D24BEC">
        <w:t xml:space="preserve">(See Part 1, Interpretation, subparagraph 1(2) of the </w:t>
      </w:r>
      <w:r>
        <w:t>POISONS STANDARD</w:t>
      </w:r>
      <w:r w:rsidRPr="00D24BEC">
        <w:t>).</w:t>
      </w:r>
    </w:p>
    <w:p w14:paraId="2FDB49D9" w14:textId="77777777" w:rsidR="00ED2D16" w:rsidRPr="002C2B67" w:rsidRDefault="00ED2D16" w:rsidP="002C2B67">
      <w:pPr>
        <w:pStyle w:val="Heading3"/>
      </w:pPr>
      <w:bookmarkStart w:id="25" w:name="_Substances_not_yet"/>
      <w:bookmarkStart w:id="26" w:name="_Toc535939937"/>
      <w:bookmarkStart w:id="27" w:name="_Toc59528495"/>
      <w:bookmarkEnd w:id="25"/>
      <w:r w:rsidRPr="002C2B67">
        <w:lastRenderedPageBreak/>
        <w:t>Substances not yet scheduled</w:t>
      </w:r>
      <w:bookmarkEnd w:id="26"/>
      <w:bookmarkEnd w:id="27"/>
    </w:p>
    <w:p w14:paraId="0AACD1EB" w14:textId="2832FA46" w:rsidR="00ED2D16" w:rsidRDefault="00ED2D16" w:rsidP="002C2B67">
      <w:r>
        <w:t>It may be that your substance has not yet been considered for scheduling and an application to amend the Poisons Standard is therefore required. Anyone can</w:t>
      </w:r>
      <w:r w:rsidRPr="0061325C">
        <w:t xml:space="preserve"> lodge an </w:t>
      </w:r>
      <w:hyperlink r:id="rId28" w:history="1">
        <w:r w:rsidRPr="0061325C">
          <w:rPr>
            <w:rStyle w:val="Hyperlink"/>
          </w:rPr>
          <w:t>Application to amend the Poisons Standard</w:t>
        </w:r>
      </w:hyperlink>
      <w:r>
        <w:t xml:space="preserve"> and there is no fee charged</w:t>
      </w:r>
      <w:r w:rsidR="005B6DDC">
        <w:t>.</w:t>
      </w:r>
      <w:r>
        <w:t xml:space="preserve"> </w:t>
      </w:r>
    </w:p>
    <w:p w14:paraId="22FDCDCF" w14:textId="77777777" w:rsidR="00ED2D16" w:rsidRDefault="00ED2D16" w:rsidP="002C2B67">
      <w:r w:rsidRPr="0061325C">
        <w:t xml:space="preserve">Amendments </w:t>
      </w:r>
      <w:r>
        <w:t xml:space="preserve">to the Poisons Standard </w:t>
      </w:r>
      <w:r w:rsidRPr="0061325C">
        <w:t xml:space="preserve">can include a new </w:t>
      </w:r>
      <w:r>
        <w:t>S</w:t>
      </w:r>
      <w:r w:rsidRPr="0061325C">
        <w:t xml:space="preserve">chedule entry, rescheduling of a current entry, and/or inclusion in an Appendix.  </w:t>
      </w:r>
    </w:p>
    <w:p w14:paraId="7DCD42D5" w14:textId="77777777" w:rsidR="00ED2D16" w:rsidRPr="002C2B67" w:rsidRDefault="00ED2D16" w:rsidP="002C2B67">
      <w:pPr>
        <w:pStyle w:val="Heading3"/>
      </w:pPr>
      <w:bookmarkStart w:id="28" w:name="_Substances_that_don’t"/>
      <w:bookmarkStart w:id="29" w:name="_Toc535939938"/>
      <w:bookmarkStart w:id="30" w:name="_Toc59528496"/>
      <w:bookmarkEnd w:id="28"/>
      <w:r w:rsidRPr="002C2B67">
        <w:t>Substances that don’t require scheduling</w:t>
      </w:r>
      <w:bookmarkEnd w:id="29"/>
      <w:bookmarkEnd w:id="30"/>
    </w:p>
    <w:p w14:paraId="4689CDE7" w14:textId="77777777" w:rsidR="00ED2D16" w:rsidRPr="002C2B67" w:rsidRDefault="00ED2D16" w:rsidP="002C2B67">
      <w:pPr>
        <w:pStyle w:val="Heading4"/>
      </w:pPr>
      <w:bookmarkStart w:id="31" w:name="_Toc59528497"/>
      <w:r w:rsidRPr="002C2B67">
        <w:t>Appendix B substances</w:t>
      </w:r>
      <w:bookmarkEnd w:id="31"/>
    </w:p>
    <w:p w14:paraId="2FACFFBE" w14:textId="77777777" w:rsidR="00ED2D16" w:rsidRPr="00F756D4" w:rsidRDefault="00ED2D16" w:rsidP="002C2B67">
      <w:r w:rsidRPr="003548F1">
        <w:t>Some substances are not included in the Poisons Standard because they are considered to be low risk. Appendix B of the Poisons Standard contains a list of substances for which the available information indicates that inclusion in the Poisons Standard is not necessary or not the most appropriate means of controlling the risk to public health. Inclusion of a substance in Appendix B does not prevent re-consideration of the scheduling of the substance where adverse information becomes available.</w:t>
      </w:r>
    </w:p>
    <w:p w14:paraId="1ADBFA49" w14:textId="77777777" w:rsidR="00ED2D16" w:rsidRPr="002C2B67" w:rsidRDefault="00ED2D16" w:rsidP="002C2B67">
      <w:pPr>
        <w:pStyle w:val="Heading4"/>
      </w:pPr>
      <w:bookmarkStart w:id="32" w:name="_Substances_in_listed"/>
      <w:bookmarkStart w:id="33" w:name="_Toc535939939"/>
      <w:bookmarkStart w:id="34" w:name="_Toc59528498"/>
      <w:bookmarkEnd w:id="32"/>
      <w:r w:rsidRPr="002C2B67">
        <w:t>Substances in lower amounts</w:t>
      </w:r>
      <w:bookmarkEnd w:id="33"/>
      <w:bookmarkEnd w:id="34"/>
    </w:p>
    <w:p w14:paraId="041D8955" w14:textId="77777777" w:rsidR="00ED2D16" w:rsidRDefault="00ED2D16" w:rsidP="00ED2D16">
      <w:r>
        <w:t xml:space="preserve">For each substance in the Poisons Standard, there is usually a lower limit (dose or concentration) below which, the substance is no longer considered to be scheduled. These ‘unscheduled’ substances may be used in listed medicines. </w:t>
      </w:r>
    </w:p>
    <w:p w14:paraId="7C2A27F0" w14:textId="77777777" w:rsidR="005E3751" w:rsidRDefault="00ED2D16" w:rsidP="008C76A3">
      <w:r>
        <w:t>F</w:t>
      </w:r>
      <w:r w:rsidR="008C76A3">
        <w:t>or example,</w:t>
      </w:r>
      <w:r w:rsidR="002C2B67" w:rsidRPr="002C2B67">
        <w:t xml:space="preserve"> </w:t>
      </w:r>
      <w:r w:rsidR="002C2B67">
        <w:t>folic acid is found in Schedule 2 as a Pharmacy medicine</w:t>
      </w:r>
      <w:r w:rsidR="00EF6395">
        <w:t>:</w:t>
      </w:r>
    </w:p>
    <w:p w14:paraId="784B2CE0" w14:textId="77777777" w:rsidR="002452EF" w:rsidRDefault="00ED2D16" w:rsidP="005E3751">
      <w:r>
        <w:rPr>
          <w:noProof/>
          <w:lang w:eastAsia="en-AU"/>
        </w:rPr>
        <w:drawing>
          <wp:inline distT="0" distB="0" distL="0" distR="0" wp14:anchorId="7ECD429C" wp14:editId="655681CB">
            <wp:extent cx="5759450" cy="1096010"/>
            <wp:effectExtent l="76200" t="76200" r="127000" b="142240"/>
            <wp:docPr id="9" name="Picture 9" descr="FOLIC ACID for human therapeutic use except: a) when included in Schedule 4; or b) in preparatios containing 500 micrograms or less of folic acid per recommended daily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59450" cy="1096010"/>
                    </a:xfrm>
                    <a:prstGeom prst="rect">
                      <a:avLst/>
                    </a:prstGeom>
                    <a:ln w="3175">
                      <a:solidFill>
                        <a:schemeClr val="bg1">
                          <a:lumMod val="65000"/>
                        </a:schemeClr>
                      </a:solidFill>
                    </a:ln>
                    <a:effectLst>
                      <a:outerShdw blurRad="76200" dist="38100" dir="2400000" algn="tl" rotWithShape="0">
                        <a:srgbClr val="333333">
                          <a:alpha val="65000"/>
                        </a:srgbClr>
                      </a:outerShdw>
                    </a:effectLst>
                  </pic:spPr>
                </pic:pic>
              </a:graphicData>
            </a:graphic>
          </wp:inline>
        </w:drawing>
      </w:r>
    </w:p>
    <w:p w14:paraId="770595F7" w14:textId="77777777" w:rsidR="00ED2D16" w:rsidRDefault="00ED2D16" w:rsidP="008C76A3">
      <w:r>
        <w:t xml:space="preserve">The entry above indicates that folic acid may be used in </w:t>
      </w:r>
      <w:hyperlink r:id="rId30" w:history="1">
        <w:r w:rsidRPr="00F63870">
          <w:rPr>
            <w:rStyle w:val="Hyperlink"/>
          </w:rPr>
          <w:t>listed medicines</w:t>
        </w:r>
      </w:hyperlink>
      <w:r>
        <w:t xml:space="preserve"> in preparations containing 500 micrograms or less per recommended daily dose, as at this dose it becomes unscheduled and is no longer a Schedule 2 Pharmacy medicine.</w:t>
      </w:r>
    </w:p>
    <w:p w14:paraId="2C572A08" w14:textId="77777777" w:rsidR="00ED2D16" w:rsidRPr="008C76A3" w:rsidRDefault="00ED2D16" w:rsidP="008C76A3">
      <w:pPr>
        <w:pStyle w:val="Heading2"/>
      </w:pPr>
      <w:bookmarkStart w:id="35" w:name="_Changes_to_the"/>
      <w:bookmarkStart w:id="36" w:name="_Toc535939941"/>
      <w:bookmarkStart w:id="37" w:name="_Toc59528499"/>
      <w:bookmarkEnd w:id="35"/>
      <w:r w:rsidRPr="008C76A3">
        <w:lastRenderedPageBreak/>
        <w:t>Changes to the Poisons Standard</w:t>
      </w:r>
      <w:bookmarkEnd w:id="36"/>
      <w:bookmarkEnd w:id="37"/>
    </w:p>
    <w:p w14:paraId="26F42DC7" w14:textId="330B2BC5" w:rsidR="00ED2D16" w:rsidRDefault="00ED2D16" w:rsidP="008C76A3">
      <w:r w:rsidRPr="00BE1618">
        <w:t>Sometimes the scheduling of a substance needs to be changed for various reasons. Availability of sufficient safety evidence may mean a substance can be down-scheduled and a therapeutic good becomes more widely available as a result.</w:t>
      </w:r>
    </w:p>
    <w:p w14:paraId="008CFFF7" w14:textId="77777777" w:rsidR="00ED2D16" w:rsidRDefault="00ED2D16" w:rsidP="008C76A3">
      <w:r>
        <w:t>Alternatively, n</w:t>
      </w:r>
      <w:r w:rsidRPr="00EE5E18">
        <w:t xml:space="preserve">ew information about </w:t>
      </w:r>
      <w:r>
        <w:t>substance</w:t>
      </w:r>
      <w:r w:rsidRPr="00EE5E18">
        <w:t xml:space="preserve"> safety </w:t>
      </w:r>
      <w:r>
        <w:t>or evidence of abuse may indicate</w:t>
      </w:r>
      <w:r w:rsidRPr="00EE5E18">
        <w:t xml:space="preserve"> that </w:t>
      </w:r>
      <w:r>
        <w:t>tighter</w:t>
      </w:r>
      <w:r w:rsidRPr="00EE5E18">
        <w:t xml:space="preserve"> controls </w:t>
      </w:r>
      <w:r>
        <w:t>are</w:t>
      </w:r>
      <w:r w:rsidRPr="00EE5E18">
        <w:t xml:space="preserve"> necessary</w:t>
      </w:r>
      <w:r>
        <w:t xml:space="preserve"> and a substance is </w:t>
      </w:r>
      <w:r w:rsidRPr="00EE5E18">
        <w:t>placed in a more restrictive sche</w:t>
      </w:r>
      <w:r>
        <w:t>dule to decrease availability.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2D16" w:rsidRPr="00215D48" w14:paraId="746552BC" w14:textId="77777777" w:rsidTr="002C2B67">
        <w:tc>
          <w:tcPr>
            <w:tcW w:w="1276" w:type="dxa"/>
            <w:vAlign w:val="center"/>
          </w:tcPr>
          <w:p w14:paraId="3C4463F3" w14:textId="77777777" w:rsidR="00ED2D16" w:rsidRPr="00215D48" w:rsidRDefault="00ED2D16" w:rsidP="008C76A3">
            <w:r w:rsidRPr="00215D48">
              <w:rPr>
                <w:noProof/>
                <w:lang w:eastAsia="en-AU"/>
              </w:rPr>
              <w:drawing>
                <wp:inline distT="0" distB="0" distL="0" distR="0" wp14:anchorId="3659C02C" wp14:editId="2C2E28E9">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BB241E" w14:textId="51A53722" w:rsidR="00ED2D16" w:rsidRPr="00215D48" w:rsidRDefault="00ED2D16" w:rsidP="008C76A3">
            <w:r w:rsidRPr="00ED2D16">
              <w:t xml:space="preserve">Keep informed of any proposed scheduling changes by monitoring the </w:t>
            </w:r>
            <w:hyperlink r:id="rId31" w:history="1">
              <w:r w:rsidRPr="007146A8">
                <w:rPr>
                  <w:rStyle w:val="Hyperlink"/>
                </w:rPr>
                <w:t>public notices</w:t>
              </w:r>
            </w:hyperlink>
            <w:r w:rsidRPr="00ED2D16">
              <w:t xml:space="preserve"> on the </w:t>
            </w:r>
            <w:r w:rsidRPr="007146A8">
              <w:t>TGA website</w:t>
            </w:r>
            <w:r w:rsidRPr="00ED2D16">
              <w:t xml:space="preserve"> and subscribing to the </w:t>
            </w:r>
            <w:hyperlink r:id="rId32" w:history="1">
              <w:r w:rsidRPr="00ED2D16">
                <w:rPr>
                  <w:rStyle w:val="Hyperlink"/>
                </w:rPr>
                <w:t>Scheduling medicines and poisons (SMP) email list</w:t>
              </w:r>
            </w:hyperlink>
            <w:r w:rsidRPr="00ED2D16">
              <w:rPr>
                <w:u w:val="single"/>
              </w:rPr>
              <w:t>.</w:t>
            </w:r>
          </w:p>
        </w:tc>
      </w:tr>
    </w:tbl>
    <w:p w14:paraId="6E23ED35" w14:textId="5BB5EC22" w:rsidR="00ED2D16" w:rsidRPr="008C76A3" w:rsidRDefault="00AB51B9" w:rsidP="008C76A3">
      <w:pPr>
        <w:pStyle w:val="Heading3"/>
      </w:pPr>
      <w:bookmarkStart w:id="38" w:name="_Toc535939942"/>
      <w:bookmarkStart w:id="39" w:name="_Toc59528500"/>
      <w:r>
        <w:t>A</w:t>
      </w:r>
      <w:r w:rsidR="00ED2D16" w:rsidRPr="008C76A3">
        <w:t>pply</w:t>
      </w:r>
      <w:r>
        <w:t>ing</w:t>
      </w:r>
      <w:r w:rsidR="00ED2D16" w:rsidRPr="008C76A3">
        <w:t xml:space="preserve"> for changes</w:t>
      </w:r>
      <w:bookmarkEnd w:id="38"/>
      <w:bookmarkEnd w:id="39"/>
    </w:p>
    <w:p w14:paraId="553A3464" w14:textId="73B78C6B" w:rsidR="00682CB5" w:rsidRDefault="00ED2D16" w:rsidP="002C74C4">
      <w:r>
        <w:t>If you would like</w:t>
      </w:r>
      <w:r w:rsidRPr="00713F53">
        <w:t xml:space="preserve"> to </w:t>
      </w:r>
      <w:r>
        <w:t>propose a change to the scheduling of</w:t>
      </w:r>
      <w:r w:rsidRPr="00713F53">
        <w:t xml:space="preserve"> a substance in the Poisons Standard</w:t>
      </w:r>
      <w:r>
        <w:t>, you can make a submission directly to the Medicines and Chemicals Scheduling Secretariat (</w:t>
      </w:r>
      <w:hyperlink r:id="rId33" w:history="1">
        <w:r w:rsidR="007146A8" w:rsidRPr="00C9065C">
          <w:rPr>
            <w:rStyle w:val="Hyperlink"/>
          </w:rPr>
          <w:t>Medicines.Scheduling@health.gov.au</w:t>
        </w:r>
      </w:hyperlink>
      <w:r>
        <w:t xml:space="preserve">). </w:t>
      </w:r>
      <w:hyperlink r:id="rId34" w:history="1">
        <w:r w:rsidR="002C2E76" w:rsidRPr="007146A8">
          <w:rPr>
            <w:rStyle w:val="Hyperlink"/>
            <w:rFonts w:asciiTheme="minorHAnsi" w:hAnsiTheme="minorHAnsi"/>
          </w:rPr>
          <w:t>I</w:t>
        </w:r>
        <w:r w:rsidR="00637FEB" w:rsidRPr="007146A8">
          <w:rPr>
            <w:rStyle w:val="Hyperlink"/>
            <w:rFonts w:asciiTheme="minorHAnsi" w:hAnsiTheme="minorHAnsi"/>
          </w:rPr>
          <w:t xml:space="preserve">nstructions </w:t>
        </w:r>
        <w:r w:rsidRPr="007146A8">
          <w:rPr>
            <w:rStyle w:val="Hyperlink"/>
            <w:rFonts w:asciiTheme="minorHAnsi" w:hAnsiTheme="minorHAnsi"/>
          </w:rPr>
          <w:t>on how to lodge an application</w:t>
        </w:r>
      </w:hyperlink>
      <w:r w:rsidR="00637FEB">
        <w:rPr>
          <w:rFonts w:asciiTheme="minorHAnsi" w:hAnsiTheme="minorHAnsi"/>
        </w:rPr>
        <w:t xml:space="preserve"> </w:t>
      </w:r>
      <w:r w:rsidR="002C2E76">
        <w:rPr>
          <w:rFonts w:asciiTheme="minorHAnsi" w:hAnsiTheme="minorHAnsi"/>
        </w:rPr>
        <w:t xml:space="preserve">are published </w:t>
      </w:r>
      <w:r w:rsidR="00637FEB" w:rsidRPr="003548F1">
        <w:rPr>
          <w:rFonts w:asciiTheme="minorHAnsi" w:hAnsiTheme="minorHAnsi"/>
        </w:rPr>
        <w:t xml:space="preserve">on the </w:t>
      </w:r>
      <w:r w:rsidR="00990297" w:rsidRPr="007146A8">
        <w:t>TGA website</w:t>
      </w:r>
      <w:r w:rsidR="00990297" w:rsidRPr="00990297">
        <w:t>.</w:t>
      </w:r>
      <w:r w:rsidRPr="00990297">
        <w:t xml:space="preserve"> </w:t>
      </w:r>
      <w:r w:rsidR="007324D7" w:rsidRPr="00AB51B9">
        <w:rPr>
          <w:rFonts w:asciiTheme="minorHAnsi" w:hAnsiTheme="minorHAnsi"/>
        </w:rPr>
        <w:t>Detailed guidance for applicants and information regarding the scheduling process is provided in</w:t>
      </w:r>
      <w:r w:rsidR="007324D7">
        <w:t xml:space="preserve"> the </w:t>
      </w:r>
      <w:hyperlink r:id="rId35" w:history="1">
        <w:r w:rsidR="007324D7" w:rsidRPr="003E0694">
          <w:rPr>
            <w:rStyle w:val="Hyperlink"/>
          </w:rPr>
          <w:t>Scheduling Handbook</w:t>
        </w:r>
      </w:hyperlink>
      <w:r w:rsidR="007324D7">
        <w:t xml:space="preserve"> and the </w:t>
      </w:r>
      <w:hyperlink r:id="rId36" w:history="1">
        <w:r w:rsidR="007324D7" w:rsidRPr="007146A8">
          <w:rPr>
            <w:rStyle w:val="Hyperlink"/>
          </w:rPr>
          <w:t>AHMAC Scheduling policy framework</w:t>
        </w:r>
        <w:r w:rsidR="007146A8" w:rsidRPr="007146A8">
          <w:rPr>
            <w:rStyle w:val="Hyperlink"/>
          </w:rPr>
          <w:t xml:space="preserve"> (SPF)</w:t>
        </w:r>
      </w:hyperlink>
      <w:r w:rsidR="007146A8">
        <w:t>.</w:t>
      </w:r>
    </w:p>
    <w:p w14:paraId="7C26E2B0" w14:textId="7F6D875D" w:rsidR="00AB51B9" w:rsidRDefault="00AB51B9" w:rsidP="002C74C4">
      <w:r>
        <w:t xml:space="preserve">All proposed changes to the Poisons Standard are considered by a delegate of the Secretary of the Commonwealth Department of Health (the Delegate) who is the decision maker. The Delegate may refer the proposed changes to the </w:t>
      </w:r>
      <w:hyperlink r:id="rId37" w:history="1">
        <w:r w:rsidRPr="005C6D19">
          <w:rPr>
            <w:rStyle w:val="Hyperlink"/>
          </w:rPr>
          <w:t>Advisory Committee on Medicines Scheduling (ACMS)</w:t>
        </w:r>
      </w:hyperlink>
      <w:r>
        <w:t xml:space="preserve">, the </w:t>
      </w:r>
      <w:hyperlink r:id="rId38" w:history="1">
        <w:r w:rsidRPr="005C6D19">
          <w:rPr>
            <w:rStyle w:val="Hyperlink"/>
          </w:rPr>
          <w:t>Advisory Committee on Chemicals Scheduling (ACCS)</w:t>
        </w:r>
      </w:hyperlink>
      <w:r>
        <w:t xml:space="preserve"> or a joint sitting of these committees for advice. Where proposed changes are referred to a committee, public consultation is undertaken. The public submissions and committee advice </w:t>
      </w:r>
      <w:r w:rsidR="007146A8">
        <w:t>inform the Delegate’s decision.</w:t>
      </w:r>
    </w:p>
    <w:p w14:paraId="494EACB2" w14:textId="12F23E50" w:rsidR="00AB51B9" w:rsidRPr="00AB51B9" w:rsidRDefault="00AB51B9" w:rsidP="00822AE4">
      <w:pPr>
        <w:pStyle w:val="Heading3"/>
      </w:pPr>
      <w:bookmarkStart w:id="40" w:name="_Toc59528501"/>
      <w:r w:rsidRPr="00AB51B9">
        <w:t>Applying for a new substance</w:t>
      </w:r>
      <w:bookmarkEnd w:id="40"/>
    </w:p>
    <w:p w14:paraId="19453A96" w14:textId="7D42C939" w:rsidR="00B72484" w:rsidRPr="004A6A86" w:rsidRDefault="00990297" w:rsidP="002C74C4">
      <w:r w:rsidRPr="00AB51B9">
        <w:t xml:space="preserve">If you would like to make an application for a new substance in a new product, this will </w:t>
      </w:r>
      <w:r w:rsidR="00D02122" w:rsidRPr="00AB51B9">
        <w:t xml:space="preserve">generally </w:t>
      </w:r>
      <w:r w:rsidRPr="00AB51B9">
        <w:t xml:space="preserve">be assessed by the relevant </w:t>
      </w:r>
      <w:r w:rsidR="00FE790A">
        <w:t>regulator</w:t>
      </w:r>
      <w:r w:rsidRPr="00AB51B9">
        <w:t xml:space="preserve">. </w:t>
      </w:r>
      <w:r w:rsidR="00B72484" w:rsidRPr="00AB51B9">
        <w:t>De</w:t>
      </w:r>
      <w:r w:rsidR="00B72484" w:rsidRPr="004A6A86">
        <w:t>pending on the substance and use-pattern, the following Commonwealth agencies have regulatory overs</w:t>
      </w:r>
      <w:r w:rsidR="00AB51B9">
        <w:t xml:space="preserve">ight and may be able to </w:t>
      </w:r>
      <w:r w:rsidR="00B72484" w:rsidRPr="004A6A86">
        <w:t xml:space="preserve">assist you with your </w:t>
      </w:r>
      <w:r w:rsidR="002F4FB5">
        <w:t>application</w:t>
      </w:r>
      <w:r w:rsidR="00B72484" w:rsidRPr="004A6A86">
        <w:t>:</w:t>
      </w:r>
    </w:p>
    <w:p w14:paraId="507B9AD8" w14:textId="2FFA0EB1" w:rsidR="002F4FB5" w:rsidRDefault="00FC55B6" w:rsidP="007146A8">
      <w:pPr>
        <w:pStyle w:val="ListBullet"/>
      </w:pPr>
      <w:hyperlink r:id="rId39" w:history="1">
        <w:r w:rsidR="002F4FB5" w:rsidRPr="002F4FB5">
          <w:rPr>
            <w:rStyle w:val="Hyperlink"/>
            <w:rFonts w:asciiTheme="minorHAnsi" w:hAnsiTheme="minorHAnsi"/>
          </w:rPr>
          <w:t>Therapeutic Goods Administration (TGA)</w:t>
        </w:r>
      </w:hyperlink>
      <w:r w:rsidR="00AB51B9">
        <w:t xml:space="preserve"> –</w:t>
      </w:r>
      <w:r w:rsidR="005C42F5">
        <w:t xml:space="preserve"> regulate </w:t>
      </w:r>
      <w:r w:rsidR="007146A8">
        <w:t>therapeutic goods</w:t>
      </w:r>
    </w:p>
    <w:p w14:paraId="0FE53B2D" w14:textId="6A8915B3" w:rsidR="00B72484" w:rsidRPr="004A6A86" w:rsidRDefault="00FC55B6" w:rsidP="007146A8">
      <w:pPr>
        <w:pStyle w:val="ListBullet"/>
      </w:pPr>
      <w:hyperlink r:id="rId40" w:history="1">
        <w:r w:rsidR="00B72484" w:rsidRPr="004A6A86">
          <w:rPr>
            <w:rStyle w:val="Hyperlink"/>
          </w:rPr>
          <w:t>Australian Pesticides and Veterinary Medicines Authority (APVMA)</w:t>
        </w:r>
      </w:hyperlink>
      <w:r w:rsidR="00AB51B9">
        <w:t xml:space="preserve"> -</w:t>
      </w:r>
      <w:r w:rsidR="00B72484" w:rsidRPr="004A6A86">
        <w:t xml:space="preserve"> </w:t>
      </w:r>
      <w:r w:rsidR="005C42F5">
        <w:t>regulate</w:t>
      </w:r>
      <w:r w:rsidR="00B72484" w:rsidRPr="004A6A86">
        <w:t xml:space="preserve"> all agricultural and veterinary chem</w:t>
      </w:r>
      <w:r w:rsidR="007146A8">
        <w:t>ical products</w:t>
      </w:r>
    </w:p>
    <w:p w14:paraId="538792EC" w14:textId="1A788B29" w:rsidR="00AB51B9" w:rsidRDefault="00FC55B6" w:rsidP="007146A8">
      <w:pPr>
        <w:pStyle w:val="ListBullet"/>
      </w:pPr>
      <w:hyperlink r:id="rId41" w:history="1">
        <w:r w:rsidR="00B72484" w:rsidRPr="004A6A86">
          <w:rPr>
            <w:rStyle w:val="Hyperlink"/>
          </w:rPr>
          <w:t>Food Standards Australia New Zealand (FSANZ)</w:t>
        </w:r>
      </w:hyperlink>
      <w:r w:rsidR="00B72484" w:rsidRPr="004A6A86">
        <w:t xml:space="preserve"> –</w:t>
      </w:r>
      <w:r w:rsidR="00AB51B9">
        <w:t xml:space="preserve"> </w:t>
      </w:r>
      <w:r w:rsidR="005C42F5">
        <w:t>develop</w:t>
      </w:r>
      <w:r w:rsidR="00B72484" w:rsidRPr="004A6A86">
        <w:t xml:space="preserve"> food standard</w:t>
      </w:r>
      <w:r w:rsidR="001B1C44">
        <w:t>s for Australia and New Zealand</w:t>
      </w:r>
    </w:p>
    <w:p w14:paraId="734FEE48" w14:textId="1F2A0C44" w:rsidR="00ED2D16" w:rsidRPr="00AB51B9" w:rsidRDefault="00FC55B6" w:rsidP="007146A8">
      <w:pPr>
        <w:pStyle w:val="ListBullet"/>
      </w:pPr>
      <w:hyperlink r:id="rId42" w:history="1">
        <w:r w:rsidR="005C42F5" w:rsidRPr="005C42F5">
          <w:rPr>
            <w:rStyle w:val="Hyperlink"/>
          </w:rPr>
          <w:t>Australian Industrial Chemicals Introduction Scheme (AICIS)</w:t>
        </w:r>
      </w:hyperlink>
      <w:r w:rsidR="005C42F5">
        <w:t xml:space="preserve"> - regulate the importation and manufacture of industrial chemicals from 1 July 2020 (previously</w:t>
      </w:r>
      <w:r w:rsidR="008A29EE">
        <w:t xml:space="preserve"> the</w:t>
      </w:r>
      <w:r w:rsidR="005C42F5">
        <w:t xml:space="preserve"> </w:t>
      </w:r>
      <w:r w:rsidR="00482285" w:rsidRPr="005C42F5">
        <w:t>National Industrial Chemicals Notification and As</w:t>
      </w:r>
      <w:r w:rsidR="005C42F5">
        <w:t>sessment Scheme (NICNAS))</w:t>
      </w:r>
    </w:p>
    <w:p w14:paraId="4F8B5568" w14:textId="6B0799AD" w:rsidR="00ED2D16" w:rsidRPr="008C76A3" w:rsidRDefault="00ED2D16" w:rsidP="008C76A3">
      <w:pPr>
        <w:pStyle w:val="Heading2"/>
      </w:pPr>
      <w:bookmarkStart w:id="41" w:name="_Toc59528502"/>
      <w:r w:rsidRPr="008C76A3">
        <w:lastRenderedPageBreak/>
        <w:t xml:space="preserve">Case </w:t>
      </w:r>
      <w:r w:rsidR="007146A8">
        <w:t>s</w:t>
      </w:r>
      <w:r w:rsidRPr="008C76A3">
        <w:t>tudy: Rachel wants to supply omeprazole</w:t>
      </w:r>
      <w:bookmarkEnd w:id="41"/>
    </w:p>
    <w:p w14:paraId="2F585292" w14:textId="15CC5527" w:rsidR="00ED2D16" w:rsidRDefault="00ED2D16" w:rsidP="008C76A3">
      <w:r>
        <w:t>Rachel wants to become a sponsor for a medicine used to treat g</w:t>
      </w:r>
      <w:r w:rsidR="007146A8">
        <w:t>astrointestinal reflux disease.</w:t>
      </w:r>
    </w:p>
    <w:p w14:paraId="6A647212" w14:textId="124A7B4E" w:rsidR="00ED2D16" w:rsidRDefault="00ED2D16" w:rsidP="008C76A3">
      <w:r>
        <w:t xml:space="preserve">The medicine contains the active </w:t>
      </w:r>
      <w:r w:rsidRPr="002C74C4">
        <w:t>ingredient omeprazole. She wants to supply packs containing 7or 14 tablets. The dosage unit is one 20</w:t>
      </w:r>
      <w:r w:rsidR="007146A8">
        <w:t xml:space="preserve"> mg strength tablet per day.</w:t>
      </w:r>
    </w:p>
    <w:p w14:paraId="2A78FDDF" w14:textId="1E458155" w:rsidR="00ED2D16" w:rsidRDefault="00ED2D16" w:rsidP="008C76A3">
      <w:r>
        <w:t xml:space="preserve">Rachel consults the Poisons Standard, and looks up omeprazole in the index. She sees that omeprazole is included in Schedule 4 (Prescription Only Medicine), Schedule 3 (Pharmacist Only Medicine) and </w:t>
      </w:r>
      <w:r w:rsidR="007146A8">
        <w:t>Schedule 2 (Pharmacy Medicine).</w:t>
      </w:r>
    </w:p>
    <w:p w14:paraId="7EB02BF9" w14:textId="77777777" w:rsidR="005E3751" w:rsidRDefault="00ED2D16" w:rsidP="008C76A3">
      <w:r>
        <w:t>Schedule 4 (Prescription Only Medicine) entry</w:t>
      </w:r>
      <w:r w:rsidR="008C76A3">
        <w:t xml:space="preserve"> example</w:t>
      </w:r>
      <w:r>
        <w:t>:</w:t>
      </w:r>
    </w:p>
    <w:p w14:paraId="4793F91A" w14:textId="77777777" w:rsidR="00ED2D16" w:rsidRDefault="00E94539" w:rsidP="005E3751">
      <w:r>
        <w:rPr>
          <w:noProof/>
          <w:lang w:eastAsia="en-AU"/>
        </w:rPr>
        <w:drawing>
          <wp:inline distT="0" distB="0" distL="0" distR="0" wp14:anchorId="01E42CB8" wp14:editId="0B69190A">
            <wp:extent cx="3522133" cy="203200"/>
            <wp:effectExtent l="76200" t="76200" r="135890" b="139700"/>
            <wp:docPr id="11" name="Picture 11" descr="OMEPRAZOLE except when included in Schedule 2 o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3544277" cy="204478"/>
                    </a:xfrm>
                    <a:prstGeom prst="rect">
                      <a:avLst/>
                    </a:prstGeom>
                    <a:ln w="3175">
                      <a:solidFill>
                        <a:schemeClr val="bg1">
                          <a:lumMod val="65000"/>
                        </a:schemeClr>
                      </a:solidFill>
                    </a:ln>
                    <a:effectLst>
                      <a:outerShdw blurRad="76200" dist="38100" dir="2400000" algn="tl" rotWithShape="0">
                        <a:srgbClr val="333333">
                          <a:alpha val="65000"/>
                        </a:srgbClr>
                      </a:outerShdw>
                    </a:effectLst>
                  </pic:spPr>
                </pic:pic>
              </a:graphicData>
            </a:graphic>
          </wp:inline>
        </w:drawing>
      </w:r>
    </w:p>
    <w:p w14:paraId="12C827D9" w14:textId="77777777" w:rsidR="00ED2D16" w:rsidRDefault="00E94539" w:rsidP="008C76A3">
      <w:r w:rsidRPr="00E94539">
        <w:t>Schedule 3 (Pharmacist Only Medicine) entry</w:t>
      </w:r>
      <w:r w:rsidR="008C76A3">
        <w:t xml:space="preserve"> example</w:t>
      </w:r>
      <w:r w:rsidRPr="00E94539">
        <w:t>:</w:t>
      </w:r>
    </w:p>
    <w:p w14:paraId="23AD7BA9" w14:textId="77777777" w:rsidR="00E94539" w:rsidRDefault="00E94539" w:rsidP="005E3751">
      <w:r>
        <w:rPr>
          <w:noProof/>
          <w:lang w:eastAsia="en-AU"/>
        </w:rPr>
        <w:drawing>
          <wp:inline distT="0" distB="0" distL="0" distR="0" wp14:anchorId="3670C498" wp14:editId="7E26439F">
            <wp:extent cx="5527343" cy="513759"/>
            <wp:effectExtent l="76200" t="76200" r="130810" b="133985"/>
            <wp:docPr id="12" name="Picture 12" descr="OMEPRAZOLE in oral preparations containing 20 mg or less of omeprazole per dosage unit for the relieve of heartburn and other symptoms of gastro-oesophagal reflux disease, in packs containing not more than 14 days' supply except when included in Schedu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548684" cy="515743"/>
                    </a:xfrm>
                    <a:prstGeom prst="rect">
                      <a:avLst/>
                    </a:prstGeom>
                    <a:ln w="3175">
                      <a:solidFill>
                        <a:schemeClr val="bg1">
                          <a:lumMod val="65000"/>
                        </a:schemeClr>
                      </a:solidFill>
                    </a:ln>
                    <a:effectLst>
                      <a:outerShdw blurRad="76200" dist="38100" dir="2400000" algn="tl" rotWithShape="0">
                        <a:srgbClr val="333333">
                          <a:alpha val="65000"/>
                        </a:srgbClr>
                      </a:outerShdw>
                    </a:effectLst>
                  </pic:spPr>
                </pic:pic>
              </a:graphicData>
            </a:graphic>
          </wp:inline>
        </w:drawing>
      </w:r>
    </w:p>
    <w:p w14:paraId="516DD557" w14:textId="77777777" w:rsidR="00E94539" w:rsidRDefault="00E94539" w:rsidP="005E3751">
      <w:r w:rsidRPr="008C76A3">
        <w:t>Schedule 2 (Pharmacy Medicine) entry</w:t>
      </w:r>
      <w:r w:rsidR="008C76A3">
        <w:t xml:space="preserve"> example</w:t>
      </w:r>
      <w:r w:rsidRPr="008C76A3">
        <w:t>:</w:t>
      </w:r>
      <w:r w:rsidRPr="00E94539">
        <w:rPr>
          <w:noProof/>
          <w:lang w:eastAsia="en-AU"/>
        </w:rPr>
        <w:t xml:space="preserve"> </w:t>
      </w:r>
      <w:r>
        <w:rPr>
          <w:noProof/>
          <w:lang w:eastAsia="en-AU"/>
        </w:rPr>
        <w:drawing>
          <wp:inline distT="0" distB="0" distL="0" distR="0" wp14:anchorId="7D0A67C6" wp14:editId="6C9033D7">
            <wp:extent cx="5544890" cy="539087"/>
            <wp:effectExtent l="76200" t="76200" r="132080" b="128270"/>
            <wp:docPr id="13" name="Picture 13" descr="OMEPRAZOLE in oral preparations containing 20 mg or less of omeprazole per dosage unit for the relief of heartburn and other symptoms of gastro-oesophageal reflux disease, in packs containing not more than 7 days'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558932" cy="540452"/>
                    </a:xfrm>
                    <a:prstGeom prst="rect">
                      <a:avLst/>
                    </a:prstGeom>
                    <a:ln w="3175">
                      <a:solidFill>
                        <a:schemeClr val="bg1">
                          <a:lumMod val="65000"/>
                        </a:schemeClr>
                      </a:solidFill>
                    </a:ln>
                    <a:effectLst>
                      <a:outerShdw blurRad="76200" dist="38100" dir="2400000" algn="tl" rotWithShape="0">
                        <a:srgbClr val="333333">
                          <a:alpha val="65000"/>
                        </a:srgbClr>
                      </a:outerShdw>
                    </a:effectLst>
                  </pic:spPr>
                </pic:pic>
              </a:graphicData>
            </a:graphic>
          </wp:inline>
        </w:drawing>
      </w:r>
    </w:p>
    <w:p w14:paraId="7D9E475D" w14:textId="163A58BE" w:rsidR="00E94539" w:rsidRDefault="00E94539" w:rsidP="008C76A3">
      <w:r>
        <w:t xml:space="preserve">To fully understand the </w:t>
      </w:r>
      <w:r w:rsidR="00682CB5">
        <w:t>S</w:t>
      </w:r>
      <w:r>
        <w:t>chedule 4 requirement, Rachel must read Schedule</w:t>
      </w:r>
      <w:r w:rsidR="00F22A7E">
        <w:t>s 3 and 2 to gain full context.</w:t>
      </w:r>
    </w:p>
    <w:p w14:paraId="3C24B60B" w14:textId="7F0E52D7" w:rsidR="00E94539" w:rsidRDefault="00E94539" w:rsidP="008C76A3">
      <w:r w:rsidRPr="006A5CE2">
        <w:t xml:space="preserve">The daily dose for </w:t>
      </w:r>
      <w:r>
        <w:t xml:space="preserve">Rachel’s product is </w:t>
      </w:r>
      <w:r w:rsidRPr="006A5CE2">
        <w:t>20 mg</w:t>
      </w:r>
      <w:r>
        <w:t xml:space="preserve"> of omeprazole</w:t>
      </w:r>
      <w:r w:rsidRPr="006A5CE2">
        <w:t xml:space="preserve">, so </w:t>
      </w:r>
      <w:r>
        <w:t xml:space="preserve">the 7-tablet </w:t>
      </w:r>
      <w:r w:rsidRPr="006A5CE2">
        <w:t>pack</w:t>
      </w:r>
      <w:r>
        <w:t xml:space="preserve"> c</w:t>
      </w:r>
      <w:r w:rsidRPr="006A5CE2">
        <w:t xml:space="preserve">an be supplied as a </w:t>
      </w:r>
      <w:r>
        <w:t>S</w:t>
      </w:r>
      <w:r w:rsidRPr="006A5CE2">
        <w:t>chedule 2 Pharmacy Medicine</w:t>
      </w:r>
      <w:r>
        <w:t>. T</w:t>
      </w:r>
      <w:r w:rsidRPr="006A5CE2">
        <w:t xml:space="preserve">he 14-tablet pack must be supplied as a </w:t>
      </w:r>
      <w:r>
        <w:t>S</w:t>
      </w:r>
      <w:r w:rsidRPr="006A5CE2">
        <w:t>ched</w:t>
      </w:r>
      <w:r w:rsidR="00F22A7E">
        <w:t>ule 3 Pharmacist Only Medicine.</w:t>
      </w:r>
    </w:p>
    <w:p w14:paraId="67689631" w14:textId="6B90D789" w:rsidR="00E94539" w:rsidRDefault="00E94539" w:rsidP="008C76A3">
      <w:r>
        <w:t xml:space="preserve">To supply her product, she will need to apply for </w:t>
      </w:r>
      <w:hyperlink r:id="rId46" w:history="1">
        <w:r w:rsidRPr="00A83C9A">
          <w:rPr>
            <w:rStyle w:val="Hyperlink"/>
          </w:rPr>
          <w:t>market authorisation</w:t>
        </w:r>
      </w:hyperlink>
      <w:r>
        <w:t xml:space="preserve"> under the</w:t>
      </w:r>
      <w:r w:rsidR="00F22A7E">
        <w:t xml:space="preserve"> conditions of these schedules.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94539" w:rsidRPr="00215D48" w14:paraId="65818C18" w14:textId="77777777" w:rsidTr="002C2B67">
        <w:tc>
          <w:tcPr>
            <w:tcW w:w="1276" w:type="dxa"/>
            <w:vAlign w:val="center"/>
          </w:tcPr>
          <w:p w14:paraId="3256B99B" w14:textId="77777777" w:rsidR="00E94539" w:rsidRPr="00215D48" w:rsidRDefault="00E94539" w:rsidP="008C76A3">
            <w:r w:rsidRPr="00215D48">
              <w:rPr>
                <w:noProof/>
                <w:lang w:eastAsia="en-AU"/>
              </w:rPr>
              <w:drawing>
                <wp:inline distT="0" distB="0" distL="0" distR="0" wp14:anchorId="7FD52D30" wp14:editId="30337656">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41B470D" w14:textId="77777777" w:rsidR="00E94539" w:rsidRPr="00B50E1B" w:rsidRDefault="00E94539" w:rsidP="008C76A3">
            <w:r w:rsidRPr="00B50E1B">
              <w:t>Note that the scheduling details for omeprazole are accurate at the time of publishing. Please refer to the current Poisons Standard for the most recent scheduling information.</w:t>
            </w:r>
          </w:p>
        </w:tc>
      </w:tr>
    </w:tbl>
    <w:bookmarkEnd w:id="0"/>
    <w:bookmarkEnd w:id="1"/>
    <w:p w14:paraId="35E874C6" w14:textId="77777777" w:rsidR="001A3190" w:rsidRPr="00215D48" w:rsidRDefault="001A3190" w:rsidP="006D38B8">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4F08FDAD" w14:textId="77777777" w:rsidTr="002C2B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1D493AB" w14:textId="77777777" w:rsidR="001A3190" w:rsidRPr="00215D48" w:rsidRDefault="001A3190" w:rsidP="002C2B67">
            <w:bookmarkStart w:id="42" w:name="ColumnTitle_4"/>
            <w:r w:rsidRPr="00215D48">
              <w:t>Version</w:t>
            </w:r>
          </w:p>
        </w:tc>
        <w:tc>
          <w:tcPr>
            <w:tcW w:w="3242" w:type="dxa"/>
          </w:tcPr>
          <w:p w14:paraId="4331C264" w14:textId="77777777" w:rsidR="001A3190" w:rsidRPr="00215D48" w:rsidRDefault="001A3190" w:rsidP="002C2B67">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6FB43CD" w14:textId="77777777" w:rsidR="001A3190" w:rsidRPr="00215D48" w:rsidRDefault="001A3190" w:rsidP="002C2B67">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06508A2" w14:textId="77777777" w:rsidR="001A3190" w:rsidRPr="00215D48" w:rsidRDefault="001A3190" w:rsidP="002C2B67">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2"/>
      <w:tr w:rsidR="001A3190" w:rsidRPr="00215D48" w14:paraId="71B0919F" w14:textId="77777777" w:rsidTr="002C2B6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6F8B2FC" w14:textId="77777777" w:rsidR="001A3190" w:rsidRPr="00215D48" w:rsidRDefault="001A3190" w:rsidP="002C2B67">
            <w:r w:rsidRPr="00215D48">
              <w:t>V1.0</w:t>
            </w:r>
          </w:p>
        </w:tc>
        <w:tc>
          <w:tcPr>
            <w:tcW w:w="3242" w:type="dxa"/>
          </w:tcPr>
          <w:p w14:paraId="2DF73EEC" w14:textId="77777777" w:rsidR="001A3190" w:rsidRPr="00215D48" w:rsidRDefault="001A3190" w:rsidP="002C2B67">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0135A141" w14:textId="77777777" w:rsidR="001A3190" w:rsidRPr="00215D48" w:rsidRDefault="008C76A3" w:rsidP="002C2B67">
            <w:pPr>
              <w:cnfStyle w:val="000000000000" w:firstRow="0" w:lastRow="0" w:firstColumn="0" w:lastColumn="0" w:oddVBand="0" w:evenVBand="0" w:oddHBand="0" w:evenHBand="0" w:firstRowFirstColumn="0" w:firstRowLastColumn="0" w:lastRowFirstColumn="0" w:lastRowLastColumn="0"/>
            </w:pPr>
            <w:r w:rsidRPr="008C76A3">
              <w:t>Regulatory Engagement, Education &amp; Planning Branch</w:t>
            </w:r>
          </w:p>
        </w:tc>
        <w:tc>
          <w:tcPr>
            <w:tcW w:w="1808" w:type="dxa"/>
          </w:tcPr>
          <w:p w14:paraId="0177F2F7" w14:textId="732C90F3" w:rsidR="001A3190" w:rsidRPr="00215D48" w:rsidRDefault="00F22A7E" w:rsidP="00793194">
            <w:pPr>
              <w:cnfStyle w:val="000000000000" w:firstRow="0" w:lastRow="0" w:firstColumn="0" w:lastColumn="0" w:oddVBand="0" w:evenVBand="0" w:oddHBand="0" w:evenHBand="0" w:firstRowFirstColumn="0" w:firstRowLastColumn="0" w:lastRowFirstColumn="0" w:lastRowLastColumn="0"/>
            </w:pPr>
            <w:r>
              <w:t>Dec</w:t>
            </w:r>
            <w:r w:rsidR="009A19A1">
              <w:t>ember</w:t>
            </w:r>
            <w:r w:rsidR="008C76A3">
              <w:t xml:space="preserve"> 2020</w:t>
            </w:r>
          </w:p>
        </w:tc>
      </w:tr>
    </w:tbl>
    <w:p w14:paraId="1DCF6654" w14:textId="77777777" w:rsidR="00F401EF" w:rsidRPr="00215D48" w:rsidRDefault="00F401EF" w:rsidP="00706634">
      <w:pPr>
        <w:spacing w:before="0" w:after="0" w:line="240" w:lineRule="auto"/>
        <w:rPr>
          <w:sz w:val="20"/>
        </w:rPr>
        <w:sectPr w:rsidR="00F401EF" w:rsidRPr="00215D48" w:rsidSect="0029069E">
          <w:headerReference w:type="default" r:id="rId47"/>
          <w:footerReference w:type="default" r:id="rId4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5509F52F" w14:textId="77777777" w:rsidTr="002C2B67">
        <w:trPr>
          <w:trHeight w:hRule="exact" w:val="565"/>
          <w:jc w:val="center"/>
        </w:trPr>
        <w:tc>
          <w:tcPr>
            <w:tcW w:w="9145" w:type="dxa"/>
          </w:tcPr>
          <w:p w14:paraId="38955C7D" w14:textId="77777777" w:rsidR="00C50E5C" w:rsidRPr="00215D48" w:rsidRDefault="00C50E5C" w:rsidP="002C2B67">
            <w:pPr>
              <w:pStyle w:val="TGASignoff"/>
            </w:pPr>
            <w:r w:rsidRPr="00215D48">
              <w:lastRenderedPageBreak/>
              <w:t>Therapeutic Goods Administration</w:t>
            </w:r>
          </w:p>
        </w:tc>
      </w:tr>
      <w:tr w:rsidR="00C50E5C" w:rsidRPr="00215D48" w14:paraId="30D8A18A" w14:textId="77777777" w:rsidTr="002C2B67">
        <w:trPr>
          <w:trHeight w:val="963"/>
          <w:jc w:val="center"/>
        </w:trPr>
        <w:tc>
          <w:tcPr>
            <w:tcW w:w="9145" w:type="dxa"/>
            <w:tcMar>
              <w:top w:w="28" w:type="dxa"/>
            </w:tcMar>
          </w:tcPr>
          <w:p w14:paraId="7A0FFABD" w14:textId="77777777" w:rsidR="00C50E5C" w:rsidRPr="00215D48" w:rsidRDefault="00C50E5C" w:rsidP="00EB5622">
            <w:pPr>
              <w:pStyle w:val="Address"/>
              <w:jc w:val="center"/>
            </w:pPr>
            <w:r w:rsidRPr="00215D48">
              <w:t>PO Box 100 Woden ACT 2606 Australia</w:t>
            </w:r>
          </w:p>
          <w:p w14:paraId="52132FBA" w14:textId="77777777" w:rsidR="001A3190" w:rsidRDefault="00C50E5C">
            <w:pPr>
              <w:pStyle w:val="Address"/>
              <w:jc w:val="center"/>
              <w:rPr>
                <w:sz w:val="22"/>
                <w:szCs w:val="22"/>
              </w:rPr>
            </w:pPr>
            <w:r w:rsidRPr="00215D48">
              <w:t xml:space="preserve">Email: </w:t>
            </w:r>
            <w:hyperlink r:id="rId49" w:history="1">
              <w:r w:rsidRPr="00215D48">
                <w:rPr>
                  <w:rStyle w:val="Hyperlink"/>
                </w:rPr>
                <w:t>info@tga.gov.au</w:t>
              </w:r>
            </w:hyperlink>
            <w:r w:rsidRPr="00215D48">
              <w:t xml:space="preserve">  Phone: 1800 020 653  Fax: </w:t>
            </w:r>
            <w:r w:rsidR="001A3190" w:rsidRPr="00BA0DFC">
              <w:t>02 6203 1605</w:t>
            </w:r>
          </w:p>
          <w:p w14:paraId="451AD134" w14:textId="77777777" w:rsidR="00C50E5C" w:rsidRPr="00215D48" w:rsidRDefault="00FC55B6">
            <w:pPr>
              <w:pStyle w:val="Address"/>
              <w:jc w:val="center"/>
              <w:rPr>
                <w:rStyle w:val="Hyperlink"/>
                <w:b/>
                <w:color w:val="auto"/>
                <w:sz w:val="22"/>
                <w:u w:val="none"/>
              </w:rPr>
            </w:pPr>
            <w:hyperlink r:id="rId50" w:history="1">
              <w:r w:rsidR="00215D48" w:rsidRPr="00C4721A">
                <w:rPr>
                  <w:rStyle w:val="Hyperlink"/>
                  <w:b/>
                </w:rPr>
                <w:t>https://www.tga.gov.au</w:t>
              </w:r>
            </w:hyperlink>
          </w:p>
        </w:tc>
      </w:tr>
      <w:tr w:rsidR="00C50E5C" w:rsidRPr="00215D48" w14:paraId="59044EA0" w14:textId="77777777" w:rsidTr="002C2B67">
        <w:trPr>
          <w:trHeight w:val="251"/>
          <w:jc w:val="center"/>
        </w:trPr>
        <w:tc>
          <w:tcPr>
            <w:tcW w:w="9145" w:type="dxa"/>
            <w:tcMar>
              <w:top w:w="28" w:type="dxa"/>
            </w:tcMar>
          </w:tcPr>
          <w:p w14:paraId="01BA0952" w14:textId="77777777" w:rsidR="00C50E5C" w:rsidRPr="00215D48" w:rsidRDefault="00C50E5C" w:rsidP="00EB5622">
            <w:pPr>
              <w:pStyle w:val="Address"/>
              <w:jc w:val="center"/>
            </w:pPr>
          </w:p>
        </w:tc>
      </w:tr>
    </w:tbl>
    <w:p w14:paraId="1549470B" w14:textId="77777777" w:rsidR="00706634" w:rsidRPr="00215D48" w:rsidRDefault="00706634" w:rsidP="004A3084">
      <w:pPr>
        <w:rPr>
          <w:sz w:val="20"/>
        </w:rPr>
      </w:pPr>
    </w:p>
    <w:sectPr w:rsidR="00706634" w:rsidRPr="00215D48" w:rsidSect="0029069E">
      <w:headerReference w:type="first" r:id="rId51"/>
      <w:footerReference w:type="first" r:id="rId5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52B0" w14:textId="77777777" w:rsidR="008D4096" w:rsidRDefault="008D4096" w:rsidP="00C40A36">
      <w:pPr>
        <w:spacing w:after="0"/>
      </w:pPr>
      <w:r>
        <w:separator/>
      </w:r>
    </w:p>
  </w:endnote>
  <w:endnote w:type="continuationSeparator" w:id="0">
    <w:p w14:paraId="7FCAB810" w14:textId="77777777" w:rsidR="008D4096" w:rsidRDefault="008D409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D4096" w:rsidRPr="00257138" w14:paraId="575B6BDD" w14:textId="77777777" w:rsidTr="000B30E5">
      <w:trPr>
        <w:trHeight w:val="423"/>
      </w:trPr>
      <w:tc>
        <w:tcPr>
          <w:tcW w:w="4360" w:type="dxa"/>
          <w:tcBorders>
            <w:top w:val="single" w:sz="4" w:space="0" w:color="auto"/>
          </w:tcBorders>
        </w:tcPr>
        <w:p w14:paraId="0138EE68" w14:textId="77777777" w:rsidR="008D4096" w:rsidRDefault="008D4096" w:rsidP="000B30E5">
          <w:pPr>
            <w:pStyle w:val="Footer"/>
          </w:pPr>
        </w:p>
        <w:p w14:paraId="001EBDC3" w14:textId="77777777" w:rsidR="008D4096" w:rsidRPr="00257138" w:rsidRDefault="008D4096"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6629B3D" w14:textId="77777777" w:rsidR="008D4096" w:rsidRDefault="008D4096" w:rsidP="000B30E5">
              <w:pPr>
                <w:pStyle w:val="Footer"/>
                <w:jc w:val="right"/>
              </w:pPr>
            </w:p>
            <w:p w14:paraId="7FEA3760" w14:textId="77777777" w:rsidR="008D4096" w:rsidRPr="00257138" w:rsidRDefault="008D4096"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8D4096" w:rsidRPr="00257138" w14:paraId="3411C131" w14:textId="77777777" w:rsidTr="000B30E5">
      <w:trPr>
        <w:trHeight w:val="263"/>
      </w:trPr>
      <w:tc>
        <w:tcPr>
          <w:tcW w:w="4360" w:type="dxa"/>
        </w:tcPr>
        <w:p w14:paraId="6945DF37" w14:textId="77777777" w:rsidR="008D4096" w:rsidRPr="00257138" w:rsidRDefault="008D4096" w:rsidP="000B30E5">
          <w:pPr>
            <w:pStyle w:val="Footer"/>
          </w:pPr>
          <w:r w:rsidRPr="00257138">
            <w:t xml:space="preserve">V1.0 </w:t>
          </w:r>
          <w:r>
            <w:t>Month</w:t>
          </w:r>
          <w:r w:rsidRPr="00257138">
            <w:t xml:space="preserve"> 201</w:t>
          </w:r>
          <w:r>
            <w:t>2</w:t>
          </w:r>
        </w:p>
      </w:tc>
      <w:tc>
        <w:tcPr>
          <w:tcW w:w="4360" w:type="dxa"/>
        </w:tcPr>
        <w:p w14:paraId="38912A55" w14:textId="77777777" w:rsidR="008D4096" w:rsidRPr="00257138" w:rsidRDefault="008D4096" w:rsidP="000B30E5">
          <w:pPr>
            <w:pStyle w:val="Footer"/>
            <w:jc w:val="right"/>
          </w:pPr>
        </w:p>
      </w:tc>
    </w:tr>
  </w:tbl>
  <w:p w14:paraId="282D4520" w14:textId="77777777" w:rsidR="008D4096" w:rsidRPr="00826007" w:rsidRDefault="008D4096"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ACF1" w14:textId="77777777" w:rsidR="008D4096" w:rsidRDefault="008D4096"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D4096" w:rsidRPr="004A3084" w14:paraId="43CE589D" w14:textId="77777777" w:rsidTr="00231E8D">
      <w:trPr>
        <w:trHeight w:val="423"/>
      </w:trPr>
      <w:tc>
        <w:tcPr>
          <w:tcW w:w="7338" w:type="dxa"/>
          <w:tcBorders>
            <w:top w:val="single" w:sz="4" w:space="0" w:color="auto"/>
          </w:tcBorders>
        </w:tcPr>
        <w:p w14:paraId="64F92A52" w14:textId="451BDC17" w:rsidR="008D4096" w:rsidRPr="004A3084" w:rsidRDefault="008D4096" w:rsidP="00C03502">
          <w:pPr>
            <w:pStyle w:val="Footer"/>
          </w:pPr>
          <w:r>
            <w:t>Introduction to the Poisons Standard</w:t>
          </w:r>
          <w:r w:rsidRPr="004A3084">
            <w:t xml:space="preserve"> </w:t>
          </w:r>
          <w:r w:rsidR="00C03502">
            <w:br/>
            <w:t>V1.0 December</w:t>
          </w:r>
          <w:r>
            <w:t xml:space="preserve"> 2020</w:t>
          </w:r>
        </w:p>
      </w:tc>
      <w:tc>
        <w:tcPr>
          <w:tcW w:w="1382" w:type="dxa"/>
          <w:tcBorders>
            <w:top w:val="single" w:sz="4" w:space="0" w:color="auto"/>
          </w:tcBorders>
        </w:tcPr>
        <w:sdt>
          <w:sdtPr>
            <w:id w:val="11571659"/>
            <w:docPartObj>
              <w:docPartGallery w:val="Page Numbers (Top of Page)"/>
              <w:docPartUnique/>
            </w:docPartObj>
          </w:sdtPr>
          <w:sdtEndPr/>
          <w:sdtContent>
            <w:p w14:paraId="45D97E48" w14:textId="2EDA60F0" w:rsidR="008D4096" w:rsidRPr="004A3084" w:rsidRDefault="008D4096" w:rsidP="00231E8D">
              <w:pPr>
                <w:pStyle w:val="Footer"/>
                <w:jc w:val="right"/>
              </w:pPr>
              <w:r w:rsidRPr="004A3084">
                <w:t xml:space="preserve">Page </w:t>
              </w:r>
              <w:r>
                <w:fldChar w:fldCharType="begin"/>
              </w:r>
              <w:r>
                <w:instrText xml:space="preserve"> PAGE </w:instrText>
              </w:r>
              <w:r>
                <w:fldChar w:fldCharType="separate"/>
              </w:r>
              <w:r w:rsidR="00FC55B6">
                <w:rPr>
                  <w:noProof/>
                </w:rPr>
                <w:t>13</w:t>
              </w:r>
              <w:r>
                <w:rPr>
                  <w:noProof/>
                </w:rPr>
                <w:fldChar w:fldCharType="end"/>
              </w:r>
              <w:r w:rsidRPr="004A3084">
                <w:t xml:space="preserve"> of </w:t>
              </w:r>
              <w:fldSimple w:instr=" NUMPAGES  ">
                <w:r w:rsidR="00FC55B6">
                  <w:rPr>
                    <w:noProof/>
                  </w:rPr>
                  <w:t>14</w:t>
                </w:r>
              </w:fldSimple>
            </w:p>
          </w:sdtContent>
        </w:sdt>
      </w:tc>
    </w:tr>
  </w:tbl>
  <w:p w14:paraId="5E2A4B50" w14:textId="77777777" w:rsidR="008D4096" w:rsidRPr="00826007" w:rsidRDefault="008D4096"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B7C8" w14:textId="77777777" w:rsidR="008D4096" w:rsidRPr="008E3C43" w:rsidRDefault="008D4096"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AC4BC" w14:textId="77777777" w:rsidR="008D4096" w:rsidRDefault="008D4096" w:rsidP="00C40A36">
      <w:pPr>
        <w:spacing w:after="0"/>
      </w:pPr>
      <w:r>
        <w:separator/>
      </w:r>
    </w:p>
  </w:footnote>
  <w:footnote w:type="continuationSeparator" w:id="0">
    <w:p w14:paraId="65DAA610" w14:textId="77777777" w:rsidR="008D4096" w:rsidRDefault="008D4096"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D815F" w14:textId="77777777" w:rsidR="008D4096" w:rsidRDefault="00FC55B6" w:rsidP="00C3408D">
    <w:pPr>
      <w:pStyle w:val="Header"/>
    </w:pPr>
    <w:sdt>
      <w:sdtPr>
        <w:id w:val="-203553135"/>
        <w:docPartObj>
          <w:docPartGallery w:val="Watermarks"/>
          <w:docPartUnique/>
        </w:docPartObj>
      </w:sdtPr>
      <w:sdtEndPr/>
      <w:sdtContent>
        <w:r>
          <w:rPr>
            <w:noProof/>
          </w:rPr>
          <w:pict w14:anchorId="62C15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8D4096"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D4096" w:rsidRPr="002B29B2" w14:paraId="62D01B33" w14:textId="77777777" w:rsidTr="00F71E1E">
      <w:trPr>
        <w:trHeight w:hRule="exact" w:val="8845"/>
      </w:trPr>
      <w:tc>
        <w:tcPr>
          <w:tcW w:w="11964" w:type="dxa"/>
          <w:vAlign w:val="center"/>
        </w:tcPr>
        <w:p w14:paraId="7FE3D786" w14:textId="77777777" w:rsidR="008D4096" w:rsidRPr="002B29B2" w:rsidRDefault="00FC55B6" w:rsidP="006A2426">
          <w:pPr>
            <w:ind w:left="-57"/>
            <w:rPr>
              <w:noProof/>
            </w:rPr>
          </w:pPr>
          <w:sdt>
            <w:sdtPr>
              <w:rPr>
                <w:noProof/>
              </w:rPr>
              <w:id w:val="1926993388"/>
              <w:showingPlcHdr/>
              <w:picture/>
            </w:sdtPr>
            <w:sdtEndPr/>
            <w:sdtContent>
              <w:r w:rsidR="008D4096" w:rsidRPr="00F71E1E">
                <w:rPr>
                  <w:noProof/>
                  <w:lang w:eastAsia="en-AU"/>
                </w:rPr>
                <w:drawing>
                  <wp:inline distT="0" distB="0" distL="0" distR="0" wp14:anchorId="2DDB2FF8" wp14:editId="4CCC07DF">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64B0668A" w14:textId="77777777" w:rsidR="008D4096" w:rsidRDefault="008D4096" w:rsidP="006D03E5">
    <w:pPr>
      <w:rPr>
        <w:noProof/>
      </w:rPr>
    </w:pPr>
    <w:r>
      <w:rPr>
        <w:noProof/>
        <w:lang w:eastAsia="en-AU"/>
      </w:rPr>
      <w:drawing>
        <wp:anchor distT="0" distB="0" distL="114300" distR="114300" simplePos="0" relativeHeight="251664384" behindDoc="0" locked="0" layoutInCell="1" allowOverlap="1" wp14:anchorId="4A56DA7E" wp14:editId="0108DD82">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4C266D83" wp14:editId="794417A6">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F66D" w14:textId="77777777" w:rsidR="008D4096" w:rsidRDefault="008D4096"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D68A" w14:textId="77777777" w:rsidR="008D4096" w:rsidRPr="00FE501F" w:rsidRDefault="008D4096"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19B6AC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77595"/>
    <w:multiLevelType w:val="hybridMultilevel"/>
    <w:tmpl w:val="2FCA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CD24F9E"/>
    <w:multiLevelType w:val="hybridMultilevel"/>
    <w:tmpl w:val="40A44B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2955AE9"/>
    <w:multiLevelType w:val="hybridMultilevel"/>
    <w:tmpl w:val="ACC80680"/>
    <w:lvl w:ilvl="0" w:tplc="C592F0B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F53C15"/>
    <w:multiLevelType w:val="hybridMultilevel"/>
    <w:tmpl w:val="436C0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5"/>
  </w:num>
  <w:num w:numId="19">
    <w:abstractNumId w:val="9"/>
  </w:num>
  <w:num w:numId="20">
    <w:abstractNumId w:val="10"/>
  </w:num>
  <w:num w:numId="21">
    <w:abstractNumId w:val="8"/>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51"/>
    <w:rsid w:val="00002031"/>
    <w:rsid w:val="000040BA"/>
    <w:rsid w:val="00004734"/>
    <w:rsid w:val="00006B22"/>
    <w:rsid w:val="00010E4D"/>
    <w:rsid w:val="0001276A"/>
    <w:rsid w:val="00016BEB"/>
    <w:rsid w:val="000246AE"/>
    <w:rsid w:val="00025C67"/>
    <w:rsid w:val="00025CEE"/>
    <w:rsid w:val="00032FFB"/>
    <w:rsid w:val="0005559E"/>
    <w:rsid w:val="00066B31"/>
    <w:rsid w:val="000703AB"/>
    <w:rsid w:val="00077775"/>
    <w:rsid w:val="00090471"/>
    <w:rsid w:val="000934A6"/>
    <w:rsid w:val="00094B57"/>
    <w:rsid w:val="000A18EA"/>
    <w:rsid w:val="000A1969"/>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27E6"/>
    <w:rsid w:val="001843C6"/>
    <w:rsid w:val="001850E0"/>
    <w:rsid w:val="0018660B"/>
    <w:rsid w:val="00190505"/>
    <w:rsid w:val="00192AAA"/>
    <w:rsid w:val="001A3190"/>
    <w:rsid w:val="001A525F"/>
    <w:rsid w:val="001B09F9"/>
    <w:rsid w:val="001B1C44"/>
    <w:rsid w:val="001B6448"/>
    <w:rsid w:val="001C3A9E"/>
    <w:rsid w:val="001D7224"/>
    <w:rsid w:val="001E07CF"/>
    <w:rsid w:val="001E275A"/>
    <w:rsid w:val="001E59F1"/>
    <w:rsid w:val="001F124F"/>
    <w:rsid w:val="001F20F9"/>
    <w:rsid w:val="001F49EB"/>
    <w:rsid w:val="001F6CBA"/>
    <w:rsid w:val="00201D4E"/>
    <w:rsid w:val="002118EA"/>
    <w:rsid w:val="00215D48"/>
    <w:rsid w:val="00217091"/>
    <w:rsid w:val="00220B8A"/>
    <w:rsid w:val="002257F3"/>
    <w:rsid w:val="00231E8D"/>
    <w:rsid w:val="00233456"/>
    <w:rsid w:val="002339A5"/>
    <w:rsid w:val="00237691"/>
    <w:rsid w:val="002452EF"/>
    <w:rsid w:val="00247FB9"/>
    <w:rsid w:val="002518A2"/>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2B67"/>
    <w:rsid w:val="002C2E76"/>
    <w:rsid w:val="002C376C"/>
    <w:rsid w:val="002C6E9C"/>
    <w:rsid w:val="002C74C4"/>
    <w:rsid w:val="002E193A"/>
    <w:rsid w:val="002E364F"/>
    <w:rsid w:val="002E4C9A"/>
    <w:rsid w:val="002F11F8"/>
    <w:rsid w:val="002F260A"/>
    <w:rsid w:val="002F3F56"/>
    <w:rsid w:val="002F44B5"/>
    <w:rsid w:val="002F4FB5"/>
    <w:rsid w:val="00300350"/>
    <w:rsid w:val="00301FA3"/>
    <w:rsid w:val="00311AC0"/>
    <w:rsid w:val="00323F14"/>
    <w:rsid w:val="003252DE"/>
    <w:rsid w:val="00331DBB"/>
    <w:rsid w:val="00335C3B"/>
    <w:rsid w:val="003361D1"/>
    <w:rsid w:val="00344E9D"/>
    <w:rsid w:val="00350236"/>
    <w:rsid w:val="0035146C"/>
    <w:rsid w:val="003521E8"/>
    <w:rsid w:val="00357700"/>
    <w:rsid w:val="0036361E"/>
    <w:rsid w:val="003664BF"/>
    <w:rsid w:val="003728F3"/>
    <w:rsid w:val="00376793"/>
    <w:rsid w:val="003843F6"/>
    <w:rsid w:val="00386FA1"/>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40A2D"/>
    <w:rsid w:val="00442DA9"/>
    <w:rsid w:val="0045040C"/>
    <w:rsid w:val="004564A7"/>
    <w:rsid w:val="004617BF"/>
    <w:rsid w:val="00473864"/>
    <w:rsid w:val="00482285"/>
    <w:rsid w:val="00483D37"/>
    <w:rsid w:val="00487A61"/>
    <w:rsid w:val="004923FF"/>
    <w:rsid w:val="004927EC"/>
    <w:rsid w:val="00494CA4"/>
    <w:rsid w:val="00494E60"/>
    <w:rsid w:val="0049734C"/>
    <w:rsid w:val="004A3084"/>
    <w:rsid w:val="004B7B76"/>
    <w:rsid w:val="004C0070"/>
    <w:rsid w:val="004C100A"/>
    <w:rsid w:val="004C14C2"/>
    <w:rsid w:val="004C4096"/>
    <w:rsid w:val="004C6E9B"/>
    <w:rsid w:val="004D51A6"/>
    <w:rsid w:val="004F0F38"/>
    <w:rsid w:val="004F1240"/>
    <w:rsid w:val="004F40D8"/>
    <w:rsid w:val="004F484B"/>
    <w:rsid w:val="00501921"/>
    <w:rsid w:val="00523FB1"/>
    <w:rsid w:val="0052449E"/>
    <w:rsid w:val="005255F9"/>
    <w:rsid w:val="00530354"/>
    <w:rsid w:val="00535D83"/>
    <w:rsid w:val="0054053C"/>
    <w:rsid w:val="00541FD8"/>
    <w:rsid w:val="005423EF"/>
    <w:rsid w:val="005434C6"/>
    <w:rsid w:val="00543B39"/>
    <w:rsid w:val="00550096"/>
    <w:rsid w:val="0055444C"/>
    <w:rsid w:val="0055653F"/>
    <w:rsid w:val="00557FF9"/>
    <w:rsid w:val="00560037"/>
    <w:rsid w:val="00567A2E"/>
    <w:rsid w:val="0057564C"/>
    <w:rsid w:val="00576378"/>
    <w:rsid w:val="00577E38"/>
    <w:rsid w:val="0058187F"/>
    <w:rsid w:val="00584285"/>
    <w:rsid w:val="00585322"/>
    <w:rsid w:val="0059345B"/>
    <w:rsid w:val="00593AD1"/>
    <w:rsid w:val="005A1131"/>
    <w:rsid w:val="005B6DDC"/>
    <w:rsid w:val="005C42F5"/>
    <w:rsid w:val="005C5570"/>
    <w:rsid w:val="005C5FD4"/>
    <w:rsid w:val="005C79A4"/>
    <w:rsid w:val="005D1689"/>
    <w:rsid w:val="005D248B"/>
    <w:rsid w:val="005D5442"/>
    <w:rsid w:val="005D55A3"/>
    <w:rsid w:val="005E3751"/>
    <w:rsid w:val="005E5568"/>
    <w:rsid w:val="005F458A"/>
    <w:rsid w:val="005F5830"/>
    <w:rsid w:val="00610D73"/>
    <w:rsid w:val="00625015"/>
    <w:rsid w:val="00637E74"/>
    <w:rsid w:val="00637FEB"/>
    <w:rsid w:val="00640FC3"/>
    <w:rsid w:val="00642020"/>
    <w:rsid w:val="006512F0"/>
    <w:rsid w:val="0065200D"/>
    <w:rsid w:val="0065337B"/>
    <w:rsid w:val="0065419D"/>
    <w:rsid w:val="006604D8"/>
    <w:rsid w:val="00664A5B"/>
    <w:rsid w:val="00667942"/>
    <w:rsid w:val="00680C08"/>
    <w:rsid w:val="00682CB5"/>
    <w:rsid w:val="0068484D"/>
    <w:rsid w:val="0068741A"/>
    <w:rsid w:val="006931B1"/>
    <w:rsid w:val="006A15C0"/>
    <w:rsid w:val="006A2426"/>
    <w:rsid w:val="006A2A31"/>
    <w:rsid w:val="006A38E4"/>
    <w:rsid w:val="006C1F3B"/>
    <w:rsid w:val="006C3E2A"/>
    <w:rsid w:val="006C43B5"/>
    <w:rsid w:val="006C642F"/>
    <w:rsid w:val="006D03E5"/>
    <w:rsid w:val="006D38B8"/>
    <w:rsid w:val="006D5D3E"/>
    <w:rsid w:val="006E08B3"/>
    <w:rsid w:val="006E4E00"/>
    <w:rsid w:val="006F1604"/>
    <w:rsid w:val="006F3339"/>
    <w:rsid w:val="006F46EA"/>
    <w:rsid w:val="006F4DA2"/>
    <w:rsid w:val="006F572E"/>
    <w:rsid w:val="006F6284"/>
    <w:rsid w:val="006F652C"/>
    <w:rsid w:val="006F6C81"/>
    <w:rsid w:val="007046D6"/>
    <w:rsid w:val="00705DB0"/>
    <w:rsid w:val="007060CD"/>
    <w:rsid w:val="00706634"/>
    <w:rsid w:val="00706AFE"/>
    <w:rsid w:val="00713754"/>
    <w:rsid w:val="007146A8"/>
    <w:rsid w:val="00723BF8"/>
    <w:rsid w:val="00724E0E"/>
    <w:rsid w:val="007324D7"/>
    <w:rsid w:val="00732FEE"/>
    <w:rsid w:val="0074253D"/>
    <w:rsid w:val="0074429B"/>
    <w:rsid w:val="00746647"/>
    <w:rsid w:val="007477F8"/>
    <w:rsid w:val="00751EBD"/>
    <w:rsid w:val="00753687"/>
    <w:rsid w:val="00753A56"/>
    <w:rsid w:val="0075524A"/>
    <w:rsid w:val="007615BC"/>
    <w:rsid w:val="007622D7"/>
    <w:rsid w:val="00762F05"/>
    <w:rsid w:val="00764FC4"/>
    <w:rsid w:val="007652FF"/>
    <w:rsid w:val="00771329"/>
    <w:rsid w:val="00773EF7"/>
    <w:rsid w:val="00774D5E"/>
    <w:rsid w:val="00774E1D"/>
    <w:rsid w:val="0077675A"/>
    <w:rsid w:val="00780355"/>
    <w:rsid w:val="00785721"/>
    <w:rsid w:val="00793194"/>
    <w:rsid w:val="00793A59"/>
    <w:rsid w:val="00795DC5"/>
    <w:rsid w:val="007A2162"/>
    <w:rsid w:val="007B3C16"/>
    <w:rsid w:val="007C0F3D"/>
    <w:rsid w:val="007C1AF7"/>
    <w:rsid w:val="007D2AAF"/>
    <w:rsid w:val="007E175B"/>
    <w:rsid w:val="007F17AF"/>
    <w:rsid w:val="007F2054"/>
    <w:rsid w:val="00816164"/>
    <w:rsid w:val="00816CE9"/>
    <w:rsid w:val="00821776"/>
    <w:rsid w:val="00822AE4"/>
    <w:rsid w:val="00826007"/>
    <w:rsid w:val="008320C3"/>
    <w:rsid w:val="008321F5"/>
    <w:rsid w:val="00832369"/>
    <w:rsid w:val="00834660"/>
    <w:rsid w:val="00836BC2"/>
    <w:rsid w:val="0085641B"/>
    <w:rsid w:val="00857136"/>
    <w:rsid w:val="008601D3"/>
    <w:rsid w:val="00896018"/>
    <w:rsid w:val="008A29EE"/>
    <w:rsid w:val="008A2B9D"/>
    <w:rsid w:val="008A5E0B"/>
    <w:rsid w:val="008A6D59"/>
    <w:rsid w:val="008A7095"/>
    <w:rsid w:val="008B1A25"/>
    <w:rsid w:val="008B4B03"/>
    <w:rsid w:val="008B553E"/>
    <w:rsid w:val="008B596F"/>
    <w:rsid w:val="008C159F"/>
    <w:rsid w:val="008C1623"/>
    <w:rsid w:val="008C51A9"/>
    <w:rsid w:val="008C63C5"/>
    <w:rsid w:val="008C7541"/>
    <w:rsid w:val="008C76A3"/>
    <w:rsid w:val="008D4096"/>
    <w:rsid w:val="008E3C43"/>
    <w:rsid w:val="008E3FF2"/>
    <w:rsid w:val="008F1CCC"/>
    <w:rsid w:val="008F2967"/>
    <w:rsid w:val="008F6312"/>
    <w:rsid w:val="008F6EF7"/>
    <w:rsid w:val="009044B8"/>
    <w:rsid w:val="009074DB"/>
    <w:rsid w:val="00912969"/>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0297"/>
    <w:rsid w:val="0099110E"/>
    <w:rsid w:val="00994189"/>
    <w:rsid w:val="009A19A1"/>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3DF2"/>
    <w:rsid w:val="00A87334"/>
    <w:rsid w:val="00AA3EB9"/>
    <w:rsid w:val="00AB51B9"/>
    <w:rsid w:val="00AC2B40"/>
    <w:rsid w:val="00AC2BB2"/>
    <w:rsid w:val="00AC2C3C"/>
    <w:rsid w:val="00AC3BD9"/>
    <w:rsid w:val="00AC3D45"/>
    <w:rsid w:val="00AD5831"/>
    <w:rsid w:val="00AE5AB2"/>
    <w:rsid w:val="00AE65EB"/>
    <w:rsid w:val="00AF1D94"/>
    <w:rsid w:val="00AF60C5"/>
    <w:rsid w:val="00AF69CB"/>
    <w:rsid w:val="00B009C6"/>
    <w:rsid w:val="00B00ACB"/>
    <w:rsid w:val="00B012DD"/>
    <w:rsid w:val="00B01548"/>
    <w:rsid w:val="00B01551"/>
    <w:rsid w:val="00B147DA"/>
    <w:rsid w:val="00B21D29"/>
    <w:rsid w:val="00B21FC5"/>
    <w:rsid w:val="00B222D9"/>
    <w:rsid w:val="00B23323"/>
    <w:rsid w:val="00B24FF5"/>
    <w:rsid w:val="00B25034"/>
    <w:rsid w:val="00B33863"/>
    <w:rsid w:val="00B37D17"/>
    <w:rsid w:val="00B4175E"/>
    <w:rsid w:val="00B47589"/>
    <w:rsid w:val="00B50E1B"/>
    <w:rsid w:val="00B510E1"/>
    <w:rsid w:val="00B54C25"/>
    <w:rsid w:val="00B72484"/>
    <w:rsid w:val="00B76B91"/>
    <w:rsid w:val="00B87BB7"/>
    <w:rsid w:val="00B946A9"/>
    <w:rsid w:val="00B9484C"/>
    <w:rsid w:val="00B94CFB"/>
    <w:rsid w:val="00BA0DFC"/>
    <w:rsid w:val="00BC1CAB"/>
    <w:rsid w:val="00BC622A"/>
    <w:rsid w:val="00BD0B28"/>
    <w:rsid w:val="00BE0A78"/>
    <w:rsid w:val="00BE243C"/>
    <w:rsid w:val="00BE79F0"/>
    <w:rsid w:val="00BF046D"/>
    <w:rsid w:val="00BF43F2"/>
    <w:rsid w:val="00BF5D04"/>
    <w:rsid w:val="00C03502"/>
    <w:rsid w:val="00C13563"/>
    <w:rsid w:val="00C14835"/>
    <w:rsid w:val="00C1617C"/>
    <w:rsid w:val="00C23477"/>
    <w:rsid w:val="00C24FC6"/>
    <w:rsid w:val="00C3408D"/>
    <w:rsid w:val="00C404A6"/>
    <w:rsid w:val="00C40A36"/>
    <w:rsid w:val="00C44419"/>
    <w:rsid w:val="00C45E7B"/>
    <w:rsid w:val="00C471B1"/>
    <w:rsid w:val="00C4743E"/>
    <w:rsid w:val="00C50E5C"/>
    <w:rsid w:val="00C55797"/>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02122"/>
    <w:rsid w:val="00D11F5C"/>
    <w:rsid w:val="00D153B1"/>
    <w:rsid w:val="00D20C54"/>
    <w:rsid w:val="00D224FE"/>
    <w:rsid w:val="00D229BA"/>
    <w:rsid w:val="00D23460"/>
    <w:rsid w:val="00D25F22"/>
    <w:rsid w:val="00D27857"/>
    <w:rsid w:val="00D30526"/>
    <w:rsid w:val="00D3646E"/>
    <w:rsid w:val="00D535AC"/>
    <w:rsid w:val="00D55652"/>
    <w:rsid w:val="00D64401"/>
    <w:rsid w:val="00D6493E"/>
    <w:rsid w:val="00D85417"/>
    <w:rsid w:val="00D9141E"/>
    <w:rsid w:val="00DA1124"/>
    <w:rsid w:val="00DA24C7"/>
    <w:rsid w:val="00DA381C"/>
    <w:rsid w:val="00DA4CD9"/>
    <w:rsid w:val="00DB5ABA"/>
    <w:rsid w:val="00DD34BA"/>
    <w:rsid w:val="00DD75A3"/>
    <w:rsid w:val="00DD76DE"/>
    <w:rsid w:val="00DE02AE"/>
    <w:rsid w:val="00DE6A0C"/>
    <w:rsid w:val="00DE6C04"/>
    <w:rsid w:val="00DE70C7"/>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21BD"/>
    <w:rsid w:val="00E6776D"/>
    <w:rsid w:val="00E67774"/>
    <w:rsid w:val="00E93A95"/>
    <w:rsid w:val="00E94539"/>
    <w:rsid w:val="00EA16DE"/>
    <w:rsid w:val="00EA1F09"/>
    <w:rsid w:val="00EA406B"/>
    <w:rsid w:val="00EA7E1D"/>
    <w:rsid w:val="00EB0798"/>
    <w:rsid w:val="00EB40AD"/>
    <w:rsid w:val="00EB5622"/>
    <w:rsid w:val="00EB586E"/>
    <w:rsid w:val="00EB5FC8"/>
    <w:rsid w:val="00EB6CAF"/>
    <w:rsid w:val="00ED2D16"/>
    <w:rsid w:val="00ED555A"/>
    <w:rsid w:val="00ED5A41"/>
    <w:rsid w:val="00ED6A67"/>
    <w:rsid w:val="00EE647E"/>
    <w:rsid w:val="00EF3F86"/>
    <w:rsid w:val="00EF578B"/>
    <w:rsid w:val="00EF6395"/>
    <w:rsid w:val="00EF6895"/>
    <w:rsid w:val="00F033EC"/>
    <w:rsid w:val="00F04F68"/>
    <w:rsid w:val="00F055DC"/>
    <w:rsid w:val="00F0622D"/>
    <w:rsid w:val="00F12670"/>
    <w:rsid w:val="00F14B27"/>
    <w:rsid w:val="00F22A7E"/>
    <w:rsid w:val="00F2301F"/>
    <w:rsid w:val="00F27030"/>
    <w:rsid w:val="00F274A2"/>
    <w:rsid w:val="00F31011"/>
    <w:rsid w:val="00F313D5"/>
    <w:rsid w:val="00F3148D"/>
    <w:rsid w:val="00F35298"/>
    <w:rsid w:val="00F3529E"/>
    <w:rsid w:val="00F401EF"/>
    <w:rsid w:val="00F427F0"/>
    <w:rsid w:val="00F47E37"/>
    <w:rsid w:val="00F54CA9"/>
    <w:rsid w:val="00F56B9D"/>
    <w:rsid w:val="00F640B6"/>
    <w:rsid w:val="00F71E1E"/>
    <w:rsid w:val="00F73313"/>
    <w:rsid w:val="00F80E40"/>
    <w:rsid w:val="00F859D2"/>
    <w:rsid w:val="00F8709D"/>
    <w:rsid w:val="00F9022D"/>
    <w:rsid w:val="00FA2B8E"/>
    <w:rsid w:val="00FA43E5"/>
    <w:rsid w:val="00FA5B82"/>
    <w:rsid w:val="00FA639E"/>
    <w:rsid w:val="00FB48BA"/>
    <w:rsid w:val="00FC03C8"/>
    <w:rsid w:val="00FC1750"/>
    <w:rsid w:val="00FC25E4"/>
    <w:rsid w:val="00FC4EF7"/>
    <w:rsid w:val="00FC55B6"/>
    <w:rsid w:val="00FE1DEE"/>
    <w:rsid w:val="00FE206C"/>
    <w:rsid w:val="00FE501F"/>
    <w:rsid w:val="00FE6716"/>
    <w:rsid w:val="00FE790A"/>
    <w:rsid w:val="00FF1AD7"/>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DEB8CE9"/>
  <w15:docId w15:val="{47B0205C-0B85-4C6F-90E5-2C6F3F27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7146A8"/>
    <w:pPr>
      <w:keepNext/>
      <w:keepLines/>
      <w:pageBreakBefore/>
      <w:spacing w:before="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637E74"/>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7146A8"/>
    <w:rPr>
      <w:rFonts w:ascii="Arial" w:eastAsia="Times New Roman" w:hAnsi="Arial"/>
      <w:b/>
      <w:bCs/>
      <w:sz w:val="38"/>
      <w:szCs w:val="38"/>
      <w:lang w:eastAsia="en-US"/>
    </w:rPr>
  </w:style>
  <w:style w:type="character" w:customStyle="1" w:styleId="Heading3Char">
    <w:name w:val="Heading 3 Char"/>
    <w:basedOn w:val="DefaultParagraphFont"/>
    <w:link w:val="Heading3"/>
    <w:rsid w:val="00637E74"/>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Revision">
    <w:name w:val="Revision"/>
    <w:hidden/>
    <w:uiPriority w:val="99"/>
    <w:semiHidden/>
    <w:rsid w:val="00990297"/>
    <w:rPr>
      <w:sz w:val="22"/>
      <w:lang w:eastAsia="en-US"/>
    </w:rPr>
  </w:style>
  <w:style w:type="paragraph" w:styleId="ListParagraph">
    <w:name w:val="List Paragraph"/>
    <w:basedOn w:val="Normal"/>
    <w:uiPriority w:val="34"/>
    <w:qFormat/>
    <w:rsid w:val="00B72484"/>
    <w:pPr>
      <w:spacing w:before="0"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91287158">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803228400">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tga.gov.au/therapeutic-goods-orders" TargetMode="External"/><Relationship Id="rId26" Type="http://schemas.openxmlformats.org/officeDocument/2006/relationships/hyperlink" Target="http://www.chemspider.com/" TargetMode="External"/><Relationship Id="rId39"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yperlink" Target="https://www.tga.gov.au/publication/poisons-standard-susmp" TargetMode="External"/><Relationship Id="rId34" Type="http://schemas.openxmlformats.org/officeDocument/2006/relationships/hyperlink" Target="https://www.tga.gov.au/form/application-amend-poisons-standard" TargetMode="External"/><Relationship Id="rId42" Type="http://schemas.openxmlformats.org/officeDocument/2006/relationships/hyperlink" Target="https://www.industrialchemicals.gov.au/" TargetMode="External"/><Relationship Id="rId47" Type="http://schemas.openxmlformats.org/officeDocument/2006/relationships/header" Target="header3.xml"/><Relationship Id="rId50"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listed-complementary-medicines" TargetMode="External"/><Relationship Id="rId25" Type="http://schemas.openxmlformats.org/officeDocument/2006/relationships/hyperlink" Target="https://pubchemdocs.ncbi.nlm.nih.gov/about" TargetMode="External"/><Relationship Id="rId33" Type="http://schemas.openxmlformats.org/officeDocument/2006/relationships/hyperlink" Target="mailto:Medicines.Scheduling@health.gov.au" TargetMode="External"/><Relationship Id="rId38" Type="http://schemas.openxmlformats.org/officeDocument/2006/relationships/hyperlink" Target="https://www.tga.gov.au/committee/advisory-committee-chemicals-scheduling-accs" TargetMode="External"/><Relationship Id="rId46" Type="http://schemas.openxmlformats.org/officeDocument/2006/relationships/hyperlink" Target="https://www.tga.gov.au/sme-assist/overview-applying-market-authorisation" TargetMode="External"/><Relationship Id="rId2" Type="http://schemas.openxmlformats.org/officeDocument/2006/relationships/numbering" Target="numbering.xml"/><Relationship Id="rId16" Type="http://schemas.openxmlformats.org/officeDocument/2006/relationships/hyperlink" Target="https://www.tga.gov.au/registered-and-listed-medicines" TargetMode="External"/><Relationship Id="rId20" Type="http://schemas.openxmlformats.org/officeDocument/2006/relationships/hyperlink" Target="https://www.legislation.gov.au/" TargetMode="External"/><Relationship Id="rId29" Type="http://schemas.openxmlformats.org/officeDocument/2006/relationships/image" Target="media/image5.png"/><Relationship Id="rId41" Type="http://schemas.openxmlformats.org/officeDocument/2006/relationships/hyperlink" Target="http://www.foodstandards.gov.au/Pages/default.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tga-business-services" TargetMode="External"/><Relationship Id="rId32" Type="http://schemas.openxmlformats.org/officeDocument/2006/relationships/hyperlink" Target="https://www.tga.gov.au/smp-email-list" TargetMode="External"/><Relationship Id="rId37" Type="http://schemas.openxmlformats.org/officeDocument/2006/relationships/hyperlink" Target="https://www.tga.gov.au/committee/advisory-committee-medicines-scheduling-acms" TargetMode="External"/><Relationship Id="rId40" Type="http://schemas.openxmlformats.org/officeDocument/2006/relationships/hyperlink" Target="https://apvma.gov.au/" TargetMode="External"/><Relationship Id="rId45" Type="http://schemas.openxmlformats.org/officeDocument/2006/relationships/image" Target="media/image8.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publication/poisons-standard-susmp" TargetMode="External"/><Relationship Id="rId23" Type="http://schemas.openxmlformats.org/officeDocument/2006/relationships/hyperlink" Target="http://www.cirs-reach.com/Cosmetic_Inventory/International_Nomenclature_of_Cosmetic_Ingredients_INCI.html" TargetMode="External"/><Relationship Id="rId28" Type="http://schemas.openxmlformats.org/officeDocument/2006/relationships/hyperlink" Target="https://www.tga.gov.au/form/application-amend-poisons-standard" TargetMode="External"/><Relationship Id="rId36" Type="http://schemas.openxmlformats.org/officeDocument/2006/relationships/hyperlink" Target="https://www.tga.gov.au/publication/ahmac-scheduling-policy-framework-medicines-and-chemicals" TargetMode="External"/><Relationship Id="rId49"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s://www.tga.gov.au/contacts-stateterritory-medicines-poisons-regulation-units" TargetMode="External"/><Relationship Id="rId31" Type="http://schemas.openxmlformats.org/officeDocument/2006/relationships/hyperlink" Target="https://www.tga.gov.au/public-notices-about-scheduling" TargetMode="External"/><Relationship Id="rId44" Type="http://schemas.openxmlformats.org/officeDocument/2006/relationships/image" Target="media/image7.png"/><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publication/poisons-standard-susmp" TargetMode="External"/><Relationship Id="rId22" Type="http://schemas.openxmlformats.org/officeDocument/2006/relationships/hyperlink" Target="https://www.tga.gov.au/publication/poisons-standard-susmp" TargetMode="External"/><Relationship Id="rId27" Type="http://schemas.openxmlformats.org/officeDocument/2006/relationships/hyperlink" Target="https://www.industrialchemicals.gov.au/search-inventory" TargetMode="External"/><Relationship Id="rId30" Type="http://schemas.openxmlformats.org/officeDocument/2006/relationships/hyperlink" Target="https://www.tga.gov.au/listed-complementary-medicines" TargetMode="External"/><Relationship Id="rId35" Type="http://schemas.openxmlformats.org/officeDocument/2006/relationships/hyperlink" Target="https://www.tga.gov.au/publication/scheduling-handbook-guidance-amending-poisons-standard" TargetMode="External"/><Relationship Id="rId43" Type="http://schemas.openxmlformats.org/officeDocument/2006/relationships/image" Target="media/image6.png"/><Relationship Id="rId48" Type="http://schemas.openxmlformats.org/officeDocument/2006/relationships/footer" Target="footer3.xml"/><Relationship Id="rId8" Type="http://schemas.openxmlformats.org/officeDocument/2006/relationships/header" Target="header1.xml"/><Relationship Id="rId51"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8F58-14D5-4649-83A8-CE3CBF7B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883</TotalTime>
  <Pages>14</Pages>
  <Words>3241</Words>
  <Characters>18057</Characters>
  <Application>Microsoft Office Word</Application>
  <DocSecurity>0</DocSecurity>
  <Lines>463</Lines>
  <Paragraphs>308</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Poisons Standard</dc:title>
  <dc:subject>scheduling medicines and poisons</dc:subject>
  <dc:creator>Therapeutic Goods Administration</dc:creator>
  <cp:lastPrinted>2010-12-20T22:59:00Z</cp:lastPrinted>
  <dcterms:created xsi:type="dcterms:W3CDTF">2020-04-29T07:01:00Z</dcterms:created>
  <dcterms:modified xsi:type="dcterms:W3CDTF">2020-12-22T01:59:00Z</dcterms:modified>
</cp:coreProperties>
</file>