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3F941892" w14:textId="77777777" w:rsidTr="002B29B2">
        <w:tc>
          <w:tcPr>
            <w:tcW w:w="8720" w:type="dxa"/>
          </w:tcPr>
          <w:p w14:paraId="26DE7751" w14:textId="77777777" w:rsidR="00F401EF" w:rsidRPr="00215D48" w:rsidRDefault="009B0B50" w:rsidP="002B29B2">
            <w:pPr>
              <w:pStyle w:val="Title"/>
            </w:pPr>
            <w:r w:rsidRPr="009B0B50">
              <w:t>Introduction to the Permissible Ingredients Determination</w:t>
            </w:r>
          </w:p>
        </w:tc>
      </w:tr>
      <w:tr w:rsidR="002B29B2" w:rsidRPr="00215D48" w14:paraId="4721F684" w14:textId="77777777" w:rsidTr="002B29B2">
        <w:trPr>
          <w:trHeight w:val="1916"/>
        </w:trPr>
        <w:tc>
          <w:tcPr>
            <w:tcW w:w="8720" w:type="dxa"/>
          </w:tcPr>
          <w:p w14:paraId="2F7F7115" w14:textId="77777777" w:rsidR="00F401EF" w:rsidRPr="00215D48" w:rsidRDefault="00F401EF" w:rsidP="002B29B2">
            <w:pPr>
              <w:pStyle w:val="Subtitle"/>
              <w:ind w:left="0"/>
            </w:pPr>
          </w:p>
        </w:tc>
      </w:tr>
      <w:tr w:rsidR="002B29B2" w:rsidRPr="00215D48" w14:paraId="41B5BD21" w14:textId="77777777" w:rsidTr="002B29B2">
        <w:tc>
          <w:tcPr>
            <w:tcW w:w="8720" w:type="dxa"/>
          </w:tcPr>
          <w:p w14:paraId="7CFAEF28" w14:textId="64C954AC" w:rsidR="002B29B2" w:rsidRPr="00215D48" w:rsidRDefault="009B0B50" w:rsidP="00F45087">
            <w:pPr>
              <w:pStyle w:val="Date"/>
            </w:pPr>
            <w:r>
              <w:t xml:space="preserve">Version 1.0, </w:t>
            </w:r>
            <w:r w:rsidR="00F45087">
              <w:t>December</w:t>
            </w:r>
            <w:r w:rsidR="002B29B2" w:rsidRPr="00215D48">
              <w:t xml:space="preserve"> </w:t>
            </w:r>
            <w:r>
              <w:t>2020</w:t>
            </w:r>
          </w:p>
        </w:tc>
      </w:tr>
    </w:tbl>
    <w:p w14:paraId="74256E88"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5B0E458D" w14:textId="77777777" w:rsidR="005D1689" w:rsidRPr="00E1198B" w:rsidRDefault="005D1689" w:rsidP="00BA0DFC">
      <w:pPr>
        <w:pStyle w:val="LegalSubheading"/>
      </w:pPr>
      <w:r w:rsidRPr="00BA0DFC">
        <w:lastRenderedPageBreak/>
        <w:t>Copyright</w:t>
      </w:r>
    </w:p>
    <w:p w14:paraId="4D8F0CA9" w14:textId="77777777"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03E59274" w14:textId="77777777" w:rsidR="00F401EF" w:rsidRPr="00215D48" w:rsidRDefault="00F401EF" w:rsidP="003D1E92">
          <w:pPr>
            <w:pStyle w:val="NonTOCheading2"/>
          </w:pPr>
          <w:r w:rsidRPr="00215D48">
            <w:t>Contents</w:t>
          </w:r>
        </w:p>
        <w:p w14:paraId="46F5A77E" w14:textId="54A349A0" w:rsidR="00BC30F2"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39490314" w:history="1">
            <w:r w:rsidR="00BC30F2" w:rsidRPr="00AA578B">
              <w:rPr>
                <w:rStyle w:val="Hyperlink"/>
                <w:noProof/>
              </w:rPr>
              <w:t>About this guidance</w:t>
            </w:r>
            <w:r w:rsidR="00BC30F2">
              <w:rPr>
                <w:noProof/>
                <w:webHidden/>
              </w:rPr>
              <w:tab/>
            </w:r>
            <w:r w:rsidR="00BC30F2">
              <w:rPr>
                <w:noProof/>
                <w:webHidden/>
              </w:rPr>
              <w:fldChar w:fldCharType="begin"/>
            </w:r>
            <w:r w:rsidR="00BC30F2">
              <w:rPr>
                <w:noProof/>
                <w:webHidden/>
              </w:rPr>
              <w:instrText xml:space="preserve"> PAGEREF _Toc39490314 \h </w:instrText>
            </w:r>
            <w:r w:rsidR="00BC30F2">
              <w:rPr>
                <w:noProof/>
                <w:webHidden/>
              </w:rPr>
            </w:r>
            <w:r w:rsidR="00BC30F2">
              <w:rPr>
                <w:noProof/>
                <w:webHidden/>
              </w:rPr>
              <w:fldChar w:fldCharType="separate"/>
            </w:r>
            <w:r w:rsidR="00FB6FBC">
              <w:rPr>
                <w:noProof/>
                <w:webHidden/>
              </w:rPr>
              <w:t>4</w:t>
            </w:r>
            <w:r w:rsidR="00BC30F2">
              <w:rPr>
                <w:noProof/>
                <w:webHidden/>
              </w:rPr>
              <w:fldChar w:fldCharType="end"/>
            </w:r>
          </w:hyperlink>
        </w:p>
        <w:p w14:paraId="59276A0F" w14:textId="66121801" w:rsidR="00BC30F2" w:rsidRDefault="00F45087">
          <w:pPr>
            <w:pStyle w:val="TOC1"/>
            <w:rPr>
              <w:rFonts w:asciiTheme="minorHAnsi" w:eastAsiaTheme="minorEastAsia" w:hAnsiTheme="minorHAnsi" w:cstheme="minorBidi"/>
              <w:b w:val="0"/>
              <w:noProof/>
              <w:sz w:val="22"/>
              <w:szCs w:val="22"/>
              <w:lang w:eastAsia="en-AU"/>
            </w:rPr>
          </w:pPr>
          <w:hyperlink w:anchor="_Toc39490315" w:history="1">
            <w:r w:rsidR="00BC30F2" w:rsidRPr="00AA578B">
              <w:rPr>
                <w:rStyle w:val="Hyperlink"/>
                <w:noProof/>
              </w:rPr>
              <w:t>The Permissible Ingredients Determination</w:t>
            </w:r>
            <w:r w:rsidR="00BC30F2">
              <w:rPr>
                <w:noProof/>
                <w:webHidden/>
              </w:rPr>
              <w:tab/>
            </w:r>
            <w:r w:rsidR="00BC30F2">
              <w:rPr>
                <w:noProof/>
                <w:webHidden/>
              </w:rPr>
              <w:fldChar w:fldCharType="begin"/>
            </w:r>
            <w:r w:rsidR="00BC30F2">
              <w:rPr>
                <w:noProof/>
                <w:webHidden/>
              </w:rPr>
              <w:instrText xml:space="preserve"> PAGEREF _Toc39490315 \h </w:instrText>
            </w:r>
            <w:r w:rsidR="00BC30F2">
              <w:rPr>
                <w:noProof/>
                <w:webHidden/>
              </w:rPr>
            </w:r>
            <w:r w:rsidR="00BC30F2">
              <w:rPr>
                <w:noProof/>
                <w:webHidden/>
              </w:rPr>
              <w:fldChar w:fldCharType="separate"/>
            </w:r>
            <w:r w:rsidR="00FB6FBC">
              <w:rPr>
                <w:noProof/>
                <w:webHidden/>
              </w:rPr>
              <w:t>4</w:t>
            </w:r>
            <w:r w:rsidR="00BC30F2">
              <w:rPr>
                <w:noProof/>
                <w:webHidden/>
              </w:rPr>
              <w:fldChar w:fldCharType="end"/>
            </w:r>
          </w:hyperlink>
        </w:p>
        <w:p w14:paraId="581CA0C2" w14:textId="494F3FCC" w:rsidR="00BC30F2" w:rsidRDefault="00F45087">
          <w:pPr>
            <w:pStyle w:val="TOC2"/>
            <w:rPr>
              <w:rFonts w:asciiTheme="minorHAnsi" w:eastAsiaTheme="minorEastAsia" w:hAnsiTheme="minorHAnsi" w:cstheme="minorBidi"/>
              <w:b w:val="0"/>
              <w:noProof/>
              <w:sz w:val="22"/>
              <w:szCs w:val="22"/>
              <w:lang w:eastAsia="en-AU"/>
            </w:rPr>
          </w:pPr>
          <w:hyperlink w:anchor="_Toc39490316" w:history="1">
            <w:r w:rsidR="00BC30F2" w:rsidRPr="00AA578B">
              <w:rPr>
                <w:rStyle w:val="Hyperlink"/>
                <w:noProof/>
              </w:rPr>
              <w:t>Limitations of the Determination</w:t>
            </w:r>
            <w:r w:rsidR="00BC30F2">
              <w:rPr>
                <w:noProof/>
                <w:webHidden/>
              </w:rPr>
              <w:tab/>
            </w:r>
            <w:r w:rsidR="00BC30F2">
              <w:rPr>
                <w:noProof/>
                <w:webHidden/>
              </w:rPr>
              <w:fldChar w:fldCharType="begin"/>
            </w:r>
            <w:r w:rsidR="00BC30F2">
              <w:rPr>
                <w:noProof/>
                <w:webHidden/>
              </w:rPr>
              <w:instrText xml:space="preserve"> PAGEREF _Toc39490316 \h </w:instrText>
            </w:r>
            <w:r w:rsidR="00BC30F2">
              <w:rPr>
                <w:noProof/>
                <w:webHidden/>
              </w:rPr>
            </w:r>
            <w:r w:rsidR="00BC30F2">
              <w:rPr>
                <w:noProof/>
                <w:webHidden/>
              </w:rPr>
              <w:fldChar w:fldCharType="separate"/>
            </w:r>
            <w:r w:rsidR="00FB6FBC">
              <w:rPr>
                <w:noProof/>
                <w:webHidden/>
              </w:rPr>
              <w:t>5</w:t>
            </w:r>
            <w:r w:rsidR="00BC30F2">
              <w:rPr>
                <w:noProof/>
                <w:webHidden/>
              </w:rPr>
              <w:fldChar w:fldCharType="end"/>
            </w:r>
          </w:hyperlink>
        </w:p>
        <w:p w14:paraId="5D500E1D" w14:textId="7E804757" w:rsidR="00BC30F2" w:rsidRDefault="00F45087">
          <w:pPr>
            <w:pStyle w:val="TOC1"/>
            <w:rPr>
              <w:rFonts w:asciiTheme="minorHAnsi" w:eastAsiaTheme="minorEastAsia" w:hAnsiTheme="minorHAnsi" w:cstheme="minorBidi"/>
              <w:b w:val="0"/>
              <w:noProof/>
              <w:sz w:val="22"/>
              <w:szCs w:val="22"/>
              <w:lang w:eastAsia="en-AU"/>
            </w:rPr>
          </w:pPr>
          <w:hyperlink w:anchor="_Toc39490317" w:history="1">
            <w:r w:rsidR="00BC30F2" w:rsidRPr="00AA578B">
              <w:rPr>
                <w:rStyle w:val="Hyperlink"/>
                <w:noProof/>
              </w:rPr>
              <w:t>Responsibilities of the sponsor</w:t>
            </w:r>
            <w:r w:rsidR="00BC30F2">
              <w:rPr>
                <w:noProof/>
                <w:webHidden/>
              </w:rPr>
              <w:tab/>
            </w:r>
            <w:r w:rsidR="00BC30F2">
              <w:rPr>
                <w:noProof/>
                <w:webHidden/>
              </w:rPr>
              <w:fldChar w:fldCharType="begin"/>
            </w:r>
            <w:r w:rsidR="00BC30F2">
              <w:rPr>
                <w:noProof/>
                <w:webHidden/>
              </w:rPr>
              <w:instrText xml:space="preserve"> PAGEREF _Toc39490317 \h </w:instrText>
            </w:r>
            <w:r w:rsidR="00BC30F2">
              <w:rPr>
                <w:noProof/>
                <w:webHidden/>
              </w:rPr>
            </w:r>
            <w:r w:rsidR="00BC30F2">
              <w:rPr>
                <w:noProof/>
                <w:webHidden/>
              </w:rPr>
              <w:fldChar w:fldCharType="separate"/>
            </w:r>
            <w:r w:rsidR="00FB6FBC">
              <w:rPr>
                <w:noProof/>
                <w:webHidden/>
              </w:rPr>
              <w:t>5</w:t>
            </w:r>
            <w:r w:rsidR="00BC30F2">
              <w:rPr>
                <w:noProof/>
                <w:webHidden/>
              </w:rPr>
              <w:fldChar w:fldCharType="end"/>
            </w:r>
          </w:hyperlink>
        </w:p>
        <w:p w14:paraId="633A4DFE" w14:textId="52225D6F" w:rsidR="00BC30F2" w:rsidRDefault="00F45087">
          <w:pPr>
            <w:pStyle w:val="TOC1"/>
            <w:rPr>
              <w:rFonts w:asciiTheme="minorHAnsi" w:eastAsiaTheme="minorEastAsia" w:hAnsiTheme="minorHAnsi" w:cstheme="minorBidi"/>
              <w:b w:val="0"/>
              <w:noProof/>
              <w:sz w:val="22"/>
              <w:szCs w:val="22"/>
              <w:lang w:eastAsia="en-AU"/>
            </w:rPr>
          </w:pPr>
          <w:hyperlink w:anchor="_Toc39490318" w:history="1">
            <w:r w:rsidR="00BC30F2" w:rsidRPr="00AA578B">
              <w:rPr>
                <w:rStyle w:val="Hyperlink"/>
                <w:noProof/>
              </w:rPr>
              <w:t>Using the Permissible Ingredients Determination</w:t>
            </w:r>
            <w:r w:rsidR="00BC30F2">
              <w:rPr>
                <w:noProof/>
                <w:webHidden/>
              </w:rPr>
              <w:tab/>
            </w:r>
            <w:r w:rsidR="00BC30F2">
              <w:rPr>
                <w:noProof/>
                <w:webHidden/>
              </w:rPr>
              <w:fldChar w:fldCharType="begin"/>
            </w:r>
            <w:r w:rsidR="00BC30F2">
              <w:rPr>
                <w:noProof/>
                <w:webHidden/>
              </w:rPr>
              <w:instrText xml:space="preserve"> PAGEREF _Toc39490318 \h </w:instrText>
            </w:r>
            <w:r w:rsidR="00BC30F2">
              <w:rPr>
                <w:noProof/>
                <w:webHidden/>
              </w:rPr>
            </w:r>
            <w:r w:rsidR="00BC30F2">
              <w:rPr>
                <w:noProof/>
                <w:webHidden/>
              </w:rPr>
              <w:fldChar w:fldCharType="separate"/>
            </w:r>
            <w:r w:rsidR="00FB6FBC">
              <w:rPr>
                <w:noProof/>
                <w:webHidden/>
              </w:rPr>
              <w:t>6</w:t>
            </w:r>
            <w:r w:rsidR="00BC30F2">
              <w:rPr>
                <w:noProof/>
                <w:webHidden/>
              </w:rPr>
              <w:fldChar w:fldCharType="end"/>
            </w:r>
          </w:hyperlink>
        </w:p>
        <w:p w14:paraId="4ECEF2D9" w14:textId="14C3C333" w:rsidR="00BC30F2" w:rsidRDefault="00F45087">
          <w:pPr>
            <w:pStyle w:val="TOC2"/>
            <w:rPr>
              <w:rFonts w:asciiTheme="minorHAnsi" w:eastAsiaTheme="minorEastAsia" w:hAnsiTheme="minorHAnsi" w:cstheme="minorBidi"/>
              <w:b w:val="0"/>
              <w:noProof/>
              <w:sz w:val="22"/>
              <w:szCs w:val="22"/>
              <w:lang w:eastAsia="en-AU"/>
            </w:rPr>
          </w:pPr>
          <w:hyperlink w:anchor="_Toc39490319" w:history="1">
            <w:r w:rsidR="00BC30F2" w:rsidRPr="00AA578B">
              <w:rPr>
                <w:rStyle w:val="Hyperlink"/>
                <w:noProof/>
              </w:rPr>
              <w:t>Terminology</w:t>
            </w:r>
            <w:r w:rsidR="00BC30F2">
              <w:rPr>
                <w:noProof/>
                <w:webHidden/>
              </w:rPr>
              <w:tab/>
            </w:r>
            <w:r w:rsidR="00BC30F2">
              <w:rPr>
                <w:noProof/>
                <w:webHidden/>
              </w:rPr>
              <w:fldChar w:fldCharType="begin"/>
            </w:r>
            <w:r w:rsidR="00BC30F2">
              <w:rPr>
                <w:noProof/>
                <w:webHidden/>
              </w:rPr>
              <w:instrText xml:space="preserve"> PAGEREF _Toc39490319 \h </w:instrText>
            </w:r>
            <w:r w:rsidR="00BC30F2">
              <w:rPr>
                <w:noProof/>
                <w:webHidden/>
              </w:rPr>
            </w:r>
            <w:r w:rsidR="00BC30F2">
              <w:rPr>
                <w:noProof/>
                <w:webHidden/>
              </w:rPr>
              <w:fldChar w:fldCharType="separate"/>
            </w:r>
            <w:r w:rsidR="00FB6FBC">
              <w:rPr>
                <w:noProof/>
                <w:webHidden/>
              </w:rPr>
              <w:t>6</w:t>
            </w:r>
            <w:r w:rsidR="00BC30F2">
              <w:rPr>
                <w:noProof/>
                <w:webHidden/>
              </w:rPr>
              <w:fldChar w:fldCharType="end"/>
            </w:r>
          </w:hyperlink>
        </w:p>
        <w:p w14:paraId="7447460C" w14:textId="48966640" w:rsidR="00BC30F2" w:rsidRDefault="00F45087">
          <w:pPr>
            <w:pStyle w:val="TOC2"/>
            <w:rPr>
              <w:rFonts w:asciiTheme="minorHAnsi" w:eastAsiaTheme="minorEastAsia" w:hAnsiTheme="minorHAnsi" w:cstheme="minorBidi"/>
              <w:b w:val="0"/>
              <w:noProof/>
              <w:sz w:val="22"/>
              <w:szCs w:val="22"/>
              <w:lang w:eastAsia="en-AU"/>
            </w:rPr>
          </w:pPr>
          <w:hyperlink w:anchor="_Toc39490320" w:history="1">
            <w:r w:rsidR="00BC30F2" w:rsidRPr="00AA578B">
              <w:rPr>
                <w:rStyle w:val="Hyperlink"/>
                <w:noProof/>
              </w:rPr>
              <w:t>Volumes</w:t>
            </w:r>
            <w:r w:rsidR="00BC30F2">
              <w:rPr>
                <w:noProof/>
                <w:webHidden/>
              </w:rPr>
              <w:tab/>
            </w:r>
            <w:r w:rsidR="00BC30F2">
              <w:rPr>
                <w:noProof/>
                <w:webHidden/>
              </w:rPr>
              <w:fldChar w:fldCharType="begin"/>
            </w:r>
            <w:r w:rsidR="00BC30F2">
              <w:rPr>
                <w:noProof/>
                <w:webHidden/>
              </w:rPr>
              <w:instrText xml:space="preserve"> PAGEREF _Toc39490320 \h </w:instrText>
            </w:r>
            <w:r w:rsidR="00BC30F2">
              <w:rPr>
                <w:noProof/>
                <w:webHidden/>
              </w:rPr>
            </w:r>
            <w:r w:rsidR="00BC30F2">
              <w:rPr>
                <w:noProof/>
                <w:webHidden/>
              </w:rPr>
              <w:fldChar w:fldCharType="separate"/>
            </w:r>
            <w:r w:rsidR="00FB6FBC">
              <w:rPr>
                <w:noProof/>
                <w:webHidden/>
              </w:rPr>
              <w:t>6</w:t>
            </w:r>
            <w:r w:rsidR="00BC30F2">
              <w:rPr>
                <w:noProof/>
                <w:webHidden/>
              </w:rPr>
              <w:fldChar w:fldCharType="end"/>
            </w:r>
          </w:hyperlink>
        </w:p>
        <w:p w14:paraId="6D5724AE" w14:textId="6875861F" w:rsidR="00BC30F2" w:rsidRDefault="00F45087">
          <w:pPr>
            <w:pStyle w:val="TOC2"/>
            <w:rPr>
              <w:rFonts w:asciiTheme="minorHAnsi" w:eastAsiaTheme="minorEastAsia" w:hAnsiTheme="minorHAnsi" w:cstheme="minorBidi"/>
              <w:b w:val="0"/>
              <w:noProof/>
              <w:sz w:val="22"/>
              <w:szCs w:val="22"/>
              <w:lang w:eastAsia="en-AU"/>
            </w:rPr>
          </w:pPr>
          <w:hyperlink w:anchor="_Toc39490321" w:history="1">
            <w:r w:rsidR="00BC30F2" w:rsidRPr="00AA578B">
              <w:rPr>
                <w:rStyle w:val="Hyperlink"/>
                <w:noProof/>
              </w:rPr>
              <w:t>Columns</w:t>
            </w:r>
            <w:r w:rsidR="00BC30F2">
              <w:rPr>
                <w:noProof/>
                <w:webHidden/>
              </w:rPr>
              <w:tab/>
            </w:r>
            <w:r w:rsidR="00BC30F2">
              <w:rPr>
                <w:noProof/>
                <w:webHidden/>
              </w:rPr>
              <w:fldChar w:fldCharType="begin"/>
            </w:r>
            <w:r w:rsidR="00BC30F2">
              <w:rPr>
                <w:noProof/>
                <w:webHidden/>
              </w:rPr>
              <w:instrText xml:space="preserve"> PAGEREF _Toc39490321 \h </w:instrText>
            </w:r>
            <w:r w:rsidR="00BC30F2">
              <w:rPr>
                <w:noProof/>
                <w:webHidden/>
              </w:rPr>
            </w:r>
            <w:r w:rsidR="00BC30F2">
              <w:rPr>
                <w:noProof/>
                <w:webHidden/>
              </w:rPr>
              <w:fldChar w:fldCharType="separate"/>
            </w:r>
            <w:r w:rsidR="00FB6FBC">
              <w:rPr>
                <w:noProof/>
                <w:webHidden/>
              </w:rPr>
              <w:t>7</w:t>
            </w:r>
            <w:r w:rsidR="00BC30F2">
              <w:rPr>
                <w:noProof/>
                <w:webHidden/>
              </w:rPr>
              <w:fldChar w:fldCharType="end"/>
            </w:r>
          </w:hyperlink>
        </w:p>
        <w:p w14:paraId="43271DD3" w14:textId="4CD5E078" w:rsidR="00BC30F2" w:rsidRDefault="00F45087">
          <w:pPr>
            <w:pStyle w:val="TOC1"/>
            <w:rPr>
              <w:rFonts w:asciiTheme="minorHAnsi" w:eastAsiaTheme="minorEastAsia" w:hAnsiTheme="minorHAnsi" w:cstheme="minorBidi"/>
              <w:b w:val="0"/>
              <w:noProof/>
              <w:sz w:val="22"/>
              <w:szCs w:val="22"/>
              <w:lang w:eastAsia="en-AU"/>
            </w:rPr>
          </w:pPr>
          <w:hyperlink w:anchor="_Toc39490322" w:history="1">
            <w:r w:rsidR="00BC30F2" w:rsidRPr="00AA578B">
              <w:rPr>
                <w:rStyle w:val="Hyperlink"/>
                <w:noProof/>
              </w:rPr>
              <w:t>Ingredients not found in the Permissible Ingredients Determination</w:t>
            </w:r>
            <w:r w:rsidR="00BC30F2">
              <w:rPr>
                <w:noProof/>
                <w:webHidden/>
              </w:rPr>
              <w:tab/>
            </w:r>
            <w:r w:rsidR="00BC30F2">
              <w:rPr>
                <w:noProof/>
                <w:webHidden/>
              </w:rPr>
              <w:fldChar w:fldCharType="begin"/>
            </w:r>
            <w:r w:rsidR="00BC30F2">
              <w:rPr>
                <w:noProof/>
                <w:webHidden/>
              </w:rPr>
              <w:instrText xml:space="preserve"> PAGEREF _Toc39490322 \h </w:instrText>
            </w:r>
            <w:r w:rsidR="00BC30F2">
              <w:rPr>
                <w:noProof/>
                <w:webHidden/>
              </w:rPr>
            </w:r>
            <w:r w:rsidR="00BC30F2">
              <w:rPr>
                <w:noProof/>
                <w:webHidden/>
              </w:rPr>
              <w:fldChar w:fldCharType="separate"/>
            </w:r>
            <w:r w:rsidR="00FB6FBC">
              <w:rPr>
                <w:noProof/>
                <w:webHidden/>
              </w:rPr>
              <w:t>8</w:t>
            </w:r>
            <w:r w:rsidR="00BC30F2">
              <w:rPr>
                <w:noProof/>
                <w:webHidden/>
              </w:rPr>
              <w:fldChar w:fldCharType="end"/>
            </w:r>
          </w:hyperlink>
        </w:p>
        <w:p w14:paraId="4EAFEFCF" w14:textId="63303583" w:rsidR="00BC30F2" w:rsidRDefault="00F45087">
          <w:pPr>
            <w:pStyle w:val="TOC1"/>
            <w:rPr>
              <w:rFonts w:asciiTheme="minorHAnsi" w:eastAsiaTheme="minorEastAsia" w:hAnsiTheme="minorHAnsi" w:cstheme="minorBidi"/>
              <w:b w:val="0"/>
              <w:noProof/>
              <w:sz w:val="22"/>
              <w:szCs w:val="22"/>
              <w:lang w:eastAsia="en-AU"/>
            </w:rPr>
          </w:pPr>
          <w:hyperlink w:anchor="_Toc39490323" w:history="1">
            <w:r w:rsidR="00BC30F2" w:rsidRPr="00AA578B">
              <w:rPr>
                <w:rStyle w:val="Hyperlink"/>
                <w:noProof/>
              </w:rPr>
              <w:t>Ingredients Table</w:t>
            </w:r>
            <w:r w:rsidR="00BC30F2">
              <w:rPr>
                <w:noProof/>
                <w:webHidden/>
              </w:rPr>
              <w:tab/>
            </w:r>
            <w:r w:rsidR="00BC30F2">
              <w:rPr>
                <w:noProof/>
                <w:webHidden/>
              </w:rPr>
              <w:fldChar w:fldCharType="begin"/>
            </w:r>
            <w:r w:rsidR="00BC30F2">
              <w:rPr>
                <w:noProof/>
                <w:webHidden/>
              </w:rPr>
              <w:instrText xml:space="preserve"> PAGEREF _Toc39490323 \h </w:instrText>
            </w:r>
            <w:r w:rsidR="00BC30F2">
              <w:rPr>
                <w:noProof/>
                <w:webHidden/>
              </w:rPr>
            </w:r>
            <w:r w:rsidR="00BC30F2">
              <w:rPr>
                <w:noProof/>
                <w:webHidden/>
              </w:rPr>
              <w:fldChar w:fldCharType="separate"/>
            </w:r>
            <w:r w:rsidR="00FB6FBC">
              <w:rPr>
                <w:noProof/>
                <w:webHidden/>
              </w:rPr>
              <w:t>8</w:t>
            </w:r>
            <w:r w:rsidR="00BC30F2">
              <w:rPr>
                <w:noProof/>
                <w:webHidden/>
              </w:rPr>
              <w:fldChar w:fldCharType="end"/>
            </w:r>
          </w:hyperlink>
        </w:p>
        <w:p w14:paraId="4E8FAEF7" w14:textId="4D8DBDF5" w:rsidR="00BC30F2" w:rsidRDefault="00F45087">
          <w:pPr>
            <w:pStyle w:val="TOC1"/>
            <w:rPr>
              <w:rFonts w:asciiTheme="minorHAnsi" w:eastAsiaTheme="minorEastAsia" w:hAnsiTheme="minorHAnsi" w:cstheme="minorBidi"/>
              <w:b w:val="0"/>
              <w:noProof/>
              <w:sz w:val="22"/>
              <w:szCs w:val="22"/>
              <w:lang w:eastAsia="en-AU"/>
            </w:rPr>
          </w:pPr>
          <w:hyperlink w:anchor="_Toc39490324" w:history="1">
            <w:r w:rsidR="00BC30F2" w:rsidRPr="00AA578B">
              <w:rPr>
                <w:rStyle w:val="Hyperlink"/>
                <w:noProof/>
              </w:rPr>
              <w:t>Case study: George and his sting relief product</w:t>
            </w:r>
            <w:r w:rsidR="00BC30F2">
              <w:rPr>
                <w:noProof/>
                <w:webHidden/>
              </w:rPr>
              <w:tab/>
            </w:r>
            <w:r w:rsidR="00BC30F2">
              <w:rPr>
                <w:noProof/>
                <w:webHidden/>
              </w:rPr>
              <w:fldChar w:fldCharType="begin"/>
            </w:r>
            <w:r w:rsidR="00BC30F2">
              <w:rPr>
                <w:noProof/>
                <w:webHidden/>
              </w:rPr>
              <w:instrText xml:space="preserve"> PAGEREF _Toc39490324 \h </w:instrText>
            </w:r>
            <w:r w:rsidR="00BC30F2">
              <w:rPr>
                <w:noProof/>
                <w:webHidden/>
              </w:rPr>
            </w:r>
            <w:r w:rsidR="00BC30F2">
              <w:rPr>
                <w:noProof/>
                <w:webHidden/>
              </w:rPr>
              <w:fldChar w:fldCharType="separate"/>
            </w:r>
            <w:r w:rsidR="00FB6FBC">
              <w:rPr>
                <w:noProof/>
                <w:webHidden/>
              </w:rPr>
              <w:t>8</w:t>
            </w:r>
            <w:r w:rsidR="00BC30F2">
              <w:rPr>
                <w:noProof/>
                <w:webHidden/>
              </w:rPr>
              <w:fldChar w:fldCharType="end"/>
            </w:r>
          </w:hyperlink>
        </w:p>
        <w:p w14:paraId="7938209B" w14:textId="6360E524" w:rsidR="00BC30F2" w:rsidRDefault="00F45087">
          <w:pPr>
            <w:pStyle w:val="TOC2"/>
            <w:rPr>
              <w:rFonts w:asciiTheme="minorHAnsi" w:eastAsiaTheme="minorEastAsia" w:hAnsiTheme="minorHAnsi" w:cstheme="minorBidi"/>
              <w:b w:val="0"/>
              <w:noProof/>
              <w:sz w:val="22"/>
              <w:szCs w:val="22"/>
              <w:lang w:eastAsia="en-AU"/>
            </w:rPr>
          </w:pPr>
          <w:hyperlink w:anchor="_Toc39490325" w:history="1">
            <w:r w:rsidR="00BC30F2" w:rsidRPr="00AA578B">
              <w:rPr>
                <w:rStyle w:val="Hyperlink"/>
                <w:noProof/>
              </w:rPr>
              <w:t>Acetic acid requirements from the Determination</w:t>
            </w:r>
            <w:r w:rsidR="00BC30F2">
              <w:rPr>
                <w:noProof/>
                <w:webHidden/>
              </w:rPr>
              <w:tab/>
            </w:r>
            <w:r w:rsidR="00BC30F2">
              <w:rPr>
                <w:noProof/>
                <w:webHidden/>
              </w:rPr>
              <w:fldChar w:fldCharType="begin"/>
            </w:r>
            <w:r w:rsidR="00BC30F2">
              <w:rPr>
                <w:noProof/>
                <w:webHidden/>
              </w:rPr>
              <w:instrText xml:space="preserve"> PAGEREF _Toc39490325 \h </w:instrText>
            </w:r>
            <w:r w:rsidR="00BC30F2">
              <w:rPr>
                <w:noProof/>
                <w:webHidden/>
              </w:rPr>
            </w:r>
            <w:r w:rsidR="00BC30F2">
              <w:rPr>
                <w:noProof/>
                <w:webHidden/>
              </w:rPr>
              <w:fldChar w:fldCharType="separate"/>
            </w:r>
            <w:r w:rsidR="00FB6FBC">
              <w:rPr>
                <w:noProof/>
                <w:webHidden/>
              </w:rPr>
              <w:t>10</w:t>
            </w:r>
            <w:r w:rsidR="00BC30F2">
              <w:rPr>
                <w:noProof/>
                <w:webHidden/>
              </w:rPr>
              <w:fldChar w:fldCharType="end"/>
            </w:r>
          </w:hyperlink>
        </w:p>
        <w:p w14:paraId="5118AD7B" w14:textId="11181CD2" w:rsidR="00BC30F2" w:rsidRDefault="00F45087">
          <w:pPr>
            <w:pStyle w:val="TOC2"/>
            <w:rPr>
              <w:rFonts w:asciiTheme="minorHAnsi" w:eastAsiaTheme="minorEastAsia" w:hAnsiTheme="minorHAnsi" w:cstheme="minorBidi"/>
              <w:b w:val="0"/>
              <w:noProof/>
              <w:sz w:val="22"/>
              <w:szCs w:val="22"/>
              <w:lang w:eastAsia="en-AU"/>
            </w:rPr>
          </w:pPr>
          <w:hyperlink w:anchor="_Toc39490327" w:history="1">
            <w:r w:rsidR="00BC30F2" w:rsidRPr="00AA578B">
              <w:rPr>
                <w:rStyle w:val="Hyperlink"/>
                <w:noProof/>
              </w:rPr>
              <w:t>Almond oil requirements from the Determination</w:t>
            </w:r>
            <w:r w:rsidR="00BC30F2">
              <w:rPr>
                <w:noProof/>
                <w:webHidden/>
              </w:rPr>
              <w:tab/>
            </w:r>
            <w:r w:rsidR="00BC30F2">
              <w:rPr>
                <w:noProof/>
                <w:webHidden/>
              </w:rPr>
              <w:fldChar w:fldCharType="begin"/>
            </w:r>
            <w:r w:rsidR="00BC30F2">
              <w:rPr>
                <w:noProof/>
                <w:webHidden/>
              </w:rPr>
              <w:instrText xml:space="preserve"> PAGEREF _Toc39490327 \h </w:instrText>
            </w:r>
            <w:r w:rsidR="00BC30F2">
              <w:rPr>
                <w:noProof/>
                <w:webHidden/>
              </w:rPr>
            </w:r>
            <w:r w:rsidR="00BC30F2">
              <w:rPr>
                <w:noProof/>
                <w:webHidden/>
              </w:rPr>
              <w:fldChar w:fldCharType="separate"/>
            </w:r>
            <w:r w:rsidR="00FB6FBC">
              <w:rPr>
                <w:noProof/>
                <w:webHidden/>
              </w:rPr>
              <w:t>10</w:t>
            </w:r>
            <w:r w:rsidR="00BC30F2">
              <w:rPr>
                <w:noProof/>
                <w:webHidden/>
              </w:rPr>
              <w:fldChar w:fldCharType="end"/>
            </w:r>
          </w:hyperlink>
        </w:p>
        <w:p w14:paraId="139148F9" w14:textId="28D521FA" w:rsidR="00BC30F2" w:rsidRDefault="00F45087">
          <w:pPr>
            <w:pStyle w:val="TOC2"/>
            <w:rPr>
              <w:rFonts w:asciiTheme="minorHAnsi" w:eastAsiaTheme="minorEastAsia" w:hAnsiTheme="minorHAnsi" w:cstheme="minorBidi"/>
              <w:b w:val="0"/>
              <w:noProof/>
              <w:sz w:val="22"/>
              <w:szCs w:val="22"/>
              <w:lang w:eastAsia="en-AU"/>
            </w:rPr>
          </w:pPr>
          <w:hyperlink w:anchor="_Toc39490329" w:history="1">
            <w:r w:rsidR="00BC30F2" w:rsidRPr="00AA578B">
              <w:rPr>
                <w:rStyle w:val="Hyperlink"/>
                <w:noProof/>
              </w:rPr>
              <w:t>Melaleuca oil requirements from the Determination</w:t>
            </w:r>
            <w:r w:rsidR="00BC30F2">
              <w:rPr>
                <w:noProof/>
                <w:webHidden/>
              </w:rPr>
              <w:tab/>
            </w:r>
            <w:r w:rsidR="00BC30F2">
              <w:rPr>
                <w:noProof/>
                <w:webHidden/>
              </w:rPr>
              <w:fldChar w:fldCharType="begin"/>
            </w:r>
            <w:r w:rsidR="00BC30F2">
              <w:rPr>
                <w:noProof/>
                <w:webHidden/>
              </w:rPr>
              <w:instrText xml:space="preserve"> PAGEREF _Toc39490329 \h </w:instrText>
            </w:r>
            <w:r w:rsidR="00BC30F2">
              <w:rPr>
                <w:noProof/>
                <w:webHidden/>
              </w:rPr>
            </w:r>
            <w:r w:rsidR="00BC30F2">
              <w:rPr>
                <w:noProof/>
                <w:webHidden/>
              </w:rPr>
              <w:fldChar w:fldCharType="separate"/>
            </w:r>
            <w:r w:rsidR="00FB6FBC">
              <w:rPr>
                <w:noProof/>
                <w:webHidden/>
              </w:rPr>
              <w:t>10</w:t>
            </w:r>
            <w:r w:rsidR="00BC30F2">
              <w:rPr>
                <w:noProof/>
                <w:webHidden/>
              </w:rPr>
              <w:fldChar w:fldCharType="end"/>
            </w:r>
          </w:hyperlink>
        </w:p>
        <w:p w14:paraId="40747C95" w14:textId="774F941F" w:rsidR="00BC30F2" w:rsidRDefault="00F45087">
          <w:pPr>
            <w:pStyle w:val="TOC2"/>
            <w:rPr>
              <w:rFonts w:asciiTheme="minorHAnsi" w:eastAsiaTheme="minorEastAsia" w:hAnsiTheme="minorHAnsi" w:cstheme="minorBidi"/>
              <w:b w:val="0"/>
              <w:noProof/>
              <w:sz w:val="22"/>
              <w:szCs w:val="22"/>
              <w:lang w:eastAsia="en-AU"/>
            </w:rPr>
          </w:pPr>
          <w:hyperlink w:anchor="_Toc39490331" w:history="1">
            <w:r w:rsidR="00BC30F2" w:rsidRPr="00AA578B">
              <w:rPr>
                <w:rStyle w:val="Hyperlink"/>
                <w:noProof/>
              </w:rPr>
              <w:t>Summary</w:t>
            </w:r>
            <w:r w:rsidR="00BC30F2">
              <w:rPr>
                <w:noProof/>
                <w:webHidden/>
              </w:rPr>
              <w:tab/>
            </w:r>
            <w:r w:rsidR="00BC30F2">
              <w:rPr>
                <w:noProof/>
                <w:webHidden/>
              </w:rPr>
              <w:fldChar w:fldCharType="begin"/>
            </w:r>
            <w:r w:rsidR="00BC30F2">
              <w:rPr>
                <w:noProof/>
                <w:webHidden/>
              </w:rPr>
              <w:instrText xml:space="preserve"> PAGEREF _Toc39490331 \h </w:instrText>
            </w:r>
            <w:r w:rsidR="00BC30F2">
              <w:rPr>
                <w:noProof/>
                <w:webHidden/>
              </w:rPr>
            </w:r>
            <w:r w:rsidR="00BC30F2">
              <w:rPr>
                <w:noProof/>
                <w:webHidden/>
              </w:rPr>
              <w:fldChar w:fldCharType="separate"/>
            </w:r>
            <w:r w:rsidR="00FB6FBC">
              <w:rPr>
                <w:noProof/>
                <w:webHidden/>
              </w:rPr>
              <w:t>11</w:t>
            </w:r>
            <w:r w:rsidR="00BC30F2">
              <w:rPr>
                <w:noProof/>
                <w:webHidden/>
              </w:rPr>
              <w:fldChar w:fldCharType="end"/>
            </w:r>
          </w:hyperlink>
        </w:p>
        <w:p w14:paraId="5E0577C9" w14:textId="2E81DC85" w:rsidR="00F401EF" w:rsidRPr="00215D48" w:rsidRDefault="00F859D2" w:rsidP="00F401EF">
          <w:r w:rsidRPr="00215D48">
            <w:fldChar w:fldCharType="end"/>
          </w:r>
        </w:p>
      </w:sdtContent>
    </w:sdt>
    <w:p w14:paraId="023A6882" w14:textId="77777777" w:rsidR="00AC1ADA" w:rsidRPr="00822FB4" w:rsidRDefault="00AC1ADA" w:rsidP="00C46FD5">
      <w:pPr>
        <w:pStyle w:val="Heading2"/>
        <w:pageBreakBefore/>
        <w:spacing w:before="0"/>
      </w:pPr>
      <w:bookmarkStart w:id="0" w:name="_Toc22146522"/>
      <w:bookmarkStart w:id="1" w:name="_Toc38618018"/>
      <w:bookmarkStart w:id="2" w:name="_Toc39490314"/>
      <w:bookmarkStart w:id="3" w:name="_Toc323739589"/>
      <w:bookmarkStart w:id="4" w:name="_Toc356305216"/>
      <w:r w:rsidRPr="00822FB4">
        <w:lastRenderedPageBreak/>
        <w:t>About this guidance</w:t>
      </w:r>
      <w:bookmarkEnd w:id="0"/>
      <w:bookmarkEnd w:id="1"/>
      <w:bookmarkEnd w:id="2"/>
    </w:p>
    <w:p w14:paraId="15C7EAB7" w14:textId="447D515B" w:rsidR="00AC1ADA" w:rsidRPr="00AC1ADA" w:rsidRDefault="00AC1ADA" w:rsidP="00822FB4">
      <w:r w:rsidRPr="00AC1ADA">
        <w:t xml:space="preserve">This guidance is to assist sponsors of </w:t>
      </w:r>
      <w:hyperlink r:id="rId13" w:history="1">
        <w:r w:rsidRPr="00AC1ADA">
          <w:rPr>
            <w:rStyle w:val="Hyperlink"/>
          </w:rPr>
          <w:t>listed</w:t>
        </w:r>
      </w:hyperlink>
      <w:r w:rsidRPr="00AC1ADA">
        <w:rPr>
          <w:u w:val="single"/>
        </w:rPr>
        <w:t xml:space="preserve"> </w:t>
      </w:r>
      <w:r w:rsidRPr="00AC1ADA">
        <w:t xml:space="preserve">and </w:t>
      </w:r>
      <w:hyperlink r:id="rId14" w:history="1">
        <w:r w:rsidRPr="00AC1ADA">
          <w:rPr>
            <w:rStyle w:val="Hyperlink"/>
          </w:rPr>
          <w:t>assessed listed medicines</w:t>
        </w:r>
      </w:hyperlink>
      <w:r w:rsidRPr="00AC1ADA">
        <w:t xml:space="preserve"> to understand ingredient requirements for </w:t>
      </w:r>
      <w:hyperlink r:id="rId15" w:history="1">
        <w:r w:rsidRPr="00AC1ADA">
          <w:rPr>
            <w:rStyle w:val="Hyperlink"/>
          </w:rPr>
          <w:t>market authorisation</w:t>
        </w:r>
      </w:hyperlink>
      <w:r w:rsidRPr="00AC1ADA">
        <w:t xml:space="preserve">. This guidance will take you through how to access and use the </w:t>
      </w:r>
      <w:hyperlink r:id="rId16" w:anchor="pi" w:history="1">
        <w:r w:rsidRPr="00AC1ADA">
          <w:rPr>
            <w:rStyle w:val="Hyperlink"/>
            <w:i/>
          </w:rPr>
          <w:t>Therapeutic Goods (Permissible Ingredients) Determination</w:t>
        </w:r>
      </w:hyperlink>
      <w:r w:rsidRPr="00AC1ADA">
        <w:t xml:space="preserve"> (‘Permissible Ingredients Determination’ or ‘the Determination’) for this purpose.</w:t>
      </w:r>
    </w:p>
    <w:p w14:paraId="31843DC2" w14:textId="39C2241F" w:rsidR="00AC1ADA" w:rsidRPr="00AC1ADA" w:rsidRDefault="00AC1ADA" w:rsidP="00822FB4">
      <w:r w:rsidRPr="00AC1ADA">
        <w:t xml:space="preserve">To supply a listed or assessed listed medicine in Australia, sponsors need to submit a market authorisation application to the Therapeutic Goods Administration (TGA) to include their medicine in the </w:t>
      </w:r>
      <w:hyperlink r:id="rId17" w:history="1">
        <w:r w:rsidRPr="00C46FD5">
          <w:rPr>
            <w:rStyle w:val="Hyperlink"/>
          </w:rPr>
          <w:t>Australian Register of Therapeutic Goods (ARTG)</w:t>
        </w:r>
      </w:hyperlink>
      <w:r w:rsidRPr="00AC1ADA">
        <w:t xml:space="preserve">. One component of market authorisation is compliance with the requirements for each ingredient used in the formulation of your medicine. </w:t>
      </w:r>
    </w:p>
    <w:p w14:paraId="39420CB3" w14:textId="77777777" w:rsidR="00AC1ADA" w:rsidRPr="00AC1ADA" w:rsidRDefault="00AC1ADA" w:rsidP="00C46FD5">
      <w:r w:rsidRPr="00AC1ADA">
        <w:t>The TGA is authorised to pursue sanctions and penalties against those who do not comply with market authorisation requirements and other applicable regulatory requirements for therapeutic goods.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C1ADA" w:rsidRPr="00215D48" w14:paraId="663A8D64" w14:textId="77777777" w:rsidTr="003D1E92">
        <w:tc>
          <w:tcPr>
            <w:tcW w:w="1276" w:type="dxa"/>
            <w:vAlign w:val="center"/>
          </w:tcPr>
          <w:p w14:paraId="35EE04F9" w14:textId="77777777" w:rsidR="00AC1ADA" w:rsidRPr="00215D48" w:rsidRDefault="00AC1ADA" w:rsidP="00822FB4">
            <w:r w:rsidRPr="00215D48">
              <w:rPr>
                <w:noProof/>
                <w:lang w:eastAsia="en-AU"/>
              </w:rPr>
              <w:drawing>
                <wp:inline distT="0" distB="0" distL="0" distR="0" wp14:anchorId="19AC6AB2" wp14:editId="0685E78A">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741850D" w14:textId="62946AC2" w:rsidR="00AC1ADA" w:rsidRPr="00AC1ADA" w:rsidRDefault="00AC1ADA" w:rsidP="00822FB4">
            <w:r w:rsidRPr="00AC1ADA">
              <w:t xml:space="preserve">If you are unsure if you have a </w:t>
            </w:r>
            <w:r w:rsidR="00F446C5">
              <w:t xml:space="preserve">therapeutic good or whether you have a </w:t>
            </w:r>
            <w:r w:rsidRPr="00AC1ADA">
              <w:t xml:space="preserve">listed, assessed listed or registered </w:t>
            </w:r>
            <w:r w:rsidR="00C15873">
              <w:t>medicine, use</w:t>
            </w:r>
            <w:r w:rsidRPr="00AC1ADA">
              <w:t xml:space="preserve"> our</w:t>
            </w:r>
            <w:r w:rsidR="00C15873">
              <w:t xml:space="preserve"> decision tool</w:t>
            </w:r>
            <w:r w:rsidR="00C46FD5">
              <w:t>:</w:t>
            </w:r>
            <w:r w:rsidRPr="00AC1ADA">
              <w:t xml:space="preserve"> </w:t>
            </w:r>
            <w:hyperlink r:id="rId19" w:history="1">
              <w:r w:rsidRPr="00AC1ADA">
                <w:rPr>
                  <w:rStyle w:val="Hyperlink"/>
                </w:rPr>
                <w:t>Is my product a therapeutic good?</w:t>
              </w:r>
            </w:hyperlink>
          </w:p>
          <w:p w14:paraId="7799E6DC" w14:textId="0F05F4D3" w:rsidR="00AC1ADA" w:rsidRPr="00215D48" w:rsidRDefault="00F446C5" w:rsidP="00F446C5">
            <w:r>
              <w:t xml:space="preserve">To understand the differences between different types of medicines, see </w:t>
            </w:r>
            <w:hyperlink r:id="rId20" w:history="1">
              <w:r w:rsidRPr="00F446C5">
                <w:rPr>
                  <w:rStyle w:val="Hyperlink"/>
                </w:rPr>
                <w:t>How we regulate medicines</w:t>
              </w:r>
            </w:hyperlink>
            <w:r w:rsidR="00C46FD5">
              <w:t>.</w:t>
            </w:r>
          </w:p>
        </w:tc>
      </w:tr>
    </w:tbl>
    <w:p w14:paraId="6F4F1EC0" w14:textId="4E752FCC" w:rsidR="00AC1ADA" w:rsidRDefault="00AC1ADA" w:rsidP="00C46FD5">
      <w:r>
        <w:t xml:space="preserve">For further information on </w:t>
      </w:r>
      <w:r w:rsidR="00431AFB">
        <w:t xml:space="preserve">market authorisation requirements for </w:t>
      </w:r>
      <w:r>
        <w:t>liste</w:t>
      </w:r>
      <w:r w:rsidR="00431AFB">
        <w:t>d and assessed listed medicines</w:t>
      </w:r>
      <w:r>
        <w:t xml:space="preserve">, see Parts B and C of the </w:t>
      </w:r>
      <w:hyperlink r:id="rId21" w:history="1">
        <w:r w:rsidRPr="00CE2F6C">
          <w:rPr>
            <w:rStyle w:val="Hyperlink"/>
          </w:rPr>
          <w:t>Australian Regulatory Guidelines for Complementary Medicines (ARGC</w:t>
        </w:r>
        <w:r w:rsidR="00DF6748" w:rsidRPr="00CE2F6C">
          <w:rPr>
            <w:rStyle w:val="Hyperlink"/>
          </w:rPr>
          <w:t>M)</w:t>
        </w:r>
      </w:hyperlink>
      <w:r w:rsidR="00DF6748">
        <w:t>.</w:t>
      </w:r>
    </w:p>
    <w:p w14:paraId="495B9B65" w14:textId="77777777" w:rsidR="00AC1ADA" w:rsidRPr="00822FB4" w:rsidRDefault="00AC1ADA" w:rsidP="00822FB4">
      <w:pPr>
        <w:pStyle w:val="Heading2"/>
      </w:pPr>
      <w:bookmarkStart w:id="5" w:name="_Toc38618019"/>
      <w:bookmarkStart w:id="6" w:name="_Toc39490315"/>
      <w:r w:rsidRPr="00822FB4">
        <w:t>The Permissible Ingredients Determination</w:t>
      </w:r>
      <w:bookmarkEnd w:id="5"/>
      <w:bookmarkEnd w:id="6"/>
    </w:p>
    <w:p w14:paraId="5A653E0B" w14:textId="5424E601" w:rsidR="00AC1ADA" w:rsidRDefault="00AC1ADA" w:rsidP="00822FB4">
      <w:r w:rsidRPr="00C46FD5">
        <w:t xml:space="preserve">The </w:t>
      </w:r>
      <w:hyperlink r:id="rId22" w:anchor="pi" w:history="1">
        <w:r w:rsidRPr="00C46FD5">
          <w:rPr>
            <w:rStyle w:val="Hyperlink"/>
          </w:rPr>
          <w:t>Permissible Ingredients Determination</w:t>
        </w:r>
      </w:hyperlink>
      <w:r>
        <w:t xml:space="preserve"> provides an alphabetical list of low-risk ingredients </w:t>
      </w:r>
      <w:r w:rsidR="008C506E">
        <w:t xml:space="preserve">and their requirements </w:t>
      </w:r>
      <w:r w:rsidR="00471002">
        <w:t>that we consider</w:t>
      </w:r>
      <w:r>
        <w:t xml:space="preserve"> suitable for use in </w:t>
      </w:r>
      <w:hyperlink r:id="rId23" w:history="1">
        <w:r w:rsidRPr="00E9226B">
          <w:rPr>
            <w:rStyle w:val="Hyperlink"/>
          </w:rPr>
          <w:t>listed</w:t>
        </w:r>
      </w:hyperlink>
      <w:r w:rsidRPr="006A27F0">
        <w:rPr>
          <w:rStyle w:val="Hyperlink"/>
        </w:rPr>
        <w:t xml:space="preserve"> </w:t>
      </w:r>
      <w:r w:rsidRPr="00415AE7">
        <w:t>and</w:t>
      </w:r>
      <w:r w:rsidRPr="006A27F0">
        <w:rPr>
          <w:rStyle w:val="Hyperlink"/>
        </w:rPr>
        <w:t xml:space="preserve"> </w:t>
      </w:r>
      <w:hyperlink r:id="rId24" w:history="1">
        <w:r w:rsidRPr="000925B9">
          <w:rPr>
            <w:rStyle w:val="Hyperlink"/>
          </w:rPr>
          <w:t>assessed listed</w:t>
        </w:r>
      </w:hyperlink>
      <w:r w:rsidRPr="006A27F0">
        <w:rPr>
          <w:rStyle w:val="Hyperlink"/>
        </w:rPr>
        <w:t xml:space="preserve"> </w:t>
      </w:r>
      <w:r w:rsidRPr="00415AE7">
        <w:t>medicines</w:t>
      </w:r>
      <w:r>
        <w:t>. Listed and assessed listed medicines may only use ingredients found in the Determination.</w:t>
      </w:r>
    </w:p>
    <w:p w14:paraId="790A095B" w14:textId="79C353C8" w:rsidR="00AC1ADA" w:rsidRDefault="00AC1ADA" w:rsidP="00822FB4">
      <w:r w:rsidRPr="00984839">
        <w:t xml:space="preserve">Other </w:t>
      </w:r>
      <w:hyperlink r:id="rId25" w:history="1">
        <w:r w:rsidRPr="00984839">
          <w:rPr>
            <w:rStyle w:val="Hyperlink"/>
          </w:rPr>
          <w:t>medicine types</w:t>
        </w:r>
      </w:hyperlink>
      <w:r>
        <w:t xml:space="preserve">, such as </w:t>
      </w:r>
      <w:hyperlink r:id="rId26" w:history="1">
        <w:r w:rsidRPr="00C46FD5">
          <w:rPr>
            <w:rStyle w:val="Hyperlink"/>
          </w:rPr>
          <w:t>registered complementary medicines</w:t>
        </w:r>
      </w:hyperlink>
      <w:r w:rsidRPr="00C46FD5">
        <w:t>,</w:t>
      </w:r>
      <w:r>
        <w:t xml:space="preserve"> over the counter (OTC) medicines and prescription medicines, may use ingredients from the Permissible Ingredients Determination, but unlike listed and assessed listed medicines, they are not limited to ingredients specified in the Determination. Registered medicines may use ingredients found in Schedules 2, 3, 4 and 8 of the </w:t>
      </w:r>
      <w:hyperlink r:id="rId27" w:history="1">
        <w:r w:rsidRPr="000925B9">
          <w:rPr>
            <w:rStyle w:val="Hyperlink"/>
          </w:rPr>
          <w:t>Poisons Standard</w:t>
        </w:r>
      </w:hyperlink>
      <w:r>
        <w:t xml:space="preserve"> (</w:t>
      </w:r>
      <w:r w:rsidRPr="00513D57">
        <w:t>Standard for the Uniform Scheduling of Medicines and Poisons</w:t>
      </w:r>
      <w:r w:rsidR="00C46FD5">
        <w:t xml:space="preserve"> or SUSMP).</w:t>
      </w:r>
    </w:p>
    <w:p w14:paraId="1115CE57" w14:textId="77777777" w:rsidR="00AC1ADA" w:rsidRDefault="00AC1ADA" w:rsidP="00822FB4">
      <w:r>
        <w:t>The Determination outlines specific requirements of use for individual ingredients. This includes (but is not limited to) how an ingredient can be used, if it requires a label advisory statement and any quantity restrictions that must be complied with.</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C1ADA" w:rsidRPr="00215D48" w14:paraId="556A20A4" w14:textId="77777777" w:rsidTr="003D1E92">
        <w:tc>
          <w:tcPr>
            <w:tcW w:w="1276" w:type="dxa"/>
            <w:vAlign w:val="center"/>
          </w:tcPr>
          <w:p w14:paraId="0C9990D6" w14:textId="77777777" w:rsidR="00AC1ADA" w:rsidRPr="00215D48" w:rsidRDefault="00AC1ADA" w:rsidP="00822FB4">
            <w:r w:rsidRPr="00215D48">
              <w:rPr>
                <w:noProof/>
                <w:lang w:eastAsia="en-AU"/>
              </w:rPr>
              <w:drawing>
                <wp:inline distT="0" distB="0" distL="0" distR="0" wp14:anchorId="5A104770" wp14:editId="3D917745">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A56222D" w14:textId="2F2732DD" w:rsidR="00AC1ADA" w:rsidRPr="00215D48" w:rsidRDefault="00AC1ADA" w:rsidP="00822FB4">
            <w:r w:rsidRPr="00AC1ADA">
              <w:t xml:space="preserve">‘26BB’ is a common term used by regulatory affairs agents to refer to the Permissible Ingredients Determination. This is because Section 26BB is where the Determination is referenced in the </w:t>
            </w:r>
            <w:hyperlink r:id="rId28" w:history="1">
              <w:r w:rsidRPr="00AC1ADA">
                <w:rPr>
                  <w:rStyle w:val="Hyperlink"/>
                  <w:i/>
                </w:rPr>
                <w:t>Therapeutic Goods Act 1989</w:t>
              </w:r>
            </w:hyperlink>
            <w:r w:rsidRPr="00AC1ADA">
              <w:rPr>
                <w:i/>
              </w:rPr>
              <w:t>.</w:t>
            </w:r>
          </w:p>
        </w:tc>
      </w:tr>
    </w:tbl>
    <w:p w14:paraId="522C78A4" w14:textId="1B9E0D79" w:rsidR="00AC1ADA" w:rsidRPr="004639DB" w:rsidRDefault="00AC1ADA" w:rsidP="00C46FD5">
      <w:pPr>
        <w:keepLines/>
      </w:pPr>
      <w:r>
        <w:lastRenderedPageBreak/>
        <w:t xml:space="preserve">The Determination is </w:t>
      </w:r>
      <w:r w:rsidR="00012A7C">
        <w:t xml:space="preserve">located on the </w:t>
      </w:r>
      <w:hyperlink r:id="rId29" w:history="1">
        <w:r w:rsidR="00012A7C" w:rsidRPr="00C46FD5">
          <w:rPr>
            <w:rStyle w:val="Hyperlink"/>
          </w:rPr>
          <w:t>Federal Register of Legislation (FRL)</w:t>
        </w:r>
      </w:hyperlink>
      <w:r w:rsidR="00012A7C">
        <w:t xml:space="preserve"> and is </w:t>
      </w:r>
      <w:r>
        <w:t>updated regularly to incorporate new ingredients, remove ingredients</w:t>
      </w:r>
      <w:r w:rsidR="00012A7C">
        <w:t xml:space="preserve"> (this may be </w:t>
      </w:r>
      <w:r>
        <w:t xml:space="preserve">due to </w:t>
      </w:r>
      <w:r w:rsidR="008C506E">
        <w:t xml:space="preserve">safety issues </w:t>
      </w:r>
      <w:r w:rsidR="00012A7C">
        <w:t xml:space="preserve">or </w:t>
      </w:r>
      <w:hyperlink r:id="rId30" w:history="1">
        <w:r w:rsidRPr="000925B9">
          <w:rPr>
            <w:rStyle w:val="Hyperlink"/>
          </w:rPr>
          <w:t>scheduling changes</w:t>
        </w:r>
      </w:hyperlink>
      <w:r w:rsidRPr="00FA649C">
        <w:t xml:space="preserve"> in the Poisons Standard</w:t>
      </w:r>
      <w:r w:rsidR="00012A7C">
        <w:t>)</w:t>
      </w:r>
      <w:r>
        <w:t xml:space="preserve"> and amend existing requirements.</w:t>
      </w:r>
      <w:r w:rsidR="00012A7C" w:rsidRPr="00012A7C">
        <w:t xml:space="preserve"> </w:t>
      </w:r>
      <w:r w:rsidR="00012A7C">
        <w:t>Make sure you are looking at the version labelled ‘</w:t>
      </w:r>
      <w:r w:rsidR="00012A7C" w:rsidRPr="00C538C6">
        <w:t>In force</w:t>
      </w:r>
      <w:r w:rsidR="00012A7C">
        <w:t xml:space="preserve"> – latest v</w:t>
      </w:r>
      <w:r w:rsidR="00012A7C" w:rsidRPr="00C538C6">
        <w:t>ersion</w:t>
      </w:r>
      <w:r w:rsidR="00012A7C">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C1ADA" w:rsidRPr="00215D48" w14:paraId="69374CCD" w14:textId="77777777" w:rsidTr="003D1E92">
        <w:tc>
          <w:tcPr>
            <w:tcW w:w="1276" w:type="dxa"/>
            <w:vAlign w:val="center"/>
          </w:tcPr>
          <w:p w14:paraId="0F1D1E26" w14:textId="77777777" w:rsidR="00AC1ADA" w:rsidRPr="00215D48" w:rsidRDefault="00AC1ADA" w:rsidP="00822FB4">
            <w:r w:rsidRPr="00215D48">
              <w:rPr>
                <w:noProof/>
                <w:lang w:eastAsia="en-AU"/>
              </w:rPr>
              <w:drawing>
                <wp:inline distT="0" distB="0" distL="0" distR="0" wp14:anchorId="109954E8" wp14:editId="655AFCA7">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1A40DD" w14:textId="77777777" w:rsidR="00AC1ADA" w:rsidRPr="00215D48" w:rsidRDefault="00AC1ADA" w:rsidP="00822FB4">
            <w:r w:rsidRPr="00AC1ADA">
              <w:t xml:space="preserve">Notice of updates to the Permissible Ingredients Determination can be found in </w:t>
            </w:r>
            <w:hyperlink r:id="rId31" w:history="1">
              <w:r w:rsidRPr="00AC1ADA">
                <w:rPr>
                  <w:rStyle w:val="Hyperlink"/>
                </w:rPr>
                <w:t>Regulatory decisions &amp; notices (complementary medicines)</w:t>
              </w:r>
            </w:hyperlink>
            <w:r w:rsidRPr="00AC1ADA">
              <w:t>. This also provides background information on reasons behind the changes.</w:t>
            </w:r>
          </w:p>
        </w:tc>
      </w:tr>
    </w:tbl>
    <w:p w14:paraId="098A51AE" w14:textId="77777777" w:rsidR="00AC1ADA" w:rsidRPr="00822FB4" w:rsidRDefault="00AC1ADA" w:rsidP="00822FB4">
      <w:pPr>
        <w:pStyle w:val="Heading3"/>
      </w:pPr>
      <w:bookmarkStart w:id="7" w:name="_Toc38618020"/>
      <w:bookmarkStart w:id="8" w:name="_Toc39490316"/>
      <w:r w:rsidRPr="00822FB4">
        <w:t>Limitations of the Determination</w:t>
      </w:r>
      <w:bookmarkEnd w:id="7"/>
      <w:bookmarkEnd w:id="8"/>
    </w:p>
    <w:p w14:paraId="1A6C47B2" w14:textId="77777777" w:rsidR="00AC1ADA" w:rsidRDefault="00AC1ADA" w:rsidP="00822FB4">
      <w:r>
        <w:t xml:space="preserve">The Determination will not tell you everything you need to have on your label or everything you must consider for the </w:t>
      </w:r>
      <w:hyperlink r:id="rId32" w:history="1">
        <w:r w:rsidRPr="00A850B6">
          <w:rPr>
            <w:rStyle w:val="Hyperlink"/>
          </w:rPr>
          <w:t>manufacture</w:t>
        </w:r>
      </w:hyperlink>
      <w:r>
        <w:t xml:space="preserve"> of your goods. The Determination works in conjunction with </w:t>
      </w:r>
      <w:r w:rsidRPr="00BD45C2">
        <w:t>other relevant legislation</w:t>
      </w:r>
      <w:r>
        <w:t xml:space="preserve"> such as the </w:t>
      </w:r>
      <w:hyperlink r:id="rId33" w:history="1">
        <w:r w:rsidRPr="00A850B6">
          <w:rPr>
            <w:rStyle w:val="Hyperlink"/>
          </w:rPr>
          <w:t>Advertising Code</w:t>
        </w:r>
      </w:hyperlink>
      <w:r>
        <w:t xml:space="preserve">, </w:t>
      </w:r>
      <w:hyperlink r:id="rId34" w:history="1">
        <w:r w:rsidRPr="00B25029">
          <w:rPr>
            <w:rStyle w:val="Hyperlink"/>
          </w:rPr>
          <w:t>Therapeutic Goods Order No. 92 – Standard for labels of non-prescription medicines (TGO 92)</w:t>
        </w:r>
      </w:hyperlink>
      <w:r>
        <w:t xml:space="preserve"> </w:t>
      </w:r>
      <w:r w:rsidRPr="00A43402">
        <w:t xml:space="preserve">and the </w:t>
      </w:r>
      <w:hyperlink r:id="rId35" w:history="1">
        <w:r w:rsidRPr="009D7A7A">
          <w:rPr>
            <w:rStyle w:val="Hyperlink"/>
          </w:rPr>
          <w:t>Poisons Standard (the SUSMP)</w:t>
        </w:r>
      </w:hyperlink>
      <w:r>
        <w:t>.</w:t>
      </w:r>
    </w:p>
    <w:p w14:paraId="47073614" w14:textId="77777777" w:rsidR="00AC1ADA" w:rsidRDefault="00AC1ADA" w:rsidP="00822FB4">
      <w:r>
        <w:t xml:space="preserve">Full details of an ingredient, such as the Chemical Abstracts Service (CAS) number, ingredient category and naming reference can be found in the </w:t>
      </w:r>
      <w:hyperlink w:anchor="_The_Ingredients_Table_1" w:history="1">
        <w:r w:rsidRPr="00250016">
          <w:rPr>
            <w:rStyle w:val="Hyperlink"/>
          </w:rPr>
          <w:t>Ingredients Table</w:t>
        </w:r>
      </w:hyperlink>
      <w:r>
        <w:t xml:space="preserve"> through the </w:t>
      </w:r>
      <w:hyperlink r:id="rId36" w:history="1">
        <w:r w:rsidRPr="00A850B6">
          <w:rPr>
            <w:rStyle w:val="Hyperlink"/>
          </w:rPr>
          <w:t>TGA Business Services (TBS)</w:t>
        </w:r>
      </w:hyperlink>
      <w:r>
        <w:t xml:space="preserve"> portal, but these details won’t appear in the Determination.</w:t>
      </w:r>
    </w:p>
    <w:p w14:paraId="7AB282DD" w14:textId="77777777" w:rsidR="00AC1ADA" w:rsidRPr="00822FB4" w:rsidRDefault="00AC1ADA" w:rsidP="00822FB4">
      <w:pPr>
        <w:pStyle w:val="Heading2"/>
      </w:pPr>
      <w:bookmarkStart w:id="9" w:name="_Toc38618021"/>
      <w:bookmarkStart w:id="10" w:name="_Toc39490317"/>
      <w:r w:rsidRPr="00822FB4">
        <w:t>Responsibilities of the sponsor</w:t>
      </w:r>
      <w:bookmarkEnd w:id="9"/>
      <w:bookmarkEnd w:id="10"/>
    </w:p>
    <w:p w14:paraId="2D53642E" w14:textId="0E1947A7" w:rsidR="00AC1ADA" w:rsidRDefault="00AC1ADA" w:rsidP="00822FB4">
      <w:r w:rsidRPr="00EA1945">
        <w:t>If you are a sponsor of a listed</w:t>
      </w:r>
      <w:r>
        <w:t xml:space="preserve"> or assessed listed</w:t>
      </w:r>
      <w:r w:rsidRPr="00EA1945">
        <w:t xml:space="preserve"> medicine, you </w:t>
      </w:r>
      <w:r>
        <w:t>must</w:t>
      </w:r>
      <w:r w:rsidRPr="00EA1945">
        <w:t xml:space="preserve"> ensure that your medicine</w:t>
      </w:r>
      <w:r>
        <w:t xml:space="preserve"> formulation complies</w:t>
      </w:r>
      <w:r w:rsidRPr="00EA1945">
        <w:t xml:space="preserve"> with the Permis</w:t>
      </w:r>
      <w:r>
        <w:t>sible Ingredients Determination. You can ask your manufacturer, or regulatory affairs agent to perform this step for you, or you can check the Determination yourself for individual ingredient requirements and restrictions</w:t>
      </w:r>
      <w:r w:rsidR="00C46FD5">
        <w:t>.</w:t>
      </w:r>
    </w:p>
    <w:p w14:paraId="7336F0FB" w14:textId="610C35B1" w:rsidR="00AC1ADA" w:rsidRDefault="00AC1ADA" w:rsidP="00822FB4">
      <w:r>
        <w:t xml:space="preserve">You are responsible for ensuring all ingredients in your medicine, even those </w:t>
      </w:r>
      <w:r w:rsidRPr="002149AB">
        <w:rPr>
          <w:b/>
        </w:rPr>
        <w:t>within</w:t>
      </w:r>
      <w:r>
        <w:t xml:space="preserve"> a </w:t>
      </w:r>
      <w:hyperlink r:id="rId37" w:anchor="categories-pi" w:history="1">
        <w:r w:rsidRPr="00A850B6">
          <w:rPr>
            <w:rStyle w:val="Hyperlink"/>
          </w:rPr>
          <w:t>Proprietary Ingredient (PI)</w:t>
        </w:r>
      </w:hyperlink>
      <w:r>
        <w:t xml:space="preserve"> are compliant. In some circumstances, you may need to ask the supplier of your PI to check the PI’s contents on your behalf, as PI content may be hidden from you due t</w:t>
      </w:r>
      <w:r w:rsidR="00C46FD5">
        <w:t>o intellectual property rights.</w:t>
      </w:r>
    </w:p>
    <w:p w14:paraId="1DC7B6D6" w14:textId="77777777" w:rsidR="00AC1ADA" w:rsidRDefault="00F45087" w:rsidP="00822FB4">
      <w:hyperlink r:id="rId38" w:history="1">
        <w:r w:rsidR="00AC1ADA" w:rsidRPr="003B5790">
          <w:rPr>
            <w:rStyle w:val="Hyperlink"/>
          </w:rPr>
          <w:t>TGA Business Services (TBS)</w:t>
        </w:r>
      </w:hyperlink>
      <w:r w:rsidR="00AC1ADA">
        <w:t xml:space="preserve"> is the online portal used to apply to have a medicine entered in the ARTG and is where you need to enter details of you ingredients. TBS will help you validate your ingredients as you enter them, but it will not be able to capture all checks required. Just because you have successfully listed your medicine through TBS, does not mean your medicine is compliant.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C1ADA" w:rsidRPr="00215D48" w14:paraId="6BF51D48" w14:textId="77777777" w:rsidTr="003D1E92">
        <w:tc>
          <w:tcPr>
            <w:tcW w:w="1276" w:type="dxa"/>
            <w:vAlign w:val="center"/>
          </w:tcPr>
          <w:p w14:paraId="11BDE7B7" w14:textId="77777777" w:rsidR="00AC1ADA" w:rsidRPr="00215D48" w:rsidRDefault="00AC1ADA" w:rsidP="00822FB4">
            <w:r w:rsidRPr="00215D48">
              <w:rPr>
                <w:noProof/>
                <w:lang w:eastAsia="en-AU"/>
              </w:rPr>
              <w:drawing>
                <wp:inline distT="0" distB="0" distL="0" distR="0" wp14:anchorId="6E9B9198" wp14:editId="612D68E1">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D6F2542" w14:textId="77777777" w:rsidR="00AC1ADA" w:rsidRPr="00215D48" w:rsidRDefault="00AC1ADA" w:rsidP="00822FB4">
            <w:r w:rsidRPr="00AC1ADA">
              <w:t>Consult the Determination prior to listing so you know the requirements of your ingredients and the impact these may have on your medicine.</w:t>
            </w:r>
          </w:p>
        </w:tc>
      </w:tr>
    </w:tbl>
    <w:p w14:paraId="357137DC" w14:textId="40FA6938" w:rsidR="00AC1ADA" w:rsidRDefault="00AC1ADA" w:rsidP="00822FB4">
      <w:r>
        <w:t xml:space="preserve">It is </w:t>
      </w:r>
      <w:r w:rsidRPr="00297834">
        <w:t>your responsibility as the sponsor to ensure compliance</w:t>
      </w:r>
      <w:r>
        <w:t xml:space="preserve"> of your medicine with all relevant legislation. The </w:t>
      </w:r>
      <w:hyperlink r:id="rId39" w:history="1">
        <w:r w:rsidRPr="00A850B6">
          <w:rPr>
            <w:rStyle w:val="Hyperlink"/>
          </w:rPr>
          <w:t>ARGCM</w:t>
        </w:r>
      </w:hyperlink>
      <w:r>
        <w:t xml:space="preserve"> and </w:t>
      </w:r>
      <w:r w:rsidR="00C46FD5">
        <w:t>t</w:t>
      </w:r>
      <w:r w:rsidRPr="00C46FD5">
        <w:t xml:space="preserve">he </w:t>
      </w:r>
      <w:hyperlink r:id="rId40" w:history="1">
        <w:r w:rsidRPr="00C46FD5">
          <w:rPr>
            <w:rStyle w:val="Hyperlink"/>
          </w:rPr>
          <w:t>Australian Regulatory Guidelines for Sunscreens (ARGS)</w:t>
        </w:r>
      </w:hyperlink>
      <w:r>
        <w:t xml:space="preserve"> contain further information regarding other regulatory r</w:t>
      </w:r>
      <w:r w:rsidR="00C46FD5">
        <w:t>equirements not mentioned here.</w:t>
      </w:r>
    </w:p>
    <w:p w14:paraId="5378D18E" w14:textId="77777777" w:rsidR="00AC1ADA" w:rsidRPr="00822FB4" w:rsidRDefault="00AC1ADA" w:rsidP="00822FB4">
      <w:pPr>
        <w:pStyle w:val="Heading2"/>
      </w:pPr>
      <w:bookmarkStart w:id="11" w:name="_Toc38618022"/>
      <w:bookmarkStart w:id="12" w:name="_Toc39490318"/>
      <w:r w:rsidRPr="00822FB4">
        <w:lastRenderedPageBreak/>
        <w:t>Using the Permissible Ingredients Determination</w:t>
      </w:r>
      <w:bookmarkEnd w:id="11"/>
      <w:bookmarkEnd w:id="12"/>
    </w:p>
    <w:p w14:paraId="5D0C1E3C" w14:textId="77777777" w:rsidR="00AC1ADA" w:rsidRDefault="00AC1ADA" w:rsidP="00822FB4">
      <w:r>
        <w:t>The first few pages</w:t>
      </w:r>
      <w:r w:rsidRPr="00A850B6">
        <w:t xml:space="preserve"> of </w:t>
      </w:r>
      <w:hyperlink r:id="rId41" w:anchor="pi" w:history="1">
        <w:r w:rsidRPr="00A850B6">
          <w:rPr>
            <w:rStyle w:val="Hyperlink"/>
          </w:rPr>
          <w:t>the Determination</w:t>
        </w:r>
      </w:hyperlink>
      <w:r>
        <w:t xml:space="preserve"> provide definitions and clarifies how to interpret the list of permissible ingredients.</w:t>
      </w:r>
    </w:p>
    <w:p w14:paraId="34F0C1FC" w14:textId="77777777" w:rsidR="00AC1ADA" w:rsidRPr="00822FB4" w:rsidRDefault="00AC1ADA" w:rsidP="00822FB4">
      <w:pPr>
        <w:pStyle w:val="Heading3"/>
      </w:pPr>
      <w:bookmarkStart w:id="13" w:name="_Toc38618023"/>
      <w:bookmarkStart w:id="14" w:name="_Toc39490319"/>
      <w:r w:rsidRPr="00822FB4">
        <w:t>Terminology</w:t>
      </w:r>
      <w:bookmarkEnd w:id="13"/>
      <w:bookmarkEnd w:id="14"/>
    </w:p>
    <w:p w14:paraId="134EA064" w14:textId="77777777" w:rsidR="00AC1ADA" w:rsidRDefault="00AC1ADA" w:rsidP="00822FB4">
      <w:r>
        <w:t xml:space="preserve">Search the Determination using </w:t>
      </w:r>
      <w:hyperlink r:id="rId42" w:history="1">
        <w:r w:rsidRPr="00A43402">
          <w:rPr>
            <w:rStyle w:val="Hyperlink"/>
          </w:rPr>
          <w:t>Australian approved terminology</w:t>
        </w:r>
      </w:hyperlink>
      <w:r>
        <w:t xml:space="preserve">. </w:t>
      </w:r>
      <w:r w:rsidRPr="00911FC4">
        <w:t xml:space="preserve">Approved names </w:t>
      </w:r>
      <w:r>
        <w:t>fall into the following categories:</w:t>
      </w:r>
    </w:p>
    <w:p w14:paraId="4A6BC683" w14:textId="77777777" w:rsidR="00AC1ADA" w:rsidRPr="00822FB4" w:rsidRDefault="00AC1ADA" w:rsidP="00822FB4">
      <w:pPr>
        <w:pStyle w:val="ListBullet"/>
      </w:pPr>
      <w:r w:rsidRPr="00822FB4">
        <w:t>Australian Approved Name (AAN)</w:t>
      </w:r>
    </w:p>
    <w:p w14:paraId="23AB738C" w14:textId="77777777" w:rsidR="00AC1ADA" w:rsidRPr="00822FB4" w:rsidRDefault="00AC1ADA" w:rsidP="00822FB4">
      <w:pPr>
        <w:pStyle w:val="ListBullet"/>
      </w:pPr>
      <w:r w:rsidRPr="00822FB4">
        <w:t>Australian Biological Name (ABN)</w:t>
      </w:r>
    </w:p>
    <w:p w14:paraId="037C812E" w14:textId="77777777" w:rsidR="00AC1ADA" w:rsidRPr="00822FB4" w:rsidRDefault="00AC1ADA" w:rsidP="00822FB4">
      <w:pPr>
        <w:pStyle w:val="ListBullet"/>
      </w:pPr>
      <w:r w:rsidRPr="00822FB4">
        <w:t>Australian Herbal Name (AHN)</w:t>
      </w:r>
    </w:p>
    <w:p w14:paraId="5A74617B" w14:textId="77777777" w:rsidR="00AC1ADA" w:rsidRPr="00822FB4" w:rsidRDefault="00AC1ADA" w:rsidP="00822FB4">
      <w:pPr>
        <w:pStyle w:val="ListBullet"/>
      </w:pPr>
      <w:r w:rsidRPr="00822FB4">
        <w:t>Australian Herbal Substance (AHS)</w:t>
      </w:r>
    </w:p>
    <w:p w14:paraId="3DCC861F" w14:textId="79AB5F89" w:rsidR="00AC1ADA" w:rsidRDefault="00AC1ADA" w:rsidP="00822FB4">
      <w:r>
        <w:t>Within the Determination, it is important to no</w:t>
      </w:r>
      <w:r w:rsidR="00235D25">
        <w:t>te the following abbreviations:</w:t>
      </w:r>
    </w:p>
    <w:p w14:paraId="6A423651" w14:textId="59C93DBA" w:rsidR="00AC1ADA" w:rsidRPr="00822FB4" w:rsidRDefault="00AC1ADA" w:rsidP="00822FB4">
      <w:pPr>
        <w:pStyle w:val="ListBullet"/>
      </w:pPr>
      <w:r w:rsidRPr="00822FB4">
        <w:t>’</w:t>
      </w:r>
      <w:r w:rsidRPr="006E6A10">
        <w:rPr>
          <w:i/>
        </w:rPr>
        <w:t>A</w:t>
      </w:r>
      <w:r w:rsidRPr="00822FB4">
        <w:t>’ means an active ingredient: the therapeutically active component in a medicine's final formulation that is responsible for its physiolo</w:t>
      </w:r>
      <w:r w:rsidR="00E7223B">
        <w:t>gical or pharmacological action</w:t>
      </w:r>
      <w:r w:rsidR="00235D25">
        <w:t>.</w:t>
      </w:r>
    </w:p>
    <w:p w14:paraId="092AA037" w14:textId="497144F9" w:rsidR="00AC1ADA" w:rsidRPr="00822FB4" w:rsidRDefault="00AC1ADA" w:rsidP="00822FB4">
      <w:pPr>
        <w:pStyle w:val="ListBullet"/>
      </w:pPr>
      <w:r w:rsidRPr="00822FB4">
        <w:t>’</w:t>
      </w:r>
      <w:r w:rsidRPr="006E6A10">
        <w:rPr>
          <w:i/>
        </w:rPr>
        <w:t>E</w:t>
      </w:r>
      <w:r w:rsidRPr="00822FB4">
        <w:t>’ means an excipient ingredient: an inactive substance which does not contribute to the physiological action in</w:t>
      </w:r>
      <w:r w:rsidR="00E7223B">
        <w:t xml:space="preserve"> a medicine’s final formulation</w:t>
      </w:r>
      <w:r w:rsidR="00235D25">
        <w:t>.</w:t>
      </w:r>
    </w:p>
    <w:p w14:paraId="435108D7" w14:textId="22B115E4" w:rsidR="00AC1ADA" w:rsidRPr="00822FB4" w:rsidRDefault="00AC1ADA" w:rsidP="00822FB4">
      <w:pPr>
        <w:pStyle w:val="ListBullet"/>
      </w:pPr>
      <w:r w:rsidRPr="00822FB4">
        <w:t>’</w:t>
      </w:r>
      <w:r w:rsidRPr="006E6A10">
        <w:rPr>
          <w:i/>
        </w:rPr>
        <w:t>H</w:t>
      </w:r>
      <w:r w:rsidRPr="00822FB4">
        <w:t xml:space="preserve">’ means a homoeopathic ingredient:  an ingredient that is a constituent of a </w:t>
      </w:r>
      <w:hyperlink r:id="rId43" w:anchor="id_1089" w:history="1">
        <w:r w:rsidRPr="006E6A10">
          <w:rPr>
            <w:rStyle w:val="Hyperlink"/>
          </w:rPr>
          <w:t>homoeopathic preparation</w:t>
        </w:r>
      </w:hyperlink>
      <w:r w:rsidRPr="00822FB4">
        <w:t>. These have specific requirements and may not be able to be use</w:t>
      </w:r>
      <w:r w:rsidR="00E7223B">
        <w:t>d in non-homoeopathic medicines</w:t>
      </w:r>
      <w:r w:rsidR="00235D25">
        <w:t>.</w:t>
      </w:r>
    </w:p>
    <w:p w14:paraId="16CCF60D" w14:textId="77777777" w:rsidR="00AC1ADA" w:rsidRPr="00822FB4" w:rsidRDefault="00AC1ADA" w:rsidP="00822FB4">
      <w:pPr>
        <w:pStyle w:val="Heading3"/>
      </w:pPr>
      <w:bookmarkStart w:id="15" w:name="_Toc38618024"/>
      <w:bookmarkStart w:id="16" w:name="_Toc39490320"/>
      <w:r w:rsidRPr="00822FB4">
        <w:t>Volumes</w:t>
      </w:r>
      <w:bookmarkEnd w:id="15"/>
      <w:bookmarkEnd w:id="16"/>
    </w:p>
    <w:p w14:paraId="5008114F" w14:textId="28C53EE3" w:rsidR="00AC1ADA" w:rsidRDefault="00AC1ADA" w:rsidP="00822FB4">
      <w:r>
        <w:t>The Permissible Ingredients Determination is separated into volumes, which are categorised alphabeticall</w:t>
      </w:r>
      <w:r w:rsidR="00235D25">
        <w:t>y according to ingredient name:</w:t>
      </w:r>
    </w:p>
    <w:p w14:paraId="608CF391" w14:textId="77777777" w:rsidR="00AC1ADA" w:rsidRPr="00822FB4" w:rsidRDefault="00AC1ADA" w:rsidP="00822FB4">
      <w:pPr>
        <w:pStyle w:val="ListBullet"/>
      </w:pPr>
      <w:r w:rsidRPr="00822FB4">
        <w:t>volume 1 – 1 to A</w:t>
      </w:r>
    </w:p>
    <w:p w14:paraId="1A68E2C9" w14:textId="77777777" w:rsidR="00AC1ADA" w:rsidRPr="00822FB4" w:rsidRDefault="00AC1ADA" w:rsidP="00822FB4">
      <w:pPr>
        <w:pStyle w:val="ListBullet"/>
      </w:pPr>
      <w:r w:rsidRPr="00822FB4">
        <w:t>volume 2 – B to E</w:t>
      </w:r>
    </w:p>
    <w:p w14:paraId="44D0FC15" w14:textId="77777777" w:rsidR="00AC1ADA" w:rsidRPr="00822FB4" w:rsidRDefault="00AC1ADA" w:rsidP="00822FB4">
      <w:pPr>
        <w:pStyle w:val="ListBullet"/>
      </w:pPr>
      <w:r w:rsidRPr="00822FB4">
        <w:t>volume 3 – F to J</w:t>
      </w:r>
    </w:p>
    <w:p w14:paraId="20637AE9" w14:textId="77777777" w:rsidR="00AC1ADA" w:rsidRPr="00822FB4" w:rsidRDefault="00AC1ADA" w:rsidP="00822FB4">
      <w:pPr>
        <w:pStyle w:val="ListBullet"/>
      </w:pPr>
      <w:r w:rsidRPr="00822FB4">
        <w:t>volume 4 – K to O</w:t>
      </w:r>
    </w:p>
    <w:p w14:paraId="236F08D9" w14:textId="77777777" w:rsidR="00AC1ADA" w:rsidRPr="00822FB4" w:rsidRDefault="00AC1ADA" w:rsidP="00822FB4">
      <w:pPr>
        <w:pStyle w:val="ListBullet"/>
      </w:pPr>
      <w:r w:rsidRPr="00822FB4">
        <w:t>volume 5 – P to T</w:t>
      </w:r>
    </w:p>
    <w:p w14:paraId="75B33C41" w14:textId="77777777" w:rsidR="00AC1ADA" w:rsidRPr="00822FB4" w:rsidRDefault="00AC1ADA" w:rsidP="00822FB4">
      <w:pPr>
        <w:pStyle w:val="ListBullet"/>
      </w:pPr>
      <w:r w:rsidRPr="00822FB4">
        <w:t>volume 6 – U to Z</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C1ADA" w:rsidRPr="00215D48" w14:paraId="79948E96" w14:textId="77777777" w:rsidTr="003D1E92">
        <w:tc>
          <w:tcPr>
            <w:tcW w:w="1276" w:type="dxa"/>
            <w:vAlign w:val="center"/>
          </w:tcPr>
          <w:p w14:paraId="781B7821" w14:textId="77777777" w:rsidR="00AC1ADA" w:rsidRPr="00215D48" w:rsidRDefault="00AC1ADA" w:rsidP="00822FB4">
            <w:r w:rsidRPr="00215D48">
              <w:rPr>
                <w:noProof/>
                <w:lang w:eastAsia="en-AU"/>
              </w:rPr>
              <w:drawing>
                <wp:inline distT="0" distB="0" distL="0" distR="0" wp14:anchorId="261D78E6" wp14:editId="53B3DE61">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0DC8731" w14:textId="77777777" w:rsidR="00AC1ADA" w:rsidRDefault="00AC1ADA" w:rsidP="00822FB4">
            <w:r>
              <w:t>While in the Determination you can press ‘</w:t>
            </w:r>
            <w:r w:rsidRPr="002149AB">
              <w:t>CTRL+F</w:t>
            </w:r>
            <w:r>
              <w:t>’ (PC) or ‘</w:t>
            </w:r>
            <w:proofErr w:type="spellStart"/>
            <w:r>
              <w:t>Command+F</w:t>
            </w:r>
            <w:proofErr w:type="spellEnd"/>
            <w:r>
              <w:t>’ (Mac) to bring up the</w:t>
            </w:r>
            <w:r w:rsidRPr="00870C06">
              <w:rPr>
                <w:b/>
              </w:rPr>
              <w:t xml:space="preserve"> </w:t>
            </w:r>
            <w:r>
              <w:rPr>
                <w:b/>
              </w:rPr>
              <w:t>‘</w:t>
            </w:r>
            <w:r>
              <w:t>f</w:t>
            </w:r>
            <w:r w:rsidRPr="002149AB">
              <w:t>ind</w:t>
            </w:r>
            <w:r>
              <w:t>’</w:t>
            </w:r>
            <w:r w:rsidRPr="00870C06">
              <w:rPr>
                <w:b/>
              </w:rPr>
              <w:t xml:space="preserve"> </w:t>
            </w:r>
            <w:r>
              <w:t>function. Type in your ingredient</w:t>
            </w:r>
            <w:r w:rsidRPr="00216D93">
              <w:t xml:space="preserve"> and any instances of that term will be highlighted in the document.</w:t>
            </w:r>
          </w:p>
          <w:p w14:paraId="373B50B9" w14:textId="3092F770" w:rsidR="00AC1ADA" w:rsidRPr="00215D48" w:rsidRDefault="00AC1ADA" w:rsidP="00822FB4">
            <w:r>
              <w:t xml:space="preserve">This function </w:t>
            </w:r>
            <w:r w:rsidR="00012A7C">
              <w:t>will not</w:t>
            </w:r>
            <w:r>
              <w:t xml:space="preserve"> work between volumes. Make sure you have the correct volume open (e.g. volume 3, inclusive of the letter ‘F’) to search for ‘folate’, otherwise you will not be able to locate it.</w:t>
            </w:r>
          </w:p>
        </w:tc>
      </w:tr>
    </w:tbl>
    <w:p w14:paraId="532F1856" w14:textId="77777777" w:rsidR="00AC1ADA" w:rsidRPr="00822FB4" w:rsidRDefault="00AC1ADA" w:rsidP="00822FB4">
      <w:pPr>
        <w:pStyle w:val="Heading3"/>
      </w:pPr>
      <w:bookmarkStart w:id="17" w:name="_Toc38618025"/>
      <w:bookmarkStart w:id="18" w:name="_Toc39490321"/>
      <w:r w:rsidRPr="00822FB4">
        <w:lastRenderedPageBreak/>
        <w:t>Columns</w:t>
      </w:r>
      <w:bookmarkEnd w:id="17"/>
      <w:bookmarkEnd w:id="18"/>
    </w:p>
    <w:p w14:paraId="50C58138" w14:textId="58FBF1D0" w:rsidR="00AC1ADA" w:rsidRDefault="00AC1ADA" w:rsidP="00822FB4">
      <w:pPr>
        <w:rPr>
          <w:noProof/>
          <w:lang w:eastAsia="en-AU"/>
        </w:rPr>
      </w:pPr>
      <w:r>
        <w:rPr>
          <w:noProof/>
          <w:lang w:eastAsia="en-AU"/>
        </w:rPr>
        <w:t>The Determination is structur</w:t>
      </w:r>
      <w:r w:rsidR="00235D25">
        <w:rPr>
          <w:noProof/>
          <w:lang w:eastAsia="en-AU"/>
        </w:rPr>
        <w:t>ed into columns of information:</w:t>
      </w:r>
    </w:p>
    <w:p w14:paraId="43FB235A" w14:textId="5520192E" w:rsidR="00AC1ADA" w:rsidRPr="00822FB4" w:rsidRDefault="00AC1ADA" w:rsidP="00822FB4">
      <w:pPr>
        <w:pStyle w:val="ListBullet"/>
      </w:pPr>
      <w:r w:rsidRPr="00822FB4">
        <w:rPr>
          <w:b/>
        </w:rPr>
        <w:t>Column 1</w:t>
      </w:r>
      <w:r w:rsidRPr="00822FB4">
        <w:t xml:space="preserve"> nu</w:t>
      </w:r>
      <w:r w:rsidR="00E7223B">
        <w:t>merically lists the ingredients</w:t>
      </w:r>
    </w:p>
    <w:p w14:paraId="1487FDA7" w14:textId="6B1DFE88" w:rsidR="00AC1ADA" w:rsidRPr="00822FB4" w:rsidRDefault="00AC1ADA" w:rsidP="00822FB4">
      <w:pPr>
        <w:pStyle w:val="ListBullet"/>
      </w:pPr>
      <w:r w:rsidRPr="00822FB4">
        <w:rPr>
          <w:b/>
        </w:rPr>
        <w:t>Column 2</w:t>
      </w:r>
      <w:r w:rsidRPr="00822FB4">
        <w:t xml:space="preserve"> shows the Australian </w:t>
      </w:r>
      <w:r w:rsidR="00E7223B">
        <w:t>approved name of the ingredient</w:t>
      </w:r>
    </w:p>
    <w:p w14:paraId="401AADDC" w14:textId="561435F3" w:rsidR="00AC1ADA" w:rsidRPr="00822FB4" w:rsidRDefault="00AC1ADA" w:rsidP="00822FB4">
      <w:pPr>
        <w:pStyle w:val="ListBullet"/>
      </w:pPr>
      <w:r w:rsidRPr="00822FB4">
        <w:rPr>
          <w:b/>
        </w:rPr>
        <w:t>Column 3</w:t>
      </w:r>
      <w:r w:rsidRPr="00822FB4">
        <w:t xml:space="preserve"> shows the purpose of the ingredient, as an active (A), excipient (E)</w:t>
      </w:r>
      <w:r w:rsidR="00E7223B">
        <w:t xml:space="preserve"> or homoeopathic (H) ingredient</w:t>
      </w:r>
    </w:p>
    <w:p w14:paraId="5A8CA19E" w14:textId="4D01C736" w:rsidR="00AC1ADA" w:rsidRPr="00822FB4" w:rsidRDefault="00AC1ADA" w:rsidP="00822FB4">
      <w:pPr>
        <w:pStyle w:val="ListBullet"/>
      </w:pPr>
      <w:r w:rsidRPr="00822FB4">
        <w:rPr>
          <w:b/>
        </w:rPr>
        <w:t>Column 4</w:t>
      </w:r>
      <w:r w:rsidRPr="00822FB4">
        <w:t xml:space="preserve"> shows the requirements</w:t>
      </w:r>
      <w:r w:rsidR="00E7223B">
        <w:t xml:space="preserve"> associated with the ingredient</w:t>
      </w:r>
    </w:p>
    <w:p w14:paraId="60211C4A" w14:textId="77777777" w:rsidR="00AC1ADA" w:rsidRDefault="00AC1ADA" w:rsidP="00822FB4">
      <w:pPr>
        <w:pStyle w:val="Figuretitle"/>
      </w:pPr>
      <w:r>
        <w:rPr>
          <w:noProof/>
          <w:lang w:eastAsia="en-AU"/>
        </w:rPr>
        <w:t>Figure 1. A screenshot of the Determination showing the layout of information and different columns.</w:t>
      </w:r>
    </w:p>
    <w:p w14:paraId="71472051" w14:textId="77777777" w:rsidR="00AC1ADA" w:rsidRDefault="008E3D10" w:rsidP="00AC1ADA">
      <w:r>
        <w:rPr>
          <w:noProof/>
          <w:lang w:eastAsia="en-AU"/>
        </w:rPr>
        <w:drawing>
          <wp:inline distT="0" distB="0" distL="0" distR="0" wp14:anchorId="36670C60" wp14:editId="51E2AE09">
            <wp:extent cx="5759450" cy="5951226"/>
            <wp:effectExtent l="0" t="0" r="0" b="0"/>
            <wp:docPr id="17" name="Picture 17" descr="Column 1. &#10;Column 2 Ingredient name. &#10;Column 3 Purpose of the ingredient in the medicine. &#10;Column 4  Specific requirement(s) applying to the ingredient in Colum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759450" cy="5951226"/>
                    </a:xfrm>
                    <a:prstGeom prst="rect">
                      <a:avLst/>
                    </a:prstGeom>
                  </pic:spPr>
                </pic:pic>
              </a:graphicData>
            </a:graphic>
          </wp:inline>
        </w:drawing>
      </w:r>
    </w:p>
    <w:p w14:paraId="50AFB0AC" w14:textId="77777777" w:rsidR="008E3D10" w:rsidRPr="00822FB4" w:rsidRDefault="008E3D10" w:rsidP="00822FB4">
      <w:pPr>
        <w:pStyle w:val="Heading2"/>
      </w:pPr>
      <w:bookmarkStart w:id="19" w:name="_Toc38618026"/>
      <w:bookmarkStart w:id="20" w:name="_Toc39490322"/>
      <w:r w:rsidRPr="00822FB4">
        <w:lastRenderedPageBreak/>
        <w:t>Ingredients not found in the Permissible Ingredients Determination</w:t>
      </w:r>
      <w:bookmarkEnd w:id="19"/>
      <w:bookmarkEnd w:id="20"/>
    </w:p>
    <w:p w14:paraId="7F198A07" w14:textId="1C815773" w:rsidR="008E3D10" w:rsidRDefault="008E3D10" w:rsidP="00822FB4">
      <w:r>
        <w:t xml:space="preserve">If </w:t>
      </w:r>
      <w:r w:rsidR="005A4EBB">
        <w:t>the medicine</w:t>
      </w:r>
      <w:r w:rsidR="00B8401C">
        <w:t xml:space="preserve"> you propose to </w:t>
      </w:r>
      <w:r w:rsidR="005A4EBB">
        <w:t>submit for inclusion</w:t>
      </w:r>
      <w:r w:rsidR="00B8401C">
        <w:t xml:space="preserve"> on </w:t>
      </w:r>
      <w:r w:rsidR="005A4EBB">
        <w:t xml:space="preserve">to </w:t>
      </w:r>
      <w:r w:rsidR="00B8401C">
        <w:t>the ARTG</w:t>
      </w:r>
      <w:r>
        <w:t xml:space="preserve"> contains an ingredient not included in the Permissible Ingredients Determination, the following options are available:</w:t>
      </w:r>
    </w:p>
    <w:p w14:paraId="11D11CB1" w14:textId="37A0320B" w:rsidR="008E3D10" w:rsidRPr="00822FB4" w:rsidRDefault="008E3D10" w:rsidP="00822FB4">
      <w:pPr>
        <w:pStyle w:val="ListBullet"/>
      </w:pPr>
      <w:r w:rsidRPr="00822FB4">
        <w:t xml:space="preserve">Check the </w:t>
      </w:r>
      <w:hyperlink r:id="rId45" w:history="1">
        <w:r w:rsidRPr="006E6A10">
          <w:rPr>
            <w:rStyle w:val="Hyperlink"/>
          </w:rPr>
          <w:t>Poisons Standard</w:t>
        </w:r>
      </w:hyperlink>
      <w:r w:rsidRPr="00822FB4">
        <w:t xml:space="preserve"> to see if your ingredient is subject to a schedule. If your ingredient is scheduled, your </w:t>
      </w:r>
      <w:r w:rsidR="00174859">
        <w:t xml:space="preserve">proposed </w:t>
      </w:r>
      <w:r w:rsidRPr="00822FB4">
        <w:t xml:space="preserve">medicine may </w:t>
      </w:r>
      <w:r w:rsidR="00F93D9C">
        <w:t>be</w:t>
      </w:r>
      <w:r w:rsidRPr="00822FB4">
        <w:t xml:space="preserve"> </w:t>
      </w:r>
      <w:r w:rsidR="00174859">
        <w:t>a</w:t>
      </w:r>
      <w:r w:rsidRPr="00822FB4">
        <w:t xml:space="preserve"> </w:t>
      </w:r>
      <w:hyperlink r:id="rId46" w:history="1">
        <w:r w:rsidR="00174859">
          <w:rPr>
            <w:rStyle w:val="Hyperlink"/>
          </w:rPr>
          <w:t>r</w:t>
        </w:r>
        <w:r w:rsidRPr="006E6A10">
          <w:rPr>
            <w:rStyle w:val="Hyperlink"/>
          </w:rPr>
          <w:t>egistered medicine</w:t>
        </w:r>
      </w:hyperlink>
      <w:r w:rsidRPr="00822FB4">
        <w:t xml:space="preserve"> (i.e. a pr</w:t>
      </w:r>
      <w:r w:rsidR="00BD7FC6">
        <w:t>escription medicine,</w:t>
      </w:r>
      <w:r w:rsidR="00F93D9C">
        <w:t xml:space="preserve"> over-the-</w:t>
      </w:r>
      <w:r w:rsidRPr="00822FB4">
        <w:t>counter medicine</w:t>
      </w:r>
      <w:r w:rsidR="00BD7FC6">
        <w:t xml:space="preserve"> or registered complementary medicine</w:t>
      </w:r>
      <w:r w:rsidRPr="00822FB4">
        <w:t>)</w:t>
      </w:r>
      <w:r w:rsidR="005A4EBB">
        <w:t>, which</w:t>
      </w:r>
      <w:r w:rsidRPr="00822FB4">
        <w:t xml:space="preserve"> have </w:t>
      </w:r>
      <w:hyperlink r:id="rId47" w:history="1">
        <w:r w:rsidRPr="00F93D9C">
          <w:rPr>
            <w:rStyle w:val="Hyperlink"/>
          </w:rPr>
          <w:t>different requirements</w:t>
        </w:r>
      </w:hyperlink>
      <w:r w:rsidRPr="00822FB4">
        <w:t xml:space="preserve"> from </w:t>
      </w:r>
      <w:r w:rsidR="00E7223B">
        <w:t>listed medicines.</w:t>
      </w:r>
    </w:p>
    <w:p w14:paraId="1E466661" w14:textId="35259A48" w:rsidR="008E3D10" w:rsidRPr="00822FB4" w:rsidRDefault="008E3D10" w:rsidP="00822FB4">
      <w:pPr>
        <w:pStyle w:val="ListBullet"/>
      </w:pPr>
      <w:r w:rsidRPr="00822FB4">
        <w:t xml:space="preserve">You may submit an application for a substance evaluation to include an ingredient in the Determination, provided that it is not subject to a schedule to </w:t>
      </w:r>
      <w:hyperlink r:id="rId48" w:history="1">
        <w:r w:rsidRPr="00822FB4">
          <w:t>the Poisons Standard</w:t>
        </w:r>
      </w:hyperlink>
      <w:r w:rsidRPr="00822FB4">
        <w:t xml:space="preserve">. Our </w:t>
      </w:r>
      <w:hyperlink r:id="rId49" w:history="1">
        <w:r w:rsidRPr="00C02382">
          <w:rPr>
            <w:rStyle w:val="Hyperlink"/>
          </w:rPr>
          <w:t>User guide: Evaluation of substances for use in listed medicines</w:t>
        </w:r>
      </w:hyperlink>
      <w:r w:rsidRPr="00822FB4">
        <w:t xml:space="preserve"> contains relevant information on how to submit an application to create a new entry or amend an existing one, such as adding an addi</w:t>
      </w:r>
      <w:r w:rsidR="005A154C">
        <w:t>tional route of administration.</w:t>
      </w:r>
    </w:p>
    <w:p w14:paraId="0DD253EF" w14:textId="77777777" w:rsidR="008E3D10" w:rsidRPr="00822FB4" w:rsidRDefault="008E3D10" w:rsidP="00822FB4">
      <w:pPr>
        <w:pStyle w:val="Heading2"/>
      </w:pPr>
      <w:bookmarkStart w:id="21" w:name="_The_Ingredients_Table_1"/>
      <w:bookmarkStart w:id="22" w:name="_Toc38618027"/>
      <w:bookmarkStart w:id="23" w:name="_Toc39490323"/>
      <w:bookmarkEnd w:id="21"/>
      <w:r w:rsidRPr="00822FB4">
        <w:t>Ingredients Table</w:t>
      </w:r>
      <w:bookmarkEnd w:id="22"/>
      <w:bookmarkEnd w:id="23"/>
    </w:p>
    <w:p w14:paraId="58EAB03E" w14:textId="5EBCDDEC" w:rsidR="008E3D10" w:rsidRDefault="00F45087" w:rsidP="00822FB4">
      <w:hyperlink r:id="rId50" w:history="1">
        <w:r w:rsidR="008E3D10" w:rsidRPr="003B5790">
          <w:rPr>
            <w:rStyle w:val="Hyperlink"/>
          </w:rPr>
          <w:t>TGA Business Services (TBS)</w:t>
        </w:r>
      </w:hyperlink>
      <w:r w:rsidR="008E3D10">
        <w:t xml:space="preserve"> contains a user-friendly database called the Ingredients Table, which allows you to search for an ingredient by its approved name and synonyms. It contains other information about ingredients such as the CAS number and the</w:t>
      </w:r>
      <w:r w:rsidR="005A154C">
        <w:t xml:space="preserve"> name category (AAN, ABN etc.).</w:t>
      </w:r>
    </w:p>
    <w:p w14:paraId="3E78321C" w14:textId="09E46D1A" w:rsidR="008E3D10" w:rsidRPr="00F123F0" w:rsidRDefault="008E3D10" w:rsidP="00822FB4">
      <w:r>
        <w:t>Restrictions found in the Ingredients Table are the same as those found in the Permissible Ingredients Determination. As the Permissible Ingredients Determination is a legal instrument presenting the most up to date and enforceable information, the Determination is the best sour</w:t>
      </w:r>
      <w:r w:rsidR="005A154C">
        <w:t>ce of information to reference.</w:t>
      </w:r>
    </w:p>
    <w:p w14:paraId="2427321E" w14:textId="6C08CCDD" w:rsidR="008E3D10" w:rsidRPr="00822FB4" w:rsidRDefault="008E3D10" w:rsidP="00822FB4">
      <w:pPr>
        <w:pStyle w:val="Heading2"/>
      </w:pPr>
      <w:bookmarkStart w:id="24" w:name="_Case_Study:_David"/>
      <w:bookmarkStart w:id="25" w:name="_Toc38618028"/>
      <w:bookmarkStart w:id="26" w:name="_Toc39490324"/>
      <w:bookmarkEnd w:id="24"/>
      <w:r w:rsidRPr="00822FB4">
        <w:t xml:space="preserve">Case </w:t>
      </w:r>
      <w:r w:rsidR="00617914">
        <w:t>s</w:t>
      </w:r>
      <w:r w:rsidRPr="00822FB4">
        <w:t>tudy: George and his sting relief product</w:t>
      </w:r>
      <w:bookmarkEnd w:id="25"/>
      <w:bookmarkEnd w:id="26"/>
    </w:p>
    <w:p w14:paraId="0EBA697D" w14:textId="0CA23D7F" w:rsidR="008E3D10" w:rsidRDefault="008E3D10" w:rsidP="00822FB4">
      <w:r>
        <w:t xml:space="preserve">George wants to </w:t>
      </w:r>
      <w:r w:rsidRPr="002807A8">
        <w:t>supply</w:t>
      </w:r>
      <w:r>
        <w:t xml:space="preserve"> a sting relief product and using the ‘</w:t>
      </w:r>
      <w:hyperlink r:id="rId51" w:history="1">
        <w:r w:rsidRPr="00666BE5">
          <w:rPr>
            <w:rStyle w:val="Hyperlink"/>
          </w:rPr>
          <w:t>Is my product a therapeutic good?</w:t>
        </w:r>
      </w:hyperlink>
      <w:r>
        <w:t xml:space="preserve">’ decision tool, has </w:t>
      </w:r>
      <w:r w:rsidRPr="00666BE5">
        <w:t>determined</w:t>
      </w:r>
      <w:r w:rsidR="00617914">
        <w:t xml:space="preserve"> it is a listed medicine.</w:t>
      </w:r>
    </w:p>
    <w:p w14:paraId="206DA9EB" w14:textId="28299872" w:rsidR="008E3D10" w:rsidRDefault="00617914" w:rsidP="00822FB4">
      <w:r>
        <w:t>George’s product contains:</w:t>
      </w:r>
    </w:p>
    <w:p w14:paraId="2A1C571E" w14:textId="77777777" w:rsidR="008E3D10" w:rsidRPr="00822FB4" w:rsidRDefault="008E3D10" w:rsidP="00822FB4">
      <w:pPr>
        <w:pStyle w:val="ListBullet"/>
      </w:pPr>
      <w:r w:rsidRPr="00822FB4">
        <w:t>melaleuca oil as an active ingredient</w:t>
      </w:r>
    </w:p>
    <w:p w14:paraId="1C46DCF6" w14:textId="77777777" w:rsidR="008E3D10" w:rsidRPr="00822FB4" w:rsidRDefault="008E3D10" w:rsidP="00822FB4">
      <w:pPr>
        <w:pStyle w:val="ListBullet"/>
      </w:pPr>
      <w:r w:rsidRPr="00822FB4">
        <w:t>acetic acid as an active ingredient</w:t>
      </w:r>
    </w:p>
    <w:p w14:paraId="659792A5" w14:textId="46A7F2FA" w:rsidR="008E3D10" w:rsidRPr="00822FB4" w:rsidRDefault="008E3D10" w:rsidP="00822FB4">
      <w:pPr>
        <w:pStyle w:val="ListBullet"/>
      </w:pPr>
      <w:r w:rsidRPr="00822FB4">
        <w:t xml:space="preserve">almond oil </w:t>
      </w:r>
      <w:r w:rsidR="00617914">
        <w:t>as an excipient</w:t>
      </w:r>
    </w:p>
    <w:p w14:paraId="02E1B683" w14:textId="77777777" w:rsidR="008E3D10" w:rsidRDefault="008E3D10" w:rsidP="00822FB4">
      <w:r>
        <w:t>George needs to make sure his medicine is compliant with the requirements of the ingredients in his formulation.</w:t>
      </w:r>
    </w:p>
    <w:p w14:paraId="282368A7" w14:textId="7235EA35" w:rsidR="008E3D10" w:rsidRDefault="008E3D10" w:rsidP="00822FB4">
      <w:r>
        <w:t xml:space="preserve">First, George checks the </w:t>
      </w:r>
      <w:hyperlink r:id="rId52" w:history="1">
        <w:r>
          <w:rPr>
            <w:rStyle w:val="Hyperlink"/>
          </w:rPr>
          <w:t>Permissible Ingredients D</w:t>
        </w:r>
        <w:r w:rsidRPr="009A25A2">
          <w:rPr>
            <w:rStyle w:val="Hyperlink"/>
          </w:rPr>
          <w:t>etermination</w:t>
        </w:r>
      </w:hyperlink>
      <w:r>
        <w:t xml:space="preserve"> to make sure each of his ingredients </w:t>
      </w:r>
      <w:r w:rsidR="009259F8">
        <w:t>is</w:t>
      </w:r>
      <w:r>
        <w:t xml:space="preserve"> permitted for</w:t>
      </w:r>
      <w:r w:rsidR="00077FC3">
        <w:t xml:space="preserve"> use</w:t>
      </w:r>
      <w:r>
        <w:t xml:space="preserve"> </w:t>
      </w:r>
      <w:r w:rsidR="009259F8">
        <w:t xml:space="preserve">in a </w:t>
      </w:r>
      <w:r>
        <w:t>listed medicine and to understand their individual requirements.</w:t>
      </w:r>
    </w:p>
    <w:p w14:paraId="717296D3" w14:textId="008A613C" w:rsidR="008E3D10" w:rsidRDefault="00617914" w:rsidP="00822FB4">
      <w:r>
        <w:t>He searches:</w:t>
      </w:r>
    </w:p>
    <w:p w14:paraId="54110A6C" w14:textId="645CC0EA" w:rsidR="008E3D10" w:rsidRPr="00822FB4" w:rsidRDefault="008E3D10" w:rsidP="00822FB4">
      <w:pPr>
        <w:pStyle w:val="ListBullet"/>
      </w:pPr>
      <w:r w:rsidRPr="00822FB4">
        <w:t>Vo</w:t>
      </w:r>
      <w:r w:rsidR="00617914">
        <w:t>lume 1 (1 to A) for acetic acid</w:t>
      </w:r>
    </w:p>
    <w:p w14:paraId="2CC9AF1F" w14:textId="662DDC0B" w:rsidR="008E3D10" w:rsidRPr="00822FB4" w:rsidRDefault="008E3D10" w:rsidP="00822FB4">
      <w:pPr>
        <w:pStyle w:val="ListBullet"/>
      </w:pPr>
      <w:r w:rsidRPr="00822FB4">
        <w:t>V</w:t>
      </w:r>
      <w:r w:rsidR="00617914">
        <w:t>olume 1 (1 to A) for almond oil</w:t>
      </w:r>
    </w:p>
    <w:p w14:paraId="50500297" w14:textId="77777777" w:rsidR="008E3D10" w:rsidRPr="00822FB4" w:rsidRDefault="008E3D10" w:rsidP="00822FB4">
      <w:pPr>
        <w:pStyle w:val="ListBullet"/>
      </w:pPr>
      <w:r w:rsidRPr="00822FB4">
        <w:t>Volume 4 (K to O) for melaleuca oil</w:t>
      </w:r>
    </w:p>
    <w:p w14:paraId="28803BE4" w14:textId="77777777" w:rsidR="008E3D10" w:rsidRDefault="008E3D10" w:rsidP="00822FB4">
      <w:r>
        <w:lastRenderedPageBreak/>
        <w:t>T</w:t>
      </w:r>
      <w:r w:rsidRPr="001A6E33">
        <w:t xml:space="preserve">hese ingredients are included in the </w:t>
      </w:r>
      <w:r>
        <w:t>D</w:t>
      </w:r>
      <w:r w:rsidRPr="001A6E33">
        <w:t>etermination, which confirms that he can use them in his listed medicine.</w:t>
      </w:r>
      <w:r>
        <w:t xml:space="preserve"> He reviews the following information shown below to understand how he can use them:</w:t>
      </w:r>
    </w:p>
    <w:p w14:paraId="5A8655EB" w14:textId="77777777" w:rsidR="008E3D10" w:rsidRDefault="003D1E92" w:rsidP="00822FB4">
      <w:pPr>
        <w:pStyle w:val="Figuretitle"/>
      </w:pPr>
      <w:r>
        <w:t>Figure 2: acetic acid search result</w:t>
      </w:r>
    </w:p>
    <w:p w14:paraId="6E9B0C22" w14:textId="77777777" w:rsidR="008E3D10" w:rsidRDefault="008E3D10" w:rsidP="00AC1ADA">
      <w:r w:rsidRPr="007B02CD">
        <w:rPr>
          <w:noProof/>
          <w:lang w:eastAsia="en-AU"/>
        </w:rPr>
        <w:drawing>
          <wp:inline distT="0" distB="0" distL="0" distR="0" wp14:anchorId="3C74A4C4" wp14:editId="74ABC1F9">
            <wp:extent cx="5759450" cy="516307"/>
            <wp:effectExtent l="0" t="0" r="0" b="0"/>
            <wp:docPr id="10" name="Picture 10" descr="Column 1: 318. Column 2: ACETIC ACID. Column 3: E, H. Column 4: The concentration in the medicine must be no more tha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759450" cy="516307"/>
                    </a:xfrm>
                    <a:prstGeom prst="rect">
                      <a:avLst/>
                    </a:prstGeom>
                  </pic:spPr>
                </pic:pic>
              </a:graphicData>
            </a:graphic>
          </wp:inline>
        </w:drawing>
      </w:r>
    </w:p>
    <w:p w14:paraId="4D2D668B" w14:textId="77777777" w:rsidR="008E3D10" w:rsidRDefault="003D1E92" w:rsidP="00822FB4">
      <w:pPr>
        <w:pStyle w:val="Figuretitle"/>
      </w:pPr>
      <w:r>
        <w:t>Figure 3: almond oil search result</w:t>
      </w:r>
    </w:p>
    <w:p w14:paraId="61C3B571" w14:textId="77777777" w:rsidR="008E3D10" w:rsidRDefault="008E3D10" w:rsidP="00AC1ADA">
      <w:r w:rsidRPr="003D0759">
        <w:rPr>
          <w:noProof/>
          <w:lang w:eastAsia="en-AU"/>
        </w:rPr>
        <w:drawing>
          <wp:inline distT="0" distB="0" distL="0" distR="0" wp14:anchorId="2F3EC843" wp14:editId="4E466C5E">
            <wp:extent cx="5759450" cy="1367854"/>
            <wp:effectExtent l="0" t="0" r="0" b="3810"/>
            <wp:docPr id="11" name="Picture 11" descr="Column 1: 454. Column 2: ALMOND OIL. Column 3: A, E, H. Column 4: Amygdalin and hydrocyanic acid are mandatory components of Almond oil. The concentration of Amygdalin in the medicine must be 0%. The concentration of hydrocyanic acid in the medicine must be no more than 1 microgram/kb or 1 microgram/L or 0.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59450" cy="1367854"/>
                    </a:xfrm>
                    <a:prstGeom prst="rect">
                      <a:avLst/>
                    </a:prstGeom>
                  </pic:spPr>
                </pic:pic>
              </a:graphicData>
            </a:graphic>
          </wp:inline>
        </w:drawing>
      </w:r>
    </w:p>
    <w:p w14:paraId="2C148CD0" w14:textId="77777777" w:rsidR="008E3D10" w:rsidRDefault="008E3D10" w:rsidP="00822FB4">
      <w:pPr>
        <w:pStyle w:val="Figuretitle"/>
      </w:pPr>
      <w:r>
        <w:t>Figure 4: melaleuca</w:t>
      </w:r>
      <w:r w:rsidR="003D1E92">
        <w:t xml:space="preserve"> oil search result</w:t>
      </w:r>
    </w:p>
    <w:p w14:paraId="2B6ADC75" w14:textId="3340CB17" w:rsidR="008E3D10" w:rsidRDefault="008E3D10" w:rsidP="00AC1ADA">
      <w:r w:rsidRPr="007B02CD">
        <w:rPr>
          <w:noProof/>
          <w:lang w:eastAsia="en-AU"/>
        </w:rPr>
        <w:drawing>
          <wp:inline distT="0" distB="0" distL="0" distR="0" wp14:anchorId="02383200" wp14:editId="2D6314F0">
            <wp:extent cx="5759450" cy="4806663"/>
            <wp:effectExtent l="0" t="0" r="0" b="0"/>
            <wp:docPr id="12" name="Picture 12" descr="Column 1: 3217. Column 2: MELALEUCA OIL. Column 3: A, E, H. Column 4: Cineole and cajuput oil are a mandatory components of Melaleuca Oil. When the plant preparation is oil and the concentration in the medicine is more than 25%, the nominal capacity of the container must be no more than 25 mL and the medicine requires the following warning statements on the medicine label: - (CHILD) 'Keep out of reach of children' (or word to that effect) - (NTAKEN) 'Not to be taken'. When the nominal capacity of the container is 15 mL or less, then a restricted flow insert must be fitted on the container.  Where the nominal capacity of the container is more than 15 mL but less than or equal to 25 mL, then a child resistant closure and restricted flow insert must be fitted on the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59450" cy="4806663"/>
                    </a:xfrm>
                    <a:prstGeom prst="rect">
                      <a:avLst/>
                    </a:prstGeom>
                  </pic:spPr>
                </pic:pic>
              </a:graphicData>
            </a:graphic>
          </wp:inline>
        </w:drawing>
      </w:r>
    </w:p>
    <w:p w14:paraId="3D9846A0" w14:textId="77777777" w:rsidR="008E3D10" w:rsidRDefault="008E3D10" w:rsidP="00303677">
      <w:r>
        <w:t xml:space="preserve">George notes the specific requirements that apply to the ingredients (seen in </w:t>
      </w:r>
      <w:r w:rsidRPr="00184A10">
        <w:t>columns</w:t>
      </w:r>
      <w:r>
        <w:t xml:space="preserve"> 3 and 4). Now he needs to understand the implications of all these requirements.</w:t>
      </w:r>
    </w:p>
    <w:p w14:paraId="15DA44F7" w14:textId="77777777" w:rsidR="008E3D10" w:rsidRPr="00303677" w:rsidRDefault="008E3D10" w:rsidP="00303677">
      <w:pPr>
        <w:pStyle w:val="Heading3"/>
      </w:pPr>
      <w:bookmarkStart w:id="27" w:name="_Toc38618029"/>
      <w:bookmarkStart w:id="28" w:name="_Toc39490325"/>
      <w:r w:rsidRPr="00303677">
        <w:lastRenderedPageBreak/>
        <w:t>Acetic acid requirements from the Determination</w:t>
      </w:r>
      <w:bookmarkEnd w:id="27"/>
      <w:bookmarkEnd w:id="28"/>
    </w:p>
    <w:p w14:paraId="71946D3A" w14:textId="1D69A36F" w:rsidR="008E3D10" w:rsidRPr="00303677" w:rsidRDefault="008E3D10" w:rsidP="00303677">
      <w:pPr>
        <w:pStyle w:val="ListBullet"/>
      </w:pPr>
      <w:r w:rsidRPr="00303677">
        <w:t>Has a permitted use of ‘E’ (as an excipient) and ‘H’</w:t>
      </w:r>
      <w:r w:rsidR="005C006B">
        <w:t xml:space="preserve"> (as a homoeopathic ingredient)</w:t>
      </w:r>
    </w:p>
    <w:p w14:paraId="662F3E6F" w14:textId="46C80F00" w:rsidR="008E3D10" w:rsidRPr="00303677" w:rsidRDefault="008E3D10" w:rsidP="00303677">
      <w:pPr>
        <w:pStyle w:val="ListBullet"/>
      </w:pPr>
      <w:r w:rsidRPr="00303677">
        <w:t>The concentration in the medicine must be</w:t>
      </w:r>
      <w:r w:rsidR="005C006B">
        <w:t xml:space="preserve"> no more than 80%</w:t>
      </w:r>
    </w:p>
    <w:p w14:paraId="3D7B059C" w14:textId="77777777" w:rsidR="008E3D10" w:rsidRPr="005C006B" w:rsidRDefault="008E3D10" w:rsidP="00910C53">
      <w:pPr>
        <w:pStyle w:val="Heading4"/>
        <w:spacing w:before="240"/>
      </w:pPr>
      <w:bookmarkStart w:id="29" w:name="_Toc38618030"/>
      <w:bookmarkStart w:id="30" w:name="_Toc39490326"/>
      <w:r w:rsidRPr="005C006B">
        <w:t>George’s considerations</w:t>
      </w:r>
      <w:bookmarkEnd w:id="29"/>
      <w:bookmarkEnd w:id="30"/>
    </w:p>
    <w:p w14:paraId="339310FB" w14:textId="77777777" w:rsidR="008E3D10" w:rsidRPr="00C6044C" w:rsidRDefault="008E3D10" w:rsidP="00303677">
      <w:r>
        <w:t>George</w:t>
      </w:r>
      <w:r w:rsidRPr="00C6044C">
        <w:t xml:space="preserve"> has spotted that acetic acid is only available as an ‘E’ and ‘H’. He could revise his formulation, pick an active to replace acetic acid, or consider using it as an excipient.</w:t>
      </w:r>
    </w:p>
    <w:p w14:paraId="2BFF48D3" w14:textId="3C20500B" w:rsidR="008E3D10" w:rsidRDefault="008E3D10" w:rsidP="00303677">
      <w:r>
        <w:t>George</w:t>
      </w:r>
      <w:r w:rsidRPr="00C6044C">
        <w:t xml:space="preserve"> thinks it could be safely used as an active. As his medicine must comply with the requirements, he decides to </w:t>
      </w:r>
      <w:hyperlink r:id="rId56" w:history="1">
        <w:r w:rsidRPr="00C6044C">
          <w:rPr>
            <w:rStyle w:val="Hyperlink"/>
          </w:rPr>
          <w:t>submit an application</w:t>
        </w:r>
      </w:hyperlink>
      <w:r w:rsidRPr="00C6044C">
        <w:t xml:space="preserve"> for acetic acid to be evaluated as an active. Depending on this outcome, he may or may not be able to use it as an active. </w:t>
      </w:r>
      <w:r>
        <w:t>George</w:t>
      </w:r>
      <w:r w:rsidRPr="00C6044C">
        <w:t xml:space="preserve"> </w:t>
      </w:r>
      <w:r w:rsidR="00C653C1" w:rsidRPr="00C6044C">
        <w:t>will not</w:t>
      </w:r>
      <w:r w:rsidRPr="00C6044C">
        <w:t xml:space="preserve"> be able to supply his product until the outcome is known</w:t>
      </w:r>
      <w:r w:rsidR="009259F8">
        <w:t xml:space="preserve"> and it is listed on the ARTG</w:t>
      </w:r>
      <w:r w:rsidRPr="00C6044C">
        <w:t>.</w:t>
      </w:r>
    </w:p>
    <w:p w14:paraId="7B997FBF" w14:textId="77777777" w:rsidR="008E3D10" w:rsidRPr="00C6044C" w:rsidRDefault="008E3D10" w:rsidP="00303677">
      <w:r>
        <w:t>George can contact his manufacturer to make sure his concentration of acetic acid is correct (less than 80%) if he is unsure.</w:t>
      </w:r>
    </w:p>
    <w:p w14:paraId="4AC6ABF6" w14:textId="77777777" w:rsidR="008E3D10" w:rsidRPr="00303677" w:rsidRDefault="008E3D10" w:rsidP="00910C53">
      <w:pPr>
        <w:pStyle w:val="Heading3"/>
        <w:spacing w:before="360"/>
      </w:pPr>
      <w:bookmarkStart w:id="31" w:name="_Toc38618031"/>
      <w:bookmarkStart w:id="32" w:name="_Toc39490327"/>
      <w:r w:rsidRPr="00303677">
        <w:t>Almond oil requirements from the Determination</w:t>
      </w:r>
      <w:bookmarkEnd w:id="31"/>
      <w:bookmarkEnd w:id="32"/>
    </w:p>
    <w:p w14:paraId="42BFD3A9" w14:textId="2D865AF6" w:rsidR="008E3D10" w:rsidRPr="00303677" w:rsidRDefault="005C006B" w:rsidP="00303677">
      <w:pPr>
        <w:pStyle w:val="ListBullet"/>
      </w:pPr>
      <w:r>
        <w:t>Has a permitted use of A, E, H</w:t>
      </w:r>
    </w:p>
    <w:p w14:paraId="5427C552" w14:textId="1D6CC9AC" w:rsidR="008E3D10" w:rsidRPr="00303677" w:rsidRDefault="008E3D10" w:rsidP="00303677">
      <w:pPr>
        <w:pStyle w:val="ListBullet"/>
      </w:pPr>
      <w:r w:rsidRPr="00303677">
        <w:t xml:space="preserve">Amygdalin and hydrocyanic acid are mandatory components of </w:t>
      </w:r>
      <w:r w:rsidR="009259F8">
        <w:t>a</w:t>
      </w:r>
      <w:r w:rsidR="00910C53">
        <w:t>lmond oil.</w:t>
      </w:r>
    </w:p>
    <w:p w14:paraId="14C9CD35" w14:textId="29323C66" w:rsidR="008E3D10" w:rsidRPr="00303677" w:rsidRDefault="008E3D10" w:rsidP="00303677">
      <w:pPr>
        <w:pStyle w:val="ListBullet"/>
      </w:pPr>
      <w:r w:rsidRPr="00303677">
        <w:t xml:space="preserve">The concentration of amygdalin in the medicine must </w:t>
      </w:r>
      <w:r w:rsidR="005C006B">
        <w:t>be 0%</w:t>
      </w:r>
    </w:p>
    <w:p w14:paraId="1CD22BBE" w14:textId="643CB183" w:rsidR="008E3D10" w:rsidRPr="00303677" w:rsidRDefault="008E3D10" w:rsidP="00303677">
      <w:pPr>
        <w:pStyle w:val="ListBullet"/>
      </w:pPr>
      <w:r w:rsidRPr="00303677">
        <w:t>The concentration of hydrocyanic acid in the medicine must be no more than 1 microgram/kg</w:t>
      </w:r>
      <w:r w:rsidR="005C006B">
        <w:t xml:space="preserve"> or 1 microgram/L or 0.0000001%</w:t>
      </w:r>
    </w:p>
    <w:p w14:paraId="45E4E86C" w14:textId="77777777" w:rsidR="008E3D10" w:rsidRPr="005C006B" w:rsidRDefault="008E3D10" w:rsidP="00910C53">
      <w:pPr>
        <w:pStyle w:val="Heading4"/>
        <w:spacing w:before="240"/>
      </w:pPr>
      <w:bookmarkStart w:id="33" w:name="_Toc39490328"/>
      <w:r w:rsidRPr="005C006B">
        <w:t>George’s considerations</w:t>
      </w:r>
      <w:bookmarkEnd w:id="33"/>
    </w:p>
    <w:p w14:paraId="79B54D40" w14:textId="77777777" w:rsidR="008E3D10" w:rsidRDefault="008E3D10" w:rsidP="00303677">
      <w:r>
        <w:t>George</w:t>
      </w:r>
      <w:r w:rsidRPr="00CD364E">
        <w:t xml:space="preserve"> wants to use </w:t>
      </w:r>
      <w:r>
        <w:t>almond oil as an excipient and he can as this is permitted</w:t>
      </w:r>
      <w:r w:rsidRPr="00CD364E">
        <w:t>.</w:t>
      </w:r>
    </w:p>
    <w:p w14:paraId="3B617E2C" w14:textId="77777777" w:rsidR="008E3D10" w:rsidRDefault="008E3D10" w:rsidP="00303677">
      <w:r>
        <w:t>George must declare the concentrations of amygdalin and hydrocyanic acid as mandatory components of almond oil in his market authorisation application. Even if those concentrations are 0%, George must still declare this information.</w:t>
      </w:r>
    </w:p>
    <w:p w14:paraId="26322372" w14:textId="26B9BB9C" w:rsidR="008E3D10" w:rsidRDefault="008E3D10" w:rsidP="00303677">
      <w:r>
        <w:t xml:space="preserve">George ensures that the concentration of amygdalin contained in his medicine is 0% and the concentration of hydrocyanic acid is no more than 1 microgram/kg or 1 microgram/L or 0.0000001% by </w:t>
      </w:r>
      <w:r w:rsidR="00910C53">
        <w:t>assay through his manufacturer.</w:t>
      </w:r>
    </w:p>
    <w:p w14:paraId="6C868E80" w14:textId="77777777" w:rsidR="008E3D10" w:rsidRPr="00303677" w:rsidRDefault="008E3D10" w:rsidP="00910C53">
      <w:pPr>
        <w:pStyle w:val="Heading3"/>
        <w:spacing w:before="360"/>
      </w:pPr>
      <w:bookmarkStart w:id="34" w:name="_Toc38618032"/>
      <w:bookmarkStart w:id="35" w:name="_Toc39490329"/>
      <w:r w:rsidRPr="00303677">
        <w:t>Melaleuca oil requirements from the Determination</w:t>
      </w:r>
      <w:bookmarkEnd w:id="34"/>
      <w:bookmarkEnd w:id="35"/>
    </w:p>
    <w:p w14:paraId="0115A649" w14:textId="646B0C8E" w:rsidR="008E3D10" w:rsidRPr="00303677" w:rsidRDefault="008E3D10" w:rsidP="00910C53">
      <w:pPr>
        <w:pStyle w:val="ListBullet"/>
        <w:spacing w:after="120"/>
      </w:pPr>
      <w:r w:rsidRPr="00303677">
        <w:t>Has a permitted use of A, E</w:t>
      </w:r>
      <w:r w:rsidR="005C006B">
        <w:t>, H</w:t>
      </w:r>
    </w:p>
    <w:p w14:paraId="3698F3A5" w14:textId="4D90BB40" w:rsidR="008E3D10" w:rsidRPr="00303677" w:rsidRDefault="008E3D10" w:rsidP="00910C53">
      <w:pPr>
        <w:pStyle w:val="ListBullet"/>
        <w:spacing w:after="120"/>
      </w:pPr>
      <w:r w:rsidRPr="00303677">
        <w:t>Cineole and cajup</w:t>
      </w:r>
      <w:r w:rsidR="005C006B">
        <w:t>ut oil are mandatory components</w:t>
      </w:r>
    </w:p>
    <w:p w14:paraId="6CFCEF47" w14:textId="77777777" w:rsidR="00745F6E" w:rsidRDefault="008E3D10" w:rsidP="00910C53">
      <w:pPr>
        <w:pStyle w:val="ListBullet"/>
        <w:spacing w:after="120"/>
      </w:pPr>
      <w:r w:rsidRPr="00303677">
        <w:t>When the plant preparation is oil and the concentration in the medicine is more than 25%, the nominal capacity of the container must be no more than 25 mL and the medicine requires the following warning statements on the medicine label:</w:t>
      </w:r>
    </w:p>
    <w:p w14:paraId="20E1F626" w14:textId="0F488AAE" w:rsidR="008E3D10" w:rsidRPr="00303677" w:rsidRDefault="008E3D10" w:rsidP="00910C53">
      <w:pPr>
        <w:pStyle w:val="ListBullet2"/>
        <w:spacing w:after="120"/>
      </w:pPr>
      <w:r w:rsidRPr="00303677">
        <w:t>(CHILD) ‘Keep out of reach of children’ (or words to that effect)</w:t>
      </w:r>
    </w:p>
    <w:p w14:paraId="17ACDE42" w14:textId="68A83FDD" w:rsidR="008E3D10" w:rsidRPr="00303677" w:rsidRDefault="008E3D10" w:rsidP="00910C53">
      <w:pPr>
        <w:pStyle w:val="ListBullet2"/>
        <w:spacing w:after="120"/>
      </w:pPr>
      <w:r w:rsidRPr="00303677">
        <w:t>(</w:t>
      </w:r>
      <w:r w:rsidR="005C006B">
        <w:t>NTAKEN) ‘Not to be taken’</w:t>
      </w:r>
      <w:r w:rsidRPr="00303677">
        <w:t xml:space="preserve"> </w:t>
      </w:r>
    </w:p>
    <w:p w14:paraId="5DD74445" w14:textId="01ACEDB5" w:rsidR="008E3D10" w:rsidRPr="00303677" w:rsidRDefault="008E3D10" w:rsidP="00910C53">
      <w:pPr>
        <w:pStyle w:val="ListBullet"/>
        <w:spacing w:after="120"/>
      </w:pPr>
      <w:r w:rsidRPr="00303677">
        <w:t xml:space="preserve">When the nominal capacity of the container is 15 mL or less, then a restricted flow insert </w:t>
      </w:r>
      <w:r w:rsidR="005C006B">
        <w:t>must be fitted on the container</w:t>
      </w:r>
    </w:p>
    <w:p w14:paraId="2662F10C" w14:textId="1DAE4F33" w:rsidR="008E3D10" w:rsidRPr="00303677" w:rsidRDefault="008E3D10" w:rsidP="00303677">
      <w:pPr>
        <w:pStyle w:val="ListBullet"/>
      </w:pPr>
      <w:r w:rsidRPr="00303677">
        <w:t xml:space="preserve">Where the nominal capacity of the container is more than 15 mL but less than or equal to 25 mL, then a child resistant closure and restricted flow insert </w:t>
      </w:r>
      <w:r w:rsidR="005C006B">
        <w:t>must be fitted on the container</w:t>
      </w:r>
    </w:p>
    <w:p w14:paraId="3CC61501" w14:textId="77777777" w:rsidR="008E3D10" w:rsidRPr="005C006B" w:rsidRDefault="008E3D10" w:rsidP="00900D8C">
      <w:pPr>
        <w:pStyle w:val="Heading4"/>
      </w:pPr>
      <w:bookmarkStart w:id="36" w:name="_Toc38618033"/>
      <w:bookmarkStart w:id="37" w:name="_Toc39490330"/>
      <w:r w:rsidRPr="005C006B">
        <w:lastRenderedPageBreak/>
        <w:t>George’s considerations</w:t>
      </w:r>
      <w:bookmarkEnd w:id="36"/>
      <w:bookmarkEnd w:id="37"/>
    </w:p>
    <w:p w14:paraId="16209152" w14:textId="77777777" w:rsidR="008E3D10" w:rsidRDefault="008E3D10" w:rsidP="00303677">
      <w:r>
        <w:t>George</w:t>
      </w:r>
      <w:r w:rsidRPr="00CD364E">
        <w:t xml:space="preserve"> wants to use </w:t>
      </w:r>
      <w:r>
        <w:t>melaleuca oil as an active and he can as this is permitted</w:t>
      </w:r>
      <w:r w:rsidRPr="00CD364E">
        <w:t>.</w:t>
      </w:r>
    </w:p>
    <w:p w14:paraId="7A73B4FA" w14:textId="77777777" w:rsidR="008E3D10" w:rsidRDefault="008E3D10" w:rsidP="00303677">
      <w:r>
        <w:t>George must declare the concentrations of cineole and cajuput oil as mandatory components of melaleuca oil in his market authorisation application. Even if those concentrations are 0%, George must still declare this information. George will speak to his manufacturer about ensuring cineole and cajuput oil are assayed to determine the amount present so he can declare them in his market authorisation application.</w:t>
      </w:r>
    </w:p>
    <w:p w14:paraId="43F2D1E2" w14:textId="45462D17" w:rsidR="008E3D10" w:rsidRDefault="008E3D10" w:rsidP="00303677">
      <w:r>
        <w:t xml:space="preserve">George knows that the melaleuca oil concentration in his medicine is at 26%. He has a 25mL container for his </w:t>
      </w:r>
      <w:r w:rsidR="00C653C1">
        <w:t>medicine, which</w:t>
      </w:r>
      <w:r>
        <w:t xml:space="preserve"> is compliant. He understands that he cannot use a larger container while the concentration remains more than 25%. George </w:t>
      </w:r>
      <w:r w:rsidR="009259F8">
        <w:t xml:space="preserve">also </w:t>
      </w:r>
      <w:r>
        <w:t>makes a note to include both warning statements on the label of his medicine.</w:t>
      </w:r>
    </w:p>
    <w:p w14:paraId="556A96B4" w14:textId="77777777" w:rsidR="008E3D10" w:rsidRDefault="008E3D10" w:rsidP="00303677">
      <w:r>
        <w:t>George</w:t>
      </w:r>
      <w:r w:rsidRPr="00FE3B11">
        <w:t xml:space="preserve"> already has a 25 mL container, but realises that as his product contains melaleuca oil, he will need to get a child resistant closure and restricted flow insert for it.</w:t>
      </w:r>
    </w:p>
    <w:p w14:paraId="75245BCB" w14:textId="14AD43FE" w:rsidR="008E3D10" w:rsidRPr="00303677" w:rsidRDefault="005C006B" w:rsidP="00303677">
      <w:pPr>
        <w:pStyle w:val="Heading3"/>
      </w:pPr>
      <w:bookmarkStart w:id="38" w:name="_Toc39490331"/>
      <w:r>
        <w:t>Summary</w:t>
      </w:r>
      <w:bookmarkEnd w:id="38"/>
    </w:p>
    <w:p w14:paraId="0EE263E0" w14:textId="0B13BDE1" w:rsidR="008E3D10" w:rsidRDefault="008E3D10" w:rsidP="00303677">
      <w:r>
        <w:t xml:space="preserve">If George did not consult the Determination before entering his product in the ARTG, he may </w:t>
      </w:r>
      <w:r w:rsidR="00900D8C">
        <w:t>not have realised he needed to:</w:t>
      </w:r>
    </w:p>
    <w:p w14:paraId="1E1E35DC" w14:textId="0BDB03F1" w:rsidR="008E3D10" w:rsidRDefault="008E3D10" w:rsidP="00303677">
      <w:pPr>
        <w:pStyle w:val="ListBullet"/>
      </w:pPr>
      <w:r>
        <w:t xml:space="preserve">include specific </w:t>
      </w:r>
      <w:r w:rsidR="00900D8C">
        <w:t>warning statements on his label</w:t>
      </w:r>
    </w:p>
    <w:p w14:paraId="0804F638" w14:textId="762C7CCB" w:rsidR="008E3D10" w:rsidRDefault="008E3D10" w:rsidP="00303677">
      <w:pPr>
        <w:pStyle w:val="ListBullet"/>
      </w:pPr>
      <w:r>
        <w:t>apply for acetic acid as an active ing</w:t>
      </w:r>
      <w:r w:rsidR="00900D8C">
        <w:t>redient before he can supply it</w:t>
      </w:r>
    </w:p>
    <w:p w14:paraId="105BA6A4" w14:textId="33C94267" w:rsidR="008E3D10" w:rsidRDefault="008E3D10" w:rsidP="00303677">
      <w:pPr>
        <w:pStyle w:val="ListBullet"/>
      </w:pPr>
      <w:r>
        <w:t>declare certain ingredient components even if they exist in 0% concentrat</w:t>
      </w:r>
      <w:r w:rsidR="00900D8C">
        <w:t>ions</w:t>
      </w:r>
    </w:p>
    <w:p w14:paraId="5FD00BFC" w14:textId="212421F7" w:rsidR="007003F5" w:rsidRDefault="008E3D10" w:rsidP="007003F5">
      <w:pPr>
        <w:pStyle w:val="ListBullet"/>
      </w:pPr>
      <w:proofErr w:type="gramStart"/>
      <w:r>
        <w:t>ensure</w:t>
      </w:r>
      <w:proofErr w:type="gramEnd"/>
      <w:r>
        <w:t xml:space="preserve"> he had a child resistant closure and flow insert for his medicine.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E3D10" w:rsidRPr="00215D48" w14:paraId="08FD5272" w14:textId="77777777" w:rsidTr="003D1E92">
        <w:tc>
          <w:tcPr>
            <w:tcW w:w="1276" w:type="dxa"/>
            <w:vAlign w:val="center"/>
          </w:tcPr>
          <w:p w14:paraId="5B848D4F" w14:textId="77777777" w:rsidR="008E3D10" w:rsidRPr="00215D48" w:rsidRDefault="008E3D10" w:rsidP="00303677">
            <w:r w:rsidRPr="00215D48">
              <w:rPr>
                <w:noProof/>
                <w:lang w:eastAsia="en-AU"/>
              </w:rPr>
              <w:drawing>
                <wp:inline distT="0" distB="0" distL="0" distR="0" wp14:anchorId="586BD91C" wp14:editId="3C74DF5D">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72DF42F" w14:textId="77777777" w:rsidR="008E3D10" w:rsidRPr="00C921A1" w:rsidRDefault="008E3D10" w:rsidP="00303677">
            <w:pPr>
              <w:rPr>
                <w:i/>
              </w:rPr>
            </w:pPr>
            <w:r w:rsidRPr="00C921A1">
              <w:rPr>
                <w:i/>
              </w:rPr>
              <w:t>Note that the ingredient details used in this case study are accurate at the time of publishing. Please refer to the current Permissible Ingredients Determination for the most recent information.</w:t>
            </w:r>
          </w:p>
        </w:tc>
      </w:tr>
    </w:tbl>
    <w:bookmarkEnd w:id="3"/>
    <w:bookmarkEnd w:id="4"/>
    <w:p w14:paraId="795088B2" w14:textId="77777777" w:rsidR="001A3190" w:rsidRPr="00215D48" w:rsidRDefault="001A3190" w:rsidP="00900D8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24107737" w14:textId="77777777" w:rsidTr="003D1E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1991817" w14:textId="77777777" w:rsidR="001A3190" w:rsidRPr="00215D48" w:rsidRDefault="001A3190" w:rsidP="003D1E92">
            <w:bookmarkStart w:id="39" w:name="ColumnTitle_4"/>
            <w:r w:rsidRPr="00215D48">
              <w:t>Version</w:t>
            </w:r>
          </w:p>
        </w:tc>
        <w:tc>
          <w:tcPr>
            <w:tcW w:w="3242" w:type="dxa"/>
          </w:tcPr>
          <w:p w14:paraId="093DF4EA" w14:textId="77777777" w:rsidR="001A3190" w:rsidRPr="00215D48" w:rsidRDefault="001A3190" w:rsidP="003D1E9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28E95E38" w14:textId="77777777" w:rsidR="001A3190" w:rsidRPr="00215D48" w:rsidRDefault="001A3190" w:rsidP="003D1E9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1BD06070" w14:textId="77777777" w:rsidR="001A3190" w:rsidRPr="00215D48" w:rsidRDefault="001A3190" w:rsidP="003D1E9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39"/>
      <w:tr w:rsidR="001A3190" w:rsidRPr="00215D48" w14:paraId="2AF0791D" w14:textId="77777777" w:rsidTr="003D1E9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6BA3A3F" w14:textId="77777777" w:rsidR="001A3190" w:rsidRPr="00215D48" w:rsidRDefault="001A3190" w:rsidP="003D1E92">
            <w:r w:rsidRPr="00215D48">
              <w:t>V1.0</w:t>
            </w:r>
          </w:p>
        </w:tc>
        <w:tc>
          <w:tcPr>
            <w:tcW w:w="3242" w:type="dxa"/>
          </w:tcPr>
          <w:p w14:paraId="51593E61" w14:textId="77777777" w:rsidR="001A3190" w:rsidRPr="00215D48" w:rsidRDefault="001A3190" w:rsidP="003D1E9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7BAF19E" w14:textId="77777777" w:rsidR="001A3190" w:rsidRPr="00215D48" w:rsidRDefault="00822FB4" w:rsidP="003D1E92">
            <w:pPr>
              <w:cnfStyle w:val="000000000000" w:firstRow="0" w:lastRow="0" w:firstColumn="0" w:lastColumn="0" w:oddVBand="0" w:evenVBand="0" w:oddHBand="0" w:evenHBand="0" w:firstRowFirstColumn="0" w:firstRowLastColumn="0" w:lastRowFirstColumn="0" w:lastRowLastColumn="0"/>
            </w:pPr>
            <w:r w:rsidRPr="00822FB4">
              <w:t>Regulatory Engag</w:t>
            </w:r>
            <w:r w:rsidR="00732E99">
              <w:t>e</w:t>
            </w:r>
            <w:r w:rsidRPr="00822FB4">
              <w:t>ment, Education &amp; Planning Branch</w:t>
            </w:r>
          </w:p>
        </w:tc>
        <w:tc>
          <w:tcPr>
            <w:tcW w:w="1808" w:type="dxa"/>
          </w:tcPr>
          <w:p w14:paraId="09D42733" w14:textId="445CF2B7" w:rsidR="001A3190" w:rsidRPr="00215D48" w:rsidRDefault="00F45087" w:rsidP="00926B0E">
            <w:pPr>
              <w:cnfStyle w:val="000000000000" w:firstRow="0" w:lastRow="0" w:firstColumn="0" w:lastColumn="0" w:oddVBand="0" w:evenVBand="0" w:oddHBand="0" w:evenHBand="0" w:firstRowFirstColumn="0" w:firstRowLastColumn="0" w:lastRowFirstColumn="0" w:lastRowLastColumn="0"/>
            </w:pPr>
            <w:r>
              <w:t>December</w:t>
            </w:r>
            <w:bookmarkStart w:id="40" w:name="_GoBack"/>
            <w:bookmarkEnd w:id="40"/>
            <w:r w:rsidR="003D1E92">
              <w:t xml:space="preserve"> 2020</w:t>
            </w:r>
          </w:p>
        </w:tc>
      </w:tr>
    </w:tbl>
    <w:p w14:paraId="6663201B" w14:textId="77777777" w:rsidR="00F401EF" w:rsidRPr="00215D48" w:rsidRDefault="00F401EF" w:rsidP="00706634">
      <w:pPr>
        <w:spacing w:before="0" w:after="0" w:line="240" w:lineRule="auto"/>
        <w:rPr>
          <w:sz w:val="20"/>
        </w:rPr>
        <w:sectPr w:rsidR="00F401EF" w:rsidRPr="00215D48" w:rsidSect="0029069E">
          <w:headerReference w:type="default" r:id="rId57"/>
          <w:footerReference w:type="default" r:id="rId5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5B237DA" w14:textId="77777777" w:rsidTr="003D1E92">
        <w:trPr>
          <w:trHeight w:hRule="exact" w:val="565"/>
          <w:jc w:val="center"/>
        </w:trPr>
        <w:tc>
          <w:tcPr>
            <w:tcW w:w="9145" w:type="dxa"/>
          </w:tcPr>
          <w:p w14:paraId="03D38C18" w14:textId="77777777" w:rsidR="00C50E5C" w:rsidRPr="00215D48" w:rsidRDefault="00C50E5C" w:rsidP="003D1E92">
            <w:pPr>
              <w:pStyle w:val="TGASignoff"/>
            </w:pPr>
            <w:r w:rsidRPr="00215D48">
              <w:lastRenderedPageBreak/>
              <w:t>Therapeutic Goods Administration</w:t>
            </w:r>
          </w:p>
        </w:tc>
      </w:tr>
      <w:tr w:rsidR="00C50E5C" w:rsidRPr="00215D48" w14:paraId="0D831D25" w14:textId="77777777" w:rsidTr="003D1E92">
        <w:trPr>
          <w:trHeight w:val="963"/>
          <w:jc w:val="center"/>
        </w:trPr>
        <w:tc>
          <w:tcPr>
            <w:tcW w:w="9145" w:type="dxa"/>
            <w:tcMar>
              <w:top w:w="28" w:type="dxa"/>
            </w:tcMar>
          </w:tcPr>
          <w:p w14:paraId="01159CD0" w14:textId="77777777" w:rsidR="00C50E5C" w:rsidRPr="00215D48" w:rsidRDefault="00C50E5C" w:rsidP="00EB5622">
            <w:pPr>
              <w:pStyle w:val="Address"/>
              <w:jc w:val="center"/>
            </w:pPr>
            <w:r w:rsidRPr="00215D48">
              <w:t>PO Box 100 Woden ACT 2606 Australia</w:t>
            </w:r>
          </w:p>
          <w:p w14:paraId="352D7948" w14:textId="77777777" w:rsidR="001A3190" w:rsidRDefault="00C50E5C">
            <w:pPr>
              <w:pStyle w:val="Address"/>
              <w:jc w:val="center"/>
              <w:rPr>
                <w:sz w:val="22"/>
                <w:szCs w:val="22"/>
              </w:rPr>
            </w:pPr>
            <w:r w:rsidRPr="00215D48">
              <w:t xml:space="preserve">Email: </w:t>
            </w:r>
            <w:hyperlink r:id="rId59" w:history="1">
              <w:r w:rsidRPr="00215D48">
                <w:rPr>
                  <w:rStyle w:val="Hyperlink"/>
                </w:rPr>
                <w:t>info@tga.gov.au</w:t>
              </w:r>
            </w:hyperlink>
            <w:r w:rsidRPr="00215D48">
              <w:t xml:space="preserve">  Phone: 1800 020 653  Fax: </w:t>
            </w:r>
            <w:r w:rsidR="001A3190" w:rsidRPr="00BA0DFC">
              <w:t>02 6203 1605</w:t>
            </w:r>
          </w:p>
          <w:p w14:paraId="2C928EF5" w14:textId="77777777" w:rsidR="00C50E5C" w:rsidRPr="00215D48" w:rsidRDefault="00F45087">
            <w:pPr>
              <w:pStyle w:val="Address"/>
              <w:jc w:val="center"/>
              <w:rPr>
                <w:rStyle w:val="Hyperlink"/>
                <w:b/>
                <w:color w:val="auto"/>
                <w:sz w:val="22"/>
                <w:u w:val="none"/>
              </w:rPr>
            </w:pPr>
            <w:hyperlink r:id="rId60" w:history="1">
              <w:r w:rsidR="00215D48" w:rsidRPr="00C4721A">
                <w:rPr>
                  <w:rStyle w:val="Hyperlink"/>
                  <w:b/>
                </w:rPr>
                <w:t>https://www.tga.gov.au</w:t>
              </w:r>
            </w:hyperlink>
          </w:p>
        </w:tc>
      </w:tr>
      <w:tr w:rsidR="00C50E5C" w:rsidRPr="00215D48" w14:paraId="3004F3A1" w14:textId="77777777" w:rsidTr="003D1E92">
        <w:trPr>
          <w:trHeight w:val="251"/>
          <w:jc w:val="center"/>
        </w:trPr>
        <w:tc>
          <w:tcPr>
            <w:tcW w:w="9145" w:type="dxa"/>
            <w:tcMar>
              <w:top w:w="28" w:type="dxa"/>
            </w:tcMar>
          </w:tcPr>
          <w:p w14:paraId="7A01BEE3" w14:textId="77777777" w:rsidR="00C50E5C" w:rsidRPr="00215D48" w:rsidRDefault="00C50E5C" w:rsidP="00EB5622">
            <w:pPr>
              <w:pStyle w:val="Address"/>
              <w:jc w:val="center"/>
            </w:pPr>
          </w:p>
        </w:tc>
      </w:tr>
    </w:tbl>
    <w:p w14:paraId="49032B99" w14:textId="77777777" w:rsidR="00706634" w:rsidRPr="00215D48" w:rsidRDefault="00706634" w:rsidP="004A3084">
      <w:pPr>
        <w:rPr>
          <w:sz w:val="20"/>
        </w:rPr>
      </w:pPr>
    </w:p>
    <w:sectPr w:rsidR="00706634" w:rsidRPr="00215D48" w:rsidSect="0029069E">
      <w:headerReference w:type="first" r:id="rId61"/>
      <w:footerReference w:type="first" r:id="rId6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E4CE" w14:textId="77777777" w:rsidR="003D1E92" w:rsidRDefault="003D1E92" w:rsidP="00C40A36">
      <w:pPr>
        <w:spacing w:after="0"/>
      </w:pPr>
      <w:r>
        <w:separator/>
      </w:r>
    </w:p>
  </w:endnote>
  <w:endnote w:type="continuationSeparator" w:id="0">
    <w:p w14:paraId="55219FB1" w14:textId="77777777" w:rsidR="003D1E92" w:rsidRDefault="003D1E9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D1E92" w:rsidRPr="00257138" w14:paraId="0F13CA36" w14:textId="77777777" w:rsidTr="000B30E5">
      <w:trPr>
        <w:trHeight w:val="423"/>
      </w:trPr>
      <w:tc>
        <w:tcPr>
          <w:tcW w:w="4360" w:type="dxa"/>
          <w:tcBorders>
            <w:top w:val="single" w:sz="4" w:space="0" w:color="auto"/>
          </w:tcBorders>
        </w:tcPr>
        <w:p w14:paraId="57ABC8E8" w14:textId="77777777" w:rsidR="003D1E92" w:rsidRDefault="003D1E92" w:rsidP="000B30E5">
          <w:pPr>
            <w:pStyle w:val="Footer"/>
          </w:pPr>
        </w:p>
        <w:p w14:paraId="74474EF5" w14:textId="77777777" w:rsidR="003D1E92" w:rsidRPr="00257138" w:rsidRDefault="003D1E9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EAD15AC" w14:textId="77777777" w:rsidR="003D1E92" w:rsidRDefault="003D1E92" w:rsidP="000B30E5">
              <w:pPr>
                <w:pStyle w:val="Footer"/>
                <w:jc w:val="right"/>
              </w:pPr>
            </w:p>
            <w:p w14:paraId="01254D51" w14:textId="77777777" w:rsidR="003D1E92" w:rsidRPr="00257138" w:rsidRDefault="003D1E92"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3D1E92" w:rsidRPr="00257138" w14:paraId="52732FD9" w14:textId="77777777" w:rsidTr="000B30E5">
      <w:trPr>
        <w:trHeight w:val="263"/>
      </w:trPr>
      <w:tc>
        <w:tcPr>
          <w:tcW w:w="4360" w:type="dxa"/>
        </w:tcPr>
        <w:p w14:paraId="05412C6C" w14:textId="77777777" w:rsidR="003D1E92" w:rsidRPr="00257138" w:rsidRDefault="003D1E92" w:rsidP="000B30E5">
          <w:pPr>
            <w:pStyle w:val="Footer"/>
          </w:pPr>
          <w:r w:rsidRPr="00257138">
            <w:t xml:space="preserve">V1.0 </w:t>
          </w:r>
          <w:r>
            <w:t>Month</w:t>
          </w:r>
          <w:r w:rsidRPr="00257138">
            <w:t xml:space="preserve"> 201</w:t>
          </w:r>
          <w:r>
            <w:t>2</w:t>
          </w:r>
        </w:p>
      </w:tc>
      <w:tc>
        <w:tcPr>
          <w:tcW w:w="4360" w:type="dxa"/>
        </w:tcPr>
        <w:p w14:paraId="3051F00F" w14:textId="77777777" w:rsidR="003D1E92" w:rsidRPr="00257138" w:rsidRDefault="003D1E92" w:rsidP="000B30E5">
          <w:pPr>
            <w:pStyle w:val="Footer"/>
            <w:jc w:val="right"/>
          </w:pPr>
        </w:p>
      </w:tc>
    </w:tr>
  </w:tbl>
  <w:p w14:paraId="27FF8976" w14:textId="77777777" w:rsidR="003D1E92" w:rsidRPr="00826007" w:rsidRDefault="003D1E9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3469" w14:textId="77777777" w:rsidR="003D1E92" w:rsidRDefault="003D1E9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3D1E92" w:rsidRPr="004A3084" w14:paraId="2DB8EEC6" w14:textId="77777777" w:rsidTr="00231E8D">
      <w:trPr>
        <w:trHeight w:val="423"/>
      </w:trPr>
      <w:tc>
        <w:tcPr>
          <w:tcW w:w="7338" w:type="dxa"/>
          <w:tcBorders>
            <w:top w:val="single" w:sz="4" w:space="0" w:color="auto"/>
          </w:tcBorders>
        </w:tcPr>
        <w:p w14:paraId="67F23AFA" w14:textId="2E8876F5" w:rsidR="003D1E92" w:rsidRPr="004A3084" w:rsidRDefault="003D1E92" w:rsidP="00F45087">
          <w:pPr>
            <w:pStyle w:val="Footer"/>
          </w:pPr>
          <w:r>
            <w:t>Introduction to the Permissible Ingredients Determination</w:t>
          </w:r>
          <w:r>
            <w:br/>
            <w:t xml:space="preserve">V1.0 </w:t>
          </w:r>
          <w:r w:rsidR="00F45087">
            <w:t>December</w:t>
          </w:r>
          <w:r>
            <w:t xml:space="preserve"> 2020</w:t>
          </w:r>
        </w:p>
      </w:tc>
      <w:tc>
        <w:tcPr>
          <w:tcW w:w="1382" w:type="dxa"/>
          <w:tcBorders>
            <w:top w:val="single" w:sz="4" w:space="0" w:color="auto"/>
          </w:tcBorders>
        </w:tcPr>
        <w:sdt>
          <w:sdtPr>
            <w:id w:val="11571659"/>
            <w:docPartObj>
              <w:docPartGallery w:val="Page Numbers (Top of Page)"/>
              <w:docPartUnique/>
            </w:docPartObj>
          </w:sdtPr>
          <w:sdtEndPr/>
          <w:sdtContent>
            <w:p w14:paraId="52CD6C19" w14:textId="2D91F6AF" w:rsidR="003D1E92" w:rsidRPr="004A3084" w:rsidRDefault="003D1E92" w:rsidP="00231E8D">
              <w:pPr>
                <w:pStyle w:val="Footer"/>
                <w:jc w:val="right"/>
              </w:pPr>
              <w:r w:rsidRPr="004A3084">
                <w:t xml:space="preserve">Page </w:t>
              </w:r>
              <w:r>
                <w:fldChar w:fldCharType="begin"/>
              </w:r>
              <w:r>
                <w:instrText xml:space="preserve"> PAGE </w:instrText>
              </w:r>
              <w:r>
                <w:fldChar w:fldCharType="separate"/>
              </w:r>
              <w:r w:rsidR="00F45087">
                <w:rPr>
                  <w:noProof/>
                </w:rPr>
                <w:t>12</w:t>
              </w:r>
              <w:r>
                <w:rPr>
                  <w:noProof/>
                </w:rPr>
                <w:fldChar w:fldCharType="end"/>
              </w:r>
              <w:r w:rsidRPr="004A3084">
                <w:t xml:space="preserve"> of </w:t>
              </w:r>
              <w:fldSimple w:instr=" NUMPAGES  ">
                <w:r w:rsidR="00F45087">
                  <w:rPr>
                    <w:noProof/>
                  </w:rPr>
                  <w:t>13</w:t>
                </w:r>
              </w:fldSimple>
            </w:p>
          </w:sdtContent>
        </w:sdt>
      </w:tc>
    </w:tr>
  </w:tbl>
  <w:p w14:paraId="2AACE6CA" w14:textId="77777777" w:rsidR="003D1E92" w:rsidRPr="00826007" w:rsidRDefault="003D1E9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E8E37" w14:textId="77777777" w:rsidR="003D1E92" w:rsidRPr="008E3C43" w:rsidRDefault="003D1E9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DB357" w14:textId="77777777" w:rsidR="003D1E92" w:rsidRDefault="003D1E92" w:rsidP="00C40A36">
      <w:pPr>
        <w:spacing w:after="0"/>
      </w:pPr>
      <w:r>
        <w:separator/>
      </w:r>
    </w:p>
  </w:footnote>
  <w:footnote w:type="continuationSeparator" w:id="0">
    <w:p w14:paraId="1C4768AF" w14:textId="77777777" w:rsidR="003D1E92" w:rsidRDefault="003D1E92"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9ADF" w14:textId="77777777" w:rsidR="003D1E92" w:rsidRDefault="00F45087" w:rsidP="00C3408D">
    <w:pPr>
      <w:pStyle w:val="Header"/>
    </w:pPr>
    <w:sdt>
      <w:sdtPr>
        <w:id w:val="-203553135"/>
        <w:docPartObj>
          <w:docPartGallery w:val="Watermarks"/>
          <w:docPartUnique/>
        </w:docPartObj>
      </w:sdtPr>
      <w:sdtEndPr/>
      <w:sdtContent>
        <w:r>
          <w:rPr>
            <w:noProof/>
          </w:rPr>
          <w:pict w14:anchorId="0073E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3D1E9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D1E92" w:rsidRPr="002B29B2" w14:paraId="7E058148" w14:textId="77777777" w:rsidTr="00F71E1E">
      <w:trPr>
        <w:trHeight w:hRule="exact" w:val="8845"/>
      </w:trPr>
      <w:tc>
        <w:tcPr>
          <w:tcW w:w="11964" w:type="dxa"/>
          <w:vAlign w:val="center"/>
        </w:tcPr>
        <w:p w14:paraId="43FA8D24" w14:textId="77777777" w:rsidR="003D1E92" w:rsidRPr="002B29B2" w:rsidRDefault="00F45087" w:rsidP="006A2426">
          <w:pPr>
            <w:ind w:left="-57"/>
            <w:rPr>
              <w:noProof/>
            </w:rPr>
          </w:pPr>
          <w:sdt>
            <w:sdtPr>
              <w:rPr>
                <w:noProof/>
              </w:rPr>
              <w:id w:val="1926993388"/>
              <w:showingPlcHdr/>
              <w:picture/>
            </w:sdtPr>
            <w:sdtEndPr/>
            <w:sdtContent>
              <w:r w:rsidR="003D1E92" w:rsidRPr="00F71E1E">
                <w:rPr>
                  <w:noProof/>
                  <w:lang w:eastAsia="en-AU"/>
                </w:rPr>
                <w:drawing>
                  <wp:inline distT="0" distB="0" distL="0" distR="0" wp14:anchorId="79714C20" wp14:editId="0A826E20">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343D93E1" w14:textId="77777777" w:rsidR="003D1E92" w:rsidRDefault="003D1E92" w:rsidP="006D03E5">
    <w:pPr>
      <w:rPr>
        <w:noProof/>
      </w:rPr>
    </w:pPr>
    <w:r>
      <w:rPr>
        <w:noProof/>
        <w:lang w:eastAsia="en-AU"/>
      </w:rPr>
      <w:drawing>
        <wp:anchor distT="0" distB="0" distL="114300" distR="114300" simplePos="0" relativeHeight="251664384" behindDoc="0" locked="0" layoutInCell="1" allowOverlap="1" wp14:anchorId="48C78270" wp14:editId="28E3E119">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493F50D3" wp14:editId="1D0C9934">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8913" w14:textId="77777777" w:rsidR="003D1E92" w:rsidRDefault="003D1E9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DA2B" w14:textId="77777777" w:rsidR="003D1E92" w:rsidRPr="00FE501F" w:rsidRDefault="003D1E9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934364E"/>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058C265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5C137F"/>
    <w:multiLevelType w:val="hybridMultilevel"/>
    <w:tmpl w:val="5C50FAF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50"/>
    <w:rsid w:val="00002031"/>
    <w:rsid w:val="000040BA"/>
    <w:rsid w:val="00004734"/>
    <w:rsid w:val="00006B22"/>
    <w:rsid w:val="00010E4D"/>
    <w:rsid w:val="0001276A"/>
    <w:rsid w:val="00012A7C"/>
    <w:rsid w:val="00016BEB"/>
    <w:rsid w:val="000246AE"/>
    <w:rsid w:val="00025C67"/>
    <w:rsid w:val="00032FFB"/>
    <w:rsid w:val="0005559E"/>
    <w:rsid w:val="000703AB"/>
    <w:rsid w:val="00077775"/>
    <w:rsid w:val="00077FC3"/>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4859"/>
    <w:rsid w:val="0017693F"/>
    <w:rsid w:val="0018110E"/>
    <w:rsid w:val="00181684"/>
    <w:rsid w:val="001843C6"/>
    <w:rsid w:val="00184A10"/>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5D2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03677"/>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1E92"/>
    <w:rsid w:val="003D3B63"/>
    <w:rsid w:val="003D6B56"/>
    <w:rsid w:val="003E0A89"/>
    <w:rsid w:val="003E3208"/>
    <w:rsid w:val="003F0B04"/>
    <w:rsid w:val="003F2E95"/>
    <w:rsid w:val="0040134E"/>
    <w:rsid w:val="00404B57"/>
    <w:rsid w:val="00406DB9"/>
    <w:rsid w:val="00416BCB"/>
    <w:rsid w:val="00431AFB"/>
    <w:rsid w:val="00440A2D"/>
    <w:rsid w:val="00442DA9"/>
    <w:rsid w:val="0045040C"/>
    <w:rsid w:val="004564A7"/>
    <w:rsid w:val="004617BF"/>
    <w:rsid w:val="00471002"/>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A154C"/>
    <w:rsid w:val="005A4EBB"/>
    <w:rsid w:val="005C006B"/>
    <w:rsid w:val="005C5570"/>
    <w:rsid w:val="005C5FD4"/>
    <w:rsid w:val="005C79A4"/>
    <w:rsid w:val="005D1689"/>
    <w:rsid w:val="005D248B"/>
    <w:rsid w:val="005D5442"/>
    <w:rsid w:val="005D55A3"/>
    <w:rsid w:val="005E5568"/>
    <w:rsid w:val="005F458A"/>
    <w:rsid w:val="005F5830"/>
    <w:rsid w:val="00610D73"/>
    <w:rsid w:val="00617914"/>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E6A10"/>
    <w:rsid w:val="006F1604"/>
    <w:rsid w:val="006F3339"/>
    <w:rsid w:val="006F46EA"/>
    <w:rsid w:val="006F572E"/>
    <w:rsid w:val="006F6284"/>
    <w:rsid w:val="006F652C"/>
    <w:rsid w:val="006F6C81"/>
    <w:rsid w:val="007003F5"/>
    <w:rsid w:val="007046D6"/>
    <w:rsid w:val="00705DB0"/>
    <w:rsid w:val="007060CD"/>
    <w:rsid w:val="00706634"/>
    <w:rsid w:val="00706AFE"/>
    <w:rsid w:val="00723BF8"/>
    <w:rsid w:val="00724E0E"/>
    <w:rsid w:val="00732E99"/>
    <w:rsid w:val="00732FEE"/>
    <w:rsid w:val="0074253D"/>
    <w:rsid w:val="0074429B"/>
    <w:rsid w:val="00745F6E"/>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2FB4"/>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06E"/>
    <w:rsid w:val="008C51A9"/>
    <w:rsid w:val="008C63C5"/>
    <w:rsid w:val="008C7541"/>
    <w:rsid w:val="008E3C43"/>
    <w:rsid w:val="008E3D10"/>
    <w:rsid w:val="008E3FF2"/>
    <w:rsid w:val="008F1CCC"/>
    <w:rsid w:val="008F2967"/>
    <w:rsid w:val="008F6EF7"/>
    <w:rsid w:val="00900D8C"/>
    <w:rsid w:val="00900F6E"/>
    <w:rsid w:val="009074DB"/>
    <w:rsid w:val="00910C53"/>
    <w:rsid w:val="00920330"/>
    <w:rsid w:val="00920FF4"/>
    <w:rsid w:val="009219D7"/>
    <w:rsid w:val="00922D53"/>
    <w:rsid w:val="00923B70"/>
    <w:rsid w:val="009259F8"/>
    <w:rsid w:val="0092600B"/>
    <w:rsid w:val="00926B0E"/>
    <w:rsid w:val="00930237"/>
    <w:rsid w:val="00932BBB"/>
    <w:rsid w:val="00932D08"/>
    <w:rsid w:val="00947BE9"/>
    <w:rsid w:val="0096319D"/>
    <w:rsid w:val="00963C08"/>
    <w:rsid w:val="00964F68"/>
    <w:rsid w:val="009707B8"/>
    <w:rsid w:val="00974DBB"/>
    <w:rsid w:val="00984839"/>
    <w:rsid w:val="0099110E"/>
    <w:rsid w:val="00994189"/>
    <w:rsid w:val="009A4CED"/>
    <w:rsid w:val="009A5BC7"/>
    <w:rsid w:val="009B0B50"/>
    <w:rsid w:val="009B1D12"/>
    <w:rsid w:val="009B3475"/>
    <w:rsid w:val="009B416B"/>
    <w:rsid w:val="009B68A6"/>
    <w:rsid w:val="009C4BD5"/>
    <w:rsid w:val="009D059A"/>
    <w:rsid w:val="009D2E04"/>
    <w:rsid w:val="009D7B77"/>
    <w:rsid w:val="009E0BB0"/>
    <w:rsid w:val="009E3FBB"/>
    <w:rsid w:val="009E45E7"/>
    <w:rsid w:val="009F018D"/>
    <w:rsid w:val="009F0B33"/>
    <w:rsid w:val="009F24DB"/>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1ADA"/>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401C"/>
    <w:rsid w:val="00B87BB7"/>
    <w:rsid w:val="00B946A9"/>
    <w:rsid w:val="00B9484C"/>
    <w:rsid w:val="00B94CFB"/>
    <w:rsid w:val="00BA0DFC"/>
    <w:rsid w:val="00BC1CAB"/>
    <w:rsid w:val="00BC30F2"/>
    <w:rsid w:val="00BC622A"/>
    <w:rsid w:val="00BD0B28"/>
    <w:rsid w:val="00BD45C2"/>
    <w:rsid w:val="00BD7FC6"/>
    <w:rsid w:val="00BE0A78"/>
    <w:rsid w:val="00BE243C"/>
    <w:rsid w:val="00BE79F0"/>
    <w:rsid w:val="00BF046D"/>
    <w:rsid w:val="00BF43F2"/>
    <w:rsid w:val="00BF5D04"/>
    <w:rsid w:val="00C02382"/>
    <w:rsid w:val="00C13563"/>
    <w:rsid w:val="00C14835"/>
    <w:rsid w:val="00C15873"/>
    <w:rsid w:val="00C1617C"/>
    <w:rsid w:val="00C23477"/>
    <w:rsid w:val="00C24FC6"/>
    <w:rsid w:val="00C3408D"/>
    <w:rsid w:val="00C404A6"/>
    <w:rsid w:val="00C40A36"/>
    <w:rsid w:val="00C44419"/>
    <w:rsid w:val="00C45E7B"/>
    <w:rsid w:val="00C46FD5"/>
    <w:rsid w:val="00C471B1"/>
    <w:rsid w:val="00C4743E"/>
    <w:rsid w:val="00C50E5C"/>
    <w:rsid w:val="00C6316B"/>
    <w:rsid w:val="00C634A9"/>
    <w:rsid w:val="00C653C1"/>
    <w:rsid w:val="00C71313"/>
    <w:rsid w:val="00C7475B"/>
    <w:rsid w:val="00C76805"/>
    <w:rsid w:val="00C772FF"/>
    <w:rsid w:val="00C801AF"/>
    <w:rsid w:val="00C80256"/>
    <w:rsid w:val="00C85953"/>
    <w:rsid w:val="00C87DC4"/>
    <w:rsid w:val="00C921A1"/>
    <w:rsid w:val="00CA7F9C"/>
    <w:rsid w:val="00CB6BC0"/>
    <w:rsid w:val="00CB73C5"/>
    <w:rsid w:val="00CC1B7C"/>
    <w:rsid w:val="00CC727F"/>
    <w:rsid w:val="00CD1F02"/>
    <w:rsid w:val="00CD30CC"/>
    <w:rsid w:val="00CD6FCC"/>
    <w:rsid w:val="00CE2F6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00B4"/>
    <w:rsid w:val="00D85417"/>
    <w:rsid w:val="00D9141E"/>
    <w:rsid w:val="00DA1124"/>
    <w:rsid w:val="00DA24C7"/>
    <w:rsid w:val="00DA381C"/>
    <w:rsid w:val="00DA4CD9"/>
    <w:rsid w:val="00DD75A3"/>
    <w:rsid w:val="00DD76DE"/>
    <w:rsid w:val="00DE02AE"/>
    <w:rsid w:val="00DE6A0C"/>
    <w:rsid w:val="00DE6C04"/>
    <w:rsid w:val="00DF1D7F"/>
    <w:rsid w:val="00DF45B9"/>
    <w:rsid w:val="00DF6748"/>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7223B"/>
    <w:rsid w:val="00E9307E"/>
    <w:rsid w:val="00EA16DE"/>
    <w:rsid w:val="00EA1F09"/>
    <w:rsid w:val="00EA406B"/>
    <w:rsid w:val="00EA7E1D"/>
    <w:rsid w:val="00EB0798"/>
    <w:rsid w:val="00EB40AD"/>
    <w:rsid w:val="00EB5622"/>
    <w:rsid w:val="00EB586E"/>
    <w:rsid w:val="00EB5FC8"/>
    <w:rsid w:val="00EB6CAF"/>
    <w:rsid w:val="00ED555A"/>
    <w:rsid w:val="00ED5A41"/>
    <w:rsid w:val="00ED6A67"/>
    <w:rsid w:val="00EF1D4F"/>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46C5"/>
    <w:rsid w:val="00F45087"/>
    <w:rsid w:val="00F47E37"/>
    <w:rsid w:val="00F54CA9"/>
    <w:rsid w:val="00F56B9D"/>
    <w:rsid w:val="00F640B6"/>
    <w:rsid w:val="00F71E1E"/>
    <w:rsid w:val="00F80E40"/>
    <w:rsid w:val="00F859D2"/>
    <w:rsid w:val="00F8709D"/>
    <w:rsid w:val="00F9022D"/>
    <w:rsid w:val="00F93D9C"/>
    <w:rsid w:val="00FA2B8E"/>
    <w:rsid w:val="00FA43E5"/>
    <w:rsid w:val="00FA5B82"/>
    <w:rsid w:val="00FA639E"/>
    <w:rsid w:val="00FB6FBC"/>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40C8FB6C"/>
  <w15:docId w15:val="{B8470CF7-8DAF-4596-BF20-18E8EF01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unhideWhenUsed/>
    <w:rsid w:val="008E3D10"/>
    <w:pPr>
      <w:spacing w:before="180"/>
      <w:ind w:left="720"/>
      <w:contextualSpacing/>
    </w:pPr>
    <w:rPr>
      <w:rFonts w:cstheme="minorBidi"/>
      <w:szCs w:val="22"/>
    </w:rPr>
  </w:style>
  <w:style w:type="paragraph" w:styleId="Revision">
    <w:name w:val="Revision"/>
    <w:hidden/>
    <w:uiPriority w:val="99"/>
    <w:semiHidden/>
    <w:rsid w:val="00EF1D4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listed-complementary-medicines" TargetMode="External"/><Relationship Id="rId18" Type="http://schemas.openxmlformats.org/officeDocument/2006/relationships/image" Target="media/image4.png"/><Relationship Id="rId26" Type="http://schemas.openxmlformats.org/officeDocument/2006/relationships/hyperlink" Target="https://www.tga.gov.au/registered-complementary-medicines" TargetMode="External"/><Relationship Id="rId39" Type="http://schemas.openxmlformats.org/officeDocument/2006/relationships/hyperlink" Target="https://www.tga.gov.au/publication/australian-regulatory-guidelines-complementary-medicines-argcm" TargetMode="External"/><Relationship Id="rId21" Type="http://schemas.openxmlformats.org/officeDocument/2006/relationships/hyperlink" Target="https://www.tga.gov.au/publication/australian-regulatory-guidelines-complementary-medicines-argcm" TargetMode="External"/><Relationship Id="rId34" Type="http://schemas.openxmlformats.org/officeDocument/2006/relationships/hyperlink" Target="https://www.tga.gov.au/medicine-labels-guidance-tgo-91-and-tgo-92" TargetMode="External"/><Relationship Id="rId42" Type="http://schemas.openxmlformats.org/officeDocument/2006/relationships/hyperlink" Target="https://www.tga.gov.au/publication/tga-approved-terminology-therapeutic-goods" TargetMode="External"/><Relationship Id="rId47" Type="http://schemas.openxmlformats.org/officeDocument/2006/relationships/hyperlink" Target="https://www.tga.gov.au/how-we-regulate-medicines" TargetMode="External"/><Relationship Id="rId50" Type="http://schemas.openxmlformats.org/officeDocument/2006/relationships/hyperlink" Target="https://www.tga.gov.au/tga-business-services-how-use-site" TargetMode="External"/><Relationship Id="rId55" Type="http://schemas.openxmlformats.org/officeDocument/2006/relationships/image" Target="media/image8.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therapeutic-goods-determinations" TargetMode="External"/><Relationship Id="rId20" Type="http://schemas.openxmlformats.org/officeDocument/2006/relationships/hyperlink" Target="https://www.tga.gov.au/how-we-regulate-medicines" TargetMode="External"/><Relationship Id="rId29" Type="http://schemas.openxmlformats.org/officeDocument/2006/relationships/hyperlink" Target="https://www.legislation.gov.au/" TargetMode="External"/><Relationship Id="rId41" Type="http://schemas.openxmlformats.org/officeDocument/2006/relationships/hyperlink" Target="https://www.tga.gov.au/therapeutic-goods-determinations" TargetMode="External"/><Relationship Id="rId54" Type="http://schemas.openxmlformats.org/officeDocument/2006/relationships/image" Target="media/image7.png"/><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assessed-listed-medicines" TargetMode="External"/><Relationship Id="rId32" Type="http://schemas.openxmlformats.org/officeDocument/2006/relationships/hyperlink" Target="https://www.tga.gov.au/manufacture-therapeutic-goods" TargetMode="External"/><Relationship Id="rId37" Type="http://schemas.openxmlformats.org/officeDocument/2006/relationships/hyperlink" Target="https://www.tga.gov.au/approved-names-ingredients" TargetMode="External"/><Relationship Id="rId40" Type="http://schemas.openxmlformats.org/officeDocument/2006/relationships/hyperlink" Target="https://www.tga.gov.au/publication/australian-regulatory-guidelines-sunscreens-args" TargetMode="External"/><Relationship Id="rId45" Type="http://schemas.openxmlformats.org/officeDocument/2006/relationships/hyperlink" Target="https://www.tga.gov.au/publication/poisons-standard-susmp" TargetMode="External"/><Relationship Id="rId53" Type="http://schemas.openxmlformats.org/officeDocument/2006/relationships/image" Target="media/image6.png"/><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sme-assist/overview-applying-market-authorisation" TargetMode="External"/><Relationship Id="rId23" Type="http://schemas.openxmlformats.org/officeDocument/2006/relationships/hyperlink" Target="https://www.tga.gov.au/listed-complementary-medicines" TargetMode="External"/><Relationship Id="rId28" Type="http://schemas.openxmlformats.org/officeDocument/2006/relationships/hyperlink" Target="https://www.legislation.gov.au/Series/C2004A03952" TargetMode="External"/><Relationship Id="rId36" Type="http://schemas.openxmlformats.org/officeDocument/2006/relationships/hyperlink" Target="https://www.tga.gov.au/tga-business-services-how-use-site" TargetMode="External"/><Relationship Id="rId49" Type="http://schemas.openxmlformats.org/officeDocument/2006/relationships/hyperlink" Target="https://www.tga.gov.au/publication/user-guide-evaluation-substances-use-listed-medicines" TargetMode="External"/><Relationship Id="rId57" Type="http://schemas.openxmlformats.org/officeDocument/2006/relationships/header" Target="header3.xml"/><Relationship Id="rId61"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sme-assist/my-product-therapeutic-good" TargetMode="External"/><Relationship Id="rId31" Type="http://schemas.openxmlformats.org/officeDocument/2006/relationships/hyperlink" Target="https://www.tga.gov.au/regulatory-decisions-notices-complementary-medicines" TargetMode="External"/><Relationship Id="rId44" Type="http://schemas.openxmlformats.org/officeDocument/2006/relationships/image" Target="media/image5.png"/><Relationship Id="rId52" Type="http://schemas.openxmlformats.org/officeDocument/2006/relationships/hyperlink" Target="https://www.tga.gov.au/therapeutic-goods-determinations" TargetMode="External"/><Relationship Id="rId60"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ssessed-listed-medicines" TargetMode="External"/><Relationship Id="rId22" Type="http://schemas.openxmlformats.org/officeDocument/2006/relationships/hyperlink" Target="https://www.tga.gov.au/therapeutic-goods-determinations" TargetMode="External"/><Relationship Id="rId27" Type="http://schemas.openxmlformats.org/officeDocument/2006/relationships/hyperlink" Target="https://www.tga.gov.au/publication/poisons-standard-susmp" TargetMode="External"/><Relationship Id="rId30" Type="http://schemas.openxmlformats.org/officeDocument/2006/relationships/hyperlink" Target="https://www.tga.gov.au/scheduling-basics" TargetMode="External"/><Relationship Id="rId35" Type="http://schemas.openxmlformats.org/officeDocument/2006/relationships/hyperlink" Target="https://www.tga.gov.au/publication/poisons-standard-susmp" TargetMode="External"/><Relationship Id="rId43" Type="http://schemas.openxmlformats.org/officeDocument/2006/relationships/hyperlink" Target="https://www.tga.gov.au/acronyms-glossary" TargetMode="External"/><Relationship Id="rId48" Type="http://schemas.openxmlformats.org/officeDocument/2006/relationships/hyperlink" Target="https://www.tga.gov.au/publication/poisons-standard-susmp" TargetMode="External"/><Relationship Id="rId56" Type="http://schemas.openxmlformats.org/officeDocument/2006/relationships/hyperlink" Target="https://www.tga.gov.au/publication/user-guide-evaluation-substances-use-listed-medicines"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tga.gov.au/sme-assist/my-product-therapeutic-good"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australian-register-therapeutic-goods" TargetMode="External"/><Relationship Id="rId25" Type="http://schemas.openxmlformats.org/officeDocument/2006/relationships/hyperlink" Target="https://www.tga.gov.au/how-we-regulate-medicines" TargetMode="External"/><Relationship Id="rId33" Type="http://schemas.openxmlformats.org/officeDocument/2006/relationships/hyperlink" Target="https://www.tga.gov.au/advertising-hub" TargetMode="External"/><Relationship Id="rId38" Type="http://schemas.openxmlformats.org/officeDocument/2006/relationships/hyperlink" Target="https://www.tga.gov.au/tga-business-services-how-use-site" TargetMode="External"/><Relationship Id="rId46" Type="http://schemas.openxmlformats.org/officeDocument/2006/relationships/hyperlink" Target="https://www.tga.gov.au/registered-medicines" TargetMode="External"/><Relationship Id="rId59"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196B-3F37-428C-B7FD-92B7E068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530</TotalTime>
  <Pages>13</Pages>
  <Words>3215</Words>
  <Characters>17398</Characters>
  <Application>Microsoft Office Word</Application>
  <DocSecurity>0</DocSecurity>
  <Lines>790</Lines>
  <Paragraphs>606</Paragraphs>
  <ScaleCrop>false</ScaleCrop>
  <HeadingPairs>
    <vt:vector size="2" baseType="variant">
      <vt:variant>
        <vt:lpstr>Title</vt:lpstr>
      </vt:variant>
      <vt:variant>
        <vt:i4>1</vt:i4>
      </vt:variant>
    </vt:vector>
  </HeadingPairs>
  <TitlesOfParts>
    <vt:vector size="1" baseType="lpstr">
      <vt:lpstr>Introduction to the Permissible Ingredients Determination</vt:lpstr>
    </vt:vector>
  </TitlesOfParts>
  <Company>TGA</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Permissible Ingredients Determination</dc:title>
  <dc:subject>therapeutic goods regulation</dc:subject>
  <dc:creator>Therapeutic Goods Administration</dc:creator>
  <cp:lastPrinted>2010-12-20T22:59:00Z</cp:lastPrinted>
  <dcterms:created xsi:type="dcterms:W3CDTF">2020-04-29T05:01:00Z</dcterms:created>
  <dcterms:modified xsi:type="dcterms:W3CDTF">2020-12-21T21:58:00Z</dcterms:modified>
</cp:coreProperties>
</file>