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DA1" w:rsidRDefault="00030DA1" w:rsidP="00030DA1">
      <w:pPr>
        <w:pStyle w:val="Heading1"/>
      </w:pPr>
      <w:r>
        <w:t xml:space="preserve">TGA REFERENCE ANTIGEN </w:t>
      </w:r>
    </w:p>
    <w:p w:rsidR="00030DA1" w:rsidRDefault="00030DA1" w:rsidP="00030DA1">
      <w:pPr>
        <w:pStyle w:val="Heading1"/>
      </w:pPr>
      <w:proofErr w:type="gramStart"/>
      <w:r>
        <w:t>for</w:t>
      </w:r>
      <w:proofErr w:type="gramEnd"/>
      <w:r>
        <w:t xml:space="preserve"> SINGLE-RADIAL-IMMUNODIFFUSION (SRID) ASSAY of </w:t>
      </w:r>
    </w:p>
    <w:p w:rsidR="00030DA1" w:rsidRDefault="00030DA1" w:rsidP="00030DA1">
      <w:pPr>
        <w:pStyle w:val="Heading1"/>
      </w:pPr>
      <w:r>
        <w:t>B/Yamagata lineage virus B/Phuket/3073/2013</w:t>
      </w:r>
    </w:p>
    <w:p w:rsidR="00030DA1" w:rsidRDefault="00030DA1" w:rsidP="00030DA1">
      <w:pPr>
        <w:pStyle w:val="Heading1"/>
      </w:pPr>
      <w:r>
        <w:t>INFLUENZA VIRUS HAEMAGGLUTININ</w:t>
      </w:r>
    </w:p>
    <w:p w:rsidR="00261117" w:rsidRPr="00261117" w:rsidRDefault="00030DA1" w:rsidP="00030DA1">
      <w:pPr>
        <w:pStyle w:val="Heading1"/>
      </w:pPr>
      <w:r>
        <w:t>TGA Lot: 2017/115B (DOM: January 2017)</w:t>
      </w:r>
    </w:p>
    <w:p w:rsidR="00261117" w:rsidRPr="00181627" w:rsidRDefault="00261117" w:rsidP="00181627">
      <w:pPr>
        <w:pStyle w:val="Heading2"/>
      </w:pPr>
      <w:r>
        <w:t>1. Introduction</w:t>
      </w:r>
    </w:p>
    <w:p w:rsidR="00261117" w:rsidRDefault="00CF1761" w:rsidP="00261117">
      <w:r w:rsidRPr="00CF1761">
        <w:t>Influenza antigen reagent TGA Lot 2017/115B is prepared for single radial immunodiffusion assay (SRID) of B/Phuket/3073/2013 antigens using an appropriate TGA antiserum reagent.</w:t>
      </w:r>
    </w:p>
    <w:p w:rsidR="00261117" w:rsidRDefault="00261117" w:rsidP="00261117">
      <w:pPr>
        <w:pStyle w:val="Heading2"/>
      </w:pPr>
      <w:r>
        <w:t xml:space="preserve">2. </w:t>
      </w:r>
      <w:proofErr w:type="spellStart"/>
      <w:r>
        <w:t>Unitage</w:t>
      </w:r>
      <w:proofErr w:type="spellEnd"/>
    </w:p>
    <w:p w:rsidR="00CF1761" w:rsidRDefault="00CF1761" w:rsidP="00CF1761">
      <w:r>
        <w:t xml:space="preserve">Assigned potency of antigen Reagent Lot 2017/115B: </w:t>
      </w:r>
    </w:p>
    <w:p w:rsidR="00CF1761" w:rsidRDefault="00CF1761" w:rsidP="00CF1761">
      <w:pPr>
        <w:ind w:left="720"/>
      </w:pPr>
      <w:r w:rsidRPr="00CF1761">
        <w:rPr>
          <w:b/>
        </w:rPr>
        <w:t>85 µg (microgram) of HA per mL</w:t>
      </w:r>
      <w:r>
        <w:t xml:space="preserve">, </w:t>
      </w:r>
      <w:r w:rsidRPr="00CF1761">
        <w:rPr>
          <w:i/>
        </w:rPr>
        <w:t>after reconstitution of the lyophilized reagent in 0.5 mL of distilled water</w:t>
      </w:r>
      <w:r>
        <w:t>, or:</w:t>
      </w:r>
    </w:p>
    <w:p w:rsidR="00CF1761" w:rsidRDefault="00CF1761" w:rsidP="00CF1761">
      <w:pPr>
        <w:ind w:left="720"/>
      </w:pPr>
      <w:proofErr w:type="gramStart"/>
      <w:r w:rsidRPr="00CF1761">
        <w:rPr>
          <w:b/>
        </w:rPr>
        <w:t>42.5 µg (microgram) of HA per vial</w:t>
      </w:r>
      <w:r>
        <w:t>.</w:t>
      </w:r>
      <w:proofErr w:type="gramEnd"/>
    </w:p>
    <w:p w:rsidR="00261117" w:rsidRDefault="00CF1761" w:rsidP="00CF1761">
      <w:r>
        <w:t>Antigen Reagent Lot 2017/115B was calibrated using sheep antiserum Lot AS409 raised against B/Wisconsin/1/2010 (BX-41A).</w:t>
      </w:r>
    </w:p>
    <w:p w:rsidR="00DD6970" w:rsidRDefault="00DD6970" w:rsidP="00261117">
      <w:r w:rsidRPr="00DD6970">
        <w:t xml:space="preserve">For further information please contact: </w:t>
      </w:r>
      <w:hyperlink r:id="rId9" w:history="1">
        <w:r w:rsidRPr="005372DC">
          <w:rPr>
            <w:rStyle w:val="Hyperlink"/>
          </w:rPr>
          <w:t>influenza.reagents@health.gov.au</w:t>
        </w:r>
      </w:hyperlink>
    </w:p>
    <w:p w:rsidR="00EE583F" w:rsidRDefault="00261117" w:rsidP="00261117">
      <w:pPr>
        <w:pStyle w:val="Heading2"/>
      </w:pPr>
      <w:r>
        <w:t>3. Contents</w:t>
      </w:r>
    </w:p>
    <w:p w:rsidR="00261117" w:rsidRPr="00261117" w:rsidRDefault="00261117" w:rsidP="00261117">
      <w:r w:rsidRPr="00261117">
        <w:rPr>
          <w:b/>
        </w:rPr>
        <w:t>Country of origin of biological material:</w:t>
      </w:r>
      <w:r w:rsidRPr="00261117">
        <w:t xml:space="preserve"> </w:t>
      </w:r>
      <w:r w:rsidR="00913C35" w:rsidRPr="00913C35">
        <w:t>Australia</w:t>
      </w:r>
    </w:p>
    <w:p w:rsidR="00913C35" w:rsidRDefault="00913C35" w:rsidP="00913C35">
      <w:r>
        <w:t>Antigen Reagent Lot 2017/115B</w:t>
      </w:r>
      <w:r w:rsidR="002415AD">
        <w:t xml:space="preserve"> </w:t>
      </w:r>
      <w:r>
        <w:t xml:space="preserve">was produced in non-SPF, </w:t>
      </w:r>
      <w:proofErr w:type="spellStart"/>
      <w:r>
        <w:t>embryonated</w:t>
      </w:r>
      <w:proofErr w:type="spellEnd"/>
      <w:r>
        <w:t xml:space="preserve"> chicken eggs and was obtained from a production zonal pool (ZP), which has been inactivated by 0.1% v/v beta-</w:t>
      </w:r>
      <w:proofErr w:type="spellStart"/>
      <w:r>
        <w:t>propiolactone</w:t>
      </w:r>
      <w:proofErr w:type="spellEnd"/>
      <w:r>
        <w:t xml:space="preserve"> (βPL). Sucrose was removed from the inactivated B/Phuket/3073/2013 virus, prior to dilution with an equal volume of 6% w/v dextran in 0.9% w/v sodium chloride, mixed thoroughly and </w:t>
      </w:r>
      <w:r w:rsidRPr="00913C35">
        <w:rPr>
          <w:b/>
        </w:rPr>
        <w:t xml:space="preserve">dispensed for freeze-drying in 0.5 mL volumes </w:t>
      </w:r>
      <w:r>
        <w:t>as described by Campbell, P.J.; Journal of Biological Standardisation, 1974, 2, 249-267.</w:t>
      </w:r>
    </w:p>
    <w:p w:rsidR="00261117" w:rsidRDefault="00913C35" w:rsidP="00913C35">
      <w:r>
        <w:t>The mean of vials weights was 0.520 g with a coefficient of variation of 0.71 %.</w:t>
      </w:r>
    </w:p>
    <w:p w:rsidR="00261117" w:rsidRDefault="00261117" w:rsidP="00261117">
      <w:pPr>
        <w:pStyle w:val="Heading2"/>
      </w:pPr>
      <w:r>
        <w:lastRenderedPageBreak/>
        <w:t>4. Caution</w:t>
      </w:r>
      <w:bookmarkStart w:id="0" w:name="_GoBack"/>
      <w:bookmarkEnd w:id="0"/>
    </w:p>
    <w:p w:rsidR="00261117" w:rsidRPr="00261117" w:rsidRDefault="00261117" w:rsidP="00261117">
      <w:pPr>
        <w:keepNext/>
        <w:jc w:val="center"/>
        <w:rPr>
          <w:b/>
        </w:rPr>
      </w:pPr>
      <w:r w:rsidRPr="00261117">
        <w:rPr>
          <w:b/>
        </w:rPr>
        <w:t>THIS PREPARATION IS NOT FOR ADMINISTRATION TO HUMANS.</w:t>
      </w:r>
    </w:p>
    <w:p w:rsidR="00261117" w:rsidRDefault="00261117" w:rsidP="002263B0">
      <w:pPr>
        <w:keepNext/>
      </w:pPr>
      <w:r>
        <w:t>The preparation does not contain material of human origin.</w:t>
      </w:r>
    </w:p>
    <w:p w:rsidR="00261117" w:rsidRDefault="002263B0" w:rsidP="00261117">
      <w:r w:rsidRPr="002263B0">
        <w:t>As with all materials of biological origin, this preparation should be regarded as potentially hazardous to health.</w:t>
      </w:r>
      <w:r w:rsidR="002415AD">
        <w:t xml:space="preserve"> </w:t>
      </w:r>
      <w:r w:rsidRPr="002263B0">
        <w:t>It should be used and discarded according to your own laboratory's safety procedures.</w:t>
      </w:r>
      <w:r w:rsidR="002415AD">
        <w:t xml:space="preserve"> </w:t>
      </w:r>
      <w:r w:rsidRPr="002263B0">
        <w:t>Such safety procedures probably will include the wearing of protective gloves and avoiding the generation of aerosols.</w:t>
      </w:r>
      <w:r w:rsidR="002415AD">
        <w:t xml:space="preserve"> </w:t>
      </w:r>
      <w:r w:rsidRPr="002263B0">
        <w:t>Care should be exercised in opening ampoules or vials, to avoid cuts.</w:t>
      </w:r>
    </w:p>
    <w:p w:rsidR="00261117" w:rsidRDefault="00261117" w:rsidP="00261117">
      <w:pPr>
        <w:pStyle w:val="Heading2"/>
      </w:pPr>
      <w:r>
        <w:t>5. Use of material</w:t>
      </w:r>
    </w:p>
    <w:p w:rsidR="002415AD" w:rsidRDefault="002415AD" w:rsidP="002415AD">
      <w:r>
        <w:t xml:space="preserve">For all practical purposes each vial contains the same quantity of the substances listed above. </w:t>
      </w:r>
      <w:r w:rsidRPr="002415AD">
        <w:rPr>
          <w:b/>
        </w:rPr>
        <w:t>Reconstitute the total contents of one vial of Reagent with 0.5 mL of distilled water.</w:t>
      </w:r>
      <w:r>
        <w:t xml:space="preserve"> Allow to stand for a minimum of 5 minutes before use to allow for complete solution of freeze-dried material. Antigen Reagent Lot 2017/115B should be used according to the method described by Wood, JM, </w:t>
      </w:r>
      <w:proofErr w:type="spellStart"/>
      <w:r>
        <w:t>Schild</w:t>
      </w:r>
      <w:proofErr w:type="spellEnd"/>
      <w:r>
        <w:t xml:space="preserve">, GC, Newman, RW, and </w:t>
      </w:r>
      <w:proofErr w:type="spellStart"/>
      <w:r>
        <w:t>Seagroatt</w:t>
      </w:r>
      <w:proofErr w:type="spellEnd"/>
      <w:r>
        <w:t>, VA, Journal of Biological Standardisation, 1977, 5, 237-247, with the following modification:</w:t>
      </w:r>
    </w:p>
    <w:p w:rsidR="002415AD" w:rsidRDefault="002415AD" w:rsidP="002415AD">
      <w:r>
        <w:t>It is recommended that Antigen Reagent Lot 2017/115B and test B/Phuket/3073/2013 virus antigens should be treated with Zwittergent 3-14 detergent (</w:t>
      </w:r>
      <w:proofErr w:type="spellStart"/>
      <w:r>
        <w:t>Calbiochem</w:t>
      </w:r>
      <w:proofErr w:type="spellEnd"/>
      <w:r>
        <w:t>-Behring, La Jolla, CA, USA) before single-radial-immunodiffusion assay. Suitable incubation conditions are as follows:</w:t>
      </w:r>
    </w:p>
    <w:p w:rsidR="002415AD" w:rsidRDefault="002415AD" w:rsidP="002415AD">
      <w:r>
        <w:t xml:space="preserve">450 </w:t>
      </w:r>
      <w:proofErr w:type="spellStart"/>
      <w:r>
        <w:t>microlitres</w:t>
      </w:r>
      <w:proofErr w:type="spellEnd"/>
      <w:r>
        <w:t xml:space="preserve"> of antigen are added to 50 </w:t>
      </w:r>
      <w:proofErr w:type="spellStart"/>
      <w:r>
        <w:t>microlitres</w:t>
      </w:r>
      <w:proofErr w:type="spellEnd"/>
      <w:r>
        <w:t xml:space="preserve"> of 10% (w/v) Zwittergent detergent and incubated in covered containers for 30 minutes at room temperature (20-25°C). Dilutions of detergent treated antigens are then added to wells in single-radial-immunodiffusion plates and incubated at 20-25°C.</w:t>
      </w:r>
    </w:p>
    <w:p w:rsidR="002415AD" w:rsidRDefault="002415AD" w:rsidP="002415AD">
      <w:r>
        <w:t>Antigen Reagent Lot 2017/115B should be used to assay B/Phuket/3073/2013 antigens using a TGA antiserum reagent.</w:t>
      </w:r>
    </w:p>
    <w:p w:rsidR="002415AD" w:rsidRDefault="002415AD" w:rsidP="002415AD">
      <w:r>
        <w:t>No attempt should be made to weigh out any portion of the freeze-dried material. Unopened vials should be store at below -60°C but storage of reconstituted reagent is not recommended. To remove the reconstituted material from the vial, it is necessary to use some form of transfer pipette rather than a volumetric pipette. The contents of the vials should not be assumed to be sterile.</w:t>
      </w:r>
    </w:p>
    <w:p w:rsidR="00261117" w:rsidRDefault="00261117" w:rsidP="004B68E7">
      <w:pPr>
        <w:pStyle w:val="Heading2"/>
      </w:pPr>
      <w:r>
        <w:t xml:space="preserve">6. </w:t>
      </w:r>
      <w:r w:rsidR="004B68E7" w:rsidRPr="004B68E7">
        <w:t>Stability</w:t>
      </w:r>
    </w:p>
    <w:p w:rsidR="00261117" w:rsidRDefault="00F456CF" w:rsidP="00261117">
      <w:r w:rsidRPr="00F456CF">
        <w:t>It is the policy of WHO not to assign an expiry date to their international reference materials. They remain valid with the assigned potency and status until withdrawn or amended.</w:t>
      </w:r>
    </w:p>
    <w:p w:rsidR="00261117" w:rsidRDefault="00F456CF" w:rsidP="00261117">
      <w:r w:rsidRPr="00F456CF">
        <w:t>Reference Materials should be stored on receipt as indicated on the label.</w:t>
      </w:r>
    </w:p>
    <w:p w:rsidR="00261117" w:rsidRPr="004B68E7" w:rsidRDefault="004B68E7" w:rsidP="004B68E7">
      <w:pPr>
        <w:tabs>
          <w:tab w:val="left" w:pos="993"/>
        </w:tabs>
        <w:rPr>
          <w:color w:val="FF0000"/>
        </w:rPr>
      </w:pPr>
      <w:r>
        <w:rPr>
          <w:color w:val="FF0000"/>
        </w:rPr>
        <w:t>Storage:</w:t>
      </w:r>
      <w:r>
        <w:rPr>
          <w:color w:val="FF0000"/>
        </w:rPr>
        <w:tab/>
      </w:r>
      <w:r w:rsidR="00F456CF" w:rsidRPr="00F456CF">
        <w:rPr>
          <w:color w:val="FF0000"/>
        </w:rPr>
        <w:t>Antigen</w:t>
      </w:r>
      <w:r w:rsidR="00F456CF">
        <w:rPr>
          <w:color w:val="FF0000"/>
        </w:rPr>
        <w:t xml:space="preserve"> should be stored at or below -</w:t>
      </w:r>
      <w:r w:rsidR="00F456CF" w:rsidRPr="00F456CF">
        <w:rPr>
          <w:color w:val="FF0000"/>
        </w:rPr>
        <w:t>60 °C.</w:t>
      </w:r>
    </w:p>
    <w:p w:rsidR="00261117" w:rsidRDefault="004B68E7" w:rsidP="004B68E7">
      <w:pPr>
        <w:tabs>
          <w:tab w:val="left" w:pos="993"/>
        </w:tabs>
        <w:ind w:left="993" w:hanging="993"/>
        <w:rPr>
          <w:color w:val="FF0000"/>
        </w:rPr>
      </w:pPr>
      <w:r>
        <w:rPr>
          <w:color w:val="FF0000"/>
        </w:rPr>
        <w:t>Note:</w:t>
      </w:r>
      <w:r>
        <w:rPr>
          <w:color w:val="FF0000"/>
        </w:rPr>
        <w:tab/>
      </w:r>
      <w:r w:rsidR="00261117" w:rsidRPr="004B68E7">
        <w:rPr>
          <w:color w:val="FF0000"/>
        </w:rPr>
        <w:t>This material is shipped on dry ice.</w:t>
      </w:r>
      <w:r>
        <w:rPr>
          <w:color w:val="FF0000"/>
        </w:rPr>
        <w:br/>
      </w:r>
      <w:r w:rsidR="00261117" w:rsidRPr="004B68E7">
        <w:rPr>
          <w:color w:val="FF0000"/>
        </w:rPr>
        <w:t>The temperature range for shipping is -80 to -70°C.</w:t>
      </w:r>
    </w:p>
    <w:p w:rsidR="00F456CF" w:rsidRDefault="00F456CF" w:rsidP="00F456CF">
      <w:r>
        <w:t>In addition, once reconstituted, diluted or aliquoted, users should determine the stability of the material according to their own method of preparation, storage and use.</w:t>
      </w:r>
    </w:p>
    <w:p w:rsidR="00F456CF" w:rsidRPr="004B68E7" w:rsidRDefault="00F456CF" w:rsidP="00F456CF">
      <w:r>
        <w:t xml:space="preserve">TGA follows the policy of </w:t>
      </w:r>
      <w:proofErr w:type="gramStart"/>
      <w:r>
        <w:t>WHO</w:t>
      </w:r>
      <w:proofErr w:type="gramEnd"/>
      <w:r>
        <w:t xml:space="preserve"> with respect to its reference materials.</w:t>
      </w:r>
    </w:p>
    <w:p w:rsidR="00261117" w:rsidRDefault="00261117" w:rsidP="004B68E7">
      <w:pPr>
        <w:pStyle w:val="Heading2"/>
      </w:pPr>
      <w:r>
        <w:lastRenderedPageBreak/>
        <w:t xml:space="preserve">7. </w:t>
      </w:r>
      <w:r w:rsidR="004B68E7">
        <w:t>Citation</w:t>
      </w:r>
    </w:p>
    <w:p w:rsidR="00261117" w:rsidRDefault="00502D54" w:rsidP="00261117">
      <w:r w:rsidRPr="00502D54">
        <w:t xml:space="preserve">In all publications (or data sheets for immunoassay kits) in which this preparation is used as an assay </w:t>
      </w:r>
      <w:proofErr w:type="spellStart"/>
      <w:r w:rsidRPr="00502D54">
        <w:t>calibrant</w:t>
      </w:r>
      <w:proofErr w:type="spellEnd"/>
      <w:r w:rsidRPr="00502D54">
        <w:t>, it is important that the title of the preparation, vial code and the name and address of TGA are cited correctly.</w:t>
      </w:r>
    </w:p>
    <w:p w:rsidR="00261117" w:rsidRDefault="00261117" w:rsidP="004B68E7">
      <w:pPr>
        <w:pStyle w:val="Heading2"/>
      </w:pPr>
      <w:r>
        <w:t xml:space="preserve">8. </w:t>
      </w:r>
      <w:r w:rsidR="004B68E7">
        <w:t>Product liability</w:t>
      </w:r>
    </w:p>
    <w:p w:rsidR="00502D54" w:rsidRDefault="00502D54" w:rsidP="00502D54">
      <w:r>
        <w:t>Information emanating from TGA is given after the exercise of all reasonable care and skill in its compilation, preparation and issue, but is provided without liability in its application and use.</w:t>
      </w:r>
    </w:p>
    <w:p w:rsidR="00502D54" w:rsidRDefault="00502D54" w:rsidP="00502D54">
      <w:r>
        <w:t>This product is intended for use as a standard or reference material in laboratory work in relation to biological research, manufacturing or quality control testing of biological products or in the field of in vitro diagnostics.</w:t>
      </w:r>
      <w:r w:rsidR="0022350C">
        <w:t xml:space="preserve"> </w:t>
      </w:r>
      <w:r>
        <w:t>It is the responsibility of the user to ensure that he/she has the necessary technical skills to determine the appropriateness of this product for the proposed application.</w:t>
      </w:r>
      <w:r w:rsidR="0022350C">
        <w:t xml:space="preserve"> </w:t>
      </w:r>
      <w:r>
        <w:t>Results obtained from this product are likely to be dependent on conditions of use and the variability of materials beyond the control of TGA.</w:t>
      </w:r>
    </w:p>
    <w:p w:rsidR="00261117" w:rsidRDefault="00502D54" w:rsidP="00502D54">
      <w:r>
        <w:t>TGA accepts no liability whatsoever for any loss or damage arising from the use of this product, whether loss of profits, or indirect or consequential loss or otherwise, including, but not limited to, personal injury other than as caused by the negligence of TGA.</w:t>
      </w:r>
      <w:r w:rsidR="0022350C">
        <w:t xml:space="preserve"> </w:t>
      </w:r>
      <w:r>
        <w:t>In particular, TGA accepts no liability whatsoever for:</w:t>
      </w:r>
    </w:p>
    <w:p w:rsidR="00261117" w:rsidRDefault="00261117" w:rsidP="004B68E7">
      <w:pPr>
        <w:pStyle w:val="Numberbullet3"/>
      </w:pPr>
      <w:r>
        <w:t>results obtained from this product; and/or</w:t>
      </w:r>
    </w:p>
    <w:p w:rsidR="00261117" w:rsidRDefault="00261117" w:rsidP="004B68E7">
      <w:pPr>
        <w:pStyle w:val="Numberbullet3"/>
      </w:pPr>
      <w:proofErr w:type="gramStart"/>
      <w:r>
        <w:t>non-delivery</w:t>
      </w:r>
      <w:proofErr w:type="gramEnd"/>
      <w:r>
        <w:t xml:space="preserve"> of goods or for damages in transit.</w:t>
      </w:r>
    </w:p>
    <w:p w:rsidR="00261117" w:rsidRDefault="00502D54" w:rsidP="00261117">
      <w:r w:rsidRPr="00502D54">
        <w:t>In the event of any replacement of goods following loss or damage a customer accepts as a condition of receipt of a replacement product, acceptance of the fact that the replacement is not to be construed as an admission of liability on TGA's behalf.</w:t>
      </w:r>
    </w:p>
    <w:p w:rsidR="00261117" w:rsidRDefault="00261117" w:rsidP="0022350C">
      <w:pPr>
        <w:pStyle w:val="Heading2"/>
        <w:pageBreakBefore/>
        <w:spacing w:before="0"/>
      </w:pPr>
      <w:r>
        <w:lastRenderedPageBreak/>
        <w:t xml:space="preserve">9. </w:t>
      </w:r>
      <w:r w:rsidR="0090187D">
        <w:t>Material Safety Sheet</w:t>
      </w:r>
    </w:p>
    <w:tbl>
      <w:tblPr>
        <w:tblStyle w:val="TableGrid"/>
        <w:tblW w:w="0" w:type="auto"/>
        <w:tblLook w:val="04A0" w:firstRow="1" w:lastRow="0" w:firstColumn="1" w:lastColumn="0" w:noHBand="0" w:noVBand="1"/>
      </w:tblPr>
      <w:tblGrid>
        <w:gridCol w:w="2660"/>
        <w:gridCol w:w="1700"/>
        <w:gridCol w:w="2180"/>
        <w:gridCol w:w="2180"/>
      </w:tblGrid>
      <w:tr w:rsidR="00F57638" w:rsidTr="0067576F">
        <w:tc>
          <w:tcPr>
            <w:tcW w:w="8720" w:type="dxa"/>
            <w:gridSpan w:val="4"/>
          </w:tcPr>
          <w:p w:rsidR="00F57638" w:rsidRPr="006E4791" w:rsidRDefault="00F57638" w:rsidP="00F57638">
            <w:pPr>
              <w:jc w:val="center"/>
              <w:rPr>
                <w:b/>
              </w:rPr>
            </w:pPr>
            <w:r w:rsidRPr="006E4791">
              <w:rPr>
                <w:b/>
              </w:rPr>
              <w:t>Physical properties (at room temperature)</w:t>
            </w:r>
          </w:p>
        </w:tc>
      </w:tr>
      <w:tr w:rsidR="00F57638" w:rsidTr="0067576F">
        <w:tc>
          <w:tcPr>
            <w:tcW w:w="2660" w:type="dxa"/>
          </w:tcPr>
          <w:p w:rsidR="00F57638" w:rsidRDefault="00F57638" w:rsidP="00F57638">
            <w:r>
              <w:t>Physical appearance:</w:t>
            </w:r>
          </w:p>
        </w:tc>
        <w:tc>
          <w:tcPr>
            <w:tcW w:w="6060" w:type="dxa"/>
            <w:gridSpan w:val="3"/>
          </w:tcPr>
          <w:p w:rsidR="00F57638" w:rsidRPr="002B58AA" w:rsidRDefault="00F57638" w:rsidP="00F57638">
            <w:pPr>
              <w:rPr>
                <w:i/>
              </w:rPr>
            </w:pPr>
            <w:r w:rsidRPr="002B58AA">
              <w:rPr>
                <w:i/>
              </w:rPr>
              <w:t>White powder</w:t>
            </w:r>
          </w:p>
        </w:tc>
      </w:tr>
      <w:tr w:rsidR="00F57638" w:rsidTr="0067576F">
        <w:tc>
          <w:tcPr>
            <w:tcW w:w="2660" w:type="dxa"/>
          </w:tcPr>
          <w:p w:rsidR="00F57638" w:rsidRDefault="00F57638" w:rsidP="00F57638">
            <w:r>
              <w:t>Fire hazard:</w:t>
            </w:r>
          </w:p>
        </w:tc>
        <w:tc>
          <w:tcPr>
            <w:tcW w:w="6060" w:type="dxa"/>
            <w:gridSpan w:val="3"/>
          </w:tcPr>
          <w:p w:rsidR="00F57638" w:rsidRPr="002B58AA" w:rsidRDefault="00F57638" w:rsidP="00F57638">
            <w:pPr>
              <w:rPr>
                <w:i/>
              </w:rPr>
            </w:pPr>
            <w:r w:rsidRPr="002B58AA">
              <w:rPr>
                <w:i/>
              </w:rPr>
              <w:t>None</w:t>
            </w:r>
          </w:p>
        </w:tc>
      </w:tr>
      <w:tr w:rsidR="00F57638" w:rsidTr="0067576F">
        <w:tc>
          <w:tcPr>
            <w:tcW w:w="8720" w:type="dxa"/>
            <w:gridSpan w:val="4"/>
          </w:tcPr>
          <w:p w:rsidR="00F57638" w:rsidRPr="006E4791" w:rsidRDefault="00F57638" w:rsidP="00F57638">
            <w:pPr>
              <w:rPr>
                <w:b/>
              </w:rPr>
            </w:pPr>
            <w:r w:rsidRPr="006E4791">
              <w:rPr>
                <w:b/>
              </w:rPr>
              <w:t>Chemical properties</w:t>
            </w:r>
          </w:p>
        </w:tc>
      </w:tr>
      <w:tr w:rsidR="00F57638" w:rsidTr="0067576F">
        <w:tc>
          <w:tcPr>
            <w:tcW w:w="2660" w:type="dxa"/>
          </w:tcPr>
          <w:p w:rsidR="00F57638" w:rsidRDefault="00F57638" w:rsidP="00F57638">
            <w:r>
              <w:t>Stable:</w:t>
            </w:r>
          </w:p>
        </w:tc>
        <w:tc>
          <w:tcPr>
            <w:tcW w:w="1700" w:type="dxa"/>
          </w:tcPr>
          <w:p w:rsidR="00F57638" w:rsidRPr="002B58AA" w:rsidRDefault="00F57638" w:rsidP="00F57638">
            <w:pPr>
              <w:rPr>
                <w:i/>
              </w:rPr>
            </w:pPr>
            <w:r w:rsidRPr="002B58AA">
              <w:rPr>
                <w:i/>
              </w:rPr>
              <w:t>Yes</w:t>
            </w:r>
          </w:p>
        </w:tc>
        <w:tc>
          <w:tcPr>
            <w:tcW w:w="2180" w:type="dxa"/>
          </w:tcPr>
          <w:p w:rsidR="00F57638" w:rsidRDefault="00F57638" w:rsidP="00F57638">
            <w:r>
              <w:t>Corrosive:</w:t>
            </w:r>
          </w:p>
        </w:tc>
        <w:tc>
          <w:tcPr>
            <w:tcW w:w="2180" w:type="dxa"/>
          </w:tcPr>
          <w:p w:rsidR="00F57638" w:rsidRPr="002B58AA" w:rsidRDefault="00F57638" w:rsidP="00F57638">
            <w:pPr>
              <w:rPr>
                <w:i/>
              </w:rPr>
            </w:pPr>
            <w:r w:rsidRPr="002B58AA">
              <w:rPr>
                <w:i/>
              </w:rPr>
              <w:t>No</w:t>
            </w:r>
          </w:p>
        </w:tc>
      </w:tr>
      <w:tr w:rsidR="00F57638" w:rsidTr="0067576F">
        <w:tc>
          <w:tcPr>
            <w:tcW w:w="2660" w:type="dxa"/>
          </w:tcPr>
          <w:p w:rsidR="00F57638" w:rsidRDefault="00F57638" w:rsidP="00F57638">
            <w:r>
              <w:t>Hygroscopic:</w:t>
            </w:r>
          </w:p>
        </w:tc>
        <w:tc>
          <w:tcPr>
            <w:tcW w:w="1700" w:type="dxa"/>
          </w:tcPr>
          <w:p w:rsidR="00F57638" w:rsidRPr="002B58AA" w:rsidRDefault="00F57638" w:rsidP="00F57638">
            <w:pPr>
              <w:rPr>
                <w:i/>
              </w:rPr>
            </w:pPr>
            <w:r w:rsidRPr="002B58AA">
              <w:rPr>
                <w:i/>
              </w:rPr>
              <w:t>No</w:t>
            </w:r>
          </w:p>
        </w:tc>
        <w:tc>
          <w:tcPr>
            <w:tcW w:w="2180" w:type="dxa"/>
          </w:tcPr>
          <w:p w:rsidR="00F57638" w:rsidRDefault="00F57638" w:rsidP="00F57638">
            <w:r>
              <w:t>Oxidising:</w:t>
            </w:r>
          </w:p>
        </w:tc>
        <w:tc>
          <w:tcPr>
            <w:tcW w:w="2180" w:type="dxa"/>
          </w:tcPr>
          <w:p w:rsidR="00F57638" w:rsidRPr="002B58AA" w:rsidRDefault="00F57638" w:rsidP="00F57638">
            <w:pPr>
              <w:rPr>
                <w:i/>
              </w:rPr>
            </w:pPr>
            <w:r w:rsidRPr="002B58AA">
              <w:rPr>
                <w:i/>
              </w:rPr>
              <w:t>No</w:t>
            </w:r>
          </w:p>
        </w:tc>
      </w:tr>
      <w:tr w:rsidR="00F57638" w:rsidTr="0067576F">
        <w:tc>
          <w:tcPr>
            <w:tcW w:w="2660" w:type="dxa"/>
          </w:tcPr>
          <w:p w:rsidR="00F57638" w:rsidRDefault="00F57638" w:rsidP="00F57638">
            <w:r>
              <w:t>Flammable:</w:t>
            </w:r>
          </w:p>
        </w:tc>
        <w:tc>
          <w:tcPr>
            <w:tcW w:w="1700" w:type="dxa"/>
          </w:tcPr>
          <w:p w:rsidR="00F57638" w:rsidRPr="002B58AA" w:rsidRDefault="00F57638" w:rsidP="00F57638">
            <w:pPr>
              <w:rPr>
                <w:i/>
              </w:rPr>
            </w:pPr>
            <w:r w:rsidRPr="002B58AA">
              <w:rPr>
                <w:i/>
              </w:rPr>
              <w:t>No</w:t>
            </w:r>
          </w:p>
        </w:tc>
        <w:tc>
          <w:tcPr>
            <w:tcW w:w="2180" w:type="dxa"/>
          </w:tcPr>
          <w:p w:rsidR="00F57638" w:rsidRDefault="00F57638" w:rsidP="00F57638">
            <w:r>
              <w:t>Irritant:</w:t>
            </w:r>
          </w:p>
        </w:tc>
        <w:tc>
          <w:tcPr>
            <w:tcW w:w="2180" w:type="dxa"/>
          </w:tcPr>
          <w:p w:rsidR="00F57638" w:rsidRPr="002B58AA" w:rsidRDefault="00F57638" w:rsidP="00F57638">
            <w:pPr>
              <w:rPr>
                <w:i/>
              </w:rPr>
            </w:pPr>
            <w:r w:rsidRPr="002B58AA">
              <w:rPr>
                <w:i/>
              </w:rPr>
              <w:t>No</w:t>
            </w:r>
          </w:p>
        </w:tc>
      </w:tr>
      <w:tr w:rsidR="00F57638" w:rsidTr="0067576F">
        <w:tc>
          <w:tcPr>
            <w:tcW w:w="2660" w:type="dxa"/>
          </w:tcPr>
          <w:p w:rsidR="00F57638" w:rsidRDefault="00F57638" w:rsidP="00F57638">
            <w:r>
              <w:t>Other (specify):</w:t>
            </w:r>
          </w:p>
        </w:tc>
        <w:tc>
          <w:tcPr>
            <w:tcW w:w="6060" w:type="dxa"/>
            <w:gridSpan w:val="3"/>
          </w:tcPr>
          <w:p w:rsidR="00F57638" w:rsidRPr="002B58AA" w:rsidRDefault="00F57638" w:rsidP="00F57638">
            <w:pPr>
              <w:rPr>
                <w:i/>
              </w:rPr>
            </w:pPr>
            <w:r w:rsidRPr="002B58AA">
              <w:rPr>
                <w:i/>
              </w:rPr>
              <w:t>Contains inactivated human influenza virus</w:t>
            </w:r>
          </w:p>
        </w:tc>
      </w:tr>
      <w:tr w:rsidR="00F57638" w:rsidTr="0067576F">
        <w:tc>
          <w:tcPr>
            <w:tcW w:w="2660" w:type="dxa"/>
          </w:tcPr>
          <w:p w:rsidR="00F57638" w:rsidRDefault="00F57638" w:rsidP="00F57638">
            <w:r>
              <w:t>Handling:</w:t>
            </w:r>
          </w:p>
        </w:tc>
        <w:tc>
          <w:tcPr>
            <w:tcW w:w="6060" w:type="dxa"/>
            <w:gridSpan w:val="3"/>
          </w:tcPr>
          <w:p w:rsidR="00F57638" w:rsidRPr="002B58AA" w:rsidRDefault="00F57638" w:rsidP="00F57638">
            <w:pPr>
              <w:rPr>
                <w:i/>
              </w:rPr>
            </w:pPr>
            <w:r w:rsidRPr="002B58AA">
              <w:rPr>
                <w:i/>
              </w:rPr>
              <w:t>See caution, section 4</w:t>
            </w:r>
          </w:p>
        </w:tc>
      </w:tr>
      <w:tr w:rsidR="00F57638" w:rsidTr="0067576F">
        <w:tc>
          <w:tcPr>
            <w:tcW w:w="8720" w:type="dxa"/>
            <w:gridSpan w:val="4"/>
          </w:tcPr>
          <w:p w:rsidR="00F57638" w:rsidRPr="006E4791" w:rsidRDefault="00F57638" w:rsidP="00F57638">
            <w:pPr>
              <w:rPr>
                <w:b/>
              </w:rPr>
            </w:pPr>
            <w:r w:rsidRPr="006E4791">
              <w:rPr>
                <w:b/>
              </w:rPr>
              <w:t>Toxicological properties</w:t>
            </w:r>
          </w:p>
        </w:tc>
      </w:tr>
      <w:tr w:rsidR="00F57638" w:rsidTr="0067576F">
        <w:tc>
          <w:tcPr>
            <w:tcW w:w="2660" w:type="dxa"/>
          </w:tcPr>
          <w:p w:rsidR="00F57638" w:rsidRDefault="00F57638" w:rsidP="00F57638">
            <w:r>
              <w:t>Effects of inhalation:</w:t>
            </w:r>
          </w:p>
        </w:tc>
        <w:tc>
          <w:tcPr>
            <w:tcW w:w="6060" w:type="dxa"/>
            <w:gridSpan w:val="3"/>
          </w:tcPr>
          <w:p w:rsidR="00F57638" w:rsidRPr="002B58AA" w:rsidRDefault="00F57638" w:rsidP="00F57638">
            <w:pPr>
              <w:rPr>
                <w:i/>
              </w:rPr>
            </w:pPr>
            <w:r w:rsidRPr="002B58AA">
              <w:rPr>
                <w:i/>
              </w:rPr>
              <w:t>No adverse effects have been reported</w:t>
            </w:r>
          </w:p>
        </w:tc>
      </w:tr>
      <w:tr w:rsidR="00F57638" w:rsidTr="0067576F">
        <w:tc>
          <w:tcPr>
            <w:tcW w:w="2660" w:type="dxa"/>
          </w:tcPr>
          <w:p w:rsidR="00F57638" w:rsidRDefault="00F57638" w:rsidP="00F57638">
            <w:r>
              <w:t>Effects of ingestion:</w:t>
            </w:r>
          </w:p>
        </w:tc>
        <w:tc>
          <w:tcPr>
            <w:tcW w:w="6060" w:type="dxa"/>
            <w:gridSpan w:val="3"/>
          </w:tcPr>
          <w:p w:rsidR="00F57638" w:rsidRPr="002B58AA" w:rsidRDefault="00F57638" w:rsidP="00F57638">
            <w:pPr>
              <w:rPr>
                <w:i/>
              </w:rPr>
            </w:pPr>
            <w:r w:rsidRPr="002B58AA">
              <w:rPr>
                <w:i/>
              </w:rPr>
              <w:t>No adverse effects have been reported</w:t>
            </w:r>
          </w:p>
        </w:tc>
      </w:tr>
      <w:tr w:rsidR="00F57638" w:rsidTr="0067576F">
        <w:tc>
          <w:tcPr>
            <w:tcW w:w="2660" w:type="dxa"/>
          </w:tcPr>
          <w:p w:rsidR="00F57638" w:rsidRDefault="00F57638" w:rsidP="00F57638">
            <w:r>
              <w:t>Effects of skin absorption:</w:t>
            </w:r>
          </w:p>
        </w:tc>
        <w:tc>
          <w:tcPr>
            <w:tcW w:w="6060" w:type="dxa"/>
            <w:gridSpan w:val="3"/>
          </w:tcPr>
          <w:p w:rsidR="00F57638" w:rsidRPr="002B58AA" w:rsidRDefault="00F57638" w:rsidP="00F57638">
            <w:pPr>
              <w:rPr>
                <w:i/>
              </w:rPr>
            </w:pPr>
            <w:r w:rsidRPr="002B58AA">
              <w:rPr>
                <w:i/>
              </w:rPr>
              <w:t>No adverse effects have been reported</w:t>
            </w:r>
          </w:p>
        </w:tc>
      </w:tr>
      <w:tr w:rsidR="00F57638" w:rsidTr="0067576F">
        <w:tc>
          <w:tcPr>
            <w:tcW w:w="8720" w:type="dxa"/>
            <w:gridSpan w:val="4"/>
          </w:tcPr>
          <w:p w:rsidR="00F57638" w:rsidRPr="006E4791" w:rsidRDefault="00F57638" w:rsidP="00F57638">
            <w:pPr>
              <w:rPr>
                <w:b/>
              </w:rPr>
            </w:pPr>
            <w:r w:rsidRPr="006E4791">
              <w:rPr>
                <w:b/>
              </w:rPr>
              <w:t>Suggested First Aid</w:t>
            </w:r>
          </w:p>
        </w:tc>
      </w:tr>
      <w:tr w:rsidR="00F57638" w:rsidTr="0067576F">
        <w:tc>
          <w:tcPr>
            <w:tcW w:w="2660" w:type="dxa"/>
          </w:tcPr>
          <w:p w:rsidR="00F57638" w:rsidRDefault="00F57638" w:rsidP="00F57638">
            <w:r>
              <w:t>Inhalation:</w:t>
            </w:r>
          </w:p>
        </w:tc>
        <w:tc>
          <w:tcPr>
            <w:tcW w:w="6060" w:type="dxa"/>
            <w:gridSpan w:val="3"/>
          </w:tcPr>
          <w:p w:rsidR="00F57638" w:rsidRPr="002B58AA" w:rsidRDefault="00F57638" w:rsidP="00F57638">
            <w:pPr>
              <w:rPr>
                <w:i/>
              </w:rPr>
            </w:pPr>
            <w:r w:rsidRPr="002B58AA">
              <w:rPr>
                <w:i/>
              </w:rPr>
              <w:t>Seek medical advice</w:t>
            </w:r>
          </w:p>
        </w:tc>
      </w:tr>
      <w:tr w:rsidR="00F57638" w:rsidTr="0067576F">
        <w:tc>
          <w:tcPr>
            <w:tcW w:w="2660" w:type="dxa"/>
          </w:tcPr>
          <w:p w:rsidR="00F57638" w:rsidRDefault="00F57638" w:rsidP="00F57638">
            <w:r>
              <w:t>Ingestion:</w:t>
            </w:r>
          </w:p>
        </w:tc>
        <w:tc>
          <w:tcPr>
            <w:tcW w:w="6060" w:type="dxa"/>
            <w:gridSpan w:val="3"/>
          </w:tcPr>
          <w:p w:rsidR="00F57638" w:rsidRPr="002B58AA" w:rsidRDefault="00F57638" w:rsidP="00F57638">
            <w:pPr>
              <w:rPr>
                <w:i/>
              </w:rPr>
            </w:pPr>
            <w:r w:rsidRPr="002B58AA">
              <w:rPr>
                <w:i/>
              </w:rPr>
              <w:t>Seek medical advice</w:t>
            </w:r>
          </w:p>
        </w:tc>
      </w:tr>
      <w:tr w:rsidR="00F57638" w:rsidTr="0067576F">
        <w:tc>
          <w:tcPr>
            <w:tcW w:w="2660" w:type="dxa"/>
          </w:tcPr>
          <w:p w:rsidR="00F57638" w:rsidRDefault="00F57638" w:rsidP="00F57638">
            <w:r>
              <w:t>Contact with eyes:</w:t>
            </w:r>
          </w:p>
        </w:tc>
        <w:tc>
          <w:tcPr>
            <w:tcW w:w="6060" w:type="dxa"/>
            <w:gridSpan w:val="3"/>
          </w:tcPr>
          <w:p w:rsidR="00F57638" w:rsidRPr="002B58AA" w:rsidRDefault="00F57638" w:rsidP="00F57638">
            <w:pPr>
              <w:rPr>
                <w:i/>
              </w:rPr>
            </w:pPr>
            <w:r w:rsidRPr="002B58AA">
              <w:rPr>
                <w:i/>
              </w:rPr>
              <w:t>Wash with copious amounts of water. Seek medical advice</w:t>
            </w:r>
          </w:p>
        </w:tc>
      </w:tr>
      <w:tr w:rsidR="00F57638" w:rsidTr="0067576F">
        <w:tc>
          <w:tcPr>
            <w:tcW w:w="2660" w:type="dxa"/>
          </w:tcPr>
          <w:p w:rsidR="00F57638" w:rsidRDefault="00F57638" w:rsidP="00F57638">
            <w:r>
              <w:t>Contact with skin:</w:t>
            </w:r>
          </w:p>
        </w:tc>
        <w:tc>
          <w:tcPr>
            <w:tcW w:w="6060" w:type="dxa"/>
            <w:gridSpan w:val="3"/>
          </w:tcPr>
          <w:p w:rsidR="00F57638" w:rsidRPr="002B58AA" w:rsidRDefault="00F57638" w:rsidP="00F57638">
            <w:pPr>
              <w:rPr>
                <w:i/>
              </w:rPr>
            </w:pPr>
            <w:r w:rsidRPr="002B58AA">
              <w:rPr>
                <w:i/>
              </w:rPr>
              <w:t>Wash thoroughly with water.</w:t>
            </w:r>
          </w:p>
        </w:tc>
      </w:tr>
      <w:tr w:rsidR="00F57638" w:rsidTr="0067576F">
        <w:tc>
          <w:tcPr>
            <w:tcW w:w="8720" w:type="dxa"/>
            <w:gridSpan w:val="4"/>
          </w:tcPr>
          <w:p w:rsidR="00F57638" w:rsidRPr="006E4791" w:rsidRDefault="00F57638" w:rsidP="00F57638">
            <w:pPr>
              <w:jc w:val="center"/>
              <w:rPr>
                <w:b/>
              </w:rPr>
            </w:pPr>
            <w:r w:rsidRPr="006E4791">
              <w:rPr>
                <w:b/>
              </w:rPr>
              <w:t>Action on Spillage and Method of Disposal</w:t>
            </w:r>
          </w:p>
        </w:tc>
      </w:tr>
      <w:tr w:rsidR="00F57638" w:rsidTr="0067576F">
        <w:tc>
          <w:tcPr>
            <w:tcW w:w="8720" w:type="dxa"/>
            <w:gridSpan w:val="4"/>
          </w:tcPr>
          <w:p w:rsidR="00F57638" w:rsidRPr="002B58AA" w:rsidRDefault="00F57638" w:rsidP="00F57638">
            <w:pPr>
              <w:rPr>
                <w:i/>
              </w:rPr>
            </w:pPr>
            <w:r w:rsidRPr="002B58AA">
              <w:rPr>
                <w:i/>
              </w:rPr>
              <w:t xml:space="preserve">Spillage of vial contents should be taken up with absorbent material wetted with a </w:t>
            </w:r>
            <w:proofErr w:type="spellStart"/>
            <w:r w:rsidRPr="002B58AA">
              <w:rPr>
                <w:i/>
              </w:rPr>
              <w:t>virucidal</w:t>
            </w:r>
            <w:proofErr w:type="spellEnd"/>
            <w:r w:rsidRPr="002B58AA">
              <w:rPr>
                <w:i/>
              </w:rPr>
              <w:t xml:space="preserve"> agent. Rinse area with a </w:t>
            </w:r>
            <w:proofErr w:type="spellStart"/>
            <w:r w:rsidRPr="002B58AA">
              <w:rPr>
                <w:i/>
              </w:rPr>
              <w:t>virucidal</w:t>
            </w:r>
            <w:proofErr w:type="spellEnd"/>
            <w:r w:rsidRPr="002B58AA">
              <w:rPr>
                <w:i/>
              </w:rPr>
              <w:t xml:space="preserve"> agent followed by water.</w:t>
            </w:r>
          </w:p>
          <w:p w:rsidR="00F57638" w:rsidRDefault="00F57638" w:rsidP="00F57638">
            <w:r w:rsidRPr="002B58AA">
              <w:rPr>
                <w:i/>
              </w:rPr>
              <w:t>Absorbent materials used to treat spillage should be treated as biologically hazardous waste.</w:t>
            </w:r>
          </w:p>
        </w:tc>
      </w:tr>
    </w:tbl>
    <w:p w:rsidR="00261117" w:rsidRPr="004B68E7" w:rsidRDefault="00261117" w:rsidP="004B68E7">
      <w:pPr>
        <w:spacing w:before="840"/>
        <w:rPr>
          <w:i/>
        </w:rPr>
      </w:pPr>
      <w:r w:rsidRPr="004B68E7">
        <w:rPr>
          <w:i/>
        </w:rPr>
        <w:t xml:space="preserve">Issue Date: </w:t>
      </w:r>
      <w:r w:rsidR="0022350C" w:rsidRPr="0022350C">
        <w:rPr>
          <w:i/>
        </w:rPr>
        <w:t>March 2017</w:t>
      </w:r>
    </w:p>
    <w:sectPr w:rsidR="00261117" w:rsidRPr="004B68E7" w:rsidSect="00CB463B">
      <w:headerReference w:type="default" r:id="rId10"/>
      <w:footerReference w:type="default" r:id="rId11"/>
      <w:headerReference w:type="first" r:id="rId12"/>
      <w:footerReference w:type="first" r:id="rId13"/>
      <w:pgSz w:w="11906" w:h="16838" w:code="9"/>
      <w:pgMar w:top="1247" w:right="1701" w:bottom="1361" w:left="1701" w:header="425" w:footer="5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9AD" w:rsidRDefault="005D79AD" w:rsidP="00C40A36">
      <w:r>
        <w:separator/>
      </w:r>
    </w:p>
  </w:endnote>
  <w:endnote w:type="continuationSeparator" w:id="0">
    <w:p w:rsidR="005D79AD" w:rsidRDefault="005D79AD"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96" w:type="dxa"/>
      <w:tblBorders>
        <w:top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7570"/>
      <w:gridCol w:w="1426"/>
    </w:tblGrid>
    <w:sdt>
      <w:sdtPr>
        <w:id w:val="1335729165"/>
        <w:docPartObj>
          <w:docPartGallery w:val="Page Numbers (Bottom of Page)"/>
          <w:docPartUnique/>
        </w:docPartObj>
      </w:sdtPr>
      <w:sdtEndPr/>
      <w:sdtContent>
        <w:tr w:rsidR="00271BB2" w:rsidRPr="009A6687" w:rsidTr="00461FEC">
          <w:tc>
            <w:tcPr>
              <w:tcW w:w="7570" w:type="dxa"/>
              <w:shd w:val="clear" w:color="auto" w:fill="auto"/>
              <w:vAlign w:val="center"/>
            </w:tcPr>
            <w:p w:rsidR="00271BB2" w:rsidRPr="009A6687" w:rsidRDefault="00461FEC" w:rsidP="00596D79">
              <w:pPr>
                <w:pStyle w:val="Footer"/>
                <w:spacing w:before="0" w:after="0"/>
                <w:rPr>
                  <w:lang w:val="fr-FR"/>
                </w:rPr>
              </w:pPr>
              <w:r w:rsidRPr="00461FEC">
                <w:t>B/Yamagata lineage virus B/Phuket/3073/2013 - TGA Lot: 2017/115B (DOM: January 2017)</w:t>
              </w:r>
            </w:p>
          </w:tc>
          <w:tc>
            <w:tcPr>
              <w:tcW w:w="1426" w:type="dxa"/>
              <w:shd w:val="clear" w:color="auto" w:fill="auto"/>
              <w:vAlign w:val="center"/>
            </w:tcPr>
            <w:p w:rsidR="00271BB2" w:rsidRPr="009A6687" w:rsidRDefault="00271BB2" w:rsidP="00B163A0">
              <w:pPr>
                <w:pStyle w:val="Footer"/>
                <w:spacing w:before="0" w:after="0"/>
                <w:jc w:val="right"/>
              </w:pPr>
              <w:r w:rsidRPr="0068201D">
                <w:t xml:space="preserve">Page </w:t>
              </w:r>
              <w:r w:rsidR="004F4C94">
                <w:fldChar w:fldCharType="begin"/>
              </w:r>
              <w:r w:rsidR="004F4C94">
                <w:instrText xml:space="preserve"> PAGE </w:instrText>
              </w:r>
              <w:r w:rsidR="004F4C94">
                <w:fldChar w:fldCharType="separate"/>
              </w:r>
              <w:r w:rsidR="00AE1D4D">
                <w:rPr>
                  <w:noProof/>
                </w:rPr>
                <w:t>2</w:t>
              </w:r>
              <w:r w:rsidR="004F4C94">
                <w:rPr>
                  <w:noProof/>
                </w:rPr>
                <w:fldChar w:fldCharType="end"/>
              </w:r>
              <w:r w:rsidRPr="0068201D">
                <w:t xml:space="preserve"> of </w:t>
              </w:r>
              <w:fldSimple w:instr=" NUMPAGES  ">
                <w:r w:rsidR="00AE1D4D">
                  <w:rPr>
                    <w:noProof/>
                  </w:rPr>
                  <w:t>4</w:t>
                </w:r>
              </w:fldSimple>
            </w:p>
          </w:tc>
        </w:tr>
      </w:sdtContent>
    </w:sdt>
  </w:tbl>
  <w:p w:rsidR="00271BB2" w:rsidRPr="00343D79" w:rsidRDefault="00271BB2" w:rsidP="00343D79">
    <w:pPr>
      <w:spacing w:before="0" w:after="0" w:line="240" w:lineRule="auto"/>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F1A" w:rsidRDefault="00375F1A" w:rsidP="00261117">
    <w:pPr>
      <w:spacing w:before="0" w:after="0"/>
    </w:pPr>
  </w:p>
  <w:tbl>
    <w:tblPr>
      <w:tblW w:w="8996" w:type="dxa"/>
      <w:tblBorders>
        <w:top w:val="single" w:sz="4" w:space="0" w:color="auto"/>
      </w:tblBorders>
      <w:tblLayout w:type="fixed"/>
      <w:tblCellMar>
        <w:left w:w="0" w:type="dxa"/>
        <w:right w:w="0" w:type="dxa"/>
      </w:tblCellMar>
      <w:tblLook w:val="01E0" w:firstRow="1" w:lastRow="1" w:firstColumn="1" w:lastColumn="1" w:noHBand="0" w:noVBand="0"/>
    </w:tblPr>
    <w:tblGrid>
      <w:gridCol w:w="6636"/>
      <w:gridCol w:w="2360"/>
    </w:tblGrid>
    <w:tr w:rsidR="00271BB2" w:rsidRPr="009A6687" w:rsidTr="00715A03">
      <w:trPr>
        <w:trHeight w:hRule="exact" w:val="1006"/>
      </w:trPr>
      <w:tc>
        <w:tcPr>
          <w:tcW w:w="6636" w:type="dxa"/>
          <w:shd w:val="clear" w:color="auto" w:fill="auto"/>
          <w:vAlign w:val="bottom"/>
        </w:tcPr>
        <w:p w:rsidR="00271BB2" w:rsidRPr="007B0408" w:rsidRDefault="00271BB2" w:rsidP="00261117">
          <w:pPr>
            <w:spacing w:before="0" w:after="0"/>
            <w:rPr>
              <w:rFonts w:ascii="Arial" w:hAnsi="Arial" w:cs="Arial"/>
              <w:lang w:val="fr-FR"/>
            </w:rPr>
          </w:pPr>
          <w:r w:rsidRPr="007B0408">
            <w:rPr>
              <w:rStyle w:val="FooterChar"/>
              <w:rFonts w:cs="Arial"/>
              <w:noProof/>
              <w:lang w:eastAsia="en-AU"/>
            </w:rPr>
            <w:drawing>
              <wp:anchor distT="0" distB="0" distL="114300" distR="114300" simplePos="0" relativeHeight="251667456" behindDoc="1" locked="1" layoutInCell="1" allowOverlap="1" wp14:anchorId="61BB6BC9" wp14:editId="6E22F1A2">
                <wp:simplePos x="0" y="0"/>
                <wp:positionH relativeFrom="column">
                  <wp:posOffset>-1089660</wp:posOffset>
                </wp:positionH>
                <wp:positionV relativeFrom="paragraph">
                  <wp:posOffset>626745</wp:posOffset>
                </wp:positionV>
                <wp:extent cx="7563485" cy="568960"/>
                <wp:effectExtent l="0" t="0" r="0" b="0"/>
                <wp:wrapNone/>
                <wp:docPr id="29"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1"/>
                        <a:stretch>
                          <a:fillRect/>
                        </a:stretch>
                      </pic:blipFill>
                      <pic:spPr>
                        <a:xfrm>
                          <a:off x="0" y="0"/>
                          <a:ext cx="7563485" cy="568960"/>
                        </a:xfrm>
                        <a:prstGeom prst="rect">
                          <a:avLst/>
                        </a:prstGeom>
                      </pic:spPr>
                    </pic:pic>
                  </a:graphicData>
                </a:graphic>
              </wp:anchor>
            </w:drawing>
          </w:r>
          <w:r w:rsidRPr="007B0408">
            <w:rPr>
              <w:rStyle w:val="FooterChar"/>
              <w:rFonts w:cs="Arial"/>
            </w:rPr>
            <w:t>PO Box 100</w:t>
          </w:r>
          <w:r w:rsidR="002415AD">
            <w:rPr>
              <w:rStyle w:val="FooterChar"/>
              <w:rFonts w:cs="Arial"/>
            </w:rPr>
            <w:t xml:space="preserve"> </w:t>
          </w:r>
          <w:r w:rsidRPr="007B0408">
            <w:rPr>
              <w:rStyle w:val="FooterChar"/>
              <w:rFonts w:cs="Arial"/>
            </w:rPr>
            <w:t>Woden ACT 2606</w:t>
          </w:r>
          <w:r w:rsidR="002415AD">
            <w:rPr>
              <w:rFonts w:ascii="Arial" w:hAnsi="Arial" w:cs="Arial"/>
            </w:rPr>
            <w:t xml:space="preserve"> </w:t>
          </w:r>
          <w:r w:rsidRPr="007B0408">
            <w:rPr>
              <w:rStyle w:val="ABN"/>
              <w:rFonts w:cs="Arial"/>
            </w:rPr>
            <w:t>ABN 40 939 406 804</w:t>
          </w:r>
          <w:r w:rsidRPr="007B0408">
            <w:rPr>
              <w:rStyle w:val="ABN"/>
              <w:rFonts w:cs="Arial"/>
            </w:rPr>
            <w:br/>
          </w:r>
          <w:r w:rsidRPr="007B0408">
            <w:rPr>
              <w:rStyle w:val="FooterChar"/>
              <w:rFonts w:cs="Arial"/>
              <w:color w:val="006DA7"/>
            </w:rPr>
            <w:t>Phone:</w:t>
          </w:r>
          <w:r w:rsidRPr="007B0408">
            <w:rPr>
              <w:rStyle w:val="FooterChar"/>
              <w:rFonts w:cs="Arial"/>
            </w:rPr>
            <w:t xml:space="preserve"> 02 6232 8444</w:t>
          </w:r>
          <w:r w:rsidR="002415AD">
            <w:rPr>
              <w:rStyle w:val="FooterChar"/>
              <w:rFonts w:cs="Arial"/>
            </w:rPr>
            <w:t xml:space="preserve"> </w:t>
          </w:r>
          <w:r w:rsidRPr="007B0408">
            <w:rPr>
              <w:rStyle w:val="FooterChar"/>
              <w:rFonts w:cs="Arial"/>
              <w:color w:val="006DA7"/>
            </w:rPr>
            <w:t>Fax:</w:t>
          </w:r>
          <w:r w:rsidRPr="007B0408">
            <w:rPr>
              <w:rStyle w:val="FooterChar"/>
              <w:rFonts w:cs="Arial"/>
            </w:rPr>
            <w:t xml:space="preserve"> 02 6203 1605</w:t>
          </w:r>
          <w:r w:rsidR="002415AD">
            <w:rPr>
              <w:rStyle w:val="FooterChar"/>
              <w:rFonts w:cs="Arial"/>
            </w:rPr>
            <w:t xml:space="preserve"> </w:t>
          </w:r>
          <w:r w:rsidRPr="007B0408">
            <w:rPr>
              <w:rStyle w:val="FooterChar"/>
              <w:rFonts w:cs="Arial"/>
              <w:color w:val="006DA7"/>
            </w:rPr>
            <w:t xml:space="preserve">Email: </w:t>
          </w:r>
          <w:hyperlink r:id="rId2" w:history="1">
            <w:r w:rsidRPr="007B0408">
              <w:rPr>
                <w:rStyle w:val="FooterChar"/>
                <w:rFonts w:cs="Arial"/>
                <w:color w:val="006DA7"/>
                <w:u w:val="single"/>
              </w:rPr>
              <w:t>info@tga.gov.au</w:t>
            </w:r>
          </w:hyperlink>
          <w:r w:rsidRPr="007B0408">
            <w:rPr>
              <w:rStyle w:val="FooterChar"/>
              <w:rFonts w:cs="Arial"/>
            </w:rPr>
            <w:br/>
          </w:r>
          <w:hyperlink r:id="rId3" w:history="1">
            <w:r w:rsidR="00466C1D" w:rsidRPr="00836862">
              <w:rPr>
                <w:rStyle w:val="Hyperlink"/>
                <w:rFonts w:ascii="Arial" w:hAnsi="Arial" w:cs="Arial"/>
                <w:sz w:val="18"/>
              </w:rPr>
              <w:t>https://www.tga.gov.au</w:t>
            </w:r>
          </w:hyperlink>
        </w:p>
      </w:tc>
      <w:tc>
        <w:tcPr>
          <w:tcW w:w="2360" w:type="dxa"/>
          <w:shd w:val="clear" w:color="auto" w:fill="auto"/>
          <w:vAlign w:val="center"/>
        </w:tcPr>
        <w:p w:rsidR="00271BB2" w:rsidRPr="009A6687" w:rsidRDefault="00271BB2" w:rsidP="00261117">
          <w:pPr>
            <w:pStyle w:val="Footer"/>
            <w:spacing w:before="0" w:after="0"/>
          </w:pPr>
          <w:r w:rsidRPr="009D6273">
            <w:rPr>
              <w:noProof/>
              <w:lang w:eastAsia="en-AU"/>
            </w:rPr>
            <w:drawing>
              <wp:anchor distT="360045" distB="0" distL="114300" distR="114300" simplePos="0" relativeHeight="251674624" behindDoc="0" locked="0" layoutInCell="1" allowOverlap="1" wp14:anchorId="4D9CB81B" wp14:editId="104FBF00">
                <wp:simplePos x="0" y="0"/>
                <wp:positionH relativeFrom="column">
                  <wp:posOffset>1174</wp:posOffset>
                </wp:positionH>
                <wp:positionV relativeFrom="paragraph">
                  <wp:posOffset>118661</wp:posOffset>
                </wp:positionV>
                <wp:extent cx="1335297" cy="276045"/>
                <wp:effectExtent l="19050" t="0" r="0" b="0"/>
                <wp:wrapTight wrapText="bothSides">
                  <wp:wrapPolygon edited="0">
                    <wp:start x="-308" y="0"/>
                    <wp:lineTo x="-308" y="19378"/>
                    <wp:lineTo x="21571" y="19378"/>
                    <wp:lineTo x="21571" y="0"/>
                    <wp:lineTo x="-308" y="0"/>
                  </wp:wrapPolygon>
                </wp:wrapTight>
                <wp:docPr id="30"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4"/>
                        <a:stretch>
                          <a:fillRect/>
                        </a:stretch>
                      </pic:blipFill>
                      <pic:spPr bwMode="auto">
                        <a:xfrm>
                          <a:off x="0" y="0"/>
                          <a:ext cx="1334770" cy="275590"/>
                        </a:xfrm>
                        <a:prstGeom prst="rect">
                          <a:avLst/>
                        </a:prstGeom>
                        <a:noFill/>
                        <a:ln w="9525">
                          <a:noFill/>
                          <a:miter lim="800000"/>
                          <a:headEnd/>
                          <a:tailEnd/>
                        </a:ln>
                      </pic:spPr>
                    </pic:pic>
                  </a:graphicData>
                </a:graphic>
              </wp:anchor>
            </w:drawing>
          </w:r>
        </w:p>
      </w:tc>
    </w:tr>
  </w:tbl>
  <w:p w:rsidR="00271BB2" w:rsidRPr="0068201D" w:rsidRDefault="00271BB2" w:rsidP="00261117">
    <w:pPr>
      <w:pStyle w:val="Foote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9AD" w:rsidRDefault="005D79AD" w:rsidP="00C40A36">
      <w:r>
        <w:separator/>
      </w:r>
    </w:p>
  </w:footnote>
  <w:footnote w:type="continuationSeparator" w:id="0">
    <w:p w:rsidR="005D79AD" w:rsidRDefault="005D79AD" w:rsidP="00C40A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D4D" w:rsidRDefault="00AE1D4D">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BB2" w:rsidRDefault="00A427AD" w:rsidP="00EA6DF2">
    <w:r w:rsidRPr="00A427AD">
      <w:rPr>
        <w:noProof/>
        <w:lang w:eastAsia="en-AU"/>
      </w:rPr>
      <w:drawing>
        <wp:anchor distT="0" distB="0" distL="114300" distR="114300" simplePos="0" relativeHeight="251676672" behindDoc="0" locked="0" layoutInCell="1" allowOverlap="1" wp14:anchorId="1D33DE8D" wp14:editId="69ED9811">
          <wp:simplePos x="0" y="0"/>
          <wp:positionH relativeFrom="column">
            <wp:posOffset>1699895</wp:posOffset>
          </wp:positionH>
          <wp:positionV relativeFrom="paragraph">
            <wp:posOffset>53975</wp:posOffset>
          </wp:positionV>
          <wp:extent cx="2343150" cy="1543050"/>
          <wp:effectExtent l="0" t="0" r="0" b="0"/>
          <wp:wrapTopAndBottom/>
          <wp:docPr id="28" name="Picture 28"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stacked_black-RGB-1000.gif"/>
                  <pic:cNvPicPr>
                    <a:picLocks noChangeAspect="1" noChangeArrowheads="1"/>
                  </pic:cNvPicPr>
                </pic:nvPicPr>
                <pic:blipFill>
                  <a:blip r:embed="rId1"/>
                  <a:srcRect/>
                  <a:stretch>
                    <a:fillRect/>
                  </a:stretch>
                </pic:blipFill>
                <pic:spPr bwMode="auto">
                  <a:xfrm>
                    <a:off x="0" y="0"/>
                    <a:ext cx="2343150" cy="1543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3"/>
  </w:num>
  <w:num w:numId="16">
    <w:abstractNumId w:val="3"/>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85F"/>
    <w:rsid w:val="00002031"/>
    <w:rsid w:val="00004734"/>
    <w:rsid w:val="00006B22"/>
    <w:rsid w:val="0001276A"/>
    <w:rsid w:val="00022A2D"/>
    <w:rsid w:val="00024299"/>
    <w:rsid w:val="000246AE"/>
    <w:rsid w:val="00025C67"/>
    <w:rsid w:val="00030DA1"/>
    <w:rsid w:val="000521FD"/>
    <w:rsid w:val="0005559E"/>
    <w:rsid w:val="00077775"/>
    <w:rsid w:val="00090471"/>
    <w:rsid w:val="00090B54"/>
    <w:rsid w:val="000A4024"/>
    <w:rsid w:val="000B2651"/>
    <w:rsid w:val="000B3532"/>
    <w:rsid w:val="000B3A75"/>
    <w:rsid w:val="000B7084"/>
    <w:rsid w:val="000C1BBB"/>
    <w:rsid w:val="000C295E"/>
    <w:rsid w:val="000C3C09"/>
    <w:rsid w:val="000D391B"/>
    <w:rsid w:val="000D3D6D"/>
    <w:rsid w:val="000D4FC7"/>
    <w:rsid w:val="000F4869"/>
    <w:rsid w:val="000F5B42"/>
    <w:rsid w:val="000F6E6F"/>
    <w:rsid w:val="001003F2"/>
    <w:rsid w:val="0010601F"/>
    <w:rsid w:val="00110EA5"/>
    <w:rsid w:val="00111E0E"/>
    <w:rsid w:val="00115240"/>
    <w:rsid w:val="00125318"/>
    <w:rsid w:val="001305A2"/>
    <w:rsid w:val="00133238"/>
    <w:rsid w:val="0014197B"/>
    <w:rsid w:val="001447CD"/>
    <w:rsid w:val="001516B1"/>
    <w:rsid w:val="001516F9"/>
    <w:rsid w:val="00156316"/>
    <w:rsid w:val="00161908"/>
    <w:rsid w:val="00165389"/>
    <w:rsid w:val="0017526B"/>
    <w:rsid w:val="0017693F"/>
    <w:rsid w:val="0018110E"/>
    <w:rsid w:val="00181627"/>
    <w:rsid w:val="00181684"/>
    <w:rsid w:val="001843C6"/>
    <w:rsid w:val="001850E0"/>
    <w:rsid w:val="001A525F"/>
    <w:rsid w:val="001B09F9"/>
    <w:rsid w:val="001B6448"/>
    <w:rsid w:val="001E07CF"/>
    <w:rsid w:val="001E5810"/>
    <w:rsid w:val="001E59F1"/>
    <w:rsid w:val="001F49EB"/>
    <w:rsid w:val="001F6CBA"/>
    <w:rsid w:val="001F7BF8"/>
    <w:rsid w:val="00201D4E"/>
    <w:rsid w:val="00220B8A"/>
    <w:rsid w:val="0022194D"/>
    <w:rsid w:val="0022350C"/>
    <w:rsid w:val="002257F3"/>
    <w:rsid w:val="002263B0"/>
    <w:rsid w:val="002316FE"/>
    <w:rsid w:val="00232019"/>
    <w:rsid w:val="00233456"/>
    <w:rsid w:val="002339A5"/>
    <w:rsid w:val="002415AD"/>
    <w:rsid w:val="00257848"/>
    <w:rsid w:val="00261117"/>
    <w:rsid w:val="0026430C"/>
    <w:rsid w:val="0027084A"/>
    <w:rsid w:val="00271BB2"/>
    <w:rsid w:val="00286434"/>
    <w:rsid w:val="00286C59"/>
    <w:rsid w:val="002942D1"/>
    <w:rsid w:val="002A0556"/>
    <w:rsid w:val="002B1638"/>
    <w:rsid w:val="002C4547"/>
    <w:rsid w:val="002E4C9A"/>
    <w:rsid w:val="002E4E7C"/>
    <w:rsid w:val="002E550D"/>
    <w:rsid w:val="002F11F8"/>
    <w:rsid w:val="002F3F56"/>
    <w:rsid w:val="002F44B5"/>
    <w:rsid w:val="00311AC0"/>
    <w:rsid w:val="00343D79"/>
    <w:rsid w:val="003521E8"/>
    <w:rsid w:val="003664BF"/>
    <w:rsid w:val="003728F3"/>
    <w:rsid w:val="00375F1A"/>
    <w:rsid w:val="003778AD"/>
    <w:rsid w:val="00387DD0"/>
    <w:rsid w:val="00390900"/>
    <w:rsid w:val="003B7E39"/>
    <w:rsid w:val="003C0A18"/>
    <w:rsid w:val="003C58DC"/>
    <w:rsid w:val="003D4A72"/>
    <w:rsid w:val="003E3208"/>
    <w:rsid w:val="003E37DF"/>
    <w:rsid w:val="003F0B04"/>
    <w:rsid w:val="0040134E"/>
    <w:rsid w:val="00403BC9"/>
    <w:rsid w:val="00432436"/>
    <w:rsid w:val="00440A2D"/>
    <w:rsid w:val="0044337B"/>
    <w:rsid w:val="00443C32"/>
    <w:rsid w:val="004564A7"/>
    <w:rsid w:val="004617BF"/>
    <w:rsid w:val="00461FEC"/>
    <w:rsid w:val="00466C1D"/>
    <w:rsid w:val="00475208"/>
    <w:rsid w:val="00494E60"/>
    <w:rsid w:val="004A4827"/>
    <w:rsid w:val="004B68E7"/>
    <w:rsid w:val="004B7B76"/>
    <w:rsid w:val="004C5ABB"/>
    <w:rsid w:val="004D4103"/>
    <w:rsid w:val="004F0F38"/>
    <w:rsid w:val="004F4C94"/>
    <w:rsid w:val="00501921"/>
    <w:rsid w:val="00501A05"/>
    <w:rsid w:val="00502D54"/>
    <w:rsid w:val="005035F8"/>
    <w:rsid w:val="005060C8"/>
    <w:rsid w:val="005214A1"/>
    <w:rsid w:val="00530354"/>
    <w:rsid w:val="005434C6"/>
    <w:rsid w:val="00543B39"/>
    <w:rsid w:val="00550096"/>
    <w:rsid w:val="00554EE9"/>
    <w:rsid w:val="00557FF9"/>
    <w:rsid w:val="00571DA2"/>
    <w:rsid w:val="00576378"/>
    <w:rsid w:val="00577E38"/>
    <w:rsid w:val="0058201A"/>
    <w:rsid w:val="00585322"/>
    <w:rsid w:val="00593AD1"/>
    <w:rsid w:val="00596D79"/>
    <w:rsid w:val="005A1131"/>
    <w:rsid w:val="005A3DBA"/>
    <w:rsid w:val="005C5570"/>
    <w:rsid w:val="005C5E62"/>
    <w:rsid w:val="005C79A4"/>
    <w:rsid w:val="005D0A16"/>
    <w:rsid w:val="005D5442"/>
    <w:rsid w:val="005D79AD"/>
    <w:rsid w:val="00606FD9"/>
    <w:rsid w:val="00630352"/>
    <w:rsid w:val="00640FC3"/>
    <w:rsid w:val="00642020"/>
    <w:rsid w:val="0064475A"/>
    <w:rsid w:val="0065337B"/>
    <w:rsid w:val="0065419D"/>
    <w:rsid w:val="006604D8"/>
    <w:rsid w:val="00664A5B"/>
    <w:rsid w:val="00680C08"/>
    <w:rsid w:val="0068201D"/>
    <w:rsid w:val="0068741A"/>
    <w:rsid w:val="006931B1"/>
    <w:rsid w:val="006935E5"/>
    <w:rsid w:val="006A15C0"/>
    <w:rsid w:val="006B3F5D"/>
    <w:rsid w:val="006C1F3B"/>
    <w:rsid w:val="006C3E2A"/>
    <w:rsid w:val="006C642F"/>
    <w:rsid w:val="006D03E5"/>
    <w:rsid w:val="006D4786"/>
    <w:rsid w:val="006D5D3E"/>
    <w:rsid w:val="006E08B3"/>
    <w:rsid w:val="006E1F61"/>
    <w:rsid w:val="006F19B7"/>
    <w:rsid w:val="006F4785"/>
    <w:rsid w:val="006F572E"/>
    <w:rsid w:val="00703FCD"/>
    <w:rsid w:val="007046D6"/>
    <w:rsid w:val="00705DB0"/>
    <w:rsid w:val="00706AFE"/>
    <w:rsid w:val="00715A03"/>
    <w:rsid w:val="007403DA"/>
    <w:rsid w:val="007417F3"/>
    <w:rsid w:val="0074253D"/>
    <w:rsid w:val="0074429B"/>
    <w:rsid w:val="00745886"/>
    <w:rsid w:val="007477F8"/>
    <w:rsid w:val="007615BC"/>
    <w:rsid w:val="00762F05"/>
    <w:rsid w:val="007652FF"/>
    <w:rsid w:val="0077104D"/>
    <w:rsid w:val="00771329"/>
    <w:rsid w:val="007723B6"/>
    <w:rsid w:val="00773EF7"/>
    <w:rsid w:val="00774E1D"/>
    <w:rsid w:val="0077675A"/>
    <w:rsid w:val="00780355"/>
    <w:rsid w:val="0078393F"/>
    <w:rsid w:val="00785721"/>
    <w:rsid w:val="00793A59"/>
    <w:rsid w:val="007A2162"/>
    <w:rsid w:val="007B0408"/>
    <w:rsid w:val="007C0F3D"/>
    <w:rsid w:val="007C1AF7"/>
    <w:rsid w:val="007C1CB8"/>
    <w:rsid w:val="007D22C0"/>
    <w:rsid w:val="007E4FCF"/>
    <w:rsid w:val="00821776"/>
    <w:rsid w:val="00826007"/>
    <w:rsid w:val="008321F5"/>
    <w:rsid w:val="00832369"/>
    <w:rsid w:val="00834660"/>
    <w:rsid w:val="00836BC2"/>
    <w:rsid w:val="00846418"/>
    <w:rsid w:val="00855221"/>
    <w:rsid w:val="0085641B"/>
    <w:rsid w:val="00857136"/>
    <w:rsid w:val="0087502F"/>
    <w:rsid w:val="008831B7"/>
    <w:rsid w:val="0088485F"/>
    <w:rsid w:val="0089465C"/>
    <w:rsid w:val="00896018"/>
    <w:rsid w:val="008A2B9D"/>
    <w:rsid w:val="008A5E0B"/>
    <w:rsid w:val="008A6D59"/>
    <w:rsid w:val="008B4B03"/>
    <w:rsid w:val="008B596F"/>
    <w:rsid w:val="008C159F"/>
    <w:rsid w:val="008C1623"/>
    <w:rsid w:val="008C51A9"/>
    <w:rsid w:val="008D245E"/>
    <w:rsid w:val="008E367D"/>
    <w:rsid w:val="008F1CCC"/>
    <w:rsid w:val="008F2967"/>
    <w:rsid w:val="008F382A"/>
    <w:rsid w:val="0090187D"/>
    <w:rsid w:val="009032D7"/>
    <w:rsid w:val="00913C35"/>
    <w:rsid w:val="00920330"/>
    <w:rsid w:val="009219D7"/>
    <w:rsid w:val="00922D53"/>
    <w:rsid w:val="00923B70"/>
    <w:rsid w:val="00925E84"/>
    <w:rsid w:val="00930237"/>
    <w:rsid w:val="00933C60"/>
    <w:rsid w:val="00937DD0"/>
    <w:rsid w:val="00941E4F"/>
    <w:rsid w:val="0094448F"/>
    <w:rsid w:val="00963C08"/>
    <w:rsid w:val="009857B4"/>
    <w:rsid w:val="00997136"/>
    <w:rsid w:val="009A3BBD"/>
    <w:rsid w:val="009A4CED"/>
    <w:rsid w:val="009B1D12"/>
    <w:rsid w:val="009B416B"/>
    <w:rsid w:val="009C2765"/>
    <w:rsid w:val="009C4BD5"/>
    <w:rsid w:val="009D6273"/>
    <w:rsid w:val="009D7B77"/>
    <w:rsid w:val="009E0BB0"/>
    <w:rsid w:val="009E3FBB"/>
    <w:rsid w:val="00A14DF7"/>
    <w:rsid w:val="00A221FB"/>
    <w:rsid w:val="00A3246D"/>
    <w:rsid w:val="00A3671F"/>
    <w:rsid w:val="00A36FA7"/>
    <w:rsid w:val="00A427AD"/>
    <w:rsid w:val="00A446CC"/>
    <w:rsid w:val="00A475B7"/>
    <w:rsid w:val="00A47AF7"/>
    <w:rsid w:val="00A47C3E"/>
    <w:rsid w:val="00A50226"/>
    <w:rsid w:val="00A60BAD"/>
    <w:rsid w:val="00A73A8D"/>
    <w:rsid w:val="00A9547F"/>
    <w:rsid w:val="00AA0A2C"/>
    <w:rsid w:val="00AA200F"/>
    <w:rsid w:val="00AC2B40"/>
    <w:rsid w:val="00AC2BB2"/>
    <w:rsid w:val="00AC2C3C"/>
    <w:rsid w:val="00AC7B9E"/>
    <w:rsid w:val="00AE1D4D"/>
    <w:rsid w:val="00AE65EB"/>
    <w:rsid w:val="00AE7F88"/>
    <w:rsid w:val="00AF1D94"/>
    <w:rsid w:val="00AF60C5"/>
    <w:rsid w:val="00B009C6"/>
    <w:rsid w:val="00B01548"/>
    <w:rsid w:val="00B11C4B"/>
    <w:rsid w:val="00B163A0"/>
    <w:rsid w:val="00B21D29"/>
    <w:rsid w:val="00B25034"/>
    <w:rsid w:val="00B33863"/>
    <w:rsid w:val="00B37D17"/>
    <w:rsid w:val="00B40564"/>
    <w:rsid w:val="00B4175E"/>
    <w:rsid w:val="00B472F6"/>
    <w:rsid w:val="00B54C25"/>
    <w:rsid w:val="00B76B91"/>
    <w:rsid w:val="00BC10A6"/>
    <w:rsid w:val="00BC5B75"/>
    <w:rsid w:val="00BC622A"/>
    <w:rsid w:val="00BD211A"/>
    <w:rsid w:val="00BE0A78"/>
    <w:rsid w:val="00BE51A6"/>
    <w:rsid w:val="00BE79F0"/>
    <w:rsid w:val="00BF046D"/>
    <w:rsid w:val="00BF5D04"/>
    <w:rsid w:val="00C01315"/>
    <w:rsid w:val="00C06758"/>
    <w:rsid w:val="00C13563"/>
    <w:rsid w:val="00C404A6"/>
    <w:rsid w:val="00C40A36"/>
    <w:rsid w:val="00C44419"/>
    <w:rsid w:val="00C45E7B"/>
    <w:rsid w:val="00C471B1"/>
    <w:rsid w:val="00C53A95"/>
    <w:rsid w:val="00C6316B"/>
    <w:rsid w:val="00C634A9"/>
    <w:rsid w:val="00C772FF"/>
    <w:rsid w:val="00C801AF"/>
    <w:rsid w:val="00C80256"/>
    <w:rsid w:val="00CB1C51"/>
    <w:rsid w:val="00CB463B"/>
    <w:rsid w:val="00CB6BC0"/>
    <w:rsid w:val="00CC1B7C"/>
    <w:rsid w:val="00CC32BD"/>
    <w:rsid w:val="00CC727F"/>
    <w:rsid w:val="00CE5BB0"/>
    <w:rsid w:val="00CF15C3"/>
    <w:rsid w:val="00CF1761"/>
    <w:rsid w:val="00CF2B6F"/>
    <w:rsid w:val="00D017ED"/>
    <w:rsid w:val="00D13405"/>
    <w:rsid w:val="00D153B1"/>
    <w:rsid w:val="00D224FE"/>
    <w:rsid w:val="00D22E51"/>
    <w:rsid w:val="00D31162"/>
    <w:rsid w:val="00D54C12"/>
    <w:rsid w:val="00D62853"/>
    <w:rsid w:val="00D6493E"/>
    <w:rsid w:val="00D92470"/>
    <w:rsid w:val="00D95D98"/>
    <w:rsid w:val="00DA1124"/>
    <w:rsid w:val="00DB7B83"/>
    <w:rsid w:val="00DC3AA6"/>
    <w:rsid w:val="00DC50E2"/>
    <w:rsid w:val="00DD6970"/>
    <w:rsid w:val="00DD75A3"/>
    <w:rsid w:val="00DE02AE"/>
    <w:rsid w:val="00DE092B"/>
    <w:rsid w:val="00DE6A0C"/>
    <w:rsid w:val="00DF1D7F"/>
    <w:rsid w:val="00E01872"/>
    <w:rsid w:val="00E02FB4"/>
    <w:rsid w:val="00E20571"/>
    <w:rsid w:val="00E21651"/>
    <w:rsid w:val="00E235F7"/>
    <w:rsid w:val="00E239D4"/>
    <w:rsid w:val="00E40B22"/>
    <w:rsid w:val="00E4588F"/>
    <w:rsid w:val="00E46DA3"/>
    <w:rsid w:val="00E71E6B"/>
    <w:rsid w:val="00E82C70"/>
    <w:rsid w:val="00EA406B"/>
    <w:rsid w:val="00EA6DF2"/>
    <w:rsid w:val="00EB0798"/>
    <w:rsid w:val="00EB40AD"/>
    <w:rsid w:val="00EB586E"/>
    <w:rsid w:val="00EB5FC8"/>
    <w:rsid w:val="00ED5A41"/>
    <w:rsid w:val="00EE583F"/>
    <w:rsid w:val="00F033EC"/>
    <w:rsid w:val="00F04F68"/>
    <w:rsid w:val="00F12670"/>
    <w:rsid w:val="00F13A8C"/>
    <w:rsid w:val="00F14B27"/>
    <w:rsid w:val="00F2410C"/>
    <w:rsid w:val="00F25678"/>
    <w:rsid w:val="00F3148D"/>
    <w:rsid w:val="00F35298"/>
    <w:rsid w:val="00F36B0D"/>
    <w:rsid w:val="00F456CF"/>
    <w:rsid w:val="00F46D8F"/>
    <w:rsid w:val="00F47E37"/>
    <w:rsid w:val="00F56248"/>
    <w:rsid w:val="00F57638"/>
    <w:rsid w:val="00F640B6"/>
    <w:rsid w:val="00F80E40"/>
    <w:rsid w:val="00F94BF6"/>
    <w:rsid w:val="00F95D32"/>
    <w:rsid w:val="00FA5B82"/>
    <w:rsid w:val="00FA61F0"/>
    <w:rsid w:val="00FA639E"/>
    <w:rsid w:val="00FC25E4"/>
    <w:rsid w:val="00FC4EF7"/>
    <w:rsid w:val="00FC520A"/>
    <w:rsid w:val="00FE1DEE"/>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0" w:unhideWhenUsed="0" w:qFormat="1"/>
    <w:lsdException w:name="List Bullet 2" w:semiHidden="0" w:uiPriority="0" w:unhideWhenUsed="0" w:qFormat="1"/>
    <w:lsdException w:name="List Bullet 3" w:uiPriority="0"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1516F9"/>
    <w:pPr>
      <w:keepNext/>
      <w:keepLines/>
      <w:spacing w:before="48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1516F9"/>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0" w:unhideWhenUsed="0" w:qFormat="1"/>
    <w:lsdException w:name="List Bullet 2" w:semiHidden="0" w:uiPriority="0" w:unhideWhenUsed="0" w:qFormat="1"/>
    <w:lsdException w:name="List Bullet 3" w:uiPriority="0"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1516F9"/>
    <w:pPr>
      <w:keepNext/>
      <w:keepLines/>
      <w:spacing w:before="48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1516F9"/>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fluenza.reagents@health.gov.a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www.tga.gov.au" TargetMode="External"/><Relationship Id="rId2" Type="http://schemas.openxmlformats.org/officeDocument/2006/relationships/hyperlink" Target="mailto:info@tga.gov.au" TargetMode="External"/><Relationship Id="rId1" Type="http://schemas.openxmlformats.org/officeDocument/2006/relationships/image" Target="media/image2.jpeg"/><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AAA\influenza%20reagents\ifu.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2207D-B7D4-47F6-B0A5-DD5B4E2D5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ifu.dotx</Template>
  <TotalTime>6</TotalTime>
  <Pages>4</Pages>
  <Words>1074</Words>
  <Characters>5941</Characters>
  <Application>Microsoft Office Word</Application>
  <DocSecurity>0</DocSecurity>
  <Lines>114</Lines>
  <Paragraphs>68</Paragraphs>
  <ScaleCrop>false</ScaleCrop>
  <HeadingPairs>
    <vt:vector size="2" baseType="variant">
      <vt:variant>
        <vt:lpstr>Title</vt:lpstr>
      </vt:variant>
      <vt:variant>
        <vt:i4>1</vt:i4>
      </vt:variant>
    </vt:vector>
  </HeadingPairs>
  <TitlesOfParts>
    <vt:vector size="1" baseType="lpstr">
      <vt:lpstr>Instructions for use: A/Singapore/GP1908/2015 (IVR-180)</vt:lpstr>
    </vt:vector>
  </TitlesOfParts>
  <Company>TGA</Company>
  <LinksUpToDate>false</LinksUpToDate>
  <CharactersWithSpaces>6947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B/Yamagata lineage virus B/Phuket/3073/2013 - TGA Lot: 2017/115B (DOM: January 2017)</dc:title>
  <dc:subject>influenza reagents</dc:subject>
  <dc:creator>Therapeutic Goods Administration</dc:creator>
  <cp:lastPrinted>2014-03-18T05:18:00Z</cp:lastPrinted>
  <dcterms:created xsi:type="dcterms:W3CDTF">2019-03-10T22:50:00Z</dcterms:created>
  <dcterms:modified xsi:type="dcterms:W3CDTF">2019-03-22T03:13:00Z</dcterms:modified>
</cp:coreProperties>
</file>