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15" w:rsidRDefault="00207B15" w:rsidP="00207B15">
      <w:pPr>
        <w:pStyle w:val="Heading1"/>
      </w:pPr>
      <w:r>
        <w:t>ANTISERUM REAGENT FOR SINGLE-RADIAL-DIFFUSION</w:t>
      </w:r>
    </w:p>
    <w:p w:rsidR="00207B15" w:rsidRDefault="00207B15" w:rsidP="00207B15">
      <w:pPr>
        <w:pStyle w:val="Heading1"/>
      </w:pPr>
      <w:r>
        <w:t>ASSAY OF H5N1 A/Indonesia/5/2005 (IBCDC-RG2)</w:t>
      </w:r>
    </w:p>
    <w:p w:rsidR="00207B15" w:rsidRDefault="00207B15" w:rsidP="00207B15">
      <w:pPr>
        <w:pStyle w:val="Heading1"/>
      </w:pPr>
      <w:r>
        <w:t>INFLUENZA VIRUS HAEMAGGLUTININ</w:t>
      </w:r>
    </w:p>
    <w:p w:rsidR="00261117" w:rsidRPr="00261117" w:rsidRDefault="00207B15" w:rsidP="00207B15">
      <w:pPr>
        <w:pStyle w:val="Heading1"/>
      </w:pPr>
      <w:r>
        <w:t>TGA Lot: AS406</w:t>
      </w:r>
    </w:p>
    <w:p w:rsidR="00261117" w:rsidRPr="00181627" w:rsidRDefault="00261117" w:rsidP="00181627">
      <w:pPr>
        <w:pStyle w:val="Heading2"/>
      </w:pPr>
      <w:r>
        <w:t>1. Introduction</w:t>
      </w:r>
    </w:p>
    <w:p w:rsidR="00261117" w:rsidRDefault="00D03EF0" w:rsidP="00261117">
      <w:r w:rsidRPr="00D03EF0">
        <w:t>Influenza antiserum reagent TGA Lot AS406 is prepared for single radial diffusion assay of A/Indonesia/5/2005 (IBCDC-RG2) antigens. An appropriate TGA antigen reagent should be included in each assay.</w:t>
      </w:r>
    </w:p>
    <w:p w:rsidR="00261117" w:rsidRDefault="00261117" w:rsidP="00261117">
      <w:pPr>
        <w:pStyle w:val="Heading2"/>
      </w:pPr>
      <w:r>
        <w:t xml:space="preserve">2. </w:t>
      </w:r>
      <w:proofErr w:type="spellStart"/>
      <w:r>
        <w:t>Unitage</w:t>
      </w:r>
      <w:proofErr w:type="spellEnd"/>
    </w:p>
    <w:p w:rsidR="00261117" w:rsidRDefault="00D03EF0" w:rsidP="00261117">
      <w:r w:rsidRPr="00D03EF0">
        <w:t xml:space="preserve">No </w:t>
      </w:r>
      <w:proofErr w:type="spellStart"/>
      <w:r w:rsidRPr="00D03EF0">
        <w:t>unitage</w:t>
      </w:r>
      <w:proofErr w:type="spellEnd"/>
      <w:r w:rsidRPr="00D03EF0">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D03EF0" w:rsidRPr="00D03EF0">
        <w:t>Australia</w:t>
      </w:r>
    </w:p>
    <w:p w:rsidR="00261117" w:rsidRDefault="00261117" w:rsidP="00261117">
      <w:pPr>
        <w:tabs>
          <w:tab w:val="left" w:pos="2127"/>
        </w:tabs>
      </w:pPr>
      <w:r w:rsidRPr="00261117">
        <w:rPr>
          <w:b/>
        </w:rPr>
        <w:t>Animal Species:</w:t>
      </w:r>
      <w:r>
        <w:tab/>
      </w:r>
      <w:r w:rsidR="00D03EF0" w:rsidRPr="00D03EF0">
        <w:t>Domestic sheep (</w:t>
      </w:r>
      <w:proofErr w:type="spellStart"/>
      <w:r w:rsidR="00D03EF0" w:rsidRPr="00D03EF0">
        <w:rPr>
          <w:i/>
        </w:rPr>
        <w:t>Ovis</w:t>
      </w:r>
      <w:proofErr w:type="spellEnd"/>
      <w:r w:rsidR="00D03EF0" w:rsidRPr="00D03EF0">
        <w:rPr>
          <w:i/>
        </w:rPr>
        <w:t xml:space="preserve"> </w:t>
      </w:r>
      <w:proofErr w:type="spellStart"/>
      <w:r w:rsidR="00D03EF0" w:rsidRPr="00D03EF0">
        <w:rPr>
          <w:i/>
        </w:rPr>
        <w:t>aires</w:t>
      </w:r>
      <w:proofErr w:type="spellEnd"/>
      <w:r w:rsidR="00D03EF0" w:rsidRPr="00D03EF0">
        <w:t>)</w:t>
      </w:r>
    </w:p>
    <w:p w:rsidR="00261117" w:rsidRDefault="00261117" w:rsidP="00261117">
      <w:pPr>
        <w:tabs>
          <w:tab w:val="left" w:pos="2127"/>
        </w:tabs>
      </w:pPr>
      <w:r w:rsidRPr="00261117">
        <w:rPr>
          <w:b/>
        </w:rPr>
        <w:t>Donor Sheep Breed:</w:t>
      </w:r>
      <w:r>
        <w:tab/>
      </w:r>
      <w:r w:rsidR="00D03EF0" w:rsidRPr="00D03EF0">
        <w:t>Australian Merino Cross</w:t>
      </w:r>
    </w:p>
    <w:p w:rsidR="00D03EF0" w:rsidRDefault="00D03EF0" w:rsidP="00D03EF0">
      <w:r>
        <w:t>The sheep originated, were continuously reared and slaughtered in Australia</w:t>
      </w:r>
    </w:p>
    <w:p w:rsidR="00261117" w:rsidRDefault="00D03EF0" w:rsidP="00D03EF0">
      <w:r>
        <w:t>The purified HA used to immunise sheep was derived from a beta-</w:t>
      </w:r>
      <w:proofErr w:type="spellStart"/>
      <w:r>
        <w:t>propiolactione</w:t>
      </w:r>
      <w:proofErr w:type="spellEnd"/>
      <w:r>
        <w:t xml:space="preserve"> (βPL) inactivated virus pool.</w:t>
      </w:r>
      <w:r w:rsidR="00F02728">
        <w:t xml:space="preserve"> </w:t>
      </w:r>
      <w:r>
        <w:t>The HA was purified using a protease treatment step prior to further downstream purification.</w:t>
      </w:r>
      <w:r w:rsidR="00F02728">
        <w:t xml:space="preserve"> </w:t>
      </w:r>
      <w:r>
        <w:t>This antiserum was prepared in sheep to the purified HA of A/Indonesia/5/2005 (IBCDC-RG2) virus. All sheep used in the production of antisera were inspected by a veterinary surgeon prior to terminal bleed confirming their disease free status.</w:t>
      </w:r>
      <w:r w:rsidR="00F02728">
        <w:t xml:space="preserve"> </w:t>
      </w:r>
      <w:r>
        <w:t xml:space="preserve">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261117">
      <w:r>
        <w:t>The preparation does not contain material of human origin.</w:t>
      </w:r>
    </w:p>
    <w:p w:rsidR="00261117" w:rsidRDefault="00D03EF0" w:rsidP="00261117">
      <w:r w:rsidRPr="00D03EF0">
        <w:t>As with all materials of biological origin, this preparation should be regarded as potentially hazardous to health.</w:t>
      </w:r>
      <w:r w:rsidR="00F02728">
        <w:t xml:space="preserve"> </w:t>
      </w:r>
      <w:r w:rsidRPr="00D03EF0">
        <w:t>It should be used and discarded according to your own laboratory's safety procedures.</w:t>
      </w:r>
      <w:r w:rsidR="00F02728">
        <w:t xml:space="preserve"> </w:t>
      </w:r>
      <w:r w:rsidRPr="00D03EF0">
        <w:t>Such safety procedures probably will include the wearing of protective gloves and avoiding the generation of aerosols.</w:t>
      </w:r>
      <w:r w:rsidR="00F02728">
        <w:t xml:space="preserve"> </w:t>
      </w:r>
      <w:r w:rsidRPr="00D03EF0">
        <w:t>Care should be exercised in opening ampoules or vials, to avoid cuts.</w:t>
      </w:r>
    </w:p>
    <w:p w:rsidR="00261117" w:rsidRDefault="00261117" w:rsidP="00261117">
      <w:pPr>
        <w:pStyle w:val="Heading2"/>
      </w:pPr>
      <w:r>
        <w:lastRenderedPageBreak/>
        <w:t>5. Use of material</w:t>
      </w:r>
      <w:bookmarkStart w:id="0" w:name="_GoBack"/>
      <w:bookmarkEnd w:id="0"/>
    </w:p>
    <w:p w:rsidR="00210FCD" w:rsidRDefault="00210FCD" w:rsidP="00210FCD">
      <w:r>
        <w:t>For testing antigens containing approximately 20-30 µg HA per mL, approximately 2 µL of the undiluted antiserum should be added to 1 mL of agarose.</w:t>
      </w:r>
    </w:p>
    <w:p w:rsidR="00210FCD" w:rsidRDefault="00210FCD" w:rsidP="00210FCD">
      <w:r>
        <w:t>However, it may be necessary to change the antiserum concentration according to local laboratory conditions.</w:t>
      </w:r>
    </w:p>
    <w:p w:rsidR="00261117" w:rsidRDefault="00210FCD" w:rsidP="00210FCD">
      <w:r>
        <w:t xml:space="preserve">Antiserum reagent AS406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B68E7">
      <w:pPr>
        <w:pStyle w:val="Heading2"/>
      </w:pPr>
      <w:r>
        <w:t xml:space="preserve">6. </w:t>
      </w:r>
      <w:r w:rsidR="004B68E7" w:rsidRPr="004B68E7">
        <w:t>Stability</w:t>
      </w:r>
    </w:p>
    <w:p w:rsidR="00261117" w:rsidRDefault="00210FCD" w:rsidP="00261117">
      <w:r w:rsidRPr="00210FCD">
        <w:t>It is the policy of WHO not to assign an expiry date to their international reference materials. They remain valid with the assigned potency and status until withdrawn or amended.</w:t>
      </w:r>
    </w:p>
    <w:p w:rsidR="00261117" w:rsidRDefault="00210FCD" w:rsidP="00261117">
      <w:r w:rsidRPr="00210FCD">
        <w:t>Reference Materials should be stored on receipt as indicated on the label.</w:t>
      </w:r>
    </w:p>
    <w:p w:rsidR="00210FCD" w:rsidRDefault="00210FCD" w:rsidP="00261117">
      <w:r w:rsidRPr="00210FCD">
        <w:t>Antiserum</w:t>
      </w:r>
      <w:r>
        <w:t xml:space="preserve"> should be stored at or below -</w:t>
      </w:r>
      <w:r w:rsidRPr="00210FCD">
        <w:t>20°C.</w:t>
      </w:r>
    </w:p>
    <w:p w:rsidR="00261117" w:rsidRDefault="00261117" w:rsidP="004B68E7">
      <w:pPr>
        <w:pStyle w:val="Heading2"/>
      </w:pPr>
      <w:r>
        <w:t xml:space="preserve">7. </w:t>
      </w:r>
      <w:r w:rsidR="004B68E7">
        <w:t>Citation</w:t>
      </w:r>
    </w:p>
    <w:p w:rsidR="00261117" w:rsidRDefault="00210FCD" w:rsidP="00261117">
      <w:r w:rsidRPr="00210FCD">
        <w:t xml:space="preserve">In all publications (or data sheets for immunoassay kits) in which this preparation is used as an assay </w:t>
      </w:r>
      <w:proofErr w:type="spellStart"/>
      <w:r w:rsidRPr="00210FCD">
        <w:t>calibrant</w:t>
      </w:r>
      <w:proofErr w:type="spellEnd"/>
      <w:r w:rsidRPr="00210FCD">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10FCD" w:rsidRDefault="00210FCD" w:rsidP="00210FCD">
      <w:r>
        <w:t>Information emanating from TGA is given after the exercise of all reasonable care and skill in its compilation, preparation and issue, but is provided without liability in its application and use.</w:t>
      </w:r>
    </w:p>
    <w:p w:rsidR="00210FCD" w:rsidRDefault="00210FCD" w:rsidP="00210FCD">
      <w:r>
        <w:t xml:space="preserve">This product is intended for use as a standard or reference material in laboratory work in relation to biological research, manufacturing or quality control testing of biological products or in the field of </w:t>
      </w:r>
      <w:r w:rsidRPr="00210FCD">
        <w:rPr>
          <w:i/>
        </w:rPr>
        <w:t xml:space="preserve">in vitro </w:t>
      </w:r>
      <w:r>
        <w:t>diagnostics.</w:t>
      </w:r>
      <w:r w:rsidR="00F02728">
        <w:t xml:space="preserve"> </w:t>
      </w:r>
      <w:r>
        <w:t>It is the responsibility of the user to ensure that he/she has the necessary technical skills to determine the appropriateness of this product for the proposed application.</w:t>
      </w:r>
      <w:r w:rsidR="00F02728">
        <w:t xml:space="preserve"> </w:t>
      </w:r>
      <w:r>
        <w:t>Results obtained from this product are likely to be dependent on conditions of use and the variability of materials beyond the control of TGA.</w:t>
      </w:r>
    </w:p>
    <w:p w:rsidR="00210FCD" w:rsidRDefault="00210FCD" w:rsidP="00210FCD">
      <w:r>
        <w:t>TGA accepts no liability whatsoever for any loss or damage arising from the use of this product, whether loss of profits, or indirect or consequential loss or otherwise, including, but not limited to, personal injury other than as caused by the negligence of TGA.</w:t>
      </w:r>
      <w:r w:rsidR="00F02728">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540AE0">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7E48BF" w:rsidP="00F57638">
            <w:pPr>
              <w:rPr>
                <w:i/>
              </w:rPr>
            </w:pPr>
            <w:r w:rsidRPr="007E48BF">
              <w:rPr>
                <w:i/>
              </w:rPr>
              <w:t>Frozen Liquid</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7E48BF" w:rsidP="00F57638">
            <w:pPr>
              <w:rPr>
                <w:i/>
              </w:rPr>
            </w:pPr>
            <w:r w:rsidRPr="007E48BF">
              <w:rPr>
                <w:i/>
              </w:rPr>
              <w:t xml:space="preserve">Contains sheep serum and sodium </w:t>
            </w:r>
            <w:proofErr w:type="spellStart"/>
            <w:r w:rsidRPr="007E48BF">
              <w:rPr>
                <w:i/>
              </w:rPr>
              <w:t>azide</w:t>
            </w:r>
            <w:proofErr w:type="spellEnd"/>
            <w:r w:rsidRPr="007E48BF">
              <w:rPr>
                <w:i/>
              </w:rPr>
              <w:t xml:space="preserve"> (0.1 %w/v)</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7E48BF" w:rsidP="00F57638">
            <w:pPr>
              <w:rPr>
                <w:i/>
              </w:rPr>
            </w:pPr>
            <w:r w:rsidRPr="007E48BF">
              <w:rPr>
                <w:i/>
              </w:rPr>
              <w:t>Toxic</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7E48BF" w:rsidP="00F57638">
            <w:pPr>
              <w:rPr>
                <w:i/>
              </w:rPr>
            </w:pPr>
            <w:r w:rsidRPr="007E48BF">
              <w:rPr>
                <w:i/>
              </w:rPr>
              <w:t>Toxic</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7E48BF" w:rsidP="00F57638">
            <w:pPr>
              <w:rPr>
                <w:i/>
              </w:rPr>
            </w:pPr>
            <w:r w:rsidRPr="007E48BF">
              <w:rPr>
                <w:i/>
              </w:rPr>
              <w:t>Toxic</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7E48BF" w:rsidRPr="007E48BF" w:rsidRDefault="007E48BF" w:rsidP="007E48BF">
            <w:pPr>
              <w:rPr>
                <w:i/>
              </w:rPr>
            </w:pPr>
            <w:r w:rsidRPr="007E48BF">
              <w:rPr>
                <w:i/>
              </w:rPr>
              <w:t xml:space="preserve">Spillage of ampoule contents should be taken up with absorbent material wetted with a </w:t>
            </w:r>
            <w:proofErr w:type="spellStart"/>
            <w:r w:rsidRPr="007E48BF">
              <w:rPr>
                <w:i/>
              </w:rPr>
              <w:t>virucidal</w:t>
            </w:r>
            <w:proofErr w:type="spellEnd"/>
            <w:r w:rsidRPr="007E48BF">
              <w:rPr>
                <w:i/>
              </w:rPr>
              <w:t xml:space="preserve"> agent. Rinse area with a </w:t>
            </w:r>
            <w:proofErr w:type="spellStart"/>
            <w:r w:rsidRPr="007E48BF">
              <w:rPr>
                <w:i/>
              </w:rPr>
              <w:t>virucidal</w:t>
            </w:r>
            <w:proofErr w:type="spellEnd"/>
            <w:r w:rsidRPr="007E48BF">
              <w:rPr>
                <w:i/>
              </w:rPr>
              <w:t xml:space="preserve"> agent followed by water.</w:t>
            </w:r>
          </w:p>
          <w:p w:rsidR="00F57638" w:rsidRDefault="007E48BF" w:rsidP="007E48BF">
            <w:r w:rsidRPr="007E48BF">
              <w:rPr>
                <w:i/>
              </w:rPr>
              <w:t>Absorbent materials used to treat spillage should be treated as biologically hazardous waste.</w:t>
            </w:r>
          </w:p>
        </w:tc>
      </w:tr>
    </w:tbl>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4B68E7" w:rsidRDefault="00261117" w:rsidP="004B68E7">
      <w:pPr>
        <w:spacing w:before="840"/>
        <w:rPr>
          <w:i/>
        </w:rPr>
      </w:pPr>
      <w:r w:rsidRPr="004B68E7">
        <w:rPr>
          <w:i/>
        </w:rPr>
        <w:t xml:space="preserve">Issue Date: </w:t>
      </w:r>
      <w:r w:rsidR="007E48BF" w:rsidRPr="007E48BF">
        <w:rPr>
          <w:i/>
        </w:rPr>
        <w:t>NOVEMBER 2013</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9E" w:rsidRDefault="0064649E" w:rsidP="00C40A36">
      <w:r>
        <w:separator/>
      </w:r>
    </w:p>
  </w:endnote>
  <w:endnote w:type="continuationSeparator" w:id="0">
    <w:p w:rsidR="0064649E" w:rsidRDefault="0064649E"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207B15" w:rsidP="00596D79">
              <w:pPr>
                <w:pStyle w:val="Footer"/>
                <w:spacing w:before="0" w:after="0"/>
                <w:rPr>
                  <w:lang w:val="fr-FR"/>
                </w:rPr>
              </w:pPr>
              <w:r w:rsidRPr="00207B15">
                <w:t>H5N1 A/Indonesia/5/2005 (IBCDC-RG2) - TGA Lot: AS406</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1218C4">
                <w:rPr>
                  <w:noProof/>
                </w:rPr>
                <w:t>3</w:t>
              </w:r>
              <w:r w:rsidR="004F4C94">
                <w:rPr>
                  <w:noProof/>
                </w:rPr>
                <w:fldChar w:fldCharType="end"/>
              </w:r>
              <w:r w:rsidRPr="0068201D">
                <w:t xml:space="preserve"> of </w:t>
              </w:r>
              <w:fldSimple w:instr=" NUMPAGES  ">
                <w:r w:rsidR="001218C4">
                  <w:rPr>
                    <w:noProof/>
                  </w:rPr>
                  <w:t>3</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F02728">
            <w:rPr>
              <w:rStyle w:val="FooterChar"/>
              <w:rFonts w:cs="Arial"/>
            </w:rPr>
            <w:t xml:space="preserve"> </w:t>
          </w:r>
          <w:r w:rsidRPr="007B0408">
            <w:rPr>
              <w:rStyle w:val="FooterChar"/>
              <w:rFonts w:cs="Arial"/>
            </w:rPr>
            <w:t>Woden ACT 2606</w:t>
          </w:r>
          <w:r w:rsidR="00F02728">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F02728">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F02728">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9E" w:rsidRDefault="0064649E" w:rsidP="00C40A36">
      <w:r>
        <w:separator/>
      </w:r>
    </w:p>
  </w:footnote>
  <w:footnote w:type="continuationSeparator" w:id="0">
    <w:p w:rsidR="0064649E" w:rsidRDefault="0064649E"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C4" w:rsidRDefault="001218C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9C"/>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18C4"/>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0E20"/>
    <w:rsid w:val="001A525F"/>
    <w:rsid w:val="001B09F9"/>
    <w:rsid w:val="001B6448"/>
    <w:rsid w:val="001E07CF"/>
    <w:rsid w:val="001E5810"/>
    <w:rsid w:val="001E59F1"/>
    <w:rsid w:val="001F49EB"/>
    <w:rsid w:val="001F6CBA"/>
    <w:rsid w:val="001F7BF8"/>
    <w:rsid w:val="00201D4E"/>
    <w:rsid w:val="00207B15"/>
    <w:rsid w:val="00210FCD"/>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0AE0"/>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475A"/>
    <w:rsid w:val="0064649E"/>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8BF"/>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5739C"/>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03EF0"/>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2728"/>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7F7B6-D8B8-4F70-9218-640D2476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4</TotalTime>
  <Pages>3</Pages>
  <Words>797</Words>
  <Characters>4451</Characters>
  <Application>Microsoft Office Word</Application>
  <DocSecurity>0</DocSecurity>
  <Lines>103</Lines>
  <Paragraphs>77</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H5N1 A/Indonesia/5/2005 (IBCDC-RG2) - TGA Lot: AS406</dc:title>
  <dc:subject>influenza reagents</dc:subject>
  <dc:creator>Therapeutic Goods Administration</dc:creator>
  <cp:lastPrinted>2014-03-18T05:18:00Z</cp:lastPrinted>
  <dcterms:created xsi:type="dcterms:W3CDTF">2019-03-10T23:35:00Z</dcterms:created>
  <dcterms:modified xsi:type="dcterms:W3CDTF">2019-03-19T07:11:00Z</dcterms:modified>
</cp:coreProperties>
</file>